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B3CE7" w14:textId="77777777" w:rsidR="00D24A7B" w:rsidRDefault="00D24A7B" w:rsidP="007240E0">
      <w:pPr>
        <w:jc w:val="center"/>
      </w:pPr>
    </w:p>
    <w:p w14:paraId="022C397F" w14:textId="77777777" w:rsidR="001B3F07" w:rsidRDefault="001B3F07" w:rsidP="007240E0">
      <w:pPr>
        <w:jc w:val="center"/>
      </w:pPr>
    </w:p>
    <w:p w14:paraId="75A66CDD" w14:textId="77777777" w:rsidR="001B3F07" w:rsidRDefault="001B3F07" w:rsidP="007240E0">
      <w:pPr>
        <w:jc w:val="center"/>
      </w:pPr>
    </w:p>
    <w:p w14:paraId="0CAB4F2E" w14:textId="77777777" w:rsidR="001B3F07" w:rsidRDefault="001B3F07" w:rsidP="007240E0">
      <w:pPr>
        <w:jc w:val="center"/>
      </w:pPr>
    </w:p>
    <w:p w14:paraId="230949B1" w14:textId="77777777" w:rsidR="001B3F07" w:rsidRPr="00AE03B0" w:rsidRDefault="001B3F07" w:rsidP="007240E0">
      <w:pPr>
        <w:jc w:val="center"/>
      </w:pPr>
    </w:p>
    <w:p w14:paraId="365CC4B2" w14:textId="77777777" w:rsidR="00D24A7B" w:rsidRPr="00AE03B0" w:rsidRDefault="00D24A7B" w:rsidP="007240E0">
      <w:pPr>
        <w:jc w:val="center"/>
      </w:pPr>
    </w:p>
    <w:p w14:paraId="1FF2BFC0" w14:textId="77777777" w:rsidR="00D24A7B" w:rsidRPr="00AE03B0" w:rsidRDefault="00D24A7B" w:rsidP="007240E0">
      <w:pPr>
        <w:jc w:val="center"/>
      </w:pPr>
    </w:p>
    <w:p w14:paraId="3EB2EF7C" w14:textId="77777777" w:rsidR="00D24A7B" w:rsidRPr="00AE03B0" w:rsidRDefault="00D24A7B" w:rsidP="007240E0">
      <w:pPr>
        <w:jc w:val="center"/>
      </w:pPr>
    </w:p>
    <w:p w14:paraId="719A2D81" w14:textId="739631AF" w:rsidR="00D24A7B" w:rsidRPr="00AE03B0" w:rsidRDefault="00D24A7B" w:rsidP="007240E0">
      <w:pPr>
        <w:jc w:val="center"/>
      </w:pPr>
    </w:p>
    <w:p w14:paraId="42D09650" w14:textId="77777777" w:rsidR="00D24A7B" w:rsidRPr="00AE03B0" w:rsidRDefault="00D24A7B" w:rsidP="007240E0">
      <w:pPr>
        <w:jc w:val="center"/>
      </w:pPr>
    </w:p>
    <w:p w14:paraId="57235CFE" w14:textId="77777777" w:rsidR="00D24A7B" w:rsidRPr="00AE03B0" w:rsidRDefault="00D24A7B" w:rsidP="007240E0">
      <w:pPr>
        <w:jc w:val="center"/>
      </w:pPr>
    </w:p>
    <w:p w14:paraId="02B365A0" w14:textId="77777777" w:rsidR="00D24A7B" w:rsidRPr="00AE03B0" w:rsidRDefault="00D24A7B" w:rsidP="007240E0">
      <w:pPr>
        <w:jc w:val="center"/>
      </w:pPr>
    </w:p>
    <w:p w14:paraId="374E6D70" w14:textId="77777777" w:rsidR="00D24A7B" w:rsidRPr="00AE03B0" w:rsidRDefault="00D24A7B" w:rsidP="007240E0">
      <w:pPr>
        <w:jc w:val="center"/>
      </w:pPr>
    </w:p>
    <w:p w14:paraId="56C93203" w14:textId="77777777" w:rsidR="00D24A7B" w:rsidRPr="00AE03B0" w:rsidRDefault="00D24A7B" w:rsidP="007240E0">
      <w:pPr>
        <w:jc w:val="center"/>
      </w:pPr>
    </w:p>
    <w:p w14:paraId="7F908323" w14:textId="77777777" w:rsidR="00D24A7B" w:rsidRPr="00AE03B0" w:rsidRDefault="00D24A7B" w:rsidP="007240E0">
      <w:pPr>
        <w:jc w:val="center"/>
      </w:pPr>
    </w:p>
    <w:p w14:paraId="6603E50D" w14:textId="77777777" w:rsidR="00D24A7B" w:rsidRPr="00AE03B0" w:rsidRDefault="00D24A7B" w:rsidP="007240E0">
      <w:pPr>
        <w:jc w:val="center"/>
      </w:pPr>
    </w:p>
    <w:p w14:paraId="3E770FFF" w14:textId="77777777" w:rsidR="00D24A7B" w:rsidRPr="00AE03B0" w:rsidRDefault="00D24A7B" w:rsidP="007240E0">
      <w:pPr>
        <w:jc w:val="center"/>
      </w:pPr>
    </w:p>
    <w:p w14:paraId="78AD6F2B" w14:textId="77777777" w:rsidR="00D24A7B" w:rsidRPr="00AE03B0" w:rsidRDefault="00D24A7B" w:rsidP="007240E0">
      <w:pPr>
        <w:jc w:val="center"/>
      </w:pPr>
    </w:p>
    <w:p w14:paraId="308EB40A" w14:textId="77777777" w:rsidR="00D24A7B" w:rsidRPr="00AE03B0" w:rsidRDefault="00D24A7B" w:rsidP="007240E0">
      <w:pPr>
        <w:jc w:val="center"/>
      </w:pPr>
    </w:p>
    <w:p w14:paraId="6D9DC15E" w14:textId="77777777" w:rsidR="00D24A7B" w:rsidRPr="00AE03B0" w:rsidRDefault="00D24A7B" w:rsidP="007240E0">
      <w:pPr>
        <w:jc w:val="center"/>
      </w:pPr>
    </w:p>
    <w:p w14:paraId="581015E7" w14:textId="77777777" w:rsidR="00D24A7B" w:rsidRDefault="00D24A7B" w:rsidP="007240E0">
      <w:pPr>
        <w:jc w:val="center"/>
      </w:pPr>
    </w:p>
    <w:p w14:paraId="7C252857" w14:textId="77777777" w:rsidR="00076F9F" w:rsidRDefault="00076F9F" w:rsidP="007240E0">
      <w:pPr>
        <w:jc w:val="center"/>
      </w:pPr>
    </w:p>
    <w:p w14:paraId="38898140" w14:textId="77777777" w:rsidR="00076F9F" w:rsidRPr="00AE03B0" w:rsidRDefault="00076F9F" w:rsidP="007240E0">
      <w:pPr>
        <w:jc w:val="center"/>
      </w:pPr>
    </w:p>
    <w:p w14:paraId="0E30409B" w14:textId="77777777" w:rsidR="00D24A7B" w:rsidRPr="00AE03B0" w:rsidRDefault="00D24A7B" w:rsidP="008A6822">
      <w:pPr>
        <w:pStyle w:val="Title1"/>
        <w:rPr>
          <w:szCs w:val="22"/>
        </w:rPr>
      </w:pPr>
      <w:bookmarkStart w:id="0" w:name="_GoBack"/>
      <w:bookmarkEnd w:id="0"/>
      <w:r w:rsidRPr="00AE03B0">
        <w:rPr>
          <w:szCs w:val="22"/>
        </w:rPr>
        <w:t>I PRIEDAS</w:t>
      </w:r>
    </w:p>
    <w:p w14:paraId="6C2B314E" w14:textId="77777777" w:rsidR="00D24A7B" w:rsidRPr="00AE03B0" w:rsidRDefault="00D24A7B" w:rsidP="007240E0">
      <w:pPr>
        <w:jc w:val="center"/>
      </w:pPr>
    </w:p>
    <w:p w14:paraId="500F639D" w14:textId="77777777" w:rsidR="00D24A7B" w:rsidRPr="00AE03B0" w:rsidRDefault="00D24A7B" w:rsidP="008A6822">
      <w:pPr>
        <w:pStyle w:val="Title1"/>
        <w:rPr>
          <w:szCs w:val="22"/>
        </w:rPr>
      </w:pPr>
      <w:r w:rsidRPr="00AE03B0">
        <w:rPr>
          <w:szCs w:val="22"/>
        </w:rPr>
        <w:t>PREPARATO CHARAKTERISTIKŲ SANTRAUKA</w:t>
      </w:r>
    </w:p>
    <w:p w14:paraId="796D55A0" w14:textId="77777777" w:rsidR="00D24A7B" w:rsidRPr="00AE03B0" w:rsidRDefault="00D24A7B" w:rsidP="00770D60">
      <w:pPr>
        <w:pStyle w:val="Antrat1"/>
        <w:ind w:left="567" w:hanging="567"/>
        <w:rPr>
          <w:rFonts w:ascii="Times New Roman" w:hAnsi="Times New Roman"/>
          <w:sz w:val="22"/>
          <w:szCs w:val="22"/>
        </w:rPr>
      </w:pPr>
      <w:r w:rsidRPr="006F0805">
        <w:rPr>
          <w:rFonts w:ascii="Times New Roman" w:hAnsi="Times New Roman"/>
          <w:sz w:val="22"/>
          <w:szCs w:val="22"/>
        </w:rPr>
        <w:br w:type="page"/>
      </w:r>
      <w:r w:rsidRPr="00AE03B0">
        <w:rPr>
          <w:rFonts w:ascii="Times New Roman" w:hAnsi="Times New Roman"/>
          <w:sz w:val="22"/>
          <w:szCs w:val="22"/>
        </w:rPr>
        <w:lastRenderedPageBreak/>
        <w:t>1.</w:t>
      </w:r>
      <w:r w:rsidRPr="00AE03B0">
        <w:rPr>
          <w:rFonts w:ascii="Times New Roman" w:hAnsi="Times New Roman"/>
          <w:sz w:val="22"/>
          <w:szCs w:val="22"/>
        </w:rPr>
        <w:tab/>
        <w:t>VAISTINIO PREPARATO PAVADINIMAS</w:t>
      </w:r>
    </w:p>
    <w:p w14:paraId="727AC1ED" w14:textId="77777777" w:rsidR="00D24A7B" w:rsidRPr="006F0805" w:rsidRDefault="00D24A7B" w:rsidP="00D24A7B">
      <w:pPr>
        <w:rPr>
          <w:lang w:val="pt-BR"/>
        </w:rPr>
      </w:pPr>
    </w:p>
    <w:p w14:paraId="6A6E8307" w14:textId="77777777" w:rsidR="005906A3" w:rsidRPr="006F0805" w:rsidRDefault="00D24A7B" w:rsidP="005906A3">
      <w:pPr>
        <w:rPr>
          <w:lang w:val="pt-BR"/>
        </w:rPr>
      </w:pPr>
      <w:r w:rsidRPr="006F0805">
        <w:rPr>
          <w:lang w:val="pt-BR"/>
        </w:rPr>
        <w:t>Neupogen 480 mikrogramų (0,96 mg/ml) injekcinis tirpalas užpildytame švirkšte</w:t>
      </w:r>
    </w:p>
    <w:p w14:paraId="2CA58CF8" w14:textId="77777777" w:rsidR="00D24A7B" w:rsidRPr="006F0805" w:rsidRDefault="00D24A7B" w:rsidP="00D24A7B">
      <w:pPr>
        <w:rPr>
          <w:lang w:val="pt-BR"/>
        </w:rPr>
      </w:pPr>
    </w:p>
    <w:p w14:paraId="661DCF5F" w14:textId="77777777" w:rsidR="00D24A7B" w:rsidRPr="006F0805" w:rsidRDefault="00D24A7B" w:rsidP="00D24A7B">
      <w:pPr>
        <w:rPr>
          <w:lang w:val="pt-BR"/>
        </w:rPr>
      </w:pPr>
    </w:p>
    <w:p w14:paraId="20A96214" w14:textId="77777777" w:rsidR="00D24A7B" w:rsidRPr="006F0805" w:rsidRDefault="00D24A7B" w:rsidP="00770D60">
      <w:pPr>
        <w:pStyle w:val="Antrat1"/>
        <w:ind w:left="567" w:hanging="567"/>
        <w:rPr>
          <w:rFonts w:ascii="Times New Roman" w:hAnsi="Times New Roman"/>
          <w:sz w:val="22"/>
          <w:szCs w:val="22"/>
        </w:rPr>
      </w:pPr>
      <w:r w:rsidRPr="006F0805">
        <w:rPr>
          <w:rFonts w:ascii="Times New Roman" w:hAnsi="Times New Roman"/>
          <w:sz w:val="22"/>
          <w:szCs w:val="22"/>
        </w:rPr>
        <w:t>2.</w:t>
      </w:r>
      <w:r w:rsidRPr="006F0805">
        <w:rPr>
          <w:rFonts w:ascii="Times New Roman" w:hAnsi="Times New Roman"/>
          <w:sz w:val="22"/>
          <w:szCs w:val="22"/>
        </w:rPr>
        <w:tab/>
        <w:t>KOKYBINĖ IR KIEKYBINĖ SUDĖTIS</w:t>
      </w:r>
    </w:p>
    <w:p w14:paraId="1D2468B1" w14:textId="77777777" w:rsidR="00D24A7B" w:rsidRPr="006F0805" w:rsidRDefault="00D24A7B" w:rsidP="00D24A7B">
      <w:pPr>
        <w:rPr>
          <w:lang w:val="pt-BR"/>
        </w:rPr>
      </w:pPr>
    </w:p>
    <w:p w14:paraId="18D11676" w14:textId="77777777" w:rsidR="00D24A7B" w:rsidRPr="006F0805" w:rsidRDefault="00D24A7B" w:rsidP="00D24A7B">
      <w:pPr>
        <w:rPr>
          <w:lang w:val="pt-BR"/>
        </w:rPr>
      </w:pPr>
      <w:r w:rsidRPr="006F0805">
        <w:rPr>
          <w:lang w:val="pt-BR"/>
        </w:rPr>
        <w:t>Kiekviename 0,5 ml užpildytame švirkšte yra 48</w:t>
      </w:r>
      <w:r w:rsidR="00213DF5">
        <w:rPr>
          <w:lang w:val="pt-BR"/>
        </w:rPr>
        <w:t> </w:t>
      </w:r>
      <w:r w:rsidRPr="006F0805">
        <w:rPr>
          <w:lang w:val="pt-BR"/>
        </w:rPr>
        <w:t>milijon</w:t>
      </w:r>
      <w:r w:rsidR="007207A4">
        <w:rPr>
          <w:lang w:val="pt-BR"/>
        </w:rPr>
        <w:t>ai</w:t>
      </w:r>
      <w:r w:rsidRPr="006F0805">
        <w:rPr>
          <w:lang w:val="pt-BR"/>
        </w:rPr>
        <w:t xml:space="preserve"> vienetų (480 mikrogramų (µg)) filgrastimo (0,96 mg/ml). </w:t>
      </w:r>
    </w:p>
    <w:p w14:paraId="28575D46" w14:textId="77777777" w:rsidR="00D24A7B" w:rsidRPr="006F0805" w:rsidRDefault="00D24A7B" w:rsidP="00D24A7B">
      <w:pPr>
        <w:rPr>
          <w:lang w:val="pt-BR"/>
        </w:rPr>
      </w:pPr>
    </w:p>
    <w:p w14:paraId="3AA206F2" w14:textId="77777777" w:rsidR="00D24A7B" w:rsidRPr="006F0805" w:rsidRDefault="00D24A7B" w:rsidP="00D24A7B">
      <w:pPr>
        <w:rPr>
          <w:lang w:val="pt-BR"/>
        </w:rPr>
      </w:pPr>
      <w:r w:rsidRPr="006F0805">
        <w:rPr>
          <w:lang w:val="pt-BR"/>
        </w:rPr>
        <w:t>Filgrastimas (rekombinantinis metionilintas žmogaus granulocitų kolonijas stimuliuojantis faktorius) r</w:t>
      </w:r>
      <w:r w:rsidRPr="006F0805">
        <w:rPr>
          <w:lang w:val="pt-BR"/>
        </w:rPr>
        <w:noBreakHyphen/>
        <w:t xml:space="preserve">DNR technologija gaunamas iš </w:t>
      </w:r>
      <w:r w:rsidRPr="006F0805">
        <w:rPr>
          <w:i/>
          <w:lang w:val="pt-BR"/>
        </w:rPr>
        <w:t>E.coli</w:t>
      </w:r>
      <w:r w:rsidRPr="006F0805">
        <w:rPr>
          <w:lang w:val="pt-BR"/>
        </w:rPr>
        <w:t xml:space="preserve"> (K12).</w:t>
      </w:r>
    </w:p>
    <w:p w14:paraId="74F13473" w14:textId="77777777" w:rsidR="00D24A7B" w:rsidRPr="006F0805" w:rsidRDefault="00D24A7B" w:rsidP="00D24A7B">
      <w:pPr>
        <w:rPr>
          <w:lang w:val="pt-BR"/>
        </w:rPr>
      </w:pPr>
    </w:p>
    <w:p w14:paraId="64760501" w14:textId="77777777" w:rsidR="00D24A7B" w:rsidRPr="00AE03B0" w:rsidRDefault="00D24A7B" w:rsidP="00D24A7B">
      <w:r w:rsidRPr="007240E0">
        <w:rPr>
          <w:u w:val="single"/>
          <w:lang w:val="pt-BR"/>
        </w:rPr>
        <w:t>Pagalbin</w:t>
      </w:r>
      <w:r w:rsidRPr="007240E0">
        <w:rPr>
          <w:u w:val="single"/>
        </w:rPr>
        <w:t xml:space="preserve">ės medžiagos, </w:t>
      </w:r>
      <w:r w:rsidR="00285439" w:rsidRPr="007240E0">
        <w:rPr>
          <w:u w:val="single"/>
        </w:rPr>
        <w:t>kurių poveikis žinomas</w:t>
      </w:r>
      <w:r w:rsidRPr="00AE03B0">
        <w:t>:</w:t>
      </w:r>
    </w:p>
    <w:p w14:paraId="1EAAE07D" w14:textId="77777777" w:rsidR="00D24A7B" w:rsidRPr="006F0805" w:rsidRDefault="00D24A7B" w:rsidP="00D24A7B"/>
    <w:p w14:paraId="1C72EF2F" w14:textId="77777777" w:rsidR="00D24A7B" w:rsidRPr="006F0805" w:rsidRDefault="007207A4" w:rsidP="00D24A7B">
      <w:pPr>
        <w:rPr>
          <w:lang w:val="pt-BR"/>
        </w:rPr>
      </w:pPr>
      <w:r>
        <w:t>Kiekv</w:t>
      </w:r>
      <w:r w:rsidR="00D24A7B" w:rsidRPr="006F0805">
        <w:t>iename ml tirpalo yra nuo 0,00</w:t>
      </w:r>
      <w:r w:rsidR="00D24A7B" w:rsidRPr="006F0805">
        <w:rPr>
          <w:lang w:val="pt-BR"/>
        </w:rPr>
        <w:t>15 mmol iki 0,0023 mmol arba nuo 0,035 mg iki 0,052 mg natrio ir 50 mg sorbitolio (E420).</w:t>
      </w:r>
    </w:p>
    <w:p w14:paraId="004E9467" w14:textId="77777777" w:rsidR="00D24A7B" w:rsidRPr="006F0805" w:rsidRDefault="00D24A7B" w:rsidP="00D24A7B">
      <w:pPr>
        <w:rPr>
          <w:lang w:val="pt-BR"/>
        </w:rPr>
      </w:pPr>
    </w:p>
    <w:p w14:paraId="619FDAFA" w14:textId="77777777" w:rsidR="00D24A7B" w:rsidRPr="006F0805" w:rsidRDefault="00D24A7B" w:rsidP="00D24A7B">
      <w:pPr>
        <w:rPr>
          <w:lang w:val="pt-BR"/>
        </w:rPr>
      </w:pPr>
      <w:r w:rsidRPr="006F0805">
        <w:rPr>
          <w:lang w:val="pt-BR"/>
        </w:rPr>
        <w:t>Visos pagalbinės medžiagos išvardytos 6.1 skyriuje.</w:t>
      </w:r>
    </w:p>
    <w:p w14:paraId="4CA0A56D" w14:textId="77777777" w:rsidR="00D24A7B" w:rsidRPr="006F0805" w:rsidRDefault="00D24A7B" w:rsidP="00D24A7B">
      <w:pPr>
        <w:rPr>
          <w:lang w:val="pt-BR"/>
        </w:rPr>
      </w:pPr>
    </w:p>
    <w:p w14:paraId="49F73172" w14:textId="77777777" w:rsidR="00D24A7B" w:rsidRPr="006F0805" w:rsidRDefault="00D24A7B" w:rsidP="00D24A7B">
      <w:pPr>
        <w:rPr>
          <w:lang w:val="pt-BR"/>
        </w:rPr>
      </w:pPr>
    </w:p>
    <w:p w14:paraId="2B30BD01" w14:textId="77777777" w:rsidR="00D24A7B" w:rsidRPr="006F0805" w:rsidRDefault="00D24A7B" w:rsidP="00770D60">
      <w:pPr>
        <w:pStyle w:val="Antrat1"/>
        <w:ind w:left="567" w:hanging="567"/>
        <w:rPr>
          <w:rFonts w:ascii="Times New Roman" w:hAnsi="Times New Roman"/>
          <w:sz w:val="22"/>
          <w:szCs w:val="22"/>
        </w:rPr>
      </w:pPr>
      <w:r w:rsidRPr="006F0805">
        <w:rPr>
          <w:rFonts w:ascii="Times New Roman" w:hAnsi="Times New Roman"/>
          <w:sz w:val="22"/>
          <w:szCs w:val="22"/>
        </w:rPr>
        <w:t>3.</w:t>
      </w:r>
      <w:r w:rsidRPr="006F0805">
        <w:rPr>
          <w:rFonts w:ascii="Times New Roman" w:hAnsi="Times New Roman"/>
          <w:sz w:val="22"/>
          <w:szCs w:val="22"/>
        </w:rPr>
        <w:tab/>
        <w:t>FARMACINĖ FORMA</w:t>
      </w:r>
    </w:p>
    <w:p w14:paraId="07CF99FF" w14:textId="77777777" w:rsidR="00D24A7B" w:rsidRPr="006F0805" w:rsidRDefault="00D24A7B" w:rsidP="00D24A7B">
      <w:pPr>
        <w:rPr>
          <w:lang w:val="pt-BR"/>
        </w:rPr>
      </w:pPr>
    </w:p>
    <w:p w14:paraId="42537BD1" w14:textId="77777777" w:rsidR="00D24A7B" w:rsidRPr="006F0805" w:rsidRDefault="00D24A7B" w:rsidP="00D24A7B">
      <w:pPr>
        <w:rPr>
          <w:lang w:val="pt-BR"/>
        </w:rPr>
      </w:pPr>
      <w:r w:rsidRPr="006F0805">
        <w:rPr>
          <w:lang w:val="pt-BR"/>
        </w:rPr>
        <w:t>Injekcinis tirpalas užpildytame švirkšte.</w:t>
      </w:r>
    </w:p>
    <w:p w14:paraId="17C1D2E6" w14:textId="77777777" w:rsidR="00D24A7B" w:rsidRPr="006F0805" w:rsidRDefault="00D24A7B" w:rsidP="00D24A7B">
      <w:pPr>
        <w:rPr>
          <w:lang w:val="pt-BR"/>
        </w:rPr>
      </w:pPr>
    </w:p>
    <w:p w14:paraId="01C49075" w14:textId="77777777" w:rsidR="00D24A7B" w:rsidRPr="006F0805" w:rsidRDefault="00D24A7B" w:rsidP="00D24A7B">
      <w:pPr>
        <w:rPr>
          <w:lang w:val="pt-BR"/>
        </w:rPr>
      </w:pPr>
      <w:r w:rsidRPr="006F0805">
        <w:rPr>
          <w:lang w:val="pt-BR"/>
        </w:rPr>
        <w:t>Koncentratas infuziniam tirpalui užpildytame švirkšte.</w:t>
      </w:r>
    </w:p>
    <w:p w14:paraId="6CE6963E" w14:textId="77777777" w:rsidR="00E22A03" w:rsidRPr="006F0805" w:rsidRDefault="00E22A03" w:rsidP="00D24A7B">
      <w:pPr>
        <w:rPr>
          <w:lang w:val="pt-BR"/>
        </w:rPr>
      </w:pPr>
    </w:p>
    <w:p w14:paraId="651EBC23" w14:textId="77777777" w:rsidR="00D24A7B" w:rsidRPr="006F0805" w:rsidRDefault="00D24A7B" w:rsidP="00D24A7B">
      <w:pPr>
        <w:rPr>
          <w:lang w:val="pt-BR"/>
        </w:rPr>
      </w:pPr>
      <w:r w:rsidRPr="006F0805">
        <w:rPr>
          <w:lang w:val="pt-BR"/>
        </w:rPr>
        <w:t xml:space="preserve">Skaidrus, bespalvis tirpalas. </w:t>
      </w:r>
    </w:p>
    <w:p w14:paraId="672485F8" w14:textId="77777777" w:rsidR="00D24A7B" w:rsidRPr="006F0805" w:rsidRDefault="00D24A7B" w:rsidP="00D24A7B">
      <w:pPr>
        <w:rPr>
          <w:lang w:val="pt-BR"/>
        </w:rPr>
      </w:pPr>
    </w:p>
    <w:p w14:paraId="7F347393" w14:textId="77777777" w:rsidR="00D24A7B" w:rsidRPr="006F0805" w:rsidRDefault="00D24A7B" w:rsidP="00D24A7B">
      <w:pPr>
        <w:rPr>
          <w:lang w:val="pt-BR"/>
        </w:rPr>
      </w:pPr>
    </w:p>
    <w:p w14:paraId="1A42D19B" w14:textId="77777777" w:rsidR="00D24A7B" w:rsidRPr="006F0805" w:rsidRDefault="00D24A7B" w:rsidP="00770D60">
      <w:pPr>
        <w:pStyle w:val="Antrat1"/>
        <w:tabs>
          <w:tab w:val="left" w:pos="567"/>
        </w:tabs>
        <w:ind w:left="567" w:hanging="567"/>
        <w:rPr>
          <w:rFonts w:ascii="Times New Roman" w:hAnsi="Times New Roman"/>
          <w:sz w:val="22"/>
          <w:szCs w:val="22"/>
        </w:rPr>
      </w:pPr>
      <w:r w:rsidRPr="006F0805">
        <w:rPr>
          <w:rFonts w:ascii="Times New Roman" w:hAnsi="Times New Roman"/>
          <w:sz w:val="22"/>
          <w:szCs w:val="22"/>
        </w:rPr>
        <w:t>4.</w:t>
      </w:r>
      <w:r w:rsidRPr="006F0805">
        <w:rPr>
          <w:rFonts w:ascii="Times New Roman" w:hAnsi="Times New Roman"/>
          <w:sz w:val="22"/>
          <w:szCs w:val="22"/>
        </w:rPr>
        <w:tab/>
        <w:t>KLINIKINĖ INFORMACIJA</w:t>
      </w:r>
    </w:p>
    <w:p w14:paraId="106FDCE3" w14:textId="77777777" w:rsidR="00D24A7B" w:rsidRPr="006F0805" w:rsidRDefault="00D24A7B" w:rsidP="00D24A7B">
      <w:pPr>
        <w:rPr>
          <w:lang w:val="pt-BR"/>
        </w:rPr>
      </w:pPr>
    </w:p>
    <w:p w14:paraId="2E799F12" w14:textId="77777777" w:rsidR="00D24A7B" w:rsidRPr="006F0805" w:rsidRDefault="00D24A7B" w:rsidP="00770D60">
      <w:pPr>
        <w:pStyle w:val="Antrat2"/>
        <w:keepNext w:val="0"/>
        <w:tabs>
          <w:tab w:val="left" w:pos="567"/>
        </w:tabs>
        <w:ind w:left="567" w:hanging="567"/>
        <w:rPr>
          <w:rFonts w:ascii="Times New Roman" w:hAnsi="Times New Roman"/>
        </w:rPr>
      </w:pPr>
      <w:r w:rsidRPr="006F0805">
        <w:rPr>
          <w:rFonts w:ascii="Times New Roman" w:hAnsi="Times New Roman"/>
        </w:rPr>
        <w:t>4.1</w:t>
      </w:r>
      <w:r w:rsidRPr="006F0805">
        <w:rPr>
          <w:rFonts w:ascii="Times New Roman" w:hAnsi="Times New Roman"/>
        </w:rPr>
        <w:tab/>
        <w:t>Terapinės indikacijos</w:t>
      </w:r>
    </w:p>
    <w:p w14:paraId="0AD84EA2" w14:textId="77777777" w:rsidR="00D24A7B" w:rsidRPr="006F0805" w:rsidRDefault="00D24A7B" w:rsidP="00D24A7B">
      <w:pPr>
        <w:rPr>
          <w:lang w:val="pt-BR"/>
        </w:rPr>
      </w:pPr>
    </w:p>
    <w:p w14:paraId="274D4F35" w14:textId="77777777" w:rsidR="00D24A7B" w:rsidRPr="006F0805" w:rsidRDefault="00D24A7B" w:rsidP="00D24A7B">
      <w:pPr>
        <w:rPr>
          <w:lang w:val="pt-BR"/>
        </w:rPr>
      </w:pPr>
      <w:r w:rsidRPr="006F0805">
        <w:rPr>
          <w:lang w:val="pt-BR"/>
        </w:rPr>
        <w:t xml:space="preserve">Neupogen </w:t>
      </w:r>
      <w:r w:rsidR="007207A4">
        <w:rPr>
          <w:lang w:val="pt-BR"/>
        </w:rPr>
        <w:t>skirtas</w:t>
      </w:r>
      <w:r w:rsidRPr="006F0805">
        <w:rPr>
          <w:lang w:val="pt-BR"/>
        </w:rPr>
        <w:t xml:space="preserve"> citotoksiniais chemoterapiniais vaistiniais preparatais gydomų onkologinių </w:t>
      </w:r>
      <w:r w:rsidR="007207A4">
        <w:rPr>
          <w:lang w:val="pt-BR"/>
        </w:rPr>
        <w:t>pacientų</w:t>
      </w:r>
      <w:r w:rsidRPr="006F0805">
        <w:rPr>
          <w:lang w:val="pt-BR"/>
        </w:rPr>
        <w:t xml:space="preserve"> (išskyrus sergančius lėtine mielo</w:t>
      </w:r>
      <w:r w:rsidR="007207A4">
        <w:rPr>
          <w:lang w:val="pt-BR"/>
        </w:rPr>
        <w:t xml:space="preserve">idine </w:t>
      </w:r>
      <w:r w:rsidRPr="006F0805">
        <w:rPr>
          <w:lang w:val="pt-BR"/>
        </w:rPr>
        <w:t xml:space="preserve">leukemija ir mielodisplaziniais sindromais) neutropenijos trukmei ir febrilinės neutropenijos dažniui sumažinti, taip pat </w:t>
      </w:r>
      <w:r w:rsidR="007207A4">
        <w:rPr>
          <w:lang w:val="pt-BR"/>
        </w:rPr>
        <w:t>pacientų</w:t>
      </w:r>
      <w:r w:rsidRPr="006F0805">
        <w:rPr>
          <w:lang w:val="pt-BR"/>
        </w:rPr>
        <w:t xml:space="preserve">, kuriems po mieloabliacinio gydymo ir kaulų čiulpų transplantacijos gresia ilgalaikė sunki neutropenija, neutropenijos trukmei sumažinti. </w:t>
      </w:r>
    </w:p>
    <w:p w14:paraId="5BE45A20" w14:textId="77777777" w:rsidR="00D24A7B" w:rsidRPr="006F0805" w:rsidRDefault="00D24A7B" w:rsidP="00D24A7B">
      <w:pPr>
        <w:rPr>
          <w:lang w:val="pt-BR"/>
        </w:rPr>
      </w:pPr>
    </w:p>
    <w:p w14:paraId="62626E77" w14:textId="77777777" w:rsidR="00D24A7B" w:rsidRPr="006F0805" w:rsidRDefault="00D24A7B" w:rsidP="00D24A7B">
      <w:pPr>
        <w:rPr>
          <w:lang w:val="pt-BR"/>
        </w:rPr>
      </w:pPr>
      <w:r w:rsidRPr="006F0805">
        <w:rPr>
          <w:lang w:val="pt-BR"/>
        </w:rPr>
        <w:t xml:space="preserve">Neupogen saugumas ir veiksmingumas yra </w:t>
      </w:r>
      <w:r w:rsidR="006807EF">
        <w:rPr>
          <w:lang w:val="pt-BR"/>
        </w:rPr>
        <w:t>panašus</w:t>
      </w:r>
      <w:r w:rsidR="006807EF" w:rsidRPr="006F0805">
        <w:rPr>
          <w:lang w:val="pt-BR"/>
        </w:rPr>
        <w:t xml:space="preserve"> </w:t>
      </w:r>
      <w:r w:rsidRPr="006F0805">
        <w:rPr>
          <w:lang w:val="pt-BR"/>
        </w:rPr>
        <w:t xml:space="preserve">ir suaugusiesiems, ir vaikams, kuriems taikomas citotoksinis chemoterapinis gydymas. </w:t>
      </w:r>
    </w:p>
    <w:p w14:paraId="7534BA32" w14:textId="77777777" w:rsidR="00D24A7B" w:rsidRPr="006F0805" w:rsidRDefault="00D24A7B" w:rsidP="00D24A7B">
      <w:pPr>
        <w:rPr>
          <w:lang w:val="pt-BR"/>
        </w:rPr>
      </w:pPr>
    </w:p>
    <w:p w14:paraId="02D810BF" w14:textId="77777777" w:rsidR="00D24A7B" w:rsidRPr="006F0805" w:rsidRDefault="00D24A7B" w:rsidP="00D24A7B">
      <w:pPr>
        <w:rPr>
          <w:lang w:val="pt-BR"/>
        </w:rPr>
      </w:pPr>
      <w:r w:rsidRPr="006F0805">
        <w:rPr>
          <w:lang w:val="pt-BR"/>
        </w:rPr>
        <w:t>Neupogen skir</w:t>
      </w:r>
      <w:r w:rsidR="007207A4">
        <w:rPr>
          <w:lang w:val="pt-BR"/>
        </w:rPr>
        <w:t>tas</w:t>
      </w:r>
      <w:r w:rsidRPr="006F0805">
        <w:rPr>
          <w:lang w:val="pt-BR"/>
        </w:rPr>
        <w:t xml:space="preserve"> periferinio kraujo kamieninių ląstelių (PKKL) mobilizacijai.</w:t>
      </w:r>
    </w:p>
    <w:p w14:paraId="3607172D" w14:textId="77777777" w:rsidR="00D24A7B" w:rsidRPr="006F0805" w:rsidRDefault="00D24A7B" w:rsidP="00D24A7B">
      <w:pPr>
        <w:rPr>
          <w:lang w:val="pt-BR"/>
        </w:rPr>
      </w:pPr>
    </w:p>
    <w:p w14:paraId="4910DE22" w14:textId="77777777" w:rsidR="00D24A7B" w:rsidRPr="006F0805" w:rsidRDefault="00D24A7B" w:rsidP="00D24A7B">
      <w:pPr>
        <w:rPr>
          <w:lang w:val="pt-BR"/>
        </w:rPr>
      </w:pPr>
      <w:r w:rsidRPr="006F0805">
        <w:rPr>
          <w:lang w:val="pt-BR"/>
        </w:rPr>
        <w:t>Vaikams ar suaugusie</w:t>
      </w:r>
      <w:r w:rsidR="007207A4">
        <w:rPr>
          <w:lang w:val="pt-BR"/>
        </w:rPr>
        <w:t>sie</w:t>
      </w:r>
      <w:r w:rsidRPr="006F0805">
        <w:rPr>
          <w:lang w:val="pt-BR"/>
        </w:rPr>
        <w:t xml:space="preserve">ms, kuriems yra sunki įgimta, ciklinė arba idiopatinė neutropenija, kai absoliutus neutrofilų skaičius yra </w:t>
      </w:r>
      <w:r w:rsidR="002F5E3A">
        <w:t>≤</w:t>
      </w:r>
      <w:r w:rsidRPr="006F0805">
        <w:rPr>
          <w:lang w:val="pt-BR"/>
        </w:rPr>
        <w:t> 0,5 x 10</w:t>
      </w:r>
      <w:r w:rsidRPr="006F0805">
        <w:rPr>
          <w:vertAlign w:val="superscript"/>
          <w:lang w:val="pt-BR"/>
        </w:rPr>
        <w:t>9</w:t>
      </w:r>
      <w:r w:rsidRPr="006F0805">
        <w:rPr>
          <w:lang w:val="pt-BR"/>
        </w:rPr>
        <w:t xml:space="preserve">/l, ir buvo sunkių arba pasikartojančių infekcijų, Neupogen </w:t>
      </w:r>
      <w:r w:rsidR="007207A4">
        <w:rPr>
          <w:lang w:val="pt-BR"/>
        </w:rPr>
        <w:t>skiriama</w:t>
      </w:r>
      <w:r w:rsidRPr="006F0805">
        <w:rPr>
          <w:lang w:val="pt-BR"/>
        </w:rPr>
        <w:t xml:space="preserve"> vartoti ilgai neutrofilų skaičiui padidinti ir su infekcijomis susijusių reiškinių dažniui ir trukmei sumažinti.</w:t>
      </w:r>
    </w:p>
    <w:p w14:paraId="2726A574" w14:textId="77777777" w:rsidR="00D24A7B" w:rsidRPr="006F0805" w:rsidRDefault="00D24A7B" w:rsidP="00D24A7B">
      <w:pPr>
        <w:rPr>
          <w:lang w:val="pt-BR"/>
        </w:rPr>
      </w:pPr>
    </w:p>
    <w:p w14:paraId="10A62A96" w14:textId="77777777" w:rsidR="00D24A7B" w:rsidRDefault="00D24A7B" w:rsidP="00D24A7B">
      <w:pPr>
        <w:rPr>
          <w:lang w:val="pt-BR"/>
        </w:rPr>
      </w:pPr>
      <w:r w:rsidRPr="006F0805">
        <w:rPr>
          <w:lang w:val="pt-BR"/>
        </w:rPr>
        <w:t>Neupogen skir</w:t>
      </w:r>
      <w:r w:rsidR="007207A4">
        <w:rPr>
          <w:lang w:val="pt-BR"/>
        </w:rPr>
        <w:t>tas</w:t>
      </w:r>
      <w:r w:rsidRPr="006F0805">
        <w:rPr>
          <w:lang w:val="pt-BR"/>
        </w:rPr>
        <w:t xml:space="preserve"> pacientų, kuriems yra progresavusi ŽIV infekcija, persistuojančiai neutropenijai (absoliutus neutrofilų skaičius </w:t>
      </w:r>
      <w:r w:rsidR="002F5E3A">
        <w:t>≤</w:t>
      </w:r>
      <w:r w:rsidRPr="006F0805">
        <w:rPr>
          <w:lang w:val="pt-BR"/>
        </w:rPr>
        <w:t> 1,0 x 10</w:t>
      </w:r>
      <w:r w:rsidRPr="006F0805">
        <w:rPr>
          <w:vertAlign w:val="superscript"/>
          <w:lang w:val="pt-BR"/>
        </w:rPr>
        <w:t>9</w:t>
      </w:r>
      <w:r w:rsidRPr="006F0805">
        <w:rPr>
          <w:lang w:val="pt-BR"/>
        </w:rPr>
        <w:t>/l) gydyti, siekiant sumažinti bakterinių infekcijų riziką, kai kitos priemonės neutropenijai kontroliuoti netinka.</w:t>
      </w:r>
    </w:p>
    <w:p w14:paraId="51BC6EFE" w14:textId="77777777" w:rsidR="00E704F0" w:rsidRPr="006F0805" w:rsidRDefault="00E704F0" w:rsidP="00D24A7B">
      <w:pPr>
        <w:rPr>
          <w:lang w:val="pt-BR"/>
        </w:rPr>
      </w:pPr>
    </w:p>
    <w:p w14:paraId="44FAF072" w14:textId="77777777" w:rsidR="00D24A7B" w:rsidRPr="006F0805" w:rsidRDefault="00D24A7B" w:rsidP="00770D60">
      <w:pPr>
        <w:pStyle w:val="Antrat2"/>
        <w:tabs>
          <w:tab w:val="left" w:pos="567"/>
        </w:tabs>
        <w:ind w:left="567" w:hanging="567"/>
      </w:pPr>
      <w:r w:rsidRPr="006F0805">
        <w:lastRenderedPageBreak/>
        <w:t>4.2</w:t>
      </w:r>
      <w:r w:rsidRPr="006F0805">
        <w:tab/>
        <w:t xml:space="preserve">Dozavimas ir vartojimo metodas </w:t>
      </w:r>
    </w:p>
    <w:p w14:paraId="69E72E03" w14:textId="77777777" w:rsidR="00AB0D0C" w:rsidRPr="002D197C" w:rsidRDefault="00AB0D0C" w:rsidP="002D197C">
      <w:pPr>
        <w:keepNext/>
      </w:pPr>
    </w:p>
    <w:p w14:paraId="64DD18CE" w14:textId="77777777" w:rsidR="00213DF5" w:rsidRPr="002D197C" w:rsidRDefault="00213DF5" w:rsidP="002D197C">
      <w:r w:rsidRPr="002D197C">
        <w:t>Gydymas Neupogen turi būti taikomas tik bendradarbiaujant su onkologijos centru, kuriame dirbantys gydytojai turi patirties gydant G</w:t>
      </w:r>
      <w:r w:rsidRPr="002D197C">
        <w:noBreakHyphen/>
        <w:t>KSF bei hematologijos srityje, taip pat yra būtina diagnostinė įranga. Mobilizacijos ir aferezės procedūros turi būti atliekamos bendradarbiaujant su onkologijos</w:t>
      </w:r>
      <w:r w:rsidRPr="002D197C">
        <w:noBreakHyphen/>
        <w:t>hematologijos centru, kurio specialistai turi pakankamai patirties šioje srityje ir kur gali būti tinkamai stebimos hemopoezinės kamieninės kraujo ląstelės.</w:t>
      </w:r>
    </w:p>
    <w:p w14:paraId="110D905F" w14:textId="77777777" w:rsidR="00213DF5" w:rsidRPr="00561A49" w:rsidRDefault="00213DF5" w:rsidP="00621D88">
      <w:pPr>
        <w:pStyle w:val="Antrat3"/>
      </w:pPr>
    </w:p>
    <w:p w14:paraId="506857D0" w14:textId="77777777" w:rsidR="00213DF5" w:rsidRPr="00CF7C4C" w:rsidRDefault="00213DF5" w:rsidP="00415E3F">
      <w:pPr>
        <w:pStyle w:val="Antrat3"/>
      </w:pPr>
      <w:r w:rsidRPr="00CF7C4C">
        <w:t>Standartinė citotoksinė chemoterapija</w:t>
      </w:r>
    </w:p>
    <w:p w14:paraId="4DFDB575" w14:textId="77777777" w:rsidR="00213DF5" w:rsidRPr="00561A49" w:rsidRDefault="00213DF5" w:rsidP="00213DF5">
      <w:pPr>
        <w:keepNext/>
        <w:keepLines/>
        <w:rPr>
          <w:lang w:val="pt-BR"/>
        </w:rPr>
      </w:pPr>
    </w:p>
    <w:p w14:paraId="19271CC0" w14:textId="77777777" w:rsidR="00213DF5" w:rsidRPr="00561A49" w:rsidRDefault="00213DF5" w:rsidP="00213DF5">
      <w:pPr>
        <w:keepNext/>
        <w:keepLines/>
        <w:rPr>
          <w:i/>
          <w:lang w:val="pt-BR"/>
        </w:rPr>
      </w:pPr>
      <w:r w:rsidRPr="00561A49">
        <w:rPr>
          <w:i/>
          <w:lang w:val="pt-BR"/>
        </w:rPr>
        <w:t>Dozavimas</w:t>
      </w:r>
    </w:p>
    <w:p w14:paraId="0C86C406" w14:textId="77777777" w:rsidR="00213DF5" w:rsidRPr="00561A49" w:rsidRDefault="00213DF5" w:rsidP="00213DF5">
      <w:pPr>
        <w:rPr>
          <w:lang w:val="pt-BR"/>
        </w:rPr>
      </w:pPr>
    </w:p>
    <w:p w14:paraId="291ADE97" w14:textId="77777777" w:rsidR="00213DF5" w:rsidRPr="00561A49" w:rsidRDefault="00213DF5" w:rsidP="00213DF5">
      <w:pPr>
        <w:rPr>
          <w:lang w:val="pt-BR"/>
        </w:rPr>
      </w:pPr>
      <w:r w:rsidRPr="00561A49">
        <w:rPr>
          <w:lang w:val="pt-BR"/>
        </w:rPr>
        <w:t>Rekomenduojama Neupogen dozė yra 0,5</w:t>
      </w:r>
      <w:r>
        <w:rPr>
          <w:lang w:val="pt-BR"/>
        </w:rPr>
        <w:t> </w:t>
      </w:r>
      <w:r w:rsidRPr="00561A49">
        <w:rPr>
          <w:lang w:val="pt-BR"/>
        </w:rPr>
        <w:t>milijono vienetų (5</w:t>
      </w:r>
      <w:r>
        <w:rPr>
          <w:lang w:val="pt-BR"/>
        </w:rPr>
        <w:t> </w:t>
      </w:r>
      <w:r w:rsidRPr="00561A49">
        <w:rPr>
          <w:lang w:val="pt-BR"/>
        </w:rPr>
        <w:t>µg)/kg kūno svorio per parą. Pirmąją Neupogen doz</w:t>
      </w:r>
      <w:r>
        <w:rPr>
          <w:lang w:val="pt-BR"/>
        </w:rPr>
        <w:t>ę vartoti praėjus mažiausiai 24 </w:t>
      </w:r>
      <w:r w:rsidRPr="00561A49">
        <w:rPr>
          <w:lang w:val="pt-BR"/>
        </w:rPr>
        <w:t>valandoms po citotoksinės chemoterapijos. Randomizuotų klinikinių tyrimų metu į poodį buvo vartojama 230 </w:t>
      </w:r>
      <w:r w:rsidRPr="00561A49">
        <w:sym w:font="Symbol" w:char="F06D"/>
      </w:r>
      <w:r w:rsidRPr="00561A49">
        <w:rPr>
          <w:lang w:val="pt-BR"/>
        </w:rPr>
        <w:t>g/m</w:t>
      </w:r>
      <w:r w:rsidRPr="00561A49">
        <w:rPr>
          <w:vertAlign w:val="superscript"/>
          <w:lang w:val="pt-BR"/>
        </w:rPr>
        <w:t>2</w:t>
      </w:r>
      <w:r w:rsidRPr="00561A49">
        <w:rPr>
          <w:lang w:val="pt-BR"/>
        </w:rPr>
        <w:t>/per parą dozė (nuo 4,0 iki 8,4 </w:t>
      </w:r>
      <w:r w:rsidRPr="00561A49">
        <w:sym w:font="Symbol" w:char="F06D"/>
      </w:r>
      <w:r w:rsidRPr="00561A49">
        <w:rPr>
          <w:lang w:val="pt-BR"/>
        </w:rPr>
        <w:t xml:space="preserve">g/kg/per parą). </w:t>
      </w:r>
    </w:p>
    <w:p w14:paraId="06DA1A7B" w14:textId="77777777" w:rsidR="00213DF5" w:rsidRPr="00561A49" w:rsidRDefault="00213DF5" w:rsidP="00213DF5">
      <w:pPr>
        <w:rPr>
          <w:lang w:val="pt-BR"/>
        </w:rPr>
      </w:pPr>
    </w:p>
    <w:p w14:paraId="78368911" w14:textId="77777777" w:rsidR="00213DF5" w:rsidRPr="00561A49" w:rsidRDefault="00213DF5" w:rsidP="00213DF5">
      <w:pPr>
        <w:rPr>
          <w:lang w:val="pt-BR"/>
        </w:rPr>
      </w:pPr>
      <w:r w:rsidRPr="00561A49">
        <w:rPr>
          <w:lang w:val="pt-BR"/>
        </w:rPr>
        <w:t>Neupogen reikia vartoti kasdien tol, kol praeis neutrofilų nadyras ir jų skaičius vėl taps normalus. Tikėtina, kad</w:t>
      </w:r>
      <w:r w:rsidRPr="00561A49" w:rsidDel="001F4E99">
        <w:rPr>
          <w:lang w:val="pt-BR"/>
        </w:rPr>
        <w:t xml:space="preserve"> </w:t>
      </w:r>
      <w:r w:rsidRPr="00561A49">
        <w:rPr>
          <w:lang w:val="pt-BR"/>
        </w:rPr>
        <w:t xml:space="preserve">po nustatytos solidinių navikų, limfomų bei limfoidinės leukemijos chemoterapijos, šie kriterijai bus pasiekti per </w:t>
      </w:r>
      <w:r w:rsidRPr="00561A49">
        <w:sym w:font="Symbol" w:char="F031"/>
      </w:r>
      <w:r w:rsidRPr="00561A49">
        <w:sym w:font="Symbol" w:char="F034"/>
      </w:r>
      <w:r w:rsidRPr="00561A49">
        <w:rPr>
          <w:lang w:val="pt-BR"/>
        </w:rPr>
        <w:t xml:space="preserve"> dienų. Po indukcinio ir konsolidacinio ūminės mieloidinės leukemijos gydymo, gydyti šiuo vaistiniu preparatu gali tekti daug ilgiau (iki </w:t>
      </w:r>
      <w:r w:rsidRPr="00561A49">
        <w:sym w:font="Symbol" w:char="F033"/>
      </w:r>
      <w:r w:rsidRPr="00561A49">
        <w:sym w:font="Symbol" w:char="F038"/>
      </w:r>
      <w:r>
        <w:rPr>
          <w:lang w:val="pt-BR"/>
        </w:rPr>
        <w:t> </w:t>
      </w:r>
      <w:r w:rsidRPr="00561A49">
        <w:rPr>
          <w:lang w:val="pt-BR"/>
        </w:rPr>
        <w:t>dienų), atsižvelgiant į vartotos citotoksinės chemoterapijos pobūdį, dozę ir schemą.</w:t>
      </w:r>
    </w:p>
    <w:p w14:paraId="5F354DB4" w14:textId="77777777" w:rsidR="00213DF5" w:rsidRPr="00561A49" w:rsidRDefault="00213DF5" w:rsidP="00213DF5">
      <w:pPr>
        <w:rPr>
          <w:lang w:val="pt-BR"/>
        </w:rPr>
      </w:pPr>
    </w:p>
    <w:p w14:paraId="1AF2EE66" w14:textId="77777777" w:rsidR="00213DF5" w:rsidRPr="00561A49" w:rsidRDefault="00213DF5" w:rsidP="00213DF5">
      <w:pPr>
        <w:rPr>
          <w:lang w:val="pt-BR"/>
        </w:rPr>
      </w:pPr>
      <w:r w:rsidRPr="00561A49">
        <w:rPr>
          <w:lang w:val="pt-BR"/>
        </w:rPr>
        <w:t xml:space="preserve">Pacientams, gaunantiems citotoksinę chemoterapiją, laikinas neutrofilų skaičiaus padidėjimas paprastai stebimas praėjus 1 – 2 dienoms, pradėjus gydymą Neupogen. Vis dėlto, norint pasiekti ilgalaikį atsaką, gydymo Neupogen negalima nutraukti, kol nepraeis nadyras ir neutrofilų skaičius vėl taps normalus. Nerekomenduojama per anksti nutraukti gydymą Neupogen, nesulaukus tikėtino neutrofilų nadyro. </w:t>
      </w:r>
    </w:p>
    <w:p w14:paraId="74B08A21" w14:textId="77777777" w:rsidR="00213DF5" w:rsidRPr="00561A49" w:rsidRDefault="00213DF5" w:rsidP="00213DF5">
      <w:pPr>
        <w:rPr>
          <w:lang w:val="pt-BR"/>
        </w:rPr>
      </w:pPr>
    </w:p>
    <w:p w14:paraId="33B01457" w14:textId="77777777" w:rsidR="00213DF5" w:rsidRPr="00561A49" w:rsidRDefault="00213DF5" w:rsidP="00213DF5">
      <w:pPr>
        <w:rPr>
          <w:i/>
          <w:lang w:val="pt-BR"/>
        </w:rPr>
      </w:pPr>
      <w:r w:rsidRPr="00561A49">
        <w:rPr>
          <w:i/>
          <w:lang w:val="pt-BR"/>
        </w:rPr>
        <w:t>Vartojimo metodas</w:t>
      </w:r>
    </w:p>
    <w:p w14:paraId="05092D4B" w14:textId="77777777" w:rsidR="00213DF5" w:rsidRPr="00561A49" w:rsidRDefault="00213DF5" w:rsidP="00213DF5">
      <w:pPr>
        <w:rPr>
          <w:lang w:val="pt-BR"/>
        </w:rPr>
      </w:pPr>
    </w:p>
    <w:p w14:paraId="4C1B4800" w14:textId="77777777" w:rsidR="00213DF5" w:rsidRPr="00561A49" w:rsidRDefault="00213DF5" w:rsidP="00213DF5">
      <w:pPr>
        <w:rPr>
          <w:lang w:val="pt-BR"/>
        </w:rPr>
      </w:pPr>
      <w:r w:rsidRPr="00561A49">
        <w:rPr>
          <w:lang w:val="pt-BR"/>
        </w:rPr>
        <w:t>Neupogen galima vartoti kasdien injekcija po oda arba kasdien 30 minučių infuzija į veną, praskiedus 5</w:t>
      </w:r>
      <w:r w:rsidRPr="00561A49">
        <w:sym w:font="Symbol" w:char="F025"/>
      </w:r>
      <w:r w:rsidRPr="00561A49">
        <w:rPr>
          <w:lang w:val="pt-BR"/>
        </w:rPr>
        <w:t xml:space="preserve"> gliukozės tirpalu (žr. 6.6 skyrių). Daugeliu atvejų geriausia vaistinį preparatą švirkšti po oda. Vienkartinės dozės tyrimų rezultatai rodo, kad į veną vartojamas vaistinis preparatas gali veikti trumpiau. Klinikinė šio radinio reikšmė, skiriant kartotines dozes, neaiški. Vartojimo būdo pasirinkimas priklauso nuo individualių klinikinių aplinkybių.</w:t>
      </w:r>
    </w:p>
    <w:p w14:paraId="4DA5F2DA" w14:textId="77777777" w:rsidR="00213DF5" w:rsidRPr="00561A49" w:rsidRDefault="00213DF5" w:rsidP="00213DF5">
      <w:pPr>
        <w:rPr>
          <w:lang w:val="pt-BR"/>
        </w:rPr>
      </w:pPr>
    </w:p>
    <w:p w14:paraId="726280A4" w14:textId="77777777" w:rsidR="00213DF5" w:rsidRPr="001A3D9A" w:rsidRDefault="00213DF5" w:rsidP="00621D88">
      <w:pPr>
        <w:pStyle w:val="Antrat3"/>
      </w:pPr>
      <w:r w:rsidRPr="00CF7C4C">
        <w:t>Ligoniams, kuriems taikoma mieloabliacinė terapija prieš kaulų čiulpų transplantaciją</w:t>
      </w:r>
    </w:p>
    <w:p w14:paraId="47EDFF8D" w14:textId="77777777" w:rsidR="00213DF5" w:rsidRPr="00561A49" w:rsidRDefault="00213DF5" w:rsidP="00213DF5">
      <w:pPr>
        <w:rPr>
          <w:lang w:val="pt-BR"/>
        </w:rPr>
      </w:pPr>
    </w:p>
    <w:p w14:paraId="10719453" w14:textId="77777777" w:rsidR="00213DF5" w:rsidRPr="00561A49" w:rsidRDefault="00213DF5" w:rsidP="00213DF5">
      <w:pPr>
        <w:keepNext/>
        <w:rPr>
          <w:i/>
          <w:lang w:val="pt-BR"/>
        </w:rPr>
      </w:pPr>
      <w:r w:rsidRPr="00561A49">
        <w:rPr>
          <w:i/>
          <w:lang w:val="pt-BR"/>
        </w:rPr>
        <w:t>Dozavimas</w:t>
      </w:r>
    </w:p>
    <w:p w14:paraId="7053EE4B" w14:textId="77777777" w:rsidR="00213DF5" w:rsidRPr="00561A49" w:rsidRDefault="00213DF5" w:rsidP="00213DF5">
      <w:pPr>
        <w:rPr>
          <w:lang w:val="pt-BR"/>
        </w:rPr>
      </w:pPr>
    </w:p>
    <w:p w14:paraId="5EE9B1A6" w14:textId="77777777" w:rsidR="00213DF5" w:rsidRPr="00561A49" w:rsidRDefault="00213DF5" w:rsidP="00213DF5">
      <w:pPr>
        <w:rPr>
          <w:lang w:val="pt-BR"/>
        </w:rPr>
      </w:pPr>
      <w:r w:rsidRPr="00561A49">
        <w:rPr>
          <w:lang w:val="pt-BR"/>
        </w:rPr>
        <w:t xml:space="preserve">Rekomenduojama pradinė Neupogen dozė yra 1,0 milijonas vienetų (10 µg)/kg kūno masės per parą. </w:t>
      </w:r>
    </w:p>
    <w:p w14:paraId="465117A1" w14:textId="77777777" w:rsidR="00213DF5" w:rsidRPr="00561A49" w:rsidRDefault="00213DF5" w:rsidP="00213DF5">
      <w:pPr>
        <w:rPr>
          <w:lang w:val="pt-BR"/>
        </w:rPr>
      </w:pPr>
      <w:r w:rsidRPr="00561A49">
        <w:rPr>
          <w:lang w:val="pt-BR"/>
        </w:rPr>
        <w:t>Pirmąją Neupogen dozę reikia</w:t>
      </w:r>
      <w:r w:rsidRPr="00561A49">
        <w:t xml:space="preserve"> </w:t>
      </w:r>
      <w:r w:rsidRPr="00561A49">
        <w:rPr>
          <w:lang w:val="pt-BR"/>
        </w:rPr>
        <w:t>vartoti praėjus mažiausiai 24</w:t>
      </w:r>
      <w:r>
        <w:rPr>
          <w:lang w:val="pt-BR"/>
        </w:rPr>
        <w:t> </w:t>
      </w:r>
      <w:r w:rsidRPr="00561A49">
        <w:rPr>
          <w:lang w:val="pt-BR"/>
        </w:rPr>
        <w:t xml:space="preserve">valandoms po citotoksinės </w:t>
      </w:r>
      <w:r>
        <w:rPr>
          <w:lang w:val="pt-BR"/>
        </w:rPr>
        <w:t>chemoterapijos ir mažiausiai 24 </w:t>
      </w:r>
      <w:r w:rsidRPr="00561A49">
        <w:rPr>
          <w:lang w:val="pt-BR"/>
        </w:rPr>
        <w:t xml:space="preserve">valandoms po kaulų čiulpų infuzijos. </w:t>
      </w:r>
    </w:p>
    <w:p w14:paraId="30044BAA" w14:textId="77777777" w:rsidR="00213DF5" w:rsidRPr="00561A49" w:rsidRDefault="00213DF5" w:rsidP="00213DF5">
      <w:pPr>
        <w:rPr>
          <w:lang w:val="pt-BR"/>
        </w:rPr>
      </w:pPr>
    </w:p>
    <w:p w14:paraId="2FD779DF" w14:textId="77777777" w:rsidR="00213DF5" w:rsidRPr="00561A49" w:rsidRDefault="00213DF5" w:rsidP="00213DF5">
      <w:pPr>
        <w:rPr>
          <w:lang w:val="pt-BR"/>
        </w:rPr>
      </w:pPr>
      <w:r w:rsidRPr="00561A49">
        <w:rPr>
          <w:lang w:val="pt-BR"/>
        </w:rPr>
        <w:t>Kai tik neutrofilų skaičius pakyla virš žemiausio lygio, Neupogen paros dozė nustatoma atsižvelgiant į neutrofilų atsaką:</w:t>
      </w:r>
    </w:p>
    <w:p w14:paraId="786B33EE" w14:textId="77777777" w:rsidR="00213DF5" w:rsidRPr="009A7820" w:rsidRDefault="00213DF5" w:rsidP="00213DF5">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7"/>
        <w:gridCol w:w="4757"/>
      </w:tblGrid>
      <w:tr w:rsidR="00213DF5" w:rsidRPr="009A7820" w14:paraId="579BCCB5" w14:textId="77777777" w:rsidTr="008A6822">
        <w:tc>
          <w:tcPr>
            <w:tcW w:w="4757" w:type="dxa"/>
          </w:tcPr>
          <w:p w14:paraId="43B41C16" w14:textId="77777777" w:rsidR="00213DF5" w:rsidRPr="009A7820" w:rsidRDefault="00213DF5" w:rsidP="004321E6">
            <w:r w:rsidRPr="009A7820">
              <w:t>Neutrofilų skaičius</w:t>
            </w:r>
          </w:p>
        </w:tc>
        <w:tc>
          <w:tcPr>
            <w:tcW w:w="4757" w:type="dxa"/>
          </w:tcPr>
          <w:p w14:paraId="6FA63DBF" w14:textId="77777777" w:rsidR="00213DF5" w:rsidRPr="009A7820" w:rsidRDefault="00213DF5" w:rsidP="004321E6">
            <w:r w:rsidRPr="009A7820">
              <w:t>Neupogen dozės parinkimas</w:t>
            </w:r>
          </w:p>
        </w:tc>
      </w:tr>
      <w:tr w:rsidR="00213DF5" w:rsidRPr="009A7820" w14:paraId="3B552D7C" w14:textId="77777777" w:rsidTr="008A6822">
        <w:tc>
          <w:tcPr>
            <w:tcW w:w="4757" w:type="dxa"/>
          </w:tcPr>
          <w:p w14:paraId="0F093391" w14:textId="77777777" w:rsidR="00213DF5" w:rsidRPr="009A7820" w:rsidRDefault="00213DF5" w:rsidP="004321E6">
            <w:pPr>
              <w:rPr>
                <w:lang w:val="pt-BR"/>
              </w:rPr>
            </w:pPr>
            <w:r w:rsidRPr="009A7820">
              <w:rPr>
                <w:lang w:val="pt-BR"/>
              </w:rPr>
              <w:t>&gt; 1,0 x 10</w:t>
            </w:r>
            <w:r w:rsidRPr="009A7820">
              <w:rPr>
                <w:vertAlign w:val="superscript"/>
                <w:lang w:val="pt-BR"/>
              </w:rPr>
              <w:t>9</w:t>
            </w:r>
            <w:r w:rsidRPr="009A7820">
              <w:rPr>
                <w:lang w:val="pt-BR"/>
              </w:rPr>
              <w:t>/l tris dienas iš eilės</w:t>
            </w:r>
          </w:p>
        </w:tc>
        <w:tc>
          <w:tcPr>
            <w:tcW w:w="4757" w:type="dxa"/>
          </w:tcPr>
          <w:p w14:paraId="6F0C0628" w14:textId="77777777" w:rsidR="00213DF5" w:rsidRPr="009A7820" w:rsidRDefault="00213DF5" w:rsidP="004321E6">
            <w:r w:rsidRPr="009A7820">
              <w:t xml:space="preserve">Sumažinti iki </w:t>
            </w:r>
            <w:r w:rsidRPr="009A7820">
              <w:sym w:font="Times New Roman" w:char="0030"/>
            </w:r>
            <w:r w:rsidRPr="009A7820">
              <w:t>,</w:t>
            </w:r>
            <w:r w:rsidRPr="009A7820">
              <w:sym w:font="Symbol" w:char="F035"/>
            </w:r>
            <w:r w:rsidRPr="009A7820">
              <w:t> milijono vienetų</w:t>
            </w:r>
            <w:r>
              <w:t xml:space="preserve"> </w:t>
            </w:r>
            <w:r w:rsidRPr="00561A49">
              <w:t>(</w:t>
            </w:r>
            <w:r w:rsidRPr="00561A49">
              <w:rPr>
                <w:noProof w:val="0"/>
              </w:rPr>
              <w:t>5 </w:t>
            </w:r>
            <w:r w:rsidRPr="00561A49">
              <w:rPr>
                <w:noProof w:val="0"/>
              </w:rPr>
              <w:sym w:font="Symbol" w:char="F06D"/>
            </w:r>
            <w:r w:rsidRPr="00561A49">
              <w:rPr>
                <w:noProof w:val="0"/>
              </w:rPr>
              <w:t>g</w:t>
            </w:r>
            <w:r w:rsidRPr="00561A49">
              <w:t>)</w:t>
            </w:r>
            <w:r w:rsidRPr="009A7820">
              <w:t>/kg per parą</w:t>
            </w:r>
          </w:p>
        </w:tc>
      </w:tr>
      <w:tr w:rsidR="00213DF5" w:rsidRPr="009A7820" w14:paraId="30F23213" w14:textId="77777777" w:rsidTr="008A6822">
        <w:tc>
          <w:tcPr>
            <w:tcW w:w="4757" w:type="dxa"/>
          </w:tcPr>
          <w:p w14:paraId="4DBEB8C0" w14:textId="77777777" w:rsidR="00213DF5" w:rsidRPr="009A7820" w:rsidRDefault="00213DF5" w:rsidP="004321E6">
            <w:pPr>
              <w:rPr>
                <w:lang w:val="pl-PL"/>
              </w:rPr>
            </w:pPr>
            <w:r w:rsidRPr="009A7820">
              <w:rPr>
                <w:lang w:val="pl-PL"/>
              </w:rPr>
              <w:t>Po to, jei ANS išlieka &gt; 1,0 x 10</w:t>
            </w:r>
            <w:r w:rsidRPr="009A7820">
              <w:rPr>
                <w:vertAlign w:val="superscript"/>
                <w:lang w:val="pl-PL"/>
              </w:rPr>
              <w:t>9</w:t>
            </w:r>
            <w:r w:rsidRPr="009A7820">
              <w:rPr>
                <w:lang w:val="pl-PL"/>
              </w:rPr>
              <w:t>/l dar</w:t>
            </w:r>
          </w:p>
          <w:p w14:paraId="28C27B43" w14:textId="77777777" w:rsidR="00213DF5" w:rsidRPr="009A7820" w:rsidRDefault="00213DF5" w:rsidP="004321E6">
            <w:r w:rsidRPr="009A7820">
              <w:t>tris dienas iš eilės</w:t>
            </w:r>
          </w:p>
        </w:tc>
        <w:tc>
          <w:tcPr>
            <w:tcW w:w="4757" w:type="dxa"/>
          </w:tcPr>
          <w:p w14:paraId="47FF8731" w14:textId="77777777" w:rsidR="00213DF5" w:rsidRPr="009A7820" w:rsidRDefault="00213DF5" w:rsidP="004321E6">
            <w:r w:rsidRPr="009A7820">
              <w:t>Neupogen nebeskirti</w:t>
            </w:r>
          </w:p>
        </w:tc>
      </w:tr>
      <w:tr w:rsidR="00213DF5" w:rsidRPr="009A7820" w14:paraId="505EEB0E" w14:textId="77777777" w:rsidTr="008A6822">
        <w:tc>
          <w:tcPr>
            <w:tcW w:w="9514" w:type="dxa"/>
            <w:gridSpan w:val="2"/>
            <w:tcBorders>
              <w:bottom w:val="single" w:sz="4" w:space="0" w:color="auto"/>
            </w:tcBorders>
          </w:tcPr>
          <w:p w14:paraId="5677E37C" w14:textId="77777777" w:rsidR="00213DF5" w:rsidRPr="009A7820" w:rsidRDefault="00213DF5" w:rsidP="004321E6">
            <w:r w:rsidRPr="009A7820">
              <w:t>Jei gydymo laikotarpiu ANS sumažėja iki &lt; </w:t>
            </w:r>
            <w:r w:rsidRPr="009A7820">
              <w:sym w:font="Symbol" w:char="F031"/>
            </w:r>
            <w:r w:rsidRPr="009A7820">
              <w:t>,</w:t>
            </w:r>
            <w:r w:rsidRPr="009A7820">
              <w:sym w:font="Times New Roman" w:char="0030"/>
            </w:r>
            <w:r w:rsidRPr="009A7820">
              <w:t> x 10</w:t>
            </w:r>
            <w:r w:rsidRPr="009A7820">
              <w:rPr>
                <w:vertAlign w:val="superscript"/>
              </w:rPr>
              <w:t>9</w:t>
            </w:r>
            <w:r w:rsidRPr="009A7820">
              <w:t>/l, Neupogen dozė vėl didinama taip, kaip nurodyta anksčiau.</w:t>
            </w:r>
          </w:p>
        </w:tc>
      </w:tr>
      <w:tr w:rsidR="00213DF5" w:rsidRPr="009642D8" w14:paraId="2C672D90" w14:textId="77777777" w:rsidTr="008A6822">
        <w:tc>
          <w:tcPr>
            <w:tcW w:w="9514" w:type="dxa"/>
            <w:gridSpan w:val="2"/>
            <w:tcBorders>
              <w:left w:val="nil"/>
              <w:bottom w:val="nil"/>
              <w:right w:val="nil"/>
            </w:tcBorders>
          </w:tcPr>
          <w:p w14:paraId="646C5E36" w14:textId="77777777" w:rsidR="00213DF5" w:rsidRPr="009642D8" w:rsidRDefault="00213DF5" w:rsidP="004321E6">
            <w:r w:rsidRPr="009642D8">
              <w:rPr>
                <w:sz w:val="18"/>
              </w:rPr>
              <w:t>ANS – absoliutus neutrofilų skaičius.</w:t>
            </w:r>
          </w:p>
        </w:tc>
      </w:tr>
    </w:tbl>
    <w:p w14:paraId="0D4BAF07" w14:textId="77777777" w:rsidR="00213DF5" w:rsidRPr="009A7820" w:rsidRDefault="00213DF5" w:rsidP="00213DF5"/>
    <w:p w14:paraId="2B865E7C" w14:textId="77777777" w:rsidR="00213DF5" w:rsidRPr="00561A49" w:rsidRDefault="00213DF5" w:rsidP="00E6641A">
      <w:pPr>
        <w:keepNext/>
        <w:rPr>
          <w:i/>
        </w:rPr>
      </w:pPr>
      <w:r w:rsidRPr="00561A49">
        <w:rPr>
          <w:i/>
        </w:rPr>
        <w:lastRenderedPageBreak/>
        <w:t>Vartojimo metodas</w:t>
      </w:r>
    </w:p>
    <w:p w14:paraId="5CE384B3" w14:textId="77777777" w:rsidR="00213DF5" w:rsidRPr="00561A49" w:rsidRDefault="00213DF5" w:rsidP="00E6641A">
      <w:pPr>
        <w:keepNext/>
      </w:pPr>
    </w:p>
    <w:p w14:paraId="1F66B613" w14:textId="77777777" w:rsidR="00213DF5" w:rsidRDefault="00213DF5" w:rsidP="00213DF5">
      <w:pPr>
        <w:rPr>
          <w:lang w:val="pt-BR"/>
        </w:rPr>
      </w:pPr>
      <w:r w:rsidRPr="00561A49">
        <w:rPr>
          <w:lang w:val="pt-BR"/>
        </w:rPr>
        <w:t>Neugogen leidžiamas 30 minučių arba 24 valandų infuzija į veną, arba nuolatine 24 valandų</w:t>
      </w:r>
      <w:r w:rsidRPr="00561A49" w:rsidDel="00786112">
        <w:rPr>
          <w:lang w:val="pt-BR"/>
        </w:rPr>
        <w:t xml:space="preserve"> </w:t>
      </w:r>
      <w:r w:rsidRPr="00561A49">
        <w:rPr>
          <w:lang w:val="pt-BR"/>
        </w:rPr>
        <w:t>infuzija po oda. Neupogen reikia skiesti 20 ml 5% gliukozės tirpalu (žr. 6.6 skyrių).</w:t>
      </w:r>
    </w:p>
    <w:p w14:paraId="4263B1B9" w14:textId="77777777" w:rsidR="00213DF5" w:rsidRPr="00561A49" w:rsidRDefault="00213DF5" w:rsidP="00213DF5"/>
    <w:p w14:paraId="05A5D03D" w14:textId="77777777" w:rsidR="00213DF5" w:rsidRPr="00561A49" w:rsidRDefault="00213DF5" w:rsidP="00621D88">
      <w:pPr>
        <w:pStyle w:val="Antrat3"/>
      </w:pPr>
      <w:r w:rsidRPr="00561A49">
        <w:t>Periferinio kraujo kamieninių ląstelių (PKKL) mobilizacijai pacientams, kuriems taikoma mielosupresinė arba mieloabliacinė terapija ir toliau bus atliekama autologinė periferinio kraujo kamieninių ląstelių transplantacija</w:t>
      </w:r>
    </w:p>
    <w:p w14:paraId="45327952" w14:textId="77777777" w:rsidR="00213DF5" w:rsidRPr="00561A49" w:rsidRDefault="00213DF5" w:rsidP="00213DF5"/>
    <w:p w14:paraId="3C650B5E" w14:textId="77777777" w:rsidR="00213DF5" w:rsidRPr="00561A49" w:rsidRDefault="00213DF5" w:rsidP="00213DF5">
      <w:pPr>
        <w:rPr>
          <w:i/>
        </w:rPr>
      </w:pPr>
      <w:r w:rsidRPr="00561A49">
        <w:rPr>
          <w:i/>
        </w:rPr>
        <w:t>Dozavimas</w:t>
      </w:r>
    </w:p>
    <w:p w14:paraId="0B71E10E" w14:textId="77777777" w:rsidR="00213DF5" w:rsidRPr="00561A49" w:rsidRDefault="00213DF5" w:rsidP="00213DF5"/>
    <w:p w14:paraId="2AD389A3" w14:textId="77777777" w:rsidR="00213DF5" w:rsidRPr="00561A49" w:rsidRDefault="00213DF5" w:rsidP="00213DF5">
      <w:r w:rsidRPr="00561A49">
        <w:t xml:space="preserve">Rekomenduojama Neupogen dozė PKKL mobilizacijai, kai vartojama vieno, yra </w:t>
      </w:r>
      <w:r w:rsidRPr="00561A49">
        <w:sym w:font="Symbol" w:char="F031"/>
      </w:r>
      <w:r w:rsidRPr="00561A49">
        <w:t>,</w:t>
      </w:r>
      <w:r w:rsidRPr="00561A49">
        <w:sym w:font="Times New Roman" w:char="0030"/>
      </w:r>
      <w:r w:rsidRPr="00561A49">
        <w:t> milijonas vienetų (</w:t>
      </w:r>
      <w:r w:rsidRPr="00561A49">
        <w:sym w:font="Symbol" w:char="F031"/>
      </w:r>
      <w:r w:rsidRPr="00561A49">
        <w:sym w:font="Times New Roman" w:char="0030"/>
      </w:r>
      <w:r w:rsidRPr="00561A49">
        <w:t> </w:t>
      </w:r>
      <w:r w:rsidRPr="00561A49">
        <w:sym w:font="Symbol" w:char="F06D"/>
      </w:r>
      <w:r w:rsidRPr="00561A49">
        <w:t>g)/kg per parą 5</w:t>
      </w:r>
      <w:r w:rsidRPr="00561A49">
        <w:noBreakHyphen/>
        <w:t>7 dienas iš eilės. Leukaferezės atlikimo laikas</w:t>
      </w:r>
      <w:r w:rsidRPr="00561A49">
        <w:sym w:font="Symbol" w:char="F03A"/>
      </w:r>
      <w:r w:rsidRPr="00561A49">
        <w:t xml:space="preserve"> dažnai pakanka vienos ar dviejų leukaferezių </w:t>
      </w:r>
      <w:r w:rsidRPr="00561A49">
        <w:sym w:font="Symbol" w:char="F035"/>
      </w:r>
      <w:r w:rsidRPr="00561A49">
        <w:noBreakHyphen/>
        <w:t xml:space="preserve">ąją </w:t>
      </w:r>
      <w:r w:rsidR="006807EF">
        <w:t>ir</w:t>
      </w:r>
      <w:r w:rsidR="006807EF" w:rsidRPr="00561A49">
        <w:t xml:space="preserve"> </w:t>
      </w:r>
      <w:r w:rsidRPr="00561A49">
        <w:sym w:font="Symbol" w:char="F036"/>
      </w:r>
      <w:r w:rsidRPr="00561A49">
        <w:noBreakHyphen/>
        <w:t xml:space="preserve">ąją dieną. Esant kitokioms sąlygoms, gali prireikti papildomos leukaferezės. Neupogen dozavimo nereikia keisti iki paskutinės leukoferezės. </w:t>
      </w:r>
    </w:p>
    <w:p w14:paraId="10540ADC" w14:textId="77777777" w:rsidR="00213DF5" w:rsidRPr="00561A49" w:rsidRDefault="00213DF5" w:rsidP="00213DF5"/>
    <w:p w14:paraId="033148D5" w14:textId="77777777" w:rsidR="00213DF5" w:rsidRPr="00561A49" w:rsidRDefault="00213DF5" w:rsidP="00213DF5">
      <w:r w:rsidRPr="00561A49">
        <w:t xml:space="preserve">Rekomenduojama Neupogen dozė PKKL mobilizacijai po mielosupresinės chemoterapijos yra </w:t>
      </w:r>
      <w:r w:rsidRPr="00561A49">
        <w:sym w:font="Times New Roman" w:char="0030"/>
      </w:r>
      <w:r w:rsidRPr="00561A49">
        <w:t>,5 milijono vienetų (5 </w:t>
      </w:r>
      <w:r w:rsidRPr="00561A49">
        <w:sym w:font="Symbol" w:char="F06D"/>
      </w:r>
      <w:r w:rsidRPr="00561A49">
        <w:t>g)/kg per parą nuo pirmosios dienos po chemoterapijos pabaigos iki tol, kol praeis tikėtinas neutrofilų nadiras ir jų skaičius taps normalus. Leukaferezė turi būti atliekama tuo laikotarpiu, kai ANS didėja nuo &lt; </w:t>
      </w:r>
      <w:r w:rsidRPr="00561A49">
        <w:sym w:font="Times New Roman" w:char="0030"/>
      </w:r>
      <w:r w:rsidRPr="00561A49">
        <w:t>,</w:t>
      </w:r>
      <w:r w:rsidRPr="00561A49">
        <w:sym w:font="Symbol" w:char="F035"/>
      </w:r>
      <w:r w:rsidRPr="00561A49">
        <w:t> x </w:t>
      </w:r>
      <w:r w:rsidRPr="00561A49">
        <w:sym w:font="Symbol" w:char="F031"/>
      </w:r>
      <w:r w:rsidRPr="00561A49">
        <w:sym w:font="Times New Roman" w:char="0030"/>
      </w:r>
      <w:r w:rsidRPr="00561A49">
        <w:rPr>
          <w:vertAlign w:val="superscript"/>
        </w:rPr>
        <w:sym w:font="Symbol" w:char="F039"/>
      </w:r>
      <w:r w:rsidRPr="00561A49">
        <w:t>/l iki &gt; 5,</w:t>
      </w:r>
      <w:r w:rsidRPr="00561A49">
        <w:sym w:font="Times New Roman" w:char="0030"/>
      </w:r>
      <w:r w:rsidRPr="00561A49">
        <w:t> x </w:t>
      </w:r>
      <w:r w:rsidRPr="00561A49">
        <w:sym w:font="Symbol" w:char="F031"/>
      </w:r>
      <w:r w:rsidRPr="00561A49">
        <w:sym w:font="Times New Roman" w:char="0030"/>
      </w:r>
      <w:r w:rsidRPr="00561A49">
        <w:rPr>
          <w:vertAlign w:val="superscript"/>
        </w:rPr>
        <w:sym w:font="Symbol" w:char="F039"/>
      </w:r>
      <w:r w:rsidRPr="00561A49">
        <w:t>/l. Pacientams, kuriems nebuvo taikyta ekstensyvi chemoterapija, dažniausiai pakanka vienos leukaferezės. Kitomis aplinkybėmis rekomenduojama atlikti papildomas leukaferezes.</w:t>
      </w:r>
    </w:p>
    <w:p w14:paraId="14C3BB9E" w14:textId="77777777" w:rsidR="00213DF5" w:rsidRPr="00561A49" w:rsidRDefault="00213DF5" w:rsidP="00213DF5"/>
    <w:p w14:paraId="340164A2" w14:textId="77777777" w:rsidR="00213DF5" w:rsidRPr="00561A49" w:rsidRDefault="00213DF5" w:rsidP="00213DF5">
      <w:pPr>
        <w:rPr>
          <w:i/>
        </w:rPr>
      </w:pPr>
      <w:r w:rsidRPr="00561A49">
        <w:rPr>
          <w:i/>
        </w:rPr>
        <w:t>Vartojimo metodas</w:t>
      </w:r>
    </w:p>
    <w:p w14:paraId="347E693A" w14:textId="77777777" w:rsidR="00213DF5" w:rsidRPr="00561A49" w:rsidRDefault="00213DF5" w:rsidP="00213DF5"/>
    <w:p w14:paraId="7097AFC2" w14:textId="77777777" w:rsidR="00213DF5" w:rsidRPr="00561A49" w:rsidRDefault="00213DF5" w:rsidP="00213DF5">
      <w:r w:rsidRPr="00561A49">
        <w:t>Neupogen PKKL mobilizacijai, kai vartojamas vienas:</w:t>
      </w:r>
    </w:p>
    <w:p w14:paraId="063E8F94" w14:textId="77777777" w:rsidR="00213DF5" w:rsidRPr="00561A49" w:rsidRDefault="00213DF5" w:rsidP="00213DF5">
      <w:r w:rsidRPr="00561A49">
        <w:t xml:space="preserve">Neupogen leidžiamas </w:t>
      </w:r>
      <w:r w:rsidRPr="00561A49">
        <w:sym w:font="Symbol" w:char="F032"/>
      </w:r>
      <w:r w:rsidRPr="00561A49">
        <w:sym w:font="Symbol" w:char="F034"/>
      </w:r>
      <w:r w:rsidRPr="00561A49">
        <w:t xml:space="preserve"> valandų nuolatine infuzija po oda arba injekcija po oda. Neupogen reikia praskiesti </w:t>
      </w:r>
      <w:r w:rsidRPr="00561A49">
        <w:sym w:font="Symbol" w:char="F032"/>
      </w:r>
      <w:r w:rsidRPr="00561A49">
        <w:sym w:font="Times New Roman" w:char="0030"/>
      </w:r>
      <w:r w:rsidRPr="00561A49">
        <w:t xml:space="preserve"> ml </w:t>
      </w:r>
      <w:r w:rsidRPr="00561A49">
        <w:sym w:font="Symbol" w:char="F035"/>
      </w:r>
      <w:r w:rsidRPr="00561A49">
        <w:sym w:font="Symbol" w:char="F025"/>
      </w:r>
      <w:r w:rsidRPr="00561A49">
        <w:t xml:space="preserve"> gliukozės tirpalu (žr. 6.6 skyrių).</w:t>
      </w:r>
    </w:p>
    <w:p w14:paraId="2916DC09" w14:textId="77777777" w:rsidR="00213DF5" w:rsidRPr="00561A49" w:rsidRDefault="00213DF5" w:rsidP="00213DF5"/>
    <w:p w14:paraId="6D0412BE" w14:textId="77777777" w:rsidR="00213DF5" w:rsidRPr="00561A49" w:rsidRDefault="00213DF5" w:rsidP="00213DF5">
      <w:r w:rsidRPr="00561A49">
        <w:t xml:space="preserve">Neupogen PKKL mobilizacijai po mielosupresinės </w:t>
      </w:r>
      <w:r w:rsidR="006807EF">
        <w:t>chemo</w:t>
      </w:r>
      <w:r w:rsidRPr="00561A49">
        <w:t>terapijos:</w:t>
      </w:r>
    </w:p>
    <w:p w14:paraId="504FFC2F" w14:textId="77777777" w:rsidR="00213DF5" w:rsidRPr="00561A49" w:rsidRDefault="00213DF5" w:rsidP="00213DF5">
      <w:r w:rsidRPr="00561A49">
        <w:t>Neupogen leidžiamas po oda.</w:t>
      </w:r>
    </w:p>
    <w:p w14:paraId="278A65FA" w14:textId="77777777" w:rsidR="00213DF5" w:rsidRPr="00561A49" w:rsidRDefault="00213DF5" w:rsidP="00213DF5"/>
    <w:p w14:paraId="0376E591" w14:textId="77777777" w:rsidR="00213DF5" w:rsidRPr="00561A49" w:rsidRDefault="00213DF5" w:rsidP="00621D88">
      <w:pPr>
        <w:pStyle w:val="Antrat3"/>
      </w:pPr>
      <w:r w:rsidRPr="00561A49">
        <w:t xml:space="preserve">Normalių donorų periferinio kraujo kamieninių ląstelių mobilizacijai prieš alogeninę periferinio kraujo kamieninių ląstelių transplantaciją. </w:t>
      </w:r>
    </w:p>
    <w:p w14:paraId="03519291" w14:textId="77777777" w:rsidR="00213DF5" w:rsidRPr="00561A49" w:rsidRDefault="00213DF5" w:rsidP="00213DF5">
      <w:pPr>
        <w:keepNext/>
      </w:pPr>
    </w:p>
    <w:p w14:paraId="6B708290" w14:textId="77777777" w:rsidR="00213DF5" w:rsidRPr="00561A49" w:rsidRDefault="00213DF5" w:rsidP="00213DF5">
      <w:pPr>
        <w:keepNext/>
        <w:rPr>
          <w:i/>
        </w:rPr>
      </w:pPr>
      <w:r w:rsidRPr="00561A49">
        <w:rPr>
          <w:i/>
        </w:rPr>
        <w:t>Dozavimas</w:t>
      </w:r>
    </w:p>
    <w:p w14:paraId="564DCFDD" w14:textId="77777777" w:rsidR="00213DF5" w:rsidRPr="00561A49" w:rsidRDefault="00213DF5" w:rsidP="00213DF5"/>
    <w:p w14:paraId="022C444E" w14:textId="77777777" w:rsidR="00213DF5" w:rsidRPr="00561A49" w:rsidRDefault="00213DF5" w:rsidP="00213DF5">
      <w:r w:rsidRPr="00561A49">
        <w:t>Normalių donorų PKKL mobilizacijai Neupogen skiriama po 1,0 milijoną vienetų (1</w:t>
      </w:r>
      <w:r w:rsidRPr="00561A49">
        <w:sym w:font="Times New Roman" w:char="0030"/>
      </w:r>
      <w:r w:rsidRPr="00561A49">
        <w:t> </w:t>
      </w:r>
      <w:r w:rsidRPr="00561A49">
        <w:sym w:font="Symbol" w:char="F06D"/>
      </w:r>
      <w:r w:rsidRPr="00561A49">
        <w:t>g)/kg per parą 4</w:t>
      </w:r>
      <w:r w:rsidRPr="00561A49">
        <w:noBreakHyphen/>
        <w:t>5 dienas iš eilės. Leukaferezę reikia pradėti 5</w:t>
      </w:r>
      <w:r w:rsidRPr="00561A49">
        <w:noBreakHyphen/>
        <w:t>ąją dieną ir, jei reikia, tęsti iki 6</w:t>
      </w:r>
      <w:r w:rsidRPr="00561A49">
        <w:noBreakHyphen/>
        <w:t>osios dienos siekiant surinkti 4 x 10</w:t>
      </w:r>
      <w:r w:rsidRPr="00561A49">
        <w:rPr>
          <w:vertAlign w:val="superscript"/>
        </w:rPr>
        <w:t>6</w:t>
      </w:r>
      <w:r w:rsidRPr="00561A49">
        <w:t> CD34</w:t>
      </w:r>
      <w:r w:rsidRPr="00561A49">
        <w:rPr>
          <w:vertAlign w:val="superscript"/>
        </w:rPr>
        <w:sym w:font="Symbol" w:char="F02B"/>
      </w:r>
      <w:r w:rsidRPr="00561A49">
        <w:t xml:space="preserve"> ląstelių/kg recipiento kūno svorio.</w:t>
      </w:r>
    </w:p>
    <w:p w14:paraId="774510D7" w14:textId="77777777" w:rsidR="00213DF5" w:rsidRPr="00561A49" w:rsidRDefault="00213DF5" w:rsidP="00213DF5"/>
    <w:p w14:paraId="2FA40444" w14:textId="77777777" w:rsidR="00213DF5" w:rsidRPr="00561A49" w:rsidRDefault="00213DF5" w:rsidP="00213DF5">
      <w:pPr>
        <w:rPr>
          <w:i/>
        </w:rPr>
      </w:pPr>
      <w:r w:rsidRPr="00561A49">
        <w:rPr>
          <w:i/>
        </w:rPr>
        <w:t>Vartojimo metodas</w:t>
      </w:r>
    </w:p>
    <w:p w14:paraId="42446E5C" w14:textId="77777777" w:rsidR="00213DF5" w:rsidRPr="00561A49" w:rsidRDefault="00213DF5" w:rsidP="00213DF5"/>
    <w:p w14:paraId="564A881A" w14:textId="77777777" w:rsidR="00213DF5" w:rsidRPr="00561A49" w:rsidRDefault="00213DF5" w:rsidP="00213DF5">
      <w:r w:rsidRPr="00561A49">
        <w:t>Neupogen leidžiamas po oda.</w:t>
      </w:r>
    </w:p>
    <w:p w14:paraId="04542EA2" w14:textId="77777777" w:rsidR="00213DF5" w:rsidRPr="00561A49" w:rsidRDefault="00213DF5" w:rsidP="00213DF5"/>
    <w:p w14:paraId="2C8DA085" w14:textId="77777777" w:rsidR="00213DF5" w:rsidRPr="00561A49" w:rsidRDefault="00213DF5" w:rsidP="00621D88">
      <w:pPr>
        <w:pStyle w:val="Antrat3"/>
      </w:pPr>
      <w:r w:rsidRPr="00561A49">
        <w:t xml:space="preserve">Ligoniams, kuriems yra sunki lėtinė neutropenija </w:t>
      </w:r>
    </w:p>
    <w:p w14:paraId="5053D379" w14:textId="77777777" w:rsidR="00213DF5" w:rsidRPr="00561A49" w:rsidRDefault="00213DF5" w:rsidP="00213DF5"/>
    <w:p w14:paraId="3AE4BBE6" w14:textId="77777777" w:rsidR="00213DF5" w:rsidRPr="00561A49" w:rsidRDefault="00213DF5" w:rsidP="00213DF5">
      <w:pPr>
        <w:rPr>
          <w:i/>
        </w:rPr>
      </w:pPr>
      <w:r w:rsidRPr="00561A49">
        <w:rPr>
          <w:i/>
        </w:rPr>
        <w:t>Dozavimas</w:t>
      </w:r>
    </w:p>
    <w:p w14:paraId="74093274" w14:textId="77777777" w:rsidR="00213DF5" w:rsidRPr="00561A49" w:rsidRDefault="00213DF5" w:rsidP="00213DF5"/>
    <w:p w14:paraId="1FE18C6C" w14:textId="77777777" w:rsidR="00213DF5" w:rsidRPr="00561A49" w:rsidRDefault="00213DF5" w:rsidP="00213DF5">
      <w:r w:rsidRPr="00561A49">
        <w:t>Įgimta neutropenija: rekomenduojama pradinė dozė yra 1,2 milijono vienetų (12 µg)/kg per parą per vieną kartą ar padalijus per kelis kartus.</w:t>
      </w:r>
    </w:p>
    <w:p w14:paraId="2AD4BD83" w14:textId="77777777" w:rsidR="00213DF5" w:rsidRPr="00561A49" w:rsidRDefault="00213DF5" w:rsidP="00213DF5"/>
    <w:p w14:paraId="3E771FDC" w14:textId="77777777" w:rsidR="00213DF5" w:rsidRPr="00561A49" w:rsidRDefault="00213DF5" w:rsidP="00213DF5">
      <w:r w:rsidRPr="00561A49">
        <w:t>Idiopatinė ir ciklinė neutropenija: rekomenduojama pradinė dozė yra 0,5 milijono vienetų (5µg)/kg per parą per vieną kartą arba padalijus per kelis kartus.</w:t>
      </w:r>
    </w:p>
    <w:p w14:paraId="7B0E0985" w14:textId="77777777" w:rsidR="00213DF5" w:rsidRPr="00561A49" w:rsidRDefault="00213DF5" w:rsidP="00213DF5"/>
    <w:p w14:paraId="649021E9" w14:textId="77777777" w:rsidR="00213DF5" w:rsidRPr="00561A49" w:rsidRDefault="00213DF5" w:rsidP="00213DF5">
      <w:r w:rsidRPr="00561A49">
        <w:t>Dozės parinkimas. Neupogen kasdien švirkščiama po oda tol, kol neutrofilų skaičius taps ir išliks didesnis negu 1,5 x 10</w:t>
      </w:r>
      <w:r w:rsidRPr="00561A49">
        <w:rPr>
          <w:vertAlign w:val="superscript"/>
        </w:rPr>
        <w:t>9</w:t>
      </w:r>
      <w:r w:rsidRPr="00561A49">
        <w:t xml:space="preserve">/l. Pasiekus efektą, reikia nustatyti mažiausią veiksmingą dozę, palaikančią šį </w:t>
      </w:r>
      <w:r w:rsidRPr="00561A49">
        <w:lastRenderedPageBreak/>
        <w:t>kiekį. Ilgalaikis kasdienis gydymas reikalingas siekiant palaikyti atitinkamą neutrofilų skaičių. Po vienos dviejų gydymo savaičių pradinę dozę galima dvigubai padidinti arba sumažinti, atsižvelgiant į paciento atsaką. Toliau dozė turi būti individualiai koreguojamos kas 1</w:t>
      </w:r>
      <w:r w:rsidRPr="00561A49">
        <w:noBreakHyphen/>
        <w:t>2 savaites, kad vidutinis neutrofilų skaičius išliktų tarp 1,5 x 10</w:t>
      </w:r>
      <w:r w:rsidRPr="00561A49">
        <w:rPr>
          <w:vertAlign w:val="superscript"/>
        </w:rPr>
        <w:t>9</w:t>
      </w:r>
      <w:r w:rsidRPr="00561A49">
        <w:t>/l ir 10 x 10</w:t>
      </w:r>
      <w:r w:rsidRPr="00561A49">
        <w:rPr>
          <w:vertAlign w:val="superscript"/>
        </w:rPr>
        <w:t>9</w:t>
      </w:r>
      <w:r w:rsidRPr="00561A49">
        <w:t xml:space="preserve">/l. Greičiau dozę galima didinti ligoniams, sergantiems sunkiomis infekcinėmis ligomis. Klinikinių tyrimų metu 97% pacientų, kuriems pasireiškė atsakas, visiškas atsakas gautas vartojant </w:t>
      </w:r>
      <w:r w:rsidR="002F5E3A">
        <w:t>≤</w:t>
      </w:r>
      <w:r w:rsidRPr="00561A49">
        <w:t xml:space="preserve"> 24 µg/kg paros dozę. Nenustatyta, ar saugu ilgai vartoti didesnę kaip 24 µg/kg per parą Neupogen dozę pacientams, kuriems yra sunki lėtinė neutropenija. </w:t>
      </w:r>
    </w:p>
    <w:p w14:paraId="0871C562" w14:textId="77777777" w:rsidR="00213DF5" w:rsidRPr="00561A49" w:rsidRDefault="00213DF5" w:rsidP="00213DF5"/>
    <w:p w14:paraId="0FADFCFF" w14:textId="77777777" w:rsidR="00213DF5" w:rsidRPr="00561A49" w:rsidRDefault="00213DF5" w:rsidP="00213DF5">
      <w:pPr>
        <w:rPr>
          <w:i/>
        </w:rPr>
      </w:pPr>
      <w:r w:rsidRPr="00561A49">
        <w:rPr>
          <w:i/>
        </w:rPr>
        <w:t>Vartojimo metodas</w:t>
      </w:r>
    </w:p>
    <w:p w14:paraId="20CF858D" w14:textId="77777777" w:rsidR="00213DF5" w:rsidRPr="00561A49" w:rsidRDefault="00213DF5" w:rsidP="00213DF5"/>
    <w:p w14:paraId="54432D91" w14:textId="77777777" w:rsidR="00213DF5" w:rsidRPr="00561A49" w:rsidRDefault="00213DF5" w:rsidP="00213DF5">
      <w:r w:rsidRPr="00561A49">
        <w:t>Įgimta, idiopatinė arba ciklinė neutropenija: Neupogen leidžiamas po oda.</w:t>
      </w:r>
    </w:p>
    <w:p w14:paraId="3037E81F" w14:textId="77777777" w:rsidR="00213DF5" w:rsidRPr="00561A49" w:rsidRDefault="00213DF5" w:rsidP="00213DF5"/>
    <w:p w14:paraId="6BD0BBEF" w14:textId="77777777" w:rsidR="00213DF5" w:rsidRPr="00561A49" w:rsidRDefault="00213DF5" w:rsidP="00621D88">
      <w:pPr>
        <w:pStyle w:val="Antrat3"/>
      </w:pPr>
      <w:r w:rsidRPr="00561A49">
        <w:t>ŽIV infekuotiems pacientams</w:t>
      </w:r>
    </w:p>
    <w:p w14:paraId="41C6B563" w14:textId="77777777" w:rsidR="00213DF5" w:rsidRPr="00561A49" w:rsidRDefault="00213DF5" w:rsidP="00213DF5">
      <w:pPr>
        <w:keepNext/>
      </w:pPr>
    </w:p>
    <w:p w14:paraId="7F2970A7" w14:textId="77777777" w:rsidR="00213DF5" w:rsidRPr="00561A49" w:rsidRDefault="00213DF5" w:rsidP="00213DF5">
      <w:pPr>
        <w:keepNext/>
        <w:rPr>
          <w:i/>
        </w:rPr>
      </w:pPr>
      <w:r w:rsidRPr="00561A49">
        <w:rPr>
          <w:i/>
        </w:rPr>
        <w:t xml:space="preserve">Dozavimas </w:t>
      </w:r>
    </w:p>
    <w:p w14:paraId="73D3A0C3" w14:textId="77777777" w:rsidR="00213DF5" w:rsidRPr="00213DF5" w:rsidRDefault="00213DF5" w:rsidP="00213DF5">
      <w:pPr>
        <w:pStyle w:val="Antrat4"/>
        <w:rPr>
          <w:i w:val="0"/>
          <w:sz w:val="22"/>
          <w:szCs w:val="22"/>
        </w:rPr>
      </w:pPr>
    </w:p>
    <w:p w14:paraId="18CB60D6" w14:textId="77777777" w:rsidR="00213DF5" w:rsidRPr="00213DF5" w:rsidRDefault="00213DF5" w:rsidP="00213DF5">
      <w:pPr>
        <w:pStyle w:val="Antrat4"/>
        <w:rPr>
          <w:i w:val="0"/>
          <w:sz w:val="22"/>
          <w:szCs w:val="22"/>
        </w:rPr>
      </w:pPr>
      <w:r w:rsidRPr="00213DF5">
        <w:rPr>
          <w:i w:val="0"/>
          <w:sz w:val="22"/>
          <w:szCs w:val="22"/>
        </w:rPr>
        <w:t>Normalaus neutrofilų skaičiaus atstatymas:</w:t>
      </w:r>
    </w:p>
    <w:p w14:paraId="4D4EBF4B" w14:textId="77777777" w:rsidR="00213DF5" w:rsidRPr="00213DF5" w:rsidRDefault="00213DF5" w:rsidP="00213DF5">
      <w:r w:rsidRPr="00213DF5">
        <w:t>Rekomenduojama pradinė Neupogen dozė yra 0,1 milijono vienetų (1 µg)/kg per parą didinant dozę daugiausia iki 0,4 milijono vienetų (4 µg)/kg per parą, kol pasiekiamas normalus absoliutus neutrofilų skaičius (ANS &gt; 2,0 x 10</w:t>
      </w:r>
      <w:r w:rsidRPr="00213DF5">
        <w:rPr>
          <w:vertAlign w:val="superscript"/>
        </w:rPr>
        <w:t>9</w:t>
      </w:r>
      <w:r w:rsidRPr="00213DF5">
        <w:t>/l) ir jis išlieka. Klinikinių tyrimų metu nustatyta, kad šios dozės buvo efektyvios &gt; 90% pacientų, o medianinis laikotarpis, per kurį neutrofilų skaičius pasidarė normalus, buvo 2 dienos.</w:t>
      </w:r>
    </w:p>
    <w:p w14:paraId="610D7A02" w14:textId="77777777" w:rsidR="00213DF5" w:rsidRPr="00213DF5" w:rsidRDefault="00213DF5" w:rsidP="00213DF5"/>
    <w:p w14:paraId="5D0E8FCB" w14:textId="77777777" w:rsidR="00213DF5" w:rsidRPr="00213DF5" w:rsidRDefault="00213DF5" w:rsidP="00213DF5">
      <w:r w:rsidRPr="00213DF5">
        <w:t>Nedideliam ligonių skaičiui (&lt; 10%) reikėjo iki 1,0 milijono vienetų (10 </w:t>
      </w:r>
      <w:r w:rsidRPr="00213DF5">
        <w:sym w:font="Symbol" w:char="F06D"/>
      </w:r>
      <w:r w:rsidRPr="00213DF5">
        <w:t xml:space="preserve">g)/kg per parą dozių, kad atsistatytų normalus neutrofilų skaičius. </w:t>
      </w:r>
    </w:p>
    <w:p w14:paraId="12AF3C42" w14:textId="77777777" w:rsidR="00213DF5" w:rsidRPr="00213DF5" w:rsidRDefault="00213DF5" w:rsidP="00213DF5"/>
    <w:p w14:paraId="67A77DD3" w14:textId="77777777" w:rsidR="00213DF5" w:rsidRPr="00213DF5" w:rsidRDefault="00213DF5" w:rsidP="00213DF5">
      <w:pPr>
        <w:pStyle w:val="Antrat4"/>
        <w:rPr>
          <w:i w:val="0"/>
          <w:sz w:val="22"/>
          <w:szCs w:val="22"/>
        </w:rPr>
      </w:pPr>
      <w:r w:rsidRPr="00213DF5">
        <w:rPr>
          <w:i w:val="0"/>
          <w:sz w:val="22"/>
          <w:szCs w:val="22"/>
        </w:rPr>
        <w:t>Normalaus neutrofilų skaičiaus palaikymas:</w:t>
      </w:r>
    </w:p>
    <w:p w14:paraId="1F92FD4B" w14:textId="77777777" w:rsidR="00213DF5" w:rsidRPr="00213DF5" w:rsidRDefault="00213DF5" w:rsidP="00213DF5">
      <w:r w:rsidRPr="00213DF5">
        <w:t>Kai neutropenija baigiasi, reikia nustatyti mažiausią efektyvią vaistinio preparato dozę normaliam neutrofilų skaičiui palaikyti. Rekomenduojama pradėti nuo 30 milijonų vienetų (300 </w:t>
      </w:r>
      <w:r w:rsidRPr="00213DF5">
        <w:sym w:font="Symbol" w:char="F06D"/>
      </w:r>
      <w:r w:rsidRPr="00213DF5">
        <w:t>g) per parą. Gali toliau tekti koreguoti vaistinio preparato dozę, atsižvelgiant į paciento ANS, kad išliktų &gt; 2,0 x 10</w:t>
      </w:r>
      <w:r w:rsidRPr="00213DF5">
        <w:rPr>
          <w:vertAlign w:val="superscript"/>
        </w:rPr>
        <w:t>9</w:t>
      </w:r>
      <w:r w:rsidRPr="00213DF5">
        <w:t>/l neutrofilų skaičius. Klinikinių tyrimų metu nustatyta, kad švirkščiant po 30 milijonų vienetų (300 </w:t>
      </w:r>
      <w:r w:rsidRPr="00213DF5">
        <w:sym w:font="Symbol" w:char="F06D"/>
      </w:r>
      <w:r w:rsidRPr="00213DF5">
        <w:t>g) per parą gali prireikti nuo 1 iki 7 injekcijų per savaitę, norint ANS palaikyti &gt; 2,0 x 10</w:t>
      </w:r>
      <w:r w:rsidRPr="00213DF5">
        <w:rPr>
          <w:vertAlign w:val="superscript"/>
        </w:rPr>
        <w:t>9</w:t>
      </w:r>
      <w:r w:rsidRPr="00213DF5">
        <w:t>/l. Medianinis dozės vartojimo dažnis buvo 3 dienos per savaitę. Gali tekti ilgai skirti vaistinį preparatą, kad ANS liktų &gt; 2,0 x 10</w:t>
      </w:r>
      <w:r w:rsidRPr="00213DF5">
        <w:rPr>
          <w:vertAlign w:val="superscript"/>
        </w:rPr>
        <w:t>9</w:t>
      </w:r>
      <w:r w:rsidRPr="00213DF5">
        <w:t>/l.</w:t>
      </w:r>
    </w:p>
    <w:p w14:paraId="650BE077" w14:textId="77777777" w:rsidR="00213DF5" w:rsidRPr="00213DF5" w:rsidRDefault="00213DF5" w:rsidP="00213DF5"/>
    <w:p w14:paraId="13AF143E" w14:textId="77777777" w:rsidR="00213DF5" w:rsidRPr="00213DF5" w:rsidRDefault="00213DF5" w:rsidP="00213DF5">
      <w:pPr>
        <w:rPr>
          <w:i/>
        </w:rPr>
      </w:pPr>
      <w:r w:rsidRPr="00213DF5">
        <w:rPr>
          <w:i/>
        </w:rPr>
        <w:t>Vartojimo metodas</w:t>
      </w:r>
    </w:p>
    <w:p w14:paraId="3EA84E4A" w14:textId="77777777" w:rsidR="00213DF5" w:rsidRPr="00561A49" w:rsidRDefault="00213DF5" w:rsidP="00213DF5"/>
    <w:p w14:paraId="59D03676" w14:textId="77777777" w:rsidR="00213DF5" w:rsidRPr="00561A49" w:rsidRDefault="00213DF5" w:rsidP="00213DF5">
      <w:r w:rsidRPr="00561A49">
        <w:t xml:space="preserve">Normalaus neutrofilų skaičiaus atstatymui </w:t>
      </w:r>
      <w:r w:rsidR="006807EF">
        <w:t>ar</w:t>
      </w:r>
      <w:r w:rsidR="006807EF" w:rsidRPr="00561A49">
        <w:t xml:space="preserve"> </w:t>
      </w:r>
      <w:r w:rsidRPr="00561A49">
        <w:t>normalaus neutrofilų skaičiaus palaikymui: Neupogen leidžiamas po oda.</w:t>
      </w:r>
    </w:p>
    <w:p w14:paraId="23C634F2" w14:textId="77777777" w:rsidR="00213DF5" w:rsidRPr="00561A49" w:rsidRDefault="00213DF5" w:rsidP="00213DF5"/>
    <w:p w14:paraId="05E9E6DC" w14:textId="77777777" w:rsidR="00213DF5" w:rsidRPr="00561A49" w:rsidRDefault="00213DF5" w:rsidP="00213DF5">
      <w:pPr>
        <w:rPr>
          <w:u w:val="single"/>
        </w:rPr>
      </w:pPr>
      <w:r w:rsidRPr="00561A49">
        <w:rPr>
          <w:u w:val="single"/>
        </w:rPr>
        <w:t>Senyviems pacientams</w:t>
      </w:r>
    </w:p>
    <w:p w14:paraId="794A2936" w14:textId="77777777" w:rsidR="00213DF5" w:rsidRPr="00561A49" w:rsidRDefault="00213DF5" w:rsidP="00213DF5"/>
    <w:p w14:paraId="2D1BEBAA" w14:textId="77777777" w:rsidR="00213DF5" w:rsidRPr="00561A49" w:rsidRDefault="00213DF5" w:rsidP="00213DF5">
      <w:r w:rsidRPr="00561A49">
        <w:t>Klinikiniuose Neupogen tyrimuose dalyvavo tik nedaug senyvo amžiaus pacientų, tačiau specialių šios grupės pacientų tyrimų neatlikta, todėl specifinių dozavimo rekomendacijų negalima pateikti.</w:t>
      </w:r>
    </w:p>
    <w:p w14:paraId="232C93BA" w14:textId="77777777" w:rsidR="00213DF5" w:rsidRPr="00561A49" w:rsidRDefault="00213DF5" w:rsidP="00213DF5"/>
    <w:p w14:paraId="002C1E8A" w14:textId="77777777" w:rsidR="00213DF5" w:rsidRPr="00561A49" w:rsidRDefault="00213DF5" w:rsidP="00213DF5">
      <w:pPr>
        <w:rPr>
          <w:u w:val="single"/>
        </w:rPr>
      </w:pPr>
      <w:r w:rsidRPr="00561A49">
        <w:rPr>
          <w:u w:val="single"/>
        </w:rPr>
        <w:t>Pacientams, kurių inkstų funkcija sutrikusi</w:t>
      </w:r>
    </w:p>
    <w:p w14:paraId="379C510D" w14:textId="77777777" w:rsidR="00213DF5" w:rsidRPr="00561A49" w:rsidRDefault="00213DF5" w:rsidP="00213DF5"/>
    <w:p w14:paraId="02DE2D0E" w14:textId="77777777" w:rsidR="00213DF5" w:rsidRPr="00561A49" w:rsidRDefault="00213DF5" w:rsidP="00213DF5">
      <w:r w:rsidRPr="00561A49">
        <w:t>Pacientų, kuriems buvo sunkus inkstų ar kepenų funkcijos sutrikimas, Neupogen tyrimai parodė, kad jo farmakokinetikos ir farmakodinamikos pobūdis yra panašus kaip ir pacientų, kurių inkstų ar kepenų funkcija normali. Dozės parinkimas nėra būtinas šiuo atveju.</w:t>
      </w:r>
    </w:p>
    <w:p w14:paraId="20731EF8" w14:textId="77777777" w:rsidR="00213DF5" w:rsidRPr="00561A49" w:rsidRDefault="00213DF5" w:rsidP="00213DF5"/>
    <w:p w14:paraId="7B77E25D" w14:textId="77777777" w:rsidR="00213DF5" w:rsidRPr="00213DF5" w:rsidRDefault="00213DF5" w:rsidP="00213DF5">
      <w:pPr>
        <w:pStyle w:val="Antrat4"/>
        <w:keepNext/>
        <w:rPr>
          <w:i w:val="0"/>
          <w:sz w:val="22"/>
          <w:szCs w:val="22"/>
          <w:u w:val="single"/>
        </w:rPr>
      </w:pPr>
      <w:r w:rsidRPr="00213DF5">
        <w:rPr>
          <w:i w:val="0"/>
          <w:sz w:val="22"/>
          <w:szCs w:val="22"/>
          <w:u w:val="single"/>
        </w:rPr>
        <w:t>Vaikams, sergantiems sunkia lėtine neutropenija (SLN) ir vėžiu</w:t>
      </w:r>
    </w:p>
    <w:p w14:paraId="41340B90" w14:textId="77777777" w:rsidR="00213DF5" w:rsidRPr="00561A49" w:rsidRDefault="00213DF5" w:rsidP="00213DF5">
      <w:pPr>
        <w:keepNext/>
      </w:pPr>
    </w:p>
    <w:p w14:paraId="04AC5DDF" w14:textId="77777777" w:rsidR="00213DF5" w:rsidRPr="00561A49" w:rsidRDefault="00213DF5" w:rsidP="00213DF5">
      <w:r w:rsidRPr="00561A49">
        <w:t>SLN tyrimo programoje dalyvavo ligoniai, iš kurių 65 </w:t>
      </w:r>
      <w:r w:rsidRPr="00561A49">
        <w:sym w:font="Symbol" w:char="F025"/>
      </w:r>
      <w:r w:rsidRPr="00561A49">
        <w:t xml:space="preserve"> buvo jaunesni nei 18</w:t>
      </w:r>
      <w:r w:rsidR="009642D8">
        <w:t> </w:t>
      </w:r>
      <w:r w:rsidRPr="00561A49">
        <w:t xml:space="preserve">metų. Gydymo veiksmingumas šios grupės pacientams, kurių dauguma sirgo įgimta neutropenija, buvo neabejotinas. </w:t>
      </w:r>
      <w:r w:rsidRPr="00561A49">
        <w:lastRenderedPageBreak/>
        <w:t>Taip pat nenustatyta vaistinio preparato saugumo skirtumų vaikams, gydytiems dėl sunkios lėtinės neutropenijos.</w:t>
      </w:r>
    </w:p>
    <w:p w14:paraId="6399DD38" w14:textId="77777777" w:rsidR="00213DF5" w:rsidRPr="00561A49" w:rsidRDefault="00213DF5" w:rsidP="00213DF5"/>
    <w:p w14:paraId="20C8A9CD" w14:textId="77777777" w:rsidR="00213DF5" w:rsidRPr="00561A49" w:rsidRDefault="00213DF5" w:rsidP="00213DF5">
      <w:r w:rsidRPr="00561A49">
        <w:t>Vaikų klinikinių tyrimų duomenys rodo, kad Neupogen saugumas ir veiksmingumas yra panašus tiek vaikams, tiek ir suaugusiesiems, gaunantiems citotoksinę chemoterapiją.</w:t>
      </w:r>
    </w:p>
    <w:p w14:paraId="4D26EBFF" w14:textId="77777777" w:rsidR="00213DF5" w:rsidRPr="00561A49" w:rsidRDefault="00213DF5" w:rsidP="00213DF5"/>
    <w:p w14:paraId="69387D43" w14:textId="77777777" w:rsidR="00213DF5" w:rsidRPr="00561A49" w:rsidRDefault="00213DF5" w:rsidP="00213DF5">
      <w:r w:rsidRPr="00561A49">
        <w:t>Vaikams rekomenduojama dozuoti taip, kaip ir suaugusiems žmonėms, gaunantiems mielosupresinę citotoksinę chemoterapiją.</w:t>
      </w:r>
    </w:p>
    <w:p w14:paraId="372A5532" w14:textId="77777777" w:rsidR="00213DF5" w:rsidRDefault="00213DF5" w:rsidP="00B85D8F">
      <w:pPr>
        <w:pStyle w:val="Antrat2"/>
        <w:rPr>
          <w:rFonts w:ascii="Times New Roman" w:hAnsi="Times New Roman"/>
        </w:rPr>
      </w:pPr>
    </w:p>
    <w:p w14:paraId="6E13418B" w14:textId="77777777" w:rsidR="00D24A7B" w:rsidRPr="006F0805" w:rsidRDefault="00D24A7B" w:rsidP="00770D60">
      <w:pPr>
        <w:pStyle w:val="Antrat2"/>
        <w:ind w:left="567" w:hanging="567"/>
        <w:rPr>
          <w:rFonts w:ascii="Times New Roman" w:hAnsi="Times New Roman"/>
        </w:rPr>
      </w:pPr>
      <w:r w:rsidRPr="006F0805">
        <w:rPr>
          <w:rFonts w:ascii="Times New Roman" w:hAnsi="Times New Roman"/>
        </w:rPr>
        <w:t>4.3</w:t>
      </w:r>
      <w:r w:rsidRPr="006F0805">
        <w:rPr>
          <w:rFonts w:ascii="Times New Roman" w:hAnsi="Times New Roman"/>
        </w:rPr>
        <w:tab/>
        <w:t xml:space="preserve">Kontraindikacijos </w:t>
      </w:r>
    </w:p>
    <w:p w14:paraId="73C65E4A" w14:textId="77777777" w:rsidR="00D24A7B" w:rsidRPr="006F0805" w:rsidRDefault="00D24A7B" w:rsidP="00D24A7B">
      <w:pPr>
        <w:rPr>
          <w:lang w:val="pt-BR"/>
        </w:rPr>
      </w:pPr>
    </w:p>
    <w:p w14:paraId="1C1C3332" w14:textId="77777777" w:rsidR="00D24A7B" w:rsidRPr="006F0805" w:rsidRDefault="00D24A7B" w:rsidP="00D24A7B">
      <w:pPr>
        <w:rPr>
          <w:lang w:val="pt-BR"/>
        </w:rPr>
      </w:pPr>
      <w:r w:rsidRPr="006F0805">
        <w:rPr>
          <w:lang w:val="pt-BR"/>
        </w:rPr>
        <w:t xml:space="preserve">Padidėjęs jautrumas veikliajai arba bet kuriai </w:t>
      </w:r>
      <w:r w:rsidR="00285439" w:rsidRPr="006F0805">
        <w:t>6.1 skyriuje nurodytai</w:t>
      </w:r>
      <w:r w:rsidR="00285439" w:rsidRPr="00AE03B0">
        <w:rPr>
          <w:lang w:val="pt-BR"/>
        </w:rPr>
        <w:t xml:space="preserve"> </w:t>
      </w:r>
      <w:r w:rsidRPr="006F0805">
        <w:rPr>
          <w:lang w:val="pt-BR"/>
        </w:rPr>
        <w:t xml:space="preserve">pagalbinei medžiagai. </w:t>
      </w:r>
    </w:p>
    <w:p w14:paraId="00E4D7D0" w14:textId="77777777" w:rsidR="00D24A7B" w:rsidRPr="006F0805" w:rsidRDefault="00D24A7B" w:rsidP="00D24A7B">
      <w:pPr>
        <w:rPr>
          <w:lang w:val="pt-BR"/>
        </w:rPr>
      </w:pPr>
    </w:p>
    <w:p w14:paraId="66380773" w14:textId="77777777" w:rsidR="00D24A7B" w:rsidRPr="006F0805" w:rsidRDefault="00D24A7B" w:rsidP="00770D60">
      <w:pPr>
        <w:pStyle w:val="Antrat2"/>
        <w:keepNext w:val="0"/>
        <w:ind w:left="567" w:hanging="567"/>
        <w:rPr>
          <w:rFonts w:ascii="Times New Roman" w:hAnsi="Times New Roman"/>
        </w:rPr>
      </w:pPr>
      <w:r w:rsidRPr="006F0805">
        <w:rPr>
          <w:rFonts w:ascii="Times New Roman" w:hAnsi="Times New Roman"/>
        </w:rPr>
        <w:t>4.4</w:t>
      </w:r>
      <w:r w:rsidRPr="006F0805">
        <w:rPr>
          <w:rFonts w:ascii="Times New Roman" w:hAnsi="Times New Roman"/>
        </w:rPr>
        <w:tab/>
        <w:t>Specialūs įspėjimai ir atsargumo priemonės</w:t>
      </w:r>
    </w:p>
    <w:p w14:paraId="0E82AC29" w14:textId="77777777" w:rsidR="00D24A7B" w:rsidRPr="006F0805" w:rsidRDefault="00D24A7B" w:rsidP="00D24A7B">
      <w:pPr>
        <w:rPr>
          <w:lang w:val="pt-BR"/>
        </w:rPr>
      </w:pPr>
    </w:p>
    <w:p w14:paraId="4613569E" w14:textId="77777777" w:rsidR="006807EF" w:rsidRPr="00361C46" w:rsidRDefault="006807EF" w:rsidP="006807EF">
      <w:pPr>
        <w:rPr>
          <w:u w:val="single"/>
        </w:rPr>
      </w:pPr>
      <w:r w:rsidRPr="00361C46">
        <w:rPr>
          <w:u w:val="single"/>
        </w:rPr>
        <w:t>Specialūs įspėjimai ir atsargumo priemonės visoms indikacijoms</w:t>
      </w:r>
    </w:p>
    <w:p w14:paraId="6EEECE4D" w14:textId="77777777" w:rsidR="006807EF" w:rsidRPr="00361C46" w:rsidRDefault="006807EF" w:rsidP="006807EF"/>
    <w:p w14:paraId="5A6D572F" w14:textId="77777777" w:rsidR="006807EF" w:rsidRPr="00361C46" w:rsidRDefault="006807EF" w:rsidP="006807EF">
      <w:pPr>
        <w:rPr>
          <w:i/>
        </w:rPr>
      </w:pPr>
      <w:r w:rsidRPr="00361C46">
        <w:rPr>
          <w:i/>
        </w:rPr>
        <w:t>Padidėjęs jautrumas</w:t>
      </w:r>
    </w:p>
    <w:p w14:paraId="2FB67F9D" w14:textId="77777777" w:rsidR="00213DF5" w:rsidRPr="00561A49" w:rsidRDefault="00213DF5" w:rsidP="00213DF5"/>
    <w:p w14:paraId="074A8633" w14:textId="77777777" w:rsidR="00213DF5" w:rsidRPr="00561A49" w:rsidRDefault="00213DF5" w:rsidP="00213DF5">
      <w:r w:rsidRPr="00561A49">
        <w:t>Buvo pranešta apie padidėjusį jautrumą, įskaitant anafilaksinę reakciją, gydymo pradžioje ar vėlesnio gydymo metu pacientams, gydytiems Neupogen. Visiškai nutraukite gydymą Neupogen pacientams su kliniškai reikšmingai padidėjusiu jautrumu. Neupogen negalima vartoti pacientams, kuriems yra padidėjęs jautrumas filgrastimui ar pegfilgrastimui.</w:t>
      </w:r>
    </w:p>
    <w:p w14:paraId="510B1609" w14:textId="77777777" w:rsidR="00213DF5" w:rsidRPr="00561A49" w:rsidRDefault="00213DF5" w:rsidP="00213DF5"/>
    <w:p w14:paraId="31594A5C" w14:textId="77777777" w:rsidR="006807EF" w:rsidRPr="00361C46" w:rsidRDefault="006807EF" w:rsidP="006807EF">
      <w:pPr>
        <w:rPr>
          <w:i/>
        </w:rPr>
      </w:pPr>
      <w:r w:rsidRPr="00361C46">
        <w:rPr>
          <w:i/>
        </w:rPr>
        <w:t>Nepageidaujamas poveikis plaučiams</w:t>
      </w:r>
    </w:p>
    <w:p w14:paraId="49868543" w14:textId="77777777" w:rsidR="006807EF" w:rsidRPr="00361C46" w:rsidRDefault="006807EF" w:rsidP="006807EF"/>
    <w:p w14:paraId="48B32D03" w14:textId="77777777" w:rsidR="006807EF" w:rsidRPr="00361C46" w:rsidRDefault="006807EF" w:rsidP="006807EF">
      <w:r w:rsidRPr="00361C46">
        <w:t>Vartojant G-KSF retai registruotas nepageidaujamas poveikis plaučiams, dažniausiai intersticinė plaučių liga. Pacientams, kuriems neseniai buvo infiltratų plaučiuose ar kurie neseniai sirgo plaučių uždegimu, gali būti didesnė nepage</w:t>
      </w:r>
      <w:r w:rsidR="006E2003">
        <w:t>i</w:t>
      </w:r>
      <w:r w:rsidRPr="00361C46">
        <w:t>daujamo poveikio plaučiams rizika. Plaučių sutrikimo požymiai, pvz., kosulys, karščiavimas ir dusulys, kartu su radiologiškai stebimais plaučių infiltracijos požymais bei pablogėjusia kvėpavimo funkcija gali būti pradiniai ūminio respiracinio distreso sindromo (ŪRDS) požymiai. Tuomet Neupogen vartojimą būtina nutraukti ir skirti reikiamą gydymą.</w:t>
      </w:r>
    </w:p>
    <w:p w14:paraId="1CD2A57B" w14:textId="77777777" w:rsidR="006807EF" w:rsidRPr="00361C46" w:rsidRDefault="006807EF" w:rsidP="006807EF"/>
    <w:p w14:paraId="58232DE8" w14:textId="77777777" w:rsidR="006807EF" w:rsidRPr="00361C46" w:rsidRDefault="006807EF" w:rsidP="006807EF">
      <w:pPr>
        <w:rPr>
          <w:i/>
        </w:rPr>
      </w:pPr>
      <w:r w:rsidRPr="00361C46">
        <w:rPr>
          <w:i/>
        </w:rPr>
        <w:t>Glomerulonefritas</w:t>
      </w:r>
    </w:p>
    <w:p w14:paraId="58A50F65" w14:textId="77777777" w:rsidR="006807EF" w:rsidRPr="00361C46" w:rsidRDefault="006807EF" w:rsidP="006807EF"/>
    <w:p w14:paraId="4F4C8808" w14:textId="77777777" w:rsidR="006807EF" w:rsidRPr="00361C46" w:rsidRDefault="006807EF" w:rsidP="006807EF">
      <w:r w:rsidRPr="00361C46">
        <w:t>Gauta pranešimų apie glomerulonefrito atvejus filgrastimą ir pegfilgrastimą vartojantiems pacientams. Apskritai glomerulonefrito simptomai išnyko sumažinus dozę arba nutraukus filgrastimo ir pegfilgrastimo vartojimą. Rekomenduojama stebėti šlapimo tyrimus.</w:t>
      </w:r>
    </w:p>
    <w:p w14:paraId="460B7BCA" w14:textId="77777777" w:rsidR="006807EF" w:rsidRPr="00361C46" w:rsidRDefault="006807EF" w:rsidP="006807EF"/>
    <w:p w14:paraId="4198C8E7" w14:textId="77777777" w:rsidR="006807EF" w:rsidRPr="00361C46" w:rsidRDefault="006807EF" w:rsidP="006807EF">
      <w:pPr>
        <w:rPr>
          <w:i/>
        </w:rPr>
      </w:pPr>
      <w:r w:rsidRPr="00361C46">
        <w:rPr>
          <w:i/>
        </w:rPr>
        <w:t>Kapiliarų pralaidumo sindromas</w:t>
      </w:r>
    </w:p>
    <w:p w14:paraId="1D601B90" w14:textId="77777777" w:rsidR="006807EF" w:rsidRPr="00361C46" w:rsidRDefault="006807EF" w:rsidP="006807EF"/>
    <w:p w14:paraId="0B0E2E65" w14:textId="77777777" w:rsidR="006807EF" w:rsidRPr="00361C46" w:rsidRDefault="006807EF" w:rsidP="006807EF">
      <w:r w:rsidRPr="00361C46">
        <w:t>Kapiliarų pralaidumo sindromas, kuris, jei gydymas skiriamas pavėluotai, gali būti mirtinas, buvo aprašytas po granulocitų kolonijas stimuliuojančių faktorių paskyrimo ir buvo apibūdinamas pasireiškiančia hipertenzija, hipoalbuminemija, edema ir hemokoncentracija. Pacientai, kuriems atsiranda kapiliarų pralaidumo sindromo simptomų, turi būti atidžiai stebimi ir gauti standartinį simptominį gydymą, įskaitant intensyvios terapijos poreikį (žr. 4.8 skyrių).</w:t>
      </w:r>
    </w:p>
    <w:p w14:paraId="3A168C51" w14:textId="77777777" w:rsidR="006807EF" w:rsidRPr="00361C46" w:rsidRDefault="006807EF" w:rsidP="006807EF"/>
    <w:p w14:paraId="0E11DF0A" w14:textId="77777777" w:rsidR="006807EF" w:rsidRPr="00361C46" w:rsidRDefault="006807EF" w:rsidP="006807EF">
      <w:pPr>
        <w:rPr>
          <w:i/>
        </w:rPr>
      </w:pPr>
      <w:r w:rsidRPr="00361C46">
        <w:rPr>
          <w:i/>
        </w:rPr>
        <w:t>Splenomegalija ir blužnies plyšimas</w:t>
      </w:r>
    </w:p>
    <w:p w14:paraId="5EA62D6A" w14:textId="77777777" w:rsidR="006807EF" w:rsidRPr="00361C46" w:rsidRDefault="006807EF" w:rsidP="006807EF"/>
    <w:p w14:paraId="282930D9" w14:textId="77777777" w:rsidR="006807EF" w:rsidRPr="00361C46" w:rsidRDefault="006807EF" w:rsidP="006807EF">
      <w:r w:rsidRPr="00361C46">
        <w:t>Pranešta apie paprastai besimptomės splenomegalijos atvejus bei blužnies plyšimo atvejus pacientams ar sveikiems donorams po Neupogen vartojimo. Kai kurie blužnies plyšimo atvejai buvo mirtini. Dėl šios priežasties būtina atidžiai stebėti blužnies dydį (pvz., atliekant klinikinį ištyrimą ar ultragarsinį tyrimą). Donorams ir (arba) pacientams blužnies plyšimo diagnozę reikia įtarti, jei pasireiškia skausmas kairojoje viršutinėje pilvo dalyje ar peties viršūnėje. Nustatyta, kad Neupogen dozės sumažinimas sulėtino ar sustabdė blužnies didėjimą pacientams, kuriems yra sunki lėtinė neutropenija, o 3% pacientų prireikė splenektomijos.</w:t>
      </w:r>
    </w:p>
    <w:p w14:paraId="4F43B98A" w14:textId="77777777" w:rsidR="00213DF5" w:rsidRPr="00561A49" w:rsidRDefault="00213DF5" w:rsidP="00213DF5"/>
    <w:p w14:paraId="7431D2A0" w14:textId="77777777" w:rsidR="00213DF5" w:rsidRPr="00C62D7B" w:rsidRDefault="00213DF5" w:rsidP="00621D88">
      <w:pPr>
        <w:pStyle w:val="Antrat3"/>
      </w:pPr>
      <w:r w:rsidRPr="00C62D7B">
        <w:lastRenderedPageBreak/>
        <w:t>Piktybinių ląstelių augimas</w:t>
      </w:r>
    </w:p>
    <w:p w14:paraId="366A28C1" w14:textId="77777777" w:rsidR="00213DF5" w:rsidRPr="00561A49" w:rsidRDefault="00213DF5" w:rsidP="00213DF5"/>
    <w:p w14:paraId="21AA4BDB" w14:textId="77777777" w:rsidR="00213DF5" w:rsidRDefault="00213DF5" w:rsidP="00213DF5">
      <w:r w:rsidRPr="00561A49">
        <w:t xml:space="preserve">Granulocitų kolonijas stimuliuojantis faktorius gali skatinti mieloidinių ląstelių augimą </w:t>
      </w:r>
      <w:r w:rsidRPr="007240E0">
        <w:rPr>
          <w:i/>
        </w:rPr>
        <w:t>in vitro</w:t>
      </w:r>
      <w:r w:rsidRPr="00561A49">
        <w:t xml:space="preserve">, panašus poveikis gali būti stebimas ir kai kurioms nemieloidinėms ląstelėms </w:t>
      </w:r>
      <w:r w:rsidRPr="00561A49">
        <w:rPr>
          <w:i/>
          <w:iCs/>
        </w:rPr>
        <w:t>in vitro</w:t>
      </w:r>
      <w:r w:rsidRPr="00561A49">
        <w:t xml:space="preserve">. </w:t>
      </w:r>
    </w:p>
    <w:p w14:paraId="1D2CDEF0" w14:textId="77777777" w:rsidR="006807EF" w:rsidRPr="00561A49" w:rsidRDefault="006807EF" w:rsidP="00213DF5"/>
    <w:p w14:paraId="5D715083" w14:textId="77777777" w:rsidR="006807EF" w:rsidRPr="00361C46" w:rsidRDefault="006807EF" w:rsidP="006807EF">
      <w:pPr>
        <w:rPr>
          <w:i/>
        </w:rPr>
      </w:pPr>
      <w:r w:rsidRPr="00361C46">
        <w:rPr>
          <w:i/>
        </w:rPr>
        <w:t>Mielodisplazijos sindromas arba lėtinė mieloidinė leukemija</w:t>
      </w:r>
    </w:p>
    <w:p w14:paraId="5F2A9BB0" w14:textId="77777777" w:rsidR="00213DF5" w:rsidRPr="00561A49" w:rsidRDefault="00213DF5" w:rsidP="00213DF5"/>
    <w:p w14:paraId="00A39093" w14:textId="77777777" w:rsidR="00213DF5" w:rsidRPr="00561A49" w:rsidRDefault="00213DF5" w:rsidP="00213DF5">
      <w:r w:rsidRPr="00561A49">
        <w:t>Nenustatyta, ar saugu ir efektyvu vartoti Neupogen ligoniams, sergantiems mielodisplazijos sindromu arba lėtine mieloidine leukemija. Neupogen neskiriama esant šioms ligoms. Būtina ypač atidžiai diferencijuoti lėtinės mieloidinės leukemijos blastinę transformaciją nuo ūminės mieloidinės leukemijos.</w:t>
      </w:r>
    </w:p>
    <w:p w14:paraId="1DEDFE84" w14:textId="77777777" w:rsidR="00213DF5" w:rsidRPr="00561A49" w:rsidRDefault="00213DF5" w:rsidP="00213DF5"/>
    <w:p w14:paraId="4E49E0C0" w14:textId="77777777" w:rsidR="006807EF" w:rsidRPr="00361C46" w:rsidRDefault="006807EF" w:rsidP="006807EF">
      <w:r w:rsidRPr="00361C46">
        <w:rPr>
          <w:i/>
        </w:rPr>
        <w:t>Ūminė mieloidinė leukemija</w:t>
      </w:r>
      <w:r w:rsidRPr="00361C46">
        <w:t xml:space="preserve"> </w:t>
      </w:r>
    </w:p>
    <w:p w14:paraId="03400015" w14:textId="77777777" w:rsidR="006807EF" w:rsidRPr="00361C46" w:rsidRDefault="006807EF" w:rsidP="006807EF"/>
    <w:p w14:paraId="494FC4A6" w14:textId="77777777" w:rsidR="006807EF" w:rsidRPr="00361C46" w:rsidRDefault="006807EF" w:rsidP="006807EF">
      <w:r w:rsidRPr="00361C46">
        <w:t xml:space="preserve">Dėl nepakankamų saugumo ir </w:t>
      </w:r>
      <w:r w:rsidR="007207A4">
        <w:t>veiksmingumo</w:t>
      </w:r>
      <w:r w:rsidRPr="00361C46">
        <w:t xml:space="preserve"> duomenų pacientams, sergantiems antrine ūmine mieloidine leukemija, Neupogen reikia skirti atsargiai. Nenustatytas Neupogen saugumas ir </w:t>
      </w:r>
      <w:r w:rsidR="007207A4">
        <w:t>veiksmingumas</w:t>
      </w:r>
      <w:r w:rsidRPr="00361C46">
        <w:t xml:space="preserve"> gydant </w:t>
      </w:r>
      <w:r w:rsidRPr="00361C46">
        <w:rPr>
          <w:i/>
          <w:iCs/>
        </w:rPr>
        <w:t>de novo</w:t>
      </w:r>
      <w:r w:rsidRPr="00361C46">
        <w:t xml:space="preserve"> ūmine mieloidine leukemija sergančius jaunesnius negu 55</w:t>
      </w:r>
      <w:r w:rsidR="00CA4194">
        <w:t> </w:t>
      </w:r>
      <w:r w:rsidRPr="00361C46">
        <w:t>metų pacientus su palankiais citogenetikos rodikliais (t(8;21), t(15;17), ir inv(16)).</w:t>
      </w:r>
    </w:p>
    <w:p w14:paraId="1437F5CB" w14:textId="77777777" w:rsidR="006807EF" w:rsidRPr="00361C46" w:rsidRDefault="006807EF" w:rsidP="006807EF"/>
    <w:p w14:paraId="41DD1CED" w14:textId="77777777" w:rsidR="006807EF" w:rsidRPr="00361C46" w:rsidRDefault="006807EF" w:rsidP="006807EF">
      <w:r w:rsidRPr="00361C46">
        <w:rPr>
          <w:i/>
        </w:rPr>
        <w:t>Trombocitopenija</w:t>
      </w:r>
    </w:p>
    <w:p w14:paraId="5AAB8211" w14:textId="77777777" w:rsidR="006807EF" w:rsidRPr="00361C46" w:rsidRDefault="006807EF" w:rsidP="006807EF"/>
    <w:p w14:paraId="00A9BB71" w14:textId="77777777" w:rsidR="006807EF" w:rsidRPr="00361C46" w:rsidRDefault="006807EF" w:rsidP="006807EF">
      <w:pPr>
        <w:pStyle w:val="lbltxt"/>
        <w:tabs>
          <w:tab w:val="left" w:pos="567"/>
        </w:tabs>
        <w:rPr>
          <w:noProof w:val="0"/>
          <w:lang w:val="lt-LT"/>
        </w:rPr>
      </w:pPr>
      <w:r w:rsidRPr="00361C46">
        <w:rPr>
          <w:bCs/>
          <w:noProof w:val="0"/>
          <w:szCs w:val="22"/>
          <w:lang w:val="lt-LT"/>
        </w:rPr>
        <w:t xml:space="preserve">Buvo dažnai pranešta apie trombocitopenijos atvejus pacientams, vartojusiems Neupogen. </w:t>
      </w:r>
      <w:r w:rsidRPr="00361C46">
        <w:rPr>
          <w:noProof w:val="0"/>
          <w:lang w:val="lt-LT"/>
        </w:rPr>
        <w:t>Reikia atidžiai stebėti trombocitų skaičių, ypač pirmąsias gydymo Neupogen savaites. Jeigu pacientams, kuriems yra sunki lėtinė neutropenija, pasireiškia trombocitopenija, t.y. trombocitų kiekis tampa mažesnis negu 100 x 10</w:t>
      </w:r>
      <w:r w:rsidRPr="00361C46">
        <w:rPr>
          <w:noProof w:val="0"/>
          <w:vertAlign w:val="superscript"/>
          <w:lang w:val="lt-LT"/>
        </w:rPr>
        <w:t>9</w:t>
      </w:r>
      <w:r w:rsidRPr="00361C46">
        <w:rPr>
          <w:noProof w:val="0"/>
          <w:lang w:val="lt-LT"/>
        </w:rPr>
        <w:t>/</w:t>
      </w:r>
      <w:r w:rsidR="005906A3">
        <w:rPr>
          <w:noProof w:val="0"/>
          <w:lang w:val="lt-LT"/>
        </w:rPr>
        <w:t>l</w:t>
      </w:r>
      <w:r w:rsidRPr="00361C46">
        <w:rPr>
          <w:noProof w:val="0"/>
          <w:lang w:val="lt-LT"/>
        </w:rPr>
        <w:t>, reikia apsvarstyti, ar gydymą šiuo vaistiniu preparatu laikinai nutraukti, ar sumažinti jo dozę.</w:t>
      </w:r>
    </w:p>
    <w:p w14:paraId="0A889BCC" w14:textId="77777777" w:rsidR="008D685A" w:rsidRPr="00E6641A" w:rsidRDefault="008D685A" w:rsidP="00D24A7B">
      <w:pPr>
        <w:rPr>
          <w:lang w:val="pt-BR"/>
        </w:rPr>
      </w:pPr>
    </w:p>
    <w:p w14:paraId="35CD8800" w14:textId="77777777" w:rsidR="00D24A7B" w:rsidRPr="00E6641A" w:rsidRDefault="00D24A7B" w:rsidP="00D24A7B">
      <w:pPr>
        <w:pStyle w:val="Antrat4"/>
        <w:rPr>
          <w:sz w:val="22"/>
          <w:szCs w:val="22"/>
        </w:rPr>
      </w:pPr>
      <w:r w:rsidRPr="00E6641A">
        <w:rPr>
          <w:sz w:val="22"/>
          <w:szCs w:val="22"/>
        </w:rPr>
        <w:t xml:space="preserve">Leukocitozė </w:t>
      </w:r>
    </w:p>
    <w:p w14:paraId="28E73165" w14:textId="77777777" w:rsidR="00D24A7B" w:rsidRPr="00E6641A" w:rsidRDefault="00D24A7B" w:rsidP="00D24A7B">
      <w:pPr>
        <w:rPr>
          <w:lang w:val="pt-BR"/>
        </w:rPr>
      </w:pPr>
    </w:p>
    <w:p w14:paraId="485EB320" w14:textId="77777777" w:rsidR="00D24A7B" w:rsidRPr="00E6641A" w:rsidRDefault="00D24A7B" w:rsidP="00D24A7B">
      <w:pPr>
        <w:rPr>
          <w:lang w:val="pt-BR"/>
        </w:rPr>
      </w:pPr>
      <w:r w:rsidRPr="00E6641A">
        <w:rPr>
          <w:lang w:val="pt-BR"/>
        </w:rPr>
        <w:t>100 x 10</w:t>
      </w:r>
      <w:r w:rsidRPr="00E6641A">
        <w:rPr>
          <w:vertAlign w:val="superscript"/>
          <w:lang w:val="pt-BR"/>
        </w:rPr>
        <w:t>9</w:t>
      </w:r>
      <w:r w:rsidRPr="00E6641A">
        <w:rPr>
          <w:lang w:val="pt-BR"/>
        </w:rPr>
        <w:t>/l ar didesnė leukocitozė buvo mažiau kaip 5%</w:t>
      </w:r>
      <w:r w:rsidR="00426633" w:rsidRPr="00426633">
        <w:t xml:space="preserve"> </w:t>
      </w:r>
      <w:r w:rsidR="00426633" w:rsidRPr="00361C46">
        <w:t>vėžiu sergančių</w:t>
      </w:r>
      <w:r w:rsidRPr="00E6641A">
        <w:rPr>
          <w:lang w:val="pt-BR"/>
        </w:rPr>
        <w:t xml:space="preserve"> pacientų, vartojusių didesnes kaip 0,3 milijono vienetų /kg per parą (3 µg/kg per parą) Neupogen dozes. Jokio nepageidaujamo poveikio, tiesiogiai susijusio su šio laipsnio leukocitoze, nepastebėta. Tačiau, atsižvelgiant į galimą riziką, susijusią su sunkia leukocitoze, gydant Neupogen, reikia reguliariai tikrinti leukocitų skaičių. Jeigu leukocitų daugiau kaip 50 x 10</w:t>
      </w:r>
      <w:r w:rsidRPr="00E6641A">
        <w:rPr>
          <w:vertAlign w:val="superscript"/>
          <w:lang w:val="pt-BR"/>
        </w:rPr>
        <w:t>9</w:t>
      </w:r>
      <w:r w:rsidRPr="00E6641A">
        <w:rPr>
          <w:lang w:val="pt-BR"/>
        </w:rPr>
        <w:t>/l (po tikėtino nadyro), gydymą Neupogen būtina nedelsiant nutraukti. Tačiau, skiriant Neupogen PKKL mobilizacijai, jo vartojimą nutraukti ar sumažinti dozę tuo atveju, jei leukocitų skaičius tampa didesnis kaip 70 x 10</w:t>
      </w:r>
      <w:r w:rsidRPr="00E6641A">
        <w:rPr>
          <w:vertAlign w:val="superscript"/>
          <w:lang w:val="pt-BR"/>
        </w:rPr>
        <w:t>9</w:t>
      </w:r>
      <w:r w:rsidRPr="00E6641A">
        <w:rPr>
          <w:lang w:val="pt-BR"/>
        </w:rPr>
        <w:t>/l.</w:t>
      </w:r>
    </w:p>
    <w:p w14:paraId="740ABEBE" w14:textId="77777777" w:rsidR="00426633" w:rsidRDefault="00426633" w:rsidP="00426633">
      <w:pPr>
        <w:rPr>
          <w:i/>
        </w:rPr>
      </w:pPr>
    </w:p>
    <w:p w14:paraId="5B448358" w14:textId="77777777" w:rsidR="00426633" w:rsidRPr="007240E0" w:rsidRDefault="00426633" w:rsidP="00426633">
      <w:pPr>
        <w:rPr>
          <w:i/>
        </w:rPr>
      </w:pPr>
      <w:r w:rsidRPr="00426633">
        <w:rPr>
          <w:i/>
        </w:rPr>
        <w:t>Imunogeniškumas</w:t>
      </w:r>
    </w:p>
    <w:p w14:paraId="6E6FBEC7" w14:textId="77777777" w:rsidR="00426633" w:rsidRPr="00426633" w:rsidRDefault="00426633" w:rsidP="00426633"/>
    <w:p w14:paraId="4FF6C324" w14:textId="77777777" w:rsidR="00426633" w:rsidRDefault="00426633" w:rsidP="00426633">
      <w:r w:rsidRPr="00426633">
        <w:t>Kaip ir vartojant visus gydomuosius baltymus yra imunogeniškumo pasireiškimo pavojus. Antikūnų prieš filgastrimą atsiradimo dažnis paprastai yra mažas. Surišančių antikūnų atsiranda, kaip ir tikimasi, iš biologinių preparatų, tačiau kol kas neutralizuojantis poveikis jiems nėra priskiriamas.</w:t>
      </w:r>
    </w:p>
    <w:p w14:paraId="48A916D1" w14:textId="77777777" w:rsidR="001B17A9" w:rsidRPr="00426633" w:rsidRDefault="001B17A9" w:rsidP="00426633"/>
    <w:p w14:paraId="19DD287E" w14:textId="77777777" w:rsidR="001B17A9" w:rsidRPr="001B17A9" w:rsidRDefault="001B17A9" w:rsidP="001B17A9">
      <w:pPr>
        <w:rPr>
          <w:i/>
        </w:rPr>
      </w:pPr>
      <w:r w:rsidRPr="001B17A9">
        <w:rPr>
          <w:i/>
        </w:rPr>
        <w:t>Aortitas</w:t>
      </w:r>
    </w:p>
    <w:p w14:paraId="54673813" w14:textId="77777777" w:rsidR="001B17A9" w:rsidRDefault="001B17A9" w:rsidP="001B17A9"/>
    <w:p w14:paraId="16DF03A0" w14:textId="77777777" w:rsidR="00426633" w:rsidRDefault="001B17A9" w:rsidP="001B17A9">
      <w:r>
        <w:t xml:space="preserve">Užregistruota atvejų, kai, </w:t>
      </w:r>
      <w:r w:rsidR="00B568FF" w:rsidRPr="00F73CF5">
        <w:t>pavartojus G-CSF, sveikiems tiriamiesiems ir pacientams, sergantiems vėžiu,</w:t>
      </w:r>
      <w:r>
        <w:t xml:space="preserve"> pasireiškė aortitas. Pasireiškė tokie simptomai kaip karščiavimas, pilvo skausmas, negalavimas, nugaros skausmas ir </w:t>
      </w:r>
      <w:r w:rsidR="00B568FF" w:rsidRPr="00F73CF5">
        <w:t>padidėję</w:t>
      </w:r>
      <w:r>
        <w:t xml:space="preserve"> uždegimo žymenų rodikliai (pvz., C-reaktyvaus baltymo kiekis ir baltųjų kraujo kūnelių skaičius). Daugeliu atvejų aortitas diagnozuotas atlikus</w:t>
      </w:r>
      <w:r w:rsidRPr="001B17A9">
        <w:t xml:space="preserve"> </w:t>
      </w:r>
      <w:r>
        <w:t xml:space="preserve">kompiuterinės tomografijos tyrimą ir paprastai praeidavo nustojus vartoti G-CSF. </w:t>
      </w:r>
      <w:r w:rsidR="005B68C5">
        <w:t>Taip pat ž</w:t>
      </w:r>
      <w:r>
        <w:t>r. 4.8 skyrių.</w:t>
      </w:r>
    </w:p>
    <w:p w14:paraId="049AD8FC" w14:textId="77777777" w:rsidR="001B17A9" w:rsidRPr="00426633" w:rsidRDefault="001B17A9" w:rsidP="001B17A9">
      <w:pPr>
        <w:rPr>
          <w:i/>
        </w:rPr>
      </w:pPr>
    </w:p>
    <w:p w14:paraId="4382F671" w14:textId="77777777" w:rsidR="00426633" w:rsidRPr="00426633" w:rsidRDefault="00426633" w:rsidP="00A70C8C">
      <w:pPr>
        <w:keepNext/>
        <w:rPr>
          <w:u w:val="single"/>
        </w:rPr>
      </w:pPr>
      <w:r w:rsidRPr="00426633">
        <w:rPr>
          <w:u w:val="single"/>
        </w:rPr>
        <w:lastRenderedPageBreak/>
        <w:t>Specialūs įspėjimai ir atsargumo priemonės, susiję su kitomis ligomis</w:t>
      </w:r>
    </w:p>
    <w:p w14:paraId="12351E0D" w14:textId="77777777" w:rsidR="00426633" w:rsidRPr="00426633" w:rsidRDefault="00426633" w:rsidP="00A70C8C">
      <w:pPr>
        <w:keepNext/>
      </w:pPr>
    </w:p>
    <w:p w14:paraId="1ACE99C3" w14:textId="77777777" w:rsidR="00426633" w:rsidRPr="00426633" w:rsidRDefault="00426633" w:rsidP="00A70C8C">
      <w:pPr>
        <w:keepNext/>
        <w:rPr>
          <w:bCs/>
          <w:i/>
        </w:rPr>
      </w:pPr>
      <w:r w:rsidRPr="00426633">
        <w:rPr>
          <w:bCs/>
          <w:i/>
        </w:rPr>
        <w:t>Specialios atsargumo priemonės pjautuvinės anemijos geno nešiotojams ir sergant pjautuvine anemija</w:t>
      </w:r>
    </w:p>
    <w:p w14:paraId="02ED9ACC" w14:textId="77777777" w:rsidR="00426633" w:rsidRPr="00426633" w:rsidRDefault="00426633" w:rsidP="00A70C8C">
      <w:pPr>
        <w:keepNext/>
      </w:pPr>
    </w:p>
    <w:p w14:paraId="70582620" w14:textId="77777777" w:rsidR="00426633" w:rsidRPr="00426633" w:rsidRDefault="00426633" w:rsidP="00A70C8C">
      <w:pPr>
        <w:keepNext/>
      </w:pPr>
      <w:r w:rsidRPr="00426633">
        <w:t>Pjautuvine anemija sergantiems pacientams bei šios ligos geno nešiotojams Neupogen vartojimas provokavo ligos krizę, kuri kartais buvo mirtina. Gydytojai privalo atsargiai skirti Neupogen pjautuvinės anemijos geno nešiotojams ar pjautuvine anemija sergantiems pacientams.</w:t>
      </w:r>
    </w:p>
    <w:p w14:paraId="00BB854E" w14:textId="77777777" w:rsidR="00426633" w:rsidRPr="00426633" w:rsidRDefault="00426633" w:rsidP="00426633">
      <w:pPr>
        <w:rPr>
          <w:i/>
        </w:rPr>
      </w:pPr>
    </w:p>
    <w:p w14:paraId="34F5A620" w14:textId="77777777" w:rsidR="00426633" w:rsidRPr="00426633" w:rsidRDefault="00426633" w:rsidP="00426633">
      <w:pPr>
        <w:rPr>
          <w:bCs/>
          <w:i/>
        </w:rPr>
      </w:pPr>
      <w:r w:rsidRPr="00426633">
        <w:rPr>
          <w:bCs/>
          <w:i/>
        </w:rPr>
        <w:t>Osteoporozė</w:t>
      </w:r>
    </w:p>
    <w:p w14:paraId="4EF2FA95" w14:textId="77777777" w:rsidR="00426633" w:rsidRPr="00426633" w:rsidRDefault="00426633" w:rsidP="00426633"/>
    <w:p w14:paraId="5A840D1E" w14:textId="77777777" w:rsidR="00426633" w:rsidRPr="00426633" w:rsidRDefault="00426633" w:rsidP="00426633">
      <w:r w:rsidRPr="00426633">
        <w:t>Ligoniams, sergantiems osteoporozine kaulų liga ir be pertraukos ilgiau kaip 6 mėnesius gydomiems Neupogen, gali prireikti stebėti kaulų tankį.</w:t>
      </w:r>
    </w:p>
    <w:p w14:paraId="16F8181C" w14:textId="77777777" w:rsidR="00426633" w:rsidRPr="00426633" w:rsidRDefault="00426633" w:rsidP="00426633"/>
    <w:p w14:paraId="46C1A657" w14:textId="77777777" w:rsidR="00426633" w:rsidRPr="00426633" w:rsidRDefault="00426633" w:rsidP="007240E0">
      <w:pPr>
        <w:keepNext/>
        <w:rPr>
          <w:bCs/>
          <w:u w:val="single"/>
        </w:rPr>
      </w:pPr>
      <w:r w:rsidRPr="00426633">
        <w:rPr>
          <w:bCs/>
          <w:u w:val="single"/>
        </w:rPr>
        <w:t>Specialieji įspėjimai vėžiu sergantiems pacientams</w:t>
      </w:r>
    </w:p>
    <w:p w14:paraId="0E172BFA" w14:textId="77777777" w:rsidR="00426633" w:rsidRPr="00426633" w:rsidRDefault="00426633" w:rsidP="007240E0">
      <w:pPr>
        <w:keepNext/>
        <w:rPr>
          <w:i/>
        </w:rPr>
      </w:pPr>
    </w:p>
    <w:p w14:paraId="29FEDD87" w14:textId="77777777" w:rsidR="00426633" w:rsidRPr="00426633" w:rsidRDefault="00426633" w:rsidP="007240E0">
      <w:pPr>
        <w:keepNext/>
      </w:pPr>
      <w:r w:rsidRPr="00426633">
        <w:t>Neupogen negalima vartoti norint padidinti citotoksinių chemoterapinių vaistinių preparatų dozes daugiau negu nurodyta nustatytose dozavimo schemose.</w:t>
      </w:r>
    </w:p>
    <w:p w14:paraId="3185575D" w14:textId="77777777" w:rsidR="00D24A7B" w:rsidRPr="00E6641A" w:rsidRDefault="00D24A7B" w:rsidP="00D24A7B">
      <w:pPr>
        <w:rPr>
          <w:lang w:val="pt-BR"/>
        </w:rPr>
      </w:pPr>
    </w:p>
    <w:p w14:paraId="63756406" w14:textId="77777777" w:rsidR="00D24A7B" w:rsidRPr="00E6641A" w:rsidRDefault="00D24A7B" w:rsidP="00D24A7B">
      <w:pPr>
        <w:pStyle w:val="Antrat4"/>
        <w:rPr>
          <w:sz w:val="22"/>
          <w:szCs w:val="22"/>
        </w:rPr>
      </w:pPr>
      <w:r w:rsidRPr="00E6641A">
        <w:rPr>
          <w:sz w:val="22"/>
          <w:szCs w:val="22"/>
        </w:rPr>
        <w:t xml:space="preserve">Rizika, susijusi su didelių dozių chemoterapija </w:t>
      </w:r>
    </w:p>
    <w:p w14:paraId="298B20D5" w14:textId="77777777" w:rsidR="00D24A7B" w:rsidRPr="00E6641A" w:rsidRDefault="00D24A7B" w:rsidP="00D24A7B">
      <w:pPr>
        <w:rPr>
          <w:lang w:val="pt-BR"/>
        </w:rPr>
      </w:pPr>
    </w:p>
    <w:p w14:paraId="59775F5F" w14:textId="77777777" w:rsidR="00D24A7B" w:rsidRPr="00E6641A" w:rsidRDefault="00D24A7B" w:rsidP="00D24A7B">
      <w:pPr>
        <w:rPr>
          <w:lang w:val="pt-BR"/>
        </w:rPr>
      </w:pPr>
      <w:r w:rsidRPr="00E6641A">
        <w:rPr>
          <w:lang w:val="pt-BR"/>
        </w:rPr>
        <w:t xml:space="preserve">Ypatingo atsargumo reikia laikytis gydant ligonius didelėmis citostatikų dozėmis, nes neįrodyta, kad toks gydymas pagerintų </w:t>
      </w:r>
      <w:r w:rsidR="00426633">
        <w:rPr>
          <w:lang w:val="pt-BR"/>
        </w:rPr>
        <w:t>navikų baigtis</w:t>
      </w:r>
      <w:r w:rsidRPr="00E6641A">
        <w:rPr>
          <w:lang w:val="pt-BR"/>
        </w:rPr>
        <w:t>, o didesnės chemoterapinių vaistinių preparatų dozės gali padidinti toksinį poveikį širdžiai, plaučiams, nervų sistemai ir odai (vadovaukitės specifinių chemoterapinių vaistų charakteristikų santrauka).</w:t>
      </w:r>
    </w:p>
    <w:p w14:paraId="5392B11A" w14:textId="77777777" w:rsidR="00D24A7B" w:rsidRDefault="00D24A7B" w:rsidP="00D24A7B">
      <w:pPr>
        <w:rPr>
          <w:lang w:val="pt-BR"/>
        </w:rPr>
      </w:pPr>
    </w:p>
    <w:p w14:paraId="3DA11A5F" w14:textId="77777777" w:rsidR="00426633" w:rsidRPr="00426633" w:rsidRDefault="00426633" w:rsidP="00426633">
      <w:pPr>
        <w:rPr>
          <w:i/>
        </w:rPr>
      </w:pPr>
      <w:r w:rsidRPr="00426633">
        <w:rPr>
          <w:i/>
        </w:rPr>
        <w:t xml:space="preserve">Chemoterapijos poveikis eritrocitams ir trombocitams </w:t>
      </w:r>
    </w:p>
    <w:p w14:paraId="687D85E0" w14:textId="77777777" w:rsidR="00426633" w:rsidRPr="00E6641A" w:rsidRDefault="00426633" w:rsidP="00D24A7B">
      <w:pPr>
        <w:rPr>
          <w:lang w:val="pt-BR"/>
        </w:rPr>
      </w:pPr>
    </w:p>
    <w:p w14:paraId="3285DAA3" w14:textId="77777777" w:rsidR="00D24A7B" w:rsidRPr="00E6641A" w:rsidRDefault="00D24A7B" w:rsidP="00D24A7B">
      <w:pPr>
        <w:rPr>
          <w:lang w:val="pt-BR"/>
        </w:rPr>
      </w:pPr>
      <w:r w:rsidRPr="00E6641A">
        <w:rPr>
          <w:lang w:val="pt-BR"/>
        </w:rPr>
        <w:t xml:space="preserve">Gydymas vien Neupogen neapsaugo nuo mielosupresinės chemoterapijos sukeliamos trombocitopenijos ir anemijos. Dėl galimai didesnių chemoterapijos dozių (pvz., visų paskirtos schemos dozių), pacientui </w:t>
      </w:r>
      <w:r w:rsidR="003B6323">
        <w:rPr>
          <w:lang w:val="pt-BR"/>
        </w:rPr>
        <w:t>gali būti</w:t>
      </w:r>
      <w:r w:rsidR="003B6323" w:rsidRPr="00E6641A">
        <w:rPr>
          <w:lang w:val="pt-BR"/>
        </w:rPr>
        <w:t xml:space="preserve"> </w:t>
      </w:r>
      <w:r w:rsidRPr="00E6641A">
        <w:rPr>
          <w:lang w:val="pt-BR"/>
        </w:rPr>
        <w:t>didesnė trombocitopenijos ir anemijos rizika. Rekomenduojama reguliariai tikrinti trombocitų skaičių ir hematokrito rodiklį. Ypatinga priežiūra reikalinga pacientui, vartojančiam vieną chemoterapijos vaistinį preparatą ar jų derinį, sukeliantį sunkią trombocitopeniją.</w:t>
      </w:r>
    </w:p>
    <w:p w14:paraId="54216725" w14:textId="77777777" w:rsidR="00D24A7B" w:rsidRPr="00E6641A" w:rsidRDefault="00D24A7B" w:rsidP="00D24A7B">
      <w:pPr>
        <w:rPr>
          <w:lang w:val="pt-BR"/>
        </w:rPr>
      </w:pPr>
    </w:p>
    <w:p w14:paraId="207EDEAB" w14:textId="77777777" w:rsidR="00D24A7B" w:rsidRPr="00E6641A" w:rsidRDefault="00D24A7B" w:rsidP="00D24A7B">
      <w:pPr>
        <w:rPr>
          <w:lang w:val="pt-BR"/>
        </w:rPr>
      </w:pPr>
      <w:r w:rsidRPr="00E6641A">
        <w:rPr>
          <w:lang w:val="pt-BR"/>
        </w:rPr>
        <w:t>Įrodyta, kad vartojant Neupogen mobilizuotas PKKL, sumažėja trombocitopenijos po mielosupresinės arba mieloabliacinės chemoterapijos sunkumas ir trukmė.</w:t>
      </w:r>
    </w:p>
    <w:p w14:paraId="3E3112FF" w14:textId="77777777" w:rsidR="00D24A7B" w:rsidRPr="00E6641A" w:rsidRDefault="00D24A7B" w:rsidP="00D24A7B">
      <w:pPr>
        <w:rPr>
          <w:lang w:val="pt-BR"/>
        </w:rPr>
      </w:pPr>
    </w:p>
    <w:p w14:paraId="7BB2A869" w14:textId="77777777" w:rsidR="003B6323" w:rsidRPr="007240E0" w:rsidRDefault="003B6323" w:rsidP="003B6323">
      <w:pPr>
        <w:rPr>
          <w:i/>
        </w:rPr>
      </w:pPr>
      <w:r w:rsidRPr="003B6323">
        <w:rPr>
          <w:i/>
        </w:rPr>
        <w:t>Kitos specialios atsargumo priemonės</w:t>
      </w:r>
    </w:p>
    <w:p w14:paraId="0FF3B3F1" w14:textId="77777777" w:rsidR="00D24A7B" w:rsidRPr="00E6641A" w:rsidRDefault="00D24A7B" w:rsidP="00D24A7B">
      <w:pPr>
        <w:rPr>
          <w:lang w:val="pt-BR"/>
        </w:rPr>
      </w:pPr>
    </w:p>
    <w:p w14:paraId="134AD854" w14:textId="77777777" w:rsidR="00D24A7B" w:rsidRPr="00E6641A" w:rsidRDefault="00D24A7B" w:rsidP="00D24A7B">
      <w:pPr>
        <w:rPr>
          <w:lang w:val="pt-BR"/>
        </w:rPr>
      </w:pPr>
      <w:r w:rsidRPr="00E6641A">
        <w:rPr>
          <w:lang w:val="pt-BR"/>
        </w:rPr>
        <w:t>Ligoniams, kuriems labai sumažėję mieloidinių kamieninių ląstelių, Neupogen poveikis netirtas. Vaistinis preparatas pirmiausia veikia neutrofilų eilės kamienines ląsteles ir skatina neutrofilų skaičiaus didėjimą. Todėl pacientams, kuriems</w:t>
      </w:r>
      <w:r w:rsidR="003B6323">
        <w:rPr>
          <w:lang w:val="pt-BR"/>
        </w:rPr>
        <w:t xml:space="preserve"> </w:t>
      </w:r>
      <w:r w:rsidR="003B6323" w:rsidRPr="00361C46">
        <w:t>neutrofilų eilės</w:t>
      </w:r>
      <w:r w:rsidRPr="00E6641A">
        <w:rPr>
          <w:lang w:val="pt-BR"/>
        </w:rPr>
        <w:t xml:space="preserve"> kamieninių ląstelių sumažėję (pvz., taikant intensyvų spindulinį arba chemoterapinį gydymą bei tada, kai navikas infiltruoja kaulų čiulpus), neutrofilų atsakas gali būti mažesnis.</w:t>
      </w:r>
    </w:p>
    <w:p w14:paraId="3959D5B3" w14:textId="77777777" w:rsidR="00D24A7B" w:rsidRPr="00E6641A" w:rsidRDefault="00D24A7B" w:rsidP="00D24A7B">
      <w:pPr>
        <w:rPr>
          <w:lang w:val="pt-BR"/>
        </w:rPr>
      </w:pPr>
    </w:p>
    <w:p w14:paraId="4667FCEF" w14:textId="77777777" w:rsidR="00285439" w:rsidRPr="00E6641A" w:rsidRDefault="00285439" w:rsidP="00285439">
      <w:r w:rsidRPr="00E6641A">
        <w:rPr>
          <w:lang w:val="pt-BR"/>
        </w:rPr>
        <w:t>Kraujagyslių sutrikimai, įskaitant venų okliuzinę ligą, ir skysčių tūrio pokyčiai retkarčiais pasitaikė pacientams, kuriems taikyta didelių dozių chemoterapija ir po jos transplantacija.</w:t>
      </w:r>
    </w:p>
    <w:p w14:paraId="1E5F2C8D" w14:textId="77777777" w:rsidR="00285439" w:rsidRPr="00E6641A" w:rsidRDefault="00285439" w:rsidP="00D24A7B"/>
    <w:p w14:paraId="443CDAE4" w14:textId="77777777" w:rsidR="00D24A7B" w:rsidRPr="00E6641A" w:rsidRDefault="00D24A7B" w:rsidP="00D24A7B">
      <w:pPr>
        <w:rPr>
          <w:lang w:val="pt-BR"/>
        </w:rPr>
      </w:pPr>
      <w:r w:rsidRPr="00E6641A">
        <w:rPr>
          <w:lang w:val="pt-BR"/>
        </w:rPr>
        <w:t xml:space="preserve">G-KSF vartojusiems pacientams po alogeninės kaulų čiulpų transplantacijos registruota transplantato prieš šeimininką ligos ir mirties atvejų (žr </w:t>
      </w:r>
      <w:r w:rsidR="00285439" w:rsidRPr="00E6641A">
        <w:rPr>
          <w:lang w:val="pt-BR"/>
        </w:rPr>
        <w:t xml:space="preserve">4.8 ir </w:t>
      </w:r>
      <w:r w:rsidRPr="00E6641A">
        <w:rPr>
          <w:lang w:val="pt-BR"/>
        </w:rPr>
        <w:t>5.1 skyrių).</w:t>
      </w:r>
    </w:p>
    <w:p w14:paraId="6DA6231C" w14:textId="77777777" w:rsidR="00D24A7B" w:rsidRPr="00E6641A" w:rsidRDefault="00D24A7B" w:rsidP="00D24A7B">
      <w:pPr>
        <w:rPr>
          <w:lang w:val="pt-BR"/>
        </w:rPr>
      </w:pPr>
    </w:p>
    <w:p w14:paraId="199DD18D" w14:textId="77777777" w:rsidR="00D24A7B" w:rsidRPr="00E6641A" w:rsidRDefault="00D24A7B" w:rsidP="00D24A7B">
      <w:pPr>
        <w:rPr>
          <w:lang w:val="pt-BR"/>
        </w:rPr>
      </w:pPr>
      <w:r w:rsidRPr="00E6641A">
        <w:rPr>
          <w:lang w:val="pt-BR"/>
        </w:rPr>
        <w:t xml:space="preserve">Gydant augimo faktoriumi dėl suintensyvėjusios hemopoezės kaulų čiulpuose laikinai pakito vaizdai kaulų skenavimo metu. Tai svarbu atsiminti vertinant kaulų </w:t>
      </w:r>
      <w:r w:rsidR="003B6323" w:rsidRPr="00361C46">
        <w:t xml:space="preserve">vaizdinius </w:t>
      </w:r>
      <w:r w:rsidRPr="00E6641A">
        <w:rPr>
          <w:lang w:val="pt-BR"/>
        </w:rPr>
        <w:t>tyrimus.</w:t>
      </w:r>
    </w:p>
    <w:p w14:paraId="567CC2BF" w14:textId="77777777" w:rsidR="00D24A7B" w:rsidRPr="00E6641A" w:rsidRDefault="00D24A7B" w:rsidP="00D24A7B">
      <w:pPr>
        <w:rPr>
          <w:lang w:val="pt-BR"/>
        </w:rPr>
      </w:pPr>
    </w:p>
    <w:p w14:paraId="0B47FFE4" w14:textId="77777777" w:rsidR="003B6323" w:rsidRPr="00621D88" w:rsidRDefault="003B6323" w:rsidP="00720682">
      <w:pPr>
        <w:pStyle w:val="Antrat3"/>
      </w:pPr>
      <w:r w:rsidRPr="00621D88">
        <w:lastRenderedPageBreak/>
        <w:t>Specialios atsargumo priemonės</w:t>
      </w:r>
      <w:r w:rsidRPr="00621D88" w:rsidDel="00B5143A">
        <w:t xml:space="preserve"> </w:t>
      </w:r>
      <w:r w:rsidRPr="00415E3F">
        <w:t>pacientams, kuriems atliekama periferinio kraujo kamieninių ląstelių mobilizacija</w:t>
      </w:r>
    </w:p>
    <w:p w14:paraId="643093E2" w14:textId="77777777" w:rsidR="00D24A7B" w:rsidRPr="00E6641A" w:rsidRDefault="00D24A7B" w:rsidP="00A70C8C">
      <w:pPr>
        <w:keepNext/>
        <w:rPr>
          <w:lang w:val="pt-BR"/>
        </w:rPr>
      </w:pPr>
    </w:p>
    <w:p w14:paraId="36A63EF0" w14:textId="77777777" w:rsidR="00D24A7B" w:rsidRPr="00E6641A" w:rsidRDefault="00D24A7B" w:rsidP="00A70C8C">
      <w:pPr>
        <w:pStyle w:val="Antrat4"/>
        <w:keepNext/>
        <w:rPr>
          <w:sz w:val="22"/>
          <w:szCs w:val="22"/>
        </w:rPr>
      </w:pPr>
      <w:r w:rsidRPr="00E6641A">
        <w:rPr>
          <w:sz w:val="22"/>
          <w:szCs w:val="22"/>
        </w:rPr>
        <w:t>Mobilizacija</w:t>
      </w:r>
    </w:p>
    <w:p w14:paraId="22C93E01" w14:textId="77777777" w:rsidR="00D24A7B" w:rsidRPr="00E6641A" w:rsidRDefault="00D24A7B" w:rsidP="00A70C8C">
      <w:pPr>
        <w:keepNext/>
        <w:rPr>
          <w:lang w:val="pt-BR"/>
        </w:rPr>
      </w:pPr>
    </w:p>
    <w:p w14:paraId="1D5C6469" w14:textId="77777777" w:rsidR="00D24A7B" w:rsidRPr="00CF7C4C" w:rsidRDefault="00D24A7B" w:rsidP="00A70C8C">
      <w:pPr>
        <w:keepNext/>
        <w:rPr>
          <w:lang w:val="pt-BR"/>
        </w:rPr>
      </w:pPr>
      <w:r w:rsidRPr="00E6641A">
        <w:rPr>
          <w:lang w:val="pt-BR"/>
        </w:rPr>
        <w:t>Neatlikta perspektyvinių randomizuotų tos pačios pacientų populiacijos tyrimų, lyginančių du rekomenduojamus mobilizacijos metodus (vartojant vien Neupogen arba derinant jį su mielosupresine chemoterapija). Atskirų pacientų skirtumai ir laboratorinių CD34</w:t>
      </w:r>
      <w:r w:rsidRPr="00CF7C4C">
        <w:rPr>
          <w:vertAlign w:val="superscript"/>
        </w:rPr>
        <w:sym w:font="Symbol" w:char="F02B"/>
      </w:r>
      <w:r w:rsidRPr="00CF7C4C">
        <w:rPr>
          <w:lang w:val="pt-BR"/>
        </w:rPr>
        <w:t xml:space="preserve"> ląstelių tyrimų </w:t>
      </w:r>
      <w:r w:rsidR="00A35AE5" w:rsidRPr="00361C46">
        <w:t>rezultatų svyravimai</w:t>
      </w:r>
      <w:r w:rsidRPr="00CF7C4C">
        <w:rPr>
          <w:lang w:val="pt-BR"/>
        </w:rPr>
        <w:t xml:space="preserve"> rodo, kad sunku tiesiogiai palyginti skirtingų tyrimų rezultatus. Todėl sunku rekomenduoti optimalų metodą. Mobilizacijos metodą reikia pasirinkti atsižvelgiant į individualaus paciento gydymo tikslus.</w:t>
      </w:r>
    </w:p>
    <w:p w14:paraId="7C84E4E3" w14:textId="77777777" w:rsidR="00D24A7B" w:rsidRPr="00CF7C4C" w:rsidRDefault="00D24A7B" w:rsidP="00D24A7B">
      <w:pPr>
        <w:rPr>
          <w:lang w:val="pt-BR"/>
        </w:rPr>
      </w:pPr>
    </w:p>
    <w:p w14:paraId="114DC304" w14:textId="77777777" w:rsidR="00D24A7B" w:rsidRPr="00CF7C4C" w:rsidRDefault="00D24A7B" w:rsidP="00D24A7B">
      <w:pPr>
        <w:pStyle w:val="Antrat4"/>
        <w:rPr>
          <w:sz w:val="22"/>
          <w:szCs w:val="22"/>
        </w:rPr>
      </w:pPr>
      <w:r w:rsidRPr="00CF7C4C">
        <w:rPr>
          <w:sz w:val="22"/>
          <w:szCs w:val="22"/>
        </w:rPr>
        <w:t>Prieš skiriant citotoksinius vaistinius preparatus</w:t>
      </w:r>
    </w:p>
    <w:p w14:paraId="6F3F2F51" w14:textId="77777777" w:rsidR="00D24A7B" w:rsidRPr="00CF7C4C" w:rsidRDefault="00D24A7B" w:rsidP="00D24A7B">
      <w:pPr>
        <w:rPr>
          <w:lang w:val="pt-BR"/>
        </w:rPr>
      </w:pPr>
    </w:p>
    <w:p w14:paraId="66071F79" w14:textId="77777777" w:rsidR="00D24A7B" w:rsidRPr="00CF7C4C" w:rsidRDefault="00D24A7B" w:rsidP="00D24A7B">
      <w:pPr>
        <w:rPr>
          <w:lang w:val="pt-BR"/>
        </w:rPr>
      </w:pPr>
      <w:r w:rsidRPr="001A3D9A">
        <w:rPr>
          <w:lang w:val="pt-BR"/>
        </w:rPr>
        <w:t>Pacientams, kuriems anksčiau buvo skirtas labai ekstensyvus mielosupresinis gydymas, PKKL mobilizacija gali būti nepakankama rekomenduojamam mažiausiam kiekiui (</w:t>
      </w:r>
      <w:r w:rsidR="00237A18">
        <w:t>≥</w:t>
      </w:r>
      <w:r w:rsidRPr="00CF7C4C">
        <w:rPr>
          <w:lang w:val="pt-BR"/>
        </w:rPr>
        <w:t> 2,</w:t>
      </w:r>
      <w:r w:rsidRPr="00CF7C4C">
        <w:sym w:font="Times New Roman" w:char="0030"/>
      </w:r>
      <w:r w:rsidRPr="00CF7C4C">
        <w:rPr>
          <w:lang w:val="pt-BR"/>
        </w:rPr>
        <w:t> x </w:t>
      </w:r>
      <w:r w:rsidRPr="00CF7C4C">
        <w:sym w:font="Symbol" w:char="F031"/>
      </w:r>
      <w:r w:rsidRPr="00CF7C4C">
        <w:sym w:font="Times New Roman" w:char="0030"/>
      </w:r>
      <w:r w:rsidRPr="00CF7C4C">
        <w:rPr>
          <w:vertAlign w:val="superscript"/>
        </w:rPr>
        <w:sym w:font="Symbol" w:char="F036"/>
      </w:r>
      <w:r w:rsidRPr="00CF7C4C">
        <w:rPr>
          <w:lang w:val="pt-BR"/>
        </w:rPr>
        <w:t xml:space="preserve"> CD34</w:t>
      </w:r>
      <w:r w:rsidRPr="00CF7C4C">
        <w:rPr>
          <w:vertAlign w:val="superscript"/>
        </w:rPr>
        <w:sym w:font="Symbol" w:char="F02B"/>
      </w:r>
      <w:r w:rsidRPr="00CF7C4C">
        <w:rPr>
          <w:lang w:val="pt-BR"/>
        </w:rPr>
        <w:t xml:space="preserve"> ląstelių/kg) arba tokio pat laipsnio trombocitų atsistatymo pagreitėjimui pasiekti. </w:t>
      </w:r>
    </w:p>
    <w:p w14:paraId="3A4F5846" w14:textId="77777777" w:rsidR="00D24A7B" w:rsidRPr="00CF7C4C" w:rsidRDefault="00D24A7B" w:rsidP="00D24A7B">
      <w:pPr>
        <w:rPr>
          <w:lang w:val="pt-BR"/>
        </w:rPr>
      </w:pPr>
    </w:p>
    <w:p w14:paraId="10FA3DD0" w14:textId="77777777" w:rsidR="00D24A7B" w:rsidRPr="001A3D9A" w:rsidRDefault="00D24A7B" w:rsidP="00D24A7B">
      <w:pPr>
        <w:rPr>
          <w:lang w:val="pt-BR"/>
        </w:rPr>
      </w:pPr>
      <w:r w:rsidRPr="00CF7C4C">
        <w:rPr>
          <w:lang w:val="pt-BR"/>
        </w:rPr>
        <w:t xml:space="preserve">Kai kurie citotoksiniai vaistiniai preparatai pasižymi ypatingu toksiniu poveikiu hemopoezinėms kamieninėms ląstelėms, todėl gali neigiamai veikti kamieninių ląstelių mobilizaciją. </w:t>
      </w:r>
      <w:r w:rsidR="00A35AE5" w:rsidRPr="00361C46">
        <w:t>Tokie vaistiniai preparatai kaip melfalanas</w:t>
      </w:r>
      <w:r w:rsidRPr="00CF7C4C">
        <w:rPr>
          <w:lang w:val="pt-BR"/>
        </w:rPr>
        <w:t>, karmustinas (BCNU) ir karboplatina, vartojami ilgai prieš kamieninių kraujo ląstelių mobilizaciją, gali sumažinti kamieninių ląstelių išeigą. Tačiau nustatyta, kad melfalano, karboplatinos arba BCNU derinys su Neupogen teigiamai veikia kamieninių ląstelių mobilizaciją. Numatant atlikti kamieninių kraujo ląstelių transplantaciją, patartina kamieninių ląstelių</w:t>
      </w:r>
      <w:r w:rsidRPr="001A3D9A">
        <w:rPr>
          <w:lang w:val="pt-BR"/>
        </w:rPr>
        <w:t xml:space="preserve"> mobilizaciją planuoti gydymo kurso pradžioje. Ypatingą dėmesį reikia atkreipti į tokių pacientų mobilizuotų kamieninių ląstelių skaičių prieš skiriant didelių dozių chemoterapiją. Jei pagal aukščiau nurodytus kriterijus mobilizuotų ląstelių skaičius yra nepakankamas, reikia apsvarstyti alternatyvius gydymo būdus, kuriems nereikia kamieninių ląstelių.</w:t>
      </w:r>
    </w:p>
    <w:p w14:paraId="6B2219DE" w14:textId="77777777" w:rsidR="00D24A7B" w:rsidRPr="001A3D9A" w:rsidRDefault="00D24A7B" w:rsidP="00D24A7B">
      <w:pPr>
        <w:rPr>
          <w:lang w:val="pt-BR"/>
        </w:rPr>
      </w:pPr>
    </w:p>
    <w:p w14:paraId="16475A87" w14:textId="77777777" w:rsidR="00D24A7B" w:rsidRPr="002F4AC8" w:rsidRDefault="00D24A7B" w:rsidP="00D24A7B">
      <w:pPr>
        <w:pStyle w:val="Antrat4"/>
        <w:rPr>
          <w:sz w:val="22"/>
          <w:szCs w:val="22"/>
        </w:rPr>
      </w:pPr>
      <w:r w:rsidRPr="002F4AC8">
        <w:rPr>
          <w:sz w:val="22"/>
          <w:szCs w:val="22"/>
        </w:rPr>
        <w:t>Mobilizuotų kamieninių ląstelių kiekio įvertinimas</w:t>
      </w:r>
    </w:p>
    <w:p w14:paraId="4A68B0B4" w14:textId="77777777" w:rsidR="00D24A7B" w:rsidRPr="00E6641A" w:rsidRDefault="00D24A7B" w:rsidP="00D24A7B">
      <w:pPr>
        <w:rPr>
          <w:lang w:val="pt-BR"/>
        </w:rPr>
      </w:pPr>
    </w:p>
    <w:p w14:paraId="2D4FC40E" w14:textId="77777777" w:rsidR="00A35AE5" w:rsidRPr="00361C46" w:rsidRDefault="00D24A7B" w:rsidP="00A35AE5">
      <w:r w:rsidRPr="00E6641A">
        <w:rPr>
          <w:lang w:val="pt-BR"/>
        </w:rPr>
        <w:t>Apskaičiuojant mobilizuotas kamienines ląsteles Neupogen gydytiems pacientams, ypatingas dėmesys turi būti skiriamas skaičiavimo metodui. CD</w:t>
      </w:r>
      <w:r w:rsidRPr="00CF7C4C">
        <w:sym w:font="Symbol" w:char="F033"/>
      </w:r>
      <w:r w:rsidRPr="00CF7C4C">
        <w:sym w:font="Symbol" w:char="F034"/>
      </w:r>
      <w:r w:rsidRPr="00CF7C4C">
        <w:rPr>
          <w:vertAlign w:val="superscript"/>
        </w:rPr>
        <w:sym w:font="Symbol" w:char="F02B"/>
      </w:r>
      <w:r w:rsidRPr="00CF7C4C">
        <w:rPr>
          <w:lang w:val="pt-BR"/>
        </w:rPr>
        <w:t xml:space="preserve"> ląstelių skaičiaus nustatymo tėkmės citometrija rezultatai priklauso nuo naudojamos metodologijos, todėl kitų laboratorijų rekomenduojamas </w:t>
      </w:r>
      <w:r w:rsidR="00A35AE5" w:rsidRPr="00361C46">
        <w:t>tyrimais paremtas normas reikia interpretuoti atsargiai.</w:t>
      </w:r>
    </w:p>
    <w:p w14:paraId="68211EAE" w14:textId="77777777" w:rsidR="00A35AE5" w:rsidRPr="00361C46" w:rsidRDefault="00A35AE5" w:rsidP="00A35AE5"/>
    <w:p w14:paraId="59A2F1FE" w14:textId="77777777" w:rsidR="00D24A7B" w:rsidRPr="00CF7C4C" w:rsidRDefault="00D24A7B" w:rsidP="00D24A7B">
      <w:pPr>
        <w:rPr>
          <w:lang w:val="pt-BR"/>
        </w:rPr>
      </w:pPr>
      <w:r w:rsidRPr="00CF7C4C">
        <w:rPr>
          <w:lang w:val="pt-BR"/>
        </w:rPr>
        <w:t>Atlikus ryšio tarp reinfuzuotų CD</w:t>
      </w:r>
      <w:r w:rsidRPr="00CF7C4C">
        <w:sym w:font="Symbol" w:char="F033"/>
      </w:r>
      <w:r w:rsidRPr="00CF7C4C">
        <w:sym w:font="Symbol" w:char="F034"/>
      </w:r>
      <w:r w:rsidRPr="00CF7C4C">
        <w:rPr>
          <w:vertAlign w:val="superscript"/>
        </w:rPr>
        <w:sym w:font="Symbol" w:char="F02B"/>
      </w:r>
      <w:r w:rsidRPr="00CF7C4C">
        <w:rPr>
          <w:lang w:val="pt-BR"/>
        </w:rPr>
        <w:t xml:space="preserve"> ląstelių skaičiaus ir trombocitų atsistatymo greičio po didelių dozių chemoterapijos statistinę analizę, nustatytas kompleksinis, bet nenutrūkstamas ryšys.</w:t>
      </w:r>
    </w:p>
    <w:p w14:paraId="5B2A95FB" w14:textId="77777777" w:rsidR="00D24A7B" w:rsidRPr="00CF7C4C" w:rsidRDefault="00D24A7B" w:rsidP="00D24A7B">
      <w:pPr>
        <w:rPr>
          <w:lang w:val="pt-BR"/>
        </w:rPr>
      </w:pPr>
    </w:p>
    <w:p w14:paraId="0BC8AFEE" w14:textId="77777777" w:rsidR="00D24A7B" w:rsidRPr="00CF7C4C" w:rsidRDefault="00D24A7B" w:rsidP="00D24A7B">
      <w:pPr>
        <w:rPr>
          <w:lang w:val="pt-BR"/>
        </w:rPr>
      </w:pPr>
      <w:r w:rsidRPr="00CF7C4C">
        <w:rPr>
          <w:lang w:val="pt-BR"/>
        </w:rPr>
        <w:t>Rekomenduojama mažiausia CD34</w:t>
      </w:r>
      <w:r w:rsidRPr="00CF7C4C">
        <w:rPr>
          <w:vertAlign w:val="superscript"/>
        </w:rPr>
        <w:sym w:font="Symbol" w:char="F02B"/>
      </w:r>
      <w:r w:rsidRPr="00CF7C4C">
        <w:rPr>
          <w:lang w:val="pt-BR"/>
        </w:rPr>
        <w:t xml:space="preserve"> ląstelių išeiga </w:t>
      </w:r>
      <w:r w:rsidR="00237A18">
        <w:t>≥</w:t>
      </w:r>
      <w:r w:rsidRPr="00CF7C4C">
        <w:rPr>
          <w:lang w:val="pt-BR"/>
        </w:rPr>
        <w:t> 2,</w:t>
      </w:r>
      <w:r w:rsidRPr="00CF7C4C">
        <w:sym w:font="Times New Roman" w:char="0030"/>
      </w:r>
      <w:r w:rsidRPr="00CF7C4C">
        <w:rPr>
          <w:lang w:val="pt-BR"/>
        </w:rPr>
        <w:t> x </w:t>
      </w:r>
      <w:r w:rsidRPr="00CF7C4C">
        <w:sym w:font="Symbol" w:char="F031"/>
      </w:r>
      <w:r w:rsidRPr="00CF7C4C">
        <w:sym w:font="Times New Roman" w:char="0030"/>
      </w:r>
      <w:r w:rsidRPr="00CF7C4C">
        <w:rPr>
          <w:vertAlign w:val="superscript"/>
        </w:rPr>
        <w:sym w:font="Symbol" w:char="F036"/>
      </w:r>
      <w:r w:rsidRPr="00CF7C4C">
        <w:rPr>
          <w:lang w:val="pt-BR"/>
        </w:rPr>
        <w:t xml:space="preserve"> CD34</w:t>
      </w:r>
      <w:r w:rsidRPr="00CF7C4C">
        <w:rPr>
          <w:vertAlign w:val="superscript"/>
        </w:rPr>
        <w:sym w:font="Symbol" w:char="F02B"/>
      </w:r>
      <w:r w:rsidRPr="00CF7C4C">
        <w:rPr>
          <w:lang w:val="pt-BR"/>
        </w:rPr>
        <w:t xml:space="preserve"> ląstelių/kg remiasi paskelbtais klinikiniais rezultatais, kurių metu gautas pakankamas kraujo sudėties atsistatymas. Jei išeiga didesnė, atsistatymas vyksta greičiau, jei mažesnė – lėčiau.</w:t>
      </w:r>
    </w:p>
    <w:p w14:paraId="2D11E699" w14:textId="77777777" w:rsidR="00D24A7B" w:rsidRPr="00CF7C4C" w:rsidRDefault="00D24A7B" w:rsidP="00D24A7B">
      <w:pPr>
        <w:rPr>
          <w:lang w:val="pt-BR"/>
        </w:rPr>
      </w:pPr>
    </w:p>
    <w:p w14:paraId="22C84AB5" w14:textId="77777777" w:rsidR="00D24A7B" w:rsidRPr="0034397B" w:rsidRDefault="00317AAC" w:rsidP="00621D88">
      <w:pPr>
        <w:pStyle w:val="Antrat3"/>
      </w:pPr>
      <w:r w:rsidRPr="00804C7C">
        <w:t>Specialios</w:t>
      </w:r>
      <w:r w:rsidR="00D24A7B" w:rsidRPr="00237A18">
        <w:t xml:space="preserve"> atsargumo priemonės sveikiems donorams, kuriems </w:t>
      </w:r>
      <w:r w:rsidR="007D5FFD" w:rsidRPr="00361C46">
        <w:t>atliekama periferinio kraujo kamieninių ląstelių mobilizacija</w:t>
      </w:r>
    </w:p>
    <w:p w14:paraId="78E6D466" w14:textId="77777777" w:rsidR="00D24A7B" w:rsidRPr="00CF7C4C" w:rsidRDefault="00D24A7B" w:rsidP="002E00F3">
      <w:pPr>
        <w:keepNext/>
        <w:rPr>
          <w:lang w:val="pt-BR"/>
        </w:rPr>
      </w:pPr>
    </w:p>
    <w:p w14:paraId="4A6F344E" w14:textId="77777777" w:rsidR="00D24A7B" w:rsidRPr="001A3D9A" w:rsidRDefault="00D24A7B" w:rsidP="002E00F3">
      <w:pPr>
        <w:keepNext/>
        <w:rPr>
          <w:lang w:val="pt-BR"/>
        </w:rPr>
      </w:pPr>
      <w:r w:rsidRPr="001A3D9A">
        <w:rPr>
          <w:lang w:val="pt-BR"/>
        </w:rPr>
        <w:t>PKKL mobilizacija klinikiniu požiūriu nėra</w:t>
      </w:r>
      <w:r w:rsidR="00A35AE5" w:rsidRPr="00A35AE5">
        <w:t xml:space="preserve"> </w:t>
      </w:r>
      <w:r w:rsidR="00A35AE5" w:rsidRPr="00361C46">
        <w:t>tiesiogiai</w:t>
      </w:r>
      <w:r w:rsidRPr="001A3D9A">
        <w:rPr>
          <w:lang w:val="pt-BR"/>
        </w:rPr>
        <w:t xml:space="preserve"> naudinga sveikiems donorams, ir apie ją galima galvoti tik planuojant atlikti alogeninę kamieninų ląstelių transplantaciją.</w:t>
      </w:r>
    </w:p>
    <w:p w14:paraId="273679DE" w14:textId="77777777" w:rsidR="00D24A7B" w:rsidRPr="001A3D9A" w:rsidRDefault="00D24A7B" w:rsidP="00D24A7B">
      <w:pPr>
        <w:rPr>
          <w:lang w:val="pt-BR"/>
        </w:rPr>
      </w:pPr>
    </w:p>
    <w:p w14:paraId="6FEDF1D8" w14:textId="77777777" w:rsidR="00D24A7B" w:rsidRPr="001A3D9A" w:rsidRDefault="00D24A7B" w:rsidP="00D24A7B">
      <w:pPr>
        <w:rPr>
          <w:lang w:val="pt-BR"/>
        </w:rPr>
      </w:pPr>
      <w:r w:rsidRPr="001A3D9A">
        <w:rPr>
          <w:lang w:val="pt-BR"/>
        </w:rPr>
        <w:t>PKKL mobilizaciją galima atlikti tik donorams, kurie atitinka klinikinius ir laboratorinius tinkamumo kamieninių ląstelių donorystei kriterijus, ypač atkreipiant dėmesį į hematologinius rodiklius ir infekcines ligas.</w:t>
      </w:r>
    </w:p>
    <w:p w14:paraId="1663CE27" w14:textId="77777777" w:rsidR="00D24A7B" w:rsidRPr="001A3D9A" w:rsidRDefault="00D24A7B" w:rsidP="00D24A7B">
      <w:pPr>
        <w:rPr>
          <w:lang w:val="pt-BR"/>
        </w:rPr>
      </w:pPr>
    </w:p>
    <w:p w14:paraId="0DE86A30" w14:textId="77777777" w:rsidR="00D24A7B" w:rsidRPr="00E6641A" w:rsidRDefault="00D24A7B" w:rsidP="00D24A7B">
      <w:pPr>
        <w:rPr>
          <w:lang w:val="pt-BR"/>
        </w:rPr>
      </w:pPr>
      <w:r w:rsidRPr="002F4AC8">
        <w:rPr>
          <w:lang w:val="pt-BR"/>
        </w:rPr>
        <w:t xml:space="preserve">Neupogen saugumas ir </w:t>
      </w:r>
      <w:r w:rsidR="008547DE">
        <w:rPr>
          <w:lang w:val="pt-BR"/>
        </w:rPr>
        <w:t>veiksmingumas</w:t>
      </w:r>
      <w:r w:rsidRPr="002F4AC8">
        <w:rPr>
          <w:lang w:val="pt-BR"/>
        </w:rPr>
        <w:t xml:space="preserve"> jaunesniems kaip 16 metų ar vyresniems kaip 60</w:t>
      </w:r>
      <w:r w:rsidR="001D4425">
        <w:rPr>
          <w:lang w:val="pt-BR"/>
        </w:rPr>
        <w:t> </w:t>
      </w:r>
      <w:r w:rsidRPr="002F4AC8">
        <w:rPr>
          <w:lang w:val="pt-BR"/>
        </w:rPr>
        <w:t>metų sveikiems donorams neįvertint</w:t>
      </w:r>
      <w:r w:rsidRPr="00E6641A">
        <w:rPr>
          <w:lang w:val="pt-BR"/>
        </w:rPr>
        <w:t>as.</w:t>
      </w:r>
    </w:p>
    <w:p w14:paraId="283E79DF" w14:textId="77777777" w:rsidR="00D24A7B" w:rsidRPr="00E6641A" w:rsidRDefault="00D24A7B" w:rsidP="00D24A7B">
      <w:pPr>
        <w:rPr>
          <w:lang w:val="pt-BR"/>
        </w:rPr>
      </w:pPr>
    </w:p>
    <w:p w14:paraId="7FD62FF5" w14:textId="77777777" w:rsidR="00D24A7B" w:rsidRPr="00E6641A" w:rsidRDefault="00D24A7B" w:rsidP="00D24A7B">
      <w:pPr>
        <w:rPr>
          <w:lang w:val="pt-BR"/>
        </w:rPr>
      </w:pPr>
      <w:r w:rsidRPr="00E6641A">
        <w:rPr>
          <w:lang w:val="pt-BR"/>
        </w:rPr>
        <w:lastRenderedPageBreak/>
        <w:t>35% tirtų asmenų po filgrastimo vartojimo ir leukaferezės buvo stebėta laikina trombocitopenija (trombocitų &lt; 100 x 10</w:t>
      </w:r>
      <w:r w:rsidRPr="00E6641A">
        <w:rPr>
          <w:vertAlign w:val="superscript"/>
          <w:lang w:val="pt-BR"/>
        </w:rPr>
        <w:t>9</w:t>
      </w:r>
      <w:r w:rsidRPr="00E6641A">
        <w:rPr>
          <w:lang w:val="pt-BR"/>
        </w:rPr>
        <w:t>/l). Dviem atvejais, turbūt dėl leukaferezės procedūros, trombocitų sumažėjo &lt; 50 x 10</w:t>
      </w:r>
      <w:r w:rsidRPr="00E6641A">
        <w:rPr>
          <w:vertAlign w:val="superscript"/>
          <w:lang w:val="pt-BR"/>
        </w:rPr>
        <w:t>9</w:t>
      </w:r>
      <w:r w:rsidRPr="00E6641A">
        <w:rPr>
          <w:lang w:val="pt-BR"/>
        </w:rPr>
        <w:t>/l.</w:t>
      </w:r>
    </w:p>
    <w:p w14:paraId="56FAC2F0" w14:textId="77777777" w:rsidR="00D24A7B" w:rsidRPr="00E6641A" w:rsidRDefault="00D24A7B" w:rsidP="00D24A7B">
      <w:pPr>
        <w:rPr>
          <w:lang w:val="pt-BR"/>
        </w:rPr>
      </w:pPr>
    </w:p>
    <w:p w14:paraId="6D15519E" w14:textId="77777777" w:rsidR="00D24A7B" w:rsidRPr="00E6641A" w:rsidRDefault="00D24A7B" w:rsidP="00D24A7B">
      <w:pPr>
        <w:rPr>
          <w:lang w:val="pt-BR"/>
        </w:rPr>
      </w:pPr>
      <w:r w:rsidRPr="00E6641A">
        <w:rPr>
          <w:lang w:val="pt-BR"/>
        </w:rPr>
        <w:t>Jeigu reikia daugiau negu vienos leukaferezės, ypatingą dėmesį reikia skirti donorams, kurių trombocitų skaičius iki leukaferezės &lt; 100 x 10</w:t>
      </w:r>
      <w:r w:rsidRPr="00E6641A">
        <w:rPr>
          <w:vertAlign w:val="superscript"/>
          <w:lang w:val="pt-BR"/>
        </w:rPr>
        <w:t>9</w:t>
      </w:r>
      <w:r w:rsidRPr="00E6641A">
        <w:rPr>
          <w:lang w:val="pt-BR"/>
        </w:rPr>
        <w:t>/l. Apskritai, leukaferezės nereikėtų atlikti, jeigu trombocitų skaičius mažesnis kaip 75 x 10</w:t>
      </w:r>
      <w:r w:rsidRPr="00E6641A">
        <w:rPr>
          <w:vertAlign w:val="superscript"/>
          <w:lang w:val="pt-BR"/>
        </w:rPr>
        <w:t>9</w:t>
      </w:r>
      <w:r w:rsidRPr="00E6641A">
        <w:rPr>
          <w:lang w:val="pt-BR"/>
        </w:rPr>
        <w:t>/l.</w:t>
      </w:r>
    </w:p>
    <w:p w14:paraId="65E911D5" w14:textId="77777777" w:rsidR="00D24A7B" w:rsidRPr="00E6641A" w:rsidRDefault="00D24A7B" w:rsidP="00D24A7B">
      <w:pPr>
        <w:rPr>
          <w:lang w:val="pt-BR"/>
        </w:rPr>
      </w:pPr>
    </w:p>
    <w:p w14:paraId="395E06E6" w14:textId="77777777" w:rsidR="00D24A7B" w:rsidRPr="00E6641A" w:rsidRDefault="00D24A7B" w:rsidP="00D24A7B">
      <w:pPr>
        <w:rPr>
          <w:lang w:val="pt-BR"/>
        </w:rPr>
      </w:pPr>
      <w:r w:rsidRPr="00E6641A">
        <w:rPr>
          <w:lang w:val="pt-BR"/>
        </w:rPr>
        <w:t>Leukoferezės negalima atlikti donorams, kurie gydomi antikoaguliantais bei kurie turi hemostazės defektų.</w:t>
      </w:r>
    </w:p>
    <w:p w14:paraId="673B7C52" w14:textId="77777777" w:rsidR="00D24A7B" w:rsidRPr="00E6641A" w:rsidRDefault="00D24A7B" w:rsidP="00D24A7B">
      <w:pPr>
        <w:rPr>
          <w:lang w:val="pt-BR"/>
        </w:rPr>
      </w:pPr>
    </w:p>
    <w:p w14:paraId="701D3CAA" w14:textId="77777777" w:rsidR="00D24A7B" w:rsidRPr="00E6641A" w:rsidRDefault="00D24A7B" w:rsidP="00D24A7B">
      <w:pPr>
        <w:rPr>
          <w:lang w:val="pt-BR"/>
        </w:rPr>
      </w:pPr>
      <w:r w:rsidRPr="00E6641A">
        <w:rPr>
          <w:lang w:val="pt-BR"/>
        </w:rPr>
        <w:t>Donorus, kuriems skiriamas G</w:t>
      </w:r>
      <w:r w:rsidRPr="00E6641A">
        <w:rPr>
          <w:lang w:val="pt-BR"/>
        </w:rPr>
        <w:noBreakHyphen/>
        <w:t>KSF PKKL mobilizuoti, re</w:t>
      </w:r>
      <w:r w:rsidR="006D31FF" w:rsidRPr="00E6641A">
        <w:rPr>
          <w:lang w:val="pt-BR"/>
        </w:rPr>
        <w:t>i</w:t>
      </w:r>
      <w:r w:rsidRPr="00E6641A">
        <w:rPr>
          <w:lang w:val="pt-BR"/>
        </w:rPr>
        <w:t>kėtų stebėti, kol atsistato hematologiniai rodikliai.</w:t>
      </w:r>
    </w:p>
    <w:p w14:paraId="2CAD2EA9" w14:textId="77777777" w:rsidR="00D24A7B" w:rsidRPr="00E6641A" w:rsidRDefault="00D24A7B" w:rsidP="00D24A7B">
      <w:pPr>
        <w:pStyle w:val="lbltxt"/>
        <w:tabs>
          <w:tab w:val="left" w:pos="567"/>
        </w:tabs>
        <w:rPr>
          <w:bCs/>
          <w:noProof w:val="0"/>
          <w:szCs w:val="22"/>
          <w:lang w:val="pt-BR"/>
        </w:rPr>
      </w:pPr>
    </w:p>
    <w:p w14:paraId="0AE3C843" w14:textId="77777777" w:rsidR="00D24A7B" w:rsidRPr="00E6641A" w:rsidRDefault="00D24A7B" w:rsidP="00D24A7B">
      <w:pPr>
        <w:rPr>
          <w:lang w:val="pt-BR"/>
        </w:rPr>
      </w:pPr>
      <w:r w:rsidRPr="00E6641A">
        <w:rPr>
          <w:lang w:val="pt-BR"/>
        </w:rPr>
        <w:t>Sveikiems donorams po G-KSF vartojimo stebėta laikinų citogeninių pakitimų. Šių pakitimų reikšmė nežinoma.</w:t>
      </w:r>
      <w:r w:rsidR="0034397B">
        <w:rPr>
          <w:lang w:val="pt-BR"/>
        </w:rPr>
        <w:t xml:space="preserve"> </w:t>
      </w:r>
      <w:r w:rsidRPr="00E6641A">
        <w:rPr>
          <w:lang w:val="pt-BR"/>
        </w:rPr>
        <w:t>Nepaisant to, negalima atmesti piktybinio mieloidinio klono skatinimo rizikos. Aferezės centrams rekomenduotina mažiausiai 10 metų registruoti ir stebėti kamieninių ląstelių donorus, kad būtų galima užtikrinti ilagalaikių saugumo duomenų stebėjimą.</w:t>
      </w:r>
    </w:p>
    <w:p w14:paraId="5F867506" w14:textId="77777777" w:rsidR="00D24A7B" w:rsidRPr="00E6641A" w:rsidRDefault="00D24A7B" w:rsidP="00D24A7B">
      <w:pPr>
        <w:rPr>
          <w:lang w:val="pt-BR"/>
        </w:rPr>
      </w:pPr>
    </w:p>
    <w:p w14:paraId="44445A58" w14:textId="77777777" w:rsidR="001B3F07" w:rsidRPr="00E6641A" w:rsidRDefault="001B3F07" w:rsidP="00221F15">
      <w:pPr>
        <w:keepNext/>
        <w:rPr>
          <w:i/>
        </w:rPr>
      </w:pPr>
      <w:r w:rsidRPr="00E6641A">
        <w:rPr>
          <w:i/>
        </w:rPr>
        <w:t>Specialios atsargumo priemonės alogeninių periferinio kraujo kamieninių ląstelių, mobilizuotų Neupogen, recipientams</w:t>
      </w:r>
    </w:p>
    <w:p w14:paraId="0D4AC2C8" w14:textId="77777777" w:rsidR="00D24A7B" w:rsidRPr="00E6641A" w:rsidRDefault="00D24A7B" w:rsidP="00D24A7B">
      <w:pPr>
        <w:rPr>
          <w:i/>
          <w:lang w:val="pt-BR"/>
        </w:rPr>
      </w:pPr>
    </w:p>
    <w:p w14:paraId="081F19D9" w14:textId="77777777" w:rsidR="00D24A7B" w:rsidRPr="00E6641A" w:rsidRDefault="00D24A7B" w:rsidP="00D24A7B">
      <w:pPr>
        <w:rPr>
          <w:lang w:val="pt-BR"/>
        </w:rPr>
      </w:pPr>
      <w:r w:rsidRPr="00E6641A">
        <w:rPr>
          <w:lang w:val="pt-BR"/>
        </w:rPr>
        <w:t>Nauji duomenys rodo, kad alogeninių PKKL ir recipiento imunologinė sąveika gali būti susijusi su didesne ūminės transplantato prieš šeimininką ligos rizika, lyginant su kaulų čiulpų transplantacija.</w:t>
      </w:r>
    </w:p>
    <w:p w14:paraId="2C2F4D3C" w14:textId="77777777" w:rsidR="00D24A7B" w:rsidRPr="00E6641A" w:rsidRDefault="00D24A7B" w:rsidP="00D24A7B">
      <w:pPr>
        <w:rPr>
          <w:lang w:val="pt-BR"/>
        </w:rPr>
      </w:pPr>
    </w:p>
    <w:p w14:paraId="2DB2C180" w14:textId="77777777" w:rsidR="00D24A7B" w:rsidRDefault="00D24A7B" w:rsidP="00621D88">
      <w:pPr>
        <w:pStyle w:val="Antrat3"/>
      </w:pPr>
      <w:r w:rsidRPr="00E6641A">
        <w:t>Specialios atsargumo priemonės pacientams, kuriems yra sunki lėtinė neutropenija</w:t>
      </w:r>
    </w:p>
    <w:p w14:paraId="3DB62903" w14:textId="77777777" w:rsidR="00A35AE5" w:rsidRPr="007240E0" w:rsidRDefault="00A35AE5" w:rsidP="007240E0">
      <w:pPr>
        <w:rPr>
          <w:lang w:eastAsia="x-none"/>
        </w:rPr>
      </w:pPr>
    </w:p>
    <w:p w14:paraId="105025F2" w14:textId="77777777" w:rsidR="00A35AE5" w:rsidRPr="00361C46" w:rsidRDefault="00A35AE5" w:rsidP="00A35AE5">
      <w:r w:rsidRPr="00361C46">
        <w:t>Neupogen negalima skirti ligoniams, sergantiems sunkia įgimta neutropenija, kuriems išsivysto leukemija arba yra požymių, kad ji vystosi.</w:t>
      </w:r>
    </w:p>
    <w:p w14:paraId="6DCC5DD3" w14:textId="77777777" w:rsidR="00D24A7B" w:rsidRPr="00E6641A" w:rsidRDefault="00D24A7B" w:rsidP="00D24A7B">
      <w:pPr>
        <w:rPr>
          <w:lang w:val="pt-BR"/>
        </w:rPr>
      </w:pPr>
    </w:p>
    <w:p w14:paraId="5438483C" w14:textId="77777777" w:rsidR="00D24A7B" w:rsidRPr="00E6641A" w:rsidRDefault="00D24A7B" w:rsidP="00D24A7B">
      <w:pPr>
        <w:pStyle w:val="Antrat4"/>
        <w:rPr>
          <w:sz w:val="22"/>
          <w:szCs w:val="22"/>
        </w:rPr>
      </w:pPr>
      <w:r w:rsidRPr="00E6641A">
        <w:rPr>
          <w:sz w:val="22"/>
          <w:szCs w:val="22"/>
        </w:rPr>
        <w:t>Kraujo sudėties tyrimas</w:t>
      </w:r>
    </w:p>
    <w:p w14:paraId="0E3804E2" w14:textId="77777777" w:rsidR="00D24A7B" w:rsidRPr="00E6641A" w:rsidRDefault="00D24A7B" w:rsidP="00D24A7B">
      <w:pPr>
        <w:rPr>
          <w:lang w:val="pt-BR"/>
        </w:rPr>
      </w:pPr>
    </w:p>
    <w:p w14:paraId="162018D6" w14:textId="77777777" w:rsidR="00D24A7B" w:rsidRPr="00E6641A" w:rsidRDefault="00D24A7B" w:rsidP="00D24A7B">
      <w:pPr>
        <w:rPr>
          <w:lang w:val="pt-BR"/>
        </w:rPr>
      </w:pPr>
      <w:r w:rsidRPr="00E6641A">
        <w:rPr>
          <w:lang w:val="pt-BR"/>
        </w:rPr>
        <w:t>Gali būti kitokių kraujo ląstelių pokyčių, įskaitant anemiją ir trumpalaikį mieloidinių kamieninių ląstelių padidėjimą, todėl reikia atidžiai stebėti jų skaičių.</w:t>
      </w:r>
    </w:p>
    <w:p w14:paraId="68658F33" w14:textId="77777777" w:rsidR="00D24A7B" w:rsidRPr="00E6641A" w:rsidRDefault="00D24A7B" w:rsidP="00D24A7B">
      <w:pPr>
        <w:rPr>
          <w:lang w:val="pt-BR"/>
        </w:rPr>
      </w:pPr>
    </w:p>
    <w:p w14:paraId="1B337FFB" w14:textId="77777777" w:rsidR="00D24A7B" w:rsidRPr="00E6641A" w:rsidRDefault="00D24A7B" w:rsidP="001B3294">
      <w:pPr>
        <w:pStyle w:val="Antrat4"/>
        <w:rPr>
          <w:sz w:val="22"/>
          <w:szCs w:val="22"/>
        </w:rPr>
      </w:pPr>
      <w:r w:rsidRPr="00E6641A">
        <w:rPr>
          <w:sz w:val="22"/>
          <w:szCs w:val="22"/>
        </w:rPr>
        <w:t>Transformacija į leukemiją arba į mielodisplazinį sindromą</w:t>
      </w:r>
    </w:p>
    <w:p w14:paraId="21C17B9B" w14:textId="77777777" w:rsidR="00D24A7B" w:rsidRPr="00E6641A" w:rsidRDefault="00D24A7B" w:rsidP="001B3294">
      <w:pPr>
        <w:rPr>
          <w:lang w:val="pt-BR"/>
        </w:rPr>
      </w:pPr>
    </w:p>
    <w:p w14:paraId="16AF9E5C" w14:textId="77777777" w:rsidR="00D24A7B" w:rsidRPr="00E6641A" w:rsidRDefault="00D24A7B" w:rsidP="001B3294">
      <w:pPr>
        <w:rPr>
          <w:lang w:val="pt-BR"/>
        </w:rPr>
      </w:pPr>
      <w:r w:rsidRPr="00E6641A">
        <w:rPr>
          <w:lang w:val="pt-BR"/>
        </w:rPr>
        <w:t>Ypatingą dėmesį būtina skirti diagnozuojant sunkią lėtinę neutropeniją, siekiant atskirti šią ligą nuo kitų kraujodaros ligų, pvz., aplazinės anemijos, mielodisplazijos ir mieloidinės leukemijos. Prieš gydymą turi būti atliktas visas kraujo sudėties tyrimas, įskaitant trombocitų skaičiaus nustatymą, ir įvertinta kaulų čiulpų morfologija bei kariotipas.</w:t>
      </w:r>
    </w:p>
    <w:p w14:paraId="6A5AF9F9" w14:textId="77777777" w:rsidR="00D24A7B" w:rsidRPr="00E6641A" w:rsidRDefault="00D24A7B" w:rsidP="00D24A7B">
      <w:pPr>
        <w:rPr>
          <w:lang w:val="pt-BR"/>
        </w:rPr>
      </w:pPr>
    </w:p>
    <w:p w14:paraId="3F34BB65" w14:textId="77777777" w:rsidR="00D24A7B" w:rsidRPr="00CF7C4C" w:rsidRDefault="00D24A7B" w:rsidP="00D24A7B">
      <w:pPr>
        <w:rPr>
          <w:lang w:val="pt-BR"/>
        </w:rPr>
      </w:pPr>
      <w:r w:rsidRPr="00E6641A">
        <w:rPr>
          <w:lang w:val="pt-BR"/>
        </w:rPr>
        <w:t>Klinikinių tyrimų metu Neupogen gydytiems pacientams, kuriems buvo sunki lėtinė neutropenija, retai (maždaug 3</w:t>
      </w:r>
      <w:r w:rsidRPr="00D74DE2">
        <w:sym w:font="Symbol" w:char="F025"/>
      </w:r>
      <w:r w:rsidRPr="00D74DE2">
        <w:rPr>
          <w:lang w:val="pt-BR"/>
        </w:rPr>
        <w:t>) pasireiškė mielodisplazijos sindromas (MDS) arba leukemija. Tai pastebėta tik pacientams, sergantiems įgimta neutropenija. MDS ir leukemija yra įprastos ligos komplikacijos ir jų ryšys su gydymu Neupogen abejotinas. Maždaug 12</w:t>
      </w:r>
      <w:r w:rsidRPr="00D74DE2">
        <w:sym w:font="Symbol" w:char="F025"/>
      </w:r>
      <w:r w:rsidRPr="00D74DE2">
        <w:rPr>
          <w:lang w:val="pt-BR"/>
        </w:rPr>
        <w:t xml:space="preserve"> ligonių, kuriem</w:t>
      </w:r>
      <w:r w:rsidRPr="00CF7C4C">
        <w:rPr>
          <w:lang w:val="pt-BR"/>
        </w:rPr>
        <w:t xml:space="preserve">s pradinio citogenetinio tyrimo rezultatai buvo normalūs, vėliau kartotinio rutininio įvertinimo metu buvo nustatyti pokyčiai, įskaitant </w:t>
      </w:r>
      <w:r w:rsidRPr="00D74DE2">
        <w:sym w:font="Symbol" w:char="F037"/>
      </w:r>
      <w:r w:rsidRPr="00D74DE2">
        <w:rPr>
          <w:lang w:val="pt-BR"/>
        </w:rPr>
        <w:t>-osios chromosomos monosomiją. Dar nežinoma, ar ilgalaikis pacientų, sergančių sunkia lėtine neutropenija, gydymas gal</w:t>
      </w:r>
      <w:r w:rsidRPr="00CF7C4C">
        <w:rPr>
          <w:lang w:val="pt-BR"/>
        </w:rPr>
        <w:t xml:space="preserve">i sukelti citogenetinių pokyčių, MDS arba leukeminę transformaciją. Tokiems pacientams rekomenduojama reguliariai (maždaug kas 12 mėnesių) atlikti morfologinius ir citogenetinius kaulų čiulpų tyrimus. </w:t>
      </w:r>
    </w:p>
    <w:p w14:paraId="6505E7C8" w14:textId="77777777" w:rsidR="00D24A7B" w:rsidRPr="00CF7C4C" w:rsidRDefault="00D24A7B" w:rsidP="00D24A7B">
      <w:pPr>
        <w:rPr>
          <w:lang w:val="pt-BR"/>
        </w:rPr>
      </w:pPr>
    </w:p>
    <w:p w14:paraId="2E99D88C" w14:textId="77777777" w:rsidR="00D24A7B" w:rsidRPr="00CF7C4C" w:rsidRDefault="00D24A7B" w:rsidP="00D24A7B">
      <w:pPr>
        <w:pStyle w:val="Antrat4"/>
        <w:rPr>
          <w:sz w:val="22"/>
          <w:szCs w:val="22"/>
        </w:rPr>
      </w:pPr>
      <w:r w:rsidRPr="00CF7C4C">
        <w:rPr>
          <w:sz w:val="22"/>
          <w:szCs w:val="22"/>
        </w:rPr>
        <w:t>Kitos specialios atsargumo priemonės</w:t>
      </w:r>
    </w:p>
    <w:p w14:paraId="5F15341F" w14:textId="77777777" w:rsidR="00D24A7B" w:rsidRPr="00CF7C4C" w:rsidRDefault="00D24A7B" w:rsidP="00D24A7B">
      <w:pPr>
        <w:rPr>
          <w:lang w:val="pt-BR"/>
        </w:rPr>
      </w:pPr>
    </w:p>
    <w:p w14:paraId="4B7D6B1E" w14:textId="77777777" w:rsidR="00D24A7B" w:rsidRPr="00CF7C4C" w:rsidRDefault="00D24A7B" w:rsidP="00D24A7B">
      <w:pPr>
        <w:rPr>
          <w:lang w:val="pt-BR"/>
        </w:rPr>
      </w:pPr>
      <w:r w:rsidRPr="00CF7C4C">
        <w:rPr>
          <w:lang w:val="pt-BR"/>
        </w:rPr>
        <w:t>Reikia paneigti trumpalaikės neutropenijos priežastis, pvz., virusinę infekciją.</w:t>
      </w:r>
    </w:p>
    <w:p w14:paraId="25834048" w14:textId="77777777" w:rsidR="00D24A7B" w:rsidRPr="00E6641A" w:rsidRDefault="00D24A7B" w:rsidP="00D24A7B">
      <w:pPr>
        <w:rPr>
          <w:lang w:val="pt-BR"/>
        </w:rPr>
      </w:pPr>
    </w:p>
    <w:p w14:paraId="3745D097" w14:textId="77777777" w:rsidR="00D24A7B" w:rsidRPr="00E6641A" w:rsidRDefault="00D24A7B" w:rsidP="00D24A7B">
      <w:pPr>
        <w:rPr>
          <w:lang w:val="pt-BR"/>
        </w:rPr>
      </w:pPr>
      <w:r w:rsidRPr="00E6641A">
        <w:rPr>
          <w:lang w:val="pt-BR"/>
        </w:rPr>
        <w:lastRenderedPageBreak/>
        <w:t xml:space="preserve">Keletui ligonių </w:t>
      </w:r>
      <w:r w:rsidR="00FC03D0" w:rsidRPr="00E6641A">
        <w:rPr>
          <w:lang w:val="pt-BR"/>
        </w:rPr>
        <w:t xml:space="preserve">dažnai </w:t>
      </w:r>
      <w:r w:rsidRPr="00E6641A">
        <w:rPr>
          <w:lang w:val="pt-BR"/>
        </w:rPr>
        <w:t>pasireiškė hematurija ir proteinurija. Norint pastebėti ši</w:t>
      </w:r>
      <w:r w:rsidR="00FC03D0" w:rsidRPr="00E6641A">
        <w:rPr>
          <w:lang w:val="pt-BR"/>
        </w:rPr>
        <w:t>as</w:t>
      </w:r>
      <w:r w:rsidRPr="00E6641A">
        <w:rPr>
          <w:lang w:val="pt-BR"/>
        </w:rPr>
        <w:t xml:space="preserve"> komplikacij</w:t>
      </w:r>
      <w:r w:rsidR="00FC03D0" w:rsidRPr="00E6641A">
        <w:rPr>
          <w:lang w:val="pt-BR"/>
        </w:rPr>
        <w:t>as</w:t>
      </w:r>
      <w:r w:rsidRPr="00E6641A">
        <w:rPr>
          <w:lang w:val="pt-BR"/>
        </w:rPr>
        <w:t xml:space="preserve">, būtina reguliariai tirti šlapimą. </w:t>
      </w:r>
    </w:p>
    <w:p w14:paraId="0C6000CF" w14:textId="77777777" w:rsidR="004B4136" w:rsidRPr="00E6641A" w:rsidRDefault="004B4136" w:rsidP="00D24A7B">
      <w:pPr>
        <w:rPr>
          <w:lang w:val="pt-BR"/>
        </w:rPr>
      </w:pPr>
    </w:p>
    <w:p w14:paraId="5A0BB168" w14:textId="77777777" w:rsidR="00D24A7B" w:rsidRPr="00E6641A" w:rsidRDefault="00D24A7B" w:rsidP="00D24A7B">
      <w:pPr>
        <w:rPr>
          <w:lang w:val="pt-BR"/>
        </w:rPr>
      </w:pPr>
      <w:r w:rsidRPr="00E6641A">
        <w:rPr>
          <w:lang w:val="pt-BR"/>
        </w:rPr>
        <w:t xml:space="preserve">Vaistinio preparato saugumas ir </w:t>
      </w:r>
      <w:r w:rsidR="008547DE">
        <w:rPr>
          <w:lang w:val="pt-BR"/>
        </w:rPr>
        <w:t>veiksmingumas</w:t>
      </w:r>
      <w:r w:rsidRPr="00E6641A">
        <w:rPr>
          <w:lang w:val="pt-BR"/>
        </w:rPr>
        <w:t xml:space="preserve"> naujagimiams ir ligoniams, sergantiems autoimunine neutropenija, nenustatytas.</w:t>
      </w:r>
    </w:p>
    <w:p w14:paraId="0DA1C311" w14:textId="77777777" w:rsidR="00D24A7B" w:rsidRPr="00E6641A" w:rsidRDefault="00D24A7B" w:rsidP="00D24A7B">
      <w:pPr>
        <w:rPr>
          <w:lang w:val="pt-BR"/>
        </w:rPr>
      </w:pPr>
    </w:p>
    <w:p w14:paraId="11C52651" w14:textId="77777777" w:rsidR="00D24A7B" w:rsidRPr="00E6641A" w:rsidRDefault="00D24A7B" w:rsidP="00621D88">
      <w:pPr>
        <w:pStyle w:val="Antrat3"/>
      </w:pPr>
      <w:r w:rsidRPr="00E6641A">
        <w:t xml:space="preserve">Specialios atsargumo priemonės ŽIV infekuotiems pacientams </w:t>
      </w:r>
    </w:p>
    <w:p w14:paraId="535B9B4F" w14:textId="77777777" w:rsidR="008D685A" w:rsidRPr="00E6641A" w:rsidRDefault="008D685A" w:rsidP="00D24A7B">
      <w:pPr>
        <w:rPr>
          <w:lang w:val="pt-BR"/>
        </w:rPr>
      </w:pPr>
    </w:p>
    <w:p w14:paraId="7C621424" w14:textId="77777777" w:rsidR="00D24A7B" w:rsidRPr="006F0805" w:rsidRDefault="00D24A7B" w:rsidP="002E00F3">
      <w:pPr>
        <w:pStyle w:val="Antrat4"/>
        <w:keepNext/>
        <w:rPr>
          <w:sz w:val="22"/>
          <w:szCs w:val="22"/>
        </w:rPr>
      </w:pPr>
      <w:r w:rsidRPr="006F0805">
        <w:rPr>
          <w:sz w:val="22"/>
          <w:szCs w:val="22"/>
        </w:rPr>
        <w:t>Kraujo ląstelių tyrimai</w:t>
      </w:r>
    </w:p>
    <w:p w14:paraId="59AB9F3D" w14:textId="77777777" w:rsidR="00D24A7B" w:rsidRPr="006F0805" w:rsidRDefault="00D24A7B" w:rsidP="002E00F3">
      <w:pPr>
        <w:keepNext/>
        <w:rPr>
          <w:lang w:val="pt-BR"/>
        </w:rPr>
      </w:pPr>
    </w:p>
    <w:p w14:paraId="2808D23C" w14:textId="77777777" w:rsidR="00D24A7B" w:rsidRPr="006F0805" w:rsidRDefault="00D24A7B" w:rsidP="002E00F3">
      <w:pPr>
        <w:keepNext/>
        <w:rPr>
          <w:lang w:val="pt-BR"/>
        </w:rPr>
      </w:pPr>
      <w:r w:rsidRPr="006F0805">
        <w:rPr>
          <w:lang w:val="pt-BR"/>
        </w:rPr>
        <w:t>Reikia atidžiai stebėti absoliutų neutrofilų skaičių (ANS), ypač pirmosiomis keliomis gydymo Neupogen savaitėmis. Kai kuriems pacientams gydymo efektas prasideda labai g</w:t>
      </w:r>
      <w:r w:rsidR="006D31FF" w:rsidRPr="006F0805">
        <w:rPr>
          <w:lang w:val="pt-BR"/>
        </w:rPr>
        <w:t>r</w:t>
      </w:r>
      <w:r w:rsidRPr="00AE03B0">
        <w:rPr>
          <w:lang w:val="pt-BR"/>
        </w:rPr>
        <w:t>e</w:t>
      </w:r>
      <w:r w:rsidRPr="006F0805">
        <w:rPr>
          <w:lang w:val="pt-BR"/>
        </w:rPr>
        <w:t>itai, ir neutrofilų skaičius žymiai padidėja jau po pradinės Neupogen dozės. Pirmąsias 2</w:t>
      </w:r>
      <w:r w:rsidRPr="006F0805">
        <w:rPr>
          <w:lang w:val="pt-BR"/>
        </w:rPr>
        <w:noBreakHyphen/>
        <w:t>3 gydymo Neupogen dienas rekomenduojama kiekvieną dieną nustatyti ANS. Toliau ANS rekomenduojama stebėti ne rečiau kaip du kartus per savaitę pirmąsias dvi gydymo savaites ir bent kartą per savaitę arba kas antrą savaitę palaikomojo gydymo metu. Neupogen vartojant su pertraukomis 30 milijonų vienetų (300 </w:t>
      </w:r>
      <w:r w:rsidRPr="006F0805">
        <w:sym w:font="Symbol" w:char="F06D"/>
      </w:r>
      <w:r w:rsidRPr="006F0805">
        <w:rPr>
          <w:lang w:val="pt-BR"/>
        </w:rPr>
        <w:t>g) per parą ilgainiui paciento ANS gali ryškiai svyruoti. Norint nustatyti mažiausią ANS arba nadyrą, kraujo mėginius ANS nustatyti rekomenduojama imti prieš pat numatytą Neupogen dozės sušvirkštimą.</w:t>
      </w:r>
    </w:p>
    <w:p w14:paraId="757610ED" w14:textId="77777777" w:rsidR="00D24A7B" w:rsidRPr="006F0805" w:rsidRDefault="00D24A7B" w:rsidP="00D24A7B">
      <w:pPr>
        <w:rPr>
          <w:lang w:val="pt-BR"/>
        </w:rPr>
      </w:pPr>
    </w:p>
    <w:p w14:paraId="4D7438BA" w14:textId="77777777" w:rsidR="00D24A7B" w:rsidRPr="006F0805" w:rsidRDefault="00D24A7B" w:rsidP="007240E0">
      <w:pPr>
        <w:pStyle w:val="Antrat4"/>
        <w:keepNext/>
        <w:rPr>
          <w:sz w:val="22"/>
          <w:szCs w:val="22"/>
        </w:rPr>
      </w:pPr>
      <w:r w:rsidRPr="006F0805">
        <w:rPr>
          <w:sz w:val="22"/>
          <w:szCs w:val="22"/>
        </w:rPr>
        <w:t>Rizika susijusi su didelėmis mielosupresinių vaistinių preparatų dozėmis</w:t>
      </w:r>
    </w:p>
    <w:p w14:paraId="7EB10F4F" w14:textId="77777777" w:rsidR="00D24A7B" w:rsidRPr="006F0805" w:rsidRDefault="00D24A7B" w:rsidP="007240E0">
      <w:pPr>
        <w:keepNext/>
        <w:rPr>
          <w:lang w:val="pt-BR"/>
        </w:rPr>
      </w:pPr>
    </w:p>
    <w:p w14:paraId="69A53E6F" w14:textId="77777777" w:rsidR="00D24A7B" w:rsidRPr="006F0805" w:rsidRDefault="00D24A7B" w:rsidP="007240E0">
      <w:pPr>
        <w:keepNext/>
        <w:rPr>
          <w:lang w:val="pt-BR"/>
        </w:rPr>
      </w:pPr>
      <w:r w:rsidRPr="006F0805">
        <w:rPr>
          <w:lang w:val="pt-BR"/>
        </w:rPr>
        <w:t xml:space="preserve">Gydymas vien Neupogen neapsaugo nuo mielosupresinių vaistinių preparatų sukeltos trombocitopenijos ir anemijos. Vartojant Neupogen pacientui gali būti paskirta daugiau šių vaistinių preparatų ar didesnės jų dozės, todėl </w:t>
      </w:r>
      <w:r w:rsidR="00A35AE5">
        <w:rPr>
          <w:lang w:val="pt-BR"/>
        </w:rPr>
        <w:t>gali būti</w:t>
      </w:r>
      <w:r w:rsidR="00A35AE5" w:rsidRPr="006F0805">
        <w:rPr>
          <w:lang w:val="pt-BR"/>
        </w:rPr>
        <w:t xml:space="preserve"> </w:t>
      </w:r>
      <w:r w:rsidRPr="006F0805">
        <w:rPr>
          <w:lang w:val="pt-BR"/>
        </w:rPr>
        <w:t>didesnė trombocitopenijos ir anemijos rizika. Rekomenduojama reguliariai stebėti kraujo ląstelių skaičių (žr. aukščiau).</w:t>
      </w:r>
    </w:p>
    <w:p w14:paraId="03592888" w14:textId="77777777" w:rsidR="00D24A7B" w:rsidRPr="002C4C89" w:rsidRDefault="00D24A7B" w:rsidP="00D24A7B">
      <w:pPr>
        <w:rPr>
          <w:lang w:val="pt-BR"/>
        </w:rPr>
      </w:pPr>
    </w:p>
    <w:p w14:paraId="0E7494B8" w14:textId="77777777" w:rsidR="00033F69" w:rsidRPr="007240E0" w:rsidRDefault="00033F69" w:rsidP="00033F69">
      <w:pPr>
        <w:pStyle w:val="Antrat4"/>
        <w:rPr>
          <w:sz w:val="22"/>
          <w:szCs w:val="22"/>
        </w:rPr>
      </w:pPr>
      <w:r w:rsidRPr="007240E0">
        <w:rPr>
          <w:sz w:val="22"/>
          <w:szCs w:val="22"/>
        </w:rPr>
        <w:t xml:space="preserve">Infekcijos ir piktybiniai navikai, sukeliantys mielosupresiją </w:t>
      </w:r>
    </w:p>
    <w:p w14:paraId="297A09DF" w14:textId="77777777" w:rsidR="00033F69" w:rsidRPr="00361C46" w:rsidRDefault="00033F69" w:rsidP="00033F69"/>
    <w:p w14:paraId="49D97E3D" w14:textId="77777777" w:rsidR="00033F69" w:rsidRPr="00361C46" w:rsidRDefault="00033F69" w:rsidP="00033F69">
      <w:r w:rsidRPr="00361C46">
        <w:t xml:space="preserve">Netropenija gali būti dėl kaulų čiulpus infiltruojančios oportunistinės infekcijos, pvz., </w:t>
      </w:r>
      <w:r w:rsidRPr="00361C46">
        <w:rPr>
          <w:i/>
        </w:rPr>
        <w:t xml:space="preserve">Mycobacterium avium </w:t>
      </w:r>
      <w:r w:rsidRPr="00361C46">
        <w:t>komplekso, arba piktybinių navikų, pvz., limfomos. Pacientams, kuriems yra kaulų čiulpus infiltruojanti infekcija ar piktybinis procesas, kartu su neutropenijai gydyti vartojamu Neupogen, skirti tinkamą esančios ligos gydymą. Neupogen poveikis neutropenijai, atsiradusiai dėl kaulų čiulpus infiltruojančios infekcijos ar piktybinių navikų, nenustatytas.</w:t>
      </w:r>
    </w:p>
    <w:p w14:paraId="37CCB5EA" w14:textId="77777777" w:rsidR="00033F69" w:rsidRPr="00361C46" w:rsidRDefault="00033F69" w:rsidP="00033F69">
      <w:pPr>
        <w:keepNext/>
        <w:keepLines/>
      </w:pPr>
    </w:p>
    <w:p w14:paraId="436B9DFC" w14:textId="77777777" w:rsidR="00033F69" w:rsidRPr="00361C46" w:rsidRDefault="00033F69" w:rsidP="00033F69">
      <w:pPr>
        <w:keepNext/>
        <w:keepLines/>
        <w:rPr>
          <w:u w:val="single"/>
        </w:rPr>
      </w:pPr>
      <w:r w:rsidRPr="00361C46">
        <w:rPr>
          <w:u w:val="single"/>
        </w:rPr>
        <w:t>Visi pacientai</w:t>
      </w:r>
    </w:p>
    <w:p w14:paraId="1298AD6F" w14:textId="77777777" w:rsidR="00033F69" w:rsidRPr="00361C46" w:rsidRDefault="00033F69" w:rsidP="00033F69"/>
    <w:p w14:paraId="0642297C" w14:textId="77777777" w:rsidR="00033F69" w:rsidRPr="00361C46" w:rsidRDefault="00033F69" w:rsidP="00033F69">
      <w:r w:rsidRPr="00361C46">
        <w:t xml:space="preserve">Užpildyto švirkšto adatos dangtelio sudėtyje gali būti sausos natūralios gumos (latekso darinio), kuri gali sukelti alerginių reakcijų. </w:t>
      </w:r>
    </w:p>
    <w:p w14:paraId="333E2954" w14:textId="77777777" w:rsidR="00033F69" w:rsidRPr="00361C46" w:rsidRDefault="00033F69" w:rsidP="00033F69"/>
    <w:p w14:paraId="72C44697" w14:textId="7F575DBD" w:rsidR="00624AF4" w:rsidRPr="00624AF4" w:rsidRDefault="00033F69" w:rsidP="00624AF4">
      <w:pPr>
        <w:rPr>
          <w:rFonts w:eastAsia="MS Mincho"/>
          <w:color w:val="000000"/>
          <w:lang w:eastAsia="ja-JP"/>
        </w:rPr>
      </w:pPr>
      <w:r w:rsidRPr="00361C46">
        <w:t>Neupogen sudėtyje yra sorbitolio (E420).</w:t>
      </w:r>
      <w:r w:rsidR="00624AF4">
        <w:t xml:space="preserve"> </w:t>
      </w:r>
      <w:r w:rsidR="00624AF4" w:rsidRPr="00624AF4">
        <w:rPr>
          <w:rFonts w:eastAsia="MS Mincho"/>
          <w:color w:val="000000"/>
          <w:lang w:eastAsia="ja-JP"/>
        </w:rPr>
        <w:t>Pacientams, kuriems yra įgimtas fruktozės netoleravimas (ĮFN), šio vaisto vartoti negalima, nebent tai būtų neabejotinai būtina.</w:t>
      </w:r>
    </w:p>
    <w:p w14:paraId="6ED50F35" w14:textId="77777777" w:rsidR="00624AF4" w:rsidRPr="00624AF4" w:rsidRDefault="00624AF4" w:rsidP="00624AF4">
      <w:pPr>
        <w:rPr>
          <w:rFonts w:eastAsia="MS Mincho"/>
          <w:color w:val="000000"/>
          <w:lang w:eastAsia="ja-JP"/>
        </w:rPr>
      </w:pPr>
    </w:p>
    <w:p w14:paraId="7EB543EF" w14:textId="77777777" w:rsidR="00624AF4" w:rsidRPr="00624AF4" w:rsidRDefault="00624AF4" w:rsidP="00624AF4">
      <w:pPr>
        <w:rPr>
          <w:rFonts w:eastAsia="MS Mincho"/>
          <w:color w:val="000000"/>
          <w:lang w:eastAsia="ja-JP"/>
        </w:rPr>
      </w:pPr>
      <w:r w:rsidRPr="00624AF4">
        <w:rPr>
          <w:rFonts w:eastAsia="MS Mincho"/>
          <w:color w:val="000000"/>
          <w:lang w:eastAsia="ja-JP"/>
        </w:rPr>
        <w:t>Kūdikiams ir mažiems vaikams (jaunesniems kaip 2 metų) įgimtas fruktozės netoleravimas (ĮFN) dar gali būti nediagnozuotas. Vaistinių preparatų, kurių sudėtyje yra sorbitolio ar fruktozės, vartojimas į veną gali būti grėsmingas gyvybei ir yra draudžiamas šio amžiaus populiacijai, nebent yra viską nusverianti klinikinė būtinybė ir nėra kito pasirinkimo.</w:t>
      </w:r>
    </w:p>
    <w:p w14:paraId="0AFC2662" w14:textId="77777777" w:rsidR="00624AF4" w:rsidRPr="00624AF4" w:rsidRDefault="00624AF4" w:rsidP="00624AF4">
      <w:pPr>
        <w:rPr>
          <w:rFonts w:eastAsia="MS Mincho"/>
          <w:color w:val="000000"/>
          <w:lang w:eastAsia="ja-JP"/>
        </w:rPr>
      </w:pPr>
    </w:p>
    <w:p w14:paraId="06592924" w14:textId="77777777" w:rsidR="00033F69" w:rsidRPr="00361C46" w:rsidRDefault="00624AF4" w:rsidP="00624AF4">
      <w:pPr>
        <w:rPr>
          <w:rFonts w:eastAsia="MS Mincho"/>
          <w:color w:val="000000"/>
          <w:lang w:eastAsia="ja-JP"/>
        </w:rPr>
      </w:pPr>
      <w:r w:rsidRPr="00624AF4">
        <w:rPr>
          <w:rFonts w:eastAsia="MS Mincho"/>
          <w:color w:val="000000"/>
          <w:lang w:eastAsia="ja-JP"/>
        </w:rPr>
        <w:t>Prieš skiriant šio vaistinio preparato, būtina sužinoti išsamią kiekvieno paciento anamnezę dėl ĮFN.</w:t>
      </w:r>
    </w:p>
    <w:p w14:paraId="258BEBA6" w14:textId="77777777" w:rsidR="00033F69" w:rsidRPr="00361C46" w:rsidRDefault="00033F69" w:rsidP="00033F69">
      <w:pPr>
        <w:rPr>
          <w:rFonts w:eastAsia="MS Mincho"/>
          <w:color w:val="000000"/>
          <w:lang w:eastAsia="ja-JP"/>
        </w:rPr>
      </w:pPr>
    </w:p>
    <w:p w14:paraId="03DC012C" w14:textId="77777777" w:rsidR="00033F69" w:rsidRPr="009B264B" w:rsidRDefault="00033F69" w:rsidP="00033F69">
      <w:pPr>
        <w:rPr>
          <w:rFonts w:eastAsia="MS Mincho"/>
          <w:color w:val="000000"/>
          <w:lang w:eastAsia="ja-JP"/>
        </w:rPr>
      </w:pPr>
      <w:r w:rsidRPr="00361C46">
        <w:rPr>
          <w:rFonts w:eastAsia="MS Mincho"/>
          <w:color w:val="000000"/>
          <w:lang w:eastAsia="ja-JP"/>
        </w:rPr>
        <w:t>Neupogen sudėtyje 0,</w:t>
      </w:r>
      <w:r w:rsidR="006C005E">
        <w:rPr>
          <w:rFonts w:eastAsia="MS Mincho"/>
          <w:color w:val="000000"/>
          <w:lang w:eastAsia="ja-JP"/>
        </w:rPr>
        <w:t>9</w:t>
      </w:r>
      <w:r w:rsidRPr="00361C46">
        <w:rPr>
          <w:rFonts w:eastAsia="MS Mincho"/>
          <w:color w:val="000000"/>
          <w:lang w:eastAsia="ja-JP"/>
        </w:rPr>
        <w:t>6 mg/ml yra mažiau kaip 1 mmol (23 mg) natrio, t.y. jis beveik neturi reikšmės.</w:t>
      </w:r>
    </w:p>
    <w:p w14:paraId="2A259B80" w14:textId="77777777" w:rsidR="00033F69" w:rsidRPr="00361C46" w:rsidRDefault="00033F69" w:rsidP="00033F69">
      <w:pPr>
        <w:rPr>
          <w:rFonts w:eastAsia="MS Mincho"/>
          <w:color w:val="000000"/>
          <w:lang w:eastAsia="ja-JP"/>
        </w:rPr>
      </w:pPr>
    </w:p>
    <w:p w14:paraId="7FCB3EE9" w14:textId="77777777" w:rsidR="00033F69" w:rsidRPr="00361C46" w:rsidRDefault="00033F69" w:rsidP="00033F69">
      <w:r w:rsidRPr="00361C46">
        <w:t>Siekiant pagerinti granulocitų kolonijas stimuliuojantį faktorių (G-KSF) susekamumą, prekinį vartojamo vaisto pavadinimą reikia aiškiai užrašyti paciento ligos dokumentuose.</w:t>
      </w:r>
    </w:p>
    <w:p w14:paraId="33396070" w14:textId="77777777" w:rsidR="00033F69" w:rsidRPr="00361C46" w:rsidRDefault="00033F69" w:rsidP="00033F69"/>
    <w:p w14:paraId="3B3582D4" w14:textId="77777777" w:rsidR="00033F69" w:rsidRPr="00361C46" w:rsidRDefault="00033F69" w:rsidP="00624AF4">
      <w:pPr>
        <w:pStyle w:val="Antrat2"/>
        <w:tabs>
          <w:tab w:val="left" w:pos="567"/>
        </w:tabs>
        <w:ind w:left="567" w:hanging="567"/>
        <w:rPr>
          <w:rFonts w:ascii="Times New Roman" w:hAnsi="Times New Roman"/>
        </w:rPr>
      </w:pPr>
      <w:r w:rsidRPr="00361C46">
        <w:rPr>
          <w:rFonts w:ascii="Times New Roman" w:hAnsi="Times New Roman"/>
        </w:rPr>
        <w:lastRenderedPageBreak/>
        <w:t>4.5</w:t>
      </w:r>
      <w:r w:rsidRPr="00361C46">
        <w:rPr>
          <w:rFonts w:ascii="Times New Roman" w:hAnsi="Times New Roman"/>
        </w:rPr>
        <w:tab/>
        <w:t>Sąveika su kitais vaistiniais preparatais ir kitokia sąveika</w:t>
      </w:r>
    </w:p>
    <w:p w14:paraId="0EE8C633" w14:textId="77777777" w:rsidR="00033F69" w:rsidRPr="00361C46" w:rsidRDefault="00033F69" w:rsidP="00306AC1">
      <w:pPr>
        <w:keepNext/>
      </w:pPr>
    </w:p>
    <w:p w14:paraId="13085B70" w14:textId="77777777" w:rsidR="00033F69" w:rsidRPr="00361C46" w:rsidRDefault="00033F69" w:rsidP="00306AC1">
      <w:pPr>
        <w:keepNext/>
      </w:pPr>
      <w:r w:rsidRPr="00361C46">
        <w:t>Iki galo nenustatyta, ar saugu ir efektyvu Neupogen vartoti tą pačią dieną su mielosupresine citotoksine chemoterapija. Dėl greitai besidalijančių mieloidinių ląstelių jautrumo mielosupresinei citotoksinei chemoterapijai, Neupogen nerekomenduojama vartoti 24 valandas prieš chemoterapiją ir 24 valandas po jos. Preliminarūs nedidelio pacientų, gydytų Neupogen ir 5</w:t>
      </w:r>
      <w:r w:rsidRPr="00361C46">
        <w:noBreakHyphen/>
        <w:t xml:space="preserve">fluorouracilu, skaičiaus duomenys rodo, kad gali pasunkėti neutropenijos laipsnis. </w:t>
      </w:r>
    </w:p>
    <w:p w14:paraId="42A8810C" w14:textId="77777777" w:rsidR="00033F69" w:rsidRPr="00361C46" w:rsidRDefault="00033F69" w:rsidP="00033F69"/>
    <w:p w14:paraId="556B8D63" w14:textId="77777777" w:rsidR="00033F69" w:rsidRPr="00361C46" w:rsidRDefault="00033F69" w:rsidP="00033F69">
      <w:r w:rsidRPr="00361C46">
        <w:t xml:space="preserve">Galima sąveika su kitais hemopoeziniais augimo faktoriais ir citokinais, klinikinių tyrimų metu dar netyrinėta. </w:t>
      </w:r>
    </w:p>
    <w:p w14:paraId="1A1BFB9D" w14:textId="77777777" w:rsidR="00033F69" w:rsidRPr="00361C46" w:rsidRDefault="00033F69" w:rsidP="00033F69"/>
    <w:p w14:paraId="3E90780C" w14:textId="77777777" w:rsidR="00033F69" w:rsidRPr="00361C46" w:rsidRDefault="00033F69" w:rsidP="00033F69">
      <w:r w:rsidRPr="00361C46">
        <w:t>Litis skatina neutrofilų išsiskyrimą, todėl tikėtina, kad jis gali sustiprinti Neupogen efektą. Nors ši sąveika formaliai netirta, nėra duomenų, kad ji būtų žalinga.</w:t>
      </w:r>
    </w:p>
    <w:p w14:paraId="475A3F2C" w14:textId="77777777" w:rsidR="00033F69" w:rsidRPr="00361C46" w:rsidRDefault="00033F69" w:rsidP="00033F69"/>
    <w:p w14:paraId="6C365A84" w14:textId="77777777" w:rsidR="00033F69" w:rsidRPr="00361C46" w:rsidRDefault="00033F69" w:rsidP="00770D60">
      <w:pPr>
        <w:pStyle w:val="Antrat2"/>
        <w:tabs>
          <w:tab w:val="left" w:pos="567"/>
        </w:tabs>
        <w:ind w:left="567" w:hanging="567"/>
        <w:rPr>
          <w:rFonts w:ascii="Times New Roman" w:hAnsi="Times New Roman"/>
        </w:rPr>
      </w:pPr>
      <w:r w:rsidRPr="00361C46">
        <w:rPr>
          <w:rFonts w:ascii="Times New Roman" w:hAnsi="Times New Roman"/>
        </w:rPr>
        <w:t>4.6</w:t>
      </w:r>
      <w:r w:rsidRPr="00361C46">
        <w:rPr>
          <w:rFonts w:ascii="Times New Roman" w:hAnsi="Times New Roman"/>
        </w:rPr>
        <w:tab/>
        <w:t>Vaisingumas, nėštumo ir žindymo laikotarpis</w:t>
      </w:r>
    </w:p>
    <w:p w14:paraId="7C3B6A7E" w14:textId="77777777" w:rsidR="00033F69" w:rsidRPr="00361C46" w:rsidRDefault="00033F69" w:rsidP="00033F69">
      <w:pPr>
        <w:keepNext/>
      </w:pPr>
    </w:p>
    <w:p w14:paraId="0E715D63" w14:textId="77777777" w:rsidR="00033F69" w:rsidRPr="00361C46" w:rsidRDefault="00033F69" w:rsidP="00033F69">
      <w:pPr>
        <w:rPr>
          <w:u w:val="single"/>
        </w:rPr>
      </w:pPr>
      <w:r w:rsidRPr="00361C46">
        <w:rPr>
          <w:u w:val="single"/>
        </w:rPr>
        <w:t>Nėštumas</w:t>
      </w:r>
    </w:p>
    <w:p w14:paraId="2E184AF3" w14:textId="77777777" w:rsidR="00033F69" w:rsidRPr="00361C46" w:rsidRDefault="00033F69" w:rsidP="00033F69"/>
    <w:p w14:paraId="750017A7" w14:textId="77777777" w:rsidR="00033F69" w:rsidRPr="00361C46" w:rsidRDefault="00033F69" w:rsidP="00033F69">
      <w:r w:rsidRPr="00361C46">
        <w:t xml:space="preserve">Duomenų apie filgrastimo vartojimą nėštumo metu nėra arba jų nepakanka. Su gyvūnais atlikti tyrimai parodė toksinį poveikį reprodukcijai. Kai ekspozicija daug kartų viršijo klinikinę, buvo stebėtas toksinis poveikis triušių patelėms ir padažnėjo embriono žuvimo atvejų (žr. 5.3 skyrių). Literatūroje yra duomenų apie filgrastimo praėjimo pro placentos barjerą atvejus. </w:t>
      </w:r>
    </w:p>
    <w:p w14:paraId="1F985788" w14:textId="77777777" w:rsidR="00033F69" w:rsidRPr="00361C46" w:rsidRDefault="00033F69" w:rsidP="00033F69"/>
    <w:p w14:paraId="3262CB9B" w14:textId="77777777" w:rsidR="00033F69" w:rsidRPr="00361C46" w:rsidRDefault="00033F69" w:rsidP="00033F69">
      <w:r w:rsidRPr="00361C46">
        <w:t>Neupogen nerekomenduojama vartoti nėštumo metu.</w:t>
      </w:r>
    </w:p>
    <w:p w14:paraId="1329D2ED" w14:textId="77777777" w:rsidR="00033F69" w:rsidRPr="00361C46" w:rsidRDefault="00033F69" w:rsidP="00033F69"/>
    <w:p w14:paraId="468D8ADD" w14:textId="77777777" w:rsidR="00033F69" w:rsidRPr="00361C46" w:rsidRDefault="00033F69" w:rsidP="007240E0">
      <w:pPr>
        <w:keepNext/>
        <w:rPr>
          <w:u w:val="single"/>
        </w:rPr>
      </w:pPr>
      <w:r w:rsidRPr="00361C46">
        <w:rPr>
          <w:u w:val="single"/>
        </w:rPr>
        <w:t>Žindymas</w:t>
      </w:r>
    </w:p>
    <w:p w14:paraId="3F15260A" w14:textId="77777777" w:rsidR="00033F69" w:rsidRPr="00361C46" w:rsidRDefault="00033F69" w:rsidP="007240E0">
      <w:pPr>
        <w:keepNext/>
      </w:pPr>
    </w:p>
    <w:p w14:paraId="29611ABC" w14:textId="77777777" w:rsidR="00033F69" w:rsidRPr="00361C46" w:rsidRDefault="00033F69" w:rsidP="007240E0">
      <w:pPr>
        <w:keepNext/>
      </w:pPr>
      <w:r w:rsidRPr="00361C46">
        <w:t xml:space="preserve">Nežinoma, ar filgrastimas/ metabolitai išsiskiria į motinos pieną. Pavojaus žindomiems naujagimiams/ kūdikiams negalima atmesti. Atsižvelgiant į žindymo naudą kūdikiui ir gydymo naudą motinai, reikia nuspręsti, ar nutraukti žindymą ar nutraukti arba susilaikyti nuo gydymo Neupogen. </w:t>
      </w:r>
    </w:p>
    <w:p w14:paraId="0D4B749E" w14:textId="77777777" w:rsidR="00033F69" w:rsidRPr="00361C46" w:rsidRDefault="00033F69" w:rsidP="00033F69"/>
    <w:p w14:paraId="22C58E78" w14:textId="77777777" w:rsidR="00033F69" w:rsidRPr="00361C46" w:rsidRDefault="00033F69" w:rsidP="00033F69">
      <w:pPr>
        <w:rPr>
          <w:u w:val="single"/>
        </w:rPr>
      </w:pPr>
      <w:r w:rsidRPr="00361C46">
        <w:rPr>
          <w:u w:val="single"/>
        </w:rPr>
        <w:t>Vaisingumas</w:t>
      </w:r>
    </w:p>
    <w:p w14:paraId="0FF7467F" w14:textId="77777777" w:rsidR="00033F69" w:rsidRPr="00361C46" w:rsidRDefault="00033F69" w:rsidP="00033F69">
      <w:pPr>
        <w:rPr>
          <w:u w:val="single"/>
        </w:rPr>
      </w:pPr>
    </w:p>
    <w:p w14:paraId="1C5832C2" w14:textId="77777777" w:rsidR="00033F69" w:rsidRPr="00361C46" w:rsidRDefault="00033F69" w:rsidP="00033F69">
      <w:pPr>
        <w:rPr>
          <w:u w:val="single"/>
        </w:rPr>
      </w:pPr>
      <w:r w:rsidRPr="00361C46">
        <w:t>Filgrastimas žiurkių patelių ir patinėlių reprodukcinės veiklos ir vaisingumo neveikia (žr. 5.3 skyrių).</w:t>
      </w:r>
    </w:p>
    <w:p w14:paraId="7E9FEDED" w14:textId="77777777" w:rsidR="00033F69" w:rsidRPr="00361C46" w:rsidRDefault="00033F69" w:rsidP="00033F69"/>
    <w:p w14:paraId="587798CE" w14:textId="77777777" w:rsidR="00033F69" w:rsidRPr="00361C46" w:rsidRDefault="00033F69" w:rsidP="00DF7B73">
      <w:pPr>
        <w:pStyle w:val="Antrat2"/>
        <w:tabs>
          <w:tab w:val="left" w:pos="567"/>
        </w:tabs>
        <w:rPr>
          <w:rFonts w:ascii="Times New Roman" w:hAnsi="Times New Roman"/>
        </w:rPr>
      </w:pPr>
      <w:r w:rsidRPr="00361C46">
        <w:rPr>
          <w:rFonts w:ascii="Times New Roman" w:hAnsi="Times New Roman"/>
        </w:rPr>
        <w:t>4.7</w:t>
      </w:r>
      <w:r w:rsidRPr="00361C46">
        <w:rPr>
          <w:rFonts w:ascii="Times New Roman" w:hAnsi="Times New Roman"/>
        </w:rPr>
        <w:tab/>
        <w:t>Poveikis gebėjimui vairuoti ir valdyti mechanizmus</w:t>
      </w:r>
    </w:p>
    <w:p w14:paraId="7F2DEC7A" w14:textId="77777777" w:rsidR="00033F69" w:rsidRPr="00361C46" w:rsidRDefault="00033F69" w:rsidP="00033F69"/>
    <w:p w14:paraId="1FD5F5C4" w14:textId="77777777" w:rsidR="00033F69" w:rsidRPr="00361C46" w:rsidRDefault="00033F69" w:rsidP="00033F69">
      <w:r w:rsidRPr="00361C46">
        <w:t>Neupogen gebėjimą vairuoti ir valdyti mechanizmus veikia silpnai. Po Neupogen pavartojimo gali pasireikšti svaigulys (žr. 4.8 skyrių).</w:t>
      </w:r>
    </w:p>
    <w:p w14:paraId="6E4213FA" w14:textId="77777777" w:rsidR="00033F69" w:rsidRPr="00361C46" w:rsidRDefault="00033F69" w:rsidP="00033F69"/>
    <w:p w14:paraId="78054B5D" w14:textId="77777777" w:rsidR="00033F69" w:rsidRPr="00361C46" w:rsidRDefault="00033F69" w:rsidP="00770D60">
      <w:pPr>
        <w:pStyle w:val="Antrat2"/>
        <w:tabs>
          <w:tab w:val="left" w:pos="567"/>
        </w:tabs>
        <w:ind w:left="567" w:hanging="567"/>
        <w:rPr>
          <w:rFonts w:ascii="Times New Roman" w:hAnsi="Times New Roman"/>
        </w:rPr>
      </w:pPr>
      <w:r w:rsidRPr="00361C46">
        <w:rPr>
          <w:rFonts w:ascii="Times New Roman" w:hAnsi="Times New Roman"/>
        </w:rPr>
        <w:t>4.8</w:t>
      </w:r>
      <w:r w:rsidRPr="00361C46">
        <w:rPr>
          <w:rFonts w:ascii="Times New Roman" w:hAnsi="Times New Roman"/>
        </w:rPr>
        <w:tab/>
        <w:t>Nepageidaujamas poveikis</w:t>
      </w:r>
    </w:p>
    <w:p w14:paraId="7E291E33" w14:textId="77777777" w:rsidR="00033F69" w:rsidRPr="00361C46" w:rsidRDefault="00033F69" w:rsidP="00033F69"/>
    <w:p w14:paraId="0A788EA1" w14:textId="77777777" w:rsidR="00033F69" w:rsidRPr="00361C46" w:rsidRDefault="00033F69" w:rsidP="00033F69">
      <w:pPr>
        <w:pStyle w:val="lbltxt"/>
        <w:numPr>
          <w:ilvl w:val="0"/>
          <w:numId w:val="23"/>
        </w:numPr>
        <w:ind w:left="567" w:hanging="567"/>
        <w:rPr>
          <w:noProof w:val="0"/>
          <w:u w:val="single"/>
          <w:lang w:val="lt-LT"/>
        </w:rPr>
      </w:pPr>
      <w:r w:rsidRPr="00361C46">
        <w:rPr>
          <w:noProof w:val="0"/>
          <w:u w:val="single"/>
          <w:lang w:val="lt-LT" w:eastAsia="lt-LT"/>
        </w:rPr>
        <w:t>Saugumo duomenų santrauka</w:t>
      </w:r>
    </w:p>
    <w:p w14:paraId="4E0472F4" w14:textId="77777777" w:rsidR="00033F69" w:rsidRPr="00361C46" w:rsidRDefault="00033F69" w:rsidP="00033F69"/>
    <w:p w14:paraId="1BBAEAE3" w14:textId="77777777" w:rsidR="00033F69" w:rsidRDefault="00033F69" w:rsidP="00033F69">
      <w:r w:rsidRPr="00361C46">
        <w:t>Sunkiausios nepageidaujamos reakcijos, kuri</w:t>
      </w:r>
      <w:r>
        <w:t>ų</w:t>
      </w:r>
      <w:r w:rsidRPr="00361C46">
        <w:t xml:space="preserve"> gali atsirasti </w:t>
      </w:r>
      <w:r>
        <w:t>gydymo</w:t>
      </w:r>
      <w:r w:rsidRPr="00361C46">
        <w:t xml:space="preserve"> Neupogen</w:t>
      </w:r>
      <w:r>
        <w:t xml:space="preserve"> metu, yra </w:t>
      </w:r>
      <w:r w:rsidRPr="00361C46">
        <w:t>anafilaksinė</w:t>
      </w:r>
      <w:r>
        <w:t xml:space="preserve"> </w:t>
      </w:r>
      <w:r w:rsidRPr="00361C46">
        <w:t xml:space="preserve">reakcija, sunkūs </w:t>
      </w:r>
      <w:r>
        <w:t xml:space="preserve">plaučių </w:t>
      </w:r>
      <w:r w:rsidRPr="00361C46">
        <w:t xml:space="preserve">nepageidaujami reiškiniai plaučiuose (įskaitant intersticinę pneumoniją ir </w:t>
      </w:r>
      <w:r>
        <w:t>Ū</w:t>
      </w:r>
      <w:r w:rsidRPr="00361C46">
        <w:t>RDS), kapiliar</w:t>
      </w:r>
      <w:r>
        <w:t xml:space="preserve">ų pralaidumo </w:t>
      </w:r>
      <w:r w:rsidRPr="00361C46">
        <w:t xml:space="preserve">sindromas, sunki splenomegalija / </w:t>
      </w:r>
      <w:r>
        <w:t>blužnies</w:t>
      </w:r>
      <w:r w:rsidRPr="00361C46">
        <w:t xml:space="preserve"> plyšimas, transformacija į mielodisplazi</w:t>
      </w:r>
      <w:r>
        <w:t>jos</w:t>
      </w:r>
      <w:r w:rsidRPr="00361C46">
        <w:t xml:space="preserve"> sindromą arba</w:t>
      </w:r>
      <w:r>
        <w:t xml:space="preserve"> l</w:t>
      </w:r>
      <w:r w:rsidRPr="00361C46">
        <w:t>eukemij</w:t>
      </w:r>
      <w:r>
        <w:t>ą</w:t>
      </w:r>
      <w:r w:rsidRPr="00361C46">
        <w:t xml:space="preserve"> </w:t>
      </w:r>
      <w:r>
        <w:t>sunkia lėtine neutropenija</w:t>
      </w:r>
      <w:r w:rsidRPr="00B72AF4">
        <w:t xml:space="preserve"> </w:t>
      </w:r>
      <w:r w:rsidRPr="00361C46">
        <w:t>sergantiems pacientams</w:t>
      </w:r>
      <w:r>
        <w:t>,</w:t>
      </w:r>
      <w:r w:rsidRPr="00361C46">
        <w:t xml:space="preserve"> transplantato prieš šeimininką lig</w:t>
      </w:r>
      <w:r>
        <w:t>a</w:t>
      </w:r>
      <w:r w:rsidRPr="00361C46">
        <w:t xml:space="preserve"> (TpŠL) pacientams po alogeninės kaulų čiulpų transplantacijos</w:t>
      </w:r>
      <w:r>
        <w:t xml:space="preserve"> ar</w:t>
      </w:r>
      <w:r w:rsidRPr="00361C46">
        <w:t xml:space="preserve"> </w:t>
      </w:r>
      <w:r w:rsidRPr="00B72AF4">
        <w:t>periferinio kraujo kamieninių ląstelių</w:t>
      </w:r>
      <w:r>
        <w:t xml:space="preserve"> persodinimo </w:t>
      </w:r>
      <w:r w:rsidRPr="00361C46">
        <w:t xml:space="preserve">ir </w:t>
      </w:r>
      <w:r>
        <w:t>ligos</w:t>
      </w:r>
      <w:r w:rsidRPr="00361C46">
        <w:t xml:space="preserve"> krizė</w:t>
      </w:r>
      <w:r w:rsidRPr="00B72AF4">
        <w:t xml:space="preserve"> </w:t>
      </w:r>
      <w:r>
        <w:t>p</w:t>
      </w:r>
      <w:r w:rsidRPr="00B72AF4">
        <w:t>jautuvine anemija sergantiems pacientams</w:t>
      </w:r>
      <w:r>
        <w:t>.</w:t>
      </w:r>
    </w:p>
    <w:p w14:paraId="6CD1BDAF" w14:textId="77777777" w:rsidR="00033F69" w:rsidRPr="00361C46" w:rsidRDefault="00033F69" w:rsidP="00033F69"/>
    <w:p w14:paraId="4566DDC2" w14:textId="77777777" w:rsidR="00033F69" w:rsidRPr="00361C46" w:rsidRDefault="00033F69" w:rsidP="00033F69">
      <w:r>
        <w:t>N</w:t>
      </w:r>
      <w:r w:rsidRPr="00361C46">
        <w:t>epageidaujamos reakcijos</w:t>
      </w:r>
      <w:r>
        <w:t>, apie kurias pranešta dažniausiai,</w:t>
      </w:r>
      <w:r w:rsidRPr="00361C46">
        <w:t xml:space="preserve"> yra karščiavimas, raumenų ir kaulų skausmas (įskaitant</w:t>
      </w:r>
      <w:r>
        <w:t xml:space="preserve"> </w:t>
      </w:r>
      <w:r w:rsidRPr="00361C46">
        <w:t>kaulų skausm</w:t>
      </w:r>
      <w:r>
        <w:t>ą</w:t>
      </w:r>
      <w:r w:rsidRPr="00361C46">
        <w:t>, nugaros skausm</w:t>
      </w:r>
      <w:r>
        <w:t>ą</w:t>
      </w:r>
      <w:r w:rsidRPr="00361C46">
        <w:t>, artralgij</w:t>
      </w:r>
      <w:r>
        <w:t>ą</w:t>
      </w:r>
      <w:r w:rsidRPr="00361C46">
        <w:t>, mialgij</w:t>
      </w:r>
      <w:r>
        <w:t>ą</w:t>
      </w:r>
      <w:r w:rsidRPr="00361C46">
        <w:t>, galūnių skausm</w:t>
      </w:r>
      <w:r>
        <w:t>ą</w:t>
      </w:r>
      <w:r w:rsidRPr="00361C46">
        <w:t>, raumenų ir kaulų skausm</w:t>
      </w:r>
      <w:r>
        <w:t>ą</w:t>
      </w:r>
      <w:r w:rsidRPr="00361C46">
        <w:t>, raumenų ir kaulų skausm</w:t>
      </w:r>
      <w:r>
        <w:t xml:space="preserve">ą </w:t>
      </w:r>
      <w:r w:rsidRPr="00361C46">
        <w:t>krūtinė</w:t>
      </w:r>
      <w:r>
        <w:t>je ir</w:t>
      </w:r>
      <w:r w:rsidRPr="00361C46">
        <w:t xml:space="preserve"> kaklo skausm</w:t>
      </w:r>
      <w:r>
        <w:t>ą</w:t>
      </w:r>
      <w:r w:rsidRPr="00361C46">
        <w:t>), anemija, vėmimas ir pykinimas. Klinikinių tyrimų su vėžiu sergančiais pacientais metu raumenų ir kaulų skausmas buvo silpnas arba vidutinio stiprumo (10% pacientų) bei stiprus (3%).</w:t>
      </w:r>
    </w:p>
    <w:p w14:paraId="165626A2" w14:textId="77777777" w:rsidR="00033F69" w:rsidRPr="00361C46" w:rsidRDefault="00033F69" w:rsidP="00033F69"/>
    <w:p w14:paraId="0214CF73" w14:textId="77777777" w:rsidR="00033F69" w:rsidRPr="00361C46" w:rsidRDefault="00033F69" w:rsidP="00A70C8C">
      <w:pPr>
        <w:pStyle w:val="lbltxt"/>
        <w:keepNext/>
        <w:numPr>
          <w:ilvl w:val="0"/>
          <w:numId w:val="23"/>
        </w:numPr>
        <w:ind w:left="567" w:hanging="567"/>
        <w:rPr>
          <w:noProof w:val="0"/>
          <w:u w:val="single"/>
          <w:lang w:val="lt-LT"/>
        </w:rPr>
      </w:pPr>
      <w:r w:rsidRPr="00361C46">
        <w:rPr>
          <w:noProof w:val="0"/>
          <w:szCs w:val="22"/>
          <w:u w:val="single"/>
          <w:lang w:val="lt-LT" w:eastAsia="lt-LT"/>
        </w:rPr>
        <w:t>Nepageidaujamų reakcijų santrauka lentelėje</w:t>
      </w:r>
    </w:p>
    <w:p w14:paraId="736723E6" w14:textId="77777777" w:rsidR="00033F69" w:rsidRPr="00361C46" w:rsidRDefault="00033F69" w:rsidP="00A70C8C">
      <w:pPr>
        <w:pStyle w:val="lbltxt"/>
        <w:keepNext/>
        <w:tabs>
          <w:tab w:val="left" w:pos="567"/>
        </w:tabs>
        <w:rPr>
          <w:noProof w:val="0"/>
          <w:szCs w:val="22"/>
          <w:lang w:val="lt-LT"/>
        </w:rPr>
      </w:pPr>
    </w:p>
    <w:p w14:paraId="56D92671" w14:textId="77777777" w:rsidR="00033F69" w:rsidRPr="00361C46" w:rsidRDefault="00033F69" w:rsidP="00A70C8C">
      <w:pPr>
        <w:pStyle w:val="lbltxt"/>
        <w:keepNext/>
        <w:rPr>
          <w:noProof w:val="0"/>
          <w:lang w:val="lt-LT"/>
        </w:rPr>
      </w:pPr>
      <w:r w:rsidRPr="00361C46">
        <w:rPr>
          <w:noProof w:val="0"/>
          <w:lang w:val="lt-LT"/>
        </w:rPr>
        <w:t>Toliau esančiose lentelėse pateikti duomenys apie nepageidaujamas reakcijas, nustatytas klinikinių tyrimų metu, ir pagal spontaninius pranešimus. Kiekvienoje dažnio grupėje nepageidaujamas poveikis pateiktas mažėjančio sunkumo tvarka.</w:t>
      </w:r>
    </w:p>
    <w:p w14:paraId="63A49F94" w14:textId="77777777" w:rsidR="00033F69" w:rsidRPr="00361C46" w:rsidRDefault="00033F69" w:rsidP="00033F69">
      <w:pPr>
        <w:pStyle w:val="lbltxt"/>
        <w:rPr>
          <w:noProof w:val="0"/>
          <w:lang w:val="lt-LT"/>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1663"/>
        <w:gridCol w:w="1659"/>
        <w:gridCol w:w="6"/>
        <w:gridCol w:w="1659"/>
        <w:gridCol w:w="1733"/>
        <w:gridCol w:w="1408"/>
        <w:gridCol w:w="1232"/>
      </w:tblGrid>
      <w:tr w:rsidR="00306AC1" w:rsidRPr="00361C46" w14:paraId="6AC6A592" w14:textId="77777777" w:rsidTr="00306AC1">
        <w:trPr>
          <w:cantSplit/>
          <w:trHeight w:val="339"/>
          <w:tblHeader/>
        </w:trPr>
        <w:tc>
          <w:tcPr>
            <w:tcW w:w="889" w:type="pct"/>
            <w:vMerge w:val="restart"/>
          </w:tcPr>
          <w:p w14:paraId="3D8AEB80" w14:textId="77777777" w:rsidR="00033F69" w:rsidRPr="00361C46" w:rsidRDefault="000D4078" w:rsidP="000D4078">
            <w:pPr>
              <w:rPr>
                <w:b/>
                <w:sz w:val="20"/>
              </w:rPr>
            </w:pPr>
            <w:r>
              <w:rPr>
                <w:b/>
                <w:sz w:val="20"/>
              </w:rPr>
              <w:t>MeDRA o</w:t>
            </w:r>
            <w:r w:rsidR="00033F69" w:rsidRPr="00361C46">
              <w:rPr>
                <w:b/>
                <w:sz w:val="20"/>
              </w:rPr>
              <w:t>rganų sistemų klasė</w:t>
            </w:r>
          </w:p>
        </w:tc>
        <w:tc>
          <w:tcPr>
            <w:tcW w:w="4111" w:type="pct"/>
            <w:gridSpan w:val="6"/>
          </w:tcPr>
          <w:p w14:paraId="15795536" w14:textId="77777777" w:rsidR="00033F69" w:rsidRPr="00361C46" w:rsidRDefault="00033F69" w:rsidP="00F21ED3">
            <w:pPr>
              <w:jc w:val="center"/>
              <w:rPr>
                <w:b/>
                <w:sz w:val="20"/>
              </w:rPr>
            </w:pPr>
            <w:r w:rsidRPr="00361C46">
              <w:rPr>
                <w:b/>
                <w:sz w:val="20"/>
              </w:rPr>
              <w:t>Nepageidaujamos reakcijos</w:t>
            </w:r>
          </w:p>
        </w:tc>
      </w:tr>
      <w:tr w:rsidR="00306AC1" w:rsidRPr="00361C46" w14:paraId="03B09BDE" w14:textId="77777777" w:rsidTr="00306AC1">
        <w:trPr>
          <w:cantSplit/>
          <w:trHeight w:val="807"/>
          <w:tblHeader/>
        </w:trPr>
        <w:tc>
          <w:tcPr>
            <w:tcW w:w="889" w:type="pct"/>
            <w:vMerge/>
          </w:tcPr>
          <w:p w14:paraId="61CAD1A4" w14:textId="77777777" w:rsidR="00033F69" w:rsidRPr="00361C46" w:rsidRDefault="00033F69" w:rsidP="00F21ED3">
            <w:pPr>
              <w:rPr>
                <w:b/>
                <w:sz w:val="20"/>
              </w:rPr>
            </w:pPr>
          </w:p>
        </w:tc>
        <w:tc>
          <w:tcPr>
            <w:tcW w:w="889" w:type="pct"/>
            <w:gridSpan w:val="2"/>
          </w:tcPr>
          <w:p w14:paraId="3CD9674E" w14:textId="77777777" w:rsidR="00033F69" w:rsidRPr="00361C46" w:rsidRDefault="00033F69" w:rsidP="00F21ED3">
            <w:pPr>
              <w:pStyle w:val="lbltxt"/>
              <w:tabs>
                <w:tab w:val="left" w:pos="567"/>
              </w:tabs>
              <w:jc w:val="center"/>
              <w:rPr>
                <w:noProof w:val="0"/>
                <w:sz w:val="20"/>
                <w:lang w:val="lt-LT"/>
              </w:rPr>
            </w:pPr>
            <w:r w:rsidRPr="00361C46">
              <w:rPr>
                <w:b/>
                <w:noProof w:val="0"/>
                <w:sz w:val="20"/>
                <w:lang w:val="lt-LT"/>
              </w:rPr>
              <w:t>Labai dažnos</w:t>
            </w:r>
            <w:r w:rsidRPr="00361C46">
              <w:rPr>
                <w:b/>
                <w:noProof w:val="0"/>
                <w:sz w:val="20"/>
                <w:lang w:val="lt-LT"/>
              </w:rPr>
              <w:br/>
              <w:t>(≥ 1/10)</w:t>
            </w:r>
          </w:p>
        </w:tc>
        <w:tc>
          <w:tcPr>
            <w:tcW w:w="886" w:type="pct"/>
          </w:tcPr>
          <w:p w14:paraId="7B5CF64C" w14:textId="77777777" w:rsidR="00033F69" w:rsidRPr="00361C46" w:rsidRDefault="00033F69" w:rsidP="00F21ED3">
            <w:pPr>
              <w:jc w:val="center"/>
              <w:rPr>
                <w:b/>
                <w:sz w:val="20"/>
              </w:rPr>
            </w:pPr>
            <w:r w:rsidRPr="00361C46">
              <w:rPr>
                <w:b/>
                <w:sz w:val="20"/>
              </w:rPr>
              <w:t>Dažnos</w:t>
            </w:r>
            <w:r w:rsidRPr="00361C46">
              <w:rPr>
                <w:b/>
                <w:sz w:val="20"/>
              </w:rPr>
              <w:br/>
              <w:t>(nuo ≥ 1/100 iki &lt; 1/10)</w:t>
            </w:r>
          </w:p>
        </w:tc>
        <w:tc>
          <w:tcPr>
            <w:tcW w:w="926" w:type="pct"/>
          </w:tcPr>
          <w:p w14:paraId="3861AF15" w14:textId="77777777" w:rsidR="00033F69" w:rsidRPr="00361C46" w:rsidRDefault="00033F69" w:rsidP="00F21ED3">
            <w:pPr>
              <w:jc w:val="center"/>
              <w:rPr>
                <w:b/>
                <w:sz w:val="20"/>
              </w:rPr>
            </w:pPr>
            <w:r w:rsidRPr="00361C46">
              <w:rPr>
                <w:b/>
                <w:sz w:val="20"/>
              </w:rPr>
              <w:t>Nedažnos</w:t>
            </w:r>
            <w:r w:rsidRPr="00361C46">
              <w:rPr>
                <w:b/>
                <w:sz w:val="20"/>
              </w:rPr>
              <w:br/>
              <w:t>(nuo ≥ 1/1000 iki &lt; 1/100)</w:t>
            </w:r>
          </w:p>
        </w:tc>
        <w:tc>
          <w:tcPr>
            <w:tcW w:w="752" w:type="pct"/>
          </w:tcPr>
          <w:p w14:paraId="16867AA5" w14:textId="77777777" w:rsidR="00033F69" w:rsidRPr="00361C46" w:rsidRDefault="00033F69" w:rsidP="00F21ED3">
            <w:pPr>
              <w:jc w:val="center"/>
              <w:rPr>
                <w:b/>
                <w:sz w:val="20"/>
              </w:rPr>
            </w:pPr>
            <w:r w:rsidRPr="00361C46">
              <w:rPr>
                <w:b/>
                <w:sz w:val="20"/>
              </w:rPr>
              <w:t>Retos</w:t>
            </w:r>
            <w:r w:rsidRPr="00361C46">
              <w:rPr>
                <w:b/>
                <w:sz w:val="20"/>
              </w:rPr>
              <w:br/>
              <w:t>(nuo ≥ 1/10000 iki &lt; 1/1000)</w:t>
            </w:r>
          </w:p>
        </w:tc>
        <w:tc>
          <w:tcPr>
            <w:tcW w:w="658" w:type="pct"/>
          </w:tcPr>
          <w:p w14:paraId="401BC064" w14:textId="77777777" w:rsidR="00033F69" w:rsidRPr="00361C46" w:rsidRDefault="00033F69" w:rsidP="00F21ED3">
            <w:pPr>
              <w:jc w:val="center"/>
              <w:rPr>
                <w:b/>
                <w:sz w:val="20"/>
              </w:rPr>
            </w:pPr>
            <w:r w:rsidRPr="00361C46">
              <w:rPr>
                <w:b/>
                <w:sz w:val="20"/>
              </w:rPr>
              <w:t>Labai retos (&lt; 1/10000)</w:t>
            </w:r>
          </w:p>
        </w:tc>
      </w:tr>
      <w:tr w:rsidR="00306AC1" w:rsidRPr="00361C46" w14:paraId="0BAE7025" w14:textId="77777777" w:rsidTr="00306AC1">
        <w:trPr>
          <w:cantSplit/>
          <w:trHeight w:val="252"/>
        </w:trPr>
        <w:tc>
          <w:tcPr>
            <w:tcW w:w="889" w:type="pct"/>
          </w:tcPr>
          <w:p w14:paraId="29583777" w14:textId="77777777" w:rsidR="00033F69" w:rsidRPr="00361C46" w:rsidRDefault="00033F69" w:rsidP="00F21ED3">
            <w:pPr>
              <w:pStyle w:val="Pavadinimas"/>
              <w:jc w:val="left"/>
              <w:rPr>
                <w:rFonts w:ascii="Times New Roman" w:hAnsi="Times New Roman"/>
              </w:rPr>
            </w:pPr>
            <w:r>
              <w:rPr>
                <w:rFonts w:ascii="Times New Roman" w:hAnsi="Times New Roman"/>
              </w:rPr>
              <w:t>Infekcijos ir infestacijos</w:t>
            </w:r>
          </w:p>
        </w:tc>
        <w:tc>
          <w:tcPr>
            <w:tcW w:w="889" w:type="pct"/>
            <w:gridSpan w:val="2"/>
          </w:tcPr>
          <w:p w14:paraId="3854A354" w14:textId="77777777" w:rsidR="00033F69" w:rsidRPr="00361C46" w:rsidRDefault="00033F69" w:rsidP="00F21ED3">
            <w:pPr>
              <w:rPr>
                <w:sz w:val="20"/>
              </w:rPr>
            </w:pPr>
          </w:p>
        </w:tc>
        <w:tc>
          <w:tcPr>
            <w:tcW w:w="886" w:type="pct"/>
          </w:tcPr>
          <w:p w14:paraId="220A91DA" w14:textId="77777777" w:rsidR="00033F69" w:rsidRDefault="00033F69" w:rsidP="00F21ED3">
            <w:pPr>
              <w:rPr>
                <w:sz w:val="20"/>
              </w:rPr>
            </w:pPr>
            <w:r>
              <w:rPr>
                <w:sz w:val="20"/>
              </w:rPr>
              <w:t>Sepsis</w:t>
            </w:r>
          </w:p>
          <w:p w14:paraId="0A8A24DA" w14:textId="77777777" w:rsidR="00033F69" w:rsidRDefault="00033F69" w:rsidP="00F21ED3">
            <w:pPr>
              <w:rPr>
                <w:sz w:val="20"/>
              </w:rPr>
            </w:pPr>
            <w:r>
              <w:rPr>
                <w:sz w:val="20"/>
              </w:rPr>
              <w:t>Bronchitas</w:t>
            </w:r>
          </w:p>
          <w:p w14:paraId="70B46BB3" w14:textId="77777777" w:rsidR="00033F69" w:rsidRDefault="00033F69" w:rsidP="00F21ED3">
            <w:pPr>
              <w:rPr>
                <w:sz w:val="20"/>
              </w:rPr>
            </w:pPr>
            <w:r>
              <w:rPr>
                <w:sz w:val="20"/>
              </w:rPr>
              <w:t>Viršutinių kvėpavimo takų infekcija</w:t>
            </w:r>
          </w:p>
          <w:p w14:paraId="5494AE2F" w14:textId="77777777" w:rsidR="00033F69" w:rsidRPr="00361C46" w:rsidRDefault="00033F69" w:rsidP="00F21ED3">
            <w:pPr>
              <w:rPr>
                <w:sz w:val="20"/>
              </w:rPr>
            </w:pPr>
            <w:r>
              <w:rPr>
                <w:sz w:val="20"/>
              </w:rPr>
              <w:t>Šlapimo takų infekcija</w:t>
            </w:r>
          </w:p>
        </w:tc>
        <w:tc>
          <w:tcPr>
            <w:tcW w:w="926" w:type="pct"/>
          </w:tcPr>
          <w:p w14:paraId="66EB1A29" w14:textId="77777777" w:rsidR="00033F69" w:rsidRPr="00361C46" w:rsidRDefault="00033F69" w:rsidP="00F21ED3">
            <w:pPr>
              <w:rPr>
                <w:sz w:val="20"/>
              </w:rPr>
            </w:pPr>
          </w:p>
        </w:tc>
        <w:tc>
          <w:tcPr>
            <w:tcW w:w="752" w:type="pct"/>
          </w:tcPr>
          <w:p w14:paraId="645795F9" w14:textId="77777777" w:rsidR="00033F69" w:rsidRPr="00361C46" w:rsidRDefault="00033F69" w:rsidP="00F21ED3">
            <w:pPr>
              <w:rPr>
                <w:color w:val="000000"/>
                <w:sz w:val="20"/>
              </w:rPr>
            </w:pPr>
          </w:p>
        </w:tc>
        <w:tc>
          <w:tcPr>
            <w:tcW w:w="658" w:type="pct"/>
          </w:tcPr>
          <w:p w14:paraId="0F214DB2" w14:textId="77777777" w:rsidR="00033F69" w:rsidRPr="00361C46" w:rsidRDefault="00033F69" w:rsidP="00F21ED3">
            <w:pPr>
              <w:rPr>
                <w:b/>
                <w:color w:val="000000"/>
                <w:sz w:val="20"/>
              </w:rPr>
            </w:pPr>
          </w:p>
        </w:tc>
      </w:tr>
      <w:tr w:rsidR="00306AC1" w:rsidRPr="00361C46" w14:paraId="4806199B" w14:textId="77777777" w:rsidTr="00306AC1">
        <w:trPr>
          <w:cantSplit/>
          <w:trHeight w:val="252"/>
        </w:trPr>
        <w:tc>
          <w:tcPr>
            <w:tcW w:w="889" w:type="pct"/>
          </w:tcPr>
          <w:p w14:paraId="3E11040C" w14:textId="77777777" w:rsidR="00033F69" w:rsidRPr="00361C46" w:rsidRDefault="00033F69" w:rsidP="00F21ED3">
            <w:pPr>
              <w:pStyle w:val="Pavadinimas"/>
              <w:jc w:val="left"/>
              <w:rPr>
                <w:rFonts w:ascii="Times New Roman" w:hAnsi="Times New Roman"/>
              </w:rPr>
            </w:pPr>
            <w:r w:rsidRPr="00361C46">
              <w:rPr>
                <w:rFonts w:ascii="Times New Roman" w:hAnsi="Times New Roman"/>
              </w:rPr>
              <w:t xml:space="preserve">Kraujo ir limfinės sistemos sutrikimai </w:t>
            </w:r>
          </w:p>
        </w:tc>
        <w:tc>
          <w:tcPr>
            <w:tcW w:w="889" w:type="pct"/>
            <w:gridSpan w:val="2"/>
          </w:tcPr>
          <w:p w14:paraId="2DD51A93" w14:textId="77777777" w:rsidR="00033F69" w:rsidRDefault="00033F69" w:rsidP="00F21ED3">
            <w:pPr>
              <w:rPr>
                <w:sz w:val="20"/>
              </w:rPr>
            </w:pPr>
            <w:r>
              <w:rPr>
                <w:sz w:val="20"/>
              </w:rPr>
              <w:t>Trombocitopenija</w:t>
            </w:r>
          </w:p>
          <w:p w14:paraId="6369478D" w14:textId="77777777" w:rsidR="00033F69" w:rsidRPr="00361C46" w:rsidRDefault="00033F69" w:rsidP="00F21ED3">
            <w:pPr>
              <w:rPr>
                <w:sz w:val="20"/>
              </w:rPr>
            </w:pPr>
            <w:r>
              <w:rPr>
                <w:sz w:val="20"/>
              </w:rPr>
              <w:t>Anemija</w:t>
            </w:r>
            <w:r w:rsidR="004218B5">
              <w:rPr>
                <w:sz w:val="20"/>
                <w:vertAlign w:val="superscript"/>
              </w:rPr>
              <w:t>e</w:t>
            </w:r>
          </w:p>
        </w:tc>
        <w:tc>
          <w:tcPr>
            <w:tcW w:w="886" w:type="pct"/>
          </w:tcPr>
          <w:p w14:paraId="58EAD75E" w14:textId="77777777" w:rsidR="00033F69" w:rsidRDefault="00033F69" w:rsidP="00F21ED3">
            <w:pPr>
              <w:rPr>
                <w:sz w:val="20"/>
                <w:vertAlign w:val="superscript"/>
              </w:rPr>
            </w:pPr>
            <w:r w:rsidRPr="00361C46">
              <w:rPr>
                <w:sz w:val="20"/>
              </w:rPr>
              <w:t>Splenomegalija</w:t>
            </w:r>
            <w:r w:rsidRPr="00361C46">
              <w:rPr>
                <w:sz w:val="20"/>
                <w:vertAlign w:val="superscript"/>
              </w:rPr>
              <w:t>a</w:t>
            </w:r>
          </w:p>
          <w:p w14:paraId="4455279C" w14:textId="77777777" w:rsidR="00033F69" w:rsidRPr="00845113" w:rsidRDefault="00033F69" w:rsidP="00F21ED3">
            <w:pPr>
              <w:rPr>
                <w:sz w:val="20"/>
              </w:rPr>
            </w:pPr>
            <w:r>
              <w:rPr>
                <w:sz w:val="20"/>
              </w:rPr>
              <w:t>Hemoglobino kiekio sumažėjimas</w:t>
            </w:r>
            <w:r w:rsidR="004218B5">
              <w:rPr>
                <w:sz w:val="20"/>
                <w:vertAlign w:val="superscript"/>
              </w:rPr>
              <w:t>e</w:t>
            </w:r>
          </w:p>
        </w:tc>
        <w:tc>
          <w:tcPr>
            <w:tcW w:w="926" w:type="pct"/>
          </w:tcPr>
          <w:p w14:paraId="11DD6C2F" w14:textId="77777777" w:rsidR="00033F69" w:rsidRPr="00361C46" w:rsidRDefault="00033F69" w:rsidP="00F21ED3">
            <w:pPr>
              <w:rPr>
                <w:sz w:val="20"/>
                <w:vertAlign w:val="superscript"/>
              </w:rPr>
            </w:pPr>
            <w:r>
              <w:rPr>
                <w:sz w:val="20"/>
              </w:rPr>
              <w:t>Leukocitozė</w:t>
            </w:r>
            <w:r w:rsidRPr="00361C46">
              <w:rPr>
                <w:sz w:val="20"/>
                <w:vertAlign w:val="superscript"/>
              </w:rPr>
              <w:t>a</w:t>
            </w:r>
          </w:p>
          <w:p w14:paraId="768BF8C0" w14:textId="77777777" w:rsidR="00033F69" w:rsidRPr="00361C46" w:rsidRDefault="00033F69" w:rsidP="00F21ED3">
            <w:pPr>
              <w:rPr>
                <w:sz w:val="20"/>
              </w:rPr>
            </w:pPr>
          </w:p>
        </w:tc>
        <w:tc>
          <w:tcPr>
            <w:tcW w:w="752" w:type="pct"/>
          </w:tcPr>
          <w:p w14:paraId="72D2C7FF" w14:textId="77777777" w:rsidR="00033F69" w:rsidRPr="00361C46" w:rsidRDefault="00033F69" w:rsidP="00F21ED3">
            <w:pPr>
              <w:rPr>
                <w:sz w:val="20"/>
              </w:rPr>
            </w:pPr>
            <w:r>
              <w:rPr>
                <w:sz w:val="20"/>
              </w:rPr>
              <w:t>Blužnies plyšimas</w:t>
            </w:r>
            <w:r w:rsidRPr="00361C46">
              <w:rPr>
                <w:sz w:val="20"/>
                <w:vertAlign w:val="superscript"/>
              </w:rPr>
              <w:t>a</w:t>
            </w:r>
          </w:p>
          <w:p w14:paraId="1B4F715B" w14:textId="77777777" w:rsidR="00033F69" w:rsidRPr="00361C46" w:rsidRDefault="00033F69" w:rsidP="00F21ED3">
            <w:pPr>
              <w:rPr>
                <w:color w:val="000000"/>
                <w:sz w:val="20"/>
              </w:rPr>
            </w:pPr>
            <w:r w:rsidRPr="00361C46">
              <w:rPr>
                <w:sz w:val="20"/>
              </w:rPr>
              <w:t>Pjautuvinė</w:t>
            </w:r>
            <w:r>
              <w:rPr>
                <w:sz w:val="20"/>
              </w:rPr>
              <w:t xml:space="preserve"> </w:t>
            </w:r>
            <w:r w:rsidRPr="00361C46">
              <w:rPr>
                <w:sz w:val="20"/>
              </w:rPr>
              <w:t>anemij</w:t>
            </w:r>
            <w:r>
              <w:rPr>
                <w:sz w:val="20"/>
              </w:rPr>
              <w:t>a su</w:t>
            </w:r>
            <w:r w:rsidRPr="00361C46">
              <w:rPr>
                <w:sz w:val="20"/>
              </w:rPr>
              <w:t xml:space="preserve"> kriz</w:t>
            </w:r>
            <w:r>
              <w:rPr>
                <w:sz w:val="20"/>
              </w:rPr>
              <w:t>e</w:t>
            </w:r>
          </w:p>
        </w:tc>
        <w:tc>
          <w:tcPr>
            <w:tcW w:w="658" w:type="pct"/>
          </w:tcPr>
          <w:p w14:paraId="51BC834E" w14:textId="77777777" w:rsidR="00033F69" w:rsidRPr="00361C46" w:rsidRDefault="00033F69" w:rsidP="00F21ED3">
            <w:pPr>
              <w:rPr>
                <w:b/>
                <w:color w:val="000000"/>
                <w:sz w:val="20"/>
              </w:rPr>
            </w:pPr>
          </w:p>
        </w:tc>
      </w:tr>
      <w:tr w:rsidR="00306AC1" w:rsidRPr="00361C46" w14:paraId="2AC693A2" w14:textId="77777777" w:rsidTr="00306AC1">
        <w:trPr>
          <w:cantSplit/>
          <w:trHeight w:val="252"/>
        </w:trPr>
        <w:tc>
          <w:tcPr>
            <w:tcW w:w="889" w:type="pct"/>
          </w:tcPr>
          <w:p w14:paraId="2D113A15" w14:textId="77777777" w:rsidR="00033F69" w:rsidRPr="00361C46" w:rsidRDefault="00033F69" w:rsidP="00F21ED3">
            <w:pPr>
              <w:pStyle w:val="Pavadinimas"/>
              <w:jc w:val="left"/>
              <w:rPr>
                <w:rFonts w:ascii="Times New Roman" w:hAnsi="Times New Roman"/>
              </w:rPr>
            </w:pPr>
            <w:r w:rsidRPr="00361C46">
              <w:rPr>
                <w:rFonts w:ascii="Times New Roman" w:hAnsi="Times New Roman"/>
              </w:rPr>
              <w:t xml:space="preserve">Imuninės sistemos sutrikimai </w:t>
            </w:r>
          </w:p>
        </w:tc>
        <w:tc>
          <w:tcPr>
            <w:tcW w:w="889" w:type="pct"/>
            <w:gridSpan w:val="2"/>
          </w:tcPr>
          <w:p w14:paraId="08EE0B41" w14:textId="77777777" w:rsidR="00033F69" w:rsidRPr="00361C46" w:rsidRDefault="00033F69" w:rsidP="00F21ED3">
            <w:pPr>
              <w:rPr>
                <w:sz w:val="20"/>
              </w:rPr>
            </w:pPr>
          </w:p>
        </w:tc>
        <w:tc>
          <w:tcPr>
            <w:tcW w:w="886" w:type="pct"/>
          </w:tcPr>
          <w:p w14:paraId="2F326500" w14:textId="77777777" w:rsidR="00033F69" w:rsidRPr="00361C46" w:rsidRDefault="00033F69" w:rsidP="00F21ED3">
            <w:pPr>
              <w:rPr>
                <w:sz w:val="20"/>
              </w:rPr>
            </w:pPr>
          </w:p>
        </w:tc>
        <w:tc>
          <w:tcPr>
            <w:tcW w:w="926" w:type="pct"/>
          </w:tcPr>
          <w:p w14:paraId="3B59872B" w14:textId="77777777" w:rsidR="00033F69" w:rsidRDefault="00033F69" w:rsidP="00F21ED3">
            <w:pPr>
              <w:rPr>
                <w:sz w:val="20"/>
              </w:rPr>
            </w:pPr>
            <w:r>
              <w:rPr>
                <w:sz w:val="20"/>
              </w:rPr>
              <w:t>Padidėjęs jautrumas</w:t>
            </w:r>
          </w:p>
          <w:p w14:paraId="74A3521D" w14:textId="77777777" w:rsidR="00033F69" w:rsidRDefault="00033F69" w:rsidP="00F21ED3">
            <w:pPr>
              <w:rPr>
                <w:sz w:val="20"/>
              </w:rPr>
            </w:pPr>
            <w:r w:rsidRPr="00361C46">
              <w:rPr>
                <w:sz w:val="20"/>
              </w:rPr>
              <w:t>Padidėjęs jautrumas vaistiniam preparatui</w:t>
            </w:r>
            <w:r w:rsidRPr="00361C46">
              <w:rPr>
                <w:sz w:val="20"/>
                <w:vertAlign w:val="superscript"/>
              </w:rPr>
              <w:t xml:space="preserve"> a</w:t>
            </w:r>
            <w:r w:rsidRPr="00361C46">
              <w:rPr>
                <w:sz w:val="20"/>
              </w:rPr>
              <w:t xml:space="preserve"> </w:t>
            </w:r>
          </w:p>
          <w:p w14:paraId="3892060A" w14:textId="77777777" w:rsidR="00033F69" w:rsidRPr="00361C46" w:rsidRDefault="00033F69" w:rsidP="00F21ED3">
            <w:pPr>
              <w:rPr>
                <w:sz w:val="20"/>
              </w:rPr>
            </w:pPr>
            <w:r w:rsidRPr="00361C46">
              <w:rPr>
                <w:sz w:val="20"/>
              </w:rPr>
              <w:t>Transplantato prieš šeimininką liga</w:t>
            </w:r>
            <w:r w:rsidRPr="00361C46">
              <w:rPr>
                <w:sz w:val="20"/>
                <w:vertAlign w:val="superscript"/>
              </w:rPr>
              <w:t>b</w:t>
            </w:r>
          </w:p>
        </w:tc>
        <w:tc>
          <w:tcPr>
            <w:tcW w:w="752" w:type="pct"/>
          </w:tcPr>
          <w:p w14:paraId="54FE8FDD" w14:textId="77777777" w:rsidR="00033F69" w:rsidRPr="00361C46" w:rsidRDefault="00033F69" w:rsidP="00F21ED3">
            <w:pPr>
              <w:rPr>
                <w:sz w:val="20"/>
              </w:rPr>
            </w:pPr>
            <w:r>
              <w:rPr>
                <w:sz w:val="20"/>
              </w:rPr>
              <w:t>Anafilaksinė reakcija</w:t>
            </w:r>
          </w:p>
        </w:tc>
        <w:tc>
          <w:tcPr>
            <w:tcW w:w="658" w:type="pct"/>
          </w:tcPr>
          <w:p w14:paraId="44E1F025" w14:textId="77777777" w:rsidR="00033F69" w:rsidRPr="00361C46" w:rsidRDefault="00033F69" w:rsidP="00F21ED3">
            <w:pPr>
              <w:rPr>
                <w:sz w:val="20"/>
              </w:rPr>
            </w:pPr>
          </w:p>
        </w:tc>
      </w:tr>
      <w:tr w:rsidR="00306AC1" w:rsidRPr="00361C46" w14:paraId="77FEE56E" w14:textId="77777777" w:rsidTr="00306AC1">
        <w:trPr>
          <w:cantSplit/>
          <w:trHeight w:val="252"/>
        </w:trPr>
        <w:tc>
          <w:tcPr>
            <w:tcW w:w="889" w:type="pct"/>
          </w:tcPr>
          <w:p w14:paraId="1F1A7FAD" w14:textId="77777777" w:rsidR="00033F69" w:rsidRPr="00361C46" w:rsidRDefault="00033F69" w:rsidP="00F21ED3">
            <w:pPr>
              <w:rPr>
                <w:b/>
                <w:sz w:val="20"/>
              </w:rPr>
            </w:pPr>
            <w:r w:rsidRPr="00361C46">
              <w:rPr>
                <w:b/>
                <w:sz w:val="20"/>
              </w:rPr>
              <w:t xml:space="preserve">Metabolizmo ir mitybos sutrikimai </w:t>
            </w:r>
          </w:p>
          <w:p w14:paraId="56A0D0CF" w14:textId="77777777" w:rsidR="00033F69" w:rsidRPr="00361C46" w:rsidRDefault="00033F69" w:rsidP="00F21ED3">
            <w:pPr>
              <w:rPr>
                <w:b/>
                <w:sz w:val="20"/>
              </w:rPr>
            </w:pPr>
          </w:p>
        </w:tc>
        <w:tc>
          <w:tcPr>
            <w:tcW w:w="889" w:type="pct"/>
            <w:gridSpan w:val="2"/>
          </w:tcPr>
          <w:p w14:paraId="7277818B" w14:textId="77777777" w:rsidR="00033F69" w:rsidRPr="00361C46" w:rsidRDefault="00033F69" w:rsidP="00F21ED3">
            <w:pPr>
              <w:rPr>
                <w:sz w:val="20"/>
              </w:rPr>
            </w:pPr>
          </w:p>
        </w:tc>
        <w:tc>
          <w:tcPr>
            <w:tcW w:w="886" w:type="pct"/>
          </w:tcPr>
          <w:p w14:paraId="6DB1A45C" w14:textId="77777777" w:rsidR="00033F69" w:rsidRPr="00361C46" w:rsidRDefault="00033F69" w:rsidP="00F21ED3">
            <w:pPr>
              <w:rPr>
                <w:sz w:val="20"/>
              </w:rPr>
            </w:pPr>
            <w:r w:rsidRPr="00361C46">
              <w:rPr>
                <w:sz w:val="20"/>
              </w:rPr>
              <w:t>Sumažėjęs apetitas</w:t>
            </w:r>
            <w:r w:rsidR="00D5278E">
              <w:rPr>
                <w:sz w:val="20"/>
                <w:vertAlign w:val="superscript"/>
              </w:rPr>
              <w:t>e</w:t>
            </w:r>
          </w:p>
          <w:p w14:paraId="52FB48CB" w14:textId="77777777" w:rsidR="00033F69" w:rsidRPr="00361C46" w:rsidRDefault="00033F69" w:rsidP="00F21ED3">
            <w:pPr>
              <w:rPr>
                <w:sz w:val="20"/>
              </w:rPr>
            </w:pPr>
            <w:r>
              <w:rPr>
                <w:sz w:val="20"/>
              </w:rPr>
              <w:t>P</w:t>
            </w:r>
            <w:r w:rsidRPr="00361C46">
              <w:rPr>
                <w:sz w:val="20"/>
              </w:rPr>
              <w:t>adidėjęs laktatdehidrogenazės aktyvumas</w:t>
            </w:r>
            <w:r>
              <w:rPr>
                <w:sz w:val="20"/>
              </w:rPr>
              <w:t xml:space="preserve"> kraujyje</w:t>
            </w:r>
          </w:p>
          <w:p w14:paraId="0D2478D4" w14:textId="77777777" w:rsidR="00033F69" w:rsidRPr="00361C46" w:rsidRDefault="00033F69" w:rsidP="00F21ED3">
            <w:pPr>
              <w:rPr>
                <w:sz w:val="20"/>
              </w:rPr>
            </w:pPr>
          </w:p>
        </w:tc>
        <w:tc>
          <w:tcPr>
            <w:tcW w:w="926" w:type="pct"/>
          </w:tcPr>
          <w:p w14:paraId="4B3C11C4" w14:textId="77777777" w:rsidR="00033F69" w:rsidRDefault="00033F69" w:rsidP="00F21ED3">
            <w:pPr>
              <w:rPr>
                <w:sz w:val="20"/>
              </w:rPr>
            </w:pPr>
            <w:r>
              <w:rPr>
                <w:sz w:val="20"/>
              </w:rPr>
              <w:t>Hiperurikemija</w:t>
            </w:r>
          </w:p>
          <w:p w14:paraId="5A82613F" w14:textId="77777777" w:rsidR="00033F69" w:rsidRPr="00361C46" w:rsidRDefault="00033F69" w:rsidP="00F21ED3">
            <w:pPr>
              <w:rPr>
                <w:sz w:val="20"/>
              </w:rPr>
            </w:pPr>
            <w:r w:rsidRPr="00361C46">
              <w:rPr>
                <w:sz w:val="20"/>
              </w:rPr>
              <w:t>Padidėj</w:t>
            </w:r>
            <w:r>
              <w:rPr>
                <w:sz w:val="20"/>
              </w:rPr>
              <w:t>ęs</w:t>
            </w:r>
            <w:r w:rsidRPr="00361C46">
              <w:rPr>
                <w:sz w:val="20"/>
              </w:rPr>
              <w:t xml:space="preserve"> šlapimo rūgšties </w:t>
            </w:r>
            <w:r>
              <w:rPr>
                <w:sz w:val="20"/>
              </w:rPr>
              <w:t>kiekis kraujyje</w:t>
            </w:r>
          </w:p>
        </w:tc>
        <w:tc>
          <w:tcPr>
            <w:tcW w:w="752" w:type="pct"/>
          </w:tcPr>
          <w:p w14:paraId="56D98DF2" w14:textId="77777777" w:rsidR="00033F69" w:rsidRDefault="00033F69" w:rsidP="00F21ED3">
            <w:pPr>
              <w:rPr>
                <w:sz w:val="20"/>
              </w:rPr>
            </w:pPr>
            <w:r>
              <w:rPr>
                <w:sz w:val="20"/>
              </w:rPr>
              <w:t xml:space="preserve">Sumažėjęs </w:t>
            </w:r>
            <w:r w:rsidRPr="00361C46">
              <w:rPr>
                <w:sz w:val="20"/>
              </w:rPr>
              <w:t xml:space="preserve">gliukozės kiekis kraujyje </w:t>
            </w:r>
          </w:p>
          <w:p w14:paraId="73275181" w14:textId="77777777" w:rsidR="00033F69" w:rsidRPr="00361C46" w:rsidRDefault="00033F69" w:rsidP="00F21ED3">
            <w:pPr>
              <w:rPr>
                <w:sz w:val="20"/>
              </w:rPr>
            </w:pPr>
            <w:r w:rsidRPr="00361C46">
              <w:rPr>
                <w:sz w:val="20"/>
              </w:rPr>
              <w:t>Pseudopodagra</w:t>
            </w:r>
            <w:r w:rsidRPr="00361C46">
              <w:rPr>
                <w:sz w:val="20"/>
                <w:vertAlign w:val="superscript"/>
              </w:rPr>
              <w:t>a</w:t>
            </w:r>
          </w:p>
          <w:p w14:paraId="466EC4D6" w14:textId="77777777" w:rsidR="00033F69" w:rsidRDefault="00033F69" w:rsidP="00F21ED3">
            <w:pPr>
              <w:rPr>
                <w:color w:val="000000"/>
                <w:sz w:val="20"/>
              </w:rPr>
            </w:pPr>
            <w:r>
              <w:rPr>
                <w:color w:val="000000"/>
                <w:sz w:val="20"/>
              </w:rPr>
              <w:t>(pirofosfatinė chondrokalcinozė)</w:t>
            </w:r>
          </w:p>
          <w:p w14:paraId="22823311" w14:textId="77777777" w:rsidR="00033F69" w:rsidRPr="00361C46" w:rsidRDefault="00033F69" w:rsidP="00F21ED3">
            <w:pPr>
              <w:rPr>
                <w:color w:val="000000"/>
                <w:sz w:val="20"/>
              </w:rPr>
            </w:pPr>
            <w:r>
              <w:rPr>
                <w:color w:val="000000"/>
                <w:sz w:val="20"/>
              </w:rPr>
              <w:t>Skysčių tūrio reguliacijos sutrikimai</w:t>
            </w:r>
          </w:p>
        </w:tc>
        <w:tc>
          <w:tcPr>
            <w:tcW w:w="658" w:type="pct"/>
          </w:tcPr>
          <w:p w14:paraId="77EDC72C" w14:textId="77777777" w:rsidR="00033F69" w:rsidRPr="00361C46" w:rsidRDefault="00033F69" w:rsidP="00F21ED3">
            <w:pPr>
              <w:rPr>
                <w:color w:val="000000"/>
                <w:sz w:val="20"/>
              </w:rPr>
            </w:pPr>
          </w:p>
        </w:tc>
      </w:tr>
      <w:tr w:rsidR="00306AC1" w:rsidRPr="00361C46" w14:paraId="3145E719" w14:textId="77777777" w:rsidTr="00306AC1">
        <w:trPr>
          <w:cantSplit/>
          <w:trHeight w:val="252"/>
        </w:trPr>
        <w:tc>
          <w:tcPr>
            <w:tcW w:w="889" w:type="pct"/>
          </w:tcPr>
          <w:p w14:paraId="08B4B64F" w14:textId="77777777" w:rsidR="00033F69" w:rsidRPr="00361C46" w:rsidRDefault="00033F69" w:rsidP="00F21ED3">
            <w:pPr>
              <w:rPr>
                <w:b/>
                <w:sz w:val="20"/>
              </w:rPr>
            </w:pPr>
            <w:r>
              <w:rPr>
                <w:b/>
                <w:sz w:val="20"/>
              </w:rPr>
              <w:t>Psichikos sutrikimai</w:t>
            </w:r>
          </w:p>
        </w:tc>
        <w:tc>
          <w:tcPr>
            <w:tcW w:w="889" w:type="pct"/>
            <w:gridSpan w:val="2"/>
          </w:tcPr>
          <w:p w14:paraId="17C2A63B" w14:textId="77777777" w:rsidR="00033F69" w:rsidRPr="00361C46" w:rsidRDefault="00033F69" w:rsidP="00F21ED3">
            <w:pPr>
              <w:rPr>
                <w:sz w:val="20"/>
              </w:rPr>
            </w:pPr>
          </w:p>
        </w:tc>
        <w:tc>
          <w:tcPr>
            <w:tcW w:w="886" w:type="pct"/>
          </w:tcPr>
          <w:p w14:paraId="216FDB62" w14:textId="77777777" w:rsidR="00033F69" w:rsidRPr="00361C46" w:rsidRDefault="00033F69" w:rsidP="00F21ED3">
            <w:pPr>
              <w:rPr>
                <w:sz w:val="20"/>
              </w:rPr>
            </w:pPr>
            <w:r>
              <w:rPr>
                <w:sz w:val="20"/>
              </w:rPr>
              <w:t>Nemiga</w:t>
            </w:r>
          </w:p>
        </w:tc>
        <w:tc>
          <w:tcPr>
            <w:tcW w:w="926" w:type="pct"/>
          </w:tcPr>
          <w:p w14:paraId="5B40100C" w14:textId="77777777" w:rsidR="00033F69" w:rsidRPr="00361C46" w:rsidRDefault="00033F69" w:rsidP="00F21ED3">
            <w:pPr>
              <w:rPr>
                <w:color w:val="000000"/>
                <w:sz w:val="20"/>
              </w:rPr>
            </w:pPr>
          </w:p>
        </w:tc>
        <w:tc>
          <w:tcPr>
            <w:tcW w:w="752" w:type="pct"/>
          </w:tcPr>
          <w:p w14:paraId="43B48735" w14:textId="77777777" w:rsidR="00033F69" w:rsidRPr="00361C46" w:rsidRDefault="00033F69" w:rsidP="00F21ED3">
            <w:pPr>
              <w:rPr>
                <w:color w:val="000000"/>
                <w:sz w:val="20"/>
              </w:rPr>
            </w:pPr>
          </w:p>
        </w:tc>
        <w:tc>
          <w:tcPr>
            <w:tcW w:w="658" w:type="pct"/>
          </w:tcPr>
          <w:p w14:paraId="7FB3D6D7" w14:textId="77777777" w:rsidR="00033F69" w:rsidRPr="00361C46" w:rsidRDefault="00033F69" w:rsidP="00F21ED3">
            <w:pPr>
              <w:rPr>
                <w:color w:val="000000"/>
                <w:sz w:val="20"/>
              </w:rPr>
            </w:pPr>
          </w:p>
        </w:tc>
      </w:tr>
      <w:tr w:rsidR="00306AC1" w:rsidRPr="00361C46" w14:paraId="1C6D3087" w14:textId="77777777" w:rsidTr="00306AC1">
        <w:trPr>
          <w:cantSplit/>
          <w:trHeight w:val="252"/>
        </w:trPr>
        <w:tc>
          <w:tcPr>
            <w:tcW w:w="889" w:type="pct"/>
          </w:tcPr>
          <w:p w14:paraId="61BF809F" w14:textId="77777777" w:rsidR="00033F69" w:rsidRPr="00361C46" w:rsidRDefault="00033F69" w:rsidP="00F21ED3">
            <w:pPr>
              <w:rPr>
                <w:b/>
                <w:sz w:val="20"/>
              </w:rPr>
            </w:pPr>
            <w:r w:rsidRPr="00361C46">
              <w:rPr>
                <w:b/>
                <w:sz w:val="20"/>
              </w:rPr>
              <w:t xml:space="preserve">Nervų sistemos sutrikimai </w:t>
            </w:r>
          </w:p>
        </w:tc>
        <w:tc>
          <w:tcPr>
            <w:tcW w:w="889" w:type="pct"/>
            <w:gridSpan w:val="2"/>
          </w:tcPr>
          <w:p w14:paraId="0AB64C1A" w14:textId="77777777" w:rsidR="00033F69" w:rsidRPr="00361C46" w:rsidRDefault="00033F69" w:rsidP="00F21ED3">
            <w:pPr>
              <w:rPr>
                <w:sz w:val="20"/>
              </w:rPr>
            </w:pPr>
            <w:r w:rsidRPr="00361C46">
              <w:rPr>
                <w:sz w:val="20"/>
              </w:rPr>
              <w:t>Galvos skausmas</w:t>
            </w:r>
            <w:r w:rsidRPr="00361C46">
              <w:rPr>
                <w:sz w:val="20"/>
                <w:vertAlign w:val="superscript"/>
              </w:rPr>
              <w:t>a</w:t>
            </w:r>
          </w:p>
        </w:tc>
        <w:tc>
          <w:tcPr>
            <w:tcW w:w="886" w:type="pct"/>
          </w:tcPr>
          <w:p w14:paraId="0E9229FC" w14:textId="77777777" w:rsidR="00033F69" w:rsidRDefault="00033F69" w:rsidP="00F21ED3">
            <w:pPr>
              <w:rPr>
                <w:sz w:val="20"/>
              </w:rPr>
            </w:pPr>
            <w:r>
              <w:rPr>
                <w:sz w:val="20"/>
              </w:rPr>
              <w:t>Svaigulys</w:t>
            </w:r>
          </w:p>
          <w:p w14:paraId="1861664A" w14:textId="77777777" w:rsidR="00033F69" w:rsidRDefault="00033F69" w:rsidP="00F21ED3">
            <w:pPr>
              <w:rPr>
                <w:sz w:val="20"/>
              </w:rPr>
            </w:pPr>
            <w:r>
              <w:rPr>
                <w:sz w:val="20"/>
              </w:rPr>
              <w:t>Hipestezija</w:t>
            </w:r>
          </w:p>
          <w:p w14:paraId="6B9DF222" w14:textId="77777777" w:rsidR="00033F69" w:rsidRPr="00361C46" w:rsidRDefault="00033F69" w:rsidP="00F21ED3">
            <w:pPr>
              <w:rPr>
                <w:sz w:val="20"/>
              </w:rPr>
            </w:pPr>
            <w:r>
              <w:rPr>
                <w:sz w:val="20"/>
              </w:rPr>
              <w:t>Parestezija</w:t>
            </w:r>
          </w:p>
        </w:tc>
        <w:tc>
          <w:tcPr>
            <w:tcW w:w="926" w:type="pct"/>
          </w:tcPr>
          <w:p w14:paraId="255EE69C" w14:textId="77777777" w:rsidR="00033F69" w:rsidRPr="00361C46" w:rsidRDefault="00033F69" w:rsidP="00F21ED3">
            <w:pPr>
              <w:rPr>
                <w:color w:val="000000"/>
                <w:sz w:val="20"/>
              </w:rPr>
            </w:pPr>
          </w:p>
        </w:tc>
        <w:tc>
          <w:tcPr>
            <w:tcW w:w="752" w:type="pct"/>
          </w:tcPr>
          <w:p w14:paraId="44C1A3A5" w14:textId="77777777" w:rsidR="00033F69" w:rsidRPr="00361C46" w:rsidRDefault="00033F69" w:rsidP="00F21ED3">
            <w:pPr>
              <w:rPr>
                <w:color w:val="000000"/>
                <w:sz w:val="20"/>
              </w:rPr>
            </w:pPr>
          </w:p>
        </w:tc>
        <w:tc>
          <w:tcPr>
            <w:tcW w:w="658" w:type="pct"/>
          </w:tcPr>
          <w:p w14:paraId="53AFDAE4" w14:textId="77777777" w:rsidR="00033F69" w:rsidRPr="00361C46" w:rsidRDefault="00033F69" w:rsidP="00F21ED3">
            <w:pPr>
              <w:rPr>
                <w:color w:val="000000"/>
                <w:sz w:val="20"/>
              </w:rPr>
            </w:pPr>
          </w:p>
        </w:tc>
      </w:tr>
      <w:tr w:rsidR="00306AC1" w:rsidRPr="007240E0" w14:paraId="30F55941" w14:textId="77777777" w:rsidTr="00306AC1">
        <w:trPr>
          <w:cantSplit/>
          <w:trHeight w:val="252"/>
        </w:trPr>
        <w:tc>
          <w:tcPr>
            <w:tcW w:w="889" w:type="pct"/>
          </w:tcPr>
          <w:p w14:paraId="23EB5A66" w14:textId="77777777" w:rsidR="00033F69" w:rsidRPr="00C8663B" w:rsidRDefault="00033F69" w:rsidP="00F21ED3">
            <w:pPr>
              <w:rPr>
                <w:b/>
                <w:sz w:val="20"/>
                <w:szCs w:val="20"/>
              </w:rPr>
            </w:pPr>
            <w:r w:rsidRPr="00C8663B">
              <w:rPr>
                <w:b/>
                <w:sz w:val="20"/>
                <w:szCs w:val="20"/>
              </w:rPr>
              <w:t xml:space="preserve">Kraujagyslių sutrikimai </w:t>
            </w:r>
          </w:p>
          <w:p w14:paraId="16F7CD1B" w14:textId="77777777" w:rsidR="00033F69" w:rsidRPr="00F776EF" w:rsidRDefault="00033F69" w:rsidP="00F21ED3">
            <w:pPr>
              <w:rPr>
                <w:b/>
                <w:sz w:val="20"/>
                <w:szCs w:val="20"/>
              </w:rPr>
            </w:pPr>
          </w:p>
        </w:tc>
        <w:tc>
          <w:tcPr>
            <w:tcW w:w="889" w:type="pct"/>
            <w:gridSpan w:val="2"/>
          </w:tcPr>
          <w:p w14:paraId="3B843450" w14:textId="77777777" w:rsidR="00033F69" w:rsidRPr="00B321A5" w:rsidRDefault="00033F69" w:rsidP="00F21ED3">
            <w:pPr>
              <w:rPr>
                <w:sz w:val="20"/>
                <w:szCs w:val="20"/>
              </w:rPr>
            </w:pPr>
          </w:p>
        </w:tc>
        <w:tc>
          <w:tcPr>
            <w:tcW w:w="886" w:type="pct"/>
          </w:tcPr>
          <w:p w14:paraId="59D7C10B" w14:textId="77777777" w:rsidR="00033F69" w:rsidRPr="00722524" w:rsidRDefault="00033F69" w:rsidP="00F21ED3">
            <w:pPr>
              <w:rPr>
                <w:sz w:val="20"/>
                <w:szCs w:val="20"/>
              </w:rPr>
            </w:pPr>
            <w:r w:rsidRPr="00722524">
              <w:rPr>
                <w:sz w:val="20"/>
                <w:szCs w:val="20"/>
              </w:rPr>
              <w:t>Hipertenzija</w:t>
            </w:r>
          </w:p>
          <w:p w14:paraId="4515B6FC" w14:textId="77777777" w:rsidR="00033F69" w:rsidRPr="00656251" w:rsidDel="009C052B" w:rsidRDefault="00033F69" w:rsidP="00F21ED3">
            <w:pPr>
              <w:rPr>
                <w:sz w:val="20"/>
                <w:szCs w:val="20"/>
              </w:rPr>
            </w:pPr>
            <w:r w:rsidRPr="00656251">
              <w:rPr>
                <w:sz w:val="20"/>
                <w:szCs w:val="20"/>
              </w:rPr>
              <w:t>Hipotenzija</w:t>
            </w:r>
          </w:p>
        </w:tc>
        <w:tc>
          <w:tcPr>
            <w:tcW w:w="926" w:type="pct"/>
          </w:tcPr>
          <w:p w14:paraId="6D19C247" w14:textId="77777777" w:rsidR="00033F69" w:rsidRPr="00C8663B" w:rsidRDefault="00033F69" w:rsidP="00F21ED3">
            <w:pPr>
              <w:rPr>
                <w:sz w:val="20"/>
                <w:szCs w:val="20"/>
              </w:rPr>
            </w:pPr>
            <w:r w:rsidRPr="00AA377C">
              <w:rPr>
                <w:sz w:val="20"/>
                <w:szCs w:val="20"/>
              </w:rPr>
              <w:t>Venų okliuzinė liga</w:t>
            </w:r>
            <w:r w:rsidRPr="00AA377C">
              <w:rPr>
                <w:sz w:val="20"/>
                <w:szCs w:val="20"/>
                <w:vertAlign w:val="superscript"/>
              </w:rPr>
              <w:t>d</w:t>
            </w:r>
          </w:p>
        </w:tc>
        <w:tc>
          <w:tcPr>
            <w:tcW w:w="752" w:type="pct"/>
          </w:tcPr>
          <w:p w14:paraId="103F0ABE" w14:textId="77777777" w:rsidR="00033F69" w:rsidRDefault="00033F69" w:rsidP="00F21ED3">
            <w:pPr>
              <w:rPr>
                <w:sz w:val="20"/>
                <w:szCs w:val="20"/>
                <w:vertAlign w:val="superscript"/>
              </w:rPr>
            </w:pPr>
            <w:r w:rsidRPr="00F776EF">
              <w:rPr>
                <w:sz w:val="20"/>
                <w:szCs w:val="20"/>
              </w:rPr>
              <w:t>Kapiliarų pralaidumo sindromas</w:t>
            </w:r>
            <w:r w:rsidRPr="00B321A5">
              <w:rPr>
                <w:sz w:val="20"/>
                <w:szCs w:val="20"/>
                <w:vertAlign w:val="superscript"/>
              </w:rPr>
              <w:t>a</w:t>
            </w:r>
          </w:p>
          <w:p w14:paraId="5D8BD2B2" w14:textId="77777777" w:rsidR="001B17A9" w:rsidRPr="00B321A5" w:rsidRDefault="001B17A9" w:rsidP="00F21ED3">
            <w:pPr>
              <w:rPr>
                <w:color w:val="000000"/>
                <w:sz w:val="20"/>
                <w:szCs w:val="20"/>
              </w:rPr>
            </w:pPr>
            <w:r w:rsidRPr="001B17A9">
              <w:rPr>
                <w:color w:val="000000"/>
                <w:sz w:val="20"/>
                <w:szCs w:val="20"/>
              </w:rPr>
              <w:t>Aortitas</w:t>
            </w:r>
          </w:p>
        </w:tc>
        <w:tc>
          <w:tcPr>
            <w:tcW w:w="658" w:type="pct"/>
          </w:tcPr>
          <w:p w14:paraId="581ECEEE" w14:textId="77777777" w:rsidR="00033F69" w:rsidRPr="00722524" w:rsidRDefault="00033F69" w:rsidP="00F21ED3">
            <w:pPr>
              <w:rPr>
                <w:color w:val="000000"/>
                <w:sz w:val="20"/>
                <w:szCs w:val="20"/>
              </w:rPr>
            </w:pPr>
          </w:p>
        </w:tc>
      </w:tr>
      <w:tr w:rsidR="00306AC1" w:rsidRPr="00361C46" w14:paraId="7F1C8141" w14:textId="77777777" w:rsidTr="00306AC1">
        <w:trPr>
          <w:cantSplit/>
          <w:trHeight w:val="252"/>
        </w:trPr>
        <w:tc>
          <w:tcPr>
            <w:tcW w:w="889" w:type="pct"/>
          </w:tcPr>
          <w:p w14:paraId="4F6DCF74" w14:textId="77777777" w:rsidR="00033F69" w:rsidRPr="00361C46" w:rsidRDefault="00033F69" w:rsidP="00F21ED3">
            <w:pPr>
              <w:rPr>
                <w:b/>
                <w:sz w:val="20"/>
              </w:rPr>
            </w:pPr>
            <w:r w:rsidRPr="00361C46">
              <w:rPr>
                <w:b/>
                <w:sz w:val="20"/>
              </w:rPr>
              <w:lastRenderedPageBreak/>
              <w:t xml:space="preserve">Kvėpavimo sistemos, krūtinės ląstos ir tarpuplaučio sutrikimai </w:t>
            </w:r>
          </w:p>
          <w:p w14:paraId="42BC81DD" w14:textId="77777777" w:rsidR="00033F69" w:rsidRPr="00361C46" w:rsidRDefault="00033F69" w:rsidP="00F21ED3">
            <w:pPr>
              <w:rPr>
                <w:b/>
                <w:sz w:val="20"/>
              </w:rPr>
            </w:pPr>
          </w:p>
        </w:tc>
        <w:tc>
          <w:tcPr>
            <w:tcW w:w="886" w:type="pct"/>
          </w:tcPr>
          <w:p w14:paraId="54CEC444" w14:textId="77777777" w:rsidR="00033F69" w:rsidRPr="00361C46" w:rsidRDefault="00033F69" w:rsidP="00F21ED3">
            <w:pPr>
              <w:rPr>
                <w:sz w:val="20"/>
              </w:rPr>
            </w:pPr>
          </w:p>
        </w:tc>
        <w:tc>
          <w:tcPr>
            <w:tcW w:w="889" w:type="pct"/>
            <w:gridSpan w:val="2"/>
          </w:tcPr>
          <w:p w14:paraId="1B4C3B66" w14:textId="77777777" w:rsidR="00033F69" w:rsidRDefault="00033F69" w:rsidP="00F21ED3">
            <w:pPr>
              <w:rPr>
                <w:sz w:val="20"/>
              </w:rPr>
            </w:pPr>
            <w:r>
              <w:rPr>
                <w:sz w:val="20"/>
              </w:rPr>
              <w:t>Hemoptizė</w:t>
            </w:r>
          </w:p>
          <w:p w14:paraId="568F7199" w14:textId="77777777" w:rsidR="00033F69" w:rsidRDefault="00033F69" w:rsidP="00F21ED3">
            <w:pPr>
              <w:rPr>
                <w:sz w:val="20"/>
              </w:rPr>
            </w:pPr>
            <w:r w:rsidRPr="00361C46">
              <w:rPr>
                <w:sz w:val="20"/>
              </w:rPr>
              <w:t>Dispnėja</w:t>
            </w:r>
          </w:p>
          <w:p w14:paraId="5805E79A" w14:textId="77777777" w:rsidR="00033F69" w:rsidRDefault="00033F69" w:rsidP="00F21ED3">
            <w:pPr>
              <w:rPr>
                <w:sz w:val="20"/>
                <w:vertAlign w:val="superscript"/>
              </w:rPr>
            </w:pPr>
            <w:r w:rsidRPr="00361C46">
              <w:rPr>
                <w:sz w:val="20"/>
              </w:rPr>
              <w:t>Kosulys</w:t>
            </w:r>
            <w:r w:rsidRPr="00361C46">
              <w:rPr>
                <w:sz w:val="20"/>
                <w:vertAlign w:val="superscript"/>
              </w:rPr>
              <w:t>a</w:t>
            </w:r>
          </w:p>
          <w:p w14:paraId="7592E3CC" w14:textId="77777777" w:rsidR="00033F69" w:rsidRDefault="00033F69" w:rsidP="00F21ED3">
            <w:pPr>
              <w:rPr>
                <w:sz w:val="20"/>
              </w:rPr>
            </w:pPr>
            <w:r w:rsidRPr="00361C46">
              <w:rPr>
                <w:sz w:val="20"/>
              </w:rPr>
              <w:t>Burnos ir ryklės skausmas</w:t>
            </w:r>
            <w:r w:rsidRPr="00361C46">
              <w:rPr>
                <w:sz w:val="20"/>
                <w:vertAlign w:val="superscript"/>
              </w:rPr>
              <w:t>a</w:t>
            </w:r>
            <w:r>
              <w:rPr>
                <w:sz w:val="20"/>
                <w:vertAlign w:val="superscript"/>
              </w:rPr>
              <w:t>,</w:t>
            </w:r>
            <w:r w:rsidR="00465FD6">
              <w:rPr>
                <w:sz w:val="20"/>
                <w:vertAlign w:val="superscript"/>
              </w:rPr>
              <w:t xml:space="preserve"> </w:t>
            </w:r>
            <w:r w:rsidRPr="00C3084D">
              <w:rPr>
                <w:sz w:val="20"/>
                <w:vertAlign w:val="superscript"/>
              </w:rPr>
              <w:t>e</w:t>
            </w:r>
          </w:p>
          <w:p w14:paraId="1F39F5AF" w14:textId="77777777" w:rsidR="00033F69" w:rsidRPr="00361C46" w:rsidRDefault="00033F69" w:rsidP="00F21ED3">
            <w:pPr>
              <w:rPr>
                <w:sz w:val="20"/>
              </w:rPr>
            </w:pPr>
            <w:r>
              <w:rPr>
                <w:sz w:val="20"/>
              </w:rPr>
              <w:t>Epistaksė</w:t>
            </w:r>
          </w:p>
        </w:tc>
        <w:tc>
          <w:tcPr>
            <w:tcW w:w="926" w:type="pct"/>
          </w:tcPr>
          <w:p w14:paraId="0D92F5B2" w14:textId="77777777" w:rsidR="00033F69" w:rsidRDefault="00033F69" w:rsidP="00F21ED3">
            <w:pPr>
              <w:rPr>
                <w:sz w:val="20"/>
              </w:rPr>
            </w:pPr>
            <w:r w:rsidRPr="00361C46">
              <w:rPr>
                <w:sz w:val="20"/>
              </w:rPr>
              <w:t>Ūminio respiracinio distreso sindromas</w:t>
            </w:r>
            <w:r w:rsidRPr="00361C46">
              <w:rPr>
                <w:sz w:val="20"/>
                <w:vertAlign w:val="superscript"/>
              </w:rPr>
              <w:t>a</w:t>
            </w:r>
            <w:r w:rsidRPr="00361C46">
              <w:rPr>
                <w:sz w:val="20"/>
              </w:rPr>
              <w:t xml:space="preserve"> </w:t>
            </w:r>
          </w:p>
          <w:p w14:paraId="59E86D34" w14:textId="77777777" w:rsidR="00033F69" w:rsidRDefault="00033F69" w:rsidP="00F21ED3">
            <w:pPr>
              <w:rPr>
                <w:sz w:val="20"/>
              </w:rPr>
            </w:pPr>
            <w:r>
              <w:rPr>
                <w:sz w:val="20"/>
              </w:rPr>
              <w:t>K</w:t>
            </w:r>
            <w:r w:rsidRPr="00361C46">
              <w:rPr>
                <w:sz w:val="20"/>
              </w:rPr>
              <w:t>vėpavimo nepakankamumas</w:t>
            </w:r>
            <w:r w:rsidRPr="00361C46">
              <w:rPr>
                <w:sz w:val="20"/>
                <w:vertAlign w:val="superscript"/>
              </w:rPr>
              <w:t>a</w:t>
            </w:r>
            <w:r w:rsidRPr="00361C46">
              <w:rPr>
                <w:sz w:val="20"/>
              </w:rPr>
              <w:t xml:space="preserve"> </w:t>
            </w:r>
          </w:p>
          <w:p w14:paraId="44B23EEE" w14:textId="77777777" w:rsidR="00033F69" w:rsidRDefault="00033F69" w:rsidP="00F21ED3">
            <w:pPr>
              <w:rPr>
                <w:sz w:val="20"/>
              </w:rPr>
            </w:pPr>
            <w:r w:rsidRPr="00361C46">
              <w:rPr>
                <w:sz w:val="20"/>
              </w:rPr>
              <w:t>Plaučių edema</w:t>
            </w:r>
            <w:r w:rsidRPr="00361C46">
              <w:rPr>
                <w:sz w:val="20"/>
                <w:vertAlign w:val="superscript"/>
              </w:rPr>
              <w:t>a</w:t>
            </w:r>
          </w:p>
          <w:p w14:paraId="0524FE8A" w14:textId="77777777" w:rsidR="00033F69" w:rsidRDefault="00033F69" w:rsidP="00F21ED3">
            <w:pPr>
              <w:rPr>
                <w:sz w:val="20"/>
              </w:rPr>
            </w:pPr>
            <w:r>
              <w:rPr>
                <w:sz w:val="20"/>
              </w:rPr>
              <w:t>Kraujavimas iš plaučių</w:t>
            </w:r>
          </w:p>
          <w:p w14:paraId="7745B1F2" w14:textId="77777777" w:rsidR="00033F69" w:rsidRDefault="00033F69" w:rsidP="00F21ED3">
            <w:pPr>
              <w:rPr>
                <w:sz w:val="20"/>
                <w:vertAlign w:val="superscript"/>
              </w:rPr>
            </w:pPr>
            <w:r>
              <w:rPr>
                <w:sz w:val="20"/>
              </w:rPr>
              <w:t>I</w:t>
            </w:r>
            <w:r w:rsidRPr="00361C46">
              <w:rPr>
                <w:sz w:val="20"/>
              </w:rPr>
              <w:t>ntersticinė plaučių liga</w:t>
            </w:r>
            <w:r w:rsidRPr="00361C46">
              <w:rPr>
                <w:sz w:val="20"/>
                <w:vertAlign w:val="superscript"/>
              </w:rPr>
              <w:t>a</w:t>
            </w:r>
          </w:p>
          <w:p w14:paraId="47C88B7F" w14:textId="77777777" w:rsidR="00033F69" w:rsidRDefault="00033F69" w:rsidP="00F21ED3">
            <w:pPr>
              <w:rPr>
                <w:sz w:val="20"/>
                <w:vertAlign w:val="superscript"/>
              </w:rPr>
            </w:pPr>
            <w:r>
              <w:rPr>
                <w:sz w:val="20"/>
              </w:rPr>
              <w:t>P</w:t>
            </w:r>
            <w:r w:rsidRPr="00361C46">
              <w:rPr>
                <w:sz w:val="20"/>
              </w:rPr>
              <w:t>laučių infiltratai</w:t>
            </w:r>
            <w:r w:rsidRPr="00361C46">
              <w:rPr>
                <w:sz w:val="20"/>
                <w:vertAlign w:val="superscript"/>
              </w:rPr>
              <w:t>a</w:t>
            </w:r>
          </w:p>
          <w:p w14:paraId="739C6744" w14:textId="77777777" w:rsidR="00033F69" w:rsidRPr="00361C46" w:rsidRDefault="00033F69" w:rsidP="00F21ED3">
            <w:pPr>
              <w:rPr>
                <w:sz w:val="20"/>
              </w:rPr>
            </w:pPr>
            <w:r>
              <w:rPr>
                <w:sz w:val="20"/>
              </w:rPr>
              <w:t>Hipoksija</w:t>
            </w:r>
          </w:p>
        </w:tc>
        <w:tc>
          <w:tcPr>
            <w:tcW w:w="752" w:type="pct"/>
          </w:tcPr>
          <w:p w14:paraId="52329DA1" w14:textId="77777777" w:rsidR="00033F69" w:rsidRPr="00361C46" w:rsidRDefault="00033F69" w:rsidP="00F21ED3">
            <w:pPr>
              <w:rPr>
                <w:color w:val="000000"/>
                <w:sz w:val="20"/>
              </w:rPr>
            </w:pPr>
          </w:p>
        </w:tc>
        <w:tc>
          <w:tcPr>
            <w:tcW w:w="658" w:type="pct"/>
          </w:tcPr>
          <w:p w14:paraId="7AD60220" w14:textId="77777777" w:rsidR="00033F69" w:rsidRPr="00361C46" w:rsidRDefault="00033F69" w:rsidP="00F21ED3">
            <w:pPr>
              <w:rPr>
                <w:sz w:val="20"/>
              </w:rPr>
            </w:pPr>
          </w:p>
        </w:tc>
      </w:tr>
      <w:tr w:rsidR="00306AC1" w:rsidRPr="00361C46" w14:paraId="096B9590" w14:textId="77777777" w:rsidTr="00306AC1">
        <w:trPr>
          <w:cantSplit/>
          <w:trHeight w:val="267"/>
        </w:trPr>
        <w:tc>
          <w:tcPr>
            <w:tcW w:w="889" w:type="pct"/>
          </w:tcPr>
          <w:p w14:paraId="03978FBB" w14:textId="77777777" w:rsidR="00033F69" w:rsidRPr="00361C46" w:rsidRDefault="00033F69" w:rsidP="00F21ED3">
            <w:pPr>
              <w:rPr>
                <w:b/>
                <w:sz w:val="20"/>
              </w:rPr>
            </w:pPr>
            <w:r w:rsidRPr="00361C46">
              <w:rPr>
                <w:b/>
                <w:sz w:val="20"/>
              </w:rPr>
              <w:t xml:space="preserve">Virškinimo trakto sutrikimai </w:t>
            </w:r>
          </w:p>
          <w:p w14:paraId="6871A8D0" w14:textId="77777777" w:rsidR="00033F69" w:rsidRPr="00361C46" w:rsidRDefault="00033F69" w:rsidP="00F21ED3">
            <w:pPr>
              <w:rPr>
                <w:b/>
                <w:color w:val="000000"/>
                <w:sz w:val="20"/>
              </w:rPr>
            </w:pPr>
          </w:p>
        </w:tc>
        <w:tc>
          <w:tcPr>
            <w:tcW w:w="886" w:type="pct"/>
          </w:tcPr>
          <w:p w14:paraId="6B661006" w14:textId="77777777" w:rsidR="00033F69" w:rsidRDefault="00033F69" w:rsidP="00F21ED3">
            <w:pPr>
              <w:rPr>
                <w:color w:val="000000"/>
                <w:sz w:val="20"/>
              </w:rPr>
            </w:pPr>
            <w:r w:rsidRPr="00361C46">
              <w:rPr>
                <w:sz w:val="20"/>
              </w:rPr>
              <w:t>Viduriavimas</w:t>
            </w:r>
            <w:r w:rsidRPr="00361C46">
              <w:rPr>
                <w:sz w:val="20"/>
                <w:vertAlign w:val="superscript"/>
              </w:rPr>
              <w:t>a</w:t>
            </w:r>
            <w:r w:rsidRPr="007240E0">
              <w:rPr>
                <w:color w:val="000000"/>
                <w:sz w:val="20"/>
                <w:vertAlign w:val="superscript"/>
              </w:rPr>
              <w:t>,</w:t>
            </w:r>
            <w:r w:rsidR="00465FD6" w:rsidRPr="007240E0">
              <w:rPr>
                <w:color w:val="000000"/>
                <w:sz w:val="20"/>
                <w:vertAlign w:val="superscript"/>
              </w:rPr>
              <w:t xml:space="preserve"> </w:t>
            </w:r>
            <w:r w:rsidRPr="007240E0">
              <w:rPr>
                <w:color w:val="000000"/>
                <w:sz w:val="20"/>
                <w:vertAlign w:val="superscript"/>
              </w:rPr>
              <w:t>e</w:t>
            </w:r>
          </w:p>
          <w:p w14:paraId="45819590" w14:textId="77777777" w:rsidR="00033F69" w:rsidRDefault="00033F69" w:rsidP="00F21ED3">
            <w:pPr>
              <w:rPr>
                <w:color w:val="000000"/>
                <w:sz w:val="20"/>
              </w:rPr>
            </w:pPr>
            <w:r w:rsidRPr="00361C46">
              <w:rPr>
                <w:color w:val="000000"/>
                <w:sz w:val="20"/>
              </w:rPr>
              <w:t>Vėmimas</w:t>
            </w:r>
            <w:r w:rsidRPr="00361C46">
              <w:rPr>
                <w:sz w:val="20"/>
                <w:vertAlign w:val="superscript"/>
              </w:rPr>
              <w:t>a</w:t>
            </w:r>
            <w:r w:rsidRPr="007240E0">
              <w:rPr>
                <w:sz w:val="20"/>
                <w:vertAlign w:val="superscript"/>
              </w:rPr>
              <w:t>,</w:t>
            </w:r>
            <w:r w:rsidRPr="000E1F7C">
              <w:rPr>
                <w:color w:val="000000"/>
                <w:sz w:val="20"/>
                <w:vertAlign w:val="superscript"/>
              </w:rPr>
              <w:t xml:space="preserve"> e</w:t>
            </w:r>
          </w:p>
          <w:p w14:paraId="175397FF" w14:textId="77777777" w:rsidR="00033F69" w:rsidRPr="00361C46" w:rsidRDefault="00033F69" w:rsidP="00F21ED3">
            <w:pPr>
              <w:rPr>
                <w:color w:val="000000"/>
                <w:sz w:val="20"/>
              </w:rPr>
            </w:pPr>
            <w:r>
              <w:rPr>
                <w:color w:val="000000"/>
                <w:sz w:val="20"/>
              </w:rPr>
              <w:t>P</w:t>
            </w:r>
            <w:r w:rsidRPr="00361C46">
              <w:rPr>
                <w:color w:val="000000"/>
                <w:sz w:val="20"/>
              </w:rPr>
              <w:t>ykinimas</w:t>
            </w:r>
            <w:r w:rsidRPr="00361C46">
              <w:rPr>
                <w:sz w:val="20"/>
                <w:vertAlign w:val="superscript"/>
              </w:rPr>
              <w:t>a</w:t>
            </w:r>
          </w:p>
        </w:tc>
        <w:tc>
          <w:tcPr>
            <w:tcW w:w="889" w:type="pct"/>
            <w:gridSpan w:val="2"/>
          </w:tcPr>
          <w:p w14:paraId="7CFACD93" w14:textId="77777777" w:rsidR="00033F69" w:rsidRDefault="00033F69" w:rsidP="00F21ED3">
            <w:pPr>
              <w:pStyle w:val="lbltxt"/>
              <w:rPr>
                <w:sz w:val="20"/>
              </w:rPr>
            </w:pPr>
            <w:r>
              <w:rPr>
                <w:sz w:val="20"/>
              </w:rPr>
              <w:t>Burnos skausmas</w:t>
            </w:r>
          </w:p>
          <w:p w14:paraId="3CAD8C98" w14:textId="77777777" w:rsidR="00033F69" w:rsidRPr="00361C46" w:rsidRDefault="00033F69" w:rsidP="00F21ED3">
            <w:pPr>
              <w:pStyle w:val="lbltxt"/>
              <w:rPr>
                <w:noProof w:val="0"/>
                <w:sz w:val="20"/>
                <w:lang w:val="lt-LT"/>
              </w:rPr>
            </w:pPr>
            <w:r>
              <w:rPr>
                <w:sz w:val="20"/>
              </w:rPr>
              <w:t>V</w:t>
            </w:r>
            <w:r w:rsidRPr="00361C46">
              <w:rPr>
                <w:noProof w:val="0"/>
                <w:sz w:val="20"/>
                <w:lang w:val="lt-LT"/>
              </w:rPr>
              <w:t>idurių užkietėjimas</w:t>
            </w:r>
            <w:r>
              <w:rPr>
                <w:noProof w:val="0"/>
                <w:sz w:val="20"/>
                <w:vertAlign w:val="superscript"/>
                <w:lang w:val="lt-LT"/>
              </w:rPr>
              <w:t>e</w:t>
            </w:r>
          </w:p>
        </w:tc>
        <w:tc>
          <w:tcPr>
            <w:tcW w:w="926" w:type="pct"/>
          </w:tcPr>
          <w:p w14:paraId="68F7775C" w14:textId="77777777" w:rsidR="00033F69" w:rsidRPr="00361C46" w:rsidRDefault="00033F69" w:rsidP="00F21ED3">
            <w:pPr>
              <w:rPr>
                <w:sz w:val="20"/>
              </w:rPr>
            </w:pPr>
          </w:p>
        </w:tc>
        <w:tc>
          <w:tcPr>
            <w:tcW w:w="752" w:type="pct"/>
          </w:tcPr>
          <w:p w14:paraId="78AB03F2" w14:textId="77777777" w:rsidR="00033F69" w:rsidRPr="00361C46" w:rsidRDefault="00033F69" w:rsidP="00F21ED3">
            <w:pPr>
              <w:rPr>
                <w:color w:val="000000"/>
                <w:sz w:val="20"/>
                <w:vertAlign w:val="superscript"/>
              </w:rPr>
            </w:pPr>
          </w:p>
        </w:tc>
        <w:tc>
          <w:tcPr>
            <w:tcW w:w="658" w:type="pct"/>
          </w:tcPr>
          <w:p w14:paraId="53C360F6" w14:textId="77777777" w:rsidR="00033F69" w:rsidRPr="00361C46" w:rsidRDefault="00033F69" w:rsidP="00F21ED3">
            <w:pPr>
              <w:rPr>
                <w:sz w:val="20"/>
                <w:vertAlign w:val="superscript"/>
              </w:rPr>
            </w:pPr>
          </w:p>
        </w:tc>
      </w:tr>
      <w:tr w:rsidR="00306AC1" w:rsidRPr="00361C46" w14:paraId="6C2CC1BF" w14:textId="77777777" w:rsidTr="00306AC1">
        <w:trPr>
          <w:cantSplit/>
          <w:trHeight w:val="1522"/>
        </w:trPr>
        <w:tc>
          <w:tcPr>
            <w:tcW w:w="889" w:type="pct"/>
          </w:tcPr>
          <w:p w14:paraId="7F5560C4" w14:textId="77777777" w:rsidR="00033F69" w:rsidRPr="00361C46" w:rsidRDefault="00033F69" w:rsidP="00F21ED3">
            <w:pPr>
              <w:rPr>
                <w:b/>
                <w:color w:val="000000"/>
                <w:sz w:val="20"/>
              </w:rPr>
            </w:pPr>
            <w:r w:rsidRPr="00361C46">
              <w:rPr>
                <w:b/>
                <w:color w:val="000000"/>
                <w:sz w:val="20"/>
              </w:rPr>
              <w:t xml:space="preserve">Kepenų, tulžies pūslės ir latakų sutrikimai </w:t>
            </w:r>
          </w:p>
          <w:p w14:paraId="096E4CE5" w14:textId="77777777" w:rsidR="00033F69" w:rsidRPr="00361C46" w:rsidRDefault="00033F69" w:rsidP="00F21ED3">
            <w:pPr>
              <w:rPr>
                <w:b/>
                <w:color w:val="000000"/>
                <w:sz w:val="20"/>
              </w:rPr>
            </w:pPr>
          </w:p>
        </w:tc>
        <w:tc>
          <w:tcPr>
            <w:tcW w:w="886" w:type="pct"/>
          </w:tcPr>
          <w:p w14:paraId="6788B33F" w14:textId="77777777" w:rsidR="00033F69" w:rsidRPr="00361C46" w:rsidRDefault="00033F69" w:rsidP="00F21ED3">
            <w:pPr>
              <w:rPr>
                <w:sz w:val="20"/>
              </w:rPr>
            </w:pPr>
          </w:p>
        </w:tc>
        <w:tc>
          <w:tcPr>
            <w:tcW w:w="889" w:type="pct"/>
            <w:gridSpan w:val="2"/>
          </w:tcPr>
          <w:p w14:paraId="025171B9" w14:textId="77777777" w:rsidR="00033F69" w:rsidRDefault="00033F69" w:rsidP="00F21ED3">
            <w:pPr>
              <w:rPr>
                <w:sz w:val="20"/>
              </w:rPr>
            </w:pPr>
            <w:r>
              <w:rPr>
                <w:sz w:val="20"/>
              </w:rPr>
              <w:t>Hepatomegalija</w:t>
            </w:r>
          </w:p>
          <w:p w14:paraId="09848706" w14:textId="77777777" w:rsidR="00033F69" w:rsidRPr="00361C46" w:rsidRDefault="00033F69" w:rsidP="00F21ED3">
            <w:pPr>
              <w:rPr>
                <w:sz w:val="20"/>
              </w:rPr>
            </w:pPr>
            <w:r w:rsidRPr="00361C46">
              <w:rPr>
                <w:sz w:val="20"/>
              </w:rPr>
              <w:t>Šarminės fosfatazės aktyvum</w:t>
            </w:r>
            <w:r>
              <w:rPr>
                <w:sz w:val="20"/>
              </w:rPr>
              <w:t>o padidėjimas</w:t>
            </w:r>
            <w:r w:rsidRPr="00361C46">
              <w:rPr>
                <w:sz w:val="20"/>
              </w:rPr>
              <w:t xml:space="preserve"> kraujyje</w:t>
            </w:r>
          </w:p>
        </w:tc>
        <w:tc>
          <w:tcPr>
            <w:tcW w:w="926" w:type="pct"/>
          </w:tcPr>
          <w:p w14:paraId="3C3CA93B" w14:textId="77777777" w:rsidR="00033F69" w:rsidRDefault="00033F69" w:rsidP="00F21ED3">
            <w:pPr>
              <w:rPr>
                <w:sz w:val="20"/>
              </w:rPr>
            </w:pPr>
            <w:r>
              <w:rPr>
                <w:sz w:val="20"/>
              </w:rPr>
              <w:t>Aspartato aminotransferazės</w:t>
            </w:r>
            <w:r w:rsidRPr="00361C46">
              <w:rPr>
                <w:sz w:val="20"/>
              </w:rPr>
              <w:t xml:space="preserve"> aktyvum</w:t>
            </w:r>
            <w:r>
              <w:rPr>
                <w:sz w:val="20"/>
              </w:rPr>
              <w:t>o padidėjimas</w:t>
            </w:r>
            <w:r w:rsidRPr="00361C46">
              <w:rPr>
                <w:sz w:val="20"/>
              </w:rPr>
              <w:t xml:space="preserve"> </w:t>
            </w:r>
          </w:p>
          <w:p w14:paraId="7E3501CE" w14:textId="77777777" w:rsidR="00033F69" w:rsidRPr="00361C46" w:rsidRDefault="00033F69" w:rsidP="00F21ED3">
            <w:pPr>
              <w:rPr>
                <w:sz w:val="20"/>
              </w:rPr>
            </w:pPr>
            <w:r w:rsidRPr="00361C46">
              <w:rPr>
                <w:sz w:val="20"/>
              </w:rPr>
              <w:t>Gama-gliutamiltransferazės aktyvumo padidėjimas</w:t>
            </w:r>
          </w:p>
        </w:tc>
        <w:tc>
          <w:tcPr>
            <w:tcW w:w="752" w:type="pct"/>
          </w:tcPr>
          <w:p w14:paraId="52933465" w14:textId="77777777" w:rsidR="00033F69" w:rsidRPr="00361C46" w:rsidRDefault="00033F69" w:rsidP="00F21ED3">
            <w:pPr>
              <w:rPr>
                <w:color w:val="000000"/>
                <w:sz w:val="20"/>
              </w:rPr>
            </w:pPr>
          </w:p>
        </w:tc>
        <w:tc>
          <w:tcPr>
            <w:tcW w:w="658" w:type="pct"/>
          </w:tcPr>
          <w:p w14:paraId="744DEA91" w14:textId="77777777" w:rsidR="00033F69" w:rsidRPr="00361C46" w:rsidRDefault="00033F69" w:rsidP="00F21ED3">
            <w:pPr>
              <w:rPr>
                <w:b/>
                <w:color w:val="000000"/>
                <w:sz w:val="20"/>
              </w:rPr>
            </w:pPr>
          </w:p>
        </w:tc>
      </w:tr>
      <w:tr w:rsidR="00306AC1" w:rsidRPr="00361C46" w14:paraId="03AB183B" w14:textId="77777777" w:rsidTr="00306AC1">
        <w:trPr>
          <w:cantSplit/>
          <w:trHeight w:val="267"/>
        </w:trPr>
        <w:tc>
          <w:tcPr>
            <w:tcW w:w="889" w:type="pct"/>
          </w:tcPr>
          <w:p w14:paraId="0C11AD02" w14:textId="77777777" w:rsidR="00033F69" w:rsidRPr="00361C46" w:rsidRDefault="00033F69" w:rsidP="00F21ED3">
            <w:pPr>
              <w:rPr>
                <w:b/>
                <w:sz w:val="20"/>
              </w:rPr>
            </w:pPr>
            <w:r w:rsidRPr="00361C46">
              <w:rPr>
                <w:b/>
                <w:sz w:val="20"/>
              </w:rPr>
              <w:t xml:space="preserve">Odos ir poodinio audinio sutrikimai </w:t>
            </w:r>
          </w:p>
        </w:tc>
        <w:tc>
          <w:tcPr>
            <w:tcW w:w="886" w:type="pct"/>
          </w:tcPr>
          <w:p w14:paraId="1D26D981" w14:textId="77777777" w:rsidR="00033F69" w:rsidRPr="00361C46" w:rsidRDefault="00033F69" w:rsidP="00F21ED3">
            <w:pPr>
              <w:rPr>
                <w:sz w:val="20"/>
              </w:rPr>
            </w:pPr>
            <w:r>
              <w:rPr>
                <w:sz w:val="20"/>
              </w:rPr>
              <w:t>A</w:t>
            </w:r>
            <w:r w:rsidRPr="00361C46">
              <w:rPr>
                <w:sz w:val="20"/>
              </w:rPr>
              <w:t>lopecija</w:t>
            </w:r>
            <w:r w:rsidRPr="00361C46">
              <w:rPr>
                <w:sz w:val="20"/>
                <w:vertAlign w:val="superscript"/>
              </w:rPr>
              <w:t>a</w:t>
            </w:r>
          </w:p>
          <w:p w14:paraId="7672F10B" w14:textId="77777777" w:rsidR="00033F69" w:rsidRPr="00361C46" w:rsidRDefault="00033F69" w:rsidP="00F21ED3">
            <w:pPr>
              <w:rPr>
                <w:sz w:val="20"/>
              </w:rPr>
            </w:pPr>
          </w:p>
        </w:tc>
        <w:tc>
          <w:tcPr>
            <w:tcW w:w="889" w:type="pct"/>
            <w:gridSpan w:val="2"/>
          </w:tcPr>
          <w:p w14:paraId="32962244" w14:textId="77777777" w:rsidR="00033F69" w:rsidRDefault="00033F69" w:rsidP="00F21ED3">
            <w:pPr>
              <w:pStyle w:val="lbltxt"/>
              <w:rPr>
                <w:noProof w:val="0"/>
                <w:sz w:val="20"/>
                <w:lang w:val="lt-LT"/>
              </w:rPr>
            </w:pPr>
            <w:r w:rsidRPr="00361C46">
              <w:rPr>
                <w:noProof w:val="0"/>
                <w:sz w:val="20"/>
                <w:lang w:val="lt-LT"/>
              </w:rPr>
              <w:t>Išbėrimas</w:t>
            </w:r>
            <w:r w:rsidRPr="00361C46">
              <w:rPr>
                <w:noProof w:val="0"/>
                <w:sz w:val="20"/>
                <w:vertAlign w:val="superscript"/>
                <w:lang w:val="lt-LT"/>
              </w:rPr>
              <w:t>a</w:t>
            </w:r>
          </w:p>
          <w:p w14:paraId="44AD5A80" w14:textId="77777777" w:rsidR="00033F69" w:rsidRPr="00361C46" w:rsidRDefault="00033F69" w:rsidP="00F21ED3">
            <w:pPr>
              <w:pStyle w:val="lbltxt"/>
              <w:rPr>
                <w:noProof w:val="0"/>
                <w:sz w:val="20"/>
                <w:lang w:val="lt-LT"/>
              </w:rPr>
            </w:pPr>
            <w:r>
              <w:rPr>
                <w:noProof w:val="0"/>
                <w:sz w:val="20"/>
                <w:lang w:val="lt-LT"/>
              </w:rPr>
              <w:t>Eritema</w:t>
            </w:r>
          </w:p>
        </w:tc>
        <w:tc>
          <w:tcPr>
            <w:tcW w:w="926" w:type="pct"/>
          </w:tcPr>
          <w:p w14:paraId="4975CB7F" w14:textId="77777777" w:rsidR="00033F69" w:rsidRPr="00D145A9" w:rsidRDefault="00033F69" w:rsidP="00F21ED3">
            <w:pPr>
              <w:rPr>
                <w:sz w:val="20"/>
              </w:rPr>
            </w:pPr>
            <w:r w:rsidRPr="000E1F7C">
              <w:rPr>
                <w:sz w:val="20"/>
              </w:rPr>
              <w:t>Makulopapulinis išbėrimas</w:t>
            </w:r>
          </w:p>
        </w:tc>
        <w:tc>
          <w:tcPr>
            <w:tcW w:w="752" w:type="pct"/>
          </w:tcPr>
          <w:p w14:paraId="470CAFA9" w14:textId="77777777" w:rsidR="00033F69" w:rsidRDefault="00033F69" w:rsidP="007240E0">
            <w:pPr>
              <w:pStyle w:val="lbltxt"/>
              <w:rPr>
                <w:noProof w:val="0"/>
                <w:sz w:val="20"/>
                <w:lang w:val="lt-LT"/>
              </w:rPr>
            </w:pPr>
            <w:r>
              <w:rPr>
                <w:noProof w:val="0"/>
                <w:sz w:val="20"/>
                <w:lang w:val="lt-LT"/>
              </w:rPr>
              <w:t xml:space="preserve">Odos </w:t>
            </w:r>
            <w:r w:rsidRPr="00361C46">
              <w:rPr>
                <w:noProof w:val="0"/>
                <w:sz w:val="20"/>
                <w:lang w:val="lt-LT"/>
              </w:rPr>
              <w:t>vaskulitas</w:t>
            </w:r>
            <w:r w:rsidRPr="007240E0">
              <w:rPr>
                <w:noProof w:val="0"/>
                <w:sz w:val="20"/>
                <w:vertAlign w:val="superscript"/>
                <w:lang w:val="lt-LT"/>
              </w:rPr>
              <w:t>a</w:t>
            </w:r>
          </w:p>
          <w:p w14:paraId="4CBBCF25" w14:textId="77777777" w:rsidR="00033F69" w:rsidRPr="00361C46" w:rsidRDefault="00033F69" w:rsidP="007240E0">
            <w:pPr>
              <w:pStyle w:val="lbltxt"/>
              <w:rPr>
                <w:noProof w:val="0"/>
                <w:color w:val="000000"/>
                <w:sz w:val="20"/>
                <w:lang w:val="lt-LT"/>
              </w:rPr>
            </w:pPr>
            <w:r w:rsidRPr="000E1F7C">
              <w:rPr>
                <w:i/>
                <w:noProof w:val="0"/>
                <w:sz w:val="20"/>
                <w:lang w:val="lt-LT"/>
              </w:rPr>
              <w:t>Sweet</w:t>
            </w:r>
            <w:r w:rsidRPr="000E1F7C">
              <w:rPr>
                <w:noProof w:val="0"/>
                <w:sz w:val="20"/>
                <w:lang w:val="lt-LT"/>
              </w:rPr>
              <w:t xml:space="preserve"> </w:t>
            </w:r>
            <w:r w:rsidRPr="00361C46">
              <w:rPr>
                <w:noProof w:val="0"/>
                <w:sz w:val="20"/>
                <w:lang w:val="lt-LT"/>
              </w:rPr>
              <w:t xml:space="preserve">sindromas (ūmi febrilinė </w:t>
            </w:r>
            <w:r>
              <w:rPr>
                <w:noProof w:val="0"/>
                <w:sz w:val="20"/>
                <w:lang w:val="lt-LT"/>
              </w:rPr>
              <w:t xml:space="preserve">neutrofilinė </w:t>
            </w:r>
            <w:r w:rsidRPr="00361C46">
              <w:rPr>
                <w:noProof w:val="0"/>
                <w:sz w:val="20"/>
                <w:lang w:val="lt-LT"/>
              </w:rPr>
              <w:t>dermatozė)</w:t>
            </w:r>
          </w:p>
        </w:tc>
        <w:tc>
          <w:tcPr>
            <w:tcW w:w="658" w:type="pct"/>
          </w:tcPr>
          <w:p w14:paraId="5C0695BB" w14:textId="77777777" w:rsidR="00033F69" w:rsidRPr="00361C46" w:rsidRDefault="00033F69" w:rsidP="00F21ED3">
            <w:pPr>
              <w:ind w:left="849" w:hanging="283"/>
              <w:rPr>
                <w:sz w:val="20"/>
                <w:vertAlign w:val="superscript"/>
              </w:rPr>
            </w:pPr>
          </w:p>
        </w:tc>
      </w:tr>
      <w:tr w:rsidR="00306AC1" w:rsidRPr="00361C46" w14:paraId="0DA847AC" w14:textId="77777777" w:rsidTr="00306AC1">
        <w:trPr>
          <w:cantSplit/>
          <w:trHeight w:val="381"/>
        </w:trPr>
        <w:tc>
          <w:tcPr>
            <w:tcW w:w="889" w:type="pct"/>
          </w:tcPr>
          <w:p w14:paraId="55CD351F" w14:textId="77777777" w:rsidR="00033F69" w:rsidRPr="00361C46" w:rsidRDefault="00033F69" w:rsidP="00F21ED3">
            <w:pPr>
              <w:rPr>
                <w:b/>
                <w:sz w:val="20"/>
              </w:rPr>
            </w:pPr>
            <w:r w:rsidRPr="00361C46">
              <w:rPr>
                <w:b/>
                <w:sz w:val="20"/>
              </w:rPr>
              <w:t xml:space="preserve">Skeleto, raumenų ir jungiamojo audinio sutrikimai </w:t>
            </w:r>
          </w:p>
        </w:tc>
        <w:tc>
          <w:tcPr>
            <w:tcW w:w="886" w:type="pct"/>
          </w:tcPr>
          <w:p w14:paraId="3C7BCE1D" w14:textId="77777777" w:rsidR="00033F69" w:rsidRPr="00361C46" w:rsidRDefault="00033F69" w:rsidP="00F21ED3">
            <w:pPr>
              <w:pStyle w:val="lbltxt"/>
              <w:rPr>
                <w:noProof w:val="0"/>
                <w:sz w:val="20"/>
                <w:lang w:val="lt-LT"/>
              </w:rPr>
            </w:pPr>
            <w:r w:rsidRPr="00361C46">
              <w:rPr>
                <w:noProof w:val="0"/>
                <w:color w:val="000000"/>
                <w:sz w:val="20"/>
                <w:lang w:val="lt-LT"/>
              </w:rPr>
              <w:t>Kaulų ir raumenų skausmas</w:t>
            </w:r>
            <w:r w:rsidRPr="00361C46">
              <w:rPr>
                <w:noProof w:val="0"/>
                <w:color w:val="000000"/>
                <w:sz w:val="20"/>
                <w:vertAlign w:val="superscript"/>
                <w:lang w:val="lt-LT"/>
              </w:rPr>
              <w:t>c</w:t>
            </w:r>
          </w:p>
        </w:tc>
        <w:tc>
          <w:tcPr>
            <w:tcW w:w="889" w:type="pct"/>
            <w:gridSpan w:val="2"/>
          </w:tcPr>
          <w:p w14:paraId="749EFEEE" w14:textId="77777777" w:rsidR="00033F69" w:rsidRPr="00361C46" w:rsidRDefault="00033F69" w:rsidP="00F21ED3">
            <w:pPr>
              <w:pStyle w:val="lbltxt"/>
              <w:rPr>
                <w:noProof w:val="0"/>
                <w:color w:val="000000"/>
                <w:sz w:val="20"/>
                <w:lang w:val="lt-LT"/>
              </w:rPr>
            </w:pPr>
            <w:r>
              <w:rPr>
                <w:noProof w:val="0"/>
                <w:color w:val="000000"/>
                <w:sz w:val="20"/>
                <w:lang w:val="lt-LT"/>
              </w:rPr>
              <w:t>Raumenų spazmai</w:t>
            </w:r>
          </w:p>
        </w:tc>
        <w:tc>
          <w:tcPr>
            <w:tcW w:w="926" w:type="pct"/>
          </w:tcPr>
          <w:p w14:paraId="12A6ECD8" w14:textId="77777777" w:rsidR="00033F69" w:rsidRPr="00361C46" w:rsidRDefault="00033F69" w:rsidP="00F21ED3">
            <w:pPr>
              <w:rPr>
                <w:sz w:val="20"/>
              </w:rPr>
            </w:pPr>
            <w:r>
              <w:rPr>
                <w:sz w:val="20"/>
              </w:rPr>
              <w:t>Osteoporozė</w:t>
            </w:r>
          </w:p>
        </w:tc>
        <w:tc>
          <w:tcPr>
            <w:tcW w:w="752" w:type="pct"/>
          </w:tcPr>
          <w:p w14:paraId="28D8E207" w14:textId="77777777" w:rsidR="00033F69" w:rsidRDefault="00033F69" w:rsidP="00F21ED3">
            <w:pPr>
              <w:rPr>
                <w:sz w:val="20"/>
              </w:rPr>
            </w:pPr>
            <w:r>
              <w:rPr>
                <w:sz w:val="20"/>
              </w:rPr>
              <w:t>Kaulų tankio sumažėjimas</w:t>
            </w:r>
          </w:p>
          <w:p w14:paraId="2363EBEE" w14:textId="77777777" w:rsidR="00033F69" w:rsidRPr="00361C46" w:rsidRDefault="00033F69" w:rsidP="00F21ED3">
            <w:pPr>
              <w:rPr>
                <w:color w:val="000000"/>
                <w:sz w:val="20"/>
              </w:rPr>
            </w:pPr>
            <w:r w:rsidRPr="00361C46">
              <w:rPr>
                <w:sz w:val="20"/>
              </w:rPr>
              <w:t>Reumatoidinio artrito paūmėjimas</w:t>
            </w:r>
          </w:p>
        </w:tc>
        <w:tc>
          <w:tcPr>
            <w:tcW w:w="658" w:type="pct"/>
          </w:tcPr>
          <w:p w14:paraId="4B5EC494" w14:textId="77777777" w:rsidR="00033F69" w:rsidRPr="00361C46" w:rsidRDefault="00033F69" w:rsidP="00F21ED3">
            <w:pPr>
              <w:rPr>
                <w:color w:val="000000"/>
                <w:sz w:val="20"/>
              </w:rPr>
            </w:pPr>
          </w:p>
        </w:tc>
      </w:tr>
      <w:tr w:rsidR="00306AC1" w:rsidRPr="00361C46" w14:paraId="78F7E00E" w14:textId="77777777" w:rsidTr="00306AC1">
        <w:trPr>
          <w:cantSplit/>
          <w:trHeight w:val="381"/>
        </w:trPr>
        <w:tc>
          <w:tcPr>
            <w:tcW w:w="889" w:type="pct"/>
          </w:tcPr>
          <w:p w14:paraId="0BD2462A" w14:textId="77777777" w:rsidR="00033F69" w:rsidRPr="00361C46" w:rsidRDefault="00033F69" w:rsidP="00F21ED3">
            <w:pPr>
              <w:rPr>
                <w:b/>
                <w:sz w:val="20"/>
              </w:rPr>
            </w:pPr>
            <w:r w:rsidRPr="00361C46">
              <w:rPr>
                <w:b/>
                <w:sz w:val="20"/>
              </w:rPr>
              <w:t xml:space="preserve">Inkstų ir šlapimo takų sutrikimai </w:t>
            </w:r>
          </w:p>
        </w:tc>
        <w:tc>
          <w:tcPr>
            <w:tcW w:w="886" w:type="pct"/>
          </w:tcPr>
          <w:p w14:paraId="1CDA60F9" w14:textId="77777777" w:rsidR="00033F69" w:rsidRPr="00361C46" w:rsidRDefault="00033F69" w:rsidP="00F21ED3">
            <w:pPr>
              <w:pStyle w:val="lbltxt"/>
              <w:rPr>
                <w:noProof w:val="0"/>
                <w:color w:val="000000"/>
                <w:sz w:val="20"/>
                <w:lang w:val="lt-LT"/>
              </w:rPr>
            </w:pPr>
          </w:p>
        </w:tc>
        <w:tc>
          <w:tcPr>
            <w:tcW w:w="889" w:type="pct"/>
            <w:gridSpan w:val="2"/>
          </w:tcPr>
          <w:p w14:paraId="00C6EE47" w14:textId="77777777" w:rsidR="00033F69" w:rsidRDefault="00033F69" w:rsidP="00F21ED3">
            <w:pPr>
              <w:pStyle w:val="lbltxt"/>
              <w:rPr>
                <w:noProof w:val="0"/>
                <w:color w:val="000000"/>
                <w:sz w:val="20"/>
                <w:lang w:val="lt-LT"/>
              </w:rPr>
            </w:pPr>
            <w:r w:rsidRPr="00361C46">
              <w:rPr>
                <w:noProof w:val="0"/>
                <w:color w:val="000000"/>
                <w:sz w:val="20"/>
                <w:lang w:val="lt-LT"/>
              </w:rPr>
              <w:t>Dizurija</w:t>
            </w:r>
          </w:p>
          <w:p w14:paraId="6AAFC7A6" w14:textId="77777777" w:rsidR="00033F69" w:rsidRPr="00361C46" w:rsidRDefault="00033F69" w:rsidP="00F21ED3">
            <w:pPr>
              <w:pStyle w:val="lbltxt"/>
              <w:rPr>
                <w:noProof w:val="0"/>
                <w:color w:val="000000"/>
                <w:sz w:val="20"/>
                <w:lang w:val="lt-LT"/>
              </w:rPr>
            </w:pPr>
            <w:r>
              <w:rPr>
                <w:noProof w:val="0"/>
                <w:color w:val="000000"/>
                <w:sz w:val="20"/>
                <w:lang w:val="lt-LT"/>
              </w:rPr>
              <w:t>Hematurija</w:t>
            </w:r>
          </w:p>
        </w:tc>
        <w:tc>
          <w:tcPr>
            <w:tcW w:w="926" w:type="pct"/>
          </w:tcPr>
          <w:p w14:paraId="748B0B70" w14:textId="77777777" w:rsidR="00033F69" w:rsidRPr="00361C46" w:rsidRDefault="00033F69" w:rsidP="00F21ED3">
            <w:pPr>
              <w:rPr>
                <w:sz w:val="20"/>
                <w:vertAlign w:val="superscript"/>
              </w:rPr>
            </w:pPr>
            <w:r>
              <w:rPr>
                <w:sz w:val="20"/>
              </w:rPr>
              <w:t>Proteinurija</w:t>
            </w:r>
          </w:p>
        </w:tc>
        <w:tc>
          <w:tcPr>
            <w:tcW w:w="752" w:type="pct"/>
          </w:tcPr>
          <w:p w14:paraId="1542AEB8" w14:textId="77777777" w:rsidR="00033F69" w:rsidRDefault="00033F69" w:rsidP="00F21ED3">
            <w:pPr>
              <w:rPr>
                <w:sz w:val="20"/>
              </w:rPr>
            </w:pPr>
            <w:r w:rsidRPr="00361C46">
              <w:rPr>
                <w:sz w:val="20"/>
              </w:rPr>
              <w:t>Glomerulonefritas</w:t>
            </w:r>
          </w:p>
          <w:p w14:paraId="3A357307" w14:textId="77777777" w:rsidR="00033F69" w:rsidRPr="00361C46" w:rsidRDefault="00033F69" w:rsidP="00F21ED3">
            <w:pPr>
              <w:rPr>
                <w:sz w:val="20"/>
              </w:rPr>
            </w:pPr>
            <w:r w:rsidRPr="00361C46">
              <w:rPr>
                <w:sz w:val="20"/>
              </w:rPr>
              <w:t>Šlapimo pakitimai</w:t>
            </w:r>
          </w:p>
          <w:p w14:paraId="2F8AB780" w14:textId="77777777" w:rsidR="00033F69" w:rsidRPr="00361C46" w:rsidRDefault="00033F69" w:rsidP="00F21ED3">
            <w:pPr>
              <w:rPr>
                <w:sz w:val="20"/>
              </w:rPr>
            </w:pPr>
          </w:p>
        </w:tc>
        <w:tc>
          <w:tcPr>
            <w:tcW w:w="658" w:type="pct"/>
          </w:tcPr>
          <w:p w14:paraId="77AE68D0" w14:textId="77777777" w:rsidR="00033F69" w:rsidRPr="00361C46" w:rsidRDefault="00033F69" w:rsidP="00F21ED3">
            <w:pPr>
              <w:rPr>
                <w:sz w:val="20"/>
              </w:rPr>
            </w:pPr>
          </w:p>
        </w:tc>
      </w:tr>
      <w:tr w:rsidR="00306AC1" w:rsidRPr="00361C46" w14:paraId="518A1D43" w14:textId="77777777" w:rsidTr="00306AC1">
        <w:trPr>
          <w:cantSplit/>
          <w:trHeight w:val="413"/>
        </w:trPr>
        <w:tc>
          <w:tcPr>
            <w:tcW w:w="889" w:type="pct"/>
          </w:tcPr>
          <w:p w14:paraId="585B79E3" w14:textId="77777777" w:rsidR="00033F69" w:rsidRPr="00361C46" w:rsidRDefault="00033F69" w:rsidP="00F21ED3">
            <w:pPr>
              <w:rPr>
                <w:b/>
                <w:sz w:val="20"/>
              </w:rPr>
            </w:pPr>
            <w:r w:rsidRPr="00361C46">
              <w:rPr>
                <w:b/>
                <w:sz w:val="20"/>
              </w:rPr>
              <w:t xml:space="preserve">Bendrieji sutrikimai ir vartojimo vietos pažeidimai </w:t>
            </w:r>
          </w:p>
          <w:p w14:paraId="485FDC98" w14:textId="77777777" w:rsidR="00033F69" w:rsidRPr="00361C46" w:rsidRDefault="00033F69" w:rsidP="00F21ED3">
            <w:pPr>
              <w:rPr>
                <w:b/>
                <w:sz w:val="20"/>
              </w:rPr>
            </w:pPr>
          </w:p>
        </w:tc>
        <w:tc>
          <w:tcPr>
            <w:tcW w:w="886" w:type="pct"/>
          </w:tcPr>
          <w:p w14:paraId="209E98F9" w14:textId="77777777" w:rsidR="00033F69" w:rsidRDefault="00033F69" w:rsidP="00F21ED3">
            <w:pPr>
              <w:rPr>
                <w:sz w:val="20"/>
              </w:rPr>
            </w:pPr>
            <w:r>
              <w:rPr>
                <w:sz w:val="20"/>
              </w:rPr>
              <w:t>N</w:t>
            </w:r>
            <w:r w:rsidRPr="00361C46">
              <w:rPr>
                <w:sz w:val="20"/>
              </w:rPr>
              <w:t>uovargis</w:t>
            </w:r>
            <w:r w:rsidRPr="00361C46">
              <w:rPr>
                <w:sz w:val="20"/>
                <w:vertAlign w:val="superscript"/>
              </w:rPr>
              <w:t>a</w:t>
            </w:r>
          </w:p>
          <w:p w14:paraId="7F5F558E" w14:textId="77777777" w:rsidR="00033F69" w:rsidRDefault="00033F69" w:rsidP="00F21ED3">
            <w:pPr>
              <w:rPr>
                <w:sz w:val="20"/>
              </w:rPr>
            </w:pPr>
            <w:r>
              <w:rPr>
                <w:sz w:val="20"/>
              </w:rPr>
              <w:t>Gleivinės uždegimas</w:t>
            </w:r>
            <w:r w:rsidRPr="00361C46">
              <w:rPr>
                <w:sz w:val="20"/>
                <w:vertAlign w:val="superscript"/>
              </w:rPr>
              <w:t>a</w:t>
            </w:r>
          </w:p>
          <w:p w14:paraId="07622545" w14:textId="77777777" w:rsidR="00033F69" w:rsidRPr="00361C46" w:rsidRDefault="00033F69" w:rsidP="00F21ED3">
            <w:pPr>
              <w:rPr>
                <w:sz w:val="20"/>
              </w:rPr>
            </w:pPr>
            <w:r>
              <w:rPr>
                <w:sz w:val="20"/>
              </w:rPr>
              <w:t>Karščiavimas</w:t>
            </w:r>
          </w:p>
        </w:tc>
        <w:tc>
          <w:tcPr>
            <w:tcW w:w="889" w:type="pct"/>
            <w:gridSpan w:val="2"/>
          </w:tcPr>
          <w:p w14:paraId="5B3C8522" w14:textId="77777777" w:rsidR="00033F69" w:rsidRPr="00361C46" w:rsidRDefault="00033F69" w:rsidP="00F21ED3">
            <w:pPr>
              <w:rPr>
                <w:sz w:val="20"/>
              </w:rPr>
            </w:pPr>
            <w:r w:rsidRPr="00361C46">
              <w:rPr>
                <w:sz w:val="20"/>
              </w:rPr>
              <w:t>Krūtinės ląstos skausmas</w:t>
            </w:r>
            <w:r w:rsidRPr="00361C46">
              <w:rPr>
                <w:sz w:val="20"/>
                <w:vertAlign w:val="superscript"/>
              </w:rPr>
              <w:t>a</w:t>
            </w:r>
          </w:p>
          <w:p w14:paraId="3BCC449D" w14:textId="77777777" w:rsidR="00033F69" w:rsidRDefault="00033F69" w:rsidP="00F21ED3">
            <w:pPr>
              <w:rPr>
                <w:sz w:val="20"/>
                <w:vertAlign w:val="superscript"/>
              </w:rPr>
            </w:pPr>
            <w:r w:rsidRPr="00361C46">
              <w:rPr>
                <w:sz w:val="20"/>
              </w:rPr>
              <w:t>Skausmas</w:t>
            </w:r>
            <w:r w:rsidRPr="00361C46">
              <w:rPr>
                <w:sz w:val="20"/>
                <w:vertAlign w:val="superscript"/>
              </w:rPr>
              <w:t>a</w:t>
            </w:r>
          </w:p>
          <w:p w14:paraId="26711E04" w14:textId="77777777" w:rsidR="00033F69" w:rsidRDefault="00033F69" w:rsidP="00F21ED3">
            <w:pPr>
              <w:rPr>
                <w:sz w:val="20"/>
                <w:vertAlign w:val="superscript"/>
              </w:rPr>
            </w:pPr>
            <w:r>
              <w:rPr>
                <w:sz w:val="20"/>
              </w:rPr>
              <w:t>Astenija</w:t>
            </w:r>
            <w:r w:rsidRPr="00361C46">
              <w:rPr>
                <w:sz w:val="20"/>
                <w:vertAlign w:val="superscript"/>
              </w:rPr>
              <w:t>a</w:t>
            </w:r>
          </w:p>
          <w:p w14:paraId="5C995745" w14:textId="77777777" w:rsidR="00033F69" w:rsidRDefault="00033F69" w:rsidP="00F21ED3">
            <w:pPr>
              <w:rPr>
                <w:sz w:val="20"/>
              </w:rPr>
            </w:pPr>
            <w:r>
              <w:rPr>
                <w:sz w:val="20"/>
              </w:rPr>
              <w:t>Bendrasis negalavimas</w:t>
            </w:r>
            <w:r>
              <w:rPr>
                <w:sz w:val="20"/>
                <w:vertAlign w:val="superscript"/>
              </w:rPr>
              <w:t>e</w:t>
            </w:r>
          </w:p>
          <w:p w14:paraId="01B5C76A" w14:textId="77777777" w:rsidR="00033F69" w:rsidRPr="000E32ED" w:rsidRDefault="00033F69" w:rsidP="00F21ED3">
            <w:pPr>
              <w:rPr>
                <w:color w:val="000000"/>
                <w:sz w:val="20"/>
              </w:rPr>
            </w:pPr>
            <w:r>
              <w:rPr>
                <w:sz w:val="20"/>
              </w:rPr>
              <w:t>Periferinė edema</w:t>
            </w:r>
            <w:r>
              <w:rPr>
                <w:sz w:val="20"/>
                <w:vertAlign w:val="superscript"/>
              </w:rPr>
              <w:t>e</w:t>
            </w:r>
          </w:p>
        </w:tc>
        <w:tc>
          <w:tcPr>
            <w:tcW w:w="926" w:type="pct"/>
          </w:tcPr>
          <w:p w14:paraId="35AFDCB7" w14:textId="77777777" w:rsidR="00033F69" w:rsidRPr="00361C46" w:rsidRDefault="00033F69" w:rsidP="00F21ED3">
            <w:pPr>
              <w:rPr>
                <w:sz w:val="20"/>
                <w:vertAlign w:val="superscript"/>
              </w:rPr>
            </w:pPr>
            <w:r w:rsidRPr="000E1F7C">
              <w:rPr>
                <w:sz w:val="20"/>
              </w:rPr>
              <w:t>Injekcijos vietos reakcija</w:t>
            </w:r>
          </w:p>
        </w:tc>
        <w:tc>
          <w:tcPr>
            <w:tcW w:w="752" w:type="pct"/>
          </w:tcPr>
          <w:p w14:paraId="36B31C98" w14:textId="77777777" w:rsidR="00033F69" w:rsidRPr="00361C46" w:rsidRDefault="00033F69" w:rsidP="00F21ED3">
            <w:pPr>
              <w:rPr>
                <w:sz w:val="20"/>
              </w:rPr>
            </w:pPr>
          </w:p>
        </w:tc>
        <w:tc>
          <w:tcPr>
            <w:tcW w:w="658" w:type="pct"/>
          </w:tcPr>
          <w:p w14:paraId="105CC1F9" w14:textId="77777777" w:rsidR="00033F69" w:rsidRPr="00361C46" w:rsidRDefault="00033F69" w:rsidP="00F21ED3">
            <w:pPr>
              <w:rPr>
                <w:sz w:val="20"/>
              </w:rPr>
            </w:pPr>
          </w:p>
        </w:tc>
      </w:tr>
      <w:tr w:rsidR="00306AC1" w:rsidRPr="00361C46" w14:paraId="0E4098BA" w14:textId="77777777" w:rsidTr="00306AC1">
        <w:trPr>
          <w:cantSplit/>
          <w:trHeight w:val="413"/>
        </w:trPr>
        <w:tc>
          <w:tcPr>
            <w:tcW w:w="889" w:type="pct"/>
          </w:tcPr>
          <w:p w14:paraId="3A9168D5" w14:textId="77777777" w:rsidR="00033F69" w:rsidRPr="00361C46" w:rsidRDefault="00033F69" w:rsidP="00F21ED3">
            <w:pPr>
              <w:rPr>
                <w:b/>
                <w:sz w:val="20"/>
              </w:rPr>
            </w:pPr>
            <w:r w:rsidRPr="004B3A51">
              <w:rPr>
                <w:b/>
                <w:sz w:val="20"/>
              </w:rPr>
              <w:t>Sužalojimai, apsinuodijimai ir procedūrų komplikacijos</w:t>
            </w:r>
          </w:p>
        </w:tc>
        <w:tc>
          <w:tcPr>
            <w:tcW w:w="886" w:type="pct"/>
          </w:tcPr>
          <w:p w14:paraId="776F96E1" w14:textId="77777777" w:rsidR="00033F69" w:rsidRPr="00361C46" w:rsidRDefault="00033F69" w:rsidP="00F21ED3">
            <w:pPr>
              <w:rPr>
                <w:sz w:val="20"/>
              </w:rPr>
            </w:pPr>
          </w:p>
        </w:tc>
        <w:tc>
          <w:tcPr>
            <w:tcW w:w="889" w:type="pct"/>
            <w:gridSpan w:val="2"/>
          </w:tcPr>
          <w:p w14:paraId="0EFC3E56" w14:textId="77777777" w:rsidR="00033F69" w:rsidRPr="00361C46" w:rsidRDefault="00033F69" w:rsidP="00F21ED3">
            <w:pPr>
              <w:rPr>
                <w:sz w:val="20"/>
              </w:rPr>
            </w:pPr>
            <w:r>
              <w:rPr>
                <w:sz w:val="20"/>
              </w:rPr>
              <w:t>Transfuzinė reakcija</w:t>
            </w:r>
            <w:r w:rsidRPr="004B3A51">
              <w:rPr>
                <w:sz w:val="20"/>
                <w:vertAlign w:val="superscript"/>
              </w:rPr>
              <w:t>e</w:t>
            </w:r>
          </w:p>
        </w:tc>
        <w:tc>
          <w:tcPr>
            <w:tcW w:w="926" w:type="pct"/>
          </w:tcPr>
          <w:p w14:paraId="7DF021CF" w14:textId="77777777" w:rsidR="00033F69" w:rsidRPr="00361C46" w:rsidRDefault="00033F69" w:rsidP="00F21ED3">
            <w:pPr>
              <w:rPr>
                <w:sz w:val="20"/>
                <w:vertAlign w:val="superscript"/>
              </w:rPr>
            </w:pPr>
          </w:p>
        </w:tc>
        <w:tc>
          <w:tcPr>
            <w:tcW w:w="752" w:type="pct"/>
          </w:tcPr>
          <w:p w14:paraId="004E07BA" w14:textId="77777777" w:rsidR="00033F69" w:rsidRPr="00361C46" w:rsidRDefault="00033F69" w:rsidP="00F21ED3">
            <w:pPr>
              <w:rPr>
                <w:sz w:val="20"/>
              </w:rPr>
            </w:pPr>
          </w:p>
        </w:tc>
        <w:tc>
          <w:tcPr>
            <w:tcW w:w="658" w:type="pct"/>
          </w:tcPr>
          <w:p w14:paraId="4C8B120F" w14:textId="77777777" w:rsidR="00033F69" w:rsidRPr="00361C46" w:rsidRDefault="00033F69" w:rsidP="00F21ED3">
            <w:pPr>
              <w:rPr>
                <w:sz w:val="20"/>
              </w:rPr>
            </w:pPr>
          </w:p>
        </w:tc>
      </w:tr>
    </w:tbl>
    <w:p w14:paraId="5F2FE02D" w14:textId="77777777" w:rsidR="00033F69" w:rsidRPr="00361C46" w:rsidRDefault="00033F69" w:rsidP="00033F69">
      <w:pPr>
        <w:tabs>
          <w:tab w:val="left" w:pos="5505"/>
        </w:tabs>
        <w:rPr>
          <w:sz w:val="18"/>
        </w:rPr>
      </w:pPr>
      <w:r w:rsidRPr="00361C46">
        <w:rPr>
          <w:sz w:val="18"/>
          <w:vertAlign w:val="superscript"/>
        </w:rPr>
        <w:t xml:space="preserve">a </w:t>
      </w:r>
      <w:r w:rsidRPr="00361C46">
        <w:rPr>
          <w:sz w:val="18"/>
        </w:rPr>
        <w:t>Žr. c poskyrį</w:t>
      </w:r>
      <w:r w:rsidR="00746280">
        <w:rPr>
          <w:sz w:val="18"/>
        </w:rPr>
        <w:t xml:space="preserve"> (</w:t>
      </w:r>
      <w:r w:rsidR="00746280" w:rsidRPr="002D7506">
        <w:rPr>
          <w:sz w:val="18"/>
        </w:rPr>
        <w:t>Atrinktų nepage</w:t>
      </w:r>
      <w:r w:rsidR="00746280">
        <w:rPr>
          <w:sz w:val="18"/>
        </w:rPr>
        <w:t xml:space="preserve">idaujamų reakcijų </w:t>
      </w:r>
      <w:r w:rsidR="00746280" w:rsidRPr="00A34C2A">
        <w:rPr>
          <w:sz w:val="18"/>
        </w:rPr>
        <w:t>aprašymas</w:t>
      </w:r>
      <w:r w:rsidR="00746280">
        <w:rPr>
          <w:sz w:val="18"/>
        </w:rPr>
        <w:t>)</w:t>
      </w:r>
      <w:r w:rsidRPr="00361C46">
        <w:rPr>
          <w:sz w:val="18"/>
        </w:rPr>
        <w:t>.</w:t>
      </w:r>
    </w:p>
    <w:p w14:paraId="4AB7F890" w14:textId="77777777" w:rsidR="00033F69" w:rsidRPr="00361C46" w:rsidRDefault="00033F69" w:rsidP="00033F69">
      <w:pPr>
        <w:tabs>
          <w:tab w:val="left" w:pos="5505"/>
        </w:tabs>
        <w:rPr>
          <w:sz w:val="18"/>
        </w:rPr>
      </w:pPr>
      <w:r w:rsidRPr="00361C46">
        <w:rPr>
          <w:sz w:val="18"/>
          <w:vertAlign w:val="superscript"/>
        </w:rPr>
        <w:t xml:space="preserve">b </w:t>
      </w:r>
      <w:r w:rsidRPr="00361C46">
        <w:rPr>
          <w:sz w:val="18"/>
        </w:rPr>
        <w:t>Gauta pranešimų apie TpŠL ir mirties atvejus pacientams po alogeninės kaulų čiulpų transplantacijos (žr. c poskyrį).</w:t>
      </w:r>
    </w:p>
    <w:p w14:paraId="0EC77A77" w14:textId="77777777" w:rsidR="00033F69" w:rsidRPr="00361C46" w:rsidRDefault="00033F69" w:rsidP="00033F69">
      <w:pPr>
        <w:tabs>
          <w:tab w:val="left" w:pos="5505"/>
        </w:tabs>
        <w:rPr>
          <w:sz w:val="18"/>
        </w:rPr>
      </w:pPr>
      <w:r w:rsidRPr="00361C46">
        <w:rPr>
          <w:sz w:val="18"/>
          <w:vertAlign w:val="superscript"/>
        </w:rPr>
        <w:t>c</w:t>
      </w:r>
      <w:r w:rsidRPr="00361C46">
        <w:rPr>
          <w:sz w:val="18"/>
        </w:rPr>
        <w:t xml:space="preserve"> Įskaitant kaulų skausmą, nugaros skausmą, sąnarių skausmą, galūnių skausmą, raumenų ir kaulų skausmą, </w:t>
      </w:r>
      <w:r w:rsidRPr="000E32ED">
        <w:rPr>
          <w:sz w:val="18"/>
        </w:rPr>
        <w:t>raumenų ir kaulų skausmą krūtinėje</w:t>
      </w:r>
      <w:r w:rsidRPr="00361C46">
        <w:rPr>
          <w:sz w:val="18"/>
        </w:rPr>
        <w:t>, kaklo skausmą.</w:t>
      </w:r>
    </w:p>
    <w:p w14:paraId="15B1EC04" w14:textId="77777777" w:rsidR="00033F69" w:rsidRPr="00361C46" w:rsidRDefault="00033F69" w:rsidP="00033F69">
      <w:pPr>
        <w:tabs>
          <w:tab w:val="left" w:pos="5505"/>
        </w:tabs>
        <w:rPr>
          <w:sz w:val="18"/>
        </w:rPr>
      </w:pPr>
      <w:r w:rsidRPr="00361C46">
        <w:rPr>
          <w:sz w:val="18"/>
          <w:vertAlign w:val="superscript"/>
        </w:rPr>
        <w:t xml:space="preserve">d </w:t>
      </w:r>
      <w:r w:rsidRPr="00361C46">
        <w:rPr>
          <w:sz w:val="18"/>
        </w:rPr>
        <w:t>Atvejai stebėti vaistui patekus į rinką pacientams, kuriems buvo atlikta kaulų čiulpų transplantacija ar PKKL mobilizacija.</w:t>
      </w:r>
    </w:p>
    <w:p w14:paraId="65B8258D" w14:textId="77777777" w:rsidR="00033F69" w:rsidRPr="000E32ED" w:rsidRDefault="00033F69" w:rsidP="00033F69">
      <w:pPr>
        <w:tabs>
          <w:tab w:val="left" w:pos="5505"/>
        </w:tabs>
        <w:rPr>
          <w:sz w:val="18"/>
        </w:rPr>
      </w:pPr>
      <w:r w:rsidRPr="00361C46">
        <w:rPr>
          <w:sz w:val="18"/>
          <w:vertAlign w:val="superscript"/>
        </w:rPr>
        <w:t>e</w:t>
      </w:r>
      <w:r w:rsidRPr="00361C46">
        <w:rPr>
          <w:sz w:val="18"/>
        </w:rPr>
        <w:t xml:space="preserve"> </w:t>
      </w:r>
      <w:r w:rsidRPr="000E32ED">
        <w:rPr>
          <w:sz w:val="18"/>
        </w:rPr>
        <w:t>Nepageidaujami reiškiniai, dažniau pasireiškę Neupogen vartojusiems pacientams, palyginti su vartojusiais placebo, ir susiję su vėžio ar citotoksin</w:t>
      </w:r>
      <w:r>
        <w:rPr>
          <w:sz w:val="18"/>
        </w:rPr>
        <w:t>ė</w:t>
      </w:r>
      <w:r w:rsidRPr="000E32ED">
        <w:rPr>
          <w:sz w:val="18"/>
        </w:rPr>
        <w:t>s chemoterapijos pasekmėmis.</w:t>
      </w:r>
    </w:p>
    <w:p w14:paraId="648572BA" w14:textId="77777777" w:rsidR="00033F69" w:rsidRPr="000E32ED" w:rsidRDefault="00033F69" w:rsidP="00033F69">
      <w:pPr>
        <w:tabs>
          <w:tab w:val="left" w:pos="5505"/>
        </w:tabs>
        <w:rPr>
          <w:i/>
        </w:rPr>
      </w:pPr>
    </w:p>
    <w:p w14:paraId="6E8F47F9" w14:textId="77777777" w:rsidR="00033F69" w:rsidRPr="00361C46" w:rsidRDefault="00033F69" w:rsidP="00770D60">
      <w:pPr>
        <w:pStyle w:val="lbltxt"/>
        <w:keepNext/>
        <w:numPr>
          <w:ilvl w:val="0"/>
          <w:numId w:val="23"/>
        </w:numPr>
        <w:ind w:left="567" w:hanging="540"/>
        <w:rPr>
          <w:noProof w:val="0"/>
          <w:u w:val="single"/>
          <w:lang w:val="lt-LT"/>
        </w:rPr>
      </w:pPr>
      <w:r w:rsidRPr="000E1F7C">
        <w:rPr>
          <w:rStyle w:val="shorttext"/>
          <w:u w:val="single"/>
        </w:rPr>
        <w:t>At</w:t>
      </w:r>
      <w:r w:rsidRPr="00361C46">
        <w:rPr>
          <w:rStyle w:val="shorttext"/>
          <w:noProof w:val="0"/>
          <w:u w:val="single"/>
          <w:lang w:val="lt-LT"/>
        </w:rPr>
        <w:t xml:space="preserve">rinktų nepageidaujamų reakcijų </w:t>
      </w:r>
      <w:r w:rsidRPr="00361C46">
        <w:rPr>
          <w:rStyle w:val="hps"/>
          <w:noProof w:val="0"/>
          <w:u w:val="single"/>
          <w:lang w:val="lt-LT"/>
        </w:rPr>
        <w:t>aprašymas</w:t>
      </w:r>
    </w:p>
    <w:p w14:paraId="09C905B6" w14:textId="77777777" w:rsidR="00033F69" w:rsidRPr="00361C46" w:rsidRDefault="00033F69" w:rsidP="00033F69">
      <w:pPr>
        <w:pStyle w:val="lbltxt"/>
        <w:tabs>
          <w:tab w:val="left" w:pos="567"/>
        </w:tabs>
        <w:rPr>
          <w:noProof w:val="0"/>
          <w:szCs w:val="22"/>
          <w:lang w:val="lt-LT"/>
        </w:rPr>
      </w:pPr>
    </w:p>
    <w:p w14:paraId="7FECBA1B" w14:textId="77777777" w:rsidR="00033F69" w:rsidRPr="000E1F7C" w:rsidRDefault="00033F69" w:rsidP="00033F69">
      <w:pPr>
        <w:pStyle w:val="lbltxt"/>
        <w:tabs>
          <w:tab w:val="left" w:pos="567"/>
        </w:tabs>
        <w:rPr>
          <w:i/>
          <w:noProof w:val="0"/>
          <w:lang w:val="lt-LT"/>
        </w:rPr>
      </w:pPr>
      <w:r w:rsidRPr="000E1F7C">
        <w:rPr>
          <w:i/>
          <w:noProof w:val="0"/>
          <w:lang w:val="lt-LT"/>
        </w:rPr>
        <w:t>Padidėjęs jautrumas</w:t>
      </w:r>
    </w:p>
    <w:p w14:paraId="37AC9758" w14:textId="77777777" w:rsidR="00033F69" w:rsidRPr="00361C46" w:rsidRDefault="00033F69" w:rsidP="00033F69">
      <w:pPr>
        <w:pStyle w:val="lbltxt"/>
        <w:tabs>
          <w:tab w:val="left" w:pos="567"/>
        </w:tabs>
        <w:rPr>
          <w:noProof w:val="0"/>
          <w:lang w:val="lt-LT"/>
        </w:rPr>
      </w:pPr>
    </w:p>
    <w:p w14:paraId="7336D66B" w14:textId="77777777" w:rsidR="00033F69" w:rsidRPr="00361C46" w:rsidRDefault="00033F69" w:rsidP="00033F69">
      <w:pPr>
        <w:pStyle w:val="lbltxt"/>
        <w:tabs>
          <w:tab w:val="left" w:pos="567"/>
        </w:tabs>
        <w:rPr>
          <w:bCs/>
          <w:noProof w:val="0"/>
          <w:szCs w:val="22"/>
          <w:lang w:val="lt-LT"/>
        </w:rPr>
      </w:pPr>
      <w:r w:rsidRPr="00361C46">
        <w:rPr>
          <w:bCs/>
          <w:noProof w:val="0"/>
          <w:szCs w:val="22"/>
          <w:lang w:val="lt-LT"/>
        </w:rPr>
        <w:t>Klinikinių tyrimų metu ir vaistui patekus į rinką gauta pranešimų apie padidėjusio jautrumo reakcijas, įskaitant anafilaksiją, bėrimą, dilgėlinę, angioneurozinę edemą, dusulį (dispnėją) ir hipotenziją. Šios reakcijos pasireiškė gydymo pradžioje arba gydymo eigoje. Bendrai jos dažniau pasireiškė suleidus vaisto į veną. Kai kuriais atvejais simptomai kartojosi pakartotinai pavartojus vaisto, ir tai rodė priežastinį ryšį. Pacientams, patyrusiems sunkią alerginę reakciją, Neupogen vartojimą reikia visam laikui nutraukti.</w:t>
      </w:r>
    </w:p>
    <w:p w14:paraId="19CCC3B4" w14:textId="77777777" w:rsidR="00033F69" w:rsidRDefault="00033F69" w:rsidP="00033F69">
      <w:pPr>
        <w:pStyle w:val="lbltxt"/>
        <w:tabs>
          <w:tab w:val="left" w:pos="567"/>
        </w:tabs>
        <w:rPr>
          <w:noProof w:val="0"/>
          <w:lang w:val="lt-LT"/>
        </w:rPr>
      </w:pPr>
    </w:p>
    <w:p w14:paraId="5F7C9B8B" w14:textId="77777777" w:rsidR="00033F69" w:rsidRPr="000E1F7C" w:rsidRDefault="00033F69" w:rsidP="00033F69">
      <w:pPr>
        <w:pStyle w:val="lbltxt"/>
        <w:tabs>
          <w:tab w:val="left" w:pos="567"/>
        </w:tabs>
        <w:rPr>
          <w:i/>
          <w:noProof w:val="0"/>
          <w:lang w:val="lt-LT"/>
        </w:rPr>
      </w:pPr>
      <w:r w:rsidRPr="000E1F7C">
        <w:rPr>
          <w:i/>
          <w:noProof w:val="0"/>
          <w:lang w:val="lt-LT"/>
        </w:rPr>
        <w:t>Plaučių nepageidaujami reiškiniai</w:t>
      </w:r>
    </w:p>
    <w:p w14:paraId="4A680474" w14:textId="77777777" w:rsidR="00033F69" w:rsidRDefault="00033F69" w:rsidP="00033F69">
      <w:pPr>
        <w:pStyle w:val="lbltxt"/>
        <w:tabs>
          <w:tab w:val="left" w:pos="567"/>
        </w:tabs>
        <w:rPr>
          <w:noProof w:val="0"/>
          <w:lang w:val="lt-LT"/>
        </w:rPr>
      </w:pPr>
    </w:p>
    <w:p w14:paraId="137FB1A2" w14:textId="77777777" w:rsidR="00033F69" w:rsidRPr="00361C46" w:rsidRDefault="00033F69" w:rsidP="00033F69">
      <w:pPr>
        <w:pStyle w:val="lbltxt"/>
        <w:tabs>
          <w:tab w:val="left" w:pos="567"/>
          <w:tab w:val="left" w:pos="5954"/>
        </w:tabs>
        <w:rPr>
          <w:bCs/>
          <w:noProof w:val="0"/>
          <w:szCs w:val="22"/>
          <w:lang w:val="lt-LT"/>
        </w:rPr>
      </w:pPr>
      <w:r w:rsidRPr="00361C46">
        <w:rPr>
          <w:bCs/>
          <w:noProof w:val="0"/>
          <w:szCs w:val="22"/>
          <w:lang w:val="lt-LT"/>
        </w:rPr>
        <w:t xml:space="preserve">Klinikinių tyrimų metu ir vaistui patekus į rinką gauta pranešimų apie nepageidaujamus plaučių reiškinius, įskaitant intersticinę plaučių ligą, plaučių edemą ir plaučių infiltratą, kai kuriais atvejais pasibaigusius kvėpavimo nepakankamumu ar ūminiu </w:t>
      </w:r>
      <w:r w:rsidR="00300C28">
        <w:rPr>
          <w:bCs/>
          <w:noProof w:val="0"/>
          <w:szCs w:val="22"/>
          <w:lang w:val="lt-LT"/>
        </w:rPr>
        <w:t>respiraciniu</w:t>
      </w:r>
      <w:r w:rsidRPr="00361C46">
        <w:rPr>
          <w:bCs/>
          <w:noProof w:val="0"/>
          <w:szCs w:val="22"/>
          <w:lang w:val="lt-LT"/>
        </w:rPr>
        <w:t xml:space="preserve"> distreso sindromu (Ū</w:t>
      </w:r>
      <w:r w:rsidR="00300C28">
        <w:rPr>
          <w:bCs/>
          <w:noProof w:val="0"/>
          <w:szCs w:val="22"/>
          <w:lang w:val="lt-LT"/>
        </w:rPr>
        <w:t>R</w:t>
      </w:r>
      <w:r w:rsidRPr="00361C46">
        <w:rPr>
          <w:bCs/>
          <w:noProof w:val="0"/>
          <w:szCs w:val="22"/>
          <w:lang w:val="lt-LT"/>
        </w:rPr>
        <w:t>DS), kuris gali būti mirtinas (žr. 4.4 skyrių).</w:t>
      </w:r>
    </w:p>
    <w:p w14:paraId="24CE3F03" w14:textId="77777777" w:rsidR="00033F69" w:rsidRDefault="00033F69" w:rsidP="00033F69">
      <w:pPr>
        <w:pStyle w:val="lbltxt"/>
        <w:tabs>
          <w:tab w:val="left" w:pos="567"/>
        </w:tabs>
        <w:rPr>
          <w:noProof w:val="0"/>
          <w:lang w:val="lt-LT"/>
        </w:rPr>
      </w:pPr>
    </w:p>
    <w:p w14:paraId="1754218C" w14:textId="77777777" w:rsidR="00033F69" w:rsidRPr="000E1F7C" w:rsidRDefault="00033F69" w:rsidP="007240E0">
      <w:pPr>
        <w:pStyle w:val="lbltxt"/>
        <w:keepNext/>
        <w:tabs>
          <w:tab w:val="left" w:pos="567"/>
        </w:tabs>
        <w:rPr>
          <w:i/>
          <w:noProof w:val="0"/>
          <w:lang w:val="lt-LT"/>
        </w:rPr>
      </w:pPr>
      <w:r>
        <w:rPr>
          <w:i/>
          <w:noProof w:val="0"/>
          <w:lang w:val="lt-LT"/>
        </w:rPr>
        <w:t>Splenomegalija ir blužnies plyšimas</w:t>
      </w:r>
    </w:p>
    <w:p w14:paraId="1197A7F7" w14:textId="77777777" w:rsidR="00033F69" w:rsidRDefault="00033F69" w:rsidP="007240E0">
      <w:pPr>
        <w:pStyle w:val="lbltxt"/>
        <w:keepNext/>
        <w:tabs>
          <w:tab w:val="left" w:pos="567"/>
        </w:tabs>
        <w:rPr>
          <w:noProof w:val="0"/>
          <w:lang w:val="lt-LT"/>
        </w:rPr>
      </w:pPr>
    </w:p>
    <w:p w14:paraId="021379BD" w14:textId="77777777" w:rsidR="00033F69" w:rsidRPr="00361C46" w:rsidRDefault="00033F69" w:rsidP="007240E0">
      <w:pPr>
        <w:pStyle w:val="lbltxt"/>
        <w:keepNext/>
        <w:tabs>
          <w:tab w:val="left" w:pos="567"/>
        </w:tabs>
        <w:rPr>
          <w:noProof w:val="0"/>
          <w:lang w:val="lt-LT"/>
        </w:rPr>
      </w:pPr>
      <w:r w:rsidRPr="00361C46">
        <w:rPr>
          <w:noProof w:val="0"/>
          <w:lang w:val="lt-LT"/>
        </w:rPr>
        <w:t>Vartojant filgrastimą apie splenomegalijos ir blužnies plyšimo atvejus buvo pranešta nedažnai. Kai kurie blužnies plyšimo atvejai baigėsi mirtimi (žr. 4.4 skyrių).</w:t>
      </w:r>
    </w:p>
    <w:p w14:paraId="4031F451" w14:textId="77777777" w:rsidR="00033F69" w:rsidRDefault="00033F69" w:rsidP="00033F69">
      <w:pPr>
        <w:pStyle w:val="lbltxt"/>
        <w:tabs>
          <w:tab w:val="left" w:pos="567"/>
        </w:tabs>
        <w:rPr>
          <w:noProof w:val="0"/>
          <w:lang w:val="lt-LT"/>
        </w:rPr>
      </w:pPr>
    </w:p>
    <w:p w14:paraId="5776AB28" w14:textId="77777777" w:rsidR="00033F69" w:rsidRPr="000E1F7C" w:rsidRDefault="00033F69" w:rsidP="00033F69">
      <w:pPr>
        <w:pStyle w:val="lbltxt"/>
        <w:tabs>
          <w:tab w:val="left" w:pos="567"/>
        </w:tabs>
        <w:rPr>
          <w:i/>
          <w:noProof w:val="0"/>
          <w:lang w:val="lt-LT"/>
        </w:rPr>
      </w:pPr>
      <w:r>
        <w:rPr>
          <w:i/>
          <w:noProof w:val="0"/>
          <w:lang w:val="lt-LT"/>
        </w:rPr>
        <w:t>Kapiliarų pralaidumo sindromas</w:t>
      </w:r>
    </w:p>
    <w:p w14:paraId="7E91054E" w14:textId="77777777" w:rsidR="00033F69" w:rsidRDefault="00033F69" w:rsidP="00033F69">
      <w:pPr>
        <w:pStyle w:val="lbltxt"/>
        <w:tabs>
          <w:tab w:val="left" w:pos="567"/>
        </w:tabs>
        <w:rPr>
          <w:noProof w:val="0"/>
          <w:lang w:val="lt-LT"/>
        </w:rPr>
      </w:pPr>
    </w:p>
    <w:p w14:paraId="1C857122" w14:textId="77777777" w:rsidR="00033F69" w:rsidRPr="00361C46" w:rsidRDefault="00033F69" w:rsidP="00033F69">
      <w:pPr>
        <w:pStyle w:val="lbltxt"/>
        <w:tabs>
          <w:tab w:val="left" w:pos="567"/>
        </w:tabs>
        <w:rPr>
          <w:noProof w:val="0"/>
          <w:szCs w:val="22"/>
          <w:lang w:val="lt-LT"/>
        </w:rPr>
      </w:pPr>
      <w:r>
        <w:rPr>
          <w:noProof w:val="0"/>
          <w:lang w:val="lt-LT"/>
        </w:rPr>
        <w:t>B</w:t>
      </w:r>
      <w:r w:rsidRPr="00361C46">
        <w:rPr>
          <w:noProof w:val="0"/>
          <w:lang w:val="lt-LT"/>
        </w:rPr>
        <w:t>uvo pranešta apie kapiliarų pralaidumo sindromo atvejus vartojant granulocitų kolonijas stimuliuojantį faktorių. Šis sindromas daugiausiai pasireiškė pacientams</w:t>
      </w:r>
      <w:r>
        <w:rPr>
          <w:noProof w:val="0"/>
          <w:lang w:val="lt-LT"/>
        </w:rPr>
        <w:t>,</w:t>
      </w:r>
      <w:r w:rsidRPr="00361C46">
        <w:rPr>
          <w:noProof w:val="0"/>
          <w:lang w:val="lt-LT"/>
        </w:rPr>
        <w:t xml:space="preserve"> sergantiems pažengusia vėžio forma, sepsiu, vartojantiems kompleksinės chemoterapijos vaistus arba kuriems skiriama aferezė (žr. 4.4 skyrių).</w:t>
      </w:r>
    </w:p>
    <w:p w14:paraId="4651D921" w14:textId="77777777" w:rsidR="00033F69" w:rsidRPr="00361C46" w:rsidRDefault="00033F69" w:rsidP="00033F69">
      <w:pPr>
        <w:pStyle w:val="lbltxt"/>
        <w:keepNext/>
        <w:ind w:left="720"/>
        <w:rPr>
          <w:noProof w:val="0"/>
          <w:u w:val="single"/>
          <w:lang w:val="lt-LT"/>
        </w:rPr>
      </w:pPr>
    </w:p>
    <w:p w14:paraId="4D038E2B" w14:textId="77777777" w:rsidR="00033F69" w:rsidRPr="00361C46" w:rsidRDefault="00033F69" w:rsidP="00033F69">
      <w:pPr>
        <w:pStyle w:val="lbltxt"/>
        <w:keepNext/>
        <w:tabs>
          <w:tab w:val="left" w:pos="567"/>
        </w:tabs>
        <w:rPr>
          <w:i/>
          <w:noProof w:val="0"/>
          <w:szCs w:val="22"/>
          <w:lang w:val="lt-LT"/>
        </w:rPr>
      </w:pPr>
      <w:r>
        <w:rPr>
          <w:i/>
          <w:noProof w:val="0"/>
          <w:szCs w:val="22"/>
          <w:lang w:val="lt-LT"/>
        </w:rPr>
        <w:t>Odos vaskulitas</w:t>
      </w:r>
    </w:p>
    <w:p w14:paraId="1C71F6E4" w14:textId="77777777" w:rsidR="00033F69" w:rsidRPr="00361C46" w:rsidRDefault="00033F69" w:rsidP="00033F69">
      <w:pPr>
        <w:pStyle w:val="lbltxt"/>
        <w:tabs>
          <w:tab w:val="left" w:pos="567"/>
        </w:tabs>
        <w:rPr>
          <w:noProof w:val="0"/>
          <w:szCs w:val="22"/>
          <w:lang w:val="lt-LT"/>
        </w:rPr>
      </w:pPr>
    </w:p>
    <w:p w14:paraId="5B19588D" w14:textId="77777777" w:rsidR="00033F69" w:rsidRDefault="00033F69" w:rsidP="00033F69">
      <w:pPr>
        <w:pStyle w:val="lbltxt"/>
        <w:tabs>
          <w:tab w:val="left" w:pos="567"/>
        </w:tabs>
        <w:rPr>
          <w:noProof w:val="0"/>
          <w:lang w:val="lt-LT"/>
        </w:rPr>
      </w:pPr>
      <w:r>
        <w:rPr>
          <w:bCs/>
          <w:noProof w:val="0"/>
          <w:szCs w:val="22"/>
          <w:lang w:val="lt-LT"/>
        </w:rPr>
        <w:t>G</w:t>
      </w:r>
      <w:r w:rsidRPr="00361C46">
        <w:rPr>
          <w:bCs/>
          <w:noProof w:val="0"/>
          <w:szCs w:val="22"/>
          <w:lang w:val="lt-LT"/>
        </w:rPr>
        <w:t xml:space="preserve">auta pranešimų apie odos vaskulitą pacientams, gydytiems Neupogen. Vaskulito mechanizmas pacientams, gavusiems Neupogen, nežinomas. </w:t>
      </w:r>
      <w:r>
        <w:rPr>
          <w:bCs/>
          <w:noProof w:val="0"/>
          <w:szCs w:val="22"/>
          <w:lang w:val="lt-LT"/>
        </w:rPr>
        <w:t xml:space="preserve">Ilgalaikio gydymo atveju </w:t>
      </w:r>
      <w:r w:rsidRPr="00361C46">
        <w:rPr>
          <w:noProof w:val="0"/>
          <w:lang w:val="lt-LT"/>
        </w:rPr>
        <w:t>odos vaskulitas</w:t>
      </w:r>
      <w:r w:rsidRPr="00361C46" w:rsidDel="000F33EB">
        <w:rPr>
          <w:bCs/>
          <w:noProof w:val="0"/>
          <w:szCs w:val="22"/>
          <w:lang w:val="lt-LT"/>
        </w:rPr>
        <w:t xml:space="preserve"> </w:t>
      </w:r>
      <w:r>
        <w:rPr>
          <w:bCs/>
          <w:noProof w:val="0"/>
          <w:szCs w:val="22"/>
          <w:lang w:val="lt-LT"/>
        </w:rPr>
        <w:t xml:space="preserve">nustatytas </w:t>
      </w:r>
      <w:r w:rsidRPr="00361C46">
        <w:rPr>
          <w:noProof w:val="0"/>
          <w:lang w:val="lt-LT"/>
        </w:rPr>
        <w:t>2% ligonių, sergančių sunkia lėtine neutropenija</w:t>
      </w:r>
      <w:r>
        <w:rPr>
          <w:noProof w:val="0"/>
          <w:lang w:val="lt-LT"/>
        </w:rPr>
        <w:t>.</w:t>
      </w:r>
    </w:p>
    <w:p w14:paraId="7666FD40" w14:textId="77777777" w:rsidR="00033F69" w:rsidRPr="00361C46" w:rsidRDefault="00033F69" w:rsidP="00033F69">
      <w:pPr>
        <w:pStyle w:val="lbltxt"/>
        <w:tabs>
          <w:tab w:val="left" w:pos="567"/>
        </w:tabs>
        <w:rPr>
          <w:bCs/>
          <w:noProof w:val="0"/>
          <w:szCs w:val="22"/>
          <w:lang w:val="lt-LT"/>
        </w:rPr>
      </w:pPr>
    </w:p>
    <w:p w14:paraId="680E6CE5" w14:textId="77777777" w:rsidR="00033F69" w:rsidRPr="00361C46" w:rsidRDefault="00033F69" w:rsidP="00033F69">
      <w:pPr>
        <w:pStyle w:val="lbltxt"/>
        <w:keepNext/>
        <w:tabs>
          <w:tab w:val="left" w:pos="567"/>
        </w:tabs>
        <w:rPr>
          <w:i/>
          <w:noProof w:val="0"/>
          <w:szCs w:val="22"/>
          <w:lang w:val="lt-LT"/>
        </w:rPr>
      </w:pPr>
      <w:r>
        <w:rPr>
          <w:i/>
          <w:noProof w:val="0"/>
          <w:szCs w:val="22"/>
          <w:lang w:val="lt-LT"/>
        </w:rPr>
        <w:t>Leukocitozė</w:t>
      </w:r>
    </w:p>
    <w:p w14:paraId="0C7475B8" w14:textId="77777777" w:rsidR="00033F69" w:rsidRPr="00361C46" w:rsidRDefault="00033F69" w:rsidP="00033F69">
      <w:pPr>
        <w:pStyle w:val="lbltxt"/>
        <w:tabs>
          <w:tab w:val="left" w:pos="567"/>
        </w:tabs>
        <w:rPr>
          <w:noProof w:val="0"/>
          <w:szCs w:val="22"/>
          <w:lang w:val="lt-LT"/>
        </w:rPr>
      </w:pPr>
    </w:p>
    <w:p w14:paraId="6AD4D63A" w14:textId="77777777" w:rsidR="00033F69" w:rsidRPr="00361C46" w:rsidRDefault="00033F69" w:rsidP="00033F69">
      <w:r w:rsidRPr="00361C46">
        <w:t xml:space="preserve">41% </w:t>
      </w:r>
      <w:r>
        <w:t xml:space="preserve">sveikų </w:t>
      </w:r>
      <w:r w:rsidRPr="00361C46">
        <w:t>donorų buvo leukocitozė (leukocitų &gt; 50 x 10</w:t>
      </w:r>
      <w:r w:rsidRPr="00361C46">
        <w:rPr>
          <w:vertAlign w:val="superscript"/>
        </w:rPr>
        <w:t>9</w:t>
      </w:r>
      <w:r w:rsidRPr="00361C46">
        <w:t>/l), o 35% donorų po filgrastimo ir leukaferezės buvo laikina trombocitopenija (trombocitų &lt; 100 x 10</w:t>
      </w:r>
      <w:r w:rsidRPr="00361C46">
        <w:rPr>
          <w:vertAlign w:val="superscript"/>
        </w:rPr>
        <w:t>9</w:t>
      </w:r>
      <w:r w:rsidRPr="00361C46">
        <w:t>/l) (žr. 4.4 skyrių).</w:t>
      </w:r>
    </w:p>
    <w:p w14:paraId="022B6CBB" w14:textId="77777777" w:rsidR="00033F69" w:rsidRPr="00361C46" w:rsidRDefault="00033F69" w:rsidP="00033F69">
      <w:pPr>
        <w:pStyle w:val="lbltxt"/>
        <w:tabs>
          <w:tab w:val="left" w:pos="567"/>
        </w:tabs>
        <w:rPr>
          <w:noProof w:val="0"/>
          <w:szCs w:val="22"/>
          <w:lang w:val="lt-LT"/>
        </w:rPr>
      </w:pPr>
    </w:p>
    <w:p w14:paraId="56F6E693" w14:textId="77777777" w:rsidR="00033F69" w:rsidRPr="000E1F7C" w:rsidRDefault="00033F69" w:rsidP="00033F69">
      <w:pPr>
        <w:pStyle w:val="lbltxt"/>
        <w:tabs>
          <w:tab w:val="left" w:pos="567"/>
        </w:tabs>
        <w:rPr>
          <w:bCs/>
          <w:i/>
          <w:noProof w:val="0"/>
          <w:szCs w:val="22"/>
          <w:lang w:val="lt-LT"/>
        </w:rPr>
      </w:pPr>
      <w:r w:rsidRPr="000E1F7C">
        <w:rPr>
          <w:bCs/>
          <w:i/>
          <w:noProof w:val="0"/>
          <w:szCs w:val="22"/>
          <w:lang w:val="lt-LT"/>
        </w:rPr>
        <w:t>Sweet sindromas</w:t>
      </w:r>
    </w:p>
    <w:p w14:paraId="58F8686D" w14:textId="77777777" w:rsidR="00033F69" w:rsidRDefault="00033F69" w:rsidP="00033F69">
      <w:pPr>
        <w:pStyle w:val="lbltxt"/>
        <w:tabs>
          <w:tab w:val="left" w:pos="567"/>
        </w:tabs>
        <w:rPr>
          <w:bCs/>
          <w:noProof w:val="0"/>
          <w:szCs w:val="22"/>
          <w:lang w:val="lt-LT"/>
        </w:rPr>
      </w:pPr>
    </w:p>
    <w:p w14:paraId="4CCAF1F7" w14:textId="77777777" w:rsidR="00033F69" w:rsidRPr="00361C46" w:rsidRDefault="00033F69" w:rsidP="00033F69">
      <w:pPr>
        <w:pStyle w:val="lbltxt"/>
        <w:tabs>
          <w:tab w:val="left" w:pos="567"/>
        </w:tabs>
        <w:rPr>
          <w:bCs/>
          <w:noProof w:val="0"/>
          <w:szCs w:val="22"/>
          <w:lang w:val="lt-LT"/>
        </w:rPr>
      </w:pPr>
      <w:r>
        <w:rPr>
          <w:bCs/>
          <w:noProof w:val="0"/>
          <w:szCs w:val="22"/>
          <w:lang w:val="lt-LT"/>
        </w:rPr>
        <w:t>G</w:t>
      </w:r>
      <w:r w:rsidRPr="00361C46">
        <w:rPr>
          <w:bCs/>
          <w:noProof w:val="0"/>
          <w:szCs w:val="22"/>
          <w:lang w:val="lt-LT"/>
        </w:rPr>
        <w:t xml:space="preserve">auta pranešimų apie </w:t>
      </w:r>
      <w:r w:rsidRPr="00361C46">
        <w:rPr>
          <w:bCs/>
          <w:i/>
          <w:noProof w:val="0"/>
          <w:szCs w:val="22"/>
          <w:lang w:val="lt-LT"/>
        </w:rPr>
        <w:t>Sweet</w:t>
      </w:r>
      <w:r w:rsidRPr="00361C46">
        <w:rPr>
          <w:bCs/>
          <w:noProof w:val="0"/>
          <w:szCs w:val="22"/>
          <w:lang w:val="lt-LT"/>
        </w:rPr>
        <w:t xml:space="preserve"> sindromą (ūmin</w:t>
      </w:r>
      <w:r>
        <w:rPr>
          <w:bCs/>
          <w:noProof w:val="0"/>
          <w:szCs w:val="22"/>
          <w:lang w:val="lt-LT"/>
        </w:rPr>
        <w:t>ę</w:t>
      </w:r>
      <w:r w:rsidRPr="00361C46">
        <w:rPr>
          <w:bCs/>
          <w:noProof w:val="0"/>
          <w:szCs w:val="22"/>
          <w:lang w:val="lt-LT"/>
        </w:rPr>
        <w:t xml:space="preserve"> febrilin</w:t>
      </w:r>
      <w:r>
        <w:rPr>
          <w:bCs/>
          <w:noProof w:val="0"/>
          <w:szCs w:val="22"/>
          <w:lang w:val="lt-LT"/>
        </w:rPr>
        <w:t xml:space="preserve">ę neutrofilinę </w:t>
      </w:r>
      <w:r w:rsidRPr="00361C46">
        <w:rPr>
          <w:bCs/>
          <w:noProof w:val="0"/>
          <w:szCs w:val="22"/>
          <w:lang w:val="lt-LT"/>
        </w:rPr>
        <w:t>dermatoz</w:t>
      </w:r>
      <w:r>
        <w:rPr>
          <w:bCs/>
          <w:noProof w:val="0"/>
          <w:szCs w:val="22"/>
          <w:lang w:val="lt-LT"/>
        </w:rPr>
        <w:t>ę</w:t>
      </w:r>
      <w:r w:rsidRPr="00361C46">
        <w:rPr>
          <w:bCs/>
          <w:noProof w:val="0"/>
          <w:szCs w:val="22"/>
          <w:lang w:val="lt-LT"/>
        </w:rPr>
        <w:t>)</w:t>
      </w:r>
      <w:r>
        <w:rPr>
          <w:bCs/>
          <w:noProof w:val="0"/>
          <w:szCs w:val="22"/>
          <w:lang w:val="lt-LT"/>
        </w:rPr>
        <w:t xml:space="preserve"> Neupogen gydytiems pacientams</w:t>
      </w:r>
      <w:r w:rsidRPr="00361C46">
        <w:rPr>
          <w:bCs/>
          <w:noProof w:val="0"/>
          <w:szCs w:val="22"/>
          <w:lang w:val="lt-LT"/>
        </w:rPr>
        <w:t>.</w:t>
      </w:r>
    </w:p>
    <w:p w14:paraId="20B17ECD" w14:textId="77777777" w:rsidR="00033F69" w:rsidRPr="00361C46" w:rsidRDefault="00033F69" w:rsidP="00033F69">
      <w:pPr>
        <w:pStyle w:val="lbltxt"/>
        <w:tabs>
          <w:tab w:val="left" w:pos="567"/>
        </w:tabs>
        <w:rPr>
          <w:noProof w:val="0"/>
          <w:lang w:val="lt-LT"/>
        </w:rPr>
      </w:pPr>
    </w:p>
    <w:p w14:paraId="545A51CB" w14:textId="77777777" w:rsidR="00033F69" w:rsidRPr="000E1F7C" w:rsidRDefault="00033F69" w:rsidP="00033F69">
      <w:pPr>
        <w:pStyle w:val="lbltxt"/>
        <w:tabs>
          <w:tab w:val="left" w:pos="567"/>
        </w:tabs>
        <w:rPr>
          <w:bCs/>
          <w:i/>
          <w:noProof w:val="0"/>
          <w:szCs w:val="22"/>
          <w:lang w:val="lt-LT"/>
        </w:rPr>
      </w:pPr>
      <w:r w:rsidRPr="000E1F7C">
        <w:rPr>
          <w:bCs/>
          <w:i/>
          <w:noProof w:val="0"/>
          <w:szCs w:val="22"/>
          <w:lang w:val="lt-LT"/>
        </w:rPr>
        <w:t>Pseudopodagra (pirofosfatinė chondrokalcinozė)</w:t>
      </w:r>
    </w:p>
    <w:p w14:paraId="2800B1FD" w14:textId="77777777" w:rsidR="00033F69" w:rsidRPr="00361C46" w:rsidRDefault="00033F69" w:rsidP="00033F69">
      <w:pPr>
        <w:pStyle w:val="lbltxt"/>
        <w:tabs>
          <w:tab w:val="left" w:pos="567"/>
        </w:tabs>
        <w:rPr>
          <w:noProof w:val="0"/>
          <w:szCs w:val="22"/>
          <w:lang w:val="lt-LT"/>
        </w:rPr>
      </w:pPr>
    </w:p>
    <w:p w14:paraId="3DB8F733" w14:textId="77777777" w:rsidR="00033F69" w:rsidRPr="00361C46" w:rsidRDefault="00033F69" w:rsidP="00033F69">
      <w:pPr>
        <w:pStyle w:val="lbltxt"/>
        <w:tabs>
          <w:tab w:val="left" w:pos="567"/>
        </w:tabs>
        <w:rPr>
          <w:bCs/>
          <w:noProof w:val="0"/>
          <w:szCs w:val="22"/>
          <w:lang w:val="lt-LT"/>
        </w:rPr>
      </w:pPr>
      <w:r w:rsidRPr="00361C46">
        <w:rPr>
          <w:bCs/>
          <w:noProof w:val="0"/>
          <w:szCs w:val="22"/>
          <w:lang w:val="lt-LT"/>
        </w:rPr>
        <w:t xml:space="preserve">Gauta pranešimų apie </w:t>
      </w:r>
      <w:r>
        <w:rPr>
          <w:bCs/>
          <w:noProof w:val="0"/>
          <w:szCs w:val="22"/>
          <w:lang w:val="lt-LT"/>
        </w:rPr>
        <w:t>p</w:t>
      </w:r>
      <w:r w:rsidRPr="000E1F7C">
        <w:rPr>
          <w:bCs/>
          <w:noProof w:val="0"/>
          <w:szCs w:val="22"/>
          <w:lang w:val="lt-LT"/>
        </w:rPr>
        <w:t>seudopodagr</w:t>
      </w:r>
      <w:r>
        <w:rPr>
          <w:bCs/>
          <w:noProof w:val="0"/>
          <w:szCs w:val="22"/>
          <w:lang w:val="lt-LT"/>
        </w:rPr>
        <w:t>os</w:t>
      </w:r>
      <w:r w:rsidRPr="000E1F7C">
        <w:rPr>
          <w:bCs/>
          <w:noProof w:val="0"/>
          <w:szCs w:val="22"/>
          <w:lang w:val="lt-LT"/>
        </w:rPr>
        <w:t xml:space="preserve"> (pirofosfatinė</w:t>
      </w:r>
      <w:r>
        <w:rPr>
          <w:bCs/>
          <w:noProof w:val="0"/>
          <w:szCs w:val="22"/>
          <w:lang w:val="lt-LT"/>
        </w:rPr>
        <w:t>s</w:t>
      </w:r>
      <w:r w:rsidRPr="000E1F7C">
        <w:rPr>
          <w:bCs/>
          <w:noProof w:val="0"/>
          <w:szCs w:val="22"/>
          <w:lang w:val="lt-LT"/>
        </w:rPr>
        <w:t xml:space="preserve"> chondrokalcinozė</w:t>
      </w:r>
      <w:r>
        <w:rPr>
          <w:bCs/>
          <w:noProof w:val="0"/>
          <w:szCs w:val="22"/>
          <w:lang w:val="lt-LT"/>
        </w:rPr>
        <w:t>s</w:t>
      </w:r>
      <w:r w:rsidRPr="000E1F7C">
        <w:rPr>
          <w:bCs/>
          <w:noProof w:val="0"/>
          <w:szCs w:val="22"/>
          <w:lang w:val="lt-LT"/>
        </w:rPr>
        <w:t>)</w:t>
      </w:r>
      <w:r>
        <w:rPr>
          <w:bCs/>
          <w:noProof w:val="0"/>
          <w:szCs w:val="22"/>
          <w:lang w:val="lt-LT"/>
        </w:rPr>
        <w:t xml:space="preserve"> </w:t>
      </w:r>
      <w:r w:rsidRPr="00361C46">
        <w:rPr>
          <w:bCs/>
          <w:noProof w:val="0"/>
          <w:szCs w:val="22"/>
          <w:lang w:val="lt-LT"/>
        </w:rPr>
        <w:t>atvejus vėžiu sergantiems pacientams, gydytiems Neupogen.</w:t>
      </w:r>
    </w:p>
    <w:p w14:paraId="7BF03385" w14:textId="77777777" w:rsidR="00033F69" w:rsidRDefault="00033F69" w:rsidP="00033F69">
      <w:pPr>
        <w:pStyle w:val="lbltxt"/>
        <w:rPr>
          <w:noProof w:val="0"/>
          <w:lang w:val="lt-LT"/>
        </w:rPr>
      </w:pPr>
    </w:p>
    <w:p w14:paraId="48F566E8" w14:textId="77777777" w:rsidR="00033F69" w:rsidRPr="000E1F7C" w:rsidRDefault="00033F69" w:rsidP="00033F69">
      <w:pPr>
        <w:pStyle w:val="lbltxt"/>
        <w:tabs>
          <w:tab w:val="left" w:pos="567"/>
        </w:tabs>
        <w:rPr>
          <w:i/>
          <w:noProof w:val="0"/>
          <w:lang w:val="lt-LT"/>
        </w:rPr>
      </w:pPr>
      <w:r w:rsidRPr="000E1F7C">
        <w:rPr>
          <w:i/>
          <w:noProof w:val="0"/>
          <w:lang w:val="lt-LT"/>
        </w:rPr>
        <w:t>Transplantato</w:t>
      </w:r>
      <w:r>
        <w:rPr>
          <w:i/>
          <w:noProof w:val="0"/>
          <w:lang w:val="lt-LT"/>
        </w:rPr>
        <w:t xml:space="preserve"> </w:t>
      </w:r>
      <w:r w:rsidRPr="000E1F7C">
        <w:rPr>
          <w:i/>
          <w:noProof w:val="0"/>
          <w:lang w:val="lt-LT"/>
        </w:rPr>
        <w:t xml:space="preserve">prieš šeimininką liga </w:t>
      </w:r>
    </w:p>
    <w:p w14:paraId="0979BA36" w14:textId="77777777" w:rsidR="00033F69" w:rsidRDefault="00033F69" w:rsidP="00033F69">
      <w:pPr>
        <w:pStyle w:val="lbltxt"/>
        <w:tabs>
          <w:tab w:val="left" w:pos="567"/>
        </w:tabs>
        <w:rPr>
          <w:noProof w:val="0"/>
          <w:szCs w:val="22"/>
          <w:lang w:val="lt-LT"/>
        </w:rPr>
      </w:pPr>
    </w:p>
    <w:p w14:paraId="1DE95A9F" w14:textId="77777777" w:rsidR="00033F69" w:rsidRPr="00361C46" w:rsidRDefault="00033F69" w:rsidP="00033F69">
      <w:pPr>
        <w:pStyle w:val="lbltxt"/>
        <w:tabs>
          <w:tab w:val="left" w:pos="567"/>
        </w:tabs>
        <w:rPr>
          <w:noProof w:val="0"/>
          <w:szCs w:val="22"/>
          <w:lang w:val="lt-LT"/>
        </w:rPr>
      </w:pPr>
      <w:r w:rsidRPr="00361C46">
        <w:rPr>
          <w:noProof w:val="0"/>
          <w:lang w:val="lt-LT"/>
        </w:rPr>
        <w:t>G-KSF vartojusiems pacientams po alogeninės kaulų čiulpų transplantacijos registruota transplantato prieš šeimininką ligos ir mirties atvejų (žr. 4.4 ir 5.1 skyri</w:t>
      </w:r>
      <w:r>
        <w:rPr>
          <w:noProof w:val="0"/>
          <w:lang w:val="lt-LT"/>
        </w:rPr>
        <w:t>us</w:t>
      </w:r>
      <w:r w:rsidRPr="00361C46">
        <w:rPr>
          <w:noProof w:val="0"/>
          <w:lang w:val="lt-LT"/>
        </w:rPr>
        <w:t>).</w:t>
      </w:r>
    </w:p>
    <w:p w14:paraId="1C4657A9" w14:textId="77777777" w:rsidR="00033F69" w:rsidRPr="00361C46" w:rsidRDefault="00033F69" w:rsidP="00033F69">
      <w:pPr>
        <w:pStyle w:val="lbltxt"/>
        <w:tabs>
          <w:tab w:val="left" w:pos="567"/>
        </w:tabs>
        <w:rPr>
          <w:noProof w:val="0"/>
          <w:szCs w:val="22"/>
          <w:lang w:val="lt-LT"/>
        </w:rPr>
      </w:pPr>
    </w:p>
    <w:p w14:paraId="519DB653" w14:textId="77777777" w:rsidR="00033F69" w:rsidRPr="00361C46" w:rsidRDefault="00033F69" w:rsidP="00770D60">
      <w:pPr>
        <w:pStyle w:val="lbltxt"/>
        <w:numPr>
          <w:ilvl w:val="0"/>
          <w:numId w:val="23"/>
        </w:numPr>
        <w:ind w:left="567" w:hanging="567"/>
        <w:rPr>
          <w:noProof w:val="0"/>
          <w:u w:val="single"/>
          <w:lang w:val="lt-LT"/>
        </w:rPr>
      </w:pPr>
      <w:r w:rsidRPr="00361C46">
        <w:rPr>
          <w:noProof w:val="0"/>
          <w:u w:val="single"/>
          <w:lang w:val="lt-LT"/>
        </w:rPr>
        <w:lastRenderedPageBreak/>
        <w:t>Vaikų populiacija</w:t>
      </w:r>
    </w:p>
    <w:p w14:paraId="2A687661" w14:textId="77777777" w:rsidR="00033F69" w:rsidRPr="00361C46" w:rsidRDefault="00033F69" w:rsidP="00033F69">
      <w:pPr>
        <w:pStyle w:val="lbltxt"/>
        <w:rPr>
          <w:noProof w:val="0"/>
          <w:u w:val="single"/>
          <w:lang w:val="lt-LT"/>
        </w:rPr>
      </w:pPr>
    </w:p>
    <w:p w14:paraId="0492341E" w14:textId="77777777" w:rsidR="00033F69" w:rsidRPr="00361C46" w:rsidRDefault="00033F69" w:rsidP="00033F69">
      <w:pPr>
        <w:pStyle w:val="lbltxt"/>
        <w:rPr>
          <w:noProof w:val="0"/>
          <w:lang w:val="lt-LT"/>
        </w:rPr>
      </w:pPr>
      <w:r w:rsidRPr="00361C46">
        <w:rPr>
          <w:noProof w:val="0"/>
          <w:lang w:val="lt-LT"/>
        </w:rPr>
        <w:t xml:space="preserve">Klinikinių tyrimų su vaikais duomenys rodo, kad Neupogen saugumas ir veiksmingumas suaugusiesiems ir vaikams, gaunantiems citotoksinę chemoterapiją, yra </w:t>
      </w:r>
      <w:r>
        <w:rPr>
          <w:noProof w:val="0"/>
          <w:lang w:val="lt-LT"/>
        </w:rPr>
        <w:t>panašus</w:t>
      </w:r>
      <w:r w:rsidRPr="00361C46">
        <w:rPr>
          <w:noProof w:val="0"/>
          <w:lang w:val="lt-LT"/>
        </w:rPr>
        <w:t xml:space="preserve"> ir filgrastimo farmakokinetika nesiskiria priklausomai nuo amžiaus. Vienintelis pastoviai stebimas nepageidaujamas reiškinys buvo raumenų ir kaulų skausmas, kuris nesiskyrė nuo suaugusių populiacijoje stebėto skausmo.</w:t>
      </w:r>
    </w:p>
    <w:p w14:paraId="77E6244F" w14:textId="77777777" w:rsidR="00033F69" w:rsidRPr="00361C46" w:rsidRDefault="00033F69" w:rsidP="00033F69">
      <w:pPr>
        <w:pStyle w:val="lbltxt"/>
        <w:rPr>
          <w:noProof w:val="0"/>
          <w:lang w:val="lt-LT"/>
        </w:rPr>
      </w:pPr>
    </w:p>
    <w:p w14:paraId="530BDA7E" w14:textId="77777777" w:rsidR="00033F69" w:rsidRPr="00361C46" w:rsidRDefault="00033F69" w:rsidP="00033F69">
      <w:pPr>
        <w:pStyle w:val="lbltxt"/>
        <w:rPr>
          <w:noProof w:val="0"/>
          <w:lang w:val="lt-LT"/>
        </w:rPr>
      </w:pPr>
      <w:r w:rsidRPr="00361C46">
        <w:rPr>
          <w:noProof w:val="0"/>
          <w:lang w:val="lt-LT"/>
        </w:rPr>
        <w:t>Nėra pakankamai duomenų, kad būtų galima nuodugniau įvertinti Neupogeno vartojimą vaikų populiacijoje.</w:t>
      </w:r>
    </w:p>
    <w:p w14:paraId="08C9EDEA" w14:textId="77777777" w:rsidR="00033F69" w:rsidRPr="00361C46" w:rsidRDefault="00033F69" w:rsidP="00033F69">
      <w:pPr>
        <w:pStyle w:val="lbltxt"/>
        <w:rPr>
          <w:noProof w:val="0"/>
          <w:u w:val="single"/>
          <w:lang w:val="lt-LT"/>
        </w:rPr>
      </w:pPr>
    </w:p>
    <w:p w14:paraId="45B8F131" w14:textId="77777777" w:rsidR="00033F69" w:rsidRPr="00361C46" w:rsidRDefault="00033F69" w:rsidP="00770D60">
      <w:pPr>
        <w:pStyle w:val="lbltxt"/>
        <w:keepNext/>
        <w:tabs>
          <w:tab w:val="left" w:pos="567"/>
        </w:tabs>
        <w:ind w:left="567" w:hanging="567"/>
        <w:rPr>
          <w:noProof w:val="0"/>
          <w:szCs w:val="22"/>
          <w:u w:val="single"/>
          <w:lang w:val="lt-LT"/>
        </w:rPr>
      </w:pPr>
      <w:r w:rsidRPr="00361C46">
        <w:rPr>
          <w:bCs/>
          <w:iCs/>
          <w:noProof w:val="0"/>
          <w:szCs w:val="22"/>
          <w:lang w:val="lt-LT" w:eastAsia="en-GB"/>
        </w:rPr>
        <w:t>e.</w:t>
      </w:r>
      <w:r w:rsidRPr="00361C46">
        <w:rPr>
          <w:bCs/>
          <w:iCs/>
          <w:noProof w:val="0"/>
          <w:szCs w:val="22"/>
          <w:lang w:val="lt-LT" w:eastAsia="en-GB"/>
        </w:rPr>
        <w:tab/>
      </w:r>
      <w:r w:rsidRPr="00361C46">
        <w:rPr>
          <w:bCs/>
          <w:iCs/>
          <w:noProof w:val="0"/>
          <w:szCs w:val="22"/>
          <w:u w:val="single"/>
          <w:lang w:val="lt-LT" w:eastAsia="en-GB"/>
        </w:rPr>
        <w:t>Kitos ypatingos populiacijos</w:t>
      </w:r>
    </w:p>
    <w:p w14:paraId="6309ADB4" w14:textId="77777777" w:rsidR="00033F69" w:rsidRPr="00361C46" w:rsidRDefault="00033F69" w:rsidP="00033F69">
      <w:pPr>
        <w:pStyle w:val="lbltxt"/>
        <w:keepNext/>
        <w:rPr>
          <w:noProof w:val="0"/>
          <w:u w:val="single"/>
          <w:lang w:val="lt-LT"/>
        </w:rPr>
      </w:pPr>
    </w:p>
    <w:p w14:paraId="0559C87B" w14:textId="77777777" w:rsidR="00033F69" w:rsidRPr="00361C46" w:rsidRDefault="00033F69" w:rsidP="00033F69">
      <w:pPr>
        <w:pStyle w:val="lbltxt"/>
        <w:keepNext/>
        <w:rPr>
          <w:i/>
          <w:noProof w:val="0"/>
          <w:lang w:val="lt-LT"/>
        </w:rPr>
      </w:pPr>
      <w:r w:rsidRPr="00361C46">
        <w:rPr>
          <w:i/>
          <w:noProof w:val="0"/>
          <w:lang w:val="lt-LT"/>
        </w:rPr>
        <w:t>Vartojimas senyviems pacientams</w:t>
      </w:r>
    </w:p>
    <w:p w14:paraId="606CD459" w14:textId="77777777" w:rsidR="00033F69" w:rsidRPr="00361C46" w:rsidRDefault="00033F69" w:rsidP="00033F69">
      <w:pPr>
        <w:pStyle w:val="lbltxt"/>
        <w:keepNext/>
        <w:rPr>
          <w:noProof w:val="0"/>
          <w:lang w:val="lt-LT"/>
        </w:rPr>
      </w:pPr>
    </w:p>
    <w:p w14:paraId="4A1B46FA" w14:textId="77777777" w:rsidR="00033F69" w:rsidRPr="00361C46" w:rsidRDefault="00033F69" w:rsidP="00033F69">
      <w:pPr>
        <w:pStyle w:val="lbltxt"/>
        <w:keepNext/>
        <w:rPr>
          <w:noProof w:val="0"/>
          <w:lang w:val="lt-LT"/>
        </w:rPr>
      </w:pPr>
      <w:r w:rsidRPr="00361C46">
        <w:rPr>
          <w:noProof w:val="0"/>
          <w:lang w:val="lt-LT"/>
        </w:rPr>
        <w:t>Bendrai nepastebėta kokio nors saugumo ar veiksmingumo skirtumo tarp tiriamųjų, vyresnių kaip 65</w:t>
      </w:r>
      <w:r w:rsidR="00985E54">
        <w:rPr>
          <w:noProof w:val="0"/>
          <w:lang w:val="lt-LT"/>
        </w:rPr>
        <w:t> </w:t>
      </w:r>
      <w:r w:rsidRPr="00361C46">
        <w:rPr>
          <w:noProof w:val="0"/>
          <w:lang w:val="lt-LT"/>
        </w:rPr>
        <w:t>metų amžiaus, ir jaunesnių suaugusiųjų (&gt;</w:t>
      </w:r>
      <w:r w:rsidR="00B321A5">
        <w:rPr>
          <w:noProof w:val="0"/>
          <w:lang w:val="lt-LT"/>
        </w:rPr>
        <w:t> </w:t>
      </w:r>
      <w:r w:rsidRPr="00361C46">
        <w:rPr>
          <w:noProof w:val="0"/>
          <w:lang w:val="lt-LT"/>
        </w:rPr>
        <w:t>18</w:t>
      </w:r>
      <w:r w:rsidR="00985E54">
        <w:rPr>
          <w:noProof w:val="0"/>
          <w:lang w:val="lt-LT"/>
        </w:rPr>
        <w:t> </w:t>
      </w:r>
      <w:r w:rsidRPr="00361C46">
        <w:rPr>
          <w:noProof w:val="0"/>
          <w:lang w:val="lt-LT"/>
        </w:rPr>
        <w:t xml:space="preserve">metų amžiaus), kuriems skiriama citotoksinė chemoterapija. Klinikinė patirtis nerodo, kad jaunesni ir vyresni suaugę pacientai skirtingai reaguotų į gydymą. Nėra pakankamai duomenų, kad būtų galima įvertinti Neupogen vartojimą </w:t>
      </w:r>
      <w:r>
        <w:rPr>
          <w:noProof w:val="0"/>
          <w:lang w:val="lt-LT"/>
        </w:rPr>
        <w:t>senyviems</w:t>
      </w:r>
      <w:r w:rsidRPr="00361C46">
        <w:rPr>
          <w:noProof w:val="0"/>
          <w:lang w:val="lt-LT"/>
        </w:rPr>
        <w:t xml:space="preserve"> asmenims kitomis Neupogen patvirtintomis indikacijomis.</w:t>
      </w:r>
    </w:p>
    <w:p w14:paraId="137ECD33" w14:textId="77777777" w:rsidR="00033F69" w:rsidRPr="00361C46" w:rsidRDefault="00033F69" w:rsidP="00033F69"/>
    <w:p w14:paraId="0292D1FB" w14:textId="77777777" w:rsidR="00033F69" w:rsidRPr="00361C46" w:rsidRDefault="00033F69" w:rsidP="00033F69">
      <w:pPr>
        <w:pStyle w:val="Default"/>
        <w:rPr>
          <w:i/>
          <w:sz w:val="22"/>
          <w:szCs w:val="22"/>
          <w:lang w:val="lt-LT"/>
        </w:rPr>
      </w:pPr>
      <w:r w:rsidRPr="00361C46">
        <w:rPr>
          <w:i/>
          <w:sz w:val="22"/>
          <w:szCs w:val="22"/>
          <w:lang w:val="lt-LT"/>
        </w:rPr>
        <w:t>Sunkia lėtine neutropenija sergantys vaikai</w:t>
      </w:r>
    </w:p>
    <w:p w14:paraId="558E435A" w14:textId="77777777" w:rsidR="00033F69" w:rsidRPr="00361C46" w:rsidRDefault="00033F69" w:rsidP="00033F69">
      <w:pPr>
        <w:pStyle w:val="Default"/>
        <w:rPr>
          <w:sz w:val="22"/>
          <w:szCs w:val="22"/>
          <w:u w:val="single"/>
          <w:lang w:val="lt-LT"/>
        </w:rPr>
      </w:pPr>
    </w:p>
    <w:p w14:paraId="4DBAC43D" w14:textId="77777777" w:rsidR="00033F69" w:rsidRPr="00361C46" w:rsidRDefault="00033F69" w:rsidP="00033F69">
      <w:pPr>
        <w:pStyle w:val="Default"/>
        <w:rPr>
          <w:sz w:val="22"/>
          <w:szCs w:val="22"/>
          <w:lang w:val="lt-LT"/>
        </w:rPr>
      </w:pPr>
      <w:r>
        <w:rPr>
          <w:sz w:val="22"/>
          <w:szCs w:val="22"/>
          <w:lang w:val="lt-LT"/>
        </w:rPr>
        <w:t>Buvo</w:t>
      </w:r>
      <w:r w:rsidRPr="00361C46">
        <w:rPr>
          <w:sz w:val="22"/>
          <w:szCs w:val="22"/>
          <w:lang w:val="lt-LT"/>
        </w:rPr>
        <w:t xml:space="preserve"> kaulų tankio sumažėjim</w:t>
      </w:r>
      <w:r>
        <w:rPr>
          <w:sz w:val="22"/>
          <w:szCs w:val="22"/>
          <w:lang w:val="lt-LT"/>
        </w:rPr>
        <w:t>o</w:t>
      </w:r>
      <w:r w:rsidRPr="00361C46">
        <w:rPr>
          <w:sz w:val="22"/>
          <w:szCs w:val="22"/>
          <w:lang w:val="lt-LT"/>
        </w:rPr>
        <w:t xml:space="preserve"> ir osteoporoz</w:t>
      </w:r>
      <w:r>
        <w:rPr>
          <w:sz w:val="22"/>
          <w:szCs w:val="22"/>
          <w:lang w:val="lt-LT"/>
        </w:rPr>
        <w:t xml:space="preserve">ės atvejų </w:t>
      </w:r>
      <w:r w:rsidRPr="00361C46">
        <w:rPr>
          <w:sz w:val="22"/>
          <w:szCs w:val="22"/>
          <w:lang w:val="lt-LT"/>
        </w:rPr>
        <w:t>sunkia lėtine neutropenija sergantiems vaikams, ilgą laiką gydomiems Neupogen.</w:t>
      </w:r>
    </w:p>
    <w:p w14:paraId="11074243" w14:textId="77777777" w:rsidR="00033F69" w:rsidRPr="00361C46" w:rsidRDefault="00033F69" w:rsidP="00033F69"/>
    <w:p w14:paraId="5E85BF9B" w14:textId="77777777" w:rsidR="00033F69" w:rsidRPr="00361C46" w:rsidRDefault="00033F69" w:rsidP="007240E0">
      <w:pPr>
        <w:autoSpaceDE w:val="0"/>
        <w:autoSpaceDN w:val="0"/>
        <w:adjustRightInd w:val="0"/>
        <w:rPr>
          <w:u w:val="single"/>
        </w:rPr>
      </w:pPr>
      <w:r w:rsidRPr="00361C46">
        <w:rPr>
          <w:u w:val="single"/>
        </w:rPr>
        <w:t>Pranešimas apie įtariamas nepageidaujamas reakcijas</w:t>
      </w:r>
    </w:p>
    <w:p w14:paraId="4C149126" w14:textId="77777777" w:rsidR="00033F69" w:rsidRPr="00361C46" w:rsidRDefault="00033F69" w:rsidP="00033F69">
      <w:pPr>
        <w:autoSpaceDE w:val="0"/>
        <w:autoSpaceDN w:val="0"/>
        <w:adjustRightInd w:val="0"/>
        <w:jc w:val="both"/>
        <w:rPr>
          <w:u w:val="single"/>
        </w:rPr>
      </w:pPr>
    </w:p>
    <w:p w14:paraId="4C11319A" w14:textId="2A415E1F" w:rsidR="00033F69" w:rsidRPr="00361C46" w:rsidRDefault="00033F69" w:rsidP="00033F69">
      <w:pPr>
        <w:autoSpaceDE w:val="0"/>
        <w:autoSpaceDN w:val="0"/>
        <w:adjustRightInd w:val="0"/>
        <w:rPr>
          <w:snapToGrid w:val="0"/>
          <w:szCs w:val="24"/>
          <w:lang w:eastAsia="en-US"/>
        </w:rPr>
      </w:pPr>
      <w:r w:rsidRPr="00361C46">
        <w:t>Svarbu pranešti apie įtariamas nepageidaujamas reakcijas</w:t>
      </w:r>
      <w:r w:rsidR="001546DD">
        <w:t>,</w:t>
      </w:r>
      <w:r w:rsidRPr="00361C46">
        <w:t xml:space="preserve"> </w:t>
      </w:r>
      <w:r w:rsidR="008547DE">
        <w:t>pastebėtas</w:t>
      </w:r>
      <w:r w:rsidRPr="00361C46">
        <w:t xml:space="preserve"> po vaistinio preparato</w:t>
      </w:r>
      <w:r w:rsidR="0093072A">
        <w:t xml:space="preserve"> registracijos</w:t>
      </w:r>
      <w:r w:rsidRPr="00361C46">
        <w:t xml:space="preserve">, nes tai leidžia nuolat stebėti vaistinio preparato naudos ir rizikos santykį. </w:t>
      </w:r>
      <w:r w:rsidRPr="00361C46">
        <w:rPr>
          <w:snapToGrid w:val="0"/>
          <w:szCs w:val="24"/>
          <w:lang w:eastAsia="en-US"/>
        </w:rPr>
        <w:t xml:space="preserve">Sveikatos priežiūros specialistai turi pranešti apie bet kokias įtariamas nepageidaujamas reakcijas, užpildę interneto svetainėje </w:t>
      </w:r>
      <w:hyperlink r:id="rId13" w:history="1">
        <w:r w:rsidRPr="00361C46">
          <w:rPr>
            <w:rFonts w:eastAsia="SimSun"/>
            <w:snapToGrid w:val="0"/>
            <w:color w:val="0000FF"/>
            <w:szCs w:val="24"/>
            <w:u w:val="single"/>
            <w:lang w:eastAsia="en-US"/>
          </w:rPr>
          <w:t>www.vvkt.lt</w:t>
        </w:r>
      </w:hyperlink>
      <w:r w:rsidRPr="00361C46">
        <w:rPr>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Pr="00361C46">
          <w:rPr>
            <w:rFonts w:eastAsia="SimSun"/>
            <w:snapToGrid w:val="0"/>
            <w:color w:val="0000FF"/>
            <w:szCs w:val="24"/>
            <w:u w:val="single"/>
            <w:lang w:eastAsia="en-US"/>
          </w:rPr>
          <w:t>NepageidaujamaR@vvkt.lt</w:t>
        </w:r>
      </w:hyperlink>
      <w:r w:rsidRPr="00361C46">
        <w:rPr>
          <w:snapToGrid w:val="0"/>
          <w:szCs w:val="24"/>
          <w:lang w:eastAsia="en-US"/>
        </w:rPr>
        <w:t xml:space="preserve">), per interneto svetainę (adresu </w:t>
      </w:r>
      <w:hyperlink r:id="rId15" w:history="1">
        <w:r w:rsidRPr="00361C46">
          <w:rPr>
            <w:rStyle w:val="Hipersaitas"/>
            <w:snapToGrid w:val="0"/>
            <w:szCs w:val="24"/>
            <w:lang w:eastAsia="en-US"/>
          </w:rPr>
          <w:t>http://www.vvkt.lt</w:t>
        </w:r>
      </w:hyperlink>
      <w:r w:rsidRPr="00361C46">
        <w:rPr>
          <w:snapToGrid w:val="0"/>
          <w:szCs w:val="24"/>
          <w:lang w:eastAsia="en-US"/>
        </w:rPr>
        <w:t>).</w:t>
      </w:r>
    </w:p>
    <w:p w14:paraId="4AA8AFC5" w14:textId="77777777" w:rsidR="00033F69" w:rsidRPr="00361C46" w:rsidRDefault="00033F69" w:rsidP="00033F69">
      <w:pPr>
        <w:autoSpaceDE w:val="0"/>
        <w:autoSpaceDN w:val="0"/>
        <w:adjustRightInd w:val="0"/>
      </w:pPr>
    </w:p>
    <w:p w14:paraId="446BF5B4" w14:textId="77777777" w:rsidR="00033F69" w:rsidRPr="00361C46" w:rsidRDefault="00033F69" w:rsidP="00722524">
      <w:pPr>
        <w:pStyle w:val="Antrat2"/>
        <w:tabs>
          <w:tab w:val="left" w:pos="567"/>
        </w:tabs>
        <w:rPr>
          <w:rFonts w:ascii="Times New Roman" w:hAnsi="Times New Roman"/>
        </w:rPr>
      </w:pPr>
      <w:r w:rsidRPr="00361C46">
        <w:rPr>
          <w:rFonts w:ascii="Times New Roman" w:hAnsi="Times New Roman"/>
        </w:rPr>
        <w:t>4.9</w:t>
      </w:r>
      <w:r w:rsidRPr="00361C46">
        <w:rPr>
          <w:rFonts w:ascii="Times New Roman" w:hAnsi="Times New Roman"/>
        </w:rPr>
        <w:tab/>
        <w:t xml:space="preserve">Perdozavimas </w:t>
      </w:r>
    </w:p>
    <w:p w14:paraId="7CBDCBC2" w14:textId="77777777" w:rsidR="00033F69" w:rsidRPr="00361C46" w:rsidRDefault="00033F69" w:rsidP="00033F69"/>
    <w:p w14:paraId="183EDBB9" w14:textId="77777777" w:rsidR="00033F69" w:rsidRPr="00361C46" w:rsidRDefault="00033F69" w:rsidP="00033F69">
      <w:r w:rsidRPr="00361C46">
        <w:t xml:space="preserve">Neupogen perdozavimo poveikis nenustatytas. Nutraukus gydymą juo, per vieną – dvi dienas cirkuliuojančių neutrofilų skaičius </w:t>
      </w:r>
      <w:r>
        <w:t xml:space="preserve">paprastai </w:t>
      </w:r>
      <w:r w:rsidRPr="00361C46">
        <w:t>sumažėja 50%, o per 1</w:t>
      </w:r>
      <w:r w:rsidRPr="00361C46">
        <w:noBreakHyphen/>
        <w:t>7 dienas vėl tampa normalus.</w:t>
      </w:r>
    </w:p>
    <w:p w14:paraId="3E8000A1" w14:textId="77777777" w:rsidR="00033F69" w:rsidRPr="00361C46" w:rsidRDefault="00033F69" w:rsidP="00033F69"/>
    <w:p w14:paraId="4FA4F1B6" w14:textId="77777777" w:rsidR="00033F69" w:rsidRPr="00361C46" w:rsidRDefault="00033F69" w:rsidP="00033F69"/>
    <w:p w14:paraId="05D9A910" w14:textId="77777777" w:rsidR="00033F69" w:rsidRPr="007240E0" w:rsidRDefault="00033F69" w:rsidP="00033F69">
      <w:pPr>
        <w:pStyle w:val="Antrat1"/>
        <w:rPr>
          <w:sz w:val="22"/>
          <w:szCs w:val="22"/>
        </w:rPr>
      </w:pPr>
      <w:r w:rsidRPr="007240E0">
        <w:rPr>
          <w:sz w:val="22"/>
          <w:szCs w:val="22"/>
        </w:rPr>
        <w:t>5.</w:t>
      </w:r>
      <w:r w:rsidRPr="007240E0">
        <w:rPr>
          <w:sz w:val="22"/>
          <w:szCs w:val="22"/>
        </w:rPr>
        <w:tab/>
        <w:t>FARMAKOLOGINĖS SAVYBĖS</w:t>
      </w:r>
    </w:p>
    <w:p w14:paraId="0A378B68" w14:textId="77777777" w:rsidR="00033F69" w:rsidRPr="00361C46" w:rsidRDefault="00033F69" w:rsidP="00033F69"/>
    <w:p w14:paraId="0FEBB7ED" w14:textId="77777777" w:rsidR="00033F69" w:rsidRPr="00361C46" w:rsidRDefault="00033F69" w:rsidP="00033F69">
      <w:pPr>
        <w:pStyle w:val="Antrat2"/>
        <w:rPr>
          <w:rFonts w:ascii="Times New Roman" w:hAnsi="Times New Roman"/>
        </w:rPr>
      </w:pPr>
      <w:r w:rsidRPr="00361C46">
        <w:rPr>
          <w:rFonts w:ascii="Times New Roman" w:hAnsi="Times New Roman"/>
        </w:rPr>
        <w:t>5.1</w:t>
      </w:r>
      <w:r w:rsidRPr="00361C46">
        <w:rPr>
          <w:rFonts w:ascii="Times New Roman" w:hAnsi="Times New Roman"/>
        </w:rPr>
        <w:tab/>
        <w:t>Farmakodinaminės savybės</w:t>
      </w:r>
    </w:p>
    <w:p w14:paraId="60FBB9D7" w14:textId="77777777" w:rsidR="00033F69" w:rsidRPr="00361C46" w:rsidRDefault="00033F69" w:rsidP="00033F69"/>
    <w:p w14:paraId="34155688" w14:textId="77777777" w:rsidR="00033F69" w:rsidRPr="00361C46" w:rsidRDefault="00033F69" w:rsidP="00033F69">
      <w:r w:rsidRPr="00361C46">
        <w:t>Farmakoterapinė grupė – citokinai, ATC kodas – L03AA02</w:t>
      </w:r>
      <w:r w:rsidR="00923B3F">
        <w:t>.</w:t>
      </w:r>
    </w:p>
    <w:p w14:paraId="31A568B0" w14:textId="77777777" w:rsidR="00033F69" w:rsidRPr="00361C46" w:rsidRDefault="00033F69" w:rsidP="00033F69"/>
    <w:p w14:paraId="31ADF424" w14:textId="77777777" w:rsidR="00033F69" w:rsidRPr="00361C46" w:rsidRDefault="00033F69" w:rsidP="00033F69">
      <w:r w:rsidRPr="00361C46">
        <w:t>Žmogaus granulocitų kolonijas stimuliuojantis faktorius yra glikoproteinas, reguliuojantis neutrofilų gamybą ir subrendusių neutrofilų išsiskyrimą iš kaulų čiulpų. Neupogen, kuriame yra rekombinantinio metionilinto žmogaus G</w:t>
      </w:r>
      <w:r w:rsidRPr="00361C46">
        <w:noBreakHyphen/>
        <w:t>KSF (filgrastimo), per 24 valandas ypač padidina neutrofilų skaičių ir nežymiai padidina monocitų skaičių. Kai kuriems ligoniams, sergantiems sunkia lėtine neutropenija, Neupogen gali nežymiai padidinti kraujyje cirkuliuojančių eozinofilų ir bazofilų skaičių, lyginant su pradiniu</w:t>
      </w:r>
      <w:r w:rsidRPr="00361C46">
        <w:sym w:font="Symbol" w:char="F03B"/>
      </w:r>
      <w:r w:rsidRPr="00361C46">
        <w:t xml:space="preserve"> kai kuriems šių ligonių eozinofilija arba bazofilija galėjo būti jau prieš gydymą. Neutrofilų skaičiaus padidėjimas</w:t>
      </w:r>
      <w:r>
        <w:t>, vartojant rekomenduojamas dozes,</w:t>
      </w:r>
      <w:r w:rsidRPr="00361C46">
        <w:t xml:space="preserve"> priklauso nuo dozės. Dėl filgrastimo žmogaus organizme atsiradę nauji neutrofilai pasižymi normaliu </w:t>
      </w:r>
      <w:r>
        <w:t xml:space="preserve">normalia arba sustiprėjusia funkcija, </w:t>
      </w:r>
      <w:r>
        <w:lastRenderedPageBreak/>
        <w:t xml:space="preserve">tai įrodyta </w:t>
      </w:r>
      <w:r w:rsidRPr="00361C46">
        <w:t>chemotaksi</w:t>
      </w:r>
      <w:r>
        <w:t>o</w:t>
      </w:r>
      <w:r w:rsidRPr="00361C46">
        <w:t xml:space="preserve"> ir fagocitini</w:t>
      </w:r>
      <w:r>
        <w:t>o</w:t>
      </w:r>
      <w:r w:rsidRPr="00361C46">
        <w:t xml:space="preserve"> aktyvum</w:t>
      </w:r>
      <w:r>
        <w:t>o tyrimais</w:t>
      </w:r>
      <w:r w:rsidRPr="00361C46">
        <w:t>. Užbaigus gydymo filgrastimu kursą, po 1</w:t>
      </w:r>
      <w:r w:rsidRPr="00361C46">
        <w:noBreakHyphen/>
        <w:t>2 dienų neutrofilų skaičius periferiniame kraujyje sumažėja 50% ir tampa normalus per 1</w:t>
      </w:r>
      <w:r w:rsidRPr="00361C46">
        <w:noBreakHyphen/>
        <w:t>7 dienas.</w:t>
      </w:r>
    </w:p>
    <w:p w14:paraId="797BD880" w14:textId="77777777" w:rsidR="00033F69" w:rsidRPr="00361C46" w:rsidRDefault="00033F69" w:rsidP="00033F69"/>
    <w:p w14:paraId="1F2D9506" w14:textId="77777777" w:rsidR="00033F69" w:rsidRPr="00361C46" w:rsidRDefault="00033F69" w:rsidP="00033F69">
      <w:r w:rsidRPr="00361C46">
        <w:t xml:space="preserve">Filgrastimo vartojimas pacientams po citotoksinės chemoterapijos žymiai sumažina neutropenijos ir febrilinės neutropenijos dažnį, sunkumą ir trukmę. Gydymas filgrastimu gerokai sumažina febrilinės neutropenijos, antibiotikų vartojimo ir hospitalizacijos trukmę po indukcinės chemoterapijos, gydant ūminę mielogeninę leukemiją bei po mieloabliacinės terapijos ir kaulų čiulpų transplantacijos. Karščiavimo ir patvirtintų infekcijų dažnis nesumažėjo nė vienoje iš šių situacijų. Karščiavimo trukmė nesumažėjo pacientams, kuriems buvo taikomas mieloabliacinis gydymas ir </w:t>
      </w:r>
      <w:r>
        <w:t xml:space="preserve">po to </w:t>
      </w:r>
      <w:r w:rsidRPr="00361C46">
        <w:t xml:space="preserve">kaulų čiulpų transplantacija. </w:t>
      </w:r>
    </w:p>
    <w:p w14:paraId="32BAB7A9" w14:textId="77777777" w:rsidR="00033F69" w:rsidRPr="00361C46" w:rsidRDefault="00033F69" w:rsidP="00033F69"/>
    <w:p w14:paraId="402495E0" w14:textId="77777777" w:rsidR="00033F69" w:rsidRPr="00361C46" w:rsidRDefault="00033F69" w:rsidP="00033F69">
      <w:r w:rsidRPr="00361C46">
        <w:t xml:space="preserve">Vartojant filgrastimą arba vieną, arba po chemoterapinio gydymo, hematopoetinės kamieninės ląstelės mobilizuojamos į periferinę kraujotaką. Šios autologinės periferinio kraujo kamieninės ląstelės (PKKL) gali būti surenkamos ir sušvirkščiamos po gydymo didelėmis citotoksinių vaistinių preparatų dozėmis arba vietoj kaulų čiulpų transplantacijos, arba papildomai kartu su kaulų čiulpų transplantacija. PKKL </w:t>
      </w:r>
      <w:r>
        <w:t xml:space="preserve">infuzija </w:t>
      </w:r>
      <w:r w:rsidRPr="00361C46">
        <w:t>skatina hemopoezės atsistatymą, sumažina hemoraginių komplikacijų rizik</w:t>
      </w:r>
      <w:r>
        <w:t>os trukmę</w:t>
      </w:r>
      <w:r w:rsidRPr="00361C46">
        <w:t xml:space="preserve"> bei trombocitų transfuzijos poreikį.</w:t>
      </w:r>
    </w:p>
    <w:p w14:paraId="56969727" w14:textId="77777777" w:rsidR="00033F69" w:rsidRPr="00361C46" w:rsidRDefault="00033F69" w:rsidP="00033F69"/>
    <w:p w14:paraId="6A3198C5" w14:textId="77777777" w:rsidR="00033F69" w:rsidRPr="00361C46" w:rsidRDefault="00033F69" w:rsidP="00033F69">
      <w:r w:rsidRPr="00361C46">
        <w:t>Mobilizuotų Neupogen alogeninių periferinio kraujo kamieninių ląstelių recipientams hematologiniai rodikliai atsistato žymiai greičiau, ir žymiai greičiau, lyginant su alogenine kaulų čiulpų transplantacija, pasiekiamas normalus trombocitų skaičius, kurio nebereikia palaikyti.</w:t>
      </w:r>
    </w:p>
    <w:p w14:paraId="0BBEA319" w14:textId="77777777" w:rsidR="00033F69" w:rsidRPr="00361C46" w:rsidRDefault="00033F69" w:rsidP="00033F69">
      <w:pPr>
        <w:tabs>
          <w:tab w:val="left" w:pos="567"/>
        </w:tabs>
      </w:pPr>
    </w:p>
    <w:p w14:paraId="2B83AE48" w14:textId="77777777" w:rsidR="00033F69" w:rsidRPr="00361C46" w:rsidDel="007B2ED6" w:rsidRDefault="00033F69" w:rsidP="00033F69">
      <w:r w:rsidRPr="00361C46">
        <w:t xml:space="preserve">Vieno retrospektyvinio Europos tyrimo, kurio metu buvo vertinamas G-KSF vartojimas ūmine leukemija sergantiems pacientams po alogeninės kaulų čiulpų transplantacijos, duomenys parodė padidėjusią transplantato prieš šeimininką ligos (TpŠL) riziką, padidėjusį su gydymu susijusį mirtingumą (GSM) ir padidėjusį mirtingumą, kai buvo vartojama G-KSF. Atskiro retrospektyvinio Tarptautinio tyrimo metu, kuriame dalyvavo ūmine ir lėtine mieloidine leukemija sergantys pacientai, nestebėta jokio poveikio </w:t>
      </w:r>
      <w:r w:rsidRPr="00361C46">
        <w:rPr>
          <w:lang w:eastAsia="en-GB"/>
        </w:rPr>
        <w:t>TpŠL rizikai</w:t>
      </w:r>
      <w:r w:rsidRPr="00361C46">
        <w:t xml:space="preserve">, GSM ar mirtingumui. Alogeninės transplantacijos tyrimų metaanalizė, kurioje buvo nagrinėti devynių perspektyvinių randomizuotų, 8 retrospektyvinių tyrimų ir 1 tyrimo „atvejis-kontrolė“ rezultatai, nenustatė poveikio </w:t>
      </w:r>
      <w:r w:rsidRPr="00361C46">
        <w:rPr>
          <w:lang w:eastAsia="en-GB"/>
        </w:rPr>
        <w:t xml:space="preserve">ūminės ar lėtinės TpŠL </w:t>
      </w:r>
      <w:r w:rsidRPr="00361C46">
        <w:t xml:space="preserve">ar ankstyvojo, su gydymu susijusio mirtingumo </w:t>
      </w:r>
      <w:r w:rsidRPr="00361C46">
        <w:rPr>
          <w:lang w:eastAsia="en-GB"/>
        </w:rPr>
        <w:t>rizikai.</w:t>
      </w:r>
    </w:p>
    <w:p w14:paraId="75C1BC78" w14:textId="77777777" w:rsidR="00033F69" w:rsidRPr="00361C46" w:rsidRDefault="00033F69" w:rsidP="00033F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635"/>
        <w:gridCol w:w="916"/>
        <w:gridCol w:w="1509"/>
        <w:gridCol w:w="1509"/>
        <w:gridCol w:w="1509"/>
      </w:tblGrid>
      <w:tr w:rsidR="00306AC1" w:rsidRPr="00361C46" w14:paraId="50DC002B" w14:textId="77777777" w:rsidTr="00306AC1">
        <w:trPr>
          <w:cantSplit/>
          <w:jc w:val="center"/>
        </w:trPr>
        <w:tc>
          <w:tcPr>
            <w:tcW w:w="5000" w:type="pct"/>
            <w:gridSpan w:val="6"/>
            <w:tcBorders>
              <w:top w:val="nil"/>
              <w:left w:val="nil"/>
              <w:bottom w:val="single" w:sz="4" w:space="0" w:color="auto"/>
              <w:right w:val="nil"/>
            </w:tcBorders>
          </w:tcPr>
          <w:p w14:paraId="24685044" w14:textId="77777777" w:rsidR="00033F69" w:rsidRPr="00361C46" w:rsidRDefault="00033F69" w:rsidP="00F21ED3">
            <w:pPr>
              <w:keepNext/>
              <w:jc w:val="center"/>
              <w:rPr>
                <w:b/>
              </w:rPr>
            </w:pPr>
            <w:r w:rsidRPr="00361C46">
              <w:rPr>
                <w:b/>
                <w:lang w:eastAsia="en-GB"/>
              </w:rPr>
              <w:t>TpŠL</w:t>
            </w:r>
            <w:r w:rsidRPr="00361C46">
              <w:rPr>
                <w:b/>
              </w:rPr>
              <w:t xml:space="preserve"> ir GSM reliatyvi rizika (95% PI) </w:t>
            </w:r>
            <w:r w:rsidRPr="00361C46">
              <w:rPr>
                <w:b/>
              </w:rPr>
              <w:br/>
              <w:t xml:space="preserve">po kaulų čiulpų transplantacijos gavusiems gydymą G-KSF </w:t>
            </w:r>
          </w:p>
        </w:tc>
      </w:tr>
      <w:tr w:rsidR="00306AC1" w:rsidRPr="00361C46" w14:paraId="29B0EBEC" w14:textId="77777777" w:rsidTr="00306AC1">
        <w:trPr>
          <w:cantSplit/>
          <w:jc w:val="center"/>
        </w:trPr>
        <w:tc>
          <w:tcPr>
            <w:tcW w:w="1098" w:type="pct"/>
            <w:tcBorders>
              <w:top w:val="single" w:sz="4" w:space="0" w:color="auto"/>
              <w:left w:val="single" w:sz="4" w:space="0" w:color="auto"/>
              <w:bottom w:val="single" w:sz="4" w:space="0" w:color="auto"/>
            </w:tcBorders>
          </w:tcPr>
          <w:p w14:paraId="22FF45B1" w14:textId="77777777" w:rsidR="00033F69" w:rsidRPr="00361C46" w:rsidRDefault="00033F69" w:rsidP="00F21ED3">
            <w:pPr>
              <w:keepNext/>
              <w:rPr>
                <w:b/>
              </w:rPr>
            </w:pPr>
          </w:p>
          <w:p w14:paraId="3621697F" w14:textId="77777777" w:rsidR="00033F69" w:rsidRPr="00361C46" w:rsidRDefault="00033F69" w:rsidP="00F21ED3">
            <w:pPr>
              <w:keepNext/>
              <w:jc w:val="center"/>
              <w:rPr>
                <w:b/>
              </w:rPr>
            </w:pPr>
          </w:p>
          <w:p w14:paraId="3AD910F1" w14:textId="77777777" w:rsidR="00033F69" w:rsidRPr="00361C46" w:rsidRDefault="00033F69" w:rsidP="00F21ED3">
            <w:pPr>
              <w:keepNext/>
              <w:rPr>
                <w:b/>
              </w:rPr>
            </w:pPr>
            <w:r w:rsidRPr="00361C46">
              <w:rPr>
                <w:b/>
              </w:rPr>
              <w:t>Publikacija</w:t>
            </w:r>
          </w:p>
        </w:tc>
        <w:tc>
          <w:tcPr>
            <w:tcW w:w="901" w:type="pct"/>
            <w:tcBorders>
              <w:top w:val="single" w:sz="4" w:space="0" w:color="auto"/>
              <w:bottom w:val="single" w:sz="4" w:space="0" w:color="auto"/>
            </w:tcBorders>
          </w:tcPr>
          <w:p w14:paraId="346BC54B" w14:textId="77777777" w:rsidR="00033F69" w:rsidRPr="00361C46" w:rsidRDefault="00033F69" w:rsidP="00F21ED3">
            <w:pPr>
              <w:keepNext/>
              <w:rPr>
                <w:b/>
              </w:rPr>
            </w:pPr>
          </w:p>
          <w:p w14:paraId="257C9C9F" w14:textId="77777777" w:rsidR="00033F69" w:rsidRPr="00361C46" w:rsidRDefault="00033F69" w:rsidP="00F21ED3">
            <w:pPr>
              <w:keepNext/>
              <w:rPr>
                <w:b/>
              </w:rPr>
            </w:pPr>
            <w:r w:rsidRPr="00361C46">
              <w:rPr>
                <w:b/>
              </w:rPr>
              <w:t xml:space="preserve">Tyrimo </w:t>
            </w:r>
            <w:r w:rsidRPr="00361C46">
              <w:rPr>
                <w:b/>
              </w:rPr>
              <w:br/>
              <w:t>periodas</w:t>
            </w:r>
          </w:p>
        </w:tc>
        <w:tc>
          <w:tcPr>
            <w:tcW w:w="505" w:type="pct"/>
            <w:tcBorders>
              <w:top w:val="single" w:sz="4" w:space="0" w:color="auto"/>
              <w:bottom w:val="single" w:sz="4" w:space="0" w:color="auto"/>
            </w:tcBorders>
          </w:tcPr>
          <w:p w14:paraId="38915974" w14:textId="77777777" w:rsidR="00033F69" w:rsidRPr="00361C46" w:rsidRDefault="00033F69" w:rsidP="00F21ED3">
            <w:pPr>
              <w:keepNext/>
              <w:rPr>
                <w:b/>
              </w:rPr>
            </w:pPr>
          </w:p>
          <w:p w14:paraId="3B217AE0" w14:textId="77777777" w:rsidR="00033F69" w:rsidRPr="00361C46" w:rsidRDefault="00033F69" w:rsidP="00F21ED3">
            <w:pPr>
              <w:keepNext/>
              <w:rPr>
                <w:b/>
              </w:rPr>
            </w:pPr>
          </w:p>
          <w:p w14:paraId="0E73C503" w14:textId="77777777" w:rsidR="00033F69" w:rsidRPr="00361C46" w:rsidRDefault="00033F69" w:rsidP="00F21ED3">
            <w:pPr>
              <w:keepNext/>
              <w:rPr>
                <w:b/>
              </w:rPr>
            </w:pPr>
            <w:r w:rsidRPr="00361C46">
              <w:rPr>
                <w:b/>
              </w:rPr>
              <w:t>N</w:t>
            </w:r>
          </w:p>
        </w:tc>
        <w:tc>
          <w:tcPr>
            <w:tcW w:w="832" w:type="pct"/>
            <w:tcBorders>
              <w:top w:val="single" w:sz="4" w:space="0" w:color="auto"/>
              <w:bottom w:val="single" w:sz="4" w:space="0" w:color="auto"/>
            </w:tcBorders>
          </w:tcPr>
          <w:p w14:paraId="0A59AB35" w14:textId="77777777" w:rsidR="00033F69" w:rsidRPr="00361C46" w:rsidRDefault="00033F69" w:rsidP="00F21ED3">
            <w:pPr>
              <w:keepNext/>
              <w:rPr>
                <w:b/>
              </w:rPr>
            </w:pPr>
            <w:r w:rsidRPr="00361C46">
              <w:rPr>
                <w:b/>
              </w:rPr>
              <w:t xml:space="preserve">Ūminė </w:t>
            </w:r>
            <w:r w:rsidRPr="00361C46">
              <w:rPr>
                <w:b/>
              </w:rPr>
              <w:br/>
              <w:t>II-IV laipsnio TpŠL</w:t>
            </w:r>
          </w:p>
        </w:tc>
        <w:tc>
          <w:tcPr>
            <w:tcW w:w="832" w:type="pct"/>
            <w:tcBorders>
              <w:top w:val="single" w:sz="4" w:space="0" w:color="auto"/>
              <w:bottom w:val="single" w:sz="4" w:space="0" w:color="auto"/>
            </w:tcBorders>
          </w:tcPr>
          <w:p w14:paraId="2D09BCB0" w14:textId="77777777" w:rsidR="00033F69" w:rsidRPr="00361C46" w:rsidRDefault="00033F69" w:rsidP="00F21ED3">
            <w:pPr>
              <w:keepNext/>
              <w:rPr>
                <w:b/>
              </w:rPr>
            </w:pPr>
          </w:p>
          <w:p w14:paraId="69987AC3" w14:textId="77777777" w:rsidR="00033F69" w:rsidRPr="00361C46" w:rsidRDefault="00033F69" w:rsidP="00F21ED3">
            <w:pPr>
              <w:keepNext/>
              <w:rPr>
                <w:b/>
              </w:rPr>
            </w:pPr>
            <w:r w:rsidRPr="00361C46">
              <w:rPr>
                <w:b/>
              </w:rPr>
              <w:t xml:space="preserve">Lėtinė </w:t>
            </w:r>
            <w:r w:rsidRPr="00361C46">
              <w:rPr>
                <w:b/>
              </w:rPr>
              <w:br/>
              <w:t>TpŠL</w:t>
            </w:r>
          </w:p>
        </w:tc>
        <w:tc>
          <w:tcPr>
            <w:tcW w:w="832" w:type="pct"/>
            <w:tcBorders>
              <w:top w:val="single" w:sz="4" w:space="0" w:color="auto"/>
              <w:bottom w:val="single" w:sz="4" w:space="0" w:color="auto"/>
              <w:right w:val="single" w:sz="4" w:space="0" w:color="auto"/>
            </w:tcBorders>
          </w:tcPr>
          <w:p w14:paraId="19AA67FA" w14:textId="77777777" w:rsidR="00033F69" w:rsidRPr="00361C46" w:rsidRDefault="00033F69" w:rsidP="00F21ED3">
            <w:pPr>
              <w:keepNext/>
              <w:rPr>
                <w:b/>
              </w:rPr>
            </w:pPr>
          </w:p>
          <w:p w14:paraId="3963B331" w14:textId="77777777" w:rsidR="00033F69" w:rsidRPr="00361C46" w:rsidRDefault="00033F69" w:rsidP="00F21ED3">
            <w:pPr>
              <w:keepNext/>
              <w:rPr>
                <w:b/>
              </w:rPr>
            </w:pPr>
          </w:p>
          <w:p w14:paraId="40DE42AE" w14:textId="77777777" w:rsidR="00033F69" w:rsidRPr="00361C46" w:rsidRDefault="00033F69" w:rsidP="00F21ED3">
            <w:pPr>
              <w:keepNext/>
              <w:rPr>
                <w:b/>
              </w:rPr>
            </w:pPr>
            <w:r w:rsidRPr="00361C46">
              <w:rPr>
                <w:b/>
              </w:rPr>
              <w:t>GSM</w:t>
            </w:r>
          </w:p>
        </w:tc>
      </w:tr>
      <w:tr w:rsidR="00306AC1" w:rsidRPr="00361C46" w14:paraId="49CCC8ED" w14:textId="77777777" w:rsidTr="00306AC1">
        <w:trPr>
          <w:cantSplit/>
          <w:jc w:val="center"/>
        </w:trPr>
        <w:tc>
          <w:tcPr>
            <w:tcW w:w="1098" w:type="pct"/>
            <w:tcBorders>
              <w:left w:val="single" w:sz="4" w:space="0" w:color="auto"/>
            </w:tcBorders>
          </w:tcPr>
          <w:p w14:paraId="035786FE" w14:textId="77777777" w:rsidR="00033F69" w:rsidRPr="00361C46" w:rsidRDefault="00033F69" w:rsidP="00F21ED3">
            <w:r w:rsidRPr="00361C46">
              <w:t>Meta-analizė</w:t>
            </w:r>
            <w:r w:rsidRPr="00361C46">
              <w:br/>
              <w:t>(2003)</w:t>
            </w:r>
          </w:p>
        </w:tc>
        <w:tc>
          <w:tcPr>
            <w:tcW w:w="901" w:type="pct"/>
          </w:tcPr>
          <w:p w14:paraId="4FE271F9" w14:textId="77777777" w:rsidR="00033F69" w:rsidRPr="00361C46" w:rsidRDefault="00033F69" w:rsidP="00F21ED3">
            <w:pPr>
              <w:rPr>
                <w:rFonts w:eastAsia="MS PGothic"/>
                <w:lang w:eastAsia="ja-JP"/>
              </w:rPr>
            </w:pPr>
          </w:p>
          <w:p w14:paraId="3D3B4409" w14:textId="77777777" w:rsidR="00033F69" w:rsidRPr="00361C46" w:rsidRDefault="00033F69" w:rsidP="00F21ED3">
            <w:pPr>
              <w:rPr>
                <w:rFonts w:eastAsia="MS PGothic"/>
                <w:lang w:eastAsia="ja-JP"/>
              </w:rPr>
            </w:pPr>
            <w:r w:rsidRPr="00361C46">
              <w:rPr>
                <w:rFonts w:eastAsia="MS PGothic"/>
                <w:lang w:eastAsia="ja-JP"/>
              </w:rPr>
              <w:t>1986-2001</w:t>
            </w:r>
            <w:r w:rsidRPr="00361C46">
              <w:rPr>
                <w:rFonts w:eastAsia="MS PGothic"/>
                <w:vertAlign w:val="superscript"/>
                <w:lang w:eastAsia="ja-JP"/>
              </w:rPr>
              <w:t>a</w:t>
            </w:r>
          </w:p>
        </w:tc>
        <w:tc>
          <w:tcPr>
            <w:tcW w:w="505" w:type="pct"/>
          </w:tcPr>
          <w:p w14:paraId="25ADDA4C" w14:textId="77777777" w:rsidR="00033F69" w:rsidRPr="00361C46" w:rsidRDefault="00033F69" w:rsidP="00F21ED3">
            <w:pPr>
              <w:rPr>
                <w:rFonts w:eastAsia="MS PGothic"/>
                <w:lang w:eastAsia="ja-JP"/>
              </w:rPr>
            </w:pPr>
          </w:p>
          <w:p w14:paraId="199C64F6" w14:textId="77777777" w:rsidR="00033F69" w:rsidRPr="00361C46" w:rsidRDefault="00033F69" w:rsidP="00F21ED3">
            <w:pPr>
              <w:rPr>
                <w:rFonts w:eastAsia="MS PGothic"/>
                <w:lang w:eastAsia="ja-JP"/>
              </w:rPr>
            </w:pPr>
            <w:r w:rsidRPr="00361C46">
              <w:rPr>
                <w:rFonts w:eastAsia="MS PGothic"/>
                <w:lang w:eastAsia="ja-JP"/>
              </w:rPr>
              <w:t>1198</w:t>
            </w:r>
          </w:p>
        </w:tc>
        <w:tc>
          <w:tcPr>
            <w:tcW w:w="832" w:type="pct"/>
          </w:tcPr>
          <w:p w14:paraId="1FD9F28F" w14:textId="77777777" w:rsidR="00033F69" w:rsidRPr="00361C46" w:rsidRDefault="00033F69" w:rsidP="00F21ED3">
            <w:r w:rsidRPr="00361C46">
              <w:rPr>
                <w:rFonts w:eastAsia="MS PGothic"/>
                <w:lang w:eastAsia="ja-JP"/>
              </w:rPr>
              <w:t xml:space="preserve">1,08 </w:t>
            </w:r>
            <w:r w:rsidRPr="00361C46">
              <w:rPr>
                <w:rFonts w:eastAsia="MS PGothic"/>
                <w:lang w:eastAsia="ja-JP"/>
              </w:rPr>
              <w:br/>
              <w:t>(0,87; 1,33)</w:t>
            </w:r>
          </w:p>
        </w:tc>
        <w:tc>
          <w:tcPr>
            <w:tcW w:w="832" w:type="pct"/>
          </w:tcPr>
          <w:p w14:paraId="073B0C7A" w14:textId="77777777" w:rsidR="00033F69" w:rsidRPr="00361C46" w:rsidRDefault="00033F69" w:rsidP="00F21ED3">
            <w:r w:rsidRPr="00361C46">
              <w:rPr>
                <w:rFonts w:eastAsia="MS PGothic"/>
                <w:lang w:eastAsia="ja-JP"/>
              </w:rPr>
              <w:t xml:space="preserve">1,02 </w:t>
            </w:r>
            <w:r w:rsidRPr="00361C46">
              <w:rPr>
                <w:rFonts w:eastAsia="MS PGothic"/>
                <w:lang w:eastAsia="ja-JP"/>
              </w:rPr>
              <w:br/>
              <w:t>(0,82; 1,26)</w:t>
            </w:r>
          </w:p>
        </w:tc>
        <w:tc>
          <w:tcPr>
            <w:tcW w:w="832" w:type="pct"/>
            <w:tcBorders>
              <w:right w:val="single" w:sz="4" w:space="0" w:color="auto"/>
            </w:tcBorders>
          </w:tcPr>
          <w:p w14:paraId="7F5A6475" w14:textId="77777777" w:rsidR="00033F69" w:rsidRPr="00361C46" w:rsidRDefault="00033F69" w:rsidP="00F21ED3">
            <w:r w:rsidRPr="00361C46">
              <w:rPr>
                <w:rFonts w:eastAsia="MS PGothic"/>
                <w:lang w:eastAsia="ja-JP"/>
              </w:rPr>
              <w:t xml:space="preserve">0,70 </w:t>
            </w:r>
            <w:r w:rsidRPr="00361C46">
              <w:rPr>
                <w:rFonts w:eastAsia="MS PGothic"/>
                <w:lang w:eastAsia="ja-JP"/>
              </w:rPr>
              <w:br/>
              <w:t>(0,38; 1,31)</w:t>
            </w:r>
          </w:p>
        </w:tc>
      </w:tr>
      <w:tr w:rsidR="00306AC1" w:rsidRPr="00361C46" w14:paraId="53C93E3B" w14:textId="77777777" w:rsidTr="00306AC1">
        <w:trPr>
          <w:cantSplit/>
          <w:jc w:val="center"/>
        </w:trPr>
        <w:tc>
          <w:tcPr>
            <w:tcW w:w="1098" w:type="pct"/>
            <w:tcBorders>
              <w:left w:val="single" w:sz="4" w:space="0" w:color="auto"/>
            </w:tcBorders>
          </w:tcPr>
          <w:p w14:paraId="5044FFA4" w14:textId="77777777" w:rsidR="00033F69" w:rsidRPr="00361C46" w:rsidRDefault="00033F69" w:rsidP="00F21ED3">
            <w:r w:rsidRPr="00361C46">
              <w:t xml:space="preserve">Europos retrospektyvinis </w:t>
            </w:r>
            <w:r w:rsidRPr="00361C46">
              <w:br/>
              <w:t>tyrimas (2004)</w:t>
            </w:r>
          </w:p>
        </w:tc>
        <w:tc>
          <w:tcPr>
            <w:tcW w:w="901" w:type="pct"/>
          </w:tcPr>
          <w:p w14:paraId="021024BA" w14:textId="77777777" w:rsidR="00033F69" w:rsidRPr="00361C46" w:rsidRDefault="00033F69" w:rsidP="00F21ED3">
            <w:pPr>
              <w:rPr>
                <w:rFonts w:eastAsia="MS PGothic"/>
                <w:lang w:eastAsia="ja-JP"/>
              </w:rPr>
            </w:pPr>
          </w:p>
          <w:p w14:paraId="405DA77F" w14:textId="77777777" w:rsidR="00033F69" w:rsidRPr="00361C46" w:rsidRDefault="00033F69" w:rsidP="00F21ED3">
            <w:pPr>
              <w:rPr>
                <w:rFonts w:eastAsia="MS PGothic"/>
                <w:lang w:eastAsia="ja-JP"/>
              </w:rPr>
            </w:pPr>
          </w:p>
          <w:p w14:paraId="63EF8841" w14:textId="77777777" w:rsidR="00033F69" w:rsidRPr="00361C46" w:rsidRDefault="00033F69" w:rsidP="00F21ED3">
            <w:pPr>
              <w:rPr>
                <w:rFonts w:eastAsia="MS PGothic"/>
                <w:lang w:eastAsia="ja-JP"/>
              </w:rPr>
            </w:pPr>
            <w:r w:rsidRPr="00361C46">
              <w:rPr>
                <w:rFonts w:eastAsia="MS PGothic"/>
                <w:lang w:eastAsia="ja-JP"/>
              </w:rPr>
              <w:t>1992-2002</w:t>
            </w:r>
            <w:r w:rsidRPr="00361C46">
              <w:rPr>
                <w:rFonts w:eastAsia="MS PGothic"/>
                <w:vertAlign w:val="superscript"/>
                <w:lang w:eastAsia="ja-JP"/>
              </w:rPr>
              <w:t>b</w:t>
            </w:r>
          </w:p>
        </w:tc>
        <w:tc>
          <w:tcPr>
            <w:tcW w:w="505" w:type="pct"/>
          </w:tcPr>
          <w:p w14:paraId="774B23A4" w14:textId="77777777" w:rsidR="00033F69" w:rsidRPr="00361C46" w:rsidRDefault="00033F69" w:rsidP="00F21ED3">
            <w:pPr>
              <w:rPr>
                <w:rFonts w:eastAsia="MS PGothic"/>
                <w:lang w:eastAsia="ja-JP"/>
              </w:rPr>
            </w:pPr>
          </w:p>
          <w:p w14:paraId="18A3385A" w14:textId="77777777" w:rsidR="00033F69" w:rsidRPr="00361C46" w:rsidRDefault="00033F69" w:rsidP="00F21ED3">
            <w:pPr>
              <w:rPr>
                <w:rFonts w:eastAsia="MS PGothic"/>
                <w:lang w:eastAsia="ja-JP"/>
              </w:rPr>
            </w:pPr>
          </w:p>
          <w:p w14:paraId="48B58C38" w14:textId="77777777" w:rsidR="00033F69" w:rsidRPr="00361C46" w:rsidRDefault="00033F69" w:rsidP="00F21ED3">
            <w:pPr>
              <w:rPr>
                <w:rFonts w:eastAsia="MS PGothic"/>
                <w:lang w:eastAsia="ja-JP"/>
              </w:rPr>
            </w:pPr>
            <w:r w:rsidRPr="00361C46">
              <w:rPr>
                <w:rFonts w:eastAsia="MS PGothic"/>
                <w:lang w:eastAsia="ja-JP"/>
              </w:rPr>
              <w:t>1789</w:t>
            </w:r>
          </w:p>
        </w:tc>
        <w:tc>
          <w:tcPr>
            <w:tcW w:w="832" w:type="pct"/>
          </w:tcPr>
          <w:p w14:paraId="77D10AAB" w14:textId="77777777" w:rsidR="00033F69" w:rsidRPr="00361C46" w:rsidRDefault="00033F69" w:rsidP="00F21ED3">
            <w:pPr>
              <w:rPr>
                <w:rFonts w:eastAsia="MS PGothic"/>
                <w:lang w:eastAsia="ja-JP"/>
              </w:rPr>
            </w:pPr>
          </w:p>
          <w:p w14:paraId="29934985" w14:textId="77777777" w:rsidR="00033F69" w:rsidRPr="00361C46" w:rsidRDefault="00033F69" w:rsidP="00F21ED3">
            <w:r w:rsidRPr="00361C46">
              <w:rPr>
                <w:rFonts w:eastAsia="MS PGothic"/>
                <w:lang w:eastAsia="ja-JP"/>
              </w:rPr>
              <w:t xml:space="preserve">1,33 </w:t>
            </w:r>
            <w:r w:rsidRPr="00361C46">
              <w:rPr>
                <w:rFonts w:eastAsia="MS PGothic"/>
                <w:lang w:eastAsia="ja-JP"/>
              </w:rPr>
              <w:br/>
              <w:t>(1,08; 1,64)</w:t>
            </w:r>
          </w:p>
        </w:tc>
        <w:tc>
          <w:tcPr>
            <w:tcW w:w="832" w:type="pct"/>
          </w:tcPr>
          <w:p w14:paraId="12782F7D" w14:textId="77777777" w:rsidR="00033F69" w:rsidRPr="00361C46" w:rsidRDefault="00033F69" w:rsidP="00F21ED3">
            <w:pPr>
              <w:rPr>
                <w:rFonts w:eastAsia="MS PGothic"/>
                <w:lang w:eastAsia="ja-JP"/>
              </w:rPr>
            </w:pPr>
          </w:p>
          <w:p w14:paraId="27C27C6B" w14:textId="77777777" w:rsidR="00033F69" w:rsidRPr="00361C46" w:rsidRDefault="00033F69" w:rsidP="00F21ED3">
            <w:r w:rsidRPr="00361C46">
              <w:rPr>
                <w:rFonts w:eastAsia="MS PGothic"/>
                <w:lang w:eastAsia="ja-JP"/>
              </w:rPr>
              <w:t xml:space="preserve">1,29 </w:t>
            </w:r>
            <w:r w:rsidRPr="00361C46">
              <w:rPr>
                <w:rFonts w:eastAsia="MS PGothic"/>
                <w:lang w:eastAsia="ja-JP"/>
              </w:rPr>
              <w:br/>
              <w:t>(1,02; 1,61)</w:t>
            </w:r>
          </w:p>
        </w:tc>
        <w:tc>
          <w:tcPr>
            <w:tcW w:w="832" w:type="pct"/>
            <w:tcBorders>
              <w:right w:val="single" w:sz="4" w:space="0" w:color="auto"/>
            </w:tcBorders>
          </w:tcPr>
          <w:p w14:paraId="6B2BDC93" w14:textId="77777777" w:rsidR="00033F69" w:rsidRPr="00361C46" w:rsidRDefault="00033F69" w:rsidP="00F21ED3">
            <w:pPr>
              <w:rPr>
                <w:rFonts w:eastAsia="MS PGothic"/>
                <w:lang w:eastAsia="ja-JP"/>
              </w:rPr>
            </w:pPr>
          </w:p>
          <w:p w14:paraId="0CB9ED17" w14:textId="77777777" w:rsidR="00033F69" w:rsidRPr="00361C46" w:rsidRDefault="00033F69" w:rsidP="00F21ED3">
            <w:r w:rsidRPr="00361C46">
              <w:rPr>
                <w:rFonts w:eastAsia="MS PGothic"/>
                <w:lang w:eastAsia="ja-JP"/>
              </w:rPr>
              <w:t xml:space="preserve">1,73 </w:t>
            </w:r>
            <w:r w:rsidRPr="00361C46">
              <w:rPr>
                <w:rFonts w:eastAsia="MS PGothic"/>
                <w:lang w:eastAsia="ja-JP"/>
              </w:rPr>
              <w:br/>
              <w:t>(1,30; 2,32)</w:t>
            </w:r>
          </w:p>
        </w:tc>
      </w:tr>
      <w:tr w:rsidR="00306AC1" w:rsidRPr="00361C46" w14:paraId="08FD1685" w14:textId="77777777" w:rsidTr="00306AC1">
        <w:trPr>
          <w:cantSplit/>
          <w:jc w:val="center"/>
        </w:trPr>
        <w:tc>
          <w:tcPr>
            <w:tcW w:w="1098" w:type="pct"/>
            <w:tcBorders>
              <w:left w:val="single" w:sz="4" w:space="0" w:color="auto"/>
            </w:tcBorders>
          </w:tcPr>
          <w:p w14:paraId="6A654415" w14:textId="77777777" w:rsidR="00033F69" w:rsidRPr="00361C46" w:rsidRDefault="00033F69" w:rsidP="00F21ED3">
            <w:r w:rsidRPr="00361C46">
              <w:t xml:space="preserve">Tarptautinis retrospektyvinis </w:t>
            </w:r>
            <w:r w:rsidRPr="00361C46">
              <w:br/>
              <w:t>tyrimas (2006)</w:t>
            </w:r>
          </w:p>
        </w:tc>
        <w:tc>
          <w:tcPr>
            <w:tcW w:w="901" w:type="pct"/>
          </w:tcPr>
          <w:p w14:paraId="49F1D3FD" w14:textId="77777777" w:rsidR="00033F69" w:rsidRPr="00361C46" w:rsidRDefault="00033F69" w:rsidP="00F21ED3">
            <w:pPr>
              <w:rPr>
                <w:rFonts w:eastAsia="MS PGothic"/>
                <w:lang w:eastAsia="ja-JP"/>
              </w:rPr>
            </w:pPr>
          </w:p>
          <w:p w14:paraId="5D5E5C23" w14:textId="77777777" w:rsidR="00033F69" w:rsidRPr="00361C46" w:rsidRDefault="00033F69" w:rsidP="00F21ED3">
            <w:pPr>
              <w:rPr>
                <w:rFonts w:eastAsia="MS PGothic"/>
                <w:lang w:eastAsia="ja-JP"/>
              </w:rPr>
            </w:pPr>
          </w:p>
          <w:p w14:paraId="080192A5" w14:textId="77777777" w:rsidR="00033F69" w:rsidRPr="00361C46" w:rsidRDefault="00033F69" w:rsidP="00F21ED3">
            <w:pPr>
              <w:rPr>
                <w:rFonts w:eastAsia="MS PGothic"/>
                <w:lang w:eastAsia="ja-JP"/>
              </w:rPr>
            </w:pPr>
            <w:r w:rsidRPr="00361C46">
              <w:rPr>
                <w:rFonts w:eastAsia="MS PGothic"/>
                <w:lang w:eastAsia="ja-JP"/>
              </w:rPr>
              <w:t>1995-2000</w:t>
            </w:r>
            <w:r w:rsidRPr="00361C46">
              <w:rPr>
                <w:rFonts w:eastAsia="MS PGothic"/>
                <w:vertAlign w:val="superscript"/>
                <w:lang w:eastAsia="ja-JP"/>
              </w:rPr>
              <w:t>b</w:t>
            </w:r>
          </w:p>
        </w:tc>
        <w:tc>
          <w:tcPr>
            <w:tcW w:w="505" w:type="pct"/>
          </w:tcPr>
          <w:p w14:paraId="3F6374F2" w14:textId="77777777" w:rsidR="00033F69" w:rsidRPr="00361C46" w:rsidRDefault="00033F69" w:rsidP="00F21ED3">
            <w:pPr>
              <w:rPr>
                <w:rFonts w:eastAsia="MS PGothic"/>
                <w:lang w:eastAsia="ja-JP"/>
              </w:rPr>
            </w:pPr>
          </w:p>
          <w:p w14:paraId="658A39CF" w14:textId="77777777" w:rsidR="00033F69" w:rsidRPr="00361C46" w:rsidRDefault="00033F69" w:rsidP="00F21ED3">
            <w:pPr>
              <w:rPr>
                <w:rFonts w:eastAsia="MS PGothic"/>
                <w:lang w:eastAsia="ja-JP"/>
              </w:rPr>
            </w:pPr>
          </w:p>
          <w:p w14:paraId="02D8A87F" w14:textId="77777777" w:rsidR="00033F69" w:rsidRPr="00361C46" w:rsidRDefault="00033F69" w:rsidP="00F21ED3">
            <w:pPr>
              <w:rPr>
                <w:rFonts w:eastAsia="MS PGothic"/>
                <w:lang w:eastAsia="ja-JP"/>
              </w:rPr>
            </w:pPr>
            <w:r w:rsidRPr="00361C46">
              <w:rPr>
                <w:rFonts w:eastAsia="MS PGothic"/>
                <w:lang w:eastAsia="ja-JP"/>
              </w:rPr>
              <w:t>2110</w:t>
            </w:r>
          </w:p>
        </w:tc>
        <w:tc>
          <w:tcPr>
            <w:tcW w:w="832" w:type="pct"/>
          </w:tcPr>
          <w:p w14:paraId="4CC4D200" w14:textId="77777777" w:rsidR="00033F69" w:rsidRPr="00361C46" w:rsidRDefault="00033F69" w:rsidP="00F21ED3">
            <w:pPr>
              <w:rPr>
                <w:rFonts w:eastAsia="MS PGothic"/>
                <w:lang w:eastAsia="ja-JP"/>
              </w:rPr>
            </w:pPr>
          </w:p>
          <w:p w14:paraId="35B916E1" w14:textId="77777777" w:rsidR="00033F69" w:rsidRPr="00361C46" w:rsidRDefault="00033F69" w:rsidP="00F21ED3">
            <w:pPr>
              <w:rPr>
                <w:rFonts w:eastAsia="MS PGothic"/>
                <w:lang w:eastAsia="ja-JP"/>
              </w:rPr>
            </w:pPr>
            <w:r w:rsidRPr="00361C46">
              <w:rPr>
                <w:rFonts w:eastAsia="MS PGothic"/>
                <w:lang w:eastAsia="ja-JP"/>
              </w:rPr>
              <w:t xml:space="preserve">1,11 </w:t>
            </w:r>
            <w:r w:rsidRPr="00361C46">
              <w:rPr>
                <w:rFonts w:eastAsia="MS PGothic"/>
                <w:lang w:eastAsia="ja-JP"/>
              </w:rPr>
              <w:br/>
              <w:t>(0,86; 1,42)</w:t>
            </w:r>
          </w:p>
        </w:tc>
        <w:tc>
          <w:tcPr>
            <w:tcW w:w="832" w:type="pct"/>
          </w:tcPr>
          <w:p w14:paraId="18AF8E28" w14:textId="77777777" w:rsidR="00033F69" w:rsidRPr="00361C46" w:rsidRDefault="00033F69" w:rsidP="00F21ED3">
            <w:pPr>
              <w:rPr>
                <w:rFonts w:eastAsia="MS PGothic"/>
                <w:lang w:eastAsia="ja-JP"/>
              </w:rPr>
            </w:pPr>
          </w:p>
          <w:p w14:paraId="21ED54E6" w14:textId="77777777" w:rsidR="00033F69" w:rsidRPr="00361C46" w:rsidRDefault="00033F69" w:rsidP="00F21ED3">
            <w:pPr>
              <w:rPr>
                <w:rFonts w:eastAsia="MS PGothic"/>
                <w:lang w:eastAsia="ja-JP"/>
              </w:rPr>
            </w:pPr>
            <w:r w:rsidRPr="00361C46">
              <w:rPr>
                <w:rFonts w:eastAsia="MS PGothic"/>
                <w:lang w:eastAsia="ja-JP"/>
              </w:rPr>
              <w:t xml:space="preserve">1,10 </w:t>
            </w:r>
            <w:r w:rsidRPr="00361C46">
              <w:rPr>
                <w:rFonts w:eastAsia="MS PGothic"/>
                <w:lang w:eastAsia="ja-JP"/>
              </w:rPr>
              <w:br/>
              <w:t>(0,86; 1,39)</w:t>
            </w:r>
          </w:p>
        </w:tc>
        <w:tc>
          <w:tcPr>
            <w:tcW w:w="832" w:type="pct"/>
            <w:tcBorders>
              <w:right w:val="single" w:sz="4" w:space="0" w:color="auto"/>
            </w:tcBorders>
          </w:tcPr>
          <w:p w14:paraId="28DEB028" w14:textId="77777777" w:rsidR="00033F69" w:rsidRPr="00361C46" w:rsidRDefault="00033F69" w:rsidP="00F21ED3">
            <w:pPr>
              <w:rPr>
                <w:rFonts w:eastAsia="MS PGothic"/>
                <w:lang w:eastAsia="ja-JP"/>
              </w:rPr>
            </w:pPr>
          </w:p>
          <w:p w14:paraId="0218B5A4" w14:textId="77777777" w:rsidR="00033F69" w:rsidRPr="00361C46" w:rsidRDefault="00033F69" w:rsidP="00F21ED3">
            <w:pPr>
              <w:rPr>
                <w:rFonts w:eastAsia="MS PGothic"/>
                <w:lang w:eastAsia="ja-JP"/>
              </w:rPr>
            </w:pPr>
            <w:r w:rsidRPr="00361C46">
              <w:rPr>
                <w:rFonts w:eastAsia="MS PGothic"/>
                <w:lang w:eastAsia="ja-JP"/>
              </w:rPr>
              <w:t xml:space="preserve">1,26 </w:t>
            </w:r>
            <w:r w:rsidRPr="00361C46">
              <w:rPr>
                <w:rFonts w:eastAsia="MS PGothic"/>
                <w:lang w:eastAsia="ja-JP"/>
              </w:rPr>
              <w:br/>
              <w:t>(0,95; 1,67)</w:t>
            </w:r>
          </w:p>
        </w:tc>
      </w:tr>
    </w:tbl>
    <w:p w14:paraId="705599CC" w14:textId="77777777" w:rsidR="00033F69" w:rsidRPr="00361C46" w:rsidRDefault="00033F69" w:rsidP="00033F69">
      <w:pPr>
        <w:rPr>
          <w:sz w:val="18"/>
        </w:rPr>
      </w:pPr>
      <w:r w:rsidRPr="00361C46">
        <w:rPr>
          <w:sz w:val="18"/>
          <w:vertAlign w:val="superscript"/>
        </w:rPr>
        <w:t>a</w:t>
      </w:r>
      <w:r w:rsidRPr="00361C46">
        <w:rPr>
          <w:sz w:val="18"/>
        </w:rPr>
        <w:t>Analizėje nagrinėjami per šį periodą atliktų kaulų čiulpų transplantacijų tyrimai; kai kuriuose tyrimuose vartotas GM-KSF</w:t>
      </w:r>
    </w:p>
    <w:p w14:paraId="1EFA21C3" w14:textId="77777777" w:rsidR="00033F69" w:rsidRPr="00361C46" w:rsidRDefault="00033F69" w:rsidP="00033F69">
      <w:pPr>
        <w:rPr>
          <w:sz w:val="18"/>
        </w:rPr>
      </w:pPr>
      <w:r w:rsidRPr="00361C46">
        <w:rPr>
          <w:sz w:val="18"/>
          <w:vertAlign w:val="superscript"/>
        </w:rPr>
        <w:t>b</w:t>
      </w:r>
      <w:r w:rsidRPr="00361C46">
        <w:rPr>
          <w:sz w:val="18"/>
        </w:rPr>
        <w:t xml:space="preserve">Analizėje tiriami pacientai, kuriems buvo atlikta kaulų čiulpų transplantacija per šį periodą </w:t>
      </w:r>
    </w:p>
    <w:p w14:paraId="7CEDE75D" w14:textId="77777777" w:rsidR="00033F69" w:rsidRPr="00361C46" w:rsidRDefault="00033F69" w:rsidP="00033F69">
      <w:pPr>
        <w:rPr>
          <w:sz w:val="18"/>
        </w:rPr>
      </w:pPr>
    </w:p>
    <w:p w14:paraId="4DD1DD76" w14:textId="77777777" w:rsidR="00033F69" w:rsidRPr="00361C46" w:rsidRDefault="00033F69" w:rsidP="00621D88">
      <w:pPr>
        <w:pStyle w:val="Antrat3"/>
      </w:pPr>
      <w:r w:rsidRPr="00361C46">
        <w:t>Filgrastimo vartojimas sveikų donorų periferinio kraujo kamieninių ląstelių mobilizacijai prieš alogeninę periferinio kraujo kamieninių ląstelių transplantaciją</w:t>
      </w:r>
    </w:p>
    <w:p w14:paraId="0729C951" w14:textId="77777777" w:rsidR="00033F69" w:rsidRPr="00361C46" w:rsidRDefault="00033F69" w:rsidP="00033F69"/>
    <w:p w14:paraId="691CECE8" w14:textId="77777777" w:rsidR="00033F69" w:rsidRPr="00361C46" w:rsidRDefault="00033F69" w:rsidP="00033F69">
      <w:r w:rsidRPr="00361C46">
        <w:t>Paskyrus sveikiems donorams 10 </w:t>
      </w:r>
      <w:r w:rsidRPr="00361C46">
        <w:sym w:font="Symbol" w:char="F06D"/>
      </w:r>
      <w:r w:rsidRPr="00361C46">
        <w:t xml:space="preserve">g/kg/per parą 4 – 5 dienas kasdien po oda, atlikus dvi leukoferezes, iš daugumos donorų galima surinkti po </w:t>
      </w:r>
      <w:r w:rsidR="00051DC2">
        <w:t>≥</w:t>
      </w:r>
      <w:r w:rsidRPr="00361C46">
        <w:t> 4 x 10</w:t>
      </w:r>
      <w:r w:rsidRPr="00361C46">
        <w:rPr>
          <w:vertAlign w:val="superscript"/>
        </w:rPr>
        <w:t>6</w:t>
      </w:r>
      <w:r w:rsidRPr="00361C46">
        <w:t xml:space="preserve"> CD34</w:t>
      </w:r>
      <w:r w:rsidRPr="00361C46">
        <w:rPr>
          <w:vertAlign w:val="superscript"/>
        </w:rPr>
        <w:t>+</w:t>
      </w:r>
      <w:r w:rsidRPr="00361C46">
        <w:t xml:space="preserve"> ląstelių/kg recipiento </w:t>
      </w:r>
      <w:r>
        <w:t>kūno svorio</w:t>
      </w:r>
      <w:r w:rsidRPr="00361C46">
        <w:t>.</w:t>
      </w:r>
    </w:p>
    <w:p w14:paraId="15B9813C" w14:textId="77777777" w:rsidR="00033F69" w:rsidRPr="00361C46" w:rsidRDefault="00033F69" w:rsidP="00033F69"/>
    <w:p w14:paraId="089FA56E" w14:textId="77777777" w:rsidR="00033F69" w:rsidRPr="00361C46" w:rsidRDefault="00033F69" w:rsidP="00033F69">
      <w:r w:rsidRPr="00361C46">
        <w:t>Vartojant filgrastimą ligoniams, tiek vaikams, tiek suaugusiems, sergantiems sunkia lėtine neutropenija (sunki įgimta, ciklinė ar idiopatinė neutropenija), nuolat padidėja absoliutūs neutrofilų skaičiai periferiniam</w:t>
      </w:r>
      <w:r>
        <w:t>e</w:t>
      </w:r>
      <w:r w:rsidRPr="00361C46">
        <w:t xml:space="preserve"> kraujyje, ir sumažėja infekcijų bei su jomis susijusių </w:t>
      </w:r>
      <w:r>
        <w:t>reiškinių</w:t>
      </w:r>
      <w:r w:rsidRPr="00361C46">
        <w:t>.</w:t>
      </w:r>
    </w:p>
    <w:p w14:paraId="6F9A1D23" w14:textId="77777777" w:rsidR="00033F69" w:rsidRPr="00361C46" w:rsidRDefault="00033F69" w:rsidP="00033F69"/>
    <w:p w14:paraId="065CC00E" w14:textId="77777777" w:rsidR="00033F69" w:rsidRPr="00361C46" w:rsidRDefault="00033F69" w:rsidP="00033F69">
      <w:r w:rsidRPr="00361C46">
        <w:t xml:space="preserve">Skiriant filgrastimą ligoniams su ŽIV infekcija, palaikomi normalūs neutrofilų skaičiai, ir galima pagal planą skirti antivirusinį ir(arba) </w:t>
      </w:r>
      <w:r>
        <w:t xml:space="preserve">kitokį </w:t>
      </w:r>
      <w:r w:rsidRPr="00361C46">
        <w:t>mielosupresinį gydymą. Nėra duomenų, kad ligoniams su ŽIV infekcija skiriant filgrastimą padidėtų ŽIV replikacija.</w:t>
      </w:r>
    </w:p>
    <w:p w14:paraId="2F4081C6" w14:textId="77777777" w:rsidR="00033F69" w:rsidRPr="00361C46" w:rsidRDefault="00033F69" w:rsidP="00033F69"/>
    <w:p w14:paraId="58BF549B" w14:textId="77777777" w:rsidR="00033F69" w:rsidRPr="00361C46" w:rsidRDefault="00033F69" w:rsidP="00033F69">
      <w:r w:rsidRPr="00361C46">
        <w:t>Kaip ir kiti hemopoetiniai faktoriai, G</w:t>
      </w:r>
      <w:r w:rsidRPr="00361C46">
        <w:noBreakHyphen/>
        <w:t xml:space="preserve">KSF </w:t>
      </w:r>
      <w:r w:rsidRPr="00361C46">
        <w:rPr>
          <w:i/>
        </w:rPr>
        <w:t>in vitro</w:t>
      </w:r>
      <w:r w:rsidRPr="00361C46">
        <w:t xml:space="preserve"> pasižymi žmogaus endotelio ląstel</w:t>
      </w:r>
      <w:r>
        <w:t>es</w:t>
      </w:r>
      <w:r w:rsidRPr="00361C46">
        <w:t xml:space="preserve"> </w:t>
      </w:r>
      <w:r>
        <w:t>stimuliuojančiomis</w:t>
      </w:r>
      <w:r w:rsidRPr="00361C46">
        <w:t xml:space="preserve"> savybėmis.</w:t>
      </w:r>
    </w:p>
    <w:p w14:paraId="3F1DA9AE" w14:textId="77777777" w:rsidR="00033F69" w:rsidRPr="00361C46" w:rsidRDefault="00033F69" w:rsidP="00033F69"/>
    <w:p w14:paraId="70035D36" w14:textId="77777777" w:rsidR="00033F69" w:rsidRPr="00361C46" w:rsidRDefault="00033F69" w:rsidP="00033F69">
      <w:pPr>
        <w:pStyle w:val="Antrat2"/>
        <w:rPr>
          <w:rFonts w:ascii="Times New Roman" w:hAnsi="Times New Roman"/>
        </w:rPr>
      </w:pPr>
      <w:r w:rsidRPr="00361C46">
        <w:rPr>
          <w:rFonts w:ascii="Times New Roman" w:hAnsi="Times New Roman"/>
        </w:rPr>
        <w:t>5.2</w:t>
      </w:r>
      <w:r w:rsidRPr="00361C46">
        <w:rPr>
          <w:rFonts w:ascii="Times New Roman" w:hAnsi="Times New Roman"/>
        </w:rPr>
        <w:tab/>
        <w:t xml:space="preserve">Farmakokinetinės savybės </w:t>
      </w:r>
    </w:p>
    <w:p w14:paraId="4C1BDB20" w14:textId="77777777" w:rsidR="00033F69" w:rsidRPr="00361C46" w:rsidRDefault="00033F69" w:rsidP="00033F69">
      <w:pPr>
        <w:keepNext/>
      </w:pPr>
    </w:p>
    <w:p w14:paraId="63B233DD" w14:textId="77777777" w:rsidR="00033F69" w:rsidRPr="00361C46" w:rsidRDefault="00033F69" w:rsidP="00033F69">
      <w:r w:rsidRPr="00361C46">
        <w:t>Įrodyta, kad filgrastimo klirensas, sušvirkštus tiek į veną, tiek į poodį, vyksta pagal pirmos eilės farmakokinetiką. Filgrastimo pusinės eliminacijos iš serumo periodas yra apie 3,5 valandos, esant klirenso greičiui apie 0,6 ml/min/kg. Nuolat iki 28 dienų lašinant į veną Neupogen ligoniams po autologinės kaulų čiulpų transplantacijos, vaistinis preparatas nesikaupė organizme, o pusinės eliminacijos periodai buvo panašūs. Sušvirkštus filgrastimo į veną arba į poodį, stebima teigiama linijinė koreliacija tarp vaistinio preparato dozės ir filgrastimo koncentracijos kraujo serume. Sušvirkštus į poodį rekomenduojamą dozę, koncentracija serume buvo didesnė kaip 10 ng/ml 8</w:t>
      </w:r>
      <w:r w:rsidRPr="00361C46">
        <w:noBreakHyphen/>
        <w:t xml:space="preserve">16 valandų. Pasiskirstymo kraujyje tūris yra maždaug 150 ml/kg. </w:t>
      </w:r>
    </w:p>
    <w:p w14:paraId="467C8BF0" w14:textId="77777777" w:rsidR="00033F69" w:rsidRPr="00361C46" w:rsidRDefault="00033F69" w:rsidP="00033F69"/>
    <w:p w14:paraId="33114A2F" w14:textId="77777777" w:rsidR="00033F69" w:rsidRPr="00361C46" w:rsidRDefault="00033F69" w:rsidP="00033F69">
      <w:pPr>
        <w:pStyle w:val="Antrat2"/>
        <w:rPr>
          <w:rFonts w:ascii="Times New Roman" w:hAnsi="Times New Roman"/>
        </w:rPr>
      </w:pPr>
      <w:r w:rsidRPr="00361C46">
        <w:rPr>
          <w:rFonts w:ascii="Times New Roman" w:hAnsi="Times New Roman"/>
        </w:rPr>
        <w:t>5.3</w:t>
      </w:r>
      <w:r w:rsidRPr="00361C46">
        <w:rPr>
          <w:rFonts w:ascii="Times New Roman" w:hAnsi="Times New Roman"/>
        </w:rPr>
        <w:tab/>
        <w:t>Ikiklinikinių saugumo tyrim</w:t>
      </w:r>
      <w:r w:rsidR="00C73801">
        <w:rPr>
          <w:b w:val="0"/>
        </w:rPr>
        <w:t>ų</w:t>
      </w:r>
      <w:r w:rsidRPr="00361C46">
        <w:rPr>
          <w:rFonts w:ascii="Times New Roman" w:hAnsi="Times New Roman"/>
        </w:rPr>
        <w:t xml:space="preserve"> duomenys</w:t>
      </w:r>
    </w:p>
    <w:p w14:paraId="3957B84E" w14:textId="77777777" w:rsidR="00033F69" w:rsidRPr="00361C46" w:rsidRDefault="00033F69" w:rsidP="002D197C">
      <w:pPr>
        <w:keepNext/>
      </w:pPr>
    </w:p>
    <w:p w14:paraId="754649E5" w14:textId="77777777" w:rsidR="00033F69" w:rsidRPr="00361C46" w:rsidRDefault="00033F69" w:rsidP="00033F69">
      <w:r w:rsidRPr="00361C46">
        <w:t>Filgrastimas tirtas iki 1 metų trukmės kartotinių dozių toksiškumo tyrimuose, kurių metu nustatyti pokyčiai priskirtini prie tikėtino farmakologinio poveikio, įskaitant leukocitų skaičiaus padidėjimą, kaulų čiulpų mieloidinę hiperplaziją, ekstrameduliarinę granulopoezę ir blužnies padidėjimą. Visi šie pokyčiai atsistatė nutraukus gydymą.</w:t>
      </w:r>
    </w:p>
    <w:p w14:paraId="248DD3EC" w14:textId="77777777" w:rsidR="00033F69" w:rsidRPr="00361C46" w:rsidRDefault="00033F69" w:rsidP="00033F69"/>
    <w:p w14:paraId="7007D6C7" w14:textId="77777777" w:rsidR="00033F69" w:rsidRPr="00361C46" w:rsidRDefault="00033F69" w:rsidP="00033F69">
      <w:r w:rsidRPr="00361C46">
        <w:t xml:space="preserve">Filgrastimo poveikis prenataliniam vystymuisi buvo tirtas su žiurkėmis ir triušiais. </w:t>
      </w:r>
      <w:r>
        <w:t>Vaikingoms</w:t>
      </w:r>
      <w:r w:rsidRPr="00361C46">
        <w:t xml:space="preserve"> triušių patelėms organogenezės metu į veną leidžiamas (80</w:t>
      </w:r>
      <w:r w:rsidRPr="00361C46">
        <w:rPr>
          <w:rFonts w:eastAsia="SimSun" w:cs="Arial"/>
          <w:lang w:eastAsia="zh-CN"/>
        </w:rPr>
        <w:t> μg/kg/parą)</w:t>
      </w:r>
      <w:r w:rsidRPr="00361C46">
        <w:t xml:space="preserve"> filgrastimas, buvo toksiškas patelei ir padidino spontaninių persileidimų, persileidimų po implantacijos dažnį, sumažino vidutinį gyvų jauniklių </w:t>
      </w:r>
      <w:r>
        <w:t xml:space="preserve">vados </w:t>
      </w:r>
      <w:r w:rsidRPr="00361C46">
        <w:t xml:space="preserve">dydį ir vaisiaus svorį. </w:t>
      </w:r>
    </w:p>
    <w:p w14:paraId="77C78C85" w14:textId="77777777" w:rsidR="00033F69" w:rsidRPr="00361C46" w:rsidRDefault="00033F69" w:rsidP="00033F69"/>
    <w:p w14:paraId="3D66D0D0" w14:textId="28C48BB4" w:rsidR="00033F69" w:rsidRPr="00361C46" w:rsidRDefault="00033F69" w:rsidP="00033F69">
      <w:r w:rsidRPr="00361C46">
        <w:t>Remiantis pranešimų apie kito filgrastimo, panašaus į Neupogen, duomenimis, gauti panašūs duomenys bei padidėjęs vaisiaus apsigimimų dažnis duodant 100</w:t>
      </w:r>
      <w:r w:rsidRPr="00361C46">
        <w:rPr>
          <w:rFonts w:eastAsia="SimSun" w:cs="Arial"/>
          <w:lang w:eastAsia="zh-CN"/>
        </w:rPr>
        <w:t xml:space="preserve"> μg/kg/parą dozę, kuri buvo toksinė patelei ir atitiko maždaug 50 – 90 kartų viršijančią sisteminę </w:t>
      </w:r>
      <w:r>
        <w:rPr>
          <w:rFonts w:eastAsia="SimSun" w:cs="Arial"/>
          <w:lang w:eastAsia="zh-CN"/>
        </w:rPr>
        <w:t>ekspoziciją</w:t>
      </w:r>
      <w:r w:rsidRPr="00361C46">
        <w:rPr>
          <w:rFonts w:eastAsia="SimSun" w:cs="Arial"/>
          <w:lang w:eastAsia="zh-CN"/>
        </w:rPr>
        <w:t xml:space="preserve"> nei buvo stebėta pacientams, gydytiems klinikine 5 μg/kg/parą doze. </w:t>
      </w:r>
      <w:r w:rsidRPr="00361C46">
        <w:t xml:space="preserve">Toksinio nepageidaujamo poveikio embrionui ir vaisiui nestebėta duodant 10 μg/kg/parą dozę, maždaug 3-5 kartus viršijančią sisteminę </w:t>
      </w:r>
      <w:r>
        <w:t>ekspoziciją</w:t>
      </w:r>
      <w:r w:rsidRPr="00361C46">
        <w:t xml:space="preserve"> nei buvo stebėta pacientams, gydytiems klinikine doze.</w:t>
      </w:r>
    </w:p>
    <w:p w14:paraId="2C659734" w14:textId="77777777" w:rsidR="00033F69" w:rsidRPr="00361C46" w:rsidRDefault="00033F69" w:rsidP="00033F69"/>
    <w:p w14:paraId="50665EFC" w14:textId="77777777" w:rsidR="00033F69" w:rsidRPr="00361C46" w:rsidRDefault="00033F69" w:rsidP="00033F69">
      <w:r>
        <w:t>Vaikingoms</w:t>
      </w:r>
      <w:r w:rsidRPr="00361C46">
        <w:t xml:space="preserve"> žiurkėms, gavusioms iki 575</w:t>
      </w:r>
      <w:r w:rsidRPr="00361C46">
        <w:rPr>
          <w:rFonts w:eastAsia="SimSun" w:cs="Arial"/>
          <w:lang w:eastAsia="zh-CN"/>
        </w:rPr>
        <w:t> μg/kg/parą</w:t>
      </w:r>
      <w:r w:rsidRPr="00361C46" w:rsidDel="00E22727">
        <w:t xml:space="preserve"> </w:t>
      </w:r>
      <w:r w:rsidRPr="00361C46">
        <w:t xml:space="preserve">dozes, toksinis poveikis </w:t>
      </w:r>
      <w:r>
        <w:t>patelei</w:t>
      </w:r>
      <w:r w:rsidRPr="00361C46">
        <w:t xml:space="preserve"> ir vaisiui nestebėtas. Žiurkių palikuoniams, kurie perinataliniu ir laktacijos metu gavo filgrastimo, pasireiškė išorinės diferenciacijos ir augimo sulėtėjimas (≥</w:t>
      </w:r>
      <w:r w:rsidR="0053108E">
        <w:t> </w:t>
      </w:r>
      <w:r w:rsidRPr="00361C46">
        <w:t>20 µg/kg/parą) ir nežymiai sumažėjo išgyvenamumo dažnis (100 µg/kg/parą).</w:t>
      </w:r>
    </w:p>
    <w:p w14:paraId="0256D320" w14:textId="77777777" w:rsidR="00033F69" w:rsidRPr="00361C46" w:rsidRDefault="00033F69" w:rsidP="00033F69"/>
    <w:p w14:paraId="57EE237A" w14:textId="77777777" w:rsidR="00033F69" w:rsidRPr="00361C46" w:rsidRDefault="00033F69" w:rsidP="00033F69">
      <w:r w:rsidRPr="00361C46">
        <w:t xml:space="preserve">Filgrastimo poveikis žiurkių patelių ir patinėlių vaisingumui nestebėtas. </w:t>
      </w:r>
    </w:p>
    <w:p w14:paraId="65D3E9A5" w14:textId="77777777" w:rsidR="00033F69" w:rsidRPr="00656251" w:rsidRDefault="00033F69" w:rsidP="00033F69">
      <w:pPr>
        <w:keepNext/>
      </w:pPr>
    </w:p>
    <w:p w14:paraId="0DB7461F" w14:textId="77777777" w:rsidR="00033F69" w:rsidRPr="00656251" w:rsidRDefault="00033F69" w:rsidP="00033F69">
      <w:pPr>
        <w:keepNext/>
      </w:pPr>
    </w:p>
    <w:p w14:paraId="4B09CB4F" w14:textId="77777777" w:rsidR="00033F69" w:rsidRPr="007240E0" w:rsidRDefault="00033F69" w:rsidP="00656251">
      <w:pPr>
        <w:pStyle w:val="Antrat1"/>
        <w:tabs>
          <w:tab w:val="left" w:pos="567"/>
        </w:tabs>
        <w:rPr>
          <w:rFonts w:ascii="Times New Roman" w:hAnsi="Times New Roman"/>
          <w:sz w:val="22"/>
        </w:rPr>
      </w:pPr>
      <w:r w:rsidRPr="007240E0">
        <w:rPr>
          <w:rFonts w:ascii="Times New Roman" w:hAnsi="Times New Roman"/>
          <w:sz w:val="22"/>
        </w:rPr>
        <w:t>6.</w:t>
      </w:r>
      <w:r w:rsidRPr="007240E0">
        <w:rPr>
          <w:rFonts w:ascii="Times New Roman" w:hAnsi="Times New Roman"/>
          <w:sz w:val="22"/>
        </w:rPr>
        <w:tab/>
        <w:t>FARMACINĖ INFORMACIJA</w:t>
      </w:r>
    </w:p>
    <w:p w14:paraId="51C96A71" w14:textId="77777777" w:rsidR="00033F69" w:rsidRPr="00656251" w:rsidRDefault="00033F69" w:rsidP="00033F69">
      <w:pPr>
        <w:keepNext/>
      </w:pPr>
    </w:p>
    <w:p w14:paraId="37055B9A" w14:textId="77777777" w:rsidR="00033F69" w:rsidRPr="00656251" w:rsidRDefault="00033F69" w:rsidP="00656251">
      <w:pPr>
        <w:pStyle w:val="Antrat2"/>
        <w:tabs>
          <w:tab w:val="left" w:pos="567"/>
        </w:tabs>
        <w:rPr>
          <w:rFonts w:ascii="Times New Roman" w:hAnsi="Times New Roman"/>
        </w:rPr>
      </w:pPr>
      <w:r w:rsidRPr="00656251">
        <w:rPr>
          <w:rFonts w:ascii="Times New Roman" w:hAnsi="Times New Roman"/>
        </w:rPr>
        <w:t>6.1</w:t>
      </w:r>
      <w:r w:rsidRPr="00656251">
        <w:rPr>
          <w:rFonts w:ascii="Times New Roman" w:hAnsi="Times New Roman"/>
        </w:rPr>
        <w:tab/>
        <w:t>Pagalbinių medžiagų sąrašas</w:t>
      </w:r>
    </w:p>
    <w:p w14:paraId="6397E1A9" w14:textId="77777777" w:rsidR="00033F69" w:rsidRPr="00656251" w:rsidRDefault="00033F69" w:rsidP="00033F69">
      <w:pPr>
        <w:keepNext/>
      </w:pPr>
    </w:p>
    <w:p w14:paraId="54B8EB82" w14:textId="77777777" w:rsidR="00033F69" w:rsidRPr="00361C46" w:rsidRDefault="00033F69" w:rsidP="00033F69">
      <w:pPr>
        <w:keepNext/>
      </w:pPr>
      <w:r w:rsidRPr="00361C46">
        <w:t>Natrio acetatas*</w:t>
      </w:r>
    </w:p>
    <w:p w14:paraId="552FAF45" w14:textId="77777777" w:rsidR="00033F69" w:rsidRPr="00361C46" w:rsidRDefault="00033F69" w:rsidP="00033F69">
      <w:r w:rsidRPr="00361C46">
        <w:t>Sorbitolis (E420)</w:t>
      </w:r>
    </w:p>
    <w:p w14:paraId="2163CA20" w14:textId="77777777" w:rsidR="00033F69" w:rsidRPr="00361C46" w:rsidRDefault="00033F69" w:rsidP="00033F69">
      <w:r w:rsidRPr="00361C46">
        <w:t>Polisorbatas</w:t>
      </w:r>
      <w:r w:rsidR="00037F9D">
        <w:t> </w:t>
      </w:r>
      <w:r w:rsidRPr="00361C46">
        <w:t xml:space="preserve">80 </w:t>
      </w:r>
    </w:p>
    <w:p w14:paraId="0C4E0239" w14:textId="77777777" w:rsidR="00033F69" w:rsidRPr="00361C46" w:rsidRDefault="00033F69" w:rsidP="00033F69">
      <w:r w:rsidRPr="00361C46">
        <w:t>Injekcinis vanduo</w:t>
      </w:r>
    </w:p>
    <w:p w14:paraId="27B7FAF5" w14:textId="77777777" w:rsidR="00033F69" w:rsidRPr="00361C46" w:rsidRDefault="00033F69" w:rsidP="00033F69">
      <w:r w:rsidRPr="00361C46">
        <w:t>*Natrio acetatas gaunamas ledinę acto rūgštį titruojant natrio hidroksidu.</w:t>
      </w:r>
    </w:p>
    <w:p w14:paraId="58234FF6" w14:textId="77777777" w:rsidR="00033F69" w:rsidRPr="00361C46" w:rsidRDefault="00033F69" w:rsidP="00033F69"/>
    <w:p w14:paraId="5DBF6ABB" w14:textId="77777777" w:rsidR="00033F69" w:rsidRPr="00361C46" w:rsidRDefault="00033F69" w:rsidP="00656251">
      <w:pPr>
        <w:pStyle w:val="Antrat2"/>
        <w:tabs>
          <w:tab w:val="left" w:pos="567"/>
        </w:tabs>
        <w:rPr>
          <w:rFonts w:ascii="Times New Roman" w:hAnsi="Times New Roman"/>
        </w:rPr>
      </w:pPr>
      <w:r w:rsidRPr="00361C46">
        <w:rPr>
          <w:rFonts w:ascii="Times New Roman" w:hAnsi="Times New Roman"/>
        </w:rPr>
        <w:lastRenderedPageBreak/>
        <w:t>6.2</w:t>
      </w:r>
      <w:r w:rsidRPr="00361C46">
        <w:rPr>
          <w:rFonts w:ascii="Times New Roman" w:hAnsi="Times New Roman"/>
        </w:rPr>
        <w:tab/>
        <w:t>Nesuderinamumas</w:t>
      </w:r>
    </w:p>
    <w:p w14:paraId="136E6406" w14:textId="77777777" w:rsidR="00033F69" w:rsidRPr="00361C46" w:rsidRDefault="00033F69" w:rsidP="00033F69"/>
    <w:p w14:paraId="0CFFF6BA" w14:textId="77777777" w:rsidR="00033F69" w:rsidRPr="00361C46" w:rsidRDefault="00033F69" w:rsidP="00033F69">
      <w:r w:rsidRPr="00361C46">
        <w:t>Neupogen negalima skiesti druskų tirpalais.</w:t>
      </w:r>
    </w:p>
    <w:p w14:paraId="52A8E80E" w14:textId="77777777" w:rsidR="00033F69" w:rsidRPr="00361C46" w:rsidRDefault="00033F69" w:rsidP="00033F69"/>
    <w:p w14:paraId="34DB3A8D" w14:textId="77777777" w:rsidR="00033F69" w:rsidRPr="00361C46" w:rsidRDefault="00033F69" w:rsidP="00033F69">
      <w:r w:rsidRPr="00361C46">
        <w:t>Praskiestas filgrastimas gali absorbuotis ant stiklinių arba plastikinių paviršių.</w:t>
      </w:r>
    </w:p>
    <w:p w14:paraId="5962086A" w14:textId="77777777" w:rsidR="00033F69" w:rsidRPr="00361C46" w:rsidRDefault="00033F69" w:rsidP="00033F69"/>
    <w:p w14:paraId="20E9B881" w14:textId="77777777" w:rsidR="00033F69" w:rsidRPr="00361C46" w:rsidRDefault="00033F69" w:rsidP="00033F69">
      <w:r w:rsidRPr="00361C46">
        <w:t xml:space="preserve">Šio vaistinio preparato negalima maišyti su kitais, išskyrus </w:t>
      </w:r>
      <w:r w:rsidR="00F05640">
        <w:t xml:space="preserve">nurodytus </w:t>
      </w:r>
      <w:r w:rsidRPr="00361C46">
        <w:t>6.6 skyriuje.</w:t>
      </w:r>
    </w:p>
    <w:p w14:paraId="4157F937" w14:textId="77777777" w:rsidR="00033F69" w:rsidRPr="00361C46" w:rsidRDefault="00033F69" w:rsidP="00033F69"/>
    <w:p w14:paraId="67009057" w14:textId="77777777" w:rsidR="00033F69" w:rsidRPr="00361C46" w:rsidRDefault="00033F69" w:rsidP="00656251">
      <w:pPr>
        <w:pStyle w:val="Antrat2"/>
        <w:tabs>
          <w:tab w:val="left" w:pos="567"/>
        </w:tabs>
        <w:rPr>
          <w:rFonts w:ascii="Times New Roman" w:hAnsi="Times New Roman"/>
        </w:rPr>
      </w:pPr>
      <w:r w:rsidRPr="00361C46">
        <w:rPr>
          <w:rFonts w:ascii="Times New Roman" w:hAnsi="Times New Roman"/>
        </w:rPr>
        <w:t>6.3</w:t>
      </w:r>
      <w:r w:rsidRPr="00361C46">
        <w:rPr>
          <w:rFonts w:ascii="Times New Roman" w:hAnsi="Times New Roman"/>
        </w:rPr>
        <w:tab/>
        <w:t>Tinkamumo laikas</w:t>
      </w:r>
    </w:p>
    <w:p w14:paraId="1BAE3FE3" w14:textId="77777777" w:rsidR="00033F69" w:rsidRPr="00361C46" w:rsidRDefault="00033F69" w:rsidP="00033F69"/>
    <w:p w14:paraId="06D5989F" w14:textId="77777777" w:rsidR="00033F69" w:rsidRPr="00361C46" w:rsidRDefault="00033F69" w:rsidP="00033F69">
      <w:r w:rsidRPr="00361C46">
        <w:t>30 mėnesių.</w:t>
      </w:r>
    </w:p>
    <w:p w14:paraId="4B4CC53B" w14:textId="77777777" w:rsidR="00033F69" w:rsidRPr="00361C46" w:rsidRDefault="00033F69" w:rsidP="00033F69"/>
    <w:p w14:paraId="5B374E7C" w14:textId="77777777" w:rsidR="00033F69" w:rsidRPr="00361C46" w:rsidRDefault="00033F69" w:rsidP="00033F69">
      <w:r w:rsidRPr="00361C46">
        <w:t xml:space="preserve">Praskiesto </w:t>
      </w:r>
      <w:r w:rsidR="00F05640">
        <w:t>infuzinio tirpalo</w:t>
      </w:r>
      <w:r w:rsidRPr="00361C46">
        <w:t xml:space="preserve"> cheminės ir fizikinės savybės išlieka stabilios 24 valandas 2 </w:t>
      </w:r>
      <w:r w:rsidR="00656251">
        <w:t>°</w:t>
      </w:r>
      <w:r w:rsidRPr="00361C46">
        <w:t>C – 8 </w:t>
      </w:r>
      <w:r w:rsidR="00656251">
        <w:t>°</w:t>
      </w:r>
      <w:r w:rsidRPr="00361C46">
        <w:t>C temperatūroje. Mikrobiologiniu požiūriu, praskiestą tirpalą reikia suvartoti iškart. Jei tirpalas nesuvartojamas iš karto, už tirpalo saugojimo laiką ir sąlygas atsako pats vartotojas, bet paprastai laikymo trukmė neturi būti ilgesnė nei 24 valandos esant 2 </w:t>
      </w:r>
      <w:r w:rsidR="00656251">
        <w:t>°</w:t>
      </w:r>
      <w:r w:rsidRPr="00361C46">
        <w:t>C – 8 </w:t>
      </w:r>
      <w:r w:rsidR="00656251">
        <w:t>°</w:t>
      </w:r>
      <w:r w:rsidRPr="00361C46">
        <w:t>C temperatūrai, išskyrus atvejus, kai vaistinis preparatas ruošiamas patvirtintoje kontroliuojamojoje aseptinėje aplinkoje.</w:t>
      </w:r>
    </w:p>
    <w:p w14:paraId="73CAD405" w14:textId="77777777" w:rsidR="00033F69" w:rsidRPr="00361C46" w:rsidRDefault="00033F69" w:rsidP="00033F69"/>
    <w:p w14:paraId="4734B003" w14:textId="77777777" w:rsidR="00033F69" w:rsidRPr="00361C46" w:rsidRDefault="00033F69" w:rsidP="00AA377C">
      <w:pPr>
        <w:pStyle w:val="Antrat2"/>
        <w:keepLines/>
        <w:tabs>
          <w:tab w:val="left" w:pos="567"/>
        </w:tabs>
        <w:rPr>
          <w:rFonts w:ascii="Times New Roman" w:hAnsi="Times New Roman"/>
        </w:rPr>
      </w:pPr>
      <w:r w:rsidRPr="00361C46">
        <w:rPr>
          <w:rFonts w:ascii="Times New Roman" w:hAnsi="Times New Roman"/>
        </w:rPr>
        <w:t>6.4</w:t>
      </w:r>
      <w:r w:rsidRPr="00361C46">
        <w:rPr>
          <w:rFonts w:ascii="Times New Roman" w:hAnsi="Times New Roman"/>
        </w:rPr>
        <w:tab/>
        <w:t>Specialios laikymo sąlygos</w:t>
      </w:r>
    </w:p>
    <w:p w14:paraId="4B514805" w14:textId="77777777" w:rsidR="00033F69" w:rsidRPr="00361C46" w:rsidRDefault="00033F69" w:rsidP="00033F69">
      <w:pPr>
        <w:keepNext/>
        <w:keepLines/>
      </w:pPr>
    </w:p>
    <w:p w14:paraId="0844B4FF" w14:textId="77777777" w:rsidR="00033F69" w:rsidRPr="00361C46" w:rsidRDefault="00033F69" w:rsidP="00033F69">
      <w:pPr>
        <w:keepNext/>
        <w:keepLines/>
      </w:pPr>
      <w:r w:rsidRPr="00361C46">
        <w:t>Laikyti šaldytuve (2 </w:t>
      </w:r>
      <w:r w:rsidR="00656251">
        <w:t>°</w:t>
      </w:r>
      <w:r w:rsidRPr="00361C46">
        <w:t>C – 8 </w:t>
      </w:r>
      <w:r w:rsidR="00656251">
        <w:t>°</w:t>
      </w:r>
      <w:r w:rsidRPr="00361C46">
        <w:t>C).</w:t>
      </w:r>
    </w:p>
    <w:p w14:paraId="4EE0518F" w14:textId="77777777" w:rsidR="00033F69" w:rsidRPr="00361C46" w:rsidRDefault="00033F69" w:rsidP="00033F69">
      <w:pPr>
        <w:keepNext/>
        <w:keepLines/>
      </w:pPr>
    </w:p>
    <w:p w14:paraId="0EA5BA43" w14:textId="77777777" w:rsidR="00033F69" w:rsidRPr="00361C46" w:rsidDel="00D64146" w:rsidRDefault="00033F69" w:rsidP="00033F69">
      <w:pPr>
        <w:keepNext/>
        <w:keepLines/>
      </w:pPr>
      <w:r w:rsidRPr="00361C46">
        <w:t>Praskiesto vaistinio preparato laikymo sąlygos pateikiamos 6.3 skyriuje.</w:t>
      </w:r>
    </w:p>
    <w:p w14:paraId="06E7519E" w14:textId="77777777" w:rsidR="00033F69" w:rsidRPr="00361C46" w:rsidRDefault="00033F69" w:rsidP="00033F69">
      <w:pPr>
        <w:keepNext/>
        <w:keepLines/>
      </w:pPr>
    </w:p>
    <w:p w14:paraId="7332D37E" w14:textId="77777777" w:rsidR="00033F69" w:rsidRPr="00361C46" w:rsidRDefault="00033F69" w:rsidP="00033F69">
      <w:pPr>
        <w:keepNext/>
        <w:keepLines/>
      </w:pPr>
      <w:r w:rsidRPr="00361C46">
        <w:t>Atsitiktinai užšaldžius Neupogen stabilumas nekinta.</w:t>
      </w:r>
    </w:p>
    <w:p w14:paraId="7FE87258" w14:textId="77777777" w:rsidR="00033F69" w:rsidRPr="00361C46" w:rsidRDefault="00033F69" w:rsidP="00033F69"/>
    <w:p w14:paraId="137797A0" w14:textId="77777777" w:rsidR="00033F69" w:rsidRPr="00361C46" w:rsidRDefault="00033F69" w:rsidP="00033F69">
      <w:r w:rsidRPr="00361C46">
        <w:t xml:space="preserve">Talpyklę laikyti išorinėje dėžutėje, kad </w:t>
      </w:r>
      <w:r w:rsidR="00F05640">
        <w:t xml:space="preserve">vaistinis </w:t>
      </w:r>
      <w:r w:rsidRPr="00361C46">
        <w:t>preparatas būtų apsaugotas nuo šviesos.</w:t>
      </w:r>
    </w:p>
    <w:p w14:paraId="6E00A020" w14:textId="77777777" w:rsidR="00033F69" w:rsidRPr="00361C46" w:rsidRDefault="00033F69" w:rsidP="00033F69"/>
    <w:p w14:paraId="290BE503" w14:textId="77777777" w:rsidR="00033F69" w:rsidRPr="00361C46" w:rsidRDefault="00033F69" w:rsidP="00AA377C">
      <w:pPr>
        <w:pStyle w:val="Antrat2"/>
        <w:tabs>
          <w:tab w:val="left" w:pos="567"/>
        </w:tabs>
        <w:rPr>
          <w:rFonts w:ascii="Times New Roman" w:hAnsi="Times New Roman"/>
        </w:rPr>
      </w:pPr>
      <w:r w:rsidRPr="00361C46">
        <w:rPr>
          <w:rFonts w:ascii="Times New Roman" w:hAnsi="Times New Roman"/>
        </w:rPr>
        <w:t>6.5</w:t>
      </w:r>
      <w:r w:rsidRPr="00361C46">
        <w:rPr>
          <w:rFonts w:ascii="Times New Roman" w:hAnsi="Times New Roman"/>
        </w:rPr>
        <w:tab/>
        <w:t>Talpyklės pobūdis ir jos turinys</w:t>
      </w:r>
    </w:p>
    <w:p w14:paraId="485D6175" w14:textId="77777777" w:rsidR="00033F69" w:rsidRPr="00361C46" w:rsidRDefault="00033F69" w:rsidP="00033F69"/>
    <w:p w14:paraId="41709647" w14:textId="77777777" w:rsidR="00033F69" w:rsidRPr="00361C46" w:rsidRDefault="00033F69" w:rsidP="00033F69">
      <w:r w:rsidRPr="00361C46">
        <w:t>Pakuotėje yra vienas ar penki 0,5 ml Neupogen injekciniu tirpalu užpildyti švirkštai.</w:t>
      </w:r>
    </w:p>
    <w:p w14:paraId="1741F44B" w14:textId="77777777" w:rsidR="00033F69" w:rsidRPr="00361C46" w:rsidRDefault="00033F69" w:rsidP="00033F69"/>
    <w:p w14:paraId="58459432" w14:textId="77777777" w:rsidR="00033F69" w:rsidRPr="00361C46" w:rsidRDefault="00033F69" w:rsidP="00033F69">
      <w:r w:rsidRPr="00361C46">
        <w:t>Užpildyti švirkštai gaminami iš I tipo stiklo</w:t>
      </w:r>
      <w:r>
        <w:t>, prie galiuko yra prijungta nenuimama nerūdijančio plieno adata</w:t>
      </w:r>
      <w:r w:rsidRPr="00361C46">
        <w:t xml:space="preserve">. Užpildyto švirkšto adatos dangtelio sudėtyje yra sausos natūralios gumos (latekso darinio) </w:t>
      </w:r>
      <w:r w:rsidRPr="00361C46">
        <w:rPr>
          <w:lang w:eastAsia="en-US"/>
        </w:rPr>
        <w:t>arba sintetinės gumos</w:t>
      </w:r>
      <w:r w:rsidRPr="00361C46">
        <w:t>. Žr. 4.4 skyrių.</w:t>
      </w:r>
    </w:p>
    <w:p w14:paraId="00532FCA" w14:textId="77777777" w:rsidR="00033F69" w:rsidRPr="00361C46" w:rsidRDefault="00033F69" w:rsidP="00033F69"/>
    <w:p w14:paraId="125D01E5" w14:textId="77777777" w:rsidR="00033F69" w:rsidRPr="00361C46" w:rsidRDefault="00033F69" w:rsidP="00033F69">
      <w:r w:rsidRPr="00361C46">
        <w:t>Gali būti tiekiamos ne visų dydžių pakuotės.</w:t>
      </w:r>
    </w:p>
    <w:p w14:paraId="151E79CC" w14:textId="77777777" w:rsidR="00033F69" w:rsidRPr="00361C46" w:rsidRDefault="00033F69" w:rsidP="00033F69"/>
    <w:p w14:paraId="4D335384" w14:textId="77777777" w:rsidR="00033F69" w:rsidRPr="00361C46" w:rsidRDefault="00033F69" w:rsidP="0086668B">
      <w:pPr>
        <w:pStyle w:val="Antrat2"/>
        <w:tabs>
          <w:tab w:val="left" w:pos="567"/>
        </w:tabs>
        <w:rPr>
          <w:rFonts w:ascii="Times New Roman" w:hAnsi="Times New Roman"/>
        </w:rPr>
      </w:pPr>
      <w:r w:rsidRPr="00361C46">
        <w:rPr>
          <w:rFonts w:ascii="Times New Roman" w:hAnsi="Times New Roman"/>
        </w:rPr>
        <w:t>6.6</w:t>
      </w:r>
      <w:r w:rsidRPr="00361C46">
        <w:rPr>
          <w:rFonts w:ascii="Times New Roman" w:hAnsi="Times New Roman"/>
        </w:rPr>
        <w:tab/>
        <w:t>Specialūs reikalavimai atliekoms tvarkyti ir vaistiniam preparatui ruošti</w:t>
      </w:r>
    </w:p>
    <w:p w14:paraId="4517DB22" w14:textId="77777777" w:rsidR="00033F69" w:rsidRPr="00361C46" w:rsidRDefault="00033F69" w:rsidP="00033F69">
      <w:pPr>
        <w:keepNext/>
      </w:pPr>
    </w:p>
    <w:p w14:paraId="3F3E6DC9" w14:textId="77777777" w:rsidR="00033F69" w:rsidRPr="00361C46" w:rsidRDefault="00033F69" w:rsidP="00033F69">
      <w:r w:rsidRPr="00361C46">
        <w:t>Prireikus Neupogen galima praskiesti 5</w:t>
      </w:r>
      <w:r w:rsidR="001546DD">
        <w:t> </w:t>
      </w:r>
      <w:r w:rsidRPr="00361C46">
        <w:t>% gliukozės tirpalu.</w:t>
      </w:r>
    </w:p>
    <w:p w14:paraId="590687F8" w14:textId="77777777" w:rsidR="00033F69" w:rsidRPr="00361C46" w:rsidRDefault="00033F69" w:rsidP="00033F69"/>
    <w:p w14:paraId="6A9B07AA" w14:textId="77777777" w:rsidR="00033F69" w:rsidRPr="00361C46" w:rsidRDefault="00033F69" w:rsidP="00033F69">
      <w:r w:rsidRPr="00361C46">
        <w:t>Nerekomenduojama skiesti iki mažesnės nei 0,2 milijono vienetų (2 </w:t>
      </w:r>
      <w:r w:rsidRPr="00361C46">
        <w:sym w:font="Symbol" w:char="F06D"/>
      </w:r>
      <w:r w:rsidRPr="00361C46">
        <w:t>g)/ml galutinės koncentracijos.</w:t>
      </w:r>
    </w:p>
    <w:p w14:paraId="5881E50A" w14:textId="77777777" w:rsidR="00033F69" w:rsidRPr="00361C46" w:rsidRDefault="00033F69" w:rsidP="00033F69"/>
    <w:p w14:paraId="0A3C9A23" w14:textId="77777777" w:rsidR="00033F69" w:rsidRPr="00361C46" w:rsidRDefault="00033F69" w:rsidP="00033F69">
      <w:r w:rsidRPr="00361C46">
        <w:t xml:space="preserve">Prieš vartojimą tirpalą reikia apžiūrėti. Galima vartoti tik skaidrų tirpalą be jokių dalelių. </w:t>
      </w:r>
    </w:p>
    <w:p w14:paraId="51F1DA99" w14:textId="77777777" w:rsidR="00033F69" w:rsidRPr="00361C46" w:rsidRDefault="00033F69" w:rsidP="00033F69"/>
    <w:p w14:paraId="465C0E07" w14:textId="77777777" w:rsidR="00033F69" w:rsidRPr="00361C46" w:rsidRDefault="00033F69" w:rsidP="00033F69">
      <w:r w:rsidRPr="00361C46">
        <w:t>Jeigu Neupogen skiedžiamas iki koncentracijos, mažesnės už 1,5 milijono vienetų (15 µg)/ml, reikia pridėti tiek žmogaus serumo albumino, kad galutinė koncentracija būtų 2 mg/ml.</w:t>
      </w:r>
    </w:p>
    <w:p w14:paraId="5492F257" w14:textId="77777777" w:rsidR="00033F69" w:rsidRPr="00361C46" w:rsidRDefault="00033F69" w:rsidP="00033F69"/>
    <w:p w14:paraId="2467DE9B" w14:textId="77777777" w:rsidR="00033F69" w:rsidRPr="00361C46" w:rsidRDefault="00033F69" w:rsidP="00033F69">
      <w:r w:rsidRPr="00361C46">
        <w:t xml:space="preserve">Pavyzdys: </w:t>
      </w:r>
      <w:r w:rsidR="00923B3F">
        <w:t>g</w:t>
      </w:r>
      <w:r w:rsidRPr="00361C46">
        <w:t>alutiniam 20 ml tūrio injekc</w:t>
      </w:r>
      <w:r w:rsidR="00923B3F">
        <w:t>iniam</w:t>
      </w:r>
      <w:r w:rsidRPr="00361C46">
        <w:t xml:space="preserve"> tirpalui, kai bendra Neupogen dozė mažesnė už 30 milijonų vienetų (300 µg), reikia pridėti 0,2 ml 20</w:t>
      </w:r>
      <w:r w:rsidR="001546DD">
        <w:t> </w:t>
      </w:r>
      <w:r w:rsidRPr="00361C46">
        <w:t>% žmogaus albumino tirpalo (</w:t>
      </w:r>
      <w:r w:rsidR="00923B3F">
        <w:t>atitinkančio Europos farmakopėjos reikalavimus</w:t>
      </w:r>
      <w:r w:rsidRPr="00361C46">
        <w:t>).</w:t>
      </w:r>
    </w:p>
    <w:p w14:paraId="3FD3A278" w14:textId="77777777" w:rsidR="00033F69" w:rsidRPr="00361C46" w:rsidRDefault="00033F69" w:rsidP="00033F69"/>
    <w:p w14:paraId="350CBE58" w14:textId="77777777" w:rsidR="00033F69" w:rsidRDefault="00033F69" w:rsidP="00033F69">
      <w:r w:rsidRPr="00361C46">
        <w:t xml:space="preserve">Neupogen </w:t>
      </w:r>
      <w:r w:rsidR="00923B3F">
        <w:t xml:space="preserve">sudėtyje </w:t>
      </w:r>
      <w:r w:rsidRPr="00361C46">
        <w:t>nėra konservantų. Dėl galimo mikrobiologinio užterštumo</w:t>
      </w:r>
      <w:r>
        <w:t xml:space="preserve"> rizikos</w:t>
      </w:r>
      <w:r w:rsidRPr="00361C46">
        <w:t>, Neupogen tiekiamas užpildytuose vienkartiniuose švirkštuose.</w:t>
      </w:r>
    </w:p>
    <w:p w14:paraId="44EF0D43" w14:textId="77777777" w:rsidR="00AA7584" w:rsidRDefault="00AA7584" w:rsidP="00033F69"/>
    <w:p w14:paraId="21DC8E45" w14:textId="77777777" w:rsidR="00AA7584" w:rsidRPr="00361C46" w:rsidRDefault="00AA7584" w:rsidP="00033F69">
      <w:r w:rsidRPr="00361C46">
        <w:lastRenderedPageBreak/>
        <w:t>Praskiedus 5</w:t>
      </w:r>
      <w:r w:rsidR="001546DD">
        <w:t> </w:t>
      </w:r>
      <w:r w:rsidRPr="00361C46">
        <w:t>% gliukozės tirpalu, Neupogen galima laikyti stikli</w:t>
      </w:r>
      <w:r w:rsidR="00923B3F">
        <w:t>nėse</w:t>
      </w:r>
      <w:r w:rsidRPr="00361C46">
        <w:t xml:space="preserve"> ir </w:t>
      </w:r>
      <w:r w:rsidR="00923B3F">
        <w:t>plastikinėse talpyklėse</w:t>
      </w:r>
      <w:r w:rsidRPr="00361C46">
        <w:t>, įskaitant t</w:t>
      </w:r>
      <w:r w:rsidR="00923B3F">
        <w:t>a</w:t>
      </w:r>
      <w:r w:rsidRPr="00361C46">
        <w:t>s, kuri</w:t>
      </w:r>
      <w:r w:rsidR="00923B3F">
        <w:t>os</w:t>
      </w:r>
      <w:r w:rsidRPr="00361C46">
        <w:t xml:space="preserve"> pagamint</w:t>
      </w:r>
      <w:r w:rsidR="00923B3F">
        <w:t>os</w:t>
      </w:r>
      <w:r w:rsidRPr="00361C46">
        <w:t xml:space="preserve"> iš PVC, poliolefino (polipropileno ir polietileno kopolimero) ir polipropileno.</w:t>
      </w:r>
    </w:p>
    <w:p w14:paraId="254AB91F" w14:textId="77777777" w:rsidR="00D24A7B" w:rsidRPr="006F0805" w:rsidRDefault="00D24A7B" w:rsidP="00D24A7B">
      <w:pPr>
        <w:rPr>
          <w:lang w:val="pt-BR"/>
        </w:rPr>
      </w:pPr>
    </w:p>
    <w:p w14:paraId="3EAC9BC0" w14:textId="77777777" w:rsidR="00D24A7B" w:rsidRPr="006F0805" w:rsidRDefault="00D24A7B" w:rsidP="00D24A7B">
      <w:pPr>
        <w:rPr>
          <w:lang w:val="pt-BR"/>
        </w:rPr>
      </w:pPr>
      <w:r w:rsidRPr="006F0805">
        <w:rPr>
          <w:lang w:val="pt-BR"/>
        </w:rPr>
        <w:t xml:space="preserve">Nesuvartotą </w:t>
      </w:r>
      <w:r w:rsidR="00C0072D" w:rsidRPr="006F0805">
        <w:rPr>
          <w:lang w:val="pt-BR"/>
        </w:rPr>
        <w:t>vaistin</w:t>
      </w:r>
      <w:r w:rsidR="00C0072D" w:rsidRPr="006F0805">
        <w:t>į</w:t>
      </w:r>
      <w:r w:rsidR="00C0072D" w:rsidRPr="00AE03B0">
        <w:t xml:space="preserve"> </w:t>
      </w:r>
      <w:r w:rsidRPr="006F0805">
        <w:rPr>
          <w:lang w:val="pt-BR"/>
        </w:rPr>
        <w:t>preparatą ar atliekas reikia tvarkyti laikantis vietinių reikalavimų.</w:t>
      </w:r>
    </w:p>
    <w:p w14:paraId="7EDFE525" w14:textId="77777777" w:rsidR="00D24A7B" w:rsidRPr="006F0805" w:rsidRDefault="00D24A7B" w:rsidP="00D24A7B">
      <w:pPr>
        <w:rPr>
          <w:lang w:val="pt-BR"/>
        </w:rPr>
      </w:pPr>
    </w:p>
    <w:p w14:paraId="6E66B8D2" w14:textId="77777777" w:rsidR="0048150B" w:rsidRPr="006F0805" w:rsidRDefault="0048150B" w:rsidP="00D24A7B">
      <w:pPr>
        <w:rPr>
          <w:lang w:val="pt-BR"/>
        </w:rPr>
      </w:pPr>
    </w:p>
    <w:p w14:paraId="75CD3E35" w14:textId="77777777" w:rsidR="00D24A7B" w:rsidRPr="006F0805" w:rsidRDefault="00D24A7B" w:rsidP="0086668B">
      <w:pPr>
        <w:pStyle w:val="Antrat1"/>
        <w:tabs>
          <w:tab w:val="left" w:pos="567"/>
        </w:tabs>
        <w:rPr>
          <w:rFonts w:ascii="Times New Roman" w:hAnsi="Times New Roman"/>
          <w:sz w:val="22"/>
          <w:szCs w:val="22"/>
        </w:rPr>
      </w:pPr>
      <w:r w:rsidRPr="006F0805">
        <w:rPr>
          <w:rFonts w:ascii="Times New Roman" w:hAnsi="Times New Roman"/>
          <w:sz w:val="22"/>
          <w:szCs w:val="22"/>
        </w:rPr>
        <w:t>7.</w:t>
      </w:r>
      <w:r w:rsidRPr="006F0805">
        <w:rPr>
          <w:rFonts w:ascii="Times New Roman" w:hAnsi="Times New Roman"/>
          <w:sz w:val="22"/>
          <w:szCs w:val="22"/>
        </w:rPr>
        <w:tab/>
        <w:t>R</w:t>
      </w:r>
      <w:r w:rsidR="00CF7C4C">
        <w:rPr>
          <w:rFonts w:ascii="Times New Roman" w:hAnsi="Times New Roman"/>
          <w:sz w:val="22"/>
          <w:szCs w:val="22"/>
        </w:rPr>
        <w:t>EGISTRUOTOJAS</w:t>
      </w:r>
    </w:p>
    <w:p w14:paraId="5DD86313" w14:textId="77777777" w:rsidR="00D24A7B" w:rsidRPr="006F0805" w:rsidRDefault="00D24A7B" w:rsidP="00D24A7B">
      <w:pPr>
        <w:rPr>
          <w:lang w:val="pt-BR"/>
        </w:rPr>
      </w:pPr>
    </w:p>
    <w:p w14:paraId="515DB86D" w14:textId="77777777" w:rsidR="00D24A7B" w:rsidRPr="006F0805" w:rsidRDefault="00D24A7B" w:rsidP="00D24A7B">
      <w:pPr>
        <w:rPr>
          <w:lang w:val="pt-BR"/>
        </w:rPr>
      </w:pPr>
      <w:r w:rsidRPr="006F0805">
        <w:rPr>
          <w:lang w:val="pt-BR"/>
        </w:rPr>
        <w:t>Amgen Europe B.V.</w:t>
      </w:r>
    </w:p>
    <w:p w14:paraId="1379165A" w14:textId="77777777" w:rsidR="00D24A7B" w:rsidRPr="006F0805" w:rsidRDefault="00D24A7B" w:rsidP="00D24A7B">
      <w:pPr>
        <w:rPr>
          <w:lang w:val="pt-BR"/>
        </w:rPr>
      </w:pPr>
      <w:r w:rsidRPr="006F0805">
        <w:rPr>
          <w:lang w:val="pt-BR"/>
        </w:rPr>
        <w:t>Minervum 7061</w:t>
      </w:r>
    </w:p>
    <w:p w14:paraId="275B2BA0" w14:textId="77777777" w:rsidR="00D24A7B" w:rsidRPr="006F0805" w:rsidRDefault="00D24A7B" w:rsidP="00D24A7B">
      <w:pPr>
        <w:rPr>
          <w:lang w:val="pt-BR"/>
        </w:rPr>
      </w:pPr>
      <w:r w:rsidRPr="006F0805">
        <w:rPr>
          <w:lang w:val="pt-BR"/>
        </w:rPr>
        <w:t>4817 ZK Breda</w:t>
      </w:r>
    </w:p>
    <w:p w14:paraId="6FA5640D" w14:textId="77777777" w:rsidR="00D24A7B" w:rsidRPr="006F0805" w:rsidRDefault="00D24A7B" w:rsidP="00D24A7B">
      <w:pPr>
        <w:rPr>
          <w:lang w:val="pt-BR"/>
        </w:rPr>
      </w:pPr>
      <w:r w:rsidRPr="006F0805">
        <w:rPr>
          <w:lang w:val="pt-BR"/>
        </w:rPr>
        <w:t>Nyderlandai</w:t>
      </w:r>
    </w:p>
    <w:p w14:paraId="36FC3924" w14:textId="77777777" w:rsidR="00D24A7B" w:rsidRPr="006F0805" w:rsidRDefault="00D24A7B" w:rsidP="00D24A7B">
      <w:pPr>
        <w:rPr>
          <w:lang w:val="pt-BR"/>
        </w:rPr>
      </w:pPr>
    </w:p>
    <w:p w14:paraId="0528DBA5" w14:textId="77777777" w:rsidR="00D24A7B" w:rsidRPr="006F0805" w:rsidRDefault="00D24A7B" w:rsidP="00D24A7B">
      <w:pPr>
        <w:rPr>
          <w:lang w:val="pt-BR"/>
        </w:rPr>
      </w:pPr>
    </w:p>
    <w:p w14:paraId="0B7EF9F3" w14:textId="77777777" w:rsidR="00D24A7B" w:rsidRPr="00AE03B0" w:rsidRDefault="00D24A7B" w:rsidP="0086668B">
      <w:pPr>
        <w:pStyle w:val="Antrat1"/>
        <w:keepNext/>
        <w:tabs>
          <w:tab w:val="left" w:pos="567"/>
        </w:tabs>
        <w:rPr>
          <w:rFonts w:ascii="Times New Roman" w:hAnsi="Times New Roman"/>
          <w:sz w:val="22"/>
          <w:szCs w:val="22"/>
        </w:rPr>
      </w:pPr>
      <w:r w:rsidRPr="006F0805">
        <w:rPr>
          <w:rFonts w:ascii="Times New Roman" w:hAnsi="Times New Roman"/>
          <w:sz w:val="22"/>
          <w:szCs w:val="22"/>
        </w:rPr>
        <w:t>8.</w:t>
      </w:r>
      <w:r w:rsidRPr="006F0805">
        <w:rPr>
          <w:rFonts w:ascii="Times New Roman" w:hAnsi="Times New Roman"/>
          <w:sz w:val="22"/>
          <w:szCs w:val="22"/>
        </w:rPr>
        <w:tab/>
        <w:t>R</w:t>
      </w:r>
      <w:r w:rsidR="00CF7C4C">
        <w:rPr>
          <w:rFonts w:ascii="Times New Roman" w:hAnsi="Times New Roman"/>
          <w:sz w:val="22"/>
          <w:szCs w:val="22"/>
        </w:rPr>
        <w:t>EGISTRACIJOS PAŽYMĖJIMO</w:t>
      </w:r>
      <w:r w:rsidR="0016105B" w:rsidRPr="006F0805">
        <w:rPr>
          <w:rFonts w:ascii="Times New Roman" w:hAnsi="Times New Roman"/>
          <w:sz w:val="22"/>
          <w:szCs w:val="22"/>
        </w:rPr>
        <w:t xml:space="preserve"> </w:t>
      </w:r>
      <w:r w:rsidRPr="00AE03B0">
        <w:rPr>
          <w:rFonts w:ascii="Times New Roman" w:hAnsi="Times New Roman"/>
          <w:sz w:val="22"/>
          <w:szCs w:val="22"/>
        </w:rPr>
        <w:t>NUMER</w:t>
      </w:r>
      <w:r w:rsidR="00CF7C4C">
        <w:rPr>
          <w:rFonts w:ascii="Times New Roman" w:hAnsi="Times New Roman"/>
          <w:sz w:val="22"/>
          <w:szCs w:val="22"/>
        </w:rPr>
        <w:t>IS (-</w:t>
      </w:r>
      <w:r w:rsidRPr="00AE03B0">
        <w:rPr>
          <w:rFonts w:ascii="Times New Roman" w:hAnsi="Times New Roman"/>
          <w:sz w:val="22"/>
          <w:szCs w:val="22"/>
        </w:rPr>
        <w:t>IAI</w:t>
      </w:r>
      <w:r w:rsidR="00CF7C4C">
        <w:rPr>
          <w:rFonts w:ascii="Times New Roman" w:hAnsi="Times New Roman"/>
          <w:sz w:val="22"/>
          <w:szCs w:val="22"/>
        </w:rPr>
        <w:t>)</w:t>
      </w:r>
    </w:p>
    <w:p w14:paraId="21478AD0" w14:textId="77777777" w:rsidR="00D24A7B" w:rsidRPr="006F0805" w:rsidRDefault="00D24A7B" w:rsidP="00AD170C">
      <w:pPr>
        <w:keepNext/>
        <w:rPr>
          <w:lang w:val="pt-BR"/>
        </w:rPr>
      </w:pPr>
    </w:p>
    <w:p w14:paraId="50A5157E" w14:textId="77777777" w:rsidR="00D24A7B" w:rsidRPr="006F0805" w:rsidRDefault="00D24A7B" w:rsidP="00AD170C">
      <w:pPr>
        <w:keepNext/>
        <w:rPr>
          <w:lang w:val="pt-BR"/>
        </w:rPr>
      </w:pPr>
      <w:r w:rsidRPr="006F0805">
        <w:rPr>
          <w:lang w:val="pt-BR"/>
        </w:rPr>
        <w:t>LT/1/05/0371/003</w:t>
      </w:r>
      <w:r w:rsidR="005B68C5">
        <w:rPr>
          <w:lang w:val="pt-BR"/>
        </w:rPr>
        <w:t xml:space="preserve"> – 0,5 ml N1</w:t>
      </w:r>
    </w:p>
    <w:p w14:paraId="68366AFF" w14:textId="77777777" w:rsidR="00D24A7B" w:rsidRPr="006F0805" w:rsidRDefault="00D24A7B" w:rsidP="00AD170C">
      <w:pPr>
        <w:keepNext/>
        <w:rPr>
          <w:lang w:val="pt-BR"/>
        </w:rPr>
      </w:pPr>
      <w:r w:rsidRPr="006F0805">
        <w:rPr>
          <w:lang w:val="pt-BR"/>
        </w:rPr>
        <w:t>LT/1/05/0371/004</w:t>
      </w:r>
      <w:r w:rsidR="005B68C5">
        <w:rPr>
          <w:lang w:val="pt-BR"/>
        </w:rPr>
        <w:t xml:space="preserve"> – 0,5 ml N5</w:t>
      </w:r>
    </w:p>
    <w:p w14:paraId="0AB3ABE1" w14:textId="77777777" w:rsidR="00D24A7B" w:rsidRPr="006F0805" w:rsidRDefault="00D24A7B" w:rsidP="00D24A7B">
      <w:pPr>
        <w:rPr>
          <w:lang w:val="pt-BR"/>
        </w:rPr>
      </w:pPr>
    </w:p>
    <w:p w14:paraId="29D59827" w14:textId="77777777" w:rsidR="00D24A7B" w:rsidRPr="006F0805" w:rsidRDefault="00D24A7B" w:rsidP="00D24A7B">
      <w:pPr>
        <w:rPr>
          <w:lang w:val="pt-BR"/>
        </w:rPr>
      </w:pPr>
    </w:p>
    <w:p w14:paraId="023AD99A" w14:textId="77777777" w:rsidR="00D24A7B" w:rsidRPr="006F0805" w:rsidRDefault="00D24A7B" w:rsidP="00D24A7B">
      <w:pPr>
        <w:rPr>
          <w:b/>
          <w:bCs/>
          <w:lang w:val="pt-BR"/>
        </w:rPr>
      </w:pPr>
      <w:r w:rsidRPr="006F0805">
        <w:rPr>
          <w:b/>
          <w:bCs/>
          <w:lang w:val="pt-BR"/>
        </w:rPr>
        <w:t>9.</w:t>
      </w:r>
      <w:r w:rsidRPr="006F0805">
        <w:rPr>
          <w:b/>
          <w:bCs/>
          <w:lang w:val="pt-BR"/>
        </w:rPr>
        <w:tab/>
        <w:t>R</w:t>
      </w:r>
      <w:r w:rsidR="00CF7C4C">
        <w:rPr>
          <w:b/>
          <w:bCs/>
          <w:lang w:val="pt-BR"/>
        </w:rPr>
        <w:t>EGISTRAVIMO</w:t>
      </w:r>
      <w:r w:rsidR="00CF08D3">
        <w:rPr>
          <w:b/>
          <w:bCs/>
          <w:lang w:val="pt-BR"/>
        </w:rPr>
        <w:t> </w:t>
      </w:r>
      <w:r w:rsidR="00CF7C4C">
        <w:rPr>
          <w:b/>
          <w:bCs/>
          <w:lang w:val="pt-BR"/>
        </w:rPr>
        <w:t>/ PERREGISTRAVIMO</w:t>
      </w:r>
      <w:r w:rsidRPr="006F0805">
        <w:rPr>
          <w:b/>
          <w:bCs/>
          <w:lang w:val="pt-BR"/>
        </w:rPr>
        <w:t xml:space="preserve"> DATA</w:t>
      </w:r>
    </w:p>
    <w:p w14:paraId="26BA9CB9" w14:textId="77777777" w:rsidR="00D24A7B" w:rsidRPr="006F0805" w:rsidRDefault="00D24A7B" w:rsidP="00D24A7B">
      <w:pPr>
        <w:rPr>
          <w:lang w:val="pt-BR"/>
        </w:rPr>
      </w:pPr>
    </w:p>
    <w:p w14:paraId="601B2C64" w14:textId="77777777" w:rsidR="00923B3F" w:rsidRPr="00DD6EC3" w:rsidRDefault="00923B3F" w:rsidP="00923B3F">
      <w:pPr>
        <w:rPr>
          <w:szCs w:val="24"/>
        </w:rPr>
      </w:pPr>
      <w:r w:rsidRPr="00DD6EC3">
        <w:rPr>
          <w:szCs w:val="24"/>
        </w:rPr>
        <w:t>Registravimo data 2005 m. gruodžio 21 d.</w:t>
      </w:r>
    </w:p>
    <w:p w14:paraId="0D82D83D" w14:textId="77777777" w:rsidR="00D24A7B" w:rsidRPr="006F0805" w:rsidRDefault="00CF7C4C" w:rsidP="00D24A7B">
      <w:pPr>
        <w:rPr>
          <w:lang w:val="pt-BR"/>
        </w:rPr>
      </w:pPr>
      <w:r>
        <w:rPr>
          <w:lang w:val="pt-BR"/>
        </w:rPr>
        <w:t xml:space="preserve">Paskutinio perregistravimo data </w:t>
      </w:r>
      <w:r w:rsidR="00D45D92">
        <w:t xml:space="preserve">2018 m. </w:t>
      </w:r>
      <w:r w:rsidR="00D45D92" w:rsidRPr="006D2BAF">
        <w:t xml:space="preserve">gegužės </w:t>
      </w:r>
      <w:r w:rsidR="00D45D92">
        <w:t xml:space="preserve">29 d. </w:t>
      </w:r>
    </w:p>
    <w:p w14:paraId="6FAE62D1" w14:textId="77777777" w:rsidR="00D24A7B" w:rsidRPr="006F0805" w:rsidRDefault="00D24A7B" w:rsidP="00D24A7B">
      <w:pPr>
        <w:rPr>
          <w:lang w:val="pt-BR"/>
        </w:rPr>
      </w:pPr>
    </w:p>
    <w:p w14:paraId="1011D0C8" w14:textId="77777777" w:rsidR="00971778" w:rsidRPr="006F0805" w:rsidRDefault="00971778" w:rsidP="00D24A7B">
      <w:pPr>
        <w:keepNext/>
        <w:keepLines/>
        <w:rPr>
          <w:b/>
          <w:bCs/>
          <w:lang w:val="pt-BR"/>
        </w:rPr>
      </w:pPr>
    </w:p>
    <w:p w14:paraId="16834F04" w14:textId="77777777" w:rsidR="00D24A7B" w:rsidRPr="006F0805" w:rsidRDefault="00D24A7B" w:rsidP="00020C38">
      <w:pPr>
        <w:keepNext/>
        <w:keepLines/>
        <w:rPr>
          <w:b/>
          <w:bCs/>
          <w:lang w:val="pt-BR"/>
        </w:rPr>
      </w:pPr>
      <w:r w:rsidRPr="006F0805">
        <w:rPr>
          <w:b/>
          <w:bCs/>
          <w:lang w:val="pt-BR"/>
        </w:rPr>
        <w:t>10.</w:t>
      </w:r>
      <w:r w:rsidRPr="006F0805">
        <w:rPr>
          <w:b/>
          <w:bCs/>
          <w:lang w:val="pt-BR"/>
        </w:rPr>
        <w:tab/>
        <w:t>TEKSTO PERŽIŪROS DATA</w:t>
      </w:r>
    </w:p>
    <w:p w14:paraId="467B156F" w14:textId="77777777" w:rsidR="00D24A7B" w:rsidRDefault="00D24A7B" w:rsidP="002E00F3">
      <w:pPr>
        <w:keepNext/>
        <w:keepLines/>
        <w:rPr>
          <w:lang w:val="pt-BR"/>
        </w:rPr>
      </w:pPr>
    </w:p>
    <w:p w14:paraId="7AF21A03" w14:textId="6AD0423D" w:rsidR="00D45D92" w:rsidRPr="006F0805" w:rsidRDefault="008A6822" w:rsidP="002E00F3">
      <w:pPr>
        <w:keepNext/>
        <w:keepLines/>
        <w:rPr>
          <w:lang w:val="pt-BR"/>
        </w:rPr>
      </w:pPr>
      <w:r w:rsidRPr="008A6822">
        <w:rPr>
          <w:lang w:val="pt-BR"/>
        </w:rPr>
        <w:t>2019 m. gegužės 29 d.</w:t>
      </w:r>
    </w:p>
    <w:p w14:paraId="34DCEB5D" w14:textId="77777777" w:rsidR="00D24A7B" w:rsidRPr="00AE03B0" w:rsidRDefault="00D24A7B" w:rsidP="00971778">
      <w:pPr>
        <w:rPr>
          <w:lang w:val="pt-BR"/>
        </w:rPr>
      </w:pPr>
    </w:p>
    <w:p w14:paraId="1A3E1572" w14:textId="77777777" w:rsidR="00213DF5" w:rsidRPr="00561A49" w:rsidRDefault="00213DF5" w:rsidP="00213DF5">
      <w:pPr>
        <w:pStyle w:val="Paprastasistekstas"/>
        <w:tabs>
          <w:tab w:val="left" w:pos="5954"/>
          <w:tab w:val="left" w:pos="6237"/>
          <w:tab w:val="left" w:pos="6663"/>
          <w:tab w:val="left" w:pos="6946"/>
        </w:tabs>
        <w:rPr>
          <w:rFonts w:ascii="Times New Roman" w:hAnsi="Times New Roman"/>
          <w:sz w:val="22"/>
          <w:szCs w:val="22"/>
          <w:lang w:val="lt-LT"/>
        </w:rPr>
      </w:pPr>
      <w:r w:rsidRPr="00561A4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61A49">
        <w:rPr>
          <w:rFonts w:ascii="Times New Roman" w:hAnsi="Times New Roman"/>
          <w:i/>
          <w:noProof/>
          <w:sz w:val="22"/>
          <w:szCs w:val="22"/>
          <w:lang w:val="lt-LT"/>
        </w:rPr>
        <w:t xml:space="preserve"> </w:t>
      </w:r>
      <w:hyperlink r:id="rId16" w:history="1">
        <w:r w:rsidRPr="00ED18AB">
          <w:rPr>
            <w:rStyle w:val="Hipersaitas"/>
            <w:rFonts w:ascii="Times New Roman" w:hAnsi="Times New Roman"/>
            <w:sz w:val="22"/>
            <w:szCs w:val="22"/>
            <w:lang w:val="lt-LT"/>
          </w:rPr>
          <w:t>http://www.vvkt.lt</w:t>
        </w:r>
      </w:hyperlink>
    </w:p>
    <w:p w14:paraId="5AC974E7" w14:textId="77777777" w:rsidR="003A7928" w:rsidRPr="006F0805" w:rsidRDefault="00D24A7B" w:rsidP="007240E0">
      <w:pPr>
        <w:jc w:val="center"/>
      </w:pPr>
      <w:r w:rsidRPr="006F0805">
        <w:br w:type="page"/>
      </w:r>
    </w:p>
    <w:p w14:paraId="7D96AE7C" w14:textId="77777777" w:rsidR="003A7928" w:rsidRPr="006F0805" w:rsidRDefault="003A7928" w:rsidP="007240E0">
      <w:pPr>
        <w:jc w:val="center"/>
      </w:pPr>
    </w:p>
    <w:p w14:paraId="18B0D2D2" w14:textId="77777777" w:rsidR="003A7928" w:rsidRPr="006F0805" w:rsidRDefault="003A7928" w:rsidP="007240E0">
      <w:pPr>
        <w:jc w:val="center"/>
      </w:pPr>
    </w:p>
    <w:p w14:paraId="52947ADC" w14:textId="77777777" w:rsidR="003A7928" w:rsidRPr="006F0805" w:rsidRDefault="003A7928" w:rsidP="007240E0">
      <w:pPr>
        <w:jc w:val="center"/>
      </w:pPr>
    </w:p>
    <w:p w14:paraId="253A2915" w14:textId="77777777" w:rsidR="003A7928" w:rsidRPr="006F0805" w:rsidRDefault="003A7928" w:rsidP="007240E0">
      <w:pPr>
        <w:jc w:val="center"/>
      </w:pPr>
    </w:p>
    <w:p w14:paraId="4346D854" w14:textId="77777777" w:rsidR="003A7928" w:rsidRPr="006F0805" w:rsidRDefault="003A7928" w:rsidP="007240E0">
      <w:pPr>
        <w:jc w:val="center"/>
      </w:pPr>
    </w:p>
    <w:p w14:paraId="0FE5F638" w14:textId="77777777" w:rsidR="003A7928" w:rsidRPr="006F0805" w:rsidRDefault="003A7928" w:rsidP="007240E0">
      <w:pPr>
        <w:jc w:val="center"/>
      </w:pPr>
    </w:p>
    <w:p w14:paraId="042384CF" w14:textId="77777777" w:rsidR="003A7928" w:rsidRPr="006F0805" w:rsidRDefault="003A7928" w:rsidP="007240E0">
      <w:pPr>
        <w:jc w:val="center"/>
      </w:pPr>
    </w:p>
    <w:p w14:paraId="61AAB118" w14:textId="77777777" w:rsidR="003A7928" w:rsidRPr="006F0805" w:rsidRDefault="003A7928" w:rsidP="007240E0">
      <w:pPr>
        <w:jc w:val="center"/>
      </w:pPr>
    </w:p>
    <w:p w14:paraId="6C58D2E3" w14:textId="77777777" w:rsidR="003A7928" w:rsidRPr="006F0805" w:rsidRDefault="003A7928" w:rsidP="007240E0">
      <w:pPr>
        <w:jc w:val="center"/>
      </w:pPr>
    </w:p>
    <w:p w14:paraId="269F4142" w14:textId="77777777" w:rsidR="003A7928" w:rsidRPr="006F0805" w:rsidRDefault="003A7928" w:rsidP="007240E0">
      <w:pPr>
        <w:jc w:val="center"/>
      </w:pPr>
    </w:p>
    <w:p w14:paraId="46973EF1" w14:textId="77777777" w:rsidR="003A7928" w:rsidRPr="006F0805" w:rsidRDefault="003A7928" w:rsidP="007240E0">
      <w:pPr>
        <w:jc w:val="center"/>
      </w:pPr>
    </w:p>
    <w:p w14:paraId="335685B5" w14:textId="77777777" w:rsidR="003A7928" w:rsidRPr="006F0805" w:rsidRDefault="003A7928" w:rsidP="007240E0">
      <w:pPr>
        <w:jc w:val="center"/>
      </w:pPr>
    </w:p>
    <w:p w14:paraId="195448A6" w14:textId="77777777" w:rsidR="003A7928" w:rsidRPr="006F0805" w:rsidRDefault="003A7928" w:rsidP="007240E0">
      <w:pPr>
        <w:jc w:val="center"/>
      </w:pPr>
    </w:p>
    <w:p w14:paraId="5173BE41" w14:textId="77777777" w:rsidR="003A7928" w:rsidRPr="006F0805" w:rsidRDefault="003A7928" w:rsidP="007240E0">
      <w:pPr>
        <w:jc w:val="center"/>
      </w:pPr>
    </w:p>
    <w:p w14:paraId="6056950F" w14:textId="77777777" w:rsidR="003A7928" w:rsidRPr="006F0805" w:rsidRDefault="003A7928" w:rsidP="007240E0">
      <w:pPr>
        <w:jc w:val="center"/>
      </w:pPr>
    </w:p>
    <w:p w14:paraId="74A14B4B" w14:textId="77777777" w:rsidR="003A7928" w:rsidRPr="006F0805" w:rsidRDefault="003A7928" w:rsidP="007240E0">
      <w:pPr>
        <w:jc w:val="center"/>
      </w:pPr>
    </w:p>
    <w:p w14:paraId="6AD27D32" w14:textId="77777777" w:rsidR="003A7928" w:rsidRPr="006F0805" w:rsidRDefault="003A7928" w:rsidP="007240E0">
      <w:pPr>
        <w:jc w:val="center"/>
      </w:pPr>
    </w:p>
    <w:p w14:paraId="2819D83C" w14:textId="77777777" w:rsidR="003A7928" w:rsidRPr="006F0805" w:rsidRDefault="003A7928" w:rsidP="007240E0">
      <w:pPr>
        <w:jc w:val="center"/>
      </w:pPr>
    </w:p>
    <w:p w14:paraId="02892D06" w14:textId="77777777" w:rsidR="003A7928" w:rsidRPr="006F0805" w:rsidRDefault="003A7928" w:rsidP="007240E0">
      <w:pPr>
        <w:jc w:val="center"/>
      </w:pPr>
    </w:p>
    <w:p w14:paraId="6390EDA2" w14:textId="77777777" w:rsidR="003A7928" w:rsidRPr="006F0805" w:rsidRDefault="003A7928" w:rsidP="007240E0">
      <w:pPr>
        <w:jc w:val="center"/>
      </w:pPr>
    </w:p>
    <w:p w14:paraId="49F9515F" w14:textId="77777777" w:rsidR="003A7928" w:rsidRPr="006F0805" w:rsidRDefault="003A7928" w:rsidP="007240E0">
      <w:pPr>
        <w:jc w:val="center"/>
      </w:pPr>
    </w:p>
    <w:p w14:paraId="7CB37B1B" w14:textId="77777777" w:rsidR="003A7928" w:rsidRPr="006F0805" w:rsidRDefault="003A7928" w:rsidP="00394625">
      <w:pPr>
        <w:pStyle w:val="Title2"/>
        <w:rPr>
          <w:szCs w:val="22"/>
        </w:rPr>
      </w:pPr>
    </w:p>
    <w:p w14:paraId="0C86B399" w14:textId="77777777" w:rsidR="003A7928" w:rsidRPr="00AE03B0" w:rsidRDefault="003A7928" w:rsidP="00E0316F">
      <w:pPr>
        <w:pStyle w:val="Title2"/>
        <w:rPr>
          <w:szCs w:val="22"/>
        </w:rPr>
      </w:pPr>
      <w:r w:rsidRPr="00AE03B0">
        <w:rPr>
          <w:szCs w:val="22"/>
        </w:rPr>
        <w:t>II PRIEDAS</w:t>
      </w:r>
    </w:p>
    <w:p w14:paraId="26A4A091" w14:textId="77777777" w:rsidR="003A7928" w:rsidRPr="00AE03B0" w:rsidRDefault="003A7928" w:rsidP="007240E0">
      <w:pPr>
        <w:jc w:val="center"/>
      </w:pPr>
    </w:p>
    <w:p w14:paraId="14B0A60E" w14:textId="77777777" w:rsidR="003A7928" w:rsidRPr="006F0805" w:rsidRDefault="003A7928" w:rsidP="003A7928">
      <w:pPr>
        <w:pStyle w:val="Title2"/>
        <w:rPr>
          <w:szCs w:val="22"/>
        </w:rPr>
      </w:pPr>
      <w:r w:rsidRPr="006F0805">
        <w:rPr>
          <w:szCs w:val="22"/>
        </w:rPr>
        <w:t>R</w:t>
      </w:r>
      <w:r w:rsidR="00CF7C4C">
        <w:rPr>
          <w:szCs w:val="22"/>
        </w:rPr>
        <w:t>EGISTRACIJOS SĄLYGOS</w:t>
      </w:r>
    </w:p>
    <w:p w14:paraId="57DF3695" w14:textId="77777777" w:rsidR="003A7928" w:rsidRPr="006F0805" w:rsidRDefault="003A7928" w:rsidP="003A7928"/>
    <w:p w14:paraId="293DE79E" w14:textId="77777777" w:rsidR="003A7928" w:rsidRPr="006F0805" w:rsidRDefault="003A7928" w:rsidP="003A7928">
      <w:pPr>
        <w:pStyle w:val="Subtitle2"/>
        <w:rPr>
          <w:szCs w:val="22"/>
        </w:rPr>
      </w:pPr>
      <w:r w:rsidRPr="006F0805">
        <w:rPr>
          <w:szCs w:val="22"/>
        </w:rPr>
        <w:t>A.</w:t>
      </w:r>
      <w:r w:rsidRPr="006F0805">
        <w:rPr>
          <w:szCs w:val="22"/>
        </w:rPr>
        <w:tab/>
      </w:r>
      <w:r w:rsidR="00923B3F" w:rsidRPr="00E556DD">
        <w:rPr>
          <w:szCs w:val="22"/>
        </w:rPr>
        <w:t>BIOLOGINĖS (-IŲ) VEIKLIOSIOS (-IŲJŲ) MEDŽIAGOS (-Ų) GAMINTOJAS (-AI) IR GAMINTOJAS (-AI), ATSAKINGAS (-I)</w:t>
      </w:r>
      <w:r w:rsidRPr="00AE03B0">
        <w:rPr>
          <w:szCs w:val="22"/>
        </w:rPr>
        <w:t xml:space="preserve"> UŽ SERIJŲ</w:t>
      </w:r>
      <w:r w:rsidRPr="006F0805">
        <w:rPr>
          <w:szCs w:val="22"/>
        </w:rPr>
        <w:t xml:space="preserve"> IŠLEIDIMĄ</w:t>
      </w:r>
    </w:p>
    <w:p w14:paraId="46EB6B0B" w14:textId="77777777" w:rsidR="003A7928" w:rsidRPr="006F0805" w:rsidRDefault="003A7928" w:rsidP="003A7928">
      <w:pPr>
        <w:pStyle w:val="Subtitle2"/>
        <w:rPr>
          <w:szCs w:val="22"/>
        </w:rPr>
      </w:pPr>
    </w:p>
    <w:p w14:paraId="50766C3F" w14:textId="77777777" w:rsidR="003A7928" w:rsidRPr="006F0805" w:rsidRDefault="003A7928" w:rsidP="003A7928">
      <w:pPr>
        <w:pStyle w:val="Subtitle2"/>
        <w:rPr>
          <w:szCs w:val="22"/>
        </w:rPr>
      </w:pPr>
      <w:r w:rsidRPr="006F0805">
        <w:rPr>
          <w:szCs w:val="22"/>
        </w:rPr>
        <w:t>B.</w:t>
      </w:r>
      <w:r w:rsidRPr="006F0805">
        <w:rPr>
          <w:szCs w:val="22"/>
        </w:rPr>
        <w:tab/>
      </w:r>
      <w:r w:rsidR="0000562E">
        <w:rPr>
          <w:szCs w:val="22"/>
        </w:rPr>
        <w:t>TIEKIMO IR VARTOJIMO SĄLYGOS AR APRIBOJIMAI</w:t>
      </w:r>
    </w:p>
    <w:p w14:paraId="6A239243" w14:textId="77777777" w:rsidR="003A7928" w:rsidRPr="00AE03B0" w:rsidRDefault="003A7928" w:rsidP="003A7928"/>
    <w:p w14:paraId="71AF0B53" w14:textId="77777777" w:rsidR="003A7928" w:rsidRPr="006F0805" w:rsidRDefault="003A7928" w:rsidP="003A7928">
      <w:pPr>
        <w:pStyle w:val="Antrat1"/>
        <w:ind w:left="567" w:hanging="567"/>
        <w:rPr>
          <w:rFonts w:ascii="Times New Roman" w:hAnsi="Times New Roman"/>
          <w:sz w:val="22"/>
          <w:szCs w:val="22"/>
        </w:rPr>
      </w:pPr>
      <w:r w:rsidRPr="006F0805">
        <w:rPr>
          <w:rFonts w:ascii="Times New Roman" w:hAnsi="Times New Roman"/>
          <w:sz w:val="22"/>
          <w:szCs w:val="22"/>
        </w:rPr>
        <w:br w:type="page"/>
      </w:r>
      <w:r w:rsidRPr="006F0805">
        <w:rPr>
          <w:rFonts w:ascii="Times New Roman" w:hAnsi="Times New Roman"/>
          <w:sz w:val="22"/>
          <w:szCs w:val="22"/>
        </w:rPr>
        <w:lastRenderedPageBreak/>
        <w:t>A.</w:t>
      </w:r>
      <w:r w:rsidRPr="006F0805">
        <w:rPr>
          <w:rFonts w:ascii="Times New Roman" w:hAnsi="Times New Roman"/>
          <w:sz w:val="22"/>
          <w:szCs w:val="22"/>
        </w:rPr>
        <w:tab/>
      </w:r>
      <w:r w:rsidR="00923B3F" w:rsidRPr="00BE5F20">
        <w:rPr>
          <w:rFonts w:ascii="Times New Roman" w:hAnsi="Times New Roman"/>
          <w:sz w:val="22"/>
          <w:szCs w:val="22"/>
        </w:rPr>
        <w:t xml:space="preserve">BIOLOGINĖS (-IŲ) VEIKLIOSIOS (-IŲJŲ) MEDŽIAGOS (-Ų) GAMINTOJAS (-AI) IR GAMINTOJAS (-AI), ATSAKINGAS (-I) </w:t>
      </w:r>
      <w:r w:rsidRPr="006F0805">
        <w:rPr>
          <w:rFonts w:ascii="Times New Roman" w:hAnsi="Times New Roman"/>
          <w:sz w:val="22"/>
          <w:szCs w:val="22"/>
        </w:rPr>
        <w:t>UŽ SERIJŲ IŠLEIDIMĄ</w:t>
      </w:r>
    </w:p>
    <w:p w14:paraId="63525A13" w14:textId="77777777" w:rsidR="003A7928" w:rsidRPr="00AE03B0" w:rsidRDefault="003A7928" w:rsidP="003A7928"/>
    <w:p w14:paraId="69566C88" w14:textId="77777777" w:rsidR="00923B3F" w:rsidRPr="00BE5F20" w:rsidRDefault="00923B3F" w:rsidP="00923B3F">
      <w:pPr>
        <w:rPr>
          <w:noProof w:val="0"/>
          <w:u w:val="single"/>
        </w:rPr>
      </w:pPr>
      <w:r w:rsidRPr="00BE5F20">
        <w:rPr>
          <w:noProof w:val="0"/>
          <w:u w:val="single"/>
        </w:rPr>
        <w:t>Biologinės (-ių) veikliosios (-iųjų) medžiagos (-ų) gamintojo (-ų) pavadinimas (-ai) ir adresas (-ai)</w:t>
      </w:r>
    </w:p>
    <w:p w14:paraId="338E913F" w14:textId="77777777" w:rsidR="003A7928" w:rsidRPr="006F0805" w:rsidRDefault="003A7928" w:rsidP="00621D88">
      <w:pPr>
        <w:pStyle w:val="Antrat3"/>
      </w:pPr>
    </w:p>
    <w:p w14:paraId="7F66F0AE" w14:textId="77777777" w:rsidR="003A7928" w:rsidRPr="00AE03B0" w:rsidRDefault="003A7928" w:rsidP="003A7928">
      <w:r w:rsidRPr="00AE03B0">
        <w:t>Amgen Inc (ATO)</w:t>
      </w:r>
    </w:p>
    <w:p w14:paraId="2B2C3866" w14:textId="77777777" w:rsidR="003A7928" w:rsidRPr="006F0805" w:rsidRDefault="003A7928" w:rsidP="003A7928">
      <w:r w:rsidRPr="006F0805">
        <w:t>One Amgen Centre Drive</w:t>
      </w:r>
    </w:p>
    <w:p w14:paraId="5A7C7E30" w14:textId="77777777" w:rsidR="003A7928" w:rsidRPr="006F0805" w:rsidRDefault="003A7928" w:rsidP="003A7928">
      <w:r w:rsidRPr="006F0805">
        <w:t>Thousand Oaks</w:t>
      </w:r>
    </w:p>
    <w:p w14:paraId="7501EF2C" w14:textId="77777777" w:rsidR="003A7928" w:rsidRPr="006F0805" w:rsidRDefault="003A7928" w:rsidP="003A7928">
      <w:r w:rsidRPr="006F0805">
        <w:t>California CA 91320</w:t>
      </w:r>
    </w:p>
    <w:p w14:paraId="66414EDD" w14:textId="77777777" w:rsidR="003A7928" w:rsidRPr="006F0805" w:rsidRDefault="003A7928" w:rsidP="003A7928">
      <w:r w:rsidRPr="006F0805">
        <w:t>JAV</w:t>
      </w:r>
    </w:p>
    <w:p w14:paraId="727B5311" w14:textId="77777777" w:rsidR="003A7928" w:rsidRDefault="003A7928" w:rsidP="003A7928"/>
    <w:p w14:paraId="002EAAC4" w14:textId="77777777" w:rsidR="00923B3F" w:rsidRDefault="00923B3F" w:rsidP="003A7928">
      <w:r>
        <w:t>arba</w:t>
      </w:r>
    </w:p>
    <w:p w14:paraId="1959D0C9" w14:textId="77777777" w:rsidR="00923B3F" w:rsidRPr="006F0805" w:rsidRDefault="00923B3F" w:rsidP="003A7928"/>
    <w:p w14:paraId="25AB6F9C" w14:textId="77777777" w:rsidR="003A7928" w:rsidRPr="006F0805" w:rsidRDefault="003A7928" w:rsidP="003A7928">
      <w:r w:rsidRPr="006F0805">
        <w:t>Amgen Manufacturing Limited</w:t>
      </w:r>
    </w:p>
    <w:p w14:paraId="3CE58B8B" w14:textId="77777777" w:rsidR="003A7928" w:rsidRPr="006F0805" w:rsidRDefault="003A7928" w:rsidP="003A7928">
      <w:r w:rsidRPr="006F0805">
        <w:t>PO Box 4060</w:t>
      </w:r>
    </w:p>
    <w:p w14:paraId="4D2737AD" w14:textId="77777777" w:rsidR="003A7928" w:rsidRPr="006F0805" w:rsidRDefault="003A7928" w:rsidP="003A7928">
      <w:r w:rsidRPr="006F0805">
        <w:t xml:space="preserve">Road 31 km 24.6 </w:t>
      </w:r>
    </w:p>
    <w:p w14:paraId="748FBC10" w14:textId="77777777" w:rsidR="003A7928" w:rsidRPr="006F0805" w:rsidRDefault="003A7928" w:rsidP="003A7928">
      <w:r w:rsidRPr="006F0805">
        <w:t>Juncos</w:t>
      </w:r>
    </w:p>
    <w:p w14:paraId="492EB84F" w14:textId="77777777" w:rsidR="003A7928" w:rsidRPr="006F0805" w:rsidRDefault="003A7928" w:rsidP="003A7928">
      <w:r w:rsidRPr="006F0805">
        <w:t>00777-4060</w:t>
      </w:r>
    </w:p>
    <w:p w14:paraId="20618A57" w14:textId="77777777" w:rsidR="003A7928" w:rsidRPr="006F0805" w:rsidRDefault="00923B3F" w:rsidP="003A7928">
      <w:r>
        <w:t>Puerto Rikas</w:t>
      </w:r>
    </w:p>
    <w:p w14:paraId="5904E4B3" w14:textId="77777777" w:rsidR="003A7928" w:rsidRPr="006F0805" w:rsidRDefault="003A7928" w:rsidP="003A7928"/>
    <w:p w14:paraId="2BC6909A" w14:textId="77777777" w:rsidR="00923B3F" w:rsidRPr="00BE5F20" w:rsidRDefault="00923B3F" w:rsidP="00923B3F">
      <w:pPr>
        <w:rPr>
          <w:rFonts w:eastAsia="PMingLiU"/>
          <w:bCs/>
          <w:noProof w:val="0"/>
          <w:szCs w:val="26"/>
          <w:u w:val="single"/>
        </w:rPr>
      </w:pPr>
      <w:r w:rsidRPr="00BE5F20">
        <w:rPr>
          <w:rFonts w:eastAsia="PMingLiU"/>
          <w:bCs/>
          <w:noProof w:val="0"/>
          <w:szCs w:val="26"/>
          <w:u w:val="single"/>
        </w:rPr>
        <w:t>Gamintojo (-ų), atsakingo (-ų) už serijų išleidimą, pavadinimas (-ai) ir adresas (-ai)</w:t>
      </w:r>
    </w:p>
    <w:p w14:paraId="7BA63B29" w14:textId="77777777" w:rsidR="003A7928" w:rsidRPr="00AE03B0" w:rsidRDefault="003A7928" w:rsidP="003A7928"/>
    <w:p w14:paraId="33387E38" w14:textId="77777777" w:rsidR="003A7928" w:rsidRPr="006F0805" w:rsidRDefault="003A7928" w:rsidP="003A7928">
      <w:r w:rsidRPr="006F0805">
        <w:t>Amgen Europe BV</w:t>
      </w:r>
    </w:p>
    <w:p w14:paraId="194EFA98" w14:textId="77777777" w:rsidR="003A7928" w:rsidRPr="006F0805" w:rsidRDefault="003A7928" w:rsidP="003A7928">
      <w:r w:rsidRPr="006F0805">
        <w:t>Minervum 7061</w:t>
      </w:r>
    </w:p>
    <w:p w14:paraId="05F0614E" w14:textId="77777777" w:rsidR="003A7928" w:rsidRPr="006F0805" w:rsidRDefault="003A7928" w:rsidP="003A7928">
      <w:r w:rsidRPr="006F0805">
        <w:t>4817 ZK Breda</w:t>
      </w:r>
    </w:p>
    <w:p w14:paraId="71D196C5" w14:textId="77777777" w:rsidR="003A7928" w:rsidRPr="006F0805" w:rsidRDefault="003A7928" w:rsidP="003A7928">
      <w:r w:rsidRPr="006F0805">
        <w:t>Nyderlandai</w:t>
      </w:r>
    </w:p>
    <w:p w14:paraId="1091EE91" w14:textId="77777777" w:rsidR="003A7928" w:rsidRPr="006F0805" w:rsidRDefault="003A7928" w:rsidP="003A7928"/>
    <w:p w14:paraId="4979F2D6" w14:textId="77777777" w:rsidR="00213DF5" w:rsidRPr="00561A49" w:rsidRDefault="00213DF5" w:rsidP="00213DF5">
      <w:r w:rsidRPr="00561A49">
        <w:t>arba</w:t>
      </w:r>
    </w:p>
    <w:p w14:paraId="6665E47D" w14:textId="77777777" w:rsidR="00213DF5" w:rsidRPr="00561A49" w:rsidRDefault="00213DF5" w:rsidP="00213DF5"/>
    <w:p w14:paraId="6DFB8D10" w14:textId="77777777" w:rsidR="00213DF5" w:rsidRPr="00561A49" w:rsidRDefault="00213DF5" w:rsidP="00213DF5">
      <w:r w:rsidRPr="00561A49">
        <w:t xml:space="preserve">Amgen Technology </w:t>
      </w:r>
      <w:r w:rsidR="000F6763">
        <w:t>(</w:t>
      </w:r>
      <w:r w:rsidRPr="00561A49">
        <w:t>Ireland</w:t>
      </w:r>
      <w:r w:rsidR="000F6763">
        <w:t>) Unlimited Company</w:t>
      </w:r>
    </w:p>
    <w:p w14:paraId="665F901A" w14:textId="77777777" w:rsidR="00213DF5" w:rsidRPr="00561A49" w:rsidRDefault="00213DF5" w:rsidP="00213DF5">
      <w:r w:rsidRPr="00561A49">
        <w:t xml:space="preserve">Pottery Road </w:t>
      </w:r>
    </w:p>
    <w:p w14:paraId="7B2827DC" w14:textId="77777777" w:rsidR="00213DF5" w:rsidRPr="00561A49" w:rsidRDefault="00213DF5" w:rsidP="00213DF5">
      <w:r w:rsidRPr="00561A49">
        <w:t xml:space="preserve">Dun Laoghaire </w:t>
      </w:r>
    </w:p>
    <w:p w14:paraId="4E8E0AC6" w14:textId="77777777" w:rsidR="00213DF5" w:rsidRPr="00561A49" w:rsidRDefault="00213DF5" w:rsidP="00213DF5">
      <w:r w:rsidRPr="00561A49">
        <w:t xml:space="preserve">Co Dublin </w:t>
      </w:r>
    </w:p>
    <w:p w14:paraId="3A401E7A" w14:textId="77777777" w:rsidR="00213DF5" w:rsidRPr="00561A49" w:rsidRDefault="000F6763" w:rsidP="00213DF5">
      <w:r>
        <w:t>Airija</w:t>
      </w:r>
    </w:p>
    <w:p w14:paraId="48DE1246" w14:textId="77777777" w:rsidR="003A7928" w:rsidRDefault="003A7928" w:rsidP="003A7928"/>
    <w:p w14:paraId="0A6FED1C" w14:textId="77777777" w:rsidR="00532A2F" w:rsidRDefault="00FA2D75" w:rsidP="003A7928">
      <w:r>
        <w:t>a</w:t>
      </w:r>
      <w:r w:rsidR="00532A2F">
        <w:t>rba</w:t>
      </w:r>
    </w:p>
    <w:p w14:paraId="02E8114F" w14:textId="77777777" w:rsidR="00532A2F" w:rsidRDefault="00532A2F" w:rsidP="003A7928"/>
    <w:p w14:paraId="1BECB7C7" w14:textId="77777777" w:rsidR="00532A2F" w:rsidRPr="00C7449C" w:rsidRDefault="00532A2F" w:rsidP="00532A2F">
      <w:pPr>
        <w:keepNext/>
        <w:autoSpaceDE w:val="0"/>
        <w:autoSpaceDN w:val="0"/>
        <w:adjustRightInd w:val="0"/>
      </w:pPr>
      <w:r w:rsidRPr="00C7449C">
        <w:t>Amgen NV</w:t>
      </w:r>
    </w:p>
    <w:p w14:paraId="635309FC" w14:textId="608F5CD5" w:rsidR="00532A2F" w:rsidRPr="00C7449C" w:rsidRDefault="005B68C5" w:rsidP="00532A2F">
      <w:pPr>
        <w:keepNext/>
        <w:autoSpaceDE w:val="0"/>
        <w:autoSpaceDN w:val="0"/>
        <w:adjustRightInd w:val="0"/>
      </w:pPr>
      <w:r w:rsidRPr="00796EAA">
        <w:t>Telecomlaan 5-7</w:t>
      </w:r>
    </w:p>
    <w:p w14:paraId="03B2FE57" w14:textId="76E94CCA" w:rsidR="00532A2F" w:rsidRPr="00C7449C" w:rsidRDefault="005B68C5" w:rsidP="00532A2F">
      <w:pPr>
        <w:keepNext/>
        <w:autoSpaceDE w:val="0"/>
        <w:autoSpaceDN w:val="0"/>
        <w:adjustRightInd w:val="0"/>
      </w:pPr>
      <w:r w:rsidRPr="000850E9">
        <w:t>1831 Diegem</w:t>
      </w:r>
    </w:p>
    <w:p w14:paraId="04D3F167" w14:textId="77777777" w:rsidR="00532A2F" w:rsidRPr="00C7449C" w:rsidRDefault="00532A2F" w:rsidP="00532A2F">
      <w:pPr>
        <w:numPr>
          <w:ilvl w:val="12"/>
          <w:numId w:val="0"/>
        </w:numPr>
        <w:ind w:right="-2"/>
      </w:pPr>
      <w:r w:rsidRPr="00C7449C">
        <w:t>Belgija</w:t>
      </w:r>
    </w:p>
    <w:p w14:paraId="51E0ACD2" w14:textId="77777777" w:rsidR="00532A2F" w:rsidRDefault="00532A2F" w:rsidP="003A7928"/>
    <w:p w14:paraId="3352DB2B" w14:textId="77777777" w:rsidR="00923B3F" w:rsidRDefault="00923B3F" w:rsidP="003A7928">
      <w:r w:rsidRPr="00BE5F20">
        <w:rPr>
          <w:noProof w:val="0"/>
        </w:rPr>
        <w:t>Su pakuote pateikiamame lapelyje nurodomas gamintojo, atsakingo už konkrečios serijos išleidimą, pavadinimas ir adresas</w:t>
      </w:r>
      <w:r>
        <w:rPr>
          <w:noProof w:val="0"/>
        </w:rPr>
        <w:t>.</w:t>
      </w:r>
    </w:p>
    <w:p w14:paraId="0CAEC329" w14:textId="77777777" w:rsidR="00213DF5" w:rsidRDefault="00213DF5" w:rsidP="003A7928"/>
    <w:p w14:paraId="2781BAC3" w14:textId="77777777" w:rsidR="00F05640" w:rsidRPr="006F0805" w:rsidRDefault="00F05640" w:rsidP="003A7928"/>
    <w:p w14:paraId="36E68D87" w14:textId="77777777" w:rsidR="003A7928" w:rsidRPr="00E6641A" w:rsidRDefault="003A7928" w:rsidP="00E6641A">
      <w:pPr>
        <w:pStyle w:val="Antrat1"/>
        <w:rPr>
          <w:rFonts w:ascii="Times New Roman" w:hAnsi="Times New Roman"/>
          <w:sz w:val="22"/>
          <w:szCs w:val="22"/>
        </w:rPr>
      </w:pPr>
      <w:r w:rsidRPr="006F0805">
        <w:rPr>
          <w:rFonts w:ascii="Times New Roman" w:hAnsi="Times New Roman"/>
          <w:sz w:val="22"/>
          <w:szCs w:val="22"/>
        </w:rPr>
        <w:t>B.</w:t>
      </w:r>
      <w:r w:rsidRPr="006F0805">
        <w:rPr>
          <w:rFonts w:ascii="Times New Roman" w:hAnsi="Times New Roman"/>
          <w:sz w:val="22"/>
          <w:szCs w:val="22"/>
        </w:rPr>
        <w:tab/>
      </w:r>
      <w:r w:rsidRPr="00E6641A">
        <w:rPr>
          <w:rFonts w:ascii="Times New Roman" w:hAnsi="Times New Roman"/>
          <w:sz w:val="22"/>
          <w:szCs w:val="22"/>
        </w:rPr>
        <w:t>TIEKIMO IR VARTOJIMO SĄLYGOS AR APRIBOJIMAI</w:t>
      </w:r>
    </w:p>
    <w:p w14:paraId="45D040D8" w14:textId="77777777" w:rsidR="003A7928" w:rsidRPr="006F0805" w:rsidRDefault="003A7928" w:rsidP="003A7928"/>
    <w:p w14:paraId="61547F46" w14:textId="77777777" w:rsidR="003A7928" w:rsidRPr="006F0805" w:rsidRDefault="003A7928" w:rsidP="003A7928">
      <w:r w:rsidRPr="006F0805">
        <w:t>Receptinis vaistinis preparatas.</w:t>
      </w:r>
    </w:p>
    <w:p w14:paraId="01A39459" w14:textId="77777777" w:rsidR="003A7928" w:rsidRPr="006F0805" w:rsidRDefault="003A7928" w:rsidP="007240E0">
      <w:pPr>
        <w:jc w:val="center"/>
      </w:pPr>
      <w:r w:rsidRPr="006F0805">
        <w:br w:type="page"/>
      </w:r>
    </w:p>
    <w:p w14:paraId="7B7ECDBB" w14:textId="77777777" w:rsidR="003A7928" w:rsidRPr="006F0805" w:rsidRDefault="003A7928" w:rsidP="007240E0">
      <w:pPr>
        <w:jc w:val="center"/>
      </w:pPr>
    </w:p>
    <w:p w14:paraId="4AA77000" w14:textId="77777777" w:rsidR="003A7928" w:rsidRPr="006F0805" w:rsidRDefault="003A7928" w:rsidP="007240E0">
      <w:pPr>
        <w:jc w:val="center"/>
      </w:pPr>
    </w:p>
    <w:p w14:paraId="14809921" w14:textId="77777777" w:rsidR="003A7928" w:rsidRPr="006F0805" w:rsidRDefault="003A7928" w:rsidP="007240E0">
      <w:pPr>
        <w:jc w:val="center"/>
      </w:pPr>
    </w:p>
    <w:p w14:paraId="247F3466" w14:textId="77777777" w:rsidR="003A7928" w:rsidRPr="006F0805" w:rsidRDefault="003A7928" w:rsidP="007240E0">
      <w:pPr>
        <w:jc w:val="center"/>
      </w:pPr>
    </w:p>
    <w:p w14:paraId="3F09E361" w14:textId="77777777" w:rsidR="003A7928" w:rsidRPr="006F0805" w:rsidRDefault="003A7928" w:rsidP="007240E0">
      <w:pPr>
        <w:jc w:val="center"/>
      </w:pPr>
    </w:p>
    <w:p w14:paraId="7964CE29" w14:textId="77777777" w:rsidR="003A7928" w:rsidRPr="006F0805" w:rsidRDefault="003A7928" w:rsidP="007240E0">
      <w:pPr>
        <w:jc w:val="center"/>
      </w:pPr>
    </w:p>
    <w:p w14:paraId="2B45F780" w14:textId="77777777" w:rsidR="003A7928" w:rsidRPr="006F0805" w:rsidRDefault="003A7928" w:rsidP="007240E0">
      <w:pPr>
        <w:jc w:val="center"/>
      </w:pPr>
    </w:p>
    <w:p w14:paraId="3634C60A" w14:textId="77777777" w:rsidR="003A7928" w:rsidRPr="006F0805" w:rsidRDefault="003A7928" w:rsidP="007240E0">
      <w:pPr>
        <w:jc w:val="center"/>
      </w:pPr>
    </w:p>
    <w:p w14:paraId="219E2DA0" w14:textId="77777777" w:rsidR="003A7928" w:rsidRPr="006F0805" w:rsidRDefault="003A7928" w:rsidP="007240E0">
      <w:pPr>
        <w:jc w:val="center"/>
      </w:pPr>
    </w:p>
    <w:p w14:paraId="4C490B3F" w14:textId="77777777" w:rsidR="003A7928" w:rsidRPr="006F0805" w:rsidRDefault="003A7928" w:rsidP="007240E0">
      <w:pPr>
        <w:jc w:val="center"/>
      </w:pPr>
    </w:p>
    <w:p w14:paraId="29414B9A" w14:textId="77777777" w:rsidR="003A7928" w:rsidRPr="006F0805" w:rsidRDefault="003A7928" w:rsidP="007240E0">
      <w:pPr>
        <w:jc w:val="center"/>
      </w:pPr>
    </w:p>
    <w:p w14:paraId="48FE1302" w14:textId="77777777" w:rsidR="003A7928" w:rsidRPr="006F0805" w:rsidRDefault="003A7928" w:rsidP="007240E0">
      <w:pPr>
        <w:jc w:val="center"/>
      </w:pPr>
    </w:p>
    <w:p w14:paraId="562C192E" w14:textId="77777777" w:rsidR="003A7928" w:rsidRPr="006F0805" w:rsidRDefault="003A7928" w:rsidP="007240E0">
      <w:pPr>
        <w:jc w:val="center"/>
      </w:pPr>
    </w:p>
    <w:p w14:paraId="74CED14D" w14:textId="77777777" w:rsidR="003A7928" w:rsidRPr="006F0805" w:rsidRDefault="003A7928" w:rsidP="007240E0">
      <w:pPr>
        <w:jc w:val="center"/>
      </w:pPr>
    </w:p>
    <w:p w14:paraId="3D405DC6" w14:textId="77777777" w:rsidR="003A7928" w:rsidRPr="006F0805" w:rsidRDefault="003A7928" w:rsidP="007240E0">
      <w:pPr>
        <w:jc w:val="center"/>
      </w:pPr>
    </w:p>
    <w:p w14:paraId="695A56DC" w14:textId="77777777" w:rsidR="003A7928" w:rsidRPr="006F0805" w:rsidRDefault="003A7928" w:rsidP="007240E0">
      <w:pPr>
        <w:jc w:val="center"/>
      </w:pPr>
    </w:p>
    <w:p w14:paraId="49C31F45" w14:textId="77777777" w:rsidR="003A7928" w:rsidRPr="006F0805" w:rsidRDefault="003A7928" w:rsidP="007240E0">
      <w:pPr>
        <w:jc w:val="center"/>
      </w:pPr>
    </w:p>
    <w:p w14:paraId="5D9382BD" w14:textId="77777777" w:rsidR="003A7928" w:rsidRPr="006F0805" w:rsidRDefault="003A7928" w:rsidP="007240E0">
      <w:pPr>
        <w:jc w:val="center"/>
      </w:pPr>
    </w:p>
    <w:p w14:paraId="7F0B8358" w14:textId="77777777" w:rsidR="003A7928" w:rsidRPr="006F0805" w:rsidRDefault="003A7928" w:rsidP="007240E0">
      <w:pPr>
        <w:jc w:val="center"/>
      </w:pPr>
    </w:p>
    <w:p w14:paraId="77BABC61" w14:textId="77777777" w:rsidR="003A7928" w:rsidRPr="006F0805" w:rsidRDefault="003A7928" w:rsidP="007240E0">
      <w:pPr>
        <w:jc w:val="center"/>
      </w:pPr>
    </w:p>
    <w:p w14:paraId="51D9C75A" w14:textId="77777777" w:rsidR="003A7928" w:rsidRPr="006F0805" w:rsidRDefault="003A7928" w:rsidP="007240E0">
      <w:pPr>
        <w:jc w:val="center"/>
      </w:pPr>
    </w:p>
    <w:p w14:paraId="2AC1BA1D" w14:textId="77777777" w:rsidR="003A7928" w:rsidRPr="006F0805" w:rsidRDefault="003A7928" w:rsidP="007240E0">
      <w:pPr>
        <w:jc w:val="center"/>
      </w:pPr>
    </w:p>
    <w:p w14:paraId="650DAC05" w14:textId="77777777" w:rsidR="003A7928" w:rsidRPr="00AE03B0" w:rsidRDefault="003A7928" w:rsidP="00394625">
      <w:pPr>
        <w:pStyle w:val="Title2"/>
        <w:rPr>
          <w:szCs w:val="22"/>
        </w:rPr>
      </w:pPr>
      <w:r w:rsidRPr="00AE03B0">
        <w:rPr>
          <w:szCs w:val="22"/>
        </w:rPr>
        <w:t>III PRIEDAS</w:t>
      </w:r>
    </w:p>
    <w:p w14:paraId="588D3294" w14:textId="77777777" w:rsidR="003A7928" w:rsidRPr="00AE03B0" w:rsidRDefault="003A7928" w:rsidP="007240E0">
      <w:pPr>
        <w:jc w:val="center"/>
      </w:pPr>
    </w:p>
    <w:p w14:paraId="3BDA2DC9" w14:textId="77777777" w:rsidR="003A7928" w:rsidRPr="006F0805" w:rsidRDefault="003A7928" w:rsidP="003A7928">
      <w:pPr>
        <w:pStyle w:val="Title2"/>
        <w:rPr>
          <w:szCs w:val="22"/>
        </w:rPr>
      </w:pPr>
      <w:r w:rsidRPr="00AE03B0">
        <w:rPr>
          <w:szCs w:val="22"/>
        </w:rPr>
        <w:t xml:space="preserve">ŽENKLINIMAS IR </w:t>
      </w:r>
      <w:r w:rsidRPr="006F0805">
        <w:rPr>
          <w:szCs w:val="22"/>
        </w:rPr>
        <w:t>PAKUOTĖS LAPELIS</w:t>
      </w:r>
    </w:p>
    <w:p w14:paraId="3C1B3F94" w14:textId="77777777" w:rsidR="003A7928" w:rsidRPr="00AE03B0" w:rsidRDefault="003A7928" w:rsidP="007240E0">
      <w:pPr>
        <w:jc w:val="center"/>
      </w:pPr>
      <w:r w:rsidRPr="00AE03B0">
        <w:br w:type="page"/>
      </w:r>
    </w:p>
    <w:p w14:paraId="7C62D625" w14:textId="77777777" w:rsidR="003A7928" w:rsidRPr="00AE03B0" w:rsidRDefault="003A7928" w:rsidP="007240E0">
      <w:pPr>
        <w:jc w:val="center"/>
      </w:pPr>
    </w:p>
    <w:p w14:paraId="76BE5149" w14:textId="77777777" w:rsidR="003A7928" w:rsidRPr="006F0805" w:rsidRDefault="003A7928" w:rsidP="007240E0">
      <w:pPr>
        <w:jc w:val="center"/>
      </w:pPr>
    </w:p>
    <w:p w14:paraId="7E41437E" w14:textId="77777777" w:rsidR="003A7928" w:rsidRPr="006F0805" w:rsidRDefault="003A7928" w:rsidP="007240E0">
      <w:pPr>
        <w:jc w:val="center"/>
      </w:pPr>
    </w:p>
    <w:p w14:paraId="28C74138" w14:textId="77777777" w:rsidR="003A7928" w:rsidRPr="006F0805" w:rsidRDefault="003A7928" w:rsidP="007240E0">
      <w:pPr>
        <w:jc w:val="center"/>
      </w:pPr>
    </w:p>
    <w:p w14:paraId="7F1DD256" w14:textId="77777777" w:rsidR="003A7928" w:rsidRPr="006F0805" w:rsidRDefault="003A7928" w:rsidP="007240E0">
      <w:pPr>
        <w:jc w:val="center"/>
      </w:pPr>
    </w:p>
    <w:p w14:paraId="361B3B02" w14:textId="77777777" w:rsidR="003A7928" w:rsidRPr="006F0805" w:rsidRDefault="003A7928" w:rsidP="007240E0">
      <w:pPr>
        <w:jc w:val="center"/>
      </w:pPr>
    </w:p>
    <w:p w14:paraId="4DB388AD" w14:textId="77777777" w:rsidR="003A7928" w:rsidRPr="006F0805" w:rsidRDefault="003A7928" w:rsidP="007240E0">
      <w:pPr>
        <w:jc w:val="center"/>
      </w:pPr>
    </w:p>
    <w:p w14:paraId="7B8F4397" w14:textId="77777777" w:rsidR="003A7928" w:rsidRPr="006F0805" w:rsidRDefault="003A7928" w:rsidP="007240E0">
      <w:pPr>
        <w:jc w:val="center"/>
      </w:pPr>
    </w:p>
    <w:p w14:paraId="4220E387" w14:textId="77777777" w:rsidR="003A7928" w:rsidRPr="006F0805" w:rsidRDefault="003A7928" w:rsidP="007240E0">
      <w:pPr>
        <w:jc w:val="center"/>
      </w:pPr>
    </w:p>
    <w:p w14:paraId="02C58CA3" w14:textId="77777777" w:rsidR="003A7928" w:rsidRPr="006F0805" w:rsidRDefault="003A7928" w:rsidP="007240E0">
      <w:pPr>
        <w:jc w:val="center"/>
      </w:pPr>
    </w:p>
    <w:p w14:paraId="6FB0ED7A" w14:textId="77777777" w:rsidR="003A7928" w:rsidRPr="006F0805" w:rsidRDefault="003A7928" w:rsidP="007240E0">
      <w:pPr>
        <w:jc w:val="center"/>
      </w:pPr>
    </w:p>
    <w:p w14:paraId="71935E3A" w14:textId="77777777" w:rsidR="003A7928" w:rsidRPr="006F0805" w:rsidRDefault="003A7928" w:rsidP="007240E0">
      <w:pPr>
        <w:jc w:val="center"/>
      </w:pPr>
    </w:p>
    <w:p w14:paraId="3D92C00C" w14:textId="77777777" w:rsidR="003A7928" w:rsidRPr="006F0805" w:rsidRDefault="003A7928" w:rsidP="007240E0">
      <w:pPr>
        <w:jc w:val="center"/>
      </w:pPr>
    </w:p>
    <w:p w14:paraId="41DE5245" w14:textId="77777777" w:rsidR="003A7928" w:rsidRPr="006F0805" w:rsidRDefault="003A7928" w:rsidP="007240E0">
      <w:pPr>
        <w:jc w:val="center"/>
      </w:pPr>
    </w:p>
    <w:p w14:paraId="0906E69B" w14:textId="77777777" w:rsidR="003A7928" w:rsidRPr="006F0805" w:rsidRDefault="003A7928" w:rsidP="007240E0">
      <w:pPr>
        <w:jc w:val="center"/>
      </w:pPr>
    </w:p>
    <w:p w14:paraId="68C96B00" w14:textId="77777777" w:rsidR="003A7928" w:rsidRPr="006F0805" w:rsidRDefault="003A7928" w:rsidP="007240E0">
      <w:pPr>
        <w:jc w:val="center"/>
      </w:pPr>
    </w:p>
    <w:p w14:paraId="121ABCAA" w14:textId="77777777" w:rsidR="003A7928" w:rsidRPr="006F0805" w:rsidRDefault="003A7928" w:rsidP="007240E0">
      <w:pPr>
        <w:jc w:val="center"/>
      </w:pPr>
    </w:p>
    <w:p w14:paraId="26C47B2F" w14:textId="77777777" w:rsidR="003A7928" w:rsidRPr="006F0805" w:rsidRDefault="003A7928" w:rsidP="007240E0">
      <w:pPr>
        <w:jc w:val="center"/>
      </w:pPr>
    </w:p>
    <w:p w14:paraId="5AB6811B" w14:textId="77777777" w:rsidR="003A7928" w:rsidRPr="006F0805" w:rsidRDefault="003A7928" w:rsidP="007240E0">
      <w:pPr>
        <w:jc w:val="center"/>
      </w:pPr>
    </w:p>
    <w:p w14:paraId="2683CA24" w14:textId="77777777" w:rsidR="003A7928" w:rsidRPr="006F0805" w:rsidRDefault="003A7928" w:rsidP="007240E0">
      <w:pPr>
        <w:jc w:val="center"/>
      </w:pPr>
    </w:p>
    <w:p w14:paraId="28EE9F0C" w14:textId="77777777" w:rsidR="003A7928" w:rsidRPr="006F0805" w:rsidRDefault="003A7928" w:rsidP="007240E0">
      <w:pPr>
        <w:jc w:val="center"/>
      </w:pPr>
    </w:p>
    <w:p w14:paraId="65584C46" w14:textId="77777777" w:rsidR="003A7928" w:rsidRPr="006F0805" w:rsidRDefault="003A7928" w:rsidP="007240E0">
      <w:pPr>
        <w:jc w:val="center"/>
      </w:pPr>
    </w:p>
    <w:p w14:paraId="07730D1F" w14:textId="77777777" w:rsidR="003A7928" w:rsidRDefault="003A7928" w:rsidP="003A7928">
      <w:pPr>
        <w:pStyle w:val="Title2"/>
        <w:rPr>
          <w:szCs w:val="22"/>
        </w:rPr>
      </w:pPr>
      <w:r w:rsidRPr="00AE03B0">
        <w:rPr>
          <w:szCs w:val="22"/>
        </w:rPr>
        <w:t>A. ŽENKLINIMAS</w:t>
      </w:r>
    </w:p>
    <w:p w14:paraId="63CB231E" w14:textId="77777777" w:rsidR="001A3D9A" w:rsidRDefault="001A3D9A" w:rsidP="00E6641A">
      <w:r>
        <w:br w:type="page"/>
      </w:r>
    </w:p>
    <w:p w14:paraId="030F3355" w14:textId="77777777" w:rsidR="003A7928" w:rsidRPr="006F0805" w:rsidRDefault="003A7928" w:rsidP="001A3D9A">
      <w:pPr>
        <w:pStyle w:val="Labelheading"/>
        <w:rPr>
          <w:rFonts w:ascii="Times New Roman" w:hAnsi="Times New Roman"/>
          <w:szCs w:val="22"/>
        </w:rPr>
      </w:pPr>
      <w:r w:rsidRPr="006F0805">
        <w:rPr>
          <w:rFonts w:ascii="Times New Roman" w:hAnsi="Times New Roman"/>
          <w:szCs w:val="22"/>
        </w:rPr>
        <w:lastRenderedPageBreak/>
        <w:t>INFORMACIJA ANT IŠORINĖS PAKUOTĖS</w:t>
      </w:r>
    </w:p>
    <w:p w14:paraId="7930F9E6" w14:textId="77777777" w:rsidR="003A7928" w:rsidRPr="006F0805" w:rsidRDefault="003A7928" w:rsidP="001A3D9A">
      <w:pPr>
        <w:pStyle w:val="Labelheading"/>
        <w:rPr>
          <w:rFonts w:ascii="Times New Roman" w:hAnsi="Times New Roman"/>
          <w:szCs w:val="22"/>
        </w:rPr>
      </w:pPr>
    </w:p>
    <w:p w14:paraId="66EFEB55" w14:textId="3242C1C2" w:rsidR="003A7928" w:rsidRPr="006F0805" w:rsidRDefault="003A7928" w:rsidP="002F4AC8">
      <w:pPr>
        <w:pStyle w:val="Labelheading"/>
        <w:rPr>
          <w:rFonts w:ascii="Times New Roman" w:hAnsi="Times New Roman"/>
          <w:szCs w:val="22"/>
        </w:rPr>
      </w:pPr>
      <w:r w:rsidRPr="006F0805">
        <w:rPr>
          <w:rFonts w:ascii="Times New Roman" w:hAnsi="Times New Roman"/>
          <w:szCs w:val="22"/>
        </w:rPr>
        <w:t>DĖŽUTĖ</w:t>
      </w:r>
    </w:p>
    <w:p w14:paraId="1D2419B0" w14:textId="77777777" w:rsidR="003A7928" w:rsidRPr="00AE03B0" w:rsidRDefault="003A7928" w:rsidP="00E6641A"/>
    <w:p w14:paraId="0CFA2771" w14:textId="77777777" w:rsidR="003A7928" w:rsidRPr="006F0805" w:rsidRDefault="003A7928" w:rsidP="00E6641A"/>
    <w:p w14:paraId="73C7DDDC"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w:t>
      </w:r>
      <w:r w:rsidRPr="006F0805">
        <w:rPr>
          <w:rFonts w:ascii="Times New Roman" w:hAnsi="Times New Roman"/>
          <w:szCs w:val="22"/>
        </w:rPr>
        <w:tab/>
        <w:t>VAISTINIO PREPARATO PAVADINIMAS</w:t>
      </w:r>
    </w:p>
    <w:p w14:paraId="55972985" w14:textId="77777777" w:rsidR="003A7928" w:rsidRPr="00AE03B0" w:rsidRDefault="003A7928" w:rsidP="00E6641A"/>
    <w:p w14:paraId="2320C309" w14:textId="460FFC21" w:rsidR="0025137A" w:rsidRDefault="003A7928" w:rsidP="00E6641A">
      <w:r w:rsidRPr="006F0805">
        <w:t>Neupogen 480</w:t>
      </w:r>
      <w:r w:rsidR="00213DF5">
        <w:t> </w:t>
      </w:r>
      <w:r w:rsidRPr="006F0805">
        <w:t>mikrogramų (0,96 mg/ml)</w:t>
      </w:r>
    </w:p>
    <w:p w14:paraId="3AE70371" w14:textId="77777777" w:rsidR="003A7928" w:rsidRPr="006F0805" w:rsidRDefault="003A7928" w:rsidP="00E6641A">
      <w:r w:rsidRPr="006F0805">
        <w:t>injekcinis tirpalas užpildytame švirkšte</w:t>
      </w:r>
    </w:p>
    <w:p w14:paraId="4B7BD15A" w14:textId="77777777" w:rsidR="003A7928" w:rsidRPr="00AE03B0" w:rsidRDefault="003A7928" w:rsidP="00E6641A">
      <w:pPr>
        <w:rPr>
          <w:i/>
        </w:rPr>
      </w:pPr>
      <w:r w:rsidRPr="006F0805">
        <w:rPr>
          <w:i/>
        </w:rPr>
        <w:t>Filgrastimum</w:t>
      </w:r>
    </w:p>
    <w:p w14:paraId="681B5896" w14:textId="77777777" w:rsidR="003A7928" w:rsidRPr="006F0805" w:rsidRDefault="003A7928" w:rsidP="00E6641A"/>
    <w:p w14:paraId="7C226C19" w14:textId="77777777" w:rsidR="003A7928" w:rsidRPr="006F0805" w:rsidRDefault="003A7928" w:rsidP="00E6641A"/>
    <w:p w14:paraId="4F99F3B7"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2.</w:t>
      </w:r>
      <w:r w:rsidRPr="006F0805">
        <w:rPr>
          <w:rFonts w:ascii="Times New Roman" w:hAnsi="Times New Roman"/>
          <w:szCs w:val="22"/>
        </w:rPr>
        <w:tab/>
        <w:t>VEIKLIOJI (-IOS) MEDŽIAGA (-OS) IR JOS (-Ų) KIEKIS (-IAI)</w:t>
      </w:r>
    </w:p>
    <w:p w14:paraId="60279E67" w14:textId="77777777" w:rsidR="003A7928" w:rsidRPr="00AE03B0" w:rsidRDefault="003A7928" w:rsidP="00E6641A"/>
    <w:p w14:paraId="6AF4B6F9" w14:textId="6752DDB6" w:rsidR="003A7928" w:rsidRPr="006F0805" w:rsidRDefault="00923B3F" w:rsidP="00E6641A">
      <w:r>
        <w:t>Kiekv</w:t>
      </w:r>
      <w:r w:rsidR="003A7928" w:rsidRPr="006F0805">
        <w:t>iename</w:t>
      </w:r>
      <w:r w:rsidR="0093072A">
        <w:t xml:space="preserve"> </w:t>
      </w:r>
      <w:r w:rsidR="003A7928" w:rsidRPr="006F0805">
        <w:t xml:space="preserve">0,5 ml švirkšte yra 480 mikrogramų (0,96 mg/ml) </w:t>
      </w:r>
      <w:r w:rsidR="0025137A">
        <w:t xml:space="preserve">sterilaus, neturinčio </w:t>
      </w:r>
      <w:r w:rsidR="003A7928" w:rsidRPr="006F0805">
        <w:t>filgrastimo tirpalo.</w:t>
      </w:r>
    </w:p>
    <w:p w14:paraId="491C5B54" w14:textId="77777777" w:rsidR="003A7928" w:rsidRPr="006F0805" w:rsidRDefault="003A7928" w:rsidP="00E6641A"/>
    <w:p w14:paraId="5FE87C81" w14:textId="77777777" w:rsidR="003A7928" w:rsidRPr="006F0805" w:rsidRDefault="003A7928" w:rsidP="00E6641A"/>
    <w:p w14:paraId="74FD5CA4"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3.</w:t>
      </w:r>
      <w:r w:rsidRPr="006F0805">
        <w:rPr>
          <w:rFonts w:ascii="Times New Roman" w:hAnsi="Times New Roman"/>
          <w:szCs w:val="22"/>
        </w:rPr>
        <w:tab/>
        <w:t>PAGALBINIŲ MEDŽIAGŲ SĄRAŠAS</w:t>
      </w:r>
    </w:p>
    <w:p w14:paraId="36D8027B" w14:textId="77777777" w:rsidR="003A7928" w:rsidRPr="00AE03B0" w:rsidRDefault="003A7928" w:rsidP="00E6641A"/>
    <w:p w14:paraId="17E3E8C0" w14:textId="77777777" w:rsidR="003A7928" w:rsidRPr="006F0805" w:rsidRDefault="003A7928" w:rsidP="00E6641A">
      <w:r w:rsidRPr="006F0805">
        <w:t>Pagalbinės medžiagos: natrio acetatas, sorbitolis (E420), polisorbatas 80, injekcinis vanduo.</w:t>
      </w:r>
    </w:p>
    <w:p w14:paraId="1D64CCD8" w14:textId="77777777" w:rsidR="003A7928" w:rsidRPr="006F0805" w:rsidRDefault="003A7928" w:rsidP="00E6641A"/>
    <w:p w14:paraId="3F132BB2" w14:textId="77777777" w:rsidR="003A7928" w:rsidRPr="006F0805" w:rsidRDefault="003A7928" w:rsidP="00E6641A"/>
    <w:p w14:paraId="5D803277"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4.</w:t>
      </w:r>
      <w:r w:rsidRPr="006F0805">
        <w:rPr>
          <w:rFonts w:ascii="Times New Roman" w:hAnsi="Times New Roman"/>
          <w:szCs w:val="22"/>
        </w:rPr>
        <w:tab/>
        <w:t>FARMACINĖ FORMA IR KIEKIS PAKUOTĖJE</w:t>
      </w:r>
    </w:p>
    <w:p w14:paraId="1A1CE12A" w14:textId="77777777" w:rsidR="003A7928" w:rsidRPr="00AE03B0" w:rsidRDefault="003A7928" w:rsidP="00E6641A"/>
    <w:p w14:paraId="60F6CB3E" w14:textId="77777777" w:rsidR="003A7928" w:rsidRPr="006F0805" w:rsidRDefault="003A7928" w:rsidP="00E6641A">
      <w:r w:rsidRPr="006F0805">
        <w:t>Injekcinis tirpalas/ koncentratas infuziniam tirpalui</w:t>
      </w:r>
      <w:r w:rsidRPr="006F0805">
        <w:rPr>
          <w:noProof w:val="0"/>
          <w:color w:val="FF0000"/>
          <w:lang w:eastAsia="lt-LT"/>
        </w:rPr>
        <w:t xml:space="preserve"> </w:t>
      </w:r>
      <w:r w:rsidRPr="006F0805">
        <w:t>vienkartinio naudojimo užpildytame švirkšte (0,5 ml).</w:t>
      </w:r>
    </w:p>
    <w:p w14:paraId="76DFF232" w14:textId="77777777" w:rsidR="003A7928" w:rsidRPr="006F0805" w:rsidRDefault="003A7928" w:rsidP="00E6641A">
      <w:r w:rsidRPr="006F0805">
        <w:t>Pakuotėje yra vienas švirkštas.</w:t>
      </w:r>
    </w:p>
    <w:p w14:paraId="085B5EDB" w14:textId="77777777" w:rsidR="003A7928" w:rsidRPr="00AE03B0" w:rsidRDefault="003A7928" w:rsidP="00E6641A">
      <w:r w:rsidRPr="008310F0">
        <w:rPr>
          <w:highlight w:val="lightGray"/>
        </w:rPr>
        <w:t>Pakuotėje yra penki švirkštai.</w:t>
      </w:r>
    </w:p>
    <w:p w14:paraId="3452A03F" w14:textId="77777777" w:rsidR="003A7928" w:rsidRPr="006F0805" w:rsidRDefault="003A7928" w:rsidP="00E6641A"/>
    <w:p w14:paraId="60DA5C90" w14:textId="77777777" w:rsidR="003A7928" w:rsidRPr="006F0805" w:rsidRDefault="003A7928" w:rsidP="00E6641A"/>
    <w:p w14:paraId="341DEBB0"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5.</w:t>
      </w:r>
      <w:r w:rsidRPr="006F0805">
        <w:rPr>
          <w:rFonts w:ascii="Times New Roman" w:hAnsi="Times New Roman"/>
          <w:szCs w:val="22"/>
        </w:rPr>
        <w:tab/>
        <w:t>VARTOJIMO METODAS IR BŪDAS (-AI)</w:t>
      </w:r>
    </w:p>
    <w:p w14:paraId="7AE77D93" w14:textId="77777777" w:rsidR="003A7928" w:rsidRPr="00AE03B0" w:rsidRDefault="003A7928" w:rsidP="00E6641A"/>
    <w:p w14:paraId="1DC96AEA" w14:textId="77777777" w:rsidR="003A7928" w:rsidRPr="00AE03B0" w:rsidRDefault="0000562E" w:rsidP="00E6641A">
      <w:r>
        <w:t>Leisti</w:t>
      </w:r>
      <w:r w:rsidR="003A7928" w:rsidRPr="006F0805">
        <w:t xml:space="preserve"> po oda arba praskiedus į veną.</w:t>
      </w:r>
    </w:p>
    <w:p w14:paraId="531745E2" w14:textId="77777777" w:rsidR="003A7928" w:rsidRPr="006F0805" w:rsidRDefault="003A7928" w:rsidP="00E6641A">
      <w:r w:rsidRPr="006F0805">
        <w:t>Prieš vartojimą perskaitykite pakuotės lapelį.</w:t>
      </w:r>
    </w:p>
    <w:p w14:paraId="3EE0D5C1" w14:textId="77777777" w:rsidR="003A7928" w:rsidRPr="006F0805" w:rsidRDefault="003A7928" w:rsidP="00E6641A"/>
    <w:p w14:paraId="5275211B" w14:textId="77777777" w:rsidR="003A7928" w:rsidRPr="006F0805" w:rsidRDefault="003A7928" w:rsidP="00E6641A"/>
    <w:p w14:paraId="7283FA66"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6.</w:t>
      </w:r>
      <w:r w:rsidRPr="006F0805">
        <w:rPr>
          <w:rFonts w:ascii="Times New Roman" w:hAnsi="Times New Roman"/>
          <w:szCs w:val="22"/>
        </w:rPr>
        <w:tab/>
        <w:t>SPECIALUS ĮSPĖJIMAS, KAD VAISTINĮ PREPARATĄ BŪTINA LAIKYTI VAIKAMS NEPASTEBIMOJE IR NEPASIEKIAMOJE VIETOJE</w:t>
      </w:r>
    </w:p>
    <w:p w14:paraId="4C2A02FB" w14:textId="77777777" w:rsidR="003A7928" w:rsidRPr="00AE03B0" w:rsidRDefault="003A7928" w:rsidP="00E6641A"/>
    <w:p w14:paraId="02C12EA1" w14:textId="77777777" w:rsidR="003A7928" w:rsidRPr="00AE03B0" w:rsidRDefault="003A7928" w:rsidP="00E6641A">
      <w:r w:rsidRPr="006F0805">
        <w:t>Laikyti vaikams nepastebimoje</w:t>
      </w:r>
      <w:r w:rsidRPr="00AE03B0">
        <w:t xml:space="preserve"> ir </w:t>
      </w:r>
      <w:r w:rsidRPr="006F0805">
        <w:t>nepasiekiamoje</w:t>
      </w:r>
      <w:r w:rsidRPr="00AE03B0">
        <w:t xml:space="preserve"> vietoje.</w:t>
      </w:r>
    </w:p>
    <w:p w14:paraId="482688FD" w14:textId="77777777" w:rsidR="003A7928" w:rsidRPr="006F0805" w:rsidRDefault="003A7928" w:rsidP="00E6641A"/>
    <w:p w14:paraId="09623C17" w14:textId="77777777" w:rsidR="003A7928" w:rsidRPr="006F0805" w:rsidRDefault="003A7928" w:rsidP="00E6641A"/>
    <w:p w14:paraId="18A7F13C"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7.</w:t>
      </w:r>
      <w:r w:rsidRPr="006F0805">
        <w:rPr>
          <w:rFonts w:ascii="Times New Roman" w:hAnsi="Times New Roman"/>
          <w:szCs w:val="22"/>
        </w:rPr>
        <w:tab/>
        <w:t>KITAS (-I) SPECIALUS (-ŪS) ĮSPĖJIMAS (-AI) (JEI REIKIA)</w:t>
      </w:r>
    </w:p>
    <w:p w14:paraId="7DDE4B15" w14:textId="77777777" w:rsidR="003A7928" w:rsidRPr="006F0805" w:rsidRDefault="003A7928" w:rsidP="00E6641A">
      <w:pPr>
        <w:tabs>
          <w:tab w:val="left" w:pos="5944"/>
        </w:tabs>
      </w:pPr>
    </w:p>
    <w:p w14:paraId="53F35EFC" w14:textId="77777777" w:rsidR="003A7928" w:rsidRPr="006F0805" w:rsidRDefault="003A7928" w:rsidP="00E6641A"/>
    <w:p w14:paraId="3A8FDB37"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8.</w:t>
      </w:r>
      <w:r w:rsidRPr="006F0805">
        <w:rPr>
          <w:rFonts w:ascii="Times New Roman" w:hAnsi="Times New Roman"/>
          <w:szCs w:val="22"/>
        </w:rPr>
        <w:tab/>
        <w:t>TINKAMUMO LAIKAS</w:t>
      </w:r>
    </w:p>
    <w:p w14:paraId="3BD99583" w14:textId="77777777" w:rsidR="003A7928" w:rsidRPr="00AE03B0" w:rsidRDefault="003A7928" w:rsidP="00E6641A"/>
    <w:p w14:paraId="254995D6" w14:textId="77777777" w:rsidR="003A7928" w:rsidRPr="006F0805" w:rsidRDefault="003A7928" w:rsidP="00E6641A">
      <w:r w:rsidRPr="006F0805">
        <w:t>Tinka iki</w:t>
      </w:r>
      <w:r w:rsidR="006C052E">
        <w:t xml:space="preserve"> mm/MMMM</w:t>
      </w:r>
    </w:p>
    <w:p w14:paraId="13060504" w14:textId="77777777" w:rsidR="003A7928" w:rsidRPr="006F0805" w:rsidRDefault="003A7928" w:rsidP="00E6641A"/>
    <w:p w14:paraId="68FB2EDC" w14:textId="77777777" w:rsidR="003A7928" w:rsidRPr="006F0805" w:rsidRDefault="003A7928" w:rsidP="00E6641A"/>
    <w:p w14:paraId="0741A7E9" w14:textId="77777777" w:rsidR="003A7928" w:rsidRPr="006F0805" w:rsidRDefault="003A7928" w:rsidP="00306AC1">
      <w:pPr>
        <w:pStyle w:val="Labelheading"/>
        <w:keepNext/>
        <w:rPr>
          <w:rFonts w:ascii="Times New Roman" w:hAnsi="Times New Roman"/>
          <w:szCs w:val="22"/>
        </w:rPr>
      </w:pPr>
      <w:r w:rsidRPr="006F0805">
        <w:rPr>
          <w:rFonts w:ascii="Times New Roman" w:hAnsi="Times New Roman"/>
          <w:szCs w:val="22"/>
        </w:rPr>
        <w:t>9.</w:t>
      </w:r>
      <w:r w:rsidRPr="006F0805">
        <w:rPr>
          <w:rFonts w:ascii="Times New Roman" w:hAnsi="Times New Roman"/>
          <w:szCs w:val="22"/>
        </w:rPr>
        <w:tab/>
        <w:t>SPECIALIOS LAIKYMO SĄLYGOS</w:t>
      </w:r>
    </w:p>
    <w:p w14:paraId="7CD33E07" w14:textId="77777777" w:rsidR="003A7928" w:rsidRPr="00AE03B0" w:rsidRDefault="003A7928" w:rsidP="00306AC1">
      <w:pPr>
        <w:keepNext/>
      </w:pPr>
    </w:p>
    <w:p w14:paraId="4EFF8F13" w14:textId="77777777" w:rsidR="003A7928" w:rsidRDefault="003A7928" w:rsidP="00306AC1">
      <w:pPr>
        <w:keepNext/>
      </w:pPr>
      <w:r w:rsidRPr="006F0805">
        <w:t>Laikyti šaldytuve.</w:t>
      </w:r>
    </w:p>
    <w:p w14:paraId="3D20A18C" w14:textId="77777777" w:rsidR="005B68C5" w:rsidRPr="006F0805" w:rsidRDefault="005B68C5" w:rsidP="005B68C5">
      <w:r w:rsidRPr="00985642">
        <w:t>Užpildytą švirkštą laikyti išorinėje dėžutėje, kad vaistas būtų apsaugotas nuo šviesos.</w:t>
      </w:r>
    </w:p>
    <w:p w14:paraId="27E242F0" w14:textId="30C8EA7E" w:rsidR="003A7928" w:rsidRPr="006F0805" w:rsidRDefault="003A7928" w:rsidP="00E6641A">
      <w:pPr>
        <w:pStyle w:val="Labelheading"/>
        <w:rPr>
          <w:rFonts w:ascii="Times New Roman" w:hAnsi="Times New Roman"/>
          <w:szCs w:val="22"/>
        </w:rPr>
      </w:pPr>
      <w:r w:rsidRPr="006F0805">
        <w:rPr>
          <w:rFonts w:ascii="Times New Roman" w:hAnsi="Times New Roman"/>
          <w:szCs w:val="22"/>
        </w:rPr>
        <w:lastRenderedPageBreak/>
        <w:t>10.</w:t>
      </w:r>
      <w:r w:rsidRPr="006F0805">
        <w:rPr>
          <w:rFonts w:ascii="Times New Roman" w:hAnsi="Times New Roman"/>
          <w:szCs w:val="22"/>
        </w:rPr>
        <w:tab/>
        <w:t>SPECIALIOS ATSARGUMO PRIEMONĖS DĖL NESUVARTOTO VAISTINIO PREPARATO AR JO ATLIEKŲ TVARKYMO (JEI REIKIA)</w:t>
      </w:r>
    </w:p>
    <w:p w14:paraId="2E2ECB2E" w14:textId="77777777" w:rsidR="003A7928" w:rsidRPr="00AE03B0" w:rsidRDefault="003A7928" w:rsidP="00E6641A"/>
    <w:p w14:paraId="54355CF5" w14:textId="77777777" w:rsidR="003A7928" w:rsidRPr="006F0805" w:rsidRDefault="003A7928" w:rsidP="00E6641A"/>
    <w:p w14:paraId="1E3BF427"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11.</w:t>
      </w:r>
      <w:r w:rsidRPr="006F0805">
        <w:rPr>
          <w:rFonts w:ascii="Times New Roman" w:hAnsi="Times New Roman"/>
          <w:szCs w:val="22"/>
        </w:rPr>
        <w:tab/>
      </w:r>
      <w:r w:rsidRPr="006F0805">
        <w:rPr>
          <w:rFonts w:ascii="Times New Roman" w:hAnsi="Times New Roman"/>
          <w:caps/>
          <w:szCs w:val="22"/>
        </w:rPr>
        <w:t>R</w:t>
      </w:r>
      <w:r w:rsidR="0000562E">
        <w:rPr>
          <w:rFonts w:ascii="Times New Roman" w:hAnsi="Times New Roman"/>
          <w:szCs w:val="22"/>
        </w:rPr>
        <w:t xml:space="preserve">EGISTRUOTOJO </w:t>
      </w:r>
      <w:r w:rsidRPr="006F0805">
        <w:rPr>
          <w:rFonts w:ascii="Times New Roman" w:hAnsi="Times New Roman"/>
          <w:szCs w:val="22"/>
        </w:rPr>
        <w:t>PAVADINIMAS IR ADRESAS</w:t>
      </w:r>
    </w:p>
    <w:p w14:paraId="7D124B24" w14:textId="77777777" w:rsidR="003A7928" w:rsidRPr="00AE03B0" w:rsidRDefault="003A7928" w:rsidP="00E6641A"/>
    <w:p w14:paraId="41D98F27" w14:textId="77777777" w:rsidR="003A7928" w:rsidRPr="006F0805" w:rsidRDefault="003A7928" w:rsidP="00E6641A">
      <w:r w:rsidRPr="006F0805">
        <w:t>Amgen Europe B.V.</w:t>
      </w:r>
    </w:p>
    <w:p w14:paraId="5255945F" w14:textId="77777777" w:rsidR="003A7928" w:rsidRPr="006F0805" w:rsidRDefault="003A7928" w:rsidP="00E6641A">
      <w:r w:rsidRPr="006F0805">
        <w:t>Minervum 7061</w:t>
      </w:r>
    </w:p>
    <w:p w14:paraId="3829EC1C" w14:textId="77777777" w:rsidR="003A7928" w:rsidRPr="006F0805" w:rsidRDefault="003A7928" w:rsidP="00E6641A">
      <w:r>
        <w:t>NL-</w:t>
      </w:r>
      <w:r w:rsidRPr="006F0805">
        <w:t>4817 ZK Breda</w:t>
      </w:r>
    </w:p>
    <w:p w14:paraId="3B53C1B8" w14:textId="77777777" w:rsidR="003A7928" w:rsidRPr="006F0805" w:rsidRDefault="003A7928" w:rsidP="00E6641A">
      <w:r w:rsidRPr="006F0805">
        <w:t>Nyderlandai</w:t>
      </w:r>
    </w:p>
    <w:p w14:paraId="173B77A1" w14:textId="77777777" w:rsidR="003A7928" w:rsidRPr="006F0805" w:rsidRDefault="003A7928" w:rsidP="00E6641A"/>
    <w:p w14:paraId="5F690F69" w14:textId="77777777" w:rsidR="003A7928" w:rsidRPr="006F0805" w:rsidRDefault="003A7928" w:rsidP="00E6641A"/>
    <w:p w14:paraId="5C812AA0"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12.</w:t>
      </w:r>
      <w:r w:rsidRPr="006F0805">
        <w:rPr>
          <w:rFonts w:ascii="Times New Roman" w:hAnsi="Times New Roman"/>
          <w:szCs w:val="22"/>
        </w:rPr>
        <w:tab/>
      </w:r>
      <w:r w:rsidRPr="006F0805">
        <w:rPr>
          <w:rFonts w:ascii="Times New Roman" w:hAnsi="Times New Roman"/>
          <w:caps/>
          <w:szCs w:val="22"/>
        </w:rPr>
        <w:t>R</w:t>
      </w:r>
      <w:r w:rsidR="0000562E">
        <w:rPr>
          <w:rFonts w:ascii="Times New Roman" w:hAnsi="Times New Roman"/>
          <w:caps/>
          <w:szCs w:val="22"/>
        </w:rPr>
        <w:t>EGISTRACIJOS</w:t>
      </w:r>
      <w:r w:rsidRPr="006F0805">
        <w:rPr>
          <w:rFonts w:ascii="Times New Roman" w:hAnsi="Times New Roman"/>
          <w:caps/>
          <w:szCs w:val="22"/>
        </w:rPr>
        <w:t xml:space="preserve"> p</w:t>
      </w:r>
      <w:r w:rsidRPr="007240E0">
        <w:rPr>
          <w:rFonts w:ascii="Times New Roman" w:hAnsi="Times New Roman"/>
          <w:caps/>
          <w:noProof w:val="0"/>
        </w:rPr>
        <w:t>ažymėjimo</w:t>
      </w:r>
      <w:r w:rsidRPr="006F0805">
        <w:rPr>
          <w:rFonts w:ascii="Times New Roman" w:hAnsi="Times New Roman"/>
          <w:szCs w:val="22"/>
        </w:rPr>
        <w:t xml:space="preserve"> NUMERIS</w:t>
      </w:r>
      <w:r w:rsidR="0000562E">
        <w:rPr>
          <w:rFonts w:ascii="Times New Roman" w:hAnsi="Times New Roman"/>
          <w:szCs w:val="22"/>
        </w:rPr>
        <w:t xml:space="preserve"> (-IAI)</w:t>
      </w:r>
    </w:p>
    <w:p w14:paraId="624D2326" w14:textId="77777777" w:rsidR="003A7928" w:rsidRPr="00AE03B0" w:rsidRDefault="003A7928" w:rsidP="00E6641A"/>
    <w:p w14:paraId="444A5FA4" w14:textId="77777777" w:rsidR="003A7928" w:rsidRPr="006F0805" w:rsidRDefault="003A7928" w:rsidP="00E6641A">
      <w:r w:rsidRPr="006F0805">
        <w:t>LT/1/05/0371/003</w:t>
      </w:r>
      <w:r w:rsidR="00E13D3B">
        <w:t xml:space="preserve"> – 0,5 ml N1</w:t>
      </w:r>
    </w:p>
    <w:p w14:paraId="7443F390" w14:textId="77777777" w:rsidR="003A7928" w:rsidRPr="00AE03B0" w:rsidRDefault="003A7928" w:rsidP="00E6641A">
      <w:r w:rsidRPr="008310F0">
        <w:rPr>
          <w:highlight w:val="lightGray"/>
        </w:rPr>
        <w:t>LT/1/05/0371/004</w:t>
      </w:r>
      <w:r w:rsidR="00E13D3B" w:rsidRPr="00306AC1">
        <w:rPr>
          <w:highlight w:val="lightGray"/>
        </w:rPr>
        <w:t xml:space="preserve"> – 0,5 ml N5</w:t>
      </w:r>
    </w:p>
    <w:p w14:paraId="6DE3C51C" w14:textId="77777777" w:rsidR="003A7928" w:rsidRPr="006F0805" w:rsidRDefault="003A7928" w:rsidP="00E6641A"/>
    <w:p w14:paraId="560DAF4B" w14:textId="77777777" w:rsidR="003A7928" w:rsidRPr="006F0805" w:rsidRDefault="003A7928" w:rsidP="00E6641A"/>
    <w:p w14:paraId="660AAE47"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13.</w:t>
      </w:r>
      <w:r w:rsidRPr="006F0805">
        <w:rPr>
          <w:rFonts w:ascii="Times New Roman" w:hAnsi="Times New Roman"/>
          <w:szCs w:val="22"/>
        </w:rPr>
        <w:tab/>
        <w:t>SERIJOS NUMERIS</w:t>
      </w:r>
    </w:p>
    <w:p w14:paraId="42CCD86C" w14:textId="77777777" w:rsidR="003A7928" w:rsidRPr="00AE03B0" w:rsidRDefault="003A7928" w:rsidP="00E6641A"/>
    <w:p w14:paraId="47978006" w14:textId="77777777" w:rsidR="003A7928" w:rsidRPr="006F0805" w:rsidRDefault="003A7928" w:rsidP="00E6641A">
      <w:r w:rsidRPr="006F0805">
        <w:t>Serija</w:t>
      </w:r>
    </w:p>
    <w:p w14:paraId="1A174963" w14:textId="77777777" w:rsidR="003A7928" w:rsidRPr="006F0805" w:rsidRDefault="003A7928" w:rsidP="00E6641A"/>
    <w:p w14:paraId="0A672153" w14:textId="77777777" w:rsidR="003A7928" w:rsidRPr="006F0805" w:rsidRDefault="003A7928" w:rsidP="00E6641A"/>
    <w:p w14:paraId="31763622"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14.</w:t>
      </w:r>
      <w:r w:rsidRPr="006F0805">
        <w:rPr>
          <w:rFonts w:ascii="Times New Roman" w:hAnsi="Times New Roman"/>
          <w:szCs w:val="22"/>
        </w:rPr>
        <w:tab/>
        <w:t>PARDAVIMO (IŠDAVIMO) TVARKA</w:t>
      </w:r>
    </w:p>
    <w:p w14:paraId="1F078D0C" w14:textId="77777777" w:rsidR="003A7928" w:rsidRPr="00AE03B0" w:rsidRDefault="003A7928" w:rsidP="00E6641A"/>
    <w:p w14:paraId="7FBABEE7" w14:textId="77777777" w:rsidR="003A7928" w:rsidRPr="006F0805" w:rsidRDefault="003A7928" w:rsidP="00E6641A">
      <w:r w:rsidRPr="006F0805">
        <w:t>Receptinis vaist</w:t>
      </w:r>
      <w:r w:rsidR="00923B3F">
        <w:t>as</w:t>
      </w:r>
      <w:r w:rsidRPr="006F0805">
        <w:t>.</w:t>
      </w:r>
    </w:p>
    <w:p w14:paraId="3A3A90F0" w14:textId="77777777" w:rsidR="003A7928" w:rsidRPr="006F0805" w:rsidRDefault="003A7928" w:rsidP="00E6641A"/>
    <w:p w14:paraId="73D72C1D" w14:textId="77777777" w:rsidR="003A7928" w:rsidRPr="006F0805" w:rsidRDefault="003A7928" w:rsidP="00E6641A"/>
    <w:p w14:paraId="20C44814"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15.</w:t>
      </w:r>
      <w:r w:rsidRPr="006F0805">
        <w:rPr>
          <w:rFonts w:ascii="Times New Roman" w:hAnsi="Times New Roman"/>
          <w:szCs w:val="22"/>
        </w:rPr>
        <w:tab/>
        <w:t>VARTOJIMO INSTRUKCIJA</w:t>
      </w:r>
    </w:p>
    <w:p w14:paraId="250DDE57" w14:textId="77777777" w:rsidR="003A7928" w:rsidRPr="00AE03B0" w:rsidRDefault="003A7928" w:rsidP="00E6641A"/>
    <w:p w14:paraId="2017767D" w14:textId="77777777" w:rsidR="003A7928" w:rsidRPr="006F0805" w:rsidRDefault="003A7928" w:rsidP="00E6641A"/>
    <w:p w14:paraId="3F296CCE" w14:textId="77777777" w:rsidR="003A7928" w:rsidRPr="006F0805" w:rsidRDefault="003A7928" w:rsidP="00E6641A">
      <w:pPr>
        <w:pStyle w:val="Labelheading"/>
        <w:rPr>
          <w:rFonts w:ascii="Times New Roman" w:hAnsi="Times New Roman"/>
          <w:szCs w:val="22"/>
        </w:rPr>
      </w:pPr>
      <w:r w:rsidRPr="006F0805">
        <w:rPr>
          <w:rFonts w:ascii="Times New Roman" w:hAnsi="Times New Roman"/>
          <w:szCs w:val="22"/>
        </w:rPr>
        <w:t>16.</w:t>
      </w:r>
      <w:r w:rsidRPr="006F0805">
        <w:rPr>
          <w:rFonts w:ascii="Times New Roman" w:hAnsi="Times New Roman"/>
          <w:szCs w:val="22"/>
        </w:rPr>
        <w:tab/>
        <w:t>INFORMACIJA BRAILIO RAŠTU</w:t>
      </w:r>
    </w:p>
    <w:p w14:paraId="333FFB0C" w14:textId="77777777" w:rsidR="003A7928" w:rsidRPr="00AE03B0" w:rsidRDefault="003A7928" w:rsidP="00E6641A"/>
    <w:p w14:paraId="388EB787" w14:textId="77777777" w:rsidR="003A7928" w:rsidRDefault="003A7928" w:rsidP="00E6641A">
      <w:r w:rsidRPr="006F0805">
        <w:t>Neupogen 480</w:t>
      </w:r>
    </w:p>
    <w:p w14:paraId="56238A69" w14:textId="77777777" w:rsidR="00E13D3B" w:rsidRDefault="00E13D3B" w:rsidP="00E6641A"/>
    <w:p w14:paraId="2C81CC37" w14:textId="77777777" w:rsidR="00E13D3B" w:rsidRPr="00306AC1" w:rsidRDefault="00E13D3B" w:rsidP="00306AC1"/>
    <w:p w14:paraId="0A842D4E" w14:textId="77777777" w:rsidR="00E13D3B" w:rsidRPr="00306AC1" w:rsidRDefault="00E13D3B" w:rsidP="00E13D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306AC1">
        <w:rPr>
          <w:b/>
        </w:rPr>
        <w:t>17.</w:t>
      </w:r>
      <w:r w:rsidRPr="00306AC1">
        <w:rPr>
          <w:b/>
        </w:rPr>
        <w:tab/>
        <w:t>UNIKALUS IDENTIFIKATORIUS – 2D BRŪKŠNINIS KODAS</w:t>
      </w:r>
    </w:p>
    <w:p w14:paraId="0BCABC37" w14:textId="77777777" w:rsidR="00E13D3B" w:rsidRPr="00306AC1" w:rsidRDefault="00E13D3B" w:rsidP="00E13D3B">
      <w:pPr>
        <w:tabs>
          <w:tab w:val="left" w:pos="567"/>
        </w:tabs>
        <w:spacing w:line="260" w:lineRule="exact"/>
      </w:pPr>
    </w:p>
    <w:p w14:paraId="7BA34A44" w14:textId="77777777" w:rsidR="00E13D3B" w:rsidRPr="00306AC1" w:rsidRDefault="00E13D3B" w:rsidP="00E13D3B">
      <w:pPr>
        <w:tabs>
          <w:tab w:val="left" w:pos="567"/>
        </w:tabs>
        <w:spacing w:line="260" w:lineRule="exact"/>
        <w:rPr>
          <w:shd w:val="clear" w:color="auto" w:fill="CCCCCC"/>
        </w:rPr>
      </w:pPr>
      <w:r w:rsidRPr="00306AC1">
        <w:rPr>
          <w:highlight w:val="lightGray"/>
        </w:rPr>
        <w:t>2D brūkšninis kodas su nurodytu unikaliu identifikatoriumi.</w:t>
      </w:r>
    </w:p>
    <w:p w14:paraId="42650D10" w14:textId="77777777" w:rsidR="00E13D3B" w:rsidRPr="00306AC1" w:rsidRDefault="00E13D3B" w:rsidP="00E13D3B">
      <w:pPr>
        <w:tabs>
          <w:tab w:val="left" w:pos="567"/>
        </w:tabs>
        <w:spacing w:line="260" w:lineRule="exact"/>
      </w:pPr>
    </w:p>
    <w:p w14:paraId="39B2EA1E" w14:textId="77777777" w:rsidR="00E13D3B" w:rsidRPr="00306AC1" w:rsidRDefault="00E13D3B" w:rsidP="00E13D3B">
      <w:pPr>
        <w:tabs>
          <w:tab w:val="left" w:pos="567"/>
        </w:tabs>
        <w:spacing w:line="260" w:lineRule="exact"/>
      </w:pPr>
    </w:p>
    <w:p w14:paraId="1FCC496E" w14:textId="77777777" w:rsidR="00E13D3B" w:rsidRPr="00306AC1" w:rsidRDefault="00E13D3B" w:rsidP="00E13D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306AC1">
        <w:rPr>
          <w:b/>
        </w:rPr>
        <w:t>18.</w:t>
      </w:r>
      <w:r w:rsidRPr="00306AC1">
        <w:rPr>
          <w:b/>
        </w:rPr>
        <w:tab/>
        <w:t>UNIKALUS IDENTIFIKATORIUS – ŽMONĖMS SUPRANTAMI DUOMENYS</w:t>
      </w:r>
    </w:p>
    <w:p w14:paraId="7B29D434" w14:textId="77777777" w:rsidR="00E13D3B" w:rsidRPr="00306AC1" w:rsidRDefault="00E13D3B" w:rsidP="00E13D3B">
      <w:pPr>
        <w:tabs>
          <w:tab w:val="left" w:pos="567"/>
        </w:tabs>
        <w:spacing w:line="260" w:lineRule="exact"/>
      </w:pPr>
    </w:p>
    <w:p w14:paraId="0EBEC787" w14:textId="71108E91" w:rsidR="00E13D3B" w:rsidRPr="00306AC1" w:rsidRDefault="00E13D3B" w:rsidP="00E13D3B">
      <w:pPr>
        <w:tabs>
          <w:tab w:val="left" w:pos="567"/>
        </w:tabs>
        <w:spacing w:line="260" w:lineRule="exact"/>
        <w:rPr>
          <w:lang w:val="en-GB"/>
        </w:rPr>
      </w:pPr>
      <w:r w:rsidRPr="00A57E0F">
        <w:rPr>
          <w:noProof w:val="0"/>
          <w:snapToGrid w:val="0"/>
          <w:szCs w:val="20"/>
          <w:lang w:val="en-GB" w:eastAsia="en-US"/>
        </w:rPr>
        <w:t xml:space="preserve">PC </w:t>
      </w:r>
    </w:p>
    <w:p w14:paraId="47F94A9A" w14:textId="233A4FC2" w:rsidR="00E13D3B" w:rsidRPr="00796EAA" w:rsidRDefault="00245287" w:rsidP="00E13D3B">
      <w:pPr>
        <w:tabs>
          <w:tab w:val="left" w:pos="567"/>
        </w:tabs>
        <w:spacing w:line="260" w:lineRule="exact"/>
        <w:rPr>
          <w:noProof w:val="0"/>
          <w:snapToGrid w:val="0"/>
          <w:lang w:val="en-GB" w:eastAsia="en-US"/>
        </w:rPr>
      </w:pPr>
      <w:r>
        <w:rPr>
          <w:noProof w:val="0"/>
          <w:snapToGrid w:val="0"/>
          <w:szCs w:val="20"/>
          <w:lang w:val="en-GB" w:eastAsia="en-US"/>
        </w:rPr>
        <w:t>SN</w:t>
      </w:r>
      <w:r w:rsidR="00E13D3B" w:rsidRPr="00796EAA">
        <w:rPr>
          <w:noProof w:val="0"/>
          <w:snapToGrid w:val="0"/>
          <w:szCs w:val="20"/>
          <w:lang w:val="en-GB" w:eastAsia="en-US"/>
        </w:rPr>
        <w:t xml:space="preserve"> </w:t>
      </w:r>
    </w:p>
    <w:p w14:paraId="41AFD781" w14:textId="77777777" w:rsidR="00E13D3B" w:rsidRPr="006F0805" w:rsidRDefault="00E13D3B" w:rsidP="00E13D3B">
      <w:r w:rsidRPr="00306AC1">
        <w:rPr>
          <w:lang w:val="en-GB"/>
        </w:rPr>
        <w:t>NN</w:t>
      </w:r>
    </w:p>
    <w:p w14:paraId="11EB3660" w14:textId="77777777" w:rsidR="003A7928" w:rsidRPr="006F0805" w:rsidRDefault="003A7928" w:rsidP="00E6641A"/>
    <w:p w14:paraId="0791B16F" w14:textId="77777777" w:rsidR="003A7928" w:rsidRPr="00341784" w:rsidRDefault="003A7928" w:rsidP="003A7928">
      <w:pPr>
        <w:pStyle w:val="lbltxt"/>
        <w:pBdr>
          <w:top w:val="single" w:sz="4" w:space="0" w:color="auto"/>
          <w:left w:val="single" w:sz="4" w:space="4" w:color="auto"/>
          <w:bottom w:val="single" w:sz="4" w:space="1" w:color="auto"/>
          <w:right w:val="single" w:sz="4" w:space="4" w:color="auto"/>
        </w:pBdr>
        <w:rPr>
          <w:b/>
          <w:noProof w:val="0"/>
          <w:lang w:val="lt-LT"/>
        </w:rPr>
      </w:pPr>
      <w:r w:rsidRPr="00816B5B">
        <w:rPr>
          <w:szCs w:val="22"/>
          <w:lang w:val="lt-LT"/>
        </w:rPr>
        <w:br w:type="page"/>
      </w:r>
      <w:r w:rsidRPr="00341784">
        <w:rPr>
          <w:b/>
          <w:lang w:val="lt-LT"/>
        </w:rPr>
        <w:lastRenderedPageBreak/>
        <w:t>MINIMALI INFORMACIJA ANT LIZDINIŲ PLOKŠTELIŲ ARBA DVISLUOKSNIŲ JUOSTELIŲ</w:t>
      </w:r>
    </w:p>
    <w:p w14:paraId="7B509768" w14:textId="77777777" w:rsidR="003A7928" w:rsidRDefault="003A7928" w:rsidP="003A7928">
      <w:pPr>
        <w:pStyle w:val="lbltxt"/>
        <w:pBdr>
          <w:top w:val="single" w:sz="4" w:space="0" w:color="auto"/>
          <w:left w:val="single" w:sz="4" w:space="4" w:color="auto"/>
          <w:bottom w:val="single" w:sz="4" w:space="1" w:color="auto"/>
          <w:right w:val="single" w:sz="4" w:space="4" w:color="auto"/>
        </w:pBdr>
        <w:rPr>
          <w:b/>
          <w:noProof w:val="0"/>
          <w:lang w:val="lt-LT"/>
        </w:rPr>
      </w:pPr>
    </w:p>
    <w:p w14:paraId="5DCD77CD" w14:textId="77777777" w:rsidR="003A7928" w:rsidRPr="00341784" w:rsidRDefault="003A7928" w:rsidP="003A7928">
      <w:pPr>
        <w:pStyle w:val="lbltxt"/>
        <w:pBdr>
          <w:top w:val="single" w:sz="4" w:space="0" w:color="auto"/>
          <w:left w:val="single" w:sz="4" w:space="4" w:color="auto"/>
          <w:bottom w:val="single" w:sz="4" w:space="1" w:color="auto"/>
          <w:right w:val="single" w:sz="4" w:space="4" w:color="auto"/>
        </w:pBdr>
        <w:rPr>
          <w:b/>
          <w:noProof w:val="0"/>
          <w:lang w:val="lt-LT"/>
        </w:rPr>
      </w:pPr>
      <w:r w:rsidRPr="00E57F15">
        <w:rPr>
          <w:b/>
          <w:bCs/>
          <w:lang w:val="lt-LT"/>
        </w:rPr>
        <w:t>UŽPILDYTO ŠVIRKŠTO LIZDINĖ PLOKŠTELĖ</w:t>
      </w:r>
    </w:p>
    <w:p w14:paraId="2E79D99A" w14:textId="77777777" w:rsidR="003A7928" w:rsidRPr="00341784" w:rsidRDefault="003A7928" w:rsidP="003A7928">
      <w:pPr>
        <w:pStyle w:val="lbltxt"/>
        <w:rPr>
          <w:b/>
          <w:noProof w:val="0"/>
          <w:lang w:val="lt-LT"/>
        </w:rPr>
      </w:pPr>
    </w:p>
    <w:p w14:paraId="139DB287" w14:textId="77777777" w:rsidR="003A7928" w:rsidRPr="00341784" w:rsidRDefault="003A7928" w:rsidP="003A7928">
      <w:pPr>
        <w:pStyle w:val="lbltxt"/>
        <w:rPr>
          <w:b/>
          <w:noProof w:val="0"/>
          <w:lang w:val="lt-LT"/>
        </w:rPr>
      </w:pPr>
    </w:p>
    <w:p w14:paraId="23D6A6C2" w14:textId="77777777" w:rsidR="003A7928" w:rsidRPr="00341784" w:rsidRDefault="003A7928" w:rsidP="003A7928">
      <w:pPr>
        <w:pStyle w:val="lbltxt"/>
        <w:pBdr>
          <w:top w:val="single" w:sz="4" w:space="1" w:color="auto"/>
          <w:left w:val="single" w:sz="4" w:space="4" w:color="auto"/>
          <w:bottom w:val="single" w:sz="4" w:space="1" w:color="auto"/>
          <w:right w:val="single" w:sz="4" w:space="4" w:color="auto"/>
        </w:pBdr>
        <w:rPr>
          <w:b/>
          <w:noProof w:val="0"/>
          <w:lang w:val="lt-LT"/>
        </w:rPr>
      </w:pPr>
      <w:r w:rsidRPr="00341784">
        <w:rPr>
          <w:b/>
          <w:noProof w:val="0"/>
          <w:lang w:val="lt-LT"/>
        </w:rPr>
        <w:t>1.</w:t>
      </w:r>
      <w:r w:rsidRPr="00341784">
        <w:rPr>
          <w:b/>
          <w:noProof w:val="0"/>
          <w:lang w:val="lt-LT"/>
        </w:rPr>
        <w:tab/>
      </w:r>
      <w:r w:rsidRPr="00341784">
        <w:rPr>
          <w:b/>
          <w:caps/>
          <w:lang w:val="lt-LT"/>
        </w:rPr>
        <w:t>Vaistinio preparato pavadinimas</w:t>
      </w:r>
    </w:p>
    <w:p w14:paraId="7CC81F6A" w14:textId="77777777" w:rsidR="003A7928" w:rsidRPr="00341784" w:rsidRDefault="003A7928" w:rsidP="003A7928">
      <w:pPr>
        <w:pStyle w:val="lbltxt"/>
        <w:rPr>
          <w:noProof w:val="0"/>
          <w:lang w:val="lt-LT"/>
        </w:rPr>
      </w:pPr>
    </w:p>
    <w:p w14:paraId="246A1587" w14:textId="0F127B5A" w:rsidR="0025137A" w:rsidRDefault="003A7928" w:rsidP="003A7928">
      <w:r>
        <w:t>Neupogen 48</w:t>
      </w:r>
      <w:r w:rsidRPr="00AD4C09">
        <w:t>0</w:t>
      </w:r>
      <w:r w:rsidR="00213DF5">
        <w:t> </w:t>
      </w:r>
      <w:r w:rsidRPr="00AD4C09">
        <w:t>mikrogramų (0,</w:t>
      </w:r>
      <w:r>
        <w:t>9</w:t>
      </w:r>
      <w:r w:rsidRPr="00AD4C09">
        <w:t>6 mg/ml)</w:t>
      </w:r>
    </w:p>
    <w:p w14:paraId="14C8A4CD" w14:textId="77777777" w:rsidR="003A7928" w:rsidRPr="00AD4C09" w:rsidRDefault="003A7928" w:rsidP="003A7928">
      <w:r>
        <w:t>i</w:t>
      </w:r>
      <w:r w:rsidRPr="006C4365">
        <w:t>njekcinis tirpalas/koncentratas infuziniam tirpalui užpildytame švirkšte</w:t>
      </w:r>
    </w:p>
    <w:p w14:paraId="70670E42" w14:textId="77777777" w:rsidR="003A7928" w:rsidRPr="00090A41" w:rsidRDefault="003A7928" w:rsidP="003A7928">
      <w:r w:rsidRPr="00AD4C09">
        <w:rPr>
          <w:i/>
        </w:rPr>
        <w:t>Filgrastimum</w:t>
      </w:r>
    </w:p>
    <w:p w14:paraId="3C9AE640" w14:textId="77777777" w:rsidR="003A7928" w:rsidRPr="00816B5B" w:rsidRDefault="003A7928" w:rsidP="003A7928">
      <w:pPr>
        <w:pStyle w:val="lbltxt"/>
        <w:rPr>
          <w:b/>
          <w:noProof w:val="0"/>
          <w:lang w:val="lt-LT"/>
        </w:rPr>
      </w:pPr>
    </w:p>
    <w:p w14:paraId="1D7FEADC" w14:textId="77777777" w:rsidR="003A7928" w:rsidRPr="00816B5B" w:rsidRDefault="003A7928" w:rsidP="003A7928">
      <w:pPr>
        <w:pStyle w:val="lbltxt"/>
        <w:rPr>
          <w:b/>
          <w:noProof w:val="0"/>
          <w:lang w:val="lt-LT"/>
        </w:rPr>
      </w:pPr>
    </w:p>
    <w:p w14:paraId="4F61C9F2" w14:textId="77777777" w:rsidR="003A7928" w:rsidRPr="00816B5B" w:rsidRDefault="003A7928" w:rsidP="003A7928">
      <w:pPr>
        <w:pStyle w:val="lbltxt"/>
        <w:pBdr>
          <w:top w:val="single" w:sz="4" w:space="1" w:color="auto"/>
          <w:left w:val="single" w:sz="4" w:space="4" w:color="auto"/>
          <w:bottom w:val="single" w:sz="4" w:space="1" w:color="auto"/>
          <w:right w:val="single" w:sz="4" w:space="4" w:color="auto"/>
        </w:pBdr>
        <w:rPr>
          <w:b/>
          <w:noProof w:val="0"/>
          <w:lang w:val="lt-LT"/>
        </w:rPr>
      </w:pPr>
      <w:r w:rsidRPr="00816B5B">
        <w:rPr>
          <w:b/>
          <w:noProof w:val="0"/>
          <w:lang w:val="lt-LT"/>
        </w:rPr>
        <w:t>2.</w:t>
      </w:r>
      <w:r w:rsidRPr="00816B5B">
        <w:rPr>
          <w:b/>
          <w:noProof w:val="0"/>
          <w:lang w:val="lt-LT"/>
        </w:rPr>
        <w:tab/>
      </w:r>
      <w:r w:rsidRPr="00816B5B">
        <w:rPr>
          <w:b/>
          <w:caps/>
          <w:lang w:val="lt-LT"/>
        </w:rPr>
        <w:t>r</w:t>
      </w:r>
      <w:r w:rsidR="0000562E">
        <w:rPr>
          <w:b/>
          <w:caps/>
          <w:lang w:val="lt-LT"/>
        </w:rPr>
        <w:t>EGISTRUOTOJO</w:t>
      </w:r>
      <w:r w:rsidRPr="00816B5B">
        <w:rPr>
          <w:b/>
          <w:caps/>
          <w:lang w:val="lt-LT"/>
        </w:rPr>
        <w:t xml:space="preserve"> pavadinimas</w:t>
      </w:r>
    </w:p>
    <w:p w14:paraId="758D2273" w14:textId="77777777" w:rsidR="003A7928" w:rsidRPr="00816B5B" w:rsidRDefault="003A7928" w:rsidP="003A7928">
      <w:pPr>
        <w:pStyle w:val="lbltxt"/>
        <w:rPr>
          <w:b/>
          <w:noProof w:val="0"/>
          <w:lang w:val="lt-LT"/>
        </w:rPr>
      </w:pPr>
    </w:p>
    <w:p w14:paraId="426F984D" w14:textId="77777777" w:rsidR="003A7928" w:rsidRPr="00090A41" w:rsidRDefault="003A7928" w:rsidP="003A7928">
      <w:pPr>
        <w:keepNext/>
      </w:pPr>
      <w:r w:rsidRPr="00090A41">
        <w:t>Amgen Europe B.V.</w:t>
      </w:r>
    </w:p>
    <w:p w14:paraId="4E32ABFF" w14:textId="77777777" w:rsidR="003A7928" w:rsidRPr="00816B5B" w:rsidRDefault="003A7928" w:rsidP="003A7928">
      <w:pPr>
        <w:pStyle w:val="lbltxt"/>
        <w:rPr>
          <w:b/>
          <w:noProof w:val="0"/>
          <w:lang w:val="lt-LT"/>
        </w:rPr>
      </w:pPr>
    </w:p>
    <w:p w14:paraId="08FD304E" w14:textId="77777777" w:rsidR="003A7928" w:rsidRPr="00816B5B" w:rsidRDefault="003A7928" w:rsidP="003A7928">
      <w:pPr>
        <w:pStyle w:val="lbltxt"/>
        <w:rPr>
          <w:b/>
          <w:noProof w:val="0"/>
          <w:lang w:val="lt-LT"/>
        </w:rPr>
      </w:pPr>
    </w:p>
    <w:p w14:paraId="7432CB91" w14:textId="77777777" w:rsidR="003A7928" w:rsidRPr="00816B5B" w:rsidRDefault="003A7928" w:rsidP="003A7928">
      <w:pPr>
        <w:pStyle w:val="lbltxt"/>
        <w:pBdr>
          <w:top w:val="single" w:sz="4" w:space="1" w:color="auto"/>
          <w:left w:val="single" w:sz="4" w:space="4" w:color="auto"/>
          <w:bottom w:val="single" w:sz="4" w:space="1" w:color="auto"/>
          <w:right w:val="single" w:sz="4" w:space="4" w:color="auto"/>
        </w:pBdr>
        <w:rPr>
          <w:b/>
          <w:noProof w:val="0"/>
          <w:lang w:val="lt-LT"/>
        </w:rPr>
      </w:pPr>
      <w:r w:rsidRPr="00816B5B">
        <w:rPr>
          <w:b/>
          <w:noProof w:val="0"/>
          <w:lang w:val="lt-LT"/>
        </w:rPr>
        <w:t>3.</w:t>
      </w:r>
      <w:r w:rsidRPr="00816B5B">
        <w:rPr>
          <w:b/>
          <w:noProof w:val="0"/>
          <w:lang w:val="lt-LT"/>
        </w:rPr>
        <w:tab/>
      </w:r>
      <w:r w:rsidRPr="00816B5B">
        <w:rPr>
          <w:b/>
          <w:caps/>
          <w:lang w:val="lt-LT"/>
        </w:rPr>
        <w:t>tinkamumo laikas</w:t>
      </w:r>
    </w:p>
    <w:p w14:paraId="5BB87275" w14:textId="77777777" w:rsidR="003A7928" w:rsidRPr="00816B5B" w:rsidRDefault="003A7928" w:rsidP="003A7928">
      <w:pPr>
        <w:pStyle w:val="lbltxt"/>
        <w:rPr>
          <w:iCs/>
          <w:noProof w:val="0"/>
          <w:lang w:val="lt-LT"/>
        </w:rPr>
      </w:pPr>
    </w:p>
    <w:p w14:paraId="4E0BEB36" w14:textId="77777777" w:rsidR="003A7928" w:rsidRPr="00816B5B" w:rsidRDefault="003A7928" w:rsidP="003A7928">
      <w:pPr>
        <w:pStyle w:val="lbltxt"/>
        <w:rPr>
          <w:bCs/>
          <w:noProof w:val="0"/>
          <w:lang w:val="lt-LT"/>
        </w:rPr>
      </w:pPr>
      <w:r w:rsidRPr="00816B5B">
        <w:rPr>
          <w:iCs/>
          <w:noProof w:val="0"/>
          <w:lang w:val="lt-LT"/>
        </w:rPr>
        <w:t>EXP</w:t>
      </w:r>
      <w:r w:rsidR="001D66A8">
        <w:rPr>
          <w:iCs/>
          <w:noProof w:val="0"/>
          <w:lang w:val="lt-LT"/>
        </w:rPr>
        <w:t xml:space="preserve"> mm/MMMM</w:t>
      </w:r>
    </w:p>
    <w:p w14:paraId="3A4B685C" w14:textId="77777777" w:rsidR="003A7928" w:rsidRPr="00816B5B" w:rsidRDefault="003A7928" w:rsidP="003A7928">
      <w:pPr>
        <w:pStyle w:val="lbltxt"/>
        <w:rPr>
          <w:bCs/>
          <w:noProof w:val="0"/>
          <w:lang w:val="lt-LT"/>
        </w:rPr>
      </w:pPr>
    </w:p>
    <w:p w14:paraId="79EF60EB" w14:textId="77777777" w:rsidR="003A7928" w:rsidRPr="00816B5B" w:rsidRDefault="003A7928" w:rsidP="003A7928">
      <w:pPr>
        <w:pStyle w:val="lbltxt"/>
        <w:rPr>
          <w:noProof w:val="0"/>
          <w:lang w:val="lt-LT"/>
        </w:rPr>
      </w:pPr>
    </w:p>
    <w:p w14:paraId="6F660CDB" w14:textId="77777777" w:rsidR="003A7928" w:rsidRPr="00816B5B" w:rsidRDefault="003A7928" w:rsidP="003A7928">
      <w:pPr>
        <w:pStyle w:val="lbltxt"/>
        <w:pBdr>
          <w:top w:val="single" w:sz="4" w:space="1" w:color="auto"/>
          <w:left w:val="single" w:sz="4" w:space="4" w:color="auto"/>
          <w:bottom w:val="single" w:sz="4" w:space="1" w:color="auto"/>
          <w:right w:val="single" w:sz="4" w:space="4" w:color="auto"/>
        </w:pBdr>
        <w:rPr>
          <w:b/>
          <w:noProof w:val="0"/>
          <w:lang w:val="lt-LT"/>
        </w:rPr>
      </w:pPr>
      <w:r w:rsidRPr="00816B5B">
        <w:rPr>
          <w:b/>
          <w:noProof w:val="0"/>
          <w:lang w:val="lt-LT"/>
        </w:rPr>
        <w:t>4.</w:t>
      </w:r>
      <w:r w:rsidRPr="00816B5B">
        <w:rPr>
          <w:b/>
          <w:noProof w:val="0"/>
          <w:lang w:val="lt-LT"/>
        </w:rPr>
        <w:tab/>
      </w:r>
      <w:r w:rsidRPr="00816B5B">
        <w:rPr>
          <w:b/>
          <w:caps/>
          <w:lang w:val="lt-LT"/>
        </w:rPr>
        <w:t>serijos numeris</w:t>
      </w:r>
    </w:p>
    <w:p w14:paraId="39082692" w14:textId="77777777" w:rsidR="003A7928" w:rsidRPr="00816B5B" w:rsidRDefault="003A7928" w:rsidP="003A7928">
      <w:pPr>
        <w:pStyle w:val="lbltxt"/>
        <w:rPr>
          <w:iCs/>
          <w:noProof w:val="0"/>
          <w:lang w:val="lt-LT"/>
        </w:rPr>
      </w:pPr>
    </w:p>
    <w:p w14:paraId="08BC7001" w14:textId="77777777" w:rsidR="003A7928" w:rsidRPr="00816B5B" w:rsidRDefault="003A7928" w:rsidP="003A7928">
      <w:pPr>
        <w:pStyle w:val="lbltxt"/>
        <w:rPr>
          <w:iCs/>
          <w:noProof w:val="0"/>
          <w:lang w:val="lt-LT"/>
        </w:rPr>
      </w:pPr>
      <w:r w:rsidRPr="00816B5B">
        <w:rPr>
          <w:iCs/>
          <w:noProof w:val="0"/>
          <w:lang w:val="lt-LT"/>
        </w:rPr>
        <w:t>Lot</w:t>
      </w:r>
    </w:p>
    <w:p w14:paraId="40219C59" w14:textId="77777777" w:rsidR="003A7928" w:rsidRPr="00816B5B" w:rsidRDefault="003A7928" w:rsidP="003A7928">
      <w:pPr>
        <w:pStyle w:val="lbltxt"/>
        <w:rPr>
          <w:iCs/>
          <w:noProof w:val="0"/>
          <w:lang w:val="lt-LT"/>
        </w:rPr>
      </w:pPr>
    </w:p>
    <w:p w14:paraId="6477CED5" w14:textId="77777777" w:rsidR="003A7928" w:rsidRPr="00816B5B" w:rsidRDefault="003A7928" w:rsidP="003A7928">
      <w:pPr>
        <w:pStyle w:val="lbltxt"/>
        <w:rPr>
          <w:iCs/>
          <w:noProof w:val="0"/>
          <w:lang w:val="lt-LT"/>
        </w:rPr>
      </w:pPr>
    </w:p>
    <w:p w14:paraId="6346ACAD" w14:textId="77777777" w:rsidR="003A7928" w:rsidRPr="00816B5B" w:rsidRDefault="003A7928" w:rsidP="003A7928">
      <w:pPr>
        <w:pStyle w:val="lbltxt"/>
        <w:pBdr>
          <w:top w:val="single" w:sz="4" w:space="1" w:color="auto"/>
          <w:left w:val="single" w:sz="4" w:space="4" w:color="auto"/>
          <w:bottom w:val="single" w:sz="4" w:space="1" w:color="auto"/>
          <w:right w:val="single" w:sz="4" w:space="4" w:color="auto"/>
        </w:pBdr>
        <w:rPr>
          <w:noProof w:val="0"/>
          <w:lang w:val="lt-LT"/>
        </w:rPr>
      </w:pPr>
      <w:r w:rsidRPr="00816B5B">
        <w:rPr>
          <w:b/>
          <w:noProof w:val="0"/>
          <w:lang w:val="lt-LT"/>
        </w:rPr>
        <w:t>5.</w:t>
      </w:r>
      <w:r w:rsidRPr="00816B5B">
        <w:rPr>
          <w:b/>
          <w:noProof w:val="0"/>
          <w:lang w:val="lt-LT"/>
        </w:rPr>
        <w:tab/>
      </w:r>
      <w:r w:rsidRPr="00816B5B">
        <w:rPr>
          <w:b/>
          <w:lang w:val="lt-LT"/>
        </w:rPr>
        <w:t>KITA</w:t>
      </w:r>
    </w:p>
    <w:p w14:paraId="295B46E2" w14:textId="77777777" w:rsidR="003A7928" w:rsidRPr="007240E0" w:rsidRDefault="003A7928" w:rsidP="003A7928"/>
    <w:p w14:paraId="2DBB245E" w14:textId="77777777" w:rsidR="003A7928" w:rsidRPr="00E6641A" w:rsidRDefault="003A7928" w:rsidP="00E57F15">
      <w:pPr>
        <w:pStyle w:val="lbltxt"/>
        <w:pBdr>
          <w:top w:val="single" w:sz="4" w:space="0" w:color="auto"/>
          <w:left w:val="single" w:sz="4" w:space="4" w:color="auto"/>
          <w:bottom w:val="single" w:sz="4" w:space="1" w:color="auto"/>
          <w:right w:val="single" w:sz="4" w:space="4" w:color="auto"/>
        </w:pBdr>
        <w:rPr>
          <w:szCs w:val="22"/>
          <w:lang w:val="lt-LT"/>
        </w:rPr>
      </w:pPr>
      <w:r w:rsidRPr="00E57F15">
        <w:rPr>
          <w:lang w:val="lt-LT"/>
        </w:rPr>
        <w:br w:type="page"/>
      </w:r>
      <w:r w:rsidRPr="00E57F15">
        <w:rPr>
          <w:b/>
          <w:szCs w:val="22"/>
          <w:lang w:val="lt-LT"/>
        </w:rPr>
        <w:lastRenderedPageBreak/>
        <w:t>MINIMALI INFORMACIJA ANT MA</w:t>
      </w:r>
      <w:r w:rsidRPr="00E57F15">
        <w:rPr>
          <w:rFonts w:hint="eastAsia"/>
          <w:b/>
          <w:szCs w:val="22"/>
          <w:lang w:val="lt-LT"/>
        </w:rPr>
        <w:t>ŽŲ</w:t>
      </w:r>
      <w:r w:rsidRPr="00E57F15">
        <w:rPr>
          <w:b/>
          <w:szCs w:val="22"/>
          <w:lang w:val="lt-LT"/>
        </w:rPr>
        <w:t xml:space="preserve"> VIDINI</w:t>
      </w:r>
      <w:r w:rsidRPr="00E57F15">
        <w:rPr>
          <w:rFonts w:hint="eastAsia"/>
          <w:b/>
          <w:szCs w:val="22"/>
          <w:lang w:val="lt-LT"/>
        </w:rPr>
        <w:t>Ų</w:t>
      </w:r>
      <w:r w:rsidRPr="00E57F15">
        <w:rPr>
          <w:b/>
          <w:szCs w:val="22"/>
          <w:lang w:val="lt-LT"/>
        </w:rPr>
        <w:t xml:space="preserve"> PAKUO</w:t>
      </w:r>
      <w:r w:rsidRPr="00E57F15">
        <w:rPr>
          <w:rFonts w:hint="eastAsia"/>
          <w:b/>
          <w:szCs w:val="22"/>
          <w:lang w:val="lt-LT"/>
        </w:rPr>
        <w:t>Č</w:t>
      </w:r>
      <w:r w:rsidRPr="00E57F15">
        <w:rPr>
          <w:b/>
          <w:szCs w:val="22"/>
          <w:lang w:val="lt-LT"/>
        </w:rPr>
        <w:t>I</w:t>
      </w:r>
      <w:r w:rsidRPr="00E57F15">
        <w:rPr>
          <w:rFonts w:hint="eastAsia"/>
          <w:b/>
          <w:szCs w:val="22"/>
          <w:lang w:val="lt-LT"/>
        </w:rPr>
        <w:t>Ų</w:t>
      </w:r>
      <w:r w:rsidRPr="00E57F15">
        <w:rPr>
          <w:b/>
          <w:szCs w:val="22"/>
          <w:lang w:val="lt-LT"/>
        </w:rPr>
        <w:t xml:space="preserve"> </w:t>
      </w:r>
    </w:p>
    <w:p w14:paraId="7F6F02EF" w14:textId="77777777" w:rsidR="003A7928" w:rsidRPr="00E6641A" w:rsidRDefault="003A7928" w:rsidP="00E57F15">
      <w:pPr>
        <w:pStyle w:val="lbltxt"/>
        <w:pBdr>
          <w:top w:val="single" w:sz="4" w:space="0" w:color="auto"/>
          <w:left w:val="single" w:sz="4" w:space="4" w:color="auto"/>
          <w:bottom w:val="single" w:sz="4" w:space="1" w:color="auto"/>
          <w:right w:val="single" w:sz="4" w:space="4" w:color="auto"/>
        </w:pBdr>
        <w:rPr>
          <w:szCs w:val="22"/>
          <w:lang w:val="lt-LT"/>
        </w:rPr>
      </w:pPr>
    </w:p>
    <w:p w14:paraId="60D09464" w14:textId="77777777" w:rsidR="003A7928" w:rsidRPr="00E57F15" w:rsidRDefault="003A7928" w:rsidP="00E57F15">
      <w:pPr>
        <w:pStyle w:val="lbltxt"/>
        <w:pBdr>
          <w:top w:val="single" w:sz="4" w:space="0" w:color="auto"/>
          <w:left w:val="single" w:sz="4" w:space="4" w:color="auto"/>
          <w:bottom w:val="single" w:sz="4" w:space="1" w:color="auto"/>
          <w:right w:val="single" w:sz="4" w:space="4" w:color="auto"/>
        </w:pBdr>
        <w:rPr>
          <w:bCs/>
          <w:szCs w:val="22"/>
          <w:lang w:val="lt-LT"/>
        </w:rPr>
      </w:pPr>
      <w:r w:rsidRPr="00E57F15">
        <w:rPr>
          <w:rFonts w:hint="eastAsia"/>
          <w:b/>
          <w:szCs w:val="22"/>
          <w:lang w:val="lt-LT"/>
        </w:rPr>
        <w:t>Š</w:t>
      </w:r>
      <w:r w:rsidRPr="00E57F15">
        <w:rPr>
          <w:b/>
          <w:szCs w:val="22"/>
          <w:lang w:val="lt-LT"/>
        </w:rPr>
        <w:t>VIRK</w:t>
      </w:r>
      <w:r w:rsidRPr="00E57F15">
        <w:rPr>
          <w:rFonts w:hint="eastAsia"/>
          <w:b/>
          <w:szCs w:val="22"/>
          <w:lang w:val="lt-LT"/>
        </w:rPr>
        <w:t>Š</w:t>
      </w:r>
      <w:r w:rsidRPr="00E57F15">
        <w:rPr>
          <w:b/>
          <w:szCs w:val="22"/>
          <w:lang w:val="lt-LT"/>
        </w:rPr>
        <w:t>TO ETIKET</w:t>
      </w:r>
      <w:r w:rsidRPr="00E57F15">
        <w:rPr>
          <w:rFonts w:hint="eastAsia"/>
          <w:b/>
          <w:szCs w:val="22"/>
          <w:lang w:val="lt-LT"/>
        </w:rPr>
        <w:t>Ė</w:t>
      </w:r>
    </w:p>
    <w:p w14:paraId="3CD9AD0D" w14:textId="77777777" w:rsidR="003A7928" w:rsidRPr="00AE03B0" w:rsidRDefault="003A7928" w:rsidP="003A7928"/>
    <w:p w14:paraId="05D094B5" w14:textId="77777777" w:rsidR="003A7928" w:rsidRPr="006F0805" w:rsidRDefault="003A7928" w:rsidP="003A7928"/>
    <w:p w14:paraId="2DE59416" w14:textId="77777777" w:rsidR="003A7928" w:rsidRPr="006F0805" w:rsidRDefault="003A7928" w:rsidP="003A7928">
      <w:pPr>
        <w:pStyle w:val="Labelheading"/>
        <w:rPr>
          <w:rFonts w:ascii="Times New Roman" w:hAnsi="Times New Roman"/>
          <w:szCs w:val="22"/>
        </w:rPr>
      </w:pPr>
      <w:r w:rsidRPr="006F0805">
        <w:rPr>
          <w:rFonts w:ascii="Times New Roman" w:hAnsi="Times New Roman"/>
          <w:szCs w:val="22"/>
        </w:rPr>
        <w:t>1.</w:t>
      </w:r>
      <w:r w:rsidRPr="006F0805">
        <w:rPr>
          <w:rFonts w:ascii="Times New Roman" w:hAnsi="Times New Roman"/>
          <w:szCs w:val="22"/>
        </w:rPr>
        <w:tab/>
        <w:t xml:space="preserve">VAISTINIO PREPARATO PAVADINIMAS IR VARTOJIMO BŪDAS </w:t>
      </w:r>
      <w:r w:rsidRPr="006F0805">
        <w:rPr>
          <w:rFonts w:ascii="Times New Roman" w:hAnsi="Times New Roman"/>
          <w:caps/>
          <w:szCs w:val="22"/>
        </w:rPr>
        <w:t>(-ai)</w:t>
      </w:r>
    </w:p>
    <w:p w14:paraId="5B6EC989" w14:textId="77777777" w:rsidR="003A7928" w:rsidRPr="00AE03B0" w:rsidRDefault="003A7928" w:rsidP="003A7928"/>
    <w:p w14:paraId="443679CA" w14:textId="77777777" w:rsidR="003A7928" w:rsidRPr="006F0805" w:rsidRDefault="003A7928" w:rsidP="003A7928">
      <w:r w:rsidRPr="006F0805">
        <w:t>Neupogen 480 </w:t>
      </w:r>
      <w:r>
        <w:t xml:space="preserve">µg </w:t>
      </w:r>
      <w:r w:rsidRPr="006F0805">
        <w:t xml:space="preserve">(0,96 mg/ml) </w:t>
      </w:r>
    </w:p>
    <w:p w14:paraId="78EB1F3C" w14:textId="77777777" w:rsidR="003A7928" w:rsidRPr="00AE03B0" w:rsidRDefault="003A7928" w:rsidP="003A7928">
      <w:pPr>
        <w:rPr>
          <w:i/>
        </w:rPr>
      </w:pPr>
      <w:r w:rsidRPr="006F0805">
        <w:rPr>
          <w:i/>
        </w:rPr>
        <w:t>Filgrastimum</w:t>
      </w:r>
    </w:p>
    <w:p w14:paraId="6F1A2D5E" w14:textId="77777777" w:rsidR="003A7928" w:rsidRPr="006F0805" w:rsidRDefault="003A7928" w:rsidP="003A7928">
      <w:r w:rsidRPr="006F0805">
        <w:t>s.c./i.v.</w:t>
      </w:r>
    </w:p>
    <w:p w14:paraId="5A4B50A1" w14:textId="77777777" w:rsidR="003A7928" w:rsidRPr="006F0805" w:rsidRDefault="003A7928" w:rsidP="003A7928">
      <w:pPr>
        <w:rPr>
          <w:iCs/>
        </w:rPr>
      </w:pPr>
    </w:p>
    <w:p w14:paraId="16611678" w14:textId="77777777" w:rsidR="003A7928" w:rsidRPr="006F0805" w:rsidRDefault="003A7928" w:rsidP="003A7928"/>
    <w:p w14:paraId="25A7B53D" w14:textId="77777777" w:rsidR="003A7928" w:rsidRPr="006F0805" w:rsidRDefault="003A7928" w:rsidP="003A7928">
      <w:pPr>
        <w:pStyle w:val="Labelheading"/>
        <w:rPr>
          <w:rFonts w:ascii="Times New Roman" w:hAnsi="Times New Roman"/>
          <w:szCs w:val="22"/>
        </w:rPr>
      </w:pPr>
      <w:r w:rsidRPr="006F0805">
        <w:rPr>
          <w:rFonts w:ascii="Times New Roman" w:hAnsi="Times New Roman"/>
          <w:szCs w:val="22"/>
        </w:rPr>
        <w:t>2.</w:t>
      </w:r>
      <w:r w:rsidRPr="006F0805">
        <w:rPr>
          <w:rFonts w:ascii="Times New Roman" w:hAnsi="Times New Roman"/>
          <w:szCs w:val="22"/>
        </w:rPr>
        <w:tab/>
        <w:t>VARTOJIMO METODAS</w:t>
      </w:r>
    </w:p>
    <w:p w14:paraId="2DE0AF1E" w14:textId="77777777" w:rsidR="003A7928" w:rsidRPr="00AE03B0" w:rsidRDefault="003A7928" w:rsidP="003A7928"/>
    <w:p w14:paraId="1FAAD017" w14:textId="77777777" w:rsidR="003A7928" w:rsidRPr="006F0805" w:rsidRDefault="003A7928" w:rsidP="003A7928"/>
    <w:p w14:paraId="76FDD30D" w14:textId="77777777" w:rsidR="003A7928" w:rsidRPr="006F0805" w:rsidRDefault="003A7928" w:rsidP="003A7928">
      <w:pPr>
        <w:pStyle w:val="Labelheading"/>
        <w:rPr>
          <w:rFonts w:ascii="Times New Roman" w:hAnsi="Times New Roman"/>
          <w:szCs w:val="22"/>
        </w:rPr>
      </w:pPr>
      <w:r w:rsidRPr="006F0805">
        <w:rPr>
          <w:rFonts w:ascii="Times New Roman" w:hAnsi="Times New Roman"/>
          <w:szCs w:val="22"/>
        </w:rPr>
        <w:t>3.</w:t>
      </w:r>
      <w:r w:rsidRPr="006F0805">
        <w:rPr>
          <w:rFonts w:ascii="Times New Roman" w:hAnsi="Times New Roman"/>
          <w:szCs w:val="22"/>
        </w:rPr>
        <w:tab/>
        <w:t>TINKAMUMO LAIKAS</w:t>
      </w:r>
    </w:p>
    <w:p w14:paraId="02968B9E" w14:textId="77777777" w:rsidR="003A7928" w:rsidRPr="00AE03B0" w:rsidRDefault="003A7928" w:rsidP="003A7928"/>
    <w:p w14:paraId="6476E378" w14:textId="77777777" w:rsidR="003A7928" w:rsidRPr="006F0805" w:rsidRDefault="003A7928" w:rsidP="003A7928">
      <w:r w:rsidRPr="006F0805">
        <w:t>EXP</w:t>
      </w:r>
      <w:r w:rsidR="001D66A8">
        <w:t xml:space="preserve"> mm/MMMM</w:t>
      </w:r>
    </w:p>
    <w:p w14:paraId="40015FD8" w14:textId="77777777" w:rsidR="003A7928" w:rsidRPr="006F0805" w:rsidRDefault="003A7928" w:rsidP="003A7928"/>
    <w:p w14:paraId="0FC6A582" w14:textId="77777777" w:rsidR="003A7928" w:rsidRPr="006F0805" w:rsidRDefault="003A7928" w:rsidP="003A7928"/>
    <w:p w14:paraId="52C81D01" w14:textId="77777777" w:rsidR="003A7928" w:rsidRPr="006F0805" w:rsidRDefault="003A7928" w:rsidP="003A7928">
      <w:pPr>
        <w:pStyle w:val="Labelheading"/>
        <w:rPr>
          <w:rFonts w:ascii="Times New Roman" w:hAnsi="Times New Roman"/>
          <w:szCs w:val="22"/>
        </w:rPr>
      </w:pPr>
      <w:r w:rsidRPr="006F0805">
        <w:rPr>
          <w:rFonts w:ascii="Times New Roman" w:hAnsi="Times New Roman"/>
          <w:szCs w:val="22"/>
        </w:rPr>
        <w:t>4.</w:t>
      </w:r>
      <w:r w:rsidRPr="006F0805">
        <w:rPr>
          <w:rFonts w:ascii="Times New Roman" w:hAnsi="Times New Roman"/>
          <w:szCs w:val="22"/>
        </w:rPr>
        <w:tab/>
        <w:t>SERIJOS NUMERIS</w:t>
      </w:r>
    </w:p>
    <w:p w14:paraId="620D92B7" w14:textId="77777777" w:rsidR="003A7928" w:rsidRPr="00AE03B0" w:rsidRDefault="003A7928" w:rsidP="003A7928"/>
    <w:p w14:paraId="3DC27123" w14:textId="77777777" w:rsidR="003A7928" w:rsidRPr="006F0805" w:rsidRDefault="003A7928" w:rsidP="003A7928">
      <w:r w:rsidRPr="006F0805">
        <w:t>Lot</w:t>
      </w:r>
    </w:p>
    <w:p w14:paraId="677B32D0" w14:textId="77777777" w:rsidR="003A7928" w:rsidRPr="006F0805" w:rsidRDefault="003A7928" w:rsidP="003A7928"/>
    <w:p w14:paraId="7C59535D" w14:textId="77777777" w:rsidR="003A7928" w:rsidRPr="006F0805" w:rsidRDefault="003A7928" w:rsidP="003A7928"/>
    <w:p w14:paraId="09E01604" w14:textId="77777777" w:rsidR="003A7928" w:rsidRPr="006F0805" w:rsidRDefault="003A7928" w:rsidP="003A7928">
      <w:pPr>
        <w:pStyle w:val="Labelheading"/>
        <w:rPr>
          <w:rFonts w:ascii="Times New Roman" w:hAnsi="Times New Roman"/>
          <w:szCs w:val="22"/>
        </w:rPr>
      </w:pPr>
      <w:r w:rsidRPr="006F0805">
        <w:rPr>
          <w:rFonts w:ascii="Times New Roman" w:hAnsi="Times New Roman"/>
          <w:szCs w:val="22"/>
        </w:rPr>
        <w:t>5.</w:t>
      </w:r>
      <w:r w:rsidRPr="006F0805">
        <w:rPr>
          <w:rFonts w:ascii="Times New Roman" w:hAnsi="Times New Roman"/>
          <w:szCs w:val="22"/>
        </w:rPr>
        <w:tab/>
        <w:t>KIEKIS (MASĖ, TŪRIS ARBA VIENETAI)</w:t>
      </w:r>
    </w:p>
    <w:p w14:paraId="74B95B69" w14:textId="77777777" w:rsidR="003A7928" w:rsidRPr="00AE03B0" w:rsidRDefault="003A7928" w:rsidP="003A7928"/>
    <w:p w14:paraId="05F4C1AF" w14:textId="77777777" w:rsidR="003A7928" w:rsidRPr="006F0805" w:rsidRDefault="003A7928" w:rsidP="003A7928">
      <w:r w:rsidRPr="006F0805">
        <w:t>0,5 ml</w:t>
      </w:r>
    </w:p>
    <w:p w14:paraId="19B717D7" w14:textId="77777777" w:rsidR="003A7928" w:rsidRPr="006F0805" w:rsidRDefault="003A7928" w:rsidP="003A7928">
      <w:pPr>
        <w:ind w:right="113"/>
      </w:pPr>
    </w:p>
    <w:p w14:paraId="201A4E9A" w14:textId="77777777" w:rsidR="003A7928" w:rsidRPr="006F0805" w:rsidRDefault="003A7928" w:rsidP="003A7928">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7928" w:rsidRPr="006F0805" w14:paraId="1A2B3B2A" w14:textId="77777777" w:rsidTr="008A6822">
        <w:tc>
          <w:tcPr>
            <w:tcW w:w="9287" w:type="dxa"/>
          </w:tcPr>
          <w:p w14:paraId="2C4625F7" w14:textId="77777777" w:rsidR="003A7928" w:rsidRPr="006F0805" w:rsidRDefault="003A7928" w:rsidP="004C388F">
            <w:pPr>
              <w:tabs>
                <w:tab w:val="left" w:pos="142"/>
              </w:tabs>
              <w:ind w:left="567" w:hanging="567"/>
              <w:rPr>
                <w:b/>
              </w:rPr>
            </w:pPr>
            <w:r w:rsidRPr="006F0805">
              <w:rPr>
                <w:b/>
              </w:rPr>
              <w:t>6.</w:t>
            </w:r>
            <w:r w:rsidRPr="006F0805">
              <w:rPr>
                <w:b/>
              </w:rPr>
              <w:tab/>
              <w:t>KITA</w:t>
            </w:r>
          </w:p>
        </w:tc>
      </w:tr>
    </w:tbl>
    <w:p w14:paraId="07898A36" w14:textId="77777777" w:rsidR="003A7928" w:rsidRPr="006F0805" w:rsidRDefault="003A7928" w:rsidP="003A7928">
      <w:pPr>
        <w:ind w:right="-449"/>
      </w:pPr>
    </w:p>
    <w:p w14:paraId="4287E5D3" w14:textId="77777777" w:rsidR="003A7928" w:rsidRPr="006F0805" w:rsidRDefault="003A7928" w:rsidP="003A7928">
      <w:pPr>
        <w:ind w:right="-449"/>
      </w:pPr>
      <w:r w:rsidRPr="006F0805">
        <w:t>Amgen Europe B.V.</w:t>
      </w:r>
    </w:p>
    <w:p w14:paraId="7288AFEF" w14:textId="77777777" w:rsidR="003A7928" w:rsidRPr="006F0805" w:rsidRDefault="003A7928" w:rsidP="003A7928"/>
    <w:p w14:paraId="00D24D54" w14:textId="77777777" w:rsidR="00D24A7B" w:rsidRPr="006F0805" w:rsidRDefault="00213DF5" w:rsidP="007240E0">
      <w:pPr>
        <w:jc w:val="center"/>
      </w:pPr>
      <w:r>
        <w:br w:type="page"/>
      </w:r>
    </w:p>
    <w:p w14:paraId="1EED3967" w14:textId="77777777" w:rsidR="00D24A7B" w:rsidRPr="007240E0" w:rsidRDefault="00D24A7B" w:rsidP="008A6822">
      <w:pPr>
        <w:pStyle w:val="Title1"/>
        <w:rPr>
          <w:b w:val="0"/>
          <w:szCs w:val="22"/>
        </w:rPr>
      </w:pPr>
    </w:p>
    <w:p w14:paraId="0DBFEC81" w14:textId="77777777" w:rsidR="00D24A7B" w:rsidRPr="007240E0" w:rsidRDefault="00D24A7B" w:rsidP="008A6822">
      <w:pPr>
        <w:pStyle w:val="Title1"/>
        <w:rPr>
          <w:b w:val="0"/>
          <w:szCs w:val="22"/>
        </w:rPr>
      </w:pPr>
    </w:p>
    <w:p w14:paraId="16E0C5CE" w14:textId="77777777" w:rsidR="00D24A7B" w:rsidRPr="007240E0" w:rsidRDefault="00D24A7B" w:rsidP="008A6822">
      <w:pPr>
        <w:pStyle w:val="Title1"/>
        <w:rPr>
          <w:b w:val="0"/>
          <w:szCs w:val="22"/>
        </w:rPr>
      </w:pPr>
    </w:p>
    <w:p w14:paraId="48111CC1" w14:textId="77777777" w:rsidR="00D24A7B" w:rsidRPr="007240E0" w:rsidRDefault="00D24A7B" w:rsidP="008A6822">
      <w:pPr>
        <w:pStyle w:val="Title1"/>
        <w:rPr>
          <w:b w:val="0"/>
          <w:szCs w:val="22"/>
        </w:rPr>
      </w:pPr>
    </w:p>
    <w:p w14:paraId="5389010D" w14:textId="77777777" w:rsidR="00D24A7B" w:rsidRPr="007240E0" w:rsidRDefault="00D24A7B" w:rsidP="008A6822">
      <w:pPr>
        <w:pStyle w:val="Title1"/>
        <w:rPr>
          <w:b w:val="0"/>
          <w:szCs w:val="22"/>
        </w:rPr>
      </w:pPr>
    </w:p>
    <w:p w14:paraId="49FA254A" w14:textId="77777777" w:rsidR="00D24A7B" w:rsidRPr="007240E0" w:rsidRDefault="00D24A7B" w:rsidP="008A6822">
      <w:pPr>
        <w:pStyle w:val="Title1"/>
        <w:rPr>
          <w:b w:val="0"/>
          <w:szCs w:val="22"/>
        </w:rPr>
      </w:pPr>
    </w:p>
    <w:p w14:paraId="1C75725C" w14:textId="77777777" w:rsidR="00D24A7B" w:rsidRPr="007240E0" w:rsidRDefault="00D24A7B" w:rsidP="008A6822">
      <w:pPr>
        <w:pStyle w:val="Title1"/>
        <w:rPr>
          <w:b w:val="0"/>
          <w:szCs w:val="22"/>
        </w:rPr>
      </w:pPr>
    </w:p>
    <w:p w14:paraId="60B0EB2B" w14:textId="77777777" w:rsidR="00D24A7B" w:rsidRPr="007240E0" w:rsidRDefault="00D24A7B" w:rsidP="008A6822">
      <w:pPr>
        <w:pStyle w:val="Title1"/>
        <w:rPr>
          <w:b w:val="0"/>
          <w:szCs w:val="22"/>
        </w:rPr>
      </w:pPr>
    </w:p>
    <w:p w14:paraId="7E3AAFDA" w14:textId="77777777" w:rsidR="00D24A7B" w:rsidRPr="007240E0" w:rsidRDefault="00D24A7B" w:rsidP="008A6822">
      <w:pPr>
        <w:pStyle w:val="Title1"/>
        <w:rPr>
          <w:b w:val="0"/>
          <w:szCs w:val="22"/>
        </w:rPr>
      </w:pPr>
    </w:p>
    <w:p w14:paraId="2C79393B" w14:textId="77777777" w:rsidR="00D24A7B" w:rsidRPr="007240E0" w:rsidRDefault="00D24A7B" w:rsidP="008A6822">
      <w:pPr>
        <w:pStyle w:val="Title1"/>
        <w:rPr>
          <w:b w:val="0"/>
          <w:szCs w:val="22"/>
        </w:rPr>
      </w:pPr>
    </w:p>
    <w:p w14:paraId="419549CD" w14:textId="77777777" w:rsidR="00D24A7B" w:rsidRPr="007240E0" w:rsidRDefault="00D24A7B" w:rsidP="008A6822">
      <w:pPr>
        <w:pStyle w:val="Title1"/>
        <w:rPr>
          <w:b w:val="0"/>
          <w:szCs w:val="22"/>
        </w:rPr>
      </w:pPr>
    </w:p>
    <w:p w14:paraId="173D0E40" w14:textId="77777777" w:rsidR="00D24A7B" w:rsidRPr="007240E0" w:rsidRDefault="00D24A7B" w:rsidP="008A6822">
      <w:pPr>
        <w:pStyle w:val="Title1"/>
        <w:rPr>
          <w:b w:val="0"/>
          <w:szCs w:val="22"/>
        </w:rPr>
      </w:pPr>
    </w:p>
    <w:p w14:paraId="1C585963" w14:textId="77777777" w:rsidR="00D24A7B" w:rsidRPr="007240E0" w:rsidRDefault="00D24A7B" w:rsidP="008A6822">
      <w:pPr>
        <w:pStyle w:val="Title1"/>
        <w:rPr>
          <w:b w:val="0"/>
          <w:szCs w:val="22"/>
        </w:rPr>
      </w:pPr>
    </w:p>
    <w:p w14:paraId="0469DDEC" w14:textId="77777777" w:rsidR="00D24A7B" w:rsidRPr="007240E0" w:rsidRDefault="00D24A7B" w:rsidP="008A6822">
      <w:pPr>
        <w:pStyle w:val="Title1"/>
        <w:rPr>
          <w:b w:val="0"/>
          <w:szCs w:val="22"/>
        </w:rPr>
      </w:pPr>
    </w:p>
    <w:p w14:paraId="6C7347A0" w14:textId="77777777" w:rsidR="00D24A7B" w:rsidRPr="007240E0" w:rsidRDefault="00D24A7B" w:rsidP="008A6822">
      <w:pPr>
        <w:pStyle w:val="Title1"/>
        <w:rPr>
          <w:b w:val="0"/>
          <w:szCs w:val="22"/>
        </w:rPr>
      </w:pPr>
    </w:p>
    <w:p w14:paraId="1D8FBB5D" w14:textId="77777777" w:rsidR="00D24A7B" w:rsidRPr="007240E0" w:rsidRDefault="00D24A7B" w:rsidP="008A6822">
      <w:pPr>
        <w:pStyle w:val="Title1"/>
        <w:rPr>
          <w:b w:val="0"/>
          <w:szCs w:val="22"/>
        </w:rPr>
      </w:pPr>
    </w:p>
    <w:p w14:paraId="2E13AA8A" w14:textId="77777777" w:rsidR="00D24A7B" w:rsidRPr="007240E0" w:rsidRDefault="00D24A7B" w:rsidP="008A6822">
      <w:pPr>
        <w:pStyle w:val="Title1"/>
        <w:rPr>
          <w:b w:val="0"/>
          <w:szCs w:val="22"/>
        </w:rPr>
      </w:pPr>
    </w:p>
    <w:p w14:paraId="43823C1C" w14:textId="77777777" w:rsidR="00D24A7B" w:rsidRPr="007240E0" w:rsidRDefault="00D24A7B" w:rsidP="008A6822">
      <w:pPr>
        <w:pStyle w:val="Title1"/>
        <w:rPr>
          <w:b w:val="0"/>
          <w:szCs w:val="22"/>
        </w:rPr>
      </w:pPr>
    </w:p>
    <w:p w14:paraId="7648DF0D" w14:textId="77777777" w:rsidR="00C918D0" w:rsidRPr="007240E0" w:rsidRDefault="00C918D0" w:rsidP="008A6822">
      <w:pPr>
        <w:pStyle w:val="Title1"/>
        <w:rPr>
          <w:b w:val="0"/>
          <w:szCs w:val="22"/>
        </w:rPr>
      </w:pPr>
    </w:p>
    <w:p w14:paraId="64A1F09A" w14:textId="77777777" w:rsidR="00C918D0" w:rsidRPr="007240E0" w:rsidRDefault="00C918D0" w:rsidP="008A6822">
      <w:pPr>
        <w:pStyle w:val="Title1"/>
        <w:rPr>
          <w:b w:val="0"/>
          <w:szCs w:val="22"/>
        </w:rPr>
      </w:pPr>
    </w:p>
    <w:p w14:paraId="33983FF4" w14:textId="77777777" w:rsidR="00C918D0" w:rsidRPr="007240E0" w:rsidRDefault="00C918D0" w:rsidP="008A6822">
      <w:pPr>
        <w:pStyle w:val="Title1"/>
        <w:rPr>
          <w:b w:val="0"/>
          <w:szCs w:val="22"/>
        </w:rPr>
      </w:pPr>
    </w:p>
    <w:p w14:paraId="72DA3EB7" w14:textId="77777777" w:rsidR="00C918D0" w:rsidRPr="007240E0" w:rsidRDefault="00C918D0" w:rsidP="008A6822">
      <w:pPr>
        <w:pStyle w:val="Title1"/>
        <w:rPr>
          <w:b w:val="0"/>
          <w:szCs w:val="22"/>
        </w:rPr>
      </w:pPr>
    </w:p>
    <w:p w14:paraId="39A4F2D5" w14:textId="77777777" w:rsidR="00D24A7B" w:rsidRPr="006F0805" w:rsidRDefault="00D24A7B" w:rsidP="008A6822">
      <w:pPr>
        <w:pStyle w:val="Title1"/>
        <w:rPr>
          <w:szCs w:val="22"/>
        </w:rPr>
      </w:pPr>
      <w:r w:rsidRPr="006F0805">
        <w:rPr>
          <w:szCs w:val="22"/>
        </w:rPr>
        <w:t>B. PAKUOTĖS LAPELIS</w:t>
      </w:r>
    </w:p>
    <w:p w14:paraId="0804B511" w14:textId="77777777" w:rsidR="00D24A7B" w:rsidRPr="00AE03B0" w:rsidRDefault="00D24A7B" w:rsidP="008A6822">
      <w:pPr>
        <w:pStyle w:val="Title1"/>
        <w:rPr>
          <w:szCs w:val="22"/>
        </w:rPr>
      </w:pPr>
      <w:r w:rsidRPr="006F0805">
        <w:rPr>
          <w:szCs w:val="22"/>
        </w:rPr>
        <w:br w:type="page"/>
      </w:r>
      <w:r w:rsidR="00C0072D" w:rsidRPr="006F0805">
        <w:rPr>
          <w:szCs w:val="22"/>
        </w:rPr>
        <w:lastRenderedPageBreak/>
        <w:t>Pakuotės lapelis: informacija vartotojui</w:t>
      </w:r>
    </w:p>
    <w:p w14:paraId="37A2FEEE" w14:textId="77777777" w:rsidR="00D24A7B" w:rsidRPr="006F0805" w:rsidRDefault="00D24A7B" w:rsidP="008A6822">
      <w:pPr>
        <w:pStyle w:val="Title1"/>
        <w:jc w:val="left"/>
        <w:rPr>
          <w:szCs w:val="22"/>
        </w:rPr>
      </w:pPr>
    </w:p>
    <w:p w14:paraId="031ABB51" w14:textId="77777777" w:rsidR="00D24A7B" w:rsidRPr="006F0805" w:rsidRDefault="00D24A7B" w:rsidP="00D24A7B">
      <w:pPr>
        <w:jc w:val="center"/>
        <w:rPr>
          <w:b/>
          <w:bCs/>
        </w:rPr>
      </w:pPr>
      <w:r w:rsidRPr="006F0805">
        <w:rPr>
          <w:b/>
          <w:bCs/>
        </w:rPr>
        <w:t>Neupogen 300 mikrogramų (0,6 mg/ml) injekcinis tirpalas užpildytame švirkšte</w:t>
      </w:r>
    </w:p>
    <w:p w14:paraId="3390D783" w14:textId="77777777" w:rsidR="00D24A7B" w:rsidRPr="006F0805" w:rsidRDefault="00D24A7B" w:rsidP="00D24A7B">
      <w:pPr>
        <w:jc w:val="center"/>
        <w:rPr>
          <w:b/>
          <w:bCs/>
        </w:rPr>
      </w:pPr>
      <w:r w:rsidRPr="006F0805">
        <w:rPr>
          <w:b/>
          <w:bCs/>
        </w:rPr>
        <w:t xml:space="preserve">Neupogen </w:t>
      </w:r>
      <w:r w:rsidRPr="006F0805">
        <w:rPr>
          <w:b/>
        </w:rPr>
        <w:t>480 </w:t>
      </w:r>
      <w:r w:rsidRPr="006F0805">
        <w:rPr>
          <w:b/>
          <w:bCs/>
        </w:rPr>
        <w:t>mikrogramų (0,96 mg/ml) injekcinis tirpalas užpildytame švirkšte</w:t>
      </w:r>
    </w:p>
    <w:p w14:paraId="56A88233" w14:textId="77777777" w:rsidR="00D24A7B" w:rsidRPr="006F0805" w:rsidRDefault="00E10870" w:rsidP="00D24A7B">
      <w:pPr>
        <w:jc w:val="center"/>
        <w:rPr>
          <w:lang w:val="pt-BR"/>
        </w:rPr>
      </w:pPr>
      <w:r>
        <w:rPr>
          <w:lang w:val="pt-BR"/>
        </w:rPr>
        <w:t>f</w:t>
      </w:r>
      <w:r w:rsidR="00D24A7B" w:rsidRPr="006F0805">
        <w:rPr>
          <w:lang w:val="pt-BR"/>
        </w:rPr>
        <w:t>ilgrastimas</w:t>
      </w:r>
    </w:p>
    <w:p w14:paraId="1997C58E" w14:textId="77777777" w:rsidR="00D24A7B" w:rsidRPr="006F0805" w:rsidRDefault="00D24A7B" w:rsidP="00D24A7B">
      <w:pPr>
        <w:rPr>
          <w:lang w:val="pt-BR"/>
        </w:rPr>
      </w:pPr>
    </w:p>
    <w:p w14:paraId="6E82A90E" w14:textId="77777777" w:rsidR="00D24A7B" w:rsidRPr="006F0805" w:rsidRDefault="00D24A7B" w:rsidP="00D24A7B">
      <w:pPr>
        <w:rPr>
          <w:b/>
          <w:bCs/>
          <w:lang w:val="pt-BR"/>
        </w:rPr>
      </w:pPr>
      <w:r w:rsidRPr="006F0805">
        <w:rPr>
          <w:b/>
          <w:bCs/>
          <w:lang w:val="pt-BR"/>
        </w:rPr>
        <w:t>Atidžiai perskaitykite visą šį lapelį, prieš pradėdami vartoti vaistą</w:t>
      </w:r>
      <w:r w:rsidR="00C0072D" w:rsidRPr="006F0805">
        <w:rPr>
          <w:b/>
          <w:bCs/>
          <w:lang w:val="pt-BR"/>
        </w:rPr>
        <w:t xml:space="preserve">, </w:t>
      </w:r>
      <w:r w:rsidR="00C0072D" w:rsidRPr="006F0805">
        <w:rPr>
          <w:b/>
        </w:rPr>
        <w:t>nes jame pateikiama Jums svarbi informacija</w:t>
      </w:r>
      <w:r w:rsidRPr="00AE03B0">
        <w:rPr>
          <w:b/>
          <w:bCs/>
          <w:lang w:val="pt-BR"/>
        </w:rPr>
        <w:t>.</w:t>
      </w:r>
    </w:p>
    <w:p w14:paraId="259C8170" w14:textId="77777777" w:rsidR="0015207D" w:rsidRPr="006F0805" w:rsidRDefault="0015207D" w:rsidP="00D24A7B">
      <w:pPr>
        <w:rPr>
          <w:b/>
          <w:bCs/>
          <w:lang w:val="pt-BR"/>
        </w:rPr>
      </w:pPr>
    </w:p>
    <w:p w14:paraId="001E6934" w14:textId="77777777" w:rsidR="00D24A7B" w:rsidRPr="007240E0" w:rsidRDefault="00D24A7B" w:rsidP="00D24A7B">
      <w:pPr>
        <w:numPr>
          <w:ilvl w:val="0"/>
          <w:numId w:val="20"/>
        </w:numPr>
        <w:rPr>
          <w:noProof w:val="0"/>
        </w:rPr>
      </w:pPr>
      <w:r w:rsidRPr="007240E0">
        <w:rPr>
          <w:noProof w:val="0"/>
        </w:rPr>
        <w:t>Neišmeskite šio lapelio, nes vėl gali prireikti jį perskaityti.</w:t>
      </w:r>
    </w:p>
    <w:p w14:paraId="29B69641" w14:textId="77777777" w:rsidR="00D24A7B" w:rsidRPr="007240E0" w:rsidRDefault="00D24A7B" w:rsidP="00D24A7B">
      <w:pPr>
        <w:numPr>
          <w:ilvl w:val="0"/>
          <w:numId w:val="20"/>
        </w:numPr>
        <w:rPr>
          <w:noProof w:val="0"/>
        </w:rPr>
      </w:pPr>
      <w:r w:rsidRPr="007240E0">
        <w:rPr>
          <w:noProof w:val="0"/>
        </w:rPr>
        <w:t>Jeigu kiltų daugiau klausimų, kreipkitės į gydytoją, slaugytoją arba vaistininką.</w:t>
      </w:r>
    </w:p>
    <w:p w14:paraId="5CAF1574" w14:textId="77777777" w:rsidR="00D24A7B" w:rsidRPr="007240E0" w:rsidRDefault="00D24A7B" w:rsidP="00D24A7B">
      <w:pPr>
        <w:numPr>
          <w:ilvl w:val="0"/>
          <w:numId w:val="20"/>
        </w:numPr>
        <w:rPr>
          <w:noProof w:val="0"/>
        </w:rPr>
      </w:pPr>
      <w:r w:rsidRPr="007240E0">
        <w:rPr>
          <w:noProof w:val="0"/>
        </w:rPr>
        <w:t xml:space="preserve">Šis vaistas skirtas </w:t>
      </w:r>
      <w:r w:rsidR="00C0072D" w:rsidRPr="007240E0">
        <w:rPr>
          <w:noProof w:val="0"/>
        </w:rPr>
        <w:t xml:space="preserve">tik </w:t>
      </w:r>
      <w:r w:rsidRPr="007240E0">
        <w:rPr>
          <w:noProof w:val="0"/>
        </w:rPr>
        <w:t xml:space="preserve">Jums, todėl kitiems žmonėms jo duoti negalima. Vaistas gali jiems pakenkti (net tiems, kurių ligos </w:t>
      </w:r>
      <w:r w:rsidR="00C0072D" w:rsidRPr="007240E0">
        <w:rPr>
          <w:noProof w:val="0"/>
        </w:rPr>
        <w:t>požymiai</w:t>
      </w:r>
      <w:r w:rsidRPr="007240E0">
        <w:rPr>
          <w:noProof w:val="0"/>
        </w:rPr>
        <w:t xml:space="preserve"> yra tokie patys kaip Jūsų).</w:t>
      </w:r>
    </w:p>
    <w:p w14:paraId="43D6E333" w14:textId="77777777" w:rsidR="00D24A7B" w:rsidRPr="007240E0" w:rsidRDefault="00D24A7B" w:rsidP="00D24A7B">
      <w:pPr>
        <w:numPr>
          <w:ilvl w:val="0"/>
          <w:numId w:val="20"/>
        </w:numPr>
        <w:rPr>
          <w:noProof w:val="0"/>
        </w:rPr>
      </w:pPr>
      <w:r w:rsidRPr="007240E0">
        <w:rPr>
          <w:noProof w:val="0"/>
        </w:rPr>
        <w:t xml:space="preserve">Jeigu pasireiškė šalutinis poveikis </w:t>
      </w:r>
      <w:r w:rsidR="00C0072D" w:rsidRPr="006F0805">
        <w:rPr>
          <w:noProof w:val="0"/>
        </w:rPr>
        <w:t>(net jeigu jis šiame lapelyje nenurodytas)</w:t>
      </w:r>
      <w:r w:rsidRPr="007240E0">
        <w:rPr>
          <w:noProof w:val="0"/>
        </w:rPr>
        <w:t xml:space="preserve">, </w:t>
      </w:r>
      <w:r w:rsidR="00C0072D" w:rsidRPr="007240E0">
        <w:rPr>
          <w:noProof w:val="0"/>
        </w:rPr>
        <w:t>kreipkitės į</w:t>
      </w:r>
      <w:r w:rsidRPr="007240E0">
        <w:rPr>
          <w:noProof w:val="0"/>
        </w:rPr>
        <w:t xml:space="preserve"> gydytoj</w:t>
      </w:r>
      <w:r w:rsidR="00C0072D" w:rsidRPr="007240E0">
        <w:rPr>
          <w:noProof w:val="0"/>
        </w:rPr>
        <w:t>ą</w:t>
      </w:r>
      <w:r w:rsidRPr="007240E0">
        <w:rPr>
          <w:noProof w:val="0"/>
        </w:rPr>
        <w:t>, vaistinink</w:t>
      </w:r>
      <w:r w:rsidR="00C0072D" w:rsidRPr="007240E0">
        <w:rPr>
          <w:noProof w:val="0"/>
        </w:rPr>
        <w:t>ą arba slaugytoją</w:t>
      </w:r>
      <w:r w:rsidRPr="007240E0">
        <w:rPr>
          <w:noProof w:val="0"/>
        </w:rPr>
        <w:t>.</w:t>
      </w:r>
      <w:r w:rsidR="008D685A" w:rsidRPr="008D685A">
        <w:rPr>
          <w:noProof w:val="0"/>
        </w:rPr>
        <w:t xml:space="preserve"> </w:t>
      </w:r>
      <w:r w:rsidR="008D685A">
        <w:rPr>
          <w:noProof w:val="0"/>
        </w:rPr>
        <w:t>Žr. 4 skyrių.</w:t>
      </w:r>
    </w:p>
    <w:p w14:paraId="25D6F020" w14:textId="77777777" w:rsidR="00D24A7B" w:rsidRPr="006F0805" w:rsidRDefault="00D24A7B" w:rsidP="00D24A7B">
      <w:pPr>
        <w:rPr>
          <w:lang w:val="pt-BR"/>
        </w:rPr>
      </w:pPr>
    </w:p>
    <w:p w14:paraId="41C6B1E0" w14:textId="77777777" w:rsidR="00D24A7B" w:rsidRPr="00AE03B0" w:rsidRDefault="00C0072D" w:rsidP="00D24A7B">
      <w:pPr>
        <w:rPr>
          <w:b/>
        </w:rPr>
      </w:pPr>
      <w:r w:rsidRPr="006F0805">
        <w:rPr>
          <w:b/>
        </w:rPr>
        <w:t>Apie ką rašoma šiame lapelyje?</w:t>
      </w:r>
    </w:p>
    <w:p w14:paraId="7EA2A554" w14:textId="77777777" w:rsidR="00C0072D" w:rsidRPr="006F0805" w:rsidRDefault="00C0072D" w:rsidP="00D24A7B">
      <w:pPr>
        <w:rPr>
          <w:b/>
          <w:lang w:val="pt-BR"/>
        </w:rPr>
      </w:pPr>
    </w:p>
    <w:p w14:paraId="40AD883E" w14:textId="77777777" w:rsidR="00D24A7B" w:rsidRPr="006F0805" w:rsidRDefault="00D24A7B" w:rsidP="00D24A7B">
      <w:pPr>
        <w:rPr>
          <w:lang w:val="pt-BR"/>
        </w:rPr>
      </w:pPr>
      <w:r w:rsidRPr="006F0805">
        <w:rPr>
          <w:lang w:val="pt-BR"/>
        </w:rPr>
        <w:t>1.</w:t>
      </w:r>
      <w:r w:rsidRPr="006F0805">
        <w:rPr>
          <w:lang w:val="pt-BR"/>
        </w:rPr>
        <w:tab/>
        <w:t>Kas yra Neupogen ir kam jis vartojamas</w:t>
      </w:r>
    </w:p>
    <w:p w14:paraId="5C508EC2" w14:textId="77777777" w:rsidR="00D24A7B" w:rsidRPr="006F0805" w:rsidRDefault="00D24A7B" w:rsidP="00D24A7B">
      <w:pPr>
        <w:rPr>
          <w:lang w:val="pt-BR"/>
        </w:rPr>
      </w:pPr>
      <w:r w:rsidRPr="006F0805">
        <w:rPr>
          <w:lang w:val="pt-BR"/>
        </w:rPr>
        <w:t>2.</w:t>
      </w:r>
      <w:r w:rsidRPr="006F0805">
        <w:rPr>
          <w:lang w:val="pt-BR"/>
        </w:rPr>
        <w:tab/>
        <w:t>Kas žinotina prieš vartojant Neupogen</w:t>
      </w:r>
    </w:p>
    <w:p w14:paraId="19819952" w14:textId="77777777" w:rsidR="00D24A7B" w:rsidRPr="006F0805" w:rsidRDefault="00D24A7B" w:rsidP="00D24A7B">
      <w:pPr>
        <w:rPr>
          <w:lang w:val="pt-BR"/>
        </w:rPr>
      </w:pPr>
      <w:r w:rsidRPr="006F0805">
        <w:rPr>
          <w:lang w:val="pt-BR"/>
        </w:rPr>
        <w:t>3.</w:t>
      </w:r>
      <w:r w:rsidRPr="006F0805">
        <w:rPr>
          <w:lang w:val="pt-BR"/>
        </w:rPr>
        <w:tab/>
        <w:t>Kaip vartoti Neupogen</w:t>
      </w:r>
    </w:p>
    <w:p w14:paraId="1BE3A766" w14:textId="77777777" w:rsidR="00D24A7B" w:rsidRPr="006F0805" w:rsidRDefault="00D24A7B" w:rsidP="00D24A7B">
      <w:pPr>
        <w:rPr>
          <w:lang w:val="pt-BR"/>
        </w:rPr>
      </w:pPr>
      <w:r w:rsidRPr="006F0805">
        <w:rPr>
          <w:lang w:val="pt-BR"/>
        </w:rPr>
        <w:t>4.</w:t>
      </w:r>
      <w:r w:rsidRPr="006F0805">
        <w:rPr>
          <w:lang w:val="pt-BR"/>
        </w:rPr>
        <w:tab/>
        <w:t>Galimas šalutinis poveikis</w:t>
      </w:r>
    </w:p>
    <w:p w14:paraId="0799A7E9" w14:textId="77777777" w:rsidR="00D24A7B" w:rsidRPr="006F0805" w:rsidRDefault="00D24A7B" w:rsidP="00D24A7B">
      <w:pPr>
        <w:rPr>
          <w:lang w:val="pt-BR"/>
        </w:rPr>
      </w:pPr>
      <w:r w:rsidRPr="006F0805">
        <w:rPr>
          <w:lang w:val="pt-BR"/>
        </w:rPr>
        <w:t>5.</w:t>
      </w:r>
      <w:r w:rsidRPr="006F0805">
        <w:rPr>
          <w:lang w:val="pt-BR"/>
        </w:rPr>
        <w:tab/>
        <w:t xml:space="preserve">Kaip laikyti Neupogen </w:t>
      </w:r>
    </w:p>
    <w:p w14:paraId="2CCB3D6F" w14:textId="77777777" w:rsidR="00D24A7B" w:rsidRPr="006F0805" w:rsidRDefault="00D24A7B" w:rsidP="00D24A7B">
      <w:pPr>
        <w:rPr>
          <w:lang w:val="pt-BR"/>
        </w:rPr>
      </w:pPr>
      <w:r w:rsidRPr="006F0805">
        <w:rPr>
          <w:lang w:val="pt-BR"/>
        </w:rPr>
        <w:t>6.</w:t>
      </w:r>
      <w:r w:rsidRPr="006F0805">
        <w:rPr>
          <w:lang w:val="pt-BR"/>
        </w:rPr>
        <w:tab/>
      </w:r>
      <w:r w:rsidR="00C0072D" w:rsidRPr="006F0805">
        <w:rPr>
          <w:lang w:val="pt-BR"/>
        </w:rPr>
        <w:t>Pakuotės turinys ir k</w:t>
      </w:r>
      <w:r w:rsidRPr="00AE03B0">
        <w:rPr>
          <w:lang w:val="pt-BR"/>
        </w:rPr>
        <w:t>ita</w:t>
      </w:r>
      <w:r w:rsidRPr="006F0805">
        <w:rPr>
          <w:lang w:val="pt-BR"/>
        </w:rPr>
        <w:t xml:space="preserve"> informacija</w:t>
      </w:r>
    </w:p>
    <w:p w14:paraId="0C00901D" w14:textId="77777777" w:rsidR="00D24A7B" w:rsidRPr="006F0805" w:rsidRDefault="00D24A7B" w:rsidP="00D24A7B">
      <w:pPr>
        <w:rPr>
          <w:lang w:val="pt-BR"/>
        </w:rPr>
      </w:pPr>
      <w:r w:rsidRPr="006F0805">
        <w:rPr>
          <w:lang w:val="pt-BR"/>
        </w:rPr>
        <w:t>7.</w:t>
      </w:r>
      <w:r w:rsidRPr="006F0805">
        <w:rPr>
          <w:lang w:val="pt-BR"/>
        </w:rPr>
        <w:tab/>
        <w:t xml:space="preserve">Instrukcijos, kaip </w:t>
      </w:r>
      <w:r w:rsidR="00FA65E8" w:rsidRPr="00636F0E">
        <w:t>leisti</w:t>
      </w:r>
      <w:r w:rsidRPr="006F0805">
        <w:rPr>
          <w:lang w:val="pt-BR"/>
        </w:rPr>
        <w:t xml:space="preserve"> Neupogen</w:t>
      </w:r>
    </w:p>
    <w:p w14:paraId="0CA55246" w14:textId="77777777" w:rsidR="00D24A7B" w:rsidRPr="006F0805" w:rsidRDefault="00D24A7B" w:rsidP="00D24A7B">
      <w:pPr>
        <w:rPr>
          <w:lang w:val="pt-BR"/>
        </w:rPr>
      </w:pPr>
    </w:p>
    <w:p w14:paraId="3D520193" w14:textId="77777777" w:rsidR="00D24A7B" w:rsidRPr="006F0805" w:rsidRDefault="00D24A7B" w:rsidP="00D24A7B">
      <w:pPr>
        <w:rPr>
          <w:lang w:val="pt-BR"/>
        </w:rPr>
      </w:pPr>
    </w:p>
    <w:p w14:paraId="0E133C72" w14:textId="77777777" w:rsidR="00D24A7B" w:rsidRPr="00AE03B0" w:rsidRDefault="00D24A7B" w:rsidP="002E2364">
      <w:pPr>
        <w:pStyle w:val="Antrat1"/>
        <w:tabs>
          <w:tab w:val="left" w:pos="567"/>
        </w:tabs>
        <w:ind w:left="567" w:hanging="567"/>
        <w:rPr>
          <w:rFonts w:ascii="Times New Roman" w:hAnsi="Times New Roman"/>
          <w:sz w:val="22"/>
          <w:szCs w:val="22"/>
        </w:rPr>
      </w:pPr>
      <w:r w:rsidRPr="006F0805">
        <w:rPr>
          <w:rFonts w:ascii="Times New Roman" w:hAnsi="Times New Roman"/>
          <w:sz w:val="22"/>
          <w:szCs w:val="22"/>
        </w:rPr>
        <w:t>1.</w:t>
      </w:r>
      <w:r w:rsidRPr="006F0805">
        <w:rPr>
          <w:rFonts w:ascii="Times New Roman" w:hAnsi="Times New Roman"/>
          <w:sz w:val="22"/>
          <w:szCs w:val="22"/>
        </w:rPr>
        <w:tab/>
      </w:r>
      <w:r w:rsidR="00C0072D" w:rsidRPr="006F0805">
        <w:rPr>
          <w:rFonts w:ascii="Times New Roman" w:hAnsi="Times New Roman"/>
          <w:sz w:val="22"/>
          <w:szCs w:val="22"/>
          <w:lang w:val="pt-BR"/>
        </w:rPr>
        <w:t>Kas yra Neupogen ir kam jis vartojamas</w:t>
      </w:r>
    </w:p>
    <w:p w14:paraId="1302A54D" w14:textId="77777777" w:rsidR="00D24A7B" w:rsidRPr="006F0805" w:rsidRDefault="00D24A7B" w:rsidP="00D24A7B">
      <w:pPr>
        <w:rPr>
          <w:lang w:val="pt-BR"/>
        </w:rPr>
      </w:pPr>
    </w:p>
    <w:p w14:paraId="678C442D" w14:textId="77777777" w:rsidR="00D24A7B" w:rsidRPr="006F0805" w:rsidRDefault="00D24A7B" w:rsidP="00D24A7B">
      <w:pPr>
        <w:rPr>
          <w:lang w:val="pt-BR"/>
        </w:rPr>
      </w:pPr>
      <w:r w:rsidRPr="006F0805">
        <w:rPr>
          <w:lang w:val="pt-BR"/>
        </w:rPr>
        <w:t xml:space="preserve">Neupogen yra baltųjų kraujo ląstelių augimo faktorius (granulocitų kolonijas stimuliuojantis faktorius) ir priklauso citokinais vadinamų vaistų grupei. Augimo faktoriai yra natūraliai organizme sintetinami baltymai, bet juos taip pat galima pagaminti biotechnologijų būdu ir vartoti kaip vaistus. Neupogen veikia kaulų čiulpus skatindamas gaminti daugiau baltųjų kraujo ląstelių. </w:t>
      </w:r>
    </w:p>
    <w:p w14:paraId="0B205DF3" w14:textId="77777777" w:rsidR="00D24A7B" w:rsidRPr="006F0805" w:rsidRDefault="00D24A7B" w:rsidP="00D24A7B">
      <w:pPr>
        <w:rPr>
          <w:lang w:val="pt-BR"/>
        </w:rPr>
      </w:pPr>
    </w:p>
    <w:p w14:paraId="73C0E075" w14:textId="77777777" w:rsidR="00D24A7B" w:rsidRPr="006F0805" w:rsidRDefault="00D24A7B" w:rsidP="00D24A7B">
      <w:pPr>
        <w:rPr>
          <w:lang w:val="pt-BR"/>
        </w:rPr>
      </w:pPr>
      <w:r w:rsidRPr="006F0805">
        <w:rPr>
          <w:lang w:val="pt-BR"/>
        </w:rPr>
        <w:t>Sumažėjęs baltųjų kraujo ląstelių skaičius (neutropenija) būna dėl įvairių priežasčių, o tai organizmą daro mažiau atspariu infekcijoms. Neupogen kaulų čiulpus skatina greitai gaminti naujas baltąsias kraujo ląsteles.</w:t>
      </w:r>
    </w:p>
    <w:p w14:paraId="496FD6A6" w14:textId="77777777" w:rsidR="00D24A7B" w:rsidRPr="006F0805" w:rsidRDefault="00D24A7B" w:rsidP="00D24A7B">
      <w:pPr>
        <w:rPr>
          <w:lang w:val="pt-BR"/>
        </w:rPr>
      </w:pPr>
    </w:p>
    <w:p w14:paraId="628A78BE" w14:textId="77777777" w:rsidR="00D24A7B" w:rsidRPr="006F0805" w:rsidRDefault="00D24A7B" w:rsidP="00D24A7B">
      <w:r w:rsidRPr="006F0805">
        <w:t>Neupogen galima vartoti:</w:t>
      </w:r>
    </w:p>
    <w:p w14:paraId="7546F413" w14:textId="77777777" w:rsidR="00D24A7B" w:rsidRPr="006F0805" w:rsidRDefault="00D24A7B" w:rsidP="00D24A7B">
      <w:pPr>
        <w:numPr>
          <w:ilvl w:val="0"/>
          <w:numId w:val="1"/>
        </w:numPr>
      </w:pPr>
      <w:bookmarkStart w:id="1" w:name="OLE_LINK1"/>
      <w:bookmarkStart w:id="2" w:name="OLE_LINK2"/>
      <w:r w:rsidRPr="006F0805">
        <w:t xml:space="preserve">baltųjų kraujo ląstelių skaičiui padidinti po gydymo </w:t>
      </w:r>
      <w:bookmarkEnd w:id="1"/>
      <w:bookmarkEnd w:id="2"/>
      <w:r w:rsidRPr="006F0805">
        <w:t>chemoterapija tam, kad būtų išvengta infekcijų;</w:t>
      </w:r>
    </w:p>
    <w:p w14:paraId="3E0E820D" w14:textId="77777777" w:rsidR="00D24A7B" w:rsidRPr="006F0805" w:rsidRDefault="00D24A7B" w:rsidP="00D24A7B">
      <w:pPr>
        <w:numPr>
          <w:ilvl w:val="0"/>
          <w:numId w:val="1"/>
        </w:numPr>
      </w:pPr>
      <w:r w:rsidRPr="006F0805">
        <w:t>baltųjų kraujo ląstelių skaičiui padidinti po kaulų čiulpų persodinimo tam, kad būtų išvengta infekcijų;</w:t>
      </w:r>
    </w:p>
    <w:p w14:paraId="4D9FFE05" w14:textId="77777777" w:rsidR="00D24A7B" w:rsidRPr="006F0805" w:rsidRDefault="00D24A7B" w:rsidP="00D24A7B">
      <w:pPr>
        <w:numPr>
          <w:ilvl w:val="0"/>
          <w:numId w:val="1"/>
        </w:numPr>
        <w:rPr>
          <w:lang w:val="pt-BR"/>
        </w:rPr>
      </w:pPr>
      <w:r w:rsidRPr="006F0805">
        <w:t xml:space="preserve">prieš pradedant chemoterapiją didelėmis dozėmis paskatinti kamieninių ląstelių gamybą kaulų čiulpuose, kurias būtų galima surinkti, o po gydymo vėl Jums suleisti. </w:t>
      </w:r>
      <w:r w:rsidRPr="006F0805">
        <w:rPr>
          <w:lang w:val="pt-BR"/>
        </w:rPr>
        <w:t>Ląsteles galima paimti iš Jūsų kraujo arba iš donoro kraujo. Kamieninės ląstelės vėl pateks į kaulų čiulpus ir iš jų susidarys kraujo ląstelės;</w:t>
      </w:r>
    </w:p>
    <w:p w14:paraId="0DE0E2BB" w14:textId="77777777" w:rsidR="00D24A7B" w:rsidRPr="006F0805" w:rsidRDefault="00D24A7B" w:rsidP="00D24A7B">
      <w:pPr>
        <w:numPr>
          <w:ilvl w:val="0"/>
          <w:numId w:val="1"/>
        </w:numPr>
        <w:rPr>
          <w:lang w:val="pt-BR"/>
        </w:rPr>
      </w:pPr>
      <w:r w:rsidRPr="006F0805">
        <w:rPr>
          <w:lang w:val="pt-BR"/>
        </w:rPr>
        <w:t>baltųjų kraujo ląstelių skaičiui padidinti, jei pasireiškia sunki lėtinė neutropenija, tam, kad būtų išvengta infekcijų;</w:t>
      </w:r>
    </w:p>
    <w:p w14:paraId="0766DC68" w14:textId="77777777" w:rsidR="00D24A7B" w:rsidRPr="006F0805" w:rsidRDefault="00D24A7B" w:rsidP="00D24A7B">
      <w:pPr>
        <w:numPr>
          <w:ilvl w:val="0"/>
          <w:numId w:val="1"/>
        </w:numPr>
        <w:rPr>
          <w:lang w:val="pt-BR"/>
        </w:rPr>
      </w:pPr>
      <w:r w:rsidRPr="006F0805">
        <w:rPr>
          <w:lang w:val="pt-BR"/>
        </w:rPr>
        <w:t>progresavusia ŽIV infekcija sergantiems pacientams tam, kad būtų sumažinta infekcijų rizika.</w:t>
      </w:r>
    </w:p>
    <w:p w14:paraId="1022254D" w14:textId="77777777" w:rsidR="00D24A7B" w:rsidRPr="006F0805" w:rsidRDefault="00D24A7B" w:rsidP="00D24A7B">
      <w:pPr>
        <w:ind w:left="567" w:hanging="567"/>
        <w:rPr>
          <w:lang w:val="pt-BR"/>
        </w:rPr>
      </w:pPr>
    </w:p>
    <w:p w14:paraId="08FDB233" w14:textId="77777777" w:rsidR="00D24A7B" w:rsidRPr="006F0805" w:rsidRDefault="00D24A7B" w:rsidP="00D24A7B">
      <w:pPr>
        <w:rPr>
          <w:lang w:val="pt-BR"/>
        </w:rPr>
      </w:pPr>
    </w:p>
    <w:p w14:paraId="07A9FCFD" w14:textId="77777777" w:rsidR="00D24A7B" w:rsidRPr="00AE03B0" w:rsidRDefault="00D24A7B" w:rsidP="002E2364">
      <w:pPr>
        <w:pStyle w:val="Antrat1"/>
        <w:keepNext/>
        <w:tabs>
          <w:tab w:val="left" w:pos="567"/>
        </w:tabs>
        <w:ind w:left="567" w:hanging="567"/>
        <w:rPr>
          <w:rFonts w:ascii="Times New Roman" w:hAnsi="Times New Roman"/>
          <w:sz w:val="22"/>
          <w:szCs w:val="22"/>
        </w:rPr>
      </w:pPr>
      <w:r w:rsidRPr="006F0805">
        <w:rPr>
          <w:rFonts w:ascii="Times New Roman" w:hAnsi="Times New Roman"/>
          <w:sz w:val="22"/>
          <w:szCs w:val="22"/>
        </w:rPr>
        <w:lastRenderedPageBreak/>
        <w:t>2.</w:t>
      </w:r>
      <w:r w:rsidRPr="006F0805">
        <w:rPr>
          <w:rFonts w:ascii="Times New Roman" w:hAnsi="Times New Roman"/>
          <w:sz w:val="22"/>
          <w:szCs w:val="22"/>
        </w:rPr>
        <w:tab/>
      </w:r>
      <w:r w:rsidR="00C0072D" w:rsidRPr="006F0805">
        <w:rPr>
          <w:rFonts w:ascii="Times New Roman" w:hAnsi="Times New Roman"/>
          <w:sz w:val="22"/>
          <w:szCs w:val="22"/>
          <w:lang w:val="pt-BR"/>
        </w:rPr>
        <w:t>Kas žinotina prieš vartojant Neupogen</w:t>
      </w:r>
    </w:p>
    <w:p w14:paraId="1F5B1AB4" w14:textId="77777777" w:rsidR="00D24A7B" w:rsidRPr="006F0805" w:rsidRDefault="00D24A7B" w:rsidP="00AD488D">
      <w:pPr>
        <w:keepNext/>
        <w:rPr>
          <w:lang w:val="pt-BR"/>
        </w:rPr>
      </w:pPr>
    </w:p>
    <w:p w14:paraId="051C25FD" w14:textId="77777777" w:rsidR="00D24A7B" w:rsidRPr="006F0805" w:rsidRDefault="00D24A7B" w:rsidP="00AD488D">
      <w:pPr>
        <w:pStyle w:val="Antrat2"/>
        <w:rPr>
          <w:rFonts w:ascii="Times New Roman" w:hAnsi="Times New Roman"/>
        </w:rPr>
      </w:pPr>
      <w:r w:rsidRPr="006F0805">
        <w:rPr>
          <w:rFonts w:ascii="Times New Roman" w:hAnsi="Times New Roman"/>
        </w:rPr>
        <w:t>Neupogen vartoti negalima</w:t>
      </w:r>
    </w:p>
    <w:p w14:paraId="23EA1009" w14:textId="77777777" w:rsidR="00D24A7B" w:rsidRPr="006F0805" w:rsidRDefault="00D24A7B" w:rsidP="00AD488D">
      <w:pPr>
        <w:keepNext/>
        <w:rPr>
          <w:lang w:val="pt-BR"/>
        </w:rPr>
      </w:pPr>
    </w:p>
    <w:p w14:paraId="6575FACA" w14:textId="77777777" w:rsidR="00D24A7B" w:rsidRPr="00AE03B0" w:rsidRDefault="00D24A7B" w:rsidP="00AD488D">
      <w:pPr>
        <w:keepNext/>
        <w:numPr>
          <w:ilvl w:val="0"/>
          <w:numId w:val="2"/>
        </w:numPr>
        <w:rPr>
          <w:lang w:val="pt-BR"/>
        </w:rPr>
      </w:pPr>
      <w:r w:rsidRPr="006F0805">
        <w:rPr>
          <w:lang w:val="pt-BR"/>
        </w:rPr>
        <w:t xml:space="preserve">jeigu yra alergija </w:t>
      </w:r>
      <w:r w:rsidR="00C0072D" w:rsidRPr="006F0805">
        <w:rPr>
          <w:lang w:val="pt-BR"/>
        </w:rPr>
        <w:t>filgrastimui</w:t>
      </w:r>
      <w:r w:rsidRPr="00AE03B0">
        <w:rPr>
          <w:lang w:val="pt-BR"/>
        </w:rPr>
        <w:t xml:space="preserve"> arba bet kuriai pagalbinei </w:t>
      </w:r>
      <w:r w:rsidR="00C0072D" w:rsidRPr="006F0805">
        <w:rPr>
          <w:lang w:val="pt-BR"/>
        </w:rPr>
        <w:t>šio vaisto</w:t>
      </w:r>
      <w:r w:rsidRPr="00AE03B0">
        <w:rPr>
          <w:lang w:val="pt-BR"/>
        </w:rPr>
        <w:t xml:space="preserve"> medžiagai</w:t>
      </w:r>
      <w:r w:rsidR="00C0072D" w:rsidRPr="006F0805">
        <w:rPr>
          <w:lang w:val="pt-BR"/>
        </w:rPr>
        <w:t xml:space="preserve"> </w:t>
      </w:r>
      <w:r w:rsidR="00C0072D" w:rsidRPr="006F0805">
        <w:t>(jos išvardytos 6</w:t>
      </w:r>
      <w:r w:rsidR="009B264B">
        <w:t> </w:t>
      </w:r>
      <w:r w:rsidR="00C0072D" w:rsidRPr="006F0805">
        <w:t>skyriuje)</w:t>
      </w:r>
      <w:r w:rsidRPr="00AE03B0">
        <w:rPr>
          <w:lang w:val="pt-BR"/>
        </w:rPr>
        <w:t>.</w:t>
      </w:r>
    </w:p>
    <w:p w14:paraId="7A230932" w14:textId="77777777" w:rsidR="00D24A7B" w:rsidRPr="006F0805" w:rsidRDefault="00D24A7B" w:rsidP="00D24A7B">
      <w:pPr>
        <w:rPr>
          <w:lang w:val="pt-BR"/>
        </w:rPr>
      </w:pPr>
    </w:p>
    <w:p w14:paraId="2D24BFFF" w14:textId="77777777" w:rsidR="00D24A7B" w:rsidRPr="00AE03B0" w:rsidRDefault="00C0072D" w:rsidP="00D24A7B">
      <w:pPr>
        <w:pStyle w:val="Antrat2"/>
        <w:rPr>
          <w:rFonts w:ascii="Times New Roman" w:hAnsi="Times New Roman"/>
        </w:rPr>
      </w:pPr>
      <w:r w:rsidRPr="006F0805">
        <w:rPr>
          <w:rFonts w:ascii="Times New Roman" w:hAnsi="Times New Roman"/>
          <w:noProof w:val="0"/>
        </w:rPr>
        <w:t>Įspėjimai ir atsargumo priemonės</w:t>
      </w:r>
    </w:p>
    <w:p w14:paraId="75E664C9" w14:textId="77777777" w:rsidR="00D24A7B" w:rsidRPr="006F0805" w:rsidRDefault="00D24A7B" w:rsidP="00D24A7B">
      <w:pPr>
        <w:rPr>
          <w:lang w:val="pt-BR"/>
        </w:rPr>
      </w:pPr>
    </w:p>
    <w:p w14:paraId="22B57A58" w14:textId="77777777" w:rsidR="00C0072D" w:rsidRPr="00AE03B0" w:rsidRDefault="00C0072D" w:rsidP="00C0072D">
      <w:r w:rsidRPr="006F0805">
        <w:t>Pasitarkite su gydytoju, vaistininku arba slaugytoju, prieš pradėdami vartoti Neupogen.</w:t>
      </w:r>
    </w:p>
    <w:p w14:paraId="2723373F" w14:textId="77777777" w:rsidR="00C0072D" w:rsidRPr="006F0805" w:rsidRDefault="00C0072D" w:rsidP="00D24A7B"/>
    <w:p w14:paraId="0D0B24FC" w14:textId="77777777" w:rsidR="00D24A7B" w:rsidRPr="00AE03B0" w:rsidRDefault="00D24A7B" w:rsidP="00D24A7B">
      <w:pPr>
        <w:ind w:left="567" w:hanging="567"/>
        <w:rPr>
          <w:bCs/>
          <w:lang w:val="pt-BR"/>
        </w:rPr>
      </w:pPr>
      <w:r w:rsidRPr="006F0805">
        <w:rPr>
          <w:bCs/>
          <w:lang w:val="pt-BR"/>
        </w:rPr>
        <w:t>Pasakykite gydytojui, prieš pradedant gydymą</w:t>
      </w:r>
      <w:r w:rsidR="00C0072D" w:rsidRPr="006F0805">
        <w:rPr>
          <w:bCs/>
          <w:lang w:val="pt-BR"/>
        </w:rPr>
        <w:t xml:space="preserve">, </w:t>
      </w:r>
      <w:r w:rsidR="00C0072D" w:rsidRPr="006F0805">
        <w:rPr>
          <w:b/>
          <w:bCs/>
          <w:lang w:val="pt-BR"/>
        </w:rPr>
        <w:t>jeigu</w:t>
      </w:r>
      <w:r w:rsidRPr="00AE03B0">
        <w:rPr>
          <w:bCs/>
          <w:lang w:val="pt-BR"/>
        </w:rPr>
        <w:t>:</w:t>
      </w:r>
    </w:p>
    <w:p w14:paraId="7F969AC1" w14:textId="77777777" w:rsidR="00D24A7B" w:rsidRPr="006F0805" w:rsidRDefault="00D24A7B" w:rsidP="00D24A7B">
      <w:pPr>
        <w:numPr>
          <w:ilvl w:val="0"/>
          <w:numId w:val="3"/>
        </w:numPr>
        <w:rPr>
          <w:lang w:val="pt-BR"/>
        </w:rPr>
      </w:pPr>
      <w:r w:rsidRPr="006F0805">
        <w:rPr>
          <w:lang w:val="pt-BR"/>
        </w:rPr>
        <w:t>sergate pjautuvine anemija, nes Neupogen gali sąlygoti pjautuvinės anemijos krizę;</w:t>
      </w:r>
    </w:p>
    <w:p w14:paraId="4FBBDBB1" w14:textId="77777777" w:rsidR="00D24A7B" w:rsidRPr="006F0805" w:rsidRDefault="00D24A7B" w:rsidP="00D24A7B">
      <w:pPr>
        <w:numPr>
          <w:ilvl w:val="0"/>
          <w:numId w:val="3"/>
        </w:numPr>
        <w:rPr>
          <w:lang w:val="pt-BR"/>
        </w:rPr>
      </w:pPr>
      <w:r w:rsidRPr="006F0805">
        <w:rPr>
          <w:lang w:val="pt-BR"/>
        </w:rPr>
        <w:t xml:space="preserve">yra alergija natūraliai gumai (lateksui). Švirkšto adatos dangtelis </w:t>
      </w:r>
      <w:r w:rsidR="00E42BD3" w:rsidRPr="00B22649">
        <w:rPr>
          <w:lang w:eastAsia="en-US"/>
        </w:rPr>
        <w:t>gali būti</w:t>
      </w:r>
      <w:r w:rsidR="00E42BD3" w:rsidRPr="00B22649">
        <w:t xml:space="preserve"> </w:t>
      </w:r>
      <w:r w:rsidRPr="006F0805">
        <w:rPr>
          <w:lang w:val="pt-BR"/>
        </w:rPr>
        <w:t xml:space="preserve">pagamintas iš natūralios gumos ir gali sukelti alergines reakcijas. </w:t>
      </w:r>
    </w:p>
    <w:p w14:paraId="74E7FF9F" w14:textId="77777777" w:rsidR="00D24A7B" w:rsidRPr="006F0805" w:rsidRDefault="00D24A7B" w:rsidP="00D24A7B">
      <w:pPr>
        <w:numPr>
          <w:ilvl w:val="0"/>
          <w:numId w:val="3"/>
        </w:numPr>
        <w:rPr>
          <w:lang w:val="pt-BR"/>
        </w:rPr>
      </w:pPr>
      <w:r w:rsidRPr="006F0805">
        <w:rPr>
          <w:lang w:val="pt-BR"/>
        </w:rPr>
        <w:t>sergate osteoporoze (kaulų liga).</w:t>
      </w:r>
    </w:p>
    <w:p w14:paraId="03466D4D" w14:textId="77777777" w:rsidR="00D24A7B" w:rsidRDefault="00D24A7B" w:rsidP="00D24A7B">
      <w:pPr>
        <w:rPr>
          <w:lang w:val="pt-BR"/>
        </w:rPr>
      </w:pPr>
    </w:p>
    <w:p w14:paraId="3FDBE43C" w14:textId="77777777" w:rsidR="008D685A" w:rsidRPr="00221F15" w:rsidRDefault="008D685A" w:rsidP="008D685A">
      <w:pPr>
        <w:pStyle w:val="lblbullet"/>
        <w:tabs>
          <w:tab w:val="clear" w:pos="567"/>
        </w:tabs>
        <w:ind w:left="0" w:firstLine="0"/>
        <w:rPr>
          <w:lang w:val="pt-BR"/>
        </w:rPr>
      </w:pPr>
      <w:r w:rsidRPr="00221F15">
        <w:rPr>
          <w:lang w:val="pt-BR"/>
        </w:rPr>
        <w:t>Nedelsdami pasakykite gydytojui, jeigu vartojant Neupogen:</w:t>
      </w:r>
    </w:p>
    <w:p w14:paraId="71CFB3A7" w14:textId="77777777" w:rsidR="00211E8A" w:rsidRPr="00361C46" w:rsidRDefault="00211E8A" w:rsidP="00211E8A">
      <w:pPr>
        <w:numPr>
          <w:ilvl w:val="0"/>
          <w:numId w:val="32"/>
        </w:numPr>
        <w:ind w:left="567" w:hanging="567"/>
        <w:rPr>
          <w:lang w:eastAsia="en-US"/>
        </w:rPr>
      </w:pPr>
      <w:r w:rsidRPr="00361C46">
        <w:rPr>
          <w:lang w:eastAsia="en-US"/>
        </w:rPr>
        <w:t xml:space="preserve">pasireiškė netikėtų alergijos požymių, tokių kaip odos bėrimas, niežulys ar dilgėlinė, veido, lūpų, liežuvio ar kitų kūno dalių patinimas, dusulys, švokštimas ar sutrikęs kvėpavimas, nes tai gali būti pirmieji sunkių alerginių reakcijų </w:t>
      </w:r>
      <w:r>
        <w:rPr>
          <w:lang w:eastAsia="en-US"/>
        </w:rPr>
        <w:t xml:space="preserve">(padidėjusio jautrumo) </w:t>
      </w:r>
      <w:r w:rsidRPr="00361C46">
        <w:rPr>
          <w:lang w:eastAsia="en-US"/>
        </w:rPr>
        <w:t>požymiai.</w:t>
      </w:r>
    </w:p>
    <w:p w14:paraId="482C070D" w14:textId="77777777" w:rsidR="00211E8A" w:rsidRPr="00361C46" w:rsidRDefault="00211E8A" w:rsidP="00211E8A">
      <w:pPr>
        <w:pStyle w:val="lblbullet"/>
        <w:numPr>
          <w:ilvl w:val="0"/>
          <w:numId w:val="32"/>
        </w:numPr>
        <w:tabs>
          <w:tab w:val="clear" w:pos="567"/>
        </w:tabs>
        <w:ind w:left="567" w:hanging="567"/>
        <w:rPr>
          <w:szCs w:val="22"/>
          <w:lang w:val="lt-LT"/>
        </w:rPr>
      </w:pPr>
      <w:r w:rsidRPr="00361C46">
        <w:rPr>
          <w:szCs w:val="22"/>
          <w:lang w:val="lt-LT"/>
        </w:rPr>
        <w:t>Jums atsirado veido arba čiurnų paburkimas, kraujas šlapime, šlapimas tapo rudos spalvos arba pastebėjote, kad šlapimo kiekis tapo mažesnis nei įprastai</w:t>
      </w:r>
      <w:r>
        <w:rPr>
          <w:szCs w:val="22"/>
          <w:lang w:val="lt-LT"/>
        </w:rPr>
        <w:t xml:space="preserve"> (glomerulonefritas)</w:t>
      </w:r>
      <w:r w:rsidRPr="00361C46">
        <w:rPr>
          <w:szCs w:val="22"/>
          <w:lang w:val="lt-LT"/>
        </w:rPr>
        <w:t>.</w:t>
      </w:r>
    </w:p>
    <w:p w14:paraId="5C176173" w14:textId="77777777" w:rsidR="00211E8A" w:rsidRPr="00361C46" w:rsidRDefault="00211E8A" w:rsidP="00211E8A">
      <w:pPr>
        <w:pStyle w:val="lblbullet"/>
        <w:numPr>
          <w:ilvl w:val="0"/>
          <w:numId w:val="32"/>
        </w:numPr>
        <w:tabs>
          <w:tab w:val="clear" w:pos="567"/>
        </w:tabs>
        <w:ind w:left="567" w:hanging="567"/>
        <w:rPr>
          <w:lang w:val="lt-LT"/>
        </w:rPr>
      </w:pPr>
      <w:r w:rsidRPr="00361C46">
        <w:rPr>
          <w:rStyle w:val="hps"/>
          <w:lang w:val="lt-LT"/>
        </w:rPr>
        <w:t>Jums pasireiškė skausmas</w:t>
      </w:r>
      <w:r w:rsidRPr="00361C46">
        <w:rPr>
          <w:rStyle w:val="Antrat1Diagrama"/>
          <w:b w:val="0"/>
          <w:noProof w:val="0"/>
        </w:rPr>
        <w:t xml:space="preserve"> </w:t>
      </w:r>
      <w:r w:rsidRPr="00361C46">
        <w:rPr>
          <w:rStyle w:val="Emfaz"/>
          <w:i w:val="0"/>
          <w:lang w:val="lt-LT"/>
        </w:rPr>
        <w:t>kairėje viršutinėje pilvo dalyje</w:t>
      </w:r>
      <w:r w:rsidRPr="00361C46">
        <w:rPr>
          <w:rStyle w:val="hps"/>
          <w:lang w:val="lt-LT"/>
        </w:rPr>
        <w:t>,</w:t>
      </w:r>
      <w:r w:rsidRPr="00361C46">
        <w:rPr>
          <w:lang w:val="lt-LT"/>
        </w:rPr>
        <w:t xml:space="preserve"> skausmas </w:t>
      </w:r>
      <w:r w:rsidRPr="00361C46">
        <w:rPr>
          <w:rStyle w:val="Emfaz"/>
          <w:i w:val="0"/>
          <w:lang w:val="lt-LT"/>
        </w:rPr>
        <w:t>kairėje pusėje</w:t>
      </w:r>
      <w:r w:rsidRPr="00361C46">
        <w:rPr>
          <w:rStyle w:val="st"/>
          <w:lang w:val="lt-LT"/>
        </w:rPr>
        <w:t xml:space="preserve"> po</w:t>
      </w:r>
      <w:r w:rsidRPr="00361C46">
        <w:rPr>
          <w:rStyle w:val="st"/>
          <w:i/>
          <w:lang w:val="lt-LT"/>
        </w:rPr>
        <w:t xml:space="preserve"> </w:t>
      </w:r>
      <w:r w:rsidRPr="00361C46">
        <w:rPr>
          <w:rStyle w:val="Emfaz"/>
          <w:i w:val="0"/>
          <w:lang w:val="lt-LT"/>
        </w:rPr>
        <w:t>šonkauliais</w:t>
      </w:r>
      <w:r w:rsidRPr="00361C46">
        <w:rPr>
          <w:rStyle w:val="st"/>
          <w:lang w:val="lt-LT"/>
        </w:rPr>
        <w:t xml:space="preserve"> </w:t>
      </w:r>
      <w:r w:rsidRPr="00361C46">
        <w:rPr>
          <w:rStyle w:val="hps"/>
          <w:lang w:val="lt-LT"/>
        </w:rPr>
        <w:t>arba</w:t>
      </w:r>
      <w:r w:rsidRPr="00361C46">
        <w:rPr>
          <w:lang w:val="lt-LT"/>
        </w:rPr>
        <w:t xml:space="preserve"> </w:t>
      </w:r>
      <w:r w:rsidRPr="00361C46">
        <w:rPr>
          <w:rStyle w:val="hps"/>
          <w:lang w:val="lt-LT"/>
        </w:rPr>
        <w:t>kairiajame petyje</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blužnies padidėjimo</w:t>
      </w:r>
      <w:r w:rsidRPr="00361C46">
        <w:rPr>
          <w:lang w:val="lt-LT"/>
        </w:rPr>
        <w:t xml:space="preserve"> </w:t>
      </w:r>
      <w:r w:rsidRPr="00361C46">
        <w:rPr>
          <w:rStyle w:val="hps"/>
          <w:lang w:val="lt-LT"/>
        </w:rPr>
        <w:t>(</w:t>
      </w:r>
      <w:r w:rsidRPr="00361C46">
        <w:rPr>
          <w:lang w:val="lt-LT"/>
        </w:rPr>
        <w:t xml:space="preserve">splenomegalijos) arba </w:t>
      </w:r>
      <w:r w:rsidRPr="00361C46">
        <w:rPr>
          <w:rStyle w:val="hps"/>
          <w:lang w:val="lt-LT"/>
        </w:rPr>
        <w:t>blužnies plyšimo simptomai</w:t>
      </w:r>
      <w:r w:rsidRPr="00361C46">
        <w:rPr>
          <w:lang w:val="lt-LT"/>
        </w:rPr>
        <w:t>).</w:t>
      </w:r>
    </w:p>
    <w:p w14:paraId="08026FEB" w14:textId="77777777" w:rsidR="00211E8A" w:rsidRPr="001B17A9" w:rsidRDefault="00211E8A" w:rsidP="00211E8A">
      <w:pPr>
        <w:pStyle w:val="lblbullet"/>
        <w:numPr>
          <w:ilvl w:val="0"/>
          <w:numId w:val="32"/>
        </w:numPr>
        <w:tabs>
          <w:tab w:val="clear" w:pos="567"/>
        </w:tabs>
        <w:ind w:left="567" w:hanging="567"/>
        <w:rPr>
          <w:szCs w:val="22"/>
          <w:lang w:val="lt-LT"/>
        </w:rPr>
      </w:pPr>
      <w:r w:rsidRPr="00361C46">
        <w:rPr>
          <w:lang w:val="lt-LT"/>
        </w:rPr>
        <w:t xml:space="preserve">Jūs </w:t>
      </w:r>
      <w:r w:rsidRPr="00361C46">
        <w:rPr>
          <w:rStyle w:val="hps"/>
          <w:lang w:val="lt-LT"/>
        </w:rPr>
        <w:t>pastebėjote neįprastą</w:t>
      </w:r>
      <w:r w:rsidRPr="00361C46">
        <w:rPr>
          <w:lang w:val="lt-LT"/>
        </w:rPr>
        <w:t xml:space="preserve"> </w:t>
      </w:r>
      <w:r w:rsidRPr="00361C46">
        <w:rPr>
          <w:rStyle w:val="hps"/>
          <w:lang w:val="lt-LT"/>
        </w:rPr>
        <w:t>kraujavimą</w:t>
      </w:r>
      <w:r w:rsidRPr="00361C46">
        <w:rPr>
          <w:lang w:val="lt-LT"/>
        </w:rPr>
        <w:t xml:space="preserve"> </w:t>
      </w:r>
      <w:r w:rsidRPr="00361C46">
        <w:rPr>
          <w:rStyle w:val="hps"/>
          <w:lang w:val="lt-LT"/>
        </w:rPr>
        <w:t>ar</w:t>
      </w:r>
      <w:r w:rsidRPr="00361C46">
        <w:rPr>
          <w:lang w:val="lt-LT"/>
        </w:rPr>
        <w:t xml:space="preserve"> </w:t>
      </w:r>
      <w:r w:rsidRPr="00361C46">
        <w:rPr>
          <w:rStyle w:val="hps"/>
          <w:lang w:val="lt-LT"/>
        </w:rPr>
        <w:t>kraujosruvų</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trombocitų</w:t>
      </w:r>
      <w:r w:rsidRPr="00361C46">
        <w:rPr>
          <w:lang w:val="lt-LT"/>
        </w:rPr>
        <w:t xml:space="preserve"> kiekio sumažėjimo simptomai </w:t>
      </w:r>
      <w:r w:rsidRPr="00361C46">
        <w:rPr>
          <w:rStyle w:val="hps"/>
          <w:lang w:val="lt-LT"/>
        </w:rPr>
        <w:t>(trombocitopenija</w:t>
      </w:r>
      <w:r w:rsidRPr="00361C46">
        <w:rPr>
          <w:lang w:val="lt-LT"/>
        </w:rPr>
        <w:t xml:space="preserve">), </w:t>
      </w:r>
      <w:r w:rsidRPr="00361C46">
        <w:rPr>
          <w:rStyle w:val="Emfaz"/>
          <w:i w:val="0"/>
          <w:lang w:val="lt-LT"/>
        </w:rPr>
        <w:t xml:space="preserve">mažinantys </w:t>
      </w:r>
      <w:r w:rsidRPr="00361C46">
        <w:rPr>
          <w:rStyle w:val="st"/>
          <w:lang w:val="lt-LT"/>
        </w:rPr>
        <w:t xml:space="preserve">kraujo krešulių susidarymo </w:t>
      </w:r>
      <w:r w:rsidRPr="00361C46">
        <w:rPr>
          <w:rStyle w:val="Emfaz"/>
          <w:i w:val="0"/>
          <w:lang w:val="lt-LT"/>
        </w:rPr>
        <w:t>galimybę</w:t>
      </w:r>
      <w:r w:rsidRPr="00361C46">
        <w:rPr>
          <w:lang w:val="lt-LT"/>
        </w:rPr>
        <w:t>).</w:t>
      </w:r>
    </w:p>
    <w:p w14:paraId="608C3681" w14:textId="77777777" w:rsidR="001B17A9" w:rsidRPr="001B17A9" w:rsidRDefault="001B17A9" w:rsidP="001B17A9">
      <w:pPr>
        <w:pStyle w:val="lblbullet"/>
        <w:numPr>
          <w:ilvl w:val="0"/>
          <w:numId w:val="32"/>
        </w:numPr>
        <w:tabs>
          <w:tab w:val="clear" w:pos="567"/>
        </w:tabs>
        <w:ind w:left="567" w:hanging="567"/>
        <w:rPr>
          <w:szCs w:val="22"/>
          <w:lang w:val="lt-LT"/>
        </w:rPr>
      </w:pPr>
      <w:r w:rsidRPr="00EA5DDE">
        <w:rPr>
          <w:szCs w:val="22"/>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p w14:paraId="7E13CC2D" w14:textId="77777777" w:rsidR="00211E8A" w:rsidRPr="00361C46" w:rsidRDefault="00211E8A" w:rsidP="00211E8A">
      <w:pPr>
        <w:pStyle w:val="lblbullet"/>
        <w:tabs>
          <w:tab w:val="clear" w:pos="567"/>
        </w:tabs>
        <w:rPr>
          <w:szCs w:val="22"/>
          <w:lang w:val="lt-LT"/>
        </w:rPr>
      </w:pPr>
    </w:p>
    <w:p w14:paraId="588CC7F7" w14:textId="77777777" w:rsidR="00211E8A" w:rsidRPr="00361C46" w:rsidRDefault="00211E8A" w:rsidP="00211E8A">
      <w:pPr>
        <w:pStyle w:val="lblbullet"/>
        <w:rPr>
          <w:b/>
          <w:bCs/>
          <w:lang w:val="lt-LT"/>
        </w:rPr>
      </w:pPr>
      <w:r w:rsidRPr="00361C46">
        <w:rPr>
          <w:b/>
          <w:bCs/>
          <w:lang w:val="lt-LT"/>
        </w:rPr>
        <w:t xml:space="preserve">Atsako </w:t>
      </w:r>
      <w:r>
        <w:rPr>
          <w:b/>
          <w:bCs/>
          <w:lang w:val="lt-LT"/>
        </w:rPr>
        <w:t xml:space="preserve">į </w:t>
      </w:r>
      <w:r w:rsidRPr="00361C46">
        <w:rPr>
          <w:b/>
          <w:bCs/>
          <w:lang w:val="lt-LT"/>
        </w:rPr>
        <w:t>filgrastim</w:t>
      </w:r>
      <w:r>
        <w:rPr>
          <w:b/>
          <w:bCs/>
          <w:lang w:val="lt-LT"/>
        </w:rPr>
        <w:t>ą</w:t>
      </w:r>
      <w:r w:rsidRPr="00361C46">
        <w:rPr>
          <w:b/>
          <w:bCs/>
          <w:lang w:val="lt-LT"/>
        </w:rPr>
        <w:t xml:space="preserve"> praradimas</w:t>
      </w:r>
    </w:p>
    <w:p w14:paraId="2BE0450B" w14:textId="77777777" w:rsidR="00E42BD3" w:rsidRPr="00561A49" w:rsidRDefault="00E42BD3" w:rsidP="00E42BD3">
      <w:pPr>
        <w:pStyle w:val="lblbullet"/>
        <w:rPr>
          <w:b/>
          <w:bCs/>
          <w:lang w:val="lt-LT"/>
        </w:rPr>
      </w:pPr>
    </w:p>
    <w:p w14:paraId="55C58991" w14:textId="77777777" w:rsidR="00E42BD3" w:rsidRPr="00561A49" w:rsidRDefault="00E42BD3" w:rsidP="00E42BD3">
      <w:r w:rsidRPr="00561A49">
        <w:t>Jei gydymo filgrastimu metu Jums pasireiškė atsako į gydymą praradimas ar patyrėte nesėkmę išlaikant atsaką, gydytojas ištirs priežastis, įskaitant ir tai, ar Jūsų organizme atsirado antikūnų, kurie neutralizuoja filgrastimo poveikį.</w:t>
      </w:r>
    </w:p>
    <w:p w14:paraId="163B5FF6" w14:textId="77777777" w:rsidR="00E42BD3" w:rsidRDefault="00E42BD3" w:rsidP="008D685A">
      <w:pPr>
        <w:pStyle w:val="lblbullet"/>
        <w:tabs>
          <w:tab w:val="clear" w:pos="567"/>
        </w:tabs>
        <w:rPr>
          <w:szCs w:val="22"/>
          <w:lang w:val="lt-LT"/>
        </w:rPr>
      </w:pPr>
    </w:p>
    <w:p w14:paraId="7EDD2380" w14:textId="77777777" w:rsidR="008D685A" w:rsidRPr="008D685A" w:rsidRDefault="008D685A" w:rsidP="008D685A">
      <w:pPr>
        <w:pStyle w:val="lblbullet"/>
        <w:tabs>
          <w:tab w:val="clear" w:pos="567"/>
        </w:tabs>
        <w:rPr>
          <w:szCs w:val="22"/>
          <w:lang w:val="lt-LT"/>
        </w:rPr>
      </w:pPr>
      <w:r w:rsidRPr="008D685A">
        <w:rPr>
          <w:szCs w:val="22"/>
          <w:lang w:val="lt-LT"/>
        </w:rPr>
        <w:t xml:space="preserve">Jūsų gydytojas gali norėti stebėti Jus atidžiau, žr. </w:t>
      </w:r>
      <w:r w:rsidR="00464BE3">
        <w:rPr>
          <w:szCs w:val="22"/>
          <w:lang w:val="lt-LT"/>
        </w:rPr>
        <w:t>pakuotės</w:t>
      </w:r>
      <w:r w:rsidRPr="008D685A">
        <w:rPr>
          <w:szCs w:val="22"/>
          <w:lang w:val="lt-LT"/>
        </w:rPr>
        <w:t xml:space="preserve"> lapelio 4</w:t>
      </w:r>
      <w:r w:rsidR="00DA0BC8">
        <w:rPr>
          <w:szCs w:val="22"/>
          <w:lang w:val="lt-LT"/>
        </w:rPr>
        <w:t> </w:t>
      </w:r>
      <w:r w:rsidRPr="008D685A">
        <w:rPr>
          <w:szCs w:val="22"/>
          <w:lang w:val="lt-LT"/>
        </w:rPr>
        <w:t>skyrių.</w:t>
      </w:r>
    </w:p>
    <w:p w14:paraId="04A7DC1E" w14:textId="77777777" w:rsidR="008D685A" w:rsidRPr="008D685A" w:rsidRDefault="008D685A" w:rsidP="00D24A7B"/>
    <w:p w14:paraId="36B40CB1" w14:textId="77777777" w:rsidR="00211E8A" w:rsidRPr="00361C46" w:rsidRDefault="00211E8A" w:rsidP="00211E8A">
      <w:pPr>
        <w:numPr>
          <w:ilvl w:val="12"/>
          <w:numId w:val="0"/>
        </w:numPr>
      </w:pPr>
      <w:r w:rsidRPr="00361C46">
        <w:t>Jei esate pacientas, sergantis sunkia lėtine neutropenija, Jums gali būti kraujo vėžio atsiradimo pavojus (leukemija, mielodisplazinis sindromas (MDS)). Pasitarkite su savo gydytoju, koks yra kraujo vėžio</w:t>
      </w:r>
      <w:r w:rsidRPr="00361C46" w:rsidDel="007C4F6A">
        <w:t xml:space="preserve"> </w:t>
      </w:r>
      <w:r w:rsidRPr="00361C46">
        <w:t xml:space="preserve">atsiradimo pavojus ir kokius reikia atlikti tyrimus. Jei Jums išsivystė </w:t>
      </w:r>
      <w:r>
        <w:t xml:space="preserve">kraujo vėžys </w:t>
      </w:r>
      <w:r w:rsidRPr="00361C46">
        <w:t xml:space="preserve">ar yra tikimybė </w:t>
      </w:r>
      <w:r>
        <w:t xml:space="preserve">juo </w:t>
      </w:r>
      <w:r w:rsidRPr="00361C46">
        <w:t>susirgti, Neupogen vartoti negalima, nebent taip nutartų Jūsų gydytojas.</w:t>
      </w:r>
    </w:p>
    <w:p w14:paraId="3457B912" w14:textId="77777777" w:rsidR="00D24A7B" w:rsidRPr="006F0805" w:rsidRDefault="00D24A7B" w:rsidP="00D24A7B"/>
    <w:p w14:paraId="2463A80E" w14:textId="77777777" w:rsidR="00D24A7B" w:rsidRPr="00AE03B0" w:rsidRDefault="00D24A7B" w:rsidP="00D24A7B">
      <w:pPr>
        <w:rPr>
          <w:lang w:val="pt-BR"/>
        </w:rPr>
      </w:pPr>
      <w:r w:rsidRPr="00AE03B0">
        <w:rPr>
          <w:lang w:val="pt-BR"/>
        </w:rPr>
        <w:t>Jeigu esate kamieninių ląstelių donoras, turite būti nuo 16 metų iki 60 metų amžiaus.</w:t>
      </w:r>
    </w:p>
    <w:p w14:paraId="1E32E3A0" w14:textId="77777777" w:rsidR="00D24A7B" w:rsidRPr="006F0805" w:rsidRDefault="00D24A7B" w:rsidP="00D24A7B">
      <w:pPr>
        <w:rPr>
          <w:lang w:val="pt-BR"/>
        </w:rPr>
      </w:pPr>
    </w:p>
    <w:p w14:paraId="21532FFE" w14:textId="77777777" w:rsidR="00D24A7B" w:rsidRPr="006F0805" w:rsidRDefault="00D24A7B" w:rsidP="00D24A7B">
      <w:pPr>
        <w:rPr>
          <w:b/>
          <w:lang w:val="pt-BR"/>
        </w:rPr>
      </w:pPr>
      <w:r w:rsidRPr="006F0805">
        <w:rPr>
          <w:b/>
          <w:lang w:val="pt-BR"/>
        </w:rPr>
        <w:t xml:space="preserve">Specialių atsargumo priemonių reikia vartojant kitus vaistinius preparatus, skatinančius baltųjų kraujo ląstelių gamybą </w:t>
      </w:r>
    </w:p>
    <w:p w14:paraId="0F64E5F7" w14:textId="77777777" w:rsidR="00D24A7B" w:rsidRPr="006F0805" w:rsidRDefault="00D24A7B" w:rsidP="00D24A7B">
      <w:pPr>
        <w:rPr>
          <w:lang w:val="pt-BR"/>
        </w:rPr>
      </w:pPr>
    </w:p>
    <w:p w14:paraId="2CD6DB2C" w14:textId="77777777" w:rsidR="00D24A7B" w:rsidRPr="006F0805" w:rsidRDefault="00D24A7B" w:rsidP="00D24A7B">
      <w:pPr>
        <w:rPr>
          <w:lang w:val="pt-BR"/>
        </w:rPr>
      </w:pPr>
      <w:r w:rsidRPr="006F0805">
        <w:rPr>
          <w:lang w:val="pt-BR"/>
        </w:rPr>
        <w:t>Neupogen priklauso vaistinių preparatų grupei, kurie skatina baltųjų kraujo ląstelių gamybą. Jūsų sveikatos priežiūros specialistas turi visada tiksliai užrašyti, kokį vaistą vartojate.</w:t>
      </w:r>
    </w:p>
    <w:p w14:paraId="49A2E16E" w14:textId="77777777" w:rsidR="00D24A7B" w:rsidRPr="006F0805" w:rsidRDefault="00D24A7B" w:rsidP="00D24A7B">
      <w:pPr>
        <w:rPr>
          <w:b/>
          <w:lang w:val="pt-BR"/>
        </w:rPr>
      </w:pPr>
    </w:p>
    <w:p w14:paraId="08AF0684" w14:textId="77777777" w:rsidR="00D24A7B" w:rsidRPr="00AE03B0" w:rsidRDefault="00D24A7B" w:rsidP="00D24A7B">
      <w:pPr>
        <w:pStyle w:val="Antrat2"/>
        <w:rPr>
          <w:rFonts w:ascii="Times New Roman" w:hAnsi="Times New Roman"/>
        </w:rPr>
      </w:pPr>
      <w:r w:rsidRPr="006F0805">
        <w:rPr>
          <w:rFonts w:ascii="Times New Roman" w:hAnsi="Times New Roman"/>
        </w:rPr>
        <w:lastRenderedPageBreak/>
        <w:t>Kit</w:t>
      </w:r>
      <w:r w:rsidR="00AC076B" w:rsidRPr="006F0805">
        <w:rPr>
          <w:rFonts w:ascii="Times New Roman" w:hAnsi="Times New Roman"/>
        </w:rPr>
        <w:t>i</w:t>
      </w:r>
      <w:r w:rsidRPr="00AE03B0">
        <w:rPr>
          <w:rFonts w:ascii="Times New Roman" w:hAnsi="Times New Roman"/>
        </w:rPr>
        <w:t xml:space="preserve"> vaist</w:t>
      </w:r>
      <w:r w:rsidR="00AC076B" w:rsidRPr="006F0805">
        <w:rPr>
          <w:rFonts w:ascii="Times New Roman" w:hAnsi="Times New Roman"/>
        </w:rPr>
        <w:t>ai</w:t>
      </w:r>
      <w:r w:rsidRPr="00AE03B0">
        <w:rPr>
          <w:rFonts w:ascii="Times New Roman" w:hAnsi="Times New Roman"/>
        </w:rPr>
        <w:t xml:space="preserve"> </w:t>
      </w:r>
      <w:r w:rsidR="00AC076B" w:rsidRPr="006F0805">
        <w:rPr>
          <w:rFonts w:ascii="Times New Roman" w:hAnsi="Times New Roman"/>
        </w:rPr>
        <w:t>ir Neupogen</w:t>
      </w:r>
    </w:p>
    <w:p w14:paraId="3D99A95B" w14:textId="77777777" w:rsidR="00D24A7B" w:rsidRPr="006F0805" w:rsidRDefault="00D24A7B" w:rsidP="00306AC1">
      <w:pPr>
        <w:keepNext/>
        <w:numPr>
          <w:ilvl w:val="12"/>
          <w:numId w:val="0"/>
        </w:numPr>
        <w:rPr>
          <w:lang w:val="pt-BR"/>
        </w:rPr>
      </w:pPr>
    </w:p>
    <w:p w14:paraId="4B02D2C3" w14:textId="77777777" w:rsidR="00D24A7B" w:rsidRPr="00AE03B0" w:rsidRDefault="00D24A7B" w:rsidP="00D24A7B">
      <w:pPr>
        <w:numPr>
          <w:ilvl w:val="12"/>
          <w:numId w:val="0"/>
        </w:numPr>
        <w:rPr>
          <w:lang w:val="pt-BR"/>
        </w:rPr>
      </w:pPr>
      <w:r w:rsidRPr="006F0805">
        <w:rPr>
          <w:lang w:val="pt-BR"/>
        </w:rPr>
        <w:t>Jeigu vartojate arba neseniai vartojote kitų vaistų</w:t>
      </w:r>
      <w:r w:rsidR="00AC076B" w:rsidRPr="006F0805">
        <w:t xml:space="preserve"> arba dėl to nesate tikri</w:t>
      </w:r>
      <w:r w:rsidRPr="006F0805">
        <w:rPr>
          <w:lang w:val="pt-BR"/>
        </w:rPr>
        <w:t xml:space="preserve">, </w:t>
      </w:r>
      <w:r w:rsidR="00AC076B" w:rsidRPr="006F0805">
        <w:rPr>
          <w:lang w:val="pt-BR"/>
        </w:rPr>
        <w:t>apie tai</w:t>
      </w:r>
      <w:r w:rsidR="00AC076B" w:rsidRPr="00AE03B0">
        <w:rPr>
          <w:lang w:val="pt-BR"/>
        </w:rPr>
        <w:t xml:space="preserve"> </w:t>
      </w:r>
      <w:r w:rsidRPr="006F0805">
        <w:rPr>
          <w:lang w:val="pt-BR"/>
        </w:rPr>
        <w:t>pasakykite gydytojui arba vaistininkui.</w:t>
      </w:r>
    </w:p>
    <w:p w14:paraId="465C605A" w14:textId="77777777" w:rsidR="00D24A7B" w:rsidRPr="006F0805" w:rsidRDefault="00D24A7B" w:rsidP="00D24A7B">
      <w:pPr>
        <w:rPr>
          <w:lang w:val="pt-BR"/>
        </w:rPr>
      </w:pPr>
    </w:p>
    <w:p w14:paraId="60E92A8B" w14:textId="77777777" w:rsidR="00D24A7B" w:rsidRPr="006F0805" w:rsidRDefault="00D24A7B" w:rsidP="00D24A7B">
      <w:pPr>
        <w:pStyle w:val="Antrat2"/>
        <w:rPr>
          <w:rFonts w:ascii="Times New Roman" w:hAnsi="Times New Roman"/>
        </w:rPr>
      </w:pPr>
      <w:r w:rsidRPr="006F0805">
        <w:rPr>
          <w:rFonts w:ascii="Times New Roman" w:hAnsi="Times New Roman"/>
        </w:rPr>
        <w:t>Nėštumas ir žindymo laikotarpis</w:t>
      </w:r>
    </w:p>
    <w:p w14:paraId="6C120C22" w14:textId="77777777" w:rsidR="00D24A7B" w:rsidRPr="006F0805" w:rsidRDefault="00D24A7B" w:rsidP="00E6641A">
      <w:pPr>
        <w:keepNext/>
        <w:rPr>
          <w:lang w:val="pt-BR"/>
        </w:rPr>
      </w:pPr>
    </w:p>
    <w:p w14:paraId="0B6854F0" w14:textId="77777777" w:rsidR="0003797E" w:rsidRDefault="00D24A7B" w:rsidP="00D24A7B">
      <w:pPr>
        <w:rPr>
          <w:lang w:val="pt-BR"/>
        </w:rPr>
      </w:pPr>
      <w:r w:rsidRPr="006F0805">
        <w:rPr>
          <w:lang w:val="pt-BR"/>
        </w:rPr>
        <w:t>Neupogen poveikis nėščioms</w:t>
      </w:r>
      <w:r w:rsidR="0003797E">
        <w:rPr>
          <w:lang w:val="pt-BR"/>
        </w:rPr>
        <w:t xml:space="preserve"> ir žindančioms</w:t>
      </w:r>
      <w:r w:rsidRPr="006F0805">
        <w:rPr>
          <w:lang w:val="pt-BR"/>
        </w:rPr>
        <w:t xml:space="preserve"> moterims netirtas. </w:t>
      </w:r>
    </w:p>
    <w:p w14:paraId="3C8F33E9" w14:textId="77777777" w:rsidR="00B94E22" w:rsidRPr="00306AC1" w:rsidRDefault="00B94E22" w:rsidP="00B94E22"/>
    <w:p w14:paraId="5CC73860" w14:textId="77777777" w:rsidR="00B94E22" w:rsidRDefault="00B94E22" w:rsidP="00B94E22">
      <w:r>
        <w:t>Neupogen nerekomenduojama vartoti nėštumo metu.</w:t>
      </w:r>
    </w:p>
    <w:p w14:paraId="61CAA6B2" w14:textId="77777777" w:rsidR="0003797E" w:rsidRPr="00B94E22" w:rsidRDefault="0003797E" w:rsidP="00D24A7B"/>
    <w:p w14:paraId="3669E31D" w14:textId="77777777" w:rsidR="0003797E" w:rsidRDefault="00D24A7B" w:rsidP="00D24A7B">
      <w:pPr>
        <w:rPr>
          <w:lang w:val="pt-BR"/>
        </w:rPr>
      </w:pPr>
      <w:r w:rsidRPr="006F0805">
        <w:rPr>
          <w:lang w:val="pt-BR"/>
        </w:rPr>
        <w:t>Svarbu pasakyti gydytojui, jei</w:t>
      </w:r>
      <w:r w:rsidR="0003797E">
        <w:rPr>
          <w:lang w:val="pt-BR"/>
        </w:rPr>
        <w:t>:</w:t>
      </w:r>
    </w:p>
    <w:p w14:paraId="173AB152" w14:textId="77777777" w:rsidR="0003797E" w:rsidRDefault="00D24A7B" w:rsidP="003C2DF2">
      <w:pPr>
        <w:numPr>
          <w:ilvl w:val="0"/>
          <w:numId w:val="33"/>
        </w:numPr>
        <w:ind w:left="567" w:hanging="567"/>
        <w:rPr>
          <w:lang w:val="pt-BR"/>
        </w:rPr>
      </w:pPr>
      <w:r w:rsidRPr="006F0805">
        <w:rPr>
          <w:lang w:val="pt-BR"/>
        </w:rPr>
        <w:t>esate nėščia</w:t>
      </w:r>
      <w:r w:rsidR="006E2003">
        <w:rPr>
          <w:lang w:val="pt-BR"/>
        </w:rPr>
        <w:t xml:space="preserve"> arba žindote</w:t>
      </w:r>
      <w:r w:rsidR="00E42BD3">
        <w:rPr>
          <w:lang w:val="pt-BR"/>
        </w:rPr>
        <w:t>;</w:t>
      </w:r>
    </w:p>
    <w:p w14:paraId="41B14BD7" w14:textId="77777777" w:rsidR="0003797E" w:rsidRDefault="00D24A7B" w:rsidP="003C2DF2">
      <w:pPr>
        <w:numPr>
          <w:ilvl w:val="0"/>
          <w:numId w:val="33"/>
        </w:numPr>
        <w:ind w:left="567" w:hanging="567"/>
        <w:rPr>
          <w:lang w:val="pt-BR"/>
        </w:rPr>
      </w:pPr>
      <w:r w:rsidRPr="006F0805">
        <w:rPr>
          <w:lang w:val="pt-BR"/>
        </w:rPr>
        <w:t>manote, kad pastojote</w:t>
      </w:r>
      <w:r w:rsidR="00E42BD3">
        <w:rPr>
          <w:lang w:val="pt-BR"/>
        </w:rPr>
        <w:t>;</w:t>
      </w:r>
    </w:p>
    <w:p w14:paraId="49B741A9" w14:textId="77777777" w:rsidR="00D24A7B" w:rsidRPr="00414595" w:rsidRDefault="00D24A7B" w:rsidP="003C2DF2">
      <w:pPr>
        <w:numPr>
          <w:ilvl w:val="0"/>
          <w:numId w:val="33"/>
        </w:numPr>
        <w:ind w:left="567" w:hanging="567"/>
        <w:rPr>
          <w:lang w:val="pt-BR"/>
        </w:rPr>
      </w:pPr>
      <w:r w:rsidRPr="006F0805">
        <w:rPr>
          <w:lang w:val="pt-BR"/>
        </w:rPr>
        <w:t>ketinate pastoti</w:t>
      </w:r>
      <w:r w:rsidR="0003797E">
        <w:rPr>
          <w:lang w:val="pt-BR"/>
        </w:rPr>
        <w:t>.</w:t>
      </w:r>
    </w:p>
    <w:p w14:paraId="165EBFF9" w14:textId="77777777" w:rsidR="00D24A7B" w:rsidRPr="006F0805" w:rsidRDefault="00D24A7B" w:rsidP="00D24A7B">
      <w:pPr>
        <w:rPr>
          <w:lang w:val="pt-BR"/>
        </w:rPr>
      </w:pPr>
    </w:p>
    <w:p w14:paraId="4BF76330" w14:textId="3751A31D" w:rsidR="0003797E" w:rsidRDefault="0003797E" w:rsidP="0003797E">
      <w:r>
        <w:t>Jei gydymo Neupogen metu pastojote, praneškite gydytojui.</w:t>
      </w:r>
    </w:p>
    <w:p w14:paraId="6CA4F6F6" w14:textId="77777777" w:rsidR="0003797E" w:rsidRDefault="0003797E" w:rsidP="0003797E"/>
    <w:p w14:paraId="0FA322FF" w14:textId="77777777" w:rsidR="00B003B5" w:rsidRDefault="0003797E" w:rsidP="00D24A7B">
      <w:r>
        <w:t>Jei vartojate Neupogen, žindymą reikia nutraukti, nebent</w:t>
      </w:r>
      <w:r w:rsidRPr="00221F15">
        <w:t xml:space="preserve"> gydytojas </w:t>
      </w:r>
      <w:r>
        <w:t>nurodys elgtis kitaip</w:t>
      </w:r>
      <w:r w:rsidRPr="00221F15">
        <w:t>.</w:t>
      </w:r>
    </w:p>
    <w:p w14:paraId="00824C35" w14:textId="77777777" w:rsidR="00D24A7B" w:rsidRPr="006F0805" w:rsidRDefault="00D24A7B" w:rsidP="00D24A7B">
      <w:pPr>
        <w:rPr>
          <w:lang w:val="pt-BR"/>
        </w:rPr>
      </w:pPr>
    </w:p>
    <w:p w14:paraId="21B2503E" w14:textId="77777777" w:rsidR="00D24A7B" w:rsidRPr="006F0805" w:rsidRDefault="00D24A7B" w:rsidP="00D474EB">
      <w:pPr>
        <w:pStyle w:val="Antrat2"/>
        <w:rPr>
          <w:rFonts w:ascii="Times New Roman" w:hAnsi="Times New Roman"/>
        </w:rPr>
      </w:pPr>
      <w:r w:rsidRPr="006F0805">
        <w:rPr>
          <w:rFonts w:ascii="Times New Roman" w:hAnsi="Times New Roman"/>
        </w:rPr>
        <w:t>Vairavimas ir mechanizmų valdymas</w:t>
      </w:r>
    </w:p>
    <w:p w14:paraId="50BD1CD6" w14:textId="77777777" w:rsidR="00D24A7B" w:rsidRPr="006F0805" w:rsidRDefault="00D24A7B" w:rsidP="002E00F3">
      <w:pPr>
        <w:keepNext/>
        <w:rPr>
          <w:lang w:val="pt-BR"/>
        </w:rPr>
      </w:pPr>
    </w:p>
    <w:p w14:paraId="02081992" w14:textId="77777777" w:rsidR="00211E8A" w:rsidRPr="00361C46" w:rsidRDefault="00211E8A" w:rsidP="00211E8A">
      <w:pPr>
        <w:keepNext/>
      </w:pPr>
      <w:r w:rsidRPr="00361C46">
        <w:t xml:space="preserve">Neupogen </w:t>
      </w:r>
      <w:r>
        <w:t>sukelia silpną poveikį</w:t>
      </w:r>
      <w:r w:rsidRPr="00361C46">
        <w:t xml:space="preserve"> gebėjim</w:t>
      </w:r>
      <w:r>
        <w:t>ui</w:t>
      </w:r>
      <w:r w:rsidRPr="00361C46">
        <w:t xml:space="preserve"> vairuoti ir valdyti mechanizmus. </w:t>
      </w:r>
      <w:r>
        <w:t>Šis vaistas gali sukelti svaigulį. P</w:t>
      </w:r>
      <w:r w:rsidRPr="00361C46">
        <w:t>atartina po Neupogen pavartojimo ir prieš vairuojant ar valdant mechanizmus, palaukti ir pažiūrėti, kaip jaučiatės.</w:t>
      </w:r>
    </w:p>
    <w:p w14:paraId="0BC9AD57" w14:textId="77777777" w:rsidR="00D24A7B" w:rsidRPr="006F0805" w:rsidRDefault="00D24A7B" w:rsidP="00D24A7B">
      <w:pPr>
        <w:rPr>
          <w:lang w:val="pt-BR"/>
        </w:rPr>
      </w:pPr>
    </w:p>
    <w:p w14:paraId="530B9808" w14:textId="77777777" w:rsidR="00D24A7B" w:rsidRPr="00AE03B0" w:rsidRDefault="00D24A7B" w:rsidP="00D24A7B">
      <w:pPr>
        <w:pStyle w:val="Antrat2"/>
        <w:rPr>
          <w:rFonts w:ascii="Times New Roman" w:hAnsi="Times New Roman"/>
        </w:rPr>
      </w:pPr>
      <w:r w:rsidRPr="006F0805">
        <w:rPr>
          <w:rFonts w:ascii="Times New Roman" w:hAnsi="Times New Roman"/>
        </w:rPr>
        <w:t xml:space="preserve">Neupogen </w:t>
      </w:r>
      <w:r w:rsidR="00AC076B" w:rsidRPr="006F0805">
        <w:rPr>
          <w:rFonts w:ascii="Times New Roman" w:hAnsi="Times New Roman"/>
        </w:rPr>
        <w:t>sudėtyje yra natrio</w:t>
      </w:r>
    </w:p>
    <w:p w14:paraId="7ED448EE" w14:textId="77777777" w:rsidR="00D24A7B" w:rsidRPr="006F0805" w:rsidRDefault="00D24A7B" w:rsidP="00D24A7B">
      <w:pPr>
        <w:rPr>
          <w:lang w:val="pt-BR"/>
        </w:rPr>
      </w:pPr>
    </w:p>
    <w:p w14:paraId="30FEC1CE" w14:textId="77777777" w:rsidR="00D24A7B" w:rsidRPr="006F0805" w:rsidRDefault="00D24A7B" w:rsidP="00D24A7B">
      <w:pPr>
        <w:rPr>
          <w:lang w:val="pt-BR"/>
        </w:rPr>
      </w:pPr>
      <w:r w:rsidRPr="006F0805">
        <w:rPr>
          <w:lang w:val="pt-BR"/>
        </w:rPr>
        <w:t>Neupogen sudėtyje 0,6 mg/ml arba 0,96</w:t>
      </w:r>
      <w:r w:rsidR="00E42BD3">
        <w:rPr>
          <w:lang w:val="pt-BR"/>
        </w:rPr>
        <w:t> </w:t>
      </w:r>
      <w:r w:rsidRPr="006F0805">
        <w:rPr>
          <w:lang w:val="pt-BR"/>
        </w:rPr>
        <w:t>mg/ml dozėje yra mažiau nei 1</w:t>
      </w:r>
      <w:r w:rsidR="00E42BD3">
        <w:rPr>
          <w:lang w:val="pt-BR"/>
        </w:rPr>
        <w:t> </w:t>
      </w:r>
      <w:r w:rsidRPr="006F0805">
        <w:rPr>
          <w:lang w:val="pt-BR"/>
        </w:rPr>
        <w:t>mmol (23 mg) natrio, t.y. jis beveik neturi reikšmės.</w:t>
      </w:r>
    </w:p>
    <w:p w14:paraId="385DD2AE" w14:textId="77777777" w:rsidR="00D24A7B" w:rsidRPr="006F0805" w:rsidRDefault="00D24A7B" w:rsidP="00D24A7B">
      <w:pPr>
        <w:rPr>
          <w:lang w:val="pt-BR"/>
        </w:rPr>
      </w:pPr>
    </w:p>
    <w:p w14:paraId="026824B2" w14:textId="77777777" w:rsidR="006E2003" w:rsidRPr="006E2003" w:rsidRDefault="006E2003" w:rsidP="006E2003">
      <w:pPr>
        <w:keepNext/>
        <w:tabs>
          <w:tab w:val="left" w:pos="567"/>
        </w:tabs>
        <w:ind w:left="567" w:hanging="567"/>
        <w:outlineLvl w:val="1"/>
        <w:rPr>
          <w:rFonts w:eastAsia="PMingLiU"/>
          <w:b/>
          <w:noProof w:val="0"/>
          <w:szCs w:val="20"/>
          <w:lang w:eastAsia="x-none"/>
        </w:rPr>
      </w:pPr>
      <w:r w:rsidRPr="006E2003">
        <w:rPr>
          <w:rFonts w:eastAsia="PMingLiU"/>
          <w:b/>
          <w:noProof w:val="0"/>
          <w:szCs w:val="20"/>
          <w:lang w:eastAsia="x-none"/>
        </w:rPr>
        <w:t>Neupogen sudėtyje yra sorbitolio</w:t>
      </w:r>
    </w:p>
    <w:p w14:paraId="70547F14" w14:textId="77777777" w:rsidR="006E2003" w:rsidRPr="006E2003" w:rsidRDefault="006E2003" w:rsidP="006E2003">
      <w:pPr>
        <w:rPr>
          <w:noProof w:val="0"/>
          <w:lang w:eastAsia="x-none"/>
        </w:rPr>
      </w:pPr>
    </w:p>
    <w:p w14:paraId="749C07DE" w14:textId="77777777" w:rsidR="006E2003" w:rsidRPr="006E2003" w:rsidRDefault="006E2003" w:rsidP="006E2003">
      <w:pPr>
        <w:rPr>
          <w:noProof w:val="0"/>
          <w:lang w:eastAsia="x-none"/>
        </w:rPr>
      </w:pPr>
      <w:r w:rsidRPr="006E2003">
        <w:rPr>
          <w:noProof w:val="0"/>
          <w:lang w:eastAsia="x-none"/>
        </w:rPr>
        <w:t>Šio vaisto kiekviename ml yra 50 mg sorbitolio.</w:t>
      </w:r>
    </w:p>
    <w:p w14:paraId="20E6CC42" w14:textId="77777777" w:rsidR="006E2003" w:rsidRPr="006E2003" w:rsidRDefault="006E2003" w:rsidP="006E2003">
      <w:pPr>
        <w:rPr>
          <w:noProof w:val="0"/>
        </w:rPr>
      </w:pPr>
    </w:p>
    <w:p w14:paraId="5136B626" w14:textId="77777777" w:rsidR="006E2003" w:rsidRPr="006E2003" w:rsidRDefault="006E2003" w:rsidP="006E2003">
      <w:pPr>
        <w:rPr>
          <w:noProof w:val="0"/>
        </w:rPr>
      </w:pPr>
      <w:r w:rsidRPr="006E2003">
        <w:rPr>
          <w:noProof w:val="0"/>
        </w:rPr>
        <w:t>Sorbitolis yra fruktozės šaltinis. Jei Jums (arba Jūsų vaikui) yra retas genetinis sutrikimas – paveldimas fruktozės netoleravimas (PFN), Jums (arba Jūsų vaikui) šio vaisto vartoti negalima. Pacientai, kuriems yra PFN, negali skaidyti fruktozės, o tai gali sukelti sunkių nepageidaujamų reakcijų.</w:t>
      </w:r>
    </w:p>
    <w:p w14:paraId="3AF6B628" w14:textId="77777777" w:rsidR="006E2003" w:rsidRPr="006E2003" w:rsidRDefault="006E2003" w:rsidP="006E2003">
      <w:pPr>
        <w:rPr>
          <w:noProof w:val="0"/>
        </w:rPr>
      </w:pPr>
    </w:p>
    <w:p w14:paraId="25B6FB05" w14:textId="77777777" w:rsidR="006E2003" w:rsidRPr="006E2003" w:rsidRDefault="006E2003" w:rsidP="006E2003">
      <w:pPr>
        <w:rPr>
          <w:noProof w:val="0"/>
        </w:rPr>
      </w:pPr>
      <w:r w:rsidRPr="006E2003">
        <w:rPr>
          <w:noProof w:val="0"/>
        </w:rPr>
        <w:t>Prieš vartojant šį vaistą, pasakykite gydytojui, jeigu Jums (arba Jūsų vaikui) yra PFN arba Jūsų vaikas nebegali vartoti saldaus maisto ar gėrimų, nes jį pykina, jis vemia arba pasireiškia nemalonūs pojūčiai, tokie kaip pilvo pūtimas, skrandžio spazmai arba viduriavimas.</w:t>
      </w:r>
    </w:p>
    <w:p w14:paraId="77C8A42A" w14:textId="77777777" w:rsidR="00D24A7B" w:rsidRPr="006F0805" w:rsidRDefault="00D24A7B" w:rsidP="00D24A7B">
      <w:pPr>
        <w:rPr>
          <w:lang w:val="pt-BR"/>
        </w:rPr>
      </w:pPr>
    </w:p>
    <w:p w14:paraId="674EC5AF" w14:textId="77777777" w:rsidR="00D24A7B" w:rsidRPr="006F0805" w:rsidRDefault="00D24A7B" w:rsidP="00D24A7B">
      <w:pPr>
        <w:rPr>
          <w:lang w:val="pt-BR"/>
        </w:rPr>
      </w:pPr>
    </w:p>
    <w:p w14:paraId="5402B01A" w14:textId="77777777" w:rsidR="00D24A7B" w:rsidRPr="00AE03B0" w:rsidRDefault="00D24A7B" w:rsidP="002E2364">
      <w:pPr>
        <w:pStyle w:val="Antrat1"/>
        <w:tabs>
          <w:tab w:val="left" w:pos="567"/>
        </w:tabs>
        <w:ind w:left="567" w:hanging="567"/>
        <w:rPr>
          <w:rFonts w:ascii="Times New Roman" w:hAnsi="Times New Roman"/>
          <w:sz w:val="22"/>
          <w:szCs w:val="22"/>
        </w:rPr>
      </w:pPr>
      <w:r w:rsidRPr="006F0805">
        <w:rPr>
          <w:rFonts w:ascii="Times New Roman" w:hAnsi="Times New Roman"/>
          <w:sz w:val="22"/>
          <w:szCs w:val="22"/>
        </w:rPr>
        <w:t>3.</w:t>
      </w:r>
      <w:r w:rsidRPr="006F0805">
        <w:rPr>
          <w:rFonts w:ascii="Times New Roman" w:hAnsi="Times New Roman"/>
          <w:sz w:val="22"/>
          <w:szCs w:val="22"/>
        </w:rPr>
        <w:tab/>
      </w:r>
      <w:r w:rsidR="00AC076B" w:rsidRPr="006F0805">
        <w:rPr>
          <w:rFonts w:ascii="Times New Roman" w:hAnsi="Times New Roman"/>
          <w:sz w:val="22"/>
          <w:szCs w:val="22"/>
        </w:rPr>
        <w:t>Kaip vartoti Neupogen</w:t>
      </w:r>
    </w:p>
    <w:p w14:paraId="062AB402" w14:textId="77777777" w:rsidR="00D24A7B" w:rsidRPr="006F0805" w:rsidRDefault="00D24A7B" w:rsidP="00D24A7B">
      <w:pPr>
        <w:rPr>
          <w:lang w:val="pt-BR"/>
        </w:rPr>
      </w:pPr>
    </w:p>
    <w:p w14:paraId="2F486D0C" w14:textId="77777777" w:rsidR="00D24A7B" w:rsidRPr="006F0805" w:rsidRDefault="00AC076B" w:rsidP="00D24A7B">
      <w:pPr>
        <w:rPr>
          <w:lang w:val="pt-BR"/>
        </w:rPr>
      </w:pPr>
      <w:r w:rsidRPr="006F0805">
        <w:rPr>
          <w:lang w:val="pt-BR"/>
        </w:rPr>
        <w:t>V</w:t>
      </w:r>
      <w:r w:rsidR="00D24A7B" w:rsidRPr="00AE03B0">
        <w:rPr>
          <w:lang w:val="pt-BR"/>
        </w:rPr>
        <w:t>isada</w:t>
      </w:r>
      <w:r w:rsidR="00D24A7B" w:rsidRPr="006F0805">
        <w:rPr>
          <w:lang w:val="pt-BR"/>
        </w:rPr>
        <w:t xml:space="preserve"> vartokite </w:t>
      </w:r>
      <w:r w:rsidRPr="006F0805">
        <w:rPr>
          <w:lang w:val="pt-BR"/>
        </w:rPr>
        <w:t>šį vaistą</w:t>
      </w:r>
      <w:r w:rsidRPr="00AE03B0">
        <w:rPr>
          <w:lang w:val="pt-BR"/>
        </w:rPr>
        <w:t xml:space="preserve"> </w:t>
      </w:r>
      <w:r w:rsidR="00D24A7B" w:rsidRPr="006F0805">
        <w:rPr>
          <w:lang w:val="pt-BR"/>
        </w:rPr>
        <w:t xml:space="preserve">tiksliai kaip nurodė gydytojas. Jeigu abejojate, kreipkitės į gydytoją, slaugytoją arba vaistininką. </w:t>
      </w:r>
    </w:p>
    <w:p w14:paraId="088C214E" w14:textId="77777777" w:rsidR="00D24A7B" w:rsidRPr="006F0805" w:rsidRDefault="00D24A7B" w:rsidP="00D24A7B">
      <w:pPr>
        <w:tabs>
          <w:tab w:val="left" w:pos="567"/>
        </w:tabs>
        <w:rPr>
          <w:lang w:val="pt-BR"/>
        </w:rPr>
      </w:pPr>
    </w:p>
    <w:p w14:paraId="02E66CCE" w14:textId="77777777" w:rsidR="00D24A7B" w:rsidRPr="006F0805" w:rsidRDefault="00D24A7B" w:rsidP="00D24A7B">
      <w:pPr>
        <w:pStyle w:val="Antrat2"/>
        <w:keepLines/>
        <w:rPr>
          <w:rFonts w:ascii="Times New Roman" w:hAnsi="Times New Roman"/>
        </w:rPr>
      </w:pPr>
      <w:r w:rsidRPr="006F0805">
        <w:rPr>
          <w:rFonts w:ascii="Times New Roman" w:hAnsi="Times New Roman"/>
        </w:rPr>
        <w:t>Kaip vartojamas Neupogen ir kiek aš jo turiu vartoti?</w:t>
      </w:r>
    </w:p>
    <w:p w14:paraId="5CE8C88A" w14:textId="77777777" w:rsidR="00D24A7B" w:rsidRPr="006F0805" w:rsidRDefault="00D24A7B" w:rsidP="00D24A7B">
      <w:pPr>
        <w:keepNext/>
        <w:keepLines/>
        <w:rPr>
          <w:lang w:val="pt-BR"/>
        </w:rPr>
      </w:pPr>
    </w:p>
    <w:p w14:paraId="69624EB1" w14:textId="77777777" w:rsidR="00D24A7B" w:rsidRPr="006F0805" w:rsidRDefault="00D24A7B" w:rsidP="00D24A7B">
      <w:pPr>
        <w:keepNext/>
        <w:keepLines/>
        <w:rPr>
          <w:lang w:val="pt-BR"/>
        </w:rPr>
      </w:pPr>
      <w:r w:rsidRPr="006F0805">
        <w:rPr>
          <w:lang w:val="pt-BR"/>
        </w:rPr>
        <w:t>Neupogen paprastai kasdien švirkščiamas į audinį, kuris yra po oda (vadinama poodine injekcija). Jį taip pat kasdien galima lėtai švirkšti į veną (vadinama infuzija į veną). Įprastinė dozė gali būti įvairi, ji priklauso nuo Jūsų ligos ir kūno masės. Gydytojas pasakys, kiek Neupogen reikia vartoti.</w:t>
      </w:r>
    </w:p>
    <w:p w14:paraId="7B71D71B" w14:textId="77777777" w:rsidR="00D24A7B" w:rsidRDefault="00D24A7B" w:rsidP="00D24A7B">
      <w:pPr>
        <w:rPr>
          <w:lang w:val="pt-BR"/>
        </w:rPr>
      </w:pPr>
    </w:p>
    <w:p w14:paraId="59561BD8" w14:textId="77777777" w:rsidR="008D685A" w:rsidRPr="00A50E4D" w:rsidRDefault="008D685A" w:rsidP="00306AC1">
      <w:pPr>
        <w:keepNext/>
        <w:rPr>
          <w:iCs/>
        </w:rPr>
      </w:pPr>
      <w:r w:rsidRPr="00A50E4D">
        <w:rPr>
          <w:rStyle w:val="hps"/>
        </w:rPr>
        <w:lastRenderedPageBreak/>
        <w:t>Pacientai</w:t>
      </w:r>
      <w:r w:rsidRPr="00A50E4D">
        <w:t>, kuri</w:t>
      </w:r>
      <w:r w:rsidRPr="00BC6898">
        <w:t xml:space="preserve">ems po chemoterapijos buvo atlikta </w:t>
      </w:r>
      <w:r w:rsidRPr="00BC6898">
        <w:rPr>
          <w:rStyle w:val="hps"/>
        </w:rPr>
        <w:t>kaulų</w:t>
      </w:r>
      <w:r w:rsidRPr="00A50E4D">
        <w:t xml:space="preserve"> </w:t>
      </w:r>
      <w:r w:rsidRPr="00A50E4D">
        <w:rPr>
          <w:rStyle w:val="hps"/>
        </w:rPr>
        <w:t>čiulpų transplantacija</w:t>
      </w:r>
      <w:r w:rsidRPr="00A50E4D">
        <w:rPr>
          <w:iCs/>
        </w:rPr>
        <w:t xml:space="preserve">: </w:t>
      </w:r>
    </w:p>
    <w:p w14:paraId="5777232E" w14:textId="77777777" w:rsidR="008D685A" w:rsidRPr="00A50E4D" w:rsidRDefault="008D685A" w:rsidP="008D685A">
      <w:pPr>
        <w:rPr>
          <w:lang w:val="pt-BR"/>
        </w:rPr>
      </w:pPr>
      <w:r w:rsidRPr="00A50E4D">
        <w:rPr>
          <w:lang w:val="pt-BR"/>
        </w:rPr>
        <w:t>Pirmoji</w:t>
      </w:r>
      <w:r w:rsidRPr="00BC6898">
        <w:rPr>
          <w:lang w:val="pt-BR"/>
        </w:rPr>
        <w:t xml:space="preserve"> Neupogen dozė </w:t>
      </w:r>
      <w:r w:rsidRPr="00A50E4D">
        <w:rPr>
          <w:lang w:val="pt-BR"/>
        </w:rPr>
        <w:t>Jums bus paskirta praėjus mažiausiai 24</w:t>
      </w:r>
      <w:r w:rsidR="005E4BE6">
        <w:rPr>
          <w:lang w:val="pt-BR"/>
        </w:rPr>
        <w:t> </w:t>
      </w:r>
      <w:r w:rsidRPr="00A50E4D">
        <w:rPr>
          <w:lang w:val="pt-BR"/>
        </w:rPr>
        <w:t>valandoms po chemoterapijos ir mažiausiai 24</w:t>
      </w:r>
      <w:r w:rsidR="005E4BE6">
        <w:rPr>
          <w:lang w:val="pt-BR"/>
        </w:rPr>
        <w:t> </w:t>
      </w:r>
      <w:r w:rsidRPr="00A50E4D">
        <w:rPr>
          <w:lang w:val="pt-BR"/>
        </w:rPr>
        <w:t xml:space="preserve">valandoms po kaulų čiulpų </w:t>
      </w:r>
      <w:r w:rsidR="003824FF">
        <w:rPr>
          <w:lang w:val="pt-BR"/>
        </w:rPr>
        <w:t>transplantacijos</w:t>
      </w:r>
      <w:r w:rsidRPr="00A50E4D">
        <w:rPr>
          <w:lang w:val="pt-BR"/>
        </w:rPr>
        <w:t>.</w:t>
      </w:r>
      <w:r>
        <w:rPr>
          <w:lang w:val="pt-BR"/>
        </w:rPr>
        <w:t xml:space="preserve"> </w:t>
      </w:r>
    </w:p>
    <w:p w14:paraId="108D8344" w14:textId="77777777" w:rsidR="008D685A" w:rsidRPr="006F0805" w:rsidRDefault="008D685A" w:rsidP="00D24A7B">
      <w:pPr>
        <w:rPr>
          <w:lang w:val="pt-BR"/>
        </w:rPr>
      </w:pPr>
    </w:p>
    <w:p w14:paraId="1FF17C3B" w14:textId="77777777" w:rsidR="00D24A7B" w:rsidRPr="00AE03B0" w:rsidRDefault="00D24A7B" w:rsidP="00D24A7B">
      <w:pPr>
        <w:rPr>
          <w:lang w:val="pt-BR"/>
        </w:rPr>
      </w:pPr>
      <w:r w:rsidRPr="006F0805">
        <w:rPr>
          <w:lang w:val="pt-BR"/>
        </w:rPr>
        <w:t>Jus, ar Jus prižiūrinčius asmenius, gali išmokyti, kaip atlikti poodinę injekciją, kad galėtumėte tęsti paskirtą gydymą namuose. Tačiau, nebandykite vaisto vartoti patys, kol Jūsų tinkamai neišmokė</w:t>
      </w:r>
      <w:r w:rsidR="00AC076B" w:rsidRPr="006F0805">
        <w:t xml:space="preserve"> sveikatos priežiūros specialistas</w:t>
      </w:r>
      <w:r w:rsidRPr="00AE03B0">
        <w:rPr>
          <w:lang w:val="pt-BR"/>
        </w:rPr>
        <w:t>.</w:t>
      </w:r>
    </w:p>
    <w:p w14:paraId="0E37A393" w14:textId="77777777" w:rsidR="00D24A7B" w:rsidRPr="006F0805" w:rsidRDefault="00D24A7B" w:rsidP="00D24A7B">
      <w:pPr>
        <w:pStyle w:val="Antrat2"/>
        <w:rPr>
          <w:rFonts w:ascii="Times New Roman" w:hAnsi="Times New Roman"/>
        </w:rPr>
      </w:pPr>
    </w:p>
    <w:p w14:paraId="078B0477" w14:textId="77777777" w:rsidR="00D24A7B" w:rsidRPr="006F0805" w:rsidRDefault="00D24A7B" w:rsidP="00D24A7B">
      <w:pPr>
        <w:pStyle w:val="Antrat2"/>
        <w:rPr>
          <w:rFonts w:ascii="Times New Roman" w:hAnsi="Times New Roman"/>
        </w:rPr>
      </w:pPr>
      <w:r w:rsidRPr="006F0805">
        <w:rPr>
          <w:rFonts w:ascii="Times New Roman" w:hAnsi="Times New Roman"/>
        </w:rPr>
        <w:t>Kiek laiko reikės vartoti Neupogen?</w:t>
      </w:r>
    </w:p>
    <w:p w14:paraId="7B36F656" w14:textId="77777777" w:rsidR="00D24A7B" w:rsidRPr="006F0805" w:rsidRDefault="00D24A7B" w:rsidP="00D24A7B">
      <w:pPr>
        <w:rPr>
          <w:lang w:val="pt-BR"/>
        </w:rPr>
      </w:pPr>
    </w:p>
    <w:p w14:paraId="0695286C" w14:textId="77777777" w:rsidR="00D24A7B" w:rsidRPr="006F0805" w:rsidRDefault="00D24A7B" w:rsidP="00D24A7B">
      <w:pPr>
        <w:rPr>
          <w:lang w:val="pt-BR"/>
        </w:rPr>
      </w:pPr>
      <w:r w:rsidRPr="006F0805">
        <w:rPr>
          <w:lang w:val="pt-BR"/>
        </w:rPr>
        <w:t>Neupogen reikės vartoti tol, kol baltųjų kraujo ląstelių kiekis pasidarys normalus. Reguliariai bus atliekami kraujo tyrimai, kad būtų galima stebėti baltųjų kraujo ląstelių kiekį. Gydytojas pasakys, kiek laiko reikės vartoti Neupogen.</w:t>
      </w:r>
    </w:p>
    <w:p w14:paraId="233C6F5C" w14:textId="77777777" w:rsidR="00D24A7B" w:rsidRPr="006F0805" w:rsidRDefault="00D24A7B" w:rsidP="00D24A7B">
      <w:pPr>
        <w:rPr>
          <w:lang w:val="pt-BR"/>
        </w:rPr>
      </w:pPr>
    </w:p>
    <w:p w14:paraId="6088D1C5" w14:textId="77777777" w:rsidR="00D24A7B" w:rsidRPr="00AE03B0" w:rsidRDefault="00AC076B" w:rsidP="00D24A7B">
      <w:pPr>
        <w:pStyle w:val="Antrat2"/>
        <w:rPr>
          <w:rFonts w:ascii="Times New Roman" w:hAnsi="Times New Roman"/>
        </w:rPr>
      </w:pPr>
      <w:r w:rsidRPr="006F0805">
        <w:rPr>
          <w:rFonts w:ascii="Times New Roman" w:hAnsi="Times New Roman"/>
        </w:rPr>
        <w:t>Vartojimas vaikams</w:t>
      </w:r>
    </w:p>
    <w:p w14:paraId="7BE458FD" w14:textId="77777777" w:rsidR="00D24A7B" w:rsidRPr="006F0805" w:rsidRDefault="00D24A7B" w:rsidP="00D24A7B">
      <w:pPr>
        <w:rPr>
          <w:lang w:val="pt-BR"/>
        </w:rPr>
      </w:pPr>
    </w:p>
    <w:p w14:paraId="0236EDBB" w14:textId="77777777" w:rsidR="00D24A7B" w:rsidRPr="00AE03B0" w:rsidRDefault="00D24A7B" w:rsidP="00D24A7B">
      <w:pPr>
        <w:rPr>
          <w:lang w:val="pt-BR"/>
        </w:rPr>
      </w:pPr>
      <w:r w:rsidRPr="006F0805">
        <w:rPr>
          <w:lang w:val="pt-BR"/>
        </w:rPr>
        <w:t>Neupogen skiriamas vaikų, kurie gydomi chemoterapija ar kuriems nustatytas labai mažas baltųjų kraujo ląstelių kiekis (neutropenija), gydymui. Dozavimo rekomendacijos vaikams</w:t>
      </w:r>
      <w:r w:rsidR="00AC076B" w:rsidRPr="006F0805">
        <w:rPr>
          <w:lang w:val="pt-BR"/>
        </w:rPr>
        <w:t xml:space="preserve">, </w:t>
      </w:r>
      <w:r w:rsidR="00AC076B" w:rsidRPr="006F0805">
        <w:t>kuriems taikoma chemoterapija,</w:t>
      </w:r>
      <w:r w:rsidRPr="00AE03B0">
        <w:rPr>
          <w:lang w:val="pt-BR"/>
        </w:rPr>
        <w:t xml:space="preserve"> yra tokios pačios, kaip suaugusiems.</w:t>
      </w:r>
    </w:p>
    <w:p w14:paraId="104AD051" w14:textId="77777777" w:rsidR="00D24A7B" w:rsidRPr="006F0805" w:rsidRDefault="00D24A7B" w:rsidP="00D24A7B">
      <w:pPr>
        <w:rPr>
          <w:lang w:val="pt-BR"/>
        </w:rPr>
      </w:pPr>
    </w:p>
    <w:p w14:paraId="21265B71" w14:textId="77777777" w:rsidR="00211E8A" w:rsidRPr="00361C46" w:rsidRDefault="00211E8A" w:rsidP="00211E8A">
      <w:pPr>
        <w:pStyle w:val="Antrat2"/>
        <w:rPr>
          <w:rFonts w:ascii="Times New Roman" w:hAnsi="Times New Roman"/>
        </w:rPr>
      </w:pPr>
      <w:r>
        <w:rPr>
          <w:rFonts w:ascii="Times New Roman" w:hAnsi="Times New Roman"/>
        </w:rPr>
        <w:t>Ką daryti p</w:t>
      </w:r>
      <w:r w:rsidRPr="00361C46">
        <w:rPr>
          <w:rFonts w:ascii="Times New Roman" w:hAnsi="Times New Roman"/>
        </w:rPr>
        <w:t>avartojus per didelę Neupogen dozę</w:t>
      </w:r>
      <w:r>
        <w:rPr>
          <w:rFonts w:ascii="Times New Roman" w:hAnsi="Times New Roman"/>
        </w:rPr>
        <w:t>?</w:t>
      </w:r>
    </w:p>
    <w:p w14:paraId="578EC861" w14:textId="77777777" w:rsidR="00D24A7B" w:rsidRPr="006F0805" w:rsidRDefault="00D24A7B" w:rsidP="00D24A7B">
      <w:pPr>
        <w:rPr>
          <w:lang w:val="pt-BR"/>
        </w:rPr>
      </w:pPr>
    </w:p>
    <w:p w14:paraId="1BAA1246" w14:textId="77777777" w:rsidR="00D24A7B" w:rsidRPr="006F0805" w:rsidRDefault="00D24A7B" w:rsidP="00D24A7B">
      <w:pPr>
        <w:rPr>
          <w:lang w:val="pt-BR"/>
        </w:rPr>
      </w:pPr>
      <w:r w:rsidRPr="006F0805">
        <w:rPr>
          <w:lang w:val="pt-BR"/>
        </w:rPr>
        <w:t xml:space="preserve">Nevartokite didesnės dozės už tą, kurią paskyrė gydytojas. Jei manote, kad įsišvirkštėte didesnę dozę, nei reikia, kuo greičiau kreipkitės į gydytoją. </w:t>
      </w:r>
    </w:p>
    <w:p w14:paraId="668BC385" w14:textId="77777777" w:rsidR="00D24A7B" w:rsidRPr="006F0805" w:rsidRDefault="00D24A7B" w:rsidP="00D24A7B">
      <w:pPr>
        <w:rPr>
          <w:lang w:val="pt-BR"/>
        </w:rPr>
      </w:pPr>
    </w:p>
    <w:p w14:paraId="1AD8B915" w14:textId="77777777" w:rsidR="00D24A7B" w:rsidRPr="006F0805" w:rsidRDefault="00D24A7B" w:rsidP="00D24A7B">
      <w:pPr>
        <w:pStyle w:val="Antrat2"/>
        <w:rPr>
          <w:rFonts w:ascii="Times New Roman" w:hAnsi="Times New Roman"/>
        </w:rPr>
      </w:pPr>
      <w:r w:rsidRPr="006F0805">
        <w:rPr>
          <w:rFonts w:ascii="Times New Roman" w:hAnsi="Times New Roman"/>
        </w:rPr>
        <w:t>Pamiršus pavartoti Neupogen</w:t>
      </w:r>
    </w:p>
    <w:p w14:paraId="07412676" w14:textId="77777777" w:rsidR="00D24A7B" w:rsidRPr="006F0805" w:rsidRDefault="00D24A7B" w:rsidP="00D24A7B">
      <w:pPr>
        <w:rPr>
          <w:lang w:val="pt-BR"/>
        </w:rPr>
      </w:pPr>
    </w:p>
    <w:p w14:paraId="696D2973" w14:textId="77777777" w:rsidR="00D24A7B" w:rsidRPr="006F0805" w:rsidRDefault="00D24A7B" w:rsidP="00D24A7B">
      <w:pPr>
        <w:rPr>
          <w:lang w:val="pt-BR"/>
        </w:rPr>
      </w:pPr>
      <w:r w:rsidRPr="006F0805">
        <w:rPr>
          <w:lang w:val="pt-BR"/>
        </w:rPr>
        <w:t>Jei praleidote injekciją arba jei įsišvirkštėte per mažai vaisto, kuo greičiau kreipkitės į gydytoją. Negalima vartoti dvigubos dozės norint kompensuoti praleistą dozę.</w:t>
      </w:r>
    </w:p>
    <w:p w14:paraId="1BDBFD8B" w14:textId="77777777" w:rsidR="00D24A7B" w:rsidRPr="006F0805" w:rsidRDefault="00D24A7B" w:rsidP="00D24A7B">
      <w:pPr>
        <w:rPr>
          <w:lang w:val="pt-BR"/>
        </w:rPr>
      </w:pPr>
    </w:p>
    <w:p w14:paraId="619A6C06" w14:textId="77777777" w:rsidR="00D24A7B" w:rsidRPr="006F0805" w:rsidRDefault="00D24A7B" w:rsidP="00D24A7B">
      <w:pPr>
        <w:rPr>
          <w:lang w:val="pt-BR"/>
        </w:rPr>
      </w:pPr>
      <w:r w:rsidRPr="006F0805">
        <w:rPr>
          <w:lang w:val="pt-BR"/>
        </w:rPr>
        <w:t>Jeigu kiltų daugiau klausimų dėl šio vaisto vartojimo, kreipkitės į gydytoją, slaugytoją arba vaistininką.</w:t>
      </w:r>
    </w:p>
    <w:p w14:paraId="7C2F1AA9" w14:textId="77777777" w:rsidR="00D24A7B" w:rsidRPr="006F0805" w:rsidRDefault="00D24A7B" w:rsidP="00D24A7B">
      <w:pPr>
        <w:rPr>
          <w:lang w:val="pt-BR"/>
        </w:rPr>
      </w:pPr>
    </w:p>
    <w:p w14:paraId="361EC898" w14:textId="77777777" w:rsidR="00D24A7B" w:rsidRPr="006F0805" w:rsidRDefault="00D24A7B" w:rsidP="00D24A7B">
      <w:pPr>
        <w:rPr>
          <w:lang w:val="pt-BR"/>
        </w:rPr>
      </w:pPr>
    </w:p>
    <w:p w14:paraId="56024B28" w14:textId="77777777" w:rsidR="00211E8A" w:rsidRPr="007240E0" w:rsidRDefault="00211E8A" w:rsidP="002E2364">
      <w:pPr>
        <w:pStyle w:val="Antrat1"/>
        <w:ind w:left="567" w:hanging="567"/>
        <w:rPr>
          <w:sz w:val="22"/>
        </w:rPr>
      </w:pPr>
      <w:r w:rsidRPr="007240E0">
        <w:rPr>
          <w:sz w:val="22"/>
        </w:rPr>
        <w:t>4.</w:t>
      </w:r>
      <w:r w:rsidRPr="007240E0">
        <w:rPr>
          <w:sz w:val="22"/>
        </w:rPr>
        <w:tab/>
        <w:t>Galimas šalutinis poveikis</w:t>
      </w:r>
    </w:p>
    <w:p w14:paraId="310A1280" w14:textId="77777777" w:rsidR="00B94E22" w:rsidRDefault="00B94E22" w:rsidP="00B94E22"/>
    <w:p w14:paraId="6A749196" w14:textId="77777777" w:rsidR="00B94E22" w:rsidRDefault="00B94E22" w:rsidP="00B94E22">
      <w:r>
        <w:t>Šis vaistas, kaip ir visi kiti, gali sukelti šalutinį poveikį, nors jis pasireiškia ne visiems žmonėms.</w:t>
      </w:r>
    </w:p>
    <w:p w14:paraId="15022693" w14:textId="77777777" w:rsidR="00211E8A" w:rsidRPr="00361C46" w:rsidRDefault="00211E8A" w:rsidP="00211E8A"/>
    <w:p w14:paraId="0E8E8B47" w14:textId="77777777" w:rsidR="00211E8A" w:rsidRPr="00361C46" w:rsidRDefault="00211E8A" w:rsidP="00211E8A">
      <w:r w:rsidRPr="00361C46">
        <w:rPr>
          <w:b/>
          <w:bCs/>
        </w:rPr>
        <w:t>Nedelsdami kreipkitės į gydytoją</w:t>
      </w:r>
      <w:r w:rsidRPr="00361C46">
        <w:rPr>
          <w:bCs/>
        </w:rPr>
        <w:t>,</w:t>
      </w:r>
      <w:r w:rsidRPr="00361C46">
        <w:t xml:space="preserve"> jei gydymo metu:</w:t>
      </w:r>
    </w:p>
    <w:p w14:paraId="0D81ED46" w14:textId="77777777" w:rsidR="00211E8A" w:rsidRPr="00361C46" w:rsidRDefault="00211E8A" w:rsidP="00211E8A">
      <w:pPr>
        <w:numPr>
          <w:ilvl w:val="0"/>
          <w:numId w:val="22"/>
        </w:numPr>
        <w:ind w:left="567" w:hanging="567"/>
      </w:pPr>
      <w:r w:rsidRPr="00361C46">
        <w:t>pasireiškė alerginės reakcijos, pvz., atsirado silpnumas, sumažėjo kraujospūdis, pasireiškė apsunkintas kvėpavimas, veido patinimas (anafilaksija), odos bėrimas, niežtintis bėrimas (dilgėlinė), lūpų, burnos, liežuvio ir gerklės patinimas (angioedema) bei dusulys (dispnėja);</w:t>
      </w:r>
    </w:p>
    <w:p w14:paraId="4C785F09" w14:textId="77777777" w:rsidR="00211E8A" w:rsidRPr="00361C46" w:rsidRDefault="00211E8A" w:rsidP="00211E8A">
      <w:pPr>
        <w:numPr>
          <w:ilvl w:val="0"/>
          <w:numId w:val="4"/>
        </w:numPr>
      </w:pPr>
      <w:r w:rsidRPr="00361C46">
        <w:t>pradėjote kosėti, karščiuoti ir dusti, kadangi tai gali būti ūmini</w:t>
      </w:r>
      <w:r w:rsidR="00300C28">
        <w:t>o</w:t>
      </w:r>
      <w:r w:rsidRPr="00361C46">
        <w:t xml:space="preserve"> </w:t>
      </w:r>
      <w:r w:rsidR="00300C28">
        <w:t>respiracinio</w:t>
      </w:r>
      <w:r w:rsidRPr="00361C46">
        <w:t xml:space="preserve"> distreso sindromo (Ū</w:t>
      </w:r>
      <w:r w:rsidR="00300C28">
        <w:t>R</w:t>
      </w:r>
      <w:r w:rsidRPr="00361C46">
        <w:t xml:space="preserve">DS) požymiai; </w:t>
      </w:r>
    </w:p>
    <w:p w14:paraId="40E2B67C" w14:textId="77777777" w:rsidR="00211E8A" w:rsidRDefault="00211E8A" w:rsidP="00211E8A">
      <w:pPr>
        <w:numPr>
          <w:ilvl w:val="0"/>
          <w:numId w:val="4"/>
        </w:numPr>
      </w:pPr>
      <w:r w:rsidRPr="00361C46">
        <w:t>pasireiškė inkstų pažaidos simptomai (glomerulonefritas). Neupogen vartojusiems pacientams nustatyti inkstų pažaidos simptomai. Nedelsiant pasakykite gydytojui, jeigu atsirado veido ar čiurnų paburkimas, kraujas šlapime, šlapimas tapo rudos spalvos arba pastebėjote, kad šlapimo kiekis tapo mažesnis nei įprastai</w:t>
      </w:r>
      <w:r>
        <w:t>;</w:t>
      </w:r>
    </w:p>
    <w:p w14:paraId="547F8132" w14:textId="77777777" w:rsidR="00211E8A" w:rsidRPr="00361C46" w:rsidRDefault="00211E8A" w:rsidP="00211E8A">
      <w:pPr>
        <w:pStyle w:val="lblbullet"/>
        <w:numPr>
          <w:ilvl w:val="0"/>
          <w:numId w:val="4"/>
        </w:numPr>
        <w:rPr>
          <w:szCs w:val="22"/>
          <w:lang w:val="lt-LT"/>
        </w:rPr>
      </w:pPr>
      <w:r w:rsidRPr="00361C46">
        <w:rPr>
          <w:rStyle w:val="hps"/>
          <w:lang w:val="lt-LT"/>
        </w:rPr>
        <w:t>jei jums pasireiškė</w:t>
      </w:r>
      <w:r w:rsidRPr="00361C46">
        <w:rPr>
          <w:lang w:val="lt-LT"/>
        </w:rPr>
        <w:t xml:space="preserve"> </w:t>
      </w:r>
      <w:r w:rsidRPr="00361C46">
        <w:rPr>
          <w:rStyle w:val="hps"/>
          <w:lang w:val="lt-LT"/>
        </w:rPr>
        <w:t>bet</w:t>
      </w:r>
      <w:r w:rsidRPr="00361C46">
        <w:rPr>
          <w:lang w:val="lt-LT"/>
        </w:rPr>
        <w:t xml:space="preserve"> </w:t>
      </w:r>
      <w:r w:rsidRPr="00361C46">
        <w:rPr>
          <w:rStyle w:val="hps"/>
          <w:lang w:val="lt-LT"/>
        </w:rPr>
        <w:t>kuris iš šių</w:t>
      </w:r>
      <w:r w:rsidRPr="00361C46">
        <w:rPr>
          <w:lang w:val="lt-LT"/>
        </w:rPr>
        <w:t xml:space="preserve"> </w:t>
      </w:r>
      <w:r w:rsidRPr="00361C46">
        <w:rPr>
          <w:rStyle w:val="hps"/>
          <w:lang w:val="lt-LT"/>
        </w:rPr>
        <w:t>šalutinių poveikių arba jų derinys:</w:t>
      </w:r>
    </w:p>
    <w:p w14:paraId="3A8C4650" w14:textId="77777777" w:rsidR="00211E8A" w:rsidRPr="00361C46" w:rsidRDefault="00211E8A" w:rsidP="00211E8A">
      <w:pPr>
        <w:numPr>
          <w:ilvl w:val="1"/>
          <w:numId w:val="4"/>
        </w:numPr>
        <w:tabs>
          <w:tab w:val="left" w:pos="1134"/>
        </w:tabs>
        <w:ind w:left="1134" w:hanging="567"/>
      </w:pPr>
      <w:r w:rsidRPr="00361C46">
        <w:t>pabrinkimas ar apimties padidėjimas, kuris gali būti siejamas su retesniu šlapinimusi, apsunkintu kvėpavimu, pilvo apimties padidėjimu ir pilnumo jausmu bei bendru nuovargiu. Šie simptomai paprastai vystosi greitai.</w:t>
      </w:r>
    </w:p>
    <w:p w14:paraId="32723B29" w14:textId="77777777" w:rsidR="006E2003" w:rsidRDefault="00211E8A" w:rsidP="00211E8A">
      <w:pPr>
        <w:ind w:left="567"/>
      </w:pPr>
      <w:r w:rsidRPr="00361C46">
        <w:t xml:space="preserve">Šie simptomai gali būti būklės, vadinamos </w:t>
      </w:r>
      <w:r>
        <w:t>„</w:t>
      </w:r>
      <w:r w:rsidRPr="00361C46">
        <w:t>kapiliarų pralaidumo sindromu</w:t>
      </w:r>
      <w:r>
        <w:t>“</w:t>
      </w:r>
      <w:r w:rsidRPr="00361C46">
        <w:t>, kurios metu atsiranda kraujo nuotėkis iš smulkiųjų kraujagyslių į kūno audinius</w:t>
      </w:r>
      <w:r>
        <w:t>, simptomai</w:t>
      </w:r>
      <w:r w:rsidRPr="00361C46">
        <w:t>. Tokiai būklei suvaldyti reikalinga skubi medicininė pagalba</w:t>
      </w:r>
      <w:r>
        <w:t>;</w:t>
      </w:r>
    </w:p>
    <w:p w14:paraId="63547466" w14:textId="77777777" w:rsidR="006E2003" w:rsidRPr="006E2003" w:rsidRDefault="006E2003" w:rsidP="00306AC1">
      <w:pPr>
        <w:keepNext/>
        <w:numPr>
          <w:ilvl w:val="0"/>
          <w:numId w:val="22"/>
        </w:numPr>
        <w:ind w:left="567" w:hanging="567"/>
        <w:rPr>
          <w:noProof w:val="0"/>
        </w:rPr>
      </w:pPr>
      <w:r w:rsidRPr="006E2003">
        <w:rPr>
          <w:noProof w:val="0"/>
        </w:rPr>
        <w:lastRenderedPageBreak/>
        <w:t>jei pasireiškė bet kuris iš šių simptomų arba jų derinys:</w:t>
      </w:r>
    </w:p>
    <w:p w14:paraId="3A026B76" w14:textId="77777777" w:rsidR="006E2003" w:rsidRPr="006E2003" w:rsidRDefault="006E2003" w:rsidP="006E2003">
      <w:pPr>
        <w:ind w:left="1134" w:hanging="567"/>
        <w:rPr>
          <w:noProof w:val="0"/>
        </w:rPr>
      </w:pPr>
      <w:r w:rsidRPr="006E2003">
        <w:rPr>
          <w:noProof w:val="0"/>
        </w:rPr>
        <w:t>-</w:t>
      </w:r>
      <w:r w:rsidRPr="006E2003">
        <w:rPr>
          <w:noProof w:val="0"/>
        </w:rPr>
        <w:tab/>
        <w:t>karščiavimas, drebulys, šaltkrėtis, dažnas širdies plakimas, sumišimas arba orientacijos praradimas, dusulys, stiprus skausmas arba nemalonus pojūtis ir lipni prakaituota oda.</w:t>
      </w:r>
    </w:p>
    <w:p w14:paraId="09E151C1" w14:textId="77777777" w:rsidR="00211E8A" w:rsidRPr="00361C46" w:rsidRDefault="006E2003" w:rsidP="00B02F24">
      <w:pPr>
        <w:ind w:left="567"/>
      </w:pPr>
      <w:r w:rsidRPr="006E2003">
        <w:rPr>
          <w:noProof w:val="0"/>
        </w:rPr>
        <w:t>Šie simptomai gali būti būklės, vadinamos sepsiu (dar vadinama kraujo užkrėtimu) požymiai. Tai yra sunki infekcija, pasireiškianti kaip viso kūno uždegiminis atsakas, kuris gali būti pavojingas gyvybei ir reikalinga skubi medicininė pagalba.</w:t>
      </w:r>
    </w:p>
    <w:p w14:paraId="240A2252" w14:textId="77777777" w:rsidR="00211E8A" w:rsidRPr="00361C46" w:rsidRDefault="00211E8A" w:rsidP="00211E8A">
      <w:pPr>
        <w:numPr>
          <w:ilvl w:val="0"/>
          <w:numId w:val="4"/>
        </w:numPr>
      </w:pPr>
      <w:r w:rsidRPr="00361C46">
        <w:t>pradėjo skaudėti kairiąją viršutinę pilvo dalį, žemiau kairiojo šonkaulių lanko ar viršutinę peties dalį, kadangi gali būti blužnies sutrikimų (blužnies padidėjimas (splenomegalija) arba blužnies plyšimas)</w:t>
      </w:r>
      <w:r>
        <w:t>;</w:t>
      </w:r>
    </w:p>
    <w:p w14:paraId="33D36906" w14:textId="77777777" w:rsidR="00211E8A" w:rsidRPr="00361C46" w:rsidRDefault="00211E8A" w:rsidP="00211E8A">
      <w:pPr>
        <w:pStyle w:val="lblbullet"/>
        <w:numPr>
          <w:ilvl w:val="0"/>
          <w:numId w:val="4"/>
        </w:numPr>
        <w:rPr>
          <w:lang w:val="lt-LT"/>
        </w:rPr>
      </w:pPr>
      <w:r w:rsidRPr="00361C46">
        <w:rPr>
          <w:lang w:val="lt-LT"/>
        </w:rPr>
        <w:t>jeigu Jūs esate gydomas nuo sunkios lėtinės neutropenijos ir Jūsų šlapime randama kraujo (hematurija). Jūsų gydytojas gali reguliariai atlikti šlapimo tyrimus, jeigu Jums pasireiškia šis šalutinis poveikis arba šlapime randama baltymų (proteinurija).</w:t>
      </w:r>
    </w:p>
    <w:p w14:paraId="5070DEB9" w14:textId="77777777" w:rsidR="00211E8A" w:rsidRPr="00361C46" w:rsidRDefault="00211E8A" w:rsidP="00211E8A">
      <w:pPr>
        <w:autoSpaceDE w:val="0"/>
        <w:autoSpaceDN w:val="0"/>
        <w:adjustRightInd w:val="0"/>
      </w:pPr>
    </w:p>
    <w:p w14:paraId="151D4D5B" w14:textId="77777777" w:rsidR="00211E8A" w:rsidRDefault="00211E8A" w:rsidP="00211E8A">
      <w:pPr>
        <w:autoSpaceDE w:val="0"/>
        <w:autoSpaceDN w:val="0"/>
        <w:adjustRightInd w:val="0"/>
      </w:pPr>
      <w:r>
        <w:t>D</w:t>
      </w:r>
      <w:r w:rsidRPr="00361C46">
        <w:t>ažnas šalutinis Neupogen poveikis yra raumenų ar kaulų skausmas, kurį gali numalšinti įprasti vaistai nuo skausmo (analgetikai). Pacientams, kuriems atliekama kamieninių ląstelių ar kaulų čiulpų transplantacija, gali išsivystyti transplantato prieš šeimininką liga (TpŠL) – tai donoro ląstelių reakcija prieš pacientą, kuriam atlikta transplantacija. Ligos požymiai</w:t>
      </w:r>
      <w:r>
        <w:t xml:space="preserve"> ir simptomai </w:t>
      </w:r>
      <w:r w:rsidRPr="00361C46">
        <w:t>yra: delnų ar padų bėrimas, opos burnoje, žarnose, kepenyse, odoje, akyse, plaučiuose, makštyje ir sąnariuose.</w:t>
      </w:r>
    </w:p>
    <w:p w14:paraId="202D4FFC" w14:textId="77777777" w:rsidR="00211E8A" w:rsidRDefault="00211E8A" w:rsidP="00211E8A">
      <w:pPr>
        <w:autoSpaceDE w:val="0"/>
        <w:autoSpaceDN w:val="0"/>
        <w:adjustRightInd w:val="0"/>
      </w:pPr>
    </w:p>
    <w:p w14:paraId="05624BAB" w14:textId="2689C0E7" w:rsidR="00211E8A" w:rsidRPr="00361C46" w:rsidRDefault="00211E8A" w:rsidP="005E0265">
      <w:pPr>
        <w:autoSpaceDE w:val="0"/>
        <w:autoSpaceDN w:val="0"/>
        <w:adjustRightInd w:val="0"/>
      </w:pPr>
      <w:r>
        <w:t>S</w:t>
      </w:r>
      <w:r w:rsidRPr="00361C46">
        <w:t>veikiems kamieninių ląstelių donorams padidėja baltųjų kraujo ląstelių (leukocitų) kiekis ir sumažėja trombocitų skaičius (trombocitopenija), dėl ko pablogėja kraujo krešėjimas. Gydytojas turi tai stebėti.</w:t>
      </w:r>
    </w:p>
    <w:p w14:paraId="26FD9FC9" w14:textId="77777777" w:rsidR="00211E8A" w:rsidRPr="00361C46" w:rsidRDefault="00211E8A" w:rsidP="00211E8A">
      <w:pPr>
        <w:numPr>
          <w:ilvl w:val="12"/>
          <w:numId w:val="0"/>
        </w:numPr>
      </w:pPr>
    </w:p>
    <w:p w14:paraId="6AE7B27D" w14:textId="77777777" w:rsidR="00211E8A" w:rsidRPr="00361C46" w:rsidRDefault="00211E8A" w:rsidP="00211E8A">
      <w:pPr>
        <w:rPr>
          <w:b/>
        </w:rPr>
      </w:pPr>
      <w:r w:rsidRPr="00361C46">
        <w:rPr>
          <w:b/>
        </w:rPr>
        <w:t>Labai dažnas šalutinis poveikis</w:t>
      </w:r>
      <w:r w:rsidRPr="00361C46">
        <w:t xml:space="preserve"> (</w:t>
      </w:r>
      <w:r w:rsidR="00CE0E52">
        <w:t xml:space="preserve">gali pasireikšti </w:t>
      </w:r>
      <w:r w:rsidR="00CE0E52" w:rsidRPr="00361C46">
        <w:t>daugiau nei 1</w:t>
      </w:r>
      <w:r w:rsidR="00CE0E52">
        <w:t xml:space="preserve"> </w:t>
      </w:r>
      <w:r w:rsidR="00CE0E52" w:rsidRPr="00361C46">
        <w:t>iš 10 </w:t>
      </w:r>
      <w:r w:rsidR="00CE0E52">
        <w:t>žmonių</w:t>
      </w:r>
      <w:r w:rsidRPr="00361C46">
        <w:t>)</w:t>
      </w:r>
      <w:r w:rsidRPr="00361C46">
        <w:rPr>
          <w:b/>
        </w:rPr>
        <w:t>:</w:t>
      </w:r>
    </w:p>
    <w:p w14:paraId="55B768C2" w14:textId="77777777" w:rsidR="00211E8A" w:rsidRPr="00753638" w:rsidRDefault="00211E8A" w:rsidP="00211E8A">
      <w:pPr>
        <w:numPr>
          <w:ilvl w:val="0"/>
          <w:numId w:val="5"/>
        </w:numPr>
      </w:pPr>
      <w:r w:rsidRPr="00753638">
        <w:t>sumažėjęs trombocitų kiekis, dėl ko sumažėja kraujo krešumas (trombocitopenija)</w:t>
      </w:r>
    </w:p>
    <w:p w14:paraId="783AC459" w14:textId="77777777" w:rsidR="00211E8A" w:rsidRPr="00361C46" w:rsidRDefault="00211E8A" w:rsidP="00211E8A">
      <w:pPr>
        <w:numPr>
          <w:ilvl w:val="0"/>
          <w:numId w:val="5"/>
        </w:numPr>
      </w:pPr>
      <w:r w:rsidRPr="00361C46">
        <w:t>sumažėjęs raudonųjų kraujo ląstelių kiekis (anemija)</w:t>
      </w:r>
    </w:p>
    <w:p w14:paraId="018B7D6D" w14:textId="77777777" w:rsidR="00211E8A" w:rsidRPr="00361C46" w:rsidRDefault="00211E8A" w:rsidP="00211E8A">
      <w:pPr>
        <w:numPr>
          <w:ilvl w:val="3"/>
          <w:numId w:val="24"/>
        </w:numPr>
        <w:ind w:left="567" w:right="-2" w:hanging="567"/>
      </w:pPr>
      <w:r w:rsidRPr="00361C46">
        <w:t>galvos skausmas</w:t>
      </w:r>
    </w:p>
    <w:p w14:paraId="5F577212" w14:textId="77777777" w:rsidR="00211E8A" w:rsidRPr="00361C46" w:rsidRDefault="00211E8A" w:rsidP="00211E8A">
      <w:pPr>
        <w:numPr>
          <w:ilvl w:val="3"/>
          <w:numId w:val="24"/>
        </w:numPr>
        <w:ind w:left="567" w:right="-2" w:hanging="567"/>
      </w:pPr>
      <w:r w:rsidRPr="00361C46">
        <w:t>viduriavimas</w:t>
      </w:r>
    </w:p>
    <w:p w14:paraId="38C01493" w14:textId="77777777" w:rsidR="00211E8A" w:rsidRPr="00361C46" w:rsidRDefault="00211E8A" w:rsidP="00211E8A">
      <w:pPr>
        <w:numPr>
          <w:ilvl w:val="3"/>
          <w:numId w:val="24"/>
        </w:numPr>
        <w:ind w:left="567" w:right="-2" w:hanging="567"/>
      </w:pPr>
      <w:r w:rsidRPr="00361C46">
        <w:t>vėmimas</w:t>
      </w:r>
    </w:p>
    <w:p w14:paraId="3BE23042" w14:textId="77777777" w:rsidR="00211E8A" w:rsidRPr="00361C46" w:rsidRDefault="00211E8A" w:rsidP="00211E8A">
      <w:pPr>
        <w:numPr>
          <w:ilvl w:val="0"/>
          <w:numId w:val="5"/>
        </w:numPr>
      </w:pPr>
      <w:r w:rsidRPr="00361C46">
        <w:t xml:space="preserve">pykinimas </w:t>
      </w:r>
    </w:p>
    <w:p w14:paraId="6F621A2F" w14:textId="77777777" w:rsidR="00211E8A" w:rsidRPr="00361C46" w:rsidRDefault="00211E8A" w:rsidP="00211E8A">
      <w:pPr>
        <w:numPr>
          <w:ilvl w:val="3"/>
          <w:numId w:val="24"/>
        </w:numPr>
        <w:ind w:left="567" w:right="-2" w:hanging="567"/>
      </w:pPr>
      <w:r w:rsidRPr="00361C46">
        <w:t>neįprastas plaukų slinkimas ar plonėjimas (alopecija)</w:t>
      </w:r>
    </w:p>
    <w:p w14:paraId="21935E7C" w14:textId="77777777" w:rsidR="00211E8A" w:rsidRPr="00361C46" w:rsidRDefault="00211E8A" w:rsidP="00211E8A">
      <w:pPr>
        <w:numPr>
          <w:ilvl w:val="3"/>
          <w:numId w:val="24"/>
        </w:numPr>
        <w:ind w:left="567" w:right="-2" w:hanging="567"/>
      </w:pPr>
      <w:r w:rsidRPr="00361C46">
        <w:t>nuovargis</w:t>
      </w:r>
    </w:p>
    <w:p w14:paraId="2D9C739F" w14:textId="77777777" w:rsidR="00211E8A" w:rsidRPr="00361C46" w:rsidRDefault="00211E8A" w:rsidP="00211E8A">
      <w:pPr>
        <w:numPr>
          <w:ilvl w:val="0"/>
          <w:numId w:val="8"/>
        </w:numPr>
      </w:pPr>
      <w:r w:rsidRPr="00361C46">
        <w:t>virškin</w:t>
      </w:r>
      <w:r w:rsidR="007708EB">
        <w:t>imo</w:t>
      </w:r>
      <w:r w:rsidRPr="00361C46">
        <w:t xml:space="preserve"> traktą nuo burnos iki išangės dengiančios gleivinės skausmas ir tinimas (mukozitas)</w:t>
      </w:r>
    </w:p>
    <w:p w14:paraId="660C538E" w14:textId="77777777" w:rsidR="00211E8A" w:rsidRPr="00361C46" w:rsidRDefault="00211E8A" w:rsidP="00211E8A">
      <w:pPr>
        <w:numPr>
          <w:ilvl w:val="3"/>
          <w:numId w:val="24"/>
        </w:numPr>
        <w:ind w:left="567" w:right="-2" w:hanging="567"/>
      </w:pPr>
      <w:r>
        <w:t>karščiavimas (pireksija)</w:t>
      </w:r>
    </w:p>
    <w:p w14:paraId="01EE62A7" w14:textId="77777777" w:rsidR="00211E8A" w:rsidRPr="00361C46" w:rsidRDefault="00211E8A" w:rsidP="00211E8A"/>
    <w:p w14:paraId="314B6202" w14:textId="77777777" w:rsidR="00211E8A" w:rsidRPr="00361C46" w:rsidRDefault="00211E8A" w:rsidP="00211E8A">
      <w:pPr>
        <w:ind w:left="567" w:hanging="567"/>
      </w:pPr>
      <w:r w:rsidRPr="00361C46">
        <w:rPr>
          <w:b/>
        </w:rPr>
        <w:t>Dažnas šalutinis poveikis</w:t>
      </w:r>
      <w:r w:rsidRPr="00361C46">
        <w:t xml:space="preserve"> (</w:t>
      </w:r>
      <w:r w:rsidR="00CE0E52">
        <w:t>gali pasireikšti mažiau</w:t>
      </w:r>
      <w:r w:rsidR="00CE0E52" w:rsidRPr="00361C46">
        <w:t xml:space="preserve"> nei 1 iš 10 </w:t>
      </w:r>
      <w:r w:rsidR="00CE0E52">
        <w:t>žmonių</w:t>
      </w:r>
      <w:r w:rsidRPr="00361C46">
        <w:t>)</w:t>
      </w:r>
      <w:r w:rsidRPr="00361C46">
        <w:rPr>
          <w:b/>
        </w:rPr>
        <w:t>:</w:t>
      </w:r>
    </w:p>
    <w:p w14:paraId="33FBA931" w14:textId="77777777" w:rsidR="00211E8A" w:rsidRDefault="00211E8A" w:rsidP="007240E0">
      <w:pPr>
        <w:numPr>
          <w:ilvl w:val="0"/>
          <w:numId w:val="8"/>
        </w:numPr>
      </w:pPr>
      <w:r>
        <w:t>plaučių uždegimas (bronchitas)</w:t>
      </w:r>
    </w:p>
    <w:p w14:paraId="58968BB3" w14:textId="77777777" w:rsidR="00211E8A" w:rsidRDefault="00211E8A" w:rsidP="007240E0">
      <w:pPr>
        <w:numPr>
          <w:ilvl w:val="0"/>
          <w:numId w:val="8"/>
        </w:numPr>
      </w:pPr>
      <w:r>
        <w:t>viršutinių kvėpavimo takų infekcija</w:t>
      </w:r>
    </w:p>
    <w:p w14:paraId="227A3622" w14:textId="77777777" w:rsidR="00211E8A" w:rsidRDefault="00211E8A" w:rsidP="007240E0">
      <w:pPr>
        <w:numPr>
          <w:ilvl w:val="0"/>
          <w:numId w:val="8"/>
        </w:numPr>
      </w:pPr>
      <w:r>
        <w:t>šlapimo</w:t>
      </w:r>
      <w:r w:rsidRPr="00351F29">
        <w:t xml:space="preserve"> </w:t>
      </w:r>
      <w:r>
        <w:t>takų infekcija</w:t>
      </w:r>
    </w:p>
    <w:p w14:paraId="457B839A" w14:textId="77777777" w:rsidR="00211E8A" w:rsidRDefault="00211E8A" w:rsidP="007240E0">
      <w:pPr>
        <w:numPr>
          <w:ilvl w:val="0"/>
          <w:numId w:val="8"/>
        </w:numPr>
      </w:pPr>
      <w:r>
        <w:t>sumažėjęs apetitas</w:t>
      </w:r>
    </w:p>
    <w:p w14:paraId="2E748F33" w14:textId="77777777" w:rsidR="00211E8A" w:rsidRDefault="00211E8A" w:rsidP="007240E0">
      <w:pPr>
        <w:numPr>
          <w:ilvl w:val="0"/>
          <w:numId w:val="8"/>
        </w:numPr>
      </w:pPr>
      <w:r>
        <w:t>sutrikęs miegas (nemiga)</w:t>
      </w:r>
    </w:p>
    <w:p w14:paraId="48A672B7" w14:textId="77777777" w:rsidR="00211E8A" w:rsidRDefault="00211E8A" w:rsidP="007240E0">
      <w:pPr>
        <w:numPr>
          <w:ilvl w:val="0"/>
          <w:numId w:val="8"/>
        </w:numPr>
      </w:pPr>
      <w:r>
        <w:t>svaigulys</w:t>
      </w:r>
    </w:p>
    <w:p w14:paraId="348BB27E" w14:textId="77777777" w:rsidR="00211E8A" w:rsidRDefault="00211E8A" w:rsidP="007240E0">
      <w:pPr>
        <w:numPr>
          <w:ilvl w:val="0"/>
          <w:numId w:val="8"/>
        </w:numPr>
      </w:pPr>
      <w:r>
        <w:t>sumažėjęs jautrumas prisilietimui, ypač odos (hipestezija)</w:t>
      </w:r>
    </w:p>
    <w:p w14:paraId="6E4B67B5" w14:textId="77777777" w:rsidR="00211E8A" w:rsidRDefault="00211E8A" w:rsidP="00211E8A">
      <w:pPr>
        <w:numPr>
          <w:ilvl w:val="0"/>
          <w:numId w:val="8"/>
        </w:numPr>
        <w:ind w:right="-2"/>
      </w:pPr>
      <w:r>
        <w:t>plaštakų ar pėdų dilgčiojimas ir tirpimas (parestezija)</w:t>
      </w:r>
    </w:p>
    <w:p w14:paraId="5DD68616" w14:textId="77777777" w:rsidR="00211E8A" w:rsidRPr="00361C46" w:rsidRDefault="00211E8A" w:rsidP="00211E8A">
      <w:pPr>
        <w:numPr>
          <w:ilvl w:val="0"/>
          <w:numId w:val="8"/>
        </w:numPr>
        <w:ind w:right="-2"/>
      </w:pPr>
      <w:r w:rsidRPr="00361C46">
        <w:t>žemas kraujospūdis (hipotenzija)</w:t>
      </w:r>
    </w:p>
    <w:p w14:paraId="09E2D33C" w14:textId="77777777" w:rsidR="00211E8A" w:rsidRPr="00361C46" w:rsidRDefault="00211E8A" w:rsidP="00211E8A">
      <w:pPr>
        <w:numPr>
          <w:ilvl w:val="0"/>
          <w:numId w:val="8"/>
        </w:numPr>
        <w:ind w:right="-2"/>
      </w:pPr>
      <w:r>
        <w:t>didelis</w:t>
      </w:r>
      <w:r w:rsidRPr="00361C46">
        <w:t xml:space="preserve"> kraujospūdis (hip</w:t>
      </w:r>
      <w:r>
        <w:t>er</w:t>
      </w:r>
      <w:r w:rsidRPr="00361C46">
        <w:t>tenzija)</w:t>
      </w:r>
    </w:p>
    <w:p w14:paraId="5DCE6515" w14:textId="77777777" w:rsidR="00211E8A" w:rsidRDefault="00211E8A" w:rsidP="00211E8A">
      <w:pPr>
        <w:numPr>
          <w:ilvl w:val="0"/>
          <w:numId w:val="8"/>
        </w:numPr>
      </w:pPr>
      <w:r>
        <w:t>kosulys</w:t>
      </w:r>
    </w:p>
    <w:p w14:paraId="5208D0FC" w14:textId="77777777" w:rsidR="00211E8A" w:rsidRDefault="00211E8A" w:rsidP="00211E8A">
      <w:pPr>
        <w:numPr>
          <w:ilvl w:val="0"/>
          <w:numId w:val="8"/>
        </w:numPr>
      </w:pPr>
      <w:r>
        <w:t>atkosėjimas krauju (hemoptizė)</w:t>
      </w:r>
    </w:p>
    <w:p w14:paraId="37464524" w14:textId="77777777" w:rsidR="00211E8A" w:rsidRDefault="00211E8A" w:rsidP="00211E8A">
      <w:pPr>
        <w:numPr>
          <w:ilvl w:val="0"/>
          <w:numId w:val="8"/>
        </w:numPr>
      </w:pPr>
      <w:r>
        <w:t>burnos ir gerklės skausmas</w:t>
      </w:r>
    </w:p>
    <w:p w14:paraId="1DD737A5" w14:textId="77777777" w:rsidR="00211E8A" w:rsidRDefault="00211E8A" w:rsidP="00211E8A">
      <w:pPr>
        <w:numPr>
          <w:ilvl w:val="0"/>
          <w:numId w:val="8"/>
        </w:numPr>
      </w:pPr>
      <w:r>
        <w:t>kraujavimas iš nosies (epistaksė)</w:t>
      </w:r>
    </w:p>
    <w:p w14:paraId="647E65F1" w14:textId="77777777" w:rsidR="00211E8A" w:rsidRDefault="00211E8A" w:rsidP="00211E8A">
      <w:pPr>
        <w:numPr>
          <w:ilvl w:val="0"/>
          <w:numId w:val="8"/>
        </w:numPr>
      </w:pPr>
      <w:r>
        <w:t>vidurių užkietėjimas</w:t>
      </w:r>
    </w:p>
    <w:p w14:paraId="6019C6CF" w14:textId="77777777" w:rsidR="00211E8A" w:rsidRDefault="00211E8A" w:rsidP="00211E8A">
      <w:pPr>
        <w:numPr>
          <w:ilvl w:val="0"/>
          <w:numId w:val="8"/>
        </w:numPr>
      </w:pPr>
      <w:r>
        <w:t>burnos skausmas</w:t>
      </w:r>
    </w:p>
    <w:p w14:paraId="57ECE17E" w14:textId="77777777" w:rsidR="00211E8A" w:rsidRDefault="00211E8A" w:rsidP="00211E8A">
      <w:pPr>
        <w:numPr>
          <w:ilvl w:val="0"/>
          <w:numId w:val="8"/>
        </w:numPr>
      </w:pPr>
      <w:r>
        <w:t>kepenų padidėjimas (hepatomegalija)</w:t>
      </w:r>
    </w:p>
    <w:p w14:paraId="35938700" w14:textId="77777777" w:rsidR="00211E8A" w:rsidRDefault="00211E8A" w:rsidP="00211E8A">
      <w:pPr>
        <w:numPr>
          <w:ilvl w:val="0"/>
          <w:numId w:val="8"/>
        </w:numPr>
      </w:pPr>
      <w:r>
        <w:t>išbėrimas</w:t>
      </w:r>
    </w:p>
    <w:p w14:paraId="77AED7E0" w14:textId="77777777" w:rsidR="00211E8A" w:rsidRDefault="00211E8A" w:rsidP="00211E8A">
      <w:pPr>
        <w:numPr>
          <w:ilvl w:val="0"/>
          <w:numId w:val="8"/>
        </w:numPr>
      </w:pPr>
      <w:r>
        <w:t>odos paraudimas (raudonė)</w:t>
      </w:r>
    </w:p>
    <w:p w14:paraId="099C9428" w14:textId="77777777" w:rsidR="00211E8A" w:rsidRDefault="00211E8A" w:rsidP="00211E8A">
      <w:pPr>
        <w:numPr>
          <w:ilvl w:val="0"/>
          <w:numId w:val="8"/>
        </w:numPr>
      </w:pPr>
      <w:r>
        <w:t>raumenų spazmai</w:t>
      </w:r>
    </w:p>
    <w:p w14:paraId="56EC65AC" w14:textId="77777777" w:rsidR="00211E8A" w:rsidRPr="00361C46" w:rsidRDefault="00211E8A" w:rsidP="00211E8A">
      <w:pPr>
        <w:numPr>
          <w:ilvl w:val="0"/>
          <w:numId w:val="8"/>
        </w:numPr>
      </w:pPr>
      <w:r w:rsidRPr="00361C46">
        <w:lastRenderedPageBreak/>
        <w:t>skausmingas šlapinimasis (dizurija)</w:t>
      </w:r>
    </w:p>
    <w:p w14:paraId="46055897" w14:textId="77777777" w:rsidR="00211E8A" w:rsidRPr="00361C46" w:rsidRDefault="00211E8A" w:rsidP="00211E8A">
      <w:pPr>
        <w:numPr>
          <w:ilvl w:val="0"/>
          <w:numId w:val="25"/>
        </w:numPr>
        <w:ind w:right="-2"/>
      </w:pPr>
      <w:r w:rsidRPr="00361C46">
        <w:t>krūtinės skausmas</w:t>
      </w:r>
    </w:p>
    <w:p w14:paraId="56248247" w14:textId="77777777" w:rsidR="00211E8A" w:rsidRPr="00351F29" w:rsidRDefault="00211E8A" w:rsidP="00211E8A">
      <w:pPr>
        <w:numPr>
          <w:ilvl w:val="0"/>
          <w:numId w:val="25"/>
        </w:numPr>
        <w:ind w:right="-2"/>
        <w:rPr>
          <w:rStyle w:val="Emfaz"/>
          <w:i w:val="0"/>
        </w:rPr>
      </w:pPr>
      <w:r>
        <w:rPr>
          <w:rStyle w:val="Emfaz"/>
          <w:i w:val="0"/>
        </w:rPr>
        <w:t>skausmas</w:t>
      </w:r>
    </w:p>
    <w:p w14:paraId="51A6CD6F" w14:textId="77777777" w:rsidR="00211E8A" w:rsidRPr="00351F29" w:rsidRDefault="00211E8A" w:rsidP="00211E8A">
      <w:pPr>
        <w:numPr>
          <w:ilvl w:val="0"/>
          <w:numId w:val="25"/>
        </w:numPr>
        <w:ind w:right="-2"/>
        <w:rPr>
          <w:rStyle w:val="Emfaz"/>
          <w:i w:val="0"/>
        </w:rPr>
      </w:pPr>
      <w:r>
        <w:rPr>
          <w:rStyle w:val="Emfaz"/>
          <w:i w:val="0"/>
        </w:rPr>
        <w:t>bendras silpnumas</w:t>
      </w:r>
      <w:r w:rsidRPr="00351F29">
        <w:rPr>
          <w:rStyle w:val="Emfaz"/>
          <w:i w:val="0"/>
        </w:rPr>
        <w:t xml:space="preserve"> (</w:t>
      </w:r>
      <w:r>
        <w:rPr>
          <w:rStyle w:val="Emfaz"/>
          <w:i w:val="0"/>
        </w:rPr>
        <w:t>astenija</w:t>
      </w:r>
      <w:r w:rsidRPr="00351F29">
        <w:rPr>
          <w:rStyle w:val="Emfaz"/>
          <w:i w:val="0"/>
        </w:rPr>
        <w:t>)</w:t>
      </w:r>
    </w:p>
    <w:p w14:paraId="07240DE5" w14:textId="77777777" w:rsidR="00211E8A" w:rsidRPr="00351F29" w:rsidRDefault="00211E8A" w:rsidP="00211E8A">
      <w:pPr>
        <w:numPr>
          <w:ilvl w:val="0"/>
          <w:numId w:val="25"/>
        </w:numPr>
        <w:ind w:right="-2"/>
        <w:rPr>
          <w:rStyle w:val="Emfaz"/>
          <w:i w:val="0"/>
        </w:rPr>
      </w:pPr>
      <w:r>
        <w:rPr>
          <w:rStyle w:val="Emfaz"/>
          <w:i w:val="0"/>
        </w:rPr>
        <w:t>bendrasis negalavimas</w:t>
      </w:r>
    </w:p>
    <w:p w14:paraId="0D35B341" w14:textId="77777777" w:rsidR="00211E8A" w:rsidRPr="00351F29" w:rsidRDefault="00211E8A" w:rsidP="00211E8A">
      <w:pPr>
        <w:numPr>
          <w:ilvl w:val="0"/>
          <w:numId w:val="25"/>
        </w:numPr>
        <w:ind w:right="-2"/>
        <w:rPr>
          <w:rStyle w:val="Emfaz"/>
          <w:i w:val="0"/>
        </w:rPr>
      </w:pPr>
      <w:r>
        <w:rPr>
          <w:rStyle w:val="Emfaz"/>
          <w:i w:val="0"/>
        </w:rPr>
        <w:t>plaštakų ir pėdų patinimas</w:t>
      </w:r>
      <w:r w:rsidRPr="00351F29">
        <w:rPr>
          <w:rStyle w:val="Emfaz"/>
          <w:i w:val="0"/>
        </w:rPr>
        <w:t xml:space="preserve"> (</w:t>
      </w:r>
      <w:r>
        <w:rPr>
          <w:rStyle w:val="Emfaz"/>
          <w:i w:val="0"/>
        </w:rPr>
        <w:t>periferinė edema</w:t>
      </w:r>
      <w:r w:rsidRPr="00351F29">
        <w:rPr>
          <w:rStyle w:val="Emfaz"/>
          <w:i w:val="0"/>
        </w:rPr>
        <w:t>)</w:t>
      </w:r>
    </w:p>
    <w:p w14:paraId="602A8CC5" w14:textId="77777777" w:rsidR="00211E8A" w:rsidRPr="00351F29" w:rsidRDefault="00211E8A" w:rsidP="00211E8A">
      <w:pPr>
        <w:numPr>
          <w:ilvl w:val="0"/>
          <w:numId w:val="25"/>
        </w:numPr>
        <w:ind w:right="-2"/>
        <w:rPr>
          <w:rStyle w:val="Emfaz"/>
          <w:i w:val="0"/>
        </w:rPr>
      </w:pPr>
      <w:r>
        <w:rPr>
          <w:rStyle w:val="Emfaz"/>
          <w:i w:val="0"/>
        </w:rPr>
        <w:t>tam tikrų fermentų kiekio padidėjimas kraujyje</w:t>
      </w:r>
    </w:p>
    <w:p w14:paraId="5B673855" w14:textId="77777777" w:rsidR="00211E8A" w:rsidRPr="00351F29" w:rsidRDefault="00211E8A" w:rsidP="00211E8A">
      <w:pPr>
        <w:numPr>
          <w:ilvl w:val="0"/>
          <w:numId w:val="25"/>
        </w:numPr>
        <w:ind w:right="-2"/>
        <w:rPr>
          <w:rStyle w:val="Emfaz"/>
          <w:i w:val="0"/>
        </w:rPr>
      </w:pPr>
      <w:r>
        <w:rPr>
          <w:rStyle w:val="Emfaz"/>
          <w:i w:val="0"/>
        </w:rPr>
        <w:t>kraujo cheminės sudėties pokytis</w:t>
      </w:r>
    </w:p>
    <w:p w14:paraId="21E8FBC2" w14:textId="77777777" w:rsidR="00211E8A" w:rsidRPr="00361C46" w:rsidRDefault="00211E8A" w:rsidP="00211E8A">
      <w:pPr>
        <w:numPr>
          <w:ilvl w:val="0"/>
          <w:numId w:val="25"/>
        </w:numPr>
        <w:ind w:right="-2"/>
      </w:pPr>
      <w:r>
        <w:rPr>
          <w:rStyle w:val="Emfaz"/>
          <w:i w:val="0"/>
        </w:rPr>
        <w:t>transfuzinės reakcijos</w:t>
      </w:r>
    </w:p>
    <w:p w14:paraId="020F0404" w14:textId="77777777" w:rsidR="00211E8A" w:rsidRPr="00361C46" w:rsidRDefault="00211E8A" w:rsidP="00211E8A">
      <w:pPr>
        <w:ind w:left="567" w:hanging="567"/>
      </w:pPr>
    </w:p>
    <w:p w14:paraId="1519CC52" w14:textId="77777777" w:rsidR="00211E8A" w:rsidRPr="00361C46" w:rsidRDefault="00211E8A" w:rsidP="00211E8A">
      <w:pPr>
        <w:ind w:left="567" w:hanging="567"/>
        <w:rPr>
          <w:b/>
        </w:rPr>
      </w:pPr>
      <w:r w:rsidRPr="00361C46">
        <w:rPr>
          <w:b/>
        </w:rPr>
        <w:t>Nedažnas šalutinis poveikis</w:t>
      </w:r>
      <w:r w:rsidRPr="00361C46">
        <w:t xml:space="preserve"> (</w:t>
      </w:r>
      <w:r w:rsidR="00CE0E52">
        <w:t>gali pasireikšti mažiau</w:t>
      </w:r>
      <w:r w:rsidR="00CE0E52" w:rsidRPr="00361C46">
        <w:t xml:space="preserve"> nei 1 iš 10</w:t>
      </w:r>
      <w:r w:rsidR="00CE0E52">
        <w:t>0</w:t>
      </w:r>
      <w:r w:rsidR="00CE0E52" w:rsidRPr="00361C46">
        <w:t> </w:t>
      </w:r>
      <w:r w:rsidR="00CE0E52">
        <w:t>žmonių</w:t>
      </w:r>
      <w:r w:rsidRPr="00361C46">
        <w:t>)</w:t>
      </w:r>
      <w:r w:rsidRPr="00361C46">
        <w:rPr>
          <w:b/>
        </w:rPr>
        <w:t>:</w:t>
      </w:r>
    </w:p>
    <w:p w14:paraId="19C0287B" w14:textId="77777777" w:rsidR="00211E8A" w:rsidRDefault="00211E8A" w:rsidP="00211E8A">
      <w:pPr>
        <w:numPr>
          <w:ilvl w:val="0"/>
          <w:numId w:val="10"/>
        </w:numPr>
        <w:autoSpaceDE w:val="0"/>
        <w:autoSpaceDN w:val="0"/>
        <w:adjustRightInd w:val="0"/>
        <w:rPr>
          <w:rStyle w:val="longtext"/>
        </w:rPr>
      </w:pPr>
      <w:r>
        <w:rPr>
          <w:rStyle w:val="longtext"/>
        </w:rPr>
        <w:t>baltųjų kraujo ląstelių kiekio padidėjimas (leukocitozė)</w:t>
      </w:r>
    </w:p>
    <w:p w14:paraId="7BDDB41F" w14:textId="77777777" w:rsidR="00211E8A" w:rsidRDefault="00211E8A" w:rsidP="00211E8A">
      <w:pPr>
        <w:numPr>
          <w:ilvl w:val="0"/>
          <w:numId w:val="10"/>
        </w:numPr>
        <w:autoSpaceDE w:val="0"/>
        <w:autoSpaceDN w:val="0"/>
        <w:adjustRightInd w:val="0"/>
        <w:rPr>
          <w:rStyle w:val="longtext"/>
        </w:rPr>
      </w:pPr>
      <w:r>
        <w:rPr>
          <w:rStyle w:val="longtext"/>
        </w:rPr>
        <w:t>alerginė reakcija (padidėjęs jautrumas)</w:t>
      </w:r>
    </w:p>
    <w:p w14:paraId="0354075F" w14:textId="77777777" w:rsidR="00211E8A" w:rsidRPr="00361C46" w:rsidRDefault="00211E8A" w:rsidP="00211E8A">
      <w:pPr>
        <w:numPr>
          <w:ilvl w:val="0"/>
          <w:numId w:val="10"/>
        </w:numPr>
        <w:autoSpaceDE w:val="0"/>
        <w:autoSpaceDN w:val="0"/>
        <w:adjustRightInd w:val="0"/>
      </w:pPr>
      <w:r w:rsidRPr="00361C46">
        <w:t xml:space="preserve">persodintų kaulų čiulpų atmetimas (transplantato prieš šeimininką liga) </w:t>
      </w:r>
    </w:p>
    <w:p w14:paraId="49AB6F99" w14:textId="77777777" w:rsidR="00211E8A" w:rsidRPr="00076F9F" w:rsidRDefault="00211E8A" w:rsidP="00211E8A">
      <w:pPr>
        <w:numPr>
          <w:ilvl w:val="0"/>
          <w:numId w:val="10"/>
        </w:numPr>
        <w:autoSpaceDE w:val="0"/>
        <w:autoSpaceDN w:val="0"/>
        <w:adjustRightInd w:val="0"/>
        <w:rPr>
          <w:rStyle w:val="longtext"/>
        </w:rPr>
      </w:pPr>
      <w:r>
        <w:rPr>
          <w:rStyle w:val="longtext"/>
        </w:rPr>
        <w:t>didelis šlapimo rūgšties kiekis kraujyje, galintis sukelti podagrą (hiperurikemija</w:t>
      </w:r>
      <w:r w:rsidRPr="00076F9F">
        <w:rPr>
          <w:rStyle w:val="longtext"/>
        </w:rPr>
        <w:t>)</w:t>
      </w:r>
    </w:p>
    <w:p w14:paraId="50E5213E" w14:textId="77777777" w:rsidR="00211E8A" w:rsidRPr="00361C46" w:rsidRDefault="00211E8A" w:rsidP="00211E8A">
      <w:pPr>
        <w:numPr>
          <w:ilvl w:val="0"/>
          <w:numId w:val="10"/>
        </w:numPr>
        <w:autoSpaceDE w:val="0"/>
        <w:autoSpaceDN w:val="0"/>
        <w:adjustRightInd w:val="0"/>
      </w:pPr>
      <w:r w:rsidRPr="00361C46">
        <w:t xml:space="preserve">kepenų pakenkimas dėl </w:t>
      </w:r>
      <w:r w:rsidR="007708EB">
        <w:t>smulkių</w:t>
      </w:r>
      <w:r w:rsidRPr="00361C46">
        <w:t xml:space="preserve"> kepenų venų užsikimšimo (okliuzinė venų liga)</w:t>
      </w:r>
    </w:p>
    <w:p w14:paraId="01391E25" w14:textId="77777777" w:rsidR="00211E8A" w:rsidRPr="00361C46" w:rsidRDefault="00211E8A" w:rsidP="00211E8A">
      <w:pPr>
        <w:numPr>
          <w:ilvl w:val="0"/>
          <w:numId w:val="10"/>
        </w:numPr>
        <w:autoSpaceDE w:val="0"/>
        <w:autoSpaceDN w:val="0"/>
        <w:adjustRightInd w:val="0"/>
      </w:pPr>
      <w:r w:rsidRPr="00361C46">
        <w:t>plaučiai reikiamai nebefunkcionuoja, atsiranda dusulys (kvėpavimo nepakankamumas)</w:t>
      </w:r>
    </w:p>
    <w:p w14:paraId="07462406" w14:textId="77777777" w:rsidR="00211E8A" w:rsidRPr="00361C46" w:rsidRDefault="00211E8A" w:rsidP="00211E8A">
      <w:pPr>
        <w:numPr>
          <w:ilvl w:val="0"/>
          <w:numId w:val="10"/>
        </w:numPr>
        <w:autoSpaceDE w:val="0"/>
        <w:autoSpaceDN w:val="0"/>
        <w:adjustRightInd w:val="0"/>
      </w:pPr>
      <w:r w:rsidRPr="00361C46">
        <w:t>plaučių tinimas ir (arba) skysčių kaupimasis plaučiuose (plaučių edema)</w:t>
      </w:r>
    </w:p>
    <w:p w14:paraId="28E09E99" w14:textId="77777777" w:rsidR="00211E8A" w:rsidRPr="00361C46" w:rsidRDefault="00211E8A" w:rsidP="00211E8A">
      <w:pPr>
        <w:numPr>
          <w:ilvl w:val="0"/>
          <w:numId w:val="10"/>
        </w:numPr>
        <w:autoSpaceDE w:val="0"/>
        <w:autoSpaceDN w:val="0"/>
        <w:adjustRightInd w:val="0"/>
      </w:pPr>
      <w:r w:rsidRPr="00361C46">
        <w:rPr>
          <w:rStyle w:val="hps"/>
        </w:rPr>
        <w:t>plaučių uždegimas</w:t>
      </w:r>
      <w:r w:rsidRPr="00361C46">
        <w:rPr>
          <w:rStyle w:val="longtext"/>
        </w:rPr>
        <w:t xml:space="preserve"> </w:t>
      </w:r>
      <w:r w:rsidRPr="00361C46">
        <w:rPr>
          <w:rStyle w:val="hps"/>
        </w:rPr>
        <w:t>(</w:t>
      </w:r>
      <w:r w:rsidRPr="00361C46">
        <w:rPr>
          <w:rStyle w:val="longtext"/>
        </w:rPr>
        <w:t>intersticinė plaučių liga)</w:t>
      </w:r>
    </w:p>
    <w:p w14:paraId="4C311D33" w14:textId="77777777" w:rsidR="00211E8A" w:rsidRPr="00361C46" w:rsidRDefault="00211E8A" w:rsidP="00211E8A">
      <w:pPr>
        <w:numPr>
          <w:ilvl w:val="0"/>
          <w:numId w:val="10"/>
        </w:numPr>
        <w:autoSpaceDE w:val="0"/>
        <w:autoSpaceDN w:val="0"/>
        <w:adjustRightInd w:val="0"/>
      </w:pPr>
      <w:r w:rsidRPr="00361C46">
        <w:t>pakitimai plaučių rengenogramoje (plaučių infiltratas)</w:t>
      </w:r>
    </w:p>
    <w:p w14:paraId="133A05E9" w14:textId="77777777" w:rsidR="00211E8A" w:rsidRPr="00361C46" w:rsidRDefault="00211E8A" w:rsidP="00211E8A">
      <w:pPr>
        <w:numPr>
          <w:ilvl w:val="0"/>
          <w:numId w:val="10"/>
        </w:numPr>
        <w:autoSpaceDE w:val="0"/>
        <w:autoSpaceDN w:val="0"/>
        <w:adjustRightInd w:val="0"/>
      </w:pPr>
      <w:r w:rsidRPr="00361C46">
        <w:rPr>
          <w:rStyle w:val="hps"/>
        </w:rPr>
        <w:t>kraujavimas iš</w:t>
      </w:r>
      <w:r w:rsidRPr="00361C46">
        <w:rPr>
          <w:rStyle w:val="longtext"/>
        </w:rPr>
        <w:t xml:space="preserve"> </w:t>
      </w:r>
      <w:r w:rsidRPr="00361C46">
        <w:rPr>
          <w:rStyle w:val="hps"/>
        </w:rPr>
        <w:t>plaučių</w:t>
      </w:r>
      <w:r w:rsidRPr="00361C46">
        <w:rPr>
          <w:rStyle w:val="longtext"/>
        </w:rPr>
        <w:t xml:space="preserve"> </w:t>
      </w:r>
      <w:r w:rsidRPr="00361C46">
        <w:rPr>
          <w:rStyle w:val="hps"/>
        </w:rPr>
        <w:t>(plaučių</w:t>
      </w:r>
      <w:r w:rsidRPr="00361C46">
        <w:rPr>
          <w:rStyle w:val="longtext"/>
        </w:rPr>
        <w:t xml:space="preserve"> </w:t>
      </w:r>
      <w:r w:rsidRPr="00361C46">
        <w:rPr>
          <w:rStyle w:val="hps"/>
        </w:rPr>
        <w:t>hemoragija</w:t>
      </w:r>
      <w:r w:rsidRPr="00361C46">
        <w:rPr>
          <w:rStyle w:val="longtext"/>
        </w:rPr>
        <w:t>)</w:t>
      </w:r>
    </w:p>
    <w:p w14:paraId="3401654E" w14:textId="77777777" w:rsidR="00211E8A" w:rsidRPr="00361C46" w:rsidRDefault="00211E8A" w:rsidP="00211E8A">
      <w:pPr>
        <w:numPr>
          <w:ilvl w:val="0"/>
          <w:numId w:val="13"/>
        </w:numPr>
        <w:suppressAutoHyphens/>
        <w:autoSpaceDE w:val="0"/>
        <w:autoSpaceDN w:val="0"/>
        <w:adjustRightInd w:val="0"/>
      </w:pPr>
      <w:r w:rsidRPr="00361C46">
        <w:t xml:space="preserve">sumažėjusi deguonies absorbcija plaučiuose (hipoksija) </w:t>
      </w:r>
    </w:p>
    <w:p w14:paraId="34983AE0" w14:textId="77777777" w:rsidR="00211E8A" w:rsidRDefault="00211E8A" w:rsidP="00211E8A">
      <w:pPr>
        <w:numPr>
          <w:ilvl w:val="0"/>
          <w:numId w:val="13"/>
        </w:numPr>
      </w:pPr>
      <w:r>
        <w:t>odos išbėrimas gumbeliais (makulopapulinis išbėrimas)</w:t>
      </w:r>
    </w:p>
    <w:p w14:paraId="4F177F89" w14:textId="77777777" w:rsidR="00211E8A" w:rsidRDefault="00211E8A" w:rsidP="00211E8A">
      <w:pPr>
        <w:numPr>
          <w:ilvl w:val="0"/>
          <w:numId w:val="13"/>
        </w:numPr>
      </w:pPr>
      <w:r>
        <w:t xml:space="preserve">liga, kai dėl sumažėjusio kaulų tankio jie tampa trapesni, silpnesni ir padidėja lūžimų rizika </w:t>
      </w:r>
      <w:r w:rsidR="00EA4370">
        <w:t>(</w:t>
      </w:r>
      <w:r>
        <w:t>osteoporozė)</w:t>
      </w:r>
    </w:p>
    <w:p w14:paraId="538494A4" w14:textId="77777777" w:rsidR="00211E8A" w:rsidRPr="00361C46" w:rsidRDefault="00211E8A" w:rsidP="007240E0">
      <w:pPr>
        <w:numPr>
          <w:ilvl w:val="0"/>
          <w:numId w:val="10"/>
        </w:numPr>
        <w:autoSpaceDE w:val="0"/>
        <w:autoSpaceDN w:val="0"/>
        <w:adjustRightInd w:val="0"/>
      </w:pPr>
      <w:r>
        <w:t>injekcijos vietos reakcija</w:t>
      </w:r>
    </w:p>
    <w:p w14:paraId="20474AAC" w14:textId="77777777" w:rsidR="00211E8A" w:rsidRDefault="00211E8A" w:rsidP="00211E8A">
      <w:pPr>
        <w:ind w:left="567" w:hanging="567"/>
      </w:pPr>
    </w:p>
    <w:p w14:paraId="6A085BF5" w14:textId="77777777" w:rsidR="00211E8A" w:rsidRPr="00361C46" w:rsidRDefault="00211E8A" w:rsidP="00211E8A">
      <w:pPr>
        <w:ind w:left="567" w:hanging="567"/>
        <w:rPr>
          <w:b/>
        </w:rPr>
      </w:pPr>
      <w:r>
        <w:rPr>
          <w:b/>
        </w:rPr>
        <w:t>Retas</w:t>
      </w:r>
      <w:r w:rsidRPr="00361C46">
        <w:rPr>
          <w:b/>
        </w:rPr>
        <w:t xml:space="preserve"> šalutinis poveikis</w:t>
      </w:r>
      <w:r w:rsidRPr="00361C46">
        <w:t xml:space="preserve"> (</w:t>
      </w:r>
      <w:r w:rsidR="00CE0E52">
        <w:t>gali pasireikšti mažiau</w:t>
      </w:r>
      <w:r w:rsidR="00CE0E52" w:rsidRPr="00361C46">
        <w:t xml:space="preserve"> nei 1</w:t>
      </w:r>
      <w:r w:rsidR="00CE0E52">
        <w:t xml:space="preserve"> iš 1</w:t>
      </w:r>
      <w:r w:rsidR="00CE0E52" w:rsidRPr="00361C46">
        <w:t>0</w:t>
      </w:r>
      <w:r w:rsidR="00CE0E52">
        <w:t>00 žmonių</w:t>
      </w:r>
      <w:r w:rsidRPr="00361C46">
        <w:t>)</w:t>
      </w:r>
      <w:r w:rsidRPr="00361C46">
        <w:rPr>
          <w:b/>
        </w:rPr>
        <w:t>:</w:t>
      </w:r>
    </w:p>
    <w:p w14:paraId="5DBCBE0A" w14:textId="77777777" w:rsidR="00211E8A" w:rsidRPr="00361C46" w:rsidRDefault="00211E8A" w:rsidP="00211E8A">
      <w:pPr>
        <w:numPr>
          <w:ilvl w:val="0"/>
          <w:numId w:val="10"/>
        </w:numPr>
      </w:pPr>
      <w:r w:rsidRPr="00361C46">
        <w:t>stiprus kaulų, krūtinės, žarnų ar sąnarių skausmas (pjautuvinė</w:t>
      </w:r>
      <w:r>
        <w:t xml:space="preserve"> mažakraujystė su</w:t>
      </w:r>
      <w:r w:rsidRPr="00361C46">
        <w:t xml:space="preserve"> kriz</w:t>
      </w:r>
      <w:r>
        <w:t>e</w:t>
      </w:r>
      <w:r w:rsidRPr="00361C46">
        <w:t>)</w:t>
      </w:r>
    </w:p>
    <w:p w14:paraId="2CD35F06" w14:textId="77777777" w:rsidR="00211E8A" w:rsidRPr="00361C46" w:rsidRDefault="00211E8A" w:rsidP="00211E8A">
      <w:pPr>
        <w:numPr>
          <w:ilvl w:val="0"/>
          <w:numId w:val="10"/>
        </w:numPr>
        <w:autoSpaceDE w:val="0"/>
        <w:autoSpaceDN w:val="0"/>
        <w:adjustRightInd w:val="0"/>
      </w:pPr>
      <w:r w:rsidRPr="00361C46">
        <w:rPr>
          <w:rStyle w:val="hps"/>
        </w:rPr>
        <w:t>staigi gyvybei</w:t>
      </w:r>
      <w:r w:rsidRPr="00361C46">
        <w:t xml:space="preserve"> </w:t>
      </w:r>
      <w:r w:rsidRPr="00361C46">
        <w:rPr>
          <w:rStyle w:val="hps"/>
        </w:rPr>
        <w:t>pavojinga alerginė</w:t>
      </w:r>
      <w:r w:rsidRPr="00361C46">
        <w:t xml:space="preserve"> </w:t>
      </w:r>
      <w:r w:rsidRPr="00361C46">
        <w:rPr>
          <w:rStyle w:val="hps"/>
        </w:rPr>
        <w:t>reakcija (</w:t>
      </w:r>
      <w:r w:rsidRPr="00361C46">
        <w:t>anafilaksinė reakcija)</w:t>
      </w:r>
    </w:p>
    <w:p w14:paraId="43F13768" w14:textId="77777777" w:rsidR="00211E8A" w:rsidRPr="00361C46" w:rsidRDefault="00211E8A" w:rsidP="00211E8A">
      <w:pPr>
        <w:numPr>
          <w:ilvl w:val="0"/>
          <w:numId w:val="10"/>
        </w:numPr>
        <w:autoSpaceDE w:val="0"/>
        <w:autoSpaceDN w:val="0"/>
        <w:adjustRightInd w:val="0"/>
      </w:pPr>
      <w:r w:rsidRPr="00361C46">
        <w:t xml:space="preserve">skausmingi ir patinę sąnariai, panašūs </w:t>
      </w:r>
      <w:r>
        <w:t xml:space="preserve">į būnančius </w:t>
      </w:r>
      <w:r w:rsidRPr="00361C46">
        <w:t>sergant podagra (pseudopodagra)</w:t>
      </w:r>
    </w:p>
    <w:p w14:paraId="17E75C89" w14:textId="77777777" w:rsidR="00211E8A" w:rsidRPr="00361C46" w:rsidRDefault="00211E8A" w:rsidP="00211E8A">
      <w:pPr>
        <w:numPr>
          <w:ilvl w:val="0"/>
          <w:numId w:val="10"/>
        </w:numPr>
        <w:autoSpaceDE w:val="0"/>
        <w:autoSpaceDN w:val="0"/>
        <w:adjustRightInd w:val="0"/>
      </w:pPr>
      <w:r w:rsidRPr="00361C46">
        <w:t>organizmo skysčių reguliacijos pokyčiai, dėl ko gali atsirasti pabrinkimai</w:t>
      </w:r>
      <w:r>
        <w:t xml:space="preserve"> (skysčių pusiausvyros organizme sutrikimai)</w:t>
      </w:r>
    </w:p>
    <w:p w14:paraId="21D5BFC0" w14:textId="77777777" w:rsidR="00211E8A" w:rsidRDefault="00211E8A" w:rsidP="00211E8A">
      <w:pPr>
        <w:numPr>
          <w:ilvl w:val="0"/>
          <w:numId w:val="10"/>
        </w:numPr>
        <w:autoSpaceDE w:val="0"/>
        <w:autoSpaceDN w:val="0"/>
        <w:adjustRightInd w:val="0"/>
      </w:pPr>
      <w:r w:rsidRPr="00621FCA">
        <w:t>odos kraujagyslių uždegimas (odos vaskulitas)</w:t>
      </w:r>
    </w:p>
    <w:p w14:paraId="2029E345" w14:textId="77777777" w:rsidR="00211E8A" w:rsidRDefault="00211E8A" w:rsidP="00211E8A">
      <w:pPr>
        <w:numPr>
          <w:ilvl w:val="0"/>
          <w:numId w:val="10"/>
        </w:numPr>
      </w:pPr>
      <w:r w:rsidRPr="00361C46">
        <w:t>violetinės, pakilusios, skausmingos opos ant galūnių ir, kartais veido bei kaklo, kartu pasireiškiantis karščiavimas (</w:t>
      </w:r>
      <w:r w:rsidRPr="00361C46">
        <w:rPr>
          <w:i/>
        </w:rPr>
        <w:t>Sweet sindromas</w:t>
      </w:r>
      <w:r w:rsidRPr="00361C46">
        <w:t>)</w:t>
      </w:r>
    </w:p>
    <w:p w14:paraId="0200A297" w14:textId="77777777" w:rsidR="00211E8A" w:rsidRPr="00621FCA" w:rsidRDefault="00211E8A" w:rsidP="00211E8A">
      <w:pPr>
        <w:numPr>
          <w:ilvl w:val="0"/>
          <w:numId w:val="10"/>
        </w:numPr>
      </w:pPr>
      <w:r w:rsidRPr="00621FCA">
        <w:t>reumatoidinio artrito paūmėjimas</w:t>
      </w:r>
    </w:p>
    <w:p w14:paraId="6D6A2A22" w14:textId="77777777" w:rsidR="00211E8A" w:rsidRPr="00361C46" w:rsidRDefault="00211E8A" w:rsidP="00211E8A">
      <w:pPr>
        <w:numPr>
          <w:ilvl w:val="0"/>
          <w:numId w:val="10"/>
        </w:numPr>
        <w:autoSpaceDE w:val="0"/>
        <w:autoSpaceDN w:val="0"/>
        <w:adjustRightInd w:val="0"/>
      </w:pPr>
      <w:r w:rsidRPr="00361C46">
        <w:t>nenormalūs pokyčiai šlapime</w:t>
      </w:r>
    </w:p>
    <w:p w14:paraId="1CDF4BCC" w14:textId="77777777" w:rsidR="00211E8A" w:rsidRDefault="00211E8A" w:rsidP="00211E8A">
      <w:pPr>
        <w:numPr>
          <w:ilvl w:val="0"/>
          <w:numId w:val="10"/>
        </w:numPr>
      </w:pPr>
      <w:r>
        <w:t>kaulų tankio sumažėjimas</w:t>
      </w:r>
    </w:p>
    <w:p w14:paraId="3D6B9BD0" w14:textId="77777777" w:rsidR="001B17A9" w:rsidRDefault="001B17A9" w:rsidP="001B17A9">
      <w:pPr>
        <w:numPr>
          <w:ilvl w:val="0"/>
          <w:numId w:val="10"/>
        </w:numPr>
      </w:pPr>
      <w:r>
        <w:t>aortos (didžiosios kraujagyslės, kuria kraujas iš širdies teka į visas kūno dalis ir organus) uždegimas, žr. 2</w:t>
      </w:r>
      <w:r w:rsidR="00B568FF">
        <w:t> </w:t>
      </w:r>
      <w:r>
        <w:t>skyrių</w:t>
      </w:r>
    </w:p>
    <w:p w14:paraId="64455812" w14:textId="77777777" w:rsidR="00211E8A" w:rsidRPr="00361C46" w:rsidRDefault="00211E8A" w:rsidP="00211E8A"/>
    <w:p w14:paraId="53509EC1" w14:textId="77777777" w:rsidR="00211E8A" w:rsidRPr="00361C46" w:rsidRDefault="00211E8A" w:rsidP="00C248FE">
      <w:pPr>
        <w:pStyle w:val="BTEMEASMCA"/>
      </w:pPr>
      <w:r w:rsidRPr="00361C46">
        <w:t>Pranešimas apie šalutinį poveikį</w:t>
      </w:r>
    </w:p>
    <w:p w14:paraId="56E72163" w14:textId="77777777" w:rsidR="00211E8A" w:rsidRPr="00361C46" w:rsidRDefault="00211E8A" w:rsidP="002E3EFF">
      <w:pPr>
        <w:pStyle w:val="BTEMEASMCA"/>
      </w:pPr>
    </w:p>
    <w:p w14:paraId="7BF8B38B" w14:textId="77777777" w:rsidR="00211E8A" w:rsidRPr="00361C46" w:rsidRDefault="00211E8A" w:rsidP="00211E8A">
      <w:pPr>
        <w:ind w:right="-449"/>
        <w:rPr>
          <w:snapToGrid w:val="0"/>
          <w:szCs w:val="24"/>
          <w:lang w:eastAsia="en-US"/>
        </w:rPr>
      </w:pPr>
      <w:r w:rsidRPr="00361C46">
        <w:t xml:space="preserve">Jeigu pasireiškė šalutinis poveikis, įskaitant šiame lapelyje nenurodytą, pasakykite gydytojui arba </w:t>
      </w:r>
      <w:r>
        <w:t>slaugytojui</w:t>
      </w:r>
      <w:r w:rsidRPr="00361C46">
        <w:t xml:space="preserve">. </w:t>
      </w:r>
      <w:r w:rsidRPr="00361C46">
        <w:rPr>
          <w:snapToGrid w:val="0"/>
          <w:szCs w:val="20"/>
          <w:lang w:eastAsia="en-US"/>
        </w:rPr>
        <w:t>Apie šalutinį poveikį taip pat galite pranešti Valstybinei vaistų kontrolės tarnybai prie Lietuvos Respublikos sveikatos apsaugos ministerijos nemokamu t</w:t>
      </w:r>
      <w:r w:rsidRPr="00361C46">
        <w:rPr>
          <w:snapToGrid w:val="0"/>
          <w:szCs w:val="20"/>
          <w:lang w:eastAsia="zh-CN"/>
        </w:rPr>
        <w:t>elefonu 8 800 73568</w:t>
      </w:r>
      <w:r w:rsidRPr="00361C46">
        <w:rPr>
          <w:snapToGrid w:val="0"/>
          <w:szCs w:val="20"/>
          <w:lang w:eastAsia="en-US"/>
        </w:rPr>
        <w:t xml:space="preserve"> arba užpildyti interneto svetainėje </w:t>
      </w:r>
      <w:hyperlink r:id="rId17" w:history="1">
        <w:r w:rsidRPr="00361C46">
          <w:rPr>
            <w:rFonts w:eastAsia="SimSun"/>
            <w:snapToGrid w:val="0"/>
            <w:color w:val="0000FF"/>
            <w:szCs w:val="20"/>
            <w:u w:val="single"/>
            <w:lang w:eastAsia="en-US"/>
          </w:rPr>
          <w:t>www.vvkt.lt</w:t>
        </w:r>
      </w:hyperlink>
      <w:r w:rsidRPr="00361C46">
        <w:rPr>
          <w:snapToGrid w:val="0"/>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361C46">
        <w:rPr>
          <w:snapToGrid w:val="0"/>
          <w:szCs w:val="20"/>
          <w:lang w:eastAsia="zh-CN"/>
        </w:rPr>
        <w:t xml:space="preserve">nemokamu </w:t>
      </w:r>
      <w:r w:rsidRPr="00361C46">
        <w:rPr>
          <w:snapToGrid w:val="0"/>
          <w:szCs w:val="20"/>
          <w:lang w:eastAsia="en-US"/>
        </w:rPr>
        <w:t>fakso numeriu 8 800 20131</w:t>
      </w:r>
      <w:r w:rsidRPr="00361C46">
        <w:rPr>
          <w:snapToGrid w:val="0"/>
          <w:szCs w:val="20"/>
          <w:lang w:eastAsia="zh-CN"/>
        </w:rPr>
        <w:t xml:space="preserve">, </w:t>
      </w:r>
      <w:r w:rsidRPr="00361C46">
        <w:rPr>
          <w:snapToGrid w:val="0"/>
          <w:szCs w:val="20"/>
          <w:lang w:eastAsia="en-US"/>
        </w:rPr>
        <w:t xml:space="preserve">el. paštu </w:t>
      </w:r>
      <w:hyperlink r:id="rId18" w:history="1">
        <w:r w:rsidRPr="00361C46">
          <w:rPr>
            <w:rFonts w:eastAsia="SimSun"/>
            <w:snapToGrid w:val="0"/>
            <w:color w:val="0000FF"/>
            <w:szCs w:val="20"/>
            <w:u w:val="single"/>
            <w:lang w:eastAsia="en-US"/>
          </w:rPr>
          <w:t>NepageidaujamaR@vvkt.lt</w:t>
        </w:r>
      </w:hyperlink>
      <w:r w:rsidRPr="00361C46">
        <w:rPr>
          <w:snapToGrid w:val="0"/>
          <w:szCs w:val="20"/>
          <w:lang w:eastAsia="en-US"/>
        </w:rPr>
        <w:t xml:space="preserve">, taip pat per Valstybinės vaistų kontrolės tarnybos prie Lietuvos Respublikos sveikatos apsaugos ministerijos interneto svetainę (adresu </w:t>
      </w:r>
      <w:hyperlink r:id="rId19" w:history="1">
        <w:r w:rsidRPr="00361C46">
          <w:rPr>
            <w:rFonts w:eastAsia="SimSun"/>
            <w:snapToGrid w:val="0"/>
            <w:color w:val="0000FF"/>
            <w:szCs w:val="20"/>
            <w:u w:val="single"/>
            <w:lang w:eastAsia="en-US"/>
          </w:rPr>
          <w:t>http://www.vvkt.lt</w:t>
        </w:r>
      </w:hyperlink>
      <w:r w:rsidRPr="00361C46">
        <w:rPr>
          <w:snapToGrid w:val="0"/>
          <w:szCs w:val="20"/>
          <w:lang w:eastAsia="en-US"/>
        </w:rPr>
        <w:t>). Pranešdami apie šalutinį poveikį galite mums padėti gauti daugiau informacijos apie šio vaisto saugumą.</w:t>
      </w:r>
    </w:p>
    <w:p w14:paraId="0F0CE0DF" w14:textId="77777777" w:rsidR="00D24A7B" w:rsidRPr="002E00F3" w:rsidRDefault="00D24A7B" w:rsidP="00D24A7B"/>
    <w:p w14:paraId="7C1B8AC6" w14:textId="77777777" w:rsidR="00D24A7B" w:rsidRPr="006F0805" w:rsidRDefault="00D24A7B" w:rsidP="00D24A7B">
      <w:pPr>
        <w:rPr>
          <w:lang w:val="pt-BR"/>
        </w:rPr>
      </w:pPr>
    </w:p>
    <w:p w14:paraId="47A7BDDF" w14:textId="77777777" w:rsidR="00D24A7B" w:rsidRPr="00AE03B0" w:rsidRDefault="00D24A7B" w:rsidP="007240E0">
      <w:pPr>
        <w:pStyle w:val="Antrat1"/>
        <w:keepNext/>
        <w:ind w:left="567" w:hanging="567"/>
        <w:rPr>
          <w:rFonts w:ascii="Times New Roman" w:hAnsi="Times New Roman"/>
          <w:sz w:val="22"/>
          <w:szCs w:val="22"/>
        </w:rPr>
      </w:pPr>
      <w:r w:rsidRPr="006F0805">
        <w:rPr>
          <w:rFonts w:ascii="Times New Roman" w:hAnsi="Times New Roman"/>
          <w:sz w:val="22"/>
          <w:szCs w:val="22"/>
        </w:rPr>
        <w:lastRenderedPageBreak/>
        <w:t>5.</w:t>
      </w:r>
      <w:r w:rsidRPr="006F0805">
        <w:rPr>
          <w:rFonts w:ascii="Times New Roman" w:hAnsi="Times New Roman"/>
          <w:sz w:val="22"/>
          <w:szCs w:val="22"/>
        </w:rPr>
        <w:tab/>
      </w:r>
      <w:r w:rsidR="00AC076B" w:rsidRPr="006F0805">
        <w:rPr>
          <w:rFonts w:ascii="Times New Roman" w:hAnsi="Times New Roman"/>
          <w:sz w:val="22"/>
          <w:szCs w:val="22"/>
        </w:rPr>
        <w:t>Kaip laikyti Neupogen</w:t>
      </w:r>
    </w:p>
    <w:p w14:paraId="092BFC3E" w14:textId="77777777" w:rsidR="00D24A7B" w:rsidRPr="006F0805" w:rsidRDefault="00D24A7B" w:rsidP="007240E0">
      <w:pPr>
        <w:keepNext/>
      </w:pPr>
    </w:p>
    <w:p w14:paraId="77787D09" w14:textId="77777777" w:rsidR="00D24A7B" w:rsidRPr="00AE03B0" w:rsidRDefault="00AC076B" w:rsidP="007240E0">
      <w:pPr>
        <w:keepNext/>
      </w:pPr>
      <w:r w:rsidRPr="006F0805">
        <w:t>Šį vaistą l</w:t>
      </w:r>
      <w:r w:rsidR="00D24A7B" w:rsidRPr="00AE03B0">
        <w:t>aiky</w:t>
      </w:r>
      <w:r w:rsidRPr="006F0805">
        <w:t>kite</w:t>
      </w:r>
      <w:r w:rsidR="00D24A7B" w:rsidRPr="00AE03B0">
        <w:t xml:space="preserve"> vaikams </w:t>
      </w:r>
      <w:r w:rsidRPr="006F0805">
        <w:t>nepastebimoje</w:t>
      </w:r>
      <w:r w:rsidR="00D24A7B" w:rsidRPr="00AE03B0">
        <w:t xml:space="preserve"> ir </w:t>
      </w:r>
      <w:r w:rsidRPr="006F0805">
        <w:t>nepasiekiamoje</w:t>
      </w:r>
      <w:r w:rsidR="00D24A7B" w:rsidRPr="00AE03B0">
        <w:t xml:space="preserve"> vietoje.</w:t>
      </w:r>
    </w:p>
    <w:p w14:paraId="6461AA0B" w14:textId="77777777" w:rsidR="00D24A7B" w:rsidRPr="006F0805" w:rsidRDefault="00D24A7B" w:rsidP="007240E0">
      <w:pPr>
        <w:keepNext/>
      </w:pPr>
    </w:p>
    <w:p w14:paraId="11C557DE" w14:textId="77777777" w:rsidR="00D24A7B" w:rsidRPr="006F0805" w:rsidRDefault="00D24A7B" w:rsidP="00D24A7B">
      <w:pPr>
        <w:rPr>
          <w:lang w:val="pt-BR"/>
        </w:rPr>
      </w:pPr>
      <w:r w:rsidRPr="006F0805">
        <w:rPr>
          <w:lang w:val="pt-BR"/>
        </w:rPr>
        <w:t xml:space="preserve">Laikyti šaldytuve (2 °C – 8 °C). </w:t>
      </w:r>
    </w:p>
    <w:p w14:paraId="5AC89A64" w14:textId="77777777" w:rsidR="00E42BD3" w:rsidRPr="00561A49" w:rsidRDefault="00E42BD3" w:rsidP="00E42BD3">
      <w:r w:rsidRPr="00561A49">
        <w:t xml:space="preserve">Talpyklę laikyti išorinėje dėžutėje, kad </w:t>
      </w:r>
      <w:r w:rsidR="00D06B11">
        <w:t>vaistas</w:t>
      </w:r>
      <w:r w:rsidRPr="00561A49">
        <w:t xml:space="preserve"> būtų apsaugotas nuo šviesos.</w:t>
      </w:r>
    </w:p>
    <w:p w14:paraId="5CD7D7C0" w14:textId="77777777" w:rsidR="00D24A7B" w:rsidRPr="006F0805" w:rsidRDefault="00D24A7B" w:rsidP="00D24A7B">
      <w:pPr>
        <w:rPr>
          <w:lang w:val="pt-BR"/>
        </w:rPr>
      </w:pPr>
      <w:r w:rsidRPr="006F0805">
        <w:rPr>
          <w:lang w:val="pt-BR"/>
        </w:rPr>
        <w:t>Atsitiktinai užšaldžius Neupogen stabilumas nekinta.</w:t>
      </w:r>
    </w:p>
    <w:p w14:paraId="5F7CD064" w14:textId="77777777" w:rsidR="00D24A7B" w:rsidRPr="006F0805" w:rsidRDefault="00D24A7B" w:rsidP="00D24A7B">
      <w:pPr>
        <w:rPr>
          <w:lang w:val="pt-BR"/>
        </w:rPr>
      </w:pPr>
    </w:p>
    <w:p w14:paraId="52537EE5" w14:textId="77777777" w:rsidR="00D24A7B" w:rsidRPr="00AE03B0" w:rsidRDefault="00D24A7B" w:rsidP="00D24A7B">
      <w:pPr>
        <w:rPr>
          <w:lang w:val="pt-BR"/>
        </w:rPr>
      </w:pPr>
      <w:r w:rsidRPr="006F0805">
        <w:rPr>
          <w:lang w:val="pt-BR"/>
        </w:rPr>
        <w:t xml:space="preserve">Ant švirkšto etiketės ir dėžutės po </w:t>
      </w:r>
      <w:r w:rsidR="00674968" w:rsidRPr="00674968">
        <w:t>„</w:t>
      </w:r>
      <w:r w:rsidRPr="006F0805">
        <w:rPr>
          <w:lang w:val="pt-BR"/>
        </w:rPr>
        <w:t>Tinka iki</w:t>
      </w:r>
      <w:r w:rsidR="00674968" w:rsidRPr="00674968">
        <w:t>“ / „EXP“</w:t>
      </w:r>
      <w:r w:rsidRPr="006F0805">
        <w:rPr>
          <w:lang w:val="pt-BR"/>
        </w:rPr>
        <w:t xml:space="preserve"> nurodytam tinkamumo laikui pasibaigus, </w:t>
      </w:r>
      <w:r w:rsidR="00AC076B" w:rsidRPr="006F0805">
        <w:rPr>
          <w:lang w:val="pt-BR"/>
        </w:rPr>
        <w:t>šio</w:t>
      </w:r>
      <w:r w:rsidR="00AC076B" w:rsidRPr="00AE03B0">
        <w:rPr>
          <w:lang w:val="pt-BR"/>
        </w:rPr>
        <w:t xml:space="preserve"> </w:t>
      </w:r>
      <w:r w:rsidR="00AC076B" w:rsidRPr="006F0805">
        <w:rPr>
          <w:lang w:val="pt-BR"/>
        </w:rPr>
        <w:t>vaisto</w:t>
      </w:r>
      <w:r w:rsidRPr="00AE03B0">
        <w:rPr>
          <w:lang w:val="pt-BR"/>
        </w:rPr>
        <w:t xml:space="preserve"> vartoti negalima. Vaistas tinkamas vartoti iki paskutinės nurodyto mėnesio dienos.</w:t>
      </w:r>
    </w:p>
    <w:p w14:paraId="6837E69D" w14:textId="77777777" w:rsidR="00D24A7B" w:rsidRPr="006F0805" w:rsidRDefault="00D24A7B" w:rsidP="00D24A7B">
      <w:pPr>
        <w:rPr>
          <w:lang w:val="pt-BR"/>
        </w:rPr>
      </w:pPr>
    </w:p>
    <w:p w14:paraId="4397038E" w14:textId="77777777" w:rsidR="00D24A7B" w:rsidRPr="00AE03B0" w:rsidRDefault="00D24A7B" w:rsidP="00D24A7B">
      <w:pPr>
        <w:rPr>
          <w:lang w:val="pt-BR"/>
        </w:rPr>
      </w:pPr>
      <w:r w:rsidRPr="006F0805">
        <w:rPr>
          <w:lang w:val="pt-BR"/>
        </w:rPr>
        <w:t xml:space="preserve">Pastebėjus, kad pakito tirpalo spalva, atsirado drumzlių ar dalelių, </w:t>
      </w:r>
      <w:r w:rsidR="00B0596B" w:rsidRPr="006F0805">
        <w:rPr>
          <w:lang w:val="pt-BR"/>
        </w:rPr>
        <w:t>šio vaisto</w:t>
      </w:r>
      <w:r w:rsidRPr="00AE03B0">
        <w:rPr>
          <w:lang w:val="pt-BR"/>
        </w:rPr>
        <w:t xml:space="preserve"> vartoti negalima, nes tai turi būti skaidrus, bespalvis skystis.</w:t>
      </w:r>
    </w:p>
    <w:p w14:paraId="1370355B" w14:textId="77777777" w:rsidR="00D24A7B" w:rsidRPr="006F0805" w:rsidRDefault="00D24A7B" w:rsidP="00D24A7B">
      <w:pPr>
        <w:rPr>
          <w:lang w:val="pt-BR"/>
        </w:rPr>
      </w:pPr>
    </w:p>
    <w:p w14:paraId="52BBA492" w14:textId="77777777" w:rsidR="00D24A7B" w:rsidRPr="00AE03B0" w:rsidRDefault="00D24A7B" w:rsidP="00D24A7B">
      <w:pPr>
        <w:rPr>
          <w:lang w:val="pt-BR"/>
        </w:rPr>
      </w:pPr>
      <w:r w:rsidRPr="006F0805">
        <w:rPr>
          <w:lang w:val="pt-BR"/>
        </w:rPr>
        <w:t xml:space="preserve">Vaistų negalima </w:t>
      </w:r>
      <w:r w:rsidR="00B0596B" w:rsidRPr="006F0805">
        <w:rPr>
          <w:lang w:val="pt-BR"/>
        </w:rPr>
        <w:t>iš</w:t>
      </w:r>
      <w:r w:rsidRPr="00AE03B0">
        <w:rPr>
          <w:lang w:val="pt-BR"/>
        </w:rPr>
        <w:t xml:space="preserve">mesti į kanalizaciją arba su buitinėmis atliekomis. Kaip </w:t>
      </w:r>
      <w:r w:rsidR="00B0596B" w:rsidRPr="006F0805">
        <w:rPr>
          <w:lang w:val="pt-BR"/>
        </w:rPr>
        <w:t>išmesti</w:t>
      </w:r>
      <w:r w:rsidRPr="00AE03B0">
        <w:rPr>
          <w:lang w:val="pt-BR"/>
        </w:rPr>
        <w:t xml:space="preserve"> nereikalingus vaistus, klauskite vaistininko. </w:t>
      </w:r>
      <w:r w:rsidR="00B0596B" w:rsidRPr="006F0805">
        <w:t>Šios priemonės</w:t>
      </w:r>
      <w:r w:rsidRPr="00AE03B0">
        <w:rPr>
          <w:lang w:val="pt-BR"/>
        </w:rPr>
        <w:t xml:space="preserve"> padės apsaugoti aplinką.</w:t>
      </w:r>
    </w:p>
    <w:p w14:paraId="03A55DF1" w14:textId="77777777" w:rsidR="00D24A7B" w:rsidRPr="006F0805" w:rsidRDefault="00D24A7B" w:rsidP="00D24A7B">
      <w:pPr>
        <w:rPr>
          <w:lang w:val="pt-BR"/>
        </w:rPr>
      </w:pPr>
    </w:p>
    <w:p w14:paraId="7A11A56A" w14:textId="77777777" w:rsidR="00D24A7B" w:rsidRPr="006F0805" w:rsidRDefault="00D24A7B" w:rsidP="00D24A7B">
      <w:pPr>
        <w:rPr>
          <w:lang w:val="pt-BR"/>
        </w:rPr>
      </w:pPr>
    </w:p>
    <w:p w14:paraId="1203BC8F" w14:textId="77777777" w:rsidR="00D24A7B" w:rsidRPr="00AE03B0" w:rsidRDefault="00D24A7B" w:rsidP="00D6379A">
      <w:pPr>
        <w:pStyle w:val="Antrat1"/>
        <w:keepNext/>
        <w:ind w:left="567" w:hanging="567"/>
        <w:rPr>
          <w:rFonts w:ascii="Times New Roman" w:hAnsi="Times New Roman"/>
          <w:sz w:val="22"/>
          <w:szCs w:val="22"/>
        </w:rPr>
      </w:pPr>
      <w:r w:rsidRPr="006F0805">
        <w:rPr>
          <w:rFonts w:ascii="Times New Roman" w:hAnsi="Times New Roman"/>
          <w:sz w:val="22"/>
          <w:szCs w:val="22"/>
        </w:rPr>
        <w:t>6.</w:t>
      </w:r>
      <w:r w:rsidRPr="006F0805">
        <w:rPr>
          <w:rFonts w:ascii="Times New Roman" w:hAnsi="Times New Roman"/>
          <w:sz w:val="22"/>
          <w:szCs w:val="22"/>
        </w:rPr>
        <w:tab/>
      </w:r>
      <w:r w:rsidR="00B0596B" w:rsidRPr="006F0805">
        <w:rPr>
          <w:rFonts w:ascii="Times New Roman" w:hAnsi="Times New Roman"/>
          <w:sz w:val="22"/>
          <w:szCs w:val="22"/>
        </w:rPr>
        <w:t>Pakuotės turinys ir kita informacija</w:t>
      </w:r>
    </w:p>
    <w:p w14:paraId="346586E7" w14:textId="77777777" w:rsidR="00D24A7B" w:rsidRPr="006F0805" w:rsidRDefault="00D24A7B" w:rsidP="002E00F3">
      <w:pPr>
        <w:keepNext/>
      </w:pPr>
    </w:p>
    <w:p w14:paraId="35F5144D" w14:textId="77777777" w:rsidR="00D24A7B" w:rsidRPr="006F0805" w:rsidRDefault="00D24A7B" w:rsidP="00D24A7B">
      <w:pPr>
        <w:pStyle w:val="Antrat2"/>
        <w:rPr>
          <w:rFonts w:ascii="Times New Roman" w:hAnsi="Times New Roman"/>
        </w:rPr>
      </w:pPr>
      <w:r w:rsidRPr="006F0805">
        <w:rPr>
          <w:rFonts w:ascii="Times New Roman" w:hAnsi="Times New Roman"/>
        </w:rPr>
        <w:t>Neupogen sudėtis</w:t>
      </w:r>
    </w:p>
    <w:p w14:paraId="16189349" w14:textId="77777777" w:rsidR="0015207D" w:rsidRPr="006F0805" w:rsidRDefault="0015207D" w:rsidP="0015207D">
      <w:pPr>
        <w:rPr>
          <w:lang w:eastAsia="x-none"/>
        </w:rPr>
      </w:pPr>
    </w:p>
    <w:p w14:paraId="47D70BAB" w14:textId="77777777" w:rsidR="00D24A7B" w:rsidRPr="006F0805" w:rsidRDefault="00D24A7B" w:rsidP="00A04D01">
      <w:pPr>
        <w:numPr>
          <w:ilvl w:val="0"/>
          <w:numId w:val="26"/>
        </w:numPr>
      </w:pPr>
      <w:r w:rsidRPr="006F0805">
        <w:t>Veiklioji medžiaga yra 30</w:t>
      </w:r>
      <w:r w:rsidR="001E4FA4" w:rsidRPr="006F0805">
        <w:t xml:space="preserve">0 mikrogramų </w:t>
      </w:r>
      <w:r w:rsidRPr="00AE03B0">
        <w:rPr>
          <w:bCs/>
        </w:rPr>
        <w:t xml:space="preserve">(0,6 mg/ml) </w:t>
      </w:r>
      <w:r w:rsidRPr="006F0805">
        <w:rPr>
          <w:bCs/>
        </w:rPr>
        <w:t xml:space="preserve">arba </w:t>
      </w:r>
      <w:r w:rsidRPr="006F0805">
        <w:t>48</w:t>
      </w:r>
      <w:r w:rsidR="001E4FA4" w:rsidRPr="006F0805">
        <w:t>0 mikrogramų</w:t>
      </w:r>
      <w:r w:rsidR="00B22B9F" w:rsidRPr="006F0805">
        <w:t xml:space="preserve"> </w:t>
      </w:r>
      <w:r w:rsidR="00B22B9F" w:rsidRPr="006F0805">
        <w:rPr>
          <w:bCs/>
        </w:rPr>
        <w:t>(0,96 mg/ml)</w:t>
      </w:r>
      <w:r w:rsidRPr="00AE03B0">
        <w:t xml:space="preserve"> filgrastimo</w:t>
      </w:r>
      <w:r w:rsidRPr="006F0805">
        <w:rPr>
          <w:bCs/>
        </w:rPr>
        <w:t>.</w:t>
      </w:r>
    </w:p>
    <w:p w14:paraId="1FE78926" w14:textId="77777777" w:rsidR="00D24A7B" w:rsidRPr="00AE03B0" w:rsidRDefault="00D24A7B" w:rsidP="00A04D01">
      <w:pPr>
        <w:numPr>
          <w:ilvl w:val="0"/>
          <w:numId w:val="26"/>
        </w:numPr>
        <w:rPr>
          <w:lang w:val="pt-BR"/>
        </w:rPr>
      </w:pPr>
      <w:r w:rsidRPr="006F0805">
        <w:rPr>
          <w:lang w:val="pt-BR"/>
        </w:rPr>
        <w:t>Pagalbinės medžiagos yra natrio acetatas, sorbitolis</w:t>
      </w:r>
      <w:r w:rsidR="0048150B" w:rsidRPr="006F0805">
        <w:rPr>
          <w:lang w:val="pt-BR"/>
        </w:rPr>
        <w:t xml:space="preserve"> (E420)</w:t>
      </w:r>
      <w:r w:rsidRPr="00AE03B0">
        <w:rPr>
          <w:lang w:val="pt-BR"/>
        </w:rPr>
        <w:t>, polisorbatas 80, injekcinis vanduo.</w:t>
      </w:r>
    </w:p>
    <w:p w14:paraId="10852B1C" w14:textId="77777777" w:rsidR="00D24A7B" w:rsidRPr="006F0805" w:rsidRDefault="00D24A7B" w:rsidP="00D24A7B">
      <w:pPr>
        <w:ind w:left="567" w:hanging="567"/>
        <w:rPr>
          <w:lang w:val="pt-BR"/>
        </w:rPr>
      </w:pPr>
    </w:p>
    <w:p w14:paraId="5FD37C67" w14:textId="77777777" w:rsidR="00D24A7B" w:rsidRPr="006F0805" w:rsidRDefault="00D24A7B" w:rsidP="00D24A7B">
      <w:pPr>
        <w:pStyle w:val="Antrat2"/>
        <w:rPr>
          <w:rFonts w:ascii="Times New Roman" w:hAnsi="Times New Roman"/>
        </w:rPr>
      </w:pPr>
      <w:r w:rsidRPr="006F0805">
        <w:rPr>
          <w:rFonts w:ascii="Times New Roman" w:hAnsi="Times New Roman"/>
        </w:rPr>
        <w:t>Neupogen išvaizda ir kiekis pakuotėje</w:t>
      </w:r>
    </w:p>
    <w:p w14:paraId="4F587434" w14:textId="77777777" w:rsidR="0015207D" w:rsidRPr="006F0805" w:rsidRDefault="0015207D" w:rsidP="0015207D">
      <w:pPr>
        <w:rPr>
          <w:lang w:eastAsia="x-none"/>
        </w:rPr>
      </w:pPr>
    </w:p>
    <w:p w14:paraId="0F6EC13D" w14:textId="77777777" w:rsidR="00D24A7B" w:rsidRPr="006F0805" w:rsidRDefault="00D24A7B" w:rsidP="00D24A7B">
      <w:pPr>
        <w:rPr>
          <w:lang w:val="pt-BR"/>
        </w:rPr>
      </w:pPr>
      <w:r w:rsidRPr="006F0805">
        <w:rPr>
          <w:lang w:val="pt-BR"/>
        </w:rPr>
        <w:t>Neupogen yra skaidrus bespalvis injekcinis tirpalas (injekcija)/koncentratas infuziniam tirpalui (sterilus koncentratas), užpildytame švirkšte.</w:t>
      </w:r>
    </w:p>
    <w:p w14:paraId="26F80C8A" w14:textId="77777777" w:rsidR="0015207D" w:rsidRPr="006F0805" w:rsidRDefault="0015207D" w:rsidP="00D24A7B">
      <w:pPr>
        <w:rPr>
          <w:lang w:val="pt-BR"/>
        </w:rPr>
      </w:pPr>
    </w:p>
    <w:p w14:paraId="1505D9A2" w14:textId="77777777" w:rsidR="00D24A7B" w:rsidRPr="006F0805" w:rsidRDefault="00D24A7B" w:rsidP="00D24A7B">
      <w:pPr>
        <w:rPr>
          <w:lang w:val="pt-BR"/>
        </w:rPr>
      </w:pPr>
      <w:r w:rsidRPr="006F0805">
        <w:rPr>
          <w:lang w:val="pt-BR"/>
        </w:rPr>
        <w:t>Neupogen pakuotėje yra vienas arba penki užpildyti švirkštai. Gali būti tiekiamos ne visų dydžių pakuotės.</w:t>
      </w:r>
    </w:p>
    <w:p w14:paraId="1C7AEAFA" w14:textId="77777777" w:rsidR="00D24A7B" w:rsidRPr="006F0805" w:rsidRDefault="00D24A7B" w:rsidP="00D24A7B">
      <w:pPr>
        <w:rPr>
          <w:lang w:val="pt-BR"/>
        </w:rPr>
      </w:pPr>
    </w:p>
    <w:p w14:paraId="32954B78" w14:textId="77777777" w:rsidR="00D24A7B" w:rsidRPr="00221F15" w:rsidRDefault="00D24A7B" w:rsidP="00B8623B">
      <w:pPr>
        <w:pStyle w:val="Antrat2"/>
        <w:rPr>
          <w:lang w:val="pt-BR"/>
        </w:rPr>
      </w:pPr>
      <w:r w:rsidRPr="006F0805">
        <w:rPr>
          <w:rFonts w:ascii="Times New Roman" w:hAnsi="Times New Roman"/>
        </w:rPr>
        <w:t>R</w:t>
      </w:r>
      <w:r w:rsidR="004D3BF4">
        <w:rPr>
          <w:rFonts w:ascii="Times New Roman" w:hAnsi="Times New Roman"/>
        </w:rPr>
        <w:t>egistruotojas</w:t>
      </w:r>
      <w:r w:rsidRPr="006F0805">
        <w:rPr>
          <w:rFonts w:ascii="Times New Roman" w:hAnsi="Times New Roman"/>
        </w:rPr>
        <w:t xml:space="preserve"> ir gamintojas</w:t>
      </w:r>
      <w:r w:rsidR="00B8623B">
        <w:rPr>
          <w:rFonts w:ascii="Times New Roman" w:hAnsi="Times New Roman"/>
        </w:rPr>
        <w:t>:</w:t>
      </w:r>
    </w:p>
    <w:p w14:paraId="247CFB7C" w14:textId="77777777" w:rsidR="00D24A7B" w:rsidRPr="006F0805" w:rsidRDefault="00B8623B" w:rsidP="00AD170C">
      <w:pPr>
        <w:keepNext/>
        <w:rPr>
          <w:lang w:val="pt-BR"/>
        </w:rPr>
      </w:pPr>
      <w:r>
        <w:rPr>
          <w:lang w:val="pt-BR"/>
        </w:rPr>
        <w:t>Amgen Europe B.V.</w:t>
      </w:r>
    </w:p>
    <w:p w14:paraId="69C8830F" w14:textId="77777777" w:rsidR="00D24A7B" w:rsidRPr="006F0805" w:rsidRDefault="00B8623B" w:rsidP="00AD170C">
      <w:pPr>
        <w:keepNext/>
        <w:rPr>
          <w:lang w:val="pt-BR"/>
        </w:rPr>
      </w:pPr>
      <w:r>
        <w:rPr>
          <w:lang w:val="pt-BR"/>
        </w:rPr>
        <w:t>Minervum 7061</w:t>
      </w:r>
      <w:r w:rsidR="00D24A7B" w:rsidRPr="006F0805">
        <w:rPr>
          <w:lang w:val="pt-BR"/>
        </w:rPr>
        <w:t xml:space="preserve"> </w:t>
      </w:r>
    </w:p>
    <w:p w14:paraId="4C58CD6F" w14:textId="77777777" w:rsidR="00D24A7B" w:rsidRPr="006F0805" w:rsidRDefault="00B8623B" w:rsidP="00D24A7B">
      <w:pPr>
        <w:rPr>
          <w:lang w:val="pt-BR"/>
        </w:rPr>
      </w:pPr>
      <w:r>
        <w:rPr>
          <w:lang w:val="pt-BR"/>
        </w:rPr>
        <w:t>4817 ZK Breda</w:t>
      </w:r>
      <w:r w:rsidR="00D24A7B" w:rsidRPr="006F0805">
        <w:rPr>
          <w:lang w:val="pt-BR"/>
        </w:rPr>
        <w:t xml:space="preserve"> </w:t>
      </w:r>
    </w:p>
    <w:p w14:paraId="05CE0640" w14:textId="77777777" w:rsidR="00D24A7B" w:rsidRPr="002E00F3" w:rsidRDefault="00D24A7B" w:rsidP="00D24A7B">
      <w:pPr>
        <w:rPr>
          <w:lang w:val="pt-BR"/>
        </w:rPr>
      </w:pPr>
      <w:r w:rsidRPr="002E00F3">
        <w:rPr>
          <w:lang w:val="pt-BR"/>
        </w:rPr>
        <w:t>Nyderlandai</w:t>
      </w:r>
    </w:p>
    <w:p w14:paraId="4BD28071" w14:textId="77777777" w:rsidR="00D24A7B" w:rsidRPr="002E00F3" w:rsidRDefault="00D24A7B" w:rsidP="00D24A7B">
      <w:pPr>
        <w:rPr>
          <w:lang w:val="pt-BR"/>
        </w:rPr>
      </w:pPr>
    </w:p>
    <w:p w14:paraId="65965BEB" w14:textId="77777777" w:rsidR="00B8623B" w:rsidRPr="005B0A22" w:rsidRDefault="00B8623B" w:rsidP="00B8623B">
      <w:pPr>
        <w:keepNext/>
        <w:tabs>
          <w:tab w:val="left" w:pos="567"/>
        </w:tabs>
        <w:rPr>
          <w:b/>
          <w:noProof w:val="0"/>
        </w:rPr>
      </w:pPr>
      <w:r w:rsidRPr="008310F0">
        <w:rPr>
          <w:b/>
          <w:highlight w:val="lightGray"/>
        </w:rPr>
        <w:t>R</w:t>
      </w:r>
      <w:r w:rsidR="004D3BF4" w:rsidRPr="00D97FFA">
        <w:rPr>
          <w:b/>
          <w:highlight w:val="lightGray"/>
        </w:rPr>
        <w:t>egistruotojas</w:t>
      </w:r>
      <w:r w:rsidRPr="00D97FFA">
        <w:rPr>
          <w:b/>
          <w:highlight w:val="lightGray"/>
        </w:rPr>
        <w:t>:</w:t>
      </w:r>
    </w:p>
    <w:p w14:paraId="545143A6" w14:textId="77777777" w:rsidR="00B8623B" w:rsidRPr="008310F0" w:rsidRDefault="00B8623B" w:rsidP="002E00F3">
      <w:pPr>
        <w:keepNext/>
        <w:autoSpaceDE w:val="0"/>
        <w:autoSpaceDN w:val="0"/>
        <w:adjustRightInd w:val="0"/>
        <w:rPr>
          <w:rFonts w:eastAsia="MS Mincho"/>
          <w:color w:val="000000"/>
          <w:highlight w:val="lightGray"/>
        </w:rPr>
      </w:pPr>
      <w:r w:rsidRPr="008310F0">
        <w:rPr>
          <w:rFonts w:eastAsia="MS Mincho"/>
          <w:color w:val="000000"/>
          <w:highlight w:val="lightGray"/>
        </w:rPr>
        <w:t>Amgen Europe B.V.</w:t>
      </w:r>
    </w:p>
    <w:p w14:paraId="4C9D2C1E" w14:textId="77777777" w:rsidR="00B8623B" w:rsidRPr="00D97FFA" w:rsidRDefault="00B8623B" w:rsidP="002E00F3">
      <w:pPr>
        <w:keepNext/>
        <w:autoSpaceDE w:val="0"/>
        <w:autoSpaceDN w:val="0"/>
        <w:adjustRightInd w:val="0"/>
        <w:rPr>
          <w:rFonts w:eastAsia="MS Mincho"/>
          <w:color w:val="000000"/>
          <w:highlight w:val="lightGray"/>
        </w:rPr>
      </w:pPr>
      <w:r w:rsidRPr="00D97FFA">
        <w:rPr>
          <w:rFonts w:eastAsia="MS Mincho"/>
          <w:color w:val="000000"/>
          <w:highlight w:val="lightGray"/>
        </w:rPr>
        <w:t>Minervum 7061</w:t>
      </w:r>
    </w:p>
    <w:p w14:paraId="44B25B8E" w14:textId="77777777" w:rsidR="00B8623B" w:rsidRPr="00306AC1" w:rsidRDefault="00B8623B" w:rsidP="002E00F3">
      <w:pPr>
        <w:keepNext/>
        <w:autoSpaceDE w:val="0"/>
        <w:autoSpaceDN w:val="0"/>
        <w:adjustRightInd w:val="0"/>
        <w:rPr>
          <w:rFonts w:eastAsia="MS Mincho"/>
          <w:color w:val="000000"/>
          <w:highlight w:val="lightGray"/>
        </w:rPr>
      </w:pPr>
      <w:r w:rsidRPr="00306AC1">
        <w:rPr>
          <w:rFonts w:eastAsia="MS Mincho"/>
          <w:color w:val="000000"/>
          <w:highlight w:val="lightGray"/>
        </w:rPr>
        <w:t>4817 ZK Breda</w:t>
      </w:r>
    </w:p>
    <w:p w14:paraId="096F3C91" w14:textId="77777777" w:rsidR="00B8623B" w:rsidRPr="002E00F3" w:rsidRDefault="00B8623B" w:rsidP="002E00F3">
      <w:pPr>
        <w:numPr>
          <w:ilvl w:val="12"/>
          <w:numId w:val="0"/>
        </w:numPr>
        <w:ind w:right="-2"/>
        <w:rPr>
          <w:rFonts w:eastAsia="MS Mincho"/>
          <w:color w:val="000000"/>
        </w:rPr>
      </w:pPr>
      <w:r w:rsidRPr="00306AC1">
        <w:rPr>
          <w:rFonts w:eastAsia="MS Mincho"/>
          <w:color w:val="000000"/>
          <w:highlight w:val="lightGray"/>
        </w:rPr>
        <w:t>Nyderlandai</w:t>
      </w:r>
    </w:p>
    <w:p w14:paraId="0B734252" w14:textId="77777777" w:rsidR="00B8623B" w:rsidRDefault="00B8623B" w:rsidP="00B8623B">
      <w:pPr>
        <w:rPr>
          <w:noProof w:val="0"/>
        </w:rPr>
      </w:pPr>
    </w:p>
    <w:p w14:paraId="5FC40DBE" w14:textId="77777777" w:rsidR="00B8623B" w:rsidRPr="008310F0" w:rsidRDefault="00B8623B" w:rsidP="002E00F3">
      <w:pPr>
        <w:keepNext/>
        <w:tabs>
          <w:tab w:val="left" w:pos="567"/>
        </w:tabs>
        <w:rPr>
          <w:b/>
          <w:highlight w:val="lightGray"/>
        </w:rPr>
      </w:pPr>
      <w:r w:rsidRPr="008310F0">
        <w:rPr>
          <w:b/>
          <w:highlight w:val="lightGray"/>
        </w:rPr>
        <w:t>Gamintojas:</w:t>
      </w:r>
    </w:p>
    <w:p w14:paraId="7F501693" w14:textId="77777777" w:rsidR="00B8623B" w:rsidRPr="00306AC1" w:rsidRDefault="00B8623B" w:rsidP="002E00F3">
      <w:pPr>
        <w:tabs>
          <w:tab w:val="left" w:pos="567"/>
        </w:tabs>
        <w:rPr>
          <w:highlight w:val="lightGray"/>
        </w:rPr>
      </w:pPr>
      <w:r w:rsidRPr="00D97FFA">
        <w:rPr>
          <w:highlight w:val="lightGray"/>
        </w:rPr>
        <w:t xml:space="preserve">Amgen Technology </w:t>
      </w:r>
      <w:r w:rsidR="00BD0589" w:rsidRPr="00D97FFA">
        <w:rPr>
          <w:highlight w:val="lightGray"/>
        </w:rPr>
        <w:t>(</w:t>
      </w:r>
      <w:r w:rsidRPr="00D97FFA">
        <w:rPr>
          <w:highlight w:val="lightGray"/>
        </w:rPr>
        <w:t>Ireland</w:t>
      </w:r>
      <w:r w:rsidR="00BD0589" w:rsidRPr="00306AC1">
        <w:rPr>
          <w:highlight w:val="lightGray"/>
        </w:rPr>
        <w:t>) Unlimited Company</w:t>
      </w:r>
    </w:p>
    <w:p w14:paraId="3E7EFC77" w14:textId="77777777" w:rsidR="00B8623B" w:rsidRPr="00306AC1" w:rsidRDefault="00B8623B" w:rsidP="002E00F3">
      <w:pPr>
        <w:tabs>
          <w:tab w:val="left" w:pos="567"/>
        </w:tabs>
        <w:rPr>
          <w:highlight w:val="lightGray"/>
        </w:rPr>
      </w:pPr>
      <w:r w:rsidRPr="00306AC1">
        <w:rPr>
          <w:highlight w:val="lightGray"/>
        </w:rPr>
        <w:t>Pottery Road</w:t>
      </w:r>
    </w:p>
    <w:p w14:paraId="28A82CD6" w14:textId="77777777" w:rsidR="00B8623B" w:rsidRPr="00306AC1" w:rsidRDefault="00B8623B" w:rsidP="002E00F3">
      <w:pPr>
        <w:tabs>
          <w:tab w:val="left" w:pos="567"/>
        </w:tabs>
        <w:rPr>
          <w:highlight w:val="lightGray"/>
        </w:rPr>
      </w:pPr>
      <w:r w:rsidRPr="00306AC1">
        <w:rPr>
          <w:highlight w:val="lightGray"/>
        </w:rPr>
        <w:t>Dun Laoghaire</w:t>
      </w:r>
    </w:p>
    <w:p w14:paraId="56CCCBC8" w14:textId="77777777" w:rsidR="00B8623B" w:rsidRPr="00306AC1" w:rsidRDefault="00B8623B" w:rsidP="002E00F3">
      <w:pPr>
        <w:tabs>
          <w:tab w:val="left" w:pos="567"/>
        </w:tabs>
        <w:rPr>
          <w:highlight w:val="lightGray"/>
        </w:rPr>
      </w:pPr>
      <w:r w:rsidRPr="00306AC1">
        <w:rPr>
          <w:highlight w:val="lightGray"/>
        </w:rPr>
        <w:t>Co Dublin</w:t>
      </w:r>
    </w:p>
    <w:p w14:paraId="09B2A0C9" w14:textId="77777777" w:rsidR="00B8623B" w:rsidRDefault="00B8623B" w:rsidP="00B8623B">
      <w:pPr>
        <w:tabs>
          <w:tab w:val="left" w:pos="567"/>
        </w:tabs>
      </w:pPr>
      <w:r w:rsidRPr="00306AC1">
        <w:rPr>
          <w:highlight w:val="lightGray"/>
        </w:rPr>
        <w:t>Airija</w:t>
      </w:r>
    </w:p>
    <w:p w14:paraId="24CEEC6E" w14:textId="77777777" w:rsidR="00D614D8" w:rsidRDefault="00D614D8" w:rsidP="00B8623B">
      <w:pPr>
        <w:tabs>
          <w:tab w:val="left" w:pos="567"/>
        </w:tabs>
      </w:pPr>
    </w:p>
    <w:p w14:paraId="3150EE49" w14:textId="77777777" w:rsidR="00D614D8" w:rsidRPr="00D97FFA" w:rsidRDefault="00D614D8" w:rsidP="00C7449C">
      <w:pPr>
        <w:keepNext/>
        <w:tabs>
          <w:tab w:val="left" w:pos="567"/>
        </w:tabs>
        <w:rPr>
          <w:b/>
          <w:highlight w:val="lightGray"/>
        </w:rPr>
      </w:pPr>
      <w:r w:rsidRPr="008310F0">
        <w:rPr>
          <w:b/>
          <w:highlight w:val="lightGray"/>
        </w:rPr>
        <w:lastRenderedPageBreak/>
        <w:t>Gamintojas:</w:t>
      </w:r>
    </w:p>
    <w:p w14:paraId="08D23473" w14:textId="77777777" w:rsidR="00D614D8" w:rsidRPr="00306AC1" w:rsidRDefault="00D614D8" w:rsidP="00D614D8">
      <w:pPr>
        <w:keepNext/>
        <w:autoSpaceDE w:val="0"/>
        <w:autoSpaceDN w:val="0"/>
        <w:adjustRightInd w:val="0"/>
        <w:rPr>
          <w:highlight w:val="lightGray"/>
        </w:rPr>
      </w:pPr>
      <w:r w:rsidRPr="00306AC1">
        <w:rPr>
          <w:highlight w:val="lightGray"/>
        </w:rPr>
        <w:t>Amgen NV</w:t>
      </w:r>
    </w:p>
    <w:p w14:paraId="0332CFA9" w14:textId="77777777" w:rsidR="00D614D8" w:rsidRPr="00306AC1" w:rsidRDefault="005B68C5" w:rsidP="00D614D8">
      <w:pPr>
        <w:keepNext/>
        <w:autoSpaceDE w:val="0"/>
        <w:autoSpaceDN w:val="0"/>
        <w:adjustRightInd w:val="0"/>
        <w:rPr>
          <w:highlight w:val="lightGray"/>
        </w:rPr>
      </w:pPr>
      <w:r w:rsidRPr="00306AC1">
        <w:rPr>
          <w:highlight w:val="lightGray"/>
        </w:rPr>
        <w:t>Telecomlaan 5-7</w:t>
      </w:r>
    </w:p>
    <w:p w14:paraId="4F553C7E" w14:textId="77777777" w:rsidR="00D614D8" w:rsidRPr="00306AC1" w:rsidRDefault="005B68C5" w:rsidP="00D614D8">
      <w:pPr>
        <w:keepNext/>
        <w:autoSpaceDE w:val="0"/>
        <w:autoSpaceDN w:val="0"/>
        <w:adjustRightInd w:val="0"/>
        <w:rPr>
          <w:highlight w:val="lightGray"/>
        </w:rPr>
      </w:pPr>
      <w:r w:rsidRPr="00306AC1">
        <w:rPr>
          <w:highlight w:val="lightGray"/>
        </w:rPr>
        <w:t>1831 Diegem</w:t>
      </w:r>
      <w:r w:rsidRPr="00A70C8C" w:rsidDel="00796EAA">
        <w:rPr>
          <w:highlight w:val="lightGray"/>
        </w:rPr>
        <w:t xml:space="preserve"> </w:t>
      </w:r>
    </w:p>
    <w:p w14:paraId="13FE8D2A" w14:textId="77777777" w:rsidR="00D614D8" w:rsidRPr="00306AC1" w:rsidRDefault="00D614D8" w:rsidP="00306AC1">
      <w:pPr>
        <w:keepNext/>
        <w:autoSpaceDE w:val="0"/>
        <w:autoSpaceDN w:val="0"/>
        <w:adjustRightInd w:val="0"/>
        <w:rPr>
          <w:highlight w:val="lightGray"/>
        </w:rPr>
      </w:pPr>
      <w:r w:rsidRPr="00306AC1">
        <w:rPr>
          <w:highlight w:val="lightGray"/>
        </w:rPr>
        <w:t>Belgija</w:t>
      </w:r>
    </w:p>
    <w:p w14:paraId="277A3124" w14:textId="77777777" w:rsidR="00B8623B" w:rsidRDefault="00B8623B" w:rsidP="00D24A7B">
      <w:pPr>
        <w:rPr>
          <w:lang w:val="pt-BR"/>
        </w:rPr>
      </w:pPr>
    </w:p>
    <w:p w14:paraId="15BC045A" w14:textId="77777777" w:rsidR="007708EB" w:rsidRPr="006F0805" w:rsidRDefault="007708EB" w:rsidP="007708EB">
      <w:pPr>
        <w:rPr>
          <w:lang w:val="pt-BR"/>
        </w:rPr>
      </w:pPr>
      <w:r w:rsidRPr="006F0805">
        <w:rPr>
          <w:lang w:val="pt-BR"/>
        </w:rPr>
        <w:t xml:space="preserve">Jeigu apie šį vaistą norite sužinoti daugiau, kreipkitės į vietinį </w:t>
      </w:r>
      <w:r>
        <w:rPr>
          <w:lang w:val="pt-BR"/>
        </w:rPr>
        <w:t>registruotojo</w:t>
      </w:r>
      <w:r w:rsidRPr="006F0805">
        <w:rPr>
          <w:lang w:val="pt-BR"/>
        </w:rPr>
        <w:t xml:space="preserve"> atstovą.</w:t>
      </w:r>
    </w:p>
    <w:p w14:paraId="68FFB51A" w14:textId="77777777" w:rsidR="007708EB" w:rsidRPr="006F0805" w:rsidRDefault="007708EB" w:rsidP="007708EB">
      <w:pPr>
        <w:rPr>
          <w:lang w:val="pt-BR"/>
        </w:rPr>
      </w:pPr>
    </w:p>
    <w:p w14:paraId="34D3A06E" w14:textId="77777777" w:rsidR="007708EB" w:rsidRPr="006F0805" w:rsidRDefault="007708EB" w:rsidP="007708EB">
      <w:r w:rsidRPr="006F0805">
        <w:t>Amgen Switzerland AG Vilniaus filialas</w:t>
      </w:r>
    </w:p>
    <w:p w14:paraId="35BE6AB6" w14:textId="77777777" w:rsidR="007708EB" w:rsidRPr="006F0805" w:rsidRDefault="007708EB" w:rsidP="007708EB">
      <w:r w:rsidRPr="006F0805">
        <w:t>+370 </w:t>
      </w:r>
      <w:r>
        <w:t>5 219 7474</w:t>
      </w:r>
    </w:p>
    <w:p w14:paraId="65109E48" w14:textId="77777777" w:rsidR="007708EB" w:rsidRPr="006F0805" w:rsidRDefault="007708EB" w:rsidP="00D24A7B">
      <w:pPr>
        <w:rPr>
          <w:lang w:val="pt-BR"/>
        </w:rPr>
      </w:pPr>
    </w:p>
    <w:p w14:paraId="49952C03" w14:textId="77777777" w:rsidR="00D24A7B" w:rsidRPr="006F0805" w:rsidRDefault="00D24A7B" w:rsidP="00D24A7B">
      <w:pPr>
        <w:rPr>
          <w:lang w:val="pt-BR"/>
        </w:rPr>
      </w:pPr>
      <w:r w:rsidRPr="006F0805">
        <w:rPr>
          <w:lang w:val="pt-BR"/>
        </w:rPr>
        <w:t>Šis vaist</w:t>
      </w:r>
      <w:r w:rsidR="007708EB">
        <w:rPr>
          <w:lang w:val="pt-BR"/>
        </w:rPr>
        <w:t>as</w:t>
      </w:r>
      <w:r w:rsidRPr="006F0805">
        <w:rPr>
          <w:lang w:val="pt-BR"/>
        </w:rPr>
        <w:t xml:space="preserve"> Europos ekonominės er</w:t>
      </w:r>
      <w:r w:rsidR="007708EB">
        <w:rPr>
          <w:lang w:val="pt-BR"/>
        </w:rPr>
        <w:t>d</w:t>
      </w:r>
      <w:r w:rsidRPr="006F0805">
        <w:rPr>
          <w:lang w:val="pt-BR"/>
        </w:rPr>
        <w:t xml:space="preserve">vės </w:t>
      </w:r>
      <w:r w:rsidR="007708EB">
        <w:rPr>
          <w:lang w:val="pt-BR"/>
        </w:rPr>
        <w:t xml:space="preserve">valstybėse narėse </w:t>
      </w:r>
      <w:r w:rsidRPr="006F0805">
        <w:rPr>
          <w:lang w:val="pt-BR"/>
        </w:rPr>
        <w:t xml:space="preserve">vadinamas Neupogen, išskyrus Kiprą, Graikiją ir Italiją, kur jis vadinamas Granulokine. </w:t>
      </w:r>
    </w:p>
    <w:p w14:paraId="7AC65297" w14:textId="77777777" w:rsidR="00D24A7B" w:rsidRPr="006F0805" w:rsidRDefault="00D24A7B" w:rsidP="00D24A7B"/>
    <w:p w14:paraId="255B7374" w14:textId="7F58D7BC" w:rsidR="00D8003A" w:rsidRDefault="00D8003A" w:rsidP="00D24A7B">
      <w:r w:rsidRPr="00D8003A">
        <w:rPr>
          <w:b/>
          <w:bCs/>
        </w:rPr>
        <w:t>Šis pakuotės lapelis paskutinį kartą peržiūrėtas</w:t>
      </w:r>
      <w:r w:rsidR="008A6822">
        <w:rPr>
          <w:b/>
          <w:bCs/>
        </w:rPr>
        <w:t xml:space="preserve"> 2019-05-29.</w:t>
      </w:r>
    </w:p>
    <w:p w14:paraId="4068E1B6" w14:textId="77777777" w:rsidR="00D8003A" w:rsidRPr="006F0805" w:rsidRDefault="00D8003A" w:rsidP="00D24A7B"/>
    <w:p w14:paraId="12A7E247" w14:textId="77777777" w:rsidR="00E42BD3" w:rsidRPr="00561A49" w:rsidRDefault="00E42BD3" w:rsidP="00E42BD3">
      <w:r w:rsidRPr="00561A49">
        <w:t>Išsami informacija apie šį vaistą pateikiama Valstybinės vaistų kontrolės tarn</w:t>
      </w:r>
      <w:r>
        <w:t xml:space="preserve">ybos prie Lietuvos Respublikos </w:t>
      </w:r>
      <w:r w:rsidRPr="00561A49">
        <w:t>sveikatos apsaugos ministerijos tinklalapyje</w:t>
      </w:r>
      <w:r w:rsidRPr="00561A49">
        <w:rPr>
          <w:i/>
        </w:rPr>
        <w:t xml:space="preserve"> </w:t>
      </w:r>
      <w:hyperlink r:id="rId20" w:history="1">
        <w:r w:rsidRPr="00561A49">
          <w:rPr>
            <w:rStyle w:val="Hipersaitas"/>
          </w:rPr>
          <w:t>http://www.vvkt.lt</w:t>
        </w:r>
      </w:hyperlink>
    </w:p>
    <w:p w14:paraId="4DA08B7E" w14:textId="77777777" w:rsidR="00D24A7B" w:rsidRPr="006F0805" w:rsidRDefault="00D24A7B" w:rsidP="00D24A7B"/>
    <w:p w14:paraId="2314487A" w14:textId="77777777" w:rsidR="00D24A7B" w:rsidRPr="00AE03B0" w:rsidRDefault="00D24A7B" w:rsidP="00D6379A">
      <w:pPr>
        <w:ind w:left="567" w:hanging="567"/>
        <w:rPr>
          <w:b/>
        </w:rPr>
      </w:pPr>
      <w:r w:rsidRPr="006F0805">
        <w:br w:type="page"/>
      </w:r>
      <w:r w:rsidRPr="006F0805">
        <w:rPr>
          <w:b/>
        </w:rPr>
        <w:lastRenderedPageBreak/>
        <w:t>7.</w:t>
      </w:r>
      <w:r w:rsidRPr="006F0805">
        <w:rPr>
          <w:b/>
        </w:rPr>
        <w:tab/>
      </w:r>
      <w:r w:rsidR="00B0596B" w:rsidRPr="006F0805">
        <w:rPr>
          <w:b/>
        </w:rPr>
        <w:t xml:space="preserve">Instrukcijos, kaip </w:t>
      </w:r>
      <w:r w:rsidR="007708EB">
        <w:rPr>
          <w:b/>
        </w:rPr>
        <w:t>leisti</w:t>
      </w:r>
      <w:r w:rsidR="00B0596B" w:rsidRPr="006F0805">
        <w:rPr>
          <w:b/>
        </w:rPr>
        <w:t xml:space="preserve"> Neupogen</w:t>
      </w:r>
    </w:p>
    <w:p w14:paraId="5C2D32C8" w14:textId="77777777" w:rsidR="00D24A7B" w:rsidRPr="006F0805" w:rsidRDefault="00D24A7B" w:rsidP="00D24A7B"/>
    <w:p w14:paraId="4D0200EA" w14:textId="77777777" w:rsidR="00D24A7B" w:rsidRPr="006F0805" w:rsidRDefault="00D24A7B" w:rsidP="00D24A7B">
      <w:r w:rsidRPr="006F0805">
        <w:t xml:space="preserve">Šiame skyriuje pateikiama informacija, kaip </w:t>
      </w:r>
      <w:r w:rsidR="007708EB">
        <w:t>leisti</w:t>
      </w:r>
      <w:r w:rsidRPr="006F0805">
        <w:t xml:space="preserve"> Neupogen. </w:t>
      </w:r>
    </w:p>
    <w:p w14:paraId="60E9FE2D" w14:textId="77777777" w:rsidR="00D24A7B" w:rsidRPr="006F0805" w:rsidRDefault="00D24A7B" w:rsidP="00D24A7B"/>
    <w:p w14:paraId="0BC8F724" w14:textId="77777777" w:rsidR="00D24A7B" w:rsidRPr="006F0805" w:rsidRDefault="00D24A7B" w:rsidP="00D24A7B">
      <w:r w:rsidRPr="006F0805">
        <w:rPr>
          <w:b/>
        </w:rPr>
        <w:t>Svarbu</w:t>
      </w:r>
      <w:r w:rsidRPr="006F0805">
        <w:t xml:space="preserve">: nebandykite vaisto </w:t>
      </w:r>
      <w:r w:rsidR="007708EB">
        <w:t>leistis</w:t>
      </w:r>
      <w:r w:rsidRPr="006F0805">
        <w:t xml:space="preserve"> patys, kol Jūsų to daryti neišmokė gydytojas arba slaugytoja. </w:t>
      </w:r>
    </w:p>
    <w:p w14:paraId="37BDDE0B" w14:textId="77777777" w:rsidR="00D24A7B" w:rsidRPr="006F0805" w:rsidRDefault="00D24A7B" w:rsidP="00D24A7B"/>
    <w:p w14:paraId="09FC2E28" w14:textId="77777777" w:rsidR="00D24A7B" w:rsidRPr="006F0805" w:rsidRDefault="00D24A7B" w:rsidP="00D24A7B">
      <w:pPr>
        <w:rPr>
          <w:lang w:val="pt-BR"/>
        </w:rPr>
      </w:pPr>
      <w:r w:rsidRPr="006F0805">
        <w:t xml:space="preserve">Neupogen </w:t>
      </w:r>
      <w:r w:rsidR="007708EB">
        <w:t>leidžiamas</w:t>
      </w:r>
      <w:r w:rsidRPr="006F0805">
        <w:t xml:space="preserve"> į audinį, kuris yra iškart po oda. </w:t>
      </w:r>
      <w:r w:rsidRPr="006F0805">
        <w:rPr>
          <w:lang w:val="pt-BR"/>
        </w:rPr>
        <w:t>Tai vadinama poodine injekcija.</w:t>
      </w:r>
    </w:p>
    <w:p w14:paraId="2A83660F" w14:textId="77777777" w:rsidR="00D24A7B" w:rsidRPr="006F0805" w:rsidRDefault="00D24A7B" w:rsidP="00D24A7B">
      <w:pPr>
        <w:rPr>
          <w:lang w:val="pt-BR"/>
        </w:rPr>
      </w:pPr>
    </w:p>
    <w:p w14:paraId="0DEF29C4" w14:textId="77777777" w:rsidR="00D24A7B" w:rsidRPr="006F0805" w:rsidRDefault="00D24A7B" w:rsidP="00D24A7B">
      <w:pPr>
        <w:pStyle w:val="Antrat2"/>
        <w:rPr>
          <w:rFonts w:ascii="Times New Roman" w:hAnsi="Times New Roman"/>
        </w:rPr>
      </w:pPr>
      <w:r w:rsidRPr="006F0805">
        <w:rPr>
          <w:rFonts w:ascii="Times New Roman" w:hAnsi="Times New Roman"/>
        </w:rPr>
        <w:t>Reikalingos priemonės</w:t>
      </w:r>
    </w:p>
    <w:p w14:paraId="2B21EF4A" w14:textId="77777777" w:rsidR="00D24A7B" w:rsidRPr="006F0805" w:rsidRDefault="00D24A7B" w:rsidP="00D24A7B">
      <w:pPr>
        <w:rPr>
          <w:lang w:val="pt-BR"/>
        </w:rPr>
      </w:pPr>
    </w:p>
    <w:p w14:paraId="4FE5AE5E" w14:textId="77777777" w:rsidR="00D24A7B" w:rsidRPr="006F0805" w:rsidRDefault="00D24A7B" w:rsidP="00D24A7B">
      <w:pPr>
        <w:rPr>
          <w:lang w:val="pt-BR"/>
        </w:rPr>
      </w:pPr>
      <w:r w:rsidRPr="006F0805">
        <w:rPr>
          <w:lang w:val="pt-BR"/>
        </w:rPr>
        <w:t xml:space="preserve">Patiems </w:t>
      </w:r>
      <w:r w:rsidR="007708EB">
        <w:rPr>
          <w:lang w:val="pt-BR"/>
        </w:rPr>
        <w:t>leidžiantis</w:t>
      </w:r>
      <w:r w:rsidRPr="006F0805">
        <w:rPr>
          <w:lang w:val="pt-BR"/>
        </w:rPr>
        <w:t xml:space="preserve"> vaisto, reikės šių priemonių:</w:t>
      </w:r>
    </w:p>
    <w:p w14:paraId="395F26BD" w14:textId="77777777" w:rsidR="00D24A7B" w:rsidRPr="006F0805" w:rsidRDefault="00D24A7B" w:rsidP="00D24A7B">
      <w:pPr>
        <w:numPr>
          <w:ilvl w:val="0"/>
          <w:numId w:val="14"/>
        </w:numPr>
      </w:pPr>
      <w:r w:rsidRPr="006F0805">
        <w:t>naujo Neupogen užpildyto švirkšto ir</w:t>
      </w:r>
    </w:p>
    <w:p w14:paraId="125DEB4B" w14:textId="77777777" w:rsidR="00D24A7B" w:rsidRPr="006F0805" w:rsidRDefault="00D24A7B" w:rsidP="00D24A7B">
      <w:pPr>
        <w:numPr>
          <w:ilvl w:val="0"/>
          <w:numId w:val="14"/>
        </w:numPr>
        <w:rPr>
          <w:lang w:val="pt-BR"/>
        </w:rPr>
      </w:pPr>
      <w:r w:rsidRPr="006F0805">
        <w:rPr>
          <w:lang w:val="pt-BR"/>
        </w:rPr>
        <w:t>spiritu suvilgyto tampono ar ko nors panašaus.</w:t>
      </w:r>
    </w:p>
    <w:p w14:paraId="38184C6D" w14:textId="77777777" w:rsidR="00D24A7B" w:rsidRPr="006F0805" w:rsidRDefault="00D24A7B" w:rsidP="00D24A7B">
      <w:pPr>
        <w:rPr>
          <w:lang w:val="pt-BR"/>
        </w:rPr>
      </w:pPr>
    </w:p>
    <w:p w14:paraId="1738C392" w14:textId="77777777" w:rsidR="00D24A7B" w:rsidRPr="006F0805" w:rsidRDefault="00D24A7B" w:rsidP="00D24A7B">
      <w:pPr>
        <w:pStyle w:val="Antrat2"/>
        <w:rPr>
          <w:rFonts w:ascii="Times New Roman" w:hAnsi="Times New Roman"/>
        </w:rPr>
      </w:pPr>
      <w:r w:rsidRPr="006F0805">
        <w:rPr>
          <w:rFonts w:ascii="Times New Roman" w:hAnsi="Times New Roman"/>
        </w:rPr>
        <w:t xml:space="preserve">Ką reikia padaryti prieš </w:t>
      </w:r>
      <w:r w:rsidR="007708EB">
        <w:rPr>
          <w:rFonts w:ascii="Times New Roman" w:hAnsi="Times New Roman"/>
        </w:rPr>
        <w:t>leidžiantis</w:t>
      </w:r>
      <w:r w:rsidRPr="006F0805">
        <w:rPr>
          <w:rFonts w:ascii="Times New Roman" w:hAnsi="Times New Roman"/>
        </w:rPr>
        <w:t xml:space="preserve"> Neupogen?</w:t>
      </w:r>
    </w:p>
    <w:p w14:paraId="77B386EF" w14:textId="77777777" w:rsidR="00D24A7B" w:rsidRPr="006F0805" w:rsidRDefault="00D24A7B" w:rsidP="00D24A7B">
      <w:pPr>
        <w:tabs>
          <w:tab w:val="left" w:pos="567"/>
        </w:tabs>
        <w:rPr>
          <w:lang w:val="pt-BR"/>
        </w:rPr>
      </w:pPr>
    </w:p>
    <w:p w14:paraId="3D4C894B" w14:textId="77777777" w:rsidR="003A7928" w:rsidRPr="006F0805" w:rsidRDefault="003A7928" w:rsidP="003A7928">
      <w:pPr>
        <w:numPr>
          <w:ilvl w:val="0"/>
          <w:numId w:val="15"/>
        </w:numPr>
        <w:rPr>
          <w:lang w:val="pt-BR"/>
        </w:rPr>
      </w:pPr>
      <w:r w:rsidRPr="006F0805">
        <w:rPr>
          <w:lang w:val="pt-BR"/>
        </w:rPr>
        <w:t xml:space="preserve">Išimkite </w:t>
      </w:r>
      <w:r>
        <w:rPr>
          <w:lang w:val="pt-BR"/>
        </w:rPr>
        <w:t xml:space="preserve">vieną </w:t>
      </w:r>
      <w:r>
        <w:t>dėklą, kuriame yra</w:t>
      </w:r>
      <w:r w:rsidRPr="006F0805">
        <w:rPr>
          <w:lang w:val="pt-BR"/>
        </w:rPr>
        <w:t xml:space="preserve"> švirkšt</w:t>
      </w:r>
      <w:r>
        <w:rPr>
          <w:lang w:val="pt-BR"/>
        </w:rPr>
        <w:t>as,</w:t>
      </w:r>
      <w:r w:rsidRPr="006F0805">
        <w:rPr>
          <w:lang w:val="pt-BR"/>
        </w:rPr>
        <w:t xml:space="preserve"> iš šaldytuvo</w:t>
      </w:r>
      <w:r>
        <w:rPr>
          <w:lang w:val="pt-BR"/>
        </w:rPr>
        <w:t xml:space="preserve"> ir</w:t>
      </w:r>
      <w:r w:rsidRPr="006F0805">
        <w:rPr>
          <w:lang w:val="pt-BR"/>
        </w:rPr>
        <w:t xml:space="preserve"> </w:t>
      </w:r>
      <w:r>
        <w:rPr>
          <w:lang w:val="pt-BR"/>
        </w:rPr>
        <w:t>p</w:t>
      </w:r>
      <w:r w:rsidRPr="006F0805">
        <w:rPr>
          <w:lang w:val="pt-BR"/>
        </w:rPr>
        <w:t xml:space="preserve">alaikykite kambario temperatūroje maždaug 30 minučių ar kelias minutes atsargiai palaikykite rankoje. Dėl to injekcija bus malonesnė. </w:t>
      </w:r>
      <w:r w:rsidRPr="006F0805">
        <w:rPr>
          <w:b/>
          <w:lang w:val="pt-BR"/>
        </w:rPr>
        <w:t>Nešildykite</w:t>
      </w:r>
      <w:r w:rsidRPr="006F0805">
        <w:rPr>
          <w:lang w:val="pt-BR"/>
        </w:rPr>
        <w:t xml:space="preserve"> Neupogen kokiu nors kitu būdu (pvz., nešildykite mikrobangų krosnelėje ar karštame vandenyje).</w:t>
      </w:r>
    </w:p>
    <w:p w14:paraId="3C3BCF7F" w14:textId="77777777" w:rsidR="003A7928" w:rsidRDefault="003A7928" w:rsidP="003A7928">
      <w:pPr>
        <w:numPr>
          <w:ilvl w:val="0"/>
          <w:numId w:val="15"/>
        </w:numPr>
        <w:suppressAutoHyphens/>
      </w:pPr>
      <w:r w:rsidRPr="006F0805">
        <w:t>Nekratykite užpildyto švirkšto.</w:t>
      </w:r>
    </w:p>
    <w:p w14:paraId="5D941F64" w14:textId="77777777" w:rsidR="003A7928" w:rsidRPr="00593D57" w:rsidRDefault="003A7928" w:rsidP="003A7928">
      <w:pPr>
        <w:numPr>
          <w:ilvl w:val="0"/>
          <w:numId w:val="15"/>
        </w:numPr>
        <w:suppressAutoHyphens/>
      </w:pPr>
      <w:r>
        <w:t>Laikydami dėklą rankoje nuplėškite nuo jo popierinę dalį.</w:t>
      </w:r>
    </w:p>
    <w:p w14:paraId="16851A85" w14:textId="77777777" w:rsidR="003A7928" w:rsidRPr="009A7820" w:rsidRDefault="003A7928" w:rsidP="003A7928">
      <w:pPr>
        <w:numPr>
          <w:ilvl w:val="0"/>
          <w:numId w:val="15"/>
        </w:numPr>
      </w:pPr>
      <w:r>
        <w:t>Apverskite dėklą ir pasidėkite užpildytą švirkštą ant delno.</w:t>
      </w:r>
    </w:p>
    <w:p w14:paraId="0B5715F8" w14:textId="77777777" w:rsidR="003A7928" w:rsidRPr="006F0805" w:rsidRDefault="003A7928" w:rsidP="003A7928">
      <w:pPr>
        <w:numPr>
          <w:ilvl w:val="0"/>
          <w:numId w:val="15"/>
        </w:numPr>
        <w:rPr>
          <w:lang w:val="pt-BR"/>
        </w:rPr>
      </w:pPr>
      <w:r w:rsidRPr="006F0805">
        <w:rPr>
          <w:b/>
          <w:lang w:val="pt-BR"/>
        </w:rPr>
        <w:t>Nenuimkite</w:t>
      </w:r>
      <w:r w:rsidRPr="006F0805">
        <w:rPr>
          <w:lang w:val="pt-BR"/>
        </w:rPr>
        <w:t xml:space="preserve"> adatos dangtelio, kol dar nesate pasiruošę injekcijai.</w:t>
      </w:r>
    </w:p>
    <w:p w14:paraId="26F280AB" w14:textId="77777777" w:rsidR="003A7928" w:rsidRPr="006F0805" w:rsidRDefault="003A7928" w:rsidP="003A7928">
      <w:pPr>
        <w:numPr>
          <w:ilvl w:val="0"/>
          <w:numId w:val="15"/>
        </w:numPr>
      </w:pPr>
      <w:r w:rsidRPr="006F0805">
        <w:rPr>
          <w:lang w:val="pt-BR"/>
        </w:rPr>
        <w:t>Patikrinkite tinkamumo laiką, nurodytą ant užpildyto švirkšto etiketės (</w:t>
      </w:r>
      <w:r w:rsidR="007708EB">
        <w:t>„EXP“</w:t>
      </w:r>
      <w:r w:rsidRPr="006F0805">
        <w:rPr>
          <w:lang w:val="pt-BR"/>
        </w:rPr>
        <w:t xml:space="preserve">). </w:t>
      </w:r>
      <w:r w:rsidRPr="006F0805">
        <w:t>Nevartokite vaisto praėjus paskutinei nurodyto mėnesio dienai.</w:t>
      </w:r>
    </w:p>
    <w:p w14:paraId="403EF517" w14:textId="77777777" w:rsidR="003A7928" w:rsidRPr="006F0805" w:rsidRDefault="003A7928" w:rsidP="003A7928">
      <w:pPr>
        <w:numPr>
          <w:ilvl w:val="0"/>
          <w:numId w:val="15"/>
        </w:numPr>
        <w:rPr>
          <w:lang w:val="pt-BR"/>
        </w:rPr>
      </w:pPr>
      <w:r w:rsidRPr="006F0805">
        <w:t xml:space="preserve">Apžiūrėkite Neupogen. Tai turi būti skaidrus, bespalvis skystis. </w:t>
      </w:r>
      <w:r w:rsidRPr="006F0805">
        <w:rPr>
          <w:lang w:val="pt-BR"/>
        </w:rPr>
        <w:t>Jeigu spalva pakitusi, yra drumzlių ar dalelių, vaisto vartoti negalima.</w:t>
      </w:r>
    </w:p>
    <w:p w14:paraId="4A4D4C72" w14:textId="77777777" w:rsidR="003A7928" w:rsidRPr="006F0805" w:rsidRDefault="003A7928" w:rsidP="003A7928">
      <w:pPr>
        <w:numPr>
          <w:ilvl w:val="0"/>
          <w:numId w:val="15"/>
        </w:numPr>
      </w:pPr>
      <w:r w:rsidRPr="006F0805">
        <w:rPr>
          <w:b/>
        </w:rPr>
        <w:t>Kruopščiai nusiplaukite rankas</w:t>
      </w:r>
      <w:r w:rsidRPr="00D5278E">
        <w:rPr>
          <w:b/>
        </w:rPr>
        <w:t>.</w:t>
      </w:r>
    </w:p>
    <w:p w14:paraId="127A8A22" w14:textId="77777777" w:rsidR="003A7928" w:rsidRPr="006F0805" w:rsidRDefault="003A7928" w:rsidP="003A7928">
      <w:pPr>
        <w:numPr>
          <w:ilvl w:val="0"/>
          <w:numId w:val="15"/>
        </w:numPr>
      </w:pPr>
      <w:r w:rsidRPr="006F0805">
        <w:t>Viską, ko jums reikia, padėkite patogioje, gerai apšviestoje, švarioje, lengvai pasiekiamoje vietoje.</w:t>
      </w:r>
    </w:p>
    <w:p w14:paraId="0211F03B" w14:textId="77777777" w:rsidR="00D24A7B" w:rsidRPr="006F0805" w:rsidRDefault="00D24A7B" w:rsidP="00D24A7B">
      <w:pPr>
        <w:pStyle w:val="Antrat2"/>
        <w:rPr>
          <w:rFonts w:ascii="Times New Roman" w:hAnsi="Times New Roman"/>
        </w:rPr>
      </w:pPr>
    </w:p>
    <w:p w14:paraId="0539AB8E" w14:textId="77777777" w:rsidR="00D24A7B" w:rsidRPr="006F0805" w:rsidRDefault="00D24A7B" w:rsidP="00D24A7B">
      <w:pPr>
        <w:pStyle w:val="Antrat2"/>
        <w:rPr>
          <w:rFonts w:ascii="Times New Roman" w:hAnsi="Times New Roman"/>
        </w:rPr>
      </w:pPr>
      <w:r w:rsidRPr="006F0805">
        <w:rPr>
          <w:rFonts w:ascii="Times New Roman" w:hAnsi="Times New Roman"/>
          <w:noProof w:val="0"/>
        </w:rPr>
        <w:t>Kaip paruošti Neupogen užpildy</w:t>
      </w:r>
      <w:r w:rsidRPr="006F0805">
        <w:rPr>
          <w:rFonts w:ascii="Times New Roman" w:hAnsi="Times New Roman"/>
        </w:rPr>
        <w:t>t</w:t>
      </w:r>
      <w:r w:rsidRPr="006F0805">
        <w:rPr>
          <w:rFonts w:ascii="Times New Roman" w:hAnsi="Times New Roman"/>
          <w:noProof w:val="0"/>
        </w:rPr>
        <w:t xml:space="preserve">ą </w:t>
      </w:r>
      <w:r w:rsidRPr="006F0805">
        <w:rPr>
          <w:rFonts w:ascii="Times New Roman" w:hAnsi="Times New Roman"/>
        </w:rPr>
        <w:t>švirkštą injekcijai?</w:t>
      </w:r>
    </w:p>
    <w:p w14:paraId="107708D5" w14:textId="77777777" w:rsidR="00D24A7B" w:rsidRPr="006F0805" w:rsidRDefault="00D24A7B" w:rsidP="00D24A7B">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gridCol w:w="2476"/>
      </w:tblGrid>
      <w:tr w:rsidR="00306AC1" w:rsidRPr="006F0805" w14:paraId="63B4CCE8" w14:textId="77777777" w:rsidTr="00306AC1">
        <w:tc>
          <w:tcPr>
            <w:tcW w:w="9211" w:type="dxa"/>
            <w:gridSpan w:val="2"/>
            <w:tcBorders>
              <w:top w:val="single" w:sz="4" w:space="0" w:color="FFFFFF"/>
              <w:left w:val="single" w:sz="4" w:space="0" w:color="FFFFFF"/>
              <w:bottom w:val="single" w:sz="4" w:space="0" w:color="FFFFFF"/>
              <w:right w:val="single" w:sz="4" w:space="0" w:color="FFFFFF"/>
            </w:tcBorders>
          </w:tcPr>
          <w:p w14:paraId="419A9E39" w14:textId="77777777" w:rsidR="00D24A7B" w:rsidRPr="006F0805" w:rsidRDefault="00D24A7B" w:rsidP="00547C16">
            <w:r w:rsidRPr="006F0805">
              <w:rPr>
                <w:bCs/>
              </w:rPr>
              <w:t xml:space="preserve">Prieš </w:t>
            </w:r>
            <w:r w:rsidR="007708EB">
              <w:rPr>
                <w:bCs/>
              </w:rPr>
              <w:t>leidžiant</w:t>
            </w:r>
            <w:r w:rsidRPr="006F0805">
              <w:rPr>
                <w:bCs/>
              </w:rPr>
              <w:t xml:space="preserve"> Neupogen, reikia:</w:t>
            </w:r>
          </w:p>
        </w:tc>
      </w:tr>
      <w:tr w:rsidR="00306AC1" w:rsidRPr="006F0805" w14:paraId="675DA3AA" w14:textId="77777777" w:rsidTr="00306AC1">
        <w:tc>
          <w:tcPr>
            <w:tcW w:w="6771" w:type="dxa"/>
            <w:tcBorders>
              <w:top w:val="single" w:sz="4" w:space="0" w:color="FFFFFF"/>
              <w:left w:val="single" w:sz="4" w:space="0" w:color="FFFFFF"/>
              <w:bottom w:val="single" w:sz="4" w:space="0" w:color="FFFFFF"/>
              <w:right w:val="single" w:sz="4" w:space="0" w:color="FFFFFF"/>
            </w:tcBorders>
          </w:tcPr>
          <w:p w14:paraId="2A25BA7F" w14:textId="77777777" w:rsidR="00D24A7B" w:rsidRPr="006F0805" w:rsidRDefault="003A7928" w:rsidP="00D24A7B">
            <w:pPr>
              <w:numPr>
                <w:ilvl w:val="0"/>
                <w:numId w:val="16"/>
              </w:numPr>
            </w:pPr>
            <w:r w:rsidRPr="006F0805">
              <w:t>Kad nesulankstytumėte adatos</w:t>
            </w:r>
            <w:r>
              <w:t>, tvirtai laikykite užpildytą švirkštą už stiklinio cilindro</w:t>
            </w:r>
            <w:r w:rsidRPr="006F0805">
              <w:t>, švelniai numaukite apsauginį adatos dangtelį nesukdami jo, taip, kaip parodyta 1 ir 2 paveikslėlyje.</w:t>
            </w:r>
          </w:p>
        </w:tc>
        <w:tc>
          <w:tcPr>
            <w:tcW w:w="2440" w:type="dxa"/>
            <w:vMerge w:val="restart"/>
            <w:tcBorders>
              <w:top w:val="single" w:sz="4" w:space="0" w:color="FFFFFF"/>
              <w:left w:val="single" w:sz="4" w:space="0" w:color="FFFFFF"/>
              <w:bottom w:val="single" w:sz="4" w:space="0" w:color="FFFFFF"/>
              <w:right w:val="single" w:sz="4" w:space="0" w:color="FFFFFF"/>
            </w:tcBorders>
            <w:vAlign w:val="center"/>
          </w:tcPr>
          <w:p w14:paraId="0470684A" w14:textId="26D8AF4E" w:rsidR="00D24A7B" w:rsidRPr="006F0805" w:rsidRDefault="008310F0" w:rsidP="00547C16">
            <w:pPr>
              <w:keepNext/>
            </w:pPr>
            <w:r w:rsidRPr="00D371F8">
              <w:rPr>
                <w:lang w:eastAsia="lt-LT"/>
              </w:rPr>
              <w:drawing>
                <wp:inline distT="0" distB="0" distL="0" distR="0" wp14:anchorId="3EA9295B" wp14:editId="11A374C4">
                  <wp:extent cx="1435100" cy="1441450"/>
                  <wp:effectExtent l="0" t="0" r="0" b="0"/>
                  <wp:docPr id="3" name="Picture 5" descr="ILL0397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0397 v2"/>
                          <pic:cNvPicPr>
                            <a:picLocks noChangeAspect="1" noChangeArrowheads="1"/>
                          </pic:cNvPicPr>
                        </pic:nvPicPr>
                        <pic:blipFill>
                          <a:blip r:embed="rId21" cstate="hqprint">
                            <a:extLst>
                              <a:ext uri="{28A0092B-C50C-407E-A947-70E740481C1C}">
                                <a14:useLocalDpi xmlns:a14="http://schemas.microsoft.com/office/drawing/2010/main" val="0"/>
                              </a:ext>
                            </a:extLst>
                          </a:blip>
                          <a:srcRect/>
                          <a:stretch>
                            <a:fillRect/>
                          </a:stretch>
                        </pic:blipFill>
                        <pic:spPr bwMode="auto">
                          <a:xfrm>
                            <a:off x="0" y="0"/>
                            <a:ext cx="1435100" cy="1441450"/>
                          </a:xfrm>
                          <a:prstGeom prst="rect">
                            <a:avLst/>
                          </a:prstGeom>
                          <a:noFill/>
                          <a:ln>
                            <a:noFill/>
                          </a:ln>
                        </pic:spPr>
                      </pic:pic>
                    </a:graphicData>
                  </a:graphic>
                </wp:inline>
              </w:drawing>
            </w:r>
          </w:p>
        </w:tc>
      </w:tr>
      <w:tr w:rsidR="00306AC1" w:rsidRPr="006F0805" w14:paraId="6109563C" w14:textId="77777777" w:rsidTr="00306AC1">
        <w:tc>
          <w:tcPr>
            <w:tcW w:w="6771" w:type="dxa"/>
            <w:tcBorders>
              <w:top w:val="single" w:sz="4" w:space="0" w:color="FFFFFF"/>
              <w:left w:val="single" w:sz="4" w:space="0" w:color="FFFFFF"/>
              <w:bottom w:val="single" w:sz="4" w:space="0" w:color="FFFFFF"/>
              <w:right w:val="single" w:sz="4" w:space="0" w:color="FFFFFF"/>
            </w:tcBorders>
          </w:tcPr>
          <w:p w14:paraId="0E5CA739" w14:textId="77777777" w:rsidR="00D24A7B" w:rsidRPr="006F0805" w:rsidRDefault="00D24A7B" w:rsidP="00D24A7B">
            <w:pPr>
              <w:numPr>
                <w:ilvl w:val="0"/>
                <w:numId w:val="16"/>
              </w:numPr>
              <w:ind w:left="0" w:firstLine="0"/>
              <w:rPr>
                <w:lang w:val="pt-BR"/>
              </w:rPr>
            </w:pPr>
            <w:r w:rsidRPr="006F0805">
              <w:rPr>
                <w:lang w:val="pt-BR"/>
              </w:rPr>
              <w:t>Adatos nelieskite ir švirkšto stūmoklio nestumkite.</w:t>
            </w:r>
          </w:p>
        </w:tc>
        <w:tc>
          <w:tcPr>
            <w:tcW w:w="2440" w:type="dxa"/>
            <w:vMerge/>
            <w:tcBorders>
              <w:top w:val="single" w:sz="4" w:space="0" w:color="FFFFFF"/>
              <w:left w:val="single" w:sz="4" w:space="0" w:color="FFFFFF"/>
              <w:bottom w:val="single" w:sz="4" w:space="0" w:color="FFFFFF"/>
              <w:right w:val="single" w:sz="4" w:space="0" w:color="FFFFFF"/>
            </w:tcBorders>
          </w:tcPr>
          <w:p w14:paraId="1387EFDB" w14:textId="77777777" w:rsidR="00D24A7B" w:rsidRPr="006F0805" w:rsidRDefault="00D24A7B" w:rsidP="00547C16">
            <w:pPr>
              <w:keepNext/>
              <w:rPr>
                <w:lang w:val="pt-BR"/>
              </w:rPr>
            </w:pPr>
          </w:p>
        </w:tc>
      </w:tr>
      <w:tr w:rsidR="00306AC1" w:rsidRPr="006F0805" w14:paraId="346676E9" w14:textId="77777777" w:rsidTr="00306AC1">
        <w:tc>
          <w:tcPr>
            <w:tcW w:w="6771" w:type="dxa"/>
            <w:tcBorders>
              <w:top w:val="single" w:sz="4" w:space="0" w:color="FFFFFF"/>
              <w:left w:val="single" w:sz="4" w:space="0" w:color="FFFFFF"/>
              <w:bottom w:val="single" w:sz="4" w:space="0" w:color="FFFFFF"/>
              <w:right w:val="single" w:sz="4" w:space="0" w:color="FFFFFF"/>
            </w:tcBorders>
          </w:tcPr>
          <w:p w14:paraId="3E3E260C" w14:textId="77777777" w:rsidR="00D24A7B" w:rsidRPr="006F0805" w:rsidRDefault="00D24A7B" w:rsidP="00D24A7B">
            <w:pPr>
              <w:numPr>
                <w:ilvl w:val="0"/>
                <w:numId w:val="16"/>
              </w:numPr>
              <w:rPr>
                <w:lang w:val="pt-BR"/>
              </w:rPr>
            </w:pPr>
            <w:r w:rsidRPr="006F0805">
              <w:rPr>
                <w:lang w:val="pt-BR"/>
              </w:rPr>
              <w:t>Užpildytame švirkšte galite pastebėti mažą oro burbuliuką. Oro burbuliuko pašalinti prieš injekciją nebūtina. Tirpalo suleidimas kartu su jame esančiu oro burbuliuku yra nekenksmingas.</w:t>
            </w:r>
          </w:p>
        </w:tc>
        <w:tc>
          <w:tcPr>
            <w:tcW w:w="2440" w:type="dxa"/>
            <w:vMerge/>
            <w:tcBorders>
              <w:top w:val="single" w:sz="4" w:space="0" w:color="FFFFFF"/>
              <w:left w:val="single" w:sz="4" w:space="0" w:color="FFFFFF"/>
              <w:bottom w:val="single" w:sz="4" w:space="0" w:color="FFFFFF"/>
              <w:right w:val="single" w:sz="4" w:space="0" w:color="FFFFFF"/>
            </w:tcBorders>
          </w:tcPr>
          <w:p w14:paraId="71466390" w14:textId="77777777" w:rsidR="00D24A7B" w:rsidRPr="006F0805" w:rsidRDefault="00D24A7B" w:rsidP="00547C16">
            <w:pPr>
              <w:keepNext/>
              <w:rPr>
                <w:lang w:val="pt-BR"/>
              </w:rPr>
            </w:pPr>
          </w:p>
        </w:tc>
      </w:tr>
      <w:tr w:rsidR="00306AC1" w:rsidRPr="006F0805" w14:paraId="1DE6F6FE" w14:textId="77777777" w:rsidTr="00306AC1">
        <w:tc>
          <w:tcPr>
            <w:tcW w:w="6771" w:type="dxa"/>
            <w:tcBorders>
              <w:top w:val="single" w:sz="4" w:space="0" w:color="FFFFFF"/>
              <w:left w:val="single" w:sz="4" w:space="0" w:color="FFFFFF"/>
              <w:bottom w:val="single" w:sz="4" w:space="0" w:color="FFFFFF"/>
              <w:right w:val="single" w:sz="4" w:space="0" w:color="FFFFFF"/>
            </w:tcBorders>
          </w:tcPr>
          <w:p w14:paraId="59EC9C30" w14:textId="77777777" w:rsidR="00D24A7B" w:rsidRPr="003A7928" w:rsidRDefault="00D24A7B" w:rsidP="00D24A7B">
            <w:pPr>
              <w:numPr>
                <w:ilvl w:val="0"/>
                <w:numId w:val="16"/>
              </w:numPr>
              <w:ind w:left="0" w:firstLine="0"/>
              <w:rPr>
                <w:lang w:val="pt-BR"/>
              </w:rPr>
            </w:pPr>
            <w:r w:rsidRPr="003A7928">
              <w:rPr>
                <w:lang w:val="pt-BR"/>
              </w:rPr>
              <w:t>Dabar užpildytas švirkštas paruoštas naudojimui.</w:t>
            </w:r>
          </w:p>
          <w:p w14:paraId="6530CB95" w14:textId="77777777" w:rsidR="003A7928" w:rsidRPr="006F0805" w:rsidRDefault="003A7928" w:rsidP="003A7928">
            <w:pPr>
              <w:rPr>
                <w:lang w:val="pt-BR"/>
              </w:rPr>
            </w:pPr>
          </w:p>
        </w:tc>
        <w:tc>
          <w:tcPr>
            <w:tcW w:w="2440" w:type="dxa"/>
            <w:vMerge/>
            <w:tcBorders>
              <w:top w:val="single" w:sz="4" w:space="0" w:color="FFFFFF"/>
              <w:left w:val="single" w:sz="4" w:space="0" w:color="FFFFFF"/>
              <w:bottom w:val="single" w:sz="4" w:space="0" w:color="FFFFFF"/>
              <w:right w:val="single" w:sz="4" w:space="0" w:color="FFFFFF"/>
            </w:tcBorders>
          </w:tcPr>
          <w:p w14:paraId="1BFEED6C" w14:textId="77777777" w:rsidR="00D24A7B" w:rsidRPr="006F0805" w:rsidRDefault="00D24A7B" w:rsidP="00547C16">
            <w:pPr>
              <w:keepNext/>
              <w:rPr>
                <w:lang w:val="pt-BR"/>
              </w:rPr>
            </w:pPr>
          </w:p>
        </w:tc>
      </w:tr>
    </w:tbl>
    <w:p w14:paraId="409E2EF0" w14:textId="77777777" w:rsidR="00D24A7B" w:rsidRPr="006F0805" w:rsidRDefault="00D24A7B" w:rsidP="00D24A7B">
      <w:pPr>
        <w:pStyle w:val="Antrat2"/>
        <w:rPr>
          <w:rFonts w:ascii="Times New Roman" w:hAnsi="Times New Roman"/>
        </w:rPr>
      </w:pPr>
      <w:r w:rsidRPr="006F0805">
        <w:rPr>
          <w:rFonts w:ascii="Times New Roman" w:hAnsi="Times New Roman"/>
        </w:rPr>
        <w:t xml:space="preserve">Į kurią vietą </w:t>
      </w:r>
      <w:r w:rsidR="007708EB">
        <w:rPr>
          <w:rFonts w:ascii="Times New Roman" w:hAnsi="Times New Roman"/>
        </w:rPr>
        <w:t>leistis</w:t>
      </w:r>
      <w:r w:rsidRPr="006F0805">
        <w:rPr>
          <w:rFonts w:ascii="Times New Roman" w:hAnsi="Times New Roman"/>
        </w:rPr>
        <w:t xml:space="preserve"> vaistą?</w:t>
      </w:r>
    </w:p>
    <w:p w14:paraId="0F7B7DAA" w14:textId="77777777" w:rsidR="00D24A7B" w:rsidRPr="006F0805" w:rsidRDefault="00D24A7B" w:rsidP="00D24A7B">
      <w:pPr>
        <w:rPr>
          <w:lang w:val="pt-BR"/>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46"/>
        <w:gridCol w:w="7115"/>
      </w:tblGrid>
      <w:tr w:rsidR="00306AC1" w:rsidRPr="006F0805" w14:paraId="4758334A" w14:textId="77777777" w:rsidTr="00306AC1">
        <w:tc>
          <w:tcPr>
            <w:tcW w:w="1951" w:type="dxa"/>
            <w:vMerge w:val="restart"/>
            <w:vAlign w:val="center"/>
          </w:tcPr>
          <w:p w14:paraId="0F909962" w14:textId="38ACE039" w:rsidR="00D24A7B" w:rsidRPr="006F0805" w:rsidRDefault="008310F0" w:rsidP="002A1609">
            <w:r w:rsidRPr="00173315">
              <w:rPr>
                <w:b/>
                <w:lang w:eastAsia="lt-LT"/>
              </w:rPr>
              <w:drawing>
                <wp:inline distT="0" distB="0" distL="0" distR="0" wp14:anchorId="7AA44BB7" wp14:editId="5A8ABA3D">
                  <wp:extent cx="977900" cy="1263650"/>
                  <wp:effectExtent l="0" t="0" r="0" b="0"/>
                  <wp:docPr id="1" name="Picture 2" descr="ILL0129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0129 v2"/>
                          <pic:cNvPicPr>
                            <a:picLocks noChangeAspect="1" noChangeArrowheads="1"/>
                          </pic:cNvPicPr>
                        </pic:nvPicPr>
                        <pic:blipFill>
                          <a:blip r:embed="rId22" cstate="hqprint">
                            <a:extLst>
                              <a:ext uri="{28A0092B-C50C-407E-A947-70E740481C1C}">
                                <a14:useLocalDpi xmlns:a14="http://schemas.microsoft.com/office/drawing/2010/main" val="0"/>
                              </a:ext>
                            </a:extLst>
                          </a:blip>
                          <a:srcRect/>
                          <a:stretch>
                            <a:fillRect/>
                          </a:stretch>
                        </pic:blipFill>
                        <pic:spPr bwMode="auto">
                          <a:xfrm>
                            <a:off x="0" y="0"/>
                            <a:ext cx="977900" cy="1263650"/>
                          </a:xfrm>
                          <a:prstGeom prst="rect">
                            <a:avLst/>
                          </a:prstGeom>
                          <a:noFill/>
                          <a:ln>
                            <a:noFill/>
                          </a:ln>
                        </pic:spPr>
                      </pic:pic>
                    </a:graphicData>
                  </a:graphic>
                </wp:inline>
              </w:drawing>
            </w:r>
          </w:p>
        </w:tc>
        <w:tc>
          <w:tcPr>
            <w:tcW w:w="7260" w:type="dxa"/>
          </w:tcPr>
          <w:p w14:paraId="3959080A" w14:textId="77777777" w:rsidR="00D24A7B" w:rsidRPr="00AE03B0" w:rsidRDefault="00D24A7B" w:rsidP="00547C16">
            <w:r w:rsidRPr="00AE03B0">
              <w:t xml:space="preserve">Tinkamiausios vietos injekcijai yra viršutinė šlaunų sritis ir pilvas. Jei injekciją atlieka kitas žmogus, vaisto galima </w:t>
            </w:r>
            <w:r w:rsidR="007708EB">
              <w:t>suleisti</w:t>
            </w:r>
            <w:r w:rsidRPr="00AE03B0">
              <w:t xml:space="preserve"> į išorinę žasto dalį. </w:t>
            </w:r>
          </w:p>
          <w:p w14:paraId="27962D65" w14:textId="77777777" w:rsidR="00D24A7B" w:rsidRPr="006F0805" w:rsidRDefault="00D24A7B" w:rsidP="00547C16"/>
        </w:tc>
      </w:tr>
      <w:tr w:rsidR="00306AC1" w:rsidRPr="006F0805" w14:paraId="49BB6319" w14:textId="77777777" w:rsidTr="00306AC1">
        <w:tc>
          <w:tcPr>
            <w:tcW w:w="1951" w:type="dxa"/>
            <w:vMerge/>
          </w:tcPr>
          <w:p w14:paraId="1DB46F2F" w14:textId="77777777" w:rsidR="00D24A7B" w:rsidRPr="006F0805" w:rsidRDefault="00D24A7B" w:rsidP="00547C16"/>
        </w:tc>
        <w:tc>
          <w:tcPr>
            <w:tcW w:w="7260" w:type="dxa"/>
          </w:tcPr>
          <w:p w14:paraId="2E1A14A0" w14:textId="77777777" w:rsidR="00D24A7B" w:rsidRPr="006F0805" w:rsidRDefault="00D24A7B" w:rsidP="00547C16">
            <w:pPr>
              <w:rPr>
                <w:lang w:val="pt-BR"/>
              </w:rPr>
            </w:pPr>
            <w:r w:rsidRPr="006F0805">
              <w:rPr>
                <w:lang w:val="pt-BR"/>
              </w:rPr>
              <w:t>Galima pakeisti injekcijos vietą, jei ji paraudusi ir skausminga.</w:t>
            </w:r>
          </w:p>
          <w:p w14:paraId="3995FA98" w14:textId="77777777" w:rsidR="00D24A7B" w:rsidRPr="006F0805" w:rsidRDefault="00D24A7B" w:rsidP="00547C16">
            <w:pPr>
              <w:rPr>
                <w:lang w:val="pt-BR"/>
              </w:rPr>
            </w:pPr>
          </w:p>
        </w:tc>
      </w:tr>
    </w:tbl>
    <w:p w14:paraId="34D593AB" w14:textId="77777777" w:rsidR="007263AB" w:rsidRPr="006F0805" w:rsidRDefault="007263AB" w:rsidP="00306AC1">
      <w:pPr>
        <w:pStyle w:val="Antrat2"/>
        <w:keepNext w:val="0"/>
        <w:widowControl w:val="0"/>
        <w:rPr>
          <w:rFonts w:ascii="Times New Roman" w:hAnsi="Times New Roman"/>
        </w:rPr>
      </w:pPr>
    </w:p>
    <w:p w14:paraId="008EDBF2" w14:textId="77777777" w:rsidR="00D24A7B" w:rsidRPr="006F0805" w:rsidRDefault="00D24A7B" w:rsidP="00306AC1">
      <w:pPr>
        <w:pStyle w:val="Antrat2"/>
        <w:keepLines/>
        <w:widowControl w:val="0"/>
        <w:rPr>
          <w:rFonts w:ascii="Times New Roman" w:hAnsi="Times New Roman"/>
        </w:rPr>
      </w:pPr>
      <w:r w:rsidRPr="006F0805">
        <w:rPr>
          <w:rFonts w:ascii="Times New Roman" w:hAnsi="Times New Roman"/>
        </w:rPr>
        <w:lastRenderedPageBreak/>
        <w:t xml:space="preserve">Kaip </w:t>
      </w:r>
      <w:r w:rsidR="007708EB">
        <w:rPr>
          <w:rFonts w:ascii="Times New Roman" w:hAnsi="Times New Roman"/>
        </w:rPr>
        <w:t>susileisti</w:t>
      </w:r>
      <w:r w:rsidRPr="006F0805">
        <w:rPr>
          <w:rFonts w:ascii="Times New Roman" w:hAnsi="Times New Roman"/>
        </w:rPr>
        <w:t xml:space="preserve"> vaisto?</w:t>
      </w:r>
    </w:p>
    <w:p w14:paraId="039877B5" w14:textId="77777777" w:rsidR="00D24A7B" w:rsidRPr="006F0805" w:rsidRDefault="00D24A7B" w:rsidP="00306AC1">
      <w:pPr>
        <w:keepNext/>
        <w:keepLines/>
        <w:widowControl w:val="0"/>
      </w:pPr>
    </w:p>
    <w:p w14:paraId="0B35155A" w14:textId="77777777" w:rsidR="00D24A7B" w:rsidRPr="006F0805" w:rsidRDefault="00D24A7B" w:rsidP="00D24A7B">
      <w:pPr>
        <w:numPr>
          <w:ilvl w:val="0"/>
          <w:numId w:val="17"/>
        </w:numPr>
      </w:pPr>
      <w:r w:rsidRPr="006F0805">
        <w:t xml:space="preserve">Spiritu suvilgytu tamponu dezinfekuokite odą ir nespausdami nykščiu ir smiliumi ją suimkite. </w:t>
      </w:r>
    </w:p>
    <w:p w14:paraId="0E80DE52" w14:textId="77777777" w:rsidR="00D24A7B" w:rsidRPr="006F0805" w:rsidRDefault="00D24A7B" w:rsidP="00D24A7B">
      <w:pPr>
        <w:numPr>
          <w:ilvl w:val="0"/>
          <w:numId w:val="17"/>
        </w:numPr>
      </w:pPr>
      <w:r w:rsidRPr="006F0805">
        <w:t>Įbeskite visą adatą į odą taip, kaip parodė jūsų slaugytoja ar gydytojas.</w:t>
      </w:r>
    </w:p>
    <w:p w14:paraId="00DDA1FA" w14:textId="77777777" w:rsidR="00D24A7B" w:rsidRPr="006F0805" w:rsidRDefault="00D24A7B" w:rsidP="00D24A7B">
      <w:pPr>
        <w:numPr>
          <w:ilvl w:val="0"/>
          <w:numId w:val="17"/>
        </w:numPr>
      </w:pPr>
      <w:r w:rsidRPr="006F0805">
        <w:t xml:space="preserve">Lėtai ir tolygiai stumkite stūmoklį, visą laiką laikydami suimtą odą, kol švirkštas bus tuščias. </w:t>
      </w:r>
    </w:p>
    <w:p w14:paraId="519BA39B" w14:textId="77777777" w:rsidR="00D24A7B" w:rsidRPr="006F0805" w:rsidRDefault="00D24A7B" w:rsidP="00D24A7B">
      <w:pPr>
        <w:numPr>
          <w:ilvl w:val="0"/>
          <w:numId w:val="17"/>
        </w:numPr>
        <w:rPr>
          <w:lang w:val="pt-BR"/>
        </w:rPr>
      </w:pPr>
      <w:r w:rsidRPr="006F0805">
        <w:rPr>
          <w:lang w:val="pt-BR"/>
        </w:rPr>
        <w:t>Ištraukite adatą ir paleiskite odą.</w:t>
      </w:r>
    </w:p>
    <w:p w14:paraId="5AE04EA6" w14:textId="186DAF23" w:rsidR="00D24A7B" w:rsidRPr="006F0805" w:rsidRDefault="00D24A7B" w:rsidP="00D24A7B">
      <w:pPr>
        <w:numPr>
          <w:ilvl w:val="0"/>
          <w:numId w:val="17"/>
        </w:numPr>
        <w:rPr>
          <w:lang w:val="pt-BR"/>
        </w:rPr>
      </w:pPr>
      <w:r w:rsidRPr="006F0805">
        <w:rPr>
          <w:lang w:val="pt-BR"/>
        </w:rPr>
        <w:t>Pasirodžiusią kraujo dėmelę galite švelniai nuvalyti vata ar medvilniniu audin</w:t>
      </w:r>
      <w:r w:rsidR="00E6251F">
        <w:rPr>
          <w:lang w:val="pt-BR"/>
        </w:rPr>
        <w:t>i</w:t>
      </w:r>
      <w:r w:rsidRPr="006F0805">
        <w:rPr>
          <w:lang w:val="pt-BR"/>
        </w:rPr>
        <w:t>u. Netrinkite injekcijos vietos. Jeigu reikia, injekcijos vietą galite užklijuoti pleistru.</w:t>
      </w:r>
    </w:p>
    <w:p w14:paraId="6A362FE9" w14:textId="77777777" w:rsidR="00D24A7B" w:rsidRPr="006F0805" w:rsidRDefault="00D24A7B" w:rsidP="00D24A7B">
      <w:pPr>
        <w:numPr>
          <w:ilvl w:val="0"/>
          <w:numId w:val="17"/>
        </w:numPr>
        <w:rPr>
          <w:lang w:val="pt-BR"/>
        </w:rPr>
      </w:pPr>
      <w:r w:rsidRPr="006F0805">
        <w:rPr>
          <w:lang w:val="pt-BR"/>
        </w:rPr>
        <w:t>Švirkštą galima naudoti tik vienai injekcijai. Švirkšte likusio Neupogen tirpalo vartoti negalima.</w:t>
      </w:r>
    </w:p>
    <w:p w14:paraId="3BD8F648" w14:textId="77777777" w:rsidR="00D24A7B" w:rsidRPr="006F0805" w:rsidRDefault="00D24A7B" w:rsidP="00D24A7B">
      <w:pPr>
        <w:rPr>
          <w:lang w:val="pt-BR"/>
        </w:rPr>
      </w:pPr>
    </w:p>
    <w:p w14:paraId="0D6CEC92" w14:textId="77777777" w:rsidR="00D24A7B" w:rsidRPr="006F0805" w:rsidRDefault="00D24A7B" w:rsidP="00D24A7B">
      <w:pPr>
        <w:rPr>
          <w:lang w:val="pt-BR"/>
        </w:rPr>
      </w:pPr>
      <w:r w:rsidRPr="006F0805">
        <w:rPr>
          <w:b/>
          <w:lang w:val="pt-BR"/>
        </w:rPr>
        <w:t xml:space="preserve">Įsidėmėkite: </w:t>
      </w:r>
      <w:r w:rsidR="007708EB">
        <w:rPr>
          <w:lang w:val="pt-BR"/>
        </w:rPr>
        <w:t>j</w:t>
      </w:r>
      <w:r w:rsidRPr="006F0805">
        <w:rPr>
          <w:lang w:val="pt-BR"/>
        </w:rPr>
        <w:t>ei kiltų neaiškumų, nedvejodami kreipkitės į gydytoją ar slaugytoją pagalbos ir patarimo.</w:t>
      </w:r>
    </w:p>
    <w:p w14:paraId="26BC4A4C" w14:textId="77777777" w:rsidR="00D24A7B" w:rsidRPr="006F0805" w:rsidRDefault="00D24A7B" w:rsidP="00D24A7B">
      <w:pPr>
        <w:rPr>
          <w:lang w:val="pt-BR"/>
        </w:rPr>
      </w:pPr>
    </w:p>
    <w:p w14:paraId="207B145C" w14:textId="77777777" w:rsidR="00D24A7B" w:rsidRPr="006F0805" w:rsidRDefault="00D24A7B" w:rsidP="00D24A7B">
      <w:pPr>
        <w:pStyle w:val="Antrat2"/>
        <w:rPr>
          <w:rFonts w:ascii="Times New Roman" w:hAnsi="Times New Roman"/>
        </w:rPr>
      </w:pPr>
      <w:r w:rsidRPr="006F0805">
        <w:rPr>
          <w:rFonts w:ascii="Times New Roman" w:hAnsi="Times New Roman"/>
        </w:rPr>
        <w:t>Naudotų švirkštų naikinimas</w:t>
      </w:r>
    </w:p>
    <w:p w14:paraId="2CC8E397" w14:textId="77777777" w:rsidR="00D24A7B" w:rsidRPr="006F0805" w:rsidRDefault="00D24A7B" w:rsidP="00D24A7B"/>
    <w:p w14:paraId="31CFED5A" w14:textId="77777777" w:rsidR="00D24A7B" w:rsidRPr="006F0805" w:rsidRDefault="00D24A7B" w:rsidP="00D24A7B">
      <w:pPr>
        <w:numPr>
          <w:ilvl w:val="0"/>
          <w:numId w:val="18"/>
        </w:numPr>
      </w:pPr>
      <w:r w:rsidRPr="006F0805">
        <w:t>Ant naudotų adatų apsauginių dangtelių nedėkite, nes netyčia galite įsidurti.</w:t>
      </w:r>
    </w:p>
    <w:p w14:paraId="10D152D7" w14:textId="77777777" w:rsidR="00D24A7B" w:rsidRPr="006F0805" w:rsidRDefault="00D24A7B" w:rsidP="00D24A7B">
      <w:pPr>
        <w:numPr>
          <w:ilvl w:val="0"/>
          <w:numId w:val="18"/>
        </w:numPr>
      </w:pPr>
      <w:r w:rsidRPr="006F0805">
        <w:t xml:space="preserve">Naudotus švirkštus laikykite vaikams </w:t>
      </w:r>
      <w:r w:rsidR="007708EB">
        <w:t xml:space="preserve">nepastebimoje ir </w:t>
      </w:r>
      <w:r w:rsidRPr="006F0805">
        <w:t>nepasiekiamoje</w:t>
      </w:r>
      <w:r w:rsidR="007708EB">
        <w:t xml:space="preserve"> </w:t>
      </w:r>
      <w:r w:rsidRPr="006F0805">
        <w:t>vietoje.</w:t>
      </w:r>
    </w:p>
    <w:p w14:paraId="4963BDF9" w14:textId="77777777" w:rsidR="00D24A7B" w:rsidRPr="006F0805" w:rsidRDefault="00D24A7B" w:rsidP="00D24A7B">
      <w:pPr>
        <w:numPr>
          <w:ilvl w:val="0"/>
          <w:numId w:val="18"/>
        </w:numPr>
        <w:rPr>
          <w:lang w:val="pt-BR"/>
        </w:rPr>
      </w:pPr>
      <w:r w:rsidRPr="006F0805">
        <w:rPr>
          <w:lang w:val="pt-BR"/>
        </w:rPr>
        <w:t xml:space="preserve">Švirkštų negalima mesti kartu su buitinėmis atliekomis. Kaip naikinti naudotus ar nereikalingus švirkštus, klauskite vaistininko. </w:t>
      </w:r>
    </w:p>
    <w:p w14:paraId="127BD852" w14:textId="77777777" w:rsidR="00D24A7B" w:rsidRPr="006F0805" w:rsidRDefault="00D24A7B" w:rsidP="00D24A7B">
      <w:pPr>
        <w:rPr>
          <w:lang w:val="pt-BR"/>
        </w:rPr>
      </w:pPr>
    </w:p>
    <w:p w14:paraId="3426739E" w14:textId="77777777" w:rsidR="00D24A7B" w:rsidRPr="006F0805" w:rsidRDefault="00D24A7B" w:rsidP="00D24A7B">
      <w:pPr>
        <w:numPr>
          <w:ilvl w:val="12"/>
          <w:numId w:val="0"/>
        </w:numPr>
        <w:rPr>
          <w:lang w:val="pt-BR"/>
        </w:rPr>
      </w:pPr>
      <w:r w:rsidRPr="006F0805">
        <w:rPr>
          <w:lang w:val="pt-BR"/>
        </w:rPr>
        <w:t>---------------------------------------------------------------------------------------------------------------------------</w:t>
      </w:r>
    </w:p>
    <w:p w14:paraId="422E4638" w14:textId="77777777" w:rsidR="00D24A7B" w:rsidRPr="006F0805" w:rsidRDefault="00D24A7B" w:rsidP="00D24A7B">
      <w:pPr>
        <w:ind w:hanging="567"/>
        <w:rPr>
          <w:lang w:val="pt-BR"/>
        </w:rPr>
      </w:pPr>
    </w:p>
    <w:p w14:paraId="0448B9AD" w14:textId="77777777" w:rsidR="00D24A7B" w:rsidRPr="006F0805" w:rsidRDefault="007708EB" w:rsidP="00D24A7B">
      <w:pPr>
        <w:ind w:left="567" w:hanging="567"/>
        <w:rPr>
          <w:b/>
          <w:lang w:val="pt-BR"/>
        </w:rPr>
      </w:pPr>
      <w:r>
        <w:rPr>
          <w:b/>
          <w:lang w:val="pt-BR"/>
        </w:rPr>
        <w:t>Toliau</w:t>
      </w:r>
      <w:r w:rsidR="00D24A7B" w:rsidRPr="006F0805">
        <w:rPr>
          <w:b/>
          <w:lang w:val="pt-BR"/>
        </w:rPr>
        <w:t xml:space="preserve"> pateikta informacija skirta tik sveikatos priežiūros specialistams:</w:t>
      </w:r>
    </w:p>
    <w:p w14:paraId="7507C177" w14:textId="77777777" w:rsidR="00D24A7B" w:rsidRPr="006F0805" w:rsidRDefault="00D24A7B" w:rsidP="00D24A7B">
      <w:pPr>
        <w:numPr>
          <w:ilvl w:val="12"/>
          <w:numId w:val="0"/>
        </w:numPr>
        <w:rPr>
          <w:lang w:val="pt-BR"/>
        </w:rPr>
      </w:pPr>
    </w:p>
    <w:p w14:paraId="4595E518" w14:textId="77777777" w:rsidR="00D24A7B" w:rsidRPr="006F0805" w:rsidRDefault="00D24A7B" w:rsidP="00D24A7B">
      <w:r w:rsidRPr="006F0805">
        <w:rPr>
          <w:lang w:val="pt-BR"/>
        </w:rPr>
        <w:t xml:space="preserve">Naudojant </w:t>
      </w:r>
      <w:r w:rsidR="007708EB">
        <w:rPr>
          <w:lang w:val="pt-BR"/>
        </w:rPr>
        <w:t xml:space="preserve">kaip </w:t>
      </w:r>
      <w:r w:rsidRPr="006F0805">
        <w:rPr>
          <w:lang w:val="pt-BR"/>
        </w:rPr>
        <w:t>koncentratą infuzi</w:t>
      </w:r>
      <w:r w:rsidR="007708EB">
        <w:rPr>
          <w:lang w:val="pt-BR"/>
        </w:rPr>
        <w:t>niam tirpalui</w:t>
      </w:r>
      <w:r w:rsidRPr="006F0805">
        <w:rPr>
          <w:lang w:val="pt-BR" w:eastAsia="lt-LT"/>
        </w:rPr>
        <w:t xml:space="preserve">, Neupogen reikia </w:t>
      </w:r>
      <w:r w:rsidR="007708EB">
        <w:rPr>
          <w:lang w:val="pt-BR" w:eastAsia="lt-LT"/>
        </w:rPr>
        <w:t>pra</w:t>
      </w:r>
      <w:r w:rsidRPr="006F0805">
        <w:rPr>
          <w:lang w:val="pt-BR" w:eastAsia="lt-LT"/>
        </w:rPr>
        <w:t>skiesti 20 ml 5</w:t>
      </w:r>
      <w:r w:rsidR="007708EB">
        <w:rPr>
          <w:lang w:val="pt-BR" w:eastAsia="lt-LT"/>
        </w:rPr>
        <w:t> </w:t>
      </w:r>
      <w:r w:rsidRPr="006F0805">
        <w:rPr>
          <w:lang w:val="pt-BR" w:eastAsia="lt-LT"/>
        </w:rPr>
        <w:t xml:space="preserve">% gliukozės tirpalo. </w:t>
      </w:r>
      <w:r w:rsidRPr="006F0805">
        <w:rPr>
          <w:lang w:eastAsia="lt-LT"/>
        </w:rPr>
        <w:t>Naudojimo instrukcijos pateiktos Preparato charakteristikų santraukoje.</w:t>
      </w:r>
    </w:p>
    <w:p w14:paraId="2282B518" w14:textId="77777777" w:rsidR="00E01D38" w:rsidRPr="006F0805" w:rsidRDefault="00E01D38"/>
    <w:sectPr w:rsidR="00E01D38" w:rsidRPr="006F0805" w:rsidSect="00F23B4F">
      <w:headerReference w:type="even" r:id="rId23"/>
      <w:headerReference w:type="default" r:id="rId24"/>
      <w:footerReference w:type="even" r:id="rId25"/>
      <w:footerReference w:type="default" r:id="rId26"/>
      <w:headerReference w:type="first" r:id="rId27"/>
      <w:footerReference w:type="first" r:id="rId28"/>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BCBCF" w14:textId="77777777" w:rsidR="00CF0C56" w:rsidRDefault="00CF0C56" w:rsidP="0016476D">
      <w:r>
        <w:separator/>
      </w:r>
    </w:p>
  </w:endnote>
  <w:endnote w:type="continuationSeparator" w:id="0">
    <w:p w14:paraId="5A56B83A" w14:textId="77777777" w:rsidR="00CF0C56" w:rsidRDefault="00CF0C56" w:rsidP="0016476D">
      <w:r>
        <w:continuationSeparator/>
      </w:r>
    </w:p>
  </w:endnote>
  <w:endnote w:type="continuationNotice" w:id="1">
    <w:p w14:paraId="5FEEDC01" w14:textId="77777777" w:rsidR="00CF0C56" w:rsidRDefault="00CF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1CBA7" w14:textId="77777777" w:rsidR="004C388F" w:rsidRDefault="004C388F">
    <w:r>
      <w:fldChar w:fldCharType="begin"/>
    </w:r>
    <w:r>
      <w:instrText xml:space="preserve">PAGE  </w:instrText>
    </w:r>
    <w:r>
      <w:fldChar w:fldCharType="separate"/>
    </w:r>
    <w:r>
      <w:t>32</w:t>
    </w:r>
    <w:r>
      <w:fldChar w:fldCharType="end"/>
    </w:r>
  </w:p>
  <w:p w14:paraId="4BBEAAAC" w14:textId="77777777" w:rsidR="004C388F" w:rsidRDefault="004C388F"/>
  <w:p w14:paraId="6CA65CA0" w14:textId="77777777" w:rsidR="004C388F" w:rsidRDefault="004C388F"/>
  <w:p w14:paraId="453C65A7" w14:textId="77777777" w:rsidR="004C388F" w:rsidRDefault="004C388F"/>
  <w:p w14:paraId="39149781" w14:textId="77777777" w:rsidR="004C388F" w:rsidRDefault="004C388F"/>
  <w:p w14:paraId="6604EF8D" w14:textId="77777777" w:rsidR="004C388F" w:rsidRDefault="004C388F"/>
  <w:p w14:paraId="6666DD32" w14:textId="77777777" w:rsidR="004C388F" w:rsidRDefault="004C388F"/>
  <w:p w14:paraId="1340B35D" w14:textId="77777777" w:rsidR="004C388F" w:rsidRDefault="004C388F"/>
  <w:p w14:paraId="342DB55A" w14:textId="77777777" w:rsidR="004C388F" w:rsidRDefault="004C388F"/>
  <w:p w14:paraId="58930ADF" w14:textId="77777777" w:rsidR="004C388F" w:rsidRDefault="004C388F"/>
  <w:p w14:paraId="1C14EA4D" w14:textId="77777777" w:rsidR="004C388F" w:rsidRDefault="004C388F"/>
  <w:p w14:paraId="696D44EA" w14:textId="77777777" w:rsidR="004C388F" w:rsidRDefault="004C388F"/>
  <w:p w14:paraId="1FF9C703" w14:textId="77777777" w:rsidR="004C388F" w:rsidRDefault="004C388F"/>
  <w:p w14:paraId="4C54772F" w14:textId="77777777" w:rsidR="004C388F" w:rsidRDefault="004C388F"/>
  <w:p w14:paraId="5F6D2FA6" w14:textId="77777777" w:rsidR="004C388F" w:rsidRDefault="004C388F"/>
  <w:p w14:paraId="7AC9CA85" w14:textId="77777777" w:rsidR="004C388F" w:rsidRDefault="004C388F"/>
  <w:p w14:paraId="2A6B3AA4" w14:textId="77777777" w:rsidR="004C388F" w:rsidRDefault="004C388F"/>
  <w:p w14:paraId="6EB575D3" w14:textId="77777777" w:rsidR="004C388F" w:rsidRDefault="004C388F"/>
  <w:p w14:paraId="42760E19" w14:textId="77777777" w:rsidR="004C388F" w:rsidRDefault="004C388F"/>
  <w:p w14:paraId="4607A508" w14:textId="77777777" w:rsidR="004C388F" w:rsidRDefault="004C388F"/>
  <w:p w14:paraId="2E52F67B" w14:textId="77777777" w:rsidR="004C388F" w:rsidRDefault="004C388F"/>
  <w:p w14:paraId="3FC6869A" w14:textId="77777777" w:rsidR="004C388F" w:rsidRDefault="004C388F"/>
  <w:p w14:paraId="3E26AB72" w14:textId="77777777" w:rsidR="004C388F" w:rsidRDefault="004C388F"/>
  <w:p w14:paraId="6C8C04A9" w14:textId="77777777" w:rsidR="004C388F" w:rsidRDefault="004C388F"/>
  <w:p w14:paraId="529BB5D7" w14:textId="77777777" w:rsidR="004C388F" w:rsidRDefault="004C388F"/>
  <w:p w14:paraId="3A9BC90E" w14:textId="77777777" w:rsidR="004C388F" w:rsidRDefault="004C388F"/>
  <w:p w14:paraId="057CF0A9" w14:textId="77777777" w:rsidR="004C388F" w:rsidRDefault="004C388F"/>
  <w:p w14:paraId="25293D51" w14:textId="77777777" w:rsidR="004C388F" w:rsidRDefault="004C388F"/>
  <w:p w14:paraId="3A220F90" w14:textId="77777777" w:rsidR="004C388F" w:rsidRDefault="004C388F"/>
  <w:p w14:paraId="47BBD790" w14:textId="77777777" w:rsidR="004C388F" w:rsidRDefault="004C388F"/>
  <w:p w14:paraId="0C497766" w14:textId="77777777" w:rsidR="004C388F" w:rsidRDefault="004C388F"/>
  <w:p w14:paraId="79762D7D" w14:textId="77777777" w:rsidR="004C388F" w:rsidRDefault="004C388F"/>
  <w:p w14:paraId="45BBFF68" w14:textId="77777777" w:rsidR="004C388F" w:rsidRDefault="004C388F"/>
  <w:p w14:paraId="5842214E" w14:textId="77777777" w:rsidR="004C388F" w:rsidRDefault="004C388F"/>
  <w:p w14:paraId="7C049615" w14:textId="77777777" w:rsidR="004C388F" w:rsidRDefault="004C388F"/>
  <w:p w14:paraId="56FEA148" w14:textId="77777777" w:rsidR="004C388F" w:rsidRDefault="004C388F"/>
  <w:p w14:paraId="017E3887" w14:textId="77777777" w:rsidR="004C388F" w:rsidRDefault="004C388F"/>
  <w:p w14:paraId="624B3FB3" w14:textId="77777777" w:rsidR="004C388F" w:rsidRDefault="004C388F"/>
  <w:p w14:paraId="7BD799C1" w14:textId="77777777" w:rsidR="004C388F" w:rsidRDefault="004C388F"/>
  <w:p w14:paraId="193283B7" w14:textId="77777777" w:rsidR="004C388F" w:rsidRDefault="004C388F"/>
  <w:p w14:paraId="41F3CE09" w14:textId="77777777" w:rsidR="004C388F" w:rsidRDefault="004C388F"/>
  <w:p w14:paraId="4133FED8" w14:textId="77777777" w:rsidR="004C388F" w:rsidRDefault="004C388F"/>
  <w:p w14:paraId="02C47A91" w14:textId="77777777" w:rsidR="004C388F" w:rsidRDefault="004C388F"/>
  <w:p w14:paraId="469EB4D6" w14:textId="77777777" w:rsidR="004C388F" w:rsidRDefault="004C388F"/>
  <w:p w14:paraId="518C5D5F" w14:textId="77777777" w:rsidR="004C388F" w:rsidRDefault="004C388F"/>
  <w:p w14:paraId="10E6D803" w14:textId="77777777" w:rsidR="004C388F" w:rsidRDefault="004C388F"/>
  <w:p w14:paraId="02F99E0C" w14:textId="77777777" w:rsidR="004C388F" w:rsidRDefault="004C388F"/>
  <w:p w14:paraId="3D30D341" w14:textId="77777777" w:rsidR="004C388F" w:rsidRDefault="004C388F"/>
  <w:p w14:paraId="1525347E" w14:textId="77777777" w:rsidR="004C388F" w:rsidRDefault="004C388F"/>
  <w:p w14:paraId="4F5B8204" w14:textId="77777777" w:rsidR="004C388F" w:rsidRDefault="004C388F"/>
  <w:p w14:paraId="0497AECB" w14:textId="77777777" w:rsidR="004C388F" w:rsidRDefault="004C388F"/>
  <w:p w14:paraId="4A196555" w14:textId="77777777" w:rsidR="004C388F" w:rsidRDefault="004C388F"/>
  <w:p w14:paraId="4B514193" w14:textId="77777777" w:rsidR="004C388F" w:rsidRDefault="004C388F"/>
  <w:p w14:paraId="074D7A20" w14:textId="77777777" w:rsidR="004C388F" w:rsidRDefault="004C388F"/>
  <w:p w14:paraId="4252C94F" w14:textId="77777777" w:rsidR="004C388F" w:rsidRDefault="004C388F"/>
  <w:p w14:paraId="7D01B190" w14:textId="77777777" w:rsidR="004C388F" w:rsidRDefault="004C388F"/>
  <w:p w14:paraId="4505E7A9" w14:textId="77777777" w:rsidR="004C388F" w:rsidRDefault="004C388F"/>
  <w:p w14:paraId="0E950C19" w14:textId="77777777" w:rsidR="004C388F" w:rsidRDefault="004C388F"/>
  <w:p w14:paraId="06FDDC6C" w14:textId="77777777" w:rsidR="004C388F" w:rsidRDefault="004C388F"/>
  <w:p w14:paraId="53FDDDB2" w14:textId="77777777" w:rsidR="004C388F" w:rsidRDefault="004C38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4F1E8" w14:textId="78E63451" w:rsidR="004C388F" w:rsidRPr="00E22A03" w:rsidRDefault="004C388F" w:rsidP="00E6641A">
    <w:pPr>
      <w:pStyle w:val="Porat"/>
      <w:tabs>
        <w:tab w:val="right" w:pos="9360"/>
      </w:tabs>
      <w:jc w:val="center"/>
      <w:rPr>
        <w:sz w:val="16"/>
      </w:rPr>
    </w:pPr>
    <w:r w:rsidRPr="006F0805">
      <w:rPr>
        <w:sz w:val="16"/>
      </w:rPr>
      <w:fldChar w:fldCharType="begin"/>
    </w:r>
    <w:r w:rsidRPr="006F0805">
      <w:rPr>
        <w:sz w:val="16"/>
      </w:rPr>
      <w:instrText xml:space="preserve"> PAGE  \* Arabic  \* MERGEFORMAT </w:instrText>
    </w:r>
    <w:r w:rsidRPr="006F0805">
      <w:rPr>
        <w:sz w:val="16"/>
      </w:rPr>
      <w:fldChar w:fldCharType="separate"/>
    </w:r>
    <w:r w:rsidR="007F0FE5">
      <w:rPr>
        <w:sz w:val="16"/>
      </w:rPr>
      <w:t>2</w:t>
    </w:r>
    <w:r w:rsidRPr="006F0805">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36E9" w14:textId="77777777" w:rsidR="00624AF4" w:rsidRDefault="00624A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21943" w14:textId="77777777" w:rsidR="00CF0C56" w:rsidRDefault="00CF0C56" w:rsidP="0016476D">
      <w:r>
        <w:separator/>
      </w:r>
    </w:p>
  </w:footnote>
  <w:footnote w:type="continuationSeparator" w:id="0">
    <w:p w14:paraId="4FA82E8B" w14:textId="77777777" w:rsidR="00CF0C56" w:rsidRDefault="00CF0C56" w:rsidP="0016476D">
      <w:r>
        <w:continuationSeparator/>
      </w:r>
    </w:p>
  </w:footnote>
  <w:footnote w:type="continuationNotice" w:id="1">
    <w:p w14:paraId="7D5CE6B6" w14:textId="77777777" w:rsidR="00CF0C56" w:rsidRDefault="00CF0C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185D" w14:textId="77777777" w:rsidR="004C388F" w:rsidRDefault="004C388F"/>
  <w:p w14:paraId="00355592" w14:textId="77777777" w:rsidR="004C388F" w:rsidRDefault="004C388F"/>
  <w:p w14:paraId="192074D8" w14:textId="77777777" w:rsidR="004C388F" w:rsidRDefault="004C388F"/>
  <w:p w14:paraId="0D2F3BCB" w14:textId="77777777" w:rsidR="004C388F" w:rsidRDefault="004C388F"/>
  <w:p w14:paraId="68159ADD" w14:textId="77777777" w:rsidR="004C388F" w:rsidRDefault="004C388F"/>
  <w:p w14:paraId="1FE3048F" w14:textId="77777777" w:rsidR="004C388F" w:rsidRDefault="004C388F"/>
  <w:p w14:paraId="633299B2" w14:textId="77777777" w:rsidR="004C388F" w:rsidRDefault="004C388F"/>
  <w:p w14:paraId="273F20E6" w14:textId="77777777" w:rsidR="004C388F" w:rsidRDefault="004C388F"/>
  <w:p w14:paraId="3BDDEC39" w14:textId="77777777" w:rsidR="004C388F" w:rsidRDefault="004C388F"/>
  <w:p w14:paraId="4BBC2A49" w14:textId="77777777" w:rsidR="004C388F" w:rsidRDefault="004C388F"/>
  <w:p w14:paraId="0CAF1BB9" w14:textId="77777777" w:rsidR="004C388F" w:rsidRDefault="004C388F"/>
  <w:p w14:paraId="34C73C95" w14:textId="77777777" w:rsidR="004C388F" w:rsidRDefault="004C388F"/>
  <w:p w14:paraId="5A6BF8B1" w14:textId="77777777" w:rsidR="004C388F" w:rsidRDefault="004C388F"/>
  <w:p w14:paraId="7B3092F6" w14:textId="77777777" w:rsidR="004C388F" w:rsidRDefault="004C388F"/>
  <w:p w14:paraId="1182E074" w14:textId="77777777" w:rsidR="004C388F" w:rsidRDefault="004C388F"/>
  <w:p w14:paraId="64E989FF" w14:textId="77777777" w:rsidR="004C388F" w:rsidRDefault="004C388F"/>
  <w:p w14:paraId="6E5FDCE4" w14:textId="77777777" w:rsidR="004C388F" w:rsidRDefault="004C388F"/>
  <w:p w14:paraId="6EAA0E30" w14:textId="77777777" w:rsidR="004C388F" w:rsidRDefault="004C388F"/>
  <w:p w14:paraId="0CEF2EEB" w14:textId="77777777" w:rsidR="004C388F" w:rsidRDefault="004C388F"/>
  <w:p w14:paraId="4EE79B00" w14:textId="77777777" w:rsidR="004C388F" w:rsidRDefault="004C388F"/>
  <w:p w14:paraId="26324098" w14:textId="77777777" w:rsidR="004C388F" w:rsidRDefault="004C388F"/>
  <w:p w14:paraId="70E4C8C7" w14:textId="77777777" w:rsidR="004C388F" w:rsidRDefault="004C388F"/>
  <w:p w14:paraId="13F77807" w14:textId="77777777" w:rsidR="004C388F" w:rsidRDefault="004C388F"/>
  <w:p w14:paraId="17C4503B" w14:textId="77777777" w:rsidR="004C388F" w:rsidRDefault="004C388F"/>
  <w:p w14:paraId="614696F0" w14:textId="77777777" w:rsidR="004C388F" w:rsidRDefault="004C388F"/>
  <w:p w14:paraId="6C19552B" w14:textId="77777777" w:rsidR="004C388F" w:rsidRDefault="004C388F"/>
  <w:p w14:paraId="22E5469D" w14:textId="77777777" w:rsidR="004C388F" w:rsidRDefault="004C388F"/>
  <w:p w14:paraId="50D2AF67" w14:textId="77777777" w:rsidR="004C388F" w:rsidRDefault="004C388F"/>
  <w:p w14:paraId="3D9FEF5D" w14:textId="77777777" w:rsidR="004C388F" w:rsidRDefault="004C388F"/>
  <w:p w14:paraId="3BAEA0AC" w14:textId="77777777" w:rsidR="004C388F" w:rsidRDefault="004C388F"/>
  <w:p w14:paraId="3556B0D0" w14:textId="77777777" w:rsidR="004C388F" w:rsidRDefault="004C388F"/>
  <w:p w14:paraId="59C9FC98" w14:textId="77777777" w:rsidR="004C388F" w:rsidRDefault="004C388F"/>
  <w:p w14:paraId="34EC35AD" w14:textId="77777777" w:rsidR="004C388F" w:rsidRDefault="004C388F"/>
  <w:p w14:paraId="64D3FB3F" w14:textId="77777777" w:rsidR="004C388F" w:rsidRDefault="004C388F"/>
  <w:p w14:paraId="335A9214" w14:textId="77777777" w:rsidR="004C388F" w:rsidRDefault="004C388F"/>
  <w:p w14:paraId="34A2DC36" w14:textId="77777777" w:rsidR="004C388F" w:rsidRDefault="004C388F"/>
  <w:p w14:paraId="66E6E060" w14:textId="77777777" w:rsidR="004C388F" w:rsidRDefault="004C388F"/>
  <w:p w14:paraId="423ABE22" w14:textId="77777777" w:rsidR="004C388F" w:rsidRDefault="004C388F"/>
  <w:p w14:paraId="629CF079" w14:textId="77777777" w:rsidR="004C388F" w:rsidRDefault="004C388F"/>
  <w:p w14:paraId="39C22ECB" w14:textId="77777777" w:rsidR="004C388F" w:rsidRDefault="004C388F"/>
  <w:p w14:paraId="6989FD9B" w14:textId="77777777" w:rsidR="004C388F" w:rsidRDefault="004C388F"/>
  <w:p w14:paraId="6DD317AB" w14:textId="77777777" w:rsidR="004C388F" w:rsidRDefault="004C388F"/>
  <w:p w14:paraId="563FFEB2" w14:textId="77777777" w:rsidR="004C388F" w:rsidRDefault="004C388F"/>
  <w:p w14:paraId="701ACB00" w14:textId="77777777" w:rsidR="004C388F" w:rsidRDefault="004C388F"/>
  <w:p w14:paraId="4EEAC51F" w14:textId="77777777" w:rsidR="004C388F" w:rsidRDefault="004C388F"/>
  <w:p w14:paraId="1F99157F" w14:textId="77777777" w:rsidR="004C388F" w:rsidRDefault="004C388F"/>
  <w:p w14:paraId="4EDA7DCE" w14:textId="77777777" w:rsidR="004C388F" w:rsidRDefault="004C388F"/>
  <w:p w14:paraId="2F192B6B" w14:textId="77777777" w:rsidR="004C388F" w:rsidRDefault="004C388F"/>
  <w:p w14:paraId="73A36AB4" w14:textId="77777777" w:rsidR="004C388F" w:rsidRDefault="004C388F"/>
  <w:p w14:paraId="5F417C7E" w14:textId="77777777" w:rsidR="004C388F" w:rsidRDefault="004C388F"/>
  <w:p w14:paraId="6E51C669" w14:textId="77777777" w:rsidR="004C388F" w:rsidRDefault="004C388F"/>
  <w:p w14:paraId="5235A5C7" w14:textId="77777777" w:rsidR="004C388F" w:rsidRDefault="004C388F"/>
  <w:p w14:paraId="6F25920A" w14:textId="77777777" w:rsidR="004C388F" w:rsidRDefault="004C388F"/>
  <w:p w14:paraId="0F60862B" w14:textId="77777777" w:rsidR="004C388F" w:rsidRDefault="004C388F"/>
  <w:p w14:paraId="0507CEE8" w14:textId="77777777" w:rsidR="004C388F" w:rsidRDefault="004C388F"/>
  <w:p w14:paraId="17993F00" w14:textId="77777777" w:rsidR="004C388F" w:rsidRDefault="004C388F"/>
  <w:p w14:paraId="6D1296A0" w14:textId="77777777" w:rsidR="004C388F" w:rsidRDefault="004C388F"/>
  <w:p w14:paraId="7D2957BB" w14:textId="77777777" w:rsidR="004C388F" w:rsidRDefault="004C3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1C77" w14:textId="77777777" w:rsidR="00624AF4" w:rsidRDefault="00624A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8D15" w14:textId="77777777" w:rsidR="00624AF4" w:rsidRDefault="00624A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EA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F02F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BAF82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5045B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820B7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D3E6A7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AACE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CE9D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74B1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D408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4180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62ED7"/>
    <w:multiLevelType w:val="hybridMultilevel"/>
    <w:tmpl w:val="947829BC"/>
    <w:lvl w:ilvl="0" w:tplc="08DE9AC0">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1924444"/>
    <w:multiLevelType w:val="hybridMultilevel"/>
    <w:tmpl w:val="535092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45F2870"/>
    <w:multiLevelType w:val="hybridMultilevel"/>
    <w:tmpl w:val="F97CBA4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0E6401E"/>
    <w:multiLevelType w:val="hybridMultilevel"/>
    <w:tmpl w:val="74D698EA"/>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49353CE"/>
    <w:multiLevelType w:val="hybridMultilevel"/>
    <w:tmpl w:val="3CA8534E"/>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3014C"/>
    <w:multiLevelType w:val="hybridMultilevel"/>
    <w:tmpl w:val="E054708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7A76A98"/>
    <w:multiLevelType w:val="singleLevel"/>
    <w:tmpl w:val="05DC10FC"/>
    <w:lvl w:ilvl="0">
      <w:start w:val="1"/>
      <w:numFmt w:val="decimal"/>
      <w:lvlText w:val="%1."/>
      <w:lvlJc w:val="left"/>
      <w:pPr>
        <w:tabs>
          <w:tab w:val="num" w:pos="567"/>
        </w:tabs>
        <w:ind w:left="567" w:hanging="567"/>
      </w:pPr>
      <w:rPr>
        <w:rFonts w:hint="default"/>
      </w:rPr>
    </w:lvl>
  </w:abstractNum>
  <w:abstractNum w:abstractNumId="18" w15:restartNumberingAfterBreak="0">
    <w:nsid w:val="2881068E"/>
    <w:multiLevelType w:val="hybridMultilevel"/>
    <w:tmpl w:val="2A9AB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A3144E"/>
    <w:multiLevelType w:val="hybridMultilevel"/>
    <w:tmpl w:val="2214DAA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7C4C6D"/>
    <w:multiLevelType w:val="hybridMultilevel"/>
    <w:tmpl w:val="5A7E1CA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681C51"/>
    <w:multiLevelType w:val="hybridMultilevel"/>
    <w:tmpl w:val="B818FDA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D73468"/>
    <w:multiLevelType w:val="hybridMultilevel"/>
    <w:tmpl w:val="8F146D8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6055F74"/>
    <w:multiLevelType w:val="hybridMultilevel"/>
    <w:tmpl w:val="4BF09802"/>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7D75749"/>
    <w:multiLevelType w:val="hybridMultilevel"/>
    <w:tmpl w:val="E0F833D6"/>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92D0E97"/>
    <w:multiLevelType w:val="hybridMultilevel"/>
    <w:tmpl w:val="AFB07EB0"/>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A7E0962"/>
    <w:multiLevelType w:val="hybridMultilevel"/>
    <w:tmpl w:val="4876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2537C"/>
    <w:multiLevelType w:val="hybridMultilevel"/>
    <w:tmpl w:val="939E9320"/>
    <w:lvl w:ilvl="0" w:tplc="C63A1E3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E7F24"/>
    <w:multiLevelType w:val="hybridMultilevel"/>
    <w:tmpl w:val="D86E930C"/>
    <w:lvl w:ilvl="0" w:tplc="7042EF1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FCB5C5F"/>
    <w:multiLevelType w:val="hybridMultilevel"/>
    <w:tmpl w:val="584CBF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B330E"/>
    <w:multiLevelType w:val="hybridMultilevel"/>
    <w:tmpl w:val="880A4D34"/>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D9055C"/>
    <w:multiLevelType w:val="hybridMultilevel"/>
    <w:tmpl w:val="A57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B47A7"/>
    <w:multiLevelType w:val="hybridMultilevel"/>
    <w:tmpl w:val="2A742D1A"/>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0795758"/>
    <w:multiLevelType w:val="hybridMultilevel"/>
    <w:tmpl w:val="4878970A"/>
    <w:lvl w:ilvl="0" w:tplc="8EDE85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3955BC"/>
    <w:multiLevelType w:val="hybridMultilevel"/>
    <w:tmpl w:val="283AA608"/>
    <w:lvl w:ilvl="0" w:tplc="4A6EC346">
      <w:start w:val="1"/>
      <w:numFmt w:val="bullet"/>
      <w:lvlText w:val=""/>
      <w:lvlJc w:val="left"/>
      <w:pPr>
        <w:tabs>
          <w:tab w:val="num" w:pos="567"/>
        </w:tabs>
        <w:ind w:left="567" w:hanging="567"/>
      </w:pPr>
      <w:rPr>
        <w:rFonts w:ascii="Symbol" w:hAnsi="Symbol" w:hint="default"/>
      </w:rPr>
    </w:lvl>
    <w:lvl w:ilvl="1" w:tplc="3AE82016">
      <w:start w:val="1"/>
      <w:numFmt w:val="bullet"/>
      <w:lvlText w:val="­"/>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50B31B0"/>
    <w:multiLevelType w:val="hybridMultilevel"/>
    <w:tmpl w:val="F5FEC478"/>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57046E3"/>
    <w:multiLevelType w:val="hybridMultilevel"/>
    <w:tmpl w:val="FE4C555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9715972"/>
    <w:multiLevelType w:val="hybridMultilevel"/>
    <w:tmpl w:val="57582F7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DB213A5"/>
    <w:multiLevelType w:val="hybridMultilevel"/>
    <w:tmpl w:val="C55E4E12"/>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0EB3B93"/>
    <w:multiLevelType w:val="hybridMultilevel"/>
    <w:tmpl w:val="CDB2A1FA"/>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C854EF"/>
    <w:multiLevelType w:val="hybridMultilevel"/>
    <w:tmpl w:val="4E0ED13E"/>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376F2B"/>
    <w:multiLevelType w:val="hybridMultilevel"/>
    <w:tmpl w:val="4070925A"/>
    <w:lvl w:ilvl="0" w:tplc="C63A1E30">
      <w:start w:val="1"/>
      <w:numFmt w:val="bullet"/>
      <w:lvlText w:val=""/>
      <w:lvlJc w:val="left"/>
      <w:pPr>
        <w:tabs>
          <w:tab w:val="num" w:pos="567"/>
        </w:tabs>
        <w:ind w:left="567" w:hanging="567"/>
      </w:pPr>
      <w:rPr>
        <w:rFonts w:ascii="Symbol" w:hAnsi="Symbol" w:hint="default"/>
      </w:rPr>
    </w:lvl>
    <w:lvl w:ilvl="1" w:tplc="3AE8201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0817DF"/>
    <w:multiLevelType w:val="hybridMultilevel"/>
    <w:tmpl w:val="7694671E"/>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485663D"/>
    <w:multiLevelType w:val="hybridMultilevel"/>
    <w:tmpl w:val="F5FA291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58C40E8"/>
    <w:multiLevelType w:val="hybridMultilevel"/>
    <w:tmpl w:val="485AF53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F957D5"/>
    <w:multiLevelType w:val="hybridMultilevel"/>
    <w:tmpl w:val="BA528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1815E1"/>
    <w:multiLevelType w:val="hybridMultilevel"/>
    <w:tmpl w:val="0C382060"/>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B9E3AC0"/>
    <w:multiLevelType w:val="hybridMultilevel"/>
    <w:tmpl w:val="3E1620F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5"/>
  </w:num>
  <w:num w:numId="4">
    <w:abstractNumId w:val="34"/>
  </w:num>
  <w:num w:numId="5">
    <w:abstractNumId w:val="32"/>
  </w:num>
  <w:num w:numId="6">
    <w:abstractNumId w:val="38"/>
  </w:num>
  <w:num w:numId="7">
    <w:abstractNumId w:val="25"/>
  </w:num>
  <w:num w:numId="8">
    <w:abstractNumId w:val="24"/>
  </w:num>
  <w:num w:numId="9">
    <w:abstractNumId w:val="42"/>
  </w:num>
  <w:num w:numId="10">
    <w:abstractNumId w:val="19"/>
  </w:num>
  <w:num w:numId="11">
    <w:abstractNumId w:val="37"/>
  </w:num>
  <w:num w:numId="12">
    <w:abstractNumId w:val="40"/>
  </w:num>
  <w:num w:numId="13">
    <w:abstractNumId w:val="47"/>
  </w:num>
  <w:num w:numId="14">
    <w:abstractNumId w:val="30"/>
  </w:num>
  <w:num w:numId="15">
    <w:abstractNumId w:val="17"/>
  </w:num>
  <w:num w:numId="16">
    <w:abstractNumId w:val="21"/>
  </w:num>
  <w:num w:numId="17">
    <w:abstractNumId w:val="22"/>
  </w:num>
  <w:num w:numId="18">
    <w:abstractNumId w:val="36"/>
  </w:num>
  <w:num w:numId="19">
    <w:abstractNumId w:val="11"/>
  </w:num>
  <w:num w:numId="20">
    <w:abstractNumId w:val="23"/>
  </w:num>
  <w:num w:numId="21">
    <w:abstractNumId w:val="44"/>
  </w:num>
  <w:num w:numId="22">
    <w:abstractNumId w:val="29"/>
  </w:num>
  <w:num w:numId="23">
    <w:abstractNumId w:val="16"/>
  </w:num>
  <w:num w:numId="24">
    <w:abstractNumId w:val="31"/>
  </w:num>
  <w:num w:numId="25">
    <w:abstractNumId w:val="15"/>
  </w:num>
  <w:num w:numId="26">
    <w:abstractNumId w:val="20"/>
  </w:num>
  <w:num w:numId="27">
    <w:abstractNumId w:val="39"/>
  </w:num>
  <w:num w:numId="28">
    <w:abstractNumId w:val="27"/>
  </w:num>
  <w:num w:numId="29">
    <w:abstractNumId w:val="41"/>
  </w:num>
  <w:num w:numId="30">
    <w:abstractNumId w:val="0"/>
  </w:num>
  <w:num w:numId="31">
    <w:abstractNumId w:val="33"/>
  </w:num>
  <w:num w:numId="32">
    <w:abstractNumId w:val="26"/>
  </w:num>
  <w:num w:numId="33">
    <w:abstractNumId w:val="18"/>
  </w:num>
  <w:num w:numId="34">
    <w:abstractNumId w:val="12"/>
  </w:num>
  <w:num w:numId="35">
    <w:abstractNumId w:val="28"/>
  </w:num>
  <w:num w:numId="36">
    <w:abstractNumId w:val="46"/>
  </w:num>
  <w:num w:numId="37">
    <w:abstractNumId w:val="10"/>
  </w:num>
  <w:num w:numId="38">
    <w:abstractNumId w:val="8"/>
  </w:num>
  <w:num w:numId="39">
    <w:abstractNumId w:val="7"/>
  </w:num>
  <w:num w:numId="40">
    <w:abstractNumId w:val="6"/>
  </w:num>
  <w:num w:numId="41">
    <w:abstractNumId w:val="5"/>
  </w:num>
  <w:num w:numId="42">
    <w:abstractNumId w:val="9"/>
  </w:num>
  <w:num w:numId="43">
    <w:abstractNumId w:val="4"/>
  </w:num>
  <w:num w:numId="44">
    <w:abstractNumId w:val="3"/>
  </w:num>
  <w:num w:numId="45">
    <w:abstractNumId w:val="2"/>
  </w:num>
  <w:num w:numId="46">
    <w:abstractNumId w:val="1"/>
  </w:num>
  <w:num w:numId="47">
    <w:abstractNumId w:val="45"/>
  </w:num>
  <w:num w:numId="48">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GB" w:vendorID="64" w:dllVersion="0" w:nlCheck="1" w:checkStyle="0"/>
  <w:activeWritingStyle w:appName="MSWord" w:lang="pt-BR" w:vendorID="64" w:dllVersion="0" w:nlCheck="1" w:checkStyle="0"/>
  <w:defaultTabStop w:val="56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7B"/>
    <w:rsid w:val="00003DDD"/>
    <w:rsid w:val="0000562E"/>
    <w:rsid w:val="0001147C"/>
    <w:rsid w:val="00016D07"/>
    <w:rsid w:val="00020045"/>
    <w:rsid w:val="00020C38"/>
    <w:rsid w:val="000212DB"/>
    <w:rsid w:val="000222BE"/>
    <w:rsid w:val="00022A83"/>
    <w:rsid w:val="00027B09"/>
    <w:rsid w:val="00033F69"/>
    <w:rsid w:val="0003797E"/>
    <w:rsid w:val="00037F9D"/>
    <w:rsid w:val="00040EAB"/>
    <w:rsid w:val="00051DC2"/>
    <w:rsid w:val="00066994"/>
    <w:rsid w:val="000716FB"/>
    <w:rsid w:val="00074E7B"/>
    <w:rsid w:val="000768F6"/>
    <w:rsid w:val="00076F9F"/>
    <w:rsid w:val="00084DAE"/>
    <w:rsid w:val="0009644A"/>
    <w:rsid w:val="00097C75"/>
    <w:rsid w:val="000A58B0"/>
    <w:rsid w:val="000A6C29"/>
    <w:rsid w:val="000B1C5E"/>
    <w:rsid w:val="000C23E6"/>
    <w:rsid w:val="000C2A6B"/>
    <w:rsid w:val="000C50D5"/>
    <w:rsid w:val="000C5539"/>
    <w:rsid w:val="000D4078"/>
    <w:rsid w:val="000E49E3"/>
    <w:rsid w:val="000F6763"/>
    <w:rsid w:val="000F696E"/>
    <w:rsid w:val="0011029F"/>
    <w:rsid w:val="00113D46"/>
    <w:rsid w:val="00136DB2"/>
    <w:rsid w:val="00146483"/>
    <w:rsid w:val="0015207D"/>
    <w:rsid w:val="00153FDA"/>
    <w:rsid w:val="001546DD"/>
    <w:rsid w:val="0016105B"/>
    <w:rsid w:val="0016476D"/>
    <w:rsid w:val="00165C65"/>
    <w:rsid w:val="00172613"/>
    <w:rsid w:val="00173315"/>
    <w:rsid w:val="0017722C"/>
    <w:rsid w:val="00184216"/>
    <w:rsid w:val="00197AF8"/>
    <w:rsid w:val="001A3D9A"/>
    <w:rsid w:val="001A4A62"/>
    <w:rsid w:val="001A4A7A"/>
    <w:rsid w:val="001B0BF3"/>
    <w:rsid w:val="001B17A9"/>
    <w:rsid w:val="001B17B3"/>
    <w:rsid w:val="001B3294"/>
    <w:rsid w:val="001B3F07"/>
    <w:rsid w:val="001B7A54"/>
    <w:rsid w:val="001C13C7"/>
    <w:rsid w:val="001C3F1A"/>
    <w:rsid w:val="001D4425"/>
    <w:rsid w:val="001D66A8"/>
    <w:rsid w:val="001E07C6"/>
    <w:rsid w:val="001E47F7"/>
    <w:rsid w:val="001E4F1C"/>
    <w:rsid w:val="001E4FA4"/>
    <w:rsid w:val="001E59DF"/>
    <w:rsid w:val="001F1A0D"/>
    <w:rsid w:val="001F7F8F"/>
    <w:rsid w:val="00200052"/>
    <w:rsid w:val="002054F9"/>
    <w:rsid w:val="0020709D"/>
    <w:rsid w:val="00211E8A"/>
    <w:rsid w:val="00213DF5"/>
    <w:rsid w:val="002142DE"/>
    <w:rsid w:val="00214B9D"/>
    <w:rsid w:val="00221F15"/>
    <w:rsid w:val="00223054"/>
    <w:rsid w:val="002327F1"/>
    <w:rsid w:val="00237A18"/>
    <w:rsid w:val="00243E00"/>
    <w:rsid w:val="00243ED5"/>
    <w:rsid w:val="00243F96"/>
    <w:rsid w:val="00245287"/>
    <w:rsid w:val="0024702A"/>
    <w:rsid w:val="0025137A"/>
    <w:rsid w:val="002530E6"/>
    <w:rsid w:val="00255C03"/>
    <w:rsid w:val="00261DF3"/>
    <w:rsid w:val="00264641"/>
    <w:rsid w:val="00271248"/>
    <w:rsid w:val="00276627"/>
    <w:rsid w:val="00285439"/>
    <w:rsid w:val="00285681"/>
    <w:rsid w:val="00286AAE"/>
    <w:rsid w:val="002879A3"/>
    <w:rsid w:val="002A0F8A"/>
    <w:rsid w:val="002A1609"/>
    <w:rsid w:val="002A6A1A"/>
    <w:rsid w:val="002C4C5B"/>
    <w:rsid w:val="002C4C89"/>
    <w:rsid w:val="002C6706"/>
    <w:rsid w:val="002D0F2A"/>
    <w:rsid w:val="002D197C"/>
    <w:rsid w:val="002D2B19"/>
    <w:rsid w:val="002D44D1"/>
    <w:rsid w:val="002D5C2A"/>
    <w:rsid w:val="002E00F3"/>
    <w:rsid w:val="002E1108"/>
    <w:rsid w:val="002E2364"/>
    <w:rsid w:val="002E3EFF"/>
    <w:rsid w:val="002E4A6B"/>
    <w:rsid w:val="002F1F45"/>
    <w:rsid w:val="002F3C1C"/>
    <w:rsid w:val="002F3DA4"/>
    <w:rsid w:val="002F4AC8"/>
    <w:rsid w:val="002F4EB4"/>
    <w:rsid w:val="002F5E3A"/>
    <w:rsid w:val="00300C28"/>
    <w:rsid w:val="00306AC1"/>
    <w:rsid w:val="003163D9"/>
    <w:rsid w:val="00317AAC"/>
    <w:rsid w:val="00334EA0"/>
    <w:rsid w:val="0033610A"/>
    <w:rsid w:val="003374DD"/>
    <w:rsid w:val="0034297A"/>
    <w:rsid w:val="0034397B"/>
    <w:rsid w:val="00350F69"/>
    <w:rsid w:val="00352EB0"/>
    <w:rsid w:val="00360C51"/>
    <w:rsid w:val="00361E23"/>
    <w:rsid w:val="003621B5"/>
    <w:rsid w:val="00362D8E"/>
    <w:rsid w:val="00365E97"/>
    <w:rsid w:val="0037152A"/>
    <w:rsid w:val="00372F63"/>
    <w:rsid w:val="003824FF"/>
    <w:rsid w:val="0038307C"/>
    <w:rsid w:val="00385447"/>
    <w:rsid w:val="00394625"/>
    <w:rsid w:val="00397B26"/>
    <w:rsid w:val="00397D11"/>
    <w:rsid w:val="003A49DC"/>
    <w:rsid w:val="003A7928"/>
    <w:rsid w:val="003B29EB"/>
    <w:rsid w:val="003B3905"/>
    <w:rsid w:val="003B6323"/>
    <w:rsid w:val="003C127F"/>
    <w:rsid w:val="003C1DD1"/>
    <w:rsid w:val="003C2DF2"/>
    <w:rsid w:val="003D23DB"/>
    <w:rsid w:val="003D63BE"/>
    <w:rsid w:val="003F18A5"/>
    <w:rsid w:val="003F225F"/>
    <w:rsid w:val="00414595"/>
    <w:rsid w:val="0041519D"/>
    <w:rsid w:val="00415E3F"/>
    <w:rsid w:val="0041740C"/>
    <w:rsid w:val="004218B5"/>
    <w:rsid w:val="00426633"/>
    <w:rsid w:val="00431A90"/>
    <w:rsid w:val="004321E6"/>
    <w:rsid w:val="00441187"/>
    <w:rsid w:val="004412B1"/>
    <w:rsid w:val="004477DA"/>
    <w:rsid w:val="00455A99"/>
    <w:rsid w:val="0045768A"/>
    <w:rsid w:val="00461B73"/>
    <w:rsid w:val="004635DE"/>
    <w:rsid w:val="00464BE3"/>
    <w:rsid w:val="00465FD6"/>
    <w:rsid w:val="00476A43"/>
    <w:rsid w:val="0048150B"/>
    <w:rsid w:val="00483939"/>
    <w:rsid w:val="00484BD0"/>
    <w:rsid w:val="004A6534"/>
    <w:rsid w:val="004B4136"/>
    <w:rsid w:val="004B4E54"/>
    <w:rsid w:val="004C1798"/>
    <w:rsid w:val="004C388F"/>
    <w:rsid w:val="004C4C00"/>
    <w:rsid w:val="004C65D9"/>
    <w:rsid w:val="004C6E0C"/>
    <w:rsid w:val="004D3BF4"/>
    <w:rsid w:val="004D5EE0"/>
    <w:rsid w:val="004D62E9"/>
    <w:rsid w:val="004E317A"/>
    <w:rsid w:val="004F171B"/>
    <w:rsid w:val="00502C58"/>
    <w:rsid w:val="00504B0C"/>
    <w:rsid w:val="00505EDD"/>
    <w:rsid w:val="00510922"/>
    <w:rsid w:val="00516FD9"/>
    <w:rsid w:val="00517389"/>
    <w:rsid w:val="005248C5"/>
    <w:rsid w:val="00526BD7"/>
    <w:rsid w:val="0053108E"/>
    <w:rsid w:val="00532A2F"/>
    <w:rsid w:val="00534A81"/>
    <w:rsid w:val="005350A3"/>
    <w:rsid w:val="00535219"/>
    <w:rsid w:val="00543BDE"/>
    <w:rsid w:val="00544A5C"/>
    <w:rsid w:val="00547C16"/>
    <w:rsid w:val="005614A5"/>
    <w:rsid w:val="005657E8"/>
    <w:rsid w:val="00567299"/>
    <w:rsid w:val="00572D69"/>
    <w:rsid w:val="00574813"/>
    <w:rsid w:val="00581BC2"/>
    <w:rsid w:val="005906A3"/>
    <w:rsid w:val="00592D0D"/>
    <w:rsid w:val="005A4760"/>
    <w:rsid w:val="005B2971"/>
    <w:rsid w:val="005B68C5"/>
    <w:rsid w:val="005D26BC"/>
    <w:rsid w:val="005D6985"/>
    <w:rsid w:val="005E0265"/>
    <w:rsid w:val="005E32C9"/>
    <w:rsid w:val="005E4BE6"/>
    <w:rsid w:val="00615182"/>
    <w:rsid w:val="00621D88"/>
    <w:rsid w:val="00624856"/>
    <w:rsid w:val="00624AF4"/>
    <w:rsid w:val="006260D6"/>
    <w:rsid w:val="00632FB1"/>
    <w:rsid w:val="00634E5D"/>
    <w:rsid w:val="00641E97"/>
    <w:rsid w:val="0064649B"/>
    <w:rsid w:val="006512FC"/>
    <w:rsid w:val="00656251"/>
    <w:rsid w:val="00656CF0"/>
    <w:rsid w:val="00663D81"/>
    <w:rsid w:val="00672584"/>
    <w:rsid w:val="0067291C"/>
    <w:rsid w:val="00674968"/>
    <w:rsid w:val="0067712C"/>
    <w:rsid w:val="006807EF"/>
    <w:rsid w:val="006808CC"/>
    <w:rsid w:val="00683392"/>
    <w:rsid w:val="00687889"/>
    <w:rsid w:val="00694EBB"/>
    <w:rsid w:val="006A0ABE"/>
    <w:rsid w:val="006B25A9"/>
    <w:rsid w:val="006B2A1E"/>
    <w:rsid w:val="006B2B2B"/>
    <w:rsid w:val="006C005E"/>
    <w:rsid w:val="006C00A1"/>
    <w:rsid w:val="006C052E"/>
    <w:rsid w:val="006D31FF"/>
    <w:rsid w:val="006D3D03"/>
    <w:rsid w:val="006D4433"/>
    <w:rsid w:val="006D63D6"/>
    <w:rsid w:val="006E2003"/>
    <w:rsid w:val="006F04CD"/>
    <w:rsid w:val="006F0805"/>
    <w:rsid w:val="006F1B01"/>
    <w:rsid w:val="006F1CE6"/>
    <w:rsid w:val="00701A3A"/>
    <w:rsid w:val="00703AA3"/>
    <w:rsid w:val="007044C4"/>
    <w:rsid w:val="00720682"/>
    <w:rsid w:val="007207A4"/>
    <w:rsid w:val="00722524"/>
    <w:rsid w:val="00722534"/>
    <w:rsid w:val="007240E0"/>
    <w:rsid w:val="007263AB"/>
    <w:rsid w:val="00726B87"/>
    <w:rsid w:val="00731E2A"/>
    <w:rsid w:val="0073642E"/>
    <w:rsid w:val="00746280"/>
    <w:rsid w:val="0075014F"/>
    <w:rsid w:val="007528B5"/>
    <w:rsid w:val="007671B2"/>
    <w:rsid w:val="007708EB"/>
    <w:rsid w:val="00770D60"/>
    <w:rsid w:val="00782C69"/>
    <w:rsid w:val="00787EF8"/>
    <w:rsid w:val="00790654"/>
    <w:rsid w:val="007945C0"/>
    <w:rsid w:val="00794BC4"/>
    <w:rsid w:val="00796EAA"/>
    <w:rsid w:val="007B6E26"/>
    <w:rsid w:val="007B790A"/>
    <w:rsid w:val="007B7E63"/>
    <w:rsid w:val="007C14CA"/>
    <w:rsid w:val="007C7700"/>
    <w:rsid w:val="007D4397"/>
    <w:rsid w:val="007D5FFD"/>
    <w:rsid w:val="007E00A2"/>
    <w:rsid w:val="007E1A71"/>
    <w:rsid w:val="007E488C"/>
    <w:rsid w:val="007F0FE5"/>
    <w:rsid w:val="00801752"/>
    <w:rsid w:val="00804C7C"/>
    <w:rsid w:val="00807AF3"/>
    <w:rsid w:val="0081247A"/>
    <w:rsid w:val="0081331A"/>
    <w:rsid w:val="0081451B"/>
    <w:rsid w:val="008214CC"/>
    <w:rsid w:val="008217B2"/>
    <w:rsid w:val="008254FC"/>
    <w:rsid w:val="00825FB7"/>
    <w:rsid w:val="0082714E"/>
    <w:rsid w:val="008310F0"/>
    <w:rsid w:val="00834171"/>
    <w:rsid w:val="00841CBD"/>
    <w:rsid w:val="00844343"/>
    <w:rsid w:val="00844A07"/>
    <w:rsid w:val="0085063D"/>
    <w:rsid w:val="008547DE"/>
    <w:rsid w:val="00860364"/>
    <w:rsid w:val="00863E53"/>
    <w:rsid w:val="00865F55"/>
    <w:rsid w:val="0086668B"/>
    <w:rsid w:val="008704C0"/>
    <w:rsid w:val="00871B6F"/>
    <w:rsid w:val="00874F7B"/>
    <w:rsid w:val="00877FE1"/>
    <w:rsid w:val="00881A18"/>
    <w:rsid w:val="00883D49"/>
    <w:rsid w:val="00884EC9"/>
    <w:rsid w:val="00891D33"/>
    <w:rsid w:val="0089401C"/>
    <w:rsid w:val="008973EB"/>
    <w:rsid w:val="008A0F3C"/>
    <w:rsid w:val="008A6822"/>
    <w:rsid w:val="008B19DB"/>
    <w:rsid w:val="008B4E60"/>
    <w:rsid w:val="008B6257"/>
    <w:rsid w:val="008C1F61"/>
    <w:rsid w:val="008C3E19"/>
    <w:rsid w:val="008C4686"/>
    <w:rsid w:val="008D463D"/>
    <w:rsid w:val="008D685A"/>
    <w:rsid w:val="008E3B5B"/>
    <w:rsid w:val="009023A5"/>
    <w:rsid w:val="009038ED"/>
    <w:rsid w:val="00906752"/>
    <w:rsid w:val="009118E8"/>
    <w:rsid w:val="00913BC5"/>
    <w:rsid w:val="00914249"/>
    <w:rsid w:val="00915250"/>
    <w:rsid w:val="00915DEB"/>
    <w:rsid w:val="00916C27"/>
    <w:rsid w:val="00920CAC"/>
    <w:rsid w:val="00921EC7"/>
    <w:rsid w:val="00923B3F"/>
    <w:rsid w:val="00926198"/>
    <w:rsid w:val="0093072A"/>
    <w:rsid w:val="00933C4A"/>
    <w:rsid w:val="0093714D"/>
    <w:rsid w:val="0094258E"/>
    <w:rsid w:val="00954358"/>
    <w:rsid w:val="00956B3A"/>
    <w:rsid w:val="009642D8"/>
    <w:rsid w:val="00964CD7"/>
    <w:rsid w:val="00971778"/>
    <w:rsid w:val="009755B2"/>
    <w:rsid w:val="00977C6D"/>
    <w:rsid w:val="009842BB"/>
    <w:rsid w:val="00985E54"/>
    <w:rsid w:val="009A7EA8"/>
    <w:rsid w:val="009B264B"/>
    <w:rsid w:val="009B4334"/>
    <w:rsid w:val="009B7968"/>
    <w:rsid w:val="009D643A"/>
    <w:rsid w:val="009D765D"/>
    <w:rsid w:val="009E3957"/>
    <w:rsid w:val="00A01465"/>
    <w:rsid w:val="00A04D01"/>
    <w:rsid w:val="00A06024"/>
    <w:rsid w:val="00A07AF6"/>
    <w:rsid w:val="00A1219D"/>
    <w:rsid w:val="00A25547"/>
    <w:rsid w:val="00A332B9"/>
    <w:rsid w:val="00A35AE5"/>
    <w:rsid w:val="00A36BAF"/>
    <w:rsid w:val="00A41806"/>
    <w:rsid w:val="00A54AE9"/>
    <w:rsid w:val="00A57E0F"/>
    <w:rsid w:val="00A60203"/>
    <w:rsid w:val="00A70C8C"/>
    <w:rsid w:val="00A740ED"/>
    <w:rsid w:val="00A84F75"/>
    <w:rsid w:val="00A87FDF"/>
    <w:rsid w:val="00A952A9"/>
    <w:rsid w:val="00A97BC7"/>
    <w:rsid w:val="00AA1EA2"/>
    <w:rsid w:val="00AA23E8"/>
    <w:rsid w:val="00AA377C"/>
    <w:rsid w:val="00AA7584"/>
    <w:rsid w:val="00AB0D0C"/>
    <w:rsid w:val="00AC076B"/>
    <w:rsid w:val="00AC0EFC"/>
    <w:rsid w:val="00AC1853"/>
    <w:rsid w:val="00AC4397"/>
    <w:rsid w:val="00AC540A"/>
    <w:rsid w:val="00AD170C"/>
    <w:rsid w:val="00AD1F3D"/>
    <w:rsid w:val="00AD3CF2"/>
    <w:rsid w:val="00AD488D"/>
    <w:rsid w:val="00AE005E"/>
    <w:rsid w:val="00AE03B0"/>
    <w:rsid w:val="00AE0A6E"/>
    <w:rsid w:val="00AE3B20"/>
    <w:rsid w:val="00AE53BC"/>
    <w:rsid w:val="00AE671F"/>
    <w:rsid w:val="00AE73C8"/>
    <w:rsid w:val="00AF5C28"/>
    <w:rsid w:val="00B003B5"/>
    <w:rsid w:val="00B0276F"/>
    <w:rsid w:val="00B02F24"/>
    <w:rsid w:val="00B03C0A"/>
    <w:rsid w:val="00B0596B"/>
    <w:rsid w:val="00B11AF4"/>
    <w:rsid w:val="00B12A68"/>
    <w:rsid w:val="00B22B9F"/>
    <w:rsid w:val="00B240ED"/>
    <w:rsid w:val="00B24D5E"/>
    <w:rsid w:val="00B27AEE"/>
    <w:rsid w:val="00B302B4"/>
    <w:rsid w:val="00B321A5"/>
    <w:rsid w:val="00B35311"/>
    <w:rsid w:val="00B353C0"/>
    <w:rsid w:val="00B46829"/>
    <w:rsid w:val="00B568FF"/>
    <w:rsid w:val="00B80288"/>
    <w:rsid w:val="00B82EB9"/>
    <w:rsid w:val="00B85D8F"/>
    <w:rsid w:val="00B8623B"/>
    <w:rsid w:val="00B86FAA"/>
    <w:rsid w:val="00B93725"/>
    <w:rsid w:val="00B93C23"/>
    <w:rsid w:val="00B94E22"/>
    <w:rsid w:val="00B952C8"/>
    <w:rsid w:val="00B9637A"/>
    <w:rsid w:val="00BA1522"/>
    <w:rsid w:val="00BA7887"/>
    <w:rsid w:val="00BB334E"/>
    <w:rsid w:val="00BC1910"/>
    <w:rsid w:val="00BC1E2B"/>
    <w:rsid w:val="00BD0589"/>
    <w:rsid w:val="00BD3166"/>
    <w:rsid w:val="00BD4658"/>
    <w:rsid w:val="00BE20D6"/>
    <w:rsid w:val="00BE2B27"/>
    <w:rsid w:val="00BE6072"/>
    <w:rsid w:val="00BE6398"/>
    <w:rsid w:val="00BE6E99"/>
    <w:rsid w:val="00BF0613"/>
    <w:rsid w:val="00C0072D"/>
    <w:rsid w:val="00C02A34"/>
    <w:rsid w:val="00C13474"/>
    <w:rsid w:val="00C14C27"/>
    <w:rsid w:val="00C2009E"/>
    <w:rsid w:val="00C231D9"/>
    <w:rsid w:val="00C248FE"/>
    <w:rsid w:val="00C24B6A"/>
    <w:rsid w:val="00C2637D"/>
    <w:rsid w:val="00C32983"/>
    <w:rsid w:val="00C34980"/>
    <w:rsid w:val="00C359FF"/>
    <w:rsid w:val="00C45B9B"/>
    <w:rsid w:val="00C556BB"/>
    <w:rsid w:val="00C62D7B"/>
    <w:rsid w:val="00C63DE1"/>
    <w:rsid w:val="00C73801"/>
    <w:rsid w:val="00C7449C"/>
    <w:rsid w:val="00C747FB"/>
    <w:rsid w:val="00C817F5"/>
    <w:rsid w:val="00C8663B"/>
    <w:rsid w:val="00C918D0"/>
    <w:rsid w:val="00C9378C"/>
    <w:rsid w:val="00CA4194"/>
    <w:rsid w:val="00CB0E45"/>
    <w:rsid w:val="00CB1208"/>
    <w:rsid w:val="00CB3172"/>
    <w:rsid w:val="00CB652B"/>
    <w:rsid w:val="00CC3F43"/>
    <w:rsid w:val="00CC4352"/>
    <w:rsid w:val="00CC7E72"/>
    <w:rsid w:val="00CD4690"/>
    <w:rsid w:val="00CD4C03"/>
    <w:rsid w:val="00CE0442"/>
    <w:rsid w:val="00CE0E52"/>
    <w:rsid w:val="00CF08D3"/>
    <w:rsid w:val="00CF0C56"/>
    <w:rsid w:val="00CF3B58"/>
    <w:rsid w:val="00CF3FE7"/>
    <w:rsid w:val="00CF7C4C"/>
    <w:rsid w:val="00D06B11"/>
    <w:rsid w:val="00D12109"/>
    <w:rsid w:val="00D13047"/>
    <w:rsid w:val="00D225D6"/>
    <w:rsid w:val="00D247C4"/>
    <w:rsid w:val="00D24A7B"/>
    <w:rsid w:val="00D27417"/>
    <w:rsid w:val="00D447DE"/>
    <w:rsid w:val="00D45D92"/>
    <w:rsid w:val="00D474EB"/>
    <w:rsid w:val="00D47547"/>
    <w:rsid w:val="00D5278E"/>
    <w:rsid w:val="00D614D8"/>
    <w:rsid w:val="00D6379A"/>
    <w:rsid w:val="00D74DE2"/>
    <w:rsid w:val="00D8003A"/>
    <w:rsid w:val="00D93DE7"/>
    <w:rsid w:val="00D93FCD"/>
    <w:rsid w:val="00D97FFA"/>
    <w:rsid w:val="00DA0BC8"/>
    <w:rsid w:val="00DA6971"/>
    <w:rsid w:val="00DB04A8"/>
    <w:rsid w:val="00DB1319"/>
    <w:rsid w:val="00DB4368"/>
    <w:rsid w:val="00DB58F5"/>
    <w:rsid w:val="00DC7E2D"/>
    <w:rsid w:val="00DD4C4E"/>
    <w:rsid w:val="00DE1FF2"/>
    <w:rsid w:val="00DE6C28"/>
    <w:rsid w:val="00DF445B"/>
    <w:rsid w:val="00DF7B73"/>
    <w:rsid w:val="00E013D5"/>
    <w:rsid w:val="00E01D38"/>
    <w:rsid w:val="00E0316F"/>
    <w:rsid w:val="00E10870"/>
    <w:rsid w:val="00E13D3B"/>
    <w:rsid w:val="00E202DC"/>
    <w:rsid w:val="00E2129A"/>
    <w:rsid w:val="00E22A03"/>
    <w:rsid w:val="00E23574"/>
    <w:rsid w:val="00E42BD3"/>
    <w:rsid w:val="00E47E2B"/>
    <w:rsid w:val="00E549F2"/>
    <w:rsid w:val="00E57C0A"/>
    <w:rsid w:val="00E57F15"/>
    <w:rsid w:val="00E57F92"/>
    <w:rsid w:val="00E6251F"/>
    <w:rsid w:val="00E6641A"/>
    <w:rsid w:val="00E704F0"/>
    <w:rsid w:val="00E7326E"/>
    <w:rsid w:val="00E82330"/>
    <w:rsid w:val="00E83D64"/>
    <w:rsid w:val="00E8471C"/>
    <w:rsid w:val="00E914CA"/>
    <w:rsid w:val="00E96746"/>
    <w:rsid w:val="00EA368D"/>
    <w:rsid w:val="00EA4370"/>
    <w:rsid w:val="00EA43FB"/>
    <w:rsid w:val="00EA6756"/>
    <w:rsid w:val="00EB43C9"/>
    <w:rsid w:val="00EB67F8"/>
    <w:rsid w:val="00EB7DF6"/>
    <w:rsid w:val="00EC0950"/>
    <w:rsid w:val="00ED6212"/>
    <w:rsid w:val="00EE12D4"/>
    <w:rsid w:val="00EF4FF2"/>
    <w:rsid w:val="00EF512C"/>
    <w:rsid w:val="00F00CB4"/>
    <w:rsid w:val="00F00E9B"/>
    <w:rsid w:val="00F016D4"/>
    <w:rsid w:val="00F019BB"/>
    <w:rsid w:val="00F04655"/>
    <w:rsid w:val="00F05640"/>
    <w:rsid w:val="00F21ED3"/>
    <w:rsid w:val="00F23B4F"/>
    <w:rsid w:val="00F26349"/>
    <w:rsid w:val="00F32A07"/>
    <w:rsid w:val="00F44BEF"/>
    <w:rsid w:val="00F52365"/>
    <w:rsid w:val="00F55C8D"/>
    <w:rsid w:val="00F615E8"/>
    <w:rsid w:val="00F668E3"/>
    <w:rsid w:val="00F6784B"/>
    <w:rsid w:val="00F6795D"/>
    <w:rsid w:val="00F6799B"/>
    <w:rsid w:val="00F75717"/>
    <w:rsid w:val="00F776EF"/>
    <w:rsid w:val="00F81A17"/>
    <w:rsid w:val="00FA2D75"/>
    <w:rsid w:val="00FA32BC"/>
    <w:rsid w:val="00FA65E8"/>
    <w:rsid w:val="00FA7151"/>
    <w:rsid w:val="00FB48ED"/>
    <w:rsid w:val="00FC03D0"/>
    <w:rsid w:val="00FC0911"/>
    <w:rsid w:val="00FC187F"/>
    <w:rsid w:val="00FC3B63"/>
    <w:rsid w:val="00FC40B9"/>
    <w:rsid w:val="00FC40BC"/>
    <w:rsid w:val="00FC520A"/>
    <w:rsid w:val="00FC68F5"/>
    <w:rsid w:val="00FC74C9"/>
    <w:rsid w:val="00FD2D9B"/>
    <w:rsid w:val="00FD6219"/>
    <w:rsid w:val="00FE5C8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C6D9"/>
  <w14:defaultImageDpi w14:val="32767"/>
  <w15:chartTrackingRefBased/>
  <w15:docId w15:val="{2115B783-A979-405C-B722-0368114E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1F61"/>
    <w:rPr>
      <w:rFonts w:ascii="Times New Roman" w:eastAsia="Times New Roman" w:hAnsi="Times New Roman"/>
      <w:noProof/>
      <w:sz w:val="22"/>
      <w:szCs w:val="22"/>
      <w:lang w:val="lt-LT" w:eastAsia="et-EE"/>
    </w:rPr>
  </w:style>
  <w:style w:type="paragraph" w:styleId="Antrat1">
    <w:name w:val="heading 1"/>
    <w:basedOn w:val="prastasis"/>
    <w:next w:val="prastasis"/>
    <w:link w:val="Antrat1Diagrama"/>
    <w:qFormat/>
    <w:rsid w:val="00BE6E99"/>
    <w:pPr>
      <w:outlineLvl w:val="0"/>
    </w:pPr>
    <w:rPr>
      <w:rFonts w:ascii="Times New Roman Bold" w:hAnsi="Times New Roman Bold"/>
      <w:b/>
      <w:sz w:val="20"/>
      <w:szCs w:val="20"/>
    </w:rPr>
  </w:style>
  <w:style w:type="paragraph" w:styleId="Antrat2">
    <w:name w:val="heading 2"/>
    <w:basedOn w:val="prastasis"/>
    <w:next w:val="prastasis"/>
    <w:link w:val="Antrat2Diagrama"/>
    <w:qFormat/>
    <w:rsid w:val="00BE6E99"/>
    <w:pPr>
      <w:keepNext/>
      <w:outlineLvl w:val="1"/>
    </w:pPr>
    <w:rPr>
      <w:rFonts w:ascii="Times New Roman Bold" w:eastAsia="PMingLiU" w:hAnsi="Times New Roman Bold"/>
      <w:b/>
      <w:lang w:eastAsia="x-none"/>
    </w:rPr>
  </w:style>
  <w:style w:type="paragraph" w:styleId="Antrat3">
    <w:name w:val="heading 3"/>
    <w:basedOn w:val="prastasis"/>
    <w:next w:val="prastasis"/>
    <w:link w:val="Antrat3Diagrama"/>
    <w:autoRedefine/>
    <w:qFormat/>
    <w:rsid w:val="00621D88"/>
    <w:pPr>
      <w:keepNext/>
      <w:adjustRightInd w:val="0"/>
      <w:snapToGrid w:val="0"/>
      <w:outlineLvl w:val="2"/>
    </w:pPr>
    <w:rPr>
      <w:rFonts w:eastAsia="PMingLiU"/>
      <w:u w:val="single"/>
      <w:lang w:eastAsia="x-none"/>
    </w:rPr>
  </w:style>
  <w:style w:type="paragraph" w:styleId="Antrat4">
    <w:name w:val="heading 4"/>
    <w:basedOn w:val="prastasis"/>
    <w:next w:val="prastasis"/>
    <w:link w:val="Antrat4Diagrama"/>
    <w:qFormat/>
    <w:rsid w:val="00BE6E99"/>
    <w:pPr>
      <w:outlineLvl w:val="3"/>
    </w:pPr>
    <w:rPr>
      <w:i/>
      <w:sz w:val="20"/>
      <w:szCs w:val="20"/>
    </w:rPr>
  </w:style>
  <w:style w:type="paragraph" w:styleId="Antrat5">
    <w:name w:val="heading 5"/>
    <w:basedOn w:val="prastasis"/>
    <w:next w:val="prastasis"/>
    <w:link w:val="Antrat5Diagrama"/>
    <w:qFormat/>
    <w:rsid w:val="00D24A7B"/>
    <w:pPr>
      <w:keepNext/>
      <w:outlineLvl w:val="4"/>
    </w:pPr>
    <w:rPr>
      <w:i/>
      <w:sz w:val="24"/>
      <w:szCs w:val="20"/>
    </w:rPr>
  </w:style>
  <w:style w:type="paragraph" w:styleId="Antrat6">
    <w:name w:val="heading 6"/>
    <w:basedOn w:val="prastasis"/>
    <w:next w:val="prastasis"/>
    <w:link w:val="Antrat6Diagrama"/>
    <w:qFormat/>
    <w:rsid w:val="00D24A7B"/>
    <w:pPr>
      <w:keepNext/>
      <w:outlineLvl w:val="5"/>
    </w:pPr>
    <w:rPr>
      <w:iCs/>
      <w:sz w:val="24"/>
      <w:szCs w:val="20"/>
    </w:rPr>
  </w:style>
  <w:style w:type="paragraph" w:styleId="Antrat7">
    <w:name w:val="heading 7"/>
    <w:basedOn w:val="prastasis"/>
    <w:next w:val="prastasis"/>
    <w:link w:val="Antrat7Diagrama"/>
    <w:qFormat/>
    <w:rsid w:val="00D24A7B"/>
    <w:pPr>
      <w:keepNext/>
      <w:outlineLvl w:val="6"/>
    </w:pPr>
    <w:rPr>
      <w:color w:val="FF0000"/>
      <w:sz w:val="24"/>
      <w:szCs w:val="20"/>
    </w:rPr>
  </w:style>
  <w:style w:type="paragraph" w:styleId="Antrat8">
    <w:name w:val="heading 8"/>
    <w:basedOn w:val="prastasis"/>
    <w:next w:val="prastasis"/>
    <w:link w:val="Antrat8Diagrama"/>
    <w:qFormat/>
    <w:rsid w:val="00D24A7B"/>
    <w:pPr>
      <w:keepNext/>
      <w:outlineLvl w:val="7"/>
    </w:pPr>
    <w:rPr>
      <w:color w:val="FF0000"/>
      <w:sz w:val="24"/>
      <w:szCs w:val="20"/>
    </w:rPr>
  </w:style>
  <w:style w:type="paragraph" w:styleId="Antrat9">
    <w:name w:val="heading 9"/>
    <w:basedOn w:val="prastasis"/>
    <w:next w:val="prastasis"/>
    <w:link w:val="Antrat9Diagrama"/>
    <w:qFormat/>
    <w:rsid w:val="00D24A7B"/>
    <w:pPr>
      <w:keepNext/>
      <w:outlineLvl w:val="8"/>
    </w:pPr>
    <w:rPr>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E6E99"/>
    <w:rPr>
      <w:rFonts w:ascii="Times New Roman Bold" w:eastAsia="Times New Roman" w:hAnsi="Times New Roman Bold" w:cs="Times New Roman"/>
      <w:b/>
      <w:noProof/>
      <w:lang w:val="lt-LT" w:eastAsia="et-EE"/>
    </w:rPr>
  </w:style>
  <w:style w:type="character" w:customStyle="1" w:styleId="Antrat2Diagrama">
    <w:name w:val="Antraštė 2 Diagrama"/>
    <w:link w:val="Antrat2"/>
    <w:rsid w:val="006C00A1"/>
    <w:rPr>
      <w:rFonts w:ascii="Times New Roman Bold" w:hAnsi="Times New Roman Bold"/>
      <w:b/>
      <w:noProof/>
      <w:sz w:val="22"/>
      <w:szCs w:val="22"/>
      <w:lang w:val="lt-LT" w:eastAsia="x-none" w:bidi="ar-SA"/>
    </w:rPr>
  </w:style>
  <w:style w:type="character" w:customStyle="1" w:styleId="Antrat3Diagrama">
    <w:name w:val="Antraštė 3 Diagrama"/>
    <w:link w:val="Antrat3"/>
    <w:rsid w:val="00621D88"/>
    <w:rPr>
      <w:rFonts w:ascii="Times New Roman" w:hAnsi="Times New Roman"/>
      <w:noProof/>
      <w:sz w:val="22"/>
      <w:szCs w:val="22"/>
      <w:u w:val="single"/>
      <w:lang w:val="lt-LT" w:eastAsia="x-none"/>
    </w:rPr>
  </w:style>
  <w:style w:type="character" w:customStyle="1" w:styleId="Antrat4Diagrama">
    <w:name w:val="Antraštė 4 Diagrama"/>
    <w:link w:val="Antrat4"/>
    <w:rsid w:val="00BE6E99"/>
    <w:rPr>
      <w:rFonts w:ascii="Times New Roman" w:eastAsia="Times New Roman" w:hAnsi="Times New Roman" w:cs="Times New Roman"/>
      <w:i/>
      <w:noProof/>
      <w:lang w:val="lt-LT" w:eastAsia="et-EE"/>
    </w:rPr>
  </w:style>
  <w:style w:type="character" w:customStyle="1" w:styleId="Antrat5Diagrama">
    <w:name w:val="Antraštė 5 Diagrama"/>
    <w:link w:val="Antrat5"/>
    <w:rsid w:val="00D24A7B"/>
    <w:rPr>
      <w:rFonts w:ascii="Times New Roman" w:eastAsia="Times New Roman" w:hAnsi="Times New Roman" w:cs="Times New Roman"/>
      <w:i/>
      <w:noProof/>
      <w:sz w:val="24"/>
      <w:lang w:val="lt-LT" w:eastAsia="et-EE"/>
    </w:rPr>
  </w:style>
  <w:style w:type="character" w:customStyle="1" w:styleId="Antrat6Diagrama">
    <w:name w:val="Antraštė 6 Diagrama"/>
    <w:link w:val="Antrat6"/>
    <w:rsid w:val="00D24A7B"/>
    <w:rPr>
      <w:rFonts w:ascii="Times New Roman" w:eastAsia="Times New Roman" w:hAnsi="Times New Roman" w:cs="Times New Roman"/>
      <w:iCs/>
      <w:noProof/>
      <w:sz w:val="24"/>
      <w:lang w:val="lt-LT" w:eastAsia="et-EE"/>
    </w:rPr>
  </w:style>
  <w:style w:type="character" w:customStyle="1" w:styleId="Antrat7Diagrama">
    <w:name w:val="Antraštė 7 Diagrama"/>
    <w:link w:val="Antrat7"/>
    <w:rsid w:val="00D24A7B"/>
    <w:rPr>
      <w:rFonts w:ascii="Times New Roman" w:eastAsia="Times New Roman" w:hAnsi="Times New Roman" w:cs="Times New Roman"/>
      <w:noProof/>
      <w:color w:val="FF0000"/>
      <w:sz w:val="24"/>
      <w:lang w:val="lt-LT" w:eastAsia="et-EE"/>
    </w:rPr>
  </w:style>
  <w:style w:type="character" w:customStyle="1" w:styleId="Antrat8Diagrama">
    <w:name w:val="Antraštė 8 Diagrama"/>
    <w:link w:val="Antrat8"/>
    <w:rsid w:val="00D24A7B"/>
    <w:rPr>
      <w:rFonts w:ascii="Times New Roman" w:eastAsia="Times New Roman" w:hAnsi="Times New Roman" w:cs="Times New Roman"/>
      <w:noProof/>
      <w:color w:val="FF0000"/>
      <w:sz w:val="24"/>
      <w:lang w:val="lt-LT" w:eastAsia="et-EE"/>
    </w:rPr>
  </w:style>
  <w:style w:type="character" w:customStyle="1" w:styleId="Antrat9Diagrama">
    <w:name w:val="Antraštė 9 Diagrama"/>
    <w:link w:val="Antrat9"/>
    <w:rsid w:val="00D24A7B"/>
    <w:rPr>
      <w:rFonts w:ascii="Times New Roman" w:eastAsia="Times New Roman" w:hAnsi="Times New Roman" w:cs="Times New Roman"/>
      <w:noProof/>
      <w:sz w:val="24"/>
      <w:lang w:val="lt-LT" w:eastAsia="et-EE"/>
    </w:rPr>
  </w:style>
  <w:style w:type="paragraph" w:styleId="Sraas">
    <w:name w:val="List"/>
    <w:basedOn w:val="prastasis"/>
    <w:rsid w:val="00D24A7B"/>
    <w:pPr>
      <w:tabs>
        <w:tab w:val="left" w:pos="567"/>
      </w:tabs>
    </w:pPr>
    <w:rPr>
      <w:szCs w:val="24"/>
    </w:rPr>
  </w:style>
  <w:style w:type="paragraph" w:styleId="Antrats">
    <w:name w:val="header"/>
    <w:basedOn w:val="prastasis"/>
    <w:link w:val="AntratsDiagrama"/>
    <w:rsid w:val="00BE6E99"/>
    <w:pPr>
      <w:tabs>
        <w:tab w:val="center" w:pos="4536"/>
        <w:tab w:val="right" w:pos="9072"/>
      </w:tabs>
    </w:pPr>
    <w:rPr>
      <w:sz w:val="20"/>
      <w:szCs w:val="20"/>
    </w:rPr>
  </w:style>
  <w:style w:type="character" w:customStyle="1" w:styleId="AntratsDiagrama">
    <w:name w:val="Antraštės Diagrama"/>
    <w:link w:val="Antrats"/>
    <w:rsid w:val="00BE6E99"/>
    <w:rPr>
      <w:rFonts w:ascii="Times New Roman" w:eastAsia="Times New Roman" w:hAnsi="Times New Roman" w:cs="Times New Roman"/>
      <w:noProof/>
      <w:lang w:val="lt-LT" w:eastAsia="et-EE"/>
    </w:rPr>
  </w:style>
  <w:style w:type="paragraph" w:styleId="Porat">
    <w:name w:val="footer"/>
    <w:basedOn w:val="prastasis"/>
    <w:link w:val="PoratDiagrama"/>
    <w:rsid w:val="00BE6E99"/>
    <w:pPr>
      <w:tabs>
        <w:tab w:val="center" w:pos="4536"/>
        <w:tab w:val="right" w:pos="9072"/>
      </w:tabs>
    </w:pPr>
    <w:rPr>
      <w:sz w:val="20"/>
      <w:szCs w:val="20"/>
    </w:rPr>
  </w:style>
  <w:style w:type="character" w:customStyle="1" w:styleId="PoratDiagrama">
    <w:name w:val="Poraštė Diagrama"/>
    <w:link w:val="Porat"/>
    <w:rsid w:val="00BE6E99"/>
    <w:rPr>
      <w:rFonts w:ascii="Times New Roman" w:eastAsia="Times New Roman" w:hAnsi="Times New Roman" w:cs="Times New Roman"/>
      <w:noProof/>
      <w:lang w:val="lt-LT" w:eastAsia="et-EE"/>
    </w:rPr>
  </w:style>
  <w:style w:type="character" w:customStyle="1" w:styleId="DebesliotekstasDiagrama">
    <w:name w:val="Debesėlio tekstas Diagrama"/>
    <w:link w:val="Debesliotekstas"/>
    <w:semiHidden/>
    <w:rsid w:val="00D24A7B"/>
    <w:rPr>
      <w:rFonts w:ascii="Tahoma" w:eastAsia="Times New Roman" w:hAnsi="Tahoma" w:cs="Tahoma"/>
      <w:noProof/>
      <w:sz w:val="16"/>
      <w:szCs w:val="16"/>
      <w:lang w:val="lt-LT" w:eastAsia="et-EE"/>
    </w:rPr>
  </w:style>
  <w:style w:type="paragraph" w:styleId="Debesliotekstas">
    <w:name w:val="Balloon Text"/>
    <w:basedOn w:val="prastasis"/>
    <w:link w:val="DebesliotekstasDiagrama"/>
    <w:semiHidden/>
    <w:rsid w:val="00D24A7B"/>
    <w:rPr>
      <w:rFonts w:ascii="Tahoma" w:hAnsi="Tahoma"/>
      <w:sz w:val="16"/>
      <w:szCs w:val="16"/>
    </w:rPr>
  </w:style>
  <w:style w:type="character" w:customStyle="1" w:styleId="BalloonTextChar1">
    <w:name w:val="Balloon Text Char1"/>
    <w:uiPriority w:val="99"/>
    <w:semiHidden/>
    <w:rsid w:val="008C1F61"/>
    <w:rPr>
      <w:rFonts w:ascii="Tahoma" w:eastAsia="Times New Roman" w:hAnsi="Tahoma" w:cs="Tahoma"/>
      <w:noProof/>
      <w:sz w:val="16"/>
      <w:szCs w:val="16"/>
      <w:lang w:val="lt-LT" w:eastAsia="et-EE"/>
    </w:rPr>
  </w:style>
  <w:style w:type="character" w:customStyle="1" w:styleId="KomentarotekstasDiagrama">
    <w:name w:val="Komentaro tekstas Diagrama"/>
    <w:link w:val="Komentarotekstas"/>
    <w:uiPriority w:val="99"/>
    <w:rsid w:val="00D24A7B"/>
    <w:rPr>
      <w:rFonts w:ascii="Times New Roman" w:eastAsia="Times New Roman" w:hAnsi="Times New Roman" w:cs="Times New Roman"/>
      <w:noProof/>
      <w:sz w:val="20"/>
      <w:lang w:val="lt-LT" w:eastAsia="et-EE"/>
    </w:rPr>
  </w:style>
  <w:style w:type="paragraph" w:styleId="Komentarotekstas">
    <w:name w:val="annotation text"/>
    <w:basedOn w:val="prastasis"/>
    <w:link w:val="KomentarotekstasDiagrama"/>
    <w:uiPriority w:val="99"/>
    <w:rsid w:val="00D24A7B"/>
    <w:rPr>
      <w:sz w:val="20"/>
      <w:szCs w:val="20"/>
    </w:rPr>
  </w:style>
  <w:style w:type="character" w:customStyle="1" w:styleId="CommentTextChar1">
    <w:name w:val="Comment Text Char1"/>
    <w:uiPriority w:val="99"/>
    <w:semiHidden/>
    <w:rsid w:val="00D24A7B"/>
    <w:rPr>
      <w:rFonts w:ascii="Times New Roman" w:eastAsia="Times New Roman" w:hAnsi="Times New Roman" w:cs="Times New Roman"/>
      <w:noProof/>
      <w:sz w:val="20"/>
      <w:szCs w:val="20"/>
      <w:lang w:val="lt-LT" w:eastAsia="et-EE"/>
    </w:rPr>
  </w:style>
  <w:style w:type="character" w:customStyle="1" w:styleId="KomentarotemaDiagrama">
    <w:name w:val="Komentaro tema Diagrama"/>
    <w:link w:val="Komentarotema"/>
    <w:semiHidden/>
    <w:rsid w:val="00D24A7B"/>
    <w:rPr>
      <w:rFonts w:ascii="Times New Roman" w:eastAsia="Times New Roman" w:hAnsi="Times New Roman" w:cs="Times New Roman"/>
      <w:b/>
      <w:bCs/>
      <w:noProof/>
      <w:sz w:val="20"/>
      <w:lang w:val="lt-LT" w:eastAsia="et-EE"/>
    </w:rPr>
  </w:style>
  <w:style w:type="paragraph" w:styleId="Komentarotema">
    <w:name w:val="annotation subject"/>
    <w:basedOn w:val="Komentarotekstas"/>
    <w:next w:val="Komentarotekstas"/>
    <w:link w:val="KomentarotemaDiagrama"/>
    <w:semiHidden/>
    <w:rsid w:val="00D24A7B"/>
    <w:rPr>
      <w:b/>
      <w:bCs/>
    </w:rPr>
  </w:style>
  <w:style w:type="character" w:customStyle="1" w:styleId="CommentSubjectChar1">
    <w:name w:val="Comment Subject Char1"/>
    <w:uiPriority w:val="99"/>
    <w:semiHidden/>
    <w:rsid w:val="00D24A7B"/>
    <w:rPr>
      <w:rFonts w:ascii="Times New Roman" w:eastAsia="Times New Roman" w:hAnsi="Times New Roman" w:cs="Times New Roman"/>
      <w:b/>
      <w:bCs/>
      <w:noProof/>
      <w:sz w:val="20"/>
      <w:szCs w:val="20"/>
      <w:lang w:val="lt-LT" w:eastAsia="et-EE"/>
    </w:rPr>
  </w:style>
  <w:style w:type="paragraph" w:customStyle="1" w:styleId="Title1">
    <w:name w:val="Title1"/>
    <w:basedOn w:val="prastasis"/>
    <w:rsid w:val="00D24A7B"/>
    <w:pPr>
      <w:jc w:val="center"/>
    </w:pPr>
    <w:rPr>
      <w:b/>
      <w:bCs/>
      <w:szCs w:val="20"/>
    </w:rPr>
  </w:style>
  <w:style w:type="paragraph" w:customStyle="1" w:styleId="Subtitle1">
    <w:name w:val="Subtitle1"/>
    <w:basedOn w:val="Title1"/>
    <w:rsid w:val="00D24A7B"/>
    <w:pPr>
      <w:ind w:left="1701" w:hanging="708"/>
      <w:jc w:val="left"/>
    </w:pPr>
  </w:style>
  <w:style w:type="paragraph" w:styleId="Dokumentostruktra">
    <w:name w:val="Document Map"/>
    <w:basedOn w:val="prastasis"/>
    <w:link w:val="DokumentostruktraDiagrama"/>
    <w:rsid w:val="00D24A7B"/>
    <w:rPr>
      <w:rFonts w:ascii="Tahoma" w:hAnsi="Tahoma"/>
      <w:sz w:val="16"/>
      <w:szCs w:val="16"/>
    </w:rPr>
  </w:style>
  <w:style w:type="character" w:customStyle="1" w:styleId="DokumentostruktraDiagrama">
    <w:name w:val="Dokumento struktūra Diagrama"/>
    <w:link w:val="Dokumentostruktra"/>
    <w:rsid w:val="00D24A7B"/>
    <w:rPr>
      <w:rFonts w:ascii="Tahoma" w:eastAsia="Times New Roman" w:hAnsi="Tahoma" w:cs="Tahoma"/>
      <w:noProof/>
      <w:sz w:val="16"/>
      <w:szCs w:val="16"/>
      <w:lang w:val="lt-LT" w:eastAsia="et-EE"/>
    </w:rPr>
  </w:style>
  <w:style w:type="paragraph" w:customStyle="1" w:styleId="TableLeftAlign">
    <w:name w:val="TableLeftAlign"/>
    <w:basedOn w:val="prastasis"/>
    <w:rsid w:val="00D24A7B"/>
    <w:pPr>
      <w:suppressAutoHyphens/>
      <w:spacing w:before="60" w:after="60" w:line="240" w:lineRule="exact"/>
    </w:pPr>
    <w:rPr>
      <w:rFonts w:ascii="Arial" w:hAnsi="Arial"/>
      <w:noProof w:val="0"/>
      <w:sz w:val="20"/>
    </w:rPr>
  </w:style>
  <w:style w:type="paragraph" w:customStyle="1" w:styleId="ColorfulShading-Accent11">
    <w:name w:val="Colorful Shading - Accent 11"/>
    <w:hidden/>
    <w:uiPriority w:val="99"/>
    <w:semiHidden/>
    <w:rsid w:val="008C1F61"/>
    <w:rPr>
      <w:rFonts w:ascii="Times New Roman" w:eastAsia="Times New Roman" w:hAnsi="Times New Roman"/>
      <w:noProof/>
      <w:sz w:val="22"/>
      <w:szCs w:val="22"/>
      <w:lang w:val="lt-LT" w:eastAsia="et-EE"/>
    </w:rPr>
  </w:style>
  <w:style w:type="paragraph" w:customStyle="1" w:styleId="Labelheading">
    <w:name w:val="Labelheading"/>
    <w:basedOn w:val="prastasis"/>
    <w:rsid w:val="00BE6E99"/>
    <w:pPr>
      <w:pBdr>
        <w:top w:val="single" w:sz="4" w:space="1" w:color="auto"/>
        <w:left w:val="single" w:sz="4" w:space="4" w:color="auto"/>
        <w:bottom w:val="single" w:sz="4" w:space="1" w:color="auto"/>
        <w:right w:val="single" w:sz="4" w:space="4" w:color="auto"/>
      </w:pBdr>
      <w:tabs>
        <w:tab w:val="left" w:pos="567"/>
      </w:tabs>
      <w:ind w:left="567" w:hanging="567"/>
    </w:pPr>
    <w:rPr>
      <w:rFonts w:ascii="Times New Roman Bold" w:hAnsi="Times New Roman Bold"/>
      <w:b/>
      <w:bCs/>
      <w:szCs w:val="20"/>
    </w:rPr>
  </w:style>
  <w:style w:type="paragraph" w:styleId="Pavadinimas">
    <w:name w:val="Title"/>
    <w:basedOn w:val="prastasis"/>
    <w:next w:val="prastasis"/>
    <w:link w:val="PavadinimasDiagrama"/>
    <w:uiPriority w:val="99"/>
    <w:qFormat/>
    <w:rsid w:val="00BE6E99"/>
    <w:pPr>
      <w:jc w:val="center"/>
      <w:outlineLvl w:val="0"/>
    </w:pPr>
    <w:rPr>
      <w:rFonts w:ascii="Times New Roman Bold" w:hAnsi="Times New Roman Bold"/>
      <w:b/>
      <w:bCs/>
      <w:sz w:val="20"/>
      <w:szCs w:val="32"/>
    </w:rPr>
  </w:style>
  <w:style w:type="character" w:customStyle="1" w:styleId="PavadinimasDiagrama">
    <w:name w:val="Pavadinimas Diagrama"/>
    <w:link w:val="Pavadinimas"/>
    <w:uiPriority w:val="99"/>
    <w:rsid w:val="00BE6E99"/>
    <w:rPr>
      <w:rFonts w:ascii="Times New Roman Bold" w:eastAsia="Times New Roman" w:hAnsi="Times New Roman Bold" w:cs="Times New Roman"/>
      <w:b/>
      <w:bCs/>
      <w:noProof/>
      <w:szCs w:val="32"/>
      <w:lang w:val="lt-LT" w:eastAsia="et-EE"/>
    </w:rPr>
  </w:style>
  <w:style w:type="character" w:styleId="Hipersaitas">
    <w:name w:val="Hyperlink"/>
    <w:uiPriority w:val="99"/>
    <w:rsid w:val="00D24A7B"/>
    <w:rPr>
      <w:color w:val="0000FF"/>
      <w:u w:val="single"/>
    </w:rPr>
  </w:style>
  <w:style w:type="paragraph" w:customStyle="1" w:styleId="lbltxt">
    <w:name w:val="lbltxt"/>
    <w:rsid w:val="008C1F61"/>
    <w:rPr>
      <w:rFonts w:ascii="Times New Roman" w:eastAsia="Times New Roman" w:hAnsi="Times New Roman"/>
      <w:noProof/>
      <w:sz w:val="22"/>
      <w:lang w:val="en-GB" w:eastAsia="en-US"/>
    </w:rPr>
  </w:style>
  <w:style w:type="character" w:styleId="Komentaronuoroda">
    <w:name w:val="annotation reference"/>
    <w:rsid w:val="00D24A7B"/>
    <w:rPr>
      <w:sz w:val="16"/>
      <w:szCs w:val="16"/>
    </w:rPr>
  </w:style>
  <w:style w:type="character" w:customStyle="1" w:styleId="shorttext">
    <w:name w:val="short_text"/>
    <w:basedOn w:val="Numatytasispastraiposriftas"/>
    <w:rsid w:val="00285439"/>
  </w:style>
  <w:style w:type="character" w:customStyle="1" w:styleId="hps">
    <w:name w:val="hps"/>
    <w:basedOn w:val="Numatytasispastraiposriftas"/>
    <w:rsid w:val="00285439"/>
  </w:style>
  <w:style w:type="character" w:customStyle="1" w:styleId="st">
    <w:name w:val="st"/>
    <w:basedOn w:val="Numatytasispastraiposriftas"/>
    <w:rsid w:val="00AC076B"/>
  </w:style>
  <w:style w:type="character" w:styleId="Emfaz">
    <w:name w:val="Emphasis"/>
    <w:uiPriority w:val="20"/>
    <w:qFormat/>
    <w:rsid w:val="00AC076B"/>
    <w:rPr>
      <w:i/>
      <w:iCs/>
    </w:rPr>
  </w:style>
  <w:style w:type="character" w:customStyle="1" w:styleId="longtext">
    <w:name w:val="long_text"/>
    <w:basedOn w:val="Numatytasispastraiposriftas"/>
    <w:rsid w:val="00AC076B"/>
  </w:style>
  <w:style w:type="paragraph" w:customStyle="1" w:styleId="Default">
    <w:name w:val="Default"/>
    <w:rsid w:val="008C1F61"/>
    <w:pPr>
      <w:autoSpaceDE w:val="0"/>
      <w:autoSpaceDN w:val="0"/>
      <w:adjustRightInd w:val="0"/>
    </w:pPr>
    <w:rPr>
      <w:rFonts w:ascii="Times New Roman" w:eastAsia="Times New Roman" w:hAnsi="Times New Roman"/>
      <w:lang w:eastAsia="en-US"/>
    </w:rPr>
  </w:style>
  <w:style w:type="paragraph" w:customStyle="1" w:styleId="lblbullet">
    <w:name w:val="lblbullet"/>
    <w:basedOn w:val="prastasis"/>
    <w:rsid w:val="00A36BAF"/>
    <w:pPr>
      <w:tabs>
        <w:tab w:val="left" w:pos="567"/>
      </w:tabs>
      <w:ind w:left="567" w:hanging="567"/>
    </w:pPr>
    <w:rPr>
      <w:noProof w:val="0"/>
      <w:szCs w:val="20"/>
      <w:lang w:val="en-GB" w:eastAsia="en-US"/>
    </w:rPr>
  </w:style>
  <w:style w:type="character" w:customStyle="1" w:styleId="st1">
    <w:name w:val="st1"/>
    <w:basedOn w:val="Numatytasispastraiposriftas"/>
    <w:rsid w:val="00B9637A"/>
  </w:style>
  <w:style w:type="paragraph" w:customStyle="1" w:styleId="Title10">
    <w:name w:val="Title1"/>
    <w:basedOn w:val="prastasis"/>
    <w:rsid w:val="008C1F61"/>
    <w:pPr>
      <w:jc w:val="center"/>
    </w:pPr>
    <w:rPr>
      <w:b/>
      <w:bCs/>
      <w:szCs w:val="20"/>
    </w:rPr>
  </w:style>
  <w:style w:type="paragraph" w:customStyle="1" w:styleId="Subtitle10">
    <w:name w:val="Subtitle1"/>
    <w:basedOn w:val="Title10"/>
    <w:rsid w:val="008C1F61"/>
    <w:pPr>
      <w:ind w:left="1701" w:hanging="708"/>
      <w:jc w:val="left"/>
    </w:pPr>
  </w:style>
  <w:style w:type="character" w:customStyle="1" w:styleId="DebesliotekstasDiagrama1">
    <w:name w:val="Debesėlio tekstas Diagrama1"/>
    <w:uiPriority w:val="99"/>
    <w:semiHidden/>
    <w:rsid w:val="003C2DF2"/>
    <w:rPr>
      <w:rFonts w:ascii="Tahoma" w:eastAsia="Times New Roman" w:hAnsi="Tahoma" w:cs="Tahoma"/>
      <w:noProof/>
      <w:sz w:val="16"/>
      <w:szCs w:val="16"/>
      <w:lang w:eastAsia="et-EE"/>
    </w:rPr>
  </w:style>
  <w:style w:type="character" w:customStyle="1" w:styleId="KomentarotekstasDiagrama1">
    <w:name w:val="Komentaro tekstas Diagrama1"/>
    <w:uiPriority w:val="99"/>
    <w:semiHidden/>
    <w:rsid w:val="003C2DF2"/>
    <w:rPr>
      <w:rFonts w:ascii="Times New Roman" w:eastAsia="Times New Roman" w:hAnsi="Times New Roman" w:cs="Times New Roman"/>
      <w:noProof/>
      <w:sz w:val="20"/>
      <w:szCs w:val="20"/>
      <w:lang w:eastAsia="et-EE"/>
    </w:rPr>
  </w:style>
  <w:style w:type="character" w:customStyle="1" w:styleId="KomentarotemaDiagrama1">
    <w:name w:val="Komentaro tema Diagrama1"/>
    <w:uiPriority w:val="99"/>
    <w:semiHidden/>
    <w:rsid w:val="003C2DF2"/>
    <w:rPr>
      <w:rFonts w:ascii="Times New Roman" w:eastAsia="Times New Roman" w:hAnsi="Times New Roman" w:cs="Times New Roman"/>
      <w:b/>
      <w:bCs/>
      <w:noProof/>
      <w:sz w:val="20"/>
      <w:szCs w:val="20"/>
      <w:lang w:eastAsia="et-EE"/>
    </w:rPr>
  </w:style>
  <w:style w:type="paragraph" w:customStyle="1" w:styleId="Pavadinimas1">
    <w:name w:val="Pavadinimas1"/>
    <w:basedOn w:val="prastasis"/>
    <w:rsid w:val="003C2DF2"/>
    <w:pPr>
      <w:jc w:val="center"/>
    </w:pPr>
    <w:rPr>
      <w:b/>
      <w:bCs/>
      <w:szCs w:val="20"/>
    </w:rPr>
  </w:style>
  <w:style w:type="paragraph" w:customStyle="1" w:styleId="Antrinispavadinimas1">
    <w:name w:val="Antrinis pavadinimas1"/>
    <w:basedOn w:val="Pavadinimas1"/>
    <w:rsid w:val="003C2DF2"/>
    <w:pPr>
      <w:ind w:left="1701" w:hanging="708"/>
      <w:jc w:val="left"/>
    </w:pPr>
  </w:style>
  <w:style w:type="paragraph" w:customStyle="1" w:styleId="Pavadinimas2">
    <w:name w:val="Pavadinimas2"/>
    <w:basedOn w:val="prastasis"/>
    <w:rsid w:val="003C2DF2"/>
    <w:pPr>
      <w:jc w:val="center"/>
    </w:pPr>
    <w:rPr>
      <w:b/>
      <w:bCs/>
      <w:szCs w:val="20"/>
    </w:rPr>
  </w:style>
  <w:style w:type="paragraph" w:customStyle="1" w:styleId="Antrinispavadinimas2">
    <w:name w:val="Antrinis pavadinimas2"/>
    <w:basedOn w:val="Pavadinimas2"/>
    <w:rsid w:val="003C2DF2"/>
    <w:pPr>
      <w:ind w:left="1701" w:hanging="708"/>
      <w:jc w:val="left"/>
    </w:pPr>
  </w:style>
  <w:style w:type="paragraph" w:customStyle="1" w:styleId="Title2">
    <w:name w:val="Title2"/>
    <w:basedOn w:val="prastasis"/>
    <w:rsid w:val="003A7928"/>
    <w:pPr>
      <w:jc w:val="center"/>
    </w:pPr>
    <w:rPr>
      <w:b/>
      <w:bCs/>
      <w:szCs w:val="20"/>
    </w:rPr>
  </w:style>
  <w:style w:type="paragraph" w:customStyle="1" w:styleId="Subtitle2">
    <w:name w:val="Subtitle2"/>
    <w:basedOn w:val="Title2"/>
    <w:rsid w:val="003A7928"/>
    <w:pPr>
      <w:ind w:left="1701" w:hanging="708"/>
      <w:jc w:val="left"/>
    </w:pPr>
  </w:style>
  <w:style w:type="paragraph" w:styleId="Paprastasistekstas">
    <w:name w:val="Plain Text"/>
    <w:basedOn w:val="prastasis"/>
    <w:link w:val="PaprastasistekstasDiagrama"/>
    <w:uiPriority w:val="99"/>
    <w:rsid w:val="00213DF5"/>
    <w:rPr>
      <w:rFonts w:ascii="Courier New" w:eastAsia="SimSun" w:hAnsi="Courier New"/>
      <w:noProof w:val="0"/>
      <w:sz w:val="20"/>
      <w:szCs w:val="20"/>
      <w:lang w:val="en-US" w:eastAsia="en-US"/>
    </w:rPr>
  </w:style>
  <w:style w:type="character" w:customStyle="1" w:styleId="PaprastasistekstasDiagrama">
    <w:name w:val="Paprastasis tekstas Diagrama"/>
    <w:link w:val="Paprastasistekstas"/>
    <w:uiPriority w:val="99"/>
    <w:rsid w:val="00213DF5"/>
    <w:rPr>
      <w:rFonts w:ascii="Courier New" w:eastAsia="SimSun" w:hAnsi="Courier New"/>
      <w:lang w:val="en-US" w:eastAsia="en-US"/>
    </w:rPr>
  </w:style>
  <w:style w:type="paragraph" w:styleId="Pataisymai">
    <w:name w:val="Revision"/>
    <w:hidden/>
    <w:uiPriority w:val="99"/>
    <w:semiHidden/>
    <w:rsid w:val="00033F69"/>
    <w:rPr>
      <w:rFonts w:ascii="Times New Roman" w:eastAsia="Times New Roman" w:hAnsi="Times New Roman"/>
      <w:noProof/>
      <w:sz w:val="22"/>
      <w:szCs w:val="22"/>
      <w:lang w:val="lt-LT" w:eastAsia="et-EE"/>
    </w:rPr>
  </w:style>
  <w:style w:type="character" w:customStyle="1" w:styleId="Heading1Char1">
    <w:name w:val="Heading 1 Char1"/>
    <w:rsid w:val="00033F69"/>
    <w:rPr>
      <w:rFonts w:ascii="Times New Roman Bold" w:eastAsia="Times New Roman" w:hAnsi="Times New Roman Bold"/>
      <w:b/>
      <w:bCs/>
      <w:sz w:val="22"/>
      <w:szCs w:val="32"/>
      <w:lang w:val="x-none" w:eastAsia="x-none"/>
    </w:rPr>
  </w:style>
  <w:style w:type="character" w:customStyle="1" w:styleId="Heading3Char1">
    <w:name w:val="Heading 3 Char1"/>
    <w:rsid w:val="00033F69"/>
    <w:rPr>
      <w:bCs/>
      <w:sz w:val="22"/>
      <w:szCs w:val="26"/>
      <w:u w:val="single"/>
      <w:lang w:val="x-none" w:eastAsia="x-none"/>
    </w:rPr>
  </w:style>
  <w:style w:type="paragraph" w:customStyle="1" w:styleId="BTEMEASMCA">
    <w:name w:val="BT EMEA_SMCA"/>
    <w:basedOn w:val="prastasis"/>
    <w:link w:val="BTEMEASMCAChar"/>
    <w:autoRedefine/>
    <w:rsid w:val="00C248FE"/>
    <w:pPr>
      <w:tabs>
        <w:tab w:val="left" w:pos="540"/>
      </w:tabs>
      <w:jc w:val="both"/>
    </w:pPr>
    <w:rPr>
      <w:rFonts w:eastAsia="Arial Unicode MS"/>
      <w:b/>
      <w:noProof w:val="0"/>
      <w:color w:val="000000"/>
      <w:spacing w:val="3"/>
      <w:lang w:eastAsia="en-US"/>
    </w:rPr>
  </w:style>
  <w:style w:type="character" w:customStyle="1" w:styleId="BTEMEASMCAChar">
    <w:name w:val="BT EMEA_SMCA Char"/>
    <w:link w:val="BTEMEASMCA"/>
    <w:locked/>
    <w:rsid w:val="00C248FE"/>
    <w:rPr>
      <w:rFonts w:ascii="Times New Roman" w:eastAsia="Arial Unicode MS" w:hAnsi="Times New Roman"/>
      <w:b/>
      <w:color w:val="000000"/>
      <w:spacing w:val="3"/>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111">
      <w:bodyDiv w:val="1"/>
      <w:marLeft w:val="0"/>
      <w:marRight w:val="0"/>
      <w:marTop w:val="0"/>
      <w:marBottom w:val="0"/>
      <w:divBdr>
        <w:top w:val="none" w:sz="0" w:space="0" w:color="auto"/>
        <w:left w:val="none" w:sz="0" w:space="0" w:color="auto"/>
        <w:bottom w:val="none" w:sz="0" w:space="0" w:color="auto"/>
        <w:right w:val="none" w:sz="0" w:space="0" w:color="auto"/>
      </w:divBdr>
    </w:div>
    <w:div w:id="432633635">
      <w:bodyDiv w:val="1"/>
      <w:marLeft w:val="0"/>
      <w:marRight w:val="0"/>
      <w:marTop w:val="0"/>
      <w:marBottom w:val="0"/>
      <w:divBdr>
        <w:top w:val="none" w:sz="0" w:space="0" w:color="auto"/>
        <w:left w:val="none" w:sz="0" w:space="0" w:color="auto"/>
        <w:bottom w:val="none" w:sz="0" w:space="0" w:color="auto"/>
        <w:right w:val="none" w:sz="0" w:space="0" w:color="auto"/>
      </w:divBdr>
    </w:div>
    <w:div w:id="916280877">
      <w:bodyDiv w:val="1"/>
      <w:marLeft w:val="0"/>
      <w:marRight w:val="0"/>
      <w:marTop w:val="0"/>
      <w:marBottom w:val="0"/>
      <w:divBdr>
        <w:top w:val="none" w:sz="0" w:space="0" w:color="auto"/>
        <w:left w:val="none" w:sz="0" w:space="0" w:color="auto"/>
        <w:bottom w:val="none" w:sz="0" w:space="0" w:color="auto"/>
        <w:right w:val="none" w:sz="0" w:space="0" w:color="auto"/>
      </w:divBdr>
    </w:div>
    <w:div w:id="1143233455">
      <w:bodyDiv w:val="1"/>
      <w:marLeft w:val="0"/>
      <w:marRight w:val="0"/>
      <w:marTop w:val="0"/>
      <w:marBottom w:val="0"/>
      <w:divBdr>
        <w:top w:val="none" w:sz="0" w:space="0" w:color="auto"/>
        <w:left w:val="none" w:sz="0" w:space="0" w:color="auto"/>
        <w:bottom w:val="none" w:sz="0" w:space="0" w:color="auto"/>
        <w:right w:val="none" w:sz="0" w:space="0" w:color="auto"/>
      </w:divBdr>
    </w:div>
    <w:div w:id="1222904324">
      <w:bodyDiv w:val="1"/>
      <w:marLeft w:val="0"/>
      <w:marRight w:val="0"/>
      <w:marTop w:val="0"/>
      <w:marBottom w:val="0"/>
      <w:divBdr>
        <w:top w:val="none" w:sz="0" w:space="0" w:color="auto"/>
        <w:left w:val="none" w:sz="0" w:space="0" w:color="auto"/>
        <w:bottom w:val="none" w:sz="0" w:space="0" w:color="auto"/>
        <w:right w:val="none" w:sz="0" w:space="0" w:color="auto"/>
      </w:divBdr>
    </w:div>
    <w:div w:id="1284538133">
      <w:bodyDiv w:val="1"/>
      <w:marLeft w:val="0"/>
      <w:marRight w:val="0"/>
      <w:marTop w:val="0"/>
      <w:marBottom w:val="0"/>
      <w:divBdr>
        <w:top w:val="none" w:sz="0" w:space="0" w:color="auto"/>
        <w:left w:val="none" w:sz="0" w:space="0" w:color="auto"/>
        <w:bottom w:val="none" w:sz="0" w:space="0" w:color="auto"/>
        <w:right w:val="none" w:sz="0" w:space="0" w:color="auto"/>
      </w:divBdr>
    </w:div>
    <w:div w:id="144195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vvkt.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pageidaujamaR@vvkt.lt"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3.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74BBF71A27F57C439FB7032D1458451C" ma:contentTypeVersion="0" ma:contentTypeDescription="Create a new document." ma:contentTypeScope="" ma:versionID="eb0ed0f7f532016fa5ca8ec763dee6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3C87-5FE2-4156-8176-B61955734496}">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D050D95-771A-4426-BA58-56CE2427B58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4756BD4-05B7-4A44-A04C-B968243ACC1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582855A-C97D-4FBA-89F1-6A7B2CBE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200C69-99DC-42BD-88F7-B78BBD94028C}">
  <ds:schemaRefs>
    <ds:schemaRef ds:uri="http://schemas.microsoft.com/sharepoint/v3/contenttype/forms"/>
  </ds:schemaRefs>
</ds:datastoreItem>
</file>

<file path=customXml/itemProps6.xml><?xml version="1.0" encoding="utf-8"?>
<ds:datastoreItem xmlns:ds="http://schemas.openxmlformats.org/officeDocument/2006/customXml" ds:itemID="{A134EB7F-6E80-4E51-B2DD-013F62D4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49334</Words>
  <Characters>28121</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Neupogen, INN - filgrastim</vt:lpstr>
      <vt:lpstr>Neupogen, INN - filgrastim</vt:lpstr>
    </vt:vector>
  </TitlesOfParts>
  <Company>Amgen Employee</Company>
  <LinksUpToDate>false</LinksUpToDate>
  <CharactersWithSpaces>77301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Neupogen, INN - filgrastim</dc:title>
  <dc:subject>LT</dc:subject>
  <dc:creator>AMGEN</dc:creator>
  <cp:keywords>*$%CON-*$%Compliance</cp:keywords>
  <cp:lastModifiedBy>Albina Burkauskaitė</cp:lastModifiedBy>
  <cp:revision>2</cp:revision>
  <dcterms:created xsi:type="dcterms:W3CDTF">2019-05-30T12:36:00Z</dcterms:created>
  <dcterms:modified xsi:type="dcterms:W3CDTF">2019-05-30T12:36:00Z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4bbd8b1c-8684-4bc0-b73c-7eb16cec7c55</vt:lpwstr>
  </property>
  <property fmtid="{D5CDD505-2E9C-101B-9397-08002B2CF9AE}" pid="3" name="bjSaver">
    <vt:lpwstr>Zzu47YUAQLYStG3dAdH4HewHUIh055I5</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uid="6d3ee3d4-0386-4b93-9e57-c14563358695" value="" /&gt;&lt;element uid="7349a702-6462-4442-88eb-c64cd513835c" value="" /&gt;&lt;element uid="ba0343df-3220-4244-9388-1298e2abc028" value="" /&gt;&lt;/sisl&gt;</vt:lpwstr>
  </property>
  <property fmtid="{D5CDD505-2E9C-101B-9397-08002B2CF9AE}" pid="6" name="bjDocumentSecurityLabel">
    <vt:lpwstr>Confidential - Compliance</vt:lpwstr>
  </property>
</Properties>
</file>