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51" w:rsidRPr="00C779DC" w:rsidRDefault="00435051" w:rsidP="00435051">
      <w:pPr>
        <w:spacing w:after="0" w:line="240" w:lineRule="auto"/>
        <w:rPr>
          <w:rFonts w:ascii="Times New Roman" w:eastAsia="Times New Roman" w:hAnsi="Times New Roman"/>
        </w:rPr>
      </w:pPr>
      <w:bookmarkStart w:id="0" w:name="_GoBack"/>
      <w:bookmarkEnd w:id="0"/>
    </w:p>
    <w:p w:rsidR="00435051" w:rsidRPr="00C779DC" w:rsidRDefault="00435051" w:rsidP="00435051">
      <w:pPr>
        <w:spacing w:after="0" w:line="240" w:lineRule="auto"/>
        <w:jc w:val="center"/>
        <w:rPr>
          <w:rFonts w:ascii="Times New Roman" w:hAnsi="Times New Roman"/>
          <w:b/>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r w:rsidRPr="00C779DC">
        <w:rPr>
          <w:rFonts w:ascii="Times New Roman" w:hAnsi="Times New Roman"/>
          <w:b/>
          <w:bCs/>
        </w:rPr>
        <w:t>I PRIEDAS</w:t>
      </w: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rPr>
      </w:pPr>
      <w:r w:rsidRPr="00C779DC">
        <w:rPr>
          <w:rFonts w:ascii="Times New Roman" w:hAnsi="Times New Roman"/>
          <w:b/>
          <w:bCs/>
        </w:rPr>
        <w:t>PREPARATO CHARAKTERISTIKŲ SANTRAUKA</w:t>
      </w: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rPr>
        <w:br w:type="page"/>
      </w:r>
      <w:r w:rsidRPr="00C779DC">
        <w:rPr>
          <w:rFonts w:ascii="Times New Roman" w:hAnsi="Times New Roman"/>
          <w:b/>
          <w:bCs/>
        </w:rPr>
        <w:lastRenderedPageBreak/>
        <w:t>1.</w:t>
      </w:r>
      <w:r w:rsidRPr="00C779DC">
        <w:rPr>
          <w:rFonts w:ascii="Times New Roman" w:hAnsi="Times New Roman"/>
          <w:b/>
          <w:bCs/>
        </w:rPr>
        <w:tab/>
      </w:r>
      <w:r w:rsidRPr="00C779DC">
        <w:rPr>
          <w:rFonts w:ascii="Times New Roman" w:hAnsi="Times New Roman"/>
          <w:b/>
          <w:bCs/>
          <w:caps/>
        </w:rPr>
        <w:t>VAISTINIO</w:t>
      </w:r>
      <w:r w:rsidRPr="00C779DC">
        <w:rPr>
          <w:rFonts w:ascii="Times New Roman" w:hAnsi="Times New Roman"/>
          <w:b/>
          <w:bCs/>
        </w:rPr>
        <w:t xml:space="preserve"> PREPARATO PAVADINIMAS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25 mg plėvele dengtos tabletės</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Seroquel 100 mg plėvele dengtos tabletės </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200 mg plėvele dengtos tabletės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2.</w:t>
      </w:r>
      <w:r w:rsidRPr="00C779DC">
        <w:rPr>
          <w:rFonts w:ascii="Times New Roman" w:hAnsi="Times New Roman"/>
          <w:b/>
          <w:bCs/>
        </w:rPr>
        <w:tab/>
        <w:t>KOKYBINĖ IR KIEKYBINĖ SUDĖTIS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25 mg yra 25 mg kvetiapino (kvetiapino fumarato pavidalu).</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100 mg yra 100 mg kvetiapino (kvetiapino fumarato pavidalu).</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200 mg yra 200 mg kvetiapino (kvetiapino fumarato pavidalu).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Pagalbinės medžiagos, kurių poveikis žinomas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25 mg tabletėje yra 18 mg bevandenės laktozės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100 mg tabletėje yra 20 mg bevandenės laktozės</w:t>
      </w: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rPr>
        <w:t>Seroquel 200 mg tabletėje yra 39 mg bevandenės laktozės</w:t>
      </w:r>
    </w:p>
    <w:p w:rsidR="00435051" w:rsidRPr="00C779DC" w:rsidRDefault="00435051" w:rsidP="00435051">
      <w:pPr>
        <w:spacing w:after="0" w:line="240" w:lineRule="auto"/>
        <w:rPr>
          <w:rFonts w:ascii="Times New Roman" w:hAnsi="Times New Roman"/>
        </w:rPr>
      </w:pPr>
      <w:r w:rsidRPr="00C779DC">
        <w:rPr>
          <w:rFonts w:ascii="Times New Roman" w:hAnsi="Times New Roman"/>
        </w:rPr>
        <w:t>Visos pagalbinės medžiagos išvardytos 6.1 skyriuje.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3.</w:t>
      </w:r>
      <w:r w:rsidRPr="00C779DC">
        <w:rPr>
          <w:rFonts w:ascii="Times New Roman" w:hAnsi="Times New Roman"/>
          <w:b/>
          <w:bCs/>
        </w:rPr>
        <w:tab/>
        <w:t>FARMACINĖ FORMA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Plėvele dengta tabletė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25 mg tabletės yra rausvai oranžinės, apvalios, abipus išgaubtos, vienoje pusėje paženklintos SEROQUEL 25.</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100 tabletės yra geltonos, apvalios, abipus išgaubtos, vienoje pusėje paženklintos SEROQUEL 100.</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200 mg tabletės yra baltos, apvalios, abipus išgaubtos, vienoje pusėje paženklintos SEROQUEL 200.</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caps/>
        </w:rPr>
        <w:t>4.</w:t>
      </w:r>
      <w:r w:rsidRPr="00C779DC">
        <w:rPr>
          <w:rFonts w:ascii="Times New Roman" w:hAnsi="Times New Roman"/>
          <w:b/>
          <w:bCs/>
          <w:caps/>
        </w:rPr>
        <w:tab/>
      </w:r>
      <w:r w:rsidRPr="00C779DC">
        <w:rPr>
          <w:rFonts w:ascii="Times New Roman" w:hAnsi="Times New Roman"/>
          <w:b/>
          <w:bCs/>
        </w:rPr>
        <w:t>KLINIKINĖ INFORMACIJA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4.1</w:t>
      </w:r>
      <w:r w:rsidRPr="00C779DC">
        <w:rPr>
          <w:rFonts w:ascii="Times New Roman" w:hAnsi="Times New Roman"/>
          <w:b/>
          <w:bCs/>
        </w:rPr>
        <w:tab/>
        <w:t>Terapinės indikacijos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skirtas:</w:t>
      </w:r>
    </w:p>
    <w:p w:rsidR="00435051" w:rsidRPr="00C779DC" w:rsidRDefault="00435051" w:rsidP="00435051">
      <w:pPr>
        <w:numPr>
          <w:ilvl w:val="0"/>
          <w:numId w:val="1"/>
        </w:numPr>
        <w:spacing w:after="0" w:line="240" w:lineRule="auto"/>
        <w:rPr>
          <w:rFonts w:ascii="Times New Roman" w:hAnsi="Times New Roman"/>
        </w:rPr>
      </w:pPr>
      <w:r w:rsidRPr="00C779DC">
        <w:rPr>
          <w:rFonts w:ascii="Times New Roman" w:hAnsi="Times New Roman"/>
        </w:rPr>
        <w:t>šizofrenijai gydyti;</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1"/>
        </w:numPr>
        <w:spacing w:after="0" w:line="240" w:lineRule="auto"/>
        <w:rPr>
          <w:rFonts w:ascii="Times New Roman" w:hAnsi="Times New Roman"/>
        </w:rPr>
      </w:pPr>
      <w:r w:rsidRPr="00C779DC">
        <w:rPr>
          <w:rFonts w:ascii="Times New Roman" w:hAnsi="Times New Roman"/>
        </w:rPr>
        <w:t>bipoliniam sutrikimui gydyti apimant:</w:t>
      </w:r>
    </w:p>
    <w:p w:rsidR="00435051" w:rsidRPr="00C779DC" w:rsidRDefault="00435051" w:rsidP="00435051">
      <w:pPr>
        <w:numPr>
          <w:ilvl w:val="1"/>
          <w:numId w:val="1"/>
        </w:numPr>
        <w:spacing w:after="0" w:line="240" w:lineRule="auto"/>
        <w:ind w:left="1134" w:hanging="567"/>
        <w:rPr>
          <w:rFonts w:ascii="Times New Roman" w:hAnsi="Times New Roman"/>
        </w:rPr>
      </w:pPr>
      <w:r w:rsidRPr="00C779DC">
        <w:rPr>
          <w:rFonts w:ascii="Times New Roman" w:hAnsi="Times New Roman"/>
        </w:rPr>
        <w:t>bipoliniu sutrikimu sergančių pacientų vidutinio sunkumo ir sunkių manijos epizodų gydymą;</w:t>
      </w:r>
    </w:p>
    <w:p w:rsidR="00435051" w:rsidRPr="00C779DC" w:rsidRDefault="00435051" w:rsidP="00435051">
      <w:pPr>
        <w:numPr>
          <w:ilvl w:val="1"/>
          <w:numId w:val="1"/>
        </w:numPr>
        <w:spacing w:after="0" w:line="240" w:lineRule="auto"/>
        <w:ind w:left="1134" w:hanging="567"/>
        <w:rPr>
          <w:rFonts w:ascii="Times New Roman" w:hAnsi="Times New Roman"/>
        </w:rPr>
      </w:pPr>
      <w:r w:rsidRPr="00C779DC">
        <w:rPr>
          <w:rFonts w:ascii="Times New Roman" w:hAnsi="Times New Roman"/>
        </w:rPr>
        <w:t>bipoliniu sutrikimu sergančių pacientų didžiosios depresijos epizodų gydymą;</w:t>
      </w:r>
    </w:p>
    <w:p w:rsidR="00435051" w:rsidRPr="00C779DC" w:rsidRDefault="00435051" w:rsidP="00435051">
      <w:pPr>
        <w:numPr>
          <w:ilvl w:val="1"/>
          <w:numId w:val="1"/>
        </w:numPr>
        <w:spacing w:after="0" w:line="240" w:lineRule="auto"/>
        <w:ind w:left="1134" w:hanging="567"/>
        <w:rPr>
          <w:rFonts w:ascii="Times New Roman" w:hAnsi="Times New Roman"/>
        </w:rPr>
      </w:pPr>
      <w:r w:rsidRPr="00C779DC">
        <w:rPr>
          <w:rFonts w:ascii="Times New Roman" w:hAnsi="Times New Roman"/>
        </w:rPr>
        <w:t>bipoliniu sutrikimu sergančių pacientų, kuriems kvetiapinas buvo veiksmingas anksčiau, manijos ar depresijos epizodų atkryčio profilaktiką.</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4.2</w:t>
      </w:r>
      <w:r w:rsidRPr="00C779DC">
        <w:rPr>
          <w:rFonts w:ascii="Times New Roman" w:hAnsi="Times New Roman"/>
          <w:b/>
          <w:bCs/>
        </w:rPr>
        <w:tab/>
        <w:t>Dozavimas ir vartojimo metodas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Dozavimas kiekvienai indikacijai skiriasi. Dėl to būtina užtikrinti, kad pacientas gautų aiškią informaciją apie jo ligai skirtą dozavimą.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Seroquel galima vartoti valgant arba nevalgius.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Cs/>
        </w:rPr>
      </w:pPr>
      <w:r w:rsidRPr="00C779DC">
        <w:rPr>
          <w:rFonts w:ascii="Times New Roman" w:hAnsi="Times New Roman"/>
          <w:i/>
          <w:iCs/>
        </w:rPr>
        <w:t>Suaugusiesiems</w:t>
      </w:r>
    </w:p>
    <w:p w:rsidR="00435051" w:rsidRPr="00C779DC" w:rsidRDefault="00435051" w:rsidP="00435051">
      <w:pPr>
        <w:spacing w:after="0" w:line="240" w:lineRule="auto"/>
        <w:rPr>
          <w:rFonts w:ascii="Times New Roman" w:hAnsi="Times New Roman"/>
          <w:i/>
          <w:u w:val="single"/>
        </w:rPr>
      </w:pPr>
      <w:r w:rsidRPr="00C779DC">
        <w:rPr>
          <w:rFonts w:ascii="Times New Roman" w:hAnsi="Times New Roman"/>
          <w:bCs/>
          <w:i/>
          <w:iCs/>
        </w:rPr>
        <w:t>Šizofrenijos gydymas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Šizofrenijai gydyti Seroquel skiriama 2 kartus per parą. Paros dozė pirmą dieną yra 50 mg, antrą – 100 mg, trečią – 200 mg, ketvirtą – 300 mg. Vėliau dozė didinama iki įprastinės veiksmingos (300</w:t>
      </w:r>
      <w:r w:rsidRPr="00C779DC">
        <w:rPr>
          <w:rFonts w:ascii="Times New Roman" w:hAnsi="Times New Roman"/>
        </w:rPr>
        <w:noBreakHyphen/>
        <w:t>450 mg per parą). Priklausomai nuo individualaus klinikinio atsako ir toleravimo, galima parinkti 150</w:t>
      </w:r>
      <w:r w:rsidRPr="00C779DC">
        <w:rPr>
          <w:rFonts w:ascii="Times New Roman" w:hAnsi="Times New Roman"/>
        </w:rPr>
        <w:noBreakHyphen/>
        <w:t>750 mg paros dozę.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bCs/>
          <w:iCs/>
          <w:u w:val="single"/>
        </w:rPr>
        <w:t>Bipoliniu</w:t>
      </w:r>
      <w:r w:rsidRPr="00C779DC">
        <w:rPr>
          <w:rFonts w:ascii="Times New Roman" w:hAnsi="Times New Roman"/>
          <w:u w:val="single"/>
        </w:rPr>
        <w:t xml:space="preserve"> sutrikimu</w:t>
      </w:r>
      <w:r w:rsidRPr="00C779DC">
        <w:rPr>
          <w:rFonts w:ascii="Times New Roman" w:hAnsi="Times New Roman"/>
          <w:bCs/>
          <w:iCs/>
          <w:u w:val="single"/>
        </w:rPr>
        <w:t xml:space="preserve"> sergančių pacientų vidutinių ir sunkių manijos epizodų gydymas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Bipoliniu sutrikimu sergančių pacientų manijos epizodams gydyti Seroquel skiriama 2 kartus per parą. Paros dozė pirmą dieną yra 100 mg, antrą – 200 mg, trečią – 300 mg, ketvirtą – 400 mg. Toliau dozė didinama ne daugiau kaip po 200 mg per parą iki 800 mg šeštą gydymo dieną.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Paros dozę galima parinkti 200</w:t>
      </w:r>
      <w:r w:rsidRPr="00C779DC">
        <w:rPr>
          <w:rFonts w:ascii="Times New Roman" w:hAnsi="Times New Roman"/>
        </w:rPr>
        <w:noBreakHyphen/>
        <w:t>800 mg ribose, priklausomai nuo individualaus klinikinio atsako ir toleravimo. Dažniausiai veiksminga paros dozė būna 400</w:t>
      </w:r>
      <w:r w:rsidRPr="00C779DC">
        <w:rPr>
          <w:rFonts w:ascii="Times New Roman" w:hAnsi="Times New Roman"/>
        </w:rPr>
        <w:noBreakHyphen/>
        <w:t>800 mg.</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iCs/>
          <w:u w:val="single"/>
        </w:rPr>
        <w:t>Bipoliniu sutrikimu sergančių pacientų didžiosios</w:t>
      </w:r>
      <w:r w:rsidRPr="00C779DC">
        <w:rPr>
          <w:rFonts w:ascii="Times New Roman" w:hAnsi="Times New Roman"/>
          <w:u w:val="single"/>
        </w:rPr>
        <w:t xml:space="preserve"> depresijos </w:t>
      </w:r>
      <w:r w:rsidRPr="00C779DC">
        <w:rPr>
          <w:rFonts w:ascii="Times New Roman" w:hAnsi="Times New Roman"/>
          <w:iCs/>
          <w:u w:val="single"/>
        </w:rPr>
        <w:t>epizodų gydymas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reikia vartoti 1 kartą per parą, prieš miegą. Paros dozė pirmą dieną yra 50 mg, antrą – 100 mg, trečią – 200 mg, ketvirtą – 300 mg. Rekomenduojama paros dozė yra 300 mg. Klinikinių tyrimų metu 600 mg paros dozę vartojusiems pacientams nenustatyta geresnio poveikio negu vartojusiems 300 mg dozę (žr. 5.1 skyrių). Vis dėlto atskiriems pacientams 600 mg dozė gali sukelti palankesnį poveikį. Gydymą didesnėmis kaip 300 mg dozėmis gali pradėti tik gydytojai, turintys bipolinio sutrikimo gydymo patirties. Klinikiniai tyrimai parodė, kad esant toleravimo problemų atskiriems pacientams galima svarstyti paros dozės sumažinimo iki ne mažesnės kaip 200 mg galimybę.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u w:val="single"/>
        </w:rPr>
        <w:t xml:space="preserve">Bipolinio sutrikimo </w:t>
      </w:r>
      <w:r w:rsidRPr="00C779DC">
        <w:rPr>
          <w:rFonts w:ascii="Times New Roman" w:hAnsi="Times New Roman"/>
          <w:bCs/>
          <w:iCs/>
          <w:u w:val="single"/>
        </w:rPr>
        <w:t>atkryčių</w:t>
      </w:r>
      <w:r w:rsidRPr="00C779DC">
        <w:rPr>
          <w:rFonts w:ascii="Times New Roman" w:hAnsi="Times New Roman"/>
          <w:u w:val="single"/>
        </w:rPr>
        <w:t xml:space="preserve"> profilaktika</w:t>
      </w:r>
    </w:p>
    <w:p w:rsidR="00435051" w:rsidRPr="00C779DC" w:rsidRDefault="00435051" w:rsidP="00435051">
      <w:pPr>
        <w:spacing w:after="0" w:line="240" w:lineRule="auto"/>
        <w:rPr>
          <w:rFonts w:ascii="Times New Roman" w:hAnsi="Times New Roman"/>
        </w:rPr>
      </w:pPr>
      <w:r w:rsidRPr="00C779DC">
        <w:rPr>
          <w:rFonts w:ascii="Times New Roman" w:hAnsi="Times New Roman"/>
        </w:rPr>
        <w:t>Bipolinio sutrikimo manijos, mišrių ir depresijos epizodų profilaktikai pacientai, kurių bipolinio sutrikimo pradiniam gydymui buvo veiksmingas kvetiapinas, turi toliau vartoti tą pačią dozę. Ją galima koreguoti, priklausomai nuo individualaus klinikinio atsako ir toleravimo, 300</w:t>
      </w:r>
      <w:r w:rsidRPr="00C779DC">
        <w:rPr>
          <w:rFonts w:ascii="Times New Roman" w:hAnsi="Times New Roman"/>
        </w:rPr>
        <w:noBreakHyphen/>
        <w:t>800 mg per parą ribose (paros dozė išgeriama per 2 kartus). Palaikomajam gydymui svarbu vartoti mažiausią veiksmingą dozę.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u w:val="single"/>
        </w:rPr>
        <w:t>Senyviems pacientams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Senyviems pacientams Seroquel (kaip ir kitų vaistinių preparatų nuo psichozės) skiriama atsargiai, ypač iš pradžių. Seroquel dozę gali tekti didinti lėčiau, o terapinė paros dozė gali būti mažesnė negu jaunesniems pacientams, priklausomai nuo individualaus klinikinio atsako ir toleravimo. Kvetiapino vidutinis klirensas senyvų žmonių plazmoje būna 30</w:t>
      </w:r>
      <w:r w:rsidRPr="00C779DC">
        <w:rPr>
          <w:rFonts w:ascii="Times New Roman" w:hAnsi="Times New Roman"/>
        </w:rPr>
        <w:noBreakHyphen/>
        <w:t>50 % mažesnis negu jaunesnių pacientų.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Veiksmingumas ir saugumas vyresniems kaip 65</w:t>
      </w:r>
      <w:r w:rsidRPr="00C779DC">
        <w:rPr>
          <w:rFonts w:ascii="Times New Roman" w:eastAsia="MS Mincho" w:hAnsi="Times New Roman"/>
        </w:rPr>
        <w:t xml:space="preserve"> </w:t>
      </w:r>
      <w:r w:rsidRPr="00C779DC">
        <w:rPr>
          <w:rFonts w:ascii="Times New Roman" w:hAnsi="Times New Roman"/>
        </w:rPr>
        <w:t>metų pacientams, ištiktiems bipolinio sutrikimo depresijos epizodų, neištirti.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rPr>
      </w:pPr>
      <w:r w:rsidRPr="00C779DC">
        <w:rPr>
          <w:rFonts w:ascii="Times New Roman" w:hAnsi="Times New Roman"/>
          <w:i/>
        </w:rPr>
        <w:t>Vaikų populiacija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Vaikams ir paaugliams iki 18 metų Seroquel vartoti nerekomenduojama dėl vartojimą jiems pagrindžiančių duomenų stokos. Turimi placebu kontroliuojamų klinikinių tyrimų duomenys pateikiami 4.4, 4.8, 5.1 ir 5.2 skyriuose.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
          <w:iCs/>
        </w:rPr>
      </w:pPr>
      <w:r w:rsidRPr="00C779DC">
        <w:rPr>
          <w:rFonts w:ascii="Times New Roman" w:hAnsi="Times New Roman"/>
          <w:bCs/>
          <w:i/>
          <w:iCs/>
        </w:rPr>
        <w:t>Sutrikusi inkstų funkcija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Pacientams, kurių inkstų funkcija sutrikusi, dozės koreguoti nereikia.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rPr>
      </w:pPr>
      <w:r w:rsidRPr="00C779DC">
        <w:rPr>
          <w:rFonts w:ascii="Times New Roman" w:hAnsi="Times New Roman"/>
          <w:bCs/>
          <w:i/>
          <w:iCs/>
        </w:rPr>
        <w:t>Sutrikusi</w:t>
      </w:r>
      <w:r w:rsidRPr="00C779DC">
        <w:rPr>
          <w:rFonts w:ascii="Times New Roman" w:hAnsi="Times New Roman"/>
          <w:i/>
        </w:rPr>
        <w:t xml:space="preserve"> kepenų funkcija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Didelė kvetiapino dalis metabolizuojama kepenyse. Dėl to pacientams, kurių kepenų funkcija sutrikusi, Seroquel skiriama atsargiai, ypač iš pradžių, o pradinė paros dozė turi būti 25 mg. Vėliau ji didinama po 25-50 mg per parą iki veiksmingos, priklausomai nuo individualaus klinikinio atsako ir toleravimo.</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4.3</w:t>
      </w:r>
      <w:r w:rsidRPr="00C779DC">
        <w:rPr>
          <w:rFonts w:ascii="Times New Roman" w:hAnsi="Times New Roman"/>
          <w:b/>
          <w:bCs/>
        </w:rPr>
        <w:tab/>
        <w:t>Kontraindikacijos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Padidėjęs jautrumas veikliajai arba bet kuriai 6.1 skyriuje nurodytai pagalbinei medžiagai.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Negalima vartoti kartu su citochromo P450 3A4 inhibitoriais, pvz., ŽIV proteazės inhibitoriais, azolo grupės vaistiniais preparatais nuo grybelių, eritromicinu, klaritromicinu, nefazodonu (žr. 4.5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4.4</w:t>
      </w:r>
      <w:r w:rsidRPr="00C779DC">
        <w:rPr>
          <w:rFonts w:ascii="Times New Roman" w:hAnsi="Times New Roman"/>
          <w:b/>
          <w:bCs/>
        </w:rPr>
        <w:tab/>
        <w:t>Specialūs įspėjimai ir atsargumo priemonės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vartojamas kelioms indikacijoms, todėl jo saugumo pobūdį reikia vertinti atsižvelgiant į konkretaus paciento diagnozę ir vartojamą dozę.</w:t>
      </w:r>
    </w:p>
    <w:p w:rsidR="00435051" w:rsidRPr="00C779DC" w:rsidRDefault="00435051" w:rsidP="00435051">
      <w:pPr>
        <w:spacing w:after="0" w:line="240" w:lineRule="auto"/>
        <w:rPr>
          <w:rFonts w:ascii="Times New Roman" w:hAnsi="Times New Roman"/>
          <w:u w:val="single"/>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Vaikų populiacija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Vaikams ir paaugliams iki 18 metų kvetiapino vartoti nerekomenduojama, kadangi vartojimą pagrindžiančių duomenų šiai amžiaus grupei nepakanka. Vaikų ir paauglių klinikinių tyrimų metu gauta panašių saugumo duomenų kaip tiriant poveikį suaugusiesiems (žr. 4.8 skyrių), tačiau kai kurių nepageidaujamų reiškinių (padidėjęs apetitas, padidėjusi prolaktino koncentracija serume, vėmimas, rinitas, sinkopė) jiems pasireiškė dažniau, kai kurie (ekstrapiramidiniai simptomai ir dirglumas) gali turėti kitokią reikšmę, o vieno (kraujospūdžio padidėjimo) anksčiau atlikti suaugusiųjų tyrimai neparodė. Be to, gauta pranešimų apie vaikų ir paauglių skydliaukės funkcijos rodmenų pokyčius.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Ilgalaikio (ilgesnio kaip 26 savaičių trukmės) kvetiapino vartojimo saugumas augimo ir brendimo požiūriu netirtas, taip pat nežinomas ilgalaikis poveikis pažintinių funkcijų ir elgesio vystymuisi.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Placebu kontroliuojamų klinikinių tyrimų metu šizofrenija, bipolinio sutrikimo manijos faze ir bipolinio sutrikimo depresijos faze sirgusiems vaikams bei paaugliams, kurie vartojo kvetiapino, ekstrapiramidinių simptomų pasireiškė dažniau negu vartojusiems placebo (žr. 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 xml:space="preserve">Savižudybė, mintys apie </w:t>
      </w:r>
      <w:r w:rsidRPr="00C779DC">
        <w:rPr>
          <w:rFonts w:ascii="Times New Roman" w:hAnsi="Times New Roman"/>
          <w:bCs/>
          <w:u w:val="single"/>
        </w:rPr>
        <w:t>savižudybę ir ligos</w:t>
      </w:r>
      <w:r w:rsidRPr="00C779DC">
        <w:rPr>
          <w:rFonts w:ascii="Times New Roman" w:hAnsi="Times New Roman"/>
          <w:u w:val="single"/>
        </w:rPr>
        <w:t xml:space="preserve"> klinikinis pasunkėjimas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Bipoliniu sutrikimu sergančių pacientų depresija didina minčių apie savižudybę, savęs susižalojimo ir savižudybės (su savižudybe susijusių reiškinių) riziką. Ši rizika išlieka padidėjusi, kol pasireiškia reikšminga remisija. Pagerėjimo gali nebūti kelias pirmąsias gydymo savaites ar net ilgiau, todėl pacientą reikia atidžiai stebėti, kol jis pasireikš. Klinikinė patirtis rodo, kad ankstyvųjų sveikimo stadijų metu savižudybės pavojus gali būti didesnis.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Be to (dėl su gydoma liga susijusių žinomų rizikos veiksnių), gydytojas turi atsižvelgti į su savižudybe susijusių reiškinių pavojų staiga nutraukus kvetiapino vartojimą.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Su savižudybe susijusių reiškinių riziką taip pat gali didinti kitos psichikos ligos, kurioms gydyti vartojama kvetiapino. Be to, šiomis ligomis ir didžiuoju depresiniu sutrikimu pacientas gali sirgti vienu metu. Dėl to gydant kitais psichikos sutrikimais sergančius pacientus reikia imtis tokių pačių atsargumo priemonių kaip ir gydant sergančius didžiuoju depresiniu sutrikimu.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antidepresantų negu vartojant placebo.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Šiuo vaistiniu preparatu gydomus pacientus, ypač turinčius didelę riziką, reikia atidžiai stebėti, ypač pradedant gydymą ir pakeitus dozę. Pacientus ir jų globėjus reikia perspėti, kad stebėtų, ar nepasunkėjo liga, nepasireiškė savižudiškas elgesys, neatsirado minčių apie savižudybę arba neįprastų elgesio pokyčių, o pastebėję tokių simptomų – nedelsdami kreiptųsi į gydytoją.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Trumpesnių placebu kontroliuojamų klinikinių tyrimų, kuriuose dalyvavo bipolinio sutrikimo didžiosios depresijos epizodą patyrę pacientai, metu jaunesniems kaip 25 metų suaugusiems žmonėms vartojant kvetiapino nustatyta didesnė su savižudybe susijusių reiškinių rizika negu vartojant placebo (atitinkamai 3 % ir 0 %).</w:t>
      </w:r>
      <w:r w:rsidR="00C779DC">
        <w:rPr>
          <w:rFonts w:ascii="Times New Roman" w:hAnsi="Times New Roman"/>
        </w:rPr>
        <w:t xml:space="preserve"> </w:t>
      </w:r>
      <w:r w:rsidR="00C779DC" w:rsidRPr="00C779DC">
        <w:rPr>
          <w:rFonts w:ascii="Times New Roman" w:hAnsi="Times New Roman"/>
        </w:rPr>
        <w:t>Popul</w:t>
      </w:r>
      <w:r w:rsidR="00C779DC">
        <w:rPr>
          <w:rFonts w:ascii="Times New Roman" w:hAnsi="Times New Roman"/>
        </w:rPr>
        <w:t>i</w:t>
      </w:r>
      <w:r w:rsidR="00C779DC" w:rsidRPr="00C779DC">
        <w:rPr>
          <w:rFonts w:ascii="Times New Roman" w:hAnsi="Times New Roman"/>
        </w:rPr>
        <w:t>a</w:t>
      </w:r>
      <w:r w:rsidR="00C779DC">
        <w:rPr>
          <w:rFonts w:ascii="Times New Roman" w:hAnsi="Times New Roman"/>
        </w:rPr>
        <w:t>cijos pagrindu atliktas kv</w:t>
      </w:r>
      <w:r w:rsidR="00C779DC" w:rsidRPr="00C779DC">
        <w:rPr>
          <w:rFonts w:ascii="Times New Roman" w:hAnsi="Times New Roman"/>
        </w:rPr>
        <w:t>etiapin</w:t>
      </w:r>
      <w:r w:rsidR="00C779DC">
        <w:rPr>
          <w:rFonts w:ascii="Times New Roman" w:hAnsi="Times New Roman"/>
        </w:rPr>
        <w:t>o vartojimo didži</w:t>
      </w:r>
      <w:r w:rsidR="00CF2EEF">
        <w:rPr>
          <w:rFonts w:ascii="Times New Roman" w:hAnsi="Times New Roman"/>
        </w:rPr>
        <w:t xml:space="preserve">ajam </w:t>
      </w:r>
      <w:r w:rsidR="00C779DC" w:rsidRPr="00C779DC">
        <w:rPr>
          <w:rFonts w:ascii="Times New Roman" w:hAnsi="Times New Roman"/>
        </w:rPr>
        <w:t>depres</w:t>
      </w:r>
      <w:r w:rsidR="00C779DC">
        <w:rPr>
          <w:rFonts w:ascii="Times New Roman" w:hAnsi="Times New Roman"/>
        </w:rPr>
        <w:t>ini</w:t>
      </w:r>
      <w:r w:rsidR="00CF2EEF">
        <w:rPr>
          <w:rFonts w:ascii="Times New Roman" w:hAnsi="Times New Roman"/>
        </w:rPr>
        <w:t xml:space="preserve">am </w:t>
      </w:r>
      <w:r w:rsidR="00C779DC">
        <w:rPr>
          <w:rFonts w:ascii="Times New Roman" w:hAnsi="Times New Roman"/>
        </w:rPr>
        <w:t>sutrikimu</w:t>
      </w:r>
      <w:r w:rsidR="00CF2EEF">
        <w:rPr>
          <w:rFonts w:ascii="Times New Roman" w:hAnsi="Times New Roman"/>
        </w:rPr>
        <w:t xml:space="preserve">i gydyti </w:t>
      </w:r>
      <w:r w:rsidR="001C589E">
        <w:rPr>
          <w:rFonts w:ascii="Times New Roman" w:hAnsi="Times New Roman"/>
        </w:rPr>
        <w:t xml:space="preserve">retrospektyvinis </w:t>
      </w:r>
      <w:r w:rsidR="00C779DC">
        <w:rPr>
          <w:rFonts w:ascii="Times New Roman" w:hAnsi="Times New Roman"/>
        </w:rPr>
        <w:t xml:space="preserve">tyrimas parodė savęs žalojimo ir savižudybės rizikos padidėjimą </w:t>
      </w:r>
      <w:r w:rsidR="00CF2EEF">
        <w:rPr>
          <w:rFonts w:ascii="Times New Roman" w:hAnsi="Times New Roman"/>
        </w:rPr>
        <w:t>anksčiau savęs nežalojusiems</w:t>
      </w:r>
      <w:r w:rsidR="00CF2EEF" w:rsidRPr="00C779DC">
        <w:rPr>
          <w:rFonts w:ascii="Times New Roman" w:hAnsi="Times New Roman"/>
        </w:rPr>
        <w:t xml:space="preserve"> </w:t>
      </w:r>
      <w:r w:rsidR="00C779DC" w:rsidRPr="00C779DC">
        <w:rPr>
          <w:rFonts w:ascii="Times New Roman" w:hAnsi="Times New Roman"/>
        </w:rPr>
        <w:t>25</w:t>
      </w:r>
      <w:r w:rsidR="00CF2EEF">
        <w:rPr>
          <w:rFonts w:ascii="Times New Roman" w:hAnsi="Times New Roman"/>
        </w:rPr>
        <w:noBreakHyphen/>
      </w:r>
      <w:r w:rsidR="00C779DC" w:rsidRPr="00C779DC">
        <w:rPr>
          <w:rFonts w:ascii="Times New Roman" w:hAnsi="Times New Roman"/>
        </w:rPr>
        <w:t xml:space="preserve">64 </w:t>
      </w:r>
      <w:r w:rsidR="00CF2EEF">
        <w:rPr>
          <w:rFonts w:ascii="Times New Roman" w:hAnsi="Times New Roman"/>
        </w:rPr>
        <w:t>metų pacientams, vartojantiems kv</w:t>
      </w:r>
      <w:r w:rsidR="00C779DC" w:rsidRPr="00C779DC">
        <w:rPr>
          <w:rFonts w:ascii="Times New Roman" w:hAnsi="Times New Roman"/>
        </w:rPr>
        <w:t>etiapin</w:t>
      </w:r>
      <w:r w:rsidR="00CF2EEF">
        <w:rPr>
          <w:rFonts w:ascii="Times New Roman" w:hAnsi="Times New Roman"/>
        </w:rPr>
        <w:t>ą kartu su antidepre</w:t>
      </w:r>
      <w:r w:rsidR="00C779DC" w:rsidRPr="00C779DC">
        <w:rPr>
          <w:rFonts w:ascii="Times New Roman" w:hAnsi="Times New Roman"/>
        </w:rPr>
        <w:t>sant</w:t>
      </w:r>
      <w:r w:rsidR="00CF2EEF">
        <w:rPr>
          <w:rFonts w:ascii="Times New Roman" w:hAnsi="Times New Roman"/>
        </w:rPr>
        <w:t>ai</w:t>
      </w:r>
      <w:r w:rsidR="00C779DC" w:rsidRPr="00C779DC">
        <w:rPr>
          <w:rFonts w:ascii="Times New Roman" w:hAnsi="Times New Roman"/>
        </w:rPr>
        <w:t>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bCs/>
          <w:iCs/>
          <w:u w:val="single"/>
        </w:rPr>
        <w:t>Metabolizmo sutrikimų rizika</w:t>
      </w:r>
    </w:p>
    <w:p w:rsidR="00435051" w:rsidRPr="00C779DC" w:rsidRDefault="00435051" w:rsidP="00435051">
      <w:pPr>
        <w:spacing w:after="0" w:line="240" w:lineRule="auto"/>
        <w:rPr>
          <w:rFonts w:ascii="Times New Roman" w:hAnsi="Times New Roman"/>
        </w:rPr>
      </w:pPr>
      <w:r w:rsidRPr="00C779DC">
        <w:rPr>
          <w:rFonts w:ascii="Times New Roman" w:hAnsi="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Ekstrapiramidiniai simptomai</w:t>
      </w:r>
    </w:p>
    <w:p w:rsidR="00435051" w:rsidRPr="00C779DC" w:rsidRDefault="00435051" w:rsidP="00435051">
      <w:pPr>
        <w:spacing w:after="0" w:line="240" w:lineRule="auto"/>
        <w:rPr>
          <w:rFonts w:ascii="Times New Roman" w:hAnsi="Times New Roman"/>
        </w:rPr>
      </w:pPr>
      <w:r w:rsidRPr="00C779DC">
        <w:rPr>
          <w:rFonts w:ascii="Times New Roman" w:hAnsi="Times New Roman"/>
        </w:rPr>
        <w:t>Placebu kontroliuojamų klinikinių tyrimų metu suaugusiems pacientams, vartojusiems kvetiapino nuo bipolinio sutrikimo didžiosios depresijos epizodų, ekstrapiramidinių simptomų pasireiškė dažniau negu vartojusiems placebo (žr. 4.8 ir 5.1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Vartojant kvetiapino gali pasireikšti akatizija, kuriai būdingas nemalonus ar varginantis nenustygimas ir poreikis judėti, dažnai susijęs su negalėjimu ramiai sėdėti ar stovėti. Šių sutrikimų tikimybė būna didžiausia pirmąsias kelias gydymo savaites. Pasireiškus tokių simptomų, dozės didinimas gali būti kenksmingas.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Vėlyvoji diskinezija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Pasireiškus vėlyvosios diskinezijos požymių arba simptomų, svarstytinas kvetiapino dozės mažinimo ar vartojimo nutraukimo tikslingumas. Šio vaistinio preparato nutraukus, vėlyvosios diskinezijos simptomai gali pasunkėti ar net pasireikšti (žr. 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 xml:space="preserve">Mieguistumas ir </w:t>
      </w:r>
      <w:r w:rsidRPr="00C779DC">
        <w:rPr>
          <w:rFonts w:ascii="Times New Roman" w:hAnsi="Times New Roman"/>
          <w:bCs/>
          <w:iCs/>
          <w:u w:val="single"/>
        </w:rPr>
        <w:t>svaigulys</w:t>
      </w: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Vartojant kvetiapino gali pasireikšti mieguistumas ir susijusių simptomų, pvz., sedacija (žr. 4.8 skyrių). Bipoline depresija sergančių pacientų klinikinių tyrimų metu tokių simptomų paprastai pasireikšdavo per pirmąsias 3 dienas, dažniausiai jie būdavo lengvo ar vidutinio intensyvumo. Pasireiškus dideliam mieguistumui, pacientui gali reikėti dažnesnio kontakto su gydytoju bent 2 savaites nuo mieguistumo atsiradimo (kol jis palengvės), gali tekti net svarstyti tikslingumą nutraukti šio vaistinio preparato vartojimą.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bCs/>
          <w:iCs/>
          <w:u w:val="single"/>
        </w:rPr>
        <w:t>Ortostatinė hipotenzija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Vartojant kvetiapino gali pasireikšti ortostatinė hipotenzija ir su ja susijęs svaigulys (žr. 4.8 skyrių) (dažniausiai pradiniu dozės didinimo laikotarpiu, kaip ir mieguistumas). Dėl šių sutrikimų gali padidėti netyčinio susižalojimo (pvz., pargriuvus) rizika, ypač senyviems žmonėms. Dėl to pacientams reikia patarti būti atsargiems, kol pripras prie galimo šio vaistinio preparato poveikio.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skiriama atsargiai, jeigu diagnozuota širdies ir kraujagyslių sistemos liga, smegenų kraujagyslių liga arba hipotenzijos pavojus padidėjęs dėl kitos priežasties. Pasireiškus ortostatinei hipotenzijai, svarstytinas tikslingumas sumažinti dozę arba ją didinti lėčiau, ypač jeigu pacientas serga širdies ir kraujagyslių liga.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Miego apnėjos sindromas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Traukuliai</w:t>
      </w:r>
    </w:p>
    <w:p w:rsidR="00435051" w:rsidRPr="00C779DC" w:rsidRDefault="00435051" w:rsidP="00435051">
      <w:pPr>
        <w:spacing w:after="0" w:line="240" w:lineRule="auto"/>
        <w:rPr>
          <w:rFonts w:ascii="Times New Roman" w:hAnsi="Times New Roman"/>
        </w:rPr>
      </w:pPr>
      <w:r w:rsidRPr="00C779DC">
        <w:rPr>
          <w:rFonts w:ascii="Times New Roman" w:hAnsi="Times New Roman"/>
        </w:rPr>
        <w:t>Kontroliuojamų klinikinių tyrimų metu traukulių pasireiškimo dažnis kvetiapino ir placebo vartojusiems pacientams nesiskyrė, tačiau nėra jo duomenų tiems pacientams, kuriems traukuliais pasireiškiantis sutrikimas jau buvo anksčiau. Pacientams, patyrusiems traukulių, šio vaistinio preparato (kaip ir kitų vaistų nuo psichozės) skiriama atsargiai (žr.4.8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Piktybinis neurolepsinis sindromas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Buvo atvejų, kai vartojant vaistinių preparatų nuo psichozės, įskaitant kvetiapiną, (žr. 4.8 skyrių) ištiko neurolepsinis piktybinis sindromas. Jis kliniškai pasireiškia hipertermija, pakitusia psichika, raumenų stinguliu, autonominės nervų sistemos nestabilumu ir padidėjusia kreatino kinazės koncentracija. Ištikus piktybiniam neurolepsiniam sindromui, reikia nutraukti kvetiapino vartojimą ir atitinkamai gydyti.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iCs/>
          <w:u w:val="single"/>
        </w:rPr>
        <w:t>Ryški</w:t>
      </w:r>
      <w:r w:rsidRPr="00C779DC">
        <w:rPr>
          <w:rFonts w:ascii="Times New Roman" w:hAnsi="Times New Roman"/>
          <w:u w:val="single"/>
        </w:rPr>
        <w:t xml:space="preserve"> neutropenija ir agranulocitozė</w:t>
      </w: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klinikinių tyrimų metu gauta pranešimų apie ryškią neutropeniją (neutrofilų &lt; 0,5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Dauguma atvejų ji pasireiškė per kelis kvetiapino vartojimo mėnesius. Aiškaus jos ryšio su doze nenustatyta. Vaistinį preparatą pateikus į rinką, gauta pranešimų apie mirties atvejus. Galimi neutropenijos rizikos veiksniai yra sumažėjęs leukocitų skaičius iki gydymo ir vaistinių preparatų sukelta neutropenija anamnezėje, tačiau keli neutropenijos atvejai užfiksuoti ir jų nebuvus. Jeigu neutrofilų skaičius &lt; 1,0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reikia nutraukti kvetiapino vartojimą, stebėti pacientą dėl infekcijos požymių ir simptomų bei tirti neutrofilų skaičių, kol jis pasidarys &gt; 1,5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(žr. 5.1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Į neutropenijos galimybę reikia atsižvelgti, jeigu pasireiškia infekcija ir karščiavimas, ypač nesant aiškios šių sutrikimų priežasties. Juos reikia gydyti pagal klinikinį poreikį.</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Pacientus reikia perspėti, kad nedelsdami praneštų, jeigu vartojant Seroquel pasireikštų agranulocitozei ar infekcijai būdingų požymių arba simptomų (pvz., karščiavimas, silpnumas, letargija arba faringitas). Tokiems pacientams reikia nedelsiant ištirti leukocitų ir absoliutų neutrofilų skaičių, ypač jei aiškios infekcijos priežasties nėra.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Anticholinerginis (antimuskarininis) poveikis</w:t>
      </w: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aktyvus metabolitas norkvetiapinas turi vidutinį ar stiprų afinitetą kelių porūšių muskarino receptoriams. Tai įtakoja NRV,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u w:val="single"/>
        </w:rPr>
        <w:t>Sąveika</w:t>
      </w:r>
    </w:p>
    <w:p w:rsidR="00435051" w:rsidRPr="00C779DC" w:rsidRDefault="00435051" w:rsidP="00435051">
      <w:pPr>
        <w:spacing w:after="0" w:line="240" w:lineRule="auto"/>
        <w:rPr>
          <w:rFonts w:ascii="Times New Roman" w:hAnsi="Times New Roman"/>
        </w:rPr>
      </w:pPr>
      <w:r w:rsidRPr="00C779DC">
        <w:rPr>
          <w:rFonts w:ascii="Times New Roman" w:hAnsi="Times New Roman"/>
        </w:rPr>
        <w:t>Taip pat žr. 4.5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vartojant vaistinių preparatų, kurie stipriai indukuoja kepenų fermentus (pvz., karbamazepino arba fenitoino), gerokai sumažėja kvetiapino koncentracija plazmoje ir gali sumažėti jo veiksmingumas. Kepenų fermentų induktorių vartojantiems pacientams kvetiapino skiriama tik kai, gydytojo nuomone, šio vaistinio preparato palankus poveikis viršija kepenų fermentų induktoriaus vartojimo nutraukimo keliamus pavojus. Svarbu kepenų induktoriaus dozę keisti palaipsniui, o prireikus jį pakeisti kepenų fermentų neindukuojančiu vaistiniu preparatu (pvz., natrio valproatu).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Svoris</w:t>
      </w:r>
    </w:p>
    <w:p w:rsidR="00435051" w:rsidRPr="00C779DC" w:rsidRDefault="00435051" w:rsidP="00435051">
      <w:pPr>
        <w:spacing w:after="0" w:line="240" w:lineRule="auto"/>
        <w:rPr>
          <w:rFonts w:ascii="Times New Roman" w:hAnsi="Times New Roman"/>
        </w:rPr>
      </w:pPr>
      <w:r w:rsidRPr="00C779DC">
        <w:rPr>
          <w:rFonts w:ascii="Times New Roman" w:hAnsi="Times New Roman"/>
        </w:rPr>
        <w:t>Gauta pranešimų apie kvetiapiną vartojančių pacientų svorio prieaugį. Reikia sverti pacientą ir kontroliuoti jo svorį pagal klinikinį poreikį, atsižvelgiant į vaistinių preparatų nuo psichozės vartojimo rekomendacijas (žr. 4.8 ir 5.1 skyrius).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Hiperglikemija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Aprašyta retų atvejų, kai atsirado hiperglikemija ir (arba) pasireiškė ar pasunkėjo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Jeigu pacientas serga cukriniu diabetu arba yra šios ligos rizikos veiksnių, tai reikia reguliariai tikrinti, ar nepablogėjo gliukozės koncentracijos kraujyje reguliavimas. Be to, pacientą reikia reguliariai sverti.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Lipidai</w:t>
      </w: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klinikinių tyrimų metu pastebėta trigliceridų, MTL ir bendro cholesterolio koncentracijos padidėjimo bei DTL cholesterolio koncentracijos sumažėjimo atvejų (žr. 4.8 skyrių). Lipidų koncentracijų pokyčius reikia koreguoti pagal klinikinį poreikį.</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bCs/>
          <w:iCs/>
          <w:u w:val="single"/>
        </w:rPr>
        <w:t xml:space="preserve">Pailgėjęs </w:t>
      </w:r>
      <w:r w:rsidRPr="00C779DC">
        <w:rPr>
          <w:rFonts w:ascii="Times New Roman" w:hAnsi="Times New Roman"/>
          <w:u w:val="single"/>
        </w:rPr>
        <w:t xml:space="preserve">QT </w:t>
      </w:r>
      <w:r w:rsidRPr="00C779DC">
        <w:rPr>
          <w:rFonts w:ascii="Times New Roman" w:hAnsi="Times New Roman"/>
          <w:bCs/>
          <w:iCs/>
          <w:u w:val="single"/>
        </w:rPr>
        <w:t>intervalas</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Klinikinių tyrimų metu ir vartojant kvetiapino pagal PCS, nuolatinio absoliutaus QT intervalo pailgėjimo nenustatyta. Vis dėlto kvetiapiną pateikus į rinką gauta pranešimų </w:t>
      </w:r>
      <w:r w:rsidRPr="00C779DC">
        <w:rPr>
          <w:rFonts w:ascii="Times New Roman" w:hAnsi="Times New Roman"/>
        </w:rPr>
        <w:lastRenderedPageBreak/>
        <w:t>apie pailgėjusį QT intervalą jo vartojant terapinėmis dozėmis (žr. 4.8 skyrių) ir perdozavus (žr. 4.9 skyrių). Kvetiapino (kaip ir kitų vaistinių preparatų nuo psichozės) atsargiai skiriama pacientams, kurie serga širdies ir kraujagyslių ligomis, arba kurių šeimos nariams nustatytas pailgėjęs QT. Jo taip pat atsargiai skiriama kartu su QT intervalą ilginančiais vaistiniais preparatais ar kitais neuroleptikais, ypač senyviems pacientams, esant įgimtam ilgo QT sindromui, staziniam širdies nepakankamumui, širdies hipertrofijai, hipokalemijai arba hipomagnezemijai (žr. 4.5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Cs/>
          <w:u w:val="single"/>
        </w:rPr>
      </w:pPr>
      <w:r w:rsidRPr="00C779DC">
        <w:rPr>
          <w:rFonts w:ascii="Times New Roman" w:hAnsi="Times New Roman"/>
          <w:bCs/>
          <w:iCs/>
          <w:u w:val="single"/>
        </w:rPr>
        <w:t>Kardiomiopatija ir miokarditas</w:t>
      </w:r>
    </w:p>
    <w:p w:rsidR="00435051" w:rsidRPr="00C779DC" w:rsidRDefault="00435051" w:rsidP="00435051">
      <w:pPr>
        <w:spacing w:after="0" w:line="240" w:lineRule="auto"/>
        <w:rPr>
          <w:rFonts w:ascii="Times New Roman" w:hAnsi="Times New Roman"/>
        </w:rPr>
      </w:pPr>
      <w:r w:rsidRPr="00C779DC">
        <w:rPr>
          <w:rFonts w:ascii="Times New Roman" w:hAnsi="Times New Roman"/>
        </w:rPr>
        <w:t>Klinikinių tyrimų metu ir kvetiapiną pateikus į rinką gauta pranešimų apie kardiomiopatiją ir miokarditą, tačiau priežastinio ryšio nenustatyta. Įtarus kardiomiopatiją arba miokarditą, kvetiapino vartojimo tikslingumą reikia įvertinti pakartotinai.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Nutraukimas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Aprašyta atvejų, kai staiga nutraukus kvetiapino vartojimą pasireiškė ūminių nutraukimo simptomų (pvz., nemiga, pykinimas, galvos skausmas, viduriavimas, vėmimas, svaigulys ir irzlumas). Dėl to šio vaistinio preparato vartojimą rekomenduojama baigti palaipsniui, per bent 1</w:t>
      </w:r>
      <w:r w:rsidRPr="00C779DC">
        <w:rPr>
          <w:rFonts w:ascii="Times New Roman" w:hAnsi="Times New Roman"/>
        </w:rPr>
        <w:noBreakHyphen/>
        <w:t>2 savaites (žr. 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Senyviems pacientams, sergantiems su demencija susijusia psichoze</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Su demencija susijusiai psichozei gydyti kvetiapinas neregistruotas.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pacientų populiacijoms padidėjimo galimybė nepaneigta. Jei yra insulto rizikos veiksnių, kvetiapino skiriama atsargiai.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Netipinių vaistinių preparatų nuo psichozės klinikinių tyrimų metaanalizė parodė didesnę mirties riziką jų vartojantiems senyviems pacientams, sergantiems su demencija susijusia psichoze (palyginus su vartojančiais placebo). Dviejų 10 savaičių trukmės placebu kontroliuojamų kvetiapino tyrimų, atliktų su ta pačia pacientų populiacija (n = 710, amžiaus vidurkis – 83 metai, diapazonas – 56</w:t>
      </w:r>
      <w:r w:rsidRPr="00C779DC">
        <w:rPr>
          <w:rFonts w:ascii="Times New Roman" w:hAnsi="Times New Roman"/>
        </w:rPr>
        <w:noBreakHyphen/>
        <w:t>99 metai), metu mirė 5,5 % kvetiapino ir 3,2 % placebo vartojusių pacientų. Mirties priežastys šių tyrimų metu buvo įvairios ir atitiko tikėtinas šiai pacientų populiacijai.</w:t>
      </w:r>
    </w:p>
    <w:p w:rsidR="00435051" w:rsidRDefault="00435051" w:rsidP="00435051">
      <w:pPr>
        <w:spacing w:after="0" w:line="240" w:lineRule="auto"/>
        <w:rPr>
          <w:rFonts w:ascii="Times New Roman" w:hAnsi="Times New Roman"/>
        </w:rPr>
      </w:pPr>
    </w:p>
    <w:p w:rsidR="00C779DC" w:rsidRPr="00FC6A86" w:rsidRDefault="00CF2EEF" w:rsidP="00C779DC">
      <w:pPr>
        <w:spacing w:after="0" w:line="240" w:lineRule="auto"/>
        <w:rPr>
          <w:rFonts w:ascii="Times New Roman" w:hAnsi="Times New Roman"/>
          <w:u w:val="single"/>
        </w:rPr>
      </w:pPr>
      <w:r w:rsidRPr="00FC6A86">
        <w:rPr>
          <w:rFonts w:ascii="Times New Roman" w:hAnsi="Times New Roman"/>
          <w:u w:val="single"/>
        </w:rPr>
        <w:t>Senyvi</w:t>
      </w:r>
      <w:r w:rsidR="001C589E">
        <w:rPr>
          <w:rFonts w:ascii="Times New Roman" w:hAnsi="Times New Roman"/>
          <w:u w:val="single"/>
        </w:rPr>
        <w:t>ems</w:t>
      </w:r>
      <w:r w:rsidRPr="00FC6A86">
        <w:rPr>
          <w:rFonts w:ascii="Times New Roman" w:hAnsi="Times New Roman"/>
          <w:u w:val="single"/>
        </w:rPr>
        <w:t xml:space="preserve"> pacienta</w:t>
      </w:r>
      <w:r w:rsidR="001C589E">
        <w:rPr>
          <w:rFonts w:ascii="Times New Roman" w:hAnsi="Times New Roman"/>
          <w:u w:val="single"/>
        </w:rPr>
        <w:t>ms</w:t>
      </w:r>
      <w:r w:rsidRPr="00FC6A86">
        <w:rPr>
          <w:rFonts w:ascii="Times New Roman" w:hAnsi="Times New Roman"/>
          <w:u w:val="single"/>
        </w:rPr>
        <w:t xml:space="preserve">, </w:t>
      </w:r>
      <w:r w:rsidR="001C589E">
        <w:rPr>
          <w:rFonts w:ascii="Times New Roman" w:hAnsi="Times New Roman"/>
          <w:u w:val="single"/>
        </w:rPr>
        <w:t xml:space="preserve">sergantiems </w:t>
      </w:r>
      <w:r w:rsidR="00C779DC" w:rsidRPr="00FC6A86">
        <w:rPr>
          <w:rFonts w:ascii="Times New Roman" w:hAnsi="Times New Roman"/>
          <w:u w:val="single"/>
        </w:rPr>
        <w:t>Parkinson</w:t>
      </w:r>
      <w:r w:rsidRPr="00FC6A86">
        <w:rPr>
          <w:rFonts w:ascii="Times New Roman" w:hAnsi="Times New Roman"/>
          <w:u w:val="single"/>
        </w:rPr>
        <w:t xml:space="preserve">o liga ar </w:t>
      </w:r>
      <w:r w:rsidR="00C779DC" w:rsidRPr="00FC6A86">
        <w:rPr>
          <w:rFonts w:ascii="Times New Roman" w:hAnsi="Times New Roman"/>
          <w:u w:val="single"/>
        </w:rPr>
        <w:t>parkinsoni</w:t>
      </w:r>
      <w:r w:rsidRPr="00FC6A86">
        <w:rPr>
          <w:rFonts w:ascii="Times New Roman" w:hAnsi="Times New Roman"/>
          <w:u w:val="single"/>
        </w:rPr>
        <w:t>zmu</w:t>
      </w:r>
    </w:p>
    <w:p w:rsidR="00C779DC" w:rsidRDefault="00CF2EEF" w:rsidP="00C779DC">
      <w:pPr>
        <w:spacing w:after="0" w:line="240" w:lineRule="auto"/>
        <w:rPr>
          <w:rFonts w:ascii="Times New Roman" w:hAnsi="Times New Roman"/>
        </w:rPr>
      </w:pPr>
      <w:r w:rsidRPr="00C779DC">
        <w:rPr>
          <w:rFonts w:ascii="Times New Roman" w:hAnsi="Times New Roman"/>
        </w:rPr>
        <w:t>Popul</w:t>
      </w:r>
      <w:r>
        <w:rPr>
          <w:rFonts w:ascii="Times New Roman" w:hAnsi="Times New Roman"/>
        </w:rPr>
        <w:t>i</w:t>
      </w:r>
      <w:r w:rsidRPr="00C779DC">
        <w:rPr>
          <w:rFonts w:ascii="Times New Roman" w:hAnsi="Times New Roman"/>
        </w:rPr>
        <w:t>a</w:t>
      </w:r>
      <w:r>
        <w:rPr>
          <w:rFonts w:ascii="Times New Roman" w:hAnsi="Times New Roman"/>
        </w:rPr>
        <w:t>cijos pagrindu atliktas kv</w:t>
      </w:r>
      <w:r w:rsidRPr="00C779DC">
        <w:rPr>
          <w:rFonts w:ascii="Times New Roman" w:hAnsi="Times New Roman"/>
        </w:rPr>
        <w:t>etiapin</w:t>
      </w:r>
      <w:r>
        <w:rPr>
          <w:rFonts w:ascii="Times New Roman" w:hAnsi="Times New Roman"/>
        </w:rPr>
        <w:t xml:space="preserve">o vartojimo didžiajam </w:t>
      </w:r>
      <w:r w:rsidRPr="00C779DC">
        <w:rPr>
          <w:rFonts w:ascii="Times New Roman" w:hAnsi="Times New Roman"/>
        </w:rPr>
        <w:t>depres</w:t>
      </w:r>
      <w:r>
        <w:rPr>
          <w:rFonts w:ascii="Times New Roman" w:hAnsi="Times New Roman"/>
        </w:rPr>
        <w:t xml:space="preserve">iniam sutrikimui gydyti </w:t>
      </w:r>
      <w:r w:rsidR="001C589E">
        <w:rPr>
          <w:rFonts w:ascii="Times New Roman" w:hAnsi="Times New Roman"/>
        </w:rPr>
        <w:t xml:space="preserve">retrospektyvinis </w:t>
      </w:r>
      <w:r>
        <w:rPr>
          <w:rFonts w:ascii="Times New Roman" w:hAnsi="Times New Roman"/>
        </w:rPr>
        <w:t xml:space="preserve">tyrimas parodė mirties rizikos padidėjimą vyresniems kaip </w:t>
      </w:r>
      <w:r w:rsidRPr="00C779DC">
        <w:rPr>
          <w:rFonts w:ascii="Times New Roman" w:hAnsi="Times New Roman"/>
        </w:rPr>
        <w:t>6</w:t>
      </w:r>
      <w:r>
        <w:rPr>
          <w:rFonts w:ascii="Times New Roman" w:hAnsi="Times New Roman"/>
        </w:rPr>
        <w:t>5</w:t>
      </w:r>
      <w:r w:rsidRPr="00C779DC">
        <w:rPr>
          <w:rFonts w:ascii="Times New Roman" w:hAnsi="Times New Roman"/>
        </w:rPr>
        <w:t xml:space="preserve"> </w:t>
      </w:r>
      <w:r>
        <w:rPr>
          <w:rFonts w:ascii="Times New Roman" w:hAnsi="Times New Roman"/>
        </w:rPr>
        <w:t>metų pacientams, vartojantiems kv</w:t>
      </w:r>
      <w:r w:rsidRPr="00C779DC">
        <w:rPr>
          <w:rFonts w:ascii="Times New Roman" w:hAnsi="Times New Roman"/>
        </w:rPr>
        <w:t>etiapin</w:t>
      </w:r>
      <w:r>
        <w:rPr>
          <w:rFonts w:ascii="Times New Roman" w:hAnsi="Times New Roman"/>
        </w:rPr>
        <w:t>ą</w:t>
      </w:r>
      <w:r w:rsidRPr="00C779DC">
        <w:rPr>
          <w:rFonts w:ascii="Times New Roman" w:hAnsi="Times New Roman"/>
        </w:rPr>
        <w:t>.</w:t>
      </w:r>
      <w:r w:rsidR="00C779DC" w:rsidRPr="00C779DC">
        <w:rPr>
          <w:rFonts w:ascii="Times New Roman" w:hAnsi="Times New Roman"/>
        </w:rPr>
        <w:t xml:space="preserve"> </w:t>
      </w:r>
      <w:r>
        <w:rPr>
          <w:rFonts w:ascii="Times New Roman" w:hAnsi="Times New Roman"/>
        </w:rPr>
        <w:t xml:space="preserve">Pašalinus iš analizės </w:t>
      </w:r>
      <w:r w:rsidRPr="00C779DC">
        <w:rPr>
          <w:rFonts w:ascii="Times New Roman" w:hAnsi="Times New Roman"/>
        </w:rPr>
        <w:t>Parkinson</w:t>
      </w:r>
      <w:r>
        <w:rPr>
          <w:rFonts w:ascii="Times New Roman" w:hAnsi="Times New Roman"/>
        </w:rPr>
        <w:t>o liga sirgusius pacientus, tokio ryšio nebuvo</w:t>
      </w:r>
      <w:r w:rsidR="00C779DC" w:rsidRPr="00C779DC">
        <w:rPr>
          <w:rFonts w:ascii="Times New Roman" w:hAnsi="Times New Roman"/>
        </w:rPr>
        <w:t xml:space="preserve">. </w:t>
      </w:r>
      <w:r w:rsidRPr="00C779DC">
        <w:rPr>
          <w:rFonts w:ascii="Times New Roman" w:hAnsi="Times New Roman"/>
        </w:rPr>
        <w:t>Parkinson</w:t>
      </w:r>
      <w:r>
        <w:rPr>
          <w:rFonts w:ascii="Times New Roman" w:hAnsi="Times New Roman"/>
        </w:rPr>
        <w:t>o liga sergantiems senyviems pacientams kv</w:t>
      </w:r>
      <w:r w:rsidR="00C779DC" w:rsidRPr="00C779DC">
        <w:rPr>
          <w:rFonts w:ascii="Times New Roman" w:hAnsi="Times New Roman"/>
        </w:rPr>
        <w:t>etiapin</w:t>
      </w:r>
      <w:r>
        <w:rPr>
          <w:rFonts w:ascii="Times New Roman" w:hAnsi="Times New Roman"/>
        </w:rPr>
        <w:t>o skiriama atsargiai.</w:t>
      </w:r>
    </w:p>
    <w:p w:rsidR="00C779DC" w:rsidRPr="00C779DC" w:rsidRDefault="00C779DC" w:rsidP="00C779DC">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Disfagija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Gauta pranešimų apie disfagiją vartojant kvetiapino (žr. 4.8 skyrių). Esant aspiracinės pneumonijos rizikai, kvetiapino skiriama atsargiai.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Vidurių užkietėjimas ir žarnų obstrukcija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vaistų vartojusiems </w:t>
      </w:r>
      <w:r w:rsidRPr="00C779DC">
        <w:rPr>
          <w:rFonts w:ascii="Times New Roman" w:hAnsi="Times New Roman"/>
        </w:rPr>
        <w:lastRenderedPageBreak/>
        <w:t>ir (arba) galėjusiems nepranešti apie pasireiškusius vidurių užkietėjimo simptomus pacientams. Pasireiškus žarnų obstrukcijai arba nepraeinamumui, pacientą reikia atidžiai stebėti ir skubiai gydyti.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Venų tromboembolija (VTE)</w:t>
      </w:r>
    </w:p>
    <w:p w:rsidR="00435051" w:rsidRPr="00C779DC" w:rsidRDefault="00435051" w:rsidP="00435051">
      <w:pPr>
        <w:spacing w:after="0" w:line="240" w:lineRule="auto"/>
        <w:rPr>
          <w:rFonts w:ascii="Times New Roman" w:hAnsi="Times New Roman"/>
        </w:rPr>
      </w:pPr>
      <w:r w:rsidRPr="00C779DC">
        <w:rPr>
          <w:rFonts w:ascii="Times New Roman" w:hAnsi="Times New Roman"/>
        </w:rPr>
        <w:t>Užfiksuota venų tromboembolijos (VTE) atvejų vartojant vaistinių preparatų nuo psichozės. Šių vaistinių preparatų vartojantys pacientai dažnai turi įgytų VTE rizikos veiksnių, todėl prieš skiriant kvetiapino reikia nustatyti visus galimus rizikos veiksnius, o juo gydant – imtis profilaktikos priemonių.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Pankreatitas</w:t>
      </w:r>
    </w:p>
    <w:p w:rsidR="00435051" w:rsidRPr="00C779DC" w:rsidRDefault="00435051" w:rsidP="00435051">
      <w:pPr>
        <w:spacing w:after="0" w:line="240" w:lineRule="auto"/>
        <w:rPr>
          <w:rFonts w:ascii="Times New Roman" w:hAnsi="Times New Roman"/>
        </w:rPr>
      </w:pPr>
      <w:r w:rsidRPr="00C779DC">
        <w:rPr>
          <w:rFonts w:ascii="Times New Roman" w:hAnsi="Times New Roman"/>
        </w:rPr>
        <w:t>Klinikinių tyrimų metu ir šį vaistinį preparatą pateikus į rinką, gauta pranešimų apie pankreatitą. Pankreatito rizikos veiksnių nustatyta ne visais pateikus į rinką praneštais atvejais, tačiau daugelis pacientų jų turėjo – tai buvo padidėjusi trigliceridų koncentracija (žr. 4.4 skyrių), tulžies pūslės akmenys, alkoholinių gėrimų vartojimas.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Papildoma informacija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vartojimo kartu su divalproeksu ar ličiu esant ūminiams vidutinio sunkumo ir sunkiems manijos epizodams duomenų yra nedaug, tačiau šie deriniai buvo toleruojami gerai (žr. 4.8 ir 5.1 skyrius). Turimi duomenys rodo suminį jų poveikį po 3 savaičių.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Laktozė</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tablečių sudėtyje yra laktozės. Šio vaistinio preparato negalima vartoti pacientams, kuriems nustatytas retas paveldimas sutrikimas – galaktozės netoleravimas, Lapp laktazės stygius arba gliukozės ir galaktozės malabsorbcija.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Netinkamas vartojimas</w:t>
      </w:r>
    </w:p>
    <w:p w:rsidR="00435051" w:rsidRPr="00C779DC" w:rsidRDefault="00435051" w:rsidP="00435051">
      <w:pPr>
        <w:spacing w:after="0" w:line="240" w:lineRule="auto"/>
        <w:rPr>
          <w:rFonts w:ascii="Times New Roman" w:hAnsi="Times New Roman"/>
        </w:rPr>
      </w:pPr>
      <w:r w:rsidRPr="00C779DC">
        <w:rPr>
          <w:rFonts w:ascii="Times New Roman" w:hAnsi="Times New Roman"/>
          <w:color w:val="010202"/>
        </w:rPr>
        <w:t>Gauta pranešimų apie netinkamo vartojimo ir piktnaudžiavimo atvejus. Pacientams, piktnaudžiavusiems ar piktnaudžiaujantiems alkoholiniais gėrimais, vaistais arba narkotikais, kvetiapino skiriama atsargiai.</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4.5</w:t>
      </w:r>
      <w:r w:rsidRPr="00C779DC">
        <w:rPr>
          <w:rFonts w:ascii="Times New Roman" w:hAnsi="Times New Roman"/>
          <w:b/>
          <w:bCs/>
        </w:rPr>
        <w:tab/>
        <w:t>Sąveika su kitais vaistiniais preparatais ir kitokia sąveika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Atsižvelgiant į pagrindinį kvetiapino poveikį CNS, kartu su kitais centrinio veikimo vaistiniais preparatais ir alkoholiniais gėrimais jo reikia vartoti atsargiai.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su kitais anticholinerginiais (antimuskarininiais) vaistiniais preparatais kvetiapino skiriama atsargiai (žr. 4.4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Pagrindinis nuo citochromo P450 priklausomo kvetiapino metabolizmo fermentas yra citochromas P450 (CYP) 3A4. Sąveikos tyrimo metu sveikiems savanoriams kvetiapino, kurio dozė buvo 25 mg, AUC padidėjo 5-8 kartus kartu vartojant CYP3A4 inhibitoriaus ketokonazolo. Dėl to kartu su CYP3A4 inhibitoriais kvetiapino vartoti negalima. Be to, vartojant kvetiapino nerekomenduojama gerti greipfrutų sulčių.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Daugelio dozių tyrimo metu ištyrus atskirai, o paskui kartu su kepenų fermentų induktoriumi karbamazepinu vartoto kvetiapino farmakokinetiką pacientų organizme, nustatytas reikšmingai padidėjęs kvetiapino klirensas ir vidutiniškai 13 % sumažėjusi jo sisteminė ekspozicija (AUC), tačiau kai kuriems pacientams šis pokytis buvo didesnis. Dėl tokios sąveikos gali sumažėti kvetiapino koncentracija plazmoje ir jo veiksmingumas. Kartu vartojant kito mikrosominių fermentų induktoriaus – fenitoino, kvetiapino </w:t>
      </w:r>
      <w:r w:rsidRPr="00C779DC">
        <w:rPr>
          <w:rFonts w:ascii="Times New Roman" w:hAnsi="Times New Roman"/>
        </w:rPr>
        <w:lastRenderedPageBreak/>
        <w:t>kliren</w:t>
      </w:r>
      <w:r w:rsidRPr="00C779DC">
        <w:rPr>
          <w:rFonts w:ascii="Times New Roman" w:hAnsi="Times New Roman"/>
        </w:rPr>
        <w:softHyphen/>
        <w:t>sas padidėjo maždaug 450 %. Kepenų fermentų induktorių vartojantiems pacientams kvetiapino skiriama tik tuomet,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vartoti antidepresantai imipraminas (CYP2D6 inhibitorius) ir fluoksetinas (CYP3A4 ir CYP2D6 inhibitorius) reikšmingos įtakos kvetiapino farmakokinetikai neturėjo.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vartoti vaistiniai preparatai nuo psichozės risperidonas ir haloperidolis reikšmingos įtakos kvetiapino farmakokinetikai neturėjo. Kartu vartojant tioridazino, kvetiapino klirensas padidėjo maždaug 70 %.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vartotas cimetidinas įtakos kvetiapino farmakokinetikai neturėjo.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vartotas kvetiapinas įtakos ličio farmakokinetikai neturėjo.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6 savaičių trukmės atsitiktinės atrankos tyrimo metu palyginus ličio ir Seroquel XR derinio poveikį ūmine manija sergantiems suaugusiems pacientams su placebo ir Seroquel XR derinio poveikiu, papildomo gydymo ličiu grupės pacientams dažniau negu papildomo gydymo placebu grupės užfiksuota ekstrapiramidinių sutrikimų (ypač tremoras), mieguistumas ir svorio prieaugis (žr. 5.1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vartojami natrio valproatas ir kvetiapinas klinikai reikšmingos įtakos vienas kito farmakokinetikai neturėjo. Retrospektyvinis vaikų ir paauglių, vartojusių valproato, kvetiapino arba jų abiejų kartu, tyrimas parodė dažnesnę leukopeniją ir neutropeniją abu šiuos vaistinius preparatus kartu vartojusiems pacientams negu vartojusiems kurio nors vieno atskirai.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Formalių sąveikos su dažnai vartojamas širdies ir kraujagyslių sistemą veikiančiais vaistiniais preparatais tyrimų neatlikta.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Kartu su vaistiniais preparatais, kurie trikdo elektrolitų pusiausvyrą arba ilgina QT intervalą, kvetiapino skiriama atsargiai.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Gauta pranešimų apie klaidingai teigiamus metadono ir triciklių antidepresantų imunofermentinių tyrimų duomenis kvetiapino vartojantiems pacientams. Abejotinus imunofermentinių tyrimų duomenis rekomenduojama patvirtinti tinkamais chromatografiniais metodais.</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4.6</w:t>
      </w:r>
      <w:r w:rsidRPr="00C779DC">
        <w:rPr>
          <w:rFonts w:ascii="Times New Roman" w:hAnsi="Times New Roman"/>
          <w:b/>
          <w:bCs/>
        </w:rPr>
        <w:tab/>
        <w:t>Vaisingumas, nėštumo ir žindymo laikotarpis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Nėštumas</w:t>
      </w:r>
    </w:p>
    <w:p w:rsidR="00435051" w:rsidRPr="00C779DC" w:rsidRDefault="00435051" w:rsidP="00435051">
      <w:pPr>
        <w:spacing w:after="0" w:line="240" w:lineRule="auto"/>
        <w:rPr>
          <w:rFonts w:ascii="Times New Roman" w:hAnsi="Times New Roman"/>
          <w:i/>
          <w:iCs/>
        </w:rPr>
      </w:pPr>
      <w:r w:rsidRPr="00C779DC">
        <w:rPr>
          <w:rFonts w:ascii="Times New Roman" w:hAnsi="Times New Roman"/>
          <w:i/>
          <w:iCs/>
        </w:rPr>
        <w:t>Pirmasis trimestras</w:t>
      </w:r>
    </w:p>
    <w:p w:rsidR="00435051" w:rsidRPr="00C779DC" w:rsidRDefault="00435051" w:rsidP="00435051">
      <w:pPr>
        <w:spacing w:after="0" w:line="240" w:lineRule="auto"/>
        <w:rPr>
          <w:rFonts w:ascii="Times New Roman" w:hAnsi="Times New Roman"/>
        </w:rPr>
      </w:pPr>
      <w:r w:rsidRPr="00C779DC">
        <w:rPr>
          <w:rFonts w:ascii="Times New Roman" w:hAnsi="Times New Roman"/>
        </w:rPr>
        <w:t>Nedidelis kiekis publikuotų duomenų (</w:t>
      </w:r>
      <w:r w:rsidRPr="00C779DC">
        <w:rPr>
          <w:rFonts w:ascii="Times New Roman" w:hAnsi="Times New Roman"/>
          <w:u w:val="single"/>
        </w:rPr>
        <w:t>apie 300 – 1000 nėštumų baigtis</w:t>
      </w:r>
      <w:r w:rsidRPr="00C779DC">
        <w:rPr>
          <w:rFonts w:ascii="Times New Roman" w:hAnsi="Times New Roman"/>
        </w:rPr>
        <w:t xml:space="preserve">),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w:t>
      </w:r>
      <w:r w:rsidRPr="00C779DC">
        <w:rPr>
          <w:rFonts w:ascii="Times New Roman" w:hAnsi="Times New Roman"/>
          <w:bCs/>
        </w:rPr>
        <w:t xml:space="preserve">palankus poveikis viršija </w:t>
      </w:r>
      <w:r w:rsidRPr="00C779DC">
        <w:rPr>
          <w:rFonts w:ascii="Times New Roman" w:hAnsi="Times New Roman"/>
        </w:rPr>
        <w:t>galimus pavojus.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iCs/>
        </w:rPr>
      </w:pPr>
      <w:r w:rsidRPr="00C779DC">
        <w:rPr>
          <w:rFonts w:ascii="Times New Roman" w:hAnsi="Times New Roman"/>
          <w:i/>
          <w:iCs/>
        </w:rPr>
        <w:lastRenderedPageBreak/>
        <w:t>Trečiasis trimestras</w:t>
      </w:r>
    </w:p>
    <w:p w:rsidR="00435051" w:rsidRPr="00C779DC" w:rsidRDefault="00435051" w:rsidP="00435051">
      <w:pPr>
        <w:spacing w:after="0" w:line="240" w:lineRule="auto"/>
        <w:rPr>
          <w:rFonts w:ascii="Times New Roman" w:hAnsi="Times New Roman"/>
        </w:rPr>
      </w:pPr>
      <w:r w:rsidRPr="00C779DC">
        <w:rPr>
          <w:rFonts w:ascii="Times New Roman" w:hAnsi="Times New Roman"/>
          <w:shd w:val="clear" w:color="auto" w:fill="FFFFFF"/>
        </w:rPr>
        <w:t>Vaistinių preparatų nuo psichozės, įskaitant kvetiapiną, trečią nėštumo trimestrą paveiktiems naujagimiams kyla nepageidaujamų reakcijų (ekstrapiraminių ir nutraukimo simptomų, kurie gali būti įvairaus intensyvumo ir po gimdymo trukti įvairų laiką) pavojus. Gauta pranešimų apie ažitaciją, padidėjusį raumenų tonusą, sumažėjusį raumenų tonusą, tremorą, mieguistumą, kvėpavimo distresą ir maitinimo sutrikimą, todėl naujagimius reikia atidžiai stebėti.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u w:val="single"/>
        </w:rPr>
        <w:t>Žindymas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Remiantis labai nedideliu publikuotų pranešimų apie kvetiapino išskyrimą į moters pieną duomenų kiekiu, informacija apie terapinėmis dozėmis vartojamo kvetiapino išskyrimą yra prieštaringa. Nesant tvirtų duomenų būtina nuspręsti, ar nutraukti žindymą, ar Seroquel vartojimą atsižvelgiant į žindymo naudą kūdikiui ir gydymo naudą motinai.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u w:val="single"/>
        </w:rPr>
        <w:t>Vaisingumas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poveikis žmogaus vaisingumui netirtas. Žiurkėms nustatytas su padidėjusia prolaktino koncentracija susijęs poveikis, tačiau tiesioginės reikšmės žmonėms jis neturi (žr. 5.3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4.7</w:t>
      </w:r>
      <w:r w:rsidRPr="00C779DC">
        <w:rPr>
          <w:rFonts w:ascii="Times New Roman" w:hAnsi="Times New Roman"/>
          <w:b/>
          <w:bCs/>
        </w:rPr>
        <w:tab/>
        <w:t>Poveikis gebėjimui vairuoti ir valdyti mechanizmus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Dėl pagrindinio poveikio centrinei nervų sistemai kvetiapinas gali trikdyti veiklą, kuriai reikia sutelkto dėmesio. Dėl to pacientui reikia patarti, kad nevairuotų ir nevaldytų mechanizmų, kol paaiškės jo individualus jautrumas šio vaistinio preparato poveikiui.</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4.8</w:t>
      </w:r>
      <w:r w:rsidRPr="00C779DC">
        <w:rPr>
          <w:rFonts w:ascii="Times New Roman" w:hAnsi="Times New Roman"/>
          <w:b/>
          <w:bCs/>
        </w:rPr>
        <w:tab/>
        <w:t>Nepageidaujamas poveikis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Dažniausiai praneštos nepageidaujamos reakcijos į vaistinį preparatą (NRV), pasireiškusios vartojant kvetiapino (</w:t>
      </w:r>
      <w:r w:rsidRPr="00C779DC">
        <w:rPr>
          <w:rFonts w:ascii="Times New Roman" w:hAnsi="Times New Roman"/>
        </w:rPr>
        <w:sym w:font="Symbol" w:char="F0B3"/>
      </w:r>
      <w:r w:rsidRPr="00C779DC">
        <w:rPr>
          <w:rFonts w:ascii="Times New Roman" w:hAnsi="Times New Roman"/>
        </w:rPr>
        <w:t> 10 %), yra mieguistumas, svaigulys, galvos skausmas, sausa burna, nutraukimo simptomai, padidėjusi trigliceridų koncentracija serume, padidėjusi bendrojo (ypač MTL) cholesterolio koncentracija, sumažėjusi DTL cholesterolio koncentracija, svorio prieaugis, sumažėjusi hemoglobino koncentracija ir ekstrapiramidiniai simptomai.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NRV, pasireiškusių vartojant kvetiapino, dažnis nurodomas žemiau pateikiamoje 1 lentelėje laikantis Medicinos mokslų tarptautinių organizacijų tarybos (angl. </w:t>
      </w:r>
      <w:r w:rsidRPr="00C779DC">
        <w:rPr>
          <w:rFonts w:ascii="Times New Roman" w:hAnsi="Times New Roman"/>
          <w:i/>
          <w:iCs/>
        </w:rPr>
        <w:t>Council for International Organizations of Medical Sciences</w:t>
      </w:r>
      <w:r w:rsidRPr="00C779DC">
        <w:rPr>
          <w:rFonts w:ascii="Times New Roman" w:hAnsi="Times New Roman"/>
        </w:rPr>
        <w:t>, CIOMS) rekomendacijų (CIOMS III darbo grupė, 1995).</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 xml:space="preserve">1 lentelė. </w:t>
      </w:r>
      <w:r w:rsidRPr="00C779DC">
        <w:rPr>
          <w:rFonts w:ascii="Times New Roman" w:hAnsi="Times New Roman"/>
          <w:b/>
          <w:bCs/>
        </w:rPr>
        <w:tab/>
        <w:t>Su kvetiapino vartojimu susijusios NRV</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cs="Arial Unicode MS"/>
          <w:b/>
          <w:bCs/>
          <w:lang w:bidi="lo-LA"/>
        </w:rPr>
      </w:pPr>
      <w:r w:rsidRPr="00C779DC">
        <w:rPr>
          <w:rFonts w:ascii="Times New Roman" w:hAnsi="Times New Roman" w:cs="Arial Unicode MS"/>
          <w:b/>
          <w:bCs/>
          <w:lang w:bidi="lo-LA"/>
        </w:rPr>
        <w:t>Nepageidaujamų reiškinių dažnis apibūdinamas taip: labai dažnas (≥ 1/10), dažnas (nuo ≥ 1/100 iki &lt; 1/10), nedažnas (nuo ≥ 1/1 000 iki &lt; 1/100), retas (nuo ≥ 1/10000 iki &lt; 1/1000), labai retas (&lt; 1/10000) ir nežinomas (negali būti apskaičiuotas pagal turimus duomenis).</w:t>
      </w:r>
    </w:p>
    <w:p w:rsidR="00435051" w:rsidRPr="00C779DC" w:rsidRDefault="00435051" w:rsidP="00435051">
      <w:pPr>
        <w:spacing w:after="0" w:line="240" w:lineRule="auto"/>
        <w:rPr>
          <w:rFonts w:ascii="Times New Roman" w:hAnsi="Times New Roman"/>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1701"/>
        <w:gridCol w:w="1417"/>
        <w:gridCol w:w="1276"/>
        <w:gridCol w:w="1559"/>
        <w:gridCol w:w="1418"/>
      </w:tblGrid>
      <w:tr w:rsidR="00435051" w:rsidRPr="00C779DC" w:rsidTr="00C779DC">
        <w:trPr>
          <w:cantSplit/>
          <w:tblHeader/>
        </w:trPr>
        <w:tc>
          <w:tcPr>
            <w:tcW w:w="1560"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Organų sistemų klasės</w:t>
            </w:r>
          </w:p>
        </w:tc>
        <w:tc>
          <w:tcPr>
            <w:tcW w:w="1701"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Labai dažnaas</w:t>
            </w:r>
          </w:p>
        </w:tc>
        <w:tc>
          <w:tcPr>
            <w:tcW w:w="1701"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Dažnas</w:t>
            </w:r>
          </w:p>
        </w:tc>
        <w:tc>
          <w:tcPr>
            <w:tcW w:w="1417"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Nedažnas</w:t>
            </w:r>
          </w:p>
        </w:tc>
        <w:tc>
          <w:tcPr>
            <w:tcW w:w="1276"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Retas</w:t>
            </w:r>
          </w:p>
        </w:tc>
        <w:tc>
          <w:tcPr>
            <w:tcW w:w="1559"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Labai retas</w:t>
            </w:r>
          </w:p>
        </w:tc>
        <w:tc>
          <w:tcPr>
            <w:tcW w:w="1418" w:type="dxa"/>
          </w:tcPr>
          <w:p w:rsidR="00435051" w:rsidRPr="00C779DC" w:rsidRDefault="00435051" w:rsidP="00C779DC">
            <w:pPr>
              <w:spacing w:after="0" w:line="240" w:lineRule="auto"/>
              <w:rPr>
                <w:rFonts w:ascii="Times New Roman" w:hAnsi="Times New Roman"/>
                <w:b/>
              </w:rPr>
            </w:pPr>
            <w:r w:rsidRPr="00C779DC">
              <w:rPr>
                <w:rFonts w:ascii="Times New Roman" w:hAnsi="Times New Roman"/>
                <w:b/>
              </w:rPr>
              <w:t xml:space="preserve">Dažnis </w:t>
            </w:r>
            <w:r w:rsidRPr="00C779DC">
              <w:rPr>
                <w:rFonts w:ascii="Times New Roman" w:hAnsi="Times New Roman"/>
                <w:b/>
                <w:bCs/>
              </w:rPr>
              <w:t>nežinomas</w:t>
            </w: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Kraujo ir limfinės sistemos sutrikimai</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Sumažėjusi hemoglobino koncentracija </w:t>
            </w:r>
            <w:r w:rsidRPr="00C779DC">
              <w:rPr>
                <w:rFonts w:ascii="Times New Roman" w:hAnsi="Times New Roman"/>
                <w:vertAlign w:val="superscript"/>
              </w:rPr>
              <w:t>22</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Leukopenija</w:t>
            </w:r>
            <w:r w:rsidRPr="00C779DC">
              <w:rPr>
                <w:rFonts w:ascii="Times New Roman" w:hAnsi="Times New Roman"/>
                <w:vertAlign w:val="superscript"/>
              </w:rPr>
              <w:t> 1, 28</w:t>
            </w:r>
            <w:r w:rsidRPr="00C779DC">
              <w:rPr>
                <w:rFonts w:ascii="Times New Roman" w:hAnsi="Times New Roman"/>
              </w:rPr>
              <w:t xml:space="preserve">, sumažėjęs neutrofilų kiekis, </w:t>
            </w:r>
            <w:r w:rsidRPr="00C779DC">
              <w:rPr>
                <w:rFonts w:ascii="Times New Roman" w:hAnsi="Times New Roman"/>
              </w:rPr>
              <w:lastRenderedPageBreak/>
              <w:t>padidėjęs eozinofilų kiekis </w:t>
            </w:r>
            <w:r w:rsidRPr="00C779DC">
              <w:rPr>
                <w:rFonts w:ascii="Times New Roman" w:hAnsi="Times New Roman"/>
                <w:vertAlign w:val="superscript"/>
              </w:rPr>
              <w:t>27</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lastRenderedPageBreak/>
              <w:t>Neutropenija </w:t>
            </w:r>
            <w:r w:rsidRPr="00C779DC">
              <w:rPr>
                <w:rFonts w:ascii="Times New Roman" w:hAnsi="Times New Roman"/>
                <w:vertAlign w:val="superscript"/>
              </w:rPr>
              <w:t xml:space="preserve">1 </w:t>
            </w:r>
            <w:r w:rsidRPr="00C779DC">
              <w:rPr>
                <w:rFonts w:ascii="Times New Roman" w:hAnsi="Times New Roman"/>
              </w:rPr>
              <w:t xml:space="preserve">Trombocitopenija, anemija, sumažėjęs </w:t>
            </w:r>
            <w:r w:rsidRPr="00C779DC">
              <w:rPr>
                <w:rFonts w:ascii="Times New Roman" w:hAnsi="Times New Roman"/>
              </w:rPr>
              <w:lastRenderedPageBreak/>
              <w:t>trombocitų kiekis </w:t>
            </w:r>
            <w:r w:rsidRPr="00C779DC">
              <w:rPr>
                <w:rFonts w:ascii="Times New Roman" w:hAnsi="Times New Roman"/>
                <w:vertAlign w:val="superscript"/>
              </w:rPr>
              <w:t>13</w:t>
            </w: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lastRenderedPageBreak/>
              <w:t>Agranulocitozė </w:t>
            </w:r>
            <w:r w:rsidRPr="00C779DC">
              <w:rPr>
                <w:rFonts w:ascii="Times New Roman" w:hAnsi="Times New Roman"/>
                <w:vertAlign w:val="superscript"/>
              </w:rPr>
              <w:t>26</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Imuninės sistemos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Padidėjęs jautrumas (įskaitant odos alergines reakcijas)</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Anafilaksinė reakcija </w:t>
            </w:r>
            <w:r w:rsidRPr="00C779DC">
              <w:rPr>
                <w:rFonts w:ascii="Times New Roman" w:hAnsi="Times New Roman"/>
                <w:vertAlign w:val="superscript"/>
              </w:rPr>
              <w:t>5</w:t>
            </w: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iCs/>
              </w:rPr>
              <w:t>Endokrininiai</w:t>
            </w:r>
            <w:r w:rsidRPr="00C779DC">
              <w:rPr>
                <w:rFonts w:ascii="Times New Roman" w:hAnsi="Times New Roman"/>
                <w:i/>
              </w:rPr>
              <w:t xml:space="preserve">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Hiperprolaktinemija </w:t>
            </w:r>
            <w:r w:rsidRPr="00C779DC">
              <w:rPr>
                <w:rFonts w:ascii="Times New Roman" w:hAnsi="Times New Roman"/>
                <w:vertAlign w:val="superscript"/>
              </w:rPr>
              <w:t>15</w:t>
            </w:r>
            <w:r w:rsidRPr="00C779DC">
              <w:rPr>
                <w:rFonts w:ascii="Times New Roman" w:hAnsi="Times New Roman"/>
              </w:rPr>
              <w:t>, sumažėjusi bendro T4 </w:t>
            </w:r>
            <w:r w:rsidRPr="00C779DC">
              <w:rPr>
                <w:rFonts w:ascii="Times New Roman" w:hAnsi="Times New Roman"/>
                <w:vertAlign w:val="superscript"/>
              </w:rPr>
              <w:t>24</w:t>
            </w:r>
            <w:r w:rsidRPr="00C779DC">
              <w:rPr>
                <w:rFonts w:ascii="Times New Roman" w:hAnsi="Times New Roman"/>
              </w:rPr>
              <w:t>, sumažėjusi laisvo T4</w:t>
            </w:r>
            <w:r w:rsidRPr="00C779DC">
              <w:rPr>
                <w:rFonts w:ascii="Times New Roman" w:hAnsi="Times New Roman"/>
                <w:vertAlign w:val="superscript"/>
              </w:rPr>
              <w:t> 24</w:t>
            </w:r>
            <w:r w:rsidRPr="00C779DC">
              <w:rPr>
                <w:rFonts w:ascii="Times New Roman" w:hAnsi="Times New Roman"/>
              </w:rPr>
              <w:t>, sumažėjusi bendro T3 </w:t>
            </w:r>
            <w:r w:rsidRPr="00C779DC">
              <w:rPr>
                <w:rFonts w:ascii="Times New Roman" w:hAnsi="Times New Roman"/>
                <w:vertAlign w:val="superscript"/>
              </w:rPr>
              <w:t>24</w:t>
            </w:r>
            <w:r w:rsidRPr="00C779DC">
              <w:rPr>
                <w:rFonts w:ascii="Times New Roman" w:hAnsi="Times New Roman"/>
              </w:rPr>
              <w:t>, padidėjusi TSH</w:t>
            </w:r>
            <w:r w:rsidRPr="00C779DC">
              <w:rPr>
                <w:rFonts w:ascii="Times New Roman" w:hAnsi="Times New Roman"/>
                <w:vertAlign w:val="superscript"/>
              </w:rPr>
              <w:t> 24</w:t>
            </w:r>
            <w:r w:rsidRPr="00C779DC">
              <w:rPr>
                <w:rFonts w:ascii="Times New Roman" w:hAnsi="Times New Roman"/>
              </w:rPr>
              <w:t xml:space="preserve"> koncentracija</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Sumažėjusi laisvo T3</w:t>
            </w:r>
            <w:r w:rsidRPr="00C779DC">
              <w:rPr>
                <w:rFonts w:ascii="Times New Roman" w:hAnsi="Times New Roman"/>
                <w:vertAlign w:val="superscript"/>
              </w:rPr>
              <w:t xml:space="preserve"> 24</w:t>
            </w:r>
            <w:r w:rsidRPr="00C779DC">
              <w:rPr>
                <w:rFonts w:ascii="Times New Roman" w:hAnsi="Times New Roman"/>
              </w:rPr>
              <w:t xml:space="preserve"> koncentracija, hipotirozė </w:t>
            </w:r>
            <w:r w:rsidRPr="00C779DC">
              <w:rPr>
                <w:rFonts w:ascii="Times New Roman" w:hAnsi="Times New Roman"/>
                <w:vertAlign w:val="superscript"/>
              </w:rPr>
              <w:t>21</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Sutrikusi antidiurezinio hormono sekrecija</w:t>
            </w: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Metabolizmo ir mitybos sutrikimai</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Padidėjusi trigliceridų koncentracija serume </w:t>
            </w:r>
            <w:r w:rsidRPr="00C779DC">
              <w:rPr>
                <w:rFonts w:ascii="Times New Roman" w:hAnsi="Times New Roman"/>
                <w:vertAlign w:val="superscript"/>
              </w:rPr>
              <w:t>10,30</w:t>
            </w:r>
            <w:r w:rsidRPr="00C779DC">
              <w:rPr>
                <w:rFonts w:ascii="Times New Roman" w:hAnsi="Times New Roman"/>
              </w:rPr>
              <w:t>, padidėjusi bendro (ypač MTL) cholesterolio koncentracija </w:t>
            </w:r>
            <w:r w:rsidRPr="00C779DC">
              <w:rPr>
                <w:rFonts w:ascii="Times New Roman" w:hAnsi="Times New Roman"/>
                <w:vertAlign w:val="superscript"/>
              </w:rPr>
              <w:t>11, 30</w:t>
            </w:r>
            <w:r w:rsidRPr="00C779DC">
              <w:rPr>
                <w:rFonts w:ascii="Times New Roman" w:hAnsi="Times New Roman"/>
              </w:rPr>
              <w:t>, sumažėjusi DTL cholesterolio koncentracija</w:t>
            </w:r>
            <w:r w:rsidRPr="00C779DC">
              <w:rPr>
                <w:rFonts w:ascii="Times New Roman" w:hAnsi="Times New Roman"/>
                <w:vertAlign w:val="superscript"/>
              </w:rPr>
              <w:t> 17, 30</w:t>
            </w:r>
            <w:r w:rsidRPr="00C779DC">
              <w:rPr>
                <w:rFonts w:ascii="Times New Roman" w:hAnsi="Times New Roman"/>
              </w:rPr>
              <w:t>, svorio prieaugis </w:t>
            </w:r>
            <w:r w:rsidRPr="00C779DC">
              <w:rPr>
                <w:rFonts w:ascii="Times New Roman" w:hAnsi="Times New Roman"/>
                <w:vertAlign w:val="superscript"/>
              </w:rPr>
              <w:t>8, 30</w:t>
            </w:r>
          </w:p>
        </w:tc>
        <w:tc>
          <w:tcPr>
            <w:tcW w:w="1701" w:type="dxa"/>
          </w:tcPr>
          <w:p w:rsidR="00435051" w:rsidRPr="00C779DC" w:rsidRDefault="00435051" w:rsidP="00C779DC">
            <w:pPr>
              <w:spacing w:after="0" w:line="240" w:lineRule="auto"/>
              <w:rPr>
                <w:rFonts w:ascii="Times New Roman" w:hAnsi="Times New Roman"/>
                <w:vertAlign w:val="superscript"/>
              </w:rPr>
            </w:pPr>
            <w:r w:rsidRPr="00C779DC">
              <w:rPr>
                <w:rFonts w:ascii="Times New Roman" w:hAnsi="Times New Roman"/>
              </w:rPr>
              <w:t>Padidėjęs apetitas, padidėjusi gliukozės koncentracija kraujyje (iki hiperglikemijos) </w:t>
            </w:r>
            <w:r w:rsidRPr="00C779DC">
              <w:rPr>
                <w:rFonts w:ascii="Times New Roman" w:hAnsi="Times New Roman"/>
                <w:vertAlign w:val="superscript"/>
              </w:rPr>
              <w:t>6, 30</w:t>
            </w:r>
          </w:p>
          <w:p w:rsidR="00435051" w:rsidRPr="00C779DC" w:rsidRDefault="00435051" w:rsidP="00C779DC">
            <w:pPr>
              <w:spacing w:after="0" w:line="240" w:lineRule="auto"/>
              <w:rPr>
                <w:rFonts w:ascii="Times New Roman" w:hAnsi="Times New Roman"/>
              </w:rPr>
            </w:pPr>
            <w:r w:rsidRPr="00C779DC">
              <w:rPr>
                <w:rFonts w:ascii="Times New Roman" w:hAnsi="Times New Roman"/>
              </w:rPr>
              <w:t>Pasunkėjęs esamas diabetas</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Hiponatremija </w:t>
            </w:r>
            <w:r w:rsidRPr="00C779DC">
              <w:rPr>
                <w:rFonts w:ascii="Times New Roman" w:hAnsi="Times New Roman"/>
                <w:vertAlign w:val="superscript"/>
              </w:rPr>
              <w:t>19</w:t>
            </w:r>
            <w:r w:rsidRPr="00C779DC">
              <w:rPr>
                <w:rFonts w:ascii="Times New Roman" w:hAnsi="Times New Roman"/>
              </w:rPr>
              <w:t>, cukrinis diabetas</w:t>
            </w:r>
            <w:r w:rsidRPr="00C779DC">
              <w:rPr>
                <w:rFonts w:ascii="Times New Roman" w:hAnsi="Times New Roman"/>
                <w:vertAlign w:val="superscript"/>
              </w:rPr>
              <w:t xml:space="preserve"> 1,5</w:t>
            </w: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Metabolinis sindromas </w:t>
            </w:r>
            <w:r w:rsidRPr="00C779DC">
              <w:rPr>
                <w:rFonts w:ascii="Times New Roman" w:hAnsi="Times New Roman"/>
                <w:vertAlign w:val="superscript"/>
              </w:rPr>
              <w:t>29</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Psichikos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Nenormalūs sapnai ir košmarai, savižudiškos mintys ir elgesys </w:t>
            </w:r>
            <w:r w:rsidRPr="00C779DC">
              <w:rPr>
                <w:rFonts w:ascii="Times New Roman" w:hAnsi="Times New Roman"/>
                <w:vertAlign w:val="superscript"/>
              </w:rPr>
              <w:t>20</w:t>
            </w: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Somnambulizmas ir susijusios reakcijos, pvz., kalbėjimas miegant ir su miegu susijęs valgymo sutrikimas</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Nervų sistemos sutrikimai</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Svaigulys </w:t>
            </w:r>
            <w:r w:rsidRPr="00C779DC">
              <w:rPr>
                <w:rFonts w:ascii="Times New Roman" w:hAnsi="Times New Roman"/>
                <w:vertAlign w:val="superscript"/>
              </w:rPr>
              <w:t>4, 16</w:t>
            </w:r>
            <w:r w:rsidRPr="00C779DC">
              <w:rPr>
                <w:rFonts w:ascii="Times New Roman" w:hAnsi="Times New Roman"/>
              </w:rPr>
              <w:t>, mieguistumas </w:t>
            </w:r>
            <w:r w:rsidRPr="00C779DC">
              <w:rPr>
                <w:rFonts w:ascii="Times New Roman" w:hAnsi="Times New Roman"/>
                <w:vertAlign w:val="superscript"/>
              </w:rPr>
              <w:t>2, 16</w:t>
            </w:r>
            <w:r w:rsidRPr="00C779DC">
              <w:rPr>
                <w:rFonts w:ascii="Times New Roman" w:hAnsi="Times New Roman"/>
              </w:rPr>
              <w:t>, galvos skausmas, ekstrapiramidiniai simptomai</w:t>
            </w:r>
            <w:r w:rsidRPr="00C779DC">
              <w:rPr>
                <w:rFonts w:ascii="Times New Roman" w:hAnsi="Times New Roman"/>
                <w:vertAlign w:val="superscript"/>
              </w:rPr>
              <w:t> 1, 21</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Dizartrija</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Traukuliai </w:t>
            </w:r>
            <w:r w:rsidRPr="00C779DC">
              <w:rPr>
                <w:rFonts w:ascii="Times New Roman" w:hAnsi="Times New Roman"/>
                <w:vertAlign w:val="superscript"/>
              </w:rPr>
              <w:t>1</w:t>
            </w:r>
            <w:r w:rsidRPr="00C779DC">
              <w:rPr>
                <w:rFonts w:ascii="Times New Roman" w:hAnsi="Times New Roman"/>
              </w:rPr>
              <w:t>, neramių kojų sindromas, vėlyvoji diskinezija </w:t>
            </w:r>
            <w:r w:rsidRPr="00C779DC">
              <w:rPr>
                <w:rFonts w:ascii="Times New Roman" w:hAnsi="Times New Roman"/>
                <w:vertAlign w:val="superscript"/>
              </w:rPr>
              <w:t>1, 5</w:t>
            </w:r>
            <w:r w:rsidRPr="00C779DC">
              <w:rPr>
                <w:rFonts w:ascii="Times New Roman" w:hAnsi="Times New Roman"/>
              </w:rPr>
              <w:t>, sinkopė </w:t>
            </w:r>
            <w:r w:rsidRPr="00C779DC">
              <w:rPr>
                <w:rFonts w:ascii="Times New Roman" w:hAnsi="Times New Roman"/>
                <w:vertAlign w:val="superscript"/>
              </w:rPr>
              <w:t>4, 16</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Širdies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Tachikardija </w:t>
            </w:r>
            <w:r w:rsidRPr="00C779DC">
              <w:rPr>
                <w:rFonts w:ascii="Times New Roman" w:hAnsi="Times New Roman"/>
                <w:vertAlign w:val="superscript"/>
              </w:rPr>
              <w:t>4</w:t>
            </w:r>
            <w:r w:rsidRPr="00C779DC">
              <w:rPr>
                <w:rFonts w:ascii="Times New Roman" w:hAnsi="Times New Roman"/>
              </w:rPr>
              <w:t>, palpitacija </w:t>
            </w:r>
            <w:r w:rsidRPr="00C779DC">
              <w:rPr>
                <w:rFonts w:ascii="Times New Roman" w:hAnsi="Times New Roman"/>
                <w:vertAlign w:val="superscript"/>
              </w:rPr>
              <w:t>23</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Pailgėjęs QT </w:t>
            </w:r>
            <w:r w:rsidRPr="00C779DC">
              <w:rPr>
                <w:rFonts w:ascii="Times New Roman" w:hAnsi="Times New Roman"/>
                <w:vertAlign w:val="superscript"/>
              </w:rPr>
              <w:t>1,12,18</w:t>
            </w:r>
            <w:r w:rsidRPr="00C779DC">
              <w:rPr>
                <w:rFonts w:ascii="Times New Roman" w:hAnsi="Times New Roman"/>
              </w:rPr>
              <w:t>, bradikardija</w:t>
            </w:r>
            <w:r w:rsidRPr="00C779DC">
              <w:rPr>
                <w:rFonts w:ascii="Times New Roman" w:hAnsi="Times New Roman"/>
                <w:vertAlign w:val="superscript"/>
              </w:rPr>
              <w:t> 32</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Akių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Neryškus matymas</w:t>
            </w: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Kraujagyslių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Ortostatinė hipotenzija</w:t>
            </w:r>
            <w:r w:rsidRPr="00C779DC">
              <w:rPr>
                <w:rFonts w:ascii="Times New Roman" w:hAnsi="Times New Roman"/>
                <w:vertAlign w:val="superscript"/>
              </w:rPr>
              <w:t xml:space="preserve"> 4,16</w:t>
            </w: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Venų tromboembolija </w:t>
            </w:r>
            <w:r w:rsidRPr="00C779DC">
              <w:rPr>
                <w:rFonts w:ascii="Times New Roman" w:hAnsi="Times New Roman"/>
                <w:vertAlign w:val="superscript"/>
              </w:rPr>
              <w:t>1</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C779DC">
            <w:pPr>
              <w:spacing w:after="0" w:line="240" w:lineRule="auto"/>
              <w:rPr>
                <w:rFonts w:ascii="Times New Roman" w:hAnsi="Times New Roman"/>
              </w:rPr>
            </w:pPr>
            <w:r w:rsidRPr="00FC6A86">
              <w:rPr>
                <w:rFonts w:ascii="Times New Roman" w:hAnsi="Times New Roman"/>
              </w:rPr>
              <w:t>Insultas</w:t>
            </w:r>
            <w:r>
              <w:rPr>
                <w:iCs/>
                <w:sz w:val="18"/>
                <w:szCs w:val="18"/>
              </w:rPr>
              <w:t> </w:t>
            </w:r>
            <w:r w:rsidRPr="00FC6A86">
              <w:rPr>
                <w:rFonts w:ascii="Times New Roman" w:hAnsi="Times New Roman"/>
                <w:vertAlign w:val="superscript"/>
              </w:rPr>
              <w:t>33</w:t>
            </w: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Kvėpavimo sistemos, krūtinės ląstos ir tarpuplaučio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Dusulys </w:t>
            </w:r>
            <w:r w:rsidRPr="00C779DC">
              <w:rPr>
                <w:rFonts w:ascii="Times New Roman" w:hAnsi="Times New Roman"/>
                <w:vertAlign w:val="superscript"/>
              </w:rPr>
              <w:t>23</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Sloga</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lastRenderedPageBreak/>
              <w:t>Virškinimo trakto sutrikimai</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Sausa burna</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Vidurių užkietėjimas, dispepsija, vėmimas </w:t>
            </w:r>
            <w:r w:rsidRPr="00C779DC">
              <w:rPr>
                <w:rFonts w:ascii="Times New Roman" w:hAnsi="Times New Roman"/>
                <w:vertAlign w:val="superscript"/>
              </w:rPr>
              <w:t>25</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Disfagija</w:t>
            </w:r>
            <w:r w:rsidRPr="00C779DC">
              <w:rPr>
                <w:rFonts w:ascii="Times New Roman" w:hAnsi="Times New Roman"/>
                <w:vertAlign w:val="superscript"/>
              </w:rPr>
              <w:t> 7</w:t>
            </w: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Pankreatitas</w:t>
            </w:r>
            <w:r w:rsidRPr="00C779DC">
              <w:rPr>
                <w:rFonts w:ascii="Times New Roman" w:hAnsi="Times New Roman"/>
                <w:vertAlign w:val="superscript"/>
              </w:rPr>
              <w:t> 1</w:t>
            </w:r>
            <w:r w:rsidRPr="00C779DC">
              <w:rPr>
                <w:rFonts w:ascii="Times New Roman" w:hAnsi="Times New Roman"/>
              </w:rPr>
              <w:t>, žarnų užsikimšimas ar nepraeinamu</w:t>
            </w:r>
            <w:r w:rsidRPr="00C779DC">
              <w:rPr>
                <w:rFonts w:ascii="Times New Roman" w:hAnsi="Times New Roman"/>
              </w:rPr>
              <w:softHyphen/>
              <w:t xml:space="preserve">mas </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Kepenų, tulžies pūslės ir latakų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Padidėjusi alanino aminotransfe</w:t>
            </w:r>
            <w:r w:rsidRPr="00C779DC">
              <w:rPr>
                <w:rFonts w:ascii="Times New Roman" w:hAnsi="Times New Roman"/>
              </w:rPr>
              <w:softHyphen/>
              <w:t>razės (ALT)</w:t>
            </w:r>
            <w:r w:rsidRPr="00C779DC">
              <w:rPr>
                <w:rFonts w:ascii="Times New Roman" w:hAnsi="Times New Roman"/>
                <w:vertAlign w:val="superscript"/>
              </w:rPr>
              <w:t xml:space="preserve"> 3</w:t>
            </w:r>
            <w:r w:rsidRPr="00C779DC">
              <w:rPr>
                <w:rFonts w:ascii="Times New Roman" w:hAnsi="Times New Roman"/>
              </w:rPr>
              <w:t>, padidėjusi gama-GT koncentracija serume</w:t>
            </w:r>
            <w:r w:rsidRPr="00C779DC">
              <w:rPr>
                <w:rFonts w:ascii="Times New Roman" w:hAnsi="Times New Roman"/>
                <w:vertAlign w:val="superscript"/>
              </w:rPr>
              <w:t xml:space="preserve"> 3</w:t>
            </w: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Padidėjusi aspartato aminotransfe</w:t>
            </w:r>
            <w:r w:rsidRPr="00C779DC">
              <w:rPr>
                <w:rFonts w:ascii="Times New Roman" w:hAnsi="Times New Roman"/>
              </w:rPr>
              <w:softHyphen/>
              <w:t>razės (AST) koncentracija serume </w:t>
            </w:r>
            <w:r w:rsidRPr="00C779DC">
              <w:rPr>
                <w:rFonts w:ascii="Times New Roman" w:hAnsi="Times New Roman"/>
                <w:vertAlign w:val="superscript"/>
              </w:rPr>
              <w:t>3</w:t>
            </w: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Gelta </w:t>
            </w:r>
            <w:r w:rsidRPr="00C779DC">
              <w:rPr>
                <w:rFonts w:ascii="Times New Roman" w:hAnsi="Times New Roman"/>
                <w:vertAlign w:val="superscript"/>
              </w:rPr>
              <w:t>5</w:t>
            </w:r>
            <w:r w:rsidRPr="00C779DC">
              <w:rPr>
                <w:rFonts w:ascii="Times New Roman" w:hAnsi="Times New Roman"/>
              </w:rPr>
              <w:t>, hepatitas</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Odos ir poodinio audinio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Angioedema </w:t>
            </w:r>
            <w:r w:rsidRPr="00C779DC">
              <w:rPr>
                <w:rFonts w:ascii="Times New Roman" w:hAnsi="Times New Roman"/>
                <w:vertAlign w:val="superscript"/>
              </w:rPr>
              <w:t>5</w:t>
            </w:r>
            <w:r w:rsidRPr="00C779DC">
              <w:rPr>
                <w:rFonts w:ascii="Times New Roman" w:hAnsi="Times New Roman"/>
              </w:rPr>
              <w:t xml:space="preserve">, </w:t>
            </w:r>
            <w:r w:rsidRPr="00C779DC">
              <w:rPr>
                <w:rFonts w:ascii="Times New Roman" w:hAnsi="Times New Roman"/>
                <w:i/>
              </w:rPr>
              <w:t>Stevens-Johnson</w:t>
            </w:r>
            <w:r w:rsidRPr="00C779DC">
              <w:rPr>
                <w:rFonts w:ascii="Times New Roman" w:hAnsi="Times New Roman"/>
              </w:rPr>
              <w:t xml:space="preserve"> sindromas </w:t>
            </w:r>
            <w:r w:rsidRPr="00C779DC">
              <w:rPr>
                <w:rFonts w:ascii="Times New Roman" w:hAnsi="Times New Roman"/>
                <w:vertAlign w:val="superscript"/>
              </w:rPr>
              <w:t>5</w:t>
            </w:r>
          </w:p>
        </w:tc>
        <w:tc>
          <w:tcPr>
            <w:tcW w:w="1418"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Toksinė epidermio nekrolizė, daugiaformė eritema</w:t>
            </w: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Skeleto, raumenų ir jungiamojo audinio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Rabdomiolizė</w:t>
            </w: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Inkstų ir šlapimo takų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Šlapimo susilaikymas</w:t>
            </w: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Būklės nėštumo, pogimdyminiu ir perinataliniu laikotarpiu</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Vaistinio preparato nutraukimo sindromas naujagimiui</w:t>
            </w:r>
            <w:r w:rsidRPr="00C779DC">
              <w:rPr>
                <w:rFonts w:ascii="Times New Roman" w:hAnsi="Times New Roman"/>
                <w:vertAlign w:val="superscript"/>
              </w:rPr>
              <w:t> 31</w:t>
            </w: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Lytinės sistemos ir krūties sutrikimai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Lytinė disfunkcija</w:t>
            </w: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Priapizmas, galaktorėja, padidėjusios krūtys, sutrikusios menstruacijos</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Bendrieji sutrikimai ir vartojimo vietos pažeidimai</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Nutraukimo simptomai </w:t>
            </w:r>
            <w:r w:rsidRPr="00C779DC">
              <w:rPr>
                <w:rFonts w:ascii="Times New Roman" w:hAnsi="Times New Roman"/>
                <w:vertAlign w:val="superscript"/>
              </w:rPr>
              <w:t>1,9</w:t>
            </w:r>
          </w:p>
        </w:tc>
        <w:tc>
          <w:tcPr>
            <w:tcW w:w="1701"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Lengva astenija, periferinė edema, irzlumas, karščiavimas</w:t>
            </w: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Neurolepsinis piktybinis sindromas</w:t>
            </w:r>
            <w:r w:rsidRPr="00C779DC">
              <w:rPr>
                <w:rFonts w:ascii="Times New Roman" w:hAnsi="Times New Roman"/>
                <w:vertAlign w:val="superscript"/>
              </w:rPr>
              <w:t> 1</w:t>
            </w:r>
            <w:r w:rsidRPr="00C779DC">
              <w:rPr>
                <w:rFonts w:ascii="Times New Roman" w:hAnsi="Times New Roman"/>
              </w:rPr>
              <w:t>, hipotermija</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1560"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Tyrimai</w:t>
            </w:r>
          </w:p>
        </w:tc>
        <w:tc>
          <w:tcPr>
            <w:tcW w:w="1701" w:type="dxa"/>
          </w:tcPr>
          <w:p w:rsidR="00435051" w:rsidRPr="00C779DC" w:rsidRDefault="00435051" w:rsidP="00C779DC">
            <w:pPr>
              <w:spacing w:after="0" w:line="240" w:lineRule="auto"/>
              <w:rPr>
                <w:rFonts w:ascii="Times New Roman" w:hAnsi="Times New Roman"/>
              </w:rPr>
            </w:pPr>
          </w:p>
        </w:tc>
        <w:tc>
          <w:tcPr>
            <w:tcW w:w="1701" w:type="dxa"/>
          </w:tcPr>
          <w:p w:rsidR="00435051" w:rsidRPr="00C779DC" w:rsidRDefault="00435051" w:rsidP="00C779DC">
            <w:pPr>
              <w:spacing w:after="0" w:line="240" w:lineRule="auto"/>
              <w:rPr>
                <w:rFonts w:ascii="Times New Roman" w:hAnsi="Times New Roman"/>
              </w:rPr>
            </w:pPr>
          </w:p>
        </w:tc>
        <w:tc>
          <w:tcPr>
            <w:tcW w:w="1417" w:type="dxa"/>
          </w:tcPr>
          <w:p w:rsidR="00435051" w:rsidRPr="00C779DC" w:rsidRDefault="00435051" w:rsidP="00C779DC">
            <w:pPr>
              <w:spacing w:after="0" w:line="240" w:lineRule="auto"/>
              <w:rPr>
                <w:rFonts w:ascii="Times New Roman" w:hAnsi="Times New Roman"/>
              </w:rPr>
            </w:pPr>
          </w:p>
        </w:tc>
        <w:tc>
          <w:tcPr>
            <w:tcW w:w="1276"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Padidėjusi kreatino kinazės koncentracija kraujyje </w:t>
            </w:r>
            <w:r w:rsidRPr="00C779DC">
              <w:rPr>
                <w:rFonts w:ascii="Times New Roman" w:hAnsi="Times New Roman"/>
                <w:vertAlign w:val="superscript"/>
              </w:rPr>
              <w:t>14</w:t>
            </w:r>
          </w:p>
        </w:tc>
        <w:tc>
          <w:tcPr>
            <w:tcW w:w="1559" w:type="dxa"/>
          </w:tcPr>
          <w:p w:rsidR="00435051" w:rsidRPr="00C779DC" w:rsidRDefault="00435051" w:rsidP="00C779DC">
            <w:pPr>
              <w:spacing w:after="0" w:line="240" w:lineRule="auto"/>
              <w:rPr>
                <w:rFonts w:ascii="Times New Roman" w:hAnsi="Times New Roman"/>
              </w:rPr>
            </w:pPr>
          </w:p>
        </w:tc>
        <w:tc>
          <w:tcPr>
            <w:tcW w:w="1418" w:type="dxa"/>
          </w:tcPr>
          <w:p w:rsidR="00435051" w:rsidRPr="00C779DC" w:rsidRDefault="00435051" w:rsidP="00C779DC">
            <w:pPr>
              <w:spacing w:after="0" w:line="240" w:lineRule="auto"/>
              <w:rPr>
                <w:rFonts w:ascii="Times New Roman" w:hAnsi="Times New Roman"/>
              </w:rPr>
            </w:pPr>
          </w:p>
        </w:tc>
      </w:tr>
    </w:tbl>
    <w:p w:rsidR="00435051" w:rsidRPr="00C779DC" w:rsidRDefault="00435051" w:rsidP="00435051">
      <w:pPr>
        <w:spacing w:after="0" w:line="240" w:lineRule="auto"/>
        <w:rPr>
          <w:rFonts w:ascii="Times New Roman" w:hAnsi="Times New Roman"/>
          <w:vertAlign w:val="superscript"/>
        </w:rPr>
      </w:pP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1</w:t>
      </w:r>
      <w:r w:rsidRPr="00C779DC">
        <w:rPr>
          <w:rFonts w:ascii="Times New Roman" w:hAnsi="Times New Roman"/>
        </w:rPr>
        <w:t xml:space="preserve"> Žr. 4.4 skyrių.</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2</w:t>
      </w:r>
      <w:r w:rsidRPr="00C779DC">
        <w:rPr>
          <w:rFonts w:ascii="Times New Roman" w:hAnsi="Times New Roman"/>
        </w:rPr>
        <w:t xml:space="preserve"> Gali pasireikšti mieguistumas, ypač per pirmąsias dvi gydymo savaites. Toliau vartojant kvetiapino, jis dažniausiai praeina.</w:t>
      </w: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vertAlign w:val="superscript"/>
        </w:rPr>
        <w:t xml:space="preserve">3 </w:t>
      </w:r>
      <w:r w:rsidRPr="00C779DC">
        <w:rPr>
          <w:rFonts w:ascii="Times New Roman" w:hAnsi="Times New Roman"/>
        </w:rPr>
        <w:t>Kai kuriems kvetiapino vartojusiems pacientams nustatytas nesimptominis transaminazių (ALT, AST) ar gama-GT koncentracijos serume padidėjimas (≥ 3 kartus virš viršutinės normos ribos bet kuriuo metu). Kvetiapino vartojant toliau, šių fermentų koncentracijos paprastai sunormalėdavo.</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4</w:t>
      </w:r>
      <w:r w:rsidRPr="00C779DC">
        <w:rPr>
          <w:rFonts w:ascii="Times New Roman" w:hAnsi="Times New Roman"/>
        </w:rPr>
        <w:t xml:space="preserve"> Kvetiapinas, kaip ir kiti </w:t>
      </w:r>
      <w:r w:rsidRPr="00C779DC">
        <w:rPr>
          <w:rFonts w:ascii="Times New Roman" w:hAnsi="Times New Roman"/>
        </w:rPr>
        <w:sym w:font="Symbol" w:char="F061"/>
      </w:r>
      <w:r w:rsidRPr="00C779DC">
        <w:rPr>
          <w:rFonts w:ascii="Times New Roman" w:hAnsi="Times New Roman"/>
          <w:vertAlign w:val="subscript"/>
        </w:rPr>
        <w:t>1</w:t>
      </w:r>
      <w:r w:rsidRPr="00C779DC">
        <w:rPr>
          <w:rFonts w:ascii="Times New Roman" w:hAnsi="Times New Roman"/>
        </w:rPr>
        <w:t xml:space="preserve"> adrenoreceptorius blokuojantys vaistai nuo psichozės, dažnai gali sukelti ortostatinę hipotenziją, pasireiškiančią svaiguliu, tachikardija ir (kai kuriems pacientams) sinkope, ypač iš pradžių didinant dozę (žr. 4.4 skyrių).</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lastRenderedPageBreak/>
        <w:t>5</w:t>
      </w:r>
      <w:r w:rsidRPr="00C779DC">
        <w:rPr>
          <w:rFonts w:ascii="Times New Roman" w:hAnsi="Times New Roman"/>
        </w:rPr>
        <w:t xml:space="preserve"> Šių NRV dažnis apskaičiuo</w:t>
      </w:r>
      <w:r w:rsidRPr="00C779DC">
        <w:rPr>
          <w:rFonts w:ascii="Times New Roman" w:hAnsi="Times New Roman"/>
        </w:rPr>
        <w:softHyphen/>
        <w:t>tas remiantis tik pateikus vaistinį preparatą į rinką gautais duomenimis.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6 </w:t>
      </w:r>
      <w:r w:rsidRPr="00C779DC">
        <w:rPr>
          <w:rFonts w:ascii="Times New Roman" w:hAnsi="Times New Roman"/>
        </w:rPr>
        <w:t xml:space="preserve">Bent kartą nustatyta gliukozės koncentracija kraujyje nevalgius </w:t>
      </w:r>
      <w:r w:rsidRPr="00C779DC">
        <w:rPr>
          <w:rFonts w:ascii="Times New Roman" w:hAnsi="Times New Roman"/>
        </w:rPr>
        <w:sym w:font="Symbol" w:char="F0B3"/>
      </w:r>
      <w:r w:rsidRPr="00C779DC">
        <w:rPr>
          <w:rFonts w:ascii="Times New Roman" w:hAnsi="Times New Roman"/>
        </w:rPr>
        <w:t> 126 mg/dl (</w:t>
      </w:r>
      <w:r w:rsidRPr="00C779DC">
        <w:rPr>
          <w:rFonts w:ascii="Times New Roman" w:hAnsi="Times New Roman"/>
        </w:rPr>
        <w:sym w:font="Symbol" w:char="F0B3"/>
      </w:r>
      <w:r w:rsidRPr="00C779DC">
        <w:rPr>
          <w:rFonts w:ascii="Times New Roman" w:hAnsi="Times New Roman"/>
        </w:rPr>
        <w:t xml:space="preserve"> 7 mmol/l) arba kitu laiku </w:t>
      </w:r>
      <w:r w:rsidRPr="00C779DC">
        <w:rPr>
          <w:rFonts w:ascii="Times New Roman" w:hAnsi="Times New Roman"/>
        </w:rPr>
        <w:sym w:font="Symbol" w:char="F0B3"/>
      </w:r>
      <w:r w:rsidRPr="00C779DC">
        <w:rPr>
          <w:rFonts w:ascii="Times New Roman" w:hAnsi="Times New Roman"/>
        </w:rPr>
        <w:t> 200 mg/dl (</w:t>
      </w:r>
      <w:r w:rsidRPr="00C779DC">
        <w:rPr>
          <w:rFonts w:ascii="Times New Roman" w:hAnsi="Times New Roman"/>
        </w:rPr>
        <w:sym w:font="Symbol" w:char="F0B3"/>
      </w:r>
      <w:r w:rsidRPr="00C779DC">
        <w:rPr>
          <w:rFonts w:ascii="Times New Roman" w:hAnsi="Times New Roman"/>
        </w:rPr>
        <w:t> 11,1 mmol/l).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7</w:t>
      </w:r>
      <w:r w:rsidRPr="00C779DC">
        <w:rPr>
          <w:rFonts w:ascii="Times New Roman" w:hAnsi="Times New Roman"/>
        </w:rPr>
        <w:t xml:space="preserve"> Vartojant kvetiapino, disfagija pasireiškė dažniau nei vartojant placebą tik bipolinės depresijos klinikinių tyrimų metu.</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8</w:t>
      </w:r>
      <w:r w:rsidRPr="00C779DC">
        <w:rPr>
          <w:rFonts w:ascii="Times New Roman" w:hAnsi="Times New Roman"/>
        </w:rPr>
        <w:t xml:space="preserve"> Skaičiuojant atvejus, kai kūno svoris priaugo &gt; 7 % palyginus su buvusiu iki gydymo. Dažniausiai pasireiškia pirmosiomis gydymo savaitėmis suaugusiesiems.</w:t>
      </w:r>
    </w:p>
    <w:p w:rsidR="00435051" w:rsidRPr="00C779DC" w:rsidRDefault="00435051" w:rsidP="00435051">
      <w:pPr>
        <w:spacing w:after="0" w:line="240" w:lineRule="auto"/>
        <w:rPr>
          <w:rFonts w:ascii="Times New Roman" w:hAnsi="Times New Roman"/>
        </w:rPr>
      </w:pPr>
      <w:r w:rsidRPr="00C779DC">
        <w:rPr>
          <w:rFonts w:ascii="Times New Roman" w:hAnsi="Times New Roman"/>
          <w:bCs/>
          <w:vertAlign w:val="superscript"/>
        </w:rPr>
        <w:t>9</w:t>
      </w:r>
      <w:r w:rsidRPr="00C779DC">
        <w:rPr>
          <w:rFonts w:ascii="Times New Roman" w:hAnsi="Times New Roman"/>
        </w:rPr>
        <w:t xml:space="preserve"> Trumpalaikių placebu kontroliuojamų monoterapijos klinikinių tyrimų metu vertinant nutraukimo simptomus, dažniausiai pastebėta nemiga, pykinimas, galvos skausmas, viduriavimas, vėmimas, svaigulys ir irzlumas. Šių reakcijų dažnis reikšmingai sumažėjo per savaitę po vaistinio preparato vartojimo nutraukimo.</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10 </w:t>
      </w:r>
      <w:r w:rsidRPr="00C779DC">
        <w:rPr>
          <w:rFonts w:ascii="Times New Roman" w:hAnsi="Times New Roman"/>
        </w:rPr>
        <w:t>Bent kartą nustatyta trigliceridų koncentracija ≥ 200 mg/dl (</w:t>
      </w:r>
      <w:r w:rsidRPr="00C779DC">
        <w:rPr>
          <w:rFonts w:ascii="Times New Roman" w:hAnsi="Times New Roman"/>
        </w:rPr>
        <w:sym w:font="Symbol" w:char="F0B3"/>
      </w:r>
      <w:r w:rsidRPr="00C779DC">
        <w:rPr>
          <w:rFonts w:ascii="Times New Roman" w:hAnsi="Times New Roman"/>
        </w:rPr>
        <w:t> 2,258 mmol/l) (18 metų ir vyresniems pacientams) arba ≥ 150 mg/dl (≥ 1,694 mmol/l) (jaunesniems kaip 18 metų pacientams).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11 </w:t>
      </w:r>
      <w:r w:rsidRPr="00C779DC">
        <w:rPr>
          <w:rFonts w:ascii="Times New Roman" w:hAnsi="Times New Roman"/>
        </w:rPr>
        <w:t>Bent kartą nustatyta cholesterolio koncentracija ≥ 240 mg/dl (</w:t>
      </w:r>
      <w:r w:rsidRPr="00C779DC">
        <w:rPr>
          <w:rFonts w:ascii="Times New Roman" w:hAnsi="Times New Roman"/>
        </w:rPr>
        <w:sym w:font="Symbol" w:char="F0B3"/>
      </w:r>
      <w:r w:rsidRPr="00C779DC">
        <w:rPr>
          <w:rFonts w:ascii="Times New Roman" w:hAnsi="Times New Roman"/>
        </w:rPr>
        <w:t> 6,2064 mmol/l) (18 metų ir vyresniems pacientams) arba ≥ 200 mg/dl (≥ 5,172 mmol/l) (jaunesniems kaip 18 metų pacientams). Labai dažnai nustatyta MTL cholesterolio koncentracija ≥ 30 mg/dl (≥ 0,769 mmol/l). Vidutinis pokytis pacientams, kuriems ji padidėjo, buvo 41,7 mg/dl (≥ 1,07 mmol/l).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12 </w:t>
      </w:r>
      <w:r w:rsidRPr="00C779DC">
        <w:rPr>
          <w:rFonts w:ascii="Times New Roman" w:hAnsi="Times New Roman"/>
        </w:rPr>
        <w:t>Žr. tekstą žemiau.</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13</w:t>
      </w:r>
      <w:r w:rsidRPr="00C779DC">
        <w:rPr>
          <w:rFonts w:ascii="Times New Roman" w:hAnsi="Times New Roman"/>
        </w:rPr>
        <w:t xml:space="preserve"> Bent kartą nustatyta trombocitų koncentracija </w:t>
      </w:r>
      <w:r w:rsidRPr="00C779DC">
        <w:rPr>
          <w:rFonts w:ascii="Times New Roman" w:hAnsi="Times New Roman"/>
        </w:rPr>
        <w:sym w:font="Symbol" w:char="F0A3"/>
      </w:r>
      <w:r w:rsidRPr="00C779DC">
        <w:rPr>
          <w:rFonts w:ascii="Times New Roman" w:hAnsi="Times New Roman"/>
        </w:rPr>
        <w:t xml:space="preserve"> 100x10</w:t>
      </w:r>
      <w:r w:rsidRPr="00C779DC">
        <w:rPr>
          <w:rFonts w:ascii="Times New Roman" w:hAnsi="Times New Roman"/>
          <w:vertAlign w:val="superscript"/>
        </w:rPr>
        <w:t>9</w:t>
      </w:r>
      <w:r w:rsidRPr="00C779DC">
        <w:rPr>
          <w:rFonts w:ascii="Times New Roman" w:hAnsi="Times New Roman"/>
        </w:rPr>
        <w:t>/l.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14</w:t>
      </w:r>
      <w:r w:rsidRPr="00C779DC">
        <w:rPr>
          <w:rFonts w:ascii="Times New Roman" w:hAnsi="Times New Roman"/>
        </w:rPr>
        <w:t xml:space="preserve"> Remiantis klinikinių tyrimų metu gautais pranešimais apie kreatino kinazės koncentracijos kraujyje padidėjimą kaip nepageidaujamą reiškinį, nesusijusį su piktybiniu neurolepsiniu sindromu.</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15 </w:t>
      </w:r>
      <w:r w:rsidRPr="00C779DC">
        <w:rPr>
          <w:rFonts w:ascii="Times New Roman" w:hAnsi="Times New Roman"/>
        </w:rPr>
        <w:t>Bet kuriuo laiku nustatyta prolaktino koncentracija vyresniems kaip 18 metų pacientams vyrams &gt; 20 </w:t>
      </w:r>
      <w:r w:rsidRPr="00C779DC">
        <w:rPr>
          <w:rFonts w:ascii="Times New Roman" w:hAnsi="Times New Roman"/>
        </w:rPr>
        <w:sym w:font="Symbol" w:char="F06D"/>
      </w:r>
      <w:r w:rsidRPr="00C779DC">
        <w:rPr>
          <w:rFonts w:ascii="Times New Roman" w:hAnsi="Times New Roman"/>
        </w:rPr>
        <w:t xml:space="preserve">g/l (&gt; 869,56 pmol/l), moterims &gt; 30 </w:t>
      </w:r>
      <w:r w:rsidRPr="00C779DC">
        <w:rPr>
          <w:rFonts w:ascii="Times New Roman" w:hAnsi="Times New Roman"/>
        </w:rPr>
        <w:sym w:font="Symbol" w:char="F06D"/>
      </w:r>
      <w:r w:rsidRPr="00C779DC">
        <w:rPr>
          <w:rFonts w:ascii="Times New Roman" w:hAnsi="Times New Roman"/>
        </w:rPr>
        <w:t>g/l (&gt; 1304,34 pmol/l).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16 </w:t>
      </w:r>
      <w:r w:rsidRPr="00C779DC">
        <w:rPr>
          <w:rFonts w:ascii="Times New Roman" w:hAnsi="Times New Roman"/>
        </w:rPr>
        <w:t>Dėl to pacientas gali pargriūti.</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17 </w:t>
      </w:r>
      <w:r w:rsidRPr="00C779DC">
        <w:rPr>
          <w:rFonts w:ascii="Times New Roman" w:hAnsi="Times New Roman"/>
        </w:rPr>
        <w:t>Bet kuriuo laiku nustatyta</w:t>
      </w:r>
      <w:r w:rsidRPr="00C779DC">
        <w:rPr>
          <w:rFonts w:ascii="Times New Roman" w:hAnsi="Times New Roman"/>
          <w:vertAlign w:val="superscript"/>
        </w:rPr>
        <w:t xml:space="preserve"> </w:t>
      </w:r>
      <w:r w:rsidRPr="00C779DC">
        <w:rPr>
          <w:rFonts w:ascii="Times New Roman" w:hAnsi="Times New Roman"/>
        </w:rPr>
        <w:t>DTL cholesterolio koncentracija vyrams &lt; 40 mg/dl (1,025 mmol/l), moterims &lt; 50 mg/dl (1,282 mmol/l).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18 </w:t>
      </w:r>
      <w:r w:rsidRPr="00C779DC">
        <w:rPr>
          <w:rFonts w:ascii="Times New Roman" w:hAnsi="Times New Roman"/>
        </w:rPr>
        <w:t>Pacientai,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19</w:t>
      </w:r>
      <w:r w:rsidRPr="00C779DC">
        <w:rPr>
          <w:rFonts w:ascii="Times New Roman" w:hAnsi="Times New Roman"/>
        </w:rPr>
        <w:t xml:space="preserve"> Bent kartą nustatytas pokytis nuo &gt;</w:t>
      </w:r>
      <w:r w:rsidRPr="00C779DC">
        <w:rPr>
          <w:rFonts w:ascii="Times New Roman" w:hAnsi="Times New Roman"/>
          <w:b/>
        </w:rPr>
        <w:t> </w:t>
      </w:r>
      <w:r w:rsidRPr="00C779DC">
        <w:rPr>
          <w:rFonts w:ascii="Times New Roman" w:hAnsi="Times New Roman"/>
        </w:rPr>
        <w:t>132 mmol/l iki ≤ 132 mmol/l.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20 </w:t>
      </w:r>
      <w:r w:rsidRPr="00C779DC">
        <w:rPr>
          <w:rFonts w:ascii="Times New Roman" w:hAnsi="Times New Roman"/>
        </w:rPr>
        <w:t>Pranešimų apie mintis apie savižudybę ir savižudišką elgesį gauta vartojant kvetiapino ir netrukus po to (žr. 4.4 ir 5.1 skyrius).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21 </w:t>
      </w:r>
      <w:r w:rsidRPr="00C779DC">
        <w:rPr>
          <w:rFonts w:ascii="Times New Roman" w:hAnsi="Times New Roman"/>
        </w:rPr>
        <w:t>Žr. 5.1 skyrių.</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22 </w:t>
      </w:r>
      <w:r w:rsidRPr="00C779DC">
        <w:rPr>
          <w:rFonts w:ascii="Times New Roman" w:hAnsi="Times New Roman"/>
        </w:rPr>
        <w:t>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23 </w:t>
      </w:r>
      <w:r w:rsidRPr="00C779DC">
        <w:rPr>
          <w:rFonts w:ascii="Times New Roman" w:hAnsi="Times New Roman"/>
        </w:rPr>
        <w:t>Gautų pranešimų duomenimis, dažnai kartu būdavo tachikardija, svaigulys, ortostatinė hipotenzija ir (arba) širdies ar kvėpavimo takų liga.</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24 </w:t>
      </w:r>
      <w:r w:rsidRPr="00C779DC">
        <w:rPr>
          <w:rFonts w:ascii="Times New Roman" w:hAnsi="Times New Roman"/>
        </w:rPr>
        <w:t>Visų klinikinių tyrimų metu užfiksuoti potencialiai reikšmingi klinikai nukrypimai, kai koncentracija iki gydymo buvo normali. Bendrojo T</w:t>
      </w:r>
      <w:r w:rsidRPr="00C779DC">
        <w:rPr>
          <w:rFonts w:ascii="Times New Roman" w:hAnsi="Times New Roman"/>
          <w:vertAlign w:val="subscript"/>
        </w:rPr>
        <w:t>4</w:t>
      </w:r>
      <w:r w:rsidRPr="00C779DC">
        <w:rPr>
          <w:rFonts w:ascii="Times New Roman" w:hAnsi="Times New Roman"/>
        </w:rPr>
        <w:t>, laisvojo T</w:t>
      </w:r>
      <w:r w:rsidRPr="00C779DC">
        <w:rPr>
          <w:rFonts w:ascii="Times New Roman" w:hAnsi="Times New Roman"/>
          <w:vertAlign w:val="subscript"/>
        </w:rPr>
        <w:t>4</w:t>
      </w:r>
      <w:r w:rsidRPr="00C779DC">
        <w:rPr>
          <w:rFonts w:ascii="Times New Roman" w:hAnsi="Times New Roman"/>
        </w:rPr>
        <w:t>, bendrojo T</w:t>
      </w:r>
      <w:r w:rsidRPr="00C779DC">
        <w:rPr>
          <w:rFonts w:ascii="Times New Roman" w:hAnsi="Times New Roman"/>
          <w:vertAlign w:val="subscript"/>
        </w:rPr>
        <w:t>3</w:t>
      </w:r>
      <w:r w:rsidRPr="00C779DC">
        <w:rPr>
          <w:rFonts w:ascii="Times New Roman" w:hAnsi="Times New Roman"/>
        </w:rPr>
        <w:t xml:space="preserve"> ir laisvojo T</w:t>
      </w:r>
      <w:r w:rsidRPr="00C779DC">
        <w:rPr>
          <w:rFonts w:ascii="Times New Roman" w:hAnsi="Times New Roman"/>
          <w:vertAlign w:val="subscript"/>
        </w:rPr>
        <w:t>3</w:t>
      </w:r>
      <w:r w:rsidRPr="00C779DC">
        <w:rPr>
          <w:rFonts w:ascii="Times New Roman" w:hAnsi="Times New Roman"/>
        </w:rPr>
        <w:t xml:space="preserve"> nukrypimais laikyta bet kuriuo metu nustatyta mažesnė kaip 0,8 x apatinė normos riba (pmol/l) koncentracija, TSH – didesnė kaip 5 mTV/l koncentracija.</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25</w:t>
      </w:r>
      <w:r w:rsidRPr="00C779DC">
        <w:rPr>
          <w:rFonts w:ascii="Times New Roman" w:hAnsi="Times New Roman"/>
        </w:rPr>
        <w:t xml:space="preserve"> Remiantis dažnesniu vėmimu senyviems</w:t>
      </w:r>
      <w:r w:rsidRPr="00C779DC">
        <w:rPr>
          <w:rFonts w:ascii="Times New Roman" w:hAnsi="Times New Roman"/>
          <w:vertAlign w:val="superscript"/>
        </w:rPr>
        <w:t xml:space="preserve"> </w:t>
      </w:r>
      <w:r w:rsidRPr="00C779DC">
        <w:rPr>
          <w:rFonts w:ascii="Times New Roman" w:hAnsi="Times New Roman"/>
        </w:rPr>
        <w:t>(vyresniems kaip 65 metų) pacientams.</w:t>
      </w:r>
    </w:p>
    <w:p w:rsidR="00435051" w:rsidRPr="00C779DC" w:rsidRDefault="00435051" w:rsidP="00435051">
      <w:pPr>
        <w:spacing w:after="0" w:line="240" w:lineRule="auto"/>
        <w:rPr>
          <w:rFonts w:ascii="Times New Roman" w:hAnsi="Times New Roman"/>
        </w:rPr>
      </w:pPr>
      <w:r w:rsidRPr="00C779DC">
        <w:rPr>
          <w:rFonts w:ascii="Times New Roman" w:hAnsi="Times New Roman"/>
          <w:bCs/>
          <w:vertAlign w:val="superscript"/>
        </w:rPr>
        <w:lastRenderedPageBreak/>
        <w:t>26</w:t>
      </w:r>
      <w:r w:rsidRPr="00C779DC">
        <w:rPr>
          <w:rFonts w:ascii="Times New Roman" w:hAnsi="Times New Roman"/>
          <w:b/>
          <w:bCs/>
        </w:rPr>
        <w:t xml:space="preserve"> </w:t>
      </w:r>
      <w:r w:rsidRPr="00C779DC">
        <w:rPr>
          <w:rFonts w:ascii="Times New Roman" w:hAnsi="Times New Roman"/>
        </w:rPr>
        <w:t>Visų kvetiapino klinikinių tyrimų metu užfiksuoti neutrofilų skaičiaus pokyčiai, kai iki gydymo jų buvo ≥ 1,5 x 10</w:t>
      </w:r>
      <w:r w:rsidRPr="00C779DC">
        <w:rPr>
          <w:rFonts w:ascii="Times New Roman" w:hAnsi="Times New Roman"/>
          <w:vertAlign w:val="superscript"/>
        </w:rPr>
        <w:t>9</w:t>
      </w:r>
      <w:r w:rsidRPr="00C779DC">
        <w:rPr>
          <w:rFonts w:ascii="Times New Roman" w:hAnsi="Times New Roman"/>
        </w:rPr>
        <w:t>/l, bet kuriuo laiku gydant rasta &lt; 0,5 x 10</w:t>
      </w:r>
      <w:r w:rsidRPr="00C779DC">
        <w:rPr>
          <w:rFonts w:ascii="Times New Roman" w:hAnsi="Times New Roman"/>
          <w:vertAlign w:val="superscript"/>
        </w:rPr>
        <w:t>9</w:t>
      </w:r>
      <w:r w:rsidRPr="00C779DC">
        <w:rPr>
          <w:rFonts w:ascii="Times New Roman" w:hAnsi="Times New Roman"/>
        </w:rPr>
        <w:t>/l, nustatyta ryški neutropenija (&lt; 0,5 x 10</w:t>
      </w:r>
      <w:r w:rsidRPr="00C779DC">
        <w:rPr>
          <w:rFonts w:ascii="Times New Roman" w:hAnsi="Times New Roman"/>
          <w:vertAlign w:val="superscript"/>
        </w:rPr>
        <w:t>9</w:t>
      </w:r>
      <w:r w:rsidRPr="00C779DC">
        <w:rPr>
          <w:rFonts w:ascii="Times New Roman" w:hAnsi="Times New Roman"/>
        </w:rPr>
        <w:t>/l) ir infekcija (žr. 4.4 skyrių).</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27 </w:t>
      </w:r>
      <w:r w:rsidRPr="00C779DC">
        <w:rPr>
          <w:rFonts w:ascii="Times New Roman" w:hAnsi="Times New Roman"/>
        </w:rPr>
        <w:t>Visų tyrimų metu bet kuriuo laiku užfiksuoti potencialiai reikšmingi klinikai nukrypimai, kai koncentracija iki gydymo buvo normali. Nukrypusiu laikytas bet kada užfiksuotas eozinofilų kiekis ≥ 1 x 10</w:t>
      </w:r>
      <w:r w:rsidRPr="00C779DC">
        <w:rPr>
          <w:rFonts w:ascii="Times New Roman" w:hAnsi="Times New Roman"/>
          <w:vertAlign w:val="superscript"/>
        </w:rPr>
        <w:t>9</w:t>
      </w:r>
      <w:r w:rsidRPr="00C779DC">
        <w:rPr>
          <w:rFonts w:ascii="Times New Roman" w:hAnsi="Times New Roman"/>
        </w:rPr>
        <w:t>/l.</w:t>
      </w:r>
    </w:p>
    <w:p w:rsidR="00435051" w:rsidRPr="00C779DC" w:rsidRDefault="00435051" w:rsidP="00435051">
      <w:pPr>
        <w:spacing w:after="0" w:line="240" w:lineRule="auto"/>
        <w:rPr>
          <w:rFonts w:ascii="Times New Roman" w:hAnsi="Times New Roman"/>
          <w:highlight w:val="yellow"/>
        </w:rPr>
      </w:pPr>
      <w:r w:rsidRPr="00C779DC">
        <w:rPr>
          <w:rFonts w:ascii="Times New Roman" w:hAnsi="Times New Roman"/>
          <w:vertAlign w:val="superscript"/>
        </w:rPr>
        <w:t>28</w:t>
      </w:r>
      <w:r w:rsidRPr="00C779DC">
        <w:rPr>
          <w:rFonts w:ascii="Times New Roman" w:hAnsi="Times New Roman"/>
        </w:rPr>
        <w:t xml:space="preserve"> Visų tyrimų metu bet kuriuo laiku užfiksuoti potencialiai reikšmingi klinikai nukrypimai, kai koncentracija iki gydymo buvo normali. Nukrypusiu laikytas bet kada užfiksuotas leukocitų kiekis ≤ 3 x 10</w:t>
      </w:r>
      <w:r w:rsidRPr="00C779DC">
        <w:rPr>
          <w:rFonts w:ascii="Times New Roman" w:hAnsi="Times New Roman"/>
          <w:vertAlign w:val="superscript"/>
        </w:rPr>
        <w:t>9</w:t>
      </w:r>
      <w:r w:rsidRPr="00C779DC">
        <w:rPr>
          <w:rFonts w:ascii="Times New Roman" w:hAnsi="Times New Roman"/>
        </w:rPr>
        <w:t>/l.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 xml:space="preserve">29 </w:t>
      </w:r>
      <w:r w:rsidRPr="00C779DC">
        <w:rPr>
          <w:rFonts w:ascii="Times New Roman" w:hAnsi="Times New Roman"/>
        </w:rPr>
        <w:t>Remiantis visų kvetiapino klinikinių tyrimų metu gautais metabolinio sindromo kaip nepageidaujamo reiškinio pranešimais.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30</w:t>
      </w:r>
      <w:r w:rsidRPr="00C779DC">
        <w:rPr>
          <w:rFonts w:ascii="Times New Roman" w:hAnsi="Times New Roman"/>
        </w:rPr>
        <w:t xml:space="preserve"> Kai kuriems pacientams klinikinių tyrimų metu nustatytas daugiau kaip vieno metabolinio rizikos veiksnio (kūno svoris, gliukozės koncentracija kraujyje, lipidų koncentracija) pablogėjimas (žr. 4.4 skyrių).</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31</w:t>
      </w:r>
      <w:r w:rsidRPr="00C779DC">
        <w:rPr>
          <w:rFonts w:ascii="Times New Roman" w:hAnsi="Times New Roman"/>
        </w:rPr>
        <w:t xml:space="preserve"> Žr. 4.6 skyrių.</w:t>
      </w:r>
    </w:p>
    <w:p w:rsidR="00435051" w:rsidRDefault="00435051" w:rsidP="00435051">
      <w:pPr>
        <w:spacing w:after="0" w:line="240" w:lineRule="auto"/>
        <w:rPr>
          <w:rFonts w:ascii="Times New Roman" w:hAnsi="Times New Roman"/>
        </w:rPr>
      </w:pPr>
      <w:r w:rsidRPr="00C779DC">
        <w:rPr>
          <w:rFonts w:ascii="Times New Roman" w:hAnsi="Times New Roman"/>
          <w:vertAlign w:val="superscript"/>
        </w:rPr>
        <w:t xml:space="preserve">32 </w:t>
      </w:r>
      <w:r w:rsidRPr="00C779DC">
        <w:rPr>
          <w:rFonts w:ascii="Times New Roman" w:hAnsi="Times New Roman"/>
        </w:rPr>
        <w:t>Gali pasireikšti iš karto pradėjus gydymą ar šiek tiek vėliau ir būti susijusi su hipotenzija ir (arba) sinkope. Dažnis apskaičiuotas pagal bradikardijos ir su ja susijusių nepageidaujamų reiškinių pranešimus visų kvetiapino klinikinių tyrimų metu.</w:t>
      </w:r>
    </w:p>
    <w:p w:rsidR="00C779DC" w:rsidRPr="00C779DC" w:rsidRDefault="00C779DC" w:rsidP="00C779DC">
      <w:pPr>
        <w:spacing w:after="0" w:line="240" w:lineRule="auto"/>
        <w:rPr>
          <w:rFonts w:ascii="Times New Roman" w:hAnsi="Times New Roman"/>
        </w:rPr>
      </w:pPr>
      <w:r w:rsidRPr="00C779DC">
        <w:rPr>
          <w:rFonts w:ascii="Times New Roman" w:hAnsi="Times New Roman"/>
          <w:vertAlign w:val="superscript"/>
        </w:rPr>
        <w:t>3</w:t>
      </w:r>
      <w:r>
        <w:rPr>
          <w:rFonts w:ascii="Times New Roman" w:hAnsi="Times New Roman"/>
          <w:vertAlign w:val="superscript"/>
        </w:rPr>
        <w:t xml:space="preserve">3 </w:t>
      </w:r>
      <w:r>
        <w:rPr>
          <w:rFonts w:ascii="Times New Roman" w:hAnsi="Times New Roman"/>
        </w:rPr>
        <w:t>Remiantis vi</w:t>
      </w:r>
      <w:r w:rsidRPr="00C779DC">
        <w:rPr>
          <w:rFonts w:ascii="Times New Roman" w:hAnsi="Times New Roman"/>
        </w:rPr>
        <w:t>e</w:t>
      </w:r>
      <w:r>
        <w:rPr>
          <w:rFonts w:ascii="Times New Roman" w:hAnsi="Times New Roman"/>
        </w:rPr>
        <w:t>no</w:t>
      </w:r>
      <w:r w:rsidRPr="00C779DC">
        <w:rPr>
          <w:rFonts w:ascii="Times New Roman" w:hAnsi="Times New Roman"/>
        </w:rPr>
        <w:t xml:space="preserve"> retrospe</w:t>
      </w:r>
      <w:r>
        <w:rPr>
          <w:rFonts w:ascii="Times New Roman" w:hAnsi="Times New Roman"/>
        </w:rPr>
        <w:t xml:space="preserve">ktyvinio </w:t>
      </w:r>
      <w:r w:rsidRPr="00C779DC">
        <w:rPr>
          <w:rFonts w:ascii="Times New Roman" w:hAnsi="Times New Roman"/>
        </w:rPr>
        <w:t>n</w:t>
      </w:r>
      <w:r>
        <w:rPr>
          <w:rFonts w:ascii="Times New Roman" w:hAnsi="Times New Roman"/>
        </w:rPr>
        <w:t>e</w:t>
      </w:r>
      <w:r w:rsidRPr="00C779DC">
        <w:rPr>
          <w:rFonts w:ascii="Times New Roman" w:hAnsi="Times New Roman"/>
        </w:rPr>
        <w:t>randomiz</w:t>
      </w:r>
      <w:r>
        <w:rPr>
          <w:rFonts w:ascii="Times New Roman" w:hAnsi="Times New Roman"/>
        </w:rPr>
        <w:t xml:space="preserve">uoto </w:t>
      </w:r>
      <w:r w:rsidRPr="00C779DC">
        <w:rPr>
          <w:rFonts w:ascii="Times New Roman" w:hAnsi="Times New Roman"/>
        </w:rPr>
        <w:t>epidemiologi</w:t>
      </w:r>
      <w:r>
        <w:rPr>
          <w:rFonts w:ascii="Times New Roman" w:hAnsi="Times New Roman"/>
        </w:rPr>
        <w:t>nio tyrimo duomenimis</w:t>
      </w:r>
      <w:r w:rsidRPr="00C779DC">
        <w:rPr>
          <w:rFonts w:ascii="Times New Roman" w:hAnsi="Times New Roman"/>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bCs/>
        </w:rPr>
        <w:t>Užfiksuota atvejų, kai vartojant</w:t>
      </w:r>
      <w:r w:rsidRPr="00C779DC">
        <w:rPr>
          <w:rFonts w:ascii="Times New Roman" w:hAnsi="Times New Roman"/>
        </w:rPr>
        <w:t xml:space="preserve"> neuroleptikų pailgėjo QT intervalas, pasireiškė </w:t>
      </w:r>
      <w:r w:rsidRPr="00C779DC">
        <w:rPr>
          <w:rFonts w:ascii="Times New Roman" w:hAnsi="Times New Roman"/>
          <w:bCs/>
        </w:rPr>
        <w:t>skilvelių</w:t>
      </w:r>
      <w:r w:rsidRPr="00C779DC">
        <w:rPr>
          <w:rFonts w:ascii="Times New Roman" w:hAnsi="Times New Roman"/>
        </w:rPr>
        <w:t xml:space="preserve"> aritmija, ištiko staigi mirtis dėl neaiškios priežasties, sustojo širdis ar prasidėjo </w:t>
      </w:r>
      <w:r w:rsidRPr="00C779DC">
        <w:rPr>
          <w:rFonts w:ascii="Times New Roman" w:hAnsi="Times New Roman"/>
          <w:i/>
        </w:rPr>
        <w:t>torsades de pointes</w:t>
      </w:r>
      <w:r w:rsidRPr="00C779DC">
        <w:rPr>
          <w:rFonts w:ascii="Times New Roman" w:hAnsi="Times New Roman"/>
          <w:bCs/>
        </w:rPr>
        <w:t xml:space="preserve"> tipo aritmija. Tokie poveikiai</w:t>
      </w:r>
      <w:r w:rsidRPr="00C779DC">
        <w:rPr>
          <w:rFonts w:ascii="Times New Roman" w:hAnsi="Times New Roman"/>
        </w:rPr>
        <w:t xml:space="preserve"> laikomi būdingais šiai </w:t>
      </w:r>
      <w:r w:rsidRPr="00C779DC">
        <w:rPr>
          <w:rFonts w:ascii="Times New Roman" w:hAnsi="Times New Roman"/>
          <w:bCs/>
        </w:rPr>
        <w:t>vaistinių preparatų</w:t>
      </w:r>
      <w:r w:rsidRPr="00C779DC">
        <w:rPr>
          <w:rFonts w:ascii="Times New Roman" w:hAnsi="Times New Roman"/>
        </w:rPr>
        <w:t xml:space="preserve"> grupei.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
        </w:rPr>
      </w:pPr>
      <w:r w:rsidRPr="00C779DC">
        <w:rPr>
          <w:rFonts w:ascii="Times New Roman" w:hAnsi="Times New Roman"/>
          <w:bCs/>
          <w:i/>
        </w:rPr>
        <w:t>Vaikų populiacija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Vaikams ir paaugliams būdingos tokios pačios NRV kaip aukščiau aprašytos suaugu</w:t>
      </w:r>
      <w:r w:rsidRPr="00C779DC">
        <w:rPr>
          <w:rFonts w:ascii="Times New Roman" w:hAnsi="Times New Roman"/>
        </w:rPr>
        <w:softHyphen/>
        <w:t>siesiems. Žemiau pateikiamoje lentelėje nurodytos NRV, kurių vaikams ir paaugliams (10-17 metų) pasireiškia dažniau negu suaugusiems, ir tos, kurių suaugusiesiems nenustatyta.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 xml:space="preserve">2 lentelė. </w:t>
      </w:r>
      <w:r w:rsidRPr="00C779DC">
        <w:rPr>
          <w:rFonts w:ascii="Times New Roman" w:hAnsi="Times New Roman"/>
          <w:b/>
          <w:bCs/>
        </w:rPr>
        <w:tab/>
        <w:t>Su kvetiapino vartojimu susijusios NRV vaikams ir paaugliams, kurių jiems pasireiškė dažniau negu suaugusiesiems, arba kurių suaugusiesiems nenustatyta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Nepageidaujamų reiškinių dažnis apibūdinamas taip: labai dažnas (≥ 1/10), dažnas (nuo ≥ 1/100 iki &lt; 1/10), nedažnas (nuo ≥ 1/1000 iki &lt; 1/100), retas (nuo ≥ 1/10000 iki &lt; 1/1000) ir labai retas (&lt; 1/10000).</w:t>
      </w:r>
    </w:p>
    <w:p w:rsidR="00435051" w:rsidRPr="00C779DC" w:rsidRDefault="00435051" w:rsidP="00435051">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8"/>
        <w:gridCol w:w="3313"/>
        <w:gridCol w:w="2749"/>
      </w:tblGrid>
      <w:tr w:rsidR="00435051" w:rsidRPr="00C779DC" w:rsidTr="00C779DC">
        <w:tc>
          <w:tcPr>
            <w:tcW w:w="7944" w:type="dxa"/>
          </w:tcPr>
          <w:p w:rsidR="00435051" w:rsidRPr="00C779DC" w:rsidRDefault="00435051" w:rsidP="00C779DC">
            <w:pPr>
              <w:tabs>
                <w:tab w:val="left" w:pos="2268"/>
              </w:tabs>
              <w:spacing w:after="0" w:line="240" w:lineRule="auto"/>
              <w:rPr>
                <w:rFonts w:ascii="Times New Roman" w:hAnsi="Times New Roman"/>
              </w:rPr>
            </w:pPr>
            <w:r w:rsidRPr="00C779DC">
              <w:rPr>
                <w:rFonts w:ascii="Times New Roman" w:hAnsi="Times New Roman"/>
                <w:b/>
              </w:rPr>
              <w:t>Organų sistemų klasės</w:t>
            </w:r>
          </w:p>
        </w:tc>
        <w:tc>
          <w:tcPr>
            <w:tcW w:w="7944" w:type="dxa"/>
          </w:tcPr>
          <w:p w:rsidR="00435051" w:rsidRPr="00C779DC" w:rsidRDefault="00435051" w:rsidP="00C779DC">
            <w:pPr>
              <w:keepNext/>
              <w:spacing w:after="0" w:line="240" w:lineRule="auto"/>
              <w:rPr>
                <w:rFonts w:ascii="Times New Roman" w:hAnsi="Times New Roman"/>
                <w:b/>
              </w:rPr>
            </w:pPr>
            <w:r w:rsidRPr="00C779DC">
              <w:rPr>
                <w:rFonts w:ascii="Times New Roman" w:hAnsi="Times New Roman"/>
                <w:b/>
              </w:rPr>
              <w:t>Labai dažnas</w:t>
            </w:r>
          </w:p>
        </w:tc>
        <w:tc>
          <w:tcPr>
            <w:tcW w:w="7944" w:type="dxa"/>
          </w:tcPr>
          <w:p w:rsidR="00435051" w:rsidRPr="00C779DC" w:rsidRDefault="00435051" w:rsidP="00C779DC">
            <w:pPr>
              <w:keepNext/>
              <w:spacing w:after="0" w:line="240" w:lineRule="auto"/>
              <w:rPr>
                <w:rFonts w:ascii="Times New Roman" w:hAnsi="Times New Roman"/>
                <w:b/>
              </w:rPr>
            </w:pPr>
            <w:r w:rsidRPr="00C779DC">
              <w:rPr>
                <w:rFonts w:ascii="Times New Roman" w:hAnsi="Times New Roman"/>
                <w:b/>
              </w:rPr>
              <w:t>Dažnais</w:t>
            </w:r>
          </w:p>
        </w:tc>
      </w:tr>
      <w:tr w:rsidR="00435051" w:rsidRPr="00C779DC" w:rsidTr="00C779DC">
        <w:tc>
          <w:tcPr>
            <w:tcW w:w="7944" w:type="dxa"/>
          </w:tcPr>
          <w:p w:rsidR="00435051" w:rsidRPr="00C779DC" w:rsidRDefault="00435051" w:rsidP="00C779DC">
            <w:pPr>
              <w:tabs>
                <w:tab w:val="left" w:pos="2268"/>
              </w:tabs>
              <w:spacing w:after="0" w:line="240" w:lineRule="auto"/>
              <w:rPr>
                <w:rFonts w:ascii="Times New Roman" w:hAnsi="Times New Roman"/>
              </w:rPr>
            </w:pPr>
            <w:r w:rsidRPr="00C779DC">
              <w:rPr>
                <w:rFonts w:ascii="Times New Roman" w:hAnsi="Times New Roman"/>
                <w:i/>
              </w:rPr>
              <w:t>Endokrininiai sutrikimai</w:t>
            </w:r>
          </w:p>
        </w:tc>
        <w:tc>
          <w:tcPr>
            <w:tcW w:w="7944"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Padidėjusi prolaktino koncentracija </w:t>
            </w:r>
            <w:r w:rsidRPr="00C779DC">
              <w:rPr>
                <w:rFonts w:ascii="Times New Roman" w:hAnsi="Times New Roman"/>
                <w:vertAlign w:val="superscript"/>
              </w:rPr>
              <w:t>1</w:t>
            </w:r>
          </w:p>
        </w:tc>
        <w:tc>
          <w:tcPr>
            <w:tcW w:w="7944" w:type="dxa"/>
          </w:tcPr>
          <w:p w:rsidR="00435051" w:rsidRPr="00C779DC" w:rsidRDefault="00435051" w:rsidP="00C779DC">
            <w:pPr>
              <w:spacing w:after="0" w:line="240" w:lineRule="auto"/>
              <w:rPr>
                <w:rFonts w:ascii="Times New Roman" w:hAnsi="Times New Roman"/>
                <w:i/>
                <w:iCs/>
              </w:rPr>
            </w:pPr>
          </w:p>
        </w:tc>
      </w:tr>
      <w:tr w:rsidR="00435051" w:rsidRPr="00C779DC" w:rsidTr="00C779DC">
        <w:tc>
          <w:tcPr>
            <w:tcW w:w="7944" w:type="dxa"/>
          </w:tcPr>
          <w:p w:rsidR="00435051" w:rsidRPr="00C779DC" w:rsidRDefault="00435051" w:rsidP="00C779DC">
            <w:pPr>
              <w:tabs>
                <w:tab w:val="left" w:pos="2268"/>
              </w:tabs>
              <w:spacing w:after="0" w:line="240" w:lineRule="auto"/>
              <w:rPr>
                <w:rFonts w:ascii="Times New Roman" w:hAnsi="Times New Roman"/>
              </w:rPr>
            </w:pPr>
            <w:r w:rsidRPr="00C779DC">
              <w:rPr>
                <w:rFonts w:ascii="Times New Roman" w:hAnsi="Times New Roman"/>
                <w:i/>
              </w:rPr>
              <w:t>Metabolizmo ir mitybos sutrikimai</w:t>
            </w:r>
          </w:p>
        </w:tc>
        <w:tc>
          <w:tcPr>
            <w:tcW w:w="7944"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Padidėjęs apetitas</w:t>
            </w:r>
          </w:p>
        </w:tc>
        <w:tc>
          <w:tcPr>
            <w:tcW w:w="7944" w:type="dxa"/>
          </w:tcPr>
          <w:p w:rsidR="00435051" w:rsidRPr="00C779DC" w:rsidRDefault="00435051" w:rsidP="00C779DC">
            <w:pPr>
              <w:spacing w:after="0" w:line="240" w:lineRule="auto"/>
              <w:rPr>
                <w:rFonts w:ascii="Times New Roman" w:hAnsi="Times New Roman"/>
                <w:i/>
                <w:iCs/>
              </w:rPr>
            </w:pPr>
          </w:p>
        </w:tc>
      </w:tr>
      <w:tr w:rsidR="00435051" w:rsidRPr="00C779DC" w:rsidTr="00C779DC">
        <w:tc>
          <w:tcPr>
            <w:tcW w:w="7944" w:type="dxa"/>
          </w:tcPr>
          <w:p w:rsidR="00435051" w:rsidRPr="00C779DC" w:rsidRDefault="00435051" w:rsidP="00C779DC">
            <w:pPr>
              <w:tabs>
                <w:tab w:val="left" w:pos="2268"/>
              </w:tabs>
              <w:spacing w:after="0" w:line="240" w:lineRule="auto"/>
              <w:rPr>
                <w:rFonts w:ascii="Times New Roman" w:hAnsi="Times New Roman"/>
              </w:rPr>
            </w:pPr>
            <w:r w:rsidRPr="00C779DC">
              <w:rPr>
                <w:rFonts w:ascii="Times New Roman" w:hAnsi="Times New Roman"/>
                <w:i/>
              </w:rPr>
              <w:t>Nervų sistemos sutrikimai</w:t>
            </w:r>
          </w:p>
        </w:tc>
        <w:tc>
          <w:tcPr>
            <w:tcW w:w="7944"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Ekstrapiramidiniai simptomai </w:t>
            </w:r>
            <w:r w:rsidRPr="00C779DC">
              <w:rPr>
                <w:rFonts w:ascii="Times New Roman" w:hAnsi="Times New Roman"/>
                <w:vertAlign w:val="superscript"/>
              </w:rPr>
              <w:t>3,4</w:t>
            </w:r>
          </w:p>
        </w:tc>
        <w:tc>
          <w:tcPr>
            <w:tcW w:w="7944"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Sinkopė</w:t>
            </w:r>
          </w:p>
        </w:tc>
      </w:tr>
      <w:tr w:rsidR="00435051" w:rsidRPr="00C779DC" w:rsidTr="00C779DC">
        <w:tc>
          <w:tcPr>
            <w:tcW w:w="7944"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Kraujagyslių sutrikimai</w:t>
            </w:r>
          </w:p>
        </w:tc>
        <w:tc>
          <w:tcPr>
            <w:tcW w:w="7944"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Padidėjęs kraujospūdis </w:t>
            </w:r>
            <w:r w:rsidRPr="00C779DC">
              <w:rPr>
                <w:rFonts w:ascii="Times New Roman" w:hAnsi="Times New Roman"/>
                <w:vertAlign w:val="superscript"/>
              </w:rPr>
              <w:t>2</w:t>
            </w:r>
          </w:p>
        </w:tc>
        <w:tc>
          <w:tcPr>
            <w:tcW w:w="7944" w:type="dxa"/>
          </w:tcPr>
          <w:p w:rsidR="00435051" w:rsidRPr="00C779DC" w:rsidRDefault="00435051" w:rsidP="00C779DC">
            <w:pPr>
              <w:spacing w:after="0" w:line="240" w:lineRule="auto"/>
              <w:rPr>
                <w:rFonts w:ascii="Times New Roman" w:hAnsi="Times New Roman"/>
              </w:rPr>
            </w:pPr>
          </w:p>
        </w:tc>
      </w:tr>
      <w:tr w:rsidR="00435051" w:rsidRPr="00C779DC" w:rsidTr="00C779DC">
        <w:tc>
          <w:tcPr>
            <w:tcW w:w="7944"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Kvėpavimo sistemos, krūtinės ląstos ir tarpuplaučio sutrikimai</w:t>
            </w:r>
          </w:p>
        </w:tc>
        <w:tc>
          <w:tcPr>
            <w:tcW w:w="7944" w:type="dxa"/>
          </w:tcPr>
          <w:p w:rsidR="00435051" w:rsidRPr="00C779DC" w:rsidRDefault="00435051" w:rsidP="00C779DC">
            <w:pPr>
              <w:spacing w:after="0" w:line="240" w:lineRule="auto"/>
              <w:rPr>
                <w:rFonts w:ascii="Times New Roman" w:hAnsi="Times New Roman"/>
                <w:i/>
                <w:iCs/>
              </w:rPr>
            </w:pPr>
          </w:p>
        </w:tc>
        <w:tc>
          <w:tcPr>
            <w:tcW w:w="7944"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Sloga</w:t>
            </w:r>
          </w:p>
        </w:tc>
      </w:tr>
      <w:tr w:rsidR="00435051" w:rsidRPr="00C779DC" w:rsidTr="00C77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Virškinimo trakto sutrikimai</w:t>
            </w:r>
          </w:p>
        </w:tc>
        <w:tc>
          <w:tcPr>
            <w:tcW w:w="3153" w:type="dxa"/>
          </w:tcPr>
          <w:p w:rsidR="00435051" w:rsidRPr="00C779DC" w:rsidRDefault="00435051" w:rsidP="00C779DC">
            <w:pPr>
              <w:spacing w:after="0" w:line="240" w:lineRule="auto"/>
              <w:rPr>
                <w:rFonts w:ascii="Times New Roman" w:hAnsi="Times New Roman"/>
                <w:i/>
                <w:iCs/>
              </w:rPr>
            </w:pPr>
            <w:r w:rsidRPr="00C779DC">
              <w:rPr>
                <w:rFonts w:ascii="Times New Roman" w:hAnsi="Times New Roman"/>
              </w:rPr>
              <w:t>Vėmimas</w:t>
            </w:r>
          </w:p>
        </w:tc>
        <w:tc>
          <w:tcPr>
            <w:tcW w:w="3154" w:type="dxa"/>
          </w:tcPr>
          <w:p w:rsidR="00435051" w:rsidRPr="00C779DC" w:rsidRDefault="00435051" w:rsidP="00C779DC">
            <w:pPr>
              <w:spacing w:after="0" w:line="240" w:lineRule="auto"/>
              <w:rPr>
                <w:rFonts w:ascii="Times New Roman" w:hAnsi="Times New Roman"/>
              </w:rPr>
            </w:pPr>
          </w:p>
        </w:tc>
      </w:tr>
      <w:tr w:rsidR="00435051" w:rsidRPr="00C779DC" w:rsidTr="00C77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Borders>
              <w:bottom w:val="single" w:sz="4" w:space="0" w:color="auto"/>
            </w:tcBorders>
          </w:tcPr>
          <w:p w:rsidR="00435051" w:rsidRPr="00C779DC" w:rsidRDefault="00435051" w:rsidP="00C779DC">
            <w:pPr>
              <w:spacing w:after="0" w:line="240" w:lineRule="auto"/>
              <w:rPr>
                <w:rFonts w:ascii="Times New Roman" w:hAnsi="Times New Roman"/>
                <w:i/>
              </w:rPr>
            </w:pPr>
            <w:r w:rsidRPr="00C779DC">
              <w:rPr>
                <w:rFonts w:ascii="Times New Roman" w:hAnsi="Times New Roman"/>
                <w:i/>
              </w:rPr>
              <w:t>Bendrieji sutrikimai ir vartojimo vietos pažeidimai</w:t>
            </w:r>
          </w:p>
        </w:tc>
        <w:tc>
          <w:tcPr>
            <w:tcW w:w="3153" w:type="dxa"/>
            <w:tcBorders>
              <w:bottom w:val="single" w:sz="4" w:space="0" w:color="auto"/>
            </w:tcBorders>
          </w:tcPr>
          <w:p w:rsidR="00435051" w:rsidRPr="00C779DC" w:rsidRDefault="00435051" w:rsidP="00C779DC">
            <w:pPr>
              <w:spacing w:after="0" w:line="240" w:lineRule="auto"/>
              <w:rPr>
                <w:rFonts w:ascii="Times New Roman" w:hAnsi="Times New Roman"/>
                <w:i/>
                <w:iCs/>
              </w:rPr>
            </w:pPr>
          </w:p>
        </w:tc>
        <w:tc>
          <w:tcPr>
            <w:tcW w:w="3154" w:type="dxa"/>
          </w:tcPr>
          <w:p w:rsidR="00435051" w:rsidRPr="00C779DC" w:rsidRDefault="00435051" w:rsidP="00C779DC">
            <w:pPr>
              <w:spacing w:after="0" w:line="240" w:lineRule="auto"/>
              <w:rPr>
                <w:rFonts w:ascii="Times New Roman" w:hAnsi="Times New Roman"/>
              </w:rPr>
            </w:pPr>
            <w:r w:rsidRPr="00C779DC">
              <w:rPr>
                <w:rFonts w:ascii="Times New Roman" w:hAnsi="Times New Roman"/>
              </w:rPr>
              <w:t>Irzlumas </w:t>
            </w:r>
            <w:r w:rsidRPr="00C779DC">
              <w:rPr>
                <w:rFonts w:ascii="Times New Roman" w:hAnsi="Times New Roman"/>
                <w:vertAlign w:val="superscript"/>
              </w:rPr>
              <w:t>3</w:t>
            </w:r>
          </w:p>
        </w:tc>
      </w:tr>
    </w:tbl>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lastRenderedPageBreak/>
        <w:t>1</w:t>
      </w:r>
      <w:r w:rsidRPr="00C779DC">
        <w:rPr>
          <w:rFonts w:ascii="Times New Roman" w:hAnsi="Times New Roman"/>
        </w:rPr>
        <w:t xml:space="preserve"> Bet kuriuo laiku pacientams iki 18 metų nustatyta prolaktino koncentracija: &gt; 20 μg/l (&gt; 869,56 pmol/l) berniukams, &gt; 26 μg/l (&gt; 1130,428 pmol/l) mergaitėms. Mažiau kaip 1 % pacientų nustatyta prolaktino koncentracija &gt; 100 μg/l.</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2</w:t>
      </w:r>
      <w:r w:rsidRPr="00C779DC">
        <w:rPr>
          <w:rFonts w:ascii="Times New Roman" w:hAnsi="Times New Roman"/>
        </w:rPr>
        <w:t xml:space="preserve"> Dviejų trumpalaikių (3</w:t>
      </w:r>
      <w:r w:rsidRPr="00C779DC">
        <w:rPr>
          <w:rFonts w:ascii="Times New Roman" w:hAnsi="Times New Roman"/>
        </w:rPr>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3</w:t>
      </w:r>
      <w:r w:rsidRPr="00C779DC">
        <w:rPr>
          <w:rFonts w:ascii="Times New Roman" w:hAnsi="Times New Roman"/>
        </w:rPr>
        <w:t xml:space="preserve"> Pastaba: irzlumo pasireiškimo dažnis atitinka nustatytą suaugusiems, tačiau jo klinikinė reikšmė vaikams ir paaugliams gali būti kitokia.</w:t>
      </w:r>
    </w:p>
    <w:p w:rsidR="00435051" w:rsidRPr="00C779DC" w:rsidRDefault="00435051" w:rsidP="00435051">
      <w:pPr>
        <w:spacing w:after="0" w:line="240" w:lineRule="auto"/>
        <w:rPr>
          <w:rFonts w:ascii="Times New Roman" w:hAnsi="Times New Roman"/>
        </w:rPr>
      </w:pPr>
      <w:r w:rsidRPr="00C779DC">
        <w:rPr>
          <w:rFonts w:ascii="Times New Roman" w:hAnsi="Times New Roman"/>
          <w:vertAlign w:val="superscript"/>
        </w:rPr>
        <w:t>4</w:t>
      </w:r>
      <w:r w:rsidRPr="00C779DC">
        <w:rPr>
          <w:rFonts w:ascii="Times New Roman" w:hAnsi="Times New Roman"/>
        </w:rPr>
        <w:t xml:space="preserve"> Žr. 5.1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autoSpaceDE w:val="0"/>
        <w:autoSpaceDN w:val="0"/>
        <w:adjustRightInd w:val="0"/>
        <w:spacing w:after="0" w:line="240" w:lineRule="auto"/>
        <w:jc w:val="both"/>
        <w:rPr>
          <w:rFonts w:ascii="Times New Roman" w:hAnsi="Times New Roman"/>
          <w:u w:val="single"/>
        </w:rPr>
      </w:pPr>
      <w:r w:rsidRPr="00C779DC">
        <w:rPr>
          <w:rFonts w:ascii="Times New Roman" w:hAnsi="Times New Roman"/>
          <w:u w:val="single"/>
        </w:rPr>
        <w:t>Pranešimas apie įtariamas nepageidaujamas reakcijas</w:t>
      </w:r>
    </w:p>
    <w:p w:rsidR="00435051" w:rsidRPr="00C779DC" w:rsidRDefault="00435051" w:rsidP="00435051">
      <w:pPr>
        <w:spacing w:after="0" w:line="240" w:lineRule="auto"/>
        <w:rPr>
          <w:rFonts w:ascii="Times New Roman" w:hAnsi="Times New Roman"/>
        </w:rPr>
      </w:pPr>
      <w:r w:rsidRPr="00C779DC">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779DC">
          <w:rPr>
            <w:rFonts w:ascii="Times New Roman" w:eastAsia="SimSun" w:hAnsi="Times New Roman"/>
            <w:u w:val="single"/>
          </w:rPr>
          <w:t>www.vvkt.lt</w:t>
        </w:r>
      </w:hyperlink>
      <w:r w:rsidRPr="00C779DC">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779DC">
          <w:rPr>
            <w:rFonts w:ascii="Times New Roman" w:eastAsia="SimSun" w:hAnsi="Times New Roman"/>
            <w:u w:val="single"/>
          </w:rPr>
          <w:t>NepageidaujamaR@vvkt.lt</w:t>
        </w:r>
      </w:hyperlink>
      <w:r w:rsidRPr="00C779DC">
        <w:rPr>
          <w:rFonts w:ascii="Times New Roman" w:hAnsi="Times New Roman"/>
        </w:rPr>
        <w:t>), per interneto svetainę (adresu http://www.vvkt.lt).</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4.9</w:t>
      </w:r>
      <w:r w:rsidRPr="00C779DC">
        <w:rPr>
          <w:rFonts w:ascii="Times New Roman" w:hAnsi="Times New Roman"/>
          <w:b/>
          <w:bCs/>
        </w:rPr>
        <w:tab/>
        <w:t>Perdozavimas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Simptomai</w:t>
      </w:r>
    </w:p>
    <w:p w:rsidR="00435051" w:rsidRPr="00C779DC" w:rsidRDefault="00435051" w:rsidP="00435051">
      <w:pPr>
        <w:spacing w:after="0" w:line="240" w:lineRule="auto"/>
        <w:rPr>
          <w:rFonts w:ascii="Times New Roman" w:hAnsi="Times New Roman"/>
        </w:rPr>
      </w:pPr>
      <w:r w:rsidRPr="00C779DC">
        <w:rPr>
          <w:rFonts w:ascii="Times New Roman" w:hAnsi="Times New Roman"/>
        </w:rPr>
        <w:t>Dauguma pastebėtų simptomų ir požymių (mieguistumas, sedacija, tachikardija, hipotenzija ir anticholinerginis poveikis) buvo sustiprėjusio veikliosios medžiagos farmakologinio poveikio pasekmės.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Cs/>
        </w:rPr>
      </w:pPr>
      <w:r w:rsidRPr="00C779DC">
        <w:rPr>
          <w:rFonts w:ascii="Times New Roman" w:hAnsi="Times New Roman"/>
        </w:rPr>
        <w:t xml:space="preserve">Perdozavus gali pailgėti QT intervalas, prasidėti traukuliai, ištikti epilepsinė būklė, vykti rabdomiolizė, susilpnėti kvėpavimas, susilaikyti šlapimas, sutrikti orientacija, pasireikšti delyras ir (ar) ažitacija, ištikti koma ir mirtis. </w:t>
      </w:r>
      <w:r w:rsidRPr="00C779DC">
        <w:rPr>
          <w:rFonts w:ascii="Times New Roman" w:hAnsi="Times New Roman"/>
          <w:iCs/>
        </w:rPr>
        <w:t>Pacientams, sergantiems sunkiomis širdies ir kraujagyslių sistemos ligomis, perdozavimo sukeliamų sutrikimų pavojus gali būti didesnis (žr.</w:t>
      </w:r>
      <w:r w:rsidRPr="00C779DC">
        <w:rPr>
          <w:rFonts w:ascii="Times New Roman" w:hAnsi="Times New Roman"/>
        </w:rPr>
        <w:t xml:space="preserve"> </w:t>
      </w:r>
      <w:r w:rsidRPr="00C779DC">
        <w:rPr>
          <w:rFonts w:ascii="Times New Roman" w:hAnsi="Times New Roman"/>
          <w:iCs/>
        </w:rPr>
        <w:t>4.4 skyriuje „Ortostatinė hipotenzija“).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t>Perdozavimo gydymas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Specifinio priešnuodžio kvetiapinui nėra. Jeigu yra stipriai išreikštų požymių, rekomenduojama atsižvelgti į kelių vaistinių preparatų pavartojimo galimybę ir intensyviai gydyti: užtikrinti bei palaikyti kvėpavimo takų praeinamumą, pakankamą oksigenaciją ir plaučių ventiliaciją, stebėti bei palaikyti širdies ir kraujagyslių sistemos veiklą.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Publikuotais duomenimis, delyrą, ažitaciją ir aiškų anticholinerginį sindromą galima gydyti fizostigminu (1</w:t>
      </w:r>
      <w:r w:rsidRPr="00C779DC">
        <w:rPr>
          <w:rFonts w:ascii="Times New Roman" w:hAnsi="Times New Roman"/>
        </w:rPr>
        <w:noBreakHyphen/>
        <w:t>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Absorbcijos trikdymo perdozavus poveikis netirtas, tačiau, jei apsinuodijimas stipriai išreikštas, gali būti tikslinga plauti skrandį (jei įmanoma, per valandą po perdozavimo) ir duoti gerti aktyvintosios anglies.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Perdozavus kvetiapino pasireiškusią refraktorinę hipotenziją reikia atitinkamai gydyti, t.y. leisti skysčių į veną ir (arba) skirti simpatomimetikų. Pažymėtina, kad netinka epinefrinas ir dopaminas, nes dėl beta receptorių stimuliavimo gali pasunkėti hipotenzija esant dėl kvetiapino poveikio užblokuotiems alfa receptoriams.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Pacientui, kol atsigaus, reikia atidžios gydytojo priežiūros ir stebėjimo.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5.</w:t>
      </w:r>
      <w:r w:rsidRPr="00C779DC">
        <w:rPr>
          <w:rFonts w:ascii="Times New Roman" w:hAnsi="Times New Roman"/>
          <w:b/>
          <w:bCs/>
        </w:rPr>
        <w:tab/>
        <w:t>FARMAKOLOGINĖS SAVYBĖS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5.1</w:t>
      </w:r>
      <w:r w:rsidRPr="00C779DC">
        <w:rPr>
          <w:rFonts w:ascii="Times New Roman" w:hAnsi="Times New Roman"/>
          <w:b/>
          <w:bCs/>
        </w:rPr>
        <w:tab/>
        <w:t>Farmakodinaminės savybės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Farmakoterapinė grupė – vaistiniai preparatai nuo psichozės</w:t>
      </w:r>
      <w:r w:rsidR="00C779DC">
        <w:rPr>
          <w:rFonts w:ascii="Times New Roman" w:hAnsi="Times New Roman"/>
        </w:rPr>
        <w:t xml:space="preserve">; </w:t>
      </w:r>
      <w:r w:rsidR="00C779DC" w:rsidRPr="00C779DC">
        <w:rPr>
          <w:rFonts w:ascii="Times New Roman" w:hAnsi="Times New Roman"/>
        </w:rPr>
        <w:t>diazepin</w:t>
      </w:r>
      <w:r w:rsidR="00C779DC">
        <w:rPr>
          <w:rFonts w:ascii="Times New Roman" w:hAnsi="Times New Roman"/>
        </w:rPr>
        <w:t>ai</w:t>
      </w:r>
      <w:r w:rsidR="00C779DC" w:rsidRPr="00C779DC">
        <w:rPr>
          <w:rFonts w:ascii="Times New Roman" w:hAnsi="Times New Roman"/>
        </w:rPr>
        <w:t>, o</w:t>
      </w:r>
      <w:r w:rsidR="00C779DC">
        <w:rPr>
          <w:rFonts w:ascii="Times New Roman" w:hAnsi="Times New Roman"/>
        </w:rPr>
        <w:t>ks</w:t>
      </w:r>
      <w:r w:rsidR="00C779DC" w:rsidRPr="00C779DC">
        <w:rPr>
          <w:rFonts w:ascii="Times New Roman" w:hAnsi="Times New Roman"/>
        </w:rPr>
        <w:t>azepin</w:t>
      </w:r>
      <w:r w:rsidR="00C779DC">
        <w:rPr>
          <w:rFonts w:ascii="Times New Roman" w:hAnsi="Times New Roman"/>
        </w:rPr>
        <w:t xml:space="preserve">ai ir </w:t>
      </w:r>
      <w:r w:rsidR="00C779DC" w:rsidRPr="00C779DC">
        <w:rPr>
          <w:rFonts w:ascii="Times New Roman" w:hAnsi="Times New Roman"/>
        </w:rPr>
        <w:t>tiazepin</w:t>
      </w:r>
      <w:r w:rsidR="00C779DC">
        <w:rPr>
          <w:rFonts w:ascii="Times New Roman" w:hAnsi="Times New Roman"/>
        </w:rPr>
        <w:t>ai</w:t>
      </w:r>
      <w:r w:rsidRPr="00C779DC">
        <w:rPr>
          <w:rFonts w:ascii="Times New Roman" w:hAnsi="Times New Roman"/>
        </w:rPr>
        <w:t>. ATC kodas – N05AH04.</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i/>
          <w:u w:val="single"/>
        </w:rPr>
      </w:pPr>
      <w:r w:rsidRPr="00C779DC">
        <w:rPr>
          <w:rFonts w:ascii="Times New Roman" w:hAnsi="Times New Roman"/>
          <w:i/>
          <w:u w:val="single"/>
        </w:rPr>
        <w:t>Veikimo mechanizmas</w:t>
      </w:r>
    </w:p>
    <w:p w:rsidR="00435051" w:rsidRPr="00C779DC" w:rsidRDefault="00435051" w:rsidP="00435051">
      <w:pPr>
        <w:spacing w:after="0" w:line="240" w:lineRule="auto"/>
        <w:rPr>
          <w:rFonts w:ascii="Times New Roman" w:hAnsi="Times New Roman"/>
          <w:b/>
          <w:i/>
          <w:u w:val="single"/>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Kvetiapinas yra netipinis vaistas nuo psichozės. Nepakitęs kvetiapinas ir norkvetiapinas (aktyvus metabolitas žmogaus plazmoje) sąveikauja su daugelio neuromediatorių receptoriais. Kvetiapinas ir norkvetiapinas turi afinitetą smegenų serotonino (5HT</w:t>
      </w:r>
      <w:r w:rsidRPr="00C779DC">
        <w:rPr>
          <w:rFonts w:ascii="Times New Roman" w:hAnsi="Times New Roman"/>
          <w:bCs/>
          <w:vertAlign w:val="subscript"/>
        </w:rPr>
        <w:t>2</w:t>
      </w:r>
      <w:r w:rsidRPr="00C779DC">
        <w:rPr>
          <w:rFonts w:ascii="Times New Roman" w:hAnsi="Times New Roman"/>
          <w:bCs/>
        </w:rPr>
        <w:t>) bei dopamino D</w:t>
      </w:r>
      <w:r w:rsidRPr="00C779DC">
        <w:rPr>
          <w:rFonts w:ascii="Times New Roman" w:hAnsi="Times New Roman"/>
          <w:bCs/>
          <w:vertAlign w:val="subscript"/>
        </w:rPr>
        <w:t>1</w:t>
      </w:r>
      <w:r w:rsidRPr="00C779DC">
        <w:rPr>
          <w:rFonts w:ascii="Times New Roman" w:hAnsi="Times New Roman"/>
          <w:bCs/>
        </w:rPr>
        <w:t xml:space="preserve"> ir D</w:t>
      </w:r>
      <w:r w:rsidRPr="00C779DC">
        <w:rPr>
          <w:rFonts w:ascii="Times New Roman" w:hAnsi="Times New Roman"/>
          <w:bCs/>
          <w:vertAlign w:val="subscript"/>
        </w:rPr>
        <w:t>2</w:t>
      </w:r>
      <w:r w:rsidRPr="00C779DC">
        <w:rPr>
          <w:rFonts w:ascii="Times New Roman" w:hAnsi="Times New Roman"/>
          <w:bCs/>
        </w:rPr>
        <w:t xml:space="preserve"> receptoriams. Manoma, kad toks antagonizmo receptoriams derinys, kai selektyvumas 5HT</w:t>
      </w:r>
      <w:r w:rsidRPr="00C779DC">
        <w:rPr>
          <w:rFonts w:ascii="Times New Roman" w:hAnsi="Times New Roman"/>
          <w:vertAlign w:val="subscript"/>
        </w:rPr>
        <w:t>2</w:t>
      </w:r>
      <w:r w:rsidRPr="00C779DC">
        <w:rPr>
          <w:rFonts w:ascii="Times New Roman" w:hAnsi="Times New Roman"/>
          <w:bCs/>
        </w:rPr>
        <w:t xml:space="preserve"> receptoriams yra didesnis negu D</w:t>
      </w:r>
      <w:r w:rsidRPr="00C779DC">
        <w:rPr>
          <w:rFonts w:ascii="Times New Roman" w:hAnsi="Times New Roman"/>
          <w:vertAlign w:val="subscript"/>
        </w:rPr>
        <w:t>2</w:t>
      </w:r>
      <w:r w:rsidRPr="00C779DC">
        <w:rPr>
          <w:rFonts w:ascii="Times New Roman" w:hAnsi="Times New Roman"/>
          <w:bCs/>
        </w:rPr>
        <w:t xml:space="preserve">, įtakoja Seroquel klinikines antipsichozines savybes ir silpnesnį negu kitų vaistinių preparatų nuo psichozės nepageidaujamą poveikį ekstrapiramidinei sistemai. </w:t>
      </w:r>
      <w:r w:rsidRPr="00C779DC">
        <w:rPr>
          <w:rFonts w:ascii="Times New Roman" w:hAnsi="Times New Roman"/>
        </w:rPr>
        <w:t xml:space="preserve">Kvetiapinas ir norkvetiapinas neturi pastebimo </w:t>
      </w:r>
      <w:r w:rsidRPr="00C779DC">
        <w:rPr>
          <w:rFonts w:ascii="Times New Roman" w:hAnsi="Times New Roman"/>
          <w:bCs/>
        </w:rPr>
        <w:t>afiniteto benzodiazepinų receptoriams, tačiau</w:t>
      </w:r>
      <w:r w:rsidRPr="00C779DC">
        <w:rPr>
          <w:rFonts w:ascii="Times New Roman" w:hAnsi="Times New Roman"/>
        </w:rPr>
        <w:t xml:space="preserve"> turi didelį afinitetą histaminerginiams ir adrenerginiams </w:t>
      </w:r>
      <w:r w:rsidRPr="00C779DC">
        <w:rPr>
          <w:rFonts w:ascii="Times New Roman" w:hAnsi="Times New Roman"/>
          <w:bCs/>
        </w:rPr>
        <w:t>alfa</w:t>
      </w:r>
      <w:r w:rsidRPr="00C779DC">
        <w:rPr>
          <w:rFonts w:ascii="Times New Roman" w:hAnsi="Times New Roman"/>
          <w:bCs/>
          <w:vertAlign w:val="subscript"/>
        </w:rPr>
        <w:t>1</w:t>
      </w:r>
      <w:r w:rsidRPr="00C779DC">
        <w:rPr>
          <w:rFonts w:ascii="Times New Roman" w:hAnsi="Times New Roman"/>
          <w:bCs/>
        </w:rPr>
        <w:t xml:space="preserve"> receptoriams bei vidutinį afinitetą adrenerginiams alfa</w:t>
      </w:r>
      <w:r w:rsidRPr="00C779DC">
        <w:rPr>
          <w:rFonts w:ascii="Times New Roman" w:hAnsi="Times New Roman"/>
          <w:bCs/>
          <w:vertAlign w:val="subscript"/>
        </w:rPr>
        <w:t>2</w:t>
      </w:r>
      <w:r w:rsidRPr="00C779DC">
        <w:rPr>
          <w:rFonts w:ascii="Times New Roman" w:hAnsi="Times New Roman"/>
          <w:bCs/>
        </w:rPr>
        <w:t xml:space="preserve"> </w:t>
      </w:r>
      <w:r w:rsidRPr="00C779DC">
        <w:rPr>
          <w:rFonts w:ascii="Times New Roman" w:hAnsi="Times New Roman"/>
        </w:rPr>
        <w:t>receptoriams. Be to, kvetiapinas turi mažą afinitetą muskarino receptoriams arba jo neturi, o norkvetiapino afinitetas kai kuriems muskarino receptoriams yra vidutinis arba didelis – tuo paaiškinamas jo anticholinerginis (antimuskarininis) poveikis</w:t>
      </w:r>
      <w:r w:rsidRPr="00C779DC">
        <w:rPr>
          <w:rFonts w:ascii="Times New Roman" w:hAnsi="Times New Roman"/>
          <w:bCs/>
        </w:rPr>
        <w:t xml:space="preserve">. Įtakos Seroquel terapiniam antidepresiniam veiksmingumui gali turėti </w:t>
      </w:r>
      <w:r w:rsidRPr="00C779DC">
        <w:rPr>
          <w:rFonts w:ascii="Times New Roman" w:hAnsi="Times New Roman"/>
        </w:rPr>
        <w:t xml:space="preserve">norkvetiapino sukeliamas norepinefrino nešiklio slopinimas ir dalinis </w:t>
      </w:r>
      <w:r w:rsidRPr="00C779DC">
        <w:rPr>
          <w:rFonts w:ascii="Times New Roman" w:hAnsi="Times New Roman"/>
          <w:bCs/>
        </w:rPr>
        <w:t>agonizmas 5HT</w:t>
      </w:r>
      <w:r w:rsidRPr="00C779DC">
        <w:rPr>
          <w:rFonts w:ascii="Times New Roman" w:hAnsi="Times New Roman"/>
          <w:bCs/>
          <w:vertAlign w:val="subscript"/>
        </w:rPr>
        <w:t>1A</w:t>
      </w:r>
      <w:r w:rsidRPr="00C779DC">
        <w:rPr>
          <w:rFonts w:ascii="Times New Roman" w:hAnsi="Times New Roman"/>
          <w:bCs/>
        </w:rPr>
        <w:t>.</w:t>
      </w:r>
    </w:p>
    <w:p w:rsidR="00435051" w:rsidRPr="00C779DC" w:rsidRDefault="00435051" w:rsidP="00435051">
      <w:pPr>
        <w:spacing w:after="0" w:line="240" w:lineRule="auto"/>
        <w:rPr>
          <w:rFonts w:ascii="Times New Roman" w:hAnsi="Times New Roman"/>
          <w:b/>
        </w:rPr>
      </w:pPr>
    </w:p>
    <w:p w:rsidR="00435051" w:rsidRPr="00C779DC" w:rsidRDefault="00435051" w:rsidP="00435051">
      <w:pPr>
        <w:spacing w:after="0" w:line="240" w:lineRule="auto"/>
        <w:rPr>
          <w:rFonts w:ascii="Times New Roman" w:hAnsi="Times New Roman"/>
          <w:b/>
          <w:i/>
          <w:u w:val="single"/>
        </w:rPr>
      </w:pPr>
      <w:r w:rsidRPr="00C779DC">
        <w:rPr>
          <w:rFonts w:ascii="Times New Roman" w:hAnsi="Times New Roman"/>
          <w:i/>
          <w:u w:val="single"/>
        </w:rPr>
        <w:t>Farmakodinaminis poveikis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Kvetiapino aktyvumą rodo antipsichozinio poveikio mėginiai, pvz., vengimo sąlyginio reflekso. Be to, kvetiapinas blokuoja dopamino agonistų veikimą (vertinamą pagal elgesio arba elektrofiziologinius pokyčius) ir didina dopamino metabolitų koncentracijas (tai yra D</w:t>
      </w:r>
      <w:r w:rsidRPr="00C779DC">
        <w:rPr>
          <w:rFonts w:ascii="Times New Roman" w:hAnsi="Times New Roman"/>
          <w:vertAlign w:val="subscript"/>
        </w:rPr>
        <w:t>2</w:t>
      </w:r>
      <w:r w:rsidRPr="00C779DC">
        <w:rPr>
          <w:rFonts w:ascii="Times New Roman" w:hAnsi="Times New Roman"/>
        </w:rPr>
        <w:t xml:space="preserve"> receptorių blokavimo neurocheminis rodmuo).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Atliekant ikiklinikinius tyrimus, skirtus numatyti nepageidaujamą poveikį ekstrapiramidinei sistemai, nustatytas netipinio (kitokio negu tipinių vaistinių preparatų nuo psichozės) pobūdžio kvetiapino veikimas. Ilgai vartojamas kvetiapinas per daug neįjautrina dopamino D</w:t>
      </w:r>
      <w:r w:rsidRPr="00C779DC">
        <w:rPr>
          <w:rFonts w:ascii="Times New Roman" w:hAnsi="Times New Roman"/>
          <w:vertAlign w:val="subscript"/>
        </w:rPr>
        <w:t>2</w:t>
      </w:r>
      <w:r w:rsidRPr="00C779DC">
        <w:rPr>
          <w:rFonts w:ascii="Times New Roman" w:hAnsi="Times New Roman"/>
        </w:rPr>
        <w:t xml:space="preserve"> receptorių. Jo dozės, efektyvios D</w:t>
      </w:r>
      <w:r w:rsidRPr="00C779DC">
        <w:rPr>
          <w:rFonts w:ascii="Times New Roman" w:hAnsi="Times New Roman"/>
          <w:vertAlign w:val="subscript"/>
        </w:rPr>
        <w:t>2</w:t>
      </w:r>
      <w:r w:rsidRPr="00C779DC">
        <w:rPr>
          <w:rFonts w:ascii="Times New Roman" w:hAnsi="Times New Roman"/>
        </w:rPr>
        <w:t xml:space="preserve"> receptoriams blokuoti, sukelia tik silpną katalepsiją. Ilgai vartojamas kvetiapinas selektyviai veikia limbinę sistemą, sukeldamas depoliarizacinę mezolimbinės (bet ne nigrostriatinės) sistemos dopamino turinčių neuronų blokadą. Distonijas skatinantis kvetiapino, vartojamo trumpai ar ilgai, poveikis haloperidoliu įjautrintoms ir anksčiau negavusioms vaistų Cebus beždžionėms yra minimalus (žr. 4.8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i/>
          <w:u w:val="single"/>
        </w:rPr>
      </w:pPr>
      <w:r w:rsidRPr="00C779DC">
        <w:rPr>
          <w:rFonts w:ascii="Times New Roman" w:hAnsi="Times New Roman"/>
          <w:i/>
          <w:u w:val="single"/>
        </w:rPr>
        <w:t>Klinikinis veiksmingumas</w:t>
      </w:r>
    </w:p>
    <w:p w:rsidR="00435051" w:rsidRPr="00C779DC" w:rsidRDefault="00435051" w:rsidP="00435051">
      <w:pPr>
        <w:spacing w:after="0" w:line="240" w:lineRule="auto"/>
        <w:rPr>
          <w:rFonts w:ascii="Times New Roman" w:hAnsi="Times New Roman"/>
          <w:b/>
          <w:i/>
          <w:u w:val="single"/>
        </w:rPr>
      </w:pPr>
    </w:p>
    <w:p w:rsidR="00435051" w:rsidRPr="00C779DC" w:rsidRDefault="00435051" w:rsidP="00435051">
      <w:pPr>
        <w:spacing w:after="0" w:line="240" w:lineRule="auto"/>
        <w:rPr>
          <w:rFonts w:ascii="Times New Roman" w:hAnsi="Times New Roman"/>
          <w:iCs/>
        </w:rPr>
      </w:pPr>
      <w:r w:rsidRPr="00C779DC">
        <w:rPr>
          <w:rFonts w:ascii="Times New Roman" w:hAnsi="Times New Roman"/>
          <w:iCs/>
        </w:rPr>
        <w:t>Šizofrenija</w:t>
      </w: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Trys placebu kontroliuojami klinikiniai tyrimai, kurių metu šizofrenija sergantys pacientai vartojo įvairias kvetiapino dozes, neparodė skirtingo ekstrapiramidinių sutrikimų pasireiškimo ar būtinybės skirti anticholinerginių vaistinių preparatų dažnio vartojant jo ir placebo. Placebu kontroliuojamas tyrimas, kurio metu vertintas fiksuotų kvetiapino dozių (75</w:t>
      </w:r>
      <w:r w:rsidRPr="00C779DC">
        <w:rPr>
          <w:rFonts w:ascii="Times New Roman" w:hAnsi="Times New Roman"/>
        </w:rPr>
        <w:noBreakHyphen/>
        <w:t xml:space="preserve">750 mg per parą) poveikis, skirtingo ekstrapiramidinių sutrikimų pasireiškimo ar būtinybės skirti anticholinerginių vaistinių preparatų dažnio taip pat neparodė. </w:t>
      </w:r>
      <w:r w:rsidRPr="00C779DC">
        <w:rPr>
          <w:rFonts w:ascii="Times New Roman" w:hAnsi="Times New Roman"/>
          <w:shd w:val="clear" w:color="auto" w:fill="FFFFFF"/>
        </w:rPr>
        <w:t>Ilgalaikis Seroquel veiksmingumas šizofrenijos atkryčių profilaktikai aklais klinikiniais tyrimais nepatikrintas. Vis dėlto atvirų tyrimų metu kvetiapinas buvo veiksmingas šizofrenija sergančių pacientų, kuriems pasireiškė palanki pradinė reakcija į gydymą, būklės klinikiniam pagerėjimui palaikyti tęsiant gydymą – tai rodo šio vaistinio preparato, vartojamo ilgai, tam tikro veiksmingumo galimybę.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Cs/>
        </w:rPr>
      </w:pPr>
      <w:r w:rsidRPr="00C779DC">
        <w:rPr>
          <w:rFonts w:ascii="Times New Roman" w:hAnsi="Times New Roman"/>
          <w:iCs/>
        </w:rPr>
        <w:t>Bipolinis sutrikimas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Atlikti 4 placebu kontroliuojami klinikiniai tyrimai, kurių metu vertintas Seroquel iki 800 mg paros dozių poveikis gydant vidutinio sunkumo ir sunkius manijos epizodus. Dviejų iš jų metu Se</w:t>
      </w:r>
      <w:r w:rsidRPr="00C779DC">
        <w:rPr>
          <w:rFonts w:ascii="Times New Roman" w:hAnsi="Times New Roman"/>
        </w:rPr>
        <w:softHyphen/>
        <w:t xml:space="preserve">roquel vartotas monoterapijai, kitų dviejų – kartu su ličiu arba divalproeksu. Ekstrapiramidinių sutrikimų pasireiškimo ar būtinybės skirti anticholinerginių vaistų dažnio skirtumų vartojant Seroquel ir placebą nenustatyta.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2 monoterapijos klinikiniai tyrimai parodė geresnį už placebo Seroquel veiksmingumą vidutinio sunkumo ir sunkių manijos epizodų simptomams, kurie jie buvo vertinami po 3 ir 12 savaičių, palengvinti. Ilgalaikių Seroquel veiksmingumo vėlesnių manijos ar depresijos epizodų profilaktikai tyrimų duomenų nėra. Seroquel 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Pacientams, kuriems Seroquel buvo veiksmingas, vidutinė paros dozė paskutinę savaitę buvo apie 600 mg, maždaug 85 % iš jų vartojo 400</w:t>
      </w:r>
      <w:r w:rsidRPr="00C779DC">
        <w:rPr>
          <w:rFonts w:ascii="Times New Roman" w:hAnsi="Times New Roman"/>
        </w:rPr>
        <w:noBreakHyphen/>
        <w:t>800 mg.</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Atlikti keturi 8 savaičių trukmės klinikiniai tyrimai, kuriuose dalyvavo I ar II tipo bipolinio sutrikimo vidutinio sunkumo ir sunkių depresijos epizodų patyrę pacientai. Seroquel 300 mg ir 600 mg dozių poveikis buvo reikšmingai palankesnis negu placebo vertinant pagal vidutinį pagerėjimą pagal MADRS skalę ir reakciją, apibūdinamą kaip MADRS bendrojo rodmens pagerėjimas bent 50 % palyginus su buvusiu iki gydymo. Poveikio dydžio skirtumų 300 mg ir 600 mg Seroquel dozes vartojusiems pacientams nenustatyta.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Šių dviejų tyrimų tęstinė fazė parodė, kad pacientų, kuriems buvo veiksminga Seroquel 300 arba 600 mg dozė, ilgalaikis gydymas šiuo vaistiniu preparatu yra veiksmingesnis negu placebu depresijos (bet ne manijos) simptomų požiūriu.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Atlikti 2 atkryčio profilaktikos tyrimai, kurių metu vertintas Seroquel derinio su nuotaikos stabilizatoriais poveikis pacientams, anksčiau patyrusiems manijos, depresijos ir mišrių nuotaikos sutrikimų epizodų. Seroquel derinio su nuotaikos stabilizatoriais poveikis buvo pranašesnis negu nuotaikos stabilizatorių monoterapija pagal laikotarpio iki bet kurio nuotaikos sutrikimo (manijos, depresijos arba mišraus) atkryčio pailgėjimą. Seroquel vartotas 2 kartus per parą (paros dozė buvo 400</w:t>
      </w:r>
      <w:r w:rsidRPr="00C779DC">
        <w:rPr>
          <w:rFonts w:ascii="Times New Roman" w:hAnsi="Times New Roman"/>
        </w:rPr>
        <w:noBreakHyphen/>
        <w:t>800 mg) kartu su ličiu arba valproatu.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6 savaičių trukmės atsitiktinės atrankos tyrimo metu ličio ir Seroquel XR derinio poveikį ūmine manija sergantiems suaugusiems pacientams palyginus su placebo ir  </w:t>
      </w:r>
      <w:r w:rsidRPr="00C779DC">
        <w:rPr>
          <w:rFonts w:ascii="Times New Roman" w:hAnsi="Times New Roman"/>
        </w:rPr>
        <w:lastRenderedPageBreak/>
        <w:t>Seroquel XR derinio poveikiu nustatyta, kad vidutinio pagerėjimo pagal YMRS skalę skirtumas tarp papildomo gydymo ličiu ir placebu grupių pacientų buvo 2,8 balo. Atsakas (YMRS rodiklio pagerėjimas bent 50 % palyginus su pradiniu) papildomo gydymo ličiu grupės pacientams pasireiškė 11 % dažniau negu placebo (atitinkamai 79 % ir 68 %).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Vienas ilgalaikis (iki 2 metų trukmės gydymo) tyrimas,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sutrikimo reiškinio atsinaujinimo.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Klinikiniais tyrimais įrodyta, kad 2 kartus per parą vartojamas Seroquel yra veiksmingas nuo šizofrenijos ir manijos, nors kvetiapino farmakokinetinis pusinis periodas yra apie 7 val. Tą taip pat pagrindžia pozitronų emisijos tomografijos tyrimo duomenys, kurie rodo, kad prie 5HT</w:t>
      </w:r>
      <w:r w:rsidRPr="00C779DC">
        <w:rPr>
          <w:rFonts w:ascii="Times New Roman" w:hAnsi="Times New Roman"/>
          <w:vertAlign w:val="subscript"/>
        </w:rPr>
        <w:t>2</w:t>
      </w:r>
      <w:r w:rsidRPr="00C779DC">
        <w:rPr>
          <w:rFonts w:ascii="Times New Roman" w:hAnsi="Times New Roman"/>
        </w:rPr>
        <w:t xml:space="preserve"> ir D</w:t>
      </w:r>
      <w:r w:rsidRPr="00C779DC">
        <w:rPr>
          <w:rFonts w:ascii="Times New Roman" w:hAnsi="Times New Roman"/>
          <w:vertAlign w:val="subscript"/>
        </w:rPr>
        <w:t>2</w:t>
      </w:r>
      <w:r w:rsidRPr="00C779DC">
        <w:rPr>
          <w:rFonts w:ascii="Times New Roman" w:hAnsi="Times New Roman"/>
        </w:rPr>
        <w:t xml:space="preserve"> receptorių kvetiapinas būna prisijungęs iki 12 val. Didesnių kaip 800 mg paros dozių saugumas ir veiksmingumas netirtas.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u w:val="single"/>
        </w:rPr>
      </w:pPr>
      <w:r w:rsidRPr="00C779DC">
        <w:rPr>
          <w:rFonts w:ascii="Times New Roman" w:hAnsi="Times New Roman"/>
          <w:i/>
          <w:u w:val="single"/>
        </w:rPr>
        <w:t>Klinikinis saugumas</w:t>
      </w:r>
    </w:p>
    <w:p w:rsidR="00435051" w:rsidRPr="00C779DC" w:rsidRDefault="00435051" w:rsidP="00435051">
      <w:pPr>
        <w:spacing w:after="0" w:line="240" w:lineRule="auto"/>
        <w:rPr>
          <w:rFonts w:ascii="Times New Roman" w:hAnsi="Times New Roman"/>
          <w:b/>
          <w:i/>
          <w:u w:val="single"/>
        </w:rPr>
      </w:pPr>
    </w:p>
    <w:p w:rsidR="00435051" w:rsidRPr="00C779DC" w:rsidRDefault="00435051" w:rsidP="00435051">
      <w:pPr>
        <w:spacing w:after="0" w:line="240" w:lineRule="auto"/>
        <w:rPr>
          <w:rFonts w:ascii="Times New Roman" w:hAnsi="Times New Roman"/>
          <w:i/>
        </w:rPr>
      </w:pPr>
      <w:r w:rsidRPr="00C779DC">
        <w:rPr>
          <w:rFonts w:ascii="Times New Roman" w:hAnsi="Times New Roman"/>
        </w:rPr>
        <w:t xml:space="preserve">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 vartojant kvetiapino ir 8 % vartojant placebo,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klinikinių tyrimų, kuriuose dalyvavo bipolinio sutrikimo depresijos faze sirgę pacientai, metu suminis ekstrapiramidinių simptomų pasireiškimo dažnis vartojant kvetiapino buvo 8,9 %, vartojant placebo – 3,8 %. </w:t>
      </w:r>
      <w:r w:rsidRPr="00C779DC">
        <w:rPr>
          <w:rFonts w:ascii="Times New Roman" w:hAnsi="Times New Roman"/>
          <w:shd w:val="clear" w:color="auto" w:fill="FFFFFF"/>
        </w:rPr>
        <w:t xml:space="preserve">Trumpalaikių placebu kontroliuojamų monoterapijos klinikinių tyrimų metu ekstrapiramidinių simptomų iš viso pasireiškė 5,4 % Seroquel XR ir 3,2 % placebo vartojusių pacientų, sirgusių didžiuoju depresijos sutrikimu. </w:t>
      </w:r>
      <w:r w:rsidRPr="00C779DC">
        <w:rPr>
          <w:rFonts w:ascii="Times New Roman" w:hAnsi="Times New Roman"/>
        </w:rPr>
        <w:t>Trumpalaikio placebu kontroliuojamo monoterapijos klinikinio tyrimo, kuriame dalyvavo didžiuoju depresiniu sutrikimu sirgę senyvo amžiaus pacientai, metu suminis ekstrapiramidinių simptomų pasireiškimo dažnis vartojant Seroquel XR buvo 9 %, vartojant placebo – 2,3 %. Nė vienas nepageidaujamas reiškinys (pvz., akatizija, ekstrapiramidiniai sutrikimai, tremoras, diskinezija, distonija, nenustygimas, nevalingi raumenų susitraukimai, psichomotorinis hiperaktyvumas, raumenų stingulys) nepasireiškė daugiau kaip 4 % jokios grupės pacientų, sirgusių bipolinio sutrikimo depresijos faze ar didžiuoju depresiniu sutrikimu.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Trumpalaikių (3</w:t>
      </w:r>
      <w:r w:rsidRPr="00C779DC">
        <w:rPr>
          <w:rFonts w:ascii="Times New Roman" w:hAnsi="Times New Roman"/>
        </w:rPr>
        <w:noBreakHyphen/>
        <w:t>8 savaičių) fiksuotos dozės (50</w:t>
      </w:r>
      <w:r w:rsidRPr="00C779DC">
        <w:rPr>
          <w:rFonts w:ascii="Times New Roman" w:hAnsi="Times New Roman"/>
        </w:rPr>
        <w:noBreakHyphen/>
        <w:t>800 mg per parą) placebu kontroliuojamų tyrimų metu 50 mg kvetiapino per parą vartoję pacientai priaugo vidutiniškai 0,8 kg, vartoję 600 mg – 1,4 kg, vartoję 800 mg – mažiau, o vartoję placebo – 0,2 kg svorio. 7 % ar daugiau kūno svorio priaugo 5,3 % 50 mg kvetiapino per parą, 15,5 % 400 mg kvetiapino per parą (600 mg ar 800 mg kvetiapino per parą vartojusių pacientų procentinė dalis buvo mažesnė) ir 3,7 % placebo vartojusių pacientų.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6 savaičių trukmės atsitiktinės atrankos tyrimo metu ličio ir Seroquel XR derinio poveikį ūmine manija sergantiems suaugusiems pacientams lyginant su placebo ir Seroquel XR derinio poveikiu, nepageidaujamų reiškinių patyrė daugiau (63 %)  Seroquel XR ir litį vartojusių pacientų negu vartojusių Seroquel XR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Seroquel XR ir papildomai ličiu grupės pacientams (12,7 %) negu Seroquel XR ir placebo (5,5 %). Be to, gydymo laikotarpiu ≥ 7 % svorio priaugo daugiau papildomo gydymo ličiu grupės pacientų (8,0 %) negu placebo (4,7 %).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Ilgesnės trukmės atkryčio profilaktikos tyrimai turėjo 4</w:t>
      </w:r>
      <w:r w:rsidRPr="00C779DC">
        <w:rPr>
          <w:rFonts w:ascii="Times New Roman" w:hAnsi="Times New Roman"/>
        </w:rPr>
        <w:noBreakHyphen/>
        <w:t>36 savaičių atvirąjį periodą, kurio metu pacientai vartojo kvetiapino, ir paskesnį atsitiktinės atrankos nutraukimo laikotarpį, kurio metu pacientai buvo atsitiktinai atrinkti vartoti kvetiapino arba placebo. Vartoti kvetiapino atrinkti pacientai per atvirąjį periodą priaugo vidutiniškai 2,56 kg, o iki randomizuoto periodo 48</w:t>
      </w:r>
      <w:r w:rsidRPr="00C779DC">
        <w:rPr>
          <w:rFonts w:ascii="Times New Roman" w:hAnsi="Times New Roman"/>
        </w:rPr>
        <w:noBreakHyphen/>
        <w:t>os savaitės pabaigos – 3,22 kg (palyginus su svoriu atvirojo periodo pradžioje). Vartoti placebo atrinkti pacientai per atvirąjį periodą priaugo vidutiniškai 2,39 kg, o iki randomizuoto periodo 48</w:t>
      </w:r>
      <w:r w:rsidRPr="00C779DC">
        <w:rPr>
          <w:rFonts w:ascii="Times New Roman" w:hAnsi="Times New Roman"/>
        </w:rPr>
        <w:noBreakHyphen/>
        <w:t>os savaitės pabaigos – 0,89 kg (palyginus su svoriu atvirojo periodo pradžioje).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Placebu kontroliuojamų senyvų su demencija susijusia psichoze sergančių pacientų tyrimų metu nepageidaujamų smegenų kraujagyslių reiškinių dažnis 100 paciento metų vartojus kvetiapino nebuvo didesnis negu vartojus placebo.</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Visų trumpalaikių placebu kontroliuojamų monoterapijos tyrimų metu iš pacientų, kurių kraujyje iki gydymo buvo ≥ 1,5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neutrofilų, vėliau vartojusių kvetiapino, &lt; 1,5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neutrofilų bent kartą rasta 1,9 %, o vėliau vartojusių placebo – 1,5 %. Atvejų, kai neutrofilų liko nuo &gt; 0,5 x 10</w:t>
      </w:r>
      <w:r w:rsidRPr="00C779DC">
        <w:rPr>
          <w:rFonts w:ascii="Times New Roman" w:hAnsi="Times New Roman"/>
          <w:vertAlign w:val="superscript"/>
        </w:rPr>
        <w:t>9</w:t>
      </w:r>
      <w:r w:rsidRPr="00C779DC">
        <w:rPr>
          <w:rFonts w:ascii="Times New Roman" w:hAnsi="Times New Roman"/>
        </w:rPr>
        <w:t>/l iki &lt; 1 x 10</w:t>
      </w:r>
      <w:r w:rsidRPr="00C779DC">
        <w:rPr>
          <w:rFonts w:ascii="Times New Roman" w:hAnsi="Times New Roman"/>
          <w:vertAlign w:val="superscript"/>
        </w:rPr>
        <w:t>9</w:t>
      </w:r>
      <w:r w:rsidRPr="00C779DC">
        <w:rPr>
          <w:rFonts w:ascii="Times New Roman" w:hAnsi="Times New Roman"/>
        </w:rPr>
        <w:t>/l, kvetiapino ir placebo vartojusiems pacientams pasitaikė vienodai (0,2 %). Visų klinikinių tyrimų (placebu kontroliuojamų, atvirų ir su lyginamuoju vaistiniu preparatu) metu pacientams, kurių kraujyje iki gydymo buvo ≥ 1,5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neutrofilų, vėliau vartojus kvetiapino &lt; 1,5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neutrofilų bent kartą rasta 2,9 %, o &lt; 0,5 </w:t>
      </w:r>
      <w:r w:rsidRPr="00C779DC">
        <w:rPr>
          <w:rFonts w:ascii="Times New Roman" w:hAnsi="Times New Roman"/>
        </w:rPr>
        <w:sym w:font="Symbol" w:char="F0B4"/>
      </w:r>
      <w:r w:rsidRPr="00C779DC">
        <w:rPr>
          <w:rFonts w:ascii="Times New Roman" w:hAnsi="Times New Roman"/>
        </w:rPr>
        <w:t> 10</w:t>
      </w:r>
      <w:r w:rsidRPr="00C779DC">
        <w:rPr>
          <w:rFonts w:ascii="Times New Roman" w:hAnsi="Times New Roman"/>
          <w:vertAlign w:val="superscript"/>
        </w:rPr>
        <w:t>9</w:t>
      </w:r>
      <w:r w:rsidRPr="00C779DC">
        <w:rPr>
          <w:rFonts w:ascii="Times New Roman" w:hAnsi="Times New Roman"/>
        </w:rPr>
        <w:t>/l – 0,21 %.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Vartojant kvetiapino, priklausomai nuo dozės sumažėdavo skydliaukės hormonų koncentracijos. TSH koncentracijos pokyčių užfiksuota 3,2 % kvetiapino ir 2,7 % placebo vartojusių pacientų. Reciprokinių, potencialiai reikšmingų klinikai T</w:t>
      </w:r>
      <w:r w:rsidRPr="00C779DC">
        <w:rPr>
          <w:rFonts w:ascii="Times New Roman" w:hAnsi="Times New Roman"/>
          <w:vertAlign w:val="subscript"/>
        </w:rPr>
        <w:t>3</w:t>
      </w:r>
      <w:r w:rsidRPr="00C779DC">
        <w:rPr>
          <w:rFonts w:ascii="Times New Roman" w:hAnsi="Times New Roman"/>
        </w:rPr>
        <w:t xml:space="preserve"> ar T</w:t>
      </w:r>
      <w:r w:rsidRPr="00C779DC">
        <w:rPr>
          <w:rFonts w:ascii="Times New Roman" w:hAnsi="Times New Roman"/>
          <w:vertAlign w:val="subscript"/>
        </w:rPr>
        <w:t>4</w:t>
      </w:r>
      <w:r w:rsidRPr="00C779DC">
        <w:rPr>
          <w:rFonts w:ascii="Times New Roman" w:hAnsi="Times New Roman"/>
        </w:rPr>
        <w:t xml:space="preserve"> ir kartu TSH koncentracijos pokylių šių tyrimų metu pasitaikė retai, o pastebėtieji jų pokyčiai nebuvo susiję su klinikiniais hipotirozės simptomais.</w:t>
      </w:r>
    </w:p>
    <w:p w:rsidR="00435051" w:rsidRPr="00C779DC" w:rsidRDefault="00435051" w:rsidP="00435051">
      <w:pPr>
        <w:spacing w:after="0" w:line="240" w:lineRule="auto"/>
        <w:rPr>
          <w:rFonts w:ascii="Times New Roman" w:hAnsi="Times New Roman"/>
        </w:rPr>
      </w:pPr>
      <w:r w:rsidRPr="00C779DC">
        <w:rPr>
          <w:rFonts w:ascii="Times New Roman" w:hAnsi="Times New Roman"/>
        </w:rPr>
        <w:t>Bendrojo ir laisvojo T</w:t>
      </w:r>
      <w:r w:rsidRPr="00C779DC">
        <w:rPr>
          <w:rFonts w:ascii="Times New Roman" w:hAnsi="Times New Roman"/>
          <w:vertAlign w:val="subscript"/>
        </w:rPr>
        <w:t>4</w:t>
      </w:r>
      <w:r w:rsidRPr="00C779DC">
        <w:rPr>
          <w:rFonts w:ascii="Times New Roman" w:hAnsi="Times New Roman"/>
        </w:rPr>
        <w:t xml:space="preserve"> koncentracijos ryškiausiai sumažėdavo per pirmąsias 6 kvetiapino vartojimo savaites, ilgalaikio gydymo metu jos toliau nemažėdavo. Maždaug 2/3 atvejų kvetiapino poveikis bendrojo ir laisvojo T</w:t>
      </w:r>
      <w:r w:rsidRPr="00C779DC">
        <w:rPr>
          <w:rFonts w:ascii="Times New Roman" w:hAnsi="Times New Roman"/>
          <w:vertAlign w:val="subscript"/>
        </w:rPr>
        <w:t>4</w:t>
      </w:r>
      <w:r w:rsidRPr="00C779DC">
        <w:rPr>
          <w:rFonts w:ascii="Times New Roman" w:hAnsi="Times New Roman"/>
        </w:rPr>
        <w:t xml:space="preserve"> koncentracijoms išnyko jo vartojimą nutraukus (nepriklausomai nuo jo trukmės).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Cs/>
        </w:rPr>
      </w:pPr>
      <w:r w:rsidRPr="00C779DC">
        <w:rPr>
          <w:rFonts w:ascii="Times New Roman" w:hAnsi="Times New Roman"/>
          <w:iCs/>
        </w:rPr>
        <w:t>Katarakta ar lęšiuko drumstis</w:t>
      </w:r>
    </w:p>
    <w:p w:rsidR="00435051" w:rsidRPr="00C779DC" w:rsidRDefault="00435051" w:rsidP="00435051">
      <w:pPr>
        <w:spacing w:after="0" w:line="240" w:lineRule="auto"/>
        <w:rPr>
          <w:rFonts w:ascii="Times New Roman" w:hAnsi="Times New Roman"/>
        </w:rPr>
      </w:pPr>
      <w:r w:rsidRPr="00C779DC">
        <w:rPr>
          <w:rFonts w:ascii="Times New Roman" w:hAnsi="Times New Roman"/>
        </w:rPr>
        <w:t>Klinikinio tyrimo metu palyginus potencialų kataraktą sukeliantį Seroquel (200</w:t>
      </w:r>
      <w:r w:rsidRPr="00C779DC">
        <w:rPr>
          <w:rFonts w:ascii="Times New Roman" w:hAnsi="Times New Roman"/>
        </w:rPr>
        <w:noBreakHyphen/>
        <w:t>800 mg per parą) ir risperidono (2-8 mg per parą) poveikį šizofrenija ar šizoafektiniu sutrikimu sergantiems pacientams, po bent 21 mėn. trukusio vartojimo nustatyta, kad pacientų, kuriems padidėjo lęšiuko drumsties laipsnis, dalis Seroquel grupėje (4 %) nebuvo didesnė negu risperidono (10 %).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i/>
        </w:rPr>
      </w:pPr>
      <w:r w:rsidRPr="00C779DC">
        <w:rPr>
          <w:rFonts w:ascii="Times New Roman" w:hAnsi="Times New Roman"/>
          <w:bCs/>
          <w:i/>
        </w:rPr>
        <w:t>Vaikų populiacija</w:t>
      </w:r>
    </w:p>
    <w:p w:rsidR="00435051" w:rsidRPr="00C779DC" w:rsidRDefault="00435051" w:rsidP="00435051">
      <w:pPr>
        <w:spacing w:after="0" w:line="240" w:lineRule="auto"/>
        <w:rPr>
          <w:rFonts w:ascii="Times New Roman" w:hAnsi="Times New Roman"/>
          <w:u w:val="single"/>
        </w:rPr>
      </w:pPr>
    </w:p>
    <w:p w:rsidR="00435051" w:rsidRPr="00C779DC" w:rsidRDefault="00435051" w:rsidP="00435051">
      <w:pPr>
        <w:spacing w:after="0" w:line="240" w:lineRule="auto"/>
        <w:rPr>
          <w:rFonts w:ascii="Times New Roman" w:hAnsi="Times New Roman"/>
          <w:bCs/>
          <w:u w:val="single"/>
        </w:rPr>
      </w:pPr>
      <w:r w:rsidRPr="00C779DC">
        <w:rPr>
          <w:rFonts w:ascii="Times New Roman" w:hAnsi="Times New Roman"/>
          <w:bCs/>
          <w:u w:val="single"/>
        </w:rPr>
        <w:lastRenderedPageBreak/>
        <w:t>Klinikinis veiksmingumas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veiksmingumas ir saugumas manijai gydyti tirti atliekant 3 savaičių trukmės placebu kontroliuojamą tyrimą (n = 284, dalyvavo 10</w:t>
      </w:r>
      <w:r w:rsidRPr="00C779DC">
        <w:rPr>
          <w:rFonts w:ascii="Times New Roman" w:hAnsi="Times New Roman"/>
        </w:rPr>
        <w:noBreakHyphen/>
        <w:t>17 metų pacientai iš JAV). Apie 45 % tyrime dalyvavusių pacientų taip pat buvo diagnozuotas dėmesio trūkumo ir hiperaktyvumo sutrikimas. Be to, atliktas 6 savaičių trukmės placebu kontro</w:t>
      </w:r>
      <w:r w:rsidRPr="00C779DC">
        <w:rPr>
          <w:rFonts w:ascii="Times New Roman" w:hAnsi="Times New Roman"/>
        </w:rPr>
        <w:softHyphen/>
        <w:t>liuojamas šizofrenijos gydymo tyrimas (n = 222, dalyvavo 13</w:t>
      </w:r>
      <w:r w:rsidRPr="00C779DC">
        <w:rPr>
          <w:rFonts w:ascii="Times New Roman" w:hAnsi="Times New Roman"/>
        </w:rPr>
        <w:noBreakHyphen/>
        <w:t>17 metų pacientai). Į abu tyrimus neįtraukta pacientų, kuriems anksčiau buvo nustatytas Seroquel neveiksmingumas. Gydymas Seroquel buvo pradedamas nuo 50 mg per parą, antros paros dozė buvo 100 mg, vėliau dozė didinta iki tikslinės (manija sergantiems pacientams – 400</w:t>
      </w:r>
      <w:r w:rsidRPr="00C779DC">
        <w:rPr>
          <w:rFonts w:ascii="Times New Roman" w:hAnsi="Times New Roman"/>
        </w:rPr>
        <w:noBreakHyphen/>
        <w:t>600 mg per parą, sergantiems šizofrenija – 400</w:t>
      </w:r>
      <w:r w:rsidRPr="00C779DC">
        <w:rPr>
          <w:rFonts w:ascii="Times New Roman" w:hAnsi="Times New Roman"/>
        </w:rPr>
        <w:noBreakHyphen/>
        <w:t>800 mg per parą) pridedant po 100 mg per parą, o paros dozę padalijant į 2</w:t>
      </w:r>
      <w:r w:rsidRPr="00C779DC">
        <w:rPr>
          <w:rFonts w:ascii="Times New Roman" w:hAnsi="Times New Roman"/>
        </w:rPr>
        <w:noBreakHyphen/>
        <w:t xml:space="preserve">3 vienkartines.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Manijos tyrimo metu YMRS (angl. </w:t>
      </w:r>
      <w:r w:rsidRPr="00C779DC">
        <w:rPr>
          <w:rFonts w:ascii="Times New Roman" w:hAnsi="Times New Roman"/>
          <w:i/>
        </w:rPr>
        <w:t>Young Mania Rating Scale</w:t>
      </w:r>
      <w:r w:rsidRPr="00C779DC">
        <w:rPr>
          <w:rFonts w:ascii="Times New Roman" w:hAnsi="Times New Roman"/>
        </w:rPr>
        <w:t xml:space="preserve"> – jauno amžiaus pacientų manijos vertinimo skalė) bendrojo rodmens (aktyvus gydymas minus placebas) mažiausių kvadratų metodu apskaičiuoto vidutinio pokyčio, palyginus su buvusiu iki gydymo, skirtumas vartojus 400 mg Seroquel per parą buvo –5,21, o vartojus 600 mg Seroquel per parą –6,56. Atsakas (YMRS pagerėjimas ≥ 50 %) pasireiškė 64 % 400 mg Seroquel per parą, 58 % 600 mg Seroquel per parą ir 37 % placebą vartojusių pacientų.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Šizofrenijos tyrimo metu PANSS (angl. </w:t>
      </w:r>
      <w:r w:rsidRPr="00C779DC">
        <w:rPr>
          <w:rFonts w:ascii="Times New Roman" w:hAnsi="Times New Roman"/>
          <w:i/>
        </w:rPr>
        <w:t>Positive and Negative Syndrome Scale</w:t>
      </w:r>
      <w:r w:rsidRPr="00C779DC">
        <w:rPr>
          <w:rFonts w:ascii="Times New Roman" w:hAnsi="Times New Roman"/>
        </w:rPr>
        <w:t xml:space="preserve"> – pozityvių ir negatyvių sindromų skalė) bendrojo rodmens (aktyvus gydymas minus placebas) mažiausių kvadratų metodu apskaičiuoto vidutinio pokyčio, palyginus su buvusiu iki gydymo, skirtumas vartojus 400 mg Seroquel per parą buvo –8,16, o vartojus 800 mg Seroquel per parą –9,29. Nei maža (400 mg per parą), nei didelė (800 mg per parą) kvetiapino dozė nesukėlė geresnio negu placebas poveikio vertinant pagal procentą pacientų, kuriems pasireiškė atsakas, apibūdintas kaip PANSS bendrojo rodmens sumažėjimas ≥ 30 %. Pažymėtina, kad didesnės dozės manijos ir šizofrenijos gydymo grupėse atsakas pasireiškė mažesniam pacientų skaičiui.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Trečias trumpalaikis placebu kontroliuojamas Seroquel XR monoterapijos tyrimas neįrodė veiksmingumo bipolinio sutrikimo depresijos faze sergantiems 10-17 metų vaikams ir paaugliams.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Duomenų apie poveikio palaikymą ar atkryčio profilaktiką šios amžiaus grupės pacientams nėra.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Klinikinis saugumas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buvo dar 2 tokie reiškiniai 2 pacientams, iš kurių vienas tuo metu vartojo kvetiapiną.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Ilgalaikis saugumas</w:t>
      </w: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Po trumpalaikių tyrimų atlikus 26 savaičių trukmės atvirą tęstinį tyrimą, gauta papildomų saugumo duomenų (jame dalyvavo 380 pacientų, Seroquel paros dozė buvo koreguojama 400-800 mg ribose). Gauta pranešimų apie padidėjusį vaikų ir paauglių kraujospūdį. Vaikams ir paaugliams dažniau negu suaugusiesiems užfiksuotas padidėjęs apetitas, ekstrapiramidinių simptomų ir padidėjusi prolaktino koncentracija serume (žr. 4.4 ir 4.8 skyrius). Vertinant svorio prieaugį, klinikai reikšmingu laikytas pagal normalų ilgalaikį augimą koreguotas kūno masės indekso padidėjimas, sudaręs bent 0,5 standartinio nuokrypio. Šį kriterijų atitiko 18,3 % pacientų, bent 26 savaites vartojusių kvetiapiną.</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5.2</w:t>
      </w:r>
      <w:r w:rsidRPr="00C779DC">
        <w:rPr>
          <w:rFonts w:ascii="Times New Roman" w:hAnsi="Times New Roman"/>
          <w:b/>
          <w:bCs/>
        </w:rPr>
        <w:tab/>
        <w:t>Farmakokinetinės savybės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Absorbcija</w:t>
      </w:r>
    </w:p>
    <w:p w:rsidR="00435051" w:rsidRPr="00C779DC" w:rsidRDefault="00435051" w:rsidP="00435051">
      <w:pPr>
        <w:spacing w:after="0" w:line="240" w:lineRule="auto"/>
        <w:rPr>
          <w:rFonts w:ascii="Times New Roman" w:hAnsi="Times New Roman"/>
          <w:bCs/>
        </w:rPr>
      </w:pPr>
      <w:r w:rsidRPr="00C779DC">
        <w:rPr>
          <w:rFonts w:ascii="Times New Roman" w:hAnsi="Times New Roman"/>
        </w:rPr>
        <w:t xml:space="preserve">Išgertas kvetiapinas gerai absorbuojamas ir ekstensyviai metabolizuojamas. Maistas neturi reikšmingos įtakos kvetiapino biologiniam prieinamumui. </w:t>
      </w:r>
      <w:r w:rsidRPr="00C779DC">
        <w:rPr>
          <w:rFonts w:ascii="Times New Roman" w:hAnsi="Times New Roman"/>
          <w:bCs/>
        </w:rPr>
        <w:t xml:space="preserve">Aktyvaus metabolito </w:t>
      </w:r>
      <w:r w:rsidRPr="00C779DC">
        <w:rPr>
          <w:rFonts w:ascii="Times New Roman" w:hAnsi="Times New Roman"/>
        </w:rPr>
        <w:t>norkvetiapino</w:t>
      </w:r>
      <w:r w:rsidRPr="00C779DC">
        <w:rPr>
          <w:rFonts w:ascii="Times New Roman" w:hAnsi="Times New Roman"/>
          <w:bCs/>
        </w:rPr>
        <w:t xml:space="preserve"> didžiausia pusiausvyrinė molinė koncentracija sudaro 35 % atitinkamos kvetiapino koncentracijos. Vartojant registruotas dozes, kvetiapino ir norkvetiapino farmakokinetika būna tiesinė.</w:t>
      </w:r>
    </w:p>
    <w:p w:rsidR="00435051" w:rsidRPr="00C779DC" w:rsidRDefault="00435051" w:rsidP="00435051">
      <w:pPr>
        <w:spacing w:after="0" w:line="240" w:lineRule="auto"/>
        <w:rPr>
          <w:rFonts w:ascii="Times New Roman" w:hAnsi="Times New Roman"/>
          <w:b/>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Pasiskirstymas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Maždaug 83 % </w:t>
      </w:r>
      <w:r w:rsidRPr="00C779DC">
        <w:rPr>
          <w:rFonts w:ascii="Times New Roman" w:hAnsi="Times New Roman"/>
          <w:bCs/>
        </w:rPr>
        <w:t xml:space="preserve">kvetiapino </w:t>
      </w:r>
      <w:r w:rsidRPr="00C779DC">
        <w:rPr>
          <w:rFonts w:ascii="Times New Roman" w:hAnsi="Times New Roman"/>
        </w:rPr>
        <w:t>būna prisijungusio prie plazmos baltymų.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Biotransformacija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Kvetiapinas ekstensyviai metabolizuojamas kepenyse. Pavartojus radioaktyviu izotopu žymėto kvetiapino, nepakitęs vaistas išmatose ir šlapime sudaro mažiau kaip 5 %. Tyrimais </w:t>
      </w:r>
      <w:r w:rsidRPr="00C779DC">
        <w:rPr>
          <w:rFonts w:ascii="Times New Roman" w:hAnsi="Times New Roman"/>
          <w:i/>
        </w:rPr>
        <w:t>in vitro</w:t>
      </w:r>
      <w:r w:rsidRPr="00C779DC">
        <w:rPr>
          <w:rFonts w:ascii="Times New Roman" w:hAnsi="Times New Roman"/>
        </w:rPr>
        <w:t xml:space="preserve"> nustatyta, kad pagrindinis nuo citochromo P450 priklausomo kvetiapino metabolizmo fermentas yra CYP3A4. Daugiausia norkvetiapino susidaro ir eliminuojama veikiant CYP3A4.</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Maždaug 73 % radioaktyvumo randama šlapime, 21 % – išmatose.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Nustatyta, kad kvetiapinas ir keli jo metabolitai (įskaitant norkvetiapiną) silpnai slopina žmogaus citochromo P450 izofermentus 1A2, 2C9, 2C19, 2D6 ir 3A4 </w:t>
      </w:r>
      <w:r w:rsidRPr="00C779DC">
        <w:rPr>
          <w:rFonts w:ascii="Times New Roman" w:hAnsi="Times New Roman"/>
          <w:i/>
        </w:rPr>
        <w:t>in vitro</w:t>
      </w:r>
      <w:r w:rsidRPr="00C779DC">
        <w:rPr>
          <w:rFonts w:ascii="Times New Roman" w:hAnsi="Times New Roman"/>
        </w:rPr>
        <w:t>, bet tik kai koncentracijos maždaug 5</w:t>
      </w:r>
      <w:r w:rsidRPr="00C779DC">
        <w:rPr>
          <w:rFonts w:ascii="Times New Roman" w:hAnsi="Times New Roman"/>
        </w:rPr>
        <w:noBreakHyphen/>
        <w:t>50 kartų viršija susidarančias žmogui vartojant 300</w:t>
      </w:r>
      <w:r w:rsidRPr="00C779DC">
        <w:rPr>
          <w:rFonts w:ascii="Times New Roman" w:hAnsi="Times New Roman"/>
        </w:rPr>
        <w:noBreakHyphen/>
        <w:t xml:space="preserve">800 mg per parą. Remiantis šių tyrimų </w:t>
      </w:r>
      <w:r w:rsidRPr="00C779DC">
        <w:rPr>
          <w:rFonts w:ascii="Times New Roman" w:hAnsi="Times New Roman"/>
          <w:i/>
        </w:rPr>
        <w:t>in vitro</w:t>
      </w:r>
      <w:r w:rsidRPr="00C779DC">
        <w:rPr>
          <w:rFonts w:ascii="Times New Roman" w:hAnsi="Times New Roman"/>
        </w:rPr>
        <w:t xml:space="preserve"> duomenimis, nereikėtų tikėtis, kad kartu vartojamas kvetiapinas kliniškai reikšmingai slopintų nuo citochromo P450 priklausomą kitų vaistų metabolizmą.</w:t>
      </w:r>
      <w:r w:rsidRPr="00C779DC">
        <w:rPr>
          <w:rFonts w:ascii="Times New Roman" w:hAnsi="Times New Roman"/>
          <w:b/>
        </w:rPr>
        <w:t xml:space="preserve"> </w:t>
      </w:r>
      <w:r w:rsidRPr="00C779DC">
        <w:rPr>
          <w:rFonts w:ascii="Times New Roman" w:hAnsi="Times New Roman"/>
        </w:rPr>
        <w:t>Tyrimų su gyvūnais duomenimis, citochromo P450 izofermentus kvetiapinas gali indukuoti. Vis dėlto atliekant specialų sąveikos psichoze sergančių pacientų organizme tyrimą, citochromo P450 izofermentų aktyvumo padidėjimo vartojant kvetiapino nenustatyta.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u w:val="single"/>
        </w:rPr>
        <w:t>Eliminacija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Kvetiapino </w:t>
      </w:r>
      <w:r w:rsidRPr="00C779DC">
        <w:rPr>
          <w:rFonts w:ascii="Times New Roman" w:hAnsi="Times New Roman"/>
          <w:bCs/>
        </w:rPr>
        <w:t>pusinis</w:t>
      </w:r>
      <w:r w:rsidRPr="00C779DC">
        <w:rPr>
          <w:rFonts w:ascii="Times New Roman" w:hAnsi="Times New Roman"/>
        </w:rPr>
        <w:t xml:space="preserve"> eliminacijos </w:t>
      </w:r>
      <w:r w:rsidRPr="00C779DC">
        <w:rPr>
          <w:rFonts w:ascii="Times New Roman" w:hAnsi="Times New Roman"/>
          <w:bCs/>
        </w:rPr>
        <w:t>periodas</w:t>
      </w:r>
      <w:r w:rsidRPr="00C779DC">
        <w:rPr>
          <w:rFonts w:ascii="Times New Roman" w:hAnsi="Times New Roman"/>
        </w:rPr>
        <w:t xml:space="preserve"> yra </w:t>
      </w:r>
      <w:r w:rsidRPr="00C779DC">
        <w:rPr>
          <w:rFonts w:ascii="Times New Roman" w:hAnsi="Times New Roman"/>
          <w:bCs/>
        </w:rPr>
        <w:t>apie</w:t>
      </w:r>
      <w:r w:rsidRPr="00C779DC">
        <w:rPr>
          <w:rFonts w:ascii="Times New Roman" w:hAnsi="Times New Roman"/>
        </w:rPr>
        <w:t xml:space="preserve"> 7 val</w:t>
      </w:r>
      <w:r w:rsidRPr="00C779DC">
        <w:rPr>
          <w:rFonts w:ascii="Times New Roman" w:hAnsi="Times New Roman"/>
          <w:bCs/>
        </w:rPr>
        <w:t>., norkvetiapino – apie</w:t>
      </w:r>
      <w:r w:rsidRPr="00C779DC">
        <w:rPr>
          <w:rFonts w:ascii="Times New Roman" w:hAnsi="Times New Roman"/>
        </w:rPr>
        <w:t xml:space="preserve"> 12 val. Vidutinė laisvojo kvetiapino ir jo aktyvaus metabolito žmogaus plazmoje norkvetiapino molinė dozės dalis, išskiriama su šlapimu, yra mažesnė kaip 5 %.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rPr>
      </w:pPr>
      <w:r w:rsidRPr="00C779DC">
        <w:rPr>
          <w:rFonts w:ascii="Times New Roman" w:hAnsi="Times New Roman"/>
          <w:i/>
        </w:rPr>
        <w:t>Lytis</w:t>
      </w:r>
    </w:p>
    <w:p w:rsidR="00435051" w:rsidRPr="00C779DC" w:rsidRDefault="00435051" w:rsidP="00435051">
      <w:pPr>
        <w:spacing w:after="0" w:line="240" w:lineRule="auto"/>
        <w:rPr>
          <w:rFonts w:ascii="Times New Roman" w:hAnsi="Times New Roman"/>
          <w:bCs/>
        </w:rPr>
      </w:pPr>
      <w:r w:rsidRPr="00C779DC">
        <w:rPr>
          <w:rFonts w:ascii="Times New Roman" w:hAnsi="Times New Roman"/>
        </w:rPr>
        <w:t>Kvetiapino farmakokinetika vyrų ir moterų organizme nesiskiria.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iCs/>
        </w:rPr>
      </w:pPr>
      <w:r w:rsidRPr="00C779DC">
        <w:rPr>
          <w:rFonts w:ascii="Times New Roman" w:hAnsi="Times New Roman"/>
          <w:i/>
          <w:iCs/>
        </w:rPr>
        <w:t xml:space="preserve">Senyvas amžius </w:t>
      </w:r>
    </w:p>
    <w:p w:rsidR="00435051" w:rsidRPr="00C779DC" w:rsidRDefault="00435051" w:rsidP="00435051">
      <w:pPr>
        <w:spacing w:after="0" w:line="240" w:lineRule="auto"/>
        <w:rPr>
          <w:rFonts w:ascii="Times New Roman" w:hAnsi="Times New Roman"/>
        </w:rPr>
      </w:pPr>
      <w:r w:rsidRPr="00C779DC">
        <w:rPr>
          <w:rFonts w:ascii="Times New Roman" w:hAnsi="Times New Roman"/>
        </w:rPr>
        <w:t>Vidutinis kvetiapino klirensas senyvų žmonių organizme yra maždaug 30</w:t>
      </w:r>
      <w:r w:rsidRPr="00C779DC">
        <w:rPr>
          <w:rFonts w:ascii="Times New Roman" w:hAnsi="Times New Roman"/>
        </w:rPr>
        <w:noBreakHyphen/>
        <w:t>50 % mažesnis negu 18</w:t>
      </w:r>
      <w:r w:rsidRPr="00C779DC">
        <w:rPr>
          <w:rFonts w:ascii="Times New Roman" w:hAnsi="Times New Roman"/>
        </w:rPr>
        <w:noBreakHyphen/>
        <w:t>65</w:t>
      </w:r>
      <w:r w:rsidRPr="00C779DC">
        <w:rPr>
          <w:rFonts w:ascii="Times New Roman" w:hAnsi="Times New Roman"/>
          <w:bCs/>
        </w:rPr>
        <w:t xml:space="preserve"> </w:t>
      </w:r>
      <w:r w:rsidRPr="00C779DC">
        <w:rPr>
          <w:rFonts w:ascii="Times New Roman" w:hAnsi="Times New Roman"/>
        </w:rPr>
        <w:t>metų suaugusiųjų.</w:t>
      </w:r>
    </w:p>
    <w:p w:rsidR="00435051" w:rsidRPr="00C779DC" w:rsidRDefault="00435051" w:rsidP="00435051">
      <w:pPr>
        <w:spacing w:after="0" w:line="240" w:lineRule="auto"/>
        <w:rPr>
          <w:rFonts w:ascii="Times New Roman" w:hAnsi="Times New Roman"/>
          <w:bCs/>
          <w:i/>
        </w:rPr>
      </w:pPr>
    </w:p>
    <w:p w:rsidR="00435051" w:rsidRPr="00C779DC" w:rsidRDefault="00435051" w:rsidP="00435051">
      <w:pPr>
        <w:spacing w:after="0" w:line="240" w:lineRule="auto"/>
        <w:rPr>
          <w:rFonts w:ascii="Times New Roman" w:hAnsi="Times New Roman"/>
          <w:bCs/>
          <w:i/>
          <w:iCs/>
        </w:rPr>
      </w:pPr>
      <w:r w:rsidRPr="00C779DC">
        <w:rPr>
          <w:rFonts w:ascii="Times New Roman" w:hAnsi="Times New Roman"/>
          <w:bCs/>
          <w:i/>
          <w:iCs/>
        </w:rPr>
        <w:lastRenderedPageBreak/>
        <w:t>Sutrikusi inkstų funkcija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Vidutinis kvetiapino plazminis klirensas sunkiu inkstų nepakankamumu (kreatinino klirensas &lt; 30 ml/min/1,73 m</w:t>
      </w:r>
      <w:r w:rsidRPr="00C779DC">
        <w:rPr>
          <w:rFonts w:ascii="Times New Roman" w:hAnsi="Times New Roman"/>
          <w:vertAlign w:val="superscript"/>
        </w:rPr>
        <w:t>2</w:t>
      </w:r>
      <w:r w:rsidRPr="00C779DC">
        <w:rPr>
          <w:rFonts w:ascii="Times New Roman" w:hAnsi="Times New Roman"/>
        </w:rPr>
        <w:t>) sergančių žmonių organizme būna maždaug 25 % mažesnis, tačiau individualus klirensas išlieka tokiose ribose kaip sveikiems žmonėms.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iCs/>
        </w:rPr>
      </w:pPr>
      <w:r w:rsidRPr="00C779DC">
        <w:rPr>
          <w:rFonts w:ascii="Times New Roman" w:hAnsi="Times New Roman"/>
          <w:i/>
          <w:iCs/>
        </w:rPr>
        <w:t>Sutrikusi kepenų funkcija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Vidutinis kvetiapino plazminis klirensas žmonių, kurių kepenų funkcija sutrikusi (sergančių stabilia alkoholine ciroze) organizme būna maždaug 25 % mažesnis. Didelė kvetiapino dalis metabolizuojama kepenyse, todėl pacientų, kurių kepenų funkcija sutrikusi, plazmoje turėtų susidaryti didesnė koncentracija. Jiems gali tekti koreguoti šio vaistinio preparato dozę (žr. 4.2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i/>
          <w:iCs/>
        </w:rPr>
      </w:pPr>
      <w:r w:rsidRPr="00C779DC">
        <w:rPr>
          <w:rFonts w:ascii="Times New Roman" w:hAnsi="Times New Roman"/>
          <w:i/>
          <w:iCs/>
        </w:rPr>
        <w:t>Vaikų populiacija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Farmakokinetikos duomenys gauti tiriant 9 vaikus (10</w:t>
      </w:r>
      <w:r w:rsidRPr="00C779DC">
        <w:rPr>
          <w:rFonts w:ascii="Times New Roman" w:hAnsi="Times New Roman"/>
        </w:rPr>
        <w:noBreakHyphen/>
        <w:t xml:space="preserve">12 metų amžiaus) ir 12 paauglių, kuriems vartojant po 400 mg kvetiapino 2 kartus per parą buvo nusistovėjusi pusiausvyros koncentracija. Pusiausvyros sąlygomis pagal dozę koreguota nepakitusio kvetiapino koncentracija </w:t>
      </w:r>
      <w:r w:rsidRPr="00C779DC">
        <w:rPr>
          <w:rFonts w:ascii="Times New Roman" w:hAnsi="Times New Roman"/>
          <w:bCs/>
        </w:rPr>
        <w:t>10</w:t>
      </w:r>
      <w:r w:rsidRPr="00C779DC">
        <w:rPr>
          <w:rFonts w:ascii="Times New Roman" w:hAnsi="Times New Roman"/>
          <w:bCs/>
        </w:rPr>
        <w:noBreakHyphen/>
        <w:t>17 metų v</w:t>
      </w:r>
      <w:r w:rsidRPr="00C779DC">
        <w:rPr>
          <w:rFonts w:ascii="Times New Roman" w:hAnsi="Times New Roman"/>
        </w:rPr>
        <w:t>aikų ir paauglių plazmoje paprastai būdavo panaši kaip suaugusiųjų, tik C</w:t>
      </w:r>
      <w:r w:rsidRPr="00C779DC">
        <w:rPr>
          <w:rFonts w:ascii="Times New Roman" w:hAnsi="Times New Roman"/>
          <w:vertAlign w:val="subscript"/>
        </w:rPr>
        <w:t>max</w:t>
      </w:r>
      <w:r w:rsidRPr="00C779DC">
        <w:rPr>
          <w:rFonts w:ascii="Times New Roman" w:hAnsi="Times New Roman"/>
        </w:rPr>
        <w:t xml:space="preserve"> vaikams buvo ties viršutine suaugusiems nustatyto diapazono riba. Aktyvaus metabolito norkvetiapino AUC 10</w:t>
      </w:r>
      <w:r w:rsidRPr="00C779DC">
        <w:rPr>
          <w:rFonts w:ascii="Times New Roman" w:hAnsi="Times New Roman"/>
        </w:rPr>
        <w:noBreakHyphen/>
        <w:t>12 metų vaikų plazmoje buvo didesnis negu suaugusiųjų 62 %, C</w:t>
      </w:r>
      <w:r w:rsidRPr="00C779DC">
        <w:rPr>
          <w:rFonts w:ascii="Times New Roman" w:hAnsi="Times New Roman"/>
          <w:vertAlign w:val="subscript"/>
        </w:rPr>
        <w:t>max</w:t>
      </w:r>
      <w:r w:rsidRPr="00C779DC">
        <w:rPr>
          <w:rFonts w:ascii="Times New Roman" w:hAnsi="Times New Roman"/>
        </w:rPr>
        <w:t xml:space="preserve"> – 49 %, o 13</w:t>
      </w:r>
      <w:r w:rsidRPr="00C779DC">
        <w:rPr>
          <w:rFonts w:ascii="Times New Roman" w:hAnsi="Times New Roman"/>
        </w:rPr>
        <w:noBreakHyphen/>
        <w:t>17 metų paauglių – atitinkamai 28 % ir 14 %.</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5.3</w:t>
      </w:r>
      <w:r w:rsidRPr="00C779DC">
        <w:rPr>
          <w:rFonts w:ascii="Times New Roman" w:hAnsi="Times New Roman"/>
          <w:b/>
          <w:bCs/>
        </w:rPr>
        <w:tab/>
        <w:t>Ikiklinikinių saugumo tyrimų duomenys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Eilė genotoksiškumo tyrimų </w:t>
      </w:r>
      <w:r w:rsidRPr="00C779DC">
        <w:rPr>
          <w:rFonts w:ascii="Times New Roman" w:hAnsi="Times New Roman"/>
          <w:i/>
        </w:rPr>
        <w:t>in vitro</w:t>
      </w:r>
      <w:r w:rsidRPr="00C779DC">
        <w:rPr>
          <w:rFonts w:ascii="Times New Roman" w:hAnsi="Times New Roman"/>
        </w:rPr>
        <w:t xml:space="preserve"> ir </w:t>
      </w:r>
      <w:r w:rsidRPr="00C779DC">
        <w:rPr>
          <w:rFonts w:ascii="Times New Roman" w:hAnsi="Times New Roman"/>
          <w:i/>
        </w:rPr>
        <w:t>in vivo</w:t>
      </w:r>
      <w:r w:rsidRPr="00C779DC">
        <w:rPr>
          <w:rFonts w:ascii="Times New Roman" w:hAnsi="Times New Roman"/>
        </w:rPr>
        <w:t xml:space="preserve"> genotoksinio poveikio neparodė. Esant kliniškai reikšmingai ekspozicijai, laboratoriniams gyvūnams rasta šių ilgalaikiais klinikiniais tyrimais nepatvirtintų nukrypimų: pigmento sankaupų skydliaukėje (žiurkėms); skydliaukės folikulinių ląstelių hipertrofija, sumažėjusi T3 koncentracija plazmoje, sumažėjusi hemoglobino koncentracija bei sumažėjęs eritrocitų ir leukocitų skaičius (Cynomolgus beždžionėms); lęšių drumstis ir katarakta (šunims) (dėl kataraktos ir lęšiuko drumsties žr. 5.1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Tiriant poveikį žiurkių vaisingumui, nustatytas ribinis patinų vaisingumo sumažėjimas, pseudovaikingumų, prailgėjusių lytinio neaktyvumo (</w:t>
      </w:r>
      <w:r w:rsidRPr="00C779DC">
        <w:rPr>
          <w:rFonts w:ascii="Times New Roman" w:hAnsi="Times New Roman"/>
          <w:i/>
          <w:iCs/>
        </w:rPr>
        <w:t>diestrus</w:t>
      </w:r>
      <w:r w:rsidRPr="00C779DC">
        <w:rPr>
          <w:rFonts w:ascii="Times New Roman" w:hAnsi="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w:t>
      </w:r>
      <w:r w:rsidRPr="00C779DC">
        <w:rPr>
          <w:rFonts w:ascii="Times New Roman" w:hAnsi="Times New Roman"/>
          <w:b/>
          <w:bCs/>
        </w:rPr>
        <w:tab/>
        <w:t>FARMACINĖ INFORMACIJA</w:t>
      </w:r>
    </w:p>
    <w:p w:rsidR="00435051" w:rsidRPr="00C779DC" w:rsidRDefault="00435051" w:rsidP="00435051">
      <w:pPr>
        <w:tabs>
          <w:tab w:val="left" w:pos="567"/>
        </w:tabs>
        <w:spacing w:after="0" w:line="240" w:lineRule="auto"/>
        <w:rPr>
          <w:rFonts w:ascii="Times New Roman" w:hAnsi="Times New Roman"/>
          <w:b/>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6.1</w:t>
      </w:r>
      <w:r w:rsidRPr="00C779DC">
        <w:rPr>
          <w:rFonts w:ascii="Times New Roman" w:hAnsi="Times New Roman"/>
          <w:b/>
          <w:bCs/>
        </w:rPr>
        <w:tab/>
        <w:t>Pagalbinių medžiagų sąrašas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Šerdis</w:t>
      </w:r>
    </w:p>
    <w:p w:rsidR="00435051" w:rsidRPr="00C779DC" w:rsidRDefault="00435051" w:rsidP="00435051">
      <w:pPr>
        <w:spacing w:after="0" w:line="240" w:lineRule="auto"/>
        <w:rPr>
          <w:rFonts w:ascii="Times New Roman" w:hAnsi="Times New Roman"/>
        </w:rPr>
      </w:pPr>
      <w:r w:rsidRPr="00C779DC">
        <w:rPr>
          <w:rFonts w:ascii="Times New Roman" w:hAnsi="Times New Roman"/>
        </w:rPr>
        <w:t>Povidonas</w:t>
      </w:r>
    </w:p>
    <w:p w:rsidR="00435051" w:rsidRPr="00C779DC" w:rsidRDefault="00435051" w:rsidP="00435051">
      <w:pPr>
        <w:spacing w:after="0" w:line="240" w:lineRule="auto"/>
        <w:rPr>
          <w:rFonts w:ascii="Times New Roman" w:hAnsi="Times New Roman"/>
        </w:rPr>
      </w:pPr>
      <w:r w:rsidRPr="00C779DC">
        <w:rPr>
          <w:rFonts w:ascii="Times New Roman" w:hAnsi="Times New Roman"/>
        </w:rPr>
        <w:t>Kalcio-vandenilio fosfatas dihidratas</w:t>
      </w:r>
    </w:p>
    <w:p w:rsidR="00435051" w:rsidRPr="00C779DC" w:rsidRDefault="00435051" w:rsidP="00435051">
      <w:pPr>
        <w:spacing w:after="0" w:line="240" w:lineRule="auto"/>
        <w:rPr>
          <w:rFonts w:ascii="Times New Roman" w:hAnsi="Times New Roman"/>
        </w:rPr>
      </w:pPr>
      <w:r w:rsidRPr="00C779DC">
        <w:rPr>
          <w:rFonts w:ascii="Times New Roman" w:hAnsi="Times New Roman"/>
        </w:rPr>
        <w:t>Mikrokristalinė celiuliozė</w:t>
      </w: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Karboksimetilkrakmolo A natrio druska</w:t>
      </w:r>
    </w:p>
    <w:p w:rsidR="00435051" w:rsidRPr="00C779DC" w:rsidRDefault="00435051" w:rsidP="00435051">
      <w:pPr>
        <w:spacing w:after="0" w:line="240" w:lineRule="auto"/>
        <w:rPr>
          <w:rFonts w:ascii="Times New Roman" w:hAnsi="Times New Roman"/>
        </w:rPr>
      </w:pPr>
      <w:r w:rsidRPr="00C779DC">
        <w:rPr>
          <w:rFonts w:ascii="Times New Roman" w:hAnsi="Times New Roman"/>
        </w:rPr>
        <w:t>Laktozė monohidratas</w:t>
      </w:r>
    </w:p>
    <w:p w:rsidR="00435051" w:rsidRPr="00C779DC" w:rsidRDefault="00435051" w:rsidP="00435051">
      <w:pPr>
        <w:spacing w:after="0" w:line="240" w:lineRule="auto"/>
        <w:rPr>
          <w:rFonts w:ascii="Times New Roman" w:hAnsi="Times New Roman"/>
        </w:rPr>
      </w:pPr>
      <w:r w:rsidRPr="00C779DC">
        <w:rPr>
          <w:rFonts w:ascii="Times New Roman" w:hAnsi="Times New Roman"/>
        </w:rPr>
        <w:t>Magnio stearatas</w:t>
      </w:r>
    </w:p>
    <w:p w:rsidR="00435051" w:rsidRPr="00C779DC" w:rsidRDefault="00435051" w:rsidP="00435051">
      <w:pPr>
        <w:spacing w:after="0" w:line="240" w:lineRule="auto"/>
        <w:rPr>
          <w:rFonts w:ascii="Times New Roman" w:hAnsi="Times New Roman"/>
          <w:u w:val="single"/>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Plėvelė</w:t>
      </w:r>
    </w:p>
    <w:p w:rsidR="00435051" w:rsidRPr="00C779DC" w:rsidRDefault="00435051" w:rsidP="00435051">
      <w:pPr>
        <w:spacing w:after="0" w:line="240" w:lineRule="auto"/>
        <w:rPr>
          <w:rFonts w:ascii="Times New Roman" w:hAnsi="Times New Roman"/>
        </w:rPr>
      </w:pPr>
      <w:r w:rsidRPr="00C779DC">
        <w:rPr>
          <w:rFonts w:ascii="Times New Roman" w:hAnsi="Times New Roman"/>
        </w:rPr>
        <w:t>Hipromeliozė 2910</w:t>
      </w:r>
    </w:p>
    <w:p w:rsidR="00435051" w:rsidRPr="00C779DC" w:rsidRDefault="00435051" w:rsidP="00435051">
      <w:pPr>
        <w:spacing w:after="0" w:line="240" w:lineRule="auto"/>
        <w:rPr>
          <w:rFonts w:ascii="Times New Roman" w:hAnsi="Times New Roman"/>
        </w:rPr>
      </w:pPr>
      <w:r w:rsidRPr="00C779DC">
        <w:rPr>
          <w:rFonts w:ascii="Times New Roman" w:hAnsi="Times New Roman"/>
        </w:rPr>
        <w:t>Makrogolis 400</w:t>
      </w:r>
    </w:p>
    <w:p w:rsidR="00435051" w:rsidRPr="00C779DC" w:rsidRDefault="00435051" w:rsidP="00435051">
      <w:pPr>
        <w:spacing w:after="0" w:line="240" w:lineRule="auto"/>
        <w:rPr>
          <w:rFonts w:ascii="Times New Roman" w:hAnsi="Times New Roman"/>
        </w:rPr>
      </w:pPr>
      <w:r w:rsidRPr="00C779DC">
        <w:rPr>
          <w:rFonts w:ascii="Times New Roman" w:hAnsi="Times New Roman"/>
        </w:rPr>
        <w:t>Titano dioksidas (E171)</w:t>
      </w:r>
    </w:p>
    <w:p w:rsidR="00435051" w:rsidRPr="00C779DC" w:rsidRDefault="00435051" w:rsidP="00435051">
      <w:pPr>
        <w:spacing w:after="0" w:line="240" w:lineRule="auto"/>
        <w:rPr>
          <w:rFonts w:ascii="Times New Roman" w:hAnsi="Times New Roman"/>
        </w:rPr>
      </w:pPr>
      <w:r w:rsidRPr="00C779DC">
        <w:rPr>
          <w:rFonts w:ascii="Times New Roman" w:hAnsi="Times New Roman"/>
        </w:rPr>
        <w:t>Geltonasis geležies oksidas (E172) (25 mg ir 100 mg tabletėse)</w:t>
      </w:r>
    </w:p>
    <w:p w:rsidR="00435051" w:rsidRPr="00C779DC" w:rsidRDefault="00435051" w:rsidP="00435051">
      <w:pPr>
        <w:spacing w:after="0" w:line="240" w:lineRule="auto"/>
        <w:rPr>
          <w:rFonts w:ascii="Times New Roman" w:hAnsi="Times New Roman"/>
        </w:rPr>
      </w:pPr>
      <w:r w:rsidRPr="00C779DC">
        <w:rPr>
          <w:rFonts w:ascii="Times New Roman" w:hAnsi="Times New Roman"/>
        </w:rPr>
        <w:t>Raudonasis geležies oksidas (E172) (25 mg tabletėse)</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6.2</w:t>
      </w:r>
      <w:r w:rsidRPr="00C779DC">
        <w:rPr>
          <w:rFonts w:ascii="Times New Roman" w:hAnsi="Times New Roman"/>
          <w:b/>
          <w:bCs/>
        </w:rPr>
        <w:tab/>
        <w:t>Nesuderinamumas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Duomenys nebūtini.</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6.3</w:t>
      </w:r>
      <w:r w:rsidRPr="00C779DC">
        <w:rPr>
          <w:rFonts w:ascii="Times New Roman" w:hAnsi="Times New Roman"/>
          <w:b/>
          <w:bCs/>
        </w:rPr>
        <w:tab/>
        <w:t>Tinkamumo laikas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3 metai.</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6.4</w:t>
      </w:r>
      <w:r w:rsidRPr="00C779DC">
        <w:rPr>
          <w:rFonts w:ascii="Times New Roman" w:hAnsi="Times New Roman"/>
          <w:b/>
          <w:bCs/>
        </w:rPr>
        <w:tab/>
        <w:t>Specialios laikymo sąlygos</w:t>
      </w:r>
    </w:p>
    <w:p w:rsidR="00435051" w:rsidRPr="00C779DC" w:rsidRDefault="00435051" w:rsidP="00435051">
      <w:pPr>
        <w:tabs>
          <w:tab w:val="left" w:pos="567"/>
        </w:tabs>
        <w:spacing w:after="0" w:line="240" w:lineRule="auto"/>
        <w:rPr>
          <w:rFonts w:ascii="Times New Roman" w:hAnsi="Times New Roman"/>
          <w:b/>
          <w:i/>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Laikyti ne aukštesnėje kaip 30</w:t>
      </w:r>
      <w:r w:rsidRPr="00C779DC">
        <w:rPr>
          <w:rFonts w:ascii="Times New Roman" w:hAnsi="Times New Roman"/>
        </w:rPr>
        <w:sym w:font="Symbol" w:char="F0B0"/>
      </w:r>
      <w:r w:rsidRPr="00C779DC">
        <w:rPr>
          <w:rFonts w:ascii="Times New Roman" w:hAnsi="Times New Roman"/>
        </w:rPr>
        <w:t>C temperatūroje.</w:t>
      </w:r>
    </w:p>
    <w:p w:rsidR="00435051" w:rsidRPr="00C779DC" w:rsidRDefault="00435051" w:rsidP="00435051">
      <w:pPr>
        <w:tabs>
          <w:tab w:val="left" w:pos="567"/>
        </w:tabs>
        <w:spacing w:after="0" w:line="240" w:lineRule="auto"/>
        <w:rPr>
          <w:rFonts w:ascii="Times New Roman" w:hAnsi="Times New Roman"/>
          <w:b/>
          <w:i/>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6.5</w:t>
      </w:r>
      <w:r w:rsidRPr="00C779DC">
        <w:rPr>
          <w:rFonts w:ascii="Times New Roman" w:hAnsi="Times New Roman"/>
          <w:b/>
          <w:bCs/>
        </w:rPr>
        <w:tab/>
        <w:t>Talpyklės pobūdis ir jos turinys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PVC ir aliuminio folijos lizdinės plokštelės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Pakuotės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Lizdinės plokštelės:</w:t>
      </w:r>
    </w:p>
    <w:p w:rsidR="00435051" w:rsidRPr="00C779DC" w:rsidRDefault="00435051" w:rsidP="00435051">
      <w:pPr>
        <w:spacing w:after="0" w:line="240" w:lineRule="auto"/>
        <w:rPr>
          <w:rFonts w:ascii="Times New Roman" w:hAnsi="Times New Roman"/>
        </w:rPr>
      </w:pPr>
    </w:p>
    <w:tbl>
      <w:tblPr>
        <w:tblW w:w="0" w:type="auto"/>
        <w:tblInd w:w="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2147"/>
        <w:gridCol w:w="3402"/>
      </w:tblGrid>
      <w:tr w:rsidR="00435051" w:rsidRPr="00C779DC" w:rsidTr="00C779DC">
        <w:trPr>
          <w:cantSplit/>
          <w:tblHeader/>
        </w:trPr>
        <w:tc>
          <w:tcPr>
            <w:tcW w:w="2700" w:type="dxa"/>
            <w:tcBorders>
              <w:top w:val="single" w:sz="6" w:space="0" w:color="auto"/>
              <w:left w:val="single" w:sz="6" w:space="0" w:color="auto"/>
              <w:bottom w:val="nil"/>
              <w:right w:val="nil"/>
            </w:tcBorders>
            <w:shd w:val="pct5" w:color="auto" w:fill="auto"/>
          </w:tcPr>
          <w:p w:rsidR="00435051" w:rsidRPr="00C779DC" w:rsidRDefault="00435051" w:rsidP="00C779DC">
            <w:pPr>
              <w:spacing w:after="0" w:line="240" w:lineRule="auto"/>
              <w:rPr>
                <w:rFonts w:ascii="Times New Roman" w:hAnsi="Times New Roman"/>
              </w:rPr>
            </w:pPr>
            <w:r w:rsidRPr="00C779DC">
              <w:rPr>
                <w:rFonts w:ascii="Times New Roman" w:hAnsi="Times New Roman"/>
                <w:b/>
                <w:bCs/>
                <w:i/>
                <w:iCs/>
              </w:rPr>
              <w:t>Tabletės stiprumas</w:t>
            </w:r>
          </w:p>
        </w:tc>
        <w:tc>
          <w:tcPr>
            <w:tcW w:w="2147" w:type="dxa"/>
            <w:tcBorders>
              <w:top w:val="single" w:sz="6" w:space="0" w:color="auto"/>
              <w:left w:val="nil"/>
              <w:bottom w:val="nil"/>
              <w:right w:val="nil"/>
            </w:tcBorders>
            <w:shd w:val="pct5" w:color="auto" w:fill="auto"/>
          </w:tcPr>
          <w:p w:rsidR="00435051" w:rsidRPr="00C779DC" w:rsidRDefault="00435051" w:rsidP="00C779DC">
            <w:pPr>
              <w:spacing w:after="0" w:line="240" w:lineRule="auto"/>
              <w:rPr>
                <w:rFonts w:ascii="Times New Roman" w:hAnsi="Times New Roman"/>
              </w:rPr>
            </w:pPr>
            <w:r w:rsidRPr="00C779DC">
              <w:rPr>
                <w:rFonts w:ascii="Times New Roman" w:hAnsi="Times New Roman"/>
                <w:b/>
                <w:bCs/>
                <w:i/>
                <w:iCs/>
              </w:rPr>
              <w:t>Dėžutė</w:t>
            </w:r>
          </w:p>
        </w:tc>
        <w:tc>
          <w:tcPr>
            <w:tcW w:w="3402" w:type="dxa"/>
            <w:tcBorders>
              <w:top w:val="single" w:sz="6" w:space="0" w:color="auto"/>
              <w:left w:val="nil"/>
              <w:bottom w:val="nil"/>
              <w:right w:val="single" w:sz="6" w:space="0" w:color="auto"/>
            </w:tcBorders>
            <w:shd w:val="pct5" w:color="auto" w:fill="auto"/>
          </w:tcPr>
          <w:p w:rsidR="00435051" w:rsidRPr="00C779DC" w:rsidRDefault="00435051" w:rsidP="00C779DC">
            <w:pPr>
              <w:spacing w:after="0" w:line="240" w:lineRule="auto"/>
              <w:rPr>
                <w:rFonts w:ascii="Times New Roman" w:hAnsi="Times New Roman"/>
              </w:rPr>
            </w:pPr>
            <w:r w:rsidRPr="00C779DC">
              <w:rPr>
                <w:rFonts w:ascii="Times New Roman" w:hAnsi="Times New Roman"/>
                <w:b/>
                <w:bCs/>
                <w:i/>
                <w:iCs/>
              </w:rPr>
              <w:t>Lizdinė plokštelė</w:t>
            </w:r>
          </w:p>
        </w:tc>
      </w:tr>
      <w:tr w:rsidR="00435051" w:rsidRPr="00C779DC" w:rsidTr="00C779DC">
        <w:tc>
          <w:tcPr>
            <w:tcW w:w="2700" w:type="dxa"/>
            <w:tcBorders>
              <w:top w:val="nil"/>
              <w:left w:val="single" w:sz="6" w:space="0" w:color="auto"/>
              <w:bottom w:val="nil"/>
              <w:right w:val="nil"/>
            </w:tcBorders>
          </w:tcPr>
          <w:p w:rsidR="00435051" w:rsidRPr="00C779DC" w:rsidRDefault="00435051" w:rsidP="00C779DC">
            <w:pPr>
              <w:keepNext/>
              <w:keepLines/>
              <w:tabs>
                <w:tab w:val="left" w:pos="0"/>
                <w:tab w:val="left" w:pos="8496"/>
              </w:tabs>
              <w:suppressAutoHyphens/>
              <w:spacing w:after="0" w:line="240" w:lineRule="auto"/>
              <w:ind w:left="567" w:hanging="567"/>
              <w:rPr>
                <w:rFonts w:ascii="Times New Roman" w:hAnsi="Times New Roman"/>
                <w:i/>
                <w:iCs/>
              </w:rPr>
            </w:pPr>
            <w:r w:rsidRPr="00C779DC">
              <w:rPr>
                <w:rFonts w:ascii="Times New Roman" w:hAnsi="Times New Roman"/>
                <w:b/>
                <w:bCs/>
                <w:i/>
                <w:iCs/>
              </w:rPr>
              <w:t>100 mg, 200 mg tabletės</w:t>
            </w:r>
          </w:p>
        </w:tc>
        <w:tc>
          <w:tcPr>
            <w:tcW w:w="2147" w:type="dxa"/>
            <w:tcBorders>
              <w:top w:val="nil"/>
              <w:left w:val="nil"/>
              <w:bottom w:val="nil"/>
              <w:right w:val="nil"/>
            </w:tcBorders>
          </w:tcPr>
          <w:p w:rsidR="00435051" w:rsidRPr="00C779DC" w:rsidRDefault="00435051" w:rsidP="00C779DC">
            <w:pPr>
              <w:spacing w:after="0" w:line="240" w:lineRule="auto"/>
              <w:rPr>
                <w:rFonts w:ascii="Times New Roman" w:hAnsi="Times New Roman"/>
              </w:rPr>
            </w:pPr>
            <w:r w:rsidRPr="00C779DC">
              <w:rPr>
                <w:rFonts w:ascii="Times New Roman" w:hAnsi="Times New Roman"/>
                <w:i/>
                <w:iCs/>
              </w:rPr>
              <w:t>60 tablečių</w:t>
            </w:r>
          </w:p>
        </w:tc>
        <w:tc>
          <w:tcPr>
            <w:tcW w:w="3402" w:type="dxa"/>
            <w:tcBorders>
              <w:top w:val="nil"/>
              <w:left w:val="nil"/>
              <w:bottom w:val="nil"/>
              <w:right w:val="single" w:sz="6" w:space="0" w:color="auto"/>
            </w:tcBorders>
          </w:tcPr>
          <w:p w:rsidR="00435051" w:rsidRPr="00C779DC" w:rsidRDefault="00435051" w:rsidP="00C779DC">
            <w:pPr>
              <w:spacing w:after="0" w:line="240" w:lineRule="auto"/>
              <w:rPr>
                <w:rFonts w:ascii="Times New Roman" w:hAnsi="Times New Roman"/>
              </w:rPr>
            </w:pPr>
            <w:r w:rsidRPr="00C779DC">
              <w:rPr>
                <w:rFonts w:ascii="Times New Roman" w:hAnsi="Times New Roman"/>
                <w:i/>
                <w:iCs/>
              </w:rPr>
              <w:t>6 lizdinės plokštelės po 10 tablečių</w:t>
            </w:r>
          </w:p>
        </w:tc>
      </w:tr>
      <w:tr w:rsidR="00435051" w:rsidRPr="00C779DC" w:rsidTr="00C779DC">
        <w:tc>
          <w:tcPr>
            <w:tcW w:w="2700" w:type="dxa"/>
            <w:tcBorders>
              <w:top w:val="single" w:sz="6" w:space="0" w:color="auto"/>
              <w:left w:val="single" w:sz="6" w:space="0" w:color="auto"/>
              <w:bottom w:val="single" w:sz="6" w:space="0" w:color="auto"/>
              <w:right w:val="nil"/>
            </w:tcBorders>
          </w:tcPr>
          <w:p w:rsidR="00435051" w:rsidRPr="00C779DC" w:rsidRDefault="00435051" w:rsidP="00C779DC">
            <w:pPr>
              <w:spacing w:after="0" w:line="240" w:lineRule="auto"/>
              <w:rPr>
                <w:rFonts w:ascii="Times New Roman" w:hAnsi="Times New Roman"/>
              </w:rPr>
            </w:pPr>
            <w:r w:rsidRPr="00C779DC">
              <w:rPr>
                <w:rFonts w:ascii="Times New Roman" w:hAnsi="Times New Roman"/>
                <w:b/>
                <w:bCs/>
                <w:i/>
                <w:iCs/>
              </w:rPr>
              <w:t>4-ių dienų pradinė pakuotė</w:t>
            </w:r>
          </w:p>
        </w:tc>
        <w:tc>
          <w:tcPr>
            <w:tcW w:w="2147" w:type="dxa"/>
            <w:tcBorders>
              <w:top w:val="single" w:sz="6" w:space="0" w:color="auto"/>
              <w:left w:val="nil"/>
              <w:bottom w:val="single" w:sz="6" w:space="0" w:color="auto"/>
              <w:right w:val="nil"/>
            </w:tcBorders>
          </w:tcPr>
          <w:p w:rsidR="00435051" w:rsidRPr="00C779DC" w:rsidRDefault="00435051" w:rsidP="00C779DC">
            <w:pPr>
              <w:spacing w:after="0" w:line="240" w:lineRule="auto"/>
              <w:rPr>
                <w:rFonts w:ascii="Times New Roman" w:hAnsi="Times New Roman"/>
              </w:rPr>
            </w:pPr>
            <w:r w:rsidRPr="00C779DC">
              <w:rPr>
                <w:rFonts w:ascii="Times New Roman" w:hAnsi="Times New Roman"/>
                <w:i/>
                <w:iCs/>
              </w:rPr>
              <w:t>10 tablečių</w:t>
            </w:r>
          </w:p>
        </w:tc>
        <w:tc>
          <w:tcPr>
            <w:tcW w:w="3402" w:type="dxa"/>
            <w:tcBorders>
              <w:top w:val="single" w:sz="6" w:space="0" w:color="auto"/>
              <w:left w:val="nil"/>
              <w:bottom w:val="single" w:sz="6" w:space="0" w:color="auto"/>
              <w:right w:val="single" w:sz="6" w:space="0" w:color="auto"/>
            </w:tcBorders>
          </w:tcPr>
          <w:p w:rsidR="00435051" w:rsidRPr="00C779DC" w:rsidRDefault="00435051" w:rsidP="00C779DC">
            <w:pPr>
              <w:spacing w:after="0" w:line="240" w:lineRule="auto"/>
              <w:rPr>
                <w:rFonts w:ascii="Times New Roman" w:hAnsi="Times New Roman"/>
              </w:rPr>
            </w:pPr>
            <w:r w:rsidRPr="00C779DC">
              <w:rPr>
                <w:rFonts w:ascii="Times New Roman" w:hAnsi="Times New Roman"/>
                <w:i/>
                <w:iCs/>
              </w:rPr>
              <w:t>1 lizdinėje plokštelėje yra 6 x 25 mg, 3 x 100 mg ir 1 x 200 mg tabletės</w:t>
            </w:r>
          </w:p>
        </w:tc>
      </w:tr>
    </w:tbl>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Gali būti tiekiamos ne visų dydžių pakuotės.</w:t>
      </w: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6.6</w:t>
      </w:r>
      <w:r w:rsidRPr="00C779DC">
        <w:rPr>
          <w:rFonts w:ascii="Times New Roman" w:hAnsi="Times New Roman"/>
          <w:b/>
          <w:bCs/>
        </w:rPr>
        <w:tab/>
        <w:t>Specialūs reikalavimai atliekoms tvarkyti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Specialių reikalavimų nėra.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7.</w:t>
      </w:r>
      <w:r w:rsidRPr="00C779DC">
        <w:rPr>
          <w:rFonts w:ascii="Times New Roman" w:hAnsi="Times New Roman"/>
          <w:b/>
          <w:bCs/>
        </w:rPr>
        <w:tab/>
      </w:r>
      <w:r w:rsidRPr="00C779DC">
        <w:rPr>
          <w:rFonts w:ascii="Times New Roman" w:hAnsi="Times New Roman"/>
          <w:b/>
          <w:szCs w:val="24"/>
        </w:rPr>
        <w:t>REGISTRUOTOJAS</w:t>
      </w:r>
    </w:p>
    <w:p w:rsidR="00435051" w:rsidRPr="00C779DC" w:rsidRDefault="00435051" w:rsidP="00435051">
      <w:pPr>
        <w:spacing w:after="0" w:line="240" w:lineRule="auto"/>
        <w:rPr>
          <w:rFonts w:ascii="Times New Roman" w:hAnsi="Times New Roman"/>
        </w:rPr>
      </w:pPr>
    </w:p>
    <w:p w:rsidR="00435051" w:rsidRPr="00C779DC" w:rsidRDefault="00435051" w:rsidP="00435051">
      <w:pPr>
        <w:autoSpaceDE w:val="0"/>
        <w:autoSpaceDN w:val="0"/>
        <w:adjustRightInd w:val="0"/>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Silk Road Business Park</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Charter Way</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Macclesfield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Cheshire</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SK10 2NA</w:t>
      </w:r>
    </w:p>
    <w:p w:rsidR="00435051" w:rsidRPr="00C779DC" w:rsidRDefault="00435051" w:rsidP="00435051">
      <w:pPr>
        <w:spacing w:after="0" w:line="240" w:lineRule="auto"/>
        <w:rPr>
          <w:rFonts w:ascii="Times New Roman" w:eastAsiaTheme="minorHAnsi" w:hAnsi="Times New Roman" w:cstheme="minorBidi"/>
        </w:rPr>
      </w:pPr>
      <w:r w:rsidRPr="00C779DC">
        <w:rPr>
          <w:rFonts w:ascii="Times New Roman" w:hAnsi="Times New Roman"/>
        </w:rPr>
        <w:t>Jungtinė Karalystė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outlineLvl w:val="2"/>
        <w:rPr>
          <w:rFonts w:ascii="Times New Roman" w:eastAsia="Times New Roman" w:hAnsi="Times New Roman"/>
          <w:b/>
          <w:bCs/>
          <w:szCs w:val="20"/>
          <w:lang w:bidi="lo-LA"/>
        </w:rPr>
      </w:pPr>
      <w:r w:rsidRPr="00C779DC">
        <w:rPr>
          <w:rFonts w:ascii="Times New Roman" w:eastAsia="Times New Roman" w:hAnsi="Times New Roman"/>
          <w:b/>
          <w:lang w:bidi="lo-LA"/>
        </w:rPr>
        <w:t>8.</w:t>
      </w:r>
      <w:r w:rsidRPr="00C779DC">
        <w:rPr>
          <w:rFonts w:ascii="Times New Roman" w:eastAsia="Times New Roman" w:hAnsi="Times New Roman"/>
          <w:b/>
          <w:lang w:bidi="lo-LA"/>
        </w:rPr>
        <w:tab/>
      </w:r>
      <w:r w:rsidRPr="00C779DC">
        <w:rPr>
          <w:rFonts w:ascii="Times New Roman" w:eastAsia="Times New Roman" w:hAnsi="Times New Roman"/>
          <w:b/>
          <w:bCs/>
          <w:szCs w:val="20"/>
          <w:lang w:bidi="lo-LA"/>
        </w:rPr>
        <w:t xml:space="preserve">REGISTRACIJOS </w:t>
      </w:r>
      <w:r w:rsidRPr="00C779DC">
        <w:rPr>
          <w:rFonts w:ascii="Times New Roman" w:eastAsia="Times New Roman" w:hAnsi="Times New Roman"/>
          <w:b/>
          <w:bCs/>
          <w:lang w:bidi="lo-LA"/>
        </w:rPr>
        <w:t>PAŽYMĖJIMO</w:t>
      </w:r>
      <w:r w:rsidRPr="00C779DC">
        <w:rPr>
          <w:rFonts w:ascii="Times New Roman" w:eastAsia="Times New Roman" w:hAnsi="Times New Roman"/>
          <w:b/>
          <w:bCs/>
          <w:szCs w:val="20"/>
          <w:lang w:bidi="lo-LA"/>
        </w:rPr>
        <w:t xml:space="preserve"> NUMERIS (-IAI)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25 mg </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N10 - LT/1/99/0294/001 </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100 mg </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N60 - LT/1/99/0294/002</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N10 - LT/1/99/0294/003</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200 mg </w:t>
      </w: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N60 - LT/1/99/0294/004</w:t>
      </w:r>
    </w:p>
    <w:p w:rsidR="00435051" w:rsidRPr="00C779DC" w:rsidRDefault="00435051" w:rsidP="00435051">
      <w:pPr>
        <w:spacing w:after="0" w:line="240" w:lineRule="auto"/>
        <w:rPr>
          <w:rFonts w:ascii="Times New Roman" w:hAnsi="Times New Roman"/>
        </w:rPr>
      </w:pPr>
      <w:r w:rsidRPr="00C779DC">
        <w:rPr>
          <w:rFonts w:ascii="Times New Roman" w:hAnsi="Times New Roman"/>
        </w:rPr>
        <w:t>N10 - LT/1/99/0294/005</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9.</w:t>
      </w:r>
      <w:r w:rsidRPr="00C779DC">
        <w:rPr>
          <w:rFonts w:ascii="Times New Roman" w:hAnsi="Times New Roman"/>
          <w:b/>
          <w:bCs/>
        </w:rPr>
        <w:tab/>
      </w:r>
      <w:r w:rsidRPr="00C779DC">
        <w:rPr>
          <w:rFonts w:ascii="Times New Roman" w:hAnsi="Times New Roman"/>
          <w:b/>
          <w:szCs w:val="24"/>
        </w:rPr>
        <w:t>REGISTRAVIMO / PERREGISTRAVIMO DATA</w:t>
      </w: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Registravimo data 1999 m. kovo 5 d.</w:t>
      </w:r>
    </w:p>
    <w:p w:rsidR="00435051" w:rsidRPr="00C779DC" w:rsidRDefault="00435051" w:rsidP="00435051">
      <w:pPr>
        <w:spacing w:after="0" w:line="240" w:lineRule="auto"/>
        <w:rPr>
          <w:rFonts w:ascii="Times New Roman" w:hAnsi="Times New Roman"/>
        </w:rPr>
      </w:pPr>
      <w:r w:rsidRPr="00C779DC">
        <w:rPr>
          <w:rFonts w:ascii="Times New Roman" w:hAnsi="Times New Roman"/>
        </w:rPr>
        <w:t>Paskutinio perregistravimo data 2016 m. balandžio 29 d.</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10.</w:t>
      </w:r>
      <w:r w:rsidRPr="00C779DC">
        <w:rPr>
          <w:rFonts w:ascii="Times New Roman" w:hAnsi="Times New Roman"/>
          <w:b/>
          <w:bCs/>
        </w:rPr>
        <w:tab/>
        <w:t>TEKSTO PERŽIŪROS DATA</w:t>
      </w:r>
    </w:p>
    <w:p w:rsidR="00435051" w:rsidRPr="00C779DC" w:rsidRDefault="00435051" w:rsidP="00435051">
      <w:pPr>
        <w:spacing w:after="0" w:line="240" w:lineRule="auto"/>
        <w:rPr>
          <w:rFonts w:ascii="Times New Roman" w:hAnsi="Times New Roman"/>
        </w:rPr>
      </w:pPr>
    </w:p>
    <w:p w:rsidR="00435051" w:rsidRPr="00C779DC" w:rsidRDefault="00427837" w:rsidP="00435051">
      <w:pPr>
        <w:spacing w:after="0" w:line="240" w:lineRule="auto"/>
        <w:rPr>
          <w:rFonts w:ascii="Times New Roman" w:eastAsia="Times New Roman" w:hAnsi="Times New Roman"/>
        </w:rPr>
      </w:pPr>
      <w:r>
        <w:rPr>
          <w:rFonts w:ascii="Times New Roman" w:eastAsia="Times New Roman" w:hAnsi="Times New Roman"/>
        </w:rPr>
        <w:t>2018 m. rugpjūčio 6 d.</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954"/>
          <w:tab w:val="left" w:pos="6237"/>
          <w:tab w:val="left" w:pos="6663"/>
          <w:tab w:val="left" w:pos="6946"/>
        </w:tabs>
        <w:spacing w:after="0" w:line="240" w:lineRule="auto"/>
        <w:rPr>
          <w:rFonts w:ascii="Times New Roman" w:hAnsi="Times New Roman" w:cs="Arial Unicode MS"/>
          <w:lang w:bidi="lo-LA"/>
        </w:rPr>
      </w:pPr>
      <w:r w:rsidRPr="00C779DC">
        <w:rPr>
          <w:rFonts w:ascii="Times New Roman" w:hAnsi="Times New Roman" w:cs="Arial Unicode MS"/>
          <w:lang w:bidi="lo-LA"/>
        </w:rPr>
        <w:t>Išsami informacija apie šį vaistinį preparatą pateikiama Valstybinės vaistų kontrolės tarnybos prie Lietuvos Respublikos  sveikatos apsaugos ministerijos tinklalapyje</w:t>
      </w:r>
      <w:r w:rsidRPr="00C779DC">
        <w:rPr>
          <w:rFonts w:ascii="Times New Roman" w:hAnsi="Times New Roman" w:cs="Arial Unicode MS"/>
          <w:i/>
          <w:lang w:bidi="lo-LA"/>
        </w:rPr>
        <w:t xml:space="preserve"> </w:t>
      </w:r>
      <w:hyperlink r:id="rId9" w:history="1">
        <w:r w:rsidRPr="00C779DC">
          <w:rPr>
            <w:rFonts w:ascii="Times New Roman" w:hAnsi="Times New Roman"/>
            <w:color w:val="0000FF"/>
            <w:u w:val="single"/>
            <w:lang w:bidi="lo-LA"/>
          </w:rPr>
          <w:t>http://www.vvkt.lt</w:t>
        </w:r>
      </w:hyperlink>
    </w:p>
    <w:p w:rsidR="00435051" w:rsidRPr="00C779DC" w:rsidRDefault="00435051" w:rsidP="00435051">
      <w:pPr>
        <w:spacing w:after="0" w:line="240" w:lineRule="auto"/>
        <w:rPr>
          <w:rFonts w:ascii="Times New Roman" w:hAnsi="Times New Roman"/>
        </w:rPr>
      </w:pPr>
      <w:r w:rsidRPr="00C779DC">
        <w:rPr>
          <w:rFonts w:ascii="Times New Roman" w:hAnsi="Times New Roman"/>
          <w:b/>
        </w:rPr>
        <w:br w:type="page"/>
      </w: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tabs>
          <w:tab w:val="left" w:pos="567"/>
        </w:tabs>
        <w:spacing w:after="0" w:line="240" w:lineRule="auto"/>
        <w:ind w:left="567" w:hanging="567"/>
        <w:jc w:val="center"/>
        <w:outlineLvl w:val="0"/>
        <w:rPr>
          <w:rFonts w:ascii="Times New Roman" w:hAnsi="Times New Roman"/>
          <w:b/>
          <w:caps/>
        </w:rPr>
      </w:pPr>
    </w:p>
    <w:p w:rsidR="00435051" w:rsidRPr="00C779DC" w:rsidRDefault="00435051" w:rsidP="00435051">
      <w:pPr>
        <w:tabs>
          <w:tab w:val="left" w:pos="567"/>
        </w:tabs>
        <w:spacing w:after="0" w:line="240" w:lineRule="auto"/>
        <w:ind w:left="567" w:hanging="567"/>
        <w:jc w:val="center"/>
        <w:outlineLvl w:val="0"/>
        <w:rPr>
          <w:rFonts w:ascii="Times New Roman" w:eastAsia="Times New Roman" w:hAnsi="Times New Roman"/>
          <w:b/>
          <w:caps/>
          <w:szCs w:val="20"/>
          <w:lang w:eastAsia="lt-LT" w:bidi="lo-LA"/>
        </w:rPr>
      </w:pPr>
      <w:r w:rsidRPr="00C779DC">
        <w:rPr>
          <w:rFonts w:ascii="Times New Roman" w:eastAsia="Times New Roman" w:hAnsi="Times New Roman"/>
          <w:b/>
          <w:caps/>
          <w:szCs w:val="20"/>
          <w:lang w:eastAsia="lt-LT" w:bidi="lo-LA"/>
        </w:rPr>
        <w:t>II PRIEDAS</w:t>
      </w:r>
    </w:p>
    <w:p w:rsidR="00435051" w:rsidRPr="00C779DC" w:rsidRDefault="00435051" w:rsidP="00435051">
      <w:pPr>
        <w:spacing w:after="0" w:line="240" w:lineRule="auto"/>
        <w:rPr>
          <w:rFonts w:ascii="Times New Roman" w:eastAsia="Times New Roman" w:hAnsi="Times New Roman"/>
          <w:lang w:eastAsia="lt-LT" w:bidi="lo-LA"/>
        </w:rPr>
      </w:pPr>
    </w:p>
    <w:p w:rsidR="00435051" w:rsidRPr="00C779DC" w:rsidRDefault="00435051" w:rsidP="00435051">
      <w:pPr>
        <w:tabs>
          <w:tab w:val="left" w:pos="567"/>
        </w:tabs>
        <w:spacing w:after="0" w:line="240" w:lineRule="auto"/>
        <w:ind w:left="567" w:hanging="567"/>
        <w:jc w:val="center"/>
        <w:outlineLvl w:val="0"/>
        <w:rPr>
          <w:rFonts w:ascii="Times New Roman" w:eastAsia="Times New Roman" w:hAnsi="Times New Roman"/>
          <w:b/>
          <w:caps/>
          <w:lang w:eastAsia="lt-LT" w:bidi="lo-LA"/>
        </w:rPr>
      </w:pPr>
      <w:r w:rsidRPr="00C779DC">
        <w:rPr>
          <w:rFonts w:ascii="Times New Roman" w:eastAsia="Times New Roman" w:hAnsi="Times New Roman"/>
          <w:b/>
          <w:caps/>
          <w:szCs w:val="20"/>
          <w:lang w:eastAsia="lt-LT" w:bidi="lo-LA"/>
        </w:rPr>
        <w:t>REGISTRACIJOS SĄLYGOS</w:t>
      </w:r>
    </w:p>
    <w:p w:rsidR="00435051" w:rsidRPr="00C779DC" w:rsidRDefault="00435051" w:rsidP="00435051">
      <w:pPr>
        <w:spacing w:after="0" w:line="240" w:lineRule="auto"/>
        <w:rPr>
          <w:rFonts w:ascii="Times New Roman" w:eastAsia="Times New Roman" w:hAnsi="Times New Roman"/>
          <w:lang w:eastAsia="lt-LT"/>
        </w:rPr>
      </w:pPr>
    </w:p>
    <w:p w:rsidR="00435051" w:rsidRPr="00C779DC" w:rsidRDefault="00435051" w:rsidP="00435051">
      <w:pPr>
        <w:tabs>
          <w:tab w:val="left" w:pos="1701"/>
        </w:tabs>
        <w:spacing w:after="0" w:line="240" w:lineRule="auto"/>
        <w:ind w:left="1701" w:hanging="567"/>
        <w:rPr>
          <w:rFonts w:ascii="Times New Roman" w:hAnsi="Times New Roman"/>
          <w:b/>
          <w:highlight w:val="yellow"/>
        </w:rPr>
      </w:pPr>
      <w:r w:rsidRPr="00C779DC">
        <w:rPr>
          <w:rFonts w:ascii="Times New Roman" w:hAnsi="Times New Roman"/>
          <w:b/>
        </w:rPr>
        <w:t>A.</w:t>
      </w:r>
      <w:r w:rsidRPr="00C779DC">
        <w:rPr>
          <w:rFonts w:ascii="Times New Roman" w:hAnsi="Times New Roman"/>
          <w:b/>
        </w:rPr>
        <w:tab/>
        <w:t>GAMINTOJAS (-AI), ATSAKINGAS (-I) UŽ SERIJŲ IŠLEIDIMĄ</w:t>
      </w: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numPr>
          <w:ilvl w:val="0"/>
          <w:numId w:val="48"/>
        </w:numPr>
        <w:spacing w:after="0" w:line="240" w:lineRule="auto"/>
        <w:rPr>
          <w:rFonts w:ascii="Times New Roman" w:hAnsi="Times New Roman"/>
          <w:b/>
        </w:rPr>
      </w:pPr>
      <w:r w:rsidRPr="00C779DC">
        <w:rPr>
          <w:rFonts w:ascii="Times New Roman" w:hAnsi="Times New Roman"/>
          <w:b/>
        </w:rPr>
        <w:t>TIEKIMO IR VARTOJIMO SĄLYGOS IR APRIBOJIMAI</w:t>
      </w:r>
    </w:p>
    <w:p w:rsidR="00435051" w:rsidRPr="00C779DC" w:rsidRDefault="00435051" w:rsidP="00435051">
      <w:pPr>
        <w:tabs>
          <w:tab w:val="left" w:pos="567"/>
        </w:tabs>
        <w:spacing w:after="0" w:line="240" w:lineRule="auto"/>
        <w:rPr>
          <w:rFonts w:ascii="Times New Roman" w:hAnsi="Times New Roman"/>
          <w:b/>
        </w:rPr>
      </w:pPr>
      <w:r w:rsidRPr="00C779DC">
        <w:rPr>
          <w:rFonts w:ascii="Times New Roman" w:hAnsi="Times New Roman"/>
        </w:rPr>
        <w:br w:type="page"/>
      </w:r>
      <w:r w:rsidRPr="00C779DC">
        <w:rPr>
          <w:rFonts w:ascii="Times New Roman" w:hAnsi="Times New Roman"/>
          <w:b/>
        </w:rPr>
        <w:lastRenderedPageBreak/>
        <w:t>A.</w:t>
      </w:r>
      <w:r w:rsidRPr="00C779DC">
        <w:rPr>
          <w:rFonts w:ascii="Times New Roman" w:hAnsi="Times New Roman"/>
          <w:b/>
        </w:rPr>
        <w:tab/>
        <w:t>GAMINTOJAS (-AI), ATSAKINGAS (-I) UŽ SERIJŲ IŠLEIDIMĄ</w:t>
      </w:r>
    </w:p>
    <w:p w:rsidR="00435051" w:rsidRPr="00C779DC" w:rsidRDefault="00435051" w:rsidP="00435051">
      <w:pPr>
        <w:spacing w:after="0" w:line="240" w:lineRule="auto"/>
        <w:rPr>
          <w:rFonts w:ascii="Times New Roman" w:eastAsia="Times New Roman" w:hAnsi="Times New Roman"/>
          <w:highlight w:val="yellow"/>
          <w:lang w:eastAsia="lt-LT"/>
        </w:rPr>
      </w:pPr>
    </w:p>
    <w:p w:rsidR="00435051" w:rsidRPr="00C779DC" w:rsidRDefault="00435051" w:rsidP="00435051">
      <w:pPr>
        <w:tabs>
          <w:tab w:val="left" w:pos="567"/>
        </w:tabs>
        <w:spacing w:after="0" w:line="240" w:lineRule="auto"/>
        <w:jc w:val="both"/>
        <w:rPr>
          <w:rFonts w:ascii="Times New Roman" w:eastAsia="Times New Roman" w:hAnsi="Times New Roman"/>
          <w:snapToGrid w:val="0"/>
          <w:szCs w:val="24"/>
        </w:rPr>
      </w:pPr>
      <w:r w:rsidRPr="00C779DC">
        <w:rPr>
          <w:rFonts w:ascii="Times New Roman" w:eastAsia="Times New Roman" w:hAnsi="Times New Roman"/>
          <w:snapToGrid w:val="0"/>
          <w:szCs w:val="24"/>
          <w:u w:val="single"/>
        </w:rPr>
        <w:t>Gamintojo (-ų), atsakingo (-ų) už serijų išleidimą, pavadinimas (-ai) ir adresas (-ai)</w:t>
      </w:r>
    </w:p>
    <w:p w:rsidR="00435051" w:rsidRPr="00C779DC" w:rsidRDefault="00435051" w:rsidP="00435051">
      <w:pPr>
        <w:autoSpaceDE w:val="0"/>
        <w:autoSpaceDN w:val="0"/>
        <w:adjustRightInd w:val="0"/>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spacing w:after="0" w:line="240" w:lineRule="auto"/>
        <w:rPr>
          <w:rFonts w:ascii="Times New Roman" w:hAnsi="Times New Roman"/>
        </w:rPr>
      </w:pPr>
      <w:r w:rsidRPr="00C779DC">
        <w:rPr>
          <w:rFonts w:ascii="Times New Roman" w:hAnsi="Times New Roman"/>
        </w:rPr>
        <w:t>Silk Road Business Park</w:t>
      </w:r>
    </w:p>
    <w:p w:rsidR="00435051" w:rsidRPr="00C779DC" w:rsidRDefault="00435051" w:rsidP="00435051">
      <w:pPr>
        <w:spacing w:after="0" w:line="240" w:lineRule="auto"/>
        <w:rPr>
          <w:rFonts w:ascii="Times New Roman" w:hAnsi="Times New Roman"/>
        </w:rPr>
      </w:pPr>
      <w:r w:rsidRPr="00C779DC">
        <w:rPr>
          <w:rFonts w:ascii="Times New Roman" w:hAnsi="Times New Roman"/>
        </w:rPr>
        <w:t>Macclesfield, Cheshire SK10 2NA</w:t>
      </w:r>
    </w:p>
    <w:p w:rsidR="00435051" w:rsidRPr="00C779DC" w:rsidRDefault="00435051" w:rsidP="00435051">
      <w:pPr>
        <w:spacing w:after="0" w:line="240" w:lineRule="auto"/>
        <w:rPr>
          <w:rFonts w:ascii="Times New Roman" w:hAnsi="Times New Roman"/>
        </w:rPr>
      </w:pPr>
      <w:r w:rsidRPr="00C779DC">
        <w:rPr>
          <w:rFonts w:ascii="Times New Roman" w:hAnsi="Times New Roman"/>
        </w:rPr>
        <w:t>Jungtinė Karalystė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arba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w:t>
      </w:r>
    </w:p>
    <w:p w:rsidR="00435051" w:rsidRPr="00C779DC" w:rsidRDefault="00435051" w:rsidP="00435051">
      <w:pPr>
        <w:spacing w:after="0" w:line="240" w:lineRule="auto"/>
        <w:rPr>
          <w:rFonts w:ascii="Times New Roman" w:hAnsi="Times New Roman"/>
        </w:rPr>
      </w:pPr>
      <w:r w:rsidRPr="00C779DC">
        <w:rPr>
          <w:rFonts w:ascii="Times New Roman" w:hAnsi="Times New Roman"/>
        </w:rPr>
        <w:t>Parc Industriel Pompelle</w:t>
      </w:r>
    </w:p>
    <w:p w:rsidR="00435051" w:rsidRPr="00C779DC" w:rsidRDefault="00435051" w:rsidP="00435051">
      <w:pPr>
        <w:spacing w:after="0" w:line="240" w:lineRule="auto"/>
        <w:rPr>
          <w:rFonts w:ascii="Times New Roman" w:hAnsi="Times New Roman"/>
        </w:rPr>
      </w:pPr>
      <w:r w:rsidRPr="00C779DC">
        <w:rPr>
          <w:rFonts w:ascii="Times New Roman" w:hAnsi="Times New Roman"/>
        </w:rPr>
        <w:t>Chemin de Vrilly 51689</w:t>
      </w:r>
    </w:p>
    <w:p w:rsidR="00435051" w:rsidRPr="00C779DC" w:rsidRDefault="00435051" w:rsidP="00435051">
      <w:pPr>
        <w:spacing w:after="0" w:line="240" w:lineRule="auto"/>
        <w:rPr>
          <w:rFonts w:ascii="Times New Roman" w:hAnsi="Times New Roman"/>
        </w:rPr>
      </w:pPr>
      <w:r w:rsidRPr="00C779DC">
        <w:rPr>
          <w:rFonts w:ascii="Times New Roman" w:hAnsi="Times New Roman"/>
        </w:rPr>
        <w:t>Reims, Cedex 2</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Prancūzija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arba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 GmbH</w:t>
      </w:r>
    </w:p>
    <w:p w:rsidR="00435051" w:rsidRPr="00C779DC" w:rsidRDefault="00435051" w:rsidP="00435051">
      <w:pPr>
        <w:spacing w:after="0" w:line="240" w:lineRule="auto"/>
        <w:rPr>
          <w:rFonts w:ascii="Times New Roman" w:hAnsi="Times New Roman"/>
        </w:rPr>
      </w:pPr>
      <w:r w:rsidRPr="00C779DC">
        <w:rPr>
          <w:rFonts w:ascii="Times New Roman" w:hAnsi="Times New Roman"/>
        </w:rPr>
        <w:t>Tinsdaler Weg 183</w:t>
      </w:r>
    </w:p>
    <w:p w:rsidR="00435051" w:rsidRPr="00C779DC" w:rsidRDefault="00435051" w:rsidP="00435051">
      <w:pPr>
        <w:spacing w:after="0" w:line="240" w:lineRule="auto"/>
        <w:rPr>
          <w:rFonts w:ascii="Times New Roman" w:hAnsi="Times New Roman"/>
        </w:rPr>
      </w:pPr>
      <w:r w:rsidRPr="00C779DC">
        <w:rPr>
          <w:rFonts w:ascii="Times New Roman" w:hAnsi="Times New Roman"/>
        </w:rPr>
        <w:t>22880 Wedel</w:t>
      </w:r>
    </w:p>
    <w:p w:rsidR="00435051" w:rsidRPr="00C779DC" w:rsidRDefault="00435051" w:rsidP="00435051">
      <w:pPr>
        <w:spacing w:after="0" w:line="240" w:lineRule="auto"/>
        <w:rPr>
          <w:rFonts w:ascii="Times New Roman" w:hAnsi="Times New Roman"/>
        </w:rPr>
      </w:pPr>
      <w:r w:rsidRPr="00C779DC">
        <w:rPr>
          <w:rFonts w:ascii="Times New Roman" w:hAnsi="Times New Roman"/>
        </w:rPr>
        <w:t>Vokietija</w:t>
      </w:r>
    </w:p>
    <w:p w:rsidR="00435051" w:rsidRPr="00C779DC" w:rsidRDefault="00435051" w:rsidP="00435051">
      <w:pPr>
        <w:spacing w:after="0" w:line="240" w:lineRule="auto"/>
        <w:rPr>
          <w:rFonts w:ascii="Times New Roman" w:eastAsia="Times New Roman" w:hAnsi="Times New Roman" w:cs="Arial Unicode MS"/>
          <w:lang w:eastAsia="lt-LT" w:bidi="lo-LA"/>
        </w:rPr>
      </w:pPr>
    </w:p>
    <w:p w:rsidR="00435051" w:rsidRPr="00C779DC" w:rsidRDefault="00435051" w:rsidP="00435051">
      <w:pPr>
        <w:spacing w:after="0" w:line="240" w:lineRule="auto"/>
        <w:rPr>
          <w:rFonts w:ascii="Times New Roman" w:eastAsia="Times New Roman" w:hAnsi="Times New Roman" w:cs="Arial Unicode MS"/>
          <w:lang w:bidi="lo-LA"/>
        </w:rPr>
      </w:pPr>
      <w:r w:rsidRPr="00C779DC">
        <w:rPr>
          <w:rFonts w:ascii="Times New Roman" w:eastAsia="Times New Roman" w:hAnsi="Times New Roman" w:cs="Arial Unicode MS"/>
          <w:lang w:eastAsia="lt-LT" w:bidi="lo-LA"/>
        </w:rPr>
        <w:t>Su pakuote pateikiamame lapelyje nurodomas gamintojo, atsakingo už konkrečios serijos išleidimą, pavadinimas ir adresas</w:t>
      </w:r>
    </w:p>
    <w:p w:rsidR="00435051" w:rsidRPr="00C779DC" w:rsidRDefault="00435051" w:rsidP="00435051">
      <w:pPr>
        <w:spacing w:after="0" w:line="240" w:lineRule="auto"/>
        <w:rPr>
          <w:rFonts w:ascii="Times New Roman" w:eastAsia="Times New Roman" w:hAnsi="Times New Roman" w:cs="Arial Unicode MS"/>
          <w:lang w:bidi="lo-LA"/>
        </w:rPr>
      </w:pPr>
    </w:p>
    <w:p w:rsidR="00435051" w:rsidRPr="00C779DC" w:rsidRDefault="00435051" w:rsidP="00435051">
      <w:pPr>
        <w:spacing w:after="0" w:line="240" w:lineRule="auto"/>
        <w:rPr>
          <w:rFonts w:ascii="Times New Roman" w:eastAsia="Times New Roman" w:hAnsi="Times New Roman" w:cs="Arial Unicode MS"/>
          <w:lang w:bidi="lo-LA"/>
        </w:rPr>
      </w:pPr>
    </w:p>
    <w:p w:rsidR="00435051" w:rsidRPr="00C779DC" w:rsidRDefault="00435051" w:rsidP="00435051">
      <w:pPr>
        <w:tabs>
          <w:tab w:val="left" w:pos="567"/>
        </w:tabs>
        <w:spacing w:after="0" w:line="240" w:lineRule="auto"/>
        <w:ind w:left="567" w:hanging="567"/>
        <w:outlineLvl w:val="1"/>
        <w:rPr>
          <w:rFonts w:ascii="Times New Roman" w:eastAsia="Times New Roman" w:hAnsi="Times New Roman"/>
          <w:b/>
          <w:bCs/>
          <w:lang w:bidi="lo-LA"/>
        </w:rPr>
      </w:pPr>
      <w:bookmarkStart w:id="1" w:name="_Toc129243129"/>
      <w:bookmarkStart w:id="2" w:name="_Toc129243254"/>
      <w:r w:rsidRPr="00C779DC">
        <w:rPr>
          <w:rFonts w:ascii="Times New Roman" w:eastAsia="Times New Roman" w:hAnsi="Times New Roman"/>
          <w:b/>
          <w:bCs/>
          <w:lang w:bidi="lo-LA"/>
        </w:rPr>
        <w:t>B.</w:t>
      </w:r>
      <w:r w:rsidRPr="00C779DC">
        <w:rPr>
          <w:rFonts w:ascii="Times New Roman" w:eastAsia="Times New Roman" w:hAnsi="Times New Roman"/>
          <w:b/>
          <w:bCs/>
          <w:lang w:bidi="lo-LA"/>
        </w:rPr>
        <w:tab/>
        <w:t xml:space="preserve">TIEKIMO IR VARTOJIMO SĄLYGOS AR APRIBOJIMAI </w:t>
      </w:r>
      <w:bookmarkEnd w:id="1"/>
      <w:bookmarkEnd w:id="2"/>
    </w:p>
    <w:p w:rsidR="00435051" w:rsidRPr="00C779DC" w:rsidRDefault="00435051" w:rsidP="00435051">
      <w:pPr>
        <w:spacing w:after="0" w:line="240" w:lineRule="auto"/>
        <w:rPr>
          <w:rFonts w:ascii="Times New Roman" w:eastAsia="Times New Roman" w:hAnsi="Times New Roman"/>
          <w:lang w:eastAsia="lt-LT"/>
        </w:rPr>
      </w:pPr>
    </w:p>
    <w:p w:rsidR="00435051" w:rsidRPr="00C779DC" w:rsidRDefault="00435051" w:rsidP="0043505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Receptinis vaistinis preparatas.</w:t>
      </w:r>
    </w:p>
    <w:p w:rsidR="00435051" w:rsidRPr="00C779DC" w:rsidRDefault="00435051" w:rsidP="00435051">
      <w:pPr>
        <w:spacing w:after="0" w:line="240" w:lineRule="auto"/>
        <w:jc w:val="center"/>
        <w:rPr>
          <w:rFonts w:ascii="Times New Roman" w:hAnsi="Times New Roman"/>
        </w:rPr>
      </w:pPr>
      <w:r w:rsidRPr="00C779DC">
        <w:rPr>
          <w:rFonts w:ascii="Times New Roman" w:hAnsi="Times New Roman"/>
        </w:rPr>
        <w:br w:type="page"/>
      </w: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autoSpaceDE w:val="0"/>
        <w:autoSpaceDN w:val="0"/>
        <w:adjustRightInd w:val="0"/>
        <w:spacing w:after="0" w:line="240" w:lineRule="auto"/>
        <w:jc w:val="center"/>
        <w:rPr>
          <w:rFonts w:ascii="Times New Roman" w:hAnsi="Times New Roman"/>
          <w:b/>
        </w:rPr>
      </w:pPr>
      <w:r w:rsidRPr="00C779DC">
        <w:rPr>
          <w:rFonts w:ascii="Times New Roman" w:hAnsi="Times New Roman"/>
          <w:b/>
        </w:rPr>
        <w:t>III PRIEDAS</w:t>
      </w:r>
    </w:p>
    <w:p w:rsidR="00435051" w:rsidRPr="00C779DC" w:rsidRDefault="00435051" w:rsidP="00435051">
      <w:pPr>
        <w:autoSpaceDE w:val="0"/>
        <w:autoSpaceDN w:val="0"/>
        <w:adjustRightInd w:val="0"/>
        <w:spacing w:after="0" w:line="240" w:lineRule="auto"/>
        <w:jc w:val="center"/>
        <w:rPr>
          <w:rFonts w:ascii="Times New Roman" w:hAnsi="Times New Roman"/>
          <w:b/>
        </w:rPr>
      </w:pPr>
    </w:p>
    <w:p w:rsidR="00435051" w:rsidRPr="00C779DC" w:rsidRDefault="00435051" w:rsidP="00435051">
      <w:pPr>
        <w:autoSpaceDE w:val="0"/>
        <w:autoSpaceDN w:val="0"/>
        <w:adjustRightInd w:val="0"/>
        <w:spacing w:after="0" w:line="240" w:lineRule="auto"/>
        <w:jc w:val="center"/>
        <w:rPr>
          <w:rFonts w:ascii="Times New Roman" w:hAnsi="Times New Roman"/>
          <w:b/>
        </w:rPr>
      </w:pPr>
      <w:r w:rsidRPr="00C779DC">
        <w:rPr>
          <w:rFonts w:ascii="Times New Roman" w:hAnsi="Times New Roman"/>
          <w:b/>
        </w:rPr>
        <w:t>ŽENKLINIMAS IR PAKUOTĖS LAPELIS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bookmarkStart w:id="3" w:name="_Toc129243128"/>
      <w:bookmarkStart w:id="4" w:name="_Toc129243253"/>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bookmarkEnd w:id="3"/>
    <w:bookmarkEnd w:id="4"/>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numPr>
          <w:ilvl w:val="0"/>
          <w:numId w:val="49"/>
        </w:numPr>
        <w:spacing w:after="0" w:line="240" w:lineRule="auto"/>
        <w:contextualSpacing/>
        <w:jc w:val="center"/>
        <w:rPr>
          <w:rFonts w:ascii="Times New Roman" w:hAnsi="Times New Roman"/>
          <w:b/>
          <w:bCs/>
        </w:rPr>
      </w:pPr>
      <w:r w:rsidRPr="00C779DC">
        <w:rPr>
          <w:rFonts w:ascii="Times New Roman" w:hAnsi="Times New Roman"/>
          <w:b/>
          <w:bCs/>
        </w:rPr>
        <w:t>ŽENKLINIMAS</w:t>
      </w:r>
    </w:p>
    <w:p w:rsidR="00435051" w:rsidRPr="00C779DC" w:rsidRDefault="00435051" w:rsidP="00435051">
      <w:pPr>
        <w:spacing w:after="0" w:line="240" w:lineRule="auto"/>
        <w:rPr>
          <w:rFonts w:ascii="Times New Roman" w:hAnsi="Times New Roman"/>
          <w:b/>
          <w:caps/>
        </w:rPr>
      </w:pPr>
      <w:r w:rsidRPr="00C779DC">
        <w:rPr>
          <w:rFonts w:ascii="Times New Roman" w:hAnsi="Times New Roman"/>
        </w:rPr>
        <w:br w:type="page"/>
      </w: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779DC">
        <w:rPr>
          <w:rFonts w:ascii="Times New Roman" w:hAnsi="Times New Roman"/>
          <w:b/>
        </w:rPr>
        <w:t>INFORMACIJA ANT IŠORINĖS PAKUOTĖS</w:t>
      </w: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C779DC">
        <w:rPr>
          <w:rFonts w:ascii="Times New Roman" w:hAnsi="Times New Roman"/>
          <w:b/>
        </w:rPr>
        <w:t>KARTONO DĖŽUTĖ (4-ių dienų pradinė pakuotė)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1.</w:t>
      </w:r>
      <w:r w:rsidRPr="00C779DC">
        <w:rPr>
          <w:rFonts w:ascii="Times New Roman" w:hAnsi="Times New Roman"/>
          <w:b/>
        </w:rPr>
        <w:tab/>
      </w:r>
      <w:r w:rsidRPr="00C779DC">
        <w:rPr>
          <w:rFonts w:ascii="Times New Roman" w:hAnsi="Times New Roman"/>
          <w:b/>
          <w:caps/>
        </w:rPr>
        <w:t>VAISTINIO</w:t>
      </w:r>
      <w:r w:rsidRPr="00C779DC">
        <w:rPr>
          <w:rFonts w:ascii="Times New Roman" w:hAnsi="Times New Roman"/>
          <w:b/>
        </w:rPr>
        <w:t xml:space="preserve"> PREPARATO PAVADINIMAS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25 mg plėvele dengtos tabletės</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100 mg plėvele dengtos tabletės</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200 mg plėvele dengtos tabletės</w:t>
      </w:r>
    </w:p>
    <w:p w:rsidR="00435051" w:rsidRPr="00C779DC" w:rsidRDefault="00435051" w:rsidP="00435051">
      <w:pPr>
        <w:spacing w:after="0" w:line="240" w:lineRule="auto"/>
        <w:rPr>
          <w:rFonts w:ascii="Times New Roman" w:hAnsi="Times New Roman"/>
        </w:rPr>
      </w:pPr>
      <w:r w:rsidRPr="00C779DC">
        <w:rPr>
          <w:rFonts w:ascii="Times New Roman" w:hAnsi="Times New Roman"/>
          <w:bCs/>
        </w:rPr>
        <w:t>Kvetiapinas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C779DC">
        <w:rPr>
          <w:rFonts w:ascii="Times New Roman" w:hAnsi="Times New Roman"/>
          <w:b/>
        </w:rPr>
        <w:t>2.</w:t>
      </w:r>
      <w:r w:rsidRPr="00C779DC">
        <w:rPr>
          <w:rFonts w:ascii="Times New Roman" w:hAnsi="Times New Roman"/>
          <w:b/>
        </w:rPr>
        <w:tab/>
        <w:t>VEIKLIOJI (-IOS) MEDŽIAGA (-OS) IR JOS (-Ų) KIEKIS (-IAI)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Kiekvienoje tabletėje yra 25 mg kvetiapino (fumarato pavidalu).</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Kiekvienoje tabletėje yra 100 mg kvetiapino (fumarato pavidalu).</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Kiekvienoje tabletėje yra 200 mg kvetiapino (fumarato pavidalu).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3.</w:t>
      </w:r>
      <w:r w:rsidRPr="00C779DC">
        <w:rPr>
          <w:rFonts w:ascii="Times New Roman" w:hAnsi="Times New Roman"/>
          <w:b/>
        </w:rPr>
        <w:tab/>
        <w:t>PAGALBINIŲ MEDŽIAGŲ SĄRAŠAS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Sudėtyje yra laktozės monohidrato. Daugiau informacijos rasite pakuotės lapelyje.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4.</w:t>
      </w:r>
      <w:r w:rsidRPr="00C779DC">
        <w:rPr>
          <w:rFonts w:ascii="Times New Roman" w:hAnsi="Times New Roman"/>
          <w:b/>
        </w:rPr>
        <w:tab/>
        <w:t>FARMACINĖ FORMA IR KIEKIS PAKUOTĖJE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10 plėvele dengtų tablečių</w:t>
      </w:r>
    </w:p>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Mišri pakuotė.</w:t>
      </w:r>
    </w:p>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Šioje pakuotėje yra:</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6 x 25 mg plėvele dengtos tabletės </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3 x 100 mg plėvele dengtos tabletės</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1 x 200 mg plėvele dengta tabletė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5.</w:t>
      </w:r>
      <w:r w:rsidRPr="00C779DC">
        <w:rPr>
          <w:rFonts w:ascii="Times New Roman" w:hAnsi="Times New Roman"/>
          <w:b/>
        </w:rPr>
        <w:tab/>
        <w:t>VARTOJIMO METODAS IR BŪDAS (-AI)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Vartoti per burną.</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Prieš vartojimą perskaitykite pakuotės lapelį.</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6.</w:t>
      </w:r>
      <w:r w:rsidRPr="00C779DC">
        <w:rPr>
          <w:rFonts w:ascii="Times New Roman" w:hAnsi="Times New Roman"/>
          <w:b/>
        </w:rPr>
        <w:tab/>
        <w:t>SPECIALUS ĮSPĖJIMAS, KAD VAISTINĮ PREPARATĄ BŪTINA LAIKYTI VAIKAMS NEPASTEBIMOJE IR NEPASIEKIAMOJE VIETOJE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Laikyti vaikams nepastebimoje ir nepasiekiamoje vietoje.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lastRenderedPageBreak/>
        <w:t>7.</w:t>
      </w:r>
      <w:r w:rsidRPr="00C779DC">
        <w:rPr>
          <w:rFonts w:ascii="Times New Roman" w:hAnsi="Times New Roman"/>
          <w:b/>
        </w:rPr>
        <w:tab/>
        <w:t>KITAS (-I) SPECIALUS (-ŪS) ĮSPĖJIMAS (-AI) (JEI REIKIA)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8.</w:t>
      </w:r>
      <w:r w:rsidRPr="00C779DC">
        <w:rPr>
          <w:rFonts w:ascii="Times New Roman" w:hAnsi="Times New Roman"/>
          <w:b/>
        </w:rPr>
        <w:tab/>
        <w:t>TINKAMUMO LAIKAS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Tinka iki {MMMM - mm}</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9.</w:t>
      </w:r>
      <w:r w:rsidRPr="00C779DC">
        <w:rPr>
          <w:rFonts w:ascii="Times New Roman" w:hAnsi="Times New Roman"/>
          <w:b/>
        </w:rPr>
        <w:tab/>
        <w:t>SPECIALIOS LAIKYMO SĄLYGOS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Laikyti ne aukštesnėje kaip 30 </w:t>
      </w:r>
      <w:r w:rsidRPr="00C779DC">
        <w:rPr>
          <w:rFonts w:ascii="Times New Roman" w:hAnsi="Times New Roman"/>
          <w:bCs/>
        </w:rPr>
        <w:sym w:font="Symbol" w:char="F0B0"/>
      </w:r>
      <w:r w:rsidRPr="00C779DC">
        <w:rPr>
          <w:rFonts w:ascii="Times New Roman" w:hAnsi="Times New Roman"/>
          <w:bCs/>
        </w:rPr>
        <w:t>C temperatūroje.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10.</w:t>
      </w:r>
      <w:r w:rsidRPr="00C779DC">
        <w:rPr>
          <w:rFonts w:ascii="Times New Roman" w:hAnsi="Times New Roman"/>
          <w:b/>
        </w:rPr>
        <w:tab/>
        <w:t>SPECIALIOS ATSARGUMO PRIEMONĖS DĖL NESUVARTOTO VAISTINIO PREPARATO AR JO ATLIEKŲ TVARKYMO (JEI REIKIA)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11.</w:t>
      </w:r>
      <w:r w:rsidRPr="00C779DC">
        <w:rPr>
          <w:rFonts w:ascii="Times New Roman" w:hAnsi="Times New Roman"/>
          <w:b/>
        </w:rPr>
        <w:tab/>
      </w:r>
      <w:r w:rsidRPr="00C779DC">
        <w:rPr>
          <w:rFonts w:ascii="Times New Roman" w:hAnsi="Times New Roman"/>
          <w:b/>
          <w:caps/>
        </w:rPr>
        <w:t>REGISTRUOTOJO PAVADINIMAS IR ADRESAS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autoSpaceDE w:val="0"/>
        <w:autoSpaceDN w:val="0"/>
        <w:adjustRightInd w:val="0"/>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Silk Road Business Park</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Charter Way</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Macclesfield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Cheshire</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SK10 2NA</w:t>
      </w:r>
    </w:p>
    <w:p w:rsidR="00435051" w:rsidRPr="00C779DC" w:rsidRDefault="00435051" w:rsidP="00435051">
      <w:pPr>
        <w:tabs>
          <w:tab w:val="left" w:pos="567"/>
        </w:tabs>
        <w:spacing w:after="0" w:line="240" w:lineRule="auto"/>
        <w:rPr>
          <w:rFonts w:ascii="Times New Roman" w:eastAsiaTheme="minorHAnsi" w:hAnsi="Times New Roman" w:cstheme="minorBidi"/>
        </w:rPr>
      </w:pPr>
      <w:r w:rsidRPr="00C779DC">
        <w:rPr>
          <w:rFonts w:ascii="Times New Roman" w:hAnsi="Times New Roman"/>
        </w:rPr>
        <w:t>Jungtinė Karalystė</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12.</w:t>
      </w:r>
      <w:r w:rsidRPr="00C779DC">
        <w:rPr>
          <w:rFonts w:ascii="Times New Roman" w:hAnsi="Times New Roman"/>
          <w:b/>
        </w:rPr>
        <w:tab/>
        <w:t xml:space="preserve">REGISTRACIJOS PAŽYMĖJIMO NUMERIS (-IAI)  </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25 mg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N10 - LT/1/99/0294/001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100 mg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N10 - LT/1/99/0294/003</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200 mg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N10 - LT/1/99/0294/005</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13.</w:t>
      </w:r>
      <w:r w:rsidRPr="00C779DC">
        <w:rPr>
          <w:rFonts w:ascii="Times New Roman" w:hAnsi="Times New Roman"/>
          <w:b/>
        </w:rPr>
        <w:tab/>
        <w:t xml:space="preserve">SERIJOS NUMERIS </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Serija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14.</w:t>
      </w:r>
      <w:r w:rsidRPr="00C779DC">
        <w:rPr>
          <w:rFonts w:ascii="Times New Roman" w:hAnsi="Times New Roman"/>
          <w:b/>
        </w:rPr>
        <w:tab/>
        <w:t>PARDAVIMO (IŠDAVIMO) TVARKA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Receptinis vaistas.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15.</w:t>
      </w:r>
      <w:r w:rsidRPr="00C779DC">
        <w:rPr>
          <w:rFonts w:ascii="Times New Roman" w:hAnsi="Times New Roman"/>
          <w:b/>
        </w:rPr>
        <w:tab/>
        <w:t>VARTOJIMO INSTRUKCIJA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C779DC">
        <w:rPr>
          <w:rFonts w:ascii="Times New Roman" w:hAnsi="Times New Roman"/>
          <w:b/>
        </w:rPr>
        <w:lastRenderedPageBreak/>
        <w:t>16.</w:t>
      </w:r>
      <w:r w:rsidRPr="00C779DC">
        <w:rPr>
          <w:rFonts w:ascii="Times New Roman" w:hAnsi="Times New Roman"/>
          <w:b/>
        </w:rPr>
        <w:tab/>
        <w:t>INFORMACIJA BRAILIO RAŠTU</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25 mg plėvele dengtos tabletės</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100 mg plėvele dengtos tabletės</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Seroquel 200 mg plėvele dengtos tabletės</w:t>
      </w:r>
    </w:p>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Cs/>
        </w:rPr>
      </w:pPr>
    </w:p>
    <w:p w:rsidR="00435051" w:rsidRPr="00C779DC" w:rsidRDefault="00435051" w:rsidP="00435051">
      <w:p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b/>
        </w:rPr>
      </w:pPr>
      <w:r w:rsidRPr="00C779DC">
        <w:rPr>
          <w:rFonts w:ascii="Times New Roman" w:hAnsi="Times New Roman"/>
          <w:b/>
        </w:rPr>
        <w:t xml:space="preserve">17. </w:t>
      </w:r>
      <w:r w:rsidRPr="00C779DC">
        <w:rPr>
          <w:rFonts w:ascii="Times New Roman" w:hAnsi="Times New Roman"/>
          <w:b/>
        </w:rPr>
        <w:tab/>
        <w:t>UNIKALUS IDENTIFIKATORIUS – 2D BRŪKŠNINIS KODAS</w:t>
      </w:r>
    </w:p>
    <w:p w:rsidR="00435051" w:rsidRPr="00C779DC" w:rsidRDefault="00435051" w:rsidP="00435051">
      <w:pPr>
        <w:pStyle w:val="Porat"/>
        <w:tabs>
          <w:tab w:val="clear" w:pos="4153"/>
          <w:tab w:val="clear" w:pos="8306"/>
        </w:tabs>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&lt;</w:t>
      </w:r>
      <w:r w:rsidRPr="00C779DC">
        <w:rPr>
          <w:rFonts w:ascii="Times New Roman" w:hAnsi="Times New Roman"/>
        </w:rPr>
        <w:t>2D</w:t>
      </w:r>
      <w:r w:rsidRPr="00C779DC">
        <w:rPr>
          <w:rFonts w:ascii="Times New Roman" w:hAnsi="Times New Roman"/>
          <w:b/>
        </w:rPr>
        <w:t xml:space="preserve"> </w:t>
      </w:r>
      <w:r w:rsidRPr="00C779DC">
        <w:rPr>
          <w:rFonts w:ascii="Times New Roman" w:hAnsi="Times New Roman"/>
        </w:rPr>
        <w:t>brūkšninis kodas su nurodytu unikaliu identifikatoriumi</w:t>
      </w:r>
      <w:r w:rsidRPr="00C779DC">
        <w:rPr>
          <w:rFonts w:ascii="Times New Roman" w:hAnsi="Times New Roman"/>
          <w:b/>
        </w:rPr>
        <w:t>.&gt;</w:t>
      </w:r>
    </w:p>
    <w:p w:rsidR="00435051" w:rsidRPr="00C779DC" w:rsidRDefault="00435051" w:rsidP="00435051">
      <w:pPr>
        <w:spacing w:after="0" w:line="240" w:lineRule="auto"/>
        <w:rPr>
          <w:rFonts w:ascii="Times New Roman" w:hAnsi="Times New Roman"/>
          <w:b/>
          <w:shd w:val="clear" w:color="auto" w:fill="CCCCCC"/>
        </w:rPr>
      </w:pPr>
    </w:p>
    <w:p w:rsidR="00435051" w:rsidRPr="00C779DC" w:rsidRDefault="00435051" w:rsidP="00435051">
      <w:pPr>
        <w:spacing w:after="0" w:line="240" w:lineRule="auto"/>
        <w:rPr>
          <w:rFonts w:ascii="Times New Roman" w:hAnsi="Times New Roman"/>
          <w:vanish/>
        </w:rPr>
      </w:pPr>
    </w:p>
    <w:p w:rsidR="00435051" w:rsidRPr="00C779DC" w:rsidRDefault="00435051" w:rsidP="00435051">
      <w:pPr>
        <w:spacing w:after="0" w:line="240" w:lineRule="auto"/>
        <w:rPr>
          <w:rFonts w:ascii="Times New Roman" w:hAnsi="Times New Roman"/>
          <w:vanish/>
        </w:rPr>
      </w:pPr>
    </w:p>
    <w:p w:rsidR="00435051" w:rsidRPr="00C779DC" w:rsidRDefault="00435051" w:rsidP="00435051">
      <w:pPr>
        <w:pStyle w:val="Porat"/>
        <w:tabs>
          <w:tab w:val="clear" w:pos="4153"/>
          <w:tab w:val="clear" w:pos="8306"/>
        </w:tabs>
        <w:rPr>
          <w:rFonts w:cs="Times New Roman"/>
          <w:sz w:val="22"/>
          <w:szCs w:val="22"/>
        </w:rPr>
      </w:pPr>
      <w:r w:rsidRPr="00C779DC">
        <w:rPr>
          <w:rFonts w:cs="Times New Roman"/>
          <w:sz w:val="22"/>
          <w:szCs w:val="22"/>
        </w:rPr>
        <w:t>&lt;Duomenys nebūtini.&gt;</w:t>
      </w:r>
    </w:p>
    <w:p w:rsidR="00435051" w:rsidRPr="00C779DC" w:rsidRDefault="00435051" w:rsidP="00435051">
      <w:pPr>
        <w:pStyle w:val="Porat"/>
        <w:tabs>
          <w:tab w:val="clear" w:pos="4153"/>
          <w:tab w:val="clear" w:pos="8306"/>
        </w:tabs>
      </w:pPr>
    </w:p>
    <w:p w:rsidR="00435051" w:rsidRPr="00C779DC" w:rsidRDefault="00435051" w:rsidP="00435051">
      <w:pPr>
        <w:pStyle w:val="Porat"/>
        <w:tabs>
          <w:tab w:val="clear" w:pos="4153"/>
          <w:tab w:val="clear" w:pos="8306"/>
        </w:tabs>
      </w:pPr>
    </w:p>
    <w:p w:rsidR="00435051" w:rsidRPr="00C779DC" w:rsidRDefault="00435051" w:rsidP="0043505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C779DC">
        <w:rPr>
          <w:rFonts w:ascii="Times New Roman" w:hAnsi="Times New Roman"/>
          <w:b/>
        </w:rPr>
        <w:t xml:space="preserve">18. </w:t>
      </w:r>
      <w:r w:rsidRPr="00C779DC">
        <w:rPr>
          <w:rFonts w:ascii="Times New Roman" w:hAnsi="Times New Roman"/>
          <w:b/>
        </w:rPr>
        <w:tab/>
        <w:t>UNIKALUS IDENTIFIKATORIUS – 2D BRŪKŠNINIS KODAS</w:t>
      </w:r>
    </w:p>
    <w:p w:rsidR="00435051" w:rsidRPr="00C779DC" w:rsidRDefault="00435051" w:rsidP="00435051">
      <w:pPr>
        <w:pStyle w:val="Porat"/>
        <w:tabs>
          <w:tab w:val="clear" w:pos="4153"/>
          <w:tab w:val="clear" w:pos="8306"/>
        </w:tabs>
      </w:pPr>
    </w:p>
    <w:p w:rsidR="00435051" w:rsidRPr="00C779DC" w:rsidRDefault="00435051" w:rsidP="00435051">
      <w:pPr>
        <w:spacing w:after="0" w:line="240" w:lineRule="auto"/>
        <w:rPr>
          <w:rFonts w:ascii="Times New Roman" w:hAnsi="Times New Roman"/>
          <w:color w:val="008000"/>
        </w:rPr>
      </w:pPr>
      <w:r w:rsidRPr="00C779DC">
        <w:rPr>
          <w:rFonts w:ascii="Times New Roman" w:hAnsi="Times New Roman"/>
        </w:rPr>
        <w:t xml:space="preserve">PC: </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SN: </w:t>
      </w:r>
    </w:p>
    <w:p w:rsidR="00435051" w:rsidRPr="00C779DC" w:rsidRDefault="00435051" w:rsidP="00435051">
      <w:pPr>
        <w:pStyle w:val="Porat"/>
        <w:tabs>
          <w:tab w:val="clear" w:pos="4153"/>
          <w:tab w:val="clear" w:pos="8306"/>
        </w:tabs>
        <w:rPr>
          <w:rFonts w:cs="Times New Roman"/>
          <w:sz w:val="22"/>
          <w:szCs w:val="22"/>
        </w:rPr>
      </w:pPr>
      <w:r w:rsidRPr="00C779DC">
        <w:rPr>
          <w:sz w:val="22"/>
        </w:rPr>
        <w:t>NN</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rPr>
        <w:br w:type="page"/>
      </w:r>
    </w:p>
    <w:p w:rsidR="00435051" w:rsidRPr="00C779DC" w:rsidRDefault="00435051" w:rsidP="00435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779DC">
        <w:rPr>
          <w:rFonts w:ascii="Times New Roman" w:hAnsi="Times New Roman"/>
          <w:b/>
        </w:rPr>
        <w:lastRenderedPageBreak/>
        <w:t>MINIMALI INFORMACIJA ANT LIZDINIŲ PLOKŠTELIŲ ARBA DVISLUOKSNIŲ JUOSTELIŲ</w:t>
      </w:r>
      <w:r w:rsidRPr="00C779DC">
        <w:rPr>
          <w:rFonts w:ascii="Times New Roman" w:hAnsi="Times New Roman"/>
          <w:b/>
        </w:rPr>
        <w:br/>
      </w:r>
    </w:p>
    <w:p w:rsidR="00435051" w:rsidRPr="00C779DC" w:rsidRDefault="00435051" w:rsidP="00435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779DC">
        <w:rPr>
          <w:rFonts w:ascii="Times New Roman" w:hAnsi="Times New Roman"/>
          <w:b/>
        </w:rPr>
        <w:t>LIZDINĖ PLOKŠTELĖ (4-ių dienų pradinė pakuotė)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w:t>
      </w:r>
      <w:r w:rsidRPr="00C779DC">
        <w:rPr>
          <w:rFonts w:ascii="Times New Roman" w:hAnsi="Times New Roman"/>
          <w:b/>
        </w:rPr>
        <w:tab/>
      </w:r>
      <w:r w:rsidRPr="00C779DC">
        <w:rPr>
          <w:rFonts w:ascii="Times New Roman" w:hAnsi="Times New Roman"/>
          <w:b/>
          <w:caps/>
        </w:rPr>
        <w:t>VAISTINIO</w:t>
      </w:r>
      <w:r w:rsidRPr="00C779DC">
        <w:rPr>
          <w:rFonts w:ascii="Times New Roman" w:hAnsi="Times New Roman"/>
          <w:b/>
        </w:rPr>
        <w:t xml:space="preserve"> PREPARATO PAVADINIMAS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Cs/>
        </w:rPr>
      </w:pPr>
      <w:r w:rsidRPr="00C779DC">
        <w:rPr>
          <w:rFonts w:ascii="Times New Roman" w:hAnsi="Times New Roman"/>
          <w:bCs/>
        </w:rPr>
        <w:t>Seroquel 25 mg tabletės</w:t>
      </w:r>
    </w:p>
    <w:p w:rsidR="00435051" w:rsidRPr="00C779DC" w:rsidRDefault="00435051" w:rsidP="00435051">
      <w:pPr>
        <w:tabs>
          <w:tab w:val="left" w:pos="567"/>
        </w:tabs>
        <w:spacing w:after="0" w:line="240" w:lineRule="auto"/>
        <w:rPr>
          <w:rFonts w:ascii="Times New Roman" w:hAnsi="Times New Roman"/>
          <w:bCs/>
        </w:rPr>
      </w:pPr>
      <w:r w:rsidRPr="00C779DC">
        <w:rPr>
          <w:rFonts w:ascii="Times New Roman" w:hAnsi="Times New Roman"/>
          <w:bCs/>
        </w:rPr>
        <w:t>Seroquel 100 mg tabletės</w:t>
      </w:r>
    </w:p>
    <w:p w:rsidR="00435051" w:rsidRPr="00C779DC" w:rsidRDefault="00435051" w:rsidP="00435051">
      <w:pPr>
        <w:tabs>
          <w:tab w:val="left" w:pos="567"/>
        </w:tabs>
        <w:spacing w:after="0" w:line="240" w:lineRule="auto"/>
        <w:rPr>
          <w:rFonts w:ascii="Times New Roman" w:hAnsi="Times New Roman"/>
          <w:bCs/>
        </w:rPr>
      </w:pPr>
      <w:r w:rsidRPr="00C779DC">
        <w:rPr>
          <w:rFonts w:ascii="Times New Roman" w:hAnsi="Times New Roman"/>
          <w:bCs/>
        </w:rPr>
        <w:t>Seroquel 200 mg tabletės</w:t>
      </w:r>
    </w:p>
    <w:p w:rsidR="00435051" w:rsidRPr="00C779DC" w:rsidRDefault="00435051" w:rsidP="00435051">
      <w:pPr>
        <w:tabs>
          <w:tab w:val="left" w:pos="567"/>
        </w:tabs>
        <w:spacing w:after="0" w:line="240" w:lineRule="auto"/>
        <w:rPr>
          <w:rFonts w:ascii="Times New Roman" w:hAnsi="Times New Roman"/>
          <w:bCs/>
        </w:rPr>
      </w:pPr>
      <w:r w:rsidRPr="00C779DC">
        <w:rPr>
          <w:rFonts w:ascii="Times New Roman" w:hAnsi="Times New Roman"/>
          <w:bCs/>
        </w:rPr>
        <w:t>Kvetiapinas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2.</w:t>
      </w:r>
      <w:r w:rsidRPr="00C779DC">
        <w:rPr>
          <w:rFonts w:ascii="Times New Roman" w:hAnsi="Times New Roman"/>
          <w:b/>
        </w:rPr>
        <w:tab/>
      </w:r>
      <w:r w:rsidRPr="00C779DC">
        <w:rPr>
          <w:rFonts w:ascii="Times New Roman" w:hAnsi="Times New Roman"/>
          <w:b/>
          <w:caps/>
        </w:rPr>
        <w:t>REGISTRUOTOJO pavadinimas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ind w:left="540" w:hanging="540"/>
        <w:contextualSpacing/>
        <w:rPr>
          <w:rFonts w:ascii="Times New Roman" w:hAnsi="Times New Roman"/>
          <w:bCs/>
        </w:rPr>
      </w:pPr>
      <w:r w:rsidRPr="00C779DC">
        <w:rPr>
          <w:rFonts w:ascii="Times New Roman" w:hAnsi="Times New Roman"/>
          <w:bCs/>
        </w:rPr>
        <w:t>AstraZeneca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3.</w:t>
      </w:r>
      <w:r w:rsidRPr="00C779DC">
        <w:rPr>
          <w:rFonts w:ascii="Times New Roman" w:hAnsi="Times New Roman"/>
          <w:b/>
        </w:rPr>
        <w:tab/>
        <w:t>TINKAMUMO LAIKAS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ind w:left="540" w:hanging="540"/>
        <w:contextualSpacing/>
        <w:rPr>
          <w:rFonts w:ascii="Times New Roman" w:hAnsi="Times New Roman"/>
          <w:bCs/>
        </w:rPr>
      </w:pPr>
      <w:r w:rsidRPr="00C779DC">
        <w:rPr>
          <w:rFonts w:ascii="Times New Roman" w:hAnsi="Times New Roman"/>
          <w:bCs/>
        </w:rPr>
        <w:t>Tinka iki {MMMM - mm}</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4.</w:t>
      </w:r>
      <w:r w:rsidRPr="00C779DC">
        <w:rPr>
          <w:rFonts w:ascii="Times New Roman" w:hAnsi="Times New Roman"/>
          <w:b/>
        </w:rPr>
        <w:tab/>
        <w:t>SERIJOS NUMERIS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Serija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5.</w:t>
      </w:r>
      <w:r w:rsidRPr="00C779DC">
        <w:rPr>
          <w:rFonts w:ascii="Times New Roman" w:hAnsi="Times New Roman"/>
          <w:b/>
        </w:rPr>
        <w:tab/>
        <w:t>KITA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1-oji diena</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2-oji diena </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3-ioji diena</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4-oji diena</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ryte </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vakare </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25 mg</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2 x 25 mg</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100 mg</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200 mg</w:t>
      </w:r>
    </w:p>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rPr>
        <w:br w:type="page"/>
      </w: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779DC">
        <w:rPr>
          <w:rFonts w:ascii="Times New Roman" w:hAnsi="Times New Roman"/>
          <w:b/>
        </w:rPr>
        <w:t>INFORMACIJA ANT IŠORINĖS PAKUOTĖS</w:t>
      </w: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779DC">
        <w:rPr>
          <w:rFonts w:ascii="Times New Roman" w:hAnsi="Times New Roman"/>
          <w:b/>
        </w:rPr>
        <w:t>KARTONO DĖŽUTĖ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1.</w:t>
      </w:r>
      <w:r w:rsidRPr="00C779DC">
        <w:rPr>
          <w:rFonts w:ascii="Times New Roman" w:hAnsi="Times New Roman"/>
          <w:b/>
        </w:rPr>
        <w:tab/>
      </w:r>
      <w:r w:rsidRPr="00C779DC">
        <w:rPr>
          <w:rFonts w:ascii="Times New Roman" w:hAnsi="Times New Roman"/>
          <w:b/>
          <w:caps/>
        </w:rPr>
        <w:t>VAISTINIO</w:t>
      </w:r>
      <w:r w:rsidRPr="00C779DC">
        <w:rPr>
          <w:rFonts w:ascii="Times New Roman" w:hAnsi="Times New Roman"/>
          <w:b/>
        </w:rPr>
        <w:t xml:space="preserve"> PREPARATO PAVADINIMAS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100 mg plėvele dengtos tabletės</w:t>
      </w: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highlight w:val="lightGray"/>
        </w:rPr>
        <w:t>Seroquel 200 mg plėvele dengtos tabletės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Kvetiapinas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C779DC">
        <w:rPr>
          <w:rFonts w:ascii="Times New Roman" w:hAnsi="Times New Roman"/>
          <w:b/>
        </w:rPr>
        <w:t>2.</w:t>
      </w:r>
      <w:r w:rsidRPr="00C779DC">
        <w:rPr>
          <w:rFonts w:ascii="Times New Roman" w:hAnsi="Times New Roman"/>
          <w:b/>
        </w:rPr>
        <w:tab/>
        <w:t>VEIKLIOJI (-IOS) MEDŽIAGA (-OS) IR JOS (-Ų) KIEKIS (-IAI)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Kiekvienoje tabletėje yra 100 mg kvetiapino (fumarato pavidalu).</w:t>
      </w: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highlight w:val="lightGray"/>
        </w:rPr>
        <w:t>Kiekvienoje tabletėje yra 200 mg kvetiapino (fumarato pavidalu)</w:t>
      </w:r>
      <w:r w:rsidRPr="00C779DC">
        <w:rPr>
          <w:rFonts w:ascii="Times New Roman" w:hAnsi="Times New Roman"/>
          <w:bCs/>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3.</w:t>
      </w:r>
      <w:r w:rsidRPr="00C779DC">
        <w:rPr>
          <w:rFonts w:ascii="Times New Roman" w:hAnsi="Times New Roman"/>
          <w:b/>
        </w:rPr>
        <w:tab/>
        <w:t>PAGALBINIŲ MEDŽIAGŲ SĄRAŠAS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Sudėtyje yra laktozės monohidrato. Daugiau informacijos rasite pakuotės lapelyje.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4.</w:t>
      </w:r>
      <w:r w:rsidRPr="00C779DC">
        <w:rPr>
          <w:rFonts w:ascii="Times New Roman" w:hAnsi="Times New Roman"/>
          <w:b/>
        </w:rPr>
        <w:tab/>
        <w:t>FARMACINĖ FORMA IR KIEKIS PAKUOTĖJE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caps/>
        </w:rPr>
      </w:pPr>
      <w:r w:rsidRPr="00C779DC">
        <w:rPr>
          <w:rFonts w:ascii="Times New Roman" w:hAnsi="Times New Roman"/>
          <w:bCs/>
        </w:rPr>
        <w:t>60 plėvele dengtų tablečių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5.</w:t>
      </w:r>
      <w:r w:rsidRPr="00C779DC">
        <w:rPr>
          <w:rFonts w:ascii="Times New Roman" w:hAnsi="Times New Roman"/>
          <w:b/>
        </w:rPr>
        <w:tab/>
        <w:t>VARTOJIMO METODAS IR BŪDAS (-AI)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Vartoti per burną.</w:t>
      </w:r>
    </w:p>
    <w:p w:rsidR="00435051" w:rsidRPr="00C779DC" w:rsidRDefault="00435051" w:rsidP="00435051">
      <w:pPr>
        <w:spacing w:after="0" w:line="240" w:lineRule="auto"/>
        <w:rPr>
          <w:rFonts w:ascii="Times New Roman" w:hAnsi="Times New Roman"/>
        </w:rPr>
      </w:pPr>
      <w:r w:rsidRPr="00C779DC">
        <w:rPr>
          <w:rFonts w:ascii="Times New Roman" w:hAnsi="Times New Roman"/>
        </w:rPr>
        <w:t>Prieš vartojimą perskaitykite pakuotės lapelį.</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6.</w:t>
      </w:r>
      <w:r w:rsidRPr="00C779DC">
        <w:rPr>
          <w:rFonts w:ascii="Times New Roman" w:hAnsi="Times New Roman"/>
          <w:b/>
        </w:rPr>
        <w:tab/>
        <w:t>SPECIALUS ĮSPĖJIMAS, KAD VAISTINĮ PREPARATĄ BŪTINA LAIKYTI VAIKAMS NEPASTEBIMOJE IR NEPASIEKIAMOJE VIETOJE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Laikyti vaikams nepastebimoje ir nepasiekiamoje vietoje.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7.</w:t>
      </w:r>
      <w:r w:rsidRPr="00C779DC">
        <w:rPr>
          <w:rFonts w:ascii="Times New Roman" w:hAnsi="Times New Roman"/>
          <w:b/>
        </w:rPr>
        <w:tab/>
        <w:t>KITAS (-I) SPECIALUS (-ŪS) ĮSPĖJIMAS (-AI) (JEI REIKIA)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t>8.</w:t>
      </w:r>
      <w:r w:rsidRPr="00C779DC">
        <w:rPr>
          <w:rFonts w:ascii="Times New Roman" w:hAnsi="Times New Roman"/>
          <w:b/>
        </w:rPr>
        <w:tab/>
        <w:t>TINKAMUMO LAIKAS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 xml:space="preserve">Tinka iki {MMMM - mm}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C779DC">
        <w:rPr>
          <w:rFonts w:ascii="Times New Roman" w:hAnsi="Times New Roman"/>
          <w:b/>
        </w:rPr>
        <w:lastRenderedPageBreak/>
        <w:t>9.</w:t>
      </w:r>
      <w:r w:rsidRPr="00C779DC">
        <w:rPr>
          <w:rFonts w:ascii="Times New Roman" w:hAnsi="Times New Roman"/>
          <w:b/>
        </w:rPr>
        <w:tab/>
        <w:t>SPECIALIOS LAIKYMO SĄLYGOS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 xml:space="preserve">Laikyti ne aukštesnėje kaip 30 </w:t>
      </w:r>
      <w:r w:rsidRPr="00C779DC">
        <w:rPr>
          <w:rFonts w:ascii="Times New Roman" w:hAnsi="Times New Roman"/>
          <w:bCs/>
        </w:rPr>
        <w:sym w:font="Symbol" w:char="F0B0"/>
      </w:r>
      <w:r w:rsidRPr="00C779DC">
        <w:rPr>
          <w:rFonts w:ascii="Times New Roman" w:hAnsi="Times New Roman"/>
          <w:bCs/>
        </w:rPr>
        <w:t>C temperatūroje.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10.</w:t>
      </w:r>
      <w:r w:rsidRPr="00C779DC">
        <w:rPr>
          <w:rFonts w:ascii="Times New Roman" w:hAnsi="Times New Roman"/>
          <w:b/>
        </w:rPr>
        <w:tab/>
        <w:t>SPECIALIOS ATSARGUMO PRIEMONĖS DĖL NESUVARTOTO VAISTINIO PREPARATO AR JO ATLIEKŲ TVARKYMO (JEI REIKIA)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11.</w:t>
      </w:r>
      <w:r w:rsidRPr="00C779DC">
        <w:rPr>
          <w:rFonts w:ascii="Times New Roman" w:hAnsi="Times New Roman"/>
          <w:b/>
        </w:rPr>
        <w:tab/>
      </w:r>
      <w:r w:rsidRPr="00C779DC">
        <w:rPr>
          <w:rFonts w:ascii="Times New Roman" w:hAnsi="Times New Roman"/>
          <w:b/>
          <w:caps/>
        </w:rPr>
        <w:t>REGISTRUOTOJO PAVADINIMAS IR ADRESAS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autoSpaceDE w:val="0"/>
        <w:autoSpaceDN w:val="0"/>
        <w:adjustRightInd w:val="0"/>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Silk Road Business Park</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Charter Way</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Macclesfield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Cheshire</w:t>
      </w:r>
    </w:p>
    <w:p w:rsidR="00435051" w:rsidRPr="00C779DC" w:rsidRDefault="00435051" w:rsidP="00435051">
      <w:pPr>
        <w:autoSpaceDE w:val="0"/>
        <w:autoSpaceDN w:val="0"/>
        <w:adjustRightInd w:val="0"/>
        <w:spacing w:after="0" w:line="240" w:lineRule="auto"/>
        <w:rPr>
          <w:rFonts w:ascii="Times New Roman" w:eastAsia="TimesNewRoman" w:hAnsi="Times New Roman"/>
          <w:bCs/>
          <w:color w:val="FF0101"/>
          <w:lang w:eastAsia="lt-LT"/>
        </w:rPr>
      </w:pPr>
      <w:r w:rsidRPr="00C779DC">
        <w:rPr>
          <w:rFonts w:ascii="Times New Roman" w:eastAsia="TimesNewRoman" w:hAnsi="Times New Roman"/>
          <w:bCs/>
          <w:lang w:eastAsia="lt-LT"/>
        </w:rPr>
        <w:t>SK10 2NA</w:t>
      </w:r>
    </w:p>
    <w:p w:rsidR="00435051" w:rsidRPr="00C779DC" w:rsidRDefault="00435051" w:rsidP="00435051">
      <w:pPr>
        <w:tabs>
          <w:tab w:val="left" w:pos="567"/>
        </w:tabs>
        <w:spacing w:after="0" w:line="240" w:lineRule="auto"/>
        <w:rPr>
          <w:rFonts w:ascii="Times New Roman" w:eastAsiaTheme="minorHAnsi" w:hAnsi="Times New Roman" w:cstheme="minorBidi"/>
        </w:rPr>
      </w:pPr>
      <w:r w:rsidRPr="00C779DC">
        <w:rPr>
          <w:rFonts w:ascii="Times New Roman" w:hAnsi="Times New Roman"/>
        </w:rPr>
        <w:t>Jungtinė Karalystė</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12.</w:t>
      </w:r>
      <w:r w:rsidRPr="00C779DC">
        <w:rPr>
          <w:rFonts w:ascii="Times New Roman" w:hAnsi="Times New Roman"/>
          <w:b/>
        </w:rPr>
        <w:tab/>
        <w:t>REGISTRACIJOS PAŽYMĖJIMO NUMERIS (-IAI)</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100 mg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N60 - LT/1/99/0294/002</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 xml:space="preserve">Seroquel 200 mg </w:t>
      </w:r>
    </w:p>
    <w:p w:rsidR="00435051" w:rsidRPr="00C779DC" w:rsidRDefault="00435051" w:rsidP="00435051">
      <w:pPr>
        <w:tabs>
          <w:tab w:val="left" w:pos="567"/>
        </w:tabs>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N60 - LT/1/99/0294/004</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13.</w:t>
      </w:r>
      <w:r w:rsidRPr="00C779DC">
        <w:rPr>
          <w:rFonts w:ascii="Times New Roman" w:hAnsi="Times New Roman"/>
          <w:b/>
        </w:rPr>
        <w:tab/>
        <w:t xml:space="preserve">SERIJOS NUMERIS </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Serija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14.</w:t>
      </w:r>
      <w:r w:rsidRPr="00C779DC">
        <w:rPr>
          <w:rFonts w:ascii="Times New Roman" w:hAnsi="Times New Roman"/>
          <w:b/>
        </w:rPr>
        <w:tab/>
        <w:t>PARDAVIMO (IŠDAVIMO) TVARKA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Receptinis vaistas.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C779DC">
        <w:rPr>
          <w:rFonts w:ascii="Times New Roman" w:hAnsi="Times New Roman"/>
          <w:b/>
        </w:rPr>
        <w:t>15.</w:t>
      </w:r>
      <w:r w:rsidRPr="00C779DC">
        <w:rPr>
          <w:rFonts w:ascii="Times New Roman" w:hAnsi="Times New Roman"/>
          <w:b/>
        </w:rPr>
        <w:tab/>
        <w:t>VARTOJIMO INSTRUKCIJA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C779DC">
        <w:rPr>
          <w:rFonts w:ascii="Times New Roman" w:hAnsi="Times New Roman"/>
          <w:b/>
        </w:rPr>
        <w:t>16.</w:t>
      </w:r>
      <w:r w:rsidRPr="00C779DC">
        <w:rPr>
          <w:rFonts w:ascii="Times New Roman" w:hAnsi="Times New Roman"/>
          <w:b/>
        </w:rPr>
        <w:tab/>
        <w:t>INFORMACIJA BRAILIO RAŠTU</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bCs/>
        </w:rPr>
        <w:t>Seroquel 100 mg</w:t>
      </w:r>
    </w:p>
    <w:p w:rsidR="00435051" w:rsidRPr="00C779DC" w:rsidRDefault="00435051" w:rsidP="00435051">
      <w:pPr>
        <w:spacing w:after="0" w:line="240" w:lineRule="auto"/>
        <w:ind w:left="540" w:hanging="540"/>
        <w:contextualSpacing/>
        <w:rPr>
          <w:rFonts w:ascii="Times New Roman" w:hAnsi="Times New Roman"/>
          <w:bCs/>
        </w:rPr>
      </w:pPr>
      <w:r w:rsidRPr="00C779DC">
        <w:rPr>
          <w:rFonts w:ascii="Times New Roman" w:hAnsi="Times New Roman"/>
          <w:highlight w:val="lightGray"/>
        </w:rPr>
        <w:t>Seroquel 200 mg</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b/>
        </w:rPr>
      </w:pPr>
      <w:r w:rsidRPr="00C779DC">
        <w:rPr>
          <w:rFonts w:ascii="Times New Roman" w:hAnsi="Times New Roman"/>
          <w:b/>
        </w:rPr>
        <w:t xml:space="preserve">17. </w:t>
      </w:r>
      <w:r w:rsidRPr="00C779DC">
        <w:rPr>
          <w:rFonts w:ascii="Times New Roman" w:hAnsi="Times New Roman"/>
          <w:b/>
        </w:rPr>
        <w:tab/>
        <w:t>UNIKALUS IDENTIFIKATORIUS – 2D BRŪKŠNINIS KODAS</w:t>
      </w:r>
    </w:p>
    <w:p w:rsidR="00435051" w:rsidRPr="00C779DC" w:rsidRDefault="00435051" w:rsidP="00435051">
      <w:pPr>
        <w:pStyle w:val="Porat"/>
        <w:tabs>
          <w:tab w:val="clear" w:pos="4153"/>
          <w:tab w:val="clear" w:pos="8306"/>
        </w:tabs>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&lt;</w:t>
      </w:r>
      <w:r w:rsidRPr="00C779DC">
        <w:rPr>
          <w:rFonts w:ascii="Times New Roman" w:hAnsi="Times New Roman"/>
        </w:rPr>
        <w:t>2D</w:t>
      </w:r>
      <w:r w:rsidRPr="00C779DC">
        <w:rPr>
          <w:rFonts w:ascii="Times New Roman" w:hAnsi="Times New Roman"/>
          <w:b/>
        </w:rPr>
        <w:t xml:space="preserve"> </w:t>
      </w:r>
      <w:r w:rsidRPr="00C779DC">
        <w:rPr>
          <w:rFonts w:ascii="Times New Roman" w:hAnsi="Times New Roman"/>
        </w:rPr>
        <w:t>brūkšninis kodas su nurodytu unikaliu identifikatoriumi</w:t>
      </w:r>
      <w:r w:rsidRPr="00C779DC">
        <w:rPr>
          <w:rFonts w:ascii="Times New Roman" w:hAnsi="Times New Roman"/>
          <w:b/>
        </w:rPr>
        <w:t>.&gt;</w:t>
      </w:r>
    </w:p>
    <w:p w:rsidR="00435051" w:rsidRPr="00C779DC" w:rsidRDefault="00435051" w:rsidP="00435051">
      <w:pPr>
        <w:spacing w:after="0" w:line="240" w:lineRule="auto"/>
        <w:rPr>
          <w:rFonts w:ascii="Times New Roman" w:hAnsi="Times New Roman"/>
          <w:b/>
          <w:shd w:val="clear" w:color="auto" w:fill="CCCCCC"/>
        </w:rPr>
      </w:pPr>
    </w:p>
    <w:p w:rsidR="00435051" w:rsidRPr="00C779DC" w:rsidRDefault="00435051" w:rsidP="00435051">
      <w:pPr>
        <w:spacing w:after="0" w:line="240" w:lineRule="auto"/>
        <w:rPr>
          <w:rFonts w:ascii="Times New Roman" w:hAnsi="Times New Roman"/>
          <w:vanish/>
        </w:rPr>
      </w:pPr>
    </w:p>
    <w:p w:rsidR="00435051" w:rsidRPr="00C779DC" w:rsidRDefault="00435051" w:rsidP="00435051">
      <w:pPr>
        <w:spacing w:after="0" w:line="240" w:lineRule="auto"/>
        <w:rPr>
          <w:rFonts w:ascii="Times New Roman" w:hAnsi="Times New Roman"/>
          <w:vanish/>
        </w:rPr>
      </w:pPr>
    </w:p>
    <w:p w:rsidR="00435051" w:rsidRPr="00C779DC" w:rsidRDefault="00435051" w:rsidP="00435051">
      <w:pPr>
        <w:pStyle w:val="Porat"/>
        <w:tabs>
          <w:tab w:val="clear" w:pos="4153"/>
          <w:tab w:val="clear" w:pos="8306"/>
        </w:tabs>
        <w:rPr>
          <w:rFonts w:cs="Times New Roman"/>
          <w:sz w:val="22"/>
          <w:szCs w:val="22"/>
        </w:rPr>
      </w:pPr>
      <w:r w:rsidRPr="00C779DC">
        <w:rPr>
          <w:rFonts w:cs="Times New Roman"/>
          <w:sz w:val="22"/>
          <w:szCs w:val="22"/>
        </w:rPr>
        <w:t>&lt;Duomenys nebūtini.&gt;</w:t>
      </w:r>
    </w:p>
    <w:p w:rsidR="00435051" w:rsidRPr="00C779DC" w:rsidRDefault="00435051" w:rsidP="00435051">
      <w:pPr>
        <w:pStyle w:val="Porat"/>
        <w:tabs>
          <w:tab w:val="clear" w:pos="4153"/>
          <w:tab w:val="clear" w:pos="8306"/>
        </w:tabs>
      </w:pPr>
    </w:p>
    <w:p w:rsidR="00435051" w:rsidRPr="00C779DC" w:rsidRDefault="00435051" w:rsidP="00435051">
      <w:pPr>
        <w:pStyle w:val="Porat"/>
        <w:tabs>
          <w:tab w:val="clear" w:pos="4153"/>
          <w:tab w:val="clear" w:pos="8306"/>
        </w:tabs>
      </w:pPr>
    </w:p>
    <w:p w:rsidR="00435051" w:rsidRPr="00C779DC" w:rsidRDefault="00435051" w:rsidP="0043505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C779DC">
        <w:rPr>
          <w:rFonts w:ascii="Times New Roman" w:hAnsi="Times New Roman"/>
          <w:b/>
        </w:rPr>
        <w:t xml:space="preserve">18. </w:t>
      </w:r>
      <w:r w:rsidRPr="00C779DC">
        <w:rPr>
          <w:rFonts w:ascii="Times New Roman" w:hAnsi="Times New Roman"/>
          <w:b/>
        </w:rPr>
        <w:tab/>
        <w:t>UNIKALUS IDENTIFIKATORIUS – 2D BRŪKŠNINIS KODAS</w:t>
      </w:r>
    </w:p>
    <w:p w:rsidR="00435051" w:rsidRPr="00C779DC" w:rsidRDefault="00435051" w:rsidP="00435051">
      <w:pPr>
        <w:pStyle w:val="Porat"/>
        <w:tabs>
          <w:tab w:val="clear" w:pos="4153"/>
          <w:tab w:val="clear" w:pos="8306"/>
        </w:tabs>
      </w:pPr>
    </w:p>
    <w:p w:rsidR="00435051" w:rsidRPr="00C779DC" w:rsidRDefault="00435051" w:rsidP="00435051">
      <w:pPr>
        <w:spacing w:after="0" w:line="240" w:lineRule="auto"/>
        <w:rPr>
          <w:rFonts w:ascii="Times New Roman" w:hAnsi="Times New Roman"/>
          <w:color w:val="008000"/>
        </w:rPr>
      </w:pPr>
      <w:r w:rsidRPr="00C779DC">
        <w:rPr>
          <w:rFonts w:ascii="Times New Roman" w:hAnsi="Times New Roman"/>
        </w:rPr>
        <w:t xml:space="preserve">PC: </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SN: </w:t>
      </w:r>
    </w:p>
    <w:p w:rsidR="00435051" w:rsidRPr="00C779DC" w:rsidRDefault="00435051" w:rsidP="00435051">
      <w:pPr>
        <w:pStyle w:val="Porat"/>
        <w:tabs>
          <w:tab w:val="clear" w:pos="4153"/>
          <w:tab w:val="clear" w:pos="8306"/>
        </w:tabs>
      </w:pPr>
      <w:r w:rsidRPr="00C779DC">
        <w:rPr>
          <w:sz w:val="22"/>
        </w:rPr>
        <w:t>NN</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br w:type="page"/>
      </w:r>
    </w:p>
    <w:p w:rsidR="00435051" w:rsidRPr="00C779DC" w:rsidRDefault="00435051" w:rsidP="00435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C779DC">
        <w:rPr>
          <w:rFonts w:ascii="Times New Roman" w:hAnsi="Times New Roman"/>
          <w:b/>
        </w:rPr>
        <w:lastRenderedPageBreak/>
        <w:t>MINIMALI INFORMACIJA ANT LIZDINIŲ PLOKŠTELIŲ ARBA DVISLUOKSNIŲ JUOSTELIŲ</w:t>
      </w:r>
      <w:r w:rsidRPr="00C779DC">
        <w:rPr>
          <w:rFonts w:ascii="Times New Roman" w:hAnsi="Times New Roman"/>
          <w:b/>
        </w:rPr>
        <w:br/>
      </w:r>
      <w:r w:rsidRPr="00C779DC">
        <w:rPr>
          <w:rFonts w:ascii="Times New Roman" w:hAnsi="Times New Roman"/>
          <w:b/>
        </w:rPr>
        <w:br/>
        <w:t>LIZDINĖ PLOKŠTELĖ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1.</w:t>
      </w:r>
      <w:r w:rsidRPr="00C779DC">
        <w:rPr>
          <w:rFonts w:ascii="Times New Roman" w:hAnsi="Times New Roman"/>
          <w:b/>
        </w:rPr>
        <w:tab/>
      </w:r>
      <w:r w:rsidRPr="00C779DC">
        <w:rPr>
          <w:rFonts w:ascii="Times New Roman" w:hAnsi="Times New Roman"/>
          <w:b/>
          <w:caps/>
        </w:rPr>
        <w:t>VAISTINIO</w:t>
      </w:r>
      <w:r w:rsidRPr="00C779DC">
        <w:rPr>
          <w:rFonts w:ascii="Times New Roman" w:hAnsi="Times New Roman"/>
          <w:b/>
        </w:rPr>
        <w:t xml:space="preserve"> PREPARATO PAVADINIMAS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Seroquel 100 mg plėvele dengtos tabletės</w:t>
      </w: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highlight w:val="lightGray"/>
        </w:rPr>
        <w:t>Seroquel 200 mg plėvele dengtos tabletės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Kvetiapinas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2.</w:t>
      </w:r>
      <w:r w:rsidRPr="00C779DC">
        <w:rPr>
          <w:rFonts w:ascii="Times New Roman" w:hAnsi="Times New Roman"/>
          <w:b/>
        </w:rPr>
        <w:tab/>
      </w:r>
      <w:r w:rsidRPr="00C779DC">
        <w:rPr>
          <w:rFonts w:ascii="Times New Roman" w:hAnsi="Times New Roman"/>
          <w:b/>
          <w:caps/>
        </w:rPr>
        <w:t>REGISTRUOTOJO pavadinimas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ind w:left="540" w:hanging="540"/>
        <w:contextualSpacing/>
        <w:rPr>
          <w:rFonts w:ascii="Times New Roman" w:hAnsi="Times New Roman"/>
          <w:bCs/>
        </w:rPr>
      </w:pPr>
      <w:r w:rsidRPr="00C779DC">
        <w:rPr>
          <w:rFonts w:ascii="Times New Roman" w:hAnsi="Times New Roman"/>
          <w:bCs/>
        </w:rPr>
        <w:t xml:space="preserve">AstraZeneca </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3.</w:t>
      </w:r>
      <w:r w:rsidRPr="00C779DC">
        <w:rPr>
          <w:rFonts w:ascii="Times New Roman" w:hAnsi="Times New Roman"/>
          <w:b/>
        </w:rPr>
        <w:tab/>
        <w:t>TINKAMUMO LAIKAS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ind w:left="540" w:hanging="540"/>
        <w:contextualSpacing/>
        <w:rPr>
          <w:rFonts w:ascii="Times New Roman" w:hAnsi="Times New Roman"/>
          <w:bCs/>
        </w:rPr>
      </w:pPr>
      <w:r w:rsidRPr="00C779DC">
        <w:rPr>
          <w:rFonts w:ascii="Times New Roman" w:hAnsi="Times New Roman"/>
          <w:bCs/>
        </w:rPr>
        <w:t xml:space="preserve">Tinka iki {MMMM-mm} </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4.</w:t>
      </w:r>
      <w:r w:rsidRPr="00C779DC">
        <w:rPr>
          <w:rFonts w:ascii="Times New Roman" w:hAnsi="Times New Roman"/>
          <w:b/>
        </w:rPr>
        <w:tab/>
        <w:t>SERIJOS NUMERIS</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r w:rsidRPr="00C779DC">
        <w:rPr>
          <w:rFonts w:ascii="Times New Roman" w:hAnsi="Times New Roman"/>
        </w:rPr>
        <w:t>Serija</w:t>
      </w: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rPr>
      </w:pPr>
    </w:p>
    <w:p w:rsidR="00435051" w:rsidRPr="00C779DC" w:rsidRDefault="00435051" w:rsidP="0043505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C779DC">
        <w:rPr>
          <w:rFonts w:ascii="Times New Roman" w:hAnsi="Times New Roman"/>
          <w:b/>
        </w:rPr>
        <w:t>5.</w:t>
      </w:r>
      <w:r w:rsidRPr="00C779DC">
        <w:rPr>
          <w:rFonts w:ascii="Times New Roman" w:hAnsi="Times New Roman"/>
          <w:b/>
        </w:rPr>
        <w:tab/>
        <w:t>KITA</w:t>
      </w:r>
    </w:p>
    <w:p w:rsidR="00435051" w:rsidRPr="00C779DC" w:rsidRDefault="00435051" w:rsidP="00435051">
      <w:pPr>
        <w:tabs>
          <w:tab w:val="left" w:pos="567"/>
        </w:tabs>
        <w:spacing w:after="0" w:line="240" w:lineRule="auto"/>
        <w:ind w:left="567" w:hanging="567"/>
        <w:jc w:val="center"/>
        <w:rPr>
          <w:rFonts w:ascii="Times New Roman" w:hAnsi="Times New Roman"/>
          <w:b/>
          <w:caps/>
        </w:rPr>
      </w:pPr>
      <w:r w:rsidRPr="00C779DC">
        <w:rPr>
          <w:rFonts w:ascii="Times New Roman" w:hAnsi="Times New Roman"/>
          <w:b/>
          <w:caps/>
        </w:rPr>
        <w:br w:type="page"/>
      </w: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ind w:left="567" w:hanging="567"/>
        <w:jc w:val="center"/>
        <w:rPr>
          <w:rFonts w:ascii="Times New Roman" w:hAnsi="Times New Roman"/>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jc w:val="center"/>
        <w:rPr>
          <w:rFonts w:ascii="Times New Roman" w:eastAsia="Times New Roman" w:hAnsi="Times New Roman" w:cs="Arial Unicode MS"/>
          <w:lang w:eastAsia="lt-LT" w:bidi="lo-LA"/>
        </w:rPr>
      </w:pPr>
    </w:p>
    <w:p w:rsidR="00435051" w:rsidRPr="00C779DC" w:rsidRDefault="00435051" w:rsidP="00435051">
      <w:pPr>
        <w:spacing w:after="0" w:line="240" w:lineRule="auto"/>
        <w:contextualSpacing/>
        <w:jc w:val="center"/>
        <w:rPr>
          <w:rFonts w:ascii="Times New Roman" w:eastAsia="Times New Roman" w:hAnsi="Times New Roman" w:cs="Arial Unicode MS"/>
          <w:b/>
          <w:lang w:eastAsia="lt-LT" w:bidi="lo-LA"/>
        </w:rPr>
      </w:pPr>
      <w:r w:rsidRPr="00C779DC">
        <w:rPr>
          <w:rFonts w:ascii="Times New Roman" w:eastAsia="Times New Roman" w:hAnsi="Times New Roman" w:cs="Arial Unicode MS"/>
          <w:b/>
          <w:lang w:eastAsia="lt-LT" w:bidi="lo-LA"/>
        </w:rPr>
        <w:t>B. PAKUOTĖS LAPELIS</w:t>
      </w: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b/>
          <w:caps/>
        </w:rPr>
      </w:pPr>
    </w:p>
    <w:p w:rsidR="00435051" w:rsidRPr="00C779DC" w:rsidRDefault="00435051" w:rsidP="00435051">
      <w:pPr>
        <w:spacing w:after="0" w:line="240" w:lineRule="auto"/>
        <w:ind w:left="567" w:hanging="567"/>
        <w:jc w:val="center"/>
        <w:rPr>
          <w:rFonts w:ascii="Times New Roman" w:hAnsi="Times New Roman"/>
        </w:rPr>
      </w:pPr>
      <w:r w:rsidRPr="00C779DC">
        <w:rPr>
          <w:rFonts w:ascii="Times New Roman" w:hAnsi="Times New Roman"/>
          <w:b/>
          <w:bCs/>
          <w:caps/>
        </w:rPr>
        <w:t>P</w:t>
      </w:r>
      <w:r w:rsidRPr="00C779DC">
        <w:rPr>
          <w:rFonts w:ascii="Times New Roman" w:hAnsi="Times New Roman"/>
          <w:b/>
          <w:bCs/>
        </w:rPr>
        <w:t>akuotės lapelis: informacija vartotojui</w:t>
      </w:r>
    </w:p>
    <w:p w:rsidR="00435051" w:rsidRPr="00C779DC" w:rsidRDefault="00435051" w:rsidP="00435051">
      <w:pPr>
        <w:spacing w:after="0" w:line="240" w:lineRule="auto"/>
        <w:jc w:val="center"/>
        <w:rPr>
          <w:rFonts w:ascii="Times New Roman" w:hAnsi="Times New Roman"/>
          <w:b/>
          <w:bCs/>
        </w:rPr>
      </w:pPr>
    </w:p>
    <w:p w:rsidR="00435051" w:rsidRPr="00C779DC" w:rsidRDefault="00435051" w:rsidP="00435051">
      <w:pPr>
        <w:spacing w:after="0" w:line="240" w:lineRule="auto"/>
        <w:jc w:val="center"/>
        <w:rPr>
          <w:rFonts w:ascii="Times New Roman" w:hAnsi="Times New Roman"/>
          <w:b/>
          <w:bCs/>
        </w:rPr>
      </w:pPr>
      <w:r w:rsidRPr="00C779DC">
        <w:rPr>
          <w:rFonts w:ascii="Times New Roman" w:hAnsi="Times New Roman"/>
          <w:b/>
          <w:bCs/>
        </w:rPr>
        <w:t xml:space="preserve">Seroquel </w:t>
      </w:r>
      <w:r w:rsidRPr="00C779DC">
        <w:rPr>
          <w:rFonts w:ascii="Times New Roman" w:hAnsi="Times New Roman"/>
          <w:b/>
          <w:bCs/>
          <w:lang w:eastAsia="lt-LT"/>
        </w:rPr>
        <w:t>25 mg</w:t>
      </w:r>
      <w:r w:rsidRPr="00C779DC">
        <w:rPr>
          <w:rFonts w:ascii="Times New Roman" w:hAnsi="Times New Roman"/>
          <w:b/>
          <w:bCs/>
        </w:rPr>
        <w:t xml:space="preserve"> plėvele dengtos tabletės</w:t>
      </w:r>
    </w:p>
    <w:p w:rsidR="00435051" w:rsidRPr="00C779DC" w:rsidRDefault="00435051" w:rsidP="00435051">
      <w:pPr>
        <w:spacing w:after="0" w:line="240" w:lineRule="auto"/>
        <w:jc w:val="center"/>
        <w:rPr>
          <w:rFonts w:ascii="Times New Roman" w:hAnsi="Times New Roman"/>
          <w:b/>
          <w:bCs/>
        </w:rPr>
      </w:pPr>
      <w:r w:rsidRPr="00C779DC">
        <w:rPr>
          <w:rFonts w:ascii="Times New Roman" w:hAnsi="Times New Roman"/>
          <w:b/>
          <w:bCs/>
        </w:rPr>
        <w:t xml:space="preserve">Seroquel </w:t>
      </w:r>
      <w:r w:rsidRPr="00C779DC">
        <w:rPr>
          <w:rFonts w:ascii="Times New Roman" w:hAnsi="Times New Roman"/>
          <w:b/>
          <w:bCs/>
          <w:lang w:eastAsia="lt-LT"/>
        </w:rPr>
        <w:t>100 </w:t>
      </w:r>
      <w:r w:rsidRPr="00C779DC">
        <w:rPr>
          <w:rFonts w:ascii="Times New Roman" w:hAnsi="Times New Roman"/>
          <w:b/>
          <w:bCs/>
        </w:rPr>
        <w:t>mg plėvele dengtos tabletės</w:t>
      </w:r>
    </w:p>
    <w:p w:rsidR="00435051" w:rsidRPr="00C779DC" w:rsidRDefault="00435051" w:rsidP="00435051">
      <w:pPr>
        <w:spacing w:after="0" w:line="240" w:lineRule="auto"/>
        <w:jc w:val="center"/>
        <w:rPr>
          <w:rFonts w:ascii="Times New Roman" w:hAnsi="Times New Roman"/>
          <w:b/>
          <w:bCs/>
        </w:rPr>
      </w:pPr>
      <w:r w:rsidRPr="00C779DC">
        <w:rPr>
          <w:rFonts w:ascii="Times New Roman" w:hAnsi="Times New Roman"/>
          <w:b/>
          <w:bCs/>
        </w:rPr>
        <w:t>Seroquel 200 mg plėvele dengtos tabletės</w:t>
      </w:r>
    </w:p>
    <w:p w:rsidR="00435051" w:rsidRPr="00C779DC" w:rsidRDefault="00435051" w:rsidP="00435051">
      <w:pPr>
        <w:spacing w:after="0" w:line="240" w:lineRule="auto"/>
        <w:jc w:val="center"/>
        <w:rPr>
          <w:rFonts w:ascii="Times New Roman" w:hAnsi="Times New Roman"/>
        </w:rPr>
      </w:pPr>
      <w:r w:rsidRPr="00C779DC">
        <w:rPr>
          <w:rFonts w:ascii="Times New Roman" w:hAnsi="Times New Roman"/>
        </w:rPr>
        <w:t>Kvetiapinas</w:t>
      </w:r>
    </w:p>
    <w:p w:rsidR="00435051" w:rsidRPr="00C779DC" w:rsidRDefault="00435051" w:rsidP="00435051">
      <w:pPr>
        <w:spacing w:after="0" w:line="240" w:lineRule="auto"/>
        <w:jc w:val="center"/>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 xml:space="preserve">Atidžiai perskaitykite visą šį lapelį, prieš pradėdami vartoti </w:t>
      </w:r>
      <w:r w:rsidRPr="00C779DC">
        <w:rPr>
          <w:rFonts w:ascii="Times New Roman" w:hAnsi="Times New Roman"/>
          <w:b/>
          <w:sz w:val="24"/>
          <w:szCs w:val="24"/>
        </w:rPr>
        <w:t>vaistą, nes jame pateikiama Jums svarbi informacija.</w:t>
      </w:r>
    </w:p>
    <w:p w:rsidR="00435051" w:rsidRPr="00C779DC" w:rsidRDefault="00435051" w:rsidP="00435051">
      <w:pPr>
        <w:numPr>
          <w:ilvl w:val="0"/>
          <w:numId w:val="2"/>
        </w:numPr>
        <w:tabs>
          <w:tab w:val="left" w:pos="567"/>
        </w:tabs>
        <w:spacing w:after="0" w:line="240" w:lineRule="auto"/>
        <w:rPr>
          <w:rFonts w:ascii="Times New Roman" w:hAnsi="Times New Roman"/>
        </w:rPr>
      </w:pPr>
      <w:r w:rsidRPr="00C779DC">
        <w:rPr>
          <w:rFonts w:ascii="Times New Roman" w:hAnsi="Times New Roman"/>
        </w:rPr>
        <w:t>Neišmeskite šio lapelio, nes vėl gali prireikti jį perskaityti.</w:t>
      </w:r>
    </w:p>
    <w:p w:rsidR="00435051" w:rsidRPr="00C779DC" w:rsidRDefault="00435051" w:rsidP="00435051">
      <w:pPr>
        <w:numPr>
          <w:ilvl w:val="0"/>
          <w:numId w:val="2"/>
        </w:numPr>
        <w:tabs>
          <w:tab w:val="left" w:pos="567"/>
        </w:tabs>
        <w:spacing w:after="0" w:line="240" w:lineRule="auto"/>
        <w:rPr>
          <w:rFonts w:ascii="Times New Roman" w:hAnsi="Times New Roman"/>
        </w:rPr>
      </w:pPr>
      <w:r w:rsidRPr="00C779DC">
        <w:rPr>
          <w:rFonts w:ascii="Times New Roman" w:hAnsi="Times New Roman"/>
        </w:rPr>
        <w:t>Jeigu kiltų daugiau klausimų, kreipkitės į gydytoją arba vaistininką.</w:t>
      </w:r>
    </w:p>
    <w:p w:rsidR="00435051" w:rsidRPr="00C779DC" w:rsidRDefault="00435051" w:rsidP="00435051">
      <w:pPr>
        <w:numPr>
          <w:ilvl w:val="0"/>
          <w:numId w:val="2"/>
        </w:numPr>
        <w:tabs>
          <w:tab w:val="left" w:pos="567"/>
        </w:tabs>
        <w:spacing w:after="0" w:line="240" w:lineRule="auto"/>
        <w:rPr>
          <w:rFonts w:ascii="Times New Roman" w:hAnsi="Times New Roman"/>
        </w:rPr>
      </w:pPr>
      <w:r w:rsidRPr="00C779DC">
        <w:rPr>
          <w:rFonts w:ascii="Times New Roman" w:hAnsi="Times New Roman"/>
        </w:rPr>
        <w:t>Šis vaistas skirtas tik Jums, todėl kitiems žmonėms jo duoti negalima. Vaistas gali jiems pakenkti (net tiems, kurių ligos požymiai yra tokie patys kaip Jūsų).</w:t>
      </w:r>
    </w:p>
    <w:p w:rsidR="00435051" w:rsidRPr="00C779DC" w:rsidRDefault="00435051" w:rsidP="00435051">
      <w:pPr>
        <w:numPr>
          <w:ilvl w:val="0"/>
          <w:numId w:val="2"/>
        </w:numPr>
        <w:tabs>
          <w:tab w:val="left" w:pos="567"/>
        </w:tabs>
        <w:spacing w:after="0" w:line="240" w:lineRule="auto"/>
        <w:rPr>
          <w:rFonts w:ascii="Times New Roman" w:hAnsi="Times New Roman"/>
        </w:rPr>
      </w:pPr>
      <w:r w:rsidRPr="00C779DC">
        <w:rPr>
          <w:rFonts w:ascii="Times New Roman" w:hAnsi="Times New Roman"/>
        </w:rPr>
        <w:t>Jeigu pasireiškė šalutinis poveikis (net jeigu jis šiame lapelyje nenurodytas), kreipkitės į gydytoją arba vaistininką. Žr. 4 skyrių.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Apie ką rašoma šiame lapelyje?</w:t>
      </w:r>
    </w:p>
    <w:p w:rsidR="00435051" w:rsidRPr="00C779DC" w:rsidRDefault="00435051" w:rsidP="00435051">
      <w:pPr>
        <w:spacing w:after="0" w:line="240" w:lineRule="auto"/>
        <w:rPr>
          <w:rFonts w:ascii="Times New Roman" w:hAnsi="Times New Roman"/>
          <w:b/>
          <w:bCs/>
        </w:rPr>
      </w:pP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1.</w:t>
      </w:r>
      <w:r w:rsidRPr="00C779DC">
        <w:rPr>
          <w:rFonts w:ascii="Times New Roman" w:hAnsi="Times New Roman"/>
        </w:rPr>
        <w:tab/>
        <w:t>Kas yra Seroquel ir kam jis vartojamas</w:t>
      </w: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2.</w:t>
      </w:r>
      <w:r w:rsidRPr="00C779DC">
        <w:rPr>
          <w:rFonts w:ascii="Times New Roman" w:hAnsi="Times New Roman"/>
        </w:rPr>
        <w:tab/>
        <w:t>Kas žinotina prieš vartojant Seroquel</w:t>
      </w: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3.</w:t>
      </w:r>
      <w:r w:rsidRPr="00C779DC">
        <w:rPr>
          <w:rFonts w:ascii="Times New Roman" w:hAnsi="Times New Roman"/>
        </w:rPr>
        <w:tab/>
        <w:t>Kaip vartoti Seroquel</w:t>
      </w: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4.</w:t>
      </w:r>
      <w:r w:rsidRPr="00C779DC">
        <w:rPr>
          <w:rFonts w:ascii="Times New Roman" w:hAnsi="Times New Roman"/>
        </w:rPr>
        <w:tab/>
        <w:t>Galimas šalutinis poveikis</w:t>
      </w: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5.</w:t>
      </w:r>
      <w:r w:rsidRPr="00C779DC">
        <w:rPr>
          <w:rFonts w:ascii="Times New Roman" w:hAnsi="Times New Roman"/>
        </w:rPr>
        <w:tab/>
        <w:t>Kaip laikyti Seroquel</w:t>
      </w:r>
    </w:p>
    <w:p w:rsidR="00435051" w:rsidRPr="00C779DC" w:rsidRDefault="00435051" w:rsidP="00435051">
      <w:pPr>
        <w:tabs>
          <w:tab w:val="left" w:pos="567"/>
        </w:tabs>
        <w:spacing w:after="0" w:line="240" w:lineRule="auto"/>
        <w:ind w:left="1304" w:hanging="1304"/>
        <w:rPr>
          <w:rFonts w:ascii="Times New Roman" w:hAnsi="Times New Roman"/>
        </w:rPr>
      </w:pPr>
      <w:r w:rsidRPr="00C779DC">
        <w:rPr>
          <w:rFonts w:ascii="Times New Roman" w:hAnsi="Times New Roman"/>
        </w:rPr>
        <w:t>6.</w:t>
      </w:r>
      <w:r w:rsidRPr="00C779DC">
        <w:rPr>
          <w:rFonts w:ascii="Times New Roman" w:hAnsi="Times New Roman"/>
        </w:rPr>
        <w:tab/>
        <w:t>Pakuotės turinys ir kita informacija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1.</w:t>
      </w:r>
      <w:r w:rsidRPr="00C779DC">
        <w:rPr>
          <w:rFonts w:ascii="Times New Roman" w:hAnsi="Times New Roman"/>
          <w:b/>
          <w:bCs/>
        </w:rPr>
        <w:tab/>
        <w:t>Kas yra Seroquel ir kam jis vartojamas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sudėtyje yra medžiagos, vadinamos kvetiapinu, kuri priklauso vaistų nuo psichozės grupei. Seroquel galima vartoti kelioms ligoms gydyti:</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3"/>
        </w:numPr>
        <w:spacing w:after="0" w:line="240" w:lineRule="auto"/>
        <w:rPr>
          <w:rFonts w:ascii="Times New Roman" w:hAnsi="Times New Roman"/>
        </w:rPr>
      </w:pPr>
      <w:r w:rsidRPr="00C779DC">
        <w:rPr>
          <w:rFonts w:ascii="Times New Roman" w:hAnsi="Times New Roman"/>
        </w:rPr>
        <w:t>depresijai (blogai nuotaikai), susijusiai su bipoliniu sutrikimu (sirgdami šia liga, galite jausti blogą nuotaiką, kaltę, energijos stygių, apetito stoką ar nemigą);</w:t>
      </w:r>
    </w:p>
    <w:p w:rsidR="00435051" w:rsidRPr="00C779DC" w:rsidRDefault="00435051" w:rsidP="00435051">
      <w:pPr>
        <w:numPr>
          <w:ilvl w:val="0"/>
          <w:numId w:val="3"/>
        </w:numPr>
        <w:spacing w:after="0" w:line="240" w:lineRule="auto"/>
        <w:rPr>
          <w:rFonts w:ascii="Times New Roman" w:hAnsi="Times New Roman"/>
        </w:rPr>
      </w:pPr>
      <w:r w:rsidRPr="00C779DC">
        <w:rPr>
          <w:rFonts w:ascii="Times New Roman" w:hAnsi="Times New Roman"/>
        </w:rPr>
        <w:t>manijai (sirgdami šia liga, galite jausti labai didelį sujaudinimą, pakilią nuotaiką, gali būti daug entuziazmo, padidėjęs aktyvumas ar neapgalvotas elgesys, net agresyvumas ir griaunamasis elgesys);</w:t>
      </w:r>
    </w:p>
    <w:p w:rsidR="00435051" w:rsidRPr="00C779DC" w:rsidRDefault="00435051" w:rsidP="00435051">
      <w:pPr>
        <w:numPr>
          <w:ilvl w:val="0"/>
          <w:numId w:val="3"/>
        </w:numPr>
        <w:spacing w:after="0" w:line="240" w:lineRule="auto"/>
        <w:rPr>
          <w:rFonts w:ascii="Times New Roman" w:hAnsi="Times New Roman"/>
        </w:rPr>
      </w:pPr>
      <w:r w:rsidRPr="00C779DC">
        <w:rPr>
          <w:rFonts w:ascii="Times New Roman" w:hAnsi="Times New Roman"/>
        </w:rPr>
        <w:t>šizofrenijai (sirgdami šia liga, galite girdėti ar jausti nesamus daiktus, tikėti nesamais dalykais, gali pasireikšti neįprastas įtarumas, nerimas, sutrikti orientacija, atsirasti kaltės jausmas, psichinė įtampa ar bloga nuotaika).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Net Jums pasijutus geriau, gydytojas gali nurodyti toliau vartoti Seroquel.</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2.</w:t>
      </w:r>
      <w:r w:rsidRPr="00C779DC">
        <w:rPr>
          <w:rFonts w:ascii="Times New Roman" w:hAnsi="Times New Roman"/>
          <w:b/>
          <w:bCs/>
        </w:rPr>
        <w:tab/>
        <w:t>Kas žinotina prieš vartojant Seroquel</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Seroquel vartoti negalima:</w:t>
      </w:r>
    </w:p>
    <w:p w:rsidR="00435051" w:rsidRPr="00C779DC" w:rsidRDefault="00435051" w:rsidP="00435051">
      <w:pPr>
        <w:numPr>
          <w:ilvl w:val="0"/>
          <w:numId w:val="4"/>
        </w:numPr>
        <w:spacing w:after="0" w:line="240" w:lineRule="auto"/>
        <w:rPr>
          <w:rFonts w:ascii="Times New Roman" w:hAnsi="Times New Roman"/>
        </w:rPr>
      </w:pPr>
      <w:r w:rsidRPr="00C779DC">
        <w:rPr>
          <w:rFonts w:ascii="Times New Roman" w:hAnsi="Times New Roman"/>
        </w:rPr>
        <w:t>jeigu yra alergija kvetiapinui arba bet kuriai pagalbinei šio vaisto medžiagai (jos išvardytos 6 skyriuje);</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4"/>
        </w:numPr>
        <w:spacing w:after="0" w:line="240" w:lineRule="auto"/>
        <w:rPr>
          <w:rFonts w:ascii="Times New Roman" w:hAnsi="Times New Roman"/>
        </w:rPr>
      </w:pPr>
      <w:r w:rsidRPr="00C779DC">
        <w:rPr>
          <w:rFonts w:ascii="Times New Roman" w:hAnsi="Times New Roman"/>
        </w:rPr>
        <w:t>jeigu vartojate kurio nors iš šių vaistų:</w:t>
      </w:r>
    </w:p>
    <w:p w:rsidR="00435051" w:rsidRPr="00C779DC" w:rsidRDefault="00435051" w:rsidP="00435051">
      <w:pPr>
        <w:numPr>
          <w:ilvl w:val="1"/>
          <w:numId w:val="4"/>
        </w:numPr>
        <w:tabs>
          <w:tab w:val="left" w:pos="1134"/>
        </w:tabs>
        <w:spacing w:after="0" w:line="240" w:lineRule="auto"/>
        <w:ind w:left="1134" w:hanging="567"/>
        <w:rPr>
          <w:rFonts w:ascii="Times New Roman" w:hAnsi="Times New Roman"/>
        </w:rPr>
      </w:pPr>
      <w:r w:rsidRPr="00C779DC">
        <w:rPr>
          <w:rFonts w:ascii="Times New Roman" w:hAnsi="Times New Roman"/>
        </w:rPr>
        <w:t>kai kurių vaistų nuo ŽIV;</w:t>
      </w:r>
    </w:p>
    <w:p w:rsidR="00435051" w:rsidRPr="00C779DC" w:rsidRDefault="00435051" w:rsidP="00435051">
      <w:pPr>
        <w:numPr>
          <w:ilvl w:val="1"/>
          <w:numId w:val="4"/>
        </w:numPr>
        <w:tabs>
          <w:tab w:val="left" w:pos="1134"/>
        </w:tabs>
        <w:spacing w:after="0" w:line="240" w:lineRule="auto"/>
        <w:ind w:left="1134" w:hanging="567"/>
        <w:rPr>
          <w:rFonts w:ascii="Times New Roman" w:hAnsi="Times New Roman"/>
        </w:rPr>
      </w:pPr>
      <w:r w:rsidRPr="00C779DC">
        <w:rPr>
          <w:rFonts w:ascii="Times New Roman" w:hAnsi="Times New Roman"/>
        </w:rPr>
        <w:t>azolo grupės vaistų nuo grybelio;</w:t>
      </w:r>
    </w:p>
    <w:p w:rsidR="00435051" w:rsidRPr="00C779DC" w:rsidRDefault="00435051" w:rsidP="00435051">
      <w:pPr>
        <w:numPr>
          <w:ilvl w:val="1"/>
          <w:numId w:val="4"/>
        </w:numPr>
        <w:tabs>
          <w:tab w:val="left" w:pos="1134"/>
        </w:tabs>
        <w:spacing w:after="0" w:line="240" w:lineRule="auto"/>
        <w:ind w:left="1134" w:hanging="567"/>
        <w:rPr>
          <w:rFonts w:ascii="Times New Roman" w:hAnsi="Times New Roman"/>
        </w:rPr>
      </w:pPr>
      <w:r w:rsidRPr="00C779DC">
        <w:rPr>
          <w:rFonts w:ascii="Times New Roman" w:hAnsi="Times New Roman"/>
        </w:rPr>
        <w:t>eritromicino arba klaritromicino (nuo infekcijos);</w:t>
      </w:r>
    </w:p>
    <w:p w:rsidR="00435051" w:rsidRPr="00C779DC" w:rsidRDefault="00435051" w:rsidP="00435051">
      <w:pPr>
        <w:numPr>
          <w:ilvl w:val="1"/>
          <w:numId w:val="4"/>
        </w:numPr>
        <w:tabs>
          <w:tab w:val="left" w:pos="1134"/>
        </w:tabs>
        <w:spacing w:after="0" w:line="240" w:lineRule="auto"/>
        <w:ind w:left="1134" w:hanging="567"/>
        <w:rPr>
          <w:rFonts w:ascii="Times New Roman" w:hAnsi="Times New Roman"/>
        </w:rPr>
      </w:pPr>
      <w:r w:rsidRPr="00C779DC">
        <w:rPr>
          <w:rFonts w:ascii="Times New Roman" w:hAnsi="Times New Roman"/>
        </w:rPr>
        <w:t>nefazodono (nuo depresijos).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Nevartokite Seroquel, jeigu yra kuri nors iš aukščiau išvardytų problemų. Jeigu abejojate, apie tai pasakykite gydytojui arba vaistininkui, prieš pradėmi vartoti Seroquel.</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Įspėjimai ir atsargumo priemonės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u w:val="single"/>
        </w:rPr>
      </w:pPr>
      <w:r w:rsidRPr="00C779DC">
        <w:rPr>
          <w:rFonts w:ascii="Times New Roman" w:hAnsi="Times New Roman"/>
          <w:u w:val="single"/>
        </w:rPr>
        <w:t>Pasitarkite su gydytoju arba vaistininku, prieš pradėdami vartoti Seroquel, jeigu:</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 xml:space="preserve">Jūs arba kuris nors Jūsų šeimos narys sergate arba anksčiau sirgote širdies ligomis (pvz., ritmo sutrikimais, širdies raumens susilpnėjimu arba širdies uždegimu) arba jeigu Jūs vartojate vaistų, kurie gali paveikti širdies susitraukimus; </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Jūsų kraujospūdis yra žemas;</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Jus buvo ištikęs insultas (ypač jei esate senyvo amžiaus);</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nesveikos Jūsų kepenys;</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Jums yra buvę traukulių;</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Jūs sergate cukriniu diabetu arba turite padidėjusią šios ligos riziką (gydytojas gali nuspręsti tirti cukraus koncentraciją Jūsų kraujyje, kol vartosite Seroquel);</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Jūs žinote, kad dėl kitų vaistų poveikio arba kitos priežasties Jūsų kraujyje buvo sumažėjęs baltųjų kūnelių kiekis;</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Jūs esate senyvo amžiaus ir sergate demencija (liga, pasireiškiančia smegenų veiklos silpnėjimu) (tuomet Seroquel vartoti negalima, nes demencija sergantiems senyviems pacientams Seroquel grupės vaistai gali padidinti insulto ir kai kuriais atvejais net mirties riziką);</w:t>
      </w:r>
    </w:p>
    <w:p w:rsidR="00C779DC" w:rsidRDefault="00C779DC" w:rsidP="00C779DC">
      <w:pPr>
        <w:numPr>
          <w:ilvl w:val="1"/>
          <w:numId w:val="25"/>
        </w:numPr>
        <w:tabs>
          <w:tab w:val="left" w:pos="567"/>
        </w:tabs>
        <w:spacing w:after="0" w:line="240" w:lineRule="auto"/>
        <w:rPr>
          <w:rFonts w:ascii="Times New Roman" w:hAnsi="Times New Roman"/>
        </w:rPr>
      </w:pPr>
      <w:bookmarkStart w:id="5" w:name="_Hlk512502269"/>
      <w:r w:rsidRPr="00C779DC">
        <w:rPr>
          <w:rFonts w:ascii="Times New Roman" w:hAnsi="Times New Roman"/>
        </w:rPr>
        <w:t>Jūs esate senyvo amžiaus ir sergate Parkinson</w:t>
      </w:r>
      <w:r>
        <w:rPr>
          <w:rFonts w:ascii="Times New Roman" w:hAnsi="Times New Roman"/>
        </w:rPr>
        <w:t xml:space="preserve">o liga ar </w:t>
      </w:r>
      <w:r w:rsidRPr="00C779DC">
        <w:rPr>
          <w:rFonts w:ascii="Times New Roman" w:hAnsi="Times New Roman"/>
        </w:rPr>
        <w:t>parkinsoni</w:t>
      </w:r>
      <w:r>
        <w:rPr>
          <w:rFonts w:ascii="Times New Roman" w:hAnsi="Times New Roman"/>
        </w:rPr>
        <w:t>zmu</w:t>
      </w:r>
      <w:bookmarkEnd w:id="5"/>
      <w:r>
        <w:rPr>
          <w:rFonts w:ascii="Times New Roman" w:hAnsi="Times New Roman"/>
        </w:rPr>
        <w:t>;</w:t>
      </w:r>
    </w:p>
    <w:p w:rsidR="00435051" w:rsidRPr="00C779DC" w:rsidRDefault="00435051" w:rsidP="00C779DC">
      <w:pPr>
        <w:numPr>
          <w:ilvl w:val="1"/>
          <w:numId w:val="25"/>
        </w:numPr>
        <w:tabs>
          <w:tab w:val="left" w:pos="567"/>
        </w:tabs>
        <w:spacing w:after="0" w:line="240" w:lineRule="auto"/>
        <w:rPr>
          <w:rFonts w:ascii="Times New Roman" w:hAnsi="Times New Roman"/>
        </w:rPr>
      </w:pPr>
      <w:r w:rsidRPr="00C779DC">
        <w:rPr>
          <w:rFonts w:ascii="Times New Roman" w:hAnsi="Times New Roman"/>
        </w:rPr>
        <w:t>Jums arba Jūsų šeimos nariams buvo susidarę kraujo krešulių kraujagyslėse (panašiai į Seroquel veikiantys vaistai didina jų susidarymo pavojų);</w:t>
      </w:r>
    </w:p>
    <w:p w:rsidR="00435051" w:rsidRPr="00C779DC" w:rsidRDefault="00435051" w:rsidP="00435051">
      <w:pPr>
        <w:numPr>
          <w:ilvl w:val="1"/>
          <w:numId w:val="25"/>
        </w:numPr>
        <w:tabs>
          <w:tab w:val="left" w:pos="567"/>
        </w:tabs>
        <w:spacing w:after="0" w:line="240" w:lineRule="auto"/>
        <w:rPr>
          <w:rFonts w:ascii="Times New Roman" w:hAnsi="Times New Roman"/>
        </w:rPr>
      </w:pPr>
      <w:r w:rsidRPr="00C779DC">
        <w:rPr>
          <w:rFonts w:ascii="Times New Roman" w:hAnsi="Times New Roman"/>
        </w:rPr>
        <w:t>Jums dabar yra arba anksčiau yra buvęs sutrikimas, kuris pasireiškia trumpomis kvėpavimo pauzėmis normalaus nakties miego metu (jis vadinamas miego apnėja), arba vartojate vaistų, slopinančių normalią smegenų veiklą;</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rsidR="00435051" w:rsidRPr="00C779DC" w:rsidRDefault="00435051" w:rsidP="00435051">
      <w:pPr>
        <w:numPr>
          <w:ilvl w:val="0"/>
          <w:numId w:val="5"/>
        </w:numPr>
        <w:spacing w:after="0" w:line="240" w:lineRule="auto"/>
        <w:rPr>
          <w:rFonts w:ascii="Times New Roman" w:hAnsi="Times New Roman"/>
        </w:rPr>
      </w:pPr>
      <w:r w:rsidRPr="00C779DC">
        <w:rPr>
          <w:rFonts w:ascii="Times New Roman" w:hAnsi="Times New Roman"/>
          <w:color w:val="010202"/>
        </w:rPr>
        <w:t>Jūs dabar piktnaudžiaujate ar anksčiau piktnaudžiavote alkoholiniais gėrimais, vaistais arba narkotikais.</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12"/>
          <w:numId w:val="0"/>
        </w:numPr>
        <w:spacing w:after="0" w:line="240" w:lineRule="auto"/>
        <w:rPr>
          <w:rFonts w:ascii="Times New Roman" w:hAnsi="Times New Roman"/>
        </w:rPr>
      </w:pPr>
      <w:r w:rsidRPr="00C779DC">
        <w:rPr>
          <w:rFonts w:ascii="Times New Roman" w:hAnsi="Times New Roman"/>
          <w:u w:val="single"/>
          <w:lang w:eastAsia="nl-NL"/>
        </w:rPr>
        <w:t>Nedelsdami pasakykite gydytojui, jeigu vartojant Seroquel Jums pasireikštų kuris nors iš šių sutrikimų:</w:t>
      </w:r>
    </w:p>
    <w:p w:rsidR="00435051" w:rsidRPr="00C779DC" w:rsidRDefault="00435051" w:rsidP="00435051">
      <w:pPr>
        <w:numPr>
          <w:ilvl w:val="0"/>
          <w:numId w:val="6"/>
        </w:numPr>
        <w:spacing w:after="0" w:line="240" w:lineRule="auto"/>
        <w:rPr>
          <w:rFonts w:ascii="Times New Roman" w:hAnsi="Times New Roman"/>
        </w:rPr>
      </w:pPr>
      <w:r w:rsidRPr="00C779DC">
        <w:rPr>
          <w:rFonts w:ascii="Times New Roman" w:hAnsi="Times New Roman"/>
        </w:rPr>
        <w:t>karščiavimas kartu su dideliu raumenų stinguliu, prakaitavimu arba sąmonės sutrikimu (šis derinys vadinamas piktybiniu neurolepsiniu sindromu) (tokiu atveju Jums gali reikėti skubios gydytojo pagalbos);</w:t>
      </w:r>
    </w:p>
    <w:p w:rsidR="00435051" w:rsidRPr="00C779DC" w:rsidRDefault="00435051" w:rsidP="00435051">
      <w:pPr>
        <w:numPr>
          <w:ilvl w:val="0"/>
          <w:numId w:val="6"/>
        </w:numPr>
        <w:spacing w:after="0" w:line="240" w:lineRule="auto"/>
        <w:rPr>
          <w:rFonts w:ascii="Times New Roman" w:hAnsi="Times New Roman"/>
        </w:rPr>
      </w:pPr>
      <w:r w:rsidRPr="00C779DC">
        <w:rPr>
          <w:rFonts w:ascii="Times New Roman" w:hAnsi="Times New Roman"/>
        </w:rPr>
        <w:t>prasidėtų nekontroliuojami judesiai, ypač veido ar liežuvio;</w:t>
      </w:r>
    </w:p>
    <w:p w:rsidR="00435051" w:rsidRPr="00C779DC" w:rsidRDefault="00435051" w:rsidP="00435051">
      <w:pPr>
        <w:numPr>
          <w:ilvl w:val="0"/>
          <w:numId w:val="6"/>
        </w:numPr>
        <w:spacing w:after="0" w:line="240" w:lineRule="auto"/>
        <w:rPr>
          <w:rFonts w:ascii="Times New Roman" w:hAnsi="Times New Roman"/>
        </w:rPr>
      </w:pPr>
      <w:r w:rsidRPr="00C779DC">
        <w:rPr>
          <w:rFonts w:ascii="Times New Roman" w:hAnsi="Times New Roman"/>
        </w:rPr>
        <w:t>svaigulys arba didelis mieguistumas – dėl jų senyviems pacientams gali padidėti griuvimo ir atsitiktinio susižalojimo pavojus;</w:t>
      </w:r>
    </w:p>
    <w:p w:rsidR="00435051" w:rsidRPr="00C779DC" w:rsidRDefault="00435051" w:rsidP="00435051">
      <w:pPr>
        <w:numPr>
          <w:ilvl w:val="0"/>
          <w:numId w:val="6"/>
        </w:numPr>
        <w:spacing w:after="0" w:line="240" w:lineRule="auto"/>
        <w:rPr>
          <w:rFonts w:ascii="Times New Roman" w:hAnsi="Times New Roman"/>
        </w:rPr>
      </w:pPr>
      <w:r w:rsidRPr="00C779DC">
        <w:rPr>
          <w:rFonts w:ascii="Times New Roman" w:hAnsi="Times New Roman"/>
        </w:rPr>
        <w:t>traukuliai;</w:t>
      </w:r>
    </w:p>
    <w:p w:rsidR="00435051" w:rsidRPr="00C779DC" w:rsidRDefault="00435051" w:rsidP="00435051">
      <w:pPr>
        <w:numPr>
          <w:ilvl w:val="0"/>
          <w:numId w:val="6"/>
        </w:numPr>
        <w:spacing w:after="0" w:line="240" w:lineRule="auto"/>
        <w:rPr>
          <w:rFonts w:ascii="Times New Roman" w:hAnsi="Times New Roman"/>
        </w:rPr>
      </w:pPr>
      <w:r w:rsidRPr="00C779DC">
        <w:rPr>
          <w:rFonts w:ascii="Times New Roman" w:hAnsi="Times New Roman"/>
        </w:rPr>
        <w:lastRenderedPageBreak/>
        <w:t>ilgalaikė skausminga erekcija (priapizmas).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Tokių sutrikimų gali sukelti šios grupės vaistai.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Kiek įmanoma greičiau pasakykite gydytojui, jeigu vartojant Seroquel Jums pasireikštų kuris nors iš šių sutrikimų:</w:t>
      </w:r>
    </w:p>
    <w:p w:rsidR="00435051" w:rsidRPr="00C779DC" w:rsidRDefault="00435051" w:rsidP="00435051">
      <w:pPr>
        <w:numPr>
          <w:ilvl w:val="0"/>
          <w:numId w:val="7"/>
        </w:numPr>
        <w:spacing w:after="0" w:line="240" w:lineRule="auto"/>
        <w:rPr>
          <w:rFonts w:ascii="Times New Roman" w:hAnsi="Times New Roman"/>
        </w:rPr>
      </w:pPr>
      <w:r w:rsidRPr="00C779DC">
        <w:rPr>
          <w:rFonts w:ascii="Times New Roman" w:hAnsi="Times New Roman"/>
        </w:rPr>
        <w:t>karščiavimas, panašių į gripo simptomų, gerklės skausmas arba kokia nors kita infekcija – šių sutrikimų priežastis gali būti labai sumažėjęs baltųjų kraujo kūnelių skaičius, dėl kurio gali tekti nutraukti Seroquel vartojimą ir (arba) atitinkamai gydyti;</w:t>
      </w:r>
    </w:p>
    <w:p w:rsidR="00435051" w:rsidRPr="00C779DC" w:rsidRDefault="00435051" w:rsidP="00435051">
      <w:pPr>
        <w:numPr>
          <w:ilvl w:val="0"/>
          <w:numId w:val="7"/>
        </w:numPr>
        <w:spacing w:after="0" w:line="240" w:lineRule="auto"/>
        <w:rPr>
          <w:rFonts w:ascii="Times New Roman" w:hAnsi="Times New Roman"/>
        </w:rPr>
      </w:pPr>
      <w:r w:rsidRPr="00C779DC">
        <w:rPr>
          <w:rFonts w:ascii="Times New Roman" w:hAnsi="Times New Roman"/>
        </w:rPr>
        <w:t>vidurių užkietėjimas ir kartu nuolatinis pilvo skausmas arba vidurių užkietėjimas, kurio nepalengvina vaistai (gali pavojingai užsikimšti žarnos);</w:t>
      </w:r>
    </w:p>
    <w:p w:rsidR="00435051" w:rsidRPr="00C779DC" w:rsidRDefault="00435051" w:rsidP="00435051">
      <w:pPr>
        <w:numPr>
          <w:ilvl w:val="0"/>
          <w:numId w:val="7"/>
        </w:numPr>
        <w:spacing w:after="0" w:line="240" w:lineRule="auto"/>
        <w:rPr>
          <w:rFonts w:ascii="Times New Roman" w:hAnsi="Times New Roman"/>
        </w:rPr>
      </w:pPr>
      <w:r w:rsidRPr="00C779DC">
        <w:rPr>
          <w:rFonts w:ascii="Times New Roman" w:hAnsi="Times New Roman"/>
        </w:rPr>
        <w:t>mintys apie savižudybę ir depresijos pasunkėjimas. Sergant depresija, kartais gali kilti noras susižaloti ar nusižudyti. Pradedant gydymą, tokių sutrikimų pavojus gali padidėti, kadangi vaistai pradeda veikti tik po tam tikro laiko (dažniausiai maždaug po 2 savaičių, bet kartais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w:t>
      </w:r>
    </w:p>
    <w:p w:rsidR="00435051" w:rsidRPr="00C779DC" w:rsidRDefault="00435051" w:rsidP="00435051">
      <w:pPr>
        <w:spacing w:after="0" w:line="240" w:lineRule="auto"/>
        <w:rPr>
          <w:rFonts w:ascii="Times New Roman" w:hAnsi="Times New Roman"/>
        </w:rPr>
      </w:pPr>
      <w:r w:rsidRPr="00C779DC">
        <w:rPr>
          <w:rFonts w:ascii="Times New Roman" w:hAnsi="Times New Roman"/>
        </w:rPr>
        <w:t>Jeigu Jums kiltų noras susižaloti arba nusižudyti, tuoj pat kreipkitės į savo gydytoją arba vykite į ligoninę. Gali būti naudinga pasakyti giminaičiui arba artimam draugui, kad sergate depresija, ir paprašyti perskaityti šį pakuotės lapelį. Taip pat galėtumėte jų paprašyti, kad pasakytų Jums, jeigu jiems atrodytų, kad Jūsų depresija pasunkėjo, arba jeigu jie sunerimtų dėl Jūsų elgesio pokyčių.</w:t>
      </w:r>
    </w:p>
    <w:p w:rsidR="00435051" w:rsidRPr="00C779DC" w:rsidRDefault="00435051" w:rsidP="00435051">
      <w:pPr>
        <w:spacing w:after="0" w:line="240" w:lineRule="auto"/>
        <w:rPr>
          <w:rFonts w:ascii="Times New Roman" w:hAnsi="Times New Roman"/>
          <w:i/>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Svorio prieaugis</w:t>
      </w:r>
    </w:p>
    <w:p w:rsidR="00435051" w:rsidRPr="00C779DC" w:rsidRDefault="00435051" w:rsidP="00435051">
      <w:pPr>
        <w:spacing w:after="0" w:line="240" w:lineRule="auto"/>
        <w:rPr>
          <w:rFonts w:ascii="Times New Roman" w:hAnsi="Times New Roman"/>
        </w:rPr>
      </w:pPr>
      <w:r w:rsidRPr="00C779DC">
        <w:rPr>
          <w:rFonts w:ascii="Times New Roman" w:hAnsi="Times New Roman"/>
        </w:rPr>
        <w:t>Būna atvejų, kai Seroquel vartojantys pacientai priaugo svorio, todėl reikia reguliariai svertis ir kad Jūsų svorį stebėtų gydytojas.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iCs/>
        </w:rPr>
      </w:pPr>
      <w:r w:rsidRPr="00C779DC">
        <w:rPr>
          <w:rFonts w:ascii="Times New Roman" w:hAnsi="Times New Roman"/>
          <w:b/>
          <w:bCs/>
          <w:iCs/>
        </w:rPr>
        <w:t>Vaikams ir paaugliams</w:t>
      </w:r>
    </w:p>
    <w:p w:rsidR="00435051" w:rsidRPr="00C779DC" w:rsidRDefault="00435051" w:rsidP="00435051">
      <w:pPr>
        <w:spacing w:after="0" w:line="240" w:lineRule="auto"/>
        <w:rPr>
          <w:rFonts w:ascii="Times New Roman" w:hAnsi="Times New Roman"/>
          <w:bCs/>
          <w:iCs/>
        </w:rPr>
      </w:pPr>
      <w:r w:rsidRPr="00C779DC">
        <w:rPr>
          <w:rFonts w:ascii="Times New Roman" w:hAnsi="Times New Roman"/>
          <w:bCs/>
          <w:iCs/>
        </w:rPr>
        <w:t>Seroquel nėra skirtas vaikams ir paaugliams iki 18 metų.</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Kiti vaistai ir Seroquel</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Jeigu vartojate arba neseniai vartojote kitų vaistų, apie tai pasakykite gydytojui.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negalima vartoti kartu su:</w:t>
      </w:r>
    </w:p>
    <w:p w:rsidR="00435051" w:rsidRPr="00C779DC" w:rsidRDefault="00435051" w:rsidP="00435051">
      <w:pPr>
        <w:numPr>
          <w:ilvl w:val="0"/>
          <w:numId w:val="8"/>
        </w:numPr>
        <w:spacing w:after="0" w:line="240" w:lineRule="auto"/>
        <w:rPr>
          <w:rFonts w:ascii="Times New Roman" w:hAnsi="Times New Roman"/>
        </w:rPr>
      </w:pPr>
      <w:r w:rsidRPr="00C779DC">
        <w:rPr>
          <w:rFonts w:ascii="Times New Roman" w:hAnsi="Times New Roman"/>
        </w:rPr>
        <w:t>kai kuriais vaistais nuo ŽIV;</w:t>
      </w:r>
    </w:p>
    <w:p w:rsidR="00435051" w:rsidRPr="00C779DC" w:rsidRDefault="00435051" w:rsidP="00435051">
      <w:pPr>
        <w:numPr>
          <w:ilvl w:val="0"/>
          <w:numId w:val="8"/>
        </w:numPr>
        <w:spacing w:after="0" w:line="240" w:lineRule="auto"/>
        <w:rPr>
          <w:rFonts w:ascii="Times New Roman" w:hAnsi="Times New Roman"/>
        </w:rPr>
      </w:pPr>
      <w:r w:rsidRPr="00C779DC">
        <w:rPr>
          <w:rFonts w:ascii="Times New Roman" w:hAnsi="Times New Roman"/>
        </w:rPr>
        <w:t>azolų grupės vaistais (nuo grybelio infekcijos);</w:t>
      </w:r>
    </w:p>
    <w:p w:rsidR="00435051" w:rsidRPr="00C779DC" w:rsidRDefault="00435051" w:rsidP="00435051">
      <w:pPr>
        <w:numPr>
          <w:ilvl w:val="0"/>
          <w:numId w:val="8"/>
        </w:numPr>
        <w:spacing w:after="0" w:line="240" w:lineRule="auto"/>
        <w:rPr>
          <w:rFonts w:ascii="Times New Roman" w:hAnsi="Times New Roman"/>
        </w:rPr>
      </w:pPr>
      <w:r w:rsidRPr="00C779DC">
        <w:rPr>
          <w:rFonts w:ascii="Times New Roman" w:hAnsi="Times New Roman"/>
        </w:rPr>
        <w:t>eritromicinu, klaritromicinu (vaistais nuo infekcijų);</w:t>
      </w:r>
    </w:p>
    <w:p w:rsidR="00435051" w:rsidRPr="00C779DC" w:rsidRDefault="00435051" w:rsidP="00435051">
      <w:pPr>
        <w:numPr>
          <w:ilvl w:val="0"/>
          <w:numId w:val="8"/>
        </w:numPr>
        <w:spacing w:after="0" w:line="240" w:lineRule="auto"/>
        <w:rPr>
          <w:rFonts w:ascii="Times New Roman" w:hAnsi="Times New Roman"/>
        </w:rPr>
      </w:pPr>
      <w:r w:rsidRPr="00C779DC">
        <w:rPr>
          <w:rFonts w:ascii="Times New Roman" w:hAnsi="Times New Roman"/>
        </w:rPr>
        <w:t>nefazodonu (vaistu nuo depresijos).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Pasakykite gydytojui, jeigu vartojate kurio nors iš šių vaistų:</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t xml:space="preserve">nuo epilepsijos, pvz., fenitoino arba karbamazepino; </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t>nuo aukšto kraujospūdžio;</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t>barbitūratų (migdomųjų);</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t>tioridazino arba ličio preparatų (kitų vaistų nuo psichozės);</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t>veikiančių širdies susitraukimus: galinčių sutrikdyti elektrolitų pusiausvyrą (sumažinti kalio arba magnio kiekį, pvz., skatinančių išsiskirti šlapimą) arba kai kurių antibiotikų (vaistų nuo infekcijų);</w:t>
      </w:r>
    </w:p>
    <w:p w:rsidR="00435051" w:rsidRPr="00C779DC" w:rsidRDefault="00435051" w:rsidP="00435051">
      <w:pPr>
        <w:numPr>
          <w:ilvl w:val="0"/>
          <w:numId w:val="29"/>
        </w:numPr>
        <w:spacing w:after="0" w:line="240" w:lineRule="auto"/>
        <w:rPr>
          <w:rFonts w:ascii="Times New Roman" w:hAnsi="Times New Roman"/>
        </w:rPr>
      </w:pPr>
      <w:r w:rsidRPr="00C779DC">
        <w:rPr>
          <w:rFonts w:ascii="Times New Roman" w:hAnsi="Times New Roman"/>
        </w:rPr>
        <w:t>galinčių sukelti vidurių užkietėjimą;</w:t>
      </w:r>
    </w:p>
    <w:p w:rsidR="00435051" w:rsidRPr="00C779DC" w:rsidRDefault="00435051" w:rsidP="00435051">
      <w:pPr>
        <w:numPr>
          <w:ilvl w:val="0"/>
          <w:numId w:val="9"/>
        </w:numPr>
        <w:spacing w:after="0" w:line="240" w:lineRule="auto"/>
        <w:rPr>
          <w:rFonts w:ascii="Times New Roman" w:hAnsi="Times New Roman"/>
        </w:rPr>
      </w:pPr>
      <w:r w:rsidRPr="00C779DC">
        <w:rPr>
          <w:rFonts w:ascii="Times New Roman" w:hAnsi="Times New Roman"/>
        </w:rPr>
        <w:lastRenderedPageBreak/>
        <w:t>vadinamų anticholinerginiais, veikiančių nervų ląstelių funkciją ir todėl vartojamų tam tikroms ligoms gydyti.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Prieš nutraukdami bet kurio vaisto vartojimą, pasikonsultuokite su gydytoju.</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Seroquel vartojimas su maistu, gėrimais ir alkoholiu</w:t>
      </w:r>
    </w:p>
    <w:p w:rsidR="00435051" w:rsidRPr="00C779DC" w:rsidRDefault="00435051" w:rsidP="00435051">
      <w:pPr>
        <w:numPr>
          <w:ilvl w:val="0"/>
          <w:numId w:val="44"/>
        </w:numPr>
        <w:spacing w:after="0" w:line="240" w:lineRule="auto"/>
        <w:rPr>
          <w:rFonts w:ascii="Times New Roman" w:hAnsi="Times New Roman"/>
        </w:rPr>
      </w:pPr>
      <w:r w:rsidRPr="00C779DC">
        <w:rPr>
          <w:rFonts w:ascii="Times New Roman" w:hAnsi="Times New Roman"/>
        </w:rPr>
        <w:t>Seroquel galima vartoti valgant arba kitu laiku.</w:t>
      </w:r>
    </w:p>
    <w:p w:rsidR="00435051" w:rsidRPr="00C779DC" w:rsidRDefault="00435051" w:rsidP="00435051">
      <w:pPr>
        <w:numPr>
          <w:ilvl w:val="0"/>
          <w:numId w:val="44"/>
        </w:numPr>
        <w:spacing w:after="0" w:line="240" w:lineRule="auto"/>
        <w:rPr>
          <w:rFonts w:ascii="Times New Roman" w:hAnsi="Times New Roman"/>
        </w:rPr>
      </w:pPr>
      <w:r w:rsidRPr="00C779DC">
        <w:rPr>
          <w:rFonts w:ascii="Times New Roman" w:hAnsi="Times New Roman"/>
        </w:rPr>
        <w:t>Negerkite daug alkoholinių gėrimų, kadangi alkoholio ir Seroquel poveikis gali sumuotis ir dėl to pasireikšti mieguistumas.</w:t>
      </w:r>
    </w:p>
    <w:p w:rsidR="00435051" w:rsidRPr="00C779DC" w:rsidRDefault="00435051" w:rsidP="00435051">
      <w:pPr>
        <w:numPr>
          <w:ilvl w:val="0"/>
          <w:numId w:val="44"/>
        </w:numPr>
        <w:spacing w:after="0" w:line="240" w:lineRule="auto"/>
        <w:rPr>
          <w:rFonts w:ascii="Times New Roman" w:hAnsi="Times New Roman"/>
        </w:rPr>
      </w:pPr>
      <w:r w:rsidRPr="00C779DC">
        <w:rPr>
          <w:rFonts w:ascii="Times New Roman" w:hAnsi="Times New Roman"/>
        </w:rPr>
        <w:t>Greipfrutų sultys gali turėti įtakos Seroquel poveikiui, todėl jų gerti negalima.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Nėštumas ir žindymo laikotarpis</w:t>
      </w:r>
    </w:p>
    <w:p w:rsidR="00435051" w:rsidRPr="00C779DC" w:rsidRDefault="00435051" w:rsidP="00435051">
      <w:pPr>
        <w:spacing w:after="0" w:line="240" w:lineRule="auto"/>
        <w:rPr>
          <w:rFonts w:ascii="Times New Roman" w:hAnsi="Times New Roman"/>
        </w:rPr>
      </w:pPr>
      <w:r w:rsidRPr="00C779DC">
        <w:rPr>
          <w:rFonts w:ascii="Times New Roman" w:hAnsi="Times New Roman"/>
        </w:rPr>
        <w:t>Jeigu esate nėščia, žindote kūdikį, manote, kad galbūt esate nėščia arba planuojate pastoti, tai pasitarkite su gydytoju prieš vartodama šį vaistą. Nepasitarus su gydytoju, nėštumo laikotarpiu Seroquel vartoti negalima. Žindymo laikotarpiu Seroquel vartoti negalima.</w:t>
      </w:r>
    </w:p>
    <w:p w:rsidR="00435051" w:rsidRPr="00C779DC" w:rsidRDefault="00435051" w:rsidP="00435051">
      <w:pPr>
        <w:spacing w:after="0" w:line="240" w:lineRule="auto"/>
        <w:rPr>
          <w:rFonts w:ascii="Times New Roman" w:hAnsi="Times New Roman"/>
          <w:shd w:val="clear" w:color="auto" w:fill="FFFFFF"/>
        </w:rPr>
      </w:pPr>
    </w:p>
    <w:p w:rsidR="00435051" w:rsidRPr="00C779DC" w:rsidRDefault="00435051" w:rsidP="00435051">
      <w:pPr>
        <w:spacing w:after="0" w:line="240" w:lineRule="auto"/>
        <w:rPr>
          <w:rFonts w:ascii="Times New Roman" w:hAnsi="Times New Roman"/>
        </w:rPr>
      </w:pPr>
      <w:r w:rsidRPr="00C779DC">
        <w:rPr>
          <w:rFonts w:ascii="Times New Roman" w:hAnsi="Times New Roman"/>
          <w:shd w:val="clear" w:color="auto" w:fill="FFFFFF"/>
        </w:rPr>
        <w:t>Naujagimiams, kurių motinos paskutinį nėštumo trimestrą (paskutinius tris nėštumo mėnesius) vartojo Seroquel, gali pasireikšti simptomų, kurie gali būti susiję su tuo, kad šio vaisto nebepatenka į jų organizmą: drebulys, raumenų stingulys ir (arba) silpnumas, mieguistumas, sujaudinimas, sutrikęs kvėpavimas ir pasunkėjęs maitinimas. Jei Jūsų kūdikiui pasireikštų kuris nors iš išvardytų simptomų, gali prireikti kreiptis į gydytoją</w:t>
      </w:r>
      <w:r w:rsidRPr="00C779DC">
        <w:rPr>
          <w:rFonts w:ascii="Times New Roman" w:hAnsi="Times New Roman"/>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Vairavimas ir mechanizmų valdymas</w:t>
      </w:r>
    </w:p>
    <w:p w:rsidR="00435051" w:rsidRPr="00C779DC" w:rsidRDefault="00435051" w:rsidP="00435051">
      <w:pPr>
        <w:spacing w:after="0" w:line="240" w:lineRule="auto"/>
        <w:rPr>
          <w:rFonts w:ascii="Times New Roman" w:hAnsi="Times New Roman"/>
        </w:rPr>
      </w:pPr>
      <w:r w:rsidRPr="00C779DC">
        <w:rPr>
          <w:rFonts w:ascii="Times New Roman" w:hAnsi="Times New Roman"/>
        </w:rPr>
        <w:t>Šios tabletės gali sukelti mieguistumą, todėl nevairuokite ir nedirbkite su technika, kol pajusite, kaip jos veikia Jus.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Seroquel sudėtyje yra laktozės</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sudėtyje yra laktozės (tam tikro angliavandenio). Jeigu gydytojas Jums yra sakęs, kad netoleruojate kokių nors angliavandenių, aptarkite tai su juo, prieš pradėdami vartoti šį vaistą.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Poveikis vaistų tyrimų šlapime duomenims</w:t>
      </w:r>
    </w:p>
    <w:p w:rsidR="00435051" w:rsidRPr="00C779DC" w:rsidRDefault="00435051" w:rsidP="00435051">
      <w:pPr>
        <w:spacing w:after="0" w:line="240" w:lineRule="auto"/>
        <w:rPr>
          <w:rFonts w:ascii="Times New Roman" w:hAnsi="Times New Roman"/>
        </w:rPr>
      </w:pPr>
      <w:r w:rsidRPr="00C779DC">
        <w:rPr>
          <w:rFonts w:ascii="Times New Roman" w:hAnsi="Times New Roman"/>
        </w:rPr>
        <w:t>Vartojant Seroquel,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rsidR="00435051" w:rsidRPr="00C779DC" w:rsidRDefault="00435051" w:rsidP="00435051">
      <w:pPr>
        <w:spacing w:after="0" w:line="240" w:lineRule="auto"/>
        <w:rPr>
          <w:rFonts w:ascii="Times New Roman" w:hAnsi="Times New Roman"/>
          <w:b/>
          <w:bCs/>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3.</w:t>
      </w:r>
      <w:r w:rsidRPr="00C779DC">
        <w:rPr>
          <w:rFonts w:ascii="Times New Roman" w:hAnsi="Times New Roman"/>
          <w:b/>
          <w:bCs/>
        </w:rPr>
        <w:tab/>
        <w:t>Kaip vartoti Seroquel</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Visada vartokite šį vaistą tiksliai kaip nurodė gydytojas. Jeigu abejojate, kreipkitės į gydytoją arba vaistininką. Pradinę dozę nurodys gydytojas. Palaikomoji dozė priklauso nuo Jūsų ligos ir poreikio, tačiau paprastai ji būna nuo 150 mg iki 800 mg per parą.</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10"/>
        </w:numPr>
        <w:spacing w:after="0" w:line="240" w:lineRule="auto"/>
        <w:rPr>
          <w:rFonts w:ascii="Times New Roman" w:hAnsi="Times New Roman"/>
        </w:rPr>
      </w:pPr>
      <w:r w:rsidRPr="00C779DC">
        <w:rPr>
          <w:rFonts w:ascii="Times New Roman" w:hAnsi="Times New Roman"/>
        </w:rPr>
        <w:t>Šių tablečių geriama 1 kartą per parą (prieš miegą) arba 2 kartus per parą, priklausomai nuo ligos.</w:t>
      </w:r>
    </w:p>
    <w:p w:rsidR="00435051" w:rsidRPr="00C779DC" w:rsidRDefault="00435051" w:rsidP="00435051">
      <w:pPr>
        <w:numPr>
          <w:ilvl w:val="0"/>
          <w:numId w:val="10"/>
        </w:numPr>
        <w:spacing w:after="0" w:line="240" w:lineRule="auto"/>
        <w:rPr>
          <w:rFonts w:ascii="Times New Roman" w:hAnsi="Times New Roman"/>
        </w:rPr>
      </w:pPr>
      <w:r w:rsidRPr="00C779DC">
        <w:rPr>
          <w:rFonts w:ascii="Times New Roman" w:hAnsi="Times New Roman"/>
        </w:rPr>
        <w:t>Tabletes nurykite nepažeistas, užgerdami vandeniu.</w:t>
      </w:r>
    </w:p>
    <w:p w:rsidR="00435051" w:rsidRPr="00C779DC" w:rsidRDefault="00435051" w:rsidP="00435051">
      <w:pPr>
        <w:numPr>
          <w:ilvl w:val="0"/>
          <w:numId w:val="10"/>
        </w:numPr>
        <w:spacing w:after="0" w:line="240" w:lineRule="auto"/>
        <w:rPr>
          <w:rFonts w:ascii="Times New Roman" w:hAnsi="Times New Roman"/>
        </w:rPr>
      </w:pPr>
      <w:r w:rsidRPr="00C779DC">
        <w:rPr>
          <w:rFonts w:ascii="Times New Roman" w:hAnsi="Times New Roman"/>
        </w:rPr>
        <w:t>Šias tabletes galima vartoti valgant arba kitu laiku.</w:t>
      </w:r>
    </w:p>
    <w:p w:rsidR="00435051" w:rsidRPr="00C779DC" w:rsidRDefault="00435051" w:rsidP="00435051">
      <w:pPr>
        <w:numPr>
          <w:ilvl w:val="0"/>
          <w:numId w:val="10"/>
        </w:numPr>
        <w:spacing w:after="0" w:line="240" w:lineRule="auto"/>
        <w:rPr>
          <w:rFonts w:ascii="Times New Roman" w:hAnsi="Times New Roman"/>
        </w:rPr>
      </w:pPr>
      <w:r w:rsidRPr="00C779DC">
        <w:rPr>
          <w:rFonts w:ascii="Times New Roman" w:hAnsi="Times New Roman"/>
        </w:rPr>
        <w:lastRenderedPageBreak/>
        <w:t>Kol vartojate Seroquel, negerkite greipfrutų sulčių, kadangi jos gali pakeisti šio vaisto veikimą.</w:t>
      </w:r>
    </w:p>
    <w:p w:rsidR="00435051" w:rsidRPr="00C779DC" w:rsidRDefault="00435051" w:rsidP="00435051">
      <w:pPr>
        <w:numPr>
          <w:ilvl w:val="0"/>
          <w:numId w:val="10"/>
        </w:numPr>
        <w:spacing w:after="0" w:line="240" w:lineRule="auto"/>
        <w:rPr>
          <w:rFonts w:ascii="Times New Roman" w:hAnsi="Times New Roman"/>
        </w:rPr>
      </w:pPr>
      <w:r w:rsidRPr="00C779DC">
        <w:rPr>
          <w:rFonts w:ascii="Times New Roman" w:hAnsi="Times New Roman"/>
        </w:rPr>
        <w:t>Nenutraukite šių tablečių vartojimo net pasijutę geriau, jeigu to nenurodė gydytojas.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Sutrikusi kepenų funkcija</w:t>
      </w:r>
    </w:p>
    <w:p w:rsidR="00435051" w:rsidRPr="00C779DC" w:rsidRDefault="00435051" w:rsidP="00435051">
      <w:pPr>
        <w:spacing w:after="0" w:line="240" w:lineRule="auto"/>
        <w:rPr>
          <w:rFonts w:ascii="Times New Roman" w:hAnsi="Times New Roman"/>
        </w:rPr>
      </w:pPr>
      <w:r w:rsidRPr="00C779DC">
        <w:rPr>
          <w:rFonts w:ascii="Times New Roman" w:hAnsi="Times New Roman"/>
        </w:rPr>
        <w:t>Jeigu sutrikusi Jūsų kepenų funkcija, gydytojas gali pakoreguoti vaisto dozę.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Senyviems žmonėms</w:t>
      </w:r>
    </w:p>
    <w:p w:rsidR="00435051" w:rsidRPr="00C779DC" w:rsidRDefault="00435051" w:rsidP="00435051">
      <w:pPr>
        <w:spacing w:after="0" w:line="240" w:lineRule="auto"/>
        <w:rPr>
          <w:rFonts w:ascii="Times New Roman" w:hAnsi="Times New Roman"/>
          <w:bCs/>
        </w:rPr>
      </w:pPr>
      <w:r w:rsidRPr="00C779DC">
        <w:rPr>
          <w:rFonts w:ascii="Times New Roman" w:hAnsi="Times New Roman"/>
        </w:rPr>
        <w:t>Senyviems žmonėms gydytojas gali pakoreguoti</w:t>
      </w:r>
      <w:r w:rsidRPr="00C779DC">
        <w:rPr>
          <w:rFonts w:ascii="Times New Roman" w:hAnsi="Times New Roman"/>
          <w:bCs/>
        </w:rPr>
        <w:t xml:space="preserve"> dozę.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 xml:space="preserve">Vartojimas vaikams ir paaugliams </w:t>
      </w:r>
    </w:p>
    <w:p w:rsidR="00435051" w:rsidRPr="00C779DC" w:rsidRDefault="00435051" w:rsidP="00435051">
      <w:pPr>
        <w:spacing w:after="0" w:line="240" w:lineRule="auto"/>
        <w:rPr>
          <w:rFonts w:ascii="Times New Roman" w:hAnsi="Times New Roman"/>
        </w:rPr>
      </w:pPr>
      <w:r w:rsidRPr="00C779DC">
        <w:rPr>
          <w:rFonts w:ascii="Times New Roman" w:hAnsi="Times New Roman"/>
          <w:bCs/>
        </w:rPr>
        <w:t>Vaikams ir paaugliams iki 18 metų</w:t>
      </w:r>
      <w:r w:rsidRPr="00C779DC">
        <w:rPr>
          <w:rFonts w:ascii="Times New Roman" w:hAnsi="Times New Roman"/>
        </w:rPr>
        <w:t xml:space="preserve"> Seroquel vartoti negalima.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Ką daryti pavartojus per didelę Seroquel dozę?</w:t>
      </w:r>
    </w:p>
    <w:p w:rsidR="00435051" w:rsidRPr="00C779DC" w:rsidRDefault="00435051" w:rsidP="00435051">
      <w:pPr>
        <w:spacing w:after="0" w:line="240" w:lineRule="auto"/>
        <w:rPr>
          <w:rFonts w:ascii="Times New Roman" w:hAnsi="Times New Roman"/>
        </w:rPr>
      </w:pPr>
      <w:r w:rsidRPr="00C779DC">
        <w:rPr>
          <w:rFonts w:ascii="Times New Roman" w:hAnsi="Times New Roman"/>
        </w:rPr>
        <w:t>Išgėrę didesnę Seroquel dozę negu nurodė gydytojas, galite pajusti mieguistumą, galvos svaigimą ir nenormalių širdies susitraukimų. Nedelsdami kreipkitės į savo gydytoją arba artimiausią ligoninę. Pasiimkite Seroquel tabletes.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Pamiršus pavartoti Seroquel</w:t>
      </w:r>
    </w:p>
    <w:p w:rsidR="00435051" w:rsidRPr="00C779DC" w:rsidRDefault="00435051" w:rsidP="00435051">
      <w:pPr>
        <w:spacing w:after="0" w:line="240" w:lineRule="auto"/>
        <w:rPr>
          <w:rFonts w:ascii="Times New Roman" w:hAnsi="Times New Roman"/>
        </w:rPr>
      </w:pPr>
      <w:r w:rsidRPr="00C779DC">
        <w:rPr>
          <w:rFonts w:ascii="Times New Roman" w:hAnsi="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Nustojus vartoti Seroquel</w:t>
      </w:r>
    </w:p>
    <w:p w:rsidR="00435051" w:rsidRPr="00C779DC" w:rsidRDefault="00435051" w:rsidP="00435051">
      <w:pPr>
        <w:spacing w:after="0" w:line="240" w:lineRule="auto"/>
        <w:rPr>
          <w:rFonts w:ascii="Times New Roman" w:hAnsi="Times New Roman"/>
          <w:bCs/>
        </w:rPr>
      </w:pPr>
      <w:r w:rsidRPr="00C779DC">
        <w:rPr>
          <w:rFonts w:ascii="Times New Roman" w:hAnsi="Times New Roman"/>
          <w:bCs/>
        </w:rPr>
        <w:t>Staiga nutraukus Seroquel vartojimą, gali pasireikšti nemiga, pykinimas, galvos skausmas, viduriavimas, vėmimas, galvos svaigimas ar irzlumas. Prieš nutraukiant šio vaisto vartojimą, gydytojas gali patarti jo dozę mažinti palaipsniui.</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Jeigu kiltų daugiau klausimų dėl šio vaisto vartojimo, kreipkitės į gydytoją arba vaistininką.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4.</w:t>
      </w:r>
      <w:r w:rsidRPr="00C779DC">
        <w:rPr>
          <w:rFonts w:ascii="Times New Roman" w:hAnsi="Times New Roman"/>
          <w:b/>
          <w:bCs/>
        </w:rPr>
        <w:tab/>
        <w:t>Galimas šalutinis poveikis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Šis vaistas, kaip ir visi kiti, gali sukelti šalutinį poveikį, nors jis pasireiškia ne visiems žmonėms.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Labai dažnas</w:t>
      </w:r>
      <w:r w:rsidRPr="00C779DC">
        <w:rPr>
          <w:rFonts w:ascii="Times New Roman" w:hAnsi="Times New Roman"/>
          <w:b/>
          <w:bCs/>
          <w:iCs/>
        </w:rPr>
        <w:t xml:space="preserve"> </w:t>
      </w:r>
      <w:r w:rsidRPr="00C779DC">
        <w:rPr>
          <w:rFonts w:ascii="Times New Roman" w:hAnsi="Times New Roman"/>
          <w:b/>
        </w:rPr>
        <w:t>(gali pasireikšti daugiau kaip 1 žmogui iš 10)</w:t>
      </w:r>
      <w:r w:rsidRPr="00C779DC">
        <w:rPr>
          <w:rFonts w:ascii="Times New Roman" w:hAnsi="Times New Roman"/>
          <w:b/>
          <w:bCs/>
          <w:iCs/>
        </w:rPr>
        <w:t xml:space="preserve"> </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Svaigulys (dėl jo galite pargriūti), galvos skausmas, sausa burna.</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Mieguistumas (dėl jo taip pat galite pargriūti; toliau vartojant Seroquel, jis gali praeiti).</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Nutraukimo simptomai (simptomai, kurių pasireiškia nutraukus Seroquel vartojimą): nemiga, pykinimas, galvos skausmas, viduriavimas, vėmimas, svaigulys ir irzlumas (dėl to rekomenduojama šio vaisto dozę mažinti palaipsniui ir jo vartojimą nutraukti per bent 1</w:t>
      </w:r>
      <w:r w:rsidRPr="00C779DC">
        <w:rPr>
          <w:rFonts w:ascii="Times New Roman" w:hAnsi="Times New Roman"/>
        </w:rPr>
        <w:noBreakHyphen/>
        <w:t>2 savaites).</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Svorio prieaugis.</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Nenormalūs raumenų judesiai: gali būti sunku pradėti judėti, atsirasti drebulys, nenustygimas, neskausmingas raumenų stingulys.</w:t>
      </w:r>
    </w:p>
    <w:p w:rsidR="00435051" w:rsidRPr="00C779DC" w:rsidRDefault="00435051" w:rsidP="00435051">
      <w:pPr>
        <w:numPr>
          <w:ilvl w:val="0"/>
          <w:numId w:val="11"/>
        </w:numPr>
        <w:spacing w:after="0" w:line="240" w:lineRule="auto"/>
        <w:rPr>
          <w:rFonts w:ascii="Times New Roman" w:hAnsi="Times New Roman"/>
        </w:rPr>
      </w:pPr>
      <w:r w:rsidRPr="00C779DC">
        <w:rPr>
          <w:rFonts w:ascii="Times New Roman" w:hAnsi="Times New Roman"/>
        </w:rPr>
        <w:t>Pakitęs tam tikrų riebalų (trigliceridų ir bendrojo cholesterolio) kiekis.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Dažnas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10)</w:t>
      </w:r>
      <w:r w:rsidRPr="00C779DC">
        <w:rPr>
          <w:rFonts w:ascii="Times New Roman" w:hAnsi="Times New Roman"/>
          <w:b/>
          <w:bCs/>
          <w:iCs/>
        </w:rPr>
        <w:t xml:space="preserve"> </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lastRenderedPageBreak/>
        <w:t>Dažni širdies susitraukimai.</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Juntamas širdies plakimas, dažna jos veikla arba „iškrintantys“ susitraukimai.</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Vidurių užkietėjimas, skrandžio sutrikimai (nevirškinimas).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Silpnumas.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Rankų ar kojų patinimas.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Kraujospūdžio sumažėjimas atsistojant (dėl to gali svaigti galva, galite net nualpti ir pargriūti).</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Padidėjęs cukraus kiekis kraujyje.</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Neryškus matymas.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Sapnų sutrikimai, nakties košmarai.</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Padidėjęs apetitas (alkis).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Irzlumas.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Sutrikusi kalba.</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Mintys apie savižudybę ir depresijos pasunkėjimas.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Dusulys.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Vėmimas (ypač senyviems žmonėms).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Karščiavimas.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Pakitęs skydliaukės hormonų kiekis kraujyje.</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Sumažėjęs tam tikrų kraujo kūnelių kiekis.</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Padidėjęs kepenų fermentų kiekis kraujyje.</w:t>
      </w:r>
    </w:p>
    <w:p w:rsidR="00435051" w:rsidRPr="00C779DC" w:rsidRDefault="00435051" w:rsidP="00435051">
      <w:pPr>
        <w:numPr>
          <w:ilvl w:val="0"/>
          <w:numId w:val="12"/>
        </w:numPr>
        <w:spacing w:after="0" w:line="240" w:lineRule="auto"/>
        <w:rPr>
          <w:rFonts w:ascii="Times New Roman" w:hAnsi="Times New Roman"/>
        </w:rPr>
      </w:pPr>
      <w:r w:rsidRPr="00C779DC">
        <w:rPr>
          <w:rFonts w:ascii="Times New Roman" w:hAnsi="Times New Roman"/>
        </w:rPr>
        <w:t>Padidėjęs hormono prolaktino kiekis kraujyje. Dėl jo retais atvejais gali:</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1"/>
          <w:numId w:val="12"/>
        </w:numPr>
        <w:spacing w:after="0" w:line="240" w:lineRule="auto"/>
        <w:rPr>
          <w:rFonts w:ascii="Times New Roman" w:hAnsi="Times New Roman"/>
        </w:rPr>
      </w:pPr>
      <w:r w:rsidRPr="00C779DC">
        <w:rPr>
          <w:rFonts w:ascii="Times New Roman" w:hAnsi="Times New Roman"/>
        </w:rPr>
        <w:t>padidėti krūtys ir netikėtai išsiskirti pieno (vyrams ir moterims);</w:t>
      </w:r>
    </w:p>
    <w:p w:rsidR="00435051" w:rsidRPr="00C779DC" w:rsidRDefault="00435051" w:rsidP="00435051">
      <w:pPr>
        <w:numPr>
          <w:ilvl w:val="1"/>
          <w:numId w:val="12"/>
        </w:numPr>
        <w:spacing w:after="0" w:line="240" w:lineRule="auto"/>
        <w:rPr>
          <w:rFonts w:ascii="Times New Roman" w:hAnsi="Times New Roman"/>
        </w:rPr>
      </w:pPr>
      <w:r w:rsidRPr="00C779DC">
        <w:rPr>
          <w:rFonts w:ascii="Times New Roman" w:hAnsi="Times New Roman"/>
        </w:rPr>
        <w:t>išnykti arba pasidaryti nereguliarios mėnesinės (moterims).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Nedažnas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100)</w:t>
      </w:r>
      <w:r w:rsidRPr="00C779DC">
        <w:rPr>
          <w:rFonts w:ascii="Times New Roman" w:hAnsi="Times New Roman"/>
          <w:b/>
          <w:bCs/>
          <w:iCs/>
        </w:rPr>
        <w:t xml:space="preserve"> </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Traukuliai.</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Alerginės reakcijos dėl kurių gali atsirasti ruplių (odos iškilimų), patinti oda ir aplink burną.</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Nemalonūs pojūčiai kojose (neramių kojų sindromas).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Pasunkėjęs rijimas.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Nekontroliuojami judesiai, ypač veido ar liežuvio.</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Sutrikusi lytinė funkcija.</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Diabetas.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 xml:space="preserve">Pakitęs širdies elektrinis aktyvumas (pailgėjęs QT intervalas elektrokardiogramoje). </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Retesni už normalius širdies susitraukimai (jie gali suretėti pradedant gydymą bei būti susiję su kraujospūdžio sumažėjimu ir alpimu).</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Pasunkėjęs šlapinimasis.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Alpimas (dėl to galite pargriūti).</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Užgulta nosis.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Sumažėjęs raudonųjų kraujo ląstelių kiekis.</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Sumažėjęs natrio kiekis kraujyje.</w:t>
      </w:r>
    </w:p>
    <w:p w:rsidR="00435051" w:rsidRPr="00C779DC" w:rsidRDefault="00435051" w:rsidP="00435051">
      <w:pPr>
        <w:numPr>
          <w:ilvl w:val="0"/>
          <w:numId w:val="13"/>
        </w:numPr>
        <w:spacing w:after="0" w:line="240" w:lineRule="auto"/>
        <w:rPr>
          <w:rFonts w:ascii="Times New Roman" w:hAnsi="Times New Roman"/>
        </w:rPr>
      </w:pPr>
      <w:r w:rsidRPr="00C779DC">
        <w:rPr>
          <w:rFonts w:ascii="Times New Roman" w:hAnsi="Times New Roman"/>
        </w:rPr>
        <w:t>Esamo cukrinio diabeto pasunkėjimas.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 xml:space="preserve">Retas (gali pasireikšti mažiau kaip 1 </w:t>
      </w:r>
      <w:r w:rsidRPr="00C779DC">
        <w:rPr>
          <w:rFonts w:ascii="Times New Roman" w:hAnsi="Times New Roman"/>
          <w:b/>
          <w:bCs/>
          <w:iCs/>
        </w:rPr>
        <w:t>žmogui</w:t>
      </w:r>
      <w:r w:rsidRPr="00C779DC">
        <w:rPr>
          <w:rFonts w:ascii="Times New Roman" w:hAnsi="Times New Roman"/>
          <w:b/>
        </w:rPr>
        <w:t xml:space="preserve"> iš 1000)</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Karščiavimo, prakaitavimo, raumenų stingulio, didelio mieguistumo ar alpimo derinys (vadinamas piktybiniu neurolepsiniu sindromu).</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Pageltusios akys ir oda (gelta).</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lastRenderedPageBreak/>
        <w:t>Kepenų uždegimas (hepatitas).</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Ilgalaikė skausminga erekcija (priapizmas).</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Krūtų padidėjimas, netikėtas pieno išsiskyrimas (galaktorėja).</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Menstruacijų sutrikimai.</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Vaikščiojimas, kalbėjimas, valgymas arba kita veikla miegant.</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Sumažėjusi kūno temperatūra (hipotermija).</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Kasos uždegimas.</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 xml:space="preserve">Karščiavimo, panašių į gripo simptomų ir gerklės skausmo derinys arba kitokia infekcija, susijusi labai mažu baltųjų kraujo kūnelių kiekiu (ši būklė vadinama agranulocitoze). </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Žarnų obstrukcija (užsikimšimas).</w:t>
      </w:r>
    </w:p>
    <w:p w:rsidR="00435051" w:rsidRPr="00C779DC" w:rsidRDefault="00435051" w:rsidP="00435051">
      <w:pPr>
        <w:numPr>
          <w:ilvl w:val="0"/>
          <w:numId w:val="14"/>
        </w:numPr>
        <w:spacing w:after="0" w:line="240" w:lineRule="auto"/>
        <w:rPr>
          <w:rFonts w:ascii="Times New Roman" w:hAnsi="Times New Roman"/>
        </w:rPr>
      </w:pPr>
      <w:r w:rsidRPr="00C779DC">
        <w:rPr>
          <w:rFonts w:ascii="Times New Roman" w:hAnsi="Times New Roman"/>
        </w:rPr>
        <w:t>Padidėjęs kreatino kinazės (raumenų gaminamos medžiagos) kiekis kraujyje.</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Labai retas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w:t>
      </w:r>
      <w:r w:rsidRPr="00C779DC">
        <w:rPr>
          <w:rFonts w:ascii="Times New Roman" w:hAnsi="Times New Roman"/>
          <w:b/>
          <w:bCs/>
          <w:iCs/>
        </w:rPr>
        <w:t xml:space="preserve">10000) </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Stiprus odos išbėrimas, pūslės arba raudonos dėmės odoje.</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Sunki alerginė reakcija (anafilaksija), dėl kurios gali pasunkėti kvėpavimas ar ištikti šokas.</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Greitai pasireiškiantis odos patinimas (dažniausiai aplink akis, taip pat lūpų ir gerklės) (angioedema).</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Sunki būklė, pasireiškianti odos, burnos, akių ir lytinių organų pūslėmis (Stevens-Johnson sindromas).</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Sutrikusi hormono, kontroliuojančio šlapimo kiekį, sekrecija.</w:t>
      </w:r>
    </w:p>
    <w:p w:rsidR="00435051" w:rsidRPr="00C779DC" w:rsidRDefault="00435051" w:rsidP="00435051">
      <w:pPr>
        <w:numPr>
          <w:ilvl w:val="0"/>
          <w:numId w:val="15"/>
        </w:numPr>
        <w:spacing w:after="0" w:line="240" w:lineRule="auto"/>
        <w:rPr>
          <w:rFonts w:ascii="Times New Roman" w:hAnsi="Times New Roman"/>
        </w:rPr>
      </w:pPr>
      <w:r w:rsidRPr="00C779DC">
        <w:rPr>
          <w:rFonts w:ascii="Times New Roman" w:hAnsi="Times New Roman"/>
        </w:rPr>
        <w:t>Raumenų skaidulų irimas ir raumenų skausmas (rabdomiolizė).</w:t>
      </w:r>
    </w:p>
    <w:p w:rsidR="00435051" w:rsidRPr="00C779DC" w:rsidRDefault="00435051" w:rsidP="00435051">
      <w:pPr>
        <w:numPr>
          <w:ilvl w:val="0"/>
          <w:numId w:val="15"/>
        </w:num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 xml:space="preserve">Dažnis nežinomas (negali būti </w:t>
      </w:r>
      <w:r w:rsidR="001D516C">
        <w:rPr>
          <w:rFonts w:ascii="Times New Roman" w:hAnsi="Times New Roman"/>
          <w:b/>
        </w:rPr>
        <w:t>apskaičiuo</w:t>
      </w:r>
      <w:r w:rsidR="001D516C" w:rsidRPr="00C779DC">
        <w:rPr>
          <w:rFonts w:ascii="Times New Roman" w:hAnsi="Times New Roman"/>
          <w:b/>
        </w:rPr>
        <w:t xml:space="preserve">tas </w:t>
      </w:r>
      <w:r w:rsidRPr="00C779DC">
        <w:rPr>
          <w:rFonts w:ascii="Times New Roman" w:hAnsi="Times New Roman"/>
          <w:b/>
        </w:rPr>
        <w:t>pagal turimus duomenis)</w:t>
      </w:r>
    </w:p>
    <w:p w:rsidR="00435051" w:rsidRPr="00C779DC" w:rsidRDefault="00435051" w:rsidP="00435051">
      <w:pPr>
        <w:numPr>
          <w:ilvl w:val="1"/>
          <w:numId w:val="43"/>
        </w:numPr>
        <w:tabs>
          <w:tab w:val="left" w:pos="567"/>
        </w:tabs>
        <w:spacing w:after="0" w:line="240" w:lineRule="auto"/>
        <w:rPr>
          <w:rFonts w:ascii="Times New Roman" w:hAnsi="Times New Roman"/>
        </w:rPr>
      </w:pPr>
      <w:r w:rsidRPr="00C779DC">
        <w:rPr>
          <w:rFonts w:ascii="Times New Roman" w:hAnsi="Times New Roman"/>
        </w:rPr>
        <w:t>Odos išbėrimas įvairaus dydžio ir formos raudonomis dėmėmis (daugiaformė eritema).</w:t>
      </w:r>
    </w:p>
    <w:p w:rsidR="00435051" w:rsidRPr="00C779DC" w:rsidRDefault="00435051" w:rsidP="00435051">
      <w:pPr>
        <w:numPr>
          <w:ilvl w:val="1"/>
          <w:numId w:val="43"/>
        </w:numPr>
        <w:tabs>
          <w:tab w:val="left" w:pos="567"/>
        </w:tabs>
        <w:spacing w:after="0" w:line="240" w:lineRule="auto"/>
        <w:rPr>
          <w:rFonts w:ascii="Times New Roman" w:hAnsi="Times New Roman"/>
        </w:rPr>
      </w:pPr>
      <w:r w:rsidRPr="00C779DC">
        <w:rPr>
          <w:rFonts w:ascii="Times New Roman" w:hAnsi="Times New Roman"/>
        </w:rPr>
        <w:t>Sunki staigi alerginė reakcija, kurios simptomai yra karščiavimas, odos pūslės ir lupimasis (toksinė epidermio nekrolizė).</w:t>
      </w:r>
    </w:p>
    <w:p w:rsidR="00C779DC" w:rsidRDefault="00435051" w:rsidP="00435051">
      <w:pPr>
        <w:numPr>
          <w:ilvl w:val="1"/>
          <w:numId w:val="43"/>
        </w:numPr>
        <w:tabs>
          <w:tab w:val="left" w:pos="567"/>
        </w:tabs>
        <w:spacing w:after="0" w:line="240" w:lineRule="auto"/>
        <w:rPr>
          <w:rFonts w:ascii="Times New Roman" w:hAnsi="Times New Roman"/>
        </w:rPr>
      </w:pPr>
      <w:r w:rsidRPr="00C779DC">
        <w:rPr>
          <w:rFonts w:ascii="Times New Roman" w:hAnsi="Times New Roman"/>
        </w:rPr>
        <w:t>Nutraukimo simptomai (gali pasireikšti motinų, nėštumo metu vartojusių Seroquel, naujagimiams)</w:t>
      </w:r>
      <w:r w:rsidR="00C779DC">
        <w:rPr>
          <w:rFonts w:ascii="Times New Roman" w:hAnsi="Times New Roman"/>
        </w:rPr>
        <w:t>.</w:t>
      </w:r>
    </w:p>
    <w:p w:rsidR="00435051" w:rsidRPr="00C779DC" w:rsidRDefault="00C779DC" w:rsidP="00435051">
      <w:pPr>
        <w:numPr>
          <w:ilvl w:val="1"/>
          <w:numId w:val="43"/>
        </w:numPr>
        <w:tabs>
          <w:tab w:val="left" w:pos="567"/>
        </w:tabs>
        <w:spacing w:after="0" w:line="240" w:lineRule="auto"/>
        <w:rPr>
          <w:rFonts w:ascii="Times New Roman" w:hAnsi="Times New Roman"/>
        </w:rPr>
      </w:pPr>
      <w:r>
        <w:rPr>
          <w:rFonts w:ascii="Times New Roman" w:hAnsi="Times New Roman"/>
        </w:rPr>
        <w:t>Insultas</w:t>
      </w:r>
      <w:r w:rsidR="00435051" w:rsidRPr="00C779DC">
        <w:rPr>
          <w:rFonts w:ascii="Times New Roman" w:hAnsi="Times New Roman"/>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Grupės, kuriai priklauso Seroquel, vaistai gali sukelti širdies ritmo sutrikimų, kurie gali būti sunkūs, dėl jų net gali ištikti mirtis.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kreatino kinazės (raumenyse susidarančios medžiagos) kiekis, </w:t>
      </w:r>
      <w:r w:rsidRPr="00C779DC">
        <w:rPr>
          <w:rFonts w:ascii="Times New Roman" w:hAnsi="Times New Roman"/>
        </w:rPr>
        <w:lastRenderedPageBreak/>
        <w:t>sumažėjęs natrio kiekis ir padidėjęs hormono prolaktino kiekis. Padaugėjus hormono prolaktino, retais atvejais gali:</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16"/>
        </w:numPr>
        <w:spacing w:after="0" w:line="240" w:lineRule="auto"/>
        <w:rPr>
          <w:rFonts w:ascii="Times New Roman" w:hAnsi="Times New Roman"/>
        </w:rPr>
      </w:pPr>
      <w:r w:rsidRPr="00C779DC">
        <w:rPr>
          <w:rFonts w:ascii="Times New Roman" w:hAnsi="Times New Roman"/>
        </w:rPr>
        <w:t>padidėti krūtys ir netikėtai išsiskirti pieno (vyrams ir moterims);</w:t>
      </w:r>
    </w:p>
    <w:p w:rsidR="00435051" w:rsidRPr="00C779DC" w:rsidRDefault="00435051" w:rsidP="00435051">
      <w:pPr>
        <w:numPr>
          <w:ilvl w:val="0"/>
          <w:numId w:val="16"/>
        </w:numPr>
        <w:spacing w:after="0" w:line="240" w:lineRule="auto"/>
        <w:rPr>
          <w:rFonts w:ascii="Times New Roman" w:hAnsi="Times New Roman"/>
        </w:rPr>
      </w:pPr>
      <w:r w:rsidRPr="00C779DC">
        <w:rPr>
          <w:rFonts w:ascii="Times New Roman" w:hAnsi="Times New Roman"/>
        </w:rPr>
        <w:t>išnykti ar pasidaryti nereguliarios mėnesinės (moterims).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Gydytojas gali paprašyti periodiškai daryti kraujo tyrimus.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iCs/>
          <w:u w:val="single"/>
        </w:rPr>
      </w:pPr>
      <w:r w:rsidRPr="00C779DC">
        <w:rPr>
          <w:rFonts w:ascii="Times New Roman" w:hAnsi="Times New Roman"/>
          <w:b/>
          <w:iCs/>
        </w:rPr>
        <w:t>Papildomas šalutinis poveikis vaikams ir paaugliams</w:t>
      </w:r>
    </w:p>
    <w:p w:rsidR="00435051" w:rsidRPr="00C779DC" w:rsidRDefault="00435051" w:rsidP="00435051">
      <w:pPr>
        <w:spacing w:after="0" w:line="240" w:lineRule="auto"/>
        <w:rPr>
          <w:rFonts w:ascii="Times New Roman" w:hAnsi="Times New Roman"/>
        </w:rPr>
      </w:pPr>
      <w:r w:rsidRPr="00C779DC">
        <w:rPr>
          <w:rFonts w:ascii="Times New Roman" w:hAnsi="Times New Roman"/>
        </w:rPr>
        <w:t>Vaikams ir paaugliams gali pasireikšti toks pats šalutinis poveikis kaip suaugusiesiems.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Žemiau nurodytas šalutinis poveikis, kuris vaikams ir paaugliams pastebėtas dažniau negu suaugusiesiems, arba kurio suaugusiesiems nepastebėta.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Labai dažnas</w:t>
      </w:r>
      <w:r w:rsidRPr="00C779DC">
        <w:rPr>
          <w:rFonts w:ascii="Times New Roman" w:hAnsi="Times New Roman"/>
          <w:b/>
          <w:bCs/>
          <w:iCs/>
        </w:rPr>
        <w:t xml:space="preserve"> </w:t>
      </w:r>
      <w:r w:rsidRPr="00C779DC">
        <w:rPr>
          <w:rFonts w:ascii="Times New Roman" w:hAnsi="Times New Roman"/>
          <w:b/>
        </w:rPr>
        <w:t>(gali pasireikšti daugiau kaip 1</w:t>
      </w:r>
      <w:r w:rsidRPr="00C779DC">
        <w:rPr>
          <w:rFonts w:ascii="Times New Roman" w:hAnsi="Times New Roman"/>
          <w:b/>
          <w:bCs/>
          <w:iCs/>
        </w:rPr>
        <w:t> </w:t>
      </w:r>
      <w:r w:rsidRPr="00C779DC">
        <w:rPr>
          <w:rFonts w:ascii="Times New Roman" w:hAnsi="Times New Roman"/>
          <w:b/>
        </w:rPr>
        <w:t>žmogui iš 10)</w:t>
      </w:r>
    </w:p>
    <w:p w:rsidR="00435051" w:rsidRPr="00C779DC" w:rsidRDefault="00435051" w:rsidP="00435051">
      <w:pPr>
        <w:numPr>
          <w:ilvl w:val="0"/>
          <w:numId w:val="17"/>
        </w:numPr>
        <w:spacing w:after="0" w:line="240" w:lineRule="auto"/>
        <w:rPr>
          <w:rFonts w:ascii="Times New Roman" w:hAnsi="Times New Roman"/>
        </w:rPr>
      </w:pPr>
      <w:r w:rsidRPr="00C779DC">
        <w:rPr>
          <w:rFonts w:ascii="Times New Roman" w:hAnsi="Times New Roman"/>
        </w:rPr>
        <w:t xml:space="preserve">Padidėjęs hormono, vadinamo prolaktinu, kiekis kraujyje. Retais atvejais dėl to gali: </w:t>
      </w:r>
    </w:p>
    <w:p w:rsidR="00435051" w:rsidRPr="00C779DC" w:rsidRDefault="00435051" w:rsidP="00435051">
      <w:pPr>
        <w:numPr>
          <w:ilvl w:val="1"/>
          <w:numId w:val="17"/>
        </w:numPr>
        <w:spacing w:after="0" w:line="240" w:lineRule="auto"/>
        <w:rPr>
          <w:rFonts w:ascii="Times New Roman" w:hAnsi="Times New Roman"/>
        </w:rPr>
      </w:pPr>
      <w:r w:rsidRPr="00C779DC">
        <w:rPr>
          <w:rFonts w:ascii="Times New Roman" w:hAnsi="Times New Roman"/>
        </w:rPr>
        <w:t>padidėti krūtys ir netikėtai išsiskirti pieno (berniukams ir mergaitėms);</w:t>
      </w:r>
    </w:p>
    <w:p w:rsidR="00435051" w:rsidRPr="00C779DC" w:rsidRDefault="00435051" w:rsidP="00435051">
      <w:pPr>
        <w:numPr>
          <w:ilvl w:val="1"/>
          <w:numId w:val="17"/>
        </w:numPr>
        <w:spacing w:after="0" w:line="240" w:lineRule="auto"/>
        <w:rPr>
          <w:rFonts w:ascii="Times New Roman" w:hAnsi="Times New Roman"/>
        </w:rPr>
      </w:pPr>
      <w:r w:rsidRPr="00C779DC">
        <w:rPr>
          <w:rFonts w:ascii="Times New Roman" w:hAnsi="Times New Roman"/>
        </w:rPr>
        <w:t>išnykti arba pasidaryti nereguliarios mėnesinės (mergaitėms).</w:t>
      </w:r>
    </w:p>
    <w:p w:rsidR="00435051" w:rsidRPr="00C779DC" w:rsidRDefault="00435051" w:rsidP="00435051">
      <w:pPr>
        <w:numPr>
          <w:ilvl w:val="0"/>
          <w:numId w:val="17"/>
        </w:numPr>
        <w:spacing w:after="0" w:line="240" w:lineRule="auto"/>
        <w:rPr>
          <w:rFonts w:ascii="Times New Roman" w:hAnsi="Times New Roman"/>
        </w:rPr>
      </w:pPr>
      <w:r w:rsidRPr="00C779DC">
        <w:rPr>
          <w:rFonts w:ascii="Times New Roman" w:hAnsi="Times New Roman"/>
        </w:rPr>
        <w:t>Padidėjęs apetitas.</w:t>
      </w:r>
    </w:p>
    <w:p w:rsidR="00435051" w:rsidRPr="00C779DC" w:rsidRDefault="00435051" w:rsidP="00435051">
      <w:pPr>
        <w:numPr>
          <w:ilvl w:val="0"/>
          <w:numId w:val="17"/>
        </w:numPr>
        <w:spacing w:after="0" w:line="240" w:lineRule="auto"/>
        <w:rPr>
          <w:rFonts w:ascii="Times New Roman" w:hAnsi="Times New Roman"/>
        </w:rPr>
      </w:pPr>
      <w:r w:rsidRPr="00C779DC">
        <w:rPr>
          <w:rFonts w:ascii="Times New Roman" w:hAnsi="Times New Roman"/>
        </w:rPr>
        <w:t>Vėmimas.</w:t>
      </w:r>
    </w:p>
    <w:p w:rsidR="00435051" w:rsidRPr="00C779DC" w:rsidRDefault="00435051" w:rsidP="00435051">
      <w:pPr>
        <w:numPr>
          <w:ilvl w:val="0"/>
          <w:numId w:val="17"/>
        </w:numPr>
        <w:spacing w:after="0" w:line="240" w:lineRule="auto"/>
        <w:rPr>
          <w:rFonts w:ascii="Times New Roman" w:hAnsi="Times New Roman"/>
        </w:rPr>
      </w:pPr>
      <w:r w:rsidRPr="00C779DC">
        <w:rPr>
          <w:rFonts w:ascii="Times New Roman" w:hAnsi="Times New Roman"/>
        </w:rPr>
        <w:t>Nenormalūs raumenų judesiai (būna sunku pradėti judesius, atsiranda drebulys, nenustygimas ar neskausmingas raumenų stingulys).</w:t>
      </w:r>
    </w:p>
    <w:p w:rsidR="00435051" w:rsidRPr="00C779DC" w:rsidRDefault="00435051" w:rsidP="00435051">
      <w:pPr>
        <w:numPr>
          <w:ilvl w:val="0"/>
          <w:numId w:val="17"/>
        </w:numPr>
        <w:spacing w:after="0" w:line="240" w:lineRule="auto"/>
        <w:rPr>
          <w:rFonts w:ascii="Times New Roman" w:hAnsi="Times New Roman"/>
        </w:rPr>
      </w:pPr>
      <w:r w:rsidRPr="00C779DC">
        <w:rPr>
          <w:rFonts w:ascii="Times New Roman" w:hAnsi="Times New Roman"/>
        </w:rPr>
        <w:t>Padidėjęs kraujospūdis.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 xml:space="preserve">Dažnas (gali pasireikšti mažiau kaip 1 </w:t>
      </w:r>
      <w:r w:rsidRPr="00C779DC">
        <w:rPr>
          <w:rFonts w:ascii="Times New Roman" w:hAnsi="Times New Roman"/>
          <w:b/>
          <w:bCs/>
          <w:iCs/>
        </w:rPr>
        <w:t>žmogui</w:t>
      </w:r>
      <w:r w:rsidRPr="00C779DC">
        <w:rPr>
          <w:rFonts w:ascii="Times New Roman" w:hAnsi="Times New Roman"/>
          <w:b/>
        </w:rPr>
        <w:t xml:space="preserve"> iš 10)</w:t>
      </w:r>
    </w:p>
    <w:p w:rsidR="00435051" w:rsidRPr="00C779DC" w:rsidRDefault="00435051" w:rsidP="00435051">
      <w:pPr>
        <w:numPr>
          <w:ilvl w:val="0"/>
          <w:numId w:val="18"/>
        </w:numPr>
        <w:spacing w:after="0" w:line="240" w:lineRule="auto"/>
        <w:rPr>
          <w:rFonts w:ascii="Times New Roman" w:hAnsi="Times New Roman"/>
        </w:rPr>
      </w:pPr>
      <w:r w:rsidRPr="00C779DC">
        <w:rPr>
          <w:rFonts w:ascii="Times New Roman" w:hAnsi="Times New Roman"/>
        </w:rPr>
        <w:t>Silpnumas, alpimas (dėl to galima pargriūti).</w:t>
      </w:r>
    </w:p>
    <w:p w:rsidR="00435051" w:rsidRPr="00C779DC" w:rsidRDefault="00435051" w:rsidP="00435051">
      <w:pPr>
        <w:numPr>
          <w:ilvl w:val="0"/>
          <w:numId w:val="18"/>
        </w:numPr>
        <w:spacing w:after="0" w:line="240" w:lineRule="auto"/>
        <w:rPr>
          <w:rFonts w:ascii="Times New Roman" w:hAnsi="Times New Roman"/>
        </w:rPr>
      </w:pPr>
      <w:r w:rsidRPr="00C779DC">
        <w:rPr>
          <w:rFonts w:ascii="Times New Roman" w:hAnsi="Times New Roman"/>
        </w:rPr>
        <w:t>Užgulta nosis.</w:t>
      </w:r>
    </w:p>
    <w:p w:rsidR="00435051" w:rsidRPr="00C779DC" w:rsidRDefault="00435051" w:rsidP="00435051">
      <w:pPr>
        <w:numPr>
          <w:ilvl w:val="0"/>
          <w:numId w:val="18"/>
        </w:numPr>
        <w:spacing w:after="0" w:line="240" w:lineRule="auto"/>
        <w:rPr>
          <w:rFonts w:ascii="Times New Roman" w:hAnsi="Times New Roman"/>
        </w:rPr>
      </w:pPr>
      <w:r w:rsidRPr="00C779DC">
        <w:rPr>
          <w:rFonts w:ascii="Times New Roman" w:hAnsi="Times New Roman"/>
        </w:rPr>
        <w:t>Susierzinimas.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Pranešimas apie šalutinį poveikį</w:t>
      </w:r>
    </w:p>
    <w:p w:rsidR="00435051" w:rsidRPr="00C779DC" w:rsidRDefault="00435051" w:rsidP="00435051">
      <w:pPr>
        <w:spacing w:after="0" w:line="240" w:lineRule="auto"/>
        <w:rPr>
          <w:rFonts w:ascii="Times New Roman" w:hAnsi="Times New Roman"/>
        </w:rPr>
      </w:pPr>
      <w:r w:rsidRPr="00C779DC">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5.</w:t>
      </w:r>
      <w:r w:rsidRPr="00C779DC">
        <w:rPr>
          <w:rFonts w:ascii="Times New Roman" w:hAnsi="Times New Roman"/>
          <w:b/>
          <w:bCs/>
        </w:rPr>
        <w:tab/>
        <w:t>Kaip laikyti Seroquel</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0"/>
          <w:numId w:val="19"/>
        </w:numPr>
        <w:spacing w:after="0" w:line="240" w:lineRule="auto"/>
        <w:rPr>
          <w:rFonts w:ascii="Times New Roman" w:hAnsi="Times New Roman"/>
        </w:rPr>
      </w:pPr>
      <w:r w:rsidRPr="00C779DC">
        <w:rPr>
          <w:rFonts w:ascii="Times New Roman" w:hAnsi="Times New Roman"/>
        </w:rPr>
        <w:t>Šį vaistą laikykite vaikams nepastebimoje ir nepasiekiamoje vietoje.</w:t>
      </w:r>
    </w:p>
    <w:p w:rsidR="00435051" w:rsidRPr="00C779DC" w:rsidRDefault="00435051" w:rsidP="00435051">
      <w:pPr>
        <w:numPr>
          <w:ilvl w:val="0"/>
          <w:numId w:val="19"/>
        </w:numPr>
        <w:spacing w:after="0" w:line="240" w:lineRule="auto"/>
        <w:rPr>
          <w:rFonts w:ascii="Times New Roman" w:hAnsi="Times New Roman"/>
        </w:rPr>
      </w:pPr>
      <w:r w:rsidRPr="00C779DC">
        <w:rPr>
          <w:rFonts w:ascii="Times New Roman" w:hAnsi="Times New Roman"/>
        </w:rPr>
        <w:t>Ant pakuotės po „Tinka iki“ nurodytam tinkamumo laikui pasibaigus, šio vaisto vartoti negalima. Vaistas tinkamas vartoti iki paskutinės nurodyto mėnesio dienos.</w:t>
      </w:r>
    </w:p>
    <w:p w:rsidR="00435051" w:rsidRPr="00C779DC" w:rsidRDefault="00435051" w:rsidP="00435051">
      <w:pPr>
        <w:numPr>
          <w:ilvl w:val="0"/>
          <w:numId w:val="19"/>
        </w:numPr>
        <w:spacing w:after="0" w:line="240" w:lineRule="auto"/>
        <w:rPr>
          <w:rFonts w:ascii="Times New Roman" w:hAnsi="Times New Roman"/>
        </w:rPr>
      </w:pPr>
      <w:r w:rsidRPr="00C779DC">
        <w:rPr>
          <w:rFonts w:ascii="Times New Roman" w:hAnsi="Times New Roman"/>
        </w:rPr>
        <w:t>Laikyti ne aukštesnėje kaip 30</w:t>
      </w:r>
      <w:r w:rsidRPr="00C779DC">
        <w:rPr>
          <w:rFonts w:ascii="Times New Roman" w:hAnsi="Times New Roman"/>
        </w:rPr>
        <w:sym w:font="Symbol" w:char="F0B0"/>
      </w:r>
      <w:r w:rsidRPr="00C779DC">
        <w:rPr>
          <w:rFonts w:ascii="Times New Roman" w:hAnsi="Times New Roman"/>
        </w:rPr>
        <w:t>C temperatūroje.</w:t>
      </w:r>
    </w:p>
    <w:p w:rsidR="00435051" w:rsidRPr="00C779DC" w:rsidRDefault="00435051" w:rsidP="00435051">
      <w:pPr>
        <w:numPr>
          <w:ilvl w:val="0"/>
          <w:numId w:val="19"/>
        </w:numPr>
        <w:spacing w:after="0" w:line="240" w:lineRule="auto"/>
        <w:rPr>
          <w:rFonts w:ascii="Times New Roman" w:hAnsi="Times New Roman"/>
        </w:rPr>
      </w:pPr>
      <w:r w:rsidRPr="00C779DC">
        <w:rPr>
          <w:rFonts w:ascii="Times New Roman" w:hAnsi="Times New Roman"/>
        </w:rPr>
        <w:lastRenderedPageBreak/>
        <w:t>Vaistų negalima išmesti į kanalizaciją arba su buitinėmis atliekomis. Kaip išmesti nereikalingus vaistus, klauskite vaistininko. Šios priemonės padės apsaugoti aplinką.</w:t>
      </w:r>
    </w:p>
    <w:p w:rsidR="00435051" w:rsidRPr="00C779DC" w:rsidRDefault="00435051" w:rsidP="00435051">
      <w:pPr>
        <w:spacing w:after="0" w:line="240" w:lineRule="auto"/>
        <w:rPr>
          <w:rFonts w:ascii="Times New Roman" w:hAnsi="Times New Roman"/>
          <w:b/>
        </w:rPr>
      </w:pPr>
    </w:p>
    <w:p w:rsidR="00435051" w:rsidRPr="00C779DC" w:rsidRDefault="00435051" w:rsidP="00435051">
      <w:pPr>
        <w:spacing w:after="0" w:line="240" w:lineRule="auto"/>
        <w:rPr>
          <w:rFonts w:ascii="Times New Roman" w:hAnsi="Times New Roman"/>
          <w:b/>
        </w:rPr>
      </w:pPr>
    </w:p>
    <w:p w:rsidR="00435051" w:rsidRPr="00C779DC" w:rsidRDefault="00435051" w:rsidP="00435051">
      <w:pPr>
        <w:tabs>
          <w:tab w:val="left" w:pos="567"/>
        </w:tabs>
        <w:spacing w:after="0" w:line="240" w:lineRule="auto"/>
        <w:rPr>
          <w:rFonts w:ascii="Times New Roman" w:hAnsi="Times New Roman"/>
          <w:b/>
          <w:bCs/>
        </w:rPr>
      </w:pPr>
      <w:r w:rsidRPr="00C779DC">
        <w:rPr>
          <w:rFonts w:ascii="Times New Roman" w:hAnsi="Times New Roman"/>
          <w:b/>
          <w:bCs/>
        </w:rPr>
        <w:t>6.</w:t>
      </w:r>
      <w:r w:rsidRPr="00C779DC">
        <w:rPr>
          <w:rFonts w:ascii="Times New Roman" w:hAnsi="Times New Roman"/>
          <w:b/>
          <w:bCs/>
        </w:rPr>
        <w:tab/>
        <w:t>Pakuotės turinys ir kita informacija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Seroquel sudėtis</w:t>
      </w:r>
    </w:p>
    <w:p w:rsidR="00435051" w:rsidRPr="00C779DC" w:rsidRDefault="00435051" w:rsidP="00435051">
      <w:pPr>
        <w:spacing w:after="0" w:line="240" w:lineRule="auto"/>
        <w:rPr>
          <w:rFonts w:ascii="Times New Roman" w:hAnsi="Times New Roman"/>
        </w:rPr>
      </w:pPr>
    </w:p>
    <w:p w:rsidR="00435051" w:rsidRPr="00C779DC" w:rsidRDefault="00435051" w:rsidP="00435051">
      <w:pPr>
        <w:pStyle w:val="Sraopastraipa"/>
        <w:numPr>
          <w:ilvl w:val="0"/>
          <w:numId w:val="50"/>
        </w:numPr>
        <w:rPr>
          <w:lang w:val="lt-LT"/>
        </w:rPr>
      </w:pPr>
      <w:r w:rsidRPr="00C779DC">
        <w:rPr>
          <w:lang w:val="lt-LT"/>
        </w:rPr>
        <w:t>Veiklioji medžiaga yra kvetiapinas. Kiekvienoje tabletėje yra 25 mg, 100 mg, arba 200 mg kvetiapino (kvetiapino fumarato pavidalu).</w:t>
      </w:r>
    </w:p>
    <w:p w:rsidR="00435051" w:rsidRPr="00C779DC" w:rsidRDefault="00435051" w:rsidP="00435051">
      <w:pPr>
        <w:pStyle w:val="Sraopastraipa"/>
        <w:numPr>
          <w:ilvl w:val="0"/>
          <w:numId w:val="50"/>
        </w:numPr>
        <w:ind w:left="567"/>
        <w:rPr>
          <w:lang w:val="lt-LT"/>
        </w:rPr>
      </w:pPr>
      <w:r w:rsidRPr="00C779DC">
        <w:rPr>
          <w:lang w:val="lt-LT"/>
        </w:rPr>
        <w:t>Pagalbinės medžiagos:</w:t>
      </w:r>
    </w:p>
    <w:p w:rsidR="00435051" w:rsidRPr="00C779DC" w:rsidRDefault="00435051" w:rsidP="00435051">
      <w:pPr>
        <w:spacing w:after="0" w:line="240" w:lineRule="auto"/>
        <w:ind w:left="567"/>
        <w:rPr>
          <w:rFonts w:ascii="Times New Roman" w:hAnsi="Times New Roman"/>
        </w:rPr>
      </w:pPr>
      <w:r w:rsidRPr="00C779DC">
        <w:rPr>
          <w:rFonts w:ascii="Times New Roman" w:hAnsi="Times New Roman"/>
        </w:rPr>
        <w:t>tabletės šerdyje: povidonas, kalcio-vandenilio fosfatas dihidratas, mikrokristalinė celiuliozė, karboksimetilkrakmolo A natrio druska, laktozė monohidratas ir magnio stearatas;</w:t>
      </w:r>
    </w:p>
    <w:p w:rsidR="00435051" w:rsidRPr="00C779DC" w:rsidRDefault="00435051" w:rsidP="00435051">
      <w:pPr>
        <w:spacing w:after="0" w:line="240" w:lineRule="auto"/>
        <w:ind w:left="567"/>
        <w:rPr>
          <w:rFonts w:ascii="Times New Roman" w:hAnsi="Times New Roman"/>
        </w:rPr>
      </w:pPr>
      <w:r w:rsidRPr="00C779DC">
        <w:rPr>
          <w:rFonts w:ascii="Times New Roman" w:hAnsi="Times New Roman"/>
        </w:rPr>
        <w:t xml:space="preserve">tabletės plėvelėje: hipromeliozė, makrogolis, titano dioksidas (E171), geltonasis geležies oksidas (E172) (25 mg, 100 mg tabletėse), raudonasis geležies oksidas (E172) (25 mg tabletėse).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bCs/>
        </w:rPr>
        <w:t>Seroquel išvaizda ir kiekis pakuotėje</w:t>
      </w:r>
    </w:p>
    <w:p w:rsidR="00435051" w:rsidRPr="00C779DC" w:rsidRDefault="00435051" w:rsidP="00435051">
      <w:pPr>
        <w:spacing w:after="0" w:line="240" w:lineRule="auto"/>
        <w:rPr>
          <w:rFonts w:ascii="Times New Roman" w:hAnsi="Times New Roman"/>
          <w:b/>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25 mg plėvele dengtos tabletės yra rausvai oranžinės, abipus išgaubtos, vienoje pusėje paženklintos SEROQUEL 25.</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100 mg plėvele dengtos tabletės yra geltonos, apvalios, abipus išgaubtos, vienoje pusėje paženklintos SEROQUEL 100.</w:t>
      </w:r>
    </w:p>
    <w:p w:rsidR="00435051" w:rsidRPr="00C779DC" w:rsidRDefault="00435051" w:rsidP="00435051">
      <w:pPr>
        <w:spacing w:after="0" w:line="240" w:lineRule="auto"/>
        <w:rPr>
          <w:rFonts w:ascii="Times New Roman" w:hAnsi="Times New Roman"/>
        </w:rPr>
      </w:pPr>
      <w:r w:rsidRPr="00C779DC">
        <w:rPr>
          <w:rFonts w:ascii="Times New Roman" w:hAnsi="Times New Roman"/>
        </w:rPr>
        <w:t>Seroquel 200 mg plėvele dengtos tabletės yra baltos, apvalios, abipus išgaubtos, vienoje pusėje paženklintos SEROQUEL 200.</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Pakuotės dydžiai:</w:t>
      </w:r>
    </w:p>
    <w:p w:rsidR="00435051" w:rsidRPr="00C779DC" w:rsidRDefault="00435051" w:rsidP="00435051">
      <w:pPr>
        <w:numPr>
          <w:ilvl w:val="0"/>
          <w:numId w:val="47"/>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pradiniam gydymui – mišri pakuotė 10 tablečių (6 tabletės po 25 mg, 3 tabletės po 100 mg ir viena tabletė po 200 mg);</w:t>
      </w:r>
    </w:p>
    <w:p w:rsidR="00435051" w:rsidRPr="00C779DC" w:rsidRDefault="00435051" w:rsidP="00435051">
      <w:pPr>
        <w:numPr>
          <w:ilvl w:val="0"/>
          <w:numId w:val="47"/>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60 tablečių po 100 mg;</w:t>
      </w:r>
    </w:p>
    <w:p w:rsidR="00435051" w:rsidRPr="00C779DC" w:rsidRDefault="00435051" w:rsidP="00435051">
      <w:pPr>
        <w:numPr>
          <w:ilvl w:val="0"/>
          <w:numId w:val="47"/>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60 tablečių po 200 mg.</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Gali būti tiekiamos ne visų dydžių pakuotės.</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szCs w:val="24"/>
        </w:rPr>
      </w:pPr>
      <w:r w:rsidRPr="00C779DC">
        <w:rPr>
          <w:rFonts w:ascii="Times New Roman" w:hAnsi="Times New Roman"/>
          <w:b/>
          <w:szCs w:val="24"/>
        </w:rPr>
        <w:t>Registruotojas</w:t>
      </w:r>
    </w:p>
    <w:p w:rsidR="00435051" w:rsidRPr="00C779DC" w:rsidRDefault="00435051" w:rsidP="00435051">
      <w:pPr>
        <w:spacing w:after="0" w:line="240" w:lineRule="auto"/>
        <w:rPr>
          <w:rFonts w:ascii="Times New Roman" w:hAnsi="Times New Roman"/>
          <w:b/>
          <w:bCs/>
        </w:rPr>
      </w:pPr>
    </w:p>
    <w:p w:rsidR="00435051" w:rsidRPr="00C779DC" w:rsidRDefault="00435051" w:rsidP="00435051">
      <w:pPr>
        <w:autoSpaceDE w:val="0"/>
        <w:autoSpaceDN w:val="0"/>
        <w:adjustRightInd w:val="0"/>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Silk Road Business Park</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Charter Way</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Macclesfield</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Cheshire</w:t>
      </w:r>
    </w:p>
    <w:p w:rsidR="00435051" w:rsidRPr="00C779DC" w:rsidRDefault="00435051" w:rsidP="0043505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SK10 2NA</w:t>
      </w:r>
    </w:p>
    <w:p w:rsidR="00435051" w:rsidRPr="00C779DC" w:rsidRDefault="00435051" w:rsidP="00435051">
      <w:pPr>
        <w:spacing w:after="0" w:line="240" w:lineRule="auto"/>
        <w:rPr>
          <w:rFonts w:ascii="Times New Roman" w:eastAsiaTheme="minorHAnsi" w:hAnsi="Times New Roman" w:cstheme="minorBidi"/>
        </w:rPr>
      </w:pPr>
      <w:r w:rsidRPr="00C779DC">
        <w:rPr>
          <w:rFonts w:ascii="Times New Roman" w:hAnsi="Times New Roman"/>
        </w:rPr>
        <w:t>Jungtinė Karalystė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Gamintojai</w:t>
      </w:r>
    </w:p>
    <w:p w:rsidR="00435051" w:rsidRPr="00C779DC" w:rsidRDefault="00435051" w:rsidP="00435051">
      <w:pPr>
        <w:spacing w:after="0" w:line="240" w:lineRule="auto"/>
        <w:rPr>
          <w:rFonts w:ascii="Times New Roman" w:hAnsi="Times New Roman"/>
          <w:b/>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 UK Limited</w:t>
      </w:r>
    </w:p>
    <w:p w:rsidR="00435051" w:rsidRPr="00C779DC" w:rsidRDefault="00435051" w:rsidP="00435051">
      <w:pPr>
        <w:spacing w:after="0" w:line="240" w:lineRule="auto"/>
        <w:rPr>
          <w:rFonts w:ascii="Times New Roman" w:hAnsi="Times New Roman"/>
        </w:rPr>
      </w:pPr>
      <w:r w:rsidRPr="00C779DC">
        <w:rPr>
          <w:rFonts w:ascii="Times New Roman" w:hAnsi="Times New Roman"/>
        </w:rPr>
        <w:t>Silk Road Business Park</w:t>
      </w:r>
    </w:p>
    <w:p w:rsidR="00435051" w:rsidRPr="00C779DC" w:rsidRDefault="00435051" w:rsidP="00435051">
      <w:pPr>
        <w:spacing w:after="0" w:line="240" w:lineRule="auto"/>
        <w:rPr>
          <w:rFonts w:ascii="Times New Roman" w:hAnsi="Times New Roman"/>
        </w:rPr>
      </w:pPr>
      <w:r w:rsidRPr="00C779DC">
        <w:rPr>
          <w:rFonts w:ascii="Times New Roman" w:hAnsi="Times New Roman"/>
        </w:rPr>
        <w:t>Macclesfield, Cheshire SK10 2NA</w:t>
      </w:r>
    </w:p>
    <w:p w:rsidR="00435051" w:rsidRPr="00C779DC" w:rsidRDefault="00435051" w:rsidP="00435051">
      <w:pPr>
        <w:spacing w:after="0" w:line="240" w:lineRule="auto"/>
        <w:rPr>
          <w:rFonts w:ascii="Times New Roman" w:hAnsi="Times New Roman"/>
        </w:rPr>
      </w:pPr>
      <w:r w:rsidRPr="00C779DC">
        <w:rPr>
          <w:rFonts w:ascii="Times New Roman" w:hAnsi="Times New Roman"/>
        </w:rPr>
        <w:t>Jungtinė Karalystė</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arba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w:t>
      </w:r>
    </w:p>
    <w:p w:rsidR="00435051" w:rsidRPr="00C779DC" w:rsidRDefault="00435051" w:rsidP="00435051">
      <w:pPr>
        <w:spacing w:after="0" w:line="240" w:lineRule="auto"/>
        <w:rPr>
          <w:rFonts w:ascii="Times New Roman" w:hAnsi="Times New Roman"/>
        </w:rPr>
      </w:pPr>
      <w:r w:rsidRPr="00C779DC">
        <w:rPr>
          <w:rFonts w:ascii="Times New Roman" w:hAnsi="Times New Roman"/>
        </w:rPr>
        <w:t>Parc Industriel Pompelle</w:t>
      </w:r>
    </w:p>
    <w:p w:rsidR="00435051" w:rsidRPr="00C779DC" w:rsidRDefault="00435051" w:rsidP="00435051">
      <w:pPr>
        <w:spacing w:after="0" w:line="240" w:lineRule="auto"/>
        <w:rPr>
          <w:rFonts w:ascii="Times New Roman" w:hAnsi="Times New Roman"/>
        </w:rPr>
      </w:pPr>
      <w:r w:rsidRPr="00C779DC">
        <w:rPr>
          <w:rFonts w:ascii="Times New Roman" w:hAnsi="Times New Roman"/>
        </w:rPr>
        <w:t>Chemin de Vrilly 51689</w:t>
      </w:r>
    </w:p>
    <w:p w:rsidR="00435051" w:rsidRPr="00C779DC" w:rsidRDefault="00435051" w:rsidP="00435051">
      <w:pPr>
        <w:spacing w:after="0" w:line="240" w:lineRule="auto"/>
        <w:rPr>
          <w:rFonts w:ascii="Times New Roman" w:hAnsi="Times New Roman"/>
        </w:rPr>
      </w:pPr>
      <w:r w:rsidRPr="00C779DC">
        <w:rPr>
          <w:rFonts w:ascii="Times New Roman" w:hAnsi="Times New Roman"/>
        </w:rPr>
        <w:t>Reims, Cedex 2</w:t>
      </w:r>
    </w:p>
    <w:p w:rsidR="00435051" w:rsidRPr="00C779DC" w:rsidRDefault="00435051" w:rsidP="00435051">
      <w:pPr>
        <w:spacing w:after="0" w:line="240" w:lineRule="auto"/>
        <w:rPr>
          <w:rFonts w:ascii="Times New Roman" w:hAnsi="Times New Roman"/>
        </w:rPr>
      </w:pPr>
      <w:r w:rsidRPr="00C779DC">
        <w:rPr>
          <w:rFonts w:ascii="Times New Roman" w:hAnsi="Times New Roman"/>
        </w:rPr>
        <w:t xml:space="preserve">Prancūzija </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arba</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t>AstraZeneca GmbH</w:t>
      </w:r>
    </w:p>
    <w:p w:rsidR="00435051" w:rsidRPr="00C779DC" w:rsidRDefault="00435051" w:rsidP="00435051">
      <w:pPr>
        <w:spacing w:after="0" w:line="240" w:lineRule="auto"/>
        <w:rPr>
          <w:rFonts w:ascii="Times New Roman" w:hAnsi="Times New Roman"/>
        </w:rPr>
      </w:pPr>
      <w:r w:rsidRPr="00C779DC">
        <w:rPr>
          <w:rFonts w:ascii="Times New Roman" w:hAnsi="Times New Roman"/>
        </w:rPr>
        <w:t>Tinsdaler Weg 183</w:t>
      </w:r>
    </w:p>
    <w:p w:rsidR="00435051" w:rsidRPr="00C779DC" w:rsidRDefault="00435051" w:rsidP="00435051">
      <w:pPr>
        <w:spacing w:after="0" w:line="240" w:lineRule="auto"/>
        <w:rPr>
          <w:rFonts w:ascii="Times New Roman" w:hAnsi="Times New Roman"/>
        </w:rPr>
      </w:pPr>
      <w:r w:rsidRPr="00C779DC">
        <w:rPr>
          <w:rFonts w:ascii="Times New Roman" w:hAnsi="Times New Roman"/>
        </w:rPr>
        <w:t>22880 Wedel</w:t>
      </w:r>
    </w:p>
    <w:p w:rsidR="00435051" w:rsidRPr="00C779DC" w:rsidRDefault="00435051" w:rsidP="00435051">
      <w:pPr>
        <w:spacing w:after="0" w:line="240" w:lineRule="auto"/>
        <w:rPr>
          <w:rFonts w:ascii="Times New Roman" w:hAnsi="Times New Roman"/>
        </w:rPr>
      </w:pPr>
      <w:r w:rsidRPr="00C779DC">
        <w:rPr>
          <w:rFonts w:ascii="Times New Roman" w:hAnsi="Times New Roman"/>
        </w:rPr>
        <w:t>Vokietija</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12"/>
          <w:numId w:val="0"/>
        </w:numPr>
        <w:spacing w:after="0" w:line="240" w:lineRule="auto"/>
        <w:ind w:right="-2"/>
        <w:rPr>
          <w:rFonts w:ascii="Times New Roman" w:hAnsi="Times New Roman"/>
        </w:rPr>
      </w:pPr>
      <w:r w:rsidRPr="00C779DC">
        <w:rPr>
          <w:rFonts w:ascii="Times New Roman" w:hAnsi="Times New Roman"/>
        </w:rPr>
        <w:t xml:space="preserve">Jeigu apie šį vaistą norite sužinoti daugiau, </w:t>
      </w:r>
      <w:r w:rsidRPr="00C779DC">
        <w:rPr>
          <w:rFonts w:ascii="Times New Roman" w:hAnsi="Times New Roman"/>
          <w:sz w:val="24"/>
          <w:szCs w:val="24"/>
        </w:rPr>
        <w:t>kreipkitės į vietinį registruotojo atstovą.</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UAB AstraZeneca Lietuva</w:t>
      </w:r>
    </w:p>
    <w:p w:rsidR="00435051" w:rsidRPr="00C779DC" w:rsidRDefault="00435051" w:rsidP="0043505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 xml:space="preserve">Jasinskio g. 16A </w:t>
      </w:r>
    </w:p>
    <w:p w:rsidR="00435051" w:rsidRPr="00C779DC" w:rsidRDefault="00435051" w:rsidP="0043505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LT - 03613, Vilnius</w:t>
      </w:r>
    </w:p>
    <w:p w:rsidR="00435051" w:rsidRPr="00C779DC" w:rsidRDefault="00435051" w:rsidP="0043505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Tel.: +370 5 2660550</w:t>
      </w:r>
    </w:p>
    <w:p w:rsidR="00435051" w:rsidRPr="00C779DC" w:rsidRDefault="00435051" w:rsidP="00435051">
      <w:pPr>
        <w:spacing w:after="0" w:line="240" w:lineRule="auto"/>
        <w:rPr>
          <w:rFonts w:ascii="Times New Roman" w:hAnsi="Times New Roman"/>
        </w:rPr>
      </w:pPr>
      <w:r w:rsidRPr="00C779DC">
        <w:rPr>
          <w:rFonts w:ascii="Times New Roman" w:hAnsi="Times New Roman"/>
        </w:rPr>
        <w:t>Faksas: +370 5 2660555</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b/>
          <w:bCs/>
        </w:rPr>
      </w:pPr>
      <w:r w:rsidRPr="00C779DC">
        <w:rPr>
          <w:rFonts w:ascii="Times New Roman" w:hAnsi="Times New Roman"/>
          <w:b/>
        </w:rPr>
        <w:t>Šis vaistas EEE valstybėse narėse registruotas tokiais pavadinimai</w:t>
      </w:r>
      <w:r w:rsidRPr="00C779DC">
        <w:rPr>
          <w:rFonts w:ascii="Times New Roman" w:hAnsi="Times New Roman"/>
          <w:b/>
          <w:bCs/>
        </w:rPr>
        <w:t>s:</w:t>
      </w:r>
    </w:p>
    <w:p w:rsidR="00435051" w:rsidRPr="00C779DC" w:rsidRDefault="00435051" w:rsidP="00435051">
      <w:pPr>
        <w:spacing w:after="0" w:line="240" w:lineRule="auto"/>
        <w:rPr>
          <w:rFonts w:ascii="Times New Roman" w:hAnsi="Times New Roman"/>
        </w:rPr>
      </w:pPr>
    </w:p>
    <w:tbl>
      <w:tblPr>
        <w:tblW w:w="9464" w:type="dxa"/>
        <w:tblLook w:val="0000" w:firstRow="0" w:lastRow="0" w:firstColumn="0" w:lastColumn="0" w:noHBand="0" w:noVBand="0"/>
      </w:tblPr>
      <w:tblGrid>
        <w:gridCol w:w="2235"/>
        <w:gridCol w:w="7229"/>
      </w:tblGrid>
      <w:tr w:rsidR="00435051" w:rsidRPr="00C779DC" w:rsidTr="00C779DC">
        <w:tc>
          <w:tcPr>
            <w:tcW w:w="2235" w:type="dxa"/>
          </w:tcPr>
          <w:p w:rsidR="00435051" w:rsidRPr="00C779DC" w:rsidRDefault="00435051" w:rsidP="00C779DC">
            <w:pPr>
              <w:spacing w:after="0" w:line="240" w:lineRule="auto"/>
              <w:rPr>
                <w:rFonts w:ascii="Times New Roman" w:hAnsi="Times New Roman"/>
                <w:bCs/>
                <w:caps/>
              </w:rPr>
            </w:pPr>
            <w:r w:rsidRPr="00C779DC">
              <w:rPr>
                <w:rFonts w:ascii="Times New Roman" w:hAnsi="Times New Roman"/>
              </w:rPr>
              <w:t>Valstybės narės pavadinimas</w:t>
            </w:r>
          </w:p>
        </w:tc>
        <w:tc>
          <w:tcPr>
            <w:tcW w:w="7229" w:type="dxa"/>
          </w:tcPr>
          <w:p w:rsidR="00435051" w:rsidRPr="00C779DC" w:rsidRDefault="00435051" w:rsidP="00C779DC">
            <w:pPr>
              <w:spacing w:after="0" w:line="240" w:lineRule="auto"/>
              <w:rPr>
                <w:rFonts w:ascii="Times New Roman" w:hAnsi="Times New Roman"/>
                <w:bCs/>
                <w:caps/>
              </w:rPr>
            </w:pPr>
            <w:r w:rsidRPr="00C779DC">
              <w:rPr>
                <w:rFonts w:ascii="Times New Roman" w:hAnsi="Times New Roman"/>
              </w:rPr>
              <w:t>Vaisto pavadinimas</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Austrija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Belgija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Kipras</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Danija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Estija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rPr>
          <w:trHeight w:val="216"/>
        </w:trPr>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Suomija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 xml:space="preserve">Seroquel </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Vokietija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r w:rsidRPr="00C779DC">
              <w:rPr>
                <w:rFonts w:ascii="Times New Roman" w:hAnsi="Times New Roman"/>
                <w:bCs/>
                <w:vertAlign w:val="superscript"/>
              </w:rPr>
              <w:t>®</w:t>
            </w:r>
            <w:r w:rsidRPr="00C779DC">
              <w:rPr>
                <w:rFonts w:ascii="Times New Roman" w:hAnsi="Times New Roman"/>
                <w:bCs/>
              </w:rPr>
              <w:t xml:space="preserve"> 25 mg Filmtabletten, Seroquel</w:t>
            </w:r>
            <w:r w:rsidRPr="00C779DC">
              <w:rPr>
                <w:rFonts w:ascii="Times New Roman" w:hAnsi="Times New Roman"/>
                <w:bCs/>
                <w:vertAlign w:val="superscript"/>
              </w:rPr>
              <w:t>®</w:t>
            </w:r>
            <w:r w:rsidRPr="00C779DC">
              <w:rPr>
                <w:rFonts w:ascii="Times New Roman" w:hAnsi="Times New Roman"/>
                <w:bCs/>
              </w:rPr>
              <w:t xml:space="preserve"> 100 mg Filmtabletten, </w:t>
            </w:r>
          </w:p>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r w:rsidRPr="00C779DC">
              <w:rPr>
                <w:rFonts w:ascii="Times New Roman" w:hAnsi="Times New Roman"/>
                <w:bCs/>
                <w:vertAlign w:val="superscript"/>
              </w:rPr>
              <w:t>®</w:t>
            </w:r>
            <w:r w:rsidRPr="00C779DC">
              <w:rPr>
                <w:rFonts w:ascii="Times New Roman" w:hAnsi="Times New Roman"/>
                <w:bCs/>
              </w:rPr>
              <w:t xml:space="preserve"> 200 mg Filmtabletten, Seroquel</w:t>
            </w:r>
            <w:r w:rsidRPr="00C779DC">
              <w:rPr>
                <w:rFonts w:ascii="Times New Roman" w:hAnsi="Times New Roman"/>
                <w:bCs/>
                <w:vertAlign w:val="superscript"/>
              </w:rPr>
              <w:t>®</w:t>
            </w:r>
            <w:r w:rsidRPr="00C779DC">
              <w:rPr>
                <w:rFonts w:ascii="Times New Roman" w:hAnsi="Times New Roman"/>
                <w:bCs/>
              </w:rPr>
              <w:t xml:space="preserve"> 300 mg Filmtabletten</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Graikija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Islandija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Airija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Italija</w:t>
            </w:r>
          </w:p>
          <w:p w:rsidR="00435051" w:rsidRPr="00C779DC" w:rsidRDefault="00435051" w:rsidP="00C779DC">
            <w:pPr>
              <w:spacing w:after="0" w:line="240" w:lineRule="auto"/>
              <w:rPr>
                <w:rFonts w:ascii="Times New Roman" w:hAnsi="Times New Roman"/>
                <w:bCs/>
              </w:rPr>
            </w:pPr>
            <w:r w:rsidRPr="00C779DC">
              <w:rPr>
                <w:rFonts w:ascii="Times New Roman" w:hAnsi="Times New Roman"/>
                <w:bCs/>
              </w:rPr>
              <w:t>Kroatija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Lietuva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Liuksemburgas</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Malta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Nyderlandai</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Norvegija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Portugalija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Slovėnija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Ispanija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Švedija</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r w:rsidR="00435051" w:rsidRPr="00C779DC" w:rsidTr="00C779DC">
        <w:tc>
          <w:tcPr>
            <w:tcW w:w="2235"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Jungtinė Karalystė</w:t>
            </w:r>
          </w:p>
        </w:tc>
        <w:tc>
          <w:tcPr>
            <w:tcW w:w="7229" w:type="dxa"/>
          </w:tcPr>
          <w:p w:rsidR="00435051" w:rsidRPr="00C779DC" w:rsidRDefault="00435051" w:rsidP="00C779DC">
            <w:pPr>
              <w:spacing w:after="0" w:line="240" w:lineRule="auto"/>
              <w:rPr>
                <w:rFonts w:ascii="Times New Roman" w:hAnsi="Times New Roman"/>
                <w:bCs/>
              </w:rPr>
            </w:pPr>
            <w:r w:rsidRPr="00C779DC">
              <w:rPr>
                <w:rFonts w:ascii="Times New Roman" w:hAnsi="Times New Roman"/>
                <w:bCs/>
              </w:rPr>
              <w:t>Seroquel</w:t>
            </w:r>
          </w:p>
        </w:tc>
      </w:tr>
    </w:tbl>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Cs/>
        </w:rPr>
      </w:pPr>
    </w:p>
    <w:p w:rsidR="00435051" w:rsidRPr="00C779DC" w:rsidRDefault="00435051" w:rsidP="00435051">
      <w:pPr>
        <w:spacing w:after="0" w:line="240" w:lineRule="auto"/>
        <w:rPr>
          <w:rFonts w:ascii="Times New Roman" w:hAnsi="Times New Roman"/>
          <w:b/>
        </w:rPr>
      </w:pPr>
      <w:r w:rsidRPr="00C779DC">
        <w:rPr>
          <w:rFonts w:ascii="Times New Roman" w:hAnsi="Times New Roman"/>
          <w:b/>
        </w:rPr>
        <w:t>Šis pakuotės lapelis paskutinį kartą peržiūrėtas</w:t>
      </w:r>
      <w:r w:rsidR="00427837">
        <w:rPr>
          <w:rFonts w:ascii="Times New Roman" w:hAnsi="Times New Roman"/>
          <w:b/>
        </w:rPr>
        <w:t xml:space="preserve"> 2018-08-06</w:t>
      </w:r>
      <w:r w:rsidRPr="00C779DC">
        <w:rPr>
          <w:rFonts w:ascii="Times New Roman" w:hAnsi="Times New Roman"/>
          <w:b/>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numPr>
          <w:ilvl w:val="12"/>
          <w:numId w:val="0"/>
        </w:numPr>
        <w:spacing w:after="0" w:line="240" w:lineRule="auto"/>
        <w:ind w:right="-2"/>
        <w:rPr>
          <w:rFonts w:ascii="Times New Roman" w:hAnsi="Times New Roman"/>
        </w:rPr>
      </w:pPr>
    </w:p>
    <w:p w:rsidR="00435051" w:rsidRPr="00C779DC" w:rsidRDefault="00435051" w:rsidP="00435051">
      <w:pPr>
        <w:spacing w:after="0" w:line="240" w:lineRule="auto"/>
        <w:rPr>
          <w:rFonts w:ascii="Times New Roman" w:hAnsi="Times New Roman"/>
        </w:rPr>
      </w:pPr>
      <w:r w:rsidRPr="00C779DC">
        <w:rPr>
          <w:rFonts w:ascii="Times New Roman" w:hAnsi="Times New Roman"/>
        </w:rPr>
        <w:lastRenderedPageBreak/>
        <w:t xml:space="preserve">Išsami informacija apie šį vaistą pateikiama Valstybinės vaistų kontrolės tarnybos prie Lietuvos Respublikos sveikatos apsaugos ministerijos tinklalapyje </w:t>
      </w:r>
      <w:hyperlink r:id="rId10" w:history="1">
        <w:r w:rsidRPr="00C779DC">
          <w:rPr>
            <w:rFonts w:ascii="Times New Roman" w:eastAsia="SimSun" w:hAnsi="Times New Roman"/>
            <w:color w:val="0000FF"/>
            <w:u w:val="single"/>
          </w:rPr>
          <w:t>http://www.vvkt.lt/</w:t>
        </w:r>
      </w:hyperlink>
      <w:r w:rsidRPr="00C779DC">
        <w:rPr>
          <w:rFonts w:ascii="Times New Roman" w:hAnsi="Times New Roman"/>
        </w:rPr>
        <w:t>.</w:t>
      </w:r>
    </w:p>
    <w:p w:rsidR="00435051" w:rsidRPr="00C779DC" w:rsidRDefault="00435051" w:rsidP="00435051">
      <w:pPr>
        <w:spacing w:after="0" w:line="240" w:lineRule="auto"/>
        <w:rPr>
          <w:rFonts w:ascii="Times New Roman" w:hAnsi="Times New Roman"/>
        </w:rPr>
      </w:pPr>
    </w:p>
    <w:p w:rsidR="00435051" w:rsidRPr="00C779DC" w:rsidRDefault="00435051" w:rsidP="00435051">
      <w:pPr>
        <w:spacing w:after="0" w:line="240" w:lineRule="auto"/>
        <w:rPr>
          <w:rFonts w:ascii="Times New Roman" w:hAnsi="Times New Roman"/>
        </w:rPr>
      </w:pPr>
    </w:p>
    <w:p w:rsidR="00435051" w:rsidRPr="00C779DC" w:rsidRDefault="00435051" w:rsidP="00435051"/>
    <w:p w:rsidR="00435051" w:rsidRPr="00C779DC" w:rsidRDefault="00435051" w:rsidP="00435051"/>
    <w:p w:rsidR="00C779DC" w:rsidRPr="00C779DC" w:rsidRDefault="00C779DC"/>
    <w:sectPr w:rsidR="00C779DC" w:rsidRPr="00C779DC" w:rsidSect="00C779DC">
      <w:footerReference w:type="even" r:id="rId11"/>
      <w:footerReference w:type="defaul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608" w:rsidRDefault="007E3608" w:rsidP="00C34D05">
      <w:pPr>
        <w:spacing w:after="0" w:line="240" w:lineRule="auto"/>
      </w:pPr>
      <w:r>
        <w:separator/>
      </w:r>
    </w:p>
  </w:endnote>
  <w:endnote w:type="continuationSeparator" w:id="0">
    <w:p w:rsidR="007E3608" w:rsidRDefault="007E3608" w:rsidP="00C3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Default="00C52A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248</w:t>
    </w:r>
    <w:r>
      <w:rPr>
        <w:rStyle w:val="Puslapionumeris"/>
      </w:rPr>
      <w:fldChar w:fldCharType="end"/>
    </w:r>
  </w:p>
  <w:p w:rsidR="00C52AD0" w:rsidRDefault="00C52AD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Pr="00F23054" w:rsidRDefault="00C52AD0">
    <w:pPr>
      <w:pStyle w:val="Porat"/>
      <w:jc w:val="center"/>
      <w:rPr>
        <w:rFonts w:ascii="Arial" w:hAnsi="Arial"/>
        <w:sz w:val="16"/>
      </w:rPr>
    </w:pPr>
    <w:r w:rsidRPr="00F23054">
      <w:rPr>
        <w:rFonts w:ascii="Arial" w:hAnsi="Arial"/>
        <w:sz w:val="16"/>
      </w:rPr>
      <w:fldChar w:fldCharType="begin"/>
    </w:r>
    <w:r w:rsidRPr="0042739B">
      <w:rPr>
        <w:rFonts w:cs="Times New Roman"/>
      </w:rPr>
      <w:instrText xml:space="preserve"> PAGE   \* MERGEFORMAT </w:instrText>
    </w:r>
    <w:r w:rsidRPr="00F23054">
      <w:rPr>
        <w:rFonts w:ascii="Arial" w:hAnsi="Arial"/>
        <w:sz w:val="16"/>
      </w:rPr>
      <w:fldChar w:fldCharType="separate"/>
    </w:r>
    <w:r w:rsidR="00ED21BA">
      <w:rPr>
        <w:rFonts w:cs="Times New Roman"/>
        <w:noProof/>
      </w:rPr>
      <w:t>3</w:t>
    </w:r>
    <w:r w:rsidRPr="00F23054">
      <w:rPr>
        <w:rFonts w:ascii="Arial" w:hAnsi="Arial"/>
        <w:sz w:val="16"/>
      </w:rPr>
      <w:fldChar w:fldCharType="end"/>
    </w:r>
  </w:p>
  <w:p w:rsidR="00C52AD0" w:rsidRDefault="00C52AD0">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Default="00C52AD0">
    <w:pPr>
      <w:pStyle w:val="Porat"/>
      <w:jc w:val="right"/>
    </w:pPr>
    <w:r>
      <w:fldChar w:fldCharType="begin"/>
    </w:r>
    <w:r>
      <w:instrText xml:space="preserve"> PAGE   \* MERGEFORMAT </w:instrText>
    </w:r>
    <w:r>
      <w:fldChar w:fldCharType="separate"/>
    </w:r>
    <w:r>
      <w:rPr>
        <w:noProof/>
      </w:rPr>
      <w:t>1</w:t>
    </w:r>
    <w:r>
      <w:rPr>
        <w:noProof/>
      </w:rPr>
      <w:fldChar w:fldCharType="end"/>
    </w:r>
  </w:p>
  <w:p w:rsidR="00C52AD0" w:rsidRDefault="00C52A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608" w:rsidRDefault="007E3608" w:rsidP="00C34D05">
      <w:pPr>
        <w:spacing w:after="0" w:line="240" w:lineRule="auto"/>
      </w:pPr>
      <w:r>
        <w:separator/>
      </w:r>
    </w:p>
  </w:footnote>
  <w:footnote w:type="continuationSeparator" w:id="0">
    <w:p w:rsidR="007E3608" w:rsidRDefault="007E3608" w:rsidP="00C34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CB"/>
    <w:multiLevelType w:val="hybridMultilevel"/>
    <w:tmpl w:val="BD607F7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6A9C"/>
    <w:multiLevelType w:val="hybridMultilevel"/>
    <w:tmpl w:val="5E2C427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62F90"/>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8A02D68A">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B14F5"/>
    <w:multiLevelType w:val="hybridMultilevel"/>
    <w:tmpl w:val="617E8288"/>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61455"/>
    <w:multiLevelType w:val="hybridMultilevel"/>
    <w:tmpl w:val="5C24476A"/>
    <w:lvl w:ilvl="0" w:tplc="3566FDF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16352"/>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81E5C1F"/>
    <w:multiLevelType w:val="hybridMultilevel"/>
    <w:tmpl w:val="D25CC6C2"/>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07910"/>
    <w:multiLevelType w:val="hybridMultilevel"/>
    <w:tmpl w:val="06EE3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400588"/>
    <w:multiLevelType w:val="hybridMultilevel"/>
    <w:tmpl w:val="B3CE76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E3E6428"/>
    <w:multiLevelType w:val="hybridMultilevel"/>
    <w:tmpl w:val="12EE97B4"/>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A4280"/>
    <w:multiLevelType w:val="hybridMultilevel"/>
    <w:tmpl w:val="B3E4AD4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243D7"/>
    <w:multiLevelType w:val="hybridMultilevel"/>
    <w:tmpl w:val="BA200588"/>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2F3A6D"/>
    <w:multiLevelType w:val="hybridMultilevel"/>
    <w:tmpl w:val="5F46974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A1EEB"/>
    <w:multiLevelType w:val="hybridMultilevel"/>
    <w:tmpl w:val="A0402DE4"/>
    <w:lvl w:ilvl="0" w:tplc="AF863F38">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15:restartNumberingAfterBreak="0">
    <w:nsid w:val="2B854339"/>
    <w:multiLevelType w:val="hybridMultilevel"/>
    <w:tmpl w:val="264C8F0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F019D"/>
    <w:multiLevelType w:val="hybridMultilevel"/>
    <w:tmpl w:val="187838F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D18B3"/>
    <w:multiLevelType w:val="hybridMultilevel"/>
    <w:tmpl w:val="74CC2D4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320B1"/>
    <w:multiLevelType w:val="hybridMultilevel"/>
    <w:tmpl w:val="01E62BB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12C51"/>
    <w:multiLevelType w:val="hybridMultilevel"/>
    <w:tmpl w:val="D4FED31E"/>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969EE"/>
    <w:multiLevelType w:val="hybridMultilevel"/>
    <w:tmpl w:val="239ED01E"/>
    <w:lvl w:ilvl="0" w:tplc="BB240C5A">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D2737"/>
    <w:multiLevelType w:val="hybridMultilevel"/>
    <w:tmpl w:val="66C87370"/>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26441B"/>
    <w:multiLevelType w:val="hybridMultilevel"/>
    <w:tmpl w:val="F8D6AB0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982125"/>
    <w:multiLevelType w:val="hybridMultilevel"/>
    <w:tmpl w:val="746A622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276BC6"/>
    <w:multiLevelType w:val="hybridMultilevel"/>
    <w:tmpl w:val="D7A6844C"/>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58"/>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94"/>
        </w:tabs>
        <w:ind w:left="1440" w:hanging="306"/>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03A6D"/>
    <w:multiLevelType w:val="hybridMultilevel"/>
    <w:tmpl w:val="2A08F7AE"/>
    <w:lvl w:ilvl="0" w:tplc="8D14CEE4">
      <w:start w:val="1"/>
      <w:numFmt w:val="bullet"/>
      <w:lvlText w:val=""/>
      <w:lvlJc w:val="left"/>
      <w:pPr>
        <w:tabs>
          <w:tab w:val="num" w:pos="567"/>
        </w:tabs>
        <w:ind w:left="567" w:hanging="567"/>
      </w:pPr>
      <w:rPr>
        <w:rFonts w:ascii="Symbol" w:hAnsi="Symbol" w:hint="default"/>
      </w:rPr>
    </w:lvl>
    <w:lvl w:ilvl="1" w:tplc="8C1EBC4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F2304"/>
    <w:multiLevelType w:val="hybridMultilevel"/>
    <w:tmpl w:val="13D8CCD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2D68"/>
    <w:multiLevelType w:val="hybridMultilevel"/>
    <w:tmpl w:val="5184CB5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C3783A"/>
    <w:multiLevelType w:val="hybridMultilevel"/>
    <w:tmpl w:val="47B8BEF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A3BBE"/>
    <w:multiLevelType w:val="hybridMultilevel"/>
    <w:tmpl w:val="461AAFFE"/>
    <w:lvl w:ilvl="0" w:tplc="3ED855FE">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A625A7F"/>
    <w:multiLevelType w:val="hybridMultilevel"/>
    <w:tmpl w:val="0BF2A9E0"/>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F70A54"/>
    <w:multiLevelType w:val="hybridMultilevel"/>
    <w:tmpl w:val="C812169A"/>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6A4106"/>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4C0CA6"/>
    <w:multiLevelType w:val="hybridMultilevel"/>
    <w:tmpl w:val="D38C5BC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26233C"/>
    <w:multiLevelType w:val="hybridMultilevel"/>
    <w:tmpl w:val="B94C0DCC"/>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541CD1"/>
    <w:multiLevelType w:val="hybridMultilevel"/>
    <w:tmpl w:val="7F4C18D4"/>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57EB7"/>
    <w:multiLevelType w:val="hybridMultilevel"/>
    <w:tmpl w:val="12EE97B4"/>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580179"/>
    <w:multiLevelType w:val="hybridMultilevel"/>
    <w:tmpl w:val="4D6C7BC6"/>
    <w:lvl w:ilvl="0" w:tplc="8C1EBC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951A78"/>
    <w:multiLevelType w:val="hybridMultilevel"/>
    <w:tmpl w:val="6D3AAF40"/>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F12F5C"/>
    <w:multiLevelType w:val="hybridMultilevel"/>
    <w:tmpl w:val="4B56AE4C"/>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86D2F"/>
    <w:multiLevelType w:val="hybridMultilevel"/>
    <w:tmpl w:val="01E62BB6"/>
    <w:lvl w:ilvl="0" w:tplc="8A02D68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F7A4F"/>
    <w:multiLevelType w:val="hybridMultilevel"/>
    <w:tmpl w:val="F71209F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6750B3"/>
    <w:multiLevelType w:val="hybridMultilevel"/>
    <w:tmpl w:val="591E70B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576BD"/>
    <w:multiLevelType w:val="hybridMultilevel"/>
    <w:tmpl w:val="E036F8E0"/>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A010F5"/>
    <w:multiLevelType w:val="hybridMultilevel"/>
    <w:tmpl w:val="7B0AD59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3493D"/>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9271B1"/>
    <w:multiLevelType w:val="hybridMultilevel"/>
    <w:tmpl w:val="BF824DF2"/>
    <w:lvl w:ilvl="0" w:tplc="AB462DDE">
      <w:start w:val="1"/>
      <w:numFmt w:val="bullet"/>
      <w:lvlText w:val=""/>
      <w:lvlJc w:val="left"/>
      <w:pPr>
        <w:tabs>
          <w:tab w:val="num" w:pos="720"/>
        </w:tabs>
        <w:ind w:left="720" w:hanging="360"/>
      </w:pPr>
      <w:rPr>
        <w:rFonts w:ascii="Symbol" w:hAnsi="Symbol" w:cs="Symbol" w:hint="default"/>
      </w:rPr>
    </w:lvl>
    <w:lvl w:ilvl="1" w:tplc="6C708FD4">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DC95182"/>
    <w:multiLevelType w:val="hybridMultilevel"/>
    <w:tmpl w:val="7E701DA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1"/>
  </w:num>
  <w:num w:numId="4">
    <w:abstractNumId w:val="46"/>
  </w:num>
  <w:num w:numId="5">
    <w:abstractNumId w:val="20"/>
  </w:num>
  <w:num w:numId="6">
    <w:abstractNumId w:val="12"/>
  </w:num>
  <w:num w:numId="7">
    <w:abstractNumId w:val="45"/>
  </w:num>
  <w:num w:numId="8">
    <w:abstractNumId w:val="16"/>
  </w:num>
  <w:num w:numId="9">
    <w:abstractNumId w:val="29"/>
  </w:num>
  <w:num w:numId="10">
    <w:abstractNumId w:val="11"/>
  </w:num>
  <w:num w:numId="11">
    <w:abstractNumId w:val="15"/>
  </w:num>
  <w:num w:numId="12">
    <w:abstractNumId w:val="24"/>
  </w:num>
  <w:num w:numId="13">
    <w:abstractNumId w:val="43"/>
  </w:num>
  <w:num w:numId="14">
    <w:abstractNumId w:val="37"/>
  </w:num>
  <w:num w:numId="15">
    <w:abstractNumId w:val="47"/>
  </w:num>
  <w:num w:numId="16">
    <w:abstractNumId w:val="0"/>
  </w:num>
  <w:num w:numId="17">
    <w:abstractNumId w:val="36"/>
  </w:num>
  <w:num w:numId="18">
    <w:abstractNumId w:val="35"/>
  </w:num>
  <w:num w:numId="19">
    <w:abstractNumId w:val="14"/>
  </w:num>
  <w:num w:numId="20">
    <w:abstractNumId w:val="42"/>
  </w:num>
  <w:num w:numId="21">
    <w:abstractNumId w:val="17"/>
  </w:num>
  <w:num w:numId="22">
    <w:abstractNumId w:val="33"/>
  </w:num>
  <w:num w:numId="23">
    <w:abstractNumId w:val="34"/>
  </w:num>
  <w:num w:numId="24">
    <w:abstractNumId w:val="25"/>
  </w:num>
  <w:num w:numId="25">
    <w:abstractNumId w:val="26"/>
  </w:num>
  <w:num w:numId="26">
    <w:abstractNumId w:val="10"/>
  </w:num>
  <w:num w:numId="27">
    <w:abstractNumId w:val="28"/>
  </w:num>
  <w:num w:numId="28">
    <w:abstractNumId w:val="22"/>
  </w:num>
  <w:num w:numId="29">
    <w:abstractNumId w:val="27"/>
  </w:num>
  <w:num w:numId="30">
    <w:abstractNumId w:val="32"/>
  </w:num>
  <w:num w:numId="31">
    <w:abstractNumId w:val="18"/>
  </w:num>
  <w:num w:numId="32">
    <w:abstractNumId w:val="40"/>
  </w:num>
  <w:num w:numId="33">
    <w:abstractNumId w:val="38"/>
  </w:num>
  <w:num w:numId="34">
    <w:abstractNumId w:val="9"/>
  </w:num>
  <w:num w:numId="35">
    <w:abstractNumId w:val="3"/>
  </w:num>
  <w:num w:numId="36">
    <w:abstractNumId w:val="6"/>
  </w:num>
  <w:num w:numId="37">
    <w:abstractNumId w:val="30"/>
  </w:num>
  <w:num w:numId="38">
    <w:abstractNumId w:val="19"/>
  </w:num>
  <w:num w:numId="39">
    <w:abstractNumId w:val="39"/>
  </w:num>
  <w:num w:numId="40">
    <w:abstractNumId w:val="49"/>
  </w:num>
  <w:num w:numId="41">
    <w:abstractNumId w:val="44"/>
  </w:num>
  <w:num w:numId="42">
    <w:abstractNumId w:val="23"/>
  </w:num>
  <w:num w:numId="43">
    <w:abstractNumId w:val="2"/>
  </w:num>
  <w:num w:numId="44">
    <w:abstractNumId w:val="41"/>
  </w:num>
  <w:num w:numId="45">
    <w:abstractNumId w:val="48"/>
  </w:num>
  <w:num w:numId="46">
    <w:abstractNumId w:val="8"/>
  </w:num>
  <w:num w:numId="47">
    <w:abstractNumId w:val="5"/>
  </w:num>
  <w:num w:numId="48">
    <w:abstractNumId w:val="13"/>
  </w:num>
  <w:num w:numId="49">
    <w:abstractNumId w:val="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51"/>
    <w:rsid w:val="001B74F7"/>
    <w:rsid w:val="001C589E"/>
    <w:rsid w:val="001D516C"/>
    <w:rsid w:val="00354AEC"/>
    <w:rsid w:val="00385229"/>
    <w:rsid w:val="00427837"/>
    <w:rsid w:val="00435051"/>
    <w:rsid w:val="005D628F"/>
    <w:rsid w:val="00656ED5"/>
    <w:rsid w:val="007D54A6"/>
    <w:rsid w:val="007E3608"/>
    <w:rsid w:val="00C34D05"/>
    <w:rsid w:val="00C52AD0"/>
    <w:rsid w:val="00C779DC"/>
    <w:rsid w:val="00CF2EEF"/>
    <w:rsid w:val="00D8117C"/>
    <w:rsid w:val="00ED21BA"/>
    <w:rsid w:val="00F048CF"/>
    <w:rsid w:val="00FC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1EF69-FF49-4845-AECE-E50BE3F5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051"/>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435051"/>
    <w:pPr>
      <w:spacing w:after="240" w:line="240" w:lineRule="auto"/>
      <w:outlineLvl w:val="0"/>
    </w:pPr>
    <w:rPr>
      <w:rFonts w:ascii="Arial" w:hAnsi="Arial" w:cs="Arial Unicode MS"/>
      <w:b/>
      <w:sz w:val="32"/>
      <w:szCs w:val="20"/>
      <w:lang w:bidi="lo-LA"/>
    </w:rPr>
  </w:style>
  <w:style w:type="paragraph" w:styleId="Antrat2">
    <w:name w:val="heading 2"/>
    <w:aliases w:val="D70AR2,(eg 2.0,2.1),(eg 1.1),Level 2"/>
    <w:basedOn w:val="prastasis"/>
    <w:next w:val="prastasis"/>
    <w:link w:val="Antrat2Diagrama"/>
    <w:qFormat/>
    <w:rsid w:val="00435051"/>
    <w:pPr>
      <w:spacing w:after="120" w:line="240" w:lineRule="auto"/>
      <w:outlineLvl w:val="1"/>
    </w:pPr>
    <w:rPr>
      <w:rFonts w:ascii="Arial" w:eastAsia="Times New Roman" w:hAnsi="Arial" w:cs="Arial Unicode MS"/>
      <w:b/>
      <w:bCs/>
      <w:sz w:val="28"/>
      <w:szCs w:val="26"/>
      <w:lang w:bidi="lo-LA"/>
    </w:rPr>
  </w:style>
  <w:style w:type="paragraph" w:styleId="Antrat3">
    <w:name w:val="heading 3"/>
    <w:basedOn w:val="prastasis"/>
    <w:next w:val="prastasis"/>
    <w:link w:val="Antrat3Diagrama"/>
    <w:qFormat/>
    <w:rsid w:val="00435051"/>
    <w:pPr>
      <w:spacing w:after="120" w:line="240" w:lineRule="auto"/>
      <w:outlineLvl w:val="2"/>
    </w:pPr>
    <w:rPr>
      <w:rFonts w:ascii="Arial" w:eastAsia="Times New Roman" w:hAnsi="Arial" w:cs="Arial Unicode MS"/>
      <w:b/>
      <w:bCs/>
      <w:sz w:val="20"/>
      <w:szCs w:val="20"/>
      <w:lang w:bidi="lo-LA"/>
    </w:rPr>
  </w:style>
  <w:style w:type="paragraph" w:styleId="Antrat4">
    <w:name w:val="heading 4"/>
    <w:basedOn w:val="prastasis"/>
    <w:next w:val="prastasis"/>
    <w:link w:val="Antrat4Diagrama"/>
    <w:qFormat/>
    <w:rsid w:val="00435051"/>
    <w:pPr>
      <w:spacing w:after="0" w:line="240" w:lineRule="auto"/>
      <w:outlineLvl w:val="3"/>
    </w:pPr>
    <w:rPr>
      <w:rFonts w:ascii="Arial" w:eastAsia="Times New Roman" w:hAnsi="Arial" w:cs="Arial Unicode MS"/>
      <w:b/>
      <w:bCs/>
      <w:iCs/>
      <w:sz w:val="20"/>
      <w:szCs w:val="20"/>
      <w:lang w:bidi="lo-LA"/>
    </w:rPr>
  </w:style>
  <w:style w:type="paragraph" w:styleId="Antrat5">
    <w:name w:val="heading 5"/>
    <w:basedOn w:val="prastasis"/>
    <w:next w:val="prastasis"/>
    <w:link w:val="Antrat5Diagrama"/>
    <w:qFormat/>
    <w:rsid w:val="00435051"/>
    <w:pPr>
      <w:spacing w:after="0" w:line="240" w:lineRule="auto"/>
      <w:outlineLvl w:val="4"/>
    </w:pPr>
    <w:rPr>
      <w:rFonts w:ascii="Arial" w:eastAsia="Times New Roman" w:hAnsi="Arial" w:cs="Arial Unicode MS"/>
      <w:b/>
      <w:i/>
      <w:sz w:val="20"/>
      <w:szCs w:val="20"/>
      <w:lang w:bidi="lo-LA"/>
    </w:rPr>
  </w:style>
  <w:style w:type="paragraph" w:styleId="Antrat6">
    <w:name w:val="heading 6"/>
    <w:basedOn w:val="prastasis"/>
    <w:next w:val="prastasis"/>
    <w:link w:val="Antrat6Diagrama"/>
    <w:qFormat/>
    <w:rsid w:val="00435051"/>
    <w:pPr>
      <w:spacing w:after="0" w:line="240" w:lineRule="auto"/>
      <w:outlineLvl w:val="5"/>
    </w:pPr>
    <w:rPr>
      <w:rFonts w:ascii="Arial" w:eastAsia="Times New Roman" w:hAnsi="Arial" w:cs="Arial Unicode MS"/>
      <w:i/>
      <w:iCs/>
      <w:sz w:val="20"/>
      <w:szCs w:val="20"/>
      <w:lang w:bidi="lo-LA"/>
    </w:rPr>
  </w:style>
  <w:style w:type="paragraph" w:styleId="Antrat7">
    <w:name w:val="heading 7"/>
    <w:basedOn w:val="prastasis"/>
    <w:next w:val="prastasis"/>
    <w:link w:val="Antrat7Diagrama"/>
    <w:qFormat/>
    <w:rsid w:val="00435051"/>
    <w:pPr>
      <w:spacing w:before="240" w:after="60" w:line="240" w:lineRule="auto"/>
      <w:outlineLvl w:val="6"/>
    </w:pPr>
    <w:rPr>
      <w:rFonts w:cs="Arial Unicode MS"/>
      <w:sz w:val="24"/>
      <w:szCs w:val="24"/>
      <w:lang w:val="en-GB" w:eastAsia="lt-LT" w:bidi="lo-LA"/>
    </w:rPr>
  </w:style>
  <w:style w:type="paragraph" w:styleId="Antrat8">
    <w:name w:val="heading 8"/>
    <w:basedOn w:val="prastasis"/>
    <w:next w:val="prastasis"/>
    <w:link w:val="Antrat8Diagrama"/>
    <w:qFormat/>
    <w:rsid w:val="00435051"/>
    <w:pPr>
      <w:keepNext/>
      <w:spacing w:after="0" w:line="360" w:lineRule="auto"/>
      <w:outlineLvl w:val="7"/>
    </w:pPr>
    <w:rPr>
      <w:rFonts w:ascii="Arial" w:eastAsia="Times New Roman" w:hAnsi="Arial" w:cs="Arial Unicode MS"/>
      <w:sz w:val="32"/>
      <w:szCs w:val="20"/>
      <w:lang w:val="en-GB" w:bidi="lo-LA"/>
    </w:rPr>
  </w:style>
  <w:style w:type="paragraph" w:styleId="Antrat9">
    <w:name w:val="heading 9"/>
    <w:basedOn w:val="No-numheading9Agency"/>
    <w:next w:val="BodytextAgency"/>
    <w:link w:val="Antrat9Diagrama"/>
    <w:qFormat/>
    <w:rsid w:val="00435051"/>
    <w:rPr>
      <w:rFonts w:cs="Arial Unicode MS"/>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051"/>
    <w:rPr>
      <w:rFonts w:ascii="Arial" w:eastAsia="Calibri" w:hAnsi="Arial" w:cs="Arial Unicode MS"/>
      <w:b/>
      <w:sz w:val="32"/>
      <w:szCs w:val="20"/>
      <w:lang w:bidi="lo-LA"/>
    </w:rPr>
  </w:style>
  <w:style w:type="character" w:customStyle="1" w:styleId="Antrat2Diagrama">
    <w:name w:val="Antraštė 2 Diagrama"/>
    <w:aliases w:val="D70AR2 Diagrama,(eg 2.0 Diagrama,2.1) Diagrama,(eg 1.1) Diagrama,Level 2 Diagrama"/>
    <w:basedOn w:val="Numatytasispastraiposriftas"/>
    <w:link w:val="Antrat2"/>
    <w:rsid w:val="00435051"/>
    <w:rPr>
      <w:rFonts w:ascii="Arial" w:eastAsia="Times New Roman" w:hAnsi="Arial" w:cs="Arial Unicode MS"/>
      <w:b/>
      <w:bCs/>
      <w:sz w:val="28"/>
      <w:szCs w:val="26"/>
      <w:lang w:bidi="lo-LA"/>
    </w:rPr>
  </w:style>
  <w:style w:type="character" w:customStyle="1" w:styleId="Antrat3Diagrama">
    <w:name w:val="Antraštė 3 Diagrama"/>
    <w:basedOn w:val="Numatytasispastraiposriftas"/>
    <w:link w:val="Antrat3"/>
    <w:rsid w:val="00435051"/>
    <w:rPr>
      <w:rFonts w:ascii="Arial" w:eastAsia="Times New Roman" w:hAnsi="Arial" w:cs="Arial Unicode MS"/>
      <w:b/>
      <w:bCs/>
      <w:sz w:val="20"/>
      <w:szCs w:val="20"/>
      <w:lang w:bidi="lo-LA"/>
    </w:rPr>
  </w:style>
  <w:style w:type="character" w:customStyle="1" w:styleId="Antrat4Diagrama">
    <w:name w:val="Antraštė 4 Diagrama"/>
    <w:basedOn w:val="Numatytasispastraiposriftas"/>
    <w:link w:val="Antrat4"/>
    <w:rsid w:val="00435051"/>
    <w:rPr>
      <w:rFonts w:ascii="Arial" w:eastAsia="Times New Roman" w:hAnsi="Arial" w:cs="Arial Unicode MS"/>
      <w:b/>
      <w:bCs/>
      <w:iCs/>
      <w:sz w:val="20"/>
      <w:szCs w:val="20"/>
      <w:lang w:bidi="lo-LA"/>
    </w:rPr>
  </w:style>
  <w:style w:type="character" w:customStyle="1" w:styleId="Antrat5Diagrama">
    <w:name w:val="Antraštė 5 Diagrama"/>
    <w:basedOn w:val="Numatytasispastraiposriftas"/>
    <w:link w:val="Antrat5"/>
    <w:rsid w:val="00435051"/>
    <w:rPr>
      <w:rFonts w:ascii="Arial" w:eastAsia="Times New Roman" w:hAnsi="Arial" w:cs="Arial Unicode MS"/>
      <w:b/>
      <w:i/>
      <w:sz w:val="20"/>
      <w:szCs w:val="20"/>
      <w:lang w:bidi="lo-LA"/>
    </w:rPr>
  </w:style>
  <w:style w:type="character" w:customStyle="1" w:styleId="Antrat6Diagrama">
    <w:name w:val="Antraštė 6 Diagrama"/>
    <w:basedOn w:val="Numatytasispastraiposriftas"/>
    <w:link w:val="Antrat6"/>
    <w:rsid w:val="00435051"/>
    <w:rPr>
      <w:rFonts w:ascii="Arial" w:eastAsia="Times New Roman" w:hAnsi="Arial" w:cs="Arial Unicode MS"/>
      <w:i/>
      <w:iCs/>
      <w:sz w:val="20"/>
      <w:szCs w:val="20"/>
      <w:lang w:bidi="lo-LA"/>
    </w:rPr>
  </w:style>
  <w:style w:type="character" w:customStyle="1" w:styleId="Antrat7Diagrama">
    <w:name w:val="Antraštė 7 Diagrama"/>
    <w:basedOn w:val="Numatytasispastraiposriftas"/>
    <w:link w:val="Antrat7"/>
    <w:rsid w:val="00435051"/>
    <w:rPr>
      <w:rFonts w:ascii="Calibri" w:eastAsia="Calibri" w:hAnsi="Calibri" w:cs="Arial Unicode MS"/>
      <w:sz w:val="24"/>
      <w:szCs w:val="24"/>
      <w:lang w:val="en-GB" w:eastAsia="lt-LT" w:bidi="lo-LA"/>
    </w:rPr>
  </w:style>
  <w:style w:type="character" w:customStyle="1" w:styleId="Antrat8Diagrama">
    <w:name w:val="Antraštė 8 Diagrama"/>
    <w:basedOn w:val="Numatytasispastraiposriftas"/>
    <w:link w:val="Antrat8"/>
    <w:rsid w:val="00435051"/>
    <w:rPr>
      <w:rFonts w:ascii="Arial" w:eastAsia="Times New Roman" w:hAnsi="Arial" w:cs="Arial Unicode MS"/>
      <w:sz w:val="32"/>
      <w:szCs w:val="20"/>
      <w:lang w:val="en-GB" w:bidi="lo-LA"/>
    </w:rPr>
  </w:style>
  <w:style w:type="character" w:customStyle="1" w:styleId="Antrat9Diagrama">
    <w:name w:val="Antraštė 9 Diagrama"/>
    <w:basedOn w:val="Numatytasispastraiposriftas"/>
    <w:link w:val="Antrat9"/>
    <w:rsid w:val="00435051"/>
    <w:rPr>
      <w:rFonts w:ascii="Verdana" w:eastAsia="Verdana" w:hAnsi="Verdana" w:cs="Arial Unicode MS"/>
      <w:b/>
      <w:bCs/>
      <w:kern w:val="32"/>
      <w:sz w:val="18"/>
      <w:szCs w:val="18"/>
      <w:lang w:val="en-GB" w:eastAsia="en-GB" w:bidi="lo-LA"/>
    </w:rPr>
  </w:style>
  <w:style w:type="numbering" w:customStyle="1" w:styleId="Sraonra1">
    <w:name w:val="Sąrašo nėra1"/>
    <w:next w:val="Sraonra"/>
    <w:uiPriority w:val="99"/>
    <w:semiHidden/>
    <w:unhideWhenUsed/>
    <w:rsid w:val="00435051"/>
  </w:style>
  <w:style w:type="paragraph" w:customStyle="1" w:styleId="No-numheading9Agency">
    <w:name w:val="No-num heading 9 (Agency)"/>
    <w:basedOn w:val="No-numheading8Agency"/>
    <w:next w:val="BodytextAgency"/>
    <w:semiHidden/>
    <w:rsid w:val="00435051"/>
    <w:pPr>
      <w:outlineLvl w:val="8"/>
    </w:pPr>
  </w:style>
  <w:style w:type="paragraph" w:customStyle="1" w:styleId="No-numheading8Agency">
    <w:name w:val="No-num heading 8 (Agency)"/>
    <w:basedOn w:val="No-numheading7Agency"/>
    <w:next w:val="BodytextAgency"/>
    <w:semiHidden/>
    <w:rsid w:val="00435051"/>
    <w:pPr>
      <w:outlineLvl w:val="7"/>
    </w:pPr>
  </w:style>
  <w:style w:type="paragraph" w:customStyle="1" w:styleId="No-numheading7Agency">
    <w:name w:val="No-num heading 7 (Agency)"/>
    <w:basedOn w:val="No-numheading6Agency"/>
    <w:next w:val="BodytextAgency"/>
    <w:semiHidden/>
    <w:rsid w:val="00435051"/>
    <w:pPr>
      <w:outlineLvl w:val="6"/>
    </w:pPr>
  </w:style>
  <w:style w:type="paragraph" w:customStyle="1" w:styleId="No-numheading6Agency">
    <w:name w:val="No-num heading 6 (Agency)"/>
    <w:basedOn w:val="No-numheading5Agency"/>
    <w:next w:val="BodytextAgency"/>
    <w:semiHidden/>
    <w:rsid w:val="00435051"/>
    <w:pPr>
      <w:outlineLvl w:val="5"/>
    </w:pPr>
  </w:style>
  <w:style w:type="paragraph" w:customStyle="1" w:styleId="No-numheading5Agency">
    <w:name w:val="No-num heading 5 (Agency)"/>
    <w:basedOn w:val="Heading5Agency"/>
    <w:next w:val="BodytextAgency"/>
    <w:semiHidden/>
    <w:rsid w:val="00435051"/>
    <w:pPr>
      <w:numPr>
        <w:ilvl w:val="0"/>
      </w:numPr>
    </w:pPr>
  </w:style>
  <w:style w:type="paragraph" w:customStyle="1" w:styleId="Heading5Agency">
    <w:name w:val="Heading 5 (Agency)"/>
    <w:basedOn w:val="Heading4Agency"/>
    <w:next w:val="BodytextAgency"/>
    <w:semiHidden/>
    <w:rsid w:val="00435051"/>
    <w:pPr>
      <w:numPr>
        <w:ilvl w:val="4"/>
      </w:numPr>
      <w:outlineLvl w:val="4"/>
    </w:pPr>
    <w:rPr>
      <w:i w:val="0"/>
    </w:rPr>
  </w:style>
  <w:style w:type="paragraph" w:customStyle="1" w:styleId="Heading4Agency">
    <w:name w:val="Heading 4 (Agency)"/>
    <w:basedOn w:val="Heading3Agency"/>
    <w:next w:val="BodytextAgency"/>
    <w:semiHidden/>
    <w:rsid w:val="00435051"/>
    <w:pPr>
      <w:numPr>
        <w:ilvl w:val="3"/>
      </w:numPr>
      <w:outlineLvl w:val="3"/>
    </w:pPr>
    <w:rPr>
      <w:i/>
      <w:sz w:val="18"/>
      <w:szCs w:val="18"/>
    </w:rPr>
  </w:style>
  <w:style w:type="paragraph" w:customStyle="1" w:styleId="Heading3Agency">
    <w:name w:val="Heading 3 (Agency)"/>
    <w:basedOn w:val="prastasis"/>
    <w:next w:val="BodytextAgency"/>
    <w:rsid w:val="00435051"/>
    <w:pPr>
      <w:keepNext/>
      <w:spacing w:before="280" w:after="220" w:line="240" w:lineRule="auto"/>
      <w:outlineLvl w:val="2"/>
    </w:pPr>
    <w:rPr>
      <w:rFonts w:ascii="Verdana" w:eastAsia="Verdana" w:hAnsi="Verdana" w:cs="Arial"/>
      <w:b/>
      <w:bCs/>
      <w:kern w:val="32"/>
      <w:lang w:val="en-GB" w:eastAsia="en-GB"/>
    </w:rPr>
  </w:style>
  <w:style w:type="paragraph" w:customStyle="1" w:styleId="BodytextAgency">
    <w:name w:val="Body text (Agency)"/>
    <w:basedOn w:val="prastasis"/>
    <w:rsid w:val="00435051"/>
    <w:pPr>
      <w:spacing w:after="140" w:line="280" w:lineRule="atLeast"/>
    </w:pPr>
    <w:rPr>
      <w:rFonts w:ascii="Verdana" w:eastAsia="Verdana" w:hAnsi="Verdana" w:cs="Verdana"/>
      <w:sz w:val="18"/>
      <w:szCs w:val="18"/>
      <w:lang w:val="en-GB" w:eastAsia="en-GB"/>
    </w:rPr>
  </w:style>
  <w:style w:type="paragraph" w:styleId="Pagrindinistekstas">
    <w:name w:val="Body Text"/>
    <w:basedOn w:val="prastasis"/>
    <w:link w:val="PagrindinistekstasDiagrama"/>
    <w:uiPriority w:val="99"/>
    <w:rsid w:val="00435051"/>
    <w:pPr>
      <w:spacing w:after="120" w:line="240" w:lineRule="auto"/>
    </w:pPr>
    <w:rPr>
      <w:rFonts w:ascii="Times New Roman" w:eastAsia="Times New Roman" w:hAnsi="Times New Roman" w:cs="Arial Unicode MS"/>
      <w:sz w:val="20"/>
      <w:szCs w:val="20"/>
      <w:lang w:eastAsia="lt-LT" w:bidi="lo-LA"/>
    </w:rPr>
  </w:style>
  <w:style w:type="character" w:customStyle="1" w:styleId="PagrindinistekstasDiagrama">
    <w:name w:val="Pagrindinis tekstas Diagrama"/>
    <w:basedOn w:val="Numatytasispastraiposriftas"/>
    <w:link w:val="Pagrindinistekstas"/>
    <w:uiPriority w:val="99"/>
    <w:rsid w:val="00435051"/>
    <w:rPr>
      <w:rFonts w:ascii="Times New Roman" w:eastAsia="Times New Roman" w:hAnsi="Times New Roman" w:cs="Arial Unicode MS"/>
      <w:sz w:val="20"/>
      <w:szCs w:val="20"/>
      <w:lang w:eastAsia="lt-LT" w:bidi="lo-LA"/>
    </w:rPr>
  </w:style>
  <w:style w:type="paragraph" w:customStyle="1" w:styleId="BT-EMEASMCA">
    <w:name w:val="BT- EMEA_SMCA"/>
    <w:basedOn w:val="prastasis"/>
    <w:autoRedefine/>
    <w:uiPriority w:val="99"/>
    <w:rsid w:val="00435051"/>
    <w:pPr>
      <w:spacing w:after="0" w:line="240" w:lineRule="auto"/>
      <w:ind w:left="540" w:hanging="540"/>
      <w:contextualSpacing/>
    </w:pPr>
    <w:rPr>
      <w:rFonts w:ascii="Times New Roman" w:hAnsi="Times New Roman"/>
      <w:bCs/>
      <w:lang w:val="pt-BR"/>
    </w:rPr>
  </w:style>
  <w:style w:type="paragraph" w:customStyle="1" w:styleId="PI-1EMEASMCA">
    <w:name w:val="PI-1 EMEA_SMCA"/>
    <w:basedOn w:val="Antrat2"/>
    <w:autoRedefine/>
    <w:uiPriority w:val="99"/>
    <w:rsid w:val="00435051"/>
    <w:pPr>
      <w:tabs>
        <w:tab w:val="left" w:pos="567"/>
      </w:tabs>
      <w:spacing w:after="0"/>
      <w:ind w:left="567" w:hanging="567"/>
    </w:pPr>
    <w:rPr>
      <w:rFonts w:ascii="Times New Roman" w:hAnsi="Times New Roman" w:cs="Times New Roman"/>
      <w:sz w:val="22"/>
      <w:szCs w:val="22"/>
    </w:rPr>
  </w:style>
  <w:style w:type="paragraph" w:customStyle="1" w:styleId="BTEMEASMCA">
    <w:name w:val="BT EMEA_SMCA"/>
    <w:basedOn w:val="prastasis"/>
    <w:autoRedefine/>
    <w:uiPriority w:val="99"/>
    <w:rsid w:val="00435051"/>
    <w:pPr>
      <w:spacing w:after="0" w:line="240" w:lineRule="auto"/>
    </w:pPr>
    <w:rPr>
      <w:rFonts w:ascii="Times New Roman" w:eastAsia="Times New Roman" w:hAnsi="Times New Roman"/>
      <w:sz w:val="20"/>
      <w:szCs w:val="20"/>
      <w:lang w:eastAsia="lt-LT"/>
    </w:rPr>
  </w:style>
  <w:style w:type="character" w:customStyle="1" w:styleId="BTEMEASMCAChar">
    <w:name w:val="BT EMEA_SMCA Char"/>
    <w:uiPriority w:val="99"/>
    <w:locked/>
    <w:rsid w:val="00435051"/>
    <w:rPr>
      <w:rFonts w:eastAsia="Times New Roman"/>
      <w:sz w:val="20"/>
      <w:lang w:val="lt-LT" w:eastAsia="lt-LT"/>
    </w:rPr>
  </w:style>
  <w:style w:type="paragraph" w:styleId="Porat">
    <w:name w:val="footer"/>
    <w:basedOn w:val="prastasis"/>
    <w:link w:val="PoratDiagrama"/>
    <w:uiPriority w:val="99"/>
    <w:rsid w:val="00435051"/>
    <w:pPr>
      <w:tabs>
        <w:tab w:val="center" w:pos="4153"/>
        <w:tab w:val="right" w:pos="8306"/>
      </w:tabs>
      <w:spacing w:after="0" w:line="240" w:lineRule="auto"/>
    </w:pPr>
    <w:rPr>
      <w:rFonts w:ascii="Times New Roman" w:eastAsia="Times New Roman" w:hAnsi="Times New Roman" w:cs="Arial Unicode MS"/>
      <w:sz w:val="20"/>
      <w:szCs w:val="20"/>
      <w:lang w:eastAsia="lt-LT" w:bidi="lo-LA"/>
    </w:rPr>
  </w:style>
  <w:style w:type="character" w:customStyle="1" w:styleId="FooterChar">
    <w:name w:val="Footer Char"/>
    <w:basedOn w:val="Numatytasispastraiposriftas"/>
    <w:uiPriority w:val="99"/>
    <w:rsid w:val="00435051"/>
    <w:rPr>
      <w:rFonts w:ascii="Calibri" w:eastAsia="Calibri" w:hAnsi="Calibri" w:cs="Times New Roman"/>
    </w:rPr>
  </w:style>
  <w:style w:type="character" w:customStyle="1" w:styleId="PoratDiagrama">
    <w:name w:val="Poraštė Diagrama"/>
    <w:link w:val="Porat"/>
    <w:uiPriority w:val="99"/>
    <w:rsid w:val="00435051"/>
    <w:rPr>
      <w:rFonts w:ascii="Times New Roman" w:eastAsia="Times New Roman" w:hAnsi="Times New Roman" w:cs="Arial Unicode MS"/>
      <w:sz w:val="20"/>
      <w:szCs w:val="20"/>
      <w:lang w:eastAsia="lt-LT" w:bidi="lo-LA"/>
    </w:rPr>
  </w:style>
  <w:style w:type="paragraph" w:customStyle="1" w:styleId="BTbEMEASMCA">
    <w:name w:val="BT(b) EMEA_SMCA"/>
    <w:basedOn w:val="prastasis"/>
    <w:autoRedefine/>
    <w:rsid w:val="00435051"/>
    <w:pPr>
      <w:spacing w:after="0" w:line="240" w:lineRule="auto"/>
    </w:pPr>
    <w:rPr>
      <w:rFonts w:ascii="Times New Roman" w:hAnsi="Times New Roman"/>
      <w:b/>
      <w:noProof/>
    </w:rPr>
  </w:style>
  <w:style w:type="paragraph" w:customStyle="1" w:styleId="TTEMEASMCA">
    <w:name w:val="TT EMEA_SMCA"/>
    <w:basedOn w:val="Antrat1"/>
    <w:autoRedefine/>
    <w:uiPriority w:val="99"/>
    <w:rsid w:val="00435051"/>
    <w:pPr>
      <w:tabs>
        <w:tab w:val="left" w:pos="567"/>
      </w:tabs>
      <w:spacing w:after="0"/>
      <w:ind w:left="567" w:hanging="567"/>
      <w:jc w:val="center"/>
    </w:pPr>
    <w:rPr>
      <w:rFonts w:eastAsia="Times New Roman"/>
      <w:caps/>
      <w:sz w:val="22"/>
      <w:lang w:eastAsia="lt-LT"/>
    </w:rPr>
  </w:style>
  <w:style w:type="paragraph" w:customStyle="1" w:styleId="BTAnIIEMEASMCA">
    <w:name w:val="BT(AnII) EMEA_SMCA"/>
    <w:basedOn w:val="prastasis"/>
    <w:autoRedefine/>
    <w:uiPriority w:val="99"/>
    <w:rsid w:val="00435051"/>
    <w:pPr>
      <w:tabs>
        <w:tab w:val="left" w:pos="1701"/>
      </w:tabs>
      <w:spacing w:after="0" w:line="240" w:lineRule="auto"/>
      <w:ind w:left="1701" w:hanging="567"/>
    </w:pPr>
    <w:rPr>
      <w:rFonts w:ascii="Times New Roman" w:hAnsi="Times New Roman" w:cs="Tahoma"/>
      <w:b/>
      <w:lang w:val="en-GB"/>
    </w:rPr>
  </w:style>
  <w:style w:type="paragraph" w:customStyle="1" w:styleId="BTuEMEASMCA">
    <w:name w:val="BT(u) EMEA_SMCA"/>
    <w:basedOn w:val="BTEMEASMCA"/>
    <w:autoRedefine/>
    <w:uiPriority w:val="99"/>
    <w:rsid w:val="00435051"/>
    <w:rPr>
      <w:sz w:val="22"/>
      <w:u w:val="single"/>
    </w:rPr>
  </w:style>
  <w:style w:type="paragraph" w:customStyle="1" w:styleId="PI-2EMEASMCA">
    <w:name w:val="PI-2 EMEA_SMCA"/>
    <w:basedOn w:val="Antrat3"/>
    <w:autoRedefine/>
    <w:rsid w:val="00435051"/>
    <w:pPr>
      <w:keepLines/>
      <w:tabs>
        <w:tab w:val="left" w:pos="567"/>
      </w:tabs>
      <w:spacing w:after="0"/>
      <w:ind w:left="567" w:hanging="567"/>
    </w:pPr>
    <w:rPr>
      <w:rFonts w:ascii="Times New Roman" w:eastAsia="Calibri" w:hAnsi="Times New Roman" w:cs="Times New Roman"/>
      <w:bCs w:val="0"/>
      <w:kern w:val="28"/>
      <w:lang w:eastAsia="lt-LT"/>
    </w:rPr>
  </w:style>
  <w:style w:type="character" w:styleId="Hipersaitas">
    <w:name w:val="Hyperlink"/>
    <w:semiHidden/>
    <w:rsid w:val="00435051"/>
    <w:rPr>
      <w:rFonts w:cs="Times New Roman"/>
      <w:color w:val="0000FF"/>
      <w:u w:val="single"/>
    </w:rPr>
  </w:style>
  <w:style w:type="paragraph" w:styleId="Debesliotekstas">
    <w:name w:val="Balloon Text"/>
    <w:basedOn w:val="prastasis"/>
    <w:link w:val="DebesliotekstasDiagrama"/>
    <w:rsid w:val="00435051"/>
    <w:pPr>
      <w:spacing w:after="0" w:line="240" w:lineRule="auto"/>
    </w:pPr>
    <w:rPr>
      <w:rFonts w:ascii="Tahoma" w:hAnsi="Tahoma" w:cs="Arial Unicode MS"/>
      <w:sz w:val="16"/>
      <w:szCs w:val="16"/>
      <w:lang w:val="en-GB" w:eastAsia="lt-LT" w:bidi="lo-LA"/>
    </w:rPr>
  </w:style>
  <w:style w:type="character" w:customStyle="1" w:styleId="DebesliotekstasDiagrama">
    <w:name w:val="Debesėlio tekstas Diagrama"/>
    <w:basedOn w:val="Numatytasispastraiposriftas"/>
    <w:link w:val="Debesliotekstas"/>
    <w:rsid w:val="00435051"/>
    <w:rPr>
      <w:rFonts w:ascii="Tahoma" w:eastAsia="Calibri" w:hAnsi="Tahoma" w:cs="Arial Unicode MS"/>
      <w:sz w:val="16"/>
      <w:szCs w:val="16"/>
      <w:lang w:val="en-GB" w:eastAsia="lt-LT" w:bidi="lo-LA"/>
    </w:rPr>
  </w:style>
  <w:style w:type="paragraph" w:customStyle="1" w:styleId="Sarkain3">
    <w:name w:val="Sarkain3"/>
    <w:basedOn w:val="prastasis"/>
    <w:rsid w:val="00435051"/>
    <w:pPr>
      <w:spacing w:before="240" w:after="360" w:line="240" w:lineRule="auto"/>
      <w:ind w:left="851"/>
    </w:pPr>
    <w:rPr>
      <w:rFonts w:ascii="Times New Roman" w:hAnsi="Times New Roman"/>
      <w:sz w:val="24"/>
      <w:szCs w:val="20"/>
      <w:lang w:val="fi-FI" w:eastAsia="lt-LT"/>
    </w:rPr>
  </w:style>
  <w:style w:type="paragraph" w:styleId="Komentarotekstas">
    <w:name w:val="annotation text"/>
    <w:basedOn w:val="prastasis"/>
    <w:link w:val="KomentarotekstasDiagrama"/>
    <w:semiHidden/>
    <w:rsid w:val="00435051"/>
    <w:pPr>
      <w:spacing w:after="0" w:line="240" w:lineRule="auto"/>
    </w:pPr>
    <w:rPr>
      <w:rFonts w:ascii="Times New Roman" w:eastAsia="Times New Roman" w:hAnsi="Times New Roman" w:cs="Arial Unicode MS"/>
      <w:sz w:val="20"/>
      <w:szCs w:val="20"/>
      <w:lang w:val="en-GB" w:eastAsia="lt-LT" w:bidi="lo-LA"/>
    </w:rPr>
  </w:style>
  <w:style w:type="character" w:customStyle="1" w:styleId="KomentarotekstasDiagrama">
    <w:name w:val="Komentaro tekstas Diagrama"/>
    <w:basedOn w:val="Numatytasispastraiposriftas"/>
    <w:link w:val="Komentarotekstas"/>
    <w:semiHidden/>
    <w:rsid w:val="00435051"/>
    <w:rPr>
      <w:rFonts w:ascii="Times New Roman" w:eastAsia="Times New Roman" w:hAnsi="Times New Roman" w:cs="Arial Unicode MS"/>
      <w:sz w:val="20"/>
      <w:szCs w:val="20"/>
      <w:lang w:val="en-GB" w:eastAsia="lt-LT" w:bidi="lo-LA"/>
    </w:rPr>
  </w:style>
  <w:style w:type="paragraph" w:styleId="Komentarotema">
    <w:name w:val="annotation subject"/>
    <w:basedOn w:val="Komentarotekstas"/>
    <w:next w:val="Komentarotekstas"/>
    <w:link w:val="KomentarotemaDiagrama"/>
    <w:semiHidden/>
    <w:rsid w:val="00435051"/>
    <w:rPr>
      <w:b/>
      <w:bCs/>
    </w:rPr>
  </w:style>
  <w:style w:type="character" w:customStyle="1" w:styleId="KomentarotemaDiagrama">
    <w:name w:val="Komentaro tema Diagrama"/>
    <w:basedOn w:val="KomentarotekstasDiagrama"/>
    <w:link w:val="Komentarotema"/>
    <w:semiHidden/>
    <w:rsid w:val="00435051"/>
    <w:rPr>
      <w:rFonts w:ascii="Times New Roman" w:eastAsia="Times New Roman" w:hAnsi="Times New Roman" w:cs="Arial Unicode MS"/>
      <w:b/>
      <w:bCs/>
      <w:sz w:val="20"/>
      <w:szCs w:val="20"/>
      <w:lang w:val="en-GB" w:eastAsia="lt-LT" w:bidi="lo-LA"/>
    </w:rPr>
  </w:style>
  <w:style w:type="paragraph" w:customStyle="1" w:styleId="A-TableText">
    <w:name w:val="A-Table Text"/>
    <w:rsid w:val="00435051"/>
    <w:pPr>
      <w:spacing w:before="60" w:after="60" w:line="240" w:lineRule="auto"/>
    </w:pPr>
    <w:rPr>
      <w:rFonts w:ascii="Times New Roman" w:eastAsia="Calibri" w:hAnsi="Times New Roman" w:cs="Times New Roman"/>
      <w:szCs w:val="20"/>
      <w:lang w:val="en-GB"/>
    </w:rPr>
  </w:style>
  <w:style w:type="paragraph" w:customStyle="1" w:styleId="A-TableHeader">
    <w:name w:val="A-Table Header"/>
    <w:next w:val="A-TableText"/>
    <w:rsid w:val="00435051"/>
    <w:pPr>
      <w:keepNext/>
      <w:spacing w:before="60" w:after="60" w:line="240" w:lineRule="auto"/>
    </w:pPr>
    <w:rPr>
      <w:rFonts w:ascii="Times New Roman" w:eastAsia="Calibri" w:hAnsi="Times New Roman" w:cs="Times New Roman"/>
      <w:b/>
      <w:szCs w:val="20"/>
      <w:lang w:val="en-GB"/>
    </w:rPr>
  </w:style>
  <w:style w:type="paragraph" w:customStyle="1" w:styleId="PI-3EMEASMCA">
    <w:name w:val="PI-3 EMEA_SMCA"/>
    <w:basedOn w:val="prastasis"/>
    <w:autoRedefine/>
    <w:rsid w:val="00435051"/>
    <w:pPr>
      <w:spacing w:after="0" w:line="240" w:lineRule="auto"/>
      <w:contextualSpacing/>
    </w:pPr>
    <w:rPr>
      <w:rFonts w:ascii="Times New Roman" w:hAnsi="Times New Roman"/>
      <w:b/>
      <w:bCs/>
    </w:rPr>
  </w:style>
  <w:style w:type="character" w:styleId="Komentaronuoroda">
    <w:name w:val="annotation reference"/>
    <w:semiHidden/>
    <w:rsid w:val="00435051"/>
    <w:rPr>
      <w:rFonts w:cs="Times New Roman"/>
      <w:sz w:val="16"/>
    </w:rPr>
  </w:style>
  <w:style w:type="paragraph" w:customStyle="1" w:styleId="A-NormalIndent">
    <w:name w:val="A-Normal Indent"/>
    <w:next w:val="prastasis"/>
    <w:rsid w:val="00435051"/>
    <w:pPr>
      <w:spacing w:after="240" w:line="280" w:lineRule="atLeast"/>
      <w:ind w:left="992"/>
    </w:pPr>
    <w:rPr>
      <w:rFonts w:ascii="Times New Roman" w:eastAsia="Calibri" w:hAnsi="Times New Roman" w:cs="Times New Roman"/>
      <w:sz w:val="24"/>
      <w:szCs w:val="24"/>
      <w:lang w:val="en-GB"/>
    </w:rPr>
  </w:style>
  <w:style w:type="paragraph" w:styleId="Pagrindiniotekstotrauka3">
    <w:name w:val="Body Text Indent 3"/>
    <w:basedOn w:val="prastasis"/>
    <w:link w:val="Pagrindiniotekstotrauka3Diagrama"/>
    <w:semiHidden/>
    <w:rsid w:val="00435051"/>
    <w:pPr>
      <w:spacing w:after="120" w:line="240" w:lineRule="auto"/>
      <w:ind w:left="283"/>
    </w:pPr>
    <w:rPr>
      <w:rFonts w:ascii="Times New Roman" w:eastAsia="Times New Roman" w:hAnsi="Times New Roman" w:cs="Arial Unicode MS"/>
      <w:sz w:val="16"/>
      <w:szCs w:val="16"/>
      <w:lang w:val="en-GB" w:eastAsia="lt-LT" w:bidi="lo-LA"/>
    </w:rPr>
  </w:style>
  <w:style w:type="character" w:customStyle="1" w:styleId="Pagrindiniotekstotrauka3Diagrama">
    <w:name w:val="Pagrindinio teksto įtrauka 3 Diagrama"/>
    <w:basedOn w:val="Numatytasispastraiposriftas"/>
    <w:link w:val="Pagrindiniotekstotrauka3"/>
    <w:semiHidden/>
    <w:rsid w:val="00435051"/>
    <w:rPr>
      <w:rFonts w:ascii="Times New Roman" w:eastAsia="Times New Roman" w:hAnsi="Times New Roman" w:cs="Arial Unicode MS"/>
      <w:sz w:val="16"/>
      <w:szCs w:val="16"/>
      <w:lang w:val="en-GB" w:eastAsia="lt-LT" w:bidi="lo-LA"/>
    </w:rPr>
  </w:style>
  <w:style w:type="character" w:customStyle="1" w:styleId="apple-style-span">
    <w:name w:val="apple-style-span"/>
    <w:rsid w:val="00435051"/>
  </w:style>
  <w:style w:type="paragraph" w:styleId="Pavadinimas">
    <w:name w:val="Title"/>
    <w:basedOn w:val="prastasis"/>
    <w:link w:val="PavadinimasDiagrama"/>
    <w:qFormat/>
    <w:rsid w:val="00435051"/>
    <w:pPr>
      <w:spacing w:after="0" w:line="240" w:lineRule="auto"/>
      <w:jc w:val="center"/>
    </w:pPr>
    <w:rPr>
      <w:rFonts w:ascii="Times New Roman" w:eastAsia="SimSun" w:hAnsi="Times New Roman" w:cs="Arial Unicode MS"/>
      <w:b/>
      <w:sz w:val="20"/>
      <w:szCs w:val="20"/>
      <w:lang w:val="en-GB" w:bidi="lo-LA"/>
    </w:rPr>
  </w:style>
  <w:style w:type="character" w:customStyle="1" w:styleId="PavadinimasDiagrama">
    <w:name w:val="Pavadinimas Diagrama"/>
    <w:basedOn w:val="Numatytasispastraiposriftas"/>
    <w:link w:val="Pavadinimas"/>
    <w:rsid w:val="00435051"/>
    <w:rPr>
      <w:rFonts w:ascii="Times New Roman" w:eastAsia="SimSun" w:hAnsi="Times New Roman" w:cs="Arial Unicode MS"/>
      <w:b/>
      <w:sz w:val="20"/>
      <w:szCs w:val="20"/>
      <w:lang w:val="en-GB" w:bidi="lo-LA"/>
    </w:rPr>
  </w:style>
  <w:style w:type="paragraph" w:customStyle="1" w:styleId="A-ListBullet">
    <w:name w:val="A-List Bullet"/>
    <w:rsid w:val="00435051"/>
    <w:pPr>
      <w:tabs>
        <w:tab w:val="num" w:pos="994"/>
      </w:tabs>
      <w:spacing w:after="240" w:line="280" w:lineRule="atLeast"/>
      <w:ind w:left="994" w:hanging="994"/>
    </w:pPr>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uiPriority w:val="99"/>
    <w:rsid w:val="00435051"/>
    <w:pPr>
      <w:spacing w:after="0" w:line="240" w:lineRule="auto"/>
    </w:pPr>
    <w:rPr>
      <w:rFonts w:ascii="Consolas" w:hAnsi="Consolas" w:cs="Arial Unicode MS"/>
      <w:sz w:val="21"/>
      <w:szCs w:val="21"/>
      <w:lang w:bidi="lo-LA"/>
    </w:rPr>
  </w:style>
  <w:style w:type="character" w:customStyle="1" w:styleId="PaprastasistekstasDiagrama">
    <w:name w:val="Paprastasis tekstas Diagrama"/>
    <w:basedOn w:val="Numatytasispastraiposriftas"/>
    <w:link w:val="Paprastasistekstas"/>
    <w:uiPriority w:val="99"/>
    <w:rsid w:val="00435051"/>
    <w:rPr>
      <w:rFonts w:ascii="Consolas" w:eastAsia="Calibri" w:hAnsi="Consolas" w:cs="Arial Unicode MS"/>
      <w:sz w:val="21"/>
      <w:szCs w:val="21"/>
      <w:lang w:bidi="lo-LA"/>
    </w:rPr>
  </w:style>
  <w:style w:type="character" w:customStyle="1" w:styleId="CharChar5">
    <w:name w:val="Char Char5"/>
    <w:semiHidden/>
    <w:rsid w:val="00435051"/>
    <w:rPr>
      <w:rFonts w:eastAsia="Times New Roman" w:cs="Times New Roman"/>
      <w:sz w:val="20"/>
      <w:szCs w:val="20"/>
      <w:lang w:val="en-GB"/>
    </w:rPr>
  </w:style>
  <w:style w:type="paragraph" w:customStyle="1" w:styleId="EMEAEnBodyText">
    <w:name w:val="EMEA En Body Text"/>
    <w:basedOn w:val="prastasis"/>
    <w:rsid w:val="00435051"/>
    <w:pPr>
      <w:spacing w:before="120" w:after="120" w:line="240" w:lineRule="auto"/>
      <w:jc w:val="both"/>
    </w:pPr>
    <w:rPr>
      <w:rFonts w:ascii="Times New Roman" w:eastAsia="Times New Roman" w:hAnsi="Times New Roman"/>
      <w:szCs w:val="20"/>
      <w:lang w:val="en-US"/>
    </w:rPr>
  </w:style>
  <w:style w:type="paragraph" w:customStyle="1" w:styleId="ListParagraph1">
    <w:name w:val="List Paragraph1"/>
    <w:basedOn w:val="prastasis"/>
    <w:qFormat/>
    <w:rsid w:val="00435051"/>
    <w:pPr>
      <w:spacing w:after="0" w:line="240" w:lineRule="auto"/>
      <w:ind w:left="1304"/>
    </w:pPr>
    <w:rPr>
      <w:rFonts w:ascii="Times New Roman" w:eastAsia="Times New Roman" w:hAnsi="Times New Roman"/>
      <w:sz w:val="24"/>
      <w:szCs w:val="24"/>
      <w:lang w:val="en-GB"/>
    </w:rPr>
  </w:style>
  <w:style w:type="paragraph" w:customStyle="1" w:styleId="PI-1labEMEASMCA">
    <w:name w:val="PI-1_lab EMEA_SMCA"/>
    <w:basedOn w:val="prastasis"/>
    <w:autoRedefine/>
    <w:rsid w:val="0043505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ascii="Times New Roman" w:eastAsia="Times New Roman" w:hAnsi="Times New Roman"/>
      <w:b/>
      <w:bCs/>
    </w:rPr>
  </w:style>
  <w:style w:type="paragraph" w:customStyle="1" w:styleId="Revision1">
    <w:name w:val="Revision1"/>
    <w:hidden/>
    <w:semiHidden/>
    <w:rsid w:val="00435051"/>
    <w:pPr>
      <w:spacing w:after="0" w:line="240" w:lineRule="auto"/>
    </w:pPr>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semiHidden/>
    <w:unhideWhenUsed/>
    <w:rsid w:val="00435051"/>
    <w:pPr>
      <w:spacing w:after="0" w:line="240" w:lineRule="auto"/>
    </w:pPr>
    <w:rPr>
      <w:rFonts w:ascii="Tahoma" w:hAnsi="Tahoma" w:cs="Arial Unicode MS"/>
      <w:sz w:val="16"/>
      <w:szCs w:val="16"/>
      <w:lang w:val="en-GB" w:bidi="lo-LA"/>
    </w:rPr>
  </w:style>
  <w:style w:type="character" w:customStyle="1" w:styleId="DokumentostruktraDiagrama">
    <w:name w:val="Dokumento struktūra Diagrama"/>
    <w:basedOn w:val="Numatytasispastraiposriftas"/>
    <w:link w:val="Dokumentostruktra"/>
    <w:semiHidden/>
    <w:rsid w:val="00435051"/>
    <w:rPr>
      <w:rFonts w:ascii="Tahoma" w:eastAsia="Calibri" w:hAnsi="Tahoma" w:cs="Arial Unicode MS"/>
      <w:sz w:val="16"/>
      <w:szCs w:val="16"/>
      <w:lang w:val="en-GB" w:bidi="lo-LA"/>
    </w:rPr>
  </w:style>
  <w:style w:type="character" w:styleId="Puslapionumeris">
    <w:name w:val="page number"/>
    <w:semiHidden/>
    <w:unhideWhenUsed/>
    <w:rsid w:val="00435051"/>
  </w:style>
  <w:style w:type="paragraph" w:styleId="Antrats">
    <w:name w:val="header"/>
    <w:basedOn w:val="prastasis"/>
    <w:link w:val="AntratsDiagrama"/>
    <w:unhideWhenUsed/>
    <w:rsid w:val="00435051"/>
    <w:pPr>
      <w:tabs>
        <w:tab w:val="center" w:pos="4819"/>
        <w:tab w:val="right" w:pos="9638"/>
      </w:tabs>
      <w:spacing w:after="0" w:line="240" w:lineRule="auto"/>
    </w:pPr>
    <w:rPr>
      <w:rFonts w:ascii="Times New Roman" w:hAnsi="Times New Roman" w:cs="Arial Unicode MS"/>
      <w:sz w:val="24"/>
      <w:szCs w:val="24"/>
      <w:lang w:val="en-GB" w:bidi="lo-LA"/>
    </w:rPr>
  </w:style>
  <w:style w:type="character" w:customStyle="1" w:styleId="AntratsDiagrama">
    <w:name w:val="Antraštės Diagrama"/>
    <w:basedOn w:val="Numatytasispastraiposriftas"/>
    <w:link w:val="Antrats"/>
    <w:rsid w:val="00435051"/>
    <w:rPr>
      <w:rFonts w:ascii="Times New Roman" w:eastAsia="Calibri" w:hAnsi="Times New Roman" w:cs="Arial Unicode MS"/>
      <w:sz w:val="24"/>
      <w:szCs w:val="24"/>
      <w:lang w:val="en-GB" w:bidi="lo-LA"/>
    </w:rPr>
  </w:style>
  <w:style w:type="character" w:customStyle="1" w:styleId="EndnoteTextChar">
    <w:name w:val="Endnote Text Char"/>
    <w:semiHidden/>
    <w:rsid w:val="00435051"/>
    <w:rPr>
      <w:rFonts w:eastAsia="Times New Roman"/>
      <w:sz w:val="18"/>
      <w:lang w:val="en-GB" w:eastAsia="en-US"/>
    </w:rPr>
  </w:style>
  <w:style w:type="paragraph" w:styleId="Dokumentoinaostekstas">
    <w:name w:val="endnote text"/>
    <w:basedOn w:val="prastasis"/>
    <w:link w:val="DokumentoinaostekstasDiagrama"/>
    <w:semiHidden/>
    <w:rsid w:val="00435051"/>
    <w:pPr>
      <w:spacing w:after="0" w:line="240" w:lineRule="auto"/>
    </w:pPr>
    <w:rPr>
      <w:rFonts w:ascii="Times New Roman" w:eastAsia="Times New Roman" w:hAnsi="Times New Roman" w:cs="Arial Unicode MS"/>
      <w:sz w:val="18"/>
      <w:szCs w:val="20"/>
      <w:lang w:val="en-GB" w:bidi="lo-LA"/>
    </w:rPr>
  </w:style>
  <w:style w:type="character" w:customStyle="1" w:styleId="DokumentoinaostekstasDiagrama">
    <w:name w:val="Dokumento išnašos tekstas Diagrama"/>
    <w:basedOn w:val="Numatytasispastraiposriftas"/>
    <w:link w:val="Dokumentoinaostekstas"/>
    <w:semiHidden/>
    <w:rsid w:val="00435051"/>
    <w:rPr>
      <w:rFonts w:ascii="Times New Roman" w:eastAsia="Times New Roman" w:hAnsi="Times New Roman" w:cs="Arial Unicode MS"/>
      <w:sz w:val="18"/>
      <w:szCs w:val="20"/>
      <w:lang w:val="en-GB" w:bidi="lo-LA"/>
    </w:rPr>
  </w:style>
  <w:style w:type="paragraph" w:customStyle="1" w:styleId="Pages">
    <w:name w:val="Pages"/>
    <w:basedOn w:val="Pagrindinistekstas"/>
    <w:rsid w:val="00435051"/>
    <w:pPr>
      <w:spacing w:after="0"/>
    </w:pPr>
    <w:rPr>
      <w:rFonts w:ascii="Arial" w:hAnsi="Arial"/>
      <w:b/>
      <w:lang w:val="en-US" w:eastAsia="en-US"/>
    </w:rPr>
  </w:style>
  <w:style w:type="paragraph" w:customStyle="1" w:styleId="MessageHeaderFirst">
    <w:name w:val="Message Header First"/>
    <w:basedOn w:val="Laikoantrat1"/>
    <w:next w:val="Laikoantrat1"/>
    <w:rsid w:val="00435051"/>
    <w:pPr>
      <w:spacing w:before="120"/>
    </w:pPr>
  </w:style>
  <w:style w:type="paragraph" w:customStyle="1" w:styleId="Laikoantrat1">
    <w:name w:val="Laiško antraštė1"/>
    <w:basedOn w:val="Pagrindinistekstas"/>
    <w:link w:val="LaikoantratDiagrama"/>
    <w:semiHidden/>
    <w:rsid w:val="00435051"/>
    <w:pPr>
      <w:keepLines/>
      <w:tabs>
        <w:tab w:val="left" w:pos="3600"/>
        <w:tab w:val="left" w:pos="4680"/>
      </w:tabs>
      <w:spacing w:after="240"/>
      <w:ind w:left="1080" w:hanging="1080"/>
    </w:pPr>
    <w:rPr>
      <w:rFonts w:ascii="Arial" w:hAnsi="Arial"/>
      <w:lang w:val="en-US"/>
    </w:rPr>
  </w:style>
  <w:style w:type="character" w:customStyle="1" w:styleId="LaikoantratDiagrama">
    <w:name w:val="Laiško antraštė Diagrama"/>
    <w:link w:val="Laikoantrat1"/>
    <w:semiHidden/>
    <w:rsid w:val="00435051"/>
    <w:rPr>
      <w:rFonts w:ascii="Arial" w:eastAsia="Times New Roman" w:hAnsi="Arial" w:cs="Arial Unicode MS"/>
      <w:sz w:val="20"/>
      <w:szCs w:val="20"/>
      <w:lang w:val="en-US" w:bidi="lo-LA"/>
    </w:rPr>
  </w:style>
  <w:style w:type="character" w:customStyle="1" w:styleId="MessageHeaderLabel">
    <w:name w:val="Message Header Label"/>
    <w:rsid w:val="00435051"/>
    <w:rPr>
      <w:rFonts w:ascii="Arial" w:hAnsi="Arial"/>
      <w:b/>
      <w:caps/>
      <w:sz w:val="18"/>
    </w:rPr>
  </w:style>
  <w:style w:type="paragraph" w:customStyle="1" w:styleId="MessageHeaderLast">
    <w:name w:val="Message Header Last"/>
    <w:basedOn w:val="Laikoantrat1"/>
    <w:next w:val="Pagrindinistekstas"/>
    <w:rsid w:val="00435051"/>
    <w:pPr>
      <w:spacing w:after="360"/>
    </w:pPr>
  </w:style>
  <w:style w:type="paragraph" w:styleId="Pagrindinistekstas2">
    <w:name w:val="Body Text 2"/>
    <w:basedOn w:val="prastasis"/>
    <w:link w:val="Pagrindinistekstas2Diagrama"/>
    <w:semiHidden/>
    <w:rsid w:val="00435051"/>
    <w:pPr>
      <w:spacing w:after="0" w:line="260" w:lineRule="exact"/>
      <w:ind w:left="3828" w:hanging="3828"/>
    </w:pPr>
    <w:rPr>
      <w:rFonts w:ascii="Times New Roman" w:eastAsia="Times New Roman" w:hAnsi="Times New Roman" w:cs="Arial Unicode MS"/>
      <w:sz w:val="20"/>
      <w:szCs w:val="20"/>
      <w:lang w:val="en-GB" w:bidi="lo-LA"/>
    </w:rPr>
  </w:style>
  <w:style w:type="character" w:customStyle="1" w:styleId="Pagrindinistekstas2Diagrama">
    <w:name w:val="Pagrindinis tekstas 2 Diagrama"/>
    <w:basedOn w:val="Numatytasispastraiposriftas"/>
    <w:link w:val="Pagrindinistekstas2"/>
    <w:semiHidden/>
    <w:rsid w:val="00435051"/>
    <w:rPr>
      <w:rFonts w:ascii="Times New Roman" w:eastAsia="Times New Roman" w:hAnsi="Times New Roman" w:cs="Arial Unicode MS"/>
      <w:sz w:val="20"/>
      <w:szCs w:val="20"/>
      <w:lang w:val="en-GB" w:bidi="lo-LA"/>
    </w:rPr>
  </w:style>
  <w:style w:type="paragraph" w:styleId="Pagrindinistekstas3">
    <w:name w:val="Body Text 3"/>
    <w:basedOn w:val="prastasis"/>
    <w:link w:val="Pagrindinistekstas3Diagrama"/>
    <w:semiHidden/>
    <w:rsid w:val="00435051"/>
    <w:pPr>
      <w:spacing w:after="0" w:line="260" w:lineRule="exact"/>
      <w:jc w:val="center"/>
    </w:pPr>
    <w:rPr>
      <w:rFonts w:ascii="Times New Roman" w:eastAsia="Times New Roman" w:hAnsi="Times New Roman" w:cs="Arial Unicode MS"/>
      <w:b/>
      <w:sz w:val="20"/>
      <w:szCs w:val="20"/>
      <w:lang w:val="en-GB" w:bidi="lo-LA"/>
    </w:rPr>
  </w:style>
  <w:style w:type="character" w:customStyle="1" w:styleId="Pagrindinistekstas3Diagrama">
    <w:name w:val="Pagrindinis tekstas 3 Diagrama"/>
    <w:basedOn w:val="Numatytasispastraiposriftas"/>
    <w:link w:val="Pagrindinistekstas3"/>
    <w:semiHidden/>
    <w:rsid w:val="00435051"/>
    <w:rPr>
      <w:rFonts w:ascii="Times New Roman" w:eastAsia="Times New Roman" w:hAnsi="Times New Roman" w:cs="Arial Unicode MS"/>
      <w:b/>
      <w:sz w:val="20"/>
      <w:szCs w:val="20"/>
      <w:lang w:val="en-GB" w:bidi="lo-LA"/>
    </w:rPr>
  </w:style>
  <w:style w:type="paragraph" w:customStyle="1" w:styleId="copy">
    <w:name w:val="*copy"/>
    <w:rsid w:val="00435051"/>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435051"/>
    <w:pPr>
      <w:spacing w:after="0" w:line="240" w:lineRule="auto"/>
      <w:jc w:val="both"/>
    </w:pPr>
    <w:rPr>
      <w:rFonts w:ascii="Times New Roman" w:eastAsia="Times New Roman" w:hAnsi="Times New Roman"/>
      <w:szCs w:val="20"/>
      <w:lang w:val="fr-FR"/>
    </w:rPr>
  </w:style>
  <w:style w:type="character" w:customStyle="1" w:styleId="FootnoteTextChar">
    <w:name w:val="Footnote Text Char"/>
    <w:semiHidden/>
    <w:rsid w:val="00435051"/>
    <w:rPr>
      <w:rFonts w:eastAsia="Times New Roman"/>
      <w:lang w:val="en-GB" w:eastAsia="en-US"/>
    </w:rPr>
  </w:style>
  <w:style w:type="paragraph" w:styleId="Puslapioinaostekstas">
    <w:name w:val="footnote text"/>
    <w:basedOn w:val="prastasis"/>
    <w:link w:val="PuslapioinaostekstasDiagrama"/>
    <w:semiHidden/>
    <w:rsid w:val="00435051"/>
    <w:pPr>
      <w:spacing w:after="0" w:line="260" w:lineRule="exact"/>
    </w:pPr>
    <w:rPr>
      <w:rFonts w:ascii="Times New Roman" w:eastAsia="Times New Roman" w:hAnsi="Times New Roman" w:cs="Arial Unicode MS"/>
      <w:sz w:val="20"/>
      <w:szCs w:val="20"/>
      <w:lang w:val="en-GB" w:bidi="lo-LA"/>
    </w:rPr>
  </w:style>
  <w:style w:type="character" w:customStyle="1" w:styleId="PuslapioinaostekstasDiagrama">
    <w:name w:val="Puslapio išnašos tekstas Diagrama"/>
    <w:basedOn w:val="Numatytasispastraiposriftas"/>
    <w:link w:val="Puslapioinaostekstas"/>
    <w:semiHidden/>
    <w:rsid w:val="00435051"/>
    <w:rPr>
      <w:rFonts w:ascii="Times New Roman" w:eastAsia="Times New Roman" w:hAnsi="Times New Roman" w:cs="Arial Unicode MS"/>
      <w:sz w:val="20"/>
      <w:szCs w:val="20"/>
      <w:lang w:val="en-GB" w:bidi="lo-LA"/>
    </w:rPr>
  </w:style>
  <w:style w:type="character" w:styleId="Puslapioinaosnuoroda">
    <w:name w:val="footnote reference"/>
    <w:semiHidden/>
    <w:rsid w:val="00435051"/>
    <w:rPr>
      <w:vertAlign w:val="superscript"/>
    </w:rPr>
  </w:style>
  <w:style w:type="paragraph" w:customStyle="1" w:styleId="Instruction">
    <w:name w:val="Instruction"/>
    <w:basedOn w:val="prastasis"/>
    <w:rsid w:val="00435051"/>
    <w:pPr>
      <w:widowControl w:val="0"/>
      <w:tabs>
        <w:tab w:val="left" w:pos="567"/>
      </w:tabs>
      <w:spacing w:after="0" w:line="260" w:lineRule="exact"/>
      <w:jc w:val="both"/>
    </w:pPr>
    <w:rPr>
      <w:rFonts w:ascii="Times New Roman" w:eastAsia="Times New Roman" w:hAnsi="Times New Roman"/>
      <w:i/>
      <w:color w:val="0000FF"/>
      <w:szCs w:val="20"/>
      <w:lang w:val="fi-FI" w:eastAsia="zh-CN"/>
    </w:rPr>
  </w:style>
  <w:style w:type="paragraph" w:styleId="Pagrindiniotekstotrauka">
    <w:name w:val="Body Text Indent"/>
    <w:basedOn w:val="prastasis"/>
    <w:link w:val="PagrindiniotekstotraukaDiagrama"/>
    <w:semiHidden/>
    <w:rsid w:val="00435051"/>
    <w:pPr>
      <w:spacing w:after="0" w:line="240" w:lineRule="auto"/>
      <w:ind w:left="300"/>
    </w:pPr>
    <w:rPr>
      <w:rFonts w:ascii="Arial" w:eastAsia="Times New Roman" w:hAnsi="Arial" w:cs="Arial Unicode MS"/>
      <w:sz w:val="18"/>
      <w:szCs w:val="20"/>
      <w:lang w:val="en-GB" w:bidi="lo-LA"/>
    </w:rPr>
  </w:style>
  <w:style w:type="character" w:customStyle="1" w:styleId="PagrindiniotekstotraukaDiagrama">
    <w:name w:val="Pagrindinio teksto įtrauka Diagrama"/>
    <w:basedOn w:val="Numatytasispastraiposriftas"/>
    <w:link w:val="Pagrindiniotekstotrauka"/>
    <w:semiHidden/>
    <w:rsid w:val="00435051"/>
    <w:rPr>
      <w:rFonts w:ascii="Arial" w:eastAsia="Times New Roman" w:hAnsi="Arial" w:cs="Arial Unicode MS"/>
      <w:sz w:val="18"/>
      <w:szCs w:val="20"/>
      <w:lang w:val="en-GB" w:bidi="lo-LA"/>
    </w:rPr>
  </w:style>
  <w:style w:type="paragraph" w:styleId="Pagrindiniotekstotrauka2">
    <w:name w:val="Body Text Indent 2"/>
    <w:basedOn w:val="prastasis"/>
    <w:link w:val="Pagrindiniotekstotrauka2Diagrama"/>
    <w:semiHidden/>
    <w:rsid w:val="00435051"/>
    <w:pPr>
      <w:spacing w:after="0" w:line="240" w:lineRule="auto"/>
      <w:ind w:left="300"/>
    </w:pPr>
    <w:rPr>
      <w:rFonts w:ascii="Arial" w:eastAsia="Times New Roman" w:hAnsi="Arial" w:cs="Arial Unicode MS"/>
      <w:sz w:val="20"/>
      <w:szCs w:val="20"/>
      <w:lang w:val="en-GB" w:bidi="lo-LA"/>
    </w:rPr>
  </w:style>
  <w:style w:type="character" w:customStyle="1" w:styleId="Pagrindiniotekstotrauka2Diagrama">
    <w:name w:val="Pagrindinio teksto įtrauka 2 Diagrama"/>
    <w:basedOn w:val="Numatytasispastraiposriftas"/>
    <w:link w:val="Pagrindiniotekstotrauka2"/>
    <w:semiHidden/>
    <w:rsid w:val="00435051"/>
    <w:rPr>
      <w:rFonts w:ascii="Arial" w:eastAsia="Times New Roman" w:hAnsi="Arial" w:cs="Arial Unicode MS"/>
      <w:sz w:val="20"/>
      <w:szCs w:val="20"/>
      <w:lang w:val="en-GB" w:bidi="lo-LA"/>
    </w:rPr>
  </w:style>
  <w:style w:type="paragraph" w:customStyle="1" w:styleId="No-numheading1Agency">
    <w:name w:val="No-num heading 1 (Agency)"/>
    <w:basedOn w:val="prastasis"/>
    <w:next w:val="BodytextAgency"/>
    <w:rsid w:val="00435051"/>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prastasis"/>
    <w:next w:val="BodytextAgency"/>
    <w:rsid w:val="00435051"/>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rsid w:val="00435051"/>
  </w:style>
  <w:style w:type="character" w:customStyle="1" w:styleId="FooterAgencyCharChar">
    <w:name w:val="Footer (Agency) Char Char"/>
    <w:semiHidden/>
    <w:rsid w:val="00435051"/>
    <w:rPr>
      <w:rFonts w:ascii="Verdana" w:eastAsia="Verdana" w:hAnsi="Verdana" w:cs="Verdana"/>
      <w:noProof/>
      <w:color w:val="6D6F71"/>
      <w:sz w:val="14"/>
      <w:szCs w:val="14"/>
      <w:lang w:val="en-GB" w:eastAsia="en-GB" w:bidi="ar-SA"/>
    </w:rPr>
  </w:style>
  <w:style w:type="character" w:customStyle="1" w:styleId="PagenumberAgencyCharChar">
    <w:name w:val="Page number (Agency) Char Char"/>
    <w:rsid w:val="00435051"/>
  </w:style>
  <w:style w:type="paragraph" w:customStyle="1" w:styleId="DocsubtitleAgency">
    <w:name w:val="Doc subtitle (Agency)"/>
    <w:basedOn w:val="prastasis"/>
    <w:next w:val="BodytextAgency"/>
    <w:rsid w:val="00435051"/>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prastasis"/>
    <w:next w:val="DocsubtitleAgency"/>
    <w:rsid w:val="00435051"/>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prastasis"/>
    <w:next w:val="BodytextAgency"/>
    <w:rsid w:val="00435051"/>
    <w:pPr>
      <w:spacing w:after="140" w:line="280" w:lineRule="atLeast"/>
    </w:pPr>
    <w:rPr>
      <w:rFonts w:ascii="Courier New" w:eastAsia="Verdana" w:hAnsi="Courier New"/>
      <w:i/>
      <w:color w:val="339966"/>
      <w:szCs w:val="18"/>
      <w:lang w:val="en-GB" w:eastAsia="en-GB"/>
    </w:rPr>
  </w:style>
  <w:style w:type="character" w:customStyle="1" w:styleId="EndnotereferenceAgency">
    <w:name w:val="Endnote reference (Agency)"/>
    <w:semiHidden/>
    <w:rsid w:val="00435051"/>
    <w:rPr>
      <w:rFonts w:ascii="Verdana" w:hAnsi="Verdana"/>
      <w:vertAlign w:val="superscript"/>
    </w:rPr>
  </w:style>
  <w:style w:type="character" w:customStyle="1" w:styleId="FooterblueAgencyCharChar">
    <w:name w:val="Footer blue (Agency) Char Char"/>
    <w:semiHidden/>
    <w:rsid w:val="00435051"/>
    <w:rPr>
      <w:rFonts w:ascii="Verdana" w:eastAsia="Verdana" w:hAnsi="Verdana" w:cs="Verdana"/>
      <w:b/>
      <w:noProof/>
      <w:color w:val="003399"/>
      <w:sz w:val="13"/>
      <w:szCs w:val="14"/>
      <w:lang w:val="en-GB" w:eastAsia="en-GB" w:bidi="ar-SA"/>
    </w:rPr>
  </w:style>
  <w:style w:type="character" w:customStyle="1" w:styleId="FootnotereferenceAgency">
    <w:name w:val="Footnote reference (Agency)"/>
    <w:semiHidden/>
    <w:rsid w:val="00435051"/>
    <w:rPr>
      <w:rFonts w:ascii="Verdana" w:hAnsi="Verdana"/>
      <w:color w:val="auto"/>
      <w:vertAlign w:val="superscript"/>
    </w:rPr>
  </w:style>
  <w:style w:type="paragraph" w:customStyle="1" w:styleId="Heading1Agency">
    <w:name w:val="Heading 1 (Agency)"/>
    <w:basedOn w:val="prastasis"/>
    <w:next w:val="BodytextAgency"/>
    <w:rsid w:val="00435051"/>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BodytextAgency"/>
    <w:rsid w:val="00435051"/>
    <w:pPr>
      <w:keepNext/>
      <w:spacing w:before="280" w:after="220" w:line="240" w:lineRule="auto"/>
      <w:outlineLvl w:val="1"/>
    </w:pPr>
    <w:rPr>
      <w:rFonts w:ascii="Verdana" w:eastAsia="Verdana" w:hAnsi="Verdana" w:cs="Arial"/>
      <w:b/>
      <w:bCs/>
      <w:i/>
      <w:kern w:val="32"/>
      <w:lang w:val="en-GB" w:eastAsia="en-GB"/>
    </w:rPr>
  </w:style>
  <w:style w:type="paragraph" w:customStyle="1" w:styleId="NormalAgency">
    <w:name w:val="Normal (Agency)"/>
    <w:rsid w:val="00435051"/>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435051"/>
    <w:pPr>
      <w:keepNext/>
      <w:spacing w:before="280" w:after="220" w:line="240" w:lineRule="auto"/>
    </w:pPr>
    <w:rPr>
      <w:rFonts w:ascii="Verdana" w:eastAsia="Times New Roman" w:hAnsi="Verdana" w:cs="Arial"/>
      <w:b/>
      <w:kern w:val="32"/>
      <w:sz w:val="27"/>
      <w:szCs w:val="27"/>
      <w:lang w:val="en-GB" w:eastAsia="en-GB"/>
    </w:rPr>
  </w:style>
  <w:style w:type="paragraph" w:customStyle="1" w:styleId="TablefirstrowAgency">
    <w:name w:val="Table first row (Agency)"/>
    <w:basedOn w:val="BodytextAgency"/>
    <w:rsid w:val="00435051"/>
    <w:pPr>
      <w:keepNext/>
    </w:pPr>
    <w:rPr>
      <w:rFonts w:eastAsia="Times New Roman"/>
      <w:b/>
    </w:rPr>
  </w:style>
  <w:style w:type="paragraph" w:customStyle="1" w:styleId="TableheadingAgency">
    <w:name w:val="Table heading (Agency)"/>
    <w:basedOn w:val="prastasis"/>
    <w:next w:val="BodytextAgency"/>
    <w:rsid w:val="00435051"/>
    <w:pPr>
      <w:keepNext/>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rsid w:val="00435051"/>
    <w:pPr>
      <w:keepNext/>
    </w:pPr>
    <w:rPr>
      <w:rFonts w:eastAsia="Times New Roman"/>
      <w:b/>
    </w:rPr>
  </w:style>
  <w:style w:type="paragraph" w:customStyle="1" w:styleId="TabletextrowsAgency">
    <w:name w:val="Table text rows (Agency)"/>
    <w:basedOn w:val="prastasis"/>
    <w:rsid w:val="00435051"/>
    <w:pPr>
      <w:spacing w:after="0" w:line="280" w:lineRule="exact"/>
    </w:pPr>
    <w:rPr>
      <w:rFonts w:ascii="Verdana" w:eastAsia="Times New Roman" w:hAnsi="Verdana" w:cs="Verdana"/>
      <w:sz w:val="18"/>
      <w:szCs w:val="18"/>
      <w:lang w:val="en-GB" w:eastAsia="zh-CN"/>
    </w:rPr>
  </w:style>
  <w:style w:type="paragraph" w:styleId="Turinys1">
    <w:name w:val="toc 1"/>
    <w:basedOn w:val="prastasis"/>
    <w:next w:val="BodytextAgency"/>
    <w:semiHidden/>
    <w:rsid w:val="00435051"/>
    <w:pPr>
      <w:keepNext/>
      <w:tabs>
        <w:tab w:val="right" w:leader="dot" w:pos="9401"/>
      </w:tabs>
      <w:spacing w:before="140" w:after="57" w:line="240" w:lineRule="atLeast"/>
    </w:pPr>
    <w:rPr>
      <w:rFonts w:ascii="Verdana" w:eastAsia="Verdana" w:hAnsi="Verdana" w:cs="Verdana"/>
      <w:b/>
      <w:noProof/>
      <w:lang w:val="en-GB" w:eastAsia="en-GB"/>
    </w:rPr>
  </w:style>
  <w:style w:type="paragraph" w:styleId="Turinys2">
    <w:name w:val="toc 2"/>
    <w:basedOn w:val="prastasis"/>
    <w:next w:val="BodytextAgency"/>
    <w:semiHidden/>
    <w:rsid w:val="00435051"/>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3">
    <w:name w:val="toc 3"/>
    <w:basedOn w:val="prastasis"/>
    <w:next w:val="BodytextAgency"/>
    <w:semiHidden/>
    <w:rsid w:val="00435051"/>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4">
    <w:name w:val="toc 4"/>
    <w:basedOn w:val="prastasis"/>
    <w:next w:val="BodytextAgency"/>
    <w:semiHidden/>
    <w:rsid w:val="00435051"/>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5">
    <w:name w:val="toc 5"/>
    <w:basedOn w:val="prastasis"/>
    <w:next w:val="BodytextAgency"/>
    <w:semiHidden/>
    <w:rsid w:val="00435051"/>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6">
    <w:name w:val="toc 6"/>
    <w:basedOn w:val="prastasis"/>
    <w:next w:val="BodytextAgency"/>
    <w:autoRedefine/>
    <w:semiHidden/>
    <w:rsid w:val="00435051"/>
    <w:pPr>
      <w:spacing w:after="57" w:line="240" w:lineRule="exact"/>
    </w:pPr>
    <w:rPr>
      <w:rFonts w:ascii="Verdana" w:eastAsia="Times New Roman" w:hAnsi="Verdana" w:cs="Verdana"/>
      <w:sz w:val="18"/>
      <w:szCs w:val="18"/>
      <w:lang w:val="en-GB" w:eastAsia="zh-CN"/>
    </w:rPr>
  </w:style>
  <w:style w:type="paragraph" w:styleId="Turinys7">
    <w:name w:val="toc 7"/>
    <w:basedOn w:val="prastasis"/>
    <w:next w:val="BodytextAgency"/>
    <w:semiHidden/>
    <w:rsid w:val="00435051"/>
    <w:pPr>
      <w:spacing w:after="57" w:line="240" w:lineRule="exact"/>
    </w:pPr>
    <w:rPr>
      <w:rFonts w:ascii="Verdana" w:eastAsia="Times New Roman" w:hAnsi="Verdana" w:cs="Verdana"/>
      <w:sz w:val="18"/>
      <w:szCs w:val="18"/>
      <w:lang w:val="en-GB" w:eastAsia="zh-CN"/>
    </w:rPr>
  </w:style>
  <w:style w:type="paragraph" w:styleId="Turinys8">
    <w:name w:val="toc 8"/>
    <w:basedOn w:val="prastasis"/>
    <w:next w:val="BodytextAgency"/>
    <w:semiHidden/>
    <w:rsid w:val="00435051"/>
    <w:pPr>
      <w:spacing w:after="57" w:line="240" w:lineRule="exact"/>
    </w:pPr>
    <w:rPr>
      <w:rFonts w:ascii="Verdana" w:eastAsia="Times New Roman" w:hAnsi="Verdana" w:cs="Verdana"/>
      <w:sz w:val="18"/>
      <w:szCs w:val="18"/>
      <w:lang w:val="en-GB" w:eastAsia="zh-CN"/>
    </w:rPr>
  </w:style>
  <w:style w:type="paragraph" w:styleId="Turinys9">
    <w:name w:val="toc 9"/>
    <w:basedOn w:val="prastasis"/>
    <w:next w:val="BodytextAgency"/>
    <w:semiHidden/>
    <w:rsid w:val="00435051"/>
    <w:pPr>
      <w:spacing w:after="57" w:line="240" w:lineRule="exact"/>
    </w:pPr>
    <w:rPr>
      <w:rFonts w:ascii="Verdana" w:eastAsia="Times New Roman" w:hAnsi="Verdana" w:cs="Verdana"/>
      <w:sz w:val="18"/>
      <w:szCs w:val="18"/>
      <w:lang w:val="en-GB" w:eastAsia="zh-CN"/>
    </w:rPr>
  </w:style>
  <w:style w:type="paragraph" w:styleId="Sraopastraipa">
    <w:name w:val="List Paragraph"/>
    <w:basedOn w:val="prastasis"/>
    <w:uiPriority w:val="34"/>
    <w:qFormat/>
    <w:rsid w:val="00435051"/>
    <w:pPr>
      <w:spacing w:after="0" w:line="240" w:lineRule="auto"/>
      <w:ind w:left="720"/>
      <w:contextualSpacing/>
    </w:pPr>
    <w:rPr>
      <w:rFonts w:ascii="Times New Roman" w:hAnsi="Times New Roman"/>
      <w:sz w:val="24"/>
      <w:szCs w:val="24"/>
      <w:lang w:val="en-GB"/>
    </w:rPr>
  </w:style>
  <w:style w:type="table" w:styleId="Lentelstinklelis">
    <w:name w:val="Table Grid"/>
    <w:basedOn w:val="prastojilentel"/>
    <w:uiPriority w:val="59"/>
    <w:rsid w:val="0043505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59593</Words>
  <Characters>33969</Characters>
  <Application>Microsoft Office Word</Application>
  <DocSecurity>4</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 S</dc:creator>
  <cp:keywords/>
  <dc:description/>
  <cp:lastModifiedBy>Albina Burkauskaitė</cp:lastModifiedBy>
  <cp:revision>2</cp:revision>
  <dcterms:created xsi:type="dcterms:W3CDTF">2018-08-08T07:41:00Z</dcterms:created>
  <dcterms:modified xsi:type="dcterms:W3CDTF">2018-08-08T07:41:00Z</dcterms:modified>
</cp:coreProperties>
</file>