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4E0E6" w14:textId="77777777" w:rsidR="00A07EDA" w:rsidRPr="004B4520" w:rsidRDefault="00A07EDA" w:rsidP="00A07EDA">
      <w:pPr>
        <w:rPr>
          <w:sz w:val="22"/>
          <w:szCs w:val="22"/>
        </w:rPr>
      </w:pPr>
    </w:p>
    <w:p w14:paraId="5554B5BD" w14:textId="77777777" w:rsidR="00A07EDA" w:rsidRPr="004B4520" w:rsidRDefault="00A07EDA" w:rsidP="00A07EDA">
      <w:pPr>
        <w:rPr>
          <w:sz w:val="22"/>
          <w:szCs w:val="22"/>
        </w:rPr>
      </w:pPr>
    </w:p>
    <w:p w14:paraId="2DCCF9DD" w14:textId="77777777" w:rsidR="00A07EDA" w:rsidRPr="004B4520" w:rsidRDefault="00A07EDA" w:rsidP="00A07EDA">
      <w:pPr>
        <w:rPr>
          <w:sz w:val="22"/>
          <w:szCs w:val="22"/>
        </w:rPr>
      </w:pPr>
    </w:p>
    <w:p w14:paraId="2B9A63D6" w14:textId="77777777" w:rsidR="00A07EDA" w:rsidRPr="004B4520" w:rsidRDefault="00A07EDA" w:rsidP="00A07EDA">
      <w:pPr>
        <w:rPr>
          <w:sz w:val="22"/>
          <w:szCs w:val="22"/>
        </w:rPr>
      </w:pPr>
    </w:p>
    <w:p w14:paraId="5CF4C655" w14:textId="77777777" w:rsidR="00A07EDA" w:rsidRPr="004B4520" w:rsidRDefault="00A07EDA" w:rsidP="00A07EDA">
      <w:pPr>
        <w:rPr>
          <w:sz w:val="22"/>
          <w:szCs w:val="22"/>
        </w:rPr>
      </w:pPr>
    </w:p>
    <w:p w14:paraId="3569908F" w14:textId="77777777" w:rsidR="00A07EDA" w:rsidRPr="004B4520" w:rsidRDefault="00A07EDA" w:rsidP="00A07EDA">
      <w:pPr>
        <w:rPr>
          <w:sz w:val="22"/>
          <w:szCs w:val="22"/>
        </w:rPr>
      </w:pPr>
    </w:p>
    <w:p w14:paraId="2DDB8415" w14:textId="77777777" w:rsidR="00A07EDA" w:rsidRPr="004B4520" w:rsidRDefault="00A07EDA" w:rsidP="00A07EDA">
      <w:pPr>
        <w:rPr>
          <w:sz w:val="22"/>
          <w:szCs w:val="22"/>
        </w:rPr>
      </w:pPr>
    </w:p>
    <w:p w14:paraId="5966F411" w14:textId="77777777" w:rsidR="00A07EDA" w:rsidRPr="004B4520" w:rsidRDefault="00A07EDA" w:rsidP="00A07EDA">
      <w:pPr>
        <w:rPr>
          <w:sz w:val="22"/>
          <w:szCs w:val="22"/>
        </w:rPr>
      </w:pPr>
    </w:p>
    <w:p w14:paraId="5DAE133B" w14:textId="77777777" w:rsidR="00A07EDA" w:rsidRPr="004B4520" w:rsidRDefault="00A07EDA" w:rsidP="00A07EDA">
      <w:pPr>
        <w:rPr>
          <w:sz w:val="22"/>
          <w:szCs w:val="22"/>
        </w:rPr>
      </w:pPr>
    </w:p>
    <w:p w14:paraId="7A249D37" w14:textId="77777777" w:rsidR="00A07EDA" w:rsidRPr="004B4520" w:rsidRDefault="00A07EDA" w:rsidP="00A07EDA">
      <w:pPr>
        <w:rPr>
          <w:sz w:val="22"/>
          <w:szCs w:val="22"/>
        </w:rPr>
      </w:pPr>
    </w:p>
    <w:p w14:paraId="69B03E90" w14:textId="77777777" w:rsidR="00A07EDA" w:rsidRPr="004B4520" w:rsidRDefault="00A07EDA" w:rsidP="008822CE">
      <w:pPr>
        <w:pStyle w:val="BTEMEASMCA"/>
      </w:pPr>
    </w:p>
    <w:p w14:paraId="295D169F" w14:textId="77777777" w:rsidR="00A07EDA" w:rsidRPr="004B4520" w:rsidRDefault="00A07EDA" w:rsidP="008822CE">
      <w:pPr>
        <w:pStyle w:val="BTEMEASMCA"/>
      </w:pPr>
    </w:p>
    <w:p w14:paraId="73399259" w14:textId="77777777" w:rsidR="00A07EDA" w:rsidRPr="004B4520" w:rsidRDefault="00A07EDA" w:rsidP="008822CE">
      <w:pPr>
        <w:pStyle w:val="BTEMEASMCA"/>
      </w:pPr>
    </w:p>
    <w:p w14:paraId="02B05034" w14:textId="77777777" w:rsidR="00A07EDA" w:rsidRPr="004B4520" w:rsidRDefault="00A07EDA" w:rsidP="008822CE">
      <w:pPr>
        <w:pStyle w:val="BTEMEASMCA"/>
      </w:pPr>
    </w:p>
    <w:p w14:paraId="410195B6" w14:textId="77777777" w:rsidR="00A07EDA" w:rsidRPr="004B4520" w:rsidRDefault="00A07EDA" w:rsidP="008822CE">
      <w:pPr>
        <w:pStyle w:val="BTEMEASMCA"/>
      </w:pPr>
    </w:p>
    <w:p w14:paraId="74D93125" w14:textId="77777777" w:rsidR="00A07EDA" w:rsidRPr="004B4520" w:rsidRDefault="00A07EDA" w:rsidP="008822CE">
      <w:pPr>
        <w:pStyle w:val="BTEMEASMCA"/>
      </w:pPr>
    </w:p>
    <w:p w14:paraId="4B3F5AF7" w14:textId="77777777" w:rsidR="00A07EDA" w:rsidRPr="004B4520" w:rsidRDefault="00A07EDA" w:rsidP="008822CE">
      <w:pPr>
        <w:pStyle w:val="BTEMEASMCA"/>
      </w:pPr>
    </w:p>
    <w:p w14:paraId="58919FC1" w14:textId="77777777" w:rsidR="00A07EDA" w:rsidRPr="004B4520" w:rsidRDefault="00A07EDA" w:rsidP="008822CE">
      <w:pPr>
        <w:pStyle w:val="BTEMEASMCA"/>
      </w:pPr>
    </w:p>
    <w:p w14:paraId="65AA89C6" w14:textId="77777777" w:rsidR="00A07EDA" w:rsidRPr="004B4520" w:rsidRDefault="00A07EDA" w:rsidP="008822CE">
      <w:pPr>
        <w:pStyle w:val="BTEMEASMCA"/>
      </w:pPr>
    </w:p>
    <w:p w14:paraId="5A7468E3" w14:textId="77777777" w:rsidR="00A07EDA" w:rsidRPr="004B4520" w:rsidRDefault="00A07EDA" w:rsidP="008822CE">
      <w:pPr>
        <w:pStyle w:val="BTEMEASMCA"/>
      </w:pPr>
    </w:p>
    <w:p w14:paraId="3EE8C540" w14:textId="77777777" w:rsidR="00A07EDA" w:rsidRPr="004B4520" w:rsidRDefault="00A07EDA" w:rsidP="008822CE">
      <w:pPr>
        <w:pStyle w:val="BTEMEASMCA"/>
      </w:pPr>
    </w:p>
    <w:p w14:paraId="02E3FA9A" w14:textId="77777777" w:rsidR="00A07EDA" w:rsidRPr="004B4520" w:rsidRDefault="00A07EDA" w:rsidP="008822CE">
      <w:pPr>
        <w:pStyle w:val="BTEMEASMCA"/>
      </w:pPr>
    </w:p>
    <w:p w14:paraId="7F118AF5" w14:textId="77777777" w:rsidR="00A07EDA" w:rsidRPr="004B4520" w:rsidRDefault="00A07EDA" w:rsidP="008822CE">
      <w:pPr>
        <w:pStyle w:val="BTEMEASMCA"/>
      </w:pPr>
    </w:p>
    <w:p w14:paraId="5F0CCEDE" w14:textId="551F4053" w:rsidR="00A07EDA" w:rsidRPr="004B4520" w:rsidRDefault="00A07EDA" w:rsidP="00A07EDA">
      <w:pPr>
        <w:pStyle w:val="TTEMEASMCA"/>
        <w:rPr>
          <w:lang w:val="lt-LT"/>
        </w:rPr>
      </w:pPr>
      <w:bookmarkStart w:id="0" w:name="_Toc129243096"/>
      <w:bookmarkStart w:id="1" w:name="_Toc129243221"/>
      <w:r w:rsidRPr="004B4520">
        <w:rPr>
          <w:lang w:val="lt-LT"/>
        </w:rPr>
        <w:t>I PRIEDAS</w:t>
      </w:r>
      <w:bookmarkEnd w:id="0"/>
      <w:bookmarkEnd w:id="1"/>
    </w:p>
    <w:p w14:paraId="096900C8" w14:textId="77777777" w:rsidR="00A07EDA" w:rsidRPr="00E37C18" w:rsidRDefault="00A07EDA" w:rsidP="008822CE">
      <w:pPr>
        <w:pStyle w:val="BTEMEASMCA"/>
      </w:pPr>
    </w:p>
    <w:p w14:paraId="1C4F9BE0" w14:textId="35470F05" w:rsidR="00A07EDA" w:rsidRPr="004B4520" w:rsidRDefault="00A07EDA" w:rsidP="00A07EDA">
      <w:pPr>
        <w:pStyle w:val="TTEMEASMCA"/>
        <w:rPr>
          <w:lang w:val="lt-LT"/>
        </w:rPr>
      </w:pPr>
      <w:bookmarkStart w:id="2" w:name="_Toc129243097"/>
      <w:bookmarkStart w:id="3" w:name="_Toc129243222"/>
      <w:r w:rsidRPr="004B4520">
        <w:rPr>
          <w:lang w:val="lt-LT"/>
        </w:rPr>
        <w:t>PREPARATO CHARAKTERISTIKŲ SANTRAUKA</w:t>
      </w:r>
      <w:bookmarkEnd w:id="2"/>
      <w:bookmarkEnd w:id="3"/>
    </w:p>
    <w:p w14:paraId="351BA217" w14:textId="117E3CE7" w:rsidR="00A07EDA" w:rsidRPr="004B4520" w:rsidRDefault="00A07EDA" w:rsidP="005F53BD">
      <w:pPr>
        <w:pStyle w:val="PI-1EMEASMCA"/>
      </w:pPr>
      <w:r w:rsidRPr="004B4520">
        <w:rPr>
          <w:bCs/>
          <w:iCs/>
        </w:rPr>
        <w:br w:type="page"/>
      </w:r>
      <w:bookmarkStart w:id="4" w:name="_Toc129243098"/>
      <w:bookmarkStart w:id="5" w:name="_Toc129243223"/>
      <w:r w:rsidRPr="004B4520">
        <w:lastRenderedPageBreak/>
        <w:t>1.</w:t>
      </w:r>
      <w:r w:rsidRPr="004B4520">
        <w:tab/>
        <w:t>VAISTINIO PREPARATO PAVADINIMAS</w:t>
      </w:r>
      <w:bookmarkEnd w:id="4"/>
      <w:bookmarkEnd w:id="5"/>
    </w:p>
    <w:p w14:paraId="00260B4D" w14:textId="77777777" w:rsidR="00A07EDA" w:rsidRPr="00E37C18" w:rsidRDefault="00A07EDA" w:rsidP="008822CE">
      <w:pPr>
        <w:pStyle w:val="BTEMEASMCA"/>
      </w:pPr>
    </w:p>
    <w:p w14:paraId="4E8C2C43" w14:textId="77777777" w:rsidR="00A07EDA" w:rsidRPr="004B4520" w:rsidRDefault="00A07EDA" w:rsidP="00A07EDA">
      <w:pPr>
        <w:pStyle w:val="Pagrindinistekstas"/>
        <w:spacing w:after="0"/>
        <w:rPr>
          <w:bCs/>
          <w:szCs w:val="22"/>
        </w:rPr>
      </w:pPr>
      <w:r w:rsidRPr="004B4520">
        <w:rPr>
          <w:bCs/>
          <w:szCs w:val="22"/>
        </w:rPr>
        <w:t>Trichopol 250 mg tabletės</w:t>
      </w:r>
    </w:p>
    <w:p w14:paraId="728AF562" w14:textId="77777777" w:rsidR="00A07EDA" w:rsidRPr="00E37C18" w:rsidRDefault="00A07EDA" w:rsidP="008822CE">
      <w:pPr>
        <w:pStyle w:val="BTEMEASMCA"/>
      </w:pPr>
    </w:p>
    <w:p w14:paraId="57F4A02B" w14:textId="77777777" w:rsidR="00A07EDA" w:rsidRPr="00E37C18" w:rsidRDefault="00A07EDA" w:rsidP="008822CE">
      <w:pPr>
        <w:pStyle w:val="BTEMEASMCA"/>
      </w:pPr>
    </w:p>
    <w:p w14:paraId="5EB17D4B" w14:textId="159A6CA2" w:rsidR="00A07EDA" w:rsidRPr="004B4520" w:rsidRDefault="00A07EDA" w:rsidP="005F53BD">
      <w:pPr>
        <w:pStyle w:val="PI-1EMEASMCA"/>
      </w:pPr>
      <w:bookmarkStart w:id="6" w:name="_Toc129243099"/>
      <w:bookmarkStart w:id="7" w:name="_Toc129243224"/>
      <w:r w:rsidRPr="004B4520">
        <w:t>2.</w:t>
      </w:r>
      <w:r w:rsidRPr="004B4520">
        <w:tab/>
        <w:t>KOKYBINĖ IR KIEKYBINĖ SUDĖTIS</w:t>
      </w:r>
      <w:bookmarkEnd w:id="6"/>
      <w:bookmarkEnd w:id="7"/>
    </w:p>
    <w:p w14:paraId="5A2080C2" w14:textId="77777777" w:rsidR="00A07EDA" w:rsidRPr="00E37C18" w:rsidRDefault="00A07EDA" w:rsidP="008822CE">
      <w:pPr>
        <w:pStyle w:val="BTEMEASMCA"/>
      </w:pPr>
    </w:p>
    <w:p w14:paraId="2BF87C80" w14:textId="77777777" w:rsidR="00A07EDA" w:rsidRDefault="00585A77" w:rsidP="00A07EDA">
      <w:pPr>
        <w:pStyle w:val="Pagrindinistekstas"/>
        <w:spacing w:after="0"/>
        <w:rPr>
          <w:szCs w:val="22"/>
        </w:rPr>
      </w:pPr>
      <w:r w:rsidRPr="004B4520">
        <w:rPr>
          <w:szCs w:val="22"/>
        </w:rPr>
        <w:t>Kiekv</w:t>
      </w:r>
      <w:r w:rsidR="00A07EDA" w:rsidRPr="004B4520">
        <w:rPr>
          <w:szCs w:val="22"/>
        </w:rPr>
        <w:t>ienoje tabletėje yra 250 mg metronidazolo.</w:t>
      </w:r>
    </w:p>
    <w:p w14:paraId="76CD1529" w14:textId="77777777" w:rsidR="00540737" w:rsidRPr="004B4520" w:rsidRDefault="00540737" w:rsidP="00A07EDA">
      <w:pPr>
        <w:pStyle w:val="Pagrindinistekstas"/>
        <w:spacing w:after="0"/>
        <w:rPr>
          <w:szCs w:val="22"/>
        </w:rPr>
      </w:pPr>
    </w:p>
    <w:p w14:paraId="34B1BDDB" w14:textId="77777777" w:rsidR="00A07EDA" w:rsidRPr="00BD605E" w:rsidRDefault="00585A77" w:rsidP="008822CE">
      <w:pPr>
        <w:pStyle w:val="BTEMEASMCA"/>
        <w:rPr>
          <w:lang w:val="lt-LT"/>
        </w:rPr>
      </w:pPr>
      <w:r w:rsidRPr="00BD605E">
        <w:rPr>
          <w:lang w:val="lt-LT"/>
        </w:rPr>
        <w:t>Pagalbinė medžiaga, kurios poveikis žinomas: gliukozė.</w:t>
      </w:r>
    </w:p>
    <w:p w14:paraId="21CD4D0F" w14:textId="77777777" w:rsidR="00A46272" w:rsidRPr="00BD605E" w:rsidRDefault="00A46272" w:rsidP="008822CE">
      <w:pPr>
        <w:pStyle w:val="BTEMEASMCA"/>
        <w:rPr>
          <w:lang w:val="lt-LT"/>
        </w:rPr>
      </w:pPr>
      <w:r w:rsidRPr="00BD605E">
        <w:rPr>
          <w:lang w:val="lt-LT"/>
        </w:rPr>
        <w:t>Kiekvienoje tabletėje yra 6,60 mg gliukozės.</w:t>
      </w:r>
    </w:p>
    <w:p w14:paraId="5C11EB66" w14:textId="77777777" w:rsidR="00673E44" w:rsidRPr="00BD605E" w:rsidRDefault="00673E44" w:rsidP="008822CE">
      <w:pPr>
        <w:pStyle w:val="BTEMEASMCA"/>
        <w:rPr>
          <w:lang w:val="lt-LT"/>
        </w:rPr>
      </w:pPr>
    </w:p>
    <w:p w14:paraId="368095AD" w14:textId="77777777" w:rsidR="00A07EDA" w:rsidRPr="00BD605E" w:rsidRDefault="00A07EDA" w:rsidP="008822CE">
      <w:pPr>
        <w:pStyle w:val="BTEMEASMCA"/>
        <w:rPr>
          <w:lang w:val="lt-LT"/>
        </w:rPr>
      </w:pPr>
      <w:r w:rsidRPr="00BD605E">
        <w:rPr>
          <w:lang w:val="lt-LT"/>
        </w:rPr>
        <w:t>Visos pagalbinės medžiagos išvardytos 6.1 skyriuje.</w:t>
      </w:r>
    </w:p>
    <w:p w14:paraId="7DFADDB8" w14:textId="77777777" w:rsidR="00A07EDA" w:rsidRPr="00BD605E" w:rsidRDefault="00A07EDA" w:rsidP="008822CE">
      <w:pPr>
        <w:pStyle w:val="BTEMEASMCA"/>
        <w:rPr>
          <w:lang w:val="lt-LT"/>
        </w:rPr>
      </w:pPr>
    </w:p>
    <w:p w14:paraId="1C18CDD0" w14:textId="77777777" w:rsidR="00A07EDA" w:rsidRPr="00BD605E" w:rsidRDefault="00A07EDA" w:rsidP="008822CE">
      <w:pPr>
        <w:pStyle w:val="BTEMEASMCA"/>
        <w:rPr>
          <w:lang w:val="lt-LT"/>
        </w:rPr>
      </w:pPr>
    </w:p>
    <w:p w14:paraId="7E9C62AD" w14:textId="0A398611" w:rsidR="00A07EDA" w:rsidRPr="004B4520" w:rsidRDefault="00A07EDA" w:rsidP="005F53BD">
      <w:pPr>
        <w:pStyle w:val="PI-1EMEASMCA"/>
      </w:pPr>
      <w:bookmarkStart w:id="8" w:name="_Toc129243100"/>
      <w:bookmarkStart w:id="9" w:name="_Toc129243225"/>
      <w:r w:rsidRPr="004B4520">
        <w:t>3.</w:t>
      </w:r>
      <w:r w:rsidRPr="004B4520">
        <w:tab/>
        <w:t>FARMACINĖ FORMA</w:t>
      </w:r>
      <w:bookmarkEnd w:id="8"/>
      <w:bookmarkEnd w:id="9"/>
    </w:p>
    <w:p w14:paraId="508276F1" w14:textId="77777777" w:rsidR="00A07EDA" w:rsidRPr="00BD605E" w:rsidRDefault="00A07EDA" w:rsidP="008822CE">
      <w:pPr>
        <w:pStyle w:val="BTEMEASMCA"/>
        <w:rPr>
          <w:lang w:val="lt-LT"/>
        </w:rPr>
      </w:pPr>
    </w:p>
    <w:p w14:paraId="3819CB33" w14:textId="77777777" w:rsidR="00A07EDA" w:rsidRPr="004B4520" w:rsidRDefault="00A07EDA" w:rsidP="00A07EDA">
      <w:pPr>
        <w:pStyle w:val="Pagrindinistekstas"/>
        <w:spacing w:after="0"/>
        <w:rPr>
          <w:bCs/>
          <w:szCs w:val="22"/>
        </w:rPr>
      </w:pPr>
      <w:r w:rsidRPr="004B4520">
        <w:rPr>
          <w:bCs/>
          <w:szCs w:val="22"/>
        </w:rPr>
        <w:t>Tabletė.</w:t>
      </w:r>
    </w:p>
    <w:p w14:paraId="50954096" w14:textId="77777777" w:rsidR="00A07EDA" w:rsidRPr="004B4520" w:rsidRDefault="00A07EDA" w:rsidP="00A07EDA">
      <w:pPr>
        <w:rPr>
          <w:color w:val="000000"/>
          <w:sz w:val="22"/>
          <w:szCs w:val="22"/>
        </w:rPr>
      </w:pPr>
      <w:r w:rsidRPr="004B4520">
        <w:rPr>
          <w:color w:val="000000"/>
          <w:sz w:val="22"/>
          <w:szCs w:val="22"/>
        </w:rPr>
        <w:t xml:space="preserve">Tabletės yra baltos su gelsvu atspalviu, apvalios, plokščios su vagele vienoje pusėje. </w:t>
      </w:r>
      <w:r w:rsidRPr="004B4520">
        <w:rPr>
          <w:sz w:val="22"/>
          <w:szCs w:val="22"/>
        </w:rPr>
        <w:t>Tabletę galima padalyti į lygias dozes.</w:t>
      </w:r>
    </w:p>
    <w:p w14:paraId="08DBAB43" w14:textId="77777777" w:rsidR="00A07EDA" w:rsidRPr="004B4520" w:rsidRDefault="00A07EDA" w:rsidP="008822CE">
      <w:pPr>
        <w:pStyle w:val="BTEMEASMCA"/>
      </w:pPr>
    </w:p>
    <w:p w14:paraId="6E45EAF9" w14:textId="77777777" w:rsidR="00A07EDA" w:rsidRPr="004B4520" w:rsidRDefault="00A07EDA" w:rsidP="008822CE">
      <w:pPr>
        <w:pStyle w:val="BTEMEASMCA"/>
      </w:pPr>
    </w:p>
    <w:p w14:paraId="0B545729" w14:textId="3A0ECEEC" w:rsidR="00A07EDA" w:rsidRPr="004B4520" w:rsidRDefault="00A07EDA" w:rsidP="005F53BD">
      <w:pPr>
        <w:pStyle w:val="PI-1EMEASMCA"/>
      </w:pPr>
      <w:bookmarkStart w:id="10" w:name="_Toc129243101"/>
      <w:bookmarkStart w:id="11" w:name="_Toc129243226"/>
      <w:r w:rsidRPr="004B4520">
        <w:t>4.</w:t>
      </w:r>
      <w:r w:rsidRPr="004B4520">
        <w:tab/>
        <w:t>KLINIKINĖ INFORMACIJA</w:t>
      </w:r>
      <w:bookmarkEnd w:id="10"/>
      <w:bookmarkEnd w:id="11"/>
    </w:p>
    <w:p w14:paraId="3DA06762" w14:textId="77777777" w:rsidR="00A07EDA" w:rsidRPr="004B4520" w:rsidRDefault="00A07EDA" w:rsidP="008822CE">
      <w:pPr>
        <w:pStyle w:val="BTEMEASMCA"/>
      </w:pPr>
    </w:p>
    <w:p w14:paraId="4DAAE9E0" w14:textId="560A1F90" w:rsidR="00A07EDA" w:rsidRPr="004B4520" w:rsidRDefault="00A07EDA" w:rsidP="00A07EDA">
      <w:pPr>
        <w:pStyle w:val="PI-2EMEASMCA"/>
      </w:pPr>
      <w:bookmarkStart w:id="12" w:name="_Toc129243102"/>
      <w:bookmarkStart w:id="13" w:name="_Toc129243227"/>
      <w:r w:rsidRPr="004B4520">
        <w:t>4.1</w:t>
      </w:r>
      <w:r w:rsidRPr="004B4520">
        <w:tab/>
        <w:t>Terapinės indikacijos</w:t>
      </w:r>
      <w:bookmarkEnd w:id="12"/>
      <w:bookmarkEnd w:id="13"/>
    </w:p>
    <w:p w14:paraId="30DB16F5" w14:textId="77777777" w:rsidR="00A07EDA" w:rsidRPr="004B4520" w:rsidRDefault="00A07EDA" w:rsidP="008822CE">
      <w:pPr>
        <w:pStyle w:val="BTEMEASMCA"/>
      </w:pPr>
    </w:p>
    <w:p w14:paraId="600C9403" w14:textId="77777777" w:rsidR="00A07EDA" w:rsidRPr="004B4520" w:rsidRDefault="00A07EDA" w:rsidP="00585A77">
      <w:pPr>
        <w:pStyle w:val="Pagrindinistekstas"/>
        <w:numPr>
          <w:ilvl w:val="0"/>
          <w:numId w:val="2"/>
        </w:numPr>
        <w:tabs>
          <w:tab w:val="clear" w:pos="360"/>
          <w:tab w:val="num" w:pos="567"/>
        </w:tabs>
        <w:spacing w:after="0"/>
        <w:ind w:left="567" w:hanging="567"/>
        <w:rPr>
          <w:szCs w:val="22"/>
        </w:rPr>
      </w:pPr>
      <w:r w:rsidRPr="004B4520">
        <w:rPr>
          <w:szCs w:val="22"/>
        </w:rPr>
        <w:t>Trichomonozės gydymas.</w:t>
      </w:r>
    </w:p>
    <w:p w14:paraId="5D971D37" w14:textId="77777777" w:rsidR="00A07EDA" w:rsidRPr="004B4520" w:rsidRDefault="00A07EDA" w:rsidP="00585A77">
      <w:pPr>
        <w:pStyle w:val="Pagrindinistekstas"/>
        <w:numPr>
          <w:ilvl w:val="0"/>
          <w:numId w:val="2"/>
        </w:numPr>
        <w:tabs>
          <w:tab w:val="clear" w:pos="360"/>
          <w:tab w:val="num" w:pos="567"/>
        </w:tabs>
        <w:spacing w:after="0"/>
        <w:ind w:left="567" w:hanging="567"/>
        <w:rPr>
          <w:szCs w:val="22"/>
        </w:rPr>
      </w:pPr>
      <w:r w:rsidRPr="004B4520">
        <w:rPr>
          <w:szCs w:val="22"/>
        </w:rPr>
        <w:t>Giardiazės (liambliozės) gydymas.</w:t>
      </w:r>
    </w:p>
    <w:p w14:paraId="0948B6ED" w14:textId="77777777" w:rsidR="00A07EDA" w:rsidRPr="004B4520" w:rsidRDefault="00A07EDA" w:rsidP="00585A77">
      <w:pPr>
        <w:pStyle w:val="Pagrindinistekstas"/>
        <w:numPr>
          <w:ilvl w:val="0"/>
          <w:numId w:val="2"/>
        </w:numPr>
        <w:tabs>
          <w:tab w:val="clear" w:pos="360"/>
          <w:tab w:val="num" w:pos="567"/>
        </w:tabs>
        <w:spacing w:after="0"/>
        <w:ind w:left="567" w:hanging="567"/>
        <w:rPr>
          <w:szCs w:val="22"/>
        </w:rPr>
      </w:pPr>
      <w:r w:rsidRPr="004B4520">
        <w:rPr>
          <w:szCs w:val="22"/>
        </w:rPr>
        <w:t>Visų amebiazės formų (žarnyno amebiazės, ekstraintestinė amebiazės), taip pat besimptomių cistų nešiotojų gydymas.</w:t>
      </w:r>
    </w:p>
    <w:p w14:paraId="459E63CF" w14:textId="77777777" w:rsidR="00A07EDA" w:rsidRPr="004B4520" w:rsidRDefault="00A07EDA" w:rsidP="00585A77">
      <w:pPr>
        <w:pStyle w:val="Pagrindinistekstas"/>
        <w:numPr>
          <w:ilvl w:val="0"/>
          <w:numId w:val="2"/>
        </w:numPr>
        <w:tabs>
          <w:tab w:val="clear" w:pos="360"/>
          <w:tab w:val="num" w:pos="567"/>
        </w:tabs>
        <w:spacing w:after="0"/>
        <w:ind w:left="567" w:hanging="567"/>
        <w:rPr>
          <w:szCs w:val="22"/>
        </w:rPr>
      </w:pPr>
      <w:r w:rsidRPr="004B4520">
        <w:rPr>
          <w:szCs w:val="22"/>
        </w:rPr>
        <w:t>Anaerobinių bakterijų arba mišrios bakterinės infekcijos (anaerobinių ir aerobinių bakterijų) sukeltos ligos gydymas (vaistinis preparatas dažniausiai skiriamas kartu su tinkamais antibiotikais).</w:t>
      </w:r>
    </w:p>
    <w:p w14:paraId="6867E180" w14:textId="77777777" w:rsidR="00A07EDA" w:rsidRPr="004B4520" w:rsidRDefault="00A07EDA" w:rsidP="00585A77">
      <w:pPr>
        <w:pStyle w:val="Pagrindinistekstas"/>
        <w:numPr>
          <w:ilvl w:val="0"/>
          <w:numId w:val="2"/>
        </w:numPr>
        <w:tabs>
          <w:tab w:val="clear" w:pos="360"/>
          <w:tab w:val="num" w:pos="567"/>
        </w:tabs>
        <w:spacing w:after="0"/>
        <w:ind w:left="567" w:hanging="567"/>
        <w:rPr>
          <w:szCs w:val="22"/>
        </w:rPr>
      </w:pPr>
      <w:r w:rsidRPr="004B4520">
        <w:rPr>
          <w:i/>
          <w:szCs w:val="22"/>
        </w:rPr>
        <w:t>Helicobacter pylori</w:t>
      </w:r>
      <w:r w:rsidRPr="004B4520">
        <w:rPr>
          <w:szCs w:val="22"/>
        </w:rPr>
        <w:t xml:space="preserve"> infekcijos eradikacija sergant skrandžio ir dvylikapirštės žarnos opalige (pvz., kartu su bismuto citratu ir klaritromicinu arba kartu su klaritromicinu ir omeprazolu). </w:t>
      </w:r>
    </w:p>
    <w:p w14:paraId="7442DB84" w14:textId="77777777" w:rsidR="00A07EDA" w:rsidRPr="004B4520" w:rsidRDefault="00A07EDA" w:rsidP="00A07EDA">
      <w:pPr>
        <w:tabs>
          <w:tab w:val="left" w:pos="567"/>
        </w:tabs>
        <w:rPr>
          <w:sz w:val="22"/>
          <w:szCs w:val="22"/>
        </w:rPr>
      </w:pPr>
    </w:p>
    <w:p w14:paraId="43EC45FF" w14:textId="77777777" w:rsidR="00A07EDA" w:rsidRPr="004B4520" w:rsidRDefault="00A07EDA" w:rsidP="00A07EDA">
      <w:pPr>
        <w:tabs>
          <w:tab w:val="left" w:pos="567"/>
        </w:tabs>
        <w:rPr>
          <w:sz w:val="22"/>
          <w:szCs w:val="22"/>
        </w:rPr>
      </w:pPr>
      <w:r w:rsidRPr="004B4520">
        <w:rPr>
          <w:sz w:val="22"/>
          <w:szCs w:val="22"/>
        </w:rPr>
        <w:t>Reikia atsižvelgti į oficialias vietines tinkamo antimikrobinių vaistinių preparatų vartojimo rekomendacijas.</w:t>
      </w:r>
    </w:p>
    <w:p w14:paraId="5A4628F8" w14:textId="77777777" w:rsidR="00A07EDA" w:rsidRPr="00BD605E" w:rsidRDefault="00A07EDA" w:rsidP="008822CE">
      <w:pPr>
        <w:pStyle w:val="BTEMEASMCA"/>
        <w:rPr>
          <w:lang w:val="lt-LT"/>
        </w:rPr>
      </w:pPr>
    </w:p>
    <w:p w14:paraId="509E8A0F" w14:textId="7A474F76" w:rsidR="00A07EDA" w:rsidRPr="004B4520" w:rsidRDefault="00A07EDA" w:rsidP="00A07EDA">
      <w:pPr>
        <w:pStyle w:val="PI-2EMEASMCA"/>
      </w:pPr>
      <w:bookmarkStart w:id="14" w:name="_Toc129243103"/>
      <w:bookmarkStart w:id="15" w:name="_Toc129243228"/>
      <w:r w:rsidRPr="004B4520">
        <w:t>4.2</w:t>
      </w:r>
      <w:r w:rsidRPr="004B4520">
        <w:tab/>
        <w:t>Dozavimas ir vartojimo metodas</w:t>
      </w:r>
      <w:bookmarkEnd w:id="14"/>
      <w:bookmarkEnd w:id="15"/>
    </w:p>
    <w:p w14:paraId="6D2344BA" w14:textId="77777777" w:rsidR="00A07EDA" w:rsidRPr="00E37C18" w:rsidRDefault="00A07EDA" w:rsidP="008822CE">
      <w:pPr>
        <w:pStyle w:val="BTEMEASMCA"/>
      </w:pPr>
    </w:p>
    <w:p w14:paraId="7D108742" w14:textId="77777777" w:rsidR="00A07EDA" w:rsidRPr="00E37C18" w:rsidRDefault="00585A77" w:rsidP="008822CE">
      <w:pPr>
        <w:pStyle w:val="BTEMEASMCA"/>
      </w:pPr>
      <w:r w:rsidRPr="00E37C18">
        <w:t>Dozavimas</w:t>
      </w:r>
    </w:p>
    <w:p w14:paraId="7E21DA32" w14:textId="77777777" w:rsidR="00A07EDA" w:rsidRPr="00E37C18" w:rsidRDefault="00A07EDA" w:rsidP="008822CE">
      <w:pPr>
        <w:pStyle w:val="BTEMEASMCA"/>
      </w:pPr>
    </w:p>
    <w:p w14:paraId="73BCADAB" w14:textId="77777777" w:rsidR="00A07EDA" w:rsidRPr="004B4520" w:rsidRDefault="00A07EDA" w:rsidP="00A07EDA">
      <w:pPr>
        <w:pStyle w:val="Pagrindinistekstas"/>
        <w:spacing w:after="0"/>
        <w:rPr>
          <w:i/>
          <w:iCs/>
          <w:szCs w:val="22"/>
          <w:u w:val="single"/>
        </w:rPr>
      </w:pPr>
      <w:r w:rsidRPr="004B4520">
        <w:rPr>
          <w:i/>
          <w:iCs/>
          <w:szCs w:val="22"/>
          <w:u w:val="single"/>
        </w:rPr>
        <w:t>Trichomonozė</w:t>
      </w:r>
    </w:p>
    <w:p w14:paraId="285F5C8D" w14:textId="77777777" w:rsidR="00A07EDA" w:rsidRPr="004B4520" w:rsidRDefault="00A07EDA" w:rsidP="00A07EDA">
      <w:pPr>
        <w:pStyle w:val="Pagrindinistekstas"/>
        <w:spacing w:after="0"/>
        <w:rPr>
          <w:i/>
          <w:szCs w:val="22"/>
        </w:rPr>
      </w:pPr>
      <w:r w:rsidRPr="004B4520">
        <w:rPr>
          <w:b/>
          <w:szCs w:val="22"/>
        </w:rPr>
        <w:t>Pastaba</w:t>
      </w:r>
      <w:r w:rsidRPr="004B4520">
        <w:rPr>
          <w:szCs w:val="22"/>
        </w:rPr>
        <w:t>.</w:t>
      </w:r>
      <w:r w:rsidRPr="004B4520">
        <w:rPr>
          <w:i/>
          <w:szCs w:val="22"/>
        </w:rPr>
        <w:t xml:space="preserve"> </w:t>
      </w:r>
      <w:r w:rsidRPr="004B4520">
        <w:rPr>
          <w:szCs w:val="22"/>
        </w:rPr>
        <w:t>Vienu metu turi būti gydomas ir seksualinis partneris.</w:t>
      </w:r>
      <w:r w:rsidRPr="004B4520">
        <w:rPr>
          <w:i/>
          <w:szCs w:val="22"/>
        </w:rPr>
        <w:t xml:space="preserve"> </w:t>
      </w:r>
    </w:p>
    <w:p w14:paraId="6D6E688F" w14:textId="77777777" w:rsidR="00B910EF" w:rsidRPr="004B4520" w:rsidRDefault="00B910EF" w:rsidP="00A07EDA">
      <w:pPr>
        <w:pStyle w:val="Pagrindinistekstas"/>
        <w:spacing w:after="0"/>
        <w:rPr>
          <w:szCs w:val="22"/>
        </w:rPr>
      </w:pPr>
    </w:p>
    <w:p w14:paraId="3FAE1FE6" w14:textId="77777777" w:rsidR="00A07EDA" w:rsidRPr="004B4520" w:rsidRDefault="00A07EDA" w:rsidP="00A07EDA">
      <w:pPr>
        <w:pStyle w:val="Pagrindinistekstas"/>
        <w:spacing w:after="0"/>
        <w:rPr>
          <w:szCs w:val="22"/>
        </w:rPr>
      </w:pPr>
      <w:r w:rsidRPr="004B4520">
        <w:rPr>
          <w:i/>
          <w:szCs w:val="22"/>
        </w:rPr>
        <w:t>Moterims:</w:t>
      </w:r>
      <w:r w:rsidRPr="004B4520">
        <w:rPr>
          <w:szCs w:val="22"/>
        </w:rPr>
        <w:t xml:space="preserve"> po 250 mg tris kartus per parą ryte ir vakare valgio metu 7 paras.</w:t>
      </w:r>
    </w:p>
    <w:p w14:paraId="160A8E67" w14:textId="77777777" w:rsidR="00B910EF" w:rsidRPr="004B4520" w:rsidRDefault="00B910EF" w:rsidP="00B910EF">
      <w:pPr>
        <w:pStyle w:val="Pagrindinistekstas"/>
        <w:spacing w:after="0"/>
        <w:rPr>
          <w:szCs w:val="22"/>
        </w:rPr>
      </w:pPr>
    </w:p>
    <w:p w14:paraId="2E05C2B6" w14:textId="77777777" w:rsidR="00A07EDA" w:rsidRPr="004B4520" w:rsidRDefault="00A07EDA" w:rsidP="00A07EDA">
      <w:pPr>
        <w:pStyle w:val="Pagrindinistekstas"/>
        <w:spacing w:after="0"/>
        <w:rPr>
          <w:szCs w:val="22"/>
        </w:rPr>
      </w:pPr>
      <w:r w:rsidRPr="004B4520">
        <w:rPr>
          <w:i/>
          <w:szCs w:val="22"/>
        </w:rPr>
        <w:t>Vyrams:</w:t>
      </w:r>
      <w:r w:rsidRPr="004B4520">
        <w:rPr>
          <w:szCs w:val="22"/>
        </w:rPr>
        <w:t xml:space="preserve"> po 250 mg tris kartus per parą ryte ir vakare valgio metu 7 paras. </w:t>
      </w:r>
    </w:p>
    <w:p w14:paraId="2E0B89EC" w14:textId="77777777" w:rsidR="00A07EDA" w:rsidRPr="004B4520" w:rsidRDefault="00A07EDA" w:rsidP="00A07EDA">
      <w:pPr>
        <w:pStyle w:val="Pagrindinistekstas"/>
        <w:spacing w:after="0"/>
        <w:rPr>
          <w:szCs w:val="22"/>
        </w:rPr>
      </w:pPr>
    </w:p>
    <w:p w14:paraId="0BB6F95B" w14:textId="77777777" w:rsidR="00A07EDA" w:rsidRPr="004B4520" w:rsidRDefault="00A07EDA" w:rsidP="00A07EDA">
      <w:pPr>
        <w:pStyle w:val="Pagrindinistekstas"/>
        <w:spacing w:after="0"/>
        <w:rPr>
          <w:i/>
          <w:iCs/>
          <w:szCs w:val="22"/>
          <w:u w:val="single"/>
        </w:rPr>
      </w:pPr>
      <w:r w:rsidRPr="004B4520">
        <w:rPr>
          <w:i/>
          <w:iCs/>
          <w:szCs w:val="22"/>
          <w:u w:val="single"/>
        </w:rPr>
        <w:t>Amebiazė</w:t>
      </w:r>
    </w:p>
    <w:p w14:paraId="0588CAA4" w14:textId="77777777" w:rsidR="00A07EDA" w:rsidRPr="004B4520" w:rsidRDefault="00A07EDA" w:rsidP="00A07EDA">
      <w:pPr>
        <w:pStyle w:val="Pagrindinistekstas"/>
        <w:spacing w:after="0"/>
        <w:rPr>
          <w:i/>
          <w:szCs w:val="22"/>
        </w:rPr>
      </w:pPr>
    </w:p>
    <w:tbl>
      <w:tblPr>
        <w:tblW w:w="475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1818"/>
        <w:gridCol w:w="1119"/>
        <w:gridCol w:w="1608"/>
        <w:gridCol w:w="1410"/>
        <w:gridCol w:w="1326"/>
        <w:gridCol w:w="1326"/>
      </w:tblGrid>
      <w:tr w:rsidR="00A07EDA" w:rsidRPr="004B4520" w14:paraId="040E870D" w14:textId="77777777" w:rsidTr="006C63B0">
        <w:trPr>
          <w:tblCellSpacing w:w="0" w:type="dxa"/>
          <w:jc w:val="center"/>
        </w:trPr>
        <w:tc>
          <w:tcPr>
            <w:tcW w:w="1838" w:type="dxa"/>
            <w:vMerge w:val="restart"/>
          </w:tcPr>
          <w:p w14:paraId="6BD299FE" w14:textId="77777777" w:rsidR="00A07EDA" w:rsidRPr="004B4520" w:rsidRDefault="00A07EDA" w:rsidP="006C63B0">
            <w:pPr>
              <w:rPr>
                <w:sz w:val="22"/>
                <w:szCs w:val="22"/>
              </w:rPr>
            </w:pPr>
            <w:r w:rsidRPr="004B4520">
              <w:rPr>
                <w:sz w:val="22"/>
                <w:szCs w:val="22"/>
              </w:rPr>
              <w:t> </w:t>
            </w:r>
          </w:p>
          <w:p w14:paraId="096A89C2" w14:textId="77777777" w:rsidR="00A07EDA" w:rsidRPr="004B4520" w:rsidRDefault="00A07EDA" w:rsidP="006C63B0">
            <w:pPr>
              <w:rPr>
                <w:sz w:val="22"/>
                <w:szCs w:val="22"/>
              </w:rPr>
            </w:pPr>
            <w:r w:rsidRPr="004B4520">
              <w:rPr>
                <w:sz w:val="22"/>
                <w:szCs w:val="22"/>
              </w:rPr>
              <w:t> </w:t>
            </w:r>
          </w:p>
        </w:tc>
        <w:tc>
          <w:tcPr>
            <w:tcW w:w="1133" w:type="dxa"/>
            <w:vMerge w:val="restart"/>
          </w:tcPr>
          <w:p w14:paraId="57337AEB" w14:textId="77777777" w:rsidR="00A07EDA" w:rsidRPr="004B4520" w:rsidRDefault="00A07EDA" w:rsidP="006C63B0">
            <w:pPr>
              <w:rPr>
                <w:sz w:val="22"/>
                <w:szCs w:val="22"/>
              </w:rPr>
            </w:pPr>
            <w:r w:rsidRPr="004B4520">
              <w:rPr>
                <w:b/>
                <w:bCs/>
                <w:sz w:val="22"/>
                <w:szCs w:val="22"/>
              </w:rPr>
              <w:t>Gydymo trukmė paromis</w:t>
            </w:r>
          </w:p>
        </w:tc>
        <w:tc>
          <w:tcPr>
            <w:tcW w:w="1532" w:type="dxa"/>
            <w:vMerge w:val="restart"/>
          </w:tcPr>
          <w:p w14:paraId="6CFF5FFC" w14:textId="77777777" w:rsidR="00A07EDA" w:rsidRPr="004B4520" w:rsidRDefault="00A07EDA" w:rsidP="006C63B0">
            <w:pPr>
              <w:rPr>
                <w:sz w:val="22"/>
                <w:szCs w:val="22"/>
              </w:rPr>
            </w:pPr>
            <w:r w:rsidRPr="004B4520">
              <w:rPr>
                <w:b/>
                <w:bCs/>
                <w:sz w:val="22"/>
                <w:szCs w:val="22"/>
              </w:rPr>
              <w:t>Suaugusiesiems ir vyresniems kaip 10 metų vaikams</w:t>
            </w:r>
          </w:p>
        </w:tc>
        <w:tc>
          <w:tcPr>
            <w:tcW w:w="4228" w:type="dxa"/>
            <w:gridSpan w:val="3"/>
          </w:tcPr>
          <w:p w14:paraId="1C1245DA" w14:textId="77777777" w:rsidR="00A07EDA" w:rsidRPr="004B4520" w:rsidRDefault="00A07EDA" w:rsidP="006C63B0">
            <w:pPr>
              <w:rPr>
                <w:sz w:val="22"/>
                <w:szCs w:val="22"/>
              </w:rPr>
            </w:pPr>
            <w:r w:rsidRPr="004B4520">
              <w:rPr>
                <w:b/>
                <w:bCs/>
                <w:sz w:val="22"/>
                <w:szCs w:val="22"/>
              </w:rPr>
              <w:t>Vaikams</w:t>
            </w:r>
          </w:p>
        </w:tc>
      </w:tr>
      <w:tr w:rsidR="00A07EDA" w:rsidRPr="004B4520" w14:paraId="00B02A87" w14:textId="77777777" w:rsidTr="006C63B0">
        <w:trPr>
          <w:tblCellSpacing w:w="0" w:type="dxa"/>
          <w:jc w:val="center"/>
        </w:trPr>
        <w:tc>
          <w:tcPr>
            <w:tcW w:w="0" w:type="auto"/>
            <w:vMerge/>
            <w:vAlign w:val="center"/>
          </w:tcPr>
          <w:p w14:paraId="3C5FC2CF" w14:textId="77777777" w:rsidR="00A07EDA" w:rsidRPr="004B4520" w:rsidRDefault="00A07EDA" w:rsidP="006C63B0">
            <w:pPr>
              <w:rPr>
                <w:sz w:val="22"/>
                <w:szCs w:val="22"/>
              </w:rPr>
            </w:pPr>
          </w:p>
        </w:tc>
        <w:tc>
          <w:tcPr>
            <w:tcW w:w="0" w:type="auto"/>
            <w:vMerge/>
            <w:vAlign w:val="center"/>
          </w:tcPr>
          <w:p w14:paraId="40C144CF" w14:textId="77777777" w:rsidR="00A07EDA" w:rsidRPr="004B4520" w:rsidRDefault="00A07EDA" w:rsidP="006C63B0">
            <w:pPr>
              <w:rPr>
                <w:sz w:val="22"/>
                <w:szCs w:val="22"/>
              </w:rPr>
            </w:pPr>
          </w:p>
        </w:tc>
        <w:tc>
          <w:tcPr>
            <w:tcW w:w="0" w:type="auto"/>
            <w:vMerge/>
            <w:vAlign w:val="center"/>
          </w:tcPr>
          <w:p w14:paraId="51798939" w14:textId="77777777" w:rsidR="00A07EDA" w:rsidRPr="004B4520" w:rsidRDefault="00A07EDA" w:rsidP="006C63B0">
            <w:pPr>
              <w:rPr>
                <w:sz w:val="22"/>
                <w:szCs w:val="22"/>
              </w:rPr>
            </w:pPr>
          </w:p>
        </w:tc>
        <w:tc>
          <w:tcPr>
            <w:tcW w:w="1470" w:type="dxa"/>
          </w:tcPr>
          <w:p w14:paraId="3E92293F" w14:textId="77777777" w:rsidR="00A07EDA" w:rsidRPr="004B4520" w:rsidRDefault="00A07EDA" w:rsidP="006C63B0">
            <w:pPr>
              <w:rPr>
                <w:sz w:val="22"/>
                <w:szCs w:val="22"/>
              </w:rPr>
            </w:pPr>
            <w:r w:rsidRPr="004B4520">
              <w:rPr>
                <w:b/>
                <w:bCs/>
                <w:sz w:val="22"/>
                <w:szCs w:val="22"/>
              </w:rPr>
              <w:t>7-10 metų</w:t>
            </w:r>
          </w:p>
        </w:tc>
        <w:tc>
          <w:tcPr>
            <w:tcW w:w="1379" w:type="dxa"/>
          </w:tcPr>
          <w:p w14:paraId="0845320D" w14:textId="77777777" w:rsidR="00A07EDA" w:rsidRPr="004B4520" w:rsidRDefault="00A07EDA" w:rsidP="006C63B0">
            <w:pPr>
              <w:rPr>
                <w:sz w:val="22"/>
                <w:szCs w:val="22"/>
              </w:rPr>
            </w:pPr>
            <w:r w:rsidRPr="004B4520">
              <w:rPr>
                <w:b/>
                <w:bCs/>
                <w:sz w:val="22"/>
                <w:szCs w:val="22"/>
              </w:rPr>
              <w:t>3-7 metų</w:t>
            </w:r>
          </w:p>
        </w:tc>
        <w:tc>
          <w:tcPr>
            <w:tcW w:w="1379" w:type="dxa"/>
          </w:tcPr>
          <w:p w14:paraId="619DE03B" w14:textId="77777777" w:rsidR="00A07EDA" w:rsidRPr="004B4520" w:rsidRDefault="00A07EDA" w:rsidP="006C63B0">
            <w:pPr>
              <w:rPr>
                <w:sz w:val="22"/>
                <w:szCs w:val="22"/>
              </w:rPr>
            </w:pPr>
            <w:r w:rsidRPr="004B4520">
              <w:rPr>
                <w:b/>
                <w:bCs/>
                <w:sz w:val="22"/>
                <w:szCs w:val="22"/>
              </w:rPr>
              <w:t>1-3 metų</w:t>
            </w:r>
          </w:p>
        </w:tc>
      </w:tr>
      <w:tr w:rsidR="00A07EDA" w:rsidRPr="004B4520" w14:paraId="2CEBF23A" w14:textId="77777777" w:rsidTr="006C63B0">
        <w:trPr>
          <w:tblCellSpacing w:w="0" w:type="dxa"/>
          <w:jc w:val="center"/>
        </w:trPr>
        <w:tc>
          <w:tcPr>
            <w:tcW w:w="1838" w:type="dxa"/>
          </w:tcPr>
          <w:p w14:paraId="015C3086" w14:textId="77777777" w:rsidR="00A07EDA" w:rsidRPr="004B4520" w:rsidRDefault="00A07EDA" w:rsidP="006C63B0">
            <w:pPr>
              <w:rPr>
                <w:sz w:val="22"/>
                <w:szCs w:val="22"/>
              </w:rPr>
            </w:pPr>
            <w:r w:rsidRPr="004B4520">
              <w:rPr>
                <w:sz w:val="22"/>
                <w:szCs w:val="22"/>
              </w:rPr>
              <w:lastRenderedPageBreak/>
              <w:t>Invazinė žarnyno amebiazė imliems pacientams</w:t>
            </w:r>
          </w:p>
        </w:tc>
        <w:tc>
          <w:tcPr>
            <w:tcW w:w="1133" w:type="dxa"/>
          </w:tcPr>
          <w:p w14:paraId="48BE2FFD" w14:textId="77777777" w:rsidR="00A07EDA" w:rsidRPr="004B4520" w:rsidRDefault="00A07EDA" w:rsidP="006C63B0">
            <w:pPr>
              <w:rPr>
                <w:sz w:val="22"/>
                <w:szCs w:val="22"/>
              </w:rPr>
            </w:pPr>
            <w:r w:rsidRPr="004B4520">
              <w:rPr>
                <w:sz w:val="22"/>
                <w:szCs w:val="22"/>
              </w:rPr>
              <w:t>5</w:t>
            </w:r>
          </w:p>
        </w:tc>
        <w:tc>
          <w:tcPr>
            <w:tcW w:w="1532" w:type="dxa"/>
          </w:tcPr>
          <w:p w14:paraId="4343E1CD" w14:textId="77777777" w:rsidR="00A07EDA" w:rsidRPr="004B4520" w:rsidRDefault="00A07EDA" w:rsidP="006C63B0">
            <w:pPr>
              <w:rPr>
                <w:sz w:val="22"/>
                <w:szCs w:val="22"/>
              </w:rPr>
            </w:pPr>
            <w:r w:rsidRPr="004B4520">
              <w:rPr>
                <w:sz w:val="22"/>
                <w:szCs w:val="22"/>
              </w:rPr>
              <w:t>Po 750 mg tris kartus per parą</w:t>
            </w:r>
          </w:p>
        </w:tc>
        <w:tc>
          <w:tcPr>
            <w:tcW w:w="1470" w:type="dxa"/>
          </w:tcPr>
          <w:p w14:paraId="1E3A3B62" w14:textId="77777777" w:rsidR="00A07EDA" w:rsidRPr="004B4520" w:rsidRDefault="00A07EDA" w:rsidP="006C63B0">
            <w:pPr>
              <w:rPr>
                <w:sz w:val="22"/>
                <w:szCs w:val="22"/>
              </w:rPr>
            </w:pPr>
            <w:r w:rsidRPr="004B4520">
              <w:rPr>
                <w:sz w:val="22"/>
                <w:szCs w:val="22"/>
              </w:rPr>
              <w:t>Po 375 mg tris kartus per parą</w:t>
            </w:r>
          </w:p>
        </w:tc>
        <w:tc>
          <w:tcPr>
            <w:tcW w:w="1379" w:type="dxa"/>
          </w:tcPr>
          <w:p w14:paraId="3B04E423" w14:textId="77777777" w:rsidR="00A07EDA" w:rsidRPr="004B4520" w:rsidRDefault="00A07EDA" w:rsidP="006C63B0">
            <w:pPr>
              <w:rPr>
                <w:sz w:val="22"/>
                <w:szCs w:val="22"/>
              </w:rPr>
            </w:pPr>
            <w:r w:rsidRPr="004B4520">
              <w:rPr>
                <w:sz w:val="22"/>
                <w:szCs w:val="22"/>
              </w:rPr>
              <w:t>Po 250 mg tris kartus per parą</w:t>
            </w:r>
          </w:p>
        </w:tc>
        <w:tc>
          <w:tcPr>
            <w:tcW w:w="1379" w:type="dxa"/>
          </w:tcPr>
          <w:p w14:paraId="45B0DBC5" w14:textId="77777777" w:rsidR="00A07EDA" w:rsidRPr="004B4520" w:rsidRDefault="00A07EDA" w:rsidP="006C63B0">
            <w:pPr>
              <w:rPr>
                <w:sz w:val="22"/>
                <w:szCs w:val="22"/>
              </w:rPr>
            </w:pPr>
            <w:r w:rsidRPr="004B4520">
              <w:rPr>
                <w:sz w:val="22"/>
                <w:szCs w:val="22"/>
              </w:rPr>
              <w:t>Po 250 mg du kartus per parą</w:t>
            </w:r>
          </w:p>
        </w:tc>
      </w:tr>
      <w:tr w:rsidR="00A07EDA" w:rsidRPr="004B4520" w14:paraId="27FC4704" w14:textId="77777777" w:rsidTr="006C63B0">
        <w:trPr>
          <w:tblCellSpacing w:w="0" w:type="dxa"/>
          <w:jc w:val="center"/>
        </w:trPr>
        <w:tc>
          <w:tcPr>
            <w:tcW w:w="1838" w:type="dxa"/>
          </w:tcPr>
          <w:p w14:paraId="72B876DB" w14:textId="77777777" w:rsidR="00A07EDA" w:rsidRPr="004B4520" w:rsidRDefault="00A07EDA" w:rsidP="006C63B0">
            <w:pPr>
              <w:rPr>
                <w:sz w:val="22"/>
                <w:szCs w:val="22"/>
              </w:rPr>
            </w:pPr>
            <w:r w:rsidRPr="004B4520">
              <w:rPr>
                <w:sz w:val="22"/>
                <w:szCs w:val="22"/>
              </w:rPr>
              <w:t>Žarnyno amebiazė mažiau imliems pacientams ir lėtinis amebinis hepatitas</w:t>
            </w:r>
          </w:p>
        </w:tc>
        <w:tc>
          <w:tcPr>
            <w:tcW w:w="1133" w:type="dxa"/>
          </w:tcPr>
          <w:p w14:paraId="29B49CF5" w14:textId="77777777" w:rsidR="00A07EDA" w:rsidRPr="004B4520" w:rsidRDefault="00A07EDA" w:rsidP="006C63B0">
            <w:pPr>
              <w:rPr>
                <w:sz w:val="22"/>
                <w:szCs w:val="22"/>
              </w:rPr>
            </w:pPr>
            <w:r w:rsidRPr="004B4520">
              <w:rPr>
                <w:sz w:val="22"/>
                <w:szCs w:val="22"/>
              </w:rPr>
              <w:t>5-10</w:t>
            </w:r>
          </w:p>
        </w:tc>
        <w:tc>
          <w:tcPr>
            <w:tcW w:w="1532" w:type="dxa"/>
          </w:tcPr>
          <w:p w14:paraId="10F61DFA" w14:textId="77777777" w:rsidR="00A07EDA" w:rsidRPr="004B4520" w:rsidRDefault="00A07EDA" w:rsidP="006C63B0">
            <w:pPr>
              <w:rPr>
                <w:sz w:val="22"/>
                <w:szCs w:val="22"/>
              </w:rPr>
            </w:pPr>
            <w:r w:rsidRPr="004B4520">
              <w:rPr>
                <w:sz w:val="22"/>
                <w:szCs w:val="22"/>
              </w:rPr>
              <w:t>Po 375 mg tris kartus per parą</w:t>
            </w:r>
          </w:p>
        </w:tc>
        <w:tc>
          <w:tcPr>
            <w:tcW w:w="1470" w:type="dxa"/>
          </w:tcPr>
          <w:p w14:paraId="4CE8B16C" w14:textId="77777777" w:rsidR="00A07EDA" w:rsidRPr="004B4520" w:rsidRDefault="00A07EDA" w:rsidP="006C63B0">
            <w:pPr>
              <w:rPr>
                <w:sz w:val="22"/>
                <w:szCs w:val="22"/>
              </w:rPr>
            </w:pPr>
            <w:r w:rsidRPr="004B4520">
              <w:rPr>
                <w:sz w:val="22"/>
                <w:szCs w:val="22"/>
              </w:rPr>
              <w:t>Po 250 mg du kartus per parą</w:t>
            </w:r>
          </w:p>
        </w:tc>
        <w:tc>
          <w:tcPr>
            <w:tcW w:w="1379" w:type="dxa"/>
          </w:tcPr>
          <w:p w14:paraId="15EB5F84" w14:textId="77777777" w:rsidR="00A07EDA" w:rsidRPr="004B4520" w:rsidRDefault="00A07EDA" w:rsidP="006C63B0">
            <w:pPr>
              <w:rPr>
                <w:sz w:val="22"/>
                <w:szCs w:val="22"/>
              </w:rPr>
            </w:pPr>
            <w:r w:rsidRPr="004B4520">
              <w:rPr>
                <w:sz w:val="22"/>
                <w:szCs w:val="22"/>
              </w:rPr>
              <w:t>Po 125 mg tris kartus per parą</w:t>
            </w:r>
          </w:p>
        </w:tc>
        <w:tc>
          <w:tcPr>
            <w:tcW w:w="1379" w:type="dxa"/>
          </w:tcPr>
          <w:p w14:paraId="01BC1849" w14:textId="77777777" w:rsidR="00A07EDA" w:rsidRPr="004B4520" w:rsidRDefault="00A07EDA" w:rsidP="006C63B0">
            <w:pPr>
              <w:rPr>
                <w:sz w:val="22"/>
                <w:szCs w:val="22"/>
              </w:rPr>
            </w:pPr>
            <w:r w:rsidRPr="004B4520">
              <w:rPr>
                <w:sz w:val="22"/>
                <w:szCs w:val="22"/>
              </w:rPr>
              <w:t>Po 125 mg du kartus per parą</w:t>
            </w:r>
          </w:p>
        </w:tc>
      </w:tr>
      <w:tr w:rsidR="00A07EDA" w:rsidRPr="004B4520" w14:paraId="6E9157E9" w14:textId="77777777" w:rsidTr="006C63B0">
        <w:trPr>
          <w:tblCellSpacing w:w="0" w:type="dxa"/>
          <w:jc w:val="center"/>
        </w:trPr>
        <w:tc>
          <w:tcPr>
            <w:tcW w:w="1838" w:type="dxa"/>
          </w:tcPr>
          <w:p w14:paraId="143D3B86" w14:textId="77777777" w:rsidR="00A07EDA" w:rsidRPr="004B4520" w:rsidRDefault="00A07EDA" w:rsidP="006C63B0">
            <w:pPr>
              <w:rPr>
                <w:sz w:val="22"/>
                <w:szCs w:val="22"/>
              </w:rPr>
            </w:pPr>
            <w:r w:rsidRPr="004B4520">
              <w:rPr>
                <w:sz w:val="22"/>
                <w:szCs w:val="22"/>
              </w:rPr>
              <w:t>Amebinis kepenų pūlinys, taip pat kitos ekstraintestinės amebiazės formos</w:t>
            </w:r>
          </w:p>
        </w:tc>
        <w:tc>
          <w:tcPr>
            <w:tcW w:w="1133" w:type="dxa"/>
          </w:tcPr>
          <w:p w14:paraId="0C2150B6" w14:textId="77777777" w:rsidR="00A07EDA" w:rsidRPr="004B4520" w:rsidRDefault="00A07EDA" w:rsidP="006C63B0">
            <w:pPr>
              <w:rPr>
                <w:sz w:val="22"/>
                <w:szCs w:val="22"/>
              </w:rPr>
            </w:pPr>
            <w:r w:rsidRPr="004B4520">
              <w:rPr>
                <w:sz w:val="22"/>
                <w:szCs w:val="22"/>
              </w:rPr>
              <w:t>5</w:t>
            </w:r>
          </w:p>
        </w:tc>
        <w:tc>
          <w:tcPr>
            <w:tcW w:w="1532" w:type="dxa"/>
          </w:tcPr>
          <w:p w14:paraId="7521FF1A" w14:textId="77777777" w:rsidR="00A07EDA" w:rsidRPr="004B4520" w:rsidRDefault="00A07EDA" w:rsidP="006C63B0">
            <w:pPr>
              <w:rPr>
                <w:sz w:val="22"/>
                <w:szCs w:val="22"/>
              </w:rPr>
            </w:pPr>
            <w:r w:rsidRPr="004B4520">
              <w:rPr>
                <w:sz w:val="22"/>
                <w:szCs w:val="22"/>
              </w:rPr>
              <w:t>Po 375 mg tris kartus per parą</w:t>
            </w:r>
          </w:p>
        </w:tc>
        <w:tc>
          <w:tcPr>
            <w:tcW w:w="1470" w:type="dxa"/>
          </w:tcPr>
          <w:p w14:paraId="34446FFF" w14:textId="77777777" w:rsidR="00A07EDA" w:rsidRPr="004B4520" w:rsidRDefault="00A07EDA" w:rsidP="006C63B0">
            <w:pPr>
              <w:rPr>
                <w:sz w:val="22"/>
                <w:szCs w:val="22"/>
              </w:rPr>
            </w:pPr>
            <w:r w:rsidRPr="004B4520">
              <w:rPr>
                <w:sz w:val="22"/>
                <w:szCs w:val="22"/>
              </w:rPr>
              <w:t>Po 250 mg du kartus per parą</w:t>
            </w:r>
          </w:p>
        </w:tc>
        <w:tc>
          <w:tcPr>
            <w:tcW w:w="1379" w:type="dxa"/>
          </w:tcPr>
          <w:p w14:paraId="408964AD" w14:textId="77777777" w:rsidR="00A07EDA" w:rsidRPr="004B4520" w:rsidRDefault="00A07EDA" w:rsidP="006C63B0">
            <w:pPr>
              <w:rPr>
                <w:sz w:val="22"/>
                <w:szCs w:val="22"/>
              </w:rPr>
            </w:pPr>
            <w:r w:rsidRPr="004B4520">
              <w:rPr>
                <w:sz w:val="22"/>
                <w:szCs w:val="22"/>
              </w:rPr>
              <w:t>Po 125 mg tris kartus per parą</w:t>
            </w:r>
          </w:p>
        </w:tc>
        <w:tc>
          <w:tcPr>
            <w:tcW w:w="1379" w:type="dxa"/>
          </w:tcPr>
          <w:p w14:paraId="71E80EEC" w14:textId="77777777" w:rsidR="00A07EDA" w:rsidRPr="004B4520" w:rsidRDefault="00A07EDA" w:rsidP="006C63B0">
            <w:pPr>
              <w:rPr>
                <w:sz w:val="22"/>
                <w:szCs w:val="22"/>
              </w:rPr>
            </w:pPr>
            <w:r w:rsidRPr="004B4520">
              <w:rPr>
                <w:sz w:val="22"/>
                <w:szCs w:val="22"/>
              </w:rPr>
              <w:t>Po 125 mg du kartus per parą</w:t>
            </w:r>
          </w:p>
        </w:tc>
      </w:tr>
      <w:tr w:rsidR="00A07EDA" w:rsidRPr="004B4520" w14:paraId="513A21EA" w14:textId="77777777" w:rsidTr="006C63B0">
        <w:trPr>
          <w:tblCellSpacing w:w="0" w:type="dxa"/>
          <w:jc w:val="center"/>
        </w:trPr>
        <w:tc>
          <w:tcPr>
            <w:tcW w:w="1838" w:type="dxa"/>
          </w:tcPr>
          <w:p w14:paraId="58E6804D" w14:textId="77777777" w:rsidR="00A07EDA" w:rsidRPr="004B4520" w:rsidRDefault="00A07EDA" w:rsidP="006C63B0">
            <w:pPr>
              <w:rPr>
                <w:sz w:val="22"/>
                <w:szCs w:val="22"/>
              </w:rPr>
            </w:pPr>
            <w:r w:rsidRPr="004B4520">
              <w:rPr>
                <w:sz w:val="22"/>
                <w:szCs w:val="22"/>
              </w:rPr>
              <w:t>Besimptomiams cistų nešiotojams</w:t>
            </w:r>
          </w:p>
        </w:tc>
        <w:tc>
          <w:tcPr>
            <w:tcW w:w="1133" w:type="dxa"/>
          </w:tcPr>
          <w:p w14:paraId="1DD4F127" w14:textId="77777777" w:rsidR="00A07EDA" w:rsidRPr="004B4520" w:rsidRDefault="00A07EDA" w:rsidP="006C63B0">
            <w:pPr>
              <w:rPr>
                <w:sz w:val="22"/>
                <w:szCs w:val="22"/>
              </w:rPr>
            </w:pPr>
            <w:r w:rsidRPr="004B4520">
              <w:rPr>
                <w:sz w:val="22"/>
                <w:szCs w:val="22"/>
              </w:rPr>
              <w:t>5-10</w:t>
            </w:r>
          </w:p>
        </w:tc>
        <w:tc>
          <w:tcPr>
            <w:tcW w:w="1532" w:type="dxa"/>
          </w:tcPr>
          <w:p w14:paraId="0D341D38" w14:textId="77777777" w:rsidR="00A07EDA" w:rsidRPr="004B4520" w:rsidRDefault="00A07EDA" w:rsidP="006C63B0">
            <w:pPr>
              <w:rPr>
                <w:sz w:val="22"/>
                <w:szCs w:val="22"/>
              </w:rPr>
            </w:pPr>
            <w:r w:rsidRPr="004B4520">
              <w:rPr>
                <w:sz w:val="22"/>
                <w:szCs w:val="22"/>
              </w:rPr>
              <w:t>Po 375-750 mg tris kartus per parą</w:t>
            </w:r>
          </w:p>
        </w:tc>
        <w:tc>
          <w:tcPr>
            <w:tcW w:w="1470" w:type="dxa"/>
          </w:tcPr>
          <w:p w14:paraId="23519BBA" w14:textId="77777777" w:rsidR="00A07EDA" w:rsidRPr="004B4520" w:rsidRDefault="00A07EDA" w:rsidP="006C63B0">
            <w:pPr>
              <w:rPr>
                <w:sz w:val="22"/>
                <w:szCs w:val="22"/>
              </w:rPr>
            </w:pPr>
            <w:r w:rsidRPr="004B4520">
              <w:rPr>
                <w:sz w:val="22"/>
                <w:szCs w:val="22"/>
              </w:rPr>
              <w:t>Po 250-500 mg du kartus per parą</w:t>
            </w:r>
          </w:p>
        </w:tc>
        <w:tc>
          <w:tcPr>
            <w:tcW w:w="1379" w:type="dxa"/>
          </w:tcPr>
          <w:p w14:paraId="0CCFF2C2" w14:textId="77777777" w:rsidR="00A07EDA" w:rsidRPr="004B4520" w:rsidRDefault="00A07EDA" w:rsidP="006C63B0">
            <w:pPr>
              <w:rPr>
                <w:sz w:val="22"/>
                <w:szCs w:val="22"/>
              </w:rPr>
            </w:pPr>
            <w:r w:rsidRPr="004B4520">
              <w:rPr>
                <w:sz w:val="22"/>
                <w:szCs w:val="22"/>
              </w:rPr>
              <w:t>Po 125-250 mg tris kartus per parą</w:t>
            </w:r>
          </w:p>
        </w:tc>
        <w:tc>
          <w:tcPr>
            <w:tcW w:w="1379" w:type="dxa"/>
          </w:tcPr>
          <w:p w14:paraId="20A0BB32" w14:textId="77777777" w:rsidR="00A07EDA" w:rsidRPr="004B4520" w:rsidRDefault="00A07EDA" w:rsidP="006C63B0">
            <w:pPr>
              <w:rPr>
                <w:sz w:val="22"/>
                <w:szCs w:val="22"/>
              </w:rPr>
            </w:pPr>
            <w:r w:rsidRPr="004B4520">
              <w:rPr>
                <w:sz w:val="22"/>
                <w:szCs w:val="22"/>
              </w:rPr>
              <w:t>Po 125-250 mg du kartus per parą</w:t>
            </w:r>
          </w:p>
        </w:tc>
      </w:tr>
    </w:tbl>
    <w:p w14:paraId="3E33E30D" w14:textId="77777777" w:rsidR="00A07EDA" w:rsidRPr="004B4520" w:rsidRDefault="00A07EDA" w:rsidP="00A07EDA">
      <w:pPr>
        <w:pStyle w:val="Pagrindinistekstas"/>
        <w:spacing w:after="0"/>
        <w:rPr>
          <w:i/>
          <w:szCs w:val="22"/>
        </w:rPr>
      </w:pPr>
    </w:p>
    <w:p w14:paraId="679A49C7" w14:textId="77777777" w:rsidR="00A07EDA" w:rsidRPr="004B4520" w:rsidRDefault="00A07EDA" w:rsidP="00A07EDA">
      <w:pPr>
        <w:pStyle w:val="Pagrindinistekstas"/>
        <w:spacing w:after="0"/>
        <w:rPr>
          <w:i/>
          <w:iCs/>
          <w:szCs w:val="22"/>
          <w:u w:val="single"/>
        </w:rPr>
      </w:pPr>
      <w:r w:rsidRPr="004B4520">
        <w:rPr>
          <w:i/>
          <w:iCs/>
          <w:szCs w:val="22"/>
          <w:u w:val="single"/>
        </w:rPr>
        <w:t>Giardiazė (liambliozė)</w:t>
      </w:r>
    </w:p>
    <w:p w14:paraId="250D5241" w14:textId="77777777" w:rsidR="00A07EDA" w:rsidRPr="004B4520" w:rsidRDefault="00A07EDA" w:rsidP="00A07EDA">
      <w:pPr>
        <w:pStyle w:val="Pagrindinistekstas"/>
        <w:spacing w:after="0"/>
        <w:rPr>
          <w:i/>
          <w:szCs w:val="22"/>
        </w:rPr>
      </w:pPr>
      <w:r w:rsidRPr="004B4520">
        <w:rPr>
          <w:i/>
          <w:szCs w:val="22"/>
        </w:rPr>
        <w:t>Suaugusiesiems:</w:t>
      </w:r>
    </w:p>
    <w:p w14:paraId="0B193DDD" w14:textId="77777777" w:rsidR="00A07EDA" w:rsidRPr="004B4520" w:rsidRDefault="00A07EDA" w:rsidP="00A07EDA">
      <w:pPr>
        <w:pStyle w:val="Pagrindinistekstas"/>
        <w:spacing w:after="0"/>
        <w:rPr>
          <w:szCs w:val="22"/>
        </w:rPr>
      </w:pPr>
      <w:r w:rsidRPr="004B4520">
        <w:rPr>
          <w:szCs w:val="22"/>
        </w:rPr>
        <w:t>Po 500 mg du kartus per parą 7-10 parų arba po 2000 mg vieną kartą per parą 3 paras.</w:t>
      </w:r>
    </w:p>
    <w:p w14:paraId="62670E3E" w14:textId="77777777" w:rsidR="004B4520" w:rsidRPr="004B4520" w:rsidRDefault="004B4520" w:rsidP="00A07EDA">
      <w:pPr>
        <w:pStyle w:val="Pagrindinistekstas"/>
        <w:spacing w:after="0"/>
        <w:rPr>
          <w:szCs w:val="22"/>
        </w:rPr>
      </w:pPr>
    </w:p>
    <w:p w14:paraId="269A3AE4" w14:textId="77777777" w:rsidR="00A07EDA" w:rsidRPr="004B4520" w:rsidRDefault="00A07EDA" w:rsidP="00A07EDA">
      <w:pPr>
        <w:pStyle w:val="Pagrindinistekstas"/>
        <w:spacing w:after="0"/>
        <w:rPr>
          <w:i/>
          <w:szCs w:val="22"/>
        </w:rPr>
      </w:pPr>
      <w:r w:rsidRPr="004B4520">
        <w:rPr>
          <w:i/>
          <w:szCs w:val="22"/>
        </w:rPr>
        <w:t>Vaikams:</w:t>
      </w:r>
    </w:p>
    <w:p w14:paraId="05D1F28E" w14:textId="77777777" w:rsidR="00A07EDA" w:rsidRPr="004B4520" w:rsidRDefault="00A07EDA" w:rsidP="00A07EDA">
      <w:pPr>
        <w:pStyle w:val="Pagrindinistekstas"/>
        <w:numPr>
          <w:ilvl w:val="0"/>
          <w:numId w:val="3"/>
        </w:numPr>
        <w:tabs>
          <w:tab w:val="clear" w:pos="720"/>
          <w:tab w:val="num" w:pos="567"/>
        </w:tabs>
        <w:spacing w:after="0"/>
        <w:ind w:left="0" w:firstLine="0"/>
        <w:rPr>
          <w:szCs w:val="22"/>
        </w:rPr>
      </w:pPr>
      <w:r w:rsidRPr="004B4520">
        <w:rPr>
          <w:szCs w:val="22"/>
        </w:rPr>
        <w:t xml:space="preserve">1-3 metų – 500 mg per parą 3 paras; </w:t>
      </w:r>
    </w:p>
    <w:p w14:paraId="6252EE20" w14:textId="77777777" w:rsidR="00A07EDA" w:rsidRPr="004B4520" w:rsidRDefault="00A07EDA" w:rsidP="00A07EDA">
      <w:pPr>
        <w:pStyle w:val="Pagrindinistekstas"/>
        <w:numPr>
          <w:ilvl w:val="0"/>
          <w:numId w:val="3"/>
        </w:numPr>
        <w:tabs>
          <w:tab w:val="clear" w:pos="720"/>
          <w:tab w:val="num" w:pos="567"/>
        </w:tabs>
        <w:spacing w:after="0"/>
        <w:ind w:left="0" w:firstLine="0"/>
        <w:rPr>
          <w:szCs w:val="22"/>
        </w:rPr>
      </w:pPr>
      <w:r w:rsidRPr="004B4520">
        <w:rPr>
          <w:szCs w:val="22"/>
        </w:rPr>
        <w:t>3-7 metų – 500-750 mg per parą 3 paras;</w:t>
      </w:r>
    </w:p>
    <w:p w14:paraId="228638D7" w14:textId="77777777" w:rsidR="00A07EDA" w:rsidRPr="004B4520" w:rsidRDefault="00A07EDA" w:rsidP="00A07EDA">
      <w:pPr>
        <w:pStyle w:val="Pagrindinistekstas"/>
        <w:numPr>
          <w:ilvl w:val="0"/>
          <w:numId w:val="3"/>
        </w:numPr>
        <w:tabs>
          <w:tab w:val="clear" w:pos="720"/>
          <w:tab w:val="num" w:pos="567"/>
        </w:tabs>
        <w:spacing w:after="0"/>
        <w:ind w:left="0" w:firstLine="0"/>
        <w:rPr>
          <w:szCs w:val="22"/>
        </w:rPr>
      </w:pPr>
      <w:r w:rsidRPr="004B4520">
        <w:rPr>
          <w:szCs w:val="22"/>
        </w:rPr>
        <w:t>7-10 metų – 1000 mg per parą 3 paras.</w:t>
      </w:r>
    </w:p>
    <w:p w14:paraId="123F4336" w14:textId="77777777" w:rsidR="00A07EDA" w:rsidRPr="004B4520" w:rsidRDefault="00A07EDA" w:rsidP="00A07EDA">
      <w:pPr>
        <w:pStyle w:val="Pagrindinistekstas"/>
        <w:spacing w:after="0"/>
        <w:rPr>
          <w:szCs w:val="22"/>
        </w:rPr>
      </w:pPr>
    </w:p>
    <w:p w14:paraId="20021D73" w14:textId="77777777" w:rsidR="00A07EDA" w:rsidRPr="004B4520" w:rsidRDefault="00A07EDA" w:rsidP="00A07EDA">
      <w:pPr>
        <w:pStyle w:val="Pagrindinistekstas"/>
        <w:spacing w:after="0"/>
        <w:rPr>
          <w:szCs w:val="22"/>
        </w:rPr>
      </w:pPr>
      <w:r w:rsidRPr="004B4520">
        <w:rPr>
          <w:szCs w:val="22"/>
        </w:rPr>
        <w:t>Prireikus, gydytojo nurodymu, po 4-6 savaičių gydymą galima kartoti.</w:t>
      </w:r>
    </w:p>
    <w:p w14:paraId="0C308C6A" w14:textId="77777777" w:rsidR="00A07EDA" w:rsidRPr="004B4520" w:rsidRDefault="00A07EDA" w:rsidP="00A07EDA">
      <w:pPr>
        <w:pStyle w:val="Pagrindinistekstas"/>
        <w:spacing w:after="0"/>
        <w:rPr>
          <w:szCs w:val="22"/>
        </w:rPr>
      </w:pPr>
    </w:p>
    <w:p w14:paraId="3D87647F" w14:textId="77777777" w:rsidR="00A07EDA" w:rsidRPr="004B4520" w:rsidRDefault="00A07EDA" w:rsidP="00A07EDA">
      <w:pPr>
        <w:pStyle w:val="Pagrindinistekstas"/>
        <w:spacing w:after="0"/>
        <w:rPr>
          <w:i/>
          <w:iCs/>
          <w:szCs w:val="22"/>
          <w:u w:val="single"/>
        </w:rPr>
      </w:pPr>
      <w:r w:rsidRPr="004B4520">
        <w:rPr>
          <w:i/>
          <w:iCs/>
          <w:szCs w:val="22"/>
          <w:u w:val="single"/>
        </w:rPr>
        <w:t xml:space="preserve">Anaerobinių bakterijų sukelta infekcija </w:t>
      </w:r>
    </w:p>
    <w:p w14:paraId="0E273980" w14:textId="77777777" w:rsidR="00A07EDA" w:rsidRPr="004B4520" w:rsidRDefault="00A07EDA" w:rsidP="00A07EDA">
      <w:pPr>
        <w:pStyle w:val="Pagrindinistekstas"/>
        <w:spacing w:after="0"/>
        <w:rPr>
          <w:szCs w:val="22"/>
        </w:rPr>
      </w:pPr>
      <w:r w:rsidRPr="004B4520">
        <w:rPr>
          <w:szCs w:val="22"/>
        </w:rPr>
        <w:t>Galima skirti vien metronidazolo arba kartu su kitais antibakteriniais vaistiniais preparatais. Vidutinė gydymo trukmė turėtų būti ne ilgesnė kaip 7 paros.</w:t>
      </w:r>
    </w:p>
    <w:p w14:paraId="11D5A36B" w14:textId="77777777" w:rsidR="00B910EF" w:rsidRPr="004B4520" w:rsidRDefault="00B910EF" w:rsidP="00B910EF">
      <w:pPr>
        <w:pStyle w:val="Pagrindinistekstas"/>
        <w:spacing w:after="0"/>
        <w:rPr>
          <w:szCs w:val="22"/>
        </w:rPr>
      </w:pPr>
    </w:p>
    <w:p w14:paraId="4BEAF106" w14:textId="77777777" w:rsidR="00A07EDA" w:rsidRPr="004B4520" w:rsidRDefault="00A07EDA" w:rsidP="00A07EDA">
      <w:pPr>
        <w:pStyle w:val="Pagrindinistekstas"/>
        <w:spacing w:after="0"/>
        <w:rPr>
          <w:szCs w:val="22"/>
        </w:rPr>
      </w:pPr>
      <w:r w:rsidRPr="004B4520">
        <w:rPr>
          <w:i/>
          <w:szCs w:val="22"/>
        </w:rPr>
        <w:t>Suaugusiesiems ir vyresniems kaip 12 metų vaikams:</w:t>
      </w:r>
      <w:r w:rsidRPr="004B4520">
        <w:rPr>
          <w:szCs w:val="22"/>
        </w:rPr>
        <w:t xml:space="preserve"> po vieną arba dvi 250 mg tabletes tris kartus per parą valgio metu ar po jo. </w:t>
      </w:r>
    </w:p>
    <w:p w14:paraId="0F2D5304" w14:textId="77777777" w:rsidR="00B910EF" w:rsidRPr="004B4520" w:rsidRDefault="00B910EF" w:rsidP="00B910EF">
      <w:pPr>
        <w:pStyle w:val="Pagrindinistekstas"/>
        <w:spacing w:after="0"/>
        <w:rPr>
          <w:szCs w:val="22"/>
        </w:rPr>
      </w:pPr>
    </w:p>
    <w:p w14:paraId="58D68024" w14:textId="77777777" w:rsidR="00A07EDA" w:rsidRPr="004B4520" w:rsidRDefault="00A07EDA" w:rsidP="00A07EDA">
      <w:pPr>
        <w:pStyle w:val="Pagrindinistekstas"/>
        <w:spacing w:after="0"/>
        <w:rPr>
          <w:szCs w:val="22"/>
        </w:rPr>
      </w:pPr>
      <w:r w:rsidRPr="004B4520">
        <w:rPr>
          <w:i/>
          <w:szCs w:val="22"/>
        </w:rPr>
        <w:t>Vyresniems kaip 8 savaičių kūdikiams - jaunesniems kaip 12 metų vaikams:</w:t>
      </w:r>
      <w:r w:rsidRPr="004B4520">
        <w:rPr>
          <w:szCs w:val="22"/>
        </w:rPr>
        <w:t xml:space="preserve"> 7,5 mg/kg kūno svorio dozė tris kartus per parą valgio metu ar po jo.</w:t>
      </w:r>
    </w:p>
    <w:p w14:paraId="37FECE0E" w14:textId="77777777" w:rsidR="00B910EF" w:rsidRPr="004B4520" w:rsidRDefault="00B910EF" w:rsidP="00B910EF">
      <w:pPr>
        <w:pStyle w:val="Pagrindinistekstas"/>
        <w:spacing w:after="0"/>
        <w:rPr>
          <w:szCs w:val="22"/>
        </w:rPr>
      </w:pPr>
    </w:p>
    <w:p w14:paraId="4533B4EB" w14:textId="77777777" w:rsidR="00A07EDA" w:rsidRPr="004B4520" w:rsidRDefault="00A07EDA" w:rsidP="00A07EDA">
      <w:pPr>
        <w:pStyle w:val="Pagrindinistekstas"/>
        <w:spacing w:after="0"/>
        <w:rPr>
          <w:szCs w:val="22"/>
        </w:rPr>
      </w:pPr>
      <w:r w:rsidRPr="004B4520">
        <w:rPr>
          <w:i/>
          <w:szCs w:val="22"/>
        </w:rPr>
        <w:t>Jaunesniems kaip 8 savaičių kūdikiams:</w:t>
      </w:r>
      <w:r w:rsidRPr="004B4520">
        <w:rPr>
          <w:szCs w:val="22"/>
        </w:rPr>
        <w:t xml:space="preserve"> 7,5 mg/kg kūno svorio dozė du kartus per parą valgio metu ar po jo. </w:t>
      </w:r>
    </w:p>
    <w:p w14:paraId="6BB0804C" w14:textId="77777777" w:rsidR="00A07EDA" w:rsidRPr="004B4520" w:rsidRDefault="00A07EDA" w:rsidP="00A07EDA">
      <w:pPr>
        <w:pStyle w:val="Pagrindinistekstas"/>
        <w:spacing w:after="0"/>
        <w:rPr>
          <w:szCs w:val="22"/>
        </w:rPr>
      </w:pPr>
      <w:r w:rsidRPr="004B4520">
        <w:rPr>
          <w:szCs w:val="22"/>
        </w:rPr>
        <w:t xml:space="preserve">Per parą negalima viršyti didžiausios </w:t>
      </w:r>
      <w:smartTag w:uri="urn:schemas-microsoft-com:office:smarttags" w:element="metricconverter">
        <w:smartTagPr>
          <w:attr w:name="ProductID" w:val="4 g"/>
        </w:smartTagPr>
        <w:r w:rsidRPr="004B4520">
          <w:rPr>
            <w:szCs w:val="22"/>
          </w:rPr>
          <w:t>4 g</w:t>
        </w:r>
      </w:smartTag>
      <w:r w:rsidRPr="004B4520">
        <w:rPr>
          <w:szCs w:val="22"/>
        </w:rPr>
        <w:t xml:space="preserve"> dozės.</w:t>
      </w:r>
    </w:p>
    <w:p w14:paraId="6D36D725" w14:textId="77777777" w:rsidR="00A07EDA" w:rsidRPr="004B4520" w:rsidRDefault="00A07EDA" w:rsidP="00A07EDA">
      <w:pPr>
        <w:pStyle w:val="Pagrindinistekstas"/>
        <w:spacing w:after="0"/>
        <w:rPr>
          <w:szCs w:val="22"/>
        </w:rPr>
      </w:pPr>
    </w:p>
    <w:p w14:paraId="6BE8AA3D" w14:textId="77777777" w:rsidR="00A07EDA" w:rsidRPr="004B4520" w:rsidRDefault="00A07EDA" w:rsidP="00A07EDA">
      <w:pPr>
        <w:pStyle w:val="Pagrindinistekstas"/>
        <w:spacing w:after="0"/>
        <w:rPr>
          <w:szCs w:val="22"/>
        </w:rPr>
      </w:pPr>
      <w:r w:rsidRPr="004B4520">
        <w:rPr>
          <w:i/>
          <w:szCs w:val="22"/>
          <w:u w:val="single"/>
        </w:rPr>
        <w:t>Helicobacter pylori infekcijai išnaikinti sergant skrandžio ar dvylikapirštės žarnos opalige</w:t>
      </w:r>
    </w:p>
    <w:p w14:paraId="57D7D37B" w14:textId="77777777" w:rsidR="00A07EDA" w:rsidRPr="00BD605E" w:rsidRDefault="00A07EDA" w:rsidP="008822CE">
      <w:pPr>
        <w:pStyle w:val="BTEMEASMCA"/>
        <w:rPr>
          <w:lang w:val="lt-LT"/>
        </w:rPr>
      </w:pPr>
      <w:r w:rsidRPr="00BD605E">
        <w:rPr>
          <w:lang w:val="lt-LT"/>
        </w:rPr>
        <w:t xml:space="preserve">Metronidazolo reikia skirti mažiausiai 7 paras kartu su kitais </w:t>
      </w:r>
      <w:r w:rsidRPr="00BD605E">
        <w:rPr>
          <w:i/>
          <w:lang w:val="lt-LT"/>
        </w:rPr>
        <w:t>Helicobacter pylori</w:t>
      </w:r>
      <w:r w:rsidRPr="00BD605E">
        <w:rPr>
          <w:lang w:val="lt-LT"/>
        </w:rPr>
        <w:t xml:space="preserve"> infekcijai išnaikinti rekomenduojamais vaistiniais preparatais.</w:t>
      </w:r>
    </w:p>
    <w:p w14:paraId="0DD8F020" w14:textId="77777777" w:rsidR="00B910EF" w:rsidRPr="004B4520" w:rsidRDefault="00B910EF" w:rsidP="00B910EF">
      <w:pPr>
        <w:pStyle w:val="Pagrindinistekstas"/>
        <w:spacing w:after="0"/>
        <w:rPr>
          <w:szCs w:val="22"/>
        </w:rPr>
      </w:pPr>
    </w:p>
    <w:p w14:paraId="5680B851" w14:textId="77777777" w:rsidR="00A07EDA" w:rsidRPr="004B4520" w:rsidRDefault="00A07EDA" w:rsidP="00A07EDA">
      <w:pPr>
        <w:pStyle w:val="Pagrindinistekstas"/>
        <w:spacing w:after="0"/>
        <w:rPr>
          <w:szCs w:val="22"/>
        </w:rPr>
      </w:pPr>
      <w:r w:rsidRPr="004B4520">
        <w:rPr>
          <w:i/>
          <w:szCs w:val="22"/>
        </w:rPr>
        <w:t>Suaugusiesiems:</w:t>
      </w:r>
      <w:r w:rsidRPr="004B4520">
        <w:rPr>
          <w:szCs w:val="22"/>
        </w:rPr>
        <w:t xml:space="preserve"> po 500 mg 2-3 kartus per parą 7-14 parų.</w:t>
      </w:r>
    </w:p>
    <w:p w14:paraId="232BDA36" w14:textId="77777777" w:rsidR="00B910EF" w:rsidRPr="004B4520" w:rsidRDefault="00B910EF" w:rsidP="00B910EF">
      <w:pPr>
        <w:pStyle w:val="Pagrindinistekstas"/>
        <w:spacing w:after="0"/>
        <w:rPr>
          <w:szCs w:val="22"/>
        </w:rPr>
      </w:pPr>
    </w:p>
    <w:p w14:paraId="645F1AD6" w14:textId="77777777" w:rsidR="00A07EDA" w:rsidRPr="004B4520" w:rsidRDefault="00A07EDA" w:rsidP="00A07EDA">
      <w:pPr>
        <w:pStyle w:val="Pagrindinistekstas"/>
        <w:spacing w:after="0"/>
        <w:rPr>
          <w:szCs w:val="22"/>
        </w:rPr>
      </w:pPr>
      <w:r w:rsidRPr="004B4520">
        <w:rPr>
          <w:i/>
          <w:szCs w:val="22"/>
        </w:rPr>
        <w:t>Vaikams:</w:t>
      </w:r>
      <w:r w:rsidRPr="004B4520">
        <w:rPr>
          <w:szCs w:val="22"/>
        </w:rPr>
        <w:t xml:space="preserve"> kaip sudėtinė kombinuotojo gydymo dalis, 20 mg/kg kūno s</w:t>
      </w:r>
      <w:r w:rsidR="00B910EF" w:rsidRPr="004B4520">
        <w:rPr>
          <w:szCs w:val="22"/>
        </w:rPr>
        <w:t>vorio/per parą, neviršijant 500 </w:t>
      </w:r>
      <w:r w:rsidRPr="004B4520">
        <w:rPr>
          <w:szCs w:val="22"/>
        </w:rPr>
        <w:t>mg 2 kartus per parą 7-14 parų.</w:t>
      </w:r>
    </w:p>
    <w:p w14:paraId="2F95800D" w14:textId="77777777" w:rsidR="00A07EDA" w:rsidRPr="004B4520" w:rsidRDefault="00A07EDA" w:rsidP="00A07EDA">
      <w:pPr>
        <w:contextualSpacing/>
        <w:outlineLvl w:val="0"/>
        <w:rPr>
          <w:i/>
          <w:iCs/>
          <w:sz w:val="22"/>
          <w:szCs w:val="22"/>
        </w:rPr>
      </w:pPr>
    </w:p>
    <w:p w14:paraId="155E3350" w14:textId="77777777" w:rsidR="00A07EDA" w:rsidRPr="004B4520" w:rsidRDefault="00A07EDA" w:rsidP="00A07EDA">
      <w:pPr>
        <w:contextualSpacing/>
        <w:outlineLvl w:val="0"/>
        <w:rPr>
          <w:i/>
          <w:sz w:val="22"/>
          <w:szCs w:val="22"/>
        </w:rPr>
      </w:pPr>
      <w:r w:rsidRPr="004B4520">
        <w:rPr>
          <w:i/>
          <w:iCs/>
          <w:sz w:val="22"/>
          <w:szCs w:val="22"/>
        </w:rPr>
        <w:t>Pacientams, kurių kepenų funkcija sutrikusi</w:t>
      </w:r>
    </w:p>
    <w:p w14:paraId="59E34D91" w14:textId="77777777" w:rsidR="00A07EDA" w:rsidRPr="00BD605E" w:rsidRDefault="00A07EDA" w:rsidP="008822CE">
      <w:pPr>
        <w:pStyle w:val="BTEMEASMCA"/>
        <w:rPr>
          <w:lang w:val="lt-LT"/>
        </w:rPr>
      </w:pPr>
      <w:r w:rsidRPr="00BD605E">
        <w:rPr>
          <w:lang w:val="lt-LT"/>
        </w:rPr>
        <w:lastRenderedPageBreak/>
        <w:t>Pacientams, kuriems yra hepatinė encefalopatija, Trichopol reikia vartoti atsargiai. Paros dozę reikia sumažinti iki trečdalio įprastinės, ją galima vartoti per vieną kartą.</w:t>
      </w:r>
    </w:p>
    <w:p w14:paraId="002394C9" w14:textId="77777777" w:rsidR="00A07EDA" w:rsidRPr="004B4520" w:rsidRDefault="00A07EDA" w:rsidP="00A07EDA">
      <w:pPr>
        <w:pStyle w:val="Pagrindinistekstas"/>
        <w:spacing w:after="0"/>
        <w:rPr>
          <w:szCs w:val="22"/>
        </w:rPr>
      </w:pPr>
    </w:p>
    <w:p w14:paraId="700FA614" w14:textId="77777777" w:rsidR="00A07EDA" w:rsidRPr="004B4520" w:rsidRDefault="00A07EDA" w:rsidP="00A07EDA">
      <w:pPr>
        <w:contextualSpacing/>
        <w:outlineLvl w:val="0"/>
        <w:rPr>
          <w:i/>
          <w:iCs/>
          <w:sz w:val="22"/>
          <w:szCs w:val="22"/>
        </w:rPr>
      </w:pPr>
      <w:r w:rsidRPr="004B4520">
        <w:rPr>
          <w:i/>
          <w:iCs/>
          <w:sz w:val="22"/>
          <w:szCs w:val="22"/>
        </w:rPr>
        <w:t>Pacientams, kurių inkstų funkcija sutrikusi</w:t>
      </w:r>
    </w:p>
    <w:p w14:paraId="23633CEA" w14:textId="77777777" w:rsidR="00A07EDA" w:rsidRPr="00BD605E" w:rsidRDefault="00A07EDA" w:rsidP="008822CE">
      <w:pPr>
        <w:pStyle w:val="BTEMEASMCA"/>
        <w:rPr>
          <w:lang w:val="lt-LT"/>
        </w:rPr>
      </w:pPr>
      <w:r w:rsidRPr="00BD605E">
        <w:rPr>
          <w:lang w:val="lt-LT"/>
        </w:rPr>
        <w:t>Kai yra inkstų funkcijos nepakankamumas, pusinės metronidazolo eliminacijos laikas nesikeičia. Todėl metronidazolo dozės mažinti nereikia. Tačiau šiems pacientams kaupiasi metronidazolo metabolitų. Pastarųjų klinikinė reikšmė iki šiol nežinoma.</w:t>
      </w:r>
    </w:p>
    <w:p w14:paraId="3124913C" w14:textId="77777777" w:rsidR="00A07EDA" w:rsidRPr="00BD605E" w:rsidRDefault="00A07EDA" w:rsidP="008822CE">
      <w:pPr>
        <w:pStyle w:val="BTEMEASMCA"/>
        <w:rPr>
          <w:lang w:val="lt-LT"/>
        </w:rPr>
      </w:pPr>
      <w:r w:rsidRPr="00BD605E">
        <w:rPr>
          <w:lang w:val="lt-LT"/>
        </w:rPr>
        <w:t>Pacientams, kuriems atliekama hemodializė, metronidazolas ir jo metabolitai visiškai pašalinami aštuonių valandų trukmės dializės metu. Todėl metronidazolo reikia vėl vartoti iškart po hemodializės.</w:t>
      </w:r>
    </w:p>
    <w:p w14:paraId="62E4756C" w14:textId="77777777" w:rsidR="00A07EDA" w:rsidRPr="00BD605E" w:rsidRDefault="00A07EDA" w:rsidP="008822CE">
      <w:pPr>
        <w:pStyle w:val="BTEMEASMCA"/>
        <w:rPr>
          <w:lang w:val="lt-LT"/>
        </w:rPr>
      </w:pPr>
      <w:r w:rsidRPr="00BD605E">
        <w:rPr>
          <w:lang w:val="lt-LT"/>
        </w:rPr>
        <w:t xml:space="preserve">Inkstų funkcijos nepakankamumu sergantiems pacientams, kuriems atliekama protarpinė peritoninė dializė ar nuolatinė ambulatorinė peritoninė dializė, koreguoti Trichopol dozės paprastai nereikia. </w:t>
      </w:r>
    </w:p>
    <w:p w14:paraId="7179AD23" w14:textId="77777777" w:rsidR="00A07EDA" w:rsidRPr="00BD605E" w:rsidRDefault="00A07EDA" w:rsidP="008822CE">
      <w:pPr>
        <w:pStyle w:val="BTEMEASMCA"/>
        <w:rPr>
          <w:lang w:val="lt-LT"/>
        </w:rPr>
      </w:pPr>
    </w:p>
    <w:p w14:paraId="63F4100C" w14:textId="77777777" w:rsidR="00A07EDA" w:rsidRPr="004B4520" w:rsidRDefault="00A07EDA" w:rsidP="00A07EDA">
      <w:pPr>
        <w:contextualSpacing/>
        <w:outlineLvl w:val="0"/>
        <w:rPr>
          <w:i/>
          <w:iCs/>
          <w:sz w:val="22"/>
          <w:szCs w:val="22"/>
        </w:rPr>
      </w:pPr>
      <w:r w:rsidRPr="004B4520">
        <w:rPr>
          <w:i/>
          <w:iCs/>
          <w:sz w:val="22"/>
          <w:szCs w:val="22"/>
        </w:rPr>
        <w:t>Senyviems  pacientams</w:t>
      </w:r>
    </w:p>
    <w:p w14:paraId="251891C6" w14:textId="77777777" w:rsidR="00A07EDA" w:rsidRPr="00BD605E" w:rsidRDefault="00A07EDA" w:rsidP="008822CE">
      <w:pPr>
        <w:pStyle w:val="BTEMEASMCA"/>
        <w:rPr>
          <w:lang w:val="pl-PL"/>
        </w:rPr>
      </w:pPr>
      <w:r w:rsidRPr="00BD605E">
        <w:rPr>
          <w:lang w:val="pl-PL"/>
        </w:rPr>
        <w:t>Specialių dozavimo rekomendacijų nėra</w:t>
      </w:r>
    </w:p>
    <w:p w14:paraId="3A9D249C" w14:textId="77777777" w:rsidR="00A07EDA" w:rsidRPr="00BD605E" w:rsidRDefault="00A07EDA" w:rsidP="008822CE">
      <w:pPr>
        <w:pStyle w:val="BTEMEASMCA"/>
        <w:rPr>
          <w:lang w:val="pl-PL"/>
        </w:rPr>
      </w:pPr>
    </w:p>
    <w:p w14:paraId="399239AE" w14:textId="77777777" w:rsidR="00585A77" w:rsidRPr="00E37C18" w:rsidRDefault="00585A77" w:rsidP="008822CE">
      <w:pPr>
        <w:pStyle w:val="BTEMEASMCA"/>
      </w:pPr>
      <w:r w:rsidRPr="00E37C18">
        <w:t>Vartojimo metodas</w:t>
      </w:r>
    </w:p>
    <w:p w14:paraId="39BBAD37" w14:textId="77777777" w:rsidR="00585A77" w:rsidRPr="00E37C18" w:rsidRDefault="00585A77" w:rsidP="008822CE">
      <w:pPr>
        <w:pStyle w:val="BTEMEASMCA"/>
      </w:pPr>
      <w:r w:rsidRPr="00E37C18">
        <w:t>Vartoti per burną.</w:t>
      </w:r>
    </w:p>
    <w:p w14:paraId="6FF0EB1F" w14:textId="77777777" w:rsidR="00585A77" w:rsidRPr="00E37C18" w:rsidRDefault="00585A77" w:rsidP="008822CE">
      <w:pPr>
        <w:pStyle w:val="BTEMEASMCA"/>
      </w:pPr>
    </w:p>
    <w:p w14:paraId="087903CB" w14:textId="69735F39" w:rsidR="00A07EDA" w:rsidRPr="004B4520" w:rsidRDefault="00A07EDA" w:rsidP="00A07EDA">
      <w:pPr>
        <w:pStyle w:val="PI-2EMEASMCA"/>
      </w:pPr>
      <w:bookmarkStart w:id="16" w:name="_Toc129243104"/>
      <w:bookmarkStart w:id="17" w:name="_Toc129243229"/>
      <w:r w:rsidRPr="004B4520">
        <w:t>4.3</w:t>
      </w:r>
      <w:r w:rsidRPr="004B4520">
        <w:tab/>
        <w:t>Kontraindikacijos</w:t>
      </w:r>
      <w:bookmarkEnd w:id="16"/>
      <w:bookmarkEnd w:id="17"/>
    </w:p>
    <w:p w14:paraId="25933C38" w14:textId="77777777" w:rsidR="00A07EDA" w:rsidRPr="004B4520" w:rsidRDefault="00A07EDA" w:rsidP="008822CE">
      <w:pPr>
        <w:pStyle w:val="BTEMEASMCA"/>
      </w:pPr>
    </w:p>
    <w:p w14:paraId="1C79F009" w14:textId="77777777" w:rsidR="00A07EDA" w:rsidRPr="004B4520" w:rsidRDefault="00A07EDA" w:rsidP="00585A77">
      <w:pPr>
        <w:pStyle w:val="Pagrindinistekstas"/>
        <w:numPr>
          <w:ilvl w:val="0"/>
          <w:numId w:val="4"/>
        </w:numPr>
        <w:tabs>
          <w:tab w:val="clear" w:pos="360"/>
          <w:tab w:val="num" w:pos="0"/>
        </w:tabs>
        <w:spacing w:after="0"/>
        <w:ind w:left="567" w:hanging="567"/>
        <w:rPr>
          <w:szCs w:val="22"/>
        </w:rPr>
      </w:pPr>
      <w:r w:rsidRPr="004B4520">
        <w:rPr>
          <w:szCs w:val="22"/>
        </w:rPr>
        <w:t>Padidėjęs jautrumas veikliajai medžiagai, kitiems 5-nitroimidazolo junginiams arba bet kuriai 6.1 skyriuje nurodytai pagalbinei medžiagai.</w:t>
      </w:r>
    </w:p>
    <w:p w14:paraId="0CFA4BE2" w14:textId="77777777" w:rsidR="00A07EDA" w:rsidRPr="004B4520" w:rsidRDefault="00A07EDA" w:rsidP="00585A77">
      <w:pPr>
        <w:pStyle w:val="Pagrindinistekstas"/>
        <w:numPr>
          <w:ilvl w:val="0"/>
          <w:numId w:val="4"/>
        </w:numPr>
        <w:tabs>
          <w:tab w:val="clear" w:pos="360"/>
          <w:tab w:val="num" w:pos="0"/>
        </w:tabs>
        <w:spacing w:after="0"/>
        <w:ind w:left="567" w:hanging="567"/>
        <w:rPr>
          <w:szCs w:val="22"/>
        </w:rPr>
      </w:pPr>
      <w:r w:rsidRPr="004B4520">
        <w:rPr>
          <w:szCs w:val="22"/>
        </w:rPr>
        <w:t>Pirmieji trys nėštumo mėnesiai.</w:t>
      </w:r>
    </w:p>
    <w:p w14:paraId="793DE2EE" w14:textId="77777777" w:rsidR="00A07EDA" w:rsidRPr="004B4520" w:rsidRDefault="00A07EDA" w:rsidP="00585A77">
      <w:pPr>
        <w:pStyle w:val="Pagrindinistekstas"/>
        <w:numPr>
          <w:ilvl w:val="0"/>
          <w:numId w:val="4"/>
        </w:numPr>
        <w:tabs>
          <w:tab w:val="clear" w:pos="360"/>
          <w:tab w:val="num" w:pos="0"/>
        </w:tabs>
        <w:spacing w:after="0"/>
        <w:ind w:left="567" w:hanging="567"/>
        <w:rPr>
          <w:szCs w:val="22"/>
        </w:rPr>
      </w:pPr>
      <w:r w:rsidRPr="004B4520">
        <w:rPr>
          <w:szCs w:val="22"/>
        </w:rPr>
        <w:t>Žindymo laikotarpis.</w:t>
      </w:r>
    </w:p>
    <w:p w14:paraId="5637CFC0" w14:textId="77777777" w:rsidR="00A07EDA" w:rsidRPr="004B4520" w:rsidRDefault="00A07EDA" w:rsidP="008822CE">
      <w:pPr>
        <w:pStyle w:val="BTEMEASMCA"/>
      </w:pPr>
    </w:p>
    <w:p w14:paraId="3629EC5E" w14:textId="7E49C2B7" w:rsidR="00A07EDA" w:rsidRPr="004B4520" w:rsidRDefault="00A07EDA" w:rsidP="00A07EDA">
      <w:pPr>
        <w:pStyle w:val="PI-2EMEASMCA"/>
      </w:pPr>
      <w:bookmarkStart w:id="18" w:name="_Toc129243105"/>
      <w:bookmarkStart w:id="19" w:name="_Toc129243230"/>
      <w:r w:rsidRPr="004B4520">
        <w:t>4.4</w:t>
      </w:r>
      <w:r w:rsidRPr="004B4520">
        <w:tab/>
        <w:t>Specialūs įspėjimai ir atsargumo priemonės</w:t>
      </w:r>
      <w:bookmarkEnd w:id="18"/>
      <w:bookmarkEnd w:id="19"/>
    </w:p>
    <w:p w14:paraId="015D900B" w14:textId="77777777" w:rsidR="00A07EDA" w:rsidRPr="004B4520" w:rsidRDefault="00A07EDA" w:rsidP="008822CE">
      <w:pPr>
        <w:pStyle w:val="BTEMEASMCA"/>
      </w:pPr>
    </w:p>
    <w:p w14:paraId="7D6BAAD1" w14:textId="77777777" w:rsidR="00A07EDA" w:rsidRPr="004B4520" w:rsidRDefault="00A07EDA" w:rsidP="008822CE">
      <w:pPr>
        <w:pStyle w:val="BTEMEASMCA"/>
      </w:pPr>
      <w:r w:rsidRPr="004B4520">
        <w:t>Jei nusprendžiama, kad gydymą Trichopol reikia tęsti daugiau kaip 10 parų, rekomenduojama pacientą reguliariai stebėti kliniškai ir atlikti laboratorinius tyrimus.</w:t>
      </w:r>
    </w:p>
    <w:p w14:paraId="2685164E" w14:textId="77777777" w:rsidR="00A07EDA" w:rsidRPr="004B4520" w:rsidRDefault="00A07EDA" w:rsidP="008822CE">
      <w:pPr>
        <w:pStyle w:val="BTEMEASMCA"/>
      </w:pPr>
    </w:p>
    <w:p w14:paraId="5AB56F73" w14:textId="77777777" w:rsidR="00A07EDA" w:rsidRPr="004B4520" w:rsidRDefault="00A07EDA" w:rsidP="008822CE">
      <w:pPr>
        <w:pStyle w:val="BTEMEASMCA"/>
      </w:pPr>
      <w:r w:rsidRPr="004B4520">
        <w:t xml:space="preserve">Sunaikinus </w:t>
      </w:r>
      <w:r w:rsidRPr="004B4520">
        <w:rPr>
          <w:i/>
        </w:rPr>
        <w:t>Trichomonas vaginalis</w:t>
      </w:r>
      <w:r w:rsidRPr="004B4520">
        <w:t>, išlieka galimybė, kad persistuos gonokokinė infekcija.</w:t>
      </w:r>
    </w:p>
    <w:p w14:paraId="7D8162B2" w14:textId="77777777" w:rsidR="00A07EDA" w:rsidRPr="004B4520" w:rsidRDefault="00A07EDA" w:rsidP="008822CE">
      <w:pPr>
        <w:pStyle w:val="BTEMEASMCA"/>
      </w:pPr>
    </w:p>
    <w:p w14:paraId="67B43149" w14:textId="77777777" w:rsidR="00A07EDA" w:rsidRPr="004B4520" w:rsidRDefault="00A07EDA" w:rsidP="008822CE">
      <w:pPr>
        <w:pStyle w:val="BTEMEASMCA"/>
      </w:pPr>
      <w:r w:rsidRPr="004B4520">
        <w:t>Kai yra inkstų funkcijos nepakankamumas, pusinės metronidazolo eliminacijos laikas nesikeičia, todėl metronidazolo dozės mažinti nereikia. Tačiau šiems pacientams kaupiasi metronidazolo metabolitų. Pastarųjų klinikinė reikšmė iki šiol nežinoma.</w:t>
      </w:r>
    </w:p>
    <w:p w14:paraId="06D3A9A5" w14:textId="77777777" w:rsidR="00A07EDA" w:rsidRPr="004B4520" w:rsidRDefault="00A07EDA" w:rsidP="008822CE">
      <w:pPr>
        <w:pStyle w:val="BTEMEASMCA"/>
      </w:pPr>
      <w:r w:rsidRPr="004B4520">
        <w:t>Pacientams, kuriems atliekama hemodializė, metronidazolas ir jo metabolitai visiškai pašalinami aštuonių valandų trukmės dializės metu. Todėl metronidazolo reikia vėl skirti iškart po hemodializės.</w:t>
      </w:r>
    </w:p>
    <w:p w14:paraId="011FD68B" w14:textId="77777777" w:rsidR="00A07EDA" w:rsidRPr="004B4520" w:rsidRDefault="00A07EDA" w:rsidP="008822CE">
      <w:pPr>
        <w:pStyle w:val="BTEMEASMCA"/>
      </w:pPr>
      <w:r w:rsidRPr="004B4520">
        <w:t>Pacientams, kuriems atliekama protarpinė peritoninė dializė ar nuolatinė ambulatorinė peritoninė dializė, koreguoti metronidazolo dozės paprastai nereikia.</w:t>
      </w:r>
    </w:p>
    <w:p w14:paraId="3D763D6E" w14:textId="77777777" w:rsidR="00A07EDA" w:rsidRPr="004B4520" w:rsidRDefault="00A07EDA" w:rsidP="008822CE">
      <w:pPr>
        <w:pStyle w:val="BTEMEASMCA"/>
      </w:pPr>
    </w:p>
    <w:p w14:paraId="7C1F81DF" w14:textId="77777777" w:rsidR="00A07EDA" w:rsidRPr="00E37C18" w:rsidRDefault="00A07EDA" w:rsidP="008822CE">
      <w:pPr>
        <w:pStyle w:val="BTEMEASMCA"/>
      </w:pPr>
      <w:r w:rsidRPr="00E37C18">
        <w:t>Metronidazolas daugiausia metabolizuojamas kepenyse oksidavimo būdu. Kai yra sunkus kepenų funkcijos nepakankamumas, gali reikšmingai sutrikti metronidazolo klirensas. Pacientams, kuriems yra hepatinė encefalopatija, galima reikšminga vaistinio preparato kumuliacija organizme, todėl padidėjusi metronidazolo koncentracija plazmoje gali pasunkinti encefalopatijos simptomus. Pacientams, kuriems yra hepatinė encefalopatija, metronidazolo reikia skirti atsargiai. Paros dozę reikia sumažinti iki trečdalio įprastinės, ją galima skirti per vieną kartą.</w:t>
      </w:r>
    </w:p>
    <w:p w14:paraId="5FC6364E" w14:textId="77777777" w:rsidR="00A07EDA" w:rsidRPr="00E37C18" w:rsidRDefault="00A07EDA" w:rsidP="008822CE">
      <w:pPr>
        <w:pStyle w:val="BTEMEASMCA"/>
      </w:pPr>
    </w:p>
    <w:p w14:paraId="521E368F" w14:textId="77777777" w:rsidR="00A07EDA" w:rsidRPr="00BD605E" w:rsidRDefault="00A07EDA" w:rsidP="008822CE">
      <w:pPr>
        <w:pStyle w:val="BTEMEASMCA"/>
        <w:rPr>
          <w:lang w:val="pl-PL"/>
        </w:rPr>
      </w:pPr>
      <w:r w:rsidRPr="00BD605E">
        <w:rPr>
          <w:lang w:val="pl-PL"/>
        </w:rPr>
        <w:t>Metronidazolo nerekomenduojama skirti porfirija sergantiems pacientams.</w:t>
      </w:r>
    </w:p>
    <w:p w14:paraId="6C1FFF30" w14:textId="77777777" w:rsidR="00585A77" w:rsidRPr="00BD605E" w:rsidRDefault="00585A77" w:rsidP="008822CE">
      <w:pPr>
        <w:pStyle w:val="BTEMEASMCA"/>
        <w:rPr>
          <w:lang w:val="pl-PL"/>
        </w:rPr>
      </w:pPr>
    </w:p>
    <w:p w14:paraId="228DBC37" w14:textId="6E22A489" w:rsidR="009C6A30" w:rsidRPr="00AD03B0" w:rsidRDefault="009C6A30" w:rsidP="009C6A30">
      <w:pPr>
        <w:pStyle w:val="Default"/>
        <w:rPr>
          <w:rFonts w:ascii="Times New Roman" w:hAnsi="Times New Roman"/>
          <w:color w:val="auto"/>
          <w:sz w:val="22"/>
        </w:rPr>
      </w:pPr>
      <w:proofErr w:type="spellStart"/>
      <w:r w:rsidRPr="00AD03B0">
        <w:rPr>
          <w:rFonts w:ascii="Times New Roman" w:hAnsi="Times New Roman"/>
          <w:color w:val="auto"/>
          <w:sz w:val="22"/>
        </w:rPr>
        <w:t>Vartojant</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sisteminio</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poveikio</w:t>
      </w:r>
      <w:proofErr w:type="spellEnd"/>
      <w:r w:rsidRPr="00AD03B0">
        <w:rPr>
          <w:rFonts w:ascii="Times New Roman" w:hAnsi="Times New Roman"/>
          <w:color w:val="auto"/>
          <w:sz w:val="22"/>
        </w:rPr>
        <w:t xml:space="preserve"> </w:t>
      </w:r>
      <w:proofErr w:type="spellStart"/>
      <w:r w:rsidR="00ED0CD0">
        <w:rPr>
          <w:rFonts w:ascii="Times New Roman" w:hAnsi="Times New Roman"/>
          <w:color w:val="auto"/>
          <w:sz w:val="22"/>
        </w:rPr>
        <w:t>vaistinius</w:t>
      </w:r>
      <w:proofErr w:type="spellEnd"/>
      <w:r w:rsidR="00ED0CD0">
        <w:rPr>
          <w:rFonts w:ascii="Times New Roman" w:hAnsi="Times New Roman"/>
          <w:color w:val="auto"/>
          <w:sz w:val="22"/>
        </w:rPr>
        <w:t xml:space="preserve"> </w:t>
      </w:r>
      <w:proofErr w:type="spellStart"/>
      <w:r w:rsidRPr="00AD03B0">
        <w:rPr>
          <w:rFonts w:ascii="Times New Roman" w:hAnsi="Times New Roman"/>
          <w:color w:val="auto"/>
          <w:sz w:val="22"/>
        </w:rPr>
        <w:t>preparatus</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su</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metronidazolu</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tarp</w:t>
      </w:r>
      <w:proofErr w:type="spellEnd"/>
      <w:r w:rsidRPr="00AD03B0">
        <w:rPr>
          <w:rFonts w:ascii="Times New Roman" w:hAnsi="Times New Roman"/>
          <w:color w:val="auto"/>
          <w:sz w:val="22"/>
        </w:rPr>
        <w:t xml:space="preserve"> Kokaino (</w:t>
      </w:r>
      <w:proofErr w:type="spellStart"/>
      <w:r w:rsidRPr="00AD03B0">
        <w:rPr>
          <w:rFonts w:ascii="Times New Roman" w:hAnsi="Times New Roman"/>
          <w:color w:val="auto"/>
          <w:sz w:val="22"/>
        </w:rPr>
        <w:t>Cockayne</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sindromu</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sergančių</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pacientų</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nustatyta</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sunkaus</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toksinio</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poveikio</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kepenims</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ir</w:t>
      </w:r>
      <w:proofErr w:type="spellEnd"/>
      <w:r w:rsidRPr="00AD03B0">
        <w:rPr>
          <w:rFonts w:ascii="Times New Roman" w:hAnsi="Times New Roman"/>
          <w:color w:val="auto"/>
          <w:sz w:val="22"/>
        </w:rPr>
        <w:t xml:space="preserve"> (arba) </w:t>
      </w:r>
      <w:proofErr w:type="spellStart"/>
      <w:r w:rsidRPr="00AD03B0">
        <w:rPr>
          <w:rFonts w:ascii="Times New Roman" w:hAnsi="Times New Roman"/>
          <w:color w:val="auto"/>
          <w:sz w:val="22"/>
        </w:rPr>
        <w:t>ūminio</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kepenų</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nepakankamumo</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atvejų</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įskaitant</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mirtį</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lėmusius</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atvejus</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kai</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šie</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sutrikimai</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pasireiškė</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labai</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greitai</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vos</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pradėjus</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gydymą</w:t>
      </w:r>
      <w:proofErr w:type="spellEnd"/>
      <w:r w:rsidRPr="00AD03B0">
        <w:rPr>
          <w:rFonts w:ascii="Times New Roman" w:hAnsi="Times New Roman"/>
          <w:color w:val="auto"/>
          <w:sz w:val="22"/>
        </w:rPr>
        <w:t xml:space="preserve">. </w:t>
      </w:r>
      <w:proofErr w:type="spellStart"/>
      <w:r w:rsidR="00D84EB8">
        <w:rPr>
          <w:rFonts w:ascii="Times New Roman" w:hAnsi="Times New Roman"/>
          <w:color w:val="auto"/>
          <w:sz w:val="22"/>
        </w:rPr>
        <w:t>Šioje</w:t>
      </w:r>
      <w:proofErr w:type="spellEnd"/>
      <w:r w:rsidR="00D84EB8">
        <w:rPr>
          <w:rFonts w:ascii="Times New Roman" w:hAnsi="Times New Roman"/>
          <w:color w:val="auto"/>
          <w:sz w:val="22"/>
        </w:rPr>
        <w:t xml:space="preserve"> </w:t>
      </w:r>
      <w:proofErr w:type="spellStart"/>
      <w:r w:rsidR="00495B9B">
        <w:rPr>
          <w:rFonts w:ascii="Times New Roman" w:hAnsi="Times New Roman"/>
          <w:color w:val="auto"/>
          <w:sz w:val="22"/>
        </w:rPr>
        <w:t>pacientų</w:t>
      </w:r>
      <w:proofErr w:type="spellEnd"/>
      <w:r w:rsidR="00495B9B">
        <w:rPr>
          <w:rFonts w:ascii="Times New Roman" w:hAnsi="Times New Roman"/>
          <w:color w:val="auto"/>
          <w:sz w:val="22"/>
        </w:rPr>
        <w:t xml:space="preserve"> </w:t>
      </w:r>
      <w:proofErr w:type="spellStart"/>
      <w:r w:rsidR="00D84EB8">
        <w:rPr>
          <w:rFonts w:ascii="Times New Roman" w:hAnsi="Times New Roman"/>
          <w:color w:val="auto"/>
          <w:sz w:val="22"/>
        </w:rPr>
        <w:t>populiacijoje</w:t>
      </w:r>
      <w:proofErr w:type="spellEnd"/>
      <w:r w:rsidR="00D84EB8">
        <w:rPr>
          <w:rFonts w:ascii="Times New Roman" w:hAnsi="Times New Roman"/>
          <w:color w:val="auto"/>
          <w:sz w:val="22"/>
        </w:rPr>
        <w:t xml:space="preserve"> </w:t>
      </w:r>
      <w:proofErr w:type="spellStart"/>
      <w:r w:rsidRPr="00AD03B0">
        <w:rPr>
          <w:rFonts w:ascii="Times New Roman" w:hAnsi="Times New Roman"/>
          <w:color w:val="auto"/>
          <w:sz w:val="22"/>
        </w:rPr>
        <w:t>metronidazolas</w:t>
      </w:r>
      <w:proofErr w:type="spellEnd"/>
      <w:r w:rsidRPr="00AD03B0">
        <w:rPr>
          <w:rFonts w:ascii="Times New Roman" w:hAnsi="Times New Roman"/>
          <w:color w:val="auto"/>
          <w:sz w:val="22"/>
        </w:rPr>
        <w:t xml:space="preserve"> </w:t>
      </w:r>
      <w:proofErr w:type="spellStart"/>
      <w:r w:rsidR="00172E56">
        <w:rPr>
          <w:rFonts w:ascii="Times New Roman" w:hAnsi="Times New Roman"/>
          <w:color w:val="auto"/>
          <w:sz w:val="22"/>
        </w:rPr>
        <w:t>ne</w:t>
      </w:r>
      <w:r w:rsidRPr="00AD03B0">
        <w:rPr>
          <w:rFonts w:ascii="Times New Roman" w:hAnsi="Times New Roman"/>
          <w:color w:val="auto"/>
          <w:sz w:val="22"/>
        </w:rPr>
        <w:t>tur</w:t>
      </w:r>
      <w:r w:rsidR="00D84EB8">
        <w:rPr>
          <w:rFonts w:ascii="Times New Roman" w:hAnsi="Times New Roman"/>
          <w:color w:val="auto"/>
          <w:sz w:val="22"/>
        </w:rPr>
        <w:t>i</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būti</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vartojamas</w:t>
      </w:r>
      <w:proofErr w:type="spellEnd"/>
      <w:r w:rsidR="00172E56">
        <w:rPr>
          <w:rFonts w:ascii="Times New Roman" w:hAnsi="Times New Roman"/>
          <w:color w:val="auto"/>
          <w:sz w:val="22"/>
        </w:rPr>
        <w:t xml:space="preserve">, </w:t>
      </w:r>
      <w:proofErr w:type="spellStart"/>
      <w:r w:rsidR="00172E56" w:rsidRPr="00172E56">
        <w:rPr>
          <w:rFonts w:ascii="Times New Roman" w:hAnsi="Times New Roman"/>
          <w:color w:val="auto"/>
          <w:sz w:val="22"/>
        </w:rPr>
        <w:t>nebent</w:t>
      </w:r>
      <w:proofErr w:type="spellEnd"/>
      <w:r w:rsidR="00172E56" w:rsidRPr="00172E56">
        <w:rPr>
          <w:rFonts w:ascii="Times New Roman" w:hAnsi="Times New Roman"/>
          <w:color w:val="auto"/>
          <w:sz w:val="22"/>
        </w:rPr>
        <w:t xml:space="preserve"> </w:t>
      </w:r>
      <w:proofErr w:type="spellStart"/>
      <w:r w:rsidR="00172E56" w:rsidRPr="00172E56">
        <w:rPr>
          <w:rFonts w:ascii="Times New Roman" w:hAnsi="Times New Roman"/>
          <w:color w:val="auto"/>
          <w:sz w:val="22"/>
        </w:rPr>
        <w:t>manoma</w:t>
      </w:r>
      <w:proofErr w:type="spellEnd"/>
      <w:r w:rsidR="00172E56" w:rsidRPr="00172E56">
        <w:rPr>
          <w:rFonts w:ascii="Times New Roman" w:hAnsi="Times New Roman"/>
          <w:color w:val="auto"/>
          <w:sz w:val="22"/>
        </w:rPr>
        <w:t xml:space="preserve">, </w:t>
      </w:r>
      <w:proofErr w:type="spellStart"/>
      <w:r w:rsidR="00172E56" w:rsidRPr="00172E56">
        <w:rPr>
          <w:rFonts w:ascii="Times New Roman" w:hAnsi="Times New Roman"/>
          <w:color w:val="auto"/>
          <w:sz w:val="22"/>
        </w:rPr>
        <w:t>kad</w:t>
      </w:r>
      <w:proofErr w:type="spellEnd"/>
      <w:r w:rsidR="00172E56" w:rsidRPr="00172E56">
        <w:rPr>
          <w:rFonts w:ascii="Times New Roman" w:hAnsi="Times New Roman"/>
          <w:color w:val="auto"/>
          <w:sz w:val="22"/>
        </w:rPr>
        <w:t xml:space="preserve"> </w:t>
      </w:r>
      <w:proofErr w:type="spellStart"/>
      <w:r w:rsidR="00172E56" w:rsidRPr="00172E56">
        <w:rPr>
          <w:rFonts w:ascii="Times New Roman" w:hAnsi="Times New Roman"/>
          <w:color w:val="auto"/>
          <w:sz w:val="22"/>
        </w:rPr>
        <w:t>nauda</w:t>
      </w:r>
      <w:proofErr w:type="spellEnd"/>
      <w:r w:rsidR="00172E56" w:rsidRPr="00172E56">
        <w:rPr>
          <w:rFonts w:ascii="Times New Roman" w:hAnsi="Times New Roman"/>
          <w:color w:val="auto"/>
          <w:sz w:val="22"/>
        </w:rPr>
        <w:t xml:space="preserve"> </w:t>
      </w:r>
      <w:proofErr w:type="spellStart"/>
      <w:r w:rsidR="00172E56" w:rsidRPr="00172E56">
        <w:rPr>
          <w:rFonts w:ascii="Times New Roman" w:hAnsi="Times New Roman"/>
          <w:color w:val="auto"/>
          <w:sz w:val="22"/>
        </w:rPr>
        <w:t>yra</w:t>
      </w:r>
      <w:proofErr w:type="spellEnd"/>
      <w:r w:rsidR="00172E56" w:rsidRPr="00172E56">
        <w:rPr>
          <w:rFonts w:ascii="Times New Roman" w:hAnsi="Times New Roman"/>
          <w:color w:val="auto"/>
          <w:sz w:val="22"/>
        </w:rPr>
        <w:t xml:space="preserve"> </w:t>
      </w:r>
      <w:proofErr w:type="spellStart"/>
      <w:r w:rsidR="00172E56" w:rsidRPr="00172E56">
        <w:rPr>
          <w:rFonts w:ascii="Times New Roman" w:hAnsi="Times New Roman"/>
          <w:color w:val="auto"/>
          <w:sz w:val="22"/>
        </w:rPr>
        <w:t>didesnė</w:t>
      </w:r>
      <w:proofErr w:type="spellEnd"/>
      <w:r w:rsidR="00172E56" w:rsidRPr="00172E56">
        <w:rPr>
          <w:rFonts w:ascii="Times New Roman" w:hAnsi="Times New Roman"/>
          <w:color w:val="auto"/>
          <w:sz w:val="22"/>
        </w:rPr>
        <w:t xml:space="preserve"> </w:t>
      </w:r>
      <w:proofErr w:type="spellStart"/>
      <w:r w:rsidR="00172E56" w:rsidRPr="00172E56">
        <w:rPr>
          <w:rFonts w:ascii="Times New Roman" w:hAnsi="Times New Roman"/>
          <w:color w:val="auto"/>
          <w:sz w:val="22"/>
        </w:rPr>
        <w:t>už</w:t>
      </w:r>
      <w:proofErr w:type="spellEnd"/>
      <w:r w:rsidR="00172E56" w:rsidRPr="00172E56">
        <w:rPr>
          <w:rFonts w:ascii="Times New Roman" w:hAnsi="Times New Roman"/>
          <w:color w:val="auto"/>
          <w:sz w:val="22"/>
        </w:rPr>
        <w:t xml:space="preserve"> </w:t>
      </w:r>
      <w:proofErr w:type="spellStart"/>
      <w:r w:rsidR="00172E56" w:rsidRPr="00172E56">
        <w:rPr>
          <w:rFonts w:ascii="Times New Roman" w:hAnsi="Times New Roman"/>
          <w:color w:val="auto"/>
          <w:sz w:val="22"/>
        </w:rPr>
        <w:t>riziką</w:t>
      </w:r>
      <w:proofErr w:type="spellEnd"/>
      <w:r w:rsidR="00ED0CD0">
        <w:rPr>
          <w:rFonts w:ascii="Times New Roman" w:hAnsi="Times New Roman"/>
          <w:color w:val="auto"/>
          <w:sz w:val="22"/>
        </w:rPr>
        <w:t>,</w:t>
      </w:r>
      <w:r w:rsidRPr="00AD03B0">
        <w:rPr>
          <w:rFonts w:ascii="Times New Roman" w:hAnsi="Times New Roman"/>
          <w:color w:val="auto"/>
          <w:sz w:val="22"/>
        </w:rPr>
        <w:t xml:space="preserve"> </w:t>
      </w:r>
      <w:proofErr w:type="spellStart"/>
      <w:r w:rsidRPr="00AD03B0">
        <w:rPr>
          <w:rFonts w:ascii="Times New Roman" w:hAnsi="Times New Roman"/>
          <w:color w:val="auto"/>
          <w:sz w:val="22"/>
        </w:rPr>
        <w:t>ir</w:t>
      </w:r>
      <w:proofErr w:type="spellEnd"/>
      <w:r w:rsidRPr="00AD03B0">
        <w:rPr>
          <w:rFonts w:ascii="Times New Roman" w:hAnsi="Times New Roman"/>
          <w:color w:val="auto"/>
          <w:sz w:val="22"/>
        </w:rPr>
        <w:t xml:space="preserve"> tik </w:t>
      </w:r>
      <w:proofErr w:type="spellStart"/>
      <w:r w:rsidRPr="00AD03B0">
        <w:rPr>
          <w:rFonts w:ascii="Times New Roman" w:hAnsi="Times New Roman"/>
          <w:color w:val="auto"/>
          <w:sz w:val="22"/>
        </w:rPr>
        <w:t>tuomet</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jei</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nėra</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kitų</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vaistų</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kuriuos</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būtų</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galima</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vartoti</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Prieš</w:t>
      </w:r>
      <w:proofErr w:type="spellEnd"/>
      <w:r w:rsidRPr="00AD03B0">
        <w:rPr>
          <w:rFonts w:ascii="Times New Roman" w:hAnsi="Times New Roman"/>
          <w:color w:val="auto"/>
          <w:sz w:val="22"/>
        </w:rPr>
        <w:t xml:space="preserve"> pat </w:t>
      </w:r>
      <w:proofErr w:type="spellStart"/>
      <w:r w:rsidRPr="00AD03B0">
        <w:rPr>
          <w:rFonts w:ascii="Times New Roman" w:hAnsi="Times New Roman"/>
          <w:color w:val="auto"/>
          <w:sz w:val="22"/>
        </w:rPr>
        <w:t>pradedant</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gydymą</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visą</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gydymo</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laikotarpį</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ir</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užbaigus</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gydymą</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reikia</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tikrinti</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kepenų</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veiklą</w:t>
      </w:r>
      <w:proofErr w:type="spellEnd"/>
      <w:r w:rsidRPr="00AD03B0">
        <w:rPr>
          <w:rFonts w:ascii="Times New Roman" w:hAnsi="Times New Roman"/>
          <w:color w:val="auto"/>
          <w:sz w:val="22"/>
        </w:rPr>
        <w:t xml:space="preserve">, kol </w:t>
      </w:r>
      <w:proofErr w:type="spellStart"/>
      <w:r w:rsidRPr="00AD03B0">
        <w:rPr>
          <w:rFonts w:ascii="Times New Roman" w:hAnsi="Times New Roman"/>
          <w:color w:val="auto"/>
          <w:sz w:val="22"/>
        </w:rPr>
        <w:t>kepenų</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funkcijos</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rodikliai</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pasiekia</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normaliąsias</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ribas</w:t>
      </w:r>
      <w:proofErr w:type="spellEnd"/>
      <w:r w:rsidRPr="00AD03B0">
        <w:rPr>
          <w:rFonts w:ascii="Times New Roman" w:hAnsi="Times New Roman"/>
          <w:color w:val="auto"/>
          <w:sz w:val="22"/>
        </w:rPr>
        <w:t xml:space="preserve"> arba </w:t>
      </w:r>
      <w:proofErr w:type="spellStart"/>
      <w:r w:rsidRPr="00AD03B0">
        <w:rPr>
          <w:rFonts w:ascii="Times New Roman" w:hAnsi="Times New Roman"/>
          <w:color w:val="auto"/>
          <w:sz w:val="22"/>
        </w:rPr>
        <w:t>tampa</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tokie</w:t>
      </w:r>
      <w:proofErr w:type="spellEnd"/>
      <w:r w:rsidRPr="00AD03B0">
        <w:rPr>
          <w:rFonts w:ascii="Times New Roman" w:hAnsi="Times New Roman"/>
          <w:color w:val="auto"/>
          <w:sz w:val="22"/>
        </w:rPr>
        <w:t xml:space="preserve"> pat, </w:t>
      </w:r>
      <w:proofErr w:type="spellStart"/>
      <w:r w:rsidRPr="00AD03B0">
        <w:rPr>
          <w:rFonts w:ascii="Times New Roman" w:hAnsi="Times New Roman"/>
          <w:color w:val="auto"/>
          <w:sz w:val="22"/>
        </w:rPr>
        <w:t>kokie</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buvo</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prieš</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lastRenderedPageBreak/>
        <w:t>pradedant</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gydymą</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Jeigu</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gydymo</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laikotarpiu</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kepenų</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funkcijos</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rodikliai</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smarkiai</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padidėja</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gydymą</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šiuo</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vaistu</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reikia</w:t>
      </w:r>
      <w:proofErr w:type="spellEnd"/>
      <w:r w:rsidRPr="00AD03B0">
        <w:rPr>
          <w:rFonts w:ascii="Times New Roman" w:hAnsi="Times New Roman"/>
          <w:color w:val="auto"/>
          <w:sz w:val="22"/>
        </w:rPr>
        <w:t xml:space="preserve"> </w:t>
      </w:r>
      <w:proofErr w:type="spellStart"/>
      <w:r w:rsidRPr="00AD03B0">
        <w:rPr>
          <w:rFonts w:ascii="Times New Roman" w:hAnsi="Times New Roman"/>
          <w:color w:val="auto"/>
          <w:sz w:val="22"/>
        </w:rPr>
        <w:t>nutraukti</w:t>
      </w:r>
      <w:proofErr w:type="spellEnd"/>
      <w:r w:rsidRPr="00AD03B0">
        <w:rPr>
          <w:rFonts w:ascii="Times New Roman" w:hAnsi="Times New Roman"/>
          <w:color w:val="auto"/>
          <w:sz w:val="22"/>
        </w:rPr>
        <w:t xml:space="preserve">. </w:t>
      </w:r>
    </w:p>
    <w:p w14:paraId="327A537C" w14:textId="18CE2B5C" w:rsidR="009C6A30" w:rsidRPr="00BD605E" w:rsidRDefault="009C6A30" w:rsidP="008822CE">
      <w:pPr>
        <w:pStyle w:val="BTEMEASMCA"/>
        <w:rPr>
          <w:lang w:val="pl-PL"/>
        </w:rPr>
      </w:pPr>
      <w:r w:rsidRPr="00BD605E">
        <w:rPr>
          <w:lang w:val="pl-PL"/>
        </w:rPr>
        <w:t>Kokaino (Cockayne) sindromu sergančius pacientus reikia informuoti apie tai, kad, pasireiškus bet kokiems galimos kepenų pažaidos simptomams, jie turėtų nedelsdami apie tai pranešti savo gydytojui ir nustoti vartoti metronidazolą</w:t>
      </w:r>
      <w:r w:rsidR="00172E56" w:rsidRPr="00BD605E">
        <w:rPr>
          <w:lang w:val="pl-PL"/>
        </w:rPr>
        <w:t xml:space="preserve"> (žr. 4.8 skyrių)</w:t>
      </w:r>
      <w:r w:rsidRPr="00BD605E">
        <w:rPr>
          <w:lang w:val="pl-PL"/>
        </w:rPr>
        <w:t xml:space="preserve">. </w:t>
      </w:r>
    </w:p>
    <w:p w14:paraId="19E19D28" w14:textId="77777777" w:rsidR="009C6A30" w:rsidRPr="00BD605E" w:rsidRDefault="009C6A30" w:rsidP="008822CE">
      <w:pPr>
        <w:pStyle w:val="BTEMEASMCA"/>
        <w:rPr>
          <w:lang w:val="pl-PL"/>
        </w:rPr>
      </w:pPr>
    </w:p>
    <w:p w14:paraId="7F56CA97" w14:textId="77777777" w:rsidR="00585A77" w:rsidRPr="00E37C18" w:rsidRDefault="00585A77" w:rsidP="008822CE">
      <w:pPr>
        <w:pStyle w:val="BTEMEASMCA"/>
      </w:pPr>
      <w:r w:rsidRPr="00E37C18">
        <w:t>Vaistinio preparato sudėtyje yra gliukozės. Šio vaistinio preparato negalima vartoti pacientams, kuriems nustatytas retas paveldimas sutrikimas – gliukozės ir galaktozės malabsorbcija.</w:t>
      </w:r>
    </w:p>
    <w:p w14:paraId="3FA6F280" w14:textId="77777777" w:rsidR="00A07EDA" w:rsidRPr="00E37C18" w:rsidRDefault="00A07EDA" w:rsidP="008822CE">
      <w:pPr>
        <w:pStyle w:val="BTEMEASMCA"/>
      </w:pPr>
    </w:p>
    <w:p w14:paraId="02B1E4DB" w14:textId="65752CBE" w:rsidR="00A07EDA" w:rsidRPr="004B4520" w:rsidRDefault="00A07EDA" w:rsidP="00A07EDA">
      <w:pPr>
        <w:pStyle w:val="PI-2EMEASMCA"/>
      </w:pPr>
      <w:bookmarkStart w:id="20" w:name="_Toc129243106"/>
      <w:bookmarkStart w:id="21" w:name="_Toc129243231"/>
      <w:r w:rsidRPr="004B4520">
        <w:t>4.5</w:t>
      </w:r>
      <w:r w:rsidRPr="004B4520">
        <w:tab/>
        <w:t>Sąveika su kitais vaistiniais preparatais ir kitokia sąveika</w:t>
      </w:r>
      <w:bookmarkEnd w:id="20"/>
      <w:bookmarkEnd w:id="21"/>
    </w:p>
    <w:p w14:paraId="7DA55C8D" w14:textId="77777777" w:rsidR="00A07EDA" w:rsidRPr="00E37C18" w:rsidRDefault="00A07EDA" w:rsidP="008822CE">
      <w:pPr>
        <w:pStyle w:val="BTEMEASMCA"/>
      </w:pPr>
    </w:p>
    <w:p w14:paraId="4BDC99DD" w14:textId="77777777" w:rsidR="00A07EDA" w:rsidRPr="004B4520" w:rsidRDefault="00A07EDA" w:rsidP="00A07EDA">
      <w:pPr>
        <w:pStyle w:val="Pagrindinistekstas"/>
        <w:spacing w:after="0"/>
        <w:rPr>
          <w:szCs w:val="22"/>
        </w:rPr>
      </w:pPr>
      <w:r w:rsidRPr="004B4520">
        <w:rPr>
          <w:szCs w:val="22"/>
        </w:rPr>
        <w:t>Pacientams reikia nurodyti gydymo metronidazolu metu ir mažiausiai 48 valandas po to nevartoti alkoholio, kadangi gali pasireikšti į disulfiramo poveikį panašių reakcijų.</w:t>
      </w:r>
    </w:p>
    <w:p w14:paraId="6907A1CD" w14:textId="77777777" w:rsidR="00A07EDA" w:rsidRPr="004B4520" w:rsidRDefault="00A07EDA" w:rsidP="00A07EDA">
      <w:pPr>
        <w:pStyle w:val="Pagrindinistekstas"/>
        <w:spacing w:after="0"/>
        <w:rPr>
          <w:szCs w:val="22"/>
        </w:rPr>
      </w:pPr>
    </w:p>
    <w:p w14:paraId="64D7329A" w14:textId="77777777" w:rsidR="00A07EDA" w:rsidRPr="004B4520" w:rsidRDefault="00A07EDA" w:rsidP="00A07EDA">
      <w:pPr>
        <w:pStyle w:val="Pagrindinistekstas"/>
        <w:spacing w:after="0"/>
        <w:rPr>
          <w:szCs w:val="22"/>
        </w:rPr>
      </w:pPr>
      <w:r w:rsidRPr="004B4520">
        <w:rPr>
          <w:szCs w:val="22"/>
        </w:rPr>
        <w:t>Pastebėta, kad metronidazolo skiriant kartu su varfarino tipo geriamaisiais antikoaguliantais, gali sustiprėti antikoaguliantų poveikis. Gali prireikti mažinti pastarųjų vaistinių preparatų dozę. Reikia stebėti protrombino laiką. Sąveikos su heparinu nėra.</w:t>
      </w:r>
    </w:p>
    <w:p w14:paraId="2EBD24D3" w14:textId="77777777" w:rsidR="00A07EDA" w:rsidRPr="004B4520" w:rsidRDefault="00A07EDA" w:rsidP="00A07EDA">
      <w:pPr>
        <w:pStyle w:val="Pagrindinistekstas"/>
        <w:spacing w:after="0"/>
        <w:rPr>
          <w:szCs w:val="22"/>
        </w:rPr>
      </w:pPr>
    </w:p>
    <w:p w14:paraId="293A7531" w14:textId="77777777" w:rsidR="00A07EDA" w:rsidRPr="004B4520" w:rsidRDefault="00A07EDA" w:rsidP="00A07EDA">
      <w:pPr>
        <w:pStyle w:val="Pagrindinistekstas"/>
        <w:spacing w:after="0"/>
        <w:rPr>
          <w:szCs w:val="22"/>
        </w:rPr>
      </w:pPr>
      <w:r w:rsidRPr="004B4520">
        <w:rPr>
          <w:szCs w:val="22"/>
        </w:rPr>
        <w:t>Pastebėta, kad pacientams metronidazolo skiriant kartu su ličio preparatais, gali kauptis litis ir dėl to gali būti pažeisti inkstai. Prieš paskiriant metronidazolo, ličio dozę reikia mažinti arba gydymą juo nutraukti. Metronidazolo skiriant kartu su ličio preparatais, pacientams reikia stebėti ličio, kreatinino bei elektrolitų koncentracijas kraujo plazmoje.</w:t>
      </w:r>
    </w:p>
    <w:p w14:paraId="42AE97AA" w14:textId="77777777" w:rsidR="00A07EDA" w:rsidRPr="004B4520" w:rsidRDefault="00A07EDA" w:rsidP="00A07EDA">
      <w:pPr>
        <w:pStyle w:val="Pagrindinistekstas"/>
        <w:spacing w:after="0"/>
        <w:rPr>
          <w:szCs w:val="22"/>
        </w:rPr>
      </w:pPr>
    </w:p>
    <w:p w14:paraId="3EFD3DCF" w14:textId="77777777" w:rsidR="00A07EDA" w:rsidRPr="004B4520" w:rsidRDefault="00A07EDA" w:rsidP="00A07EDA">
      <w:pPr>
        <w:pStyle w:val="Pagrindinistekstas"/>
        <w:spacing w:after="0"/>
        <w:rPr>
          <w:szCs w:val="22"/>
        </w:rPr>
      </w:pPr>
      <w:r w:rsidRPr="004B4520">
        <w:rPr>
          <w:szCs w:val="22"/>
        </w:rPr>
        <w:t>Fenobarbitalio vartojantiems pacientams metronidazolas metabolizuojamas žymiai greičiau nei įprastai; pusinės metronidazolo eliminacijos laikas sutrumpėja iki maždaug 3 valandų.</w:t>
      </w:r>
    </w:p>
    <w:p w14:paraId="1438FB01" w14:textId="77777777" w:rsidR="00A07EDA" w:rsidRPr="004B4520" w:rsidRDefault="00A07EDA" w:rsidP="00A07EDA">
      <w:pPr>
        <w:pStyle w:val="Pagrindinistekstas"/>
        <w:spacing w:after="0"/>
        <w:rPr>
          <w:szCs w:val="22"/>
        </w:rPr>
      </w:pPr>
    </w:p>
    <w:p w14:paraId="69020FCE" w14:textId="77777777" w:rsidR="00A07EDA" w:rsidRPr="004B4520" w:rsidRDefault="00A07EDA" w:rsidP="00A07EDA">
      <w:pPr>
        <w:pStyle w:val="Pagrindinistekstas"/>
        <w:spacing w:after="0"/>
        <w:rPr>
          <w:szCs w:val="22"/>
        </w:rPr>
      </w:pPr>
      <w:r w:rsidRPr="004B4520">
        <w:rPr>
          <w:szCs w:val="22"/>
        </w:rPr>
        <w:t>Metronidazolas mažina 5-fluorouracilo klirensą, todėl gali sustiprėti toksinis 5-fluorouracilo poveikis.</w:t>
      </w:r>
    </w:p>
    <w:p w14:paraId="0F2545C1" w14:textId="77777777" w:rsidR="00A07EDA" w:rsidRPr="004B4520" w:rsidRDefault="00A07EDA" w:rsidP="00A07EDA">
      <w:pPr>
        <w:pStyle w:val="Pagrindinistekstas"/>
        <w:spacing w:after="0"/>
        <w:rPr>
          <w:szCs w:val="22"/>
        </w:rPr>
      </w:pPr>
    </w:p>
    <w:p w14:paraId="23F1B084" w14:textId="77777777" w:rsidR="00A07EDA" w:rsidRPr="004B4520" w:rsidRDefault="00A07EDA" w:rsidP="00A07EDA">
      <w:pPr>
        <w:pStyle w:val="Pagrindinistekstas"/>
        <w:spacing w:after="0"/>
        <w:rPr>
          <w:szCs w:val="22"/>
        </w:rPr>
      </w:pPr>
      <w:r w:rsidRPr="004B4520">
        <w:rPr>
          <w:szCs w:val="22"/>
        </w:rPr>
        <w:t>Ciklosporino vartojantiems pacientams gali padidėti šio vaistinio preparato koncentracija serume. Metronidazolo skiriant kartu su ciklosporinu, reikia atidžiai stebėti ciklosporino ir kreatinino koncentracijas serume.</w:t>
      </w:r>
    </w:p>
    <w:p w14:paraId="0A0D82A9" w14:textId="77777777" w:rsidR="00A07EDA" w:rsidRPr="00BD605E" w:rsidRDefault="00A07EDA" w:rsidP="008822CE">
      <w:pPr>
        <w:pStyle w:val="BTEMEASMCA"/>
        <w:rPr>
          <w:lang w:val="lt-LT"/>
        </w:rPr>
      </w:pPr>
    </w:p>
    <w:p w14:paraId="435A448B" w14:textId="4BFDBD5D" w:rsidR="00A07EDA" w:rsidRPr="004B4520" w:rsidRDefault="00A07EDA" w:rsidP="00A07EDA">
      <w:pPr>
        <w:pStyle w:val="PI-2EMEASMCA"/>
      </w:pPr>
      <w:bookmarkStart w:id="22" w:name="_Toc129243107"/>
      <w:bookmarkStart w:id="23" w:name="_Toc129243232"/>
      <w:r w:rsidRPr="004B4520">
        <w:t>4.6</w:t>
      </w:r>
      <w:r w:rsidRPr="004B4520">
        <w:tab/>
        <w:t>Vaisingumas, nėštumo ir žindymo laikotarpis</w:t>
      </w:r>
      <w:bookmarkEnd w:id="22"/>
      <w:bookmarkEnd w:id="23"/>
    </w:p>
    <w:p w14:paraId="79045658" w14:textId="77777777" w:rsidR="00A07EDA" w:rsidRPr="00BD605E" w:rsidRDefault="00A07EDA" w:rsidP="008822CE">
      <w:pPr>
        <w:pStyle w:val="BTEMEASMCA"/>
        <w:rPr>
          <w:lang w:val="lt-LT"/>
        </w:rPr>
      </w:pPr>
    </w:p>
    <w:p w14:paraId="3671639B" w14:textId="77777777" w:rsidR="00A07EDA" w:rsidRPr="004B4520" w:rsidRDefault="00A07EDA" w:rsidP="00A07EDA">
      <w:pPr>
        <w:pStyle w:val="Pagrindinistekstas"/>
        <w:spacing w:after="0"/>
        <w:rPr>
          <w:szCs w:val="22"/>
          <w:u w:val="single"/>
        </w:rPr>
      </w:pPr>
      <w:r w:rsidRPr="004B4520">
        <w:rPr>
          <w:szCs w:val="22"/>
          <w:u w:val="single"/>
        </w:rPr>
        <w:t>Nėštumas</w:t>
      </w:r>
    </w:p>
    <w:p w14:paraId="3707120B" w14:textId="77777777" w:rsidR="00A07EDA" w:rsidRPr="004B4520" w:rsidRDefault="00A07EDA" w:rsidP="00A07EDA">
      <w:pPr>
        <w:pStyle w:val="Pagrindinistekstas"/>
        <w:spacing w:after="0"/>
        <w:rPr>
          <w:szCs w:val="22"/>
        </w:rPr>
      </w:pPr>
      <w:r w:rsidRPr="004B4520">
        <w:rPr>
          <w:szCs w:val="22"/>
        </w:rPr>
        <w:t>Išsamių metronidazolo vartojusių nėščių moterų klinikinių tyrimų neatlikta. Vaistinio preparato prasiskverbia pro placentos barjerą.</w:t>
      </w:r>
    </w:p>
    <w:p w14:paraId="254BF695" w14:textId="77777777" w:rsidR="00A07EDA" w:rsidRPr="004B4520" w:rsidRDefault="00A07EDA" w:rsidP="00A07EDA">
      <w:pPr>
        <w:pStyle w:val="Pagrindinistekstas"/>
        <w:spacing w:after="0"/>
        <w:rPr>
          <w:szCs w:val="22"/>
        </w:rPr>
      </w:pPr>
      <w:r w:rsidRPr="004B4520">
        <w:rPr>
          <w:szCs w:val="22"/>
        </w:rPr>
        <w:t xml:space="preserve">Tyrimų su vaikingomis žiurkėmis, kurioms buvo skiriama 5 kartus didesnė dozė negu žmonėms, duomenimis, metronidazolas vaisiaus nepažeidžia. </w:t>
      </w:r>
    </w:p>
    <w:p w14:paraId="6E3F69A6" w14:textId="77777777" w:rsidR="00A07EDA" w:rsidRPr="004B4520" w:rsidRDefault="00A07EDA" w:rsidP="00A07EDA">
      <w:pPr>
        <w:pStyle w:val="Pagrindinistekstas"/>
        <w:spacing w:after="0"/>
        <w:rPr>
          <w:szCs w:val="22"/>
        </w:rPr>
      </w:pPr>
      <w:r w:rsidRPr="004B4520">
        <w:rPr>
          <w:szCs w:val="22"/>
        </w:rPr>
        <w:t>Vaikingoms pelėms į pilvaplėvės ertmę sušvirkštus žmogui rekomenduojamą metronidazolo dozę, pasireiškė toksinis poveikis vaisiui; geriamoji dozė tokio poveikio nesukėlė.</w:t>
      </w:r>
    </w:p>
    <w:p w14:paraId="11C4F600" w14:textId="77777777" w:rsidR="00A07EDA" w:rsidRPr="004B4520" w:rsidRDefault="00A07EDA" w:rsidP="00A07EDA">
      <w:pPr>
        <w:pStyle w:val="Pagrindinistekstas"/>
        <w:spacing w:after="0"/>
        <w:rPr>
          <w:szCs w:val="22"/>
        </w:rPr>
      </w:pPr>
      <w:r w:rsidRPr="004B4520">
        <w:rPr>
          <w:szCs w:val="22"/>
        </w:rPr>
        <w:t>Metronidazolas kontraindikuotinas pirmuoju nėštumo trimestru, nerekomenduojama nėštumo metu vartoti didelių vaistinio preparato dozių. Antruoju ir trečiuoju nėštumo trimestrais metronidazolo galima skirti tik neabejotinai būtinu atveju.</w:t>
      </w:r>
    </w:p>
    <w:p w14:paraId="4C1E18AB" w14:textId="77777777" w:rsidR="00E9369A" w:rsidRPr="004B4520" w:rsidRDefault="00E9369A" w:rsidP="009E42B6">
      <w:pPr>
        <w:pStyle w:val="Pagrindinistekstas"/>
        <w:spacing w:after="0"/>
        <w:rPr>
          <w:szCs w:val="22"/>
        </w:rPr>
      </w:pPr>
    </w:p>
    <w:p w14:paraId="39A53A94" w14:textId="77777777" w:rsidR="00A07EDA" w:rsidRPr="004B4520" w:rsidRDefault="00A07EDA" w:rsidP="009E42B6">
      <w:pPr>
        <w:pStyle w:val="Pagrindinistekstas"/>
        <w:spacing w:after="0"/>
        <w:rPr>
          <w:i/>
          <w:szCs w:val="22"/>
          <w:u w:val="single"/>
        </w:rPr>
      </w:pPr>
      <w:r w:rsidRPr="004B4520">
        <w:rPr>
          <w:szCs w:val="22"/>
          <w:u w:val="single"/>
        </w:rPr>
        <w:t>Žindymas</w:t>
      </w:r>
    </w:p>
    <w:p w14:paraId="12C50D2B" w14:textId="77777777" w:rsidR="00A07EDA" w:rsidRPr="004B4520" w:rsidRDefault="00A07EDA" w:rsidP="009E42B6">
      <w:pPr>
        <w:pStyle w:val="Pagrindinistekstas"/>
        <w:spacing w:after="0"/>
        <w:rPr>
          <w:szCs w:val="22"/>
        </w:rPr>
      </w:pPr>
      <w:r w:rsidRPr="004B4520">
        <w:rPr>
          <w:szCs w:val="22"/>
        </w:rPr>
        <w:t>Metronidazolo patenka į žindyvės pieną, kuriame jo koncentracija būna beveik tokia pati kaip plazmoje. Vaistinio preparato žindymo laikotarpiu vartoti negalima. Jei jo vartoti būtina, žindymą reikia nutraukti.</w:t>
      </w:r>
    </w:p>
    <w:p w14:paraId="2C96F673" w14:textId="77777777" w:rsidR="00A07EDA" w:rsidRPr="00BD605E" w:rsidRDefault="00A07EDA" w:rsidP="008822CE">
      <w:pPr>
        <w:pStyle w:val="BTEMEASMCA"/>
        <w:rPr>
          <w:lang w:val="lt-LT"/>
        </w:rPr>
      </w:pPr>
    </w:p>
    <w:p w14:paraId="36796CB9" w14:textId="3C8AE89E" w:rsidR="00A07EDA" w:rsidRPr="004B4520" w:rsidRDefault="00A07EDA" w:rsidP="00A07EDA">
      <w:pPr>
        <w:pStyle w:val="PI-2EMEASMCA"/>
      </w:pPr>
      <w:bookmarkStart w:id="24" w:name="_Toc129243108"/>
      <w:bookmarkStart w:id="25" w:name="_Toc129243233"/>
      <w:r w:rsidRPr="004B4520">
        <w:t>4.7</w:t>
      </w:r>
      <w:r w:rsidRPr="004B4520">
        <w:tab/>
        <w:t>Poveikis gebėjimui vairuoti ir valdyti mechanizmus</w:t>
      </w:r>
      <w:bookmarkEnd w:id="24"/>
      <w:bookmarkEnd w:id="25"/>
    </w:p>
    <w:p w14:paraId="6B4CD1F7" w14:textId="77777777" w:rsidR="00A07EDA" w:rsidRPr="00E37C18" w:rsidRDefault="00A07EDA" w:rsidP="008822CE">
      <w:pPr>
        <w:pStyle w:val="BTEMEASMCA"/>
      </w:pPr>
    </w:p>
    <w:p w14:paraId="7D1FEBFC" w14:textId="77777777" w:rsidR="00A07EDA" w:rsidRPr="00E37C18" w:rsidRDefault="00A07EDA" w:rsidP="008822CE">
      <w:pPr>
        <w:pStyle w:val="BTEMEASMCA"/>
      </w:pPr>
      <w:r w:rsidRPr="00E37C18">
        <w:t>Pacientus reikia įspėti apie tai, kad gali pasireikšti mieguistumas, galvos svaigimas, sumišimas, haliucinacijų, traukulių ar praeinančių regos sutrikimų; jei pasireiškia šių simptomų, pacientams negalima vairuoti ar valdyti mechanizmų.</w:t>
      </w:r>
    </w:p>
    <w:p w14:paraId="4CAD1B1B" w14:textId="77777777" w:rsidR="00A07EDA" w:rsidRPr="00E37C18" w:rsidRDefault="00A07EDA" w:rsidP="008822CE">
      <w:pPr>
        <w:pStyle w:val="BTEMEASMCA"/>
      </w:pPr>
    </w:p>
    <w:p w14:paraId="27F5BEB1" w14:textId="43CE7BE7" w:rsidR="00A07EDA" w:rsidRPr="004B4520" w:rsidRDefault="00A07EDA" w:rsidP="00A07EDA">
      <w:pPr>
        <w:pStyle w:val="PI-2EMEASMCA"/>
      </w:pPr>
      <w:bookmarkStart w:id="26" w:name="_Toc129243109"/>
      <w:bookmarkStart w:id="27" w:name="_Toc129243234"/>
      <w:r w:rsidRPr="004B4520">
        <w:lastRenderedPageBreak/>
        <w:t>4.8</w:t>
      </w:r>
      <w:r w:rsidRPr="004B4520">
        <w:tab/>
        <w:t>Nepageidaujamas poveikis</w:t>
      </w:r>
      <w:bookmarkEnd w:id="26"/>
      <w:bookmarkEnd w:id="27"/>
    </w:p>
    <w:p w14:paraId="19A144A6" w14:textId="77777777" w:rsidR="00A07EDA" w:rsidRPr="00E37C18" w:rsidRDefault="00A07EDA" w:rsidP="008822CE">
      <w:pPr>
        <w:pStyle w:val="BTEMEASMCA"/>
      </w:pPr>
    </w:p>
    <w:p w14:paraId="5AD35E8F" w14:textId="77777777" w:rsidR="00A07EDA" w:rsidRPr="004B4520" w:rsidRDefault="00A07EDA" w:rsidP="00A07EDA">
      <w:pPr>
        <w:pStyle w:val="Dokumentoinaostekstas"/>
        <w:spacing w:line="260" w:lineRule="exact"/>
        <w:rPr>
          <w:szCs w:val="22"/>
          <w:lang w:val="lt-LT"/>
        </w:rPr>
      </w:pPr>
      <w:r w:rsidRPr="004B4520">
        <w:rPr>
          <w:szCs w:val="22"/>
          <w:lang w:val="lt-LT"/>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79DF6E03" w14:textId="77777777" w:rsidR="00A07EDA" w:rsidRPr="004B4520" w:rsidRDefault="00A07EDA" w:rsidP="00A07EDA">
      <w:pPr>
        <w:pStyle w:val="Dokumentoinaostekstas"/>
        <w:spacing w:line="260" w:lineRule="exact"/>
        <w:rPr>
          <w:szCs w:val="22"/>
          <w:lang w:val="lt-LT"/>
        </w:rPr>
      </w:pPr>
    </w:p>
    <w:p w14:paraId="0B8C4FAC" w14:textId="77777777" w:rsidR="00A07EDA" w:rsidRPr="004B4520" w:rsidRDefault="00A07EDA" w:rsidP="00A07EDA">
      <w:pPr>
        <w:rPr>
          <w:i/>
          <w:color w:val="000000"/>
          <w:sz w:val="22"/>
          <w:szCs w:val="22"/>
          <w:u w:val="single"/>
          <w:lang w:eastAsia="lt-LT"/>
        </w:rPr>
      </w:pPr>
      <w:r w:rsidRPr="004B4520">
        <w:rPr>
          <w:i/>
          <w:color w:val="000000"/>
          <w:sz w:val="22"/>
          <w:szCs w:val="22"/>
          <w:u w:val="single"/>
          <w:lang w:eastAsia="lt-LT"/>
        </w:rPr>
        <w:t>Virškinimo trakto sutrikimai</w:t>
      </w:r>
    </w:p>
    <w:p w14:paraId="20D92039" w14:textId="77777777" w:rsidR="00A07EDA" w:rsidRPr="004B4520" w:rsidRDefault="00A07EDA" w:rsidP="00A07EDA">
      <w:pPr>
        <w:rPr>
          <w:color w:val="000000"/>
          <w:sz w:val="22"/>
          <w:szCs w:val="22"/>
          <w:lang w:eastAsia="lt-LT"/>
        </w:rPr>
      </w:pPr>
      <w:r w:rsidRPr="004B4520">
        <w:rPr>
          <w:i/>
          <w:color w:val="000000"/>
          <w:sz w:val="22"/>
          <w:szCs w:val="22"/>
          <w:lang w:eastAsia="lt-LT"/>
        </w:rPr>
        <w:t>Labai dažni</w:t>
      </w:r>
      <w:r w:rsidRPr="004B4520">
        <w:rPr>
          <w:color w:val="000000"/>
          <w:sz w:val="22"/>
          <w:szCs w:val="22"/>
          <w:lang w:eastAsia="lt-LT"/>
        </w:rPr>
        <w:t xml:space="preserve">: pykinimas (12%), kurio metu kartais skauda galvą, džiūsta burna, juntamas metalo skonis. </w:t>
      </w:r>
    </w:p>
    <w:p w14:paraId="44B60106" w14:textId="77777777" w:rsidR="00A07EDA" w:rsidRPr="004B4520" w:rsidRDefault="00A07EDA" w:rsidP="00A07EDA">
      <w:pPr>
        <w:rPr>
          <w:color w:val="000000"/>
          <w:sz w:val="22"/>
          <w:szCs w:val="22"/>
          <w:lang w:eastAsia="lt-LT"/>
        </w:rPr>
      </w:pPr>
      <w:r w:rsidRPr="004B4520">
        <w:rPr>
          <w:i/>
          <w:color w:val="000000"/>
          <w:sz w:val="22"/>
          <w:szCs w:val="22"/>
          <w:lang w:eastAsia="lt-LT"/>
        </w:rPr>
        <w:t>Nedažni:</w:t>
      </w:r>
      <w:r w:rsidRPr="004B4520">
        <w:rPr>
          <w:color w:val="000000"/>
          <w:sz w:val="22"/>
          <w:szCs w:val="22"/>
          <w:lang w:eastAsia="lt-LT"/>
        </w:rPr>
        <w:t xml:space="preserve"> vėmimas, viduriavimas, pilvo negalavimas, vidurių užkietėjimas.</w:t>
      </w:r>
    </w:p>
    <w:p w14:paraId="1552269D" w14:textId="77777777" w:rsidR="00A07EDA" w:rsidRPr="004B4520" w:rsidRDefault="00A07EDA" w:rsidP="00A07EDA">
      <w:pPr>
        <w:rPr>
          <w:color w:val="000000"/>
          <w:sz w:val="22"/>
          <w:szCs w:val="22"/>
          <w:lang w:eastAsia="lt-LT"/>
        </w:rPr>
      </w:pPr>
      <w:r w:rsidRPr="004B4520">
        <w:rPr>
          <w:i/>
          <w:color w:val="000000"/>
          <w:sz w:val="22"/>
          <w:szCs w:val="22"/>
          <w:lang w:eastAsia="lt-LT"/>
        </w:rPr>
        <w:t>Reti:</w:t>
      </w:r>
      <w:r w:rsidRPr="004B4520">
        <w:rPr>
          <w:iCs/>
          <w:color w:val="000000"/>
          <w:sz w:val="22"/>
          <w:szCs w:val="22"/>
          <w:lang w:eastAsia="lt-LT"/>
        </w:rPr>
        <w:t xml:space="preserve"> l</w:t>
      </w:r>
      <w:r w:rsidRPr="004B4520">
        <w:rPr>
          <w:color w:val="000000"/>
          <w:sz w:val="22"/>
          <w:szCs w:val="22"/>
          <w:lang w:eastAsia="lt-LT"/>
        </w:rPr>
        <w:t xml:space="preserve">iežuvio apnašos, burnos ertmės mikozė. </w:t>
      </w:r>
    </w:p>
    <w:p w14:paraId="0BA009F0" w14:textId="77777777" w:rsidR="00A07EDA" w:rsidRPr="004B4520" w:rsidRDefault="00A07EDA" w:rsidP="00A07EDA">
      <w:pPr>
        <w:rPr>
          <w:color w:val="000000"/>
          <w:sz w:val="22"/>
          <w:szCs w:val="22"/>
          <w:lang w:eastAsia="lt-LT"/>
        </w:rPr>
      </w:pPr>
      <w:r w:rsidRPr="004B4520">
        <w:rPr>
          <w:i/>
          <w:color w:val="000000"/>
          <w:sz w:val="22"/>
          <w:szCs w:val="22"/>
          <w:lang w:eastAsia="lt-LT"/>
        </w:rPr>
        <w:t>Labai reti:</w:t>
      </w:r>
      <w:r w:rsidRPr="004B4520">
        <w:rPr>
          <w:color w:val="000000"/>
          <w:sz w:val="22"/>
          <w:szCs w:val="22"/>
          <w:lang w:eastAsia="lt-LT"/>
        </w:rPr>
        <w:t xml:space="preserve"> kasos uždegimas (grįžtamas nutraukus vaisto vartojimą).</w:t>
      </w:r>
    </w:p>
    <w:p w14:paraId="15A9F8CF" w14:textId="77777777" w:rsidR="00A07EDA" w:rsidRPr="004B4520" w:rsidRDefault="00A07EDA" w:rsidP="00A07EDA">
      <w:pPr>
        <w:rPr>
          <w:color w:val="000000"/>
          <w:sz w:val="22"/>
          <w:szCs w:val="22"/>
          <w:lang w:eastAsia="lt-LT"/>
        </w:rPr>
      </w:pPr>
      <w:r w:rsidRPr="004B4520">
        <w:rPr>
          <w:i/>
          <w:color w:val="000000"/>
          <w:sz w:val="22"/>
          <w:szCs w:val="22"/>
          <w:lang w:eastAsia="lt-LT"/>
        </w:rPr>
        <w:t>Dažnis nežinomas:</w:t>
      </w:r>
      <w:r w:rsidRPr="004B4520">
        <w:rPr>
          <w:color w:val="000000"/>
          <w:sz w:val="22"/>
          <w:szCs w:val="22"/>
          <w:lang w:eastAsia="lt-LT"/>
        </w:rPr>
        <w:t xml:space="preserve"> apetito nebuvimas.</w:t>
      </w:r>
    </w:p>
    <w:p w14:paraId="34BACEA7" w14:textId="77777777" w:rsidR="00A07EDA" w:rsidRPr="004B4520" w:rsidRDefault="00A07EDA" w:rsidP="00A07EDA">
      <w:pPr>
        <w:rPr>
          <w:i/>
          <w:color w:val="000000"/>
          <w:sz w:val="22"/>
          <w:szCs w:val="22"/>
          <w:u w:val="single"/>
          <w:lang w:eastAsia="lt-LT"/>
        </w:rPr>
      </w:pPr>
    </w:p>
    <w:p w14:paraId="7D96B202" w14:textId="77777777" w:rsidR="00A07EDA" w:rsidRPr="004B4520" w:rsidRDefault="00A07EDA" w:rsidP="00A07EDA">
      <w:pPr>
        <w:rPr>
          <w:i/>
          <w:color w:val="000000"/>
          <w:sz w:val="22"/>
          <w:szCs w:val="22"/>
          <w:u w:val="single"/>
          <w:lang w:eastAsia="lt-LT"/>
        </w:rPr>
      </w:pPr>
      <w:r w:rsidRPr="004B4520">
        <w:rPr>
          <w:i/>
          <w:color w:val="000000"/>
          <w:sz w:val="22"/>
          <w:szCs w:val="22"/>
          <w:u w:val="single"/>
          <w:lang w:eastAsia="lt-LT"/>
        </w:rPr>
        <w:t>Kraujo ir limfinės sistemos sutrikimai</w:t>
      </w:r>
    </w:p>
    <w:p w14:paraId="1937F2A9" w14:textId="77777777" w:rsidR="00A07EDA" w:rsidRPr="004B4520" w:rsidRDefault="00A07EDA" w:rsidP="00A07EDA">
      <w:pPr>
        <w:rPr>
          <w:color w:val="000000"/>
          <w:sz w:val="22"/>
          <w:szCs w:val="22"/>
          <w:lang w:eastAsia="lt-LT"/>
        </w:rPr>
      </w:pPr>
      <w:r w:rsidRPr="004B4520">
        <w:rPr>
          <w:i/>
          <w:iCs/>
          <w:color w:val="000000"/>
          <w:sz w:val="22"/>
          <w:szCs w:val="22"/>
          <w:lang w:eastAsia="lt-LT"/>
        </w:rPr>
        <w:t>Reti:</w:t>
      </w:r>
      <w:r w:rsidRPr="004B4520">
        <w:rPr>
          <w:iCs/>
          <w:color w:val="000000"/>
          <w:sz w:val="22"/>
          <w:szCs w:val="22"/>
          <w:lang w:eastAsia="lt-LT"/>
        </w:rPr>
        <w:t xml:space="preserve"> vidutinio sunkumo l</w:t>
      </w:r>
      <w:r w:rsidRPr="004B4520">
        <w:rPr>
          <w:color w:val="000000"/>
          <w:sz w:val="22"/>
          <w:szCs w:val="22"/>
          <w:lang w:eastAsia="lt-LT"/>
        </w:rPr>
        <w:t>eukopenija (leukocitų skaičius visuomet sunormalėja iki baigiant gydymą ar jį baigus), agranuliocitozė, neutropenija, trombocitopenija ir pancitopenija (dažnai grįžtama nutraukus vaisto vartojimą; nors ir labai retai, gali lemti mirtį).</w:t>
      </w:r>
    </w:p>
    <w:p w14:paraId="126501A8" w14:textId="77777777" w:rsidR="00A07EDA" w:rsidRPr="004B4520" w:rsidRDefault="00A07EDA" w:rsidP="00A07EDA">
      <w:pPr>
        <w:rPr>
          <w:i/>
          <w:iCs/>
          <w:color w:val="000000"/>
          <w:sz w:val="22"/>
          <w:szCs w:val="22"/>
          <w:u w:val="single"/>
          <w:lang w:eastAsia="lt-LT"/>
        </w:rPr>
      </w:pPr>
    </w:p>
    <w:p w14:paraId="47FD4FB7" w14:textId="77777777" w:rsidR="00A07EDA" w:rsidRPr="004B4520" w:rsidRDefault="00A07EDA" w:rsidP="00A07EDA">
      <w:pPr>
        <w:rPr>
          <w:i/>
          <w:iCs/>
          <w:color w:val="000000"/>
          <w:sz w:val="22"/>
          <w:szCs w:val="22"/>
          <w:u w:val="single"/>
          <w:lang w:eastAsia="lt-LT"/>
        </w:rPr>
      </w:pPr>
      <w:r w:rsidRPr="004B4520">
        <w:rPr>
          <w:i/>
          <w:iCs/>
          <w:color w:val="000000"/>
          <w:sz w:val="22"/>
          <w:szCs w:val="22"/>
          <w:u w:val="single"/>
          <w:lang w:eastAsia="lt-LT"/>
        </w:rPr>
        <w:t>Nervų sistemos sutrikimai</w:t>
      </w:r>
    </w:p>
    <w:p w14:paraId="5BE7F679" w14:textId="77777777" w:rsidR="00A07EDA" w:rsidRPr="004B4520" w:rsidRDefault="00A07EDA" w:rsidP="00A07EDA">
      <w:pPr>
        <w:rPr>
          <w:color w:val="000000"/>
          <w:sz w:val="22"/>
          <w:szCs w:val="22"/>
          <w:lang w:eastAsia="lt-LT"/>
        </w:rPr>
      </w:pPr>
      <w:r w:rsidRPr="004B4520">
        <w:rPr>
          <w:i/>
          <w:color w:val="000000"/>
          <w:sz w:val="22"/>
          <w:szCs w:val="22"/>
          <w:lang w:eastAsia="lt-LT"/>
        </w:rPr>
        <w:t>Reti:</w:t>
      </w:r>
      <w:r w:rsidRPr="004B4520">
        <w:rPr>
          <w:color w:val="000000"/>
          <w:sz w:val="22"/>
          <w:szCs w:val="22"/>
          <w:lang w:eastAsia="lt-LT"/>
        </w:rPr>
        <w:t xml:space="preserve"> periferinė neuropatija, kuriai būdingas galūnių tirpimas, dilgčiojimo pojūtis ar parestezija; daugeliu atveju neuropatijos reiškiniai išnyko nutraukus vaisto vartojimą ar sumažinus vaisto dozę; taip pat gali pasireikšti galvos skausmas ir svaigimas, sutrikusi judesių koordinacija, mieguistumas.</w:t>
      </w:r>
    </w:p>
    <w:p w14:paraId="6CE7555F" w14:textId="77777777" w:rsidR="00A07EDA" w:rsidRPr="004B4520" w:rsidRDefault="00A07EDA" w:rsidP="00A07EDA">
      <w:pPr>
        <w:rPr>
          <w:color w:val="000000"/>
          <w:sz w:val="22"/>
          <w:szCs w:val="22"/>
          <w:lang w:eastAsia="lt-LT"/>
        </w:rPr>
      </w:pPr>
      <w:r w:rsidRPr="004B4520">
        <w:rPr>
          <w:i/>
          <w:color w:val="000000"/>
          <w:sz w:val="22"/>
          <w:szCs w:val="22"/>
          <w:lang w:eastAsia="lt-LT"/>
        </w:rPr>
        <w:t>Labai reti:</w:t>
      </w:r>
      <w:r w:rsidRPr="004B4520">
        <w:rPr>
          <w:color w:val="000000"/>
          <w:sz w:val="22"/>
          <w:szCs w:val="22"/>
          <w:lang w:eastAsia="lt-LT"/>
        </w:rPr>
        <w:t xml:space="preserve"> psichikos sutrikimai, tame tarpe sumišimas ir haliucinacijos; praeinantys epilepsiforminiai traukuliai.</w:t>
      </w:r>
    </w:p>
    <w:p w14:paraId="01C3206A" w14:textId="77777777" w:rsidR="00A07EDA" w:rsidRPr="004B4520" w:rsidRDefault="00A07EDA" w:rsidP="00A07EDA">
      <w:pPr>
        <w:rPr>
          <w:i/>
          <w:color w:val="000000"/>
          <w:sz w:val="22"/>
          <w:szCs w:val="22"/>
          <w:u w:val="single"/>
          <w:lang w:eastAsia="lt-LT"/>
        </w:rPr>
      </w:pPr>
    </w:p>
    <w:p w14:paraId="35BF4293" w14:textId="77777777" w:rsidR="00A07EDA" w:rsidRPr="004B4520" w:rsidRDefault="00A07EDA" w:rsidP="00A07EDA">
      <w:pPr>
        <w:rPr>
          <w:i/>
          <w:color w:val="000000"/>
          <w:sz w:val="22"/>
          <w:szCs w:val="22"/>
          <w:u w:val="single"/>
          <w:lang w:eastAsia="lt-LT"/>
        </w:rPr>
      </w:pPr>
      <w:r w:rsidRPr="004B4520">
        <w:rPr>
          <w:i/>
          <w:color w:val="000000"/>
          <w:sz w:val="22"/>
          <w:szCs w:val="22"/>
          <w:u w:val="single"/>
          <w:lang w:eastAsia="lt-LT"/>
        </w:rPr>
        <w:t>Akių sutrikimai</w:t>
      </w:r>
    </w:p>
    <w:p w14:paraId="0569C080" w14:textId="77777777" w:rsidR="00A07EDA" w:rsidRPr="004B4520" w:rsidRDefault="00A07EDA" w:rsidP="00A07EDA">
      <w:pPr>
        <w:rPr>
          <w:color w:val="000000"/>
          <w:sz w:val="22"/>
          <w:szCs w:val="22"/>
          <w:lang w:eastAsia="lt-LT"/>
        </w:rPr>
      </w:pPr>
      <w:r w:rsidRPr="004B4520">
        <w:rPr>
          <w:i/>
          <w:color w:val="000000"/>
          <w:sz w:val="22"/>
          <w:szCs w:val="22"/>
          <w:lang w:eastAsia="lt-LT"/>
        </w:rPr>
        <w:t>Dažnis nežinomas</w:t>
      </w:r>
      <w:r w:rsidRPr="004B4520">
        <w:rPr>
          <w:color w:val="000000"/>
          <w:sz w:val="22"/>
          <w:szCs w:val="22"/>
          <w:lang w:eastAsia="lt-LT"/>
        </w:rPr>
        <w:t>: praeinantis regos sutrikimas, pvz., dvejinimasis ir trumparegystė.</w:t>
      </w:r>
    </w:p>
    <w:p w14:paraId="450A905E" w14:textId="77777777" w:rsidR="00A07EDA" w:rsidRPr="004B4520" w:rsidRDefault="00A07EDA" w:rsidP="00A07EDA">
      <w:pPr>
        <w:rPr>
          <w:i/>
          <w:iCs/>
          <w:color w:val="000000"/>
          <w:sz w:val="22"/>
          <w:szCs w:val="22"/>
          <w:u w:val="single"/>
          <w:lang w:eastAsia="lt-LT"/>
        </w:rPr>
      </w:pPr>
    </w:p>
    <w:p w14:paraId="415143E2" w14:textId="77777777" w:rsidR="00A07EDA" w:rsidRPr="004B4520" w:rsidRDefault="00A07EDA" w:rsidP="00A07EDA">
      <w:pPr>
        <w:rPr>
          <w:color w:val="000000"/>
          <w:sz w:val="22"/>
          <w:szCs w:val="22"/>
          <w:u w:val="single"/>
          <w:lang w:eastAsia="lt-LT"/>
        </w:rPr>
      </w:pPr>
      <w:r w:rsidRPr="004B4520">
        <w:rPr>
          <w:i/>
          <w:iCs/>
          <w:color w:val="000000"/>
          <w:sz w:val="22"/>
          <w:szCs w:val="22"/>
          <w:u w:val="single"/>
          <w:lang w:eastAsia="lt-LT"/>
        </w:rPr>
        <w:t>Imuninės sistemos sutrikimai</w:t>
      </w:r>
      <w:r w:rsidRPr="004B4520">
        <w:rPr>
          <w:color w:val="000000"/>
          <w:sz w:val="22"/>
          <w:szCs w:val="22"/>
          <w:u w:val="single"/>
          <w:lang w:eastAsia="lt-LT"/>
        </w:rPr>
        <w:t xml:space="preserve"> </w:t>
      </w:r>
    </w:p>
    <w:p w14:paraId="65A617DB" w14:textId="77777777" w:rsidR="00A07EDA" w:rsidRPr="004B4520" w:rsidRDefault="00A07EDA" w:rsidP="00A07EDA">
      <w:pPr>
        <w:rPr>
          <w:color w:val="000000"/>
          <w:sz w:val="22"/>
          <w:szCs w:val="22"/>
          <w:lang w:eastAsia="lt-LT"/>
        </w:rPr>
      </w:pPr>
      <w:r w:rsidRPr="004B4520">
        <w:rPr>
          <w:i/>
          <w:color w:val="000000"/>
          <w:sz w:val="22"/>
          <w:szCs w:val="22"/>
          <w:lang w:eastAsia="lt-LT"/>
        </w:rPr>
        <w:t>Reti:</w:t>
      </w:r>
      <w:r w:rsidRPr="004B4520">
        <w:rPr>
          <w:color w:val="000000"/>
          <w:sz w:val="22"/>
          <w:szCs w:val="22"/>
          <w:lang w:eastAsia="lt-LT"/>
        </w:rPr>
        <w:t xml:space="preserve"> dilgėlinė, daugiaformė eritema, angioneurozinė edema, anafilaksijos reakcija.</w:t>
      </w:r>
    </w:p>
    <w:p w14:paraId="2FEE15D6" w14:textId="77777777" w:rsidR="00A07EDA" w:rsidRPr="004B4520" w:rsidRDefault="00A07EDA" w:rsidP="00A07EDA">
      <w:pPr>
        <w:rPr>
          <w:color w:val="000000"/>
          <w:sz w:val="22"/>
          <w:szCs w:val="22"/>
          <w:lang w:eastAsia="lt-LT"/>
        </w:rPr>
      </w:pPr>
      <w:r w:rsidRPr="004B4520">
        <w:rPr>
          <w:i/>
          <w:color w:val="000000"/>
          <w:sz w:val="22"/>
          <w:szCs w:val="22"/>
          <w:lang w:eastAsia="lt-LT"/>
        </w:rPr>
        <w:t>Labai reti:</w:t>
      </w:r>
      <w:r w:rsidRPr="004B4520">
        <w:rPr>
          <w:color w:val="000000"/>
          <w:sz w:val="22"/>
          <w:szCs w:val="22"/>
          <w:lang w:eastAsia="lt-LT"/>
        </w:rPr>
        <w:t xml:space="preserve"> odos bėrimas, pustulinis bėrimas, niežulys.</w:t>
      </w:r>
    </w:p>
    <w:p w14:paraId="5BC86E16" w14:textId="77777777" w:rsidR="00A07EDA" w:rsidRPr="004B4520" w:rsidRDefault="00A07EDA" w:rsidP="00A07EDA">
      <w:pPr>
        <w:rPr>
          <w:i/>
          <w:iCs/>
          <w:color w:val="000000"/>
          <w:sz w:val="22"/>
          <w:szCs w:val="22"/>
          <w:u w:val="single"/>
          <w:lang w:eastAsia="lt-LT"/>
        </w:rPr>
      </w:pPr>
    </w:p>
    <w:p w14:paraId="33341670" w14:textId="77777777" w:rsidR="00A07EDA" w:rsidRPr="004B4520" w:rsidRDefault="00A07EDA" w:rsidP="00A07EDA">
      <w:pPr>
        <w:rPr>
          <w:i/>
          <w:iCs/>
          <w:color w:val="000000"/>
          <w:sz w:val="22"/>
          <w:szCs w:val="22"/>
          <w:u w:val="single"/>
          <w:lang w:eastAsia="lt-LT"/>
        </w:rPr>
      </w:pPr>
      <w:r w:rsidRPr="004B4520">
        <w:rPr>
          <w:i/>
          <w:iCs/>
          <w:color w:val="000000"/>
          <w:sz w:val="22"/>
          <w:szCs w:val="22"/>
          <w:u w:val="single"/>
          <w:lang w:eastAsia="lt-LT"/>
        </w:rPr>
        <w:t>Inkstų ir šlapimo takų sutrikimai</w:t>
      </w:r>
    </w:p>
    <w:p w14:paraId="704D955C" w14:textId="77777777" w:rsidR="00A07EDA" w:rsidRPr="004B4520" w:rsidRDefault="00A07EDA" w:rsidP="00A07EDA">
      <w:pPr>
        <w:rPr>
          <w:iCs/>
          <w:color w:val="000000"/>
          <w:sz w:val="22"/>
          <w:szCs w:val="22"/>
          <w:lang w:eastAsia="lt-LT"/>
        </w:rPr>
      </w:pPr>
      <w:r w:rsidRPr="004B4520">
        <w:rPr>
          <w:i/>
          <w:color w:val="000000"/>
          <w:sz w:val="22"/>
          <w:szCs w:val="22"/>
          <w:lang w:eastAsia="lt-LT"/>
        </w:rPr>
        <w:t>Reti:</w:t>
      </w:r>
      <w:r w:rsidRPr="004B4520">
        <w:rPr>
          <w:color w:val="000000"/>
          <w:sz w:val="22"/>
          <w:szCs w:val="22"/>
          <w:lang w:eastAsia="lt-LT"/>
        </w:rPr>
        <w:t xml:space="preserve"> </w:t>
      </w:r>
      <w:r w:rsidRPr="004B4520">
        <w:rPr>
          <w:iCs/>
          <w:color w:val="000000"/>
          <w:sz w:val="22"/>
          <w:szCs w:val="22"/>
          <w:lang w:eastAsia="lt-LT"/>
        </w:rPr>
        <w:t>patamsėjęs šlapimas.</w:t>
      </w:r>
    </w:p>
    <w:p w14:paraId="6B67DFFB" w14:textId="77777777" w:rsidR="00A07EDA" w:rsidRPr="004B4520" w:rsidRDefault="00A07EDA" w:rsidP="00A07EDA">
      <w:pPr>
        <w:rPr>
          <w:i/>
          <w:iCs/>
          <w:color w:val="000000"/>
          <w:sz w:val="22"/>
          <w:szCs w:val="22"/>
          <w:u w:val="single"/>
          <w:lang w:eastAsia="lt-LT"/>
        </w:rPr>
      </w:pPr>
    </w:p>
    <w:p w14:paraId="0B08A03D" w14:textId="77777777" w:rsidR="00A07EDA" w:rsidRPr="004B4520" w:rsidRDefault="00A07EDA" w:rsidP="00A07EDA">
      <w:pPr>
        <w:rPr>
          <w:i/>
          <w:iCs/>
          <w:color w:val="000000"/>
          <w:sz w:val="22"/>
          <w:szCs w:val="22"/>
          <w:u w:val="single"/>
          <w:lang w:eastAsia="lt-LT"/>
        </w:rPr>
      </w:pPr>
      <w:r w:rsidRPr="004B4520">
        <w:rPr>
          <w:i/>
          <w:iCs/>
          <w:color w:val="000000"/>
          <w:sz w:val="22"/>
          <w:szCs w:val="22"/>
          <w:u w:val="single"/>
          <w:lang w:eastAsia="lt-LT"/>
        </w:rPr>
        <w:t>Kepenų, tulžies pūslės ir latakų sutrikimai</w:t>
      </w:r>
    </w:p>
    <w:p w14:paraId="64F807F8" w14:textId="77777777" w:rsidR="00A07EDA" w:rsidRPr="004B4520" w:rsidRDefault="00A07EDA" w:rsidP="00A07EDA">
      <w:pPr>
        <w:rPr>
          <w:color w:val="000000"/>
          <w:sz w:val="22"/>
          <w:szCs w:val="22"/>
          <w:lang w:eastAsia="lt-LT"/>
        </w:rPr>
      </w:pPr>
      <w:r w:rsidRPr="004B4520">
        <w:rPr>
          <w:i/>
          <w:iCs/>
          <w:color w:val="000000"/>
          <w:sz w:val="22"/>
          <w:szCs w:val="22"/>
          <w:lang w:eastAsia="lt-LT"/>
        </w:rPr>
        <w:t>Labai reti:</w:t>
      </w:r>
      <w:r w:rsidRPr="004B4520">
        <w:rPr>
          <w:iCs/>
          <w:color w:val="000000"/>
          <w:sz w:val="22"/>
          <w:szCs w:val="22"/>
          <w:lang w:eastAsia="lt-LT"/>
        </w:rPr>
        <w:t xml:space="preserve"> k</w:t>
      </w:r>
      <w:r w:rsidRPr="004B4520">
        <w:rPr>
          <w:color w:val="000000"/>
          <w:sz w:val="22"/>
          <w:szCs w:val="22"/>
          <w:lang w:eastAsia="lt-LT"/>
        </w:rPr>
        <w:t>epenų veiklos rodmenų pokyčiai, cholestazinis hepatitas, gelta (kurie grįžtami nutraukus vaisto vartojimą).</w:t>
      </w:r>
    </w:p>
    <w:p w14:paraId="1A569DB2" w14:textId="77777777" w:rsidR="00A07EDA" w:rsidRPr="004B4520" w:rsidRDefault="00A07EDA" w:rsidP="00A07EDA">
      <w:pPr>
        <w:rPr>
          <w:i/>
          <w:iCs/>
          <w:color w:val="000000"/>
          <w:sz w:val="22"/>
          <w:szCs w:val="22"/>
          <w:u w:val="single"/>
          <w:lang w:eastAsia="lt-LT"/>
        </w:rPr>
      </w:pPr>
    </w:p>
    <w:p w14:paraId="07EC7F06" w14:textId="77777777" w:rsidR="00A07EDA" w:rsidRPr="004B4520" w:rsidRDefault="00A07EDA" w:rsidP="00A07EDA">
      <w:pPr>
        <w:rPr>
          <w:i/>
          <w:iCs/>
          <w:color w:val="000000"/>
          <w:sz w:val="22"/>
          <w:szCs w:val="22"/>
          <w:u w:val="single"/>
          <w:lang w:eastAsia="lt-LT"/>
        </w:rPr>
      </w:pPr>
      <w:r w:rsidRPr="004B4520">
        <w:rPr>
          <w:i/>
          <w:iCs/>
          <w:color w:val="000000"/>
          <w:sz w:val="22"/>
          <w:szCs w:val="22"/>
          <w:u w:val="single"/>
          <w:lang w:eastAsia="lt-LT"/>
        </w:rPr>
        <w:t>Skeleto, raumenų ir jungiamojo audinio sutrikimai</w:t>
      </w:r>
    </w:p>
    <w:p w14:paraId="16D1B5FD" w14:textId="77777777" w:rsidR="00A07EDA" w:rsidRPr="004B4520" w:rsidRDefault="00A07EDA" w:rsidP="00A07EDA">
      <w:pPr>
        <w:rPr>
          <w:color w:val="000000"/>
          <w:sz w:val="22"/>
          <w:szCs w:val="22"/>
          <w:lang w:eastAsia="lt-LT"/>
        </w:rPr>
      </w:pPr>
      <w:r w:rsidRPr="004B4520">
        <w:rPr>
          <w:i/>
          <w:iCs/>
          <w:color w:val="000000"/>
          <w:sz w:val="22"/>
          <w:szCs w:val="22"/>
          <w:lang w:eastAsia="lt-LT"/>
        </w:rPr>
        <w:t>Labai reti:</w:t>
      </w:r>
      <w:r w:rsidRPr="004B4520">
        <w:rPr>
          <w:iCs/>
          <w:color w:val="000000"/>
          <w:sz w:val="22"/>
          <w:szCs w:val="22"/>
          <w:lang w:eastAsia="lt-LT"/>
        </w:rPr>
        <w:t xml:space="preserve"> raumenų skausmas, sąnarių skausmas</w:t>
      </w:r>
      <w:r w:rsidRPr="004B4520">
        <w:rPr>
          <w:color w:val="000000"/>
          <w:sz w:val="22"/>
          <w:szCs w:val="22"/>
          <w:lang w:eastAsia="lt-LT"/>
        </w:rPr>
        <w:t>.</w:t>
      </w:r>
    </w:p>
    <w:p w14:paraId="063F7638" w14:textId="193D8FBE" w:rsidR="00E9369A" w:rsidRDefault="00E9369A" w:rsidP="00E9369A">
      <w:pPr>
        <w:tabs>
          <w:tab w:val="left" w:pos="567"/>
        </w:tabs>
        <w:autoSpaceDE w:val="0"/>
        <w:autoSpaceDN w:val="0"/>
        <w:adjustRightInd w:val="0"/>
        <w:spacing w:line="260" w:lineRule="exact"/>
        <w:jc w:val="both"/>
        <w:rPr>
          <w:noProof/>
          <w:snapToGrid w:val="0"/>
          <w:sz w:val="22"/>
          <w:szCs w:val="22"/>
          <w:u w:val="single"/>
        </w:rPr>
      </w:pPr>
    </w:p>
    <w:p w14:paraId="7D7F4134" w14:textId="70324E36" w:rsidR="00FB7C70" w:rsidRPr="003F3C81" w:rsidRDefault="00FB7C70" w:rsidP="003F3C81">
      <w:pPr>
        <w:tabs>
          <w:tab w:val="left" w:pos="567"/>
        </w:tabs>
        <w:autoSpaceDE w:val="0"/>
        <w:autoSpaceDN w:val="0"/>
        <w:adjustRightInd w:val="0"/>
        <w:spacing w:line="260" w:lineRule="exact"/>
        <w:rPr>
          <w:sz w:val="22"/>
          <w:szCs w:val="22"/>
        </w:rPr>
      </w:pPr>
      <w:r w:rsidRPr="003F3C81">
        <w:rPr>
          <w:sz w:val="22"/>
          <w:szCs w:val="22"/>
        </w:rPr>
        <w:t xml:space="preserve">Vartojant sisteminio poveikio </w:t>
      </w:r>
      <w:r w:rsidR="00ED0CD0" w:rsidRPr="003F3C81">
        <w:rPr>
          <w:sz w:val="22"/>
          <w:szCs w:val="22"/>
        </w:rPr>
        <w:t xml:space="preserve">vaistinius </w:t>
      </w:r>
      <w:r w:rsidRPr="003F3C81">
        <w:rPr>
          <w:sz w:val="22"/>
          <w:szCs w:val="22"/>
        </w:rPr>
        <w:t>preparatus su metronidazolu, Kokaino (Cockayne) sindromu sergan</w:t>
      </w:r>
      <w:r w:rsidR="00953DDF" w:rsidRPr="003F3C81">
        <w:rPr>
          <w:sz w:val="22"/>
          <w:szCs w:val="22"/>
        </w:rPr>
        <w:t>tiems pacientams buvo</w:t>
      </w:r>
      <w:r w:rsidRPr="003F3C81">
        <w:rPr>
          <w:sz w:val="22"/>
          <w:szCs w:val="22"/>
        </w:rPr>
        <w:t xml:space="preserve"> nustatyta sunkaus </w:t>
      </w:r>
      <w:r w:rsidR="00953DDF" w:rsidRPr="003F3C81">
        <w:rPr>
          <w:sz w:val="22"/>
          <w:szCs w:val="22"/>
        </w:rPr>
        <w:t xml:space="preserve">negrįžtamo </w:t>
      </w:r>
      <w:r w:rsidRPr="003F3C81">
        <w:rPr>
          <w:sz w:val="22"/>
          <w:szCs w:val="22"/>
        </w:rPr>
        <w:t>toksinio poveikio kepenims ir (arba) ūminio kepenų nepakankamumo atvejų, įskaitant mirt</w:t>
      </w:r>
      <w:r w:rsidR="00C00686" w:rsidRPr="003F3C81">
        <w:rPr>
          <w:sz w:val="22"/>
          <w:szCs w:val="22"/>
        </w:rPr>
        <w:t>inus</w:t>
      </w:r>
      <w:r w:rsidRPr="003F3C81">
        <w:rPr>
          <w:sz w:val="22"/>
          <w:szCs w:val="22"/>
        </w:rPr>
        <w:t xml:space="preserve"> atvejus, kai šie sutrikimai pasireiškė labai greitai vos pradėjus gydymą</w:t>
      </w:r>
      <w:r w:rsidR="00953DDF" w:rsidRPr="003F3C81">
        <w:rPr>
          <w:sz w:val="22"/>
          <w:szCs w:val="22"/>
        </w:rPr>
        <w:t xml:space="preserve"> (žr. 4.4 skyrių)</w:t>
      </w:r>
      <w:r w:rsidRPr="003F3C81">
        <w:rPr>
          <w:sz w:val="22"/>
          <w:szCs w:val="22"/>
        </w:rPr>
        <w:t>.</w:t>
      </w:r>
    </w:p>
    <w:p w14:paraId="50B053E2" w14:textId="77777777" w:rsidR="00C00686" w:rsidRPr="003F3C81" w:rsidRDefault="00C00686" w:rsidP="003F3C81">
      <w:pPr>
        <w:autoSpaceDE w:val="0"/>
        <w:autoSpaceDN w:val="0"/>
        <w:adjustRightInd w:val="0"/>
        <w:rPr>
          <w:noProof/>
          <w:snapToGrid w:val="0"/>
          <w:sz w:val="22"/>
          <w:szCs w:val="22"/>
          <w:u w:val="single"/>
        </w:rPr>
      </w:pPr>
    </w:p>
    <w:p w14:paraId="4BA6E483" w14:textId="41FAE1AC" w:rsidR="00E9369A" w:rsidRPr="003F3C81" w:rsidRDefault="00E9369A" w:rsidP="003F3C81">
      <w:pPr>
        <w:autoSpaceDE w:val="0"/>
        <w:autoSpaceDN w:val="0"/>
        <w:adjustRightInd w:val="0"/>
        <w:rPr>
          <w:sz w:val="22"/>
          <w:szCs w:val="22"/>
          <w:u w:val="single"/>
        </w:rPr>
      </w:pPr>
      <w:r w:rsidRPr="003F3C81">
        <w:rPr>
          <w:noProof/>
          <w:sz w:val="22"/>
          <w:szCs w:val="22"/>
          <w:u w:val="single"/>
        </w:rPr>
        <w:t>Pranešimas apie įtariamas nepageidaujamas reakcijas</w:t>
      </w:r>
    </w:p>
    <w:p w14:paraId="4E0FB8AC" w14:textId="21E07FE5" w:rsidR="00953DDF" w:rsidRPr="00953DDF" w:rsidRDefault="00E9369A" w:rsidP="003F3C81">
      <w:pPr>
        <w:tabs>
          <w:tab w:val="left" w:pos="567"/>
        </w:tabs>
        <w:autoSpaceDE w:val="0"/>
        <w:autoSpaceDN w:val="0"/>
        <w:adjustRightInd w:val="0"/>
        <w:spacing w:line="260" w:lineRule="exact"/>
        <w:rPr>
          <w:noProof/>
          <w:snapToGrid w:val="0"/>
          <w:sz w:val="22"/>
          <w:szCs w:val="22"/>
        </w:rPr>
      </w:pPr>
      <w:r w:rsidRPr="003F3C81">
        <w:rPr>
          <w:noProof/>
          <w:sz w:val="22"/>
          <w:szCs w:val="22"/>
        </w:rPr>
        <w:t>Svarbu pranešti apie įtariamas nepageidaujamas reakcijas, pastebėtas po vaistinio preparato registracijos, nes tai leidžia nuolat stebėti vaistinio preparato naudos ir rizikos santykį.</w:t>
      </w:r>
      <w:r w:rsidR="00953DDF" w:rsidRPr="003F3C81">
        <w:rPr>
          <w:noProof/>
          <w:snapToGrid w:val="0"/>
          <w:sz w:val="22"/>
          <w:szCs w:val="22"/>
        </w:rPr>
        <w:t xml:space="preserve"> Sveikatos priežiūros ar farmacijos specialistai turi pranešti apie bet kokias įtariamas nepageidaujamas reakcijas, tiesiogiai užpildę pranešimo formą internetu Tarnybos Vaistinių preparatų informacinėje sistemoje </w:t>
      </w:r>
      <w:hyperlink r:id="rId12" w:history="1">
        <w:r w:rsidR="00953DDF" w:rsidRPr="003F3C81">
          <w:rPr>
            <w:noProof/>
            <w:snapToGrid w:val="0"/>
            <w:color w:val="0000FF"/>
            <w:sz w:val="22"/>
            <w:szCs w:val="22"/>
            <w:u w:val="single"/>
          </w:rPr>
          <w:t>https://vapris.vvkt.lt/vvkt-web/public/nrvSpecialist</w:t>
        </w:r>
      </w:hyperlink>
      <w:r w:rsidR="00953DDF" w:rsidRPr="003F3C81">
        <w:rPr>
          <w:noProof/>
          <w:snapToGrid w:val="0"/>
          <w:sz w:val="22"/>
          <w:szCs w:val="22"/>
        </w:rPr>
        <w:t xml:space="preserve"> arba užpildę Sveikatos priežiūros ar farmacijos specialisto pranešimo apie įtariamą nepageidaujamą reakciją (ĮNR) formą, kuri skelbiama</w:t>
      </w:r>
      <w:r w:rsidR="00953DDF" w:rsidRPr="00953DDF">
        <w:rPr>
          <w:noProof/>
          <w:snapToGrid w:val="0"/>
          <w:sz w:val="22"/>
          <w:szCs w:val="22"/>
        </w:rPr>
        <w:t xml:space="preserve"> </w:t>
      </w:r>
      <w:hyperlink r:id="rId13" w:history="1">
        <w:r w:rsidR="00953DDF" w:rsidRPr="00953DDF">
          <w:rPr>
            <w:noProof/>
            <w:snapToGrid w:val="0"/>
            <w:color w:val="0000FF"/>
            <w:sz w:val="22"/>
            <w:szCs w:val="22"/>
            <w:u w:val="single"/>
          </w:rPr>
          <w:t>https://www.vvkt.lt/index.php?1399030386</w:t>
        </w:r>
      </w:hyperlink>
      <w:r w:rsidR="00953DDF" w:rsidRPr="00953DDF">
        <w:rPr>
          <w:noProof/>
          <w:snapToGrid w:val="0"/>
          <w:sz w:val="22"/>
          <w:szCs w:val="22"/>
        </w:rPr>
        <w:t>, ir atsiųsti elektroniniu paštu (adresu NepageidaujamaR@vvkt.lt).</w:t>
      </w:r>
    </w:p>
    <w:p w14:paraId="7F8C0C03" w14:textId="77777777" w:rsidR="00A07EDA" w:rsidRPr="004B4520" w:rsidRDefault="00A07EDA" w:rsidP="00A07EDA">
      <w:pPr>
        <w:rPr>
          <w:color w:val="000000"/>
          <w:sz w:val="22"/>
          <w:szCs w:val="22"/>
          <w:lang w:eastAsia="lt-LT"/>
        </w:rPr>
      </w:pPr>
    </w:p>
    <w:p w14:paraId="3AB5B9DD" w14:textId="77777777" w:rsidR="00A07EDA" w:rsidRPr="004B4520" w:rsidRDefault="00A07EDA" w:rsidP="00A07EDA">
      <w:pPr>
        <w:pStyle w:val="PI-2EMEASMCA"/>
      </w:pPr>
      <w:bookmarkStart w:id="28" w:name="_Toc129243110"/>
      <w:bookmarkStart w:id="29" w:name="_Toc129243235"/>
      <w:r w:rsidRPr="004B4520">
        <w:t>4.9</w:t>
      </w:r>
      <w:r w:rsidRPr="004B4520">
        <w:tab/>
        <w:t>Perdozavimas</w:t>
      </w:r>
      <w:bookmarkEnd w:id="28"/>
      <w:bookmarkEnd w:id="29"/>
    </w:p>
    <w:p w14:paraId="68A826FA" w14:textId="77777777" w:rsidR="00A07EDA" w:rsidRPr="00BD605E" w:rsidRDefault="00A07EDA" w:rsidP="008822CE">
      <w:pPr>
        <w:pStyle w:val="BTEMEASMCA"/>
        <w:rPr>
          <w:lang w:val="lt-LT"/>
        </w:rPr>
      </w:pPr>
    </w:p>
    <w:p w14:paraId="15EC40E8" w14:textId="77777777" w:rsidR="00A07EDA" w:rsidRPr="004B4520" w:rsidRDefault="00A07EDA" w:rsidP="00A07EDA">
      <w:pPr>
        <w:pStyle w:val="Pagrindinistekstas"/>
        <w:spacing w:after="0"/>
        <w:rPr>
          <w:i/>
          <w:iCs/>
          <w:szCs w:val="22"/>
        </w:rPr>
      </w:pPr>
      <w:r w:rsidRPr="004B4520">
        <w:rPr>
          <w:i/>
          <w:iCs/>
          <w:szCs w:val="22"/>
        </w:rPr>
        <w:t>Simptomai</w:t>
      </w:r>
    </w:p>
    <w:p w14:paraId="2382AFF7" w14:textId="77777777" w:rsidR="00A07EDA" w:rsidRPr="004B4520" w:rsidRDefault="00A07EDA" w:rsidP="00A07EDA">
      <w:pPr>
        <w:pStyle w:val="Pagrindinistekstas"/>
        <w:spacing w:after="0"/>
        <w:rPr>
          <w:szCs w:val="22"/>
        </w:rPr>
      </w:pPr>
      <w:r w:rsidRPr="004B4520">
        <w:rPr>
          <w:szCs w:val="22"/>
        </w:rPr>
        <w:t>Mirtina dozė žmogui nežinoma.</w:t>
      </w:r>
    </w:p>
    <w:p w14:paraId="67A56C99" w14:textId="77777777" w:rsidR="00A07EDA" w:rsidRPr="004B4520" w:rsidRDefault="00A07EDA" w:rsidP="00A07EDA">
      <w:pPr>
        <w:pStyle w:val="Pagrindinistekstas"/>
        <w:spacing w:after="0"/>
        <w:rPr>
          <w:szCs w:val="22"/>
        </w:rPr>
      </w:pPr>
      <w:r w:rsidRPr="004B4520">
        <w:rPr>
          <w:szCs w:val="22"/>
        </w:rPr>
        <w:t xml:space="preserve">Pacientui, iš karto išgėrusiam </w:t>
      </w:r>
      <w:smartTag w:uri="urn:schemas-microsoft-com:office:smarttags" w:element="metricconverter">
        <w:smartTagPr>
          <w:attr w:name="ProductID" w:val="15 g"/>
        </w:smartTagPr>
        <w:r w:rsidRPr="004B4520">
          <w:rPr>
            <w:szCs w:val="22"/>
          </w:rPr>
          <w:t>15 g</w:t>
        </w:r>
      </w:smartTag>
      <w:r w:rsidRPr="004B4520">
        <w:rPr>
          <w:szCs w:val="22"/>
        </w:rPr>
        <w:t xml:space="preserve"> metronidazolo, prasidėjo pykinimas, vėmimas, sutriko judesių koordinacija.</w:t>
      </w:r>
    </w:p>
    <w:p w14:paraId="50440991" w14:textId="3C973B60" w:rsidR="00A07EDA" w:rsidRPr="004B4520" w:rsidRDefault="00A07EDA" w:rsidP="00A07EDA">
      <w:pPr>
        <w:pStyle w:val="Pagrindinistekstas"/>
        <w:spacing w:after="0"/>
        <w:rPr>
          <w:szCs w:val="22"/>
        </w:rPr>
      </w:pPr>
      <w:r w:rsidRPr="004B4520">
        <w:rPr>
          <w:szCs w:val="22"/>
        </w:rPr>
        <w:t xml:space="preserve">Nuo odos piktybinio auglio radioaktyviaisiais spinduliais gydomiems </w:t>
      </w:r>
      <w:r w:rsidR="00CA5763">
        <w:rPr>
          <w:szCs w:val="22"/>
        </w:rPr>
        <w:t>pacientams</w:t>
      </w:r>
      <w:r w:rsidRPr="004B4520">
        <w:rPr>
          <w:szCs w:val="22"/>
        </w:rPr>
        <w:t>, suvartojusiems 6-</w:t>
      </w:r>
      <w:smartTag w:uri="urn:schemas-microsoft-com:office:smarttags" w:element="metricconverter">
        <w:smartTagPr>
          <w:attr w:name="ProductID" w:val="10,4 g"/>
        </w:smartTagPr>
        <w:r w:rsidRPr="004B4520">
          <w:rPr>
            <w:szCs w:val="22"/>
          </w:rPr>
          <w:t>10,4 g</w:t>
        </w:r>
      </w:smartTag>
      <w:r w:rsidRPr="004B4520">
        <w:rPr>
          <w:szCs w:val="22"/>
        </w:rPr>
        <w:t xml:space="preserve"> metronidazolo, po 5-7 dienų prasidėjo traukuliai ir periferinė neuropatija.</w:t>
      </w:r>
    </w:p>
    <w:p w14:paraId="5D2FCD4D" w14:textId="77777777" w:rsidR="00A07EDA" w:rsidRPr="004B4520" w:rsidRDefault="00A07EDA" w:rsidP="00A07EDA">
      <w:pPr>
        <w:pStyle w:val="Pagrindinistekstas"/>
        <w:spacing w:after="0"/>
        <w:rPr>
          <w:szCs w:val="22"/>
        </w:rPr>
      </w:pPr>
      <w:r w:rsidRPr="004B4520">
        <w:rPr>
          <w:szCs w:val="22"/>
        </w:rPr>
        <w:t>Metronidazolo LD</w:t>
      </w:r>
      <w:r w:rsidRPr="004B4520">
        <w:rPr>
          <w:szCs w:val="22"/>
          <w:vertAlign w:val="subscript"/>
        </w:rPr>
        <w:t>50</w:t>
      </w:r>
      <w:r w:rsidRPr="004B4520">
        <w:rPr>
          <w:szCs w:val="22"/>
        </w:rPr>
        <w:t xml:space="preserve"> baltosioms žiurkėms yra 5g/kg kūno svorio.</w:t>
      </w:r>
    </w:p>
    <w:p w14:paraId="0DE3E3B5" w14:textId="77777777" w:rsidR="00E9369A" w:rsidRPr="004B4520" w:rsidRDefault="00E9369A" w:rsidP="009E42B6">
      <w:pPr>
        <w:pStyle w:val="Pagrindinistekstas"/>
        <w:spacing w:after="0"/>
        <w:rPr>
          <w:i/>
          <w:iCs/>
          <w:szCs w:val="22"/>
        </w:rPr>
      </w:pPr>
    </w:p>
    <w:p w14:paraId="7AA35D55" w14:textId="77777777" w:rsidR="00A07EDA" w:rsidRPr="004B4520" w:rsidRDefault="00A07EDA" w:rsidP="009E42B6">
      <w:pPr>
        <w:pStyle w:val="Pagrindinistekstas"/>
        <w:spacing w:after="0"/>
        <w:rPr>
          <w:i/>
          <w:iCs/>
          <w:szCs w:val="22"/>
        </w:rPr>
      </w:pPr>
      <w:r w:rsidRPr="004B4520">
        <w:rPr>
          <w:i/>
          <w:iCs/>
          <w:szCs w:val="22"/>
        </w:rPr>
        <w:t>Gydymas</w:t>
      </w:r>
    </w:p>
    <w:p w14:paraId="68408A20" w14:textId="77777777" w:rsidR="00A07EDA" w:rsidRPr="004B4520" w:rsidRDefault="00A07EDA" w:rsidP="00A07EDA">
      <w:pPr>
        <w:pStyle w:val="Pagrindinistekstas"/>
        <w:spacing w:after="0"/>
        <w:rPr>
          <w:szCs w:val="22"/>
        </w:rPr>
      </w:pPr>
      <w:r w:rsidRPr="004B4520">
        <w:rPr>
          <w:szCs w:val="22"/>
        </w:rPr>
        <w:t>Specifinio metronidazolui priešnuodžio nėra. Apsinuodijus reikia pradėti simptominį gydymą.</w:t>
      </w:r>
    </w:p>
    <w:p w14:paraId="0EFFDE65" w14:textId="77777777" w:rsidR="00A07EDA" w:rsidRPr="00BD605E" w:rsidRDefault="00A07EDA" w:rsidP="008822CE">
      <w:pPr>
        <w:pStyle w:val="BTEMEASMCA"/>
        <w:rPr>
          <w:lang w:val="lt-LT"/>
        </w:rPr>
      </w:pPr>
    </w:p>
    <w:p w14:paraId="09038A55" w14:textId="77777777" w:rsidR="00A07EDA" w:rsidRPr="00BD605E" w:rsidRDefault="00A07EDA" w:rsidP="008822CE">
      <w:pPr>
        <w:pStyle w:val="BTEMEASMCA"/>
        <w:rPr>
          <w:lang w:val="lt-LT"/>
        </w:rPr>
      </w:pPr>
    </w:p>
    <w:p w14:paraId="67DE96D9" w14:textId="46707105" w:rsidR="00A07EDA" w:rsidRPr="004B4520" w:rsidRDefault="00A07EDA" w:rsidP="005F53BD">
      <w:pPr>
        <w:pStyle w:val="PI-1EMEASMCA"/>
      </w:pPr>
      <w:bookmarkStart w:id="30" w:name="_Toc129243111"/>
      <w:bookmarkStart w:id="31" w:name="_Toc129243236"/>
      <w:r w:rsidRPr="004B4520">
        <w:t>5.</w:t>
      </w:r>
      <w:r w:rsidRPr="004B4520">
        <w:tab/>
        <w:t>FARMAKOLOGINĖS SAVYBĖS</w:t>
      </w:r>
      <w:bookmarkEnd w:id="30"/>
      <w:bookmarkEnd w:id="31"/>
    </w:p>
    <w:p w14:paraId="614DF6F8" w14:textId="77777777" w:rsidR="00A07EDA" w:rsidRPr="00BD605E" w:rsidRDefault="00A07EDA" w:rsidP="008822CE">
      <w:pPr>
        <w:pStyle w:val="BTEMEASMCA"/>
        <w:rPr>
          <w:lang w:val="lt-LT"/>
        </w:rPr>
      </w:pPr>
    </w:p>
    <w:p w14:paraId="070876C4" w14:textId="6AB10502" w:rsidR="00A07EDA" w:rsidRPr="004B4520" w:rsidRDefault="00A07EDA" w:rsidP="00A07EDA">
      <w:pPr>
        <w:pStyle w:val="PI-2EMEASMCA"/>
      </w:pPr>
      <w:bookmarkStart w:id="32" w:name="_Toc129243112"/>
      <w:bookmarkStart w:id="33" w:name="_Toc129243237"/>
      <w:r w:rsidRPr="004B4520">
        <w:t>5.1</w:t>
      </w:r>
      <w:r w:rsidRPr="004B4520">
        <w:tab/>
        <w:t>Farmakodinaminės savybės</w:t>
      </w:r>
      <w:bookmarkEnd w:id="32"/>
      <w:bookmarkEnd w:id="33"/>
    </w:p>
    <w:p w14:paraId="6AC0FB8B" w14:textId="77777777" w:rsidR="00A07EDA" w:rsidRPr="00BD605E" w:rsidRDefault="00A07EDA" w:rsidP="008822CE">
      <w:pPr>
        <w:pStyle w:val="BTEMEASMCA"/>
        <w:rPr>
          <w:lang w:val="lt-LT"/>
        </w:rPr>
      </w:pPr>
    </w:p>
    <w:p w14:paraId="087EE222" w14:textId="77777777" w:rsidR="00A07EDA" w:rsidRPr="00BD605E" w:rsidRDefault="00A07EDA" w:rsidP="008822CE">
      <w:pPr>
        <w:pStyle w:val="BTEMEASMCA"/>
        <w:rPr>
          <w:lang w:val="lt-LT"/>
        </w:rPr>
      </w:pPr>
      <w:r w:rsidRPr="00BD605E">
        <w:rPr>
          <w:lang w:val="lt-LT"/>
        </w:rPr>
        <w:t>Farmakoterapinė grupė – antiprotozojiniai vaistai, antiamebiniai ir kiti antiprotozojiniai preparatai, ATC kodas – P01A B01.</w:t>
      </w:r>
    </w:p>
    <w:p w14:paraId="06B5F5A4" w14:textId="77777777" w:rsidR="00A07EDA" w:rsidRPr="00BD605E" w:rsidRDefault="00A07EDA" w:rsidP="008822CE">
      <w:pPr>
        <w:pStyle w:val="BTEMEASMCA"/>
        <w:rPr>
          <w:lang w:val="lt-LT"/>
        </w:rPr>
      </w:pPr>
    </w:p>
    <w:p w14:paraId="0D9D4C67" w14:textId="77777777" w:rsidR="00A07EDA" w:rsidRPr="004B4520" w:rsidRDefault="00A07EDA" w:rsidP="00A07EDA">
      <w:pPr>
        <w:pStyle w:val="Pagrindinistekstas"/>
        <w:spacing w:after="0"/>
        <w:rPr>
          <w:szCs w:val="22"/>
        </w:rPr>
      </w:pPr>
      <w:r w:rsidRPr="004B4520">
        <w:rPr>
          <w:szCs w:val="22"/>
        </w:rPr>
        <w:t xml:space="preserve">Metronidazolas yra 5-nitroimidazolo junginys, naikinantis pirmuonis ir bakterijas. </w:t>
      </w:r>
    </w:p>
    <w:p w14:paraId="6688CB41" w14:textId="77777777" w:rsidR="00E9369A" w:rsidRPr="004B4520" w:rsidRDefault="00E9369A" w:rsidP="00A07EDA">
      <w:pPr>
        <w:pStyle w:val="Pagrindinistekstas"/>
        <w:spacing w:after="0"/>
        <w:rPr>
          <w:i/>
          <w:szCs w:val="22"/>
        </w:rPr>
      </w:pPr>
    </w:p>
    <w:p w14:paraId="28EA7387" w14:textId="77777777" w:rsidR="00A07EDA" w:rsidRPr="004B4520" w:rsidRDefault="00A07EDA" w:rsidP="00A07EDA">
      <w:pPr>
        <w:pStyle w:val="Pagrindinistekstas"/>
        <w:spacing w:after="0"/>
        <w:rPr>
          <w:szCs w:val="22"/>
          <w:u w:val="single"/>
        </w:rPr>
      </w:pPr>
      <w:r w:rsidRPr="004B4520">
        <w:rPr>
          <w:szCs w:val="22"/>
          <w:u w:val="single"/>
        </w:rPr>
        <w:t>Veikimo mechanizmas</w:t>
      </w:r>
    </w:p>
    <w:p w14:paraId="455EBFA2" w14:textId="77777777" w:rsidR="00A07EDA" w:rsidRPr="004B4520" w:rsidRDefault="00A07EDA" w:rsidP="00A07EDA">
      <w:pPr>
        <w:pStyle w:val="Pagrindinistekstas"/>
        <w:spacing w:after="0"/>
        <w:rPr>
          <w:szCs w:val="22"/>
        </w:rPr>
      </w:pPr>
      <w:r w:rsidRPr="004B4520">
        <w:rPr>
          <w:szCs w:val="22"/>
        </w:rPr>
        <w:t>Metronidazolo lengvai prasiskverbia į vienaląsčius organizmus, pirmuonis ir bakterijas, bet nepatenka į žinduolių ląsteles. Oksidacinis redukcinis metronidazolo potencialas yra mažesnis nei elektronus pernešančio baltymo ferodoksino. Šio baltymo yra anaerobuose ir tokiuose organizmuose, kuriems deguonies beveik nereikia. Dėl potencialų skirtumo redukuojama metronidazolo nitrogrupė. Redukuotas metronidazolas nutraukia minėtų mikroorganizmų DNR grandinę.</w:t>
      </w:r>
    </w:p>
    <w:p w14:paraId="5EEA8F87" w14:textId="77777777" w:rsidR="00A07EDA" w:rsidRPr="004B4520" w:rsidRDefault="00A07EDA" w:rsidP="00A07EDA">
      <w:pPr>
        <w:pStyle w:val="Pagrindinistekstas"/>
        <w:spacing w:after="0"/>
        <w:rPr>
          <w:szCs w:val="22"/>
        </w:rPr>
      </w:pPr>
      <w:r w:rsidRPr="004B4520">
        <w:rPr>
          <w:szCs w:val="22"/>
        </w:rPr>
        <w:t xml:space="preserve">Vaistinis preparatas veikia </w:t>
      </w:r>
      <w:r w:rsidRPr="004B4520">
        <w:rPr>
          <w:i/>
          <w:szCs w:val="22"/>
        </w:rPr>
        <w:t>Trichomonas vaginalis</w:t>
      </w:r>
      <w:r w:rsidRPr="004B4520">
        <w:rPr>
          <w:szCs w:val="22"/>
        </w:rPr>
        <w:t xml:space="preserve">, </w:t>
      </w:r>
      <w:r w:rsidRPr="004B4520">
        <w:rPr>
          <w:i/>
          <w:szCs w:val="22"/>
        </w:rPr>
        <w:t>Lamblia intestinalis</w:t>
      </w:r>
      <w:r w:rsidRPr="004B4520">
        <w:rPr>
          <w:szCs w:val="22"/>
        </w:rPr>
        <w:t xml:space="preserve">, </w:t>
      </w:r>
      <w:r w:rsidRPr="004B4520">
        <w:rPr>
          <w:i/>
          <w:szCs w:val="22"/>
        </w:rPr>
        <w:t>Entamoeba</w:t>
      </w:r>
      <w:r w:rsidRPr="004B4520">
        <w:rPr>
          <w:szCs w:val="22"/>
        </w:rPr>
        <w:t xml:space="preserve"> </w:t>
      </w:r>
      <w:r w:rsidRPr="004B4520">
        <w:rPr>
          <w:i/>
          <w:szCs w:val="22"/>
        </w:rPr>
        <w:t>histolytica</w:t>
      </w:r>
      <w:r w:rsidRPr="004B4520">
        <w:rPr>
          <w:szCs w:val="22"/>
        </w:rPr>
        <w:t xml:space="preserve"> ir </w:t>
      </w:r>
      <w:r w:rsidRPr="004B4520">
        <w:rPr>
          <w:i/>
          <w:szCs w:val="22"/>
        </w:rPr>
        <w:t>Balantidium coli</w:t>
      </w:r>
      <w:r w:rsidRPr="004B4520">
        <w:rPr>
          <w:szCs w:val="22"/>
        </w:rPr>
        <w:t>. Be to, vaistinis preparatas sukelia stiprų baktericidinį poveikį toliau išvardytoms bakterijų padermėms.</w:t>
      </w:r>
    </w:p>
    <w:p w14:paraId="67911A89" w14:textId="77777777" w:rsidR="00A07EDA" w:rsidRPr="004B4520" w:rsidRDefault="00A07EDA" w:rsidP="00A07EDA">
      <w:pPr>
        <w:pStyle w:val="Pagrindinistekstas"/>
        <w:numPr>
          <w:ilvl w:val="0"/>
          <w:numId w:val="5"/>
        </w:numPr>
        <w:tabs>
          <w:tab w:val="num" w:pos="567"/>
        </w:tabs>
        <w:spacing w:after="0"/>
        <w:ind w:left="567" w:hanging="567"/>
        <w:rPr>
          <w:szCs w:val="22"/>
        </w:rPr>
      </w:pPr>
      <w:r w:rsidRPr="004B4520">
        <w:rPr>
          <w:szCs w:val="22"/>
          <w:u w:val="single"/>
        </w:rPr>
        <w:t>Gramneigiamoms lazdelėms</w:t>
      </w:r>
      <w:r w:rsidRPr="004B4520">
        <w:rPr>
          <w:szCs w:val="22"/>
        </w:rPr>
        <w:t xml:space="preserve">: </w:t>
      </w:r>
      <w:r w:rsidRPr="004B4520">
        <w:rPr>
          <w:i/>
          <w:szCs w:val="22"/>
        </w:rPr>
        <w:t>Bacteroides</w:t>
      </w:r>
      <w:r w:rsidRPr="004B4520">
        <w:rPr>
          <w:szCs w:val="22"/>
        </w:rPr>
        <w:t xml:space="preserve"> padermėms, tarp jų </w:t>
      </w:r>
      <w:r w:rsidRPr="004B4520">
        <w:rPr>
          <w:i/>
          <w:szCs w:val="22"/>
        </w:rPr>
        <w:t>Bacteroides fragilis</w:t>
      </w:r>
      <w:r w:rsidRPr="004B4520">
        <w:rPr>
          <w:szCs w:val="22"/>
        </w:rPr>
        <w:t xml:space="preserve"> grupei (</w:t>
      </w:r>
      <w:r w:rsidRPr="004B4520">
        <w:rPr>
          <w:i/>
          <w:szCs w:val="22"/>
        </w:rPr>
        <w:t>B. fragilis, B. distasonis, B. ovatus, B. thetaitaomicron, B. vulgatus</w:t>
      </w:r>
      <w:r w:rsidRPr="004B4520">
        <w:rPr>
          <w:szCs w:val="22"/>
        </w:rPr>
        <w:t xml:space="preserve">), </w:t>
      </w:r>
      <w:r w:rsidRPr="004B4520">
        <w:rPr>
          <w:i/>
          <w:szCs w:val="22"/>
        </w:rPr>
        <w:t>Fusobacterium</w:t>
      </w:r>
      <w:r w:rsidRPr="004B4520">
        <w:rPr>
          <w:szCs w:val="22"/>
        </w:rPr>
        <w:t xml:space="preserve"> padermėms.</w:t>
      </w:r>
    </w:p>
    <w:p w14:paraId="44B3FA92" w14:textId="77777777" w:rsidR="00A07EDA" w:rsidRPr="004B4520" w:rsidRDefault="00A07EDA" w:rsidP="00A07EDA">
      <w:pPr>
        <w:pStyle w:val="Pagrindinistekstas"/>
        <w:numPr>
          <w:ilvl w:val="0"/>
          <w:numId w:val="5"/>
        </w:numPr>
        <w:tabs>
          <w:tab w:val="num" w:pos="567"/>
        </w:tabs>
        <w:spacing w:after="0"/>
        <w:ind w:left="0" w:firstLine="0"/>
        <w:rPr>
          <w:szCs w:val="22"/>
        </w:rPr>
      </w:pPr>
      <w:r w:rsidRPr="004B4520">
        <w:rPr>
          <w:szCs w:val="22"/>
          <w:u w:val="single"/>
        </w:rPr>
        <w:t>Gramteigiamoms lazdelėms</w:t>
      </w:r>
      <w:r w:rsidRPr="004B4520">
        <w:rPr>
          <w:szCs w:val="22"/>
        </w:rPr>
        <w:t xml:space="preserve">: </w:t>
      </w:r>
      <w:r w:rsidRPr="004B4520">
        <w:rPr>
          <w:i/>
          <w:szCs w:val="22"/>
        </w:rPr>
        <w:t>Eubacterium, Clostridium</w:t>
      </w:r>
      <w:r w:rsidRPr="004B4520">
        <w:rPr>
          <w:szCs w:val="22"/>
        </w:rPr>
        <w:t>.</w:t>
      </w:r>
    </w:p>
    <w:p w14:paraId="47A09618" w14:textId="77777777" w:rsidR="00A07EDA" w:rsidRPr="004B4520" w:rsidRDefault="00A07EDA" w:rsidP="00A07EDA">
      <w:pPr>
        <w:pStyle w:val="Pagrindinistekstas"/>
        <w:numPr>
          <w:ilvl w:val="0"/>
          <w:numId w:val="5"/>
        </w:numPr>
        <w:tabs>
          <w:tab w:val="num" w:pos="567"/>
        </w:tabs>
        <w:spacing w:after="0"/>
        <w:ind w:left="0" w:firstLine="0"/>
        <w:rPr>
          <w:szCs w:val="22"/>
        </w:rPr>
      </w:pPr>
      <w:r w:rsidRPr="004B4520">
        <w:rPr>
          <w:szCs w:val="22"/>
          <w:u w:val="single"/>
        </w:rPr>
        <w:t>Gramneigiamiems kokams</w:t>
      </w:r>
      <w:r w:rsidRPr="004B4520">
        <w:rPr>
          <w:szCs w:val="22"/>
        </w:rPr>
        <w:t xml:space="preserve">: </w:t>
      </w:r>
      <w:r w:rsidRPr="004B4520">
        <w:rPr>
          <w:i/>
          <w:szCs w:val="22"/>
        </w:rPr>
        <w:t xml:space="preserve">Peptococcus </w:t>
      </w:r>
      <w:r w:rsidRPr="004B4520">
        <w:rPr>
          <w:szCs w:val="22"/>
        </w:rPr>
        <w:t xml:space="preserve">ir </w:t>
      </w:r>
      <w:r w:rsidRPr="004B4520">
        <w:rPr>
          <w:i/>
          <w:szCs w:val="22"/>
        </w:rPr>
        <w:t>Peptostreptococcus</w:t>
      </w:r>
      <w:r w:rsidRPr="004B4520">
        <w:rPr>
          <w:szCs w:val="22"/>
        </w:rPr>
        <w:t xml:space="preserve"> padermėms.</w:t>
      </w:r>
    </w:p>
    <w:p w14:paraId="76AAF580" w14:textId="77777777" w:rsidR="00A07EDA" w:rsidRPr="004B4520" w:rsidRDefault="00A07EDA" w:rsidP="00A07EDA">
      <w:pPr>
        <w:pStyle w:val="Pagrindinistekstas"/>
        <w:spacing w:after="0"/>
        <w:rPr>
          <w:szCs w:val="22"/>
        </w:rPr>
      </w:pPr>
      <w:r w:rsidRPr="004B4520">
        <w:rPr>
          <w:szCs w:val="22"/>
        </w:rPr>
        <w:t>Metronidazolas nesukelia baktericidinio poveikio daugeliui aerobinių bakterijų, fakultatyvinių anaerobų, grybelių bei virusų.</w:t>
      </w:r>
    </w:p>
    <w:p w14:paraId="17992717" w14:textId="77777777" w:rsidR="00A07EDA" w:rsidRPr="00BD605E" w:rsidRDefault="00A07EDA" w:rsidP="008822CE">
      <w:pPr>
        <w:pStyle w:val="BTEMEASMCA"/>
        <w:rPr>
          <w:lang w:val="lt-LT"/>
        </w:rPr>
      </w:pPr>
    </w:p>
    <w:p w14:paraId="697D4CEF" w14:textId="59D11309" w:rsidR="00A07EDA" w:rsidRPr="004B4520" w:rsidRDefault="00A07EDA" w:rsidP="00A07EDA">
      <w:pPr>
        <w:pStyle w:val="PI-2EMEASMCA"/>
      </w:pPr>
      <w:bookmarkStart w:id="34" w:name="_Toc129243113"/>
      <w:bookmarkStart w:id="35" w:name="_Toc129243238"/>
      <w:r w:rsidRPr="004B4520">
        <w:t>5.2</w:t>
      </w:r>
      <w:r w:rsidRPr="004B4520">
        <w:tab/>
        <w:t>Farmakokinetinės savybės</w:t>
      </w:r>
      <w:bookmarkEnd w:id="34"/>
      <w:bookmarkEnd w:id="35"/>
    </w:p>
    <w:p w14:paraId="06FD53C8" w14:textId="77777777" w:rsidR="00A07EDA" w:rsidRPr="00BD605E" w:rsidRDefault="00A07EDA" w:rsidP="008822CE">
      <w:pPr>
        <w:pStyle w:val="BTEMEASMCA"/>
        <w:rPr>
          <w:lang w:val="lt-LT"/>
        </w:rPr>
      </w:pPr>
    </w:p>
    <w:p w14:paraId="3F83C2CC" w14:textId="77777777" w:rsidR="00A07EDA" w:rsidRPr="004B4520" w:rsidRDefault="00A07EDA" w:rsidP="00A07EDA">
      <w:pPr>
        <w:pStyle w:val="Pagrindinistekstas"/>
        <w:spacing w:after="0"/>
        <w:rPr>
          <w:szCs w:val="22"/>
          <w:u w:val="single"/>
        </w:rPr>
      </w:pPr>
      <w:r w:rsidRPr="004B4520">
        <w:rPr>
          <w:szCs w:val="22"/>
          <w:u w:val="single"/>
        </w:rPr>
        <w:t>Absorbcija</w:t>
      </w:r>
    </w:p>
    <w:p w14:paraId="3CD4ED38" w14:textId="77777777" w:rsidR="00A07EDA" w:rsidRPr="004B4520" w:rsidRDefault="00A07EDA" w:rsidP="00A07EDA">
      <w:pPr>
        <w:pStyle w:val="Pagrindinistekstas"/>
        <w:spacing w:after="0"/>
        <w:rPr>
          <w:szCs w:val="22"/>
        </w:rPr>
      </w:pPr>
      <w:r w:rsidRPr="004B4520">
        <w:rPr>
          <w:szCs w:val="22"/>
        </w:rPr>
        <w:t xml:space="preserve">Ne mažiau kaip 80 % metronidazolo greitai absorbuojama iš virškinimo trakto. Sveikiems savanoriams išgėrus 250 mg, 500 mg arba </w:t>
      </w:r>
      <w:smartTag w:uri="urn:schemas-microsoft-com:office:smarttags" w:element="metricconverter">
        <w:smartTagPr>
          <w:attr w:name="ProductID" w:val="2 g"/>
        </w:smartTagPr>
        <w:r w:rsidRPr="004B4520">
          <w:rPr>
            <w:szCs w:val="22"/>
          </w:rPr>
          <w:t>2 g</w:t>
        </w:r>
      </w:smartTag>
      <w:r w:rsidRPr="004B4520">
        <w:rPr>
          <w:szCs w:val="22"/>
        </w:rPr>
        <w:t xml:space="preserve"> metronidazolo, didžiausia koncentracija kraujo plazmoje (atitinkamai 4,6-6,5 µg/ml, 11,5-13 µg/ml arba 30-45 µg/ml) atsiranda per 1-3 val. Maistas lėtina absorbcijos greitį ir mažina didžiausią metronidazolo koncentraciją serume.</w:t>
      </w:r>
    </w:p>
    <w:p w14:paraId="11240974" w14:textId="77777777" w:rsidR="00953DDF" w:rsidRDefault="00953DDF" w:rsidP="00A07EDA">
      <w:pPr>
        <w:pStyle w:val="Pagrindinistekstas"/>
        <w:spacing w:after="0"/>
        <w:rPr>
          <w:i/>
          <w:iCs/>
          <w:szCs w:val="22"/>
        </w:rPr>
      </w:pPr>
    </w:p>
    <w:p w14:paraId="4F9D4067" w14:textId="6919782B" w:rsidR="00A07EDA" w:rsidRPr="00BD605E" w:rsidRDefault="00A07EDA" w:rsidP="00A07EDA">
      <w:pPr>
        <w:pStyle w:val="Pagrindinistekstas"/>
        <w:spacing w:after="0"/>
        <w:rPr>
          <w:szCs w:val="22"/>
          <w:u w:val="single"/>
        </w:rPr>
      </w:pPr>
      <w:r w:rsidRPr="00BD605E">
        <w:rPr>
          <w:szCs w:val="22"/>
          <w:u w:val="single"/>
        </w:rPr>
        <w:t>Pasiskirstymas</w:t>
      </w:r>
    </w:p>
    <w:p w14:paraId="5EBC9F0F" w14:textId="77777777" w:rsidR="00A07EDA" w:rsidRPr="004B4520" w:rsidRDefault="00A07EDA" w:rsidP="00A07EDA">
      <w:pPr>
        <w:pStyle w:val="Pagrindinistekstas"/>
        <w:spacing w:after="0"/>
        <w:rPr>
          <w:szCs w:val="22"/>
        </w:rPr>
      </w:pPr>
      <w:r w:rsidRPr="004B4520">
        <w:rPr>
          <w:szCs w:val="22"/>
        </w:rPr>
        <w:t>Metronidazolas patenka į daugelį organizmo audinių ir skysčių, pvz., tulžį, kaulus, seiles, makšties sekretą, pilvo ertmės, sėklos, galvos ir nugaros smegenų skystį, smegenis ir kepenis. Vaistinis preparatas prasiskverbia per placentos barjerą ir patenka į motinos pieną, kuriame jo koncentracija būna beveik tokia pati kaip plazmoje.</w:t>
      </w:r>
    </w:p>
    <w:p w14:paraId="052EF505" w14:textId="77777777" w:rsidR="00A07EDA" w:rsidRPr="004B4520" w:rsidRDefault="00A07EDA" w:rsidP="00A07EDA">
      <w:pPr>
        <w:pStyle w:val="Pagrindinistekstas"/>
        <w:spacing w:after="0"/>
        <w:rPr>
          <w:szCs w:val="22"/>
        </w:rPr>
      </w:pPr>
      <w:r w:rsidRPr="004B4520">
        <w:rPr>
          <w:szCs w:val="22"/>
        </w:rPr>
        <w:t>Maždaug 20 % metronidazolo prisijungia prie baltymų.</w:t>
      </w:r>
    </w:p>
    <w:p w14:paraId="757A69E0" w14:textId="70B0C044" w:rsidR="00A07EDA" w:rsidRPr="004B4520" w:rsidRDefault="00A07EDA" w:rsidP="00A07EDA">
      <w:pPr>
        <w:pStyle w:val="Pagrindinistekstas"/>
        <w:spacing w:after="0"/>
        <w:rPr>
          <w:szCs w:val="22"/>
        </w:rPr>
      </w:pPr>
      <w:r w:rsidRPr="004B4520">
        <w:rPr>
          <w:szCs w:val="22"/>
        </w:rPr>
        <w:lastRenderedPageBreak/>
        <w:t>Suaugusiems žmonėms, kurių inkstų ir kepenų veikla normali, metronidazolo pusinės eliminacijos periodas (t</w:t>
      </w:r>
      <w:r w:rsidRPr="004B4520">
        <w:rPr>
          <w:szCs w:val="22"/>
          <w:vertAlign w:val="subscript"/>
        </w:rPr>
        <w:t>1/2</w:t>
      </w:r>
      <w:r w:rsidRPr="004B4520">
        <w:rPr>
          <w:szCs w:val="22"/>
        </w:rPr>
        <w:t xml:space="preserve">) trunka 6-8 valandas. Jis gali pailgėti kepenų veiklos sutrikimu sergantiems </w:t>
      </w:r>
      <w:r w:rsidR="00CA5763">
        <w:rPr>
          <w:szCs w:val="22"/>
        </w:rPr>
        <w:t>pacientams</w:t>
      </w:r>
      <w:r w:rsidRPr="004B4520">
        <w:rPr>
          <w:szCs w:val="22"/>
        </w:rPr>
        <w:t xml:space="preserve">. </w:t>
      </w:r>
    </w:p>
    <w:p w14:paraId="743CA4E4" w14:textId="77777777" w:rsidR="00A07EDA" w:rsidRPr="004B4520" w:rsidRDefault="00A07EDA" w:rsidP="00A07EDA">
      <w:pPr>
        <w:pStyle w:val="Pagrindinistekstas"/>
        <w:spacing w:after="0"/>
        <w:rPr>
          <w:i/>
          <w:iCs/>
          <w:szCs w:val="22"/>
        </w:rPr>
      </w:pPr>
    </w:p>
    <w:p w14:paraId="558EBC08" w14:textId="77777777" w:rsidR="004B4520" w:rsidRDefault="00E9369A" w:rsidP="00A07EDA">
      <w:pPr>
        <w:pStyle w:val="Pagrindinistekstas"/>
        <w:spacing w:after="0"/>
        <w:rPr>
          <w:iCs/>
          <w:szCs w:val="22"/>
        </w:rPr>
      </w:pPr>
      <w:r w:rsidRPr="004B4520">
        <w:rPr>
          <w:szCs w:val="22"/>
          <w:u w:val="single"/>
        </w:rPr>
        <w:t>Biotransformacija</w:t>
      </w:r>
      <w:r w:rsidRPr="004B4520" w:rsidDel="00E9369A">
        <w:rPr>
          <w:i/>
          <w:iCs/>
          <w:szCs w:val="22"/>
        </w:rPr>
        <w:t xml:space="preserve"> </w:t>
      </w:r>
    </w:p>
    <w:p w14:paraId="5FD06CD3" w14:textId="77777777" w:rsidR="00A07EDA" w:rsidRPr="004B4520" w:rsidRDefault="00A07EDA" w:rsidP="00A07EDA">
      <w:pPr>
        <w:pStyle w:val="Pagrindinistekstas"/>
        <w:spacing w:after="0"/>
        <w:rPr>
          <w:szCs w:val="22"/>
        </w:rPr>
      </w:pPr>
      <w:r w:rsidRPr="004B4520">
        <w:rPr>
          <w:szCs w:val="22"/>
        </w:rPr>
        <w:t>30-60 % išgerto metronidazolo metabolizuojama kepenyse hidroksilinimo, oksidavimo ir konjugacijos su gliukurono rūgštimi būdu.</w:t>
      </w:r>
    </w:p>
    <w:p w14:paraId="59EBC666" w14:textId="77777777" w:rsidR="00A07EDA" w:rsidRPr="004B4520" w:rsidRDefault="00A07EDA" w:rsidP="00A07EDA">
      <w:pPr>
        <w:pStyle w:val="Pagrindinistekstas"/>
        <w:spacing w:after="0"/>
        <w:rPr>
          <w:szCs w:val="22"/>
        </w:rPr>
      </w:pPr>
      <w:r w:rsidRPr="004B4520">
        <w:rPr>
          <w:szCs w:val="22"/>
        </w:rPr>
        <w:t>Pagrindinis metabolitas 2-hidroksimetronidazolas taip pat slopina bakterijas ir pirmuonis.</w:t>
      </w:r>
    </w:p>
    <w:p w14:paraId="45271889" w14:textId="77777777" w:rsidR="00A07EDA" w:rsidRPr="004B4520" w:rsidRDefault="00A07EDA" w:rsidP="00A07EDA">
      <w:pPr>
        <w:pStyle w:val="Pagrindinistekstas"/>
        <w:spacing w:after="0"/>
        <w:rPr>
          <w:szCs w:val="22"/>
        </w:rPr>
      </w:pPr>
    </w:p>
    <w:p w14:paraId="07E525AD" w14:textId="77777777" w:rsidR="00A07EDA" w:rsidRPr="004B4520" w:rsidRDefault="00A07EDA" w:rsidP="00A07EDA">
      <w:pPr>
        <w:pStyle w:val="Pagrindinistekstas"/>
        <w:spacing w:after="0"/>
        <w:rPr>
          <w:szCs w:val="22"/>
          <w:u w:val="single"/>
        </w:rPr>
      </w:pPr>
      <w:r w:rsidRPr="004B4520">
        <w:rPr>
          <w:szCs w:val="22"/>
          <w:u w:val="single"/>
        </w:rPr>
        <w:t>Eliminacija</w:t>
      </w:r>
    </w:p>
    <w:p w14:paraId="7CE31285" w14:textId="75A4FFBE" w:rsidR="00A07EDA" w:rsidRPr="004B4520" w:rsidRDefault="00A07EDA" w:rsidP="00A07EDA">
      <w:pPr>
        <w:pStyle w:val="Pagrindinistekstas"/>
        <w:spacing w:after="0"/>
        <w:rPr>
          <w:szCs w:val="22"/>
        </w:rPr>
      </w:pPr>
      <w:r w:rsidRPr="004B4520">
        <w:rPr>
          <w:szCs w:val="22"/>
        </w:rPr>
        <w:t>60-80 % metronidazolo ir jo metabolitų išsiskiria per inkstus. Tik 6-15</w:t>
      </w:r>
      <w:r w:rsidR="00953DDF">
        <w:rPr>
          <w:szCs w:val="22"/>
        </w:rPr>
        <w:t xml:space="preserve"> </w:t>
      </w:r>
      <w:r w:rsidRPr="004B4520">
        <w:rPr>
          <w:szCs w:val="22"/>
        </w:rPr>
        <w:t xml:space="preserve">% išgertos dozės šalinama su išmatomis. Vaistinio preparato inkstų klirensas yra 70-100 ml/min. Dėl spalvotų vandenyje tirpių vaistinio preparato metabolitų šlapimas gali tapti tamsus ar rausvai rudas. Kelių tyrimų duomenimis, pagyvenusiems pacientams metronidazolo šalinimas pro inkstus sumažėja. </w:t>
      </w:r>
    </w:p>
    <w:p w14:paraId="2E4A6CC2" w14:textId="77777777" w:rsidR="00A07EDA" w:rsidRPr="004B4520" w:rsidRDefault="00A07EDA" w:rsidP="00A07EDA">
      <w:pPr>
        <w:pStyle w:val="Pagrindinistekstas"/>
        <w:spacing w:after="0"/>
        <w:rPr>
          <w:szCs w:val="22"/>
        </w:rPr>
      </w:pPr>
      <w:r w:rsidRPr="004B4520">
        <w:rPr>
          <w:szCs w:val="22"/>
        </w:rPr>
        <w:t>Metronidazolą galima pašalinti kraujo dialize, peritoninė dializė yra neveiksminga.</w:t>
      </w:r>
    </w:p>
    <w:p w14:paraId="783B0C70" w14:textId="77777777" w:rsidR="00A07EDA" w:rsidRPr="00BD605E" w:rsidRDefault="00A07EDA" w:rsidP="008822CE">
      <w:pPr>
        <w:pStyle w:val="BTEMEASMCA"/>
        <w:rPr>
          <w:lang w:val="lt-LT"/>
        </w:rPr>
      </w:pPr>
    </w:p>
    <w:p w14:paraId="0C592D36" w14:textId="44316E63" w:rsidR="00A07EDA" w:rsidRPr="004B4520" w:rsidRDefault="00A07EDA" w:rsidP="00A07EDA">
      <w:pPr>
        <w:pStyle w:val="PI-2EMEASMCA"/>
      </w:pPr>
      <w:bookmarkStart w:id="36" w:name="_Toc129243114"/>
      <w:bookmarkStart w:id="37" w:name="_Toc129243239"/>
      <w:r w:rsidRPr="004B4520">
        <w:t>5.3</w:t>
      </w:r>
      <w:r w:rsidRPr="004B4520">
        <w:tab/>
        <w:t>Ikiklinikinių saugumo tyrimų duomenys</w:t>
      </w:r>
      <w:bookmarkEnd w:id="36"/>
      <w:bookmarkEnd w:id="37"/>
    </w:p>
    <w:p w14:paraId="5428224B" w14:textId="77777777" w:rsidR="00A07EDA" w:rsidRPr="00BD605E" w:rsidRDefault="00A07EDA" w:rsidP="008822CE">
      <w:pPr>
        <w:pStyle w:val="BTEMEASMCA"/>
        <w:rPr>
          <w:lang w:val="lt-LT"/>
        </w:rPr>
      </w:pPr>
    </w:p>
    <w:p w14:paraId="22B8817F" w14:textId="77777777" w:rsidR="00A07EDA" w:rsidRPr="004B4520" w:rsidRDefault="00A07EDA" w:rsidP="00A07EDA">
      <w:pPr>
        <w:pStyle w:val="Pagrindinistekstas"/>
        <w:spacing w:after="0"/>
        <w:rPr>
          <w:szCs w:val="22"/>
          <w:u w:val="single"/>
        </w:rPr>
      </w:pPr>
      <w:r w:rsidRPr="004B4520">
        <w:rPr>
          <w:szCs w:val="22"/>
          <w:u w:val="single"/>
        </w:rPr>
        <w:t>Mutageninis poveikis</w:t>
      </w:r>
    </w:p>
    <w:p w14:paraId="1B4CAE58" w14:textId="77777777" w:rsidR="00A07EDA" w:rsidRPr="004B4520" w:rsidRDefault="00A07EDA" w:rsidP="00A07EDA">
      <w:pPr>
        <w:pStyle w:val="Pagrindinistekstas"/>
        <w:spacing w:after="0"/>
        <w:rPr>
          <w:szCs w:val="22"/>
        </w:rPr>
      </w:pPr>
      <w:r w:rsidRPr="004B4520">
        <w:rPr>
          <w:szCs w:val="22"/>
        </w:rPr>
        <w:t xml:space="preserve">Tyrimų </w:t>
      </w:r>
      <w:r w:rsidRPr="004B4520">
        <w:rPr>
          <w:i/>
          <w:szCs w:val="22"/>
        </w:rPr>
        <w:t>in vitro</w:t>
      </w:r>
      <w:r w:rsidRPr="004B4520">
        <w:rPr>
          <w:szCs w:val="22"/>
        </w:rPr>
        <w:t xml:space="preserve"> duomenimis, metronidazolas sukelia mutageninį poveikį, tačiau tyrimų </w:t>
      </w:r>
      <w:r w:rsidRPr="004B4520">
        <w:rPr>
          <w:i/>
          <w:szCs w:val="22"/>
        </w:rPr>
        <w:t>in vivo</w:t>
      </w:r>
      <w:r w:rsidRPr="004B4520">
        <w:rPr>
          <w:szCs w:val="22"/>
        </w:rPr>
        <w:t xml:space="preserve"> su žinduoliais metu tokio poveikio nepastebėta. </w:t>
      </w:r>
    </w:p>
    <w:p w14:paraId="67C92B33" w14:textId="77777777" w:rsidR="00A07EDA" w:rsidRPr="004B4520" w:rsidRDefault="00A07EDA" w:rsidP="00A07EDA">
      <w:pPr>
        <w:pStyle w:val="Pagrindinistekstas"/>
        <w:spacing w:after="0"/>
        <w:rPr>
          <w:szCs w:val="22"/>
        </w:rPr>
      </w:pPr>
      <w:r w:rsidRPr="004B4520">
        <w:rPr>
          <w:szCs w:val="22"/>
        </w:rPr>
        <w:t xml:space="preserve">Ilgalaikių tyrimų su pelėmis ir žiurkėmis, kurioms buvo sugirdoma metronidazolo, metu nustatyta, kad vaistinis preparatas sukelia mutageninį poveikį, tačiau žiurkėnams panašaus poveikio nepastebėta. </w:t>
      </w:r>
    </w:p>
    <w:p w14:paraId="2B8B3D70" w14:textId="77777777" w:rsidR="00A07EDA" w:rsidRPr="004B4520" w:rsidRDefault="00A07EDA" w:rsidP="00A07EDA">
      <w:pPr>
        <w:pStyle w:val="Pagrindinistekstas"/>
        <w:spacing w:after="0"/>
        <w:rPr>
          <w:szCs w:val="22"/>
        </w:rPr>
      </w:pPr>
    </w:p>
    <w:p w14:paraId="17C0B979" w14:textId="77777777" w:rsidR="00A07EDA" w:rsidRPr="004B4520" w:rsidRDefault="00A07EDA" w:rsidP="00B910EF">
      <w:pPr>
        <w:pStyle w:val="Pagrindinistekstas"/>
        <w:keepNext/>
        <w:spacing w:after="0"/>
        <w:rPr>
          <w:szCs w:val="22"/>
          <w:u w:val="single"/>
        </w:rPr>
      </w:pPr>
      <w:r w:rsidRPr="004B4520">
        <w:rPr>
          <w:szCs w:val="22"/>
          <w:u w:val="single"/>
        </w:rPr>
        <w:t>Kancerogeninis poveikis</w:t>
      </w:r>
    </w:p>
    <w:p w14:paraId="57980AE2" w14:textId="77777777" w:rsidR="00A07EDA" w:rsidRPr="004B4520" w:rsidRDefault="00A07EDA" w:rsidP="00A07EDA">
      <w:pPr>
        <w:pStyle w:val="Pagrindinistekstas"/>
        <w:spacing w:after="0"/>
        <w:rPr>
          <w:szCs w:val="22"/>
        </w:rPr>
      </w:pPr>
      <w:r w:rsidRPr="004B4520">
        <w:rPr>
          <w:szCs w:val="22"/>
        </w:rPr>
        <w:t>Kelių tyrimų su pelėmis, kurios vartojo metronidazolo, metu pastebėta, kad tiriamiesiems gyvūnams plaučiuose dažniau atsiranda piktybinių auglių. Vartojusiems didelę metronidazolo dozę (500 mg/kg kūno svorio) pelių patinams labai padažnėjo piktybinių kepenų auglių.</w:t>
      </w:r>
    </w:p>
    <w:p w14:paraId="7EE65537" w14:textId="77777777" w:rsidR="00A07EDA" w:rsidRPr="004B4520" w:rsidRDefault="00A07EDA" w:rsidP="00A07EDA">
      <w:pPr>
        <w:pStyle w:val="Pagrindinistekstas"/>
        <w:spacing w:after="0"/>
        <w:rPr>
          <w:szCs w:val="22"/>
        </w:rPr>
      </w:pPr>
      <w:r w:rsidRPr="004B4520">
        <w:rPr>
          <w:szCs w:val="22"/>
        </w:rPr>
        <w:t xml:space="preserve">Tyrimų, kurių metu pelės vartojo metronidazolo visą gyvenimą, duomenimis, tiriamiesiems gyvūnams padaugėjo piktybinių limfomų ir piktybinių plaučių auglių. </w:t>
      </w:r>
    </w:p>
    <w:p w14:paraId="65602C5E" w14:textId="77777777" w:rsidR="00A07EDA" w:rsidRPr="004B4520" w:rsidRDefault="00A07EDA" w:rsidP="00A07EDA">
      <w:pPr>
        <w:pStyle w:val="Pagrindinistekstas"/>
        <w:spacing w:after="0"/>
        <w:rPr>
          <w:szCs w:val="22"/>
        </w:rPr>
      </w:pPr>
      <w:r w:rsidRPr="004B4520">
        <w:rPr>
          <w:szCs w:val="22"/>
        </w:rPr>
        <w:t>Tyrimų su žiurkėmis, kurios metronidazolu buvo girdomos ilgą laiką, metu patelėms gerokai padaugėjo įvairių navikų, ypač pieno liaukų ir kepenų vėžio.</w:t>
      </w:r>
    </w:p>
    <w:p w14:paraId="35930910" w14:textId="77777777" w:rsidR="00A07EDA" w:rsidRPr="00BD605E" w:rsidRDefault="00A07EDA" w:rsidP="008822CE">
      <w:pPr>
        <w:pStyle w:val="BTEMEASMCA"/>
        <w:rPr>
          <w:lang w:val="lt-LT"/>
        </w:rPr>
      </w:pPr>
    </w:p>
    <w:p w14:paraId="64CF6867" w14:textId="77777777" w:rsidR="00A07EDA" w:rsidRPr="00BD605E" w:rsidRDefault="00A07EDA" w:rsidP="008822CE">
      <w:pPr>
        <w:pStyle w:val="BTEMEASMCA"/>
        <w:rPr>
          <w:lang w:val="lt-LT"/>
        </w:rPr>
      </w:pPr>
    </w:p>
    <w:p w14:paraId="03E51D1A" w14:textId="1F6DACAE" w:rsidR="00A07EDA" w:rsidRPr="004B4520" w:rsidRDefault="00A07EDA" w:rsidP="005F53BD">
      <w:pPr>
        <w:pStyle w:val="PI-1EMEASMCA"/>
      </w:pPr>
      <w:bookmarkStart w:id="38" w:name="_Toc129243115"/>
      <w:bookmarkStart w:id="39" w:name="_Toc129243240"/>
      <w:r w:rsidRPr="004B4520">
        <w:t>6.</w:t>
      </w:r>
      <w:r w:rsidRPr="004B4520">
        <w:tab/>
        <w:t>FARMACINĖ INFORMACIJA</w:t>
      </w:r>
      <w:bookmarkEnd w:id="38"/>
      <w:bookmarkEnd w:id="39"/>
    </w:p>
    <w:p w14:paraId="079A0E38" w14:textId="77777777" w:rsidR="00A07EDA" w:rsidRPr="00BD605E" w:rsidRDefault="00A07EDA" w:rsidP="008822CE">
      <w:pPr>
        <w:pStyle w:val="BTEMEASMCA"/>
        <w:rPr>
          <w:lang w:val="lt-LT"/>
        </w:rPr>
      </w:pPr>
    </w:p>
    <w:p w14:paraId="3C202E6B" w14:textId="3695DBC4" w:rsidR="00A07EDA" w:rsidRPr="004B4520" w:rsidRDefault="00A07EDA" w:rsidP="00A07EDA">
      <w:pPr>
        <w:pStyle w:val="PI-2EMEASMCA"/>
      </w:pPr>
      <w:bookmarkStart w:id="40" w:name="_Toc129243116"/>
      <w:bookmarkStart w:id="41" w:name="_Toc129243241"/>
      <w:r w:rsidRPr="004B4520">
        <w:t>6.1</w:t>
      </w:r>
      <w:r w:rsidRPr="004B4520">
        <w:tab/>
        <w:t>Pagalbinių medžiagų sąrašas</w:t>
      </w:r>
      <w:bookmarkEnd w:id="40"/>
      <w:bookmarkEnd w:id="41"/>
    </w:p>
    <w:p w14:paraId="39A1A1ED" w14:textId="77777777" w:rsidR="00A07EDA" w:rsidRPr="00BD605E" w:rsidRDefault="00A07EDA" w:rsidP="008822CE">
      <w:pPr>
        <w:pStyle w:val="BTEMEASMCA"/>
        <w:rPr>
          <w:lang w:val="lt-LT"/>
        </w:rPr>
      </w:pPr>
    </w:p>
    <w:p w14:paraId="08CDDFE3" w14:textId="77777777" w:rsidR="00A07EDA" w:rsidRPr="004B4520" w:rsidRDefault="00A07EDA" w:rsidP="00A07EDA">
      <w:pPr>
        <w:pStyle w:val="Pagrindinistekstas"/>
        <w:spacing w:after="0"/>
        <w:rPr>
          <w:szCs w:val="22"/>
        </w:rPr>
      </w:pPr>
      <w:r w:rsidRPr="004B4520">
        <w:rPr>
          <w:szCs w:val="22"/>
        </w:rPr>
        <w:t>Bulvių krakmolas</w:t>
      </w:r>
    </w:p>
    <w:p w14:paraId="5D12B253" w14:textId="77777777" w:rsidR="00A07EDA" w:rsidRPr="004B4520" w:rsidRDefault="00A07EDA" w:rsidP="00A07EDA">
      <w:pPr>
        <w:pStyle w:val="Pagrindinistekstas"/>
        <w:spacing w:after="0"/>
        <w:rPr>
          <w:szCs w:val="22"/>
        </w:rPr>
      </w:pPr>
      <w:r w:rsidRPr="004B4520">
        <w:rPr>
          <w:szCs w:val="22"/>
        </w:rPr>
        <w:t>Želatina</w:t>
      </w:r>
    </w:p>
    <w:p w14:paraId="314FF019" w14:textId="77777777" w:rsidR="00F52457" w:rsidRPr="004B4520" w:rsidRDefault="000B1108" w:rsidP="00A07EDA">
      <w:pPr>
        <w:pStyle w:val="Pagrindinistekstas"/>
        <w:spacing w:after="0"/>
        <w:rPr>
          <w:szCs w:val="22"/>
          <w:highlight w:val="yellow"/>
        </w:rPr>
      </w:pPr>
      <w:r w:rsidRPr="004B4520">
        <w:rPr>
          <w:rStyle w:val="shorttext"/>
          <w:color w:val="222222"/>
          <w:szCs w:val="22"/>
        </w:rPr>
        <w:t>Skystoji gliukozė</w:t>
      </w:r>
    </w:p>
    <w:p w14:paraId="62BAAFAB" w14:textId="77777777" w:rsidR="00A07EDA" w:rsidRPr="004B4520" w:rsidRDefault="00A07EDA" w:rsidP="00A07EDA">
      <w:pPr>
        <w:pStyle w:val="Pagrindinistekstas"/>
        <w:spacing w:after="0"/>
        <w:rPr>
          <w:szCs w:val="22"/>
        </w:rPr>
      </w:pPr>
      <w:r w:rsidRPr="004B4520">
        <w:rPr>
          <w:szCs w:val="22"/>
        </w:rPr>
        <w:t xml:space="preserve">Magnio stearatas </w:t>
      </w:r>
    </w:p>
    <w:p w14:paraId="2EF222FE" w14:textId="77777777" w:rsidR="00A07EDA" w:rsidRPr="00BD605E" w:rsidRDefault="00A07EDA" w:rsidP="008822CE">
      <w:pPr>
        <w:pStyle w:val="BTEMEASMCA"/>
        <w:rPr>
          <w:lang w:val="lt-LT"/>
        </w:rPr>
      </w:pPr>
    </w:p>
    <w:p w14:paraId="1A352505" w14:textId="4D838E78" w:rsidR="00A07EDA" w:rsidRPr="004B4520" w:rsidRDefault="00A07EDA" w:rsidP="00A07EDA">
      <w:pPr>
        <w:pStyle w:val="PI-2EMEASMCA"/>
      </w:pPr>
      <w:bookmarkStart w:id="42" w:name="_Toc129243117"/>
      <w:bookmarkStart w:id="43" w:name="_Toc129243242"/>
      <w:r w:rsidRPr="004B4520">
        <w:t>6.2</w:t>
      </w:r>
      <w:r w:rsidRPr="004B4520">
        <w:tab/>
        <w:t>Nesuderinamumas</w:t>
      </w:r>
      <w:bookmarkEnd w:id="42"/>
      <w:bookmarkEnd w:id="43"/>
    </w:p>
    <w:p w14:paraId="03D9F3E2" w14:textId="77777777" w:rsidR="00A07EDA" w:rsidRPr="00BD605E" w:rsidRDefault="00A07EDA" w:rsidP="008822CE">
      <w:pPr>
        <w:pStyle w:val="BTEMEASMCA"/>
        <w:rPr>
          <w:lang w:val="lt-LT"/>
        </w:rPr>
      </w:pPr>
    </w:p>
    <w:p w14:paraId="5B6DC804" w14:textId="77777777" w:rsidR="00A07EDA" w:rsidRPr="004B4520" w:rsidRDefault="00A07EDA" w:rsidP="00A07EDA">
      <w:pPr>
        <w:pStyle w:val="Pagrindinistekstas"/>
        <w:spacing w:after="0"/>
        <w:rPr>
          <w:szCs w:val="22"/>
        </w:rPr>
      </w:pPr>
      <w:r w:rsidRPr="004B4520">
        <w:rPr>
          <w:szCs w:val="22"/>
        </w:rPr>
        <w:t>Duomenys nebūtini.</w:t>
      </w:r>
    </w:p>
    <w:p w14:paraId="1D9F3405" w14:textId="77777777" w:rsidR="00A07EDA" w:rsidRPr="00BD605E" w:rsidRDefault="00A07EDA" w:rsidP="008822CE">
      <w:pPr>
        <w:pStyle w:val="BTEMEASMCA"/>
        <w:rPr>
          <w:lang w:val="lt-LT"/>
        </w:rPr>
      </w:pPr>
    </w:p>
    <w:p w14:paraId="7F9B733D" w14:textId="462A204F" w:rsidR="00A07EDA" w:rsidRPr="004B4520" w:rsidRDefault="00A07EDA" w:rsidP="00A07EDA">
      <w:pPr>
        <w:pStyle w:val="PI-2EMEASMCA"/>
      </w:pPr>
      <w:bookmarkStart w:id="44" w:name="_Toc129243118"/>
      <w:bookmarkStart w:id="45" w:name="_Toc129243243"/>
      <w:r w:rsidRPr="004B4520">
        <w:t>6.3</w:t>
      </w:r>
      <w:r w:rsidRPr="004B4520">
        <w:tab/>
        <w:t>Tinkamumo laikas</w:t>
      </w:r>
      <w:bookmarkEnd w:id="44"/>
      <w:bookmarkEnd w:id="45"/>
    </w:p>
    <w:p w14:paraId="09A0D9AF" w14:textId="77777777" w:rsidR="00A07EDA" w:rsidRPr="00BD605E" w:rsidRDefault="00A07EDA" w:rsidP="008822CE">
      <w:pPr>
        <w:pStyle w:val="BTEMEASMCA"/>
        <w:rPr>
          <w:lang w:val="lt-LT"/>
        </w:rPr>
      </w:pPr>
    </w:p>
    <w:p w14:paraId="7ACBBF0D" w14:textId="77777777" w:rsidR="00A07EDA" w:rsidRPr="00BD605E" w:rsidRDefault="00A07EDA" w:rsidP="008822CE">
      <w:pPr>
        <w:pStyle w:val="BTEMEASMCA"/>
        <w:rPr>
          <w:lang w:val="lt-LT"/>
        </w:rPr>
      </w:pPr>
      <w:r w:rsidRPr="00BD605E">
        <w:rPr>
          <w:lang w:val="lt-LT"/>
        </w:rPr>
        <w:t>3 metai</w:t>
      </w:r>
    </w:p>
    <w:p w14:paraId="756D4391" w14:textId="77777777" w:rsidR="00A07EDA" w:rsidRPr="00BD605E" w:rsidRDefault="00A07EDA" w:rsidP="008822CE">
      <w:pPr>
        <w:pStyle w:val="BTEMEASMCA"/>
        <w:rPr>
          <w:lang w:val="lt-LT"/>
        </w:rPr>
      </w:pPr>
    </w:p>
    <w:p w14:paraId="7BC5F69A" w14:textId="632F3EB3" w:rsidR="00A07EDA" w:rsidRPr="004B4520" w:rsidRDefault="00A07EDA" w:rsidP="00A07EDA">
      <w:pPr>
        <w:pStyle w:val="PI-2EMEASMCA"/>
      </w:pPr>
      <w:bookmarkStart w:id="46" w:name="_Toc129243119"/>
      <w:bookmarkStart w:id="47" w:name="_Toc129243244"/>
      <w:r w:rsidRPr="004B4520">
        <w:t>6.4</w:t>
      </w:r>
      <w:r w:rsidRPr="004B4520">
        <w:tab/>
        <w:t>Specialios laikymo sąlygos</w:t>
      </w:r>
      <w:bookmarkEnd w:id="46"/>
      <w:bookmarkEnd w:id="47"/>
    </w:p>
    <w:p w14:paraId="7492658F" w14:textId="77777777" w:rsidR="00A07EDA" w:rsidRPr="00BD605E" w:rsidRDefault="00A07EDA" w:rsidP="008822CE">
      <w:pPr>
        <w:pStyle w:val="BTEMEASMCA"/>
        <w:rPr>
          <w:lang w:val="lt-LT"/>
        </w:rPr>
      </w:pPr>
    </w:p>
    <w:p w14:paraId="2F4F0348" w14:textId="77777777" w:rsidR="00A07EDA" w:rsidRPr="004B4520" w:rsidRDefault="00A07EDA" w:rsidP="00A07EDA">
      <w:pPr>
        <w:pStyle w:val="Pagrindinistekstas"/>
        <w:spacing w:after="0"/>
        <w:rPr>
          <w:szCs w:val="22"/>
        </w:rPr>
      </w:pPr>
      <w:r w:rsidRPr="004B4520">
        <w:rPr>
          <w:szCs w:val="22"/>
        </w:rPr>
        <w:t xml:space="preserve">Laikyti ne aukštesnėje kaip 25 </w:t>
      </w:r>
      <w:r w:rsidRPr="004B4520">
        <w:rPr>
          <w:szCs w:val="22"/>
        </w:rPr>
        <w:sym w:font="Symbol" w:char="F0B0"/>
      </w:r>
      <w:r w:rsidRPr="004B4520">
        <w:rPr>
          <w:szCs w:val="22"/>
        </w:rPr>
        <w:t>C temperatūroje.</w:t>
      </w:r>
    </w:p>
    <w:p w14:paraId="053D9D07" w14:textId="2F49A337" w:rsidR="00A07EDA" w:rsidRPr="004B4520" w:rsidRDefault="00A07EDA" w:rsidP="00A07EDA">
      <w:pPr>
        <w:pStyle w:val="Pagrindinistekstas"/>
        <w:spacing w:after="0"/>
        <w:rPr>
          <w:szCs w:val="22"/>
        </w:rPr>
      </w:pPr>
      <w:r w:rsidRPr="004B4520">
        <w:rPr>
          <w:szCs w:val="22"/>
        </w:rPr>
        <w:t xml:space="preserve">Laikyti gamintojo pakuotėje, kad </w:t>
      </w:r>
      <w:r w:rsidR="00953DDF">
        <w:rPr>
          <w:szCs w:val="22"/>
        </w:rPr>
        <w:t xml:space="preserve">vaistinis </w:t>
      </w:r>
      <w:r w:rsidRPr="004B4520">
        <w:rPr>
          <w:szCs w:val="22"/>
        </w:rPr>
        <w:t>preparatas būtų apsaugotas nuo šviesos ir drėgmės.</w:t>
      </w:r>
    </w:p>
    <w:p w14:paraId="27BDCE0A" w14:textId="77777777" w:rsidR="00A07EDA" w:rsidRPr="004B4520" w:rsidRDefault="00A07EDA" w:rsidP="00A07EDA">
      <w:pPr>
        <w:pStyle w:val="PI-2EMEASMCA"/>
      </w:pPr>
      <w:bookmarkStart w:id="48" w:name="_Toc129243120"/>
      <w:bookmarkStart w:id="49" w:name="_Toc129243245"/>
    </w:p>
    <w:p w14:paraId="37962DD3" w14:textId="77777777" w:rsidR="00A07EDA" w:rsidRPr="004B4520" w:rsidRDefault="00A07EDA" w:rsidP="00A07EDA">
      <w:pPr>
        <w:pStyle w:val="PI-2EMEASMCA"/>
      </w:pPr>
      <w:r w:rsidRPr="004B4520">
        <w:t>6.5</w:t>
      </w:r>
      <w:r w:rsidRPr="004B4520">
        <w:tab/>
        <w:t>Talpyklės pobūdis ir jos turinys</w:t>
      </w:r>
      <w:bookmarkEnd w:id="48"/>
      <w:bookmarkEnd w:id="49"/>
    </w:p>
    <w:p w14:paraId="1768C97A" w14:textId="77777777" w:rsidR="00A07EDA" w:rsidRPr="00BD605E" w:rsidRDefault="00A07EDA" w:rsidP="008822CE">
      <w:pPr>
        <w:pStyle w:val="BTEMEASMCA"/>
        <w:rPr>
          <w:lang w:val="lt-LT"/>
        </w:rPr>
      </w:pPr>
    </w:p>
    <w:p w14:paraId="2A060E49" w14:textId="77777777" w:rsidR="00A07EDA" w:rsidRPr="004B4520" w:rsidRDefault="00A07EDA" w:rsidP="00A07EDA">
      <w:pPr>
        <w:pStyle w:val="Pagrindinistekstas"/>
        <w:spacing w:after="0"/>
        <w:rPr>
          <w:szCs w:val="22"/>
        </w:rPr>
      </w:pPr>
      <w:r w:rsidRPr="004B4520">
        <w:rPr>
          <w:szCs w:val="22"/>
        </w:rPr>
        <w:lastRenderedPageBreak/>
        <w:t>PVC ir aliuminio folijos lizdinė plokštelė, kurioje yra 10 tablečių.</w:t>
      </w:r>
    </w:p>
    <w:p w14:paraId="455ECC81" w14:textId="77777777" w:rsidR="00A07EDA" w:rsidRPr="004B4520" w:rsidRDefault="00A07EDA" w:rsidP="00A07EDA">
      <w:pPr>
        <w:pStyle w:val="Pagrindinistekstas"/>
        <w:spacing w:after="0"/>
        <w:rPr>
          <w:szCs w:val="22"/>
        </w:rPr>
      </w:pPr>
      <w:r w:rsidRPr="004B4520">
        <w:rPr>
          <w:szCs w:val="22"/>
        </w:rPr>
        <w:t xml:space="preserve">Kartono dėžutėje yra 20 tablečių. </w:t>
      </w:r>
    </w:p>
    <w:p w14:paraId="60D83D5D" w14:textId="77777777" w:rsidR="00A07EDA" w:rsidRPr="004B4520" w:rsidRDefault="00A07EDA" w:rsidP="00A07EDA">
      <w:pPr>
        <w:pStyle w:val="Pagrindinistekstas"/>
        <w:spacing w:after="0"/>
        <w:rPr>
          <w:szCs w:val="22"/>
        </w:rPr>
      </w:pPr>
    </w:p>
    <w:p w14:paraId="62B70415" w14:textId="77777777" w:rsidR="00A07EDA" w:rsidRPr="004B4520" w:rsidRDefault="00A07EDA" w:rsidP="00A07EDA">
      <w:pPr>
        <w:pStyle w:val="PI-2EMEASMCA"/>
      </w:pPr>
      <w:bookmarkStart w:id="50" w:name="_Toc129243121"/>
      <w:bookmarkStart w:id="51" w:name="_Toc129243246"/>
      <w:r w:rsidRPr="004B4520">
        <w:t>6.6</w:t>
      </w:r>
      <w:r w:rsidRPr="004B4520">
        <w:tab/>
        <w:t>Specialūs reikalavimai atliekoms tvarkyti</w:t>
      </w:r>
      <w:bookmarkEnd w:id="50"/>
      <w:bookmarkEnd w:id="51"/>
    </w:p>
    <w:p w14:paraId="222477AB" w14:textId="77777777" w:rsidR="00A07EDA" w:rsidRPr="00BD605E" w:rsidRDefault="00A07EDA" w:rsidP="008822CE">
      <w:pPr>
        <w:pStyle w:val="BTEMEASMCA"/>
        <w:rPr>
          <w:lang w:val="lt-LT"/>
        </w:rPr>
      </w:pPr>
    </w:p>
    <w:p w14:paraId="6C0F8D05" w14:textId="77777777" w:rsidR="00A07EDA" w:rsidRPr="00BD605E" w:rsidRDefault="00A07EDA" w:rsidP="008822CE">
      <w:pPr>
        <w:pStyle w:val="BTEMEASMCA"/>
        <w:rPr>
          <w:lang w:val="pl-PL"/>
        </w:rPr>
      </w:pPr>
      <w:r w:rsidRPr="00BD605E">
        <w:rPr>
          <w:lang w:val="pl-PL"/>
        </w:rPr>
        <w:t>Specialių reikalavimų nėra.</w:t>
      </w:r>
    </w:p>
    <w:p w14:paraId="2BA1F7F9" w14:textId="77777777" w:rsidR="00A07EDA" w:rsidRPr="00BD605E" w:rsidRDefault="00A07EDA" w:rsidP="008822CE">
      <w:pPr>
        <w:pStyle w:val="BTEMEASMCA"/>
        <w:rPr>
          <w:lang w:val="pl-PL"/>
        </w:rPr>
      </w:pPr>
    </w:p>
    <w:p w14:paraId="7FB2C85F" w14:textId="77777777" w:rsidR="00A07EDA" w:rsidRPr="00BD605E" w:rsidRDefault="00A07EDA" w:rsidP="008822CE">
      <w:pPr>
        <w:pStyle w:val="BTEMEASMCA"/>
        <w:rPr>
          <w:lang w:val="pl-PL"/>
        </w:rPr>
      </w:pPr>
    </w:p>
    <w:p w14:paraId="08BDD834" w14:textId="720EB892" w:rsidR="00A07EDA" w:rsidRPr="004B4520" w:rsidRDefault="00A07EDA" w:rsidP="005F53BD">
      <w:pPr>
        <w:pStyle w:val="PI-1EMEASMCA"/>
      </w:pPr>
      <w:bookmarkStart w:id="52" w:name="_Toc129243122"/>
      <w:bookmarkStart w:id="53" w:name="_Toc129243247"/>
      <w:r w:rsidRPr="004B4520">
        <w:t>7.</w:t>
      </w:r>
      <w:r w:rsidRPr="004B4520">
        <w:tab/>
      </w:r>
      <w:r w:rsidR="00E9369A" w:rsidRPr="004A76F2">
        <w:rPr>
          <w:caps/>
        </w:rPr>
        <w:t>REGISTRUOTOJAS</w:t>
      </w:r>
      <w:bookmarkEnd w:id="52"/>
      <w:bookmarkEnd w:id="53"/>
    </w:p>
    <w:p w14:paraId="761C07BF" w14:textId="77777777" w:rsidR="00A07EDA" w:rsidRPr="00BD605E" w:rsidRDefault="00A07EDA" w:rsidP="008822CE">
      <w:pPr>
        <w:pStyle w:val="BTEMEASMCA"/>
        <w:rPr>
          <w:lang w:val="pl-PL"/>
        </w:rPr>
      </w:pPr>
    </w:p>
    <w:p w14:paraId="2780C497" w14:textId="47C8292B" w:rsidR="00B85909" w:rsidRPr="00B85909" w:rsidRDefault="008822CE" w:rsidP="004A76F2">
      <w:pPr>
        <w:ind w:right="566"/>
        <w:jc w:val="both"/>
        <w:rPr>
          <w:sz w:val="22"/>
          <w:szCs w:val="22"/>
        </w:rPr>
      </w:pPr>
      <w:r w:rsidRPr="004962C8">
        <w:t xml:space="preserve">Zakłady Farmaceutyczne </w:t>
      </w:r>
      <w:r w:rsidR="00B85909" w:rsidRPr="00B85909">
        <w:rPr>
          <w:sz w:val="22"/>
          <w:szCs w:val="22"/>
        </w:rPr>
        <w:t xml:space="preserve">POLPHARMA </w:t>
      </w:r>
      <w:r w:rsidR="00A07EDA" w:rsidRPr="004B4520">
        <w:rPr>
          <w:sz w:val="22"/>
          <w:szCs w:val="22"/>
        </w:rPr>
        <w:t>S</w:t>
      </w:r>
      <w:r>
        <w:rPr>
          <w:sz w:val="22"/>
          <w:szCs w:val="22"/>
        </w:rPr>
        <w:t>.</w:t>
      </w:r>
      <w:r w:rsidR="00A07EDA" w:rsidRPr="004B4520">
        <w:rPr>
          <w:sz w:val="22"/>
          <w:szCs w:val="22"/>
        </w:rPr>
        <w:t>A</w:t>
      </w:r>
      <w:r>
        <w:rPr>
          <w:sz w:val="22"/>
          <w:szCs w:val="22"/>
        </w:rPr>
        <w:t>.</w:t>
      </w:r>
      <w:r w:rsidR="00A07EDA" w:rsidRPr="004B4520">
        <w:rPr>
          <w:sz w:val="22"/>
          <w:szCs w:val="22"/>
        </w:rPr>
        <w:t xml:space="preserve"> </w:t>
      </w:r>
    </w:p>
    <w:p w14:paraId="4C9E5976" w14:textId="4460EF57" w:rsidR="00A07EDA" w:rsidRPr="00B85909" w:rsidRDefault="008822CE" w:rsidP="00A07EDA">
      <w:pPr>
        <w:ind w:right="566"/>
        <w:jc w:val="both"/>
        <w:rPr>
          <w:sz w:val="22"/>
          <w:szCs w:val="22"/>
        </w:rPr>
      </w:pPr>
      <w:r>
        <w:rPr>
          <w:sz w:val="22"/>
          <w:szCs w:val="22"/>
        </w:rPr>
        <w:t xml:space="preserve">ul. </w:t>
      </w:r>
      <w:r w:rsidR="00B85909" w:rsidRPr="00B85909">
        <w:rPr>
          <w:sz w:val="22"/>
          <w:szCs w:val="22"/>
        </w:rPr>
        <w:t xml:space="preserve">Pelplińska </w:t>
      </w:r>
      <w:r w:rsidRPr="004B4520">
        <w:rPr>
          <w:sz w:val="22"/>
          <w:szCs w:val="22"/>
        </w:rPr>
        <w:t>19</w:t>
      </w:r>
      <w:r w:rsidR="00A07EDA" w:rsidRPr="00B85909">
        <w:rPr>
          <w:sz w:val="22"/>
          <w:szCs w:val="22"/>
        </w:rPr>
        <w:t>, 83-200 Starogard Gdański</w:t>
      </w:r>
    </w:p>
    <w:p w14:paraId="71DAEA37" w14:textId="77777777" w:rsidR="00A07EDA" w:rsidRPr="00B85909" w:rsidRDefault="00A07EDA" w:rsidP="00A07EDA">
      <w:pPr>
        <w:ind w:right="566"/>
        <w:jc w:val="both"/>
        <w:rPr>
          <w:sz w:val="22"/>
          <w:szCs w:val="22"/>
        </w:rPr>
      </w:pPr>
      <w:r w:rsidRPr="00B85909">
        <w:rPr>
          <w:sz w:val="22"/>
          <w:szCs w:val="22"/>
        </w:rPr>
        <w:t>Lenkija</w:t>
      </w:r>
    </w:p>
    <w:p w14:paraId="2C7E9FD9" w14:textId="13F23B83" w:rsidR="008822CE" w:rsidRPr="00BD605E" w:rsidRDefault="008822CE" w:rsidP="008822CE">
      <w:pPr>
        <w:pStyle w:val="BTEMEASMCA"/>
        <w:rPr>
          <w:lang w:val="pl-PL"/>
        </w:rPr>
      </w:pPr>
    </w:p>
    <w:p w14:paraId="335554CE" w14:textId="77777777" w:rsidR="00A07EDA" w:rsidRPr="00BD605E" w:rsidRDefault="00A07EDA" w:rsidP="008822CE">
      <w:pPr>
        <w:pStyle w:val="BTEMEASMCA"/>
        <w:rPr>
          <w:lang w:val="pl-PL"/>
        </w:rPr>
      </w:pPr>
    </w:p>
    <w:p w14:paraId="6BA329F1" w14:textId="78EBA1D1" w:rsidR="00A07EDA" w:rsidRPr="004B4520" w:rsidRDefault="00A07EDA" w:rsidP="005F53BD">
      <w:pPr>
        <w:pStyle w:val="PI-1EMEASMCA"/>
      </w:pPr>
      <w:bookmarkStart w:id="54" w:name="_Toc129243123"/>
      <w:bookmarkStart w:id="55" w:name="_Toc129243248"/>
      <w:r w:rsidRPr="004B4520">
        <w:t>8.</w:t>
      </w:r>
      <w:r w:rsidRPr="004B4520">
        <w:tab/>
      </w:r>
      <w:r w:rsidR="00E9369A" w:rsidRPr="004B4520">
        <w:rPr>
          <w:caps/>
        </w:rPr>
        <w:t>REGISTRACIJOS</w:t>
      </w:r>
      <w:r w:rsidRPr="004B4520">
        <w:t xml:space="preserve"> PAŽYMĖJIMO NUMERIS</w:t>
      </w:r>
      <w:bookmarkEnd w:id="54"/>
      <w:bookmarkEnd w:id="55"/>
      <w:r w:rsidRPr="004B4520">
        <w:t xml:space="preserve"> (-IAI)</w:t>
      </w:r>
    </w:p>
    <w:p w14:paraId="6D8CEAD9" w14:textId="77777777" w:rsidR="00A07EDA" w:rsidRPr="00BD605E" w:rsidRDefault="00A07EDA" w:rsidP="008822CE">
      <w:pPr>
        <w:pStyle w:val="BTEMEASMCA"/>
        <w:rPr>
          <w:lang w:val="pl-PL"/>
        </w:rPr>
      </w:pPr>
    </w:p>
    <w:p w14:paraId="521A810A" w14:textId="77777777" w:rsidR="00A07EDA" w:rsidRPr="004B4520" w:rsidRDefault="00A07EDA" w:rsidP="00A07EDA">
      <w:pPr>
        <w:pStyle w:val="Pagrindinistekstas"/>
        <w:spacing w:after="0"/>
        <w:rPr>
          <w:iCs/>
          <w:szCs w:val="22"/>
        </w:rPr>
      </w:pPr>
      <w:r w:rsidRPr="004B4520">
        <w:rPr>
          <w:szCs w:val="22"/>
        </w:rPr>
        <w:t>LT/1/94/0443/001</w:t>
      </w:r>
    </w:p>
    <w:p w14:paraId="5DD5405C" w14:textId="77777777" w:rsidR="00A07EDA" w:rsidRPr="00E37C18" w:rsidRDefault="00A07EDA" w:rsidP="008822CE">
      <w:pPr>
        <w:pStyle w:val="BTEMEASMCA"/>
      </w:pPr>
    </w:p>
    <w:p w14:paraId="5913008F" w14:textId="77777777" w:rsidR="00A07EDA" w:rsidRPr="00E37C18" w:rsidRDefault="00A07EDA" w:rsidP="008822CE">
      <w:pPr>
        <w:pStyle w:val="BTEMEASMCA"/>
      </w:pPr>
    </w:p>
    <w:p w14:paraId="49094072" w14:textId="39620159" w:rsidR="00A07EDA" w:rsidRPr="004B4520" w:rsidRDefault="00A07EDA" w:rsidP="005F53BD">
      <w:pPr>
        <w:pStyle w:val="PI-1EMEASMCA"/>
      </w:pPr>
      <w:bookmarkStart w:id="56" w:name="_Toc129243124"/>
      <w:bookmarkStart w:id="57" w:name="_Toc129243249"/>
      <w:r w:rsidRPr="004B4520">
        <w:t>9.</w:t>
      </w:r>
      <w:r w:rsidRPr="004B4520">
        <w:tab/>
      </w:r>
      <w:r w:rsidR="00E9369A" w:rsidRPr="004A76F2">
        <w:rPr>
          <w:caps/>
        </w:rPr>
        <w:t xml:space="preserve">RegISTRAVIMO / PERREGISTRAVIMO </w:t>
      </w:r>
      <w:r w:rsidRPr="004B4520">
        <w:t>DATA</w:t>
      </w:r>
      <w:bookmarkEnd w:id="56"/>
      <w:bookmarkEnd w:id="57"/>
    </w:p>
    <w:p w14:paraId="02FA2EBC" w14:textId="77777777" w:rsidR="00A07EDA" w:rsidRPr="00E37C18" w:rsidRDefault="00A07EDA" w:rsidP="008822CE">
      <w:pPr>
        <w:pStyle w:val="BTEMEASMCA"/>
      </w:pPr>
      <w:bookmarkStart w:id="58" w:name="_Toc129243125"/>
      <w:bookmarkStart w:id="59" w:name="_Toc129243250"/>
    </w:p>
    <w:p w14:paraId="52DF8331" w14:textId="555889B4" w:rsidR="00E9369A" w:rsidRPr="00E37C18" w:rsidRDefault="00E9369A" w:rsidP="008822CE">
      <w:pPr>
        <w:pStyle w:val="BTEMEASMCA"/>
      </w:pPr>
      <w:r w:rsidRPr="00E37C18">
        <w:t>Registravimo data 1994 m. birželio 02 d.</w:t>
      </w:r>
    </w:p>
    <w:p w14:paraId="63B8BEAD" w14:textId="40A7A8B7" w:rsidR="00A07EDA" w:rsidRPr="00E37C18" w:rsidRDefault="00E9369A" w:rsidP="008822CE">
      <w:pPr>
        <w:pStyle w:val="BTEMEASMCA"/>
      </w:pPr>
      <w:r w:rsidRPr="00E37C18">
        <w:t>Paskutinio perregistravimo data 2012 m. lapkričio 29 d.</w:t>
      </w:r>
    </w:p>
    <w:p w14:paraId="4177D574" w14:textId="69A96284" w:rsidR="00A07EDA" w:rsidRDefault="00A07EDA" w:rsidP="008822CE">
      <w:pPr>
        <w:pStyle w:val="BTEMEASMCA"/>
      </w:pPr>
    </w:p>
    <w:p w14:paraId="223542FD" w14:textId="77777777" w:rsidR="00D8308B" w:rsidRPr="00E37C18" w:rsidRDefault="00D8308B" w:rsidP="008822CE">
      <w:pPr>
        <w:pStyle w:val="BTEMEASMCA"/>
      </w:pPr>
    </w:p>
    <w:p w14:paraId="2D449E7B" w14:textId="118F8EAE" w:rsidR="00A07EDA" w:rsidRPr="004B4520" w:rsidRDefault="00A07EDA" w:rsidP="005F53BD">
      <w:pPr>
        <w:pStyle w:val="PI-1EMEASMCA"/>
      </w:pPr>
      <w:r w:rsidRPr="004B4520">
        <w:t>10.</w:t>
      </w:r>
      <w:r w:rsidRPr="004B4520">
        <w:tab/>
        <w:t>TEKSTO PERŽIŪROS DATA</w:t>
      </w:r>
      <w:bookmarkEnd w:id="58"/>
      <w:bookmarkEnd w:id="59"/>
    </w:p>
    <w:p w14:paraId="3C809845" w14:textId="02D6FA7B" w:rsidR="00A07EDA" w:rsidRDefault="00A07EDA" w:rsidP="008822CE">
      <w:pPr>
        <w:pStyle w:val="BTEMEASMCA"/>
      </w:pPr>
    </w:p>
    <w:p w14:paraId="0C53E7BA" w14:textId="7B18AD22" w:rsidR="003B420D" w:rsidRPr="00953DDF" w:rsidRDefault="003B420D" w:rsidP="008822CE">
      <w:pPr>
        <w:pStyle w:val="BTEMEASMCA"/>
      </w:pPr>
      <w:r>
        <w:t>2023 m. kovo 16 d.</w:t>
      </w:r>
    </w:p>
    <w:p w14:paraId="3BFFA88F" w14:textId="77777777" w:rsidR="0076339F" w:rsidRPr="00953DDF" w:rsidRDefault="0076339F" w:rsidP="008822CE">
      <w:pPr>
        <w:pStyle w:val="BTEMEASMCA"/>
      </w:pPr>
    </w:p>
    <w:p w14:paraId="59F247FF" w14:textId="77777777" w:rsidR="00E9369A" w:rsidRPr="004B4520" w:rsidRDefault="00E9369A" w:rsidP="00E9369A">
      <w:pPr>
        <w:pStyle w:val="Paprastasistekstas"/>
        <w:tabs>
          <w:tab w:val="left" w:pos="5954"/>
          <w:tab w:val="left" w:pos="6237"/>
          <w:tab w:val="left" w:pos="6663"/>
          <w:tab w:val="left" w:pos="6946"/>
        </w:tabs>
        <w:rPr>
          <w:rStyle w:val="Hipersaitas"/>
          <w:rFonts w:ascii="Times New Roman" w:hAnsi="Times New Roman"/>
          <w:sz w:val="22"/>
          <w:szCs w:val="22"/>
          <w:lang w:val="lt-LT"/>
        </w:rPr>
      </w:pPr>
      <w:r w:rsidRPr="004B4520">
        <w:rPr>
          <w:rFonts w:ascii="Times New Roman" w:hAnsi="Times New Roman"/>
          <w:noProof/>
          <w:sz w:val="22"/>
          <w:szCs w:val="22"/>
          <w:lang w:val="lt-LT"/>
        </w:rPr>
        <w:t xml:space="preserve">Išsami informacija apie šį vaistinį preparatą pateikiama Valstybinės vaistų kontrolės tarnybos prie Lietuvos Respublikos  sveikatos apsaugos ministerijos </w:t>
      </w:r>
      <w:r w:rsidR="00B910EF" w:rsidRPr="004B4520">
        <w:rPr>
          <w:rFonts w:ascii="Times New Roman" w:hAnsi="Times New Roman"/>
          <w:noProof/>
          <w:sz w:val="22"/>
          <w:szCs w:val="22"/>
          <w:lang w:val="lt-LT"/>
        </w:rPr>
        <w:t>tinklalapyje</w:t>
      </w:r>
      <w:r w:rsidR="00B910EF" w:rsidRPr="004B4520">
        <w:rPr>
          <w:rFonts w:ascii="Times New Roman" w:hAnsi="Times New Roman"/>
          <w:i/>
          <w:noProof/>
          <w:sz w:val="22"/>
          <w:szCs w:val="22"/>
          <w:lang w:val="lt-LT"/>
        </w:rPr>
        <w:t xml:space="preserve"> </w:t>
      </w:r>
      <w:hyperlink r:id="rId14" w:history="1">
        <w:r w:rsidR="00B910EF" w:rsidRPr="004B4520">
          <w:rPr>
            <w:rStyle w:val="Hipersaitas"/>
            <w:rFonts w:ascii="Times New Roman" w:hAnsi="Times New Roman"/>
            <w:noProof/>
            <w:sz w:val="22"/>
            <w:szCs w:val="22"/>
            <w:lang w:val="lt-LT"/>
          </w:rPr>
          <w:t>http://www.</w:t>
        </w:r>
        <w:r w:rsidR="00B910EF" w:rsidRPr="004B4520">
          <w:rPr>
            <w:rStyle w:val="Hipersaitas"/>
            <w:rFonts w:ascii="Times New Roman" w:hAnsi="Times New Roman"/>
            <w:sz w:val="22"/>
            <w:szCs w:val="22"/>
            <w:lang w:val="lt-LT"/>
          </w:rPr>
          <w:t>vvkt.lt</w:t>
        </w:r>
      </w:hyperlink>
      <w:r w:rsidR="00B910EF" w:rsidRPr="004B4520">
        <w:rPr>
          <w:rStyle w:val="Hipersaitas"/>
          <w:rFonts w:ascii="Times New Roman" w:hAnsi="Times New Roman"/>
          <w:sz w:val="22"/>
          <w:szCs w:val="22"/>
          <w:lang w:val="lt-LT"/>
        </w:rPr>
        <w:t xml:space="preserve"> </w:t>
      </w:r>
    </w:p>
    <w:p w14:paraId="3EC0D781" w14:textId="77777777" w:rsidR="00B910EF" w:rsidRPr="004B4520" w:rsidRDefault="00B910EF" w:rsidP="00E9369A">
      <w:pPr>
        <w:pStyle w:val="Paprastasistekstas"/>
        <w:tabs>
          <w:tab w:val="left" w:pos="5954"/>
          <w:tab w:val="left" w:pos="6237"/>
          <w:tab w:val="left" w:pos="6663"/>
          <w:tab w:val="left" w:pos="6946"/>
        </w:tabs>
        <w:rPr>
          <w:rFonts w:ascii="Times New Roman" w:hAnsi="Times New Roman"/>
          <w:sz w:val="22"/>
          <w:szCs w:val="22"/>
          <w:lang w:val="lt-LT"/>
        </w:rPr>
      </w:pPr>
    </w:p>
    <w:p w14:paraId="07184FDA" w14:textId="77777777" w:rsidR="00A07EDA" w:rsidRPr="004B4520" w:rsidRDefault="00A07EDA" w:rsidP="00A07EDA">
      <w:pPr>
        <w:pStyle w:val="Pagrindinistekstas"/>
        <w:spacing w:after="0"/>
        <w:rPr>
          <w:szCs w:val="22"/>
        </w:rPr>
      </w:pPr>
    </w:p>
    <w:p w14:paraId="4ABC0575" w14:textId="77777777" w:rsidR="00A07EDA" w:rsidRPr="00953DDF" w:rsidRDefault="00A07EDA" w:rsidP="008822CE">
      <w:pPr>
        <w:pStyle w:val="BTEMEASMCA"/>
      </w:pPr>
    </w:p>
    <w:p w14:paraId="2A2A3A3D" w14:textId="77777777" w:rsidR="00A07EDA" w:rsidRPr="00953DDF" w:rsidRDefault="00A07EDA" w:rsidP="008822CE">
      <w:pPr>
        <w:pStyle w:val="BTEMEASMCA"/>
      </w:pPr>
    </w:p>
    <w:p w14:paraId="3108FCBE" w14:textId="77777777" w:rsidR="00A07EDA" w:rsidRPr="00953DDF" w:rsidRDefault="00A07EDA" w:rsidP="008822CE">
      <w:pPr>
        <w:pStyle w:val="BTEMEASMCA"/>
      </w:pPr>
    </w:p>
    <w:p w14:paraId="40D4E2E9" w14:textId="77777777" w:rsidR="00A07EDA" w:rsidRPr="00953DDF" w:rsidRDefault="00A07EDA" w:rsidP="008822CE">
      <w:pPr>
        <w:pStyle w:val="BTEMEASMCA"/>
      </w:pPr>
    </w:p>
    <w:p w14:paraId="4211CEF9" w14:textId="77777777" w:rsidR="00A07EDA" w:rsidRPr="00953DDF" w:rsidRDefault="00A07EDA" w:rsidP="008822CE">
      <w:pPr>
        <w:pStyle w:val="BTEMEASMCA"/>
      </w:pPr>
    </w:p>
    <w:p w14:paraId="403E077D" w14:textId="77777777" w:rsidR="00A07EDA" w:rsidRPr="00953DDF" w:rsidRDefault="00A07EDA" w:rsidP="008822CE">
      <w:pPr>
        <w:pStyle w:val="BTEMEASMCA"/>
      </w:pPr>
    </w:p>
    <w:p w14:paraId="26B228DE" w14:textId="77777777" w:rsidR="00A07EDA" w:rsidRPr="00953DDF" w:rsidRDefault="00A07EDA" w:rsidP="008822CE">
      <w:pPr>
        <w:pStyle w:val="BTEMEASMCA"/>
      </w:pPr>
    </w:p>
    <w:p w14:paraId="1BD69A0D" w14:textId="77777777" w:rsidR="00A07EDA" w:rsidRPr="00953DDF" w:rsidRDefault="00A07EDA" w:rsidP="008822CE">
      <w:pPr>
        <w:pStyle w:val="BTEMEASMCA"/>
      </w:pPr>
    </w:p>
    <w:p w14:paraId="12E0B08E" w14:textId="77777777" w:rsidR="00A07EDA" w:rsidRPr="00953DDF" w:rsidRDefault="00A07EDA" w:rsidP="008822CE">
      <w:pPr>
        <w:pStyle w:val="BTEMEASMCA"/>
      </w:pPr>
    </w:p>
    <w:p w14:paraId="50E1E42B" w14:textId="77777777" w:rsidR="00A07EDA" w:rsidRPr="00953DDF" w:rsidRDefault="00A07EDA" w:rsidP="008822CE">
      <w:pPr>
        <w:pStyle w:val="BTEMEASMCA"/>
      </w:pPr>
    </w:p>
    <w:p w14:paraId="04FB2263" w14:textId="77777777" w:rsidR="00A07EDA" w:rsidRPr="00953DDF" w:rsidRDefault="00A07EDA" w:rsidP="008822CE">
      <w:pPr>
        <w:pStyle w:val="BTEMEASMCA"/>
      </w:pPr>
    </w:p>
    <w:p w14:paraId="3162DE7F" w14:textId="77777777" w:rsidR="00A07EDA" w:rsidRPr="00953DDF" w:rsidRDefault="00A07EDA" w:rsidP="008822CE">
      <w:pPr>
        <w:pStyle w:val="BTEMEASMCA"/>
      </w:pPr>
    </w:p>
    <w:p w14:paraId="38FE8042" w14:textId="77777777" w:rsidR="00A07EDA" w:rsidRPr="00953DDF" w:rsidRDefault="00A07EDA" w:rsidP="008822CE">
      <w:pPr>
        <w:pStyle w:val="BTEMEASMCA"/>
      </w:pPr>
    </w:p>
    <w:p w14:paraId="168B40D1" w14:textId="77777777" w:rsidR="00A07EDA" w:rsidRPr="00953DDF" w:rsidRDefault="00A07EDA" w:rsidP="008822CE">
      <w:pPr>
        <w:pStyle w:val="BTEMEASMCA"/>
      </w:pPr>
    </w:p>
    <w:p w14:paraId="7742476C" w14:textId="77777777" w:rsidR="00A07EDA" w:rsidRPr="00953DDF" w:rsidRDefault="00A07EDA" w:rsidP="008822CE">
      <w:pPr>
        <w:pStyle w:val="BTEMEASMCA"/>
      </w:pPr>
    </w:p>
    <w:p w14:paraId="44BAEE99" w14:textId="77777777" w:rsidR="00A07EDA" w:rsidRPr="00953DDF" w:rsidRDefault="00A07EDA" w:rsidP="008822CE">
      <w:pPr>
        <w:pStyle w:val="BTEMEASMCA"/>
      </w:pPr>
    </w:p>
    <w:p w14:paraId="526040DE" w14:textId="77777777" w:rsidR="00A07EDA" w:rsidRPr="00953DDF" w:rsidRDefault="00A07EDA" w:rsidP="008822CE">
      <w:pPr>
        <w:pStyle w:val="BTEMEASMCA"/>
      </w:pPr>
    </w:p>
    <w:p w14:paraId="51A563F5" w14:textId="77777777" w:rsidR="00A07EDA" w:rsidRPr="00953DDF" w:rsidRDefault="00A07EDA" w:rsidP="008822CE">
      <w:pPr>
        <w:pStyle w:val="BTEMEASMCA"/>
      </w:pPr>
    </w:p>
    <w:p w14:paraId="50F889A4" w14:textId="77777777" w:rsidR="00A07EDA" w:rsidRPr="00953DDF" w:rsidRDefault="00A07EDA" w:rsidP="008822CE">
      <w:pPr>
        <w:pStyle w:val="BTEMEASMCA"/>
      </w:pPr>
    </w:p>
    <w:p w14:paraId="69C53809" w14:textId="77777777" w:rsidR="00A07EDA" w:rsidRPr="00953DDF" w:rsidRDefault="00B910EF" w:rsidP="008822CE">
      <w:pPr>
        <w:pStyle w:val="BTEMEASMCA"/>
      </w:pPr>
      <w:r w:rsidRPr="00953DDF">
        <w:br w:type="page"/>
      </w:r>
    </w:p>
    <w:p w14:paraId="4E039AD8" w14:textId="77777777" w:rsidR="00A07EDA" w:rsidRPr="00953DDF" w:rsidRDefault="00A07EDA" w:rsidP="008822CE">
      <w:pPr>
        <w:pStyle w:val="BTEMEASMCA"/>
      </w:pPr>
    </w:p>
    <w:p w14:paraId="7B5827AF" w14:textId="77777777" w:rsidR="00B910EF" w:rsidRPr="00953DDF" w:rsidRDefault="00B910EF" w:rsidP="008822CE">
      <w:pPr>
        <w:pStyle w:val="BTEMEASMCA"/>
      </w:pPr>
    </w:p>
    <w:p w14:paraId="7FF74EE5" w14:textId="77777777" w:rsidR="00B910EF" w:rsidRPr="00953DDF" w:rsidRDefault="00B910EF" w:rsidP="008822CE">
      <w:pPr>
        <w:pStyle w:val="BTEMEASMCA"/>
      </w:pPr>
    </w:p>
    <w:p w14:paraId="4D9A9DCD" w14:textId="77777777" w:rsidR="00B910EF" w:rsidRPr="00953DDF" w:rsidRDefault="00B910EF" w:rsidP="008822CE">
      <w:pPr>
        <w:pStyle w:val="BTEMEASMCA"/>
      </w:pPr>
    </w:p>
    <w:p w14:paraId="3FA4AFFE" w14:textId="77777777" w:rsidR="00B910EF" w:rsidRPr="00953DDF" w:rsidRDefault="00B910EF" w:rsidP="008822CE">
      <w:pPr>
        <w:pStyle w:val="BTEMEASMCA"/>
      </w:pPr>
    </w:p>
    <w:p w14:paraId="2C007A0B" w14:textId="77777777" w:rsidR="00B910EF" w:rsidRPr="00953DDF" w:rsidRDefault="00B910EF" w:rsidP="008822CE">
      <w:pPr>
        <w:pStyle w:val="BTEMEASMCA"/>
      </w:pPr>
    </w:p>
    <w:p w14:paraId="2956B883" w14:textId="77777777" w:rsidR="00B910EF" w:rsidRPr="00953DDF" w:rsidRDefault="00B910EF" w:rsidP="008822CE">
      <w:pPr>
        <w:pStyle w:val="BTEMEASMCA"/>
      </w:pPr>
    </w:p>
    <w:p w14:paraId="7EF13C1F" w14:textId="77777777" w:rsidR="00B910EF" w:rsidRPr="00953DDF" w:rsidRDefault="00B910EF" w:rsidP="008822CE">
      <w:pPr>
        <w:pStyle w:val="BTEMEASMCA"/>
      </w:pPr>
    </w:p>
    <w:p w14:paraId="079C7CDB" w14:textId="77777777" w:rsidR="00B910EF" w:rsidRPr="00953DDF" w:rsidRDefault="00B910EF" w:rsidP="008822CE">
      <w:pPr>
        <w:pStyle w:val="BTEMEASMCA"/>
      </w:pPr>
    </w:p>
    <w:p w14:paraId="196EA053" w14:textId="77777777" w:rsidR="00B910EF" w:rsidRPr="00953DDF" w:rsidRDefault="00B910EF" w:rsidP="008822CE">
      <w:pPr>
        <w:pStyle w:val="BTEMEASMCA"/>
      </w:pPr>
    </w:p>
    <w:p w14:paraId="44093D8F" w14:textId="77777777" w:rsidR="00B910EF" w:rsidRPr="00953DDF" w:rsidRDefault="00B910EF" w:rsidP="008822CE">
      <w:pPr>
        <w:pStyle w:val="BTEMEASMCA"/>
      </w:pPr>
    </w:p>
    <w:p w14:paraId="318B73A3" w14:textId="77777777" w:rsidR="00B910EF" w:rsidRPr="00953DDF" w:rsidRDefault="00B910EF" w:rsidP="008822CE">
      <w:pPr>
        <w:pStyle w:val="BTEMEASMCA"/>
      </w:pPr>
    </w:p>
    <w:p w14:paraId="4DE00224" w14:textId="77777777" w:rsidR="00B910EF" w:rsidRPr="00953DDF" w:rsidRDefault="00B910EF" w:rsidP="008822CE">
      <w:pPr>
        <w:pStyle w:val="BTEMEASMCA"/>
      </w:pPr>
    </w:p>
    <w:p w14:paraId="25BEF553" w14:textId="77777777" w:rsidR="00B910EF" w:rsidRPr="00953DDF" w:rsidRDefault="00B910EF" w:rsidP="008822CE">
      <w:pPr>
        <w:pStyle w:val="BTEMEASMCA"/>
      </w:pPr>
    </w:p>
    <w:p w14:paraId="29D62741" w14:textId="77777777" w:rsidR="00B910EF" w:rsidRPr="00953DDF" w:rsidRDefault="00B910EF" w:rsidP="008822CE">
      <w:pPr>
        <w:pStyle w:val="BTEMEASMCA"/>
      </w:pPr>
    </w:p>
    <w:p w14:paraId="17ACA1A3" w14:textId="77777777" w:rsidR="00B910EF" w:rsidRPr="00953DDF" w:rsidRDefault="00B910EF" w:rsidP="008822CE">
      <w:pPr>
        <w:pStyle w:val="BTEMEASMCA"/>
      </w:pPr>
    </w:p>
    <w:p w14:paraId="54C1A675" w14:textId="77777777" w:rsidR="00B910EF" w:rsidRPr="00953DDF" w:rsidRDefault="00B910EF" w:rsidP="008822CE">
      <w:pPr>
        <w:pStyle w:val="BTEMEASMCA"/>
      </w:pPr>
    </w:p>
    <w:p w14:paraId="241BB1D8" w14:textId="77777777" w:rsidR="00B910EF" w:rsidRPr="00953DDF" w:rsidRDefault="00B910EF" w:rsidP="008822CE">
      <w:pPr>
        <w:pStyle w:val="BTEMEASMCA"/>
      </w:pPr>
    </w:p>
    <w:p w14:paraId="55826F0E" w14:textId="77777777" w:rsidR="00B910EF" w:rsidRPr="00953DDF" w:rsidRDefault="00B910EF" w:rsidP="008822CE">
      <w:pPr>
        <w:pStyle w:val="BTEMEASMCA"/>
      </w:pPr>
    </w:p>
    <w:p w14:paraId="07EB3FC9" w14:textId="77777777" w:rsidR="00B910EF" w:rsidRPr="00953DDF" w:rsidRDefault="00B910EF" w:rsidP="008822CE">
      <w:pPr>
        <w:pStyle w:val="BTEMEASMCA"/>
      </w:pPr>
    </w:p>
    <w:p w14:paraId="66FAB15F" w14:textId="77777777" w:rsidR="00B910EF" w:rsidRPr="00953DDF" w:rsidRDefault="00B910EF" w:rsidP="008822CE">
      <w:pPr>
        <w:pStyle w:val="BTEMEASMCA"/>
      </w:pPr>
    </w:p>
    <w:p w14:paraId="3A7381EC" w14:textId="77777777" w:rsidR="00A07EDA" w:rsidRPr="004B4520" w:rsidRDefault="00A07EDA" w:rsidP="00A07EDA">
      <w:pPr>
        <w:pStyle w:val="TTEMEASMCA"/>
        <w:rPr>
          <w:lang w:val="lt-LT"/>
        </w:rPr>
      </w:pPr>
      <w:bookmarkStart w:id="60" w:name="_Toc129243128"/>
      <w:bookmarkStart w:id="61" w:name="_Toc129243253"/>
    </w:p>
    <w:p w14:paraId="7C4C1099" w14:textId="657310BB" w:rsidR="00A07EDA" w:rsidRPr="004B4520" w:rsidRDefault="00A07EDA" w:rsidP="00A07EDA">
      <w:pPr>
        <w:pStyle w:val="TTEMEASMCA"/>
        <w:rPr>
          <w:lang w:val="lt-LT"/>
        </w:rPr>
      </w:pPr>
      <w:r w:rsidRPr="004B4520">
        <w:rPr>
          <w:lang w:val="lt-LT"/>
        </w:rPr>
        <w:t>II PRIEDAS</w:t>
      </w:r>
      <w:bookmarkEnd w:id="60"/>
      <w:bookmarkEnd w:id="61"/>
    </w:p>
    <w:p w14:paraId="0D25C3EF" w14:textId="77777777" w:rsidR="00A07EDA" w:rsidRPr="004B4520" w:rsidRDefault="00A07EDA" w:rsidP="00A07EDA">
      <w:pPr>
        <w:pStyle w:val="TTEMEASMCA"/>
        <w:rPr>
          <w:lang w:val="lt-LT"/>
        </w:rPr>
      </w:pPr>
    </w:p>
    <w:p w14:paraId="7CDA4F28" w14:textId="77777777" w:rsidR="00A07EDA" w:rsidRPr="004B4520" w:rsidRDefault="006F7FB8" w:rsidP="00A07EDA">
      <w:pPr>
        <w:pStyle w:val="TTEMEASMCA"/>
        <w:rPr>
          <w:lang w:val="lt-LT"/>
        </w:rPr>
      </w:pPr>
      <w:r w:rsidRPr="004B4520">
        <w:rPr>
          <w:lang w:val="lt-LT"/>
        </w:rPr>
        <w:t xml:space="preserve">REGISTRACIJOS </w:t>
      </w:r>
      <w:r w:rsidR="00A07EDA" w:rsidRPr="004B4520">
        <w:rPr>
          <w:lang w:val="lt-LT"/>
        </w:rPr>
        <w:t>SĄLYGOS</w:t>
      </w:r>
    </w:p>
    <w:p w14:paraId="5E1BBF98" w14:textId="77777777" w:rsidR="00A07EDA" w:rsidRPr="00BD605E" w:rsidRDefault="00A07EDA" w:rsidP="008822CE">
      <w:pPr>
        <w:pStyle w:val="BTEMEASMCA"/>
        <w:rPr>
          <w:lang w:val="lt-LT"/>
        </w:rPr>
      </w:pPr>
    </w:p>
    <w:p w14:paraId="6992130B" w14:textId="77777777" w:rsidR="00A07EDA" w:rsidRPr="004B4520" w:rsidRDefault="00A07EDA" w:rsidP="00A07EDA">
      <w:pPr>
        <w:pStyle w:val="BTAnIIEMEASMCA"/>
        <w:rPr>
          <w:rFonts w:cs="Times New Roman"/>
          <w:highlight w:val="yellow"/>
          <w:lang w:val="lt-LT"/>
        </w:rPr>
      </w:pPr>
      <w:r w:rsidRPr="004B4520">
        <w:rPr>
          <w:rFonts w:cs="Times New Roman"/>
          <w:lang w:val="lt-LT"/>
        </w:rPr>
        <w:t>A.</w:t>
      </w:r>
      <w:r w:rsidRPr="004B4520">
        <w:rPr>
          <w:rFonts w:cs="Times New Roman"/>
          <w:lang w:val="lt-LT"/>
        </w:rPr>
        <w:tab/>
        <w:t>GAMINTOJAS (-AI), ATSAKINGAS (-I) UŽ SERIJŲ IŠLEIDIMĄ</w:t>
      </w:r>
    </w:p>
    <w:p w14:paraId="23F16B42" w14:textId="77777777" w:rsidR="00A07EDA" w:rsidRPr="00BD605E" w:rsidRDefault="00A07EDA" w:rsidP="008822CE">
      <w:pPr>
        <w:pStyle w:val="BTEMEASMCA"/>
        <w:rPr>
          <w:highlight w:val="yellow"/>
          <w:lang w:val="lt-LT"/>
        </w:rPr>
      </w:pPr>
    </w:p>
    <w:p w14:paraId="7FAC89C8" w14:textId="77777777" w:rsidR="00A07EDA" w:rsidRPr="004B4520" w:rsidRDefault="00A07EDA" w:rsidP="00A07EDA">
      <w:pPr>
        <w:pStyle w:val="BTAnIIEMEASMCA"/>
        <w:rPr>
          <w:rFonts w:cs="Times New Roman"/>
          <w:lang w:val="pt-PT"/>
        </w:rPr>
      </w:pPr>
      <w:r w:rsidRPr="004B4520">
        <w:rPr>
          <w:rFonts w:cs="Times New Roman"/>
          <w:lang w:val="pt-PT"/>
        </w:rPr>
        <w:t>B.</w:t>
      </w:r>
      <w:r w:rsidRPr="004B4520">
        <w:rPr>
          <w:rFonts w:cs="Times New Roman"/>
          <w:lang w:val="pt-PT"/>
        </w:rPr>
        <w:tab/>
        <w:t xml:space="preserve">TIEKIMO IR VARTOJIMO SĄLYGOS </w:t>
      </w:r>
      <w:r w:rsidR="006F7FB8" w:rsidRPr="004B4520">
        <w:rPr>
          <w:rFonts w:cs="Times New Roman"/>
          <w:lang w:val="lt-LT"/>
        </w:rPr>
        <w:t xml:space="preserve">AR </w:t>
      </w:r>
      <w:r w:rsidRPr="004B4520">
        <w:rPr>
          <w:rFonts w:cs="Times New Roman"/>
          <w:lang w:val="pt-PT"/>
        </w:rPr>
        <w:t>APRIBOJIMAI</w:t>
      </w:r>
    </w:p>
    <w:p w14:paraId="192EB073" w14:textId="77777777" w:rsidR="00A07EDA" w:rsidRPr="004B4520" w:rsidRDefault="00A07EDA" w:rsidP="00A07EDA">
      <w:pPr>
        <w:pStyle w:val="BTAnIIEMEASMCA"/>
        <w:rPr>
          <w:rFonts w:cs="Times New Roman"/>
          <w:lang w:val="pt-PT"/>
        </w:rPr>
      </w:pPr>
    </w:p>
    <w:p w14:paraId="2F33E9BF" w14:textId="77777777" w:rsidR="00A07EDA" w:rsidRPr="004B4520" w:rsidRDefault="00A07EDA" w:rsidP="00A07EDA">
      <w:pPr>
        <w:pStyle w:val="BTAnIIEMEASMCA"/>
        <w:rPr>
          <w:rFonts w:cs="Times New Roman"/>
          <w:lang w:val="pt-PT"/>
        </w:rPr>
      </w:pPr>
      <w:r w:rsidRPr="004B4520">
        <w:rPr>
          <w:rFonts w:cs="Times New Roman"/>
          <w:lang w:val="pt-PT"/>
        </w:rPr>
        <w:br w:type="page"/>
      </w:r>
      <w:r w:rsidRPr="004B4520">
        <w:rPr>
          <w:rFonts w:cs="Times New Roman"/>
          <w:lang w:val="pt-PT"/>
        </w:rPr>
        <w:lastRenderedPageBreak/>
        <w:t>A.</w:t>
      </w:r>
      <w:r w:rsidRPr="004B4520">
        <w:rPr>
          <w:rFonts w:cs="Times New Roman"/>
          <w:lang w:val="pt-PT"/>
        </w:rPr>
        <w:tab/>
        <w:t>GAMINTOJAS (-AI), ATSAKINGAS (-I) UŽ SERIJŲ IŠLEIDIMĄ</w:t>
      </w:r>
    </w:p>
    <w:p w14:paraId="759B002D" w14:textId="77777777" w:rsidR="00A07EDA" w:rsidRPr="00BD605E" w:rsidRDefault="00A07EDA" w:rsidP="008822CE">
      <w:pPr>
        <w:pStyle w:val="BTEMEASMCA"/>
        <w:rPr>
          <w:highlight w:val="yellow"/>
          <w:lang w:val="pt-PT"/>
        </w:rPr>
      </w:pPr>
    </w:p>
    <w:p w14:paraId="5662BC9A" w14:textId="77777777" w:rsidR="00A07EDA" w:rsidRPr="00BD605E" w:rsidRDefault="00A07EDA" w:rsidP="008822CE">
      <w:pPr>
        <w:pStyle w:val="BTuEMEASMCA"/>
        <w:rPr>
          <w:lang w:val="pt-PT"/>
        </w:rPr>
      </w:pPr>
      <w:r w:rsidRPr="00BD605E">
        <w:rPr>
          <w:lang w:val="pt-PT"/>
        </w:rPr>
        <w:t>Gamintojo (-ų), atsakingo (-ų) už serijų išleidimą, pavadinimas (-ai) ir adresas (-ai)</w:t>
      </w:r>
    </w:p>
    <w:p w14:paraId="24EA3C55" w14:textId="77777777" w:rsidR="00A07EDA" w:rsidRPr="00BD605E" w:rsidRDefault="00A07EDA" w:rsidP="008822CE">
      <w:pPr>
        <w:pStyle w:val="BTEMEASMCA"/>
        <w:rPr>
          <w:lang w:val="pt-PT"/>
        </w:rPr>
      </w:pPr>
    </w:p>
    <w:p w14:paraId="29F5DA9F" w14:textId="02C6A9D2" w:rsidR="001364FF" w:rsidRPr="00CC3572" w:rsidRDefault="001364FF" w:rsidP="00AC7F75">
      <w:pPr>
        <w:spacing w:line="252" w:lineRule="auto"/>
        <w:rPr>
          <w:sz w:val="22"/>
          <w:szCs w:val="22"/>
        </w:rPr>
      </w:pPr>
      <w:r w:rsidRPr="00CC3572">
        <w:rPr>
          <w:sz w:val="22"/>
          <w:szCs w:val="22"/>
        </w:rPr>
        <w:t>Zakłady Farmaceutyczne POLPHARMA S.A.</w:t>
      </w:r>
    </w:p>
    <w:p w14:paraId="08B30B6C" w14:textId="3C9604E8" w:rsidR="00A07EDA" w:rsidRPr="00CC3572" w:rsidRDefault="001364FF" w:rsidP="00AC7F75">
      <w:pPr>
        <w:ind w:right="566"/>
        <w:jc w:val="both"/>
        <w:rPr>
          <w:szCs w:val="22"/>
        </w:rPr>
      </w:pPr>
      <w:r w:rsidRPr="00CC3572">
        <w:rPr>
          <w:sz w:val="22"/>
          <w:szCs w:val="22"/>
        </w:rPr>
        <w:t>ul. Pelplińska 19</w:t>
      </w:r>
      <w:r w:rsidR="00A07EDA" w:rsidRPr="00CC3572">
        <w:rPr>
          <w:sz w:val="22"/>
          <w:szCs w:val="22"/>
        </w:rPr>
        <w:t>, 83-200 Starogard Gdański</w:t>
      </w:r>
      <w:r w:rsidR="00CC3572" w:rsidRPr="00CC3572">
        <w:rPr>
          <w:sz w:val="22"/>
          <w:szCs w:val="22"/>
        </w:rPr>
        <w:t xml:space="preserve">, </w:t>
      </w:r>
      <w:r w:rsidR="00A07EDA" w:rsidRPr="00AC7F75">
        <w:rPr>
          <w:sz w:val="22"/>
        </w:rPr>
        <w:t>Lenkija</w:t>
      </w:r>
    </w:p>
    <w:p w14:paraId="57C9F57D" w14:textId="77777777" w:rsidR="00A07EDA" w:rsidRPr="00BD605E" w:rsidRDefault="00A07EDA" w:rsidP="008822CE">
      <w:pPr>
        <w:pStyle w:val="BTEMEASMCA"/>
        <w:rPr>
          <w:lang w:val="pl-PL"/>
        </w:rPr>
      </w:pPr>
    </w:p>
    <w:p w14:paraId="79DBB2A5" w14:textId="77777777" w:rsidR="00A07EDA" w:rsidRPr="00BD605E" w:rsidRDefault="00A07EDA" w:rsidP="008822CE">
      <w:pPr>
        <w:pStyle w:val="BTEMEASMCA"/>
        <w:rPr>
          <w:lang w:val="pl-PL"/>
        </w:rPr>
      </w:pPr>
      <w:r w:rsidRPr="00BD605E">
        <w:rPr>
          <w:lang w:val="pl-PL"/>
        </w:rPr>
        <w:t>arba</w:t>
      </w:r>
    </w:p>
    <w:p w14:paraId="7C6155E7" w14:textId="77777777" w:rsidR="00A07EDA" w:rsidRPr="00BD605E" w:rsidRDefault="00A07EDA" w:rsidP="008822CE">
      <w:pPr>
        <w:pStyle w:val="BTEMEASMCA"/>
        <w:rPr>
          <w:lang w:val="pl-PL"/>
        </w:rPr>
      </w:pPr>
    </w:p>
    <w:p w14:paraId="5EDAF73B" w14:textId="77777777" w:rsidR="005F53BD" w:rsidRPr="005F53BD" w:rsidRDefault="005F53BD" w:rsidP="005F53BD">
      <w:pPr>
        <w:numPr>
          <w:ilvl w:val="12"/>
          <w:numId w:val="0"/>
        </w:numPr>
        <w:rPr>
          <w:bCs/>
          <w:sz w:val="22"/>
          <w:szCs w:val="22"/>
          <w:lang w:val="pl-PL" w:eastAsia="es-ES"/>
        </w:rPr>
      </w:pPr>
      <w:r w:rsidRPr="005F53BD">
        <w:rPr>
          <w:bCs/>
          <w:sz w:val="22"/>
          <w:szCs w:val="22"/>
          <w:lang w:val="pl-PL"/>
        </w:rPr>
        <w:t>Zakłady Farmaceutyczne POLPHARMA S.A.</w:t>
      </w:r>
    </w:p>
    <w:p w14:paraId="114B7977" w14:textId="62470D66" w:rsidR="005F53BD" w:rsidRPr="00AC7F75" w:rsidRDefault="005F53BD" w:rsidP="005F53BD">
      <w:pPr>
        <w:numPr>
          <w:ilvl w:val="12"/>
          <w:numId w:val="0"/>
        </w:numPr>
        <w:rPr>
          <w:color w:val="000000"/>
          <w:sz w:val="22"/>
          <w:lang w:val="pl-PL"/>
        </w:rPr>
      </w:pPr>
      <w:r w:rsidRPr="005F53BD">
        <w:rPr>
          <w:bCs/>
          <w:sz w:val="22"/>
          <w:szCs w:val="22"/>
          <w:lang w:val="pl-PL"/>
        </w:rPr>
        <w:t xml:space="preserve">Oddział </w:t>
      </w:r>
      <w:r w:rsidRPr="00AC7F75">
        <w:rPr>
          <w:sz w:val="22"/>
          <w:lang w:val="pl-PL"/>
        </w:rPr>
        <w:t xml:space="preserve">Medana </w:t>
      </w:r>
      <w:r w:rsidRPr="005F53BD">
        <w:rPr>
          <w:bCs/>
          <w:sz w:val="22"/>
          <w:szCs w:val="22"/>
          <w:lang w:val="pl-PL"/>
        </w:rPr>
        <w:t>w Sieradzu</w:t>
      </w:r>
      <w:r w:rsidRPr="005F53BD">
        <w:rPr>
          <w:color w:val="000000"/>
          <w:sz w:val="22"/>
          <w:szCs w:val="22"/>
          <w:lang w:val="pl-PL"/>
        </w:rPr>
        <w:t xml:space="preserve"> </w:t>
      </w:r>
    </w:p>
    <w:p w14:paraId="7D96C7A4" w14:textId="74CF9B19" w:rsidR="00A07EDA" w:rsidRPr="004B4520" w:rsidRDefault="005F53BD" w:rsidP="00A07EDA">
      <w:pPr>
        <w:numPr>
          <w:ilvl w:val="12"/>
          <w:numId w:val="0"/>
        </w:numPr>
        <w:rPr>
          <w:color w:val="000000"/>
          <w:sz w:val="22"/>
          <w:szCs w:val="22"/>
        </w:rPr>
      </w:pPr>
      <w:proofErr w:type="gramStart"/>
      <w:r w:rsidRPr="005F53BD">
        <w:rPr>
          <w:color w:val="000000"/>
          <w:sz w:val="22"/>
          <w:szCs w:val="22"/>
          <w:lang w:val="pl-PL"/>
        </w:rPr>
        <w:t>ul</w:t>
      </w:r>
      <w:proofErr w:type="gramEnd"/>
      <w:r w:rsidRPr="005F53BD">
        <w:rPr>
          <w:color w:val="000000"/>
          <w:sz w:val="22"/>
          <w:szCs w:val="22"/>
          <w:lang w:val="pl-PL"/>
        </w:rPr>
        <w:t>.</w:t>
      </w:r>
      <w:r w:rsidRPr="00AC7F75">
        <w:rPr>
          <w:color w:val="000000"/>
          <w:sz w:val="22"/>
          <w:lang w:val="pl-PL"/>
        </w:rPr>
        <w:t xml:space="preserve"> Władysława Łokietka </w:t>
      </w:r>
      <w:r w:rsidRPr="005F53BD">
        <w:rPr>
          <w:color w:val="000000"/>
          <w:sz w:val="22"/>
          <w:szCs w:val="22"/>
          <w:lang w:val="pl-PL"/>
        </w:rPr>
        <w:t>10</w:t>
      </w:r>
      <w:r w:rsidR="00A07EDA" w:rsidRPr="004B4520">
        <w:rPr>
          <w:color w:val="000000"/>
          <w:sz w:val="22"/>
          <w:szCs w:val="22"/>
        </w:rPr>
        <w:t>, 98-200 Sieradz, Lenkija</w:t>
      </w:r>
    </w:p>
    <w:p w14:paraId="1C75DB90" w14:textId="77777777" w:rsidR="00A07EDA" w:rsidRPr="00BD605E" w:rsidRDefault="00A07EDA" w:rsidP="008822CE">
      <w:pPr>
        <w:pStyle w:val="BTEMEASMCA"/>
        <w:rPr>
          <w:highlight w:val="yellow"/>
          <w:lang w:val="pl-PL"/>
        </w:rPr>
      </w:pPr>
    </w:p>
    <w:p w14:paraId="7074D5E3" w14:textId="77777777" w:rsidR="00A07EDA" w:rsidRPr="00BD605E" w:rsidRDefault="00A07EDA" w:rsidP="008822CE">
      <w:pPr>
        <w:pStyle w:val="BTEMEASMCA"/>
        <w:rPr>
          <w:lang w:val="pl-PL"/>
        </w:rPr>
      </w:pPr>
      <w:r w:rsidRPr="00BD605E">
        <w:rPr>
          <w:lang w:val="pl-PL"/>
        </w:rPr>
        <w:t>Su pakuote pateikiamame lapelyje nurodomas gamintojo, atsakingo už konkrečios serijos išleidimą, pavadinimas ir adresas.</w:t>
      </w:r>
    </w:p>
    <w:p w14:paraId="4D3E569B" w14:textId="77777777" w:rsidR="00A07EDA" w:rsidRPr="00BD605E" w:rsidRDefault="00A07EDA" w:rsidP="008822CE">
      <w:pPr>
        <w:pStyle w:val="BTEMEASMCA"/>
        <w:rPr>
          <w:highlight w:val="yellow"/>
          <w:lang w:val="pl-PL"/>
        </w:rPr>
      </w:pPr>
    </w:p>
    <w:p w14:paraId="6B8D5CEF" w14:textId="77777777" w:rsidR="00A07EDA" w:rsidRPr="00BD605E" w:rsidRDefault="00A07EDA" w:rsidP="008822CE">
      <w:pPr>
        <w:pStyle w:val="BTEMEASMCA"/>
        <w:rPr>
          <w:highlight w:val="yellow"/>
          <w:lang w:val="pl-PL"/>
        </w:rPr>
      </w:pPr>
    </w:p>
    <w:p w14:paraId="29333ADB" w14:textId="7C145E9D" w:rsidR="00A07EDA" w:rsidRPr="004B4520" w:rsidRDefault="00A07EDA" w:rsidP="005F53BD">
      <w:pPr>
        <w:pStyle w:val="PI-1EMEASMCA"/>
      </w:pPr>
      <w:bookmarkStart w:id="62" w:name="_Toc129243129"/>
      <w:bookmarkStart w:id="63" w:name="_Toc129243254"/>
      <w:r w:rsidRPr="004B4520">
        <w:t>B.</w:t>
      </w:r>
      <w:r w:rsidRPr="004B4520">
        <w:tab/>
      </w:r>
      <w:bookmarkEnd w:id="62"/>
      <w:bookmarkEnd w:id="63"/>
      <w:r w:rsidRPr="004B4520">
        <w:t>TIEKIMO IR VARTOJIMO SĄLYGOS AR APRIBOJIMAI</w:t>
      </w:r>
    </w:p>
    <w:p w14:paraId="2D65AB1E" w14:textId="77777777" w:rsidR="00A07EDA" w:rsidRPr="00BD605E" w:rsidRDefault="00A07EDA" w:rsidP="008822CE">
      <w:pPr>
        <w:pStyle w:val="BTEMEASMCA"/>
        <w:rPr>
          <w:lang w:val="pl-PL"/>
        </w:rPr>
      </w:pPr>
    </w:p>
    <w:p w14:paraId="30626349" w14:textId="77777777" w:rsidR="00A07EDA" w:rsidRPr="00E37C18" w:rsidRDefault="00A07EDA" w:rsidP="008822CE">
      <w:pPr>
        <w:pStyle w:val="BTEMEASMCA"/>
      </w:pPr>
      <w:r w:rsidRPr="00E37C18">
        <w:t>Receptinis vaistinis preparatas.</w:t>
      </w:r>
    </w:p>
    <w:p w14:paraId="4987A2A3" w14:textId="77777777" w:rsidR="00A07EDA" w:rsidRPr="00E37C18" w:rsidRDefault="00A07EDA" w:rsidP="008822CE">
      <w:pPr>
        <w:pStyle w:val="BTEMEASMCA"/>
        <w:rPr>
          <w:highlight w:val="yellow"/>
        </w:rPr>
      </w:pPr>
    </w:p>
    <w:p w14:paraId="73772D1D" w14:textId="77777777" w:rsidR="00A07EDA" w:rsidRPr="00E37C18" w:rsidRDefault="00A07EDA" w:rsidP="008822CE">
      <w:pPr>
        <w:pStyle w:val="BTEMEASMCA"/>
      </w:pPr>
      <w:r w:rsidRPr="00E37C18">
        <w:br w:type="page"/>
      </w:r>
    </w:p>
    <w:p w14:paraId="3E0AB2F0" w14:textId="77777777" w:rsidR="00A07EDA" w:rsidRPr="004B4520" w:rsidRDefault="00A07EDA" w:rsidP="00A07EDA">
      <w:pPr>
        <w:pStyle w:val="Pagrindinistekstas"/>
        <w:spacing w:after="0"/>
        <w:rPr>
          <w:szCs w:val="22"/>
        </w:rPr>
      </w:pPr>
    </w:p>
    <w:p w14:paraId="3B7F6F57" w14:textId="77777777" w:rsidR="00A07EDA" w:rsidRPr="004B4520" w:rsidRDefault="00A07EDA" w:rsidP="00A07EDA">
      <w:pPr>
        <w:pStyle w:val="Pagrindinistekstas"/>
        <w:spacing w:after="0"/>
        <w:rPr>
          <w:szCs w:val="22"/>
        </w:rPr>
      </w:pPr>
    </w:p>
    <w:p w14:paraId="22DF2164" w14:textId="77777777" w:rsidR="00A07EDA" w:rsidRPr="004B4520" w:rsidRDefault="00A07EDA" w:rsidP="00A07EDA">
      <w:pPr>
        <w:pStyle w:val="Pagrindinistekstas"/>
        <w:spacing w:after="0"/>
        <w:rPr>
          <w:szCs w:val="22"/>
        </w:rPr>
      </w:pPr>
    </w:p>
    <w:p w14:paraId="6510C96D" w14:textId="77777777" w:rsidR="00A07EDA" w:rsidRPr="004B4520" w:rsidRDefault="00A07EDA" w:rsidP="00A07EDA">
      <w:pPr>
        <w:pStyle w:val="Pagrindinistekstas"/>
        <w:spacing w:after="0"/>
        <w:rPr>
          <w:szCs w:val="22"/>
        </w:rPr>
      </w:pPr>
    </w:p>
    <w:p w14:paraId="500C3B1B" w14:textId="77777777" w:rsidR="00A07EDA" w:rsidRPr="004B4520" w:rsidRDefault="00A07EDA" w:rsidP="00A07EDA">
      <w:pPr>
        <w:pStyle w:val="Pagrindinistekstas"/>
        <w:spacing w:after="0"/>
        <w:rPr>
          <w:szCs w:val="22"/>
        </w:rPr>
      </w:pPr>
    </w:p>
    <w:p w14:paraId="004452DB" w14:textId="77777777" w:rsidR="00A07EDA" w:rsidRPr="004B4520" w:rsidRDefault="00A07EDA" w:rsidP="00A07EDA">
      <w:pPr>
        <w:pStyle w:val="Pagrindinistekstas"/>
        <w:spacing w:after="0"/>
        <w:rPr>
          <w:szCs w:val="22"/>
        </w:rPr>
      </w:pPr>
    </w:p>
    <w:p w14:paraId="582B3914" w14:textId="77777777" w:rsidR="00A07EDA" w:rsidRPr="004B4520" w:rsidRDefault="00A07EDA" w:rsidP="00A07EDA">
      <w:pPr>
        <w:pStyle w:val="Pagrindinistekstas"/>
        <w:spacing w:after="0"/>
        <w:rPr>
          <w:szCs w:val="22"/>
        </w:rPr>
      </w:pPr>
    </w:p>
    <w:p w14:paraId="0D39A3D7" w14:textId="77777777" w:rsidR="00A07EDA" w:rsidRPr="004B4520" w:rsidRDefault="00A07EDA" w:rsidP="00A07EDA">
      <w:pPr>
        <w:pStyle w:val="Pagrindinistekstas"/>
        <w:spacing w:after="0"/>
        <w:rPr>
          <w:szCs w:val="22"/>
        </w:rPr>
      </w:pPr>
    </w:p>
    <w:p w14:paraId="774F1C5C" w14:textId="77777777" w:rsidR="00A07EDA" w:rsidRPr="004B4520" w:rsidRDefault="00A07EDA" w:rsidP="00A07EDA">
      <w:pPr>
        <w:pStyle w:val="Pagrindinistekstas"/>
        <w:spacing w:after="0"/>
        <w:rPr>
          <w:szCs w:val="22"/>
        </w:rPr>
      </w:pPr>
    </w:p>
    <w:p w14:paraId="30FFEA89" w14:textId="77777777" w:rsidR="00A07EDA" w:rsidRPr="004B4520" w:rsidRDefault="00A07EDA" w:rsidP="00A07EDA">
      <w:pPr>
        <w:pStyle w:val="Pagrindinistekstas"/>
        <w:spacing w:after="0"/>
        <w:rPr>
          <w:szCs w:val="22"/>
        </w:rPr>
      </w:pPr>
    </w:p>
    <w:p w14:paraId="64D56003" w14:textId="77777777" w:rsidR="00A07EDA" w:rsidRPr="004B4520" w:rsidRDefault="00A07EDA" w:rsidP="00A07EDA">
      <w:pPr>
        <w:pStyle w:val="Pagrindinistekstas"/>
        <w:spacing w:after="0"/>
        <w:rPr>
          <w:szCs w:val="22"/>
        </w:rPr>
      </w:pPr>
    </w:p>
    <w:p w14:paraId="68D12F8D" w14:textId="77777777" w:rsidR="00A07EDA" w:rsidRPr="004B4520" w:rsidRDefault="00A07EDA" w:rsidP="00A07EDA">
      <w:pPr>
        <w:pStyle w:val="Pagrindinistekstas"/>
        <w:spacing w:after="0"/>
        <w:rPr>
          <w:szCs w:val="22"/>
        </w:rPr>
      </w:pPr>
    </w:p>
    <w:p w14:paraId="3C1A139B" w14:textId="77777777" w:rsidR="00A07EDA" w:rsidRPr="004B4520" w:rsidRDefault="00A07EDA" w:rsidP="00A07EDA">
      <w:pPr>
        <w:pStyle w:val="Pagrindinistekstas"/>
        <w:spacing w:after="0"/>
        <w:rPr>
          <w:szCs w:val="22"/>
        </w:rPr>
      </w:pPr>
    </w:p>
    <w:p w14:paraId="4F6F03EA" w14:textId="77777777" w:rsidR="00A07EDA" w:rsidRPr="004B4520" w:rsidRDefault="00A07EDA" w:rsidP="00A07EDA">
      <w:pPr>
        <w:pStyle w:val="Pagrindinistekstas"/>
        <w:spacing w:after="0"/>
        <w:rPr>
          <w:szCs w:val="22"/>
        </w:rPr>
      </w:pPr>
    </w:p>
    <w:p w14:paraId="70F60358" w14:textId="77777777" w:rsidR="00A07EDA" w:rsidRPr="004B4520" w:rsidRDefault="00A07EDA" w:rsidP="00A07EDA">
      <w:pPr>
        <w:pStyle w:val="Pagrindinistekstas"/>
        <w:spacing w:after="0"/>
        <w:rPr>
          <w:szCs w:val="22"/>
        </w:rPr>
      </w:pPr>
    </w:p>
    <w:p w14:paraId="28EB30EB" w14:textId="77777777" w:rsidR="00A07EDA" w:rsidRPr="004B4520" w:rsidRDefault="00A07EDA" w:rsidP="00A07EDA">
      <w:pPr>
        <w:pStyle w:val="Pagrindinistekstas"/>
        <w:spacing w:after="0"/>
        <w:rPr>
          <w:szCs w:val="22"/>
        </w:rPr>
      </w:pPr>
    </w:p>
    <w:p w14:paraId="61C07B37" w14:textId="77777777" w:rsidR="00A07EDA" w:rsidRPr="004B4520" w:rsidRDefault="00A07EDA" w:rsidP="00A07EDA">
      <w:pPr>
        <w:pStyle w:val="Pagrindinistekstas"/>
        <w:spacing w:after="0"/>
        <w:rPr>
          <w:szCs w:val="22"/>
        </w:rPr>
      </w:pPr>
    </w:p>
    <w:p w14:paraId="3043D0A3" w14:textId="77777777" w:rsidR="00A07EDA" w:rsidRPr="004B4520" w:rsidRDefault="00A07EDA" w:rsidP="00A07EDA">
      <w:pPr>
        <w:pStyle w:val="Pagrindinistekstas"/>
        <w:spacing w:after="0"/>
        <w:rPr>
          <w:szCs w:val="22"/>
        </w:rPr>
      </w:pPr>
    </w:p>
    <w:p w14:paraId="34A7C705" w14:textId="77777777" w:rsidR="00A07EDA" w:rsidRPr="004B4520" w:rsidRDefault="00A07EDA" w:rsidP="00A07EDA">
      <w:pPr>
        <w:pStyle w:val="Pagrindinistekstas"/>
        <w:spacing w:after="0"/>
        <w:rPr>
          <w:szCs w:val="22"/>
        </w:rPr>
      </w:pPr>
    </w:p>
    <w:p w14:paraId="238AE170" w14:textId="77777777" w:rsidR="00A07EDA" w:rsidRPr="004B4520" w:rsidRDefault="00A07EDA" w:rsidP="00A07EDA">
      <w:pPr>
        <w:pStyle w:val="Pagrindinistekstas"/>
        <w:spacing w:after="0"/>
        <w:rPr>
          <w:szCs w:val="22"/>
        </w:rPr>
      </w:pPr>
    </w:p>
    <w:p w14:paraId="21F73844" w14:textId="77777777" w:rsidR="00A07EDA" w:rsidRPr="004B4520" w:rsidRDefault="00A07EDA" w:rsidP="00A07EDA">
      <w:pPr>
        <w:pStyle w:val="Pagrindinistekstas"/>
        <w:spacing w:after="0"/>
        <w:rPr>
          <w:szCs w:val="22"/>
        </w:rPr>
      </w:pPr>
    </w:p>
    <w:p w14:paraId="2436537C" w14:textId="77777777" w:rsidR="00A07EDA" w:rsidRPr="004B4520" w:rsidRDefault="00A07EDA" w:rsidP="00A07EDA">
      <w:pPr>
        <w:pStyle w:val="Pagrindinistekstas"/>
        <w:spacing w:after="0"/>
        <w:rPr>
          <w:szCs w:val="22"/>
        </w:rPr>
      </w:pPr>
    </w:p>
    <w:p w14:paraId="532D7A29" w14:textId="77777777" w:rsidR="00A07EDA" w:rsidRPr="004B4520" w:rsidRDefault="00A07EDA" w:rsidP="00A07EDA">
      <w:pPr>
        <w:pStyle w:val="Pavadinimas"/>
        <w:rPr>
          <w:szCs w:val="22"/>
        </w:rPr>
      </w:pPr>
      <w:r w:rsidRPr="004B4520">
        <w:rPr>
          <w:szCs w:val="22"/>
        </w:rPr>
        <w:t>III PRIEDAS</w:t>
      </w:r>
    </w:p>
    <w:p w14:paraId="12B466FE" w14:textId="77777777" w:rsidR="00A07EDA" w:rsidRPr="004B4520" w:rsidRDefault="00A07EDA" w:rsidP="00A07EDA">
      <w:pPr>
        <w:pStyle w:val="Pagrindinistekstas"/>
        <w:spacing w:after="0"/>
        <w:rPr>
          <w:szCs w:val="22"/>
        </w:rPr>
      </w:pPr>
    </w:p>
    <w:p w14:paraId="2DDFC78F" w14:textId="77777777" w:rsidR="00A07EDA" w:rsidRPr="004B4520" w:rsidRDefault="00A07EDA" w:rsidP="00A07EDA">
      <w:pPr>
        <w:pStyle w:val="Pagrindinistekstas"/>
        <w:spacing w:after="0"/>
        <w:jc w:val="center"/>
        <w:rPr>
          <w:b/>
          <w:szCs w:val="22"/>
        </w:rPr>
      </w:pPr>
      <w:r w:rsidRPr="004B4520">
        <w:rPr>
          <w:b/>
          <w:szCs w:val="22"/>
        </w:rPr>
        <w:t>ŽENKLINIMAS IR PAKUOTĖS LAPELIS</w:t>
      </w:r>
    </w:p>
    <w:p w14:paraId="7CF79602" w14:textId="77777777" w:rsidR="00A07EDA" w:rsidRPr="004B4520" w:rsidRDefault="00A07EDA" w:rsidP="00A07EDA">
      <w:pPr>
        <w:pStyle w:val="Pagrindinistekstas"/>
        <w:spacing w:after="0"/>
        <w:rPr>
          <w:szCs w:val="22"/>
        </w:rPr>
      </w:pPr>
      <w:r w:rsidRPr="004B4520">
        <w:rPr>
          <w:szCs w:val="22"/>
        </w:rPr>
        <w:br w:type="page"/>
      </w:r>
    </w:p>
    <w:p w14:paraId="4142BB7E" w14:textId="77777777" w:rsidR="00A07EDA" w:rsidRPr="004B4520" w:rsidRDefault="00A07EDA" w:rsidP="00A07EDA">
      <w:pPr>
        <w:pStyle w:val="Pagrindinistekstas"/>
        <w:spacing w:after="0"/>
        <w:rPr>
          <w:szCs w:val="22"/>
        </w:rPr>
      </w:pPr>
    </w:p>
    <w:p w14:paraId="381FB8DA" w14:textId="77777777" w:rsidR="00A07EDA" w:rsidRPr="004B4520" w:rsidRDefault="00A07EDA" w:rsidP="00A07EDA">
      <w:pPr>
        <w:pStyle w:val="Pagrindinistekstas"/>
        <w:spacing w:after="0"/>
        <w:rPr>
          <w:szCs w:val="22"/>
        </w:rPr>
      </w:pPr>
    </w:p>
    <w:p w14:paraId="34034223" w14:textId="77777777" w:rsidR="00A07EDA" w:rsidRPr="004B4520" w:rsidRDefault="00A07EDA" w:rsidP="00A07EDA">
      <w:pPr>
        <w:pStyle w:val="Pagrindinistekstas"/>
        <w:spacing w:after="0"/>
        <w:rPr>
          <w:szCs w:val="22"/>
        </w:rPr>
      </w:pPr>
    </w:p>
    <w:p w14:paraId="7C0D025E" w14:textId="77777777" w:rsidR="00A07EDA" w:rsidRPr="004B4520" w:rsidRDefault="00A07EDA" w:rsidP="00A07EDA">
      <w:pPr>
        <w:pStyle w:val="Pagrindinistekstas"/>
        <w:spacing w:after="0"/>
        <w:rPr>
          <w:szCs w:val="22"/>
        </w:rPr>
      </w:pPr>
    </w:p>
    <w:p w14:paraId="1A20BF32" w14:textId="77777777" w:rsidR="00A07EDA" w:rsidRPr="004B4520" w:rsidRDefault="00A07EDA" w:rsidP="00A07EDA">
      <w:pPr>
        <w:pStyle w:val="Pagrindinistekstas"/>
        <w:spacing w:after="0"/>
        <w:rPr>
          <w:szCs w:val="22"/>
        </w:rPr>
      </w:pPr>
    </w:p>
    <w:p w14:paraId="75539C21" w14:textId="77777777" w:rsidR="00A07EDA" w:rsidRPr="004B4520" w:rsidRDefault="00A07EDA" w:rsidP="00A07EDA">
      <w:pPr>
        <w:pStyle w:val="Pagrindinistekstas"/>
        <w:spacing w:after="0"/>
        <w:rPr>
          <w:szCs w:val="22"/>
        </w:rPr>
      </w:pPr>
    </w:p>
    <w:p w14:paraId="23999C52" w14:textId="77777777" w:rsidR="00A07EDA" w:rsidRPr="004B4520" w:rsidRDefault="00A07EDA" w:rsidP="00A07EDA">
      <w:pPr>
        <w:pStyle w:val="Pagrindinistekstas"/>
        <w:spacing w:after="0"/>
        <w:rPr>
          <w:szCs w:val="22"/>
        </w:rPr>
      </w:pPr>
    </w:p>
    <w:p w14:paraId="570EB2DB" w14:textId="77777777" w:rsidR="00A07EDA" w:rsidRPr="004B4520" w:rsidRDefault="00A07EDA" w:rsidP="00A07EDA">
      <w:pPr>
        <w:pStyle w:val="Pagrindinistekstas"/>
        <w:spacing w:after="0"/>
        <w:rPr>
          <w:szCs w:val="22"/>
        </w:rPr>
      </w:pPr>
    </w:p>
    <w:p w14:paraId="69F056D2" w14:textId="77777777" w:rsidR="00A07EDA" w:rsidRPr="004B4520" w:rsidRDefault="00A07EDA" w:rsidP="00A07EDA">
      <w:pPr>
        <w:pStyle w:val="Pagrindinistekstas"/>
        <w:spacing w:after="0"/>
        <w:rPr>
          <w:szCs w:val="22"/>
        </w:rPr>
      </w:pPr>
    </w:p>
    <w:p w14:paraId="443F9945" w14:textId="77777777" w:rsidR="00A07EDA" w:rsidRPr="004B4520" w:rsidRDefault="00A07EDA" w:rsidP="00A07EDA">
      <w:pPr>
        <w:pStyle w:val="Pagrindinistekstas"/>
        <w:spacing w:after="0"/>
        <w:rPr>
          <w:szCs w:val="22"/>
        </w:rPr>
      </w:pPr>
    </w:p>
    <w:p w14:paraId="56E7C3E2" w14:textId="77777777" w:rsidR="00A07EDA" w:rsidRPr="004B4520" w:rsidRDefault="00A07EDA" w:rsidP="00A07EDA">
      <w:pPr>
        <w:pStyle w:val="Pagrindinistekstas"/>
        <w:spacing w:after="0"/>
        <w:rPr>
          <w:szCs w:val="22"/>
        </w:rPr>
      </w:pPr>
    </w:p>
    <w:p w14:paraId="14528A73" w14:textId="77777777" w:rsidR="00A07EDA" w:rsidRPr="004B4520" w:rsidRDefault="00A07EDA" w:rsidP="00A07EDA">
      <w:pPr>
        <w:pStyle w:val="Pagrindinistekstas"/>
        <w:spacing w:after="0"/>
        <w:rPr>
          <w:szCs w:val="22"/>
        </w:rPr>
      </w:pPr>
    </w:p>
    <w:p w14:paraId="3D960CFC" w14:textId="77777777" w:rsidR="00A07EDA" w:rsidRPr="004B4520" w:rsidRDefault="00A07EDA" w:rsidP="00A07EDA">
      <w:pPr>
        <w:pStyle w:val="Pagrindinistekstas"/>
        <w:spacing w:after="0"/>
        <w:rPr>
          <w:szCs w:val="22"/>
        </w:rPr>
      </w:pPr>
    </w:p>
    <w:p w14:paraId="407CE3A8" w14:textId="77777777" w:rsidR="00A07EDA" w:rsidRPr="004B4520" w:rsidRDefault="00A07EDA" w:rsidP="00A07EDA">
      <w:pPr>
        <w:pStyle w:val="Pagrindinistekstas"/>
        <w:spacing w:after="0"/>
        <w:rPr>
          <w:szCs w:val="22"/>
        </w:rPr>
      </w:pPr>
    </w:p>
    <w:p w14:paraId="12368225" w14:textId="77777777" w:rsidR="00A07EDA" w:rsidRPr="004B4520" w:rsidRDefault="00A07EDA" w:rsidP="00A07EDA">
      <w:pPr>
        <w:pStyle w:val="Pagrindinistekstas"/>
        <w:spacing w:after="0"/>
        <w:rPr>
          <w:szCs w:val="22"/>
        </w:rPr>
      </w:pPr>
    </w:p>
    <w:p w14:paraId="502B7E50" w14:textId="77777777" w:rsidR="00A07EDA" w:rsidRPr="004B4520" w:rsidRDefault="00A07EDA" w:rsidP="00A07EDA">
      <w:pPr>
        <w:pStyle w:val="Pagrindinistekstas"/>
        <w:spacing w:after="0"/>
        <w:rPr>
          <w:szCs w:val="22"/>
        </w:rPr>
      </w:pPr>
    </w:p>
    <w:p w14:paraId="2F9997BC" w14:textId="77777777" w:rsidR="00A07EDA" w:rsidRPr="004B4520" w:rsidRDefault="00A07EDA" w:rsidP="00A07EDA">
      <w:pPr>
        <w:pStyle w:val="Pagrindinistekstas"/>
        <w:spacing w:after="0"/>
        <w:rPr>
          <w:szCs w:val="22"/>
        </w:rPr>
      </w:pPr>
    </w:p>
    <w:p w14:paraId="325EC484" w14:textId="77777777" w:rsidR="00A07EDA" w:rsidRPr="004B4520" w:rsidRDefault="00A07EDA" w:rsidP="00A07EDA">
      <w:pPr>
        <w:pStyle w:val="Pagrindinistekstas"/>
        <w:spacing w:after="0"/>
        <w:rPr>
          <w:szCs w:val="22"/>
        </w:rPr>
      </w:pPr>
    </w:p>
    <w:p w14:paraId="78A5BEC9" w14:textId="77777777" w:rsidR="00A07EDA" w:rsidRPr="004B4520" w:rsidRDefault="00A07EDA" w:rsidP="00A07EDA">
      <w:pPr>
        <w:pStyle w:val="Pagrindinistekstas"/>
        <w:spacing w:after="0"/>
        <w:rPr>
          <w:szCs w:val="22"/>
        </w:rPr>
      </w:pPr>
    </w:p>
    <w:p w14:paraId="09952620" w14:textId="77777777" w:rsidR="00A07EDA" w:rsidRPr="004B4520" w:rsidRDefault="00A07EDA" w:rsidP="00A07EDA">
      <w:pPr>
        <w:pStyle w:val="Pagrindinistekstas"/>
        <w:spacing w:after="0"/>
        <w:rPr>
          <w:szCs w:val="22"/>
        </w:rPr>
      </w:pPr>
    </w:p>
    <w:p w14:paraId="39E44BE7" w14:textId="77777777" w:rsidR="00A07EDA" w:rsidRPr="004B4520" w:rsidRDefault="00A07EDA" w:rsidP="00A07EDA">
      <w:pPr>
        <w:pStyle w:val="Pagrindinistekstas"/>
        <w:spacing w:after="0"/>
        <w:rPr>
          <w:szCs w:val="22"/>
        </w:rPr>
      </w:pPr>
    </w:p>
    <w:p w14:paraId="0640B231" w14:textId="77777777" w:rsidR="00A07EDA" w:rsidRPr="004B4520" w:rsidRDefault="00A07EDA" w:rsidP="00A07EDA">
      <w:pPr>
        <w:pStyle w:val="Pagrindinistekstas"/>
        <w:spacing w:after="0"/>
        <w:rPr>
          <w:szCs w:val="22"/>
        </w:rPr>
      </w:pPr>
    </w:p>
    <w:p w14:paraId="7B00AA09" w14:textId="77777777" w:rsidR="00A07EDA" w:rsidRPr="004B4520" w:rsidRDefault="00A07EDA" w:rsidP="00A07EDA">
      <w:pPr>
        <w:pStyle w:val="Pavadinimas"/>
        <w:rPr>
          <w:szCs w:val="22"/>
        </w:rPr>
      </w:pPr>
      <w:r w:rsidRPr="004B4520">
        <w:rPr>
          <w:szCs w:val="22"/>
        </w:rPr>
        <w:t>A. ŽENKLINIMAS</w:t>
      </w:r>
    </w:p>
    <w:p w14:paraId="638809DD" w14:textId="77777777" w:rsidR="00A07EDA" w:rsidRPr="004B4520" w:rsidRDefault="00A07EDA" w:rsidP="00A07EDA">
      <w:pPr>
        <w:rPr>
          <w:sz w:val="22"/>
          <w:szCs w:val="22"/>
        </w:rPr>
      </w:pPr>
      <w:r w:rsidRPr="004B4520">
        <w:rPr>
          <w:sz w:val="22"/>
          <w:szCs w:val="22"/>
        </w:rPr>
        <w:br w:type="page"/>
      </w:r>
    </w:p>
    <w:p w14:paraId="74EF4104" w14:textId="77777777" w:rsidR="00BF2740" w:rsidRPr="004B4520" w:rsidRDefault="00BF2740" w:rsidP="00BF2740">
      <w:pPr>
        <w:suppressLineNumbers/>
        <w:pBdr>
          <w:top w:val="single" w:sz="4" w:space="1" w:color="auto"/>
          <w:left w:val="single" w:sz="4" w:space="4" w:color="auto"/>
          <w:bottom w:val="single" w:sz="4" w:space="1" w:color="auto"/>
          <w:right w:val="single" w:sz="4" w:space="4" w:color="auto"/>
        </w:pBdr>
        <w:rPr>
          <w:b/>
          <w:sz w:val="22"/>
          <w:szCs w:val="22"/>
        </w:rPr>
      </w:pPr>
      <w:r w:rsidRPr="004B4520">
        <w:rPr>
          <w:b/>
          <w:sz w:val="22"/>
          <w:szCs w:val="22"/>
        </w:rPr>
        <w:lastRenderedPageBreak/>
        <w:t>INFORMACIJA ANT IŠORINĖSPAKUOTĖS</w:t>
      </w:r>
    </w:p>
    <w:p w14:paraId="199E3F93" w14:textId="77777777" w:rsidR="00BF2740" w:rsidRPr="004B4520" w:rsidRDefault="00BF2740" w:rsidP="00BF2740">
      <w:pPr>
        <w:suppressLineNumbers/>
        <w:pBdr>
          <w:top w:val="single" w:sz="4" w:space="1" w:color="auto"/>
          <w:left w:val="single" w:sz="4" w:space="4" w:color="auto"/>
          <w:bottom w:val="single" w:sz="4" w:space="1" w:color="auto"/>
          <w:right w:val="single" w:sz="4" w:space="4" w:color="auto"/>
        </w:pBdr>
        <w:ind w:left="567" w:hanging="567"/>
        <w:rPr>
          <w:b/>
          <w:sz w:val="22"/>
          <w:szCs w:val="22"/>
        </w:rPr>
      </w:pPr>
    </w:p>
    <w:p w14:paraId="66F9AD76" w14:textId="77777777" w:rsidR="00BF2740" w:rsidRPr="004B4520" w:rsidRDefault="00BF2740" w:rsidP="00BF2740">
      <w:pPr>
        <w:pBdr>
          <w:top w:val="single" w:sz="4" w:space="1" w:color="auto"/>
          <w:left w:val="single" w:sz="4" w:space="4" w:color="auto"/>
          <w:bottom w:val="single" w:sz="4" w:space="1" w:color="auto"/>
          <w:right w:val="single" w:sz="4" w:space="4" w:color="auto"/>
        </w:pBdr>
        <w:rPr>
          <w:b/>
          <w:sz w:val="22"/>
          <w:szCs w:val="22"/>
        </w:rPr>
      </w:pPr>
      <w:r w:rsidRPr="004B4520">
        <w:rPr>
          <w:b/>
          <w:sz w:val="22"/>
          <w:szCs w:val="22"/>
        </w:rPr>
        <w:t>KARTONO DĖŽUTĖ</w:t>
      </w:r>
    </w:p>
    <w:p w14:paraId="13807783" w14:textId="77777777" w:rsidR="00BF2740" w:rsidRPr="004B4520" w:rsidRDefault="00BF2740" w:rsidP="00BF2740">
      <w:pPr>
        <w:rPr>
          <w:sz w:val="22"/>
          <w:szCs w:val="22"/>
        </w:rPr>
      </w:pPr>
    </w:p>
    <w:p w14:paraId="4275A8CB" w14:textId="77777777" w:rsidR="00BF2740" w:rsidRPr="004B4520" w:rsidRDefault="00BF2740" w:rsidP="00BF2740">
      <w:pPr>
        <w:rPr>
          <w:sz w:val="22"/>
          <w:szCs w:val="22"/>
        </w:rPr>
      </w:pPr>
    </w:p>
    <w:p w14:paraId="36D9432C" w14:textId="77777777" w:rsidR="00BF2740" w:rsidRPr="004B4520" w:rsidRDefault="00BF2740" w:rsidP="00BF2740">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4B4520">
        <w:rPr>
          <w:b/>
          <w:sz w:val="22"/>
          <w:szCs w:val="22"/>
        </w:rPr>
        <w:t>1.</w:t>
      </w:r>
      <w:r w:rsidRPr="004B4520">
        <w:rPr>
          <w:b/>
          <w:sz w:val="22"/>
          <w:szCs w:val="22"/>
        </w:rPr>
        <w:tab/>
      </w:r>
      <w:r w:rsidRPr="004B4520">
        <w:rPr>
          <w:b/>
          <w:caps/>
          <w:sz w:val="22"/>
          <w:szCs w:val="22"/>
        </w:rPr>
        <w:t>VAISTINIO</w:t>
      </w:r>
      <w:r w:rsidRPr="004B4520">
        <w:rPr>
          <w:b/>
          <w:sz w:val="22"/>
          <w:szCs w:val="22"/>
        </w:rPr>
        <w:t xml:space="preserve"> PREPARATO PAVADINIMAS</w:t>
      </w:r>
    </w:p>
    <w:p w14:paraId="47F2B724" w14:textId="77777777" w:rsidR="00BF2740" w:rsidRPr="004B4520" w:rsidRDefault="00BF2740" w:rsidP="00BF2740">
      <w:pPr>
        <w:rPr>
          <w:sz w:val="22"/>
          <w:szCs w:val="22"/>
        </w:rPr>
      </w:pPr>
    </w:p>
    <w:p w14:paraId="4568B6D8" w14:textId="77777777" w:rsidR="00BF2740" w:rsidRPr="004B4520" w:rsidRDefault="00BF2740" w:rsidP="00BF2740">
      <w:pPr>
        <w:rPr>
          <w:bCs/>
          <w:sz w:val="22"/>
          <w:szCs w:val="22"/>
        </w:rPr>
      </w:pPr>
      <w:r w:rsidRPr="004B4520">
        <w:rPr>
          <w:bCs/>
          <w:sz w:val="22"/>
          <w:szCs w:val="22"/>
        </w:rPr>
        <w:t>Trichopol 250 mg tabletės</w:t>
      </w:r>
    </w:p>
    <w:p w14:paraId="5D3B6358" w14:textId="51A3E1FF" w:rsidR="00BF2740" w:rsidRPr="00AD30B0" w:rsidRDefault="00BF2740" w:rsidP="00BF2740">
      <w:pPr>
        <w:rPr>
          <w:bCs/>
          <w:sz w:val="22"/>
          <w:szCs w:val="22"/>
        </w:rPr>
      </w:pPr>
      <w:r w:rsidRPr="00AD30B0">
        <w:rPr>
          <w:bCs/>
          <w:sz w:val="22"/>
          <w:szCs w:val="22"/>
        </w:rPr>
        <w:t>Metronidazolum</w:t>
      </w:r>
    </w:p>
    <w:p w14:paraId="4A5F0FDE" w14:textId="77777777" w:rsidR="00BF2740" w:rsidRPr="00AD30B0" w:rsidRDefault="00BF2740" w:rsidP="00BF2740">
      <w:pPr>
        <w:rPr>
          <w:bCs/>
          <w:sz w:val="22"/>
          <w:szCs w:val="22"/>
        </w:rPr>
      </w:pPr>
    </w:p>
    <w:p w14:paraId="3BF09CE1" w14:textId="77777777" w:rsidR="00BF2740" w:rsidRPr="004B4520" w:rsidRDefault="00BF2740" w:rsidP="00BF2740">
      <w:pPr>
        <w:rPr>
          <w:sz w:val="22"/>
          <w:szCs w:val="22"/>
        </w:rPr>
      </w:pPr>
    </w:p>
    <w:p w14:paraId="18BF266D" w14:textId="77777777" w:rsidR="00BF2740" w:rsidRPr="004B4520" w:rsidRDefault="00BF2740" w:rsidP="00BF2740">
      <w:pPr>
        <w:suppressLineNumbers/>
        <w:pBdr>
          <w:top w:val="single" w:sz="4" w:space="1" w:color="auto"/>
          <w:left w:val="single" w:sz="4" w:space="4" w:color="auto"/>
          <w:bottom w:val="single" w:sz="4" w:space="1" w:color="auto"/>
          <w:right w:val="single" w:sz="4" w:space="4" w:color="auto"/>
        </w:pBdr>
        <w:ind w:left="567" w:hanging="567"/>
        <w:outlineLvl w:val="0"/>
        <w:rPr>
          <w:b/>
          <w:sz w:val="22"/>
          <w:szCs w:val="22"/>
        </w:rPr>
      </w:pPr>
      <w:r w:rsidRPr="004B4520">
        <w:rPr>
          <w:b/>
          <w:sz w:val="22"/>
          <w:szCs w:val="22"/>
        </w:rPr>
        <w:t>2.</w:t>
      </w:r>
      <w:r w:rsidRPr="004B4520">
        <w:rPr>
          <w:b/>
          <w:sz w:val="22"/>
          <w:szCs w:val="22"/>
        </w:rPr>
        <w:tab/>
        <w:t xml:space="preserve">VEIKLIOJI MEDŽIAGA IR JOS KIEKIS </w:t>
      </w:r>
    </w:p>
    <w:p w14:paraId="7831F065" w14:textId="77777777" w:rsidR="00BF2740" w:rsidRPr="004B4520" w:rsidRDefault="00BF2740" w:rsidP="00BF2740">
      <w:pPr>
        <w:rPr>
          <w:sz w:val="22"/>
          <w:szCs w:val="22"/>
        </w:rPr>
      </w:pPr>
    </w:p>
    <w:p w14:paraId="2EE059DD" w14:textId="77777777" w:rsidR="00BF2740" w:rsidRPr="004B4520" w:rsidRDefault="00BF2740" w:rsidP="00BF2740">
      <w:pPr>
        <w:rPr>
          <w:sz w:val="22"/>
          <w:szCs w:val="22"/>
        </w:rPr>
      </w:pPr>
      <w:r w:rsidRPr="004B4520">
        <w:rPr>
          <w:sz w:val="22"/>
          <w:szCs w:val="22"/>
        </w:rPr>
        <w:t>Kiekvienoje tabletėje yra 250 mg metronidazolo.</w:t>
      </w:r>
    </w:p>
    <w:p w14:paraId="6FE440D5" w14:textId="77777777" w:rsidR="00BF2740" w:rsidRPr="004B4520" w:rsidRDefault="00BF2740" w:rsidP="00BF2740">
      <w:pPr>
        <w:rPr>
          <w:sz w:val="22"/>
          <w:szCs w:val="22"/>
        </w:rPr>
      </w:pPr>
    </w:p>
    <w:p w14:paraId="22982B82" w14:textId="77777777" w:rsidR="00BF2740" w:rsidRPr="004B4520" w:rsidRDefault="00BF2740" w:rsidP="00BF2740">
      <w:pPr>
        <w:rPr>
          <w:sz w:val="22"/>
          <w:szCs w:val="22"/>
        </w:rPr>
      </w:pPr>
    </w:p>
    <w:p w14:paraId="42C9E515" w14:textId="77777777" w:rsidR="00BF2740" w:rsidRPr="004B4520" w:rsidRDefault="00BF2740" w:rsidP="00BF2740">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4B4520">
        <w:rPr>
          <w:b/>
          <w:sz w:val="22"/>
          <w:szCs w:val="22"/>
        </w:rPr>
        <w:t>3.</w:t>
      </w:r>
      <w:r w:rsidRPr="004B4520">
        <w:rPr>
          <w:b/>
          <w:sz w:val="22"/>
          <w:szCs w:val="22"/>
        </w:rPr>
        <w:tab/>
        <w:t>PAGALBINIŲ MEDŽIAGŲ SĄRAŠAS</w:t>
      </w:r>
    </w:p>
    <w:p w14:paraId="56661BB6" w14:textId="77777777" w:rsidR="00BF2740" w:rsidRPr="004B4520" w:rsidRDefault="00BF2740" w:rsidP="00BF2740">
      <w:pPr>
        <w:rPr>
          <w:sz w:val="22"/>
          <w:szCs w:val="22"/>
        </w:rPr>
      </w:pPr>
    </w:p>
    <w:p w14:paraId="26420117" w14:textId="77777777" w:rsidR="00BF2740" w:rsidRPr="004B4520" w:rsidRDefault="00BF2740" w:rsidP="00BF2740">
      <w:pPr>
        <w:rPr>
          <w:noProof/>
          <w:sz w:val="22"/>
          <w:szCs w:val="22"/>
        </w:rPr>
      </w:pPr>
      <w:r w:rsidRPr="004B4520">
        <w:rPr>
          <w:noProof/>
          <w:sz w:val="22"/>
          <w:szCs w:val="22"/>
        </w:rPr>
        <w:t>Sudėtyje yra gliukozės.</w:t>
      </w:r>
    </w:p>
    <w:p w14:paraId="4D309F61" w14:textId="77777777" w:rsidR="00BF2740" w:rsidRPr="004B4520" w:rsidRDefault="00BF2740" w:rsidP="00BF2740">
      <w:pPr>
        <w:rPr>
          <w:noProof/>
          <w:sz w:val="22"/>
          <w:szCs w:val="22"/>
        </w:rPr>
      </w:pPr>
    </w:p>
    <w:p w14:paraId="5D5F25C7" w14:textId="77777777" w:rsidR="00BF2740" w:rsidRPr="004B4520" w:rsidRDefault="00BF2740" w:rsidP="00BF2740">
      <w:pPr>
        <w:rPr>
          <w:sz w:val="22"/>
          <w:szCs w:val="22"/>
        </w:rPr>
      </w:pPr>
    </w:p>
    <w:p w14:paraId="26391F75" w14:textId="77777777" w:rsidR="00BF2740" w:rsidRPr="004B4520" w:rsidRDefault="00BF2740" w:rsidP="00BF2740">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4B4520">
        <w:rPr>
          <w:b/>
          <w:sz w:val="22"/>
          <w:szCs w:val="22"/>
        </w:rPr>
        <w:t>4.</w:t>
      </w:r>
      <w:r w:rsidRPr="004B4520">
        <w:rPr>
          <w:b/>
          <w:sz w:val="22"/>
          <w:szCs w:val="22"/>
        </w:rPr>
        <w:tab/>
        <w:t>FARMACINĖ FORMA IR KIEKIS PAKUOTĖJE</w:t>
      </w:r>
    </w:p>
    <w:p w14:paraId="78788F03" w14:textId="77777777" w:rsidR="00BF2740" w:rsidRPr="004B4520" w:rsidRDefault="00BF2740" w:rsidP="00BF2740">
      <w:pPr>
        <w:rPr>
          <w:sz w:val="22"/>
          <w:szCs w:val="22"/>
        </w:rPr>
      </w:pPr>
    </w:p>
    <w:p w14:paraId="4413592E" w14:textId="77777777" w:rsidR="00BF2740" w:rsidRPr="004B4520" w:rsidRDefault="00BF2740" w:rsidP="00BF2740">
      <w:pPr>
        <w:rPr>
          <w:sz w:val="22"/>
          <w:szCs w:val="22"/>
        </w:rPr>
      </w:pPr>
      <w:r w:rsidRPr="004B4520">
        <w:rPr>
          <w:sz w:val="22"/>
          <w:szCs w:val="22"/>
        </w:rPr>
        <w:t>20 tablečių</w:t>
      </w:r>
    </w:p>
    <w:p w14:paraId="3551138D" w14:textId="77777777" w:rsidR="00BF2740" w:rsidRPr="004B4520" w:rsidRDefault="00BF2740" w:rsidP="00BF2740">
      <w:pPr>
        <w:rPr>
          <w:sz w:val="22"/>
          <w:szCs w:val="22"/>
        </w:rPr>
      </w:pPr>
    </w:p>
    <w:p w14:paraId="0267D9E6" w14:textId="77777777" w:rsidR="00BF2740" w:rsidRPr="004B4520" w:rsidRDefault="00BF2740" w:rsidP="00BF2740">
      <w:pPr>
        <w:rPr>
          <w:sz w:val="22"/>
          <w:szCs w:val="22"/>
        </w:rPr>
      </w:pPr>
    </w:p>
    <w:p w14:paraId="651EFF94" w14:textId="77777777" w:rsidR="00BF2740" w:rsidRPr="004B4520" w:rsidRDefault="00BF2740" w:rsidP="00BF2740">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4B4520">
        <w:rPr>
          <w:b/>
          <w:sz w:val="22"/>
          <w:szCs w:val="22"/>
        </w:rPr>
        <w:t>5.</w:t>
      </w:r>
      <w:r w:rsidRPr="004B4520">
        <w:rPr>
          <w:b/>
          <w:sz w:val="22"/>
          <w:szCs w:val="22"/>
        </w:rPr>
        <w:tab/>
        <w:t>VARTOJIMO METODAS IR BŪDAS (-AI)</w:t>
      </w:r>
    </w:p>
    <w:p w14:paraId="713FC55B" w14:textId="77777777" w:rsidR="00BF2740" w:rsidRPr="004B4520" w:rsidRDefault="00BF2740" w:rsidP="00BF2740">
      <w:pPr>
        <w:rPr>
          <w:sz w:val="22"/>
          <w:szCs w:val="22"/>
        </w:rPr>
      </w:pPr>
    </w:p>
    <w:p w14:paraId="368316D1" w14:textId="77777777" w:rsidR="00BF2740" w:rsidRPr="004B4520" w:rsidRDefault="00BF2740" w:rsidP="00BF2740">
      <w:pPr>
        <w:rPr>
          <w:sz w:val="22"/>
          <w:szCs w:val="22"/>
        </w:rPr>
      </w:pPr>
      <w:r w:rsidRPr="004B4520">
        <w:rPr>
          <w:sz w:val="22"/>
          <w:szCs w:val="22"/>
        </w:rPr>
        <w:t>Vartoti per burną.</w:t>
      </w:r>
    </w:p>
    <w:p w14:paraId="5E0F12FC" w14:textId="77777777" w:rsidR="00BF2740" w:rsidRPr="004B4520" w:rsidRDefault="00BF2740" w:rsidP="00BF2740">
      <w:pPr>
        <w:rPr>
          <w:sz w:val="22"/>
          <w:szCs w:val="22"/>
        </w:rPr>
      </w:pPr>
      <w:r w:rsidRPr="004B4520">
        <w:rPr>
          <w:sz w:val="22"/>
          <w:szCs w:val="22"/>
        </w:rPr>
        <w:t>Prieš vartojimą perskaitykite pakuotės lapelį.</w:t>
      </w:r>
    </w:p>
    <w:p w14:paraId="03583D32" w14:textId="77777777" w:rsidR="00BF2740" w:rsidRPr="004B4520" w:rsidRDefault="00BF2740" w:rsidP="00BF2740">
      <w:pPr>
        <w:rPr>
          <w:sz w:val="22"/>
          <w:szCs w:val="22"/>
        </w:rPr>
      </w:pPr>
    </w:p>
    <w:p w14:paraId="6B304D00" w14:textId="77777777" w:rsidR="00BF2740" w:rsidRPr="004B4520" w:rsidRDefault="00BF2740" w:rsidP="00BF2740">
      <w:pPr>
        <w:rPr>
          <w:sz w:val="22"/>
          <w:szCs w:val="22"/>
        </w:rPr>
      </w:pPr>
    </w:p>
    <w:p w14:paraId="3706EECA" w14:textId="77777777" w:rsidR="00BF2740" w:rsidRPr="004B4520" w:rsidRDefault="00BF2740" w:rsidP="00BF2740">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4B4520">
        <w:rPr>
          <w:b/>
          <w:sz w:val="22"/>
          <w:szCs w:val="22"/>
        </w:rPr>
        <w:t>6.</w:t>
      </w:r>
      <w:r w:rsidRPr="004B4520">
        <w:rPr>
          <w:b/>
          <w:sz w:val="22"/>
          <w:szCs w:val="22"/>
        </w:rPr>
        <w:tab/>
        <w:t>SPECIALUS ĮSPĖJIMAS, KAD VAISTINĮ PREPARATĄ BŪTINA LAIKYTI VAIKAMS NEPASTEBIMOJE IR NEPASIEKIAMOJE VIETOJE</w:t>
      </w:r>
    </w:p>
    <w:p w14:paraId="2003838B" w14:textId="77777777" w:rsidR="00BF2740" w:rsidRPr="004B4520" w:rsidRDefault="00BF2740" w:rsidP="00BF2740">
      <w:pPr>
        <w:rPr>
          <w:sz w:val="22"/>
          <w:szCs w:val="22"/>
        </w:rPr>
      </w:pPr>
    </w:p>
    <w:p w14:paraId="41DA1BE6" w14:textId="77777777" w:rsidR="00BF2740" w:rsidRPr="004B4520" w:rsidRDefault="00BF2740" w:rsidP="00BF2740">
      <w:pPr>
        <w:rPr>
          <w:sz w:val="22"/>
          <w:szCs w:val="22"/>
        </w:rPr>
      </w:pPr>
      <w:r w:rsidRPr="004B4520">
        <w:rPr>
          <w:sz w:val="22"/>
          <w:szCs w:val="22"/>
        </w:rPr>
        <w:t>Laikyti vaikams nepastebimoje ir nepasiekiamoje vietoje.</w:t>
      </w:r>
    </w:p>
    <w:p w14:paraId="676D2D6E" w14:textId="77777777" w:rsidR="00BF2740" w:rsidRPr="004B4520" w:rsidRDefault="00BF2740" w:rsidP="00BF2740">
      <w:pPr>
        <w:rPr>
          <w:sz w:val="22"/>
          <w:szCs w:val="22"/>
        </w:rPr>
      </w:pPr>
    </w:p>
    <w:p w14:paraId="6274BDDC" w14:textId="77777777" w:rsidR="00BF2740" w:rsidRPr="004B4520" w:rsidRDefault="00BF2740" w:rsidP="00BF2740">
      <w:pPr>
        <w:rPr>
          <w:sz w:val="22"/>
          <w:szCs w:val="22"/>
        </w:rPr>
      </w:pPr>
    </w:p>
    <w:p w14:paraId="33A48627" w14:textId="77777777" w:rsidR="00BF2740" w:rsidRPr="004B4520" w:rsidRDefault="00BF2740" w:rsidP="00BF2740">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4B4520">
        <w:rPr>
          <w:b/>
          <w:sz w:val="22"/>
          <w:szCs w:val="22"/>
        </w:rPr>
        <w:t>7.</w:t>
      </w:r>
      <w:r w:rsidRPr="004B4520">
        <w:rPr>
          <w:b/>
          <w:sz w:val="22"/>
          <w:szCs w:val="22"/>
        </w:rPr>
        <w:tab/>
        <w:t>KITAS (-I) SPECIALUS (-ŪS) ĮSPĖJIMAS (-AI) (JEI REIKIA)</w:t>
      </w:r>
    </w:p>
    <w:p w14:paraId="49BB48DB" w14:textId="77777777" w:rsidR="00BF2740" w:rsidRPr="004B4520" w:rsidRDefault="00BF2740" w:rsidP="00BF2740">
      <w:pPr>
        <w:rPr>
          <w:sz w:val="22"/>
          <w:szCs w:val="22"/>
        </w:rPr>
      </w:pPr>
    </w:p>
    <w:p w14:paraId="30E6C65D" w14:textId="77777777" w:rsidR="00BF2740" w:rsidRPr="004B4520" w:rsidRDefault="00BF2740" w:rsidP="00BF2740">
      <w:pPr>
        <w:rPr>
          <w:sz w:val="22"/>
          <w:szCs w:val="22"/>
        </w:rPr>
      </w:pPr>
    </w:p>
    <w:p w14:paraId="2054983B" w14:textId="77777777" w:rsidR="00BF2740" w:rsidRPr="004B4520" w:rsidRDefault="00BF2740" w:rsidP="00BF2740">
      <w:pPr>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4B4520">
        <w:rPr>
          <w:b/>
          <w:sz w:val="22"/>
          <w:szCs w:val="22"/>
        </w:rPr>
        <w:t>8.</w:t>
      </w:r>
      <w:r w:rsidRPr="004B4520">
        <w:rPr>
          <w:b/>
          <w:sz w:val="22"/>
          <w:szCs w:val="22"/>
        </w:rPr>
        <w:tab/>
        <w:t>TINKAMUMO LAIKAS</w:t>
      </w:r>
    </w:p>
    <w:p w14:paraId="6860DCFB" w14:textId="77777777" w:rsidR="00BF2740" w:rsidRPr="004B4520" w:rsidRDefault="00BF2740" w:rsidP="00BF2740">
      <w:pPr>
        <w:rPr>
          <w:sz w:val="22"/>
          <w:szCs w:val="22"/>
        </w:rPr>
      </w:pPr>
    </w:p>
    <w:p w14:paraId="670A894F" w14:textId="77777777" w:rsidR="00BF2740" w:rsidRPr="004B4520" w:rsidRDefault="00BF2740" w:rsidP="00BF2740">
      <w:pPr>
        <w:rPr>
          <w:color w:val="000000"/>
          <w:sz w:val="22"/>
          <w:szCs w:val="22"/>
        </w:rPr>
      </w:pPr>
      <w:r>
        <w:rPr>
          <w:sz w:val="22"/>
          <w:szCs w:val="22"/>
        </w:rPr>
        <w:t>EXP:</w:t>
      </w:r>
      <w:r w:rsidRPr="004B4520">
        <w:rPr>
          <w:color w:val="000000"/>
          <w:sz w:val="22"/>
          <w:szCs w:val="22"/>
        </w:rPr>
        <w:t xml:space="preserve"> {mm/MMMM}</w:t>
      </w:r>
    </w:p>
    <w:p w14:paraId="1A428CC5" w14:textId="77777777" w:rsidR="00BF2740" w:rsidRPr="004B4520" w:rsidRDefault="00BF2740" w:rsidP="00BF2740">
      <w:pPr>
        <w:rPr>
          <w:sz w:val="22"/>
          <w:szCs w:val="22"/>
        </w:rPr>
      </w:pPr>
    </w:p>
    <w:p w14:paraId="061F18B8" w14:textId="77777777" w:rsidR="00BF2740" w:rsidRPr="004B4520" w:rsidRDefault="00BF2740" w:rsidP="00BF2740">
      <w:pPr>
        <w:rPr>
          <w:sz w:val="22"/>
          <w:szCs w:val="22"/>
        </w:rPr>
      </w:pPr>
    </w:p>
    <w:p w14:paraId="7203F254" w14:textId="77777777" w:rsidR="00BF2740" w:rsidRPr="004B4520" w:rsidRDefault="00BF2740" w:rsidP="00BF2740">
      <w:pPr>
        <w:keepNext/>
        <w:suppressLineNumbers/>
        <w:pBdr>
          <w:top w:val="single" w:sz="4" w:space="1" w:color="auto"/>
          <w:left w:val="single" w:sz="4" w:space="4" w:color="auto"/>
          <w:bottom w:val="single" w:sz="4" w:space="1" w:color="auto"/>
          <w:right w:val="single" w:sz="4" w:space="4" w:color="auto"/>
        </w:pBdr>
        <w:ind w:left="567" w:hanging="567"/>
        <w:outlineLvl w:val="0"/>
        <w:rPr>
          <w:sz w:val="22"/>
          <w:szCs w:val="22"/>
        </w:rPr>
      </w:pPr>
      <w:r w:rsidRPr="004B4520">
        <w:rPr>
          <w:b/>
          <w:sz w:val="22"/>
          <w:szCs w:val="22"/>
        </w:rPr>
        <w:t>9.</w:t>
      </w:r>
      <w:r w:rsidRPr="004B4520">
        <w:rPr>
          <w:b/>
          <w:sz w:val="22"/>
          <w:szCs w:val="22"/>
        </w:rPr>
        <w:tab/>
        <w:t>SPECIALIOS LAIKYMO SĄLYGOS</w:t>
      </w:r>
    </w:p>
    <w:p w14:paraId="1C747628" w14:textId="77777777" w:rsidR="00BF2740" w:rsidRPr="004B4520" w:rsidRDefault="00BF2740" w:rsidP="00BF2740">
      <w:pPr>
        <w:rPr>
          <w:sz w:val="22"/>
          <w:szCs w:val="22"/>
        </w:rPr>
      </w:pPr>
    </w:p>
    <w:p w14:paraId="3AE596E7" w14:textId="77777777" w:rsidR="00BF2740" w:rsidRPr="004B4520" w:rsidRDefault="00BF2740" w:rsidP="00BF2740">
      <w:pPr>
        <w:rPr>
          <w:sz w:val="22"/>
          <w:szCs w:val="22"/>
        </w:rPr>
      </w:pPr>
      <w:r w:rsidRPr="004B4520">
        <w:rPr>
          <w:sz w:val="22"/>
          <w:szCs w:val="22"/>
        </w:rPr>
        <w:t xml:space="preserve">Laikyti ne aukštesnėje kaip 25 </w:t>
      </w:r>
      <w:r w:rsidRPr="004B4520">
        <w:rPr>
          <w:sz w:val="22"/>
          <w:szCs w:val="22"/>
        </w:rPr>
        <w:sym w:font="Symbol" w:char="F0B0"/>
      </w:r>
      <w:r w:rsidRPr="004B4520">
        <w:rPr>
          <w:sz w:val="22"/>
          <w:szCs w:val="22"/>
        </w:rPr>
        <w:t>C temperatūroje.</w:t>
      </w:r>
    </w:p>
    <w:p w14:paraId="14DAE281" w14:textId="77777777" w:rsidR="00BF2740" w:rsidRPr="004B4520" w:rsidRDefault="00BF2740" w:rsidP="00BF2740">
      <w:pPr>
        <w:rPr>
          <w:sz w:val="22"/>
          <w:szCs w:val="22"/>
        </w:rPr>
      </w:pPr>
      <w:r w:rsidRPr="004B4520">
        <w:rPr>
          <w:sz w:val="22"/>
          <w:szCs w:val="22"/>
        </w:rPr>
        <w:t xml:space="preserve">Laikyti gamintojo pakuotėje, kad </w:t>
      </w:r>
      <w:r>
        <w:rPr>
          <w:sz w:val="22"/>
          <w:szCs w:val="22"/>
        </w:rPr>
        <w:t>vaistas</w:t>
      </w:r>
      <w:r w:rsidRPr="004B4520">
        <w:rPr>
          <w:sz w:val="22"/>
          <w:szCs w:val="22"/>
        </w:rPr>
        <w:t xml:space="preserve"> būtų apsaugotas nuo šviesos ir drėgmės. </w:t>
      </w:r>
    </w:p>
    <w:p w14:paraId="2C302663" w14:textId="77777777" w:rsidR="00BF2740" w:rsidRPr="004B4520" w:rsidRDefault="00BF2740" w:rsidP="00BF2740">
      <w:pPr>
        <w:rPr>
          <w:sz w:val="22"/>
          <w:szCs w:val="22"/>
        </w:rPr>
      </w:pPr>
    </w:p>
    <w:p w14:paraId="4E3D6E4B" w14:textId="77777777" w:rsidR="00BF2740" w:rsidRPr="004B4520" w:rsidRDefault="00BF2740" w:rsidP="00BF2740">
      <w:pPr>
        <w:rPr>
          <w:sz w:val="22"/>
          <w:szCs w:val="22"/>
        </w:rPr>
      </w:pPr>
    </w:p>
    <w:p w14:paraId="25BD1448" w14:textId="77777777" w:rsidR="00BF2740" w:rsidRPr="004B4520" w:rsidRDefault="00BF2740" w:rsidP="00BF2740">
      <w:pPr>
        <w:suppressLineNumbers/>
        <w:pBdr>
          <w:top w:val="single" w:sz="4" w:space="1" w:color="auto"/>
          <w:left w:val="single" w:sz="4" w:space="4" w:color="auto"/>
          <w:bottom w:val="single" w:sz="4" w:space="1" w:color="auto"/>
          <w:right w:val="single" w:sz="4" w:space="4" w:color="auto"/>
        </w:pBdr>
        <w:ind w:left="540" w:hanging="540"/>
        <w:outlineLvl w:val="0"/>
        <w:rPr>
          <w:b/>
          <w:sz w:val="22"/>
          <w:szCs w:val="22"/>
        </w:rPr>
      </w:pPr>
      <w:r w:rsidRPr="004B4520">
        <w:rPr>
          <w:b/>
          <w:sz w:val="22"/>
          <w:szCs w:val="22"/>
        </w:rPr>
        <w:t>10.</w:t>
      </w:r>
      <w:r w:rsidRPr="004B4520">
        <w:rPr>
          <w:b/>
          <w:sz w:val="22"/>
          <w:szCs w:val="22"/>
        </w:rPr>
        <w:tab/>
        <w:t>SPECIALIOS ATSARGUMO PRIEMONĖS DĖL NESUVARTOTO VAISTINIO PREPARATO AR JO ATLIEKŲ TVARKYMO (JEI REIKIA)</w:t>
      </w:r>
    </w:p>
    <w:p w14:paraId="61BFCA3F" w14:textId="77777777" w:rsidR="00BF2740" w:rsidRPr="004B4520" w:rsidRDefault="00BF2740" w:rsidP="00BF2740">
      <w:pPr>
        <w:rPr>
          <w:sz w:val="22"/>
          <w:szCs w:val="22"/>
        </w:rPr>
      </w:pPr>
    </w:p>
    <w:p w14:paraId="15BEC6A7" w14:textId="77777777" w:rsidR="00BF2740" w:rsidRPr="004B4520" w:rsidRDefault="00BF2740" w:rsidP="00BF2740">
      <w:pPr>
        <w:rPr>
          <w:sz w:val="22"/>
          <w:szCs w:val="22"/>
        </w:rPr>
      </w:pPr>
    </w:p>
    <w:p w14:paraId="52D7C07F" w14:textId="77777777" w:rsidR="00BF2740" w:rsidRPr="004B4520" w:rsidRDefault="00BF2740" w:rsidP="00BF2740">
      <w:pPr>
        <w:suppressLineNumbers/>
        <w:pBdr>
          <w:top w:val="single" w:sz="4" w:space="1" w:color="auto"/>
          <w:left w:val="single" w:sz="4" w:space="4" w:color="auto"/>
          <w:bottom w:val="single" w:sz="4" w:space="1" w:color="auto"/>
          <w:right w:val="single" w:sz="4" w:space="4" w:color="auto"/>
        </w:pBdr>
        <w:ind w:left="540" w:hanging="540"/>
        <w:outlineLvl w:val="0"/>
        <w:rPr>
          <w:b/>
          <w:sz w:val="22"/>
          <w:szCs w:val="22"/>
        </w:rPr>
      </w:pPr>
      <w:r w:rsidRPr="004B4520">
        <w:rPr>
          <w:b/>
          <w:sz w:val="22"/>
          <w:szCs w:val="22"/>
        </w:rPr>
        <w:t>11.</w:t>
      </w:r>
      <w:r w:rsidRPr="004B4520">
        <w:rPr>
          <w:b/>
          <w:sz w:val="22"/>
          <w:szCs w:val="22"/>
        </w:rPr>
        <w:tab/>
        <w:t xml:space="preserve">REGISTRUOTOJO </w:t>
      </w:r>
      <w:r w:rsidRPr="004B4520">
        <w:rPr>
          <w:b/>
          <w:caps/>
          <w:sz w:val="22"/>
          <w:szCs w:val="22"/>
        </w:rPr>
        <w:t>PAVADINIMAS IR ADRESAS</w:t>
      </w:r>
    </w:p>
    <w:p w14:paraId="3A009B15" w14:textId="77777777" w:rsidR="00BF2740" w:rsidRPr="00B85909" w:rsidRDefault="00BF2740" w:rsidP="00BF2740">
      <w:pPr>
        <w:rPr>
          <w:b/>
          <w:sz w:val="22"/>
          <w:szCs w:val="22"/>
        </w:rPr>
      </w:pPr>
    </w:p>
    <w:p w14:paraId="444A5164" w14:textId="77777777" w:rsidR="00BF2740" w:rsidRPr="00B85909" w:rsidRDefault="00BF2740" w:rsidP="00BF2740">
      <w:pPr>
        <w:rPr>
          <w:caps/>
          <w:sz w:val="22"/>
          <w:szCs w:val="22"/>
        </w:rPr>
      </w:pPr>
      <w:r w:rsidRPr="00AC7F75">
        <w:rPr>
          <w:sz w:val="22"/>
        </w:rPr>
        <w:t>(</w:t>
      </w:r>
      <w:r w:rsidRPr="004A76F2">
        <w:t xml:space="preserve">logo) </w:t>
      </w:r>
      <w:r w:rsidRPr="00B85909">
        <w:rPr>
          <w:caps/>
          <w:sz w:val="22"/>
          <w:szCs w:val="22"/>
        </w:rPr>
        <w:t>Polpharma</w:t>
      </w:r>
    </w:p>
    <w:p w14:paraId="2C2CD6C8" w14:textId="419CE3EC" w:rsidR="00B85909" w:rsidRPr="00B85909" w:rsidRDefault="00BF2740" w:rsidP="004A76F2">
      <w:pPr>
        <w:rPr>
          <w:sz w:val="22"/>
          <w:szCs w:val="22"/>
        </w:rPr>
      </w:pPr>
      <w:r w:rsidRPr="004B4520">
        <w:rPr>
          <w:sz w:val="22"/>
          <w:szCs w:val="22"/>
        </w:rPr>
        <w:t>Pharmaceutical Works</w:t>
      </w:r>
      <w:r w:rsidR="00B85909" w:rsidRPr="00B85909">
        <w:rPr>
          <w:sz w:val="22"/>
          <w:szCs w:val="22"/>
        </w:rPr>
        <w:t xml:space="preserve"> POLPHARMA </w:t>
      </w:r>
      <w:r w:rsidRPr="004B4520">
        <w:rPr>
          <w:sz w:val="22"/>
          <w:szCs w:val="22"/>
        </w:rPr>
        <w:t>SA</w:t>
      </w:r>
    </w:p>
    <w:p w14:paraId="005CE2D5" w14:textId="575F9D0A" w:rsidR="00BF2740" w:rsidRPr="00B85909" w:rsidRDefault="00BF2740" w:rsidP="00BF2740">
      <w:pPr>
        <w:rPr>
          <w:sz w:val="22"/>
          <w:szCs w:val="22"/>
        </w:rPr>
      </w:pPr>
      <w:r w:rsidRPr="004B4520">
        <w:rPr>
          <w:sz w:val="22"/>
          <w:szCs w:val="22"/>
        </w:rPr>
        <w:t>19,</w:t>
      </w:r>
      <w:r w:rsidR="00B85909" w:rsidRPr="00B85909">
        <w:rPr>
          <w:sz w:val="22"/>
          <w:szCs w:val="22"/>
        </w:rPr>
        <w:t xml:space="preserve"> Pelplińska </w:t>
      </w:r>
      <w:r w:rsidRPr="004B4520">
        <w:rPr>
          <w:sz w:val="22"/>
          <w:szCs w:val="22"/>
        </w:rPr>
        <w:t>Street</w:t>
      </w:r>
      <w:r w:rsidRPr="00B85909">
        <w:rPr>
          <w:sz w:val="22"/>
          <w:szCs w:val="22"/>
        </w:rPr>
        <w:t>, 83-200 Starogard Gdański</w:t>
      </w:r>
    </w:p>
    <w:p w14:paraId="0676BBDB" w14:textId="77777777" w:rsidR="00BF2740" w:rsidRPr="00B85909" w:rsidRDefault="00BF2740" w:rsidP="00BF2740">
      <w:pPr>
        <w:rPr>
          <w:sz w:val="22"/>
          <w:szCs w:val="22"/>
        </w:rPr>
      </w:pPr>
      <w:r w:rsidRPr="00B85909">
        <w:rPr>
          <w:sz w:val="22"/>
          <w:szCs w:val="22"/>
        </w:rPr>
        <w:t>Lenkija</w:t>
      </w:r>
    </w:p>
    <w:p w14:paraId="14117610" w14:textId="77777777" w:rsidR="00BF2740" w:rsidRPr="00B85909" w:rsidRDefault="00BF2740" w:rsidP="00BF2740">
      <w:pPr>
        <w:rPr>
          <w:sz w:val="22"/>
          <w:szCs w:val="22"/>
        </w:rPr>
      </w:pPr>
    </w:p>
    <w:p w14:paraId="7CEAF9D2" w14:textId="77777777" w:rsidR="00BF2740" w:rsidRPr="004B4520" w:rsidRDefault="00BF2740" w:rsidP="00BF2740">
      <w:pPr>
        <w:rPr>
          <w:sz w:val="22"/>
          <w:szCs w:val="22"/>
        </w:rPr>
      </w:pPr>
    </w:p>
    <w:p w14:paraId="5D7ED52D" w14:textId="77777777" w:rsidR="00BF2740" w:rsidRPr="004B4520" w:rsidRDefault="00BF2740" w:rsidP="00BF2740">
      <w:pPr>
        <w:suppressLineNumbers/>
        <w:pBdr>
          <w:top w:val="single" w:sz="4" w:space="1" w:color="auto"/>
          <w:left w:val="single" w:sz="4" w:space="4" w:color="auto"/>
          <w:bottom w:val="single" w:sz="4" w:space="1" w:color="auto"/>
          <w:right w:val="single" w:sz="4" w:space="4" w:color="auto"/>
        </w:pBdr>
        <w:ind w:left="540" w:hanging="540"/>
        <w:outlineLvl w:val="0"/>
        <w:rPr>
          <w:sz w:val="22"/>
          <w:szCs w:val="22"/>
        </w:rPr>
      </w:pPr>
      <w:r w:rsidRPr="004B4520">
        <w:rPr>
          <w:b/>
          <w:sz w:val="22"/>
          <w:szCs w:val="22"/>
        </w:rPr>
        <w:t>12.</w:t>
      </w:r>
      <w:r w:rsidRPr="004B4520">
        <w:rPr>
          <w:b/>
          <w:sz w:val="22"/>
          <w:szCs w:val="22"/>
        </w:rPr>
        <w:tab/>
        <w:t xml:space="preserve">REGISTRACIJOS PAŽYMĖJIMO NUMERIS (-IAI) </w:t>
      </w:r>
    </w:p>
    <w:p w14:paraId="65C50686" w14:textId="77777777" w:rsidR="00BF2740" w:rsidRPr="004B4520" w:rsidRDefault="00BF2740" w:rsidP="00BF2740">
      <w:pPr>
        <w:rPr>
          <w:sz w:val="22"/>
          <w:szCs w:val="22"/>
        </w:rPr>
      </w:pPr>
    </w:p>
    <w:p w14:paraId="52982117" w14:textId="77777777" w:rsidR="00BF2740" w:rsidRPr="004B4520" w:rsidRDefault="00BF2740" w:rsidP="00BF2740">
      <w:pPr>
        <w:pStyle w:val="Pagrindinistekstas"/>
        <w:spacing w:after="0"/>
        <w:rPr>
          <w:iCs/>
          <w:szCs w:val="22"/>
        </w:rPr>
      </w:pPr>
      <w:r w:rsidRPr="004B4520">
        <w:rPr>
          <w:szCs w:val="22"/>
        </w:rPr>
        <w:t>LT/1/94/0443/001</w:t>
      </w:r>
    </w:p>
    <w:p w14:paraId="313A441A" w14:textId="77777777" w:rsidR="00BF2740" w:rsidRPr="004B4520" w:rsidRDefault="00BF2740" w:rsidP="00BF2740">
      <w:pPr>
        <w:rPr>
          <w:sz w:val="22"/>
          <w:szCs w:val="22"/>
        </w:rPr>
      </w:pPr>
    </w:p>
    <w:p w14:paraId="23535DA2" w14:textId="77777777" w:rsidR="00BF2740" w:rsidRPr="004B4520" w:rsidRDefault="00BF2740" w:rsidP="00BF2740">
      <w:pPr>
        <w:rPr>
          <w:sz w:val="22"/>
          <w:szCs w:val="22"/>
        </w:rPr>
      </w:pPr>
    </w:p>
    <w:p w14:paraId="503BCE91" w14:textId="77777777" w:rsidR="00BF2740" w:rsidRPr="004B4520" w:rsidRDefault="00BF2740" w:rsidP="00BF2740">
      <w:pPr>
        <w:suppressLineNumbers/>
        <w:pBdr>
          <w:top w:val="single" w:sz="4" w:space="1" w:color="auto"/>
          <w:left w:val="single" w:sz="4" w:space="4" w:color="auto"/>
          <w:bottom w:val="single" w:sz="4" w:space="1" w:color="auto"/>
          <w:right w:val="single" w:sz="4" w:space="4" w:color="auto"/>
        </w:pBdr>
        <w:ind w:left="540" w:hanging="540"/>
        <w:outlineLvl w:val="0"/>
        <w:rPr>
          <w:sz w:val="22"/>
          <w:szCs w:val="22"/>
        </w:rPr>
      </w:pPr>
      <w:r w:rsidRPr="004B4520">
        <w:rPr>
          <w:b/>
          <w:sz w:val="22"/>
          <w:szCs w:val="22"/>
        </w:rPr>
        <w:t>13.</w:t>
      </w:r>
      <w:r w:rsidRPr="004B4520">
        <w:rPr>
          <w:b/>
          <w:sz w:val="22"/>
          <w:szCs w:val="22"/>
        </w:rPr>
        <w:tab/>
        <w:t xml:space="preserve">SERIJOS NUMERIS </w:t>
      </w:r>
    </w:p>
    <w:p w14:paraId="21706BCA" w14:textId="77777777" w:rsidR="00BF2740" w:rsidRPr="004B4520" w:rsidRDefault="00BF2740" w:rsidP="00BF2740">
      <w:pPr>
        <w:rPr>
          <w:sz w:val="22"/>
          <w:szCs w:val="22"/>
        </w:rPr>
      </w:pPr>
    </w:p>
    <w:p w14:paraId="70E3F96C" w14:textId="77777777" w:rsidR="00BF2740" w:rsidRPr="004B4520" w:rsidRDefault="00BF2740" w:rsidP="00BF2740">
      <w:pPr>
        <w:rPr>
          <w:sz w:val="22"/>
          <w:szCs w:val="22"/>
        </w:rPr>
      </w:pPr>
      <w:r>
        <w:rPr>
          <w:sz w:val="22"/>
          <w:szCs w:val="22"/>
        </w:rPr>
        <w:t>Lot:</w:t>
      </w:r>
    </w:p>
    <w:p w14:paraId="74E4AAA7" w14:textId="77777777" w:rsidR="00BF2740" w:rsidRPr="004B4520" w:rsidRDefault="00BF2740" w:rsidP="00BF2740">
      <w:pPr>
        <w:rPr>
          <w:sz w:val="22"/>
          <w:szCs w:val="22"/>
        </w:rPr>
      </w:pPr>
    </w:p>
    <w:p w14:paraId="0373C3C7" w14:textId="77777777" w:rsidR="00BF2740" w:rsidRPr="004B4520" w:rsidRDefault="00BF2740" w:rsidP="00BF2740">
      <w:pPr>
        <w:rPr>
          <w:sz w:val="22"/>
          <w:szCs w:val="22"/>
        </w:rPr>
      </w:pPr>
    </w:p>
    <w:p w14:paraId="0B2A6D8E" w14:textId="77777777" w:rsidR="00BF2740" w:rsidRPr="004B4520" w:rsidRDefault="00BF2740" w:rsidP="00BF2740">
      <w:pPr>
        <w:suppressLineNumbers/>
        <w:pBdr>
          <w:top w:val="single" w:sz="4" w:space="1" w:color="auto"/>
          <w:left w:val="single" w:sz="4" w:space="4" w:color="auto"/>
          <w:bottom w:val="single" w:sz="4" w:space="1" w:color="auto"/>
          <w:right w:val="single" w:sz="4" w:space="4" w:color="auto"/>
        </w:pBdr>
        <w:ind w:left="540" w:hanging="540"/>
        <w:outlineLvl w:val="0"/>
        <w:rPr>
          <w:sz w:val="22"/>
          <w:szCs w:val="22"/>
        </w:rPr>
      </w:pPr>
      <w:r w:rsidRPr="004B4520">
        <w:rPr>
          <w:b/>
          <w:sz w:val="22"/>
          <w:szCs w:val="22"/>
        </w:rPr>
        <w:t>14.</w:t>
      </w:r>
      <w:r w:rsidRPr="004B4520">
        <w:rPr>
          <w:b/>
          <w:sz w:val="22"/>
          <w:szCs w:val="22"/>
        </w:rPr>
        <w:tab/>
        <w:t>PARDAVIMO (IŠDAVIMO) TVARKA</w:t>
      </w:r>
    </w:p>
    <w:p w14:paraId="75B9A644" w14:textId="77777777" w:rsidR="00BF2740" w:rsidRPr="004B4520" w:rsidRDefault="00BF2740" w:rsidP="00BF2740">
      <w:pPr>
        <w:ind w:left="540" w:hanging="540"/>
        <w:rPr>
          <w:sz w:val="22"/>
          <w:szCs w:val="22"/>
        </w:rPr>
      </w:pPr>
    </w:p>
    <w:p w14:paraId="6E2C7C0E" w14:textId="77777777" w:rsidR="00BF2740" w:rsidRPr="004B4520" w:rsidRDefault="00BF2740" w:rsidP="00BF2740">
      <w:pPr>
        <w:rPr>
          <w:sz w:val="22"/>
          <w:szCs w:val="22"/>
        </w:rPr>
      </w:pPr>
      <w:r w:rsidRPr="004B4520">
        <w:rPr>
          <w:sz w:val="22"/>
          <w:szCs w:val="22"/>
        </w:rPr>
        <w:t>Receptinis vaist</w:t>
      </w:r>
      <w:r>
        <w:rPr>
          <w:sz w:val="22"/>
          <w:szCs w:val="22"/>
        </w:rPr>
        <w:t>as</w:t>
      </w:r>
      <w:r w:rsidRPr="004B4520">
        <w:rPr>
          <w:sz w:val="22"/>
          <w:szCs w:val="22"/>
        </w:rPr>
        <w:t>.</w:t>
      </w:r>
    </w:p>
    <w:p w14:paraId="3BA020F1" w14:textId="77777777" w:rsidR="00BF2740" w:rsidRPr="004B4520" w:rsidRDefault="00BF2740" w:rsidP="00BF2740">
      <w:pPr>
        <w:rPr>
          <w:sz w:val="22"/>
          <w:szCs w:val="22"/>
        </w:rPr>
      </w:pPr>
    </w:p>
    <w:p w14:paraId="091CA122" w14:textId="77777777" w:rsidR="00BF2740" w:rsidRPr="004B4520" w:rsidRDefault="00BF2740" w:rsidP="00BF2740">
      <w:pPr>
        <w:rPr>
          <w:sz w:val="22"/>
          <w:szCs w:val="22"/>
        </w:rPr>
      </w:pPr>
    </w:p>
    <w:p w14:paraId="2A5E5830" w14:textId="77777777" w:rsidR="00BF2740" w:rsidRPr="004B4520" w:rsidRDefault="00BF2740" w:rsidP="00BF2740">
      <w:pPr>
        <w:suppressLineNumbers/>
        <w:pBdr>
          <w:top w:val="single" w:sz="4" w:space="2" w:color="auto"/>
          <w:left w:val="single" w:sz="4" w:space="4" w:color="auto"/>
          <w:bottom w:val="single" w:sz="4" w:space="1" w:color="auto"/>
          <w:right w:val="single" w:sz="4" w:space="4" w:color="auto"/>
        </w:pBdr>
        <w:ind w:left="540" w:hanging="540"/>
        <w:outlineLvl w:val="0"/>
        <w:rPr>
          <w:sz w:val="22"/>
          <w:szCs w:val="22"/>
        </w:rPr>
      </w:pPr>
      <w:r w:rsidRPr="004B4520">
        <w:rPr>
          <w:b/>
          <w:sz w:val="22"/>
          <w:szCs w:val="22"/>
        </w:rPr>
        <w:t>15.</w:t>
      </w:r>
      <w:r w:rsidRPr="004B4520">
        <w:rPr>
          <w:b/>
          <w:sz w:val="22"/>
          <w:szCs w:val="22"/>
        </w:rPr>
        <w:tab/>
        <w:t>VARTOJIMO INSTRUKCIJA</w:t>
      </w:r>
    </w:p>
    <w:p w14:paraId="006A042E" w14:textId="77777777" w:rsidR="00BF2740" w:rsidRPr="004B4520" w:rsidRDefault="00BF2740" w:rsidP="00BF2740">
      <w:pPr>
        <w:rPr>
          <w:sz w:val="22"/>
          <w:szCs w:val="22"/>
        </w:rPr>
      </w:pPr>
    </w:p>
    <w:p w14:paraId="7E2F0AE9" w14:textId="77777777" w:rsidR="00BF2740" w:rsidRPr="004B4520" w:rsidRDefault="00BF2740" w:rsidP="00BF2740">
      <w:pPr>
        <w:rPr>
          <w:sz w:val="22"/>
          <w:szCs w:val="22"/>
        </w:rPr>
      </w:pPr>
    </w:p>
    <w:p w14:paraId="6DC2814F" w14:textId="77777777" w:rsidR="00BF2740" w:rsidRPr="004B4520" w:rsidRDefault="00BF2740" w:rsidP="00BF2740">
      <w:pPr>
        <w:suppressLineNumbers/>
        <w:pBdr>
          <w:top w:val="single" w:sz="4" w:space="1" w:color="auto"/>
          <w:left w:val="single" w:sz="4" w:space="4" w:color="auto"/>
          <w:bottom w:val="single" w:sz="4" w:space="0" w:color="auto"/>
          <w:right w:val="single" w:sz="4" w:space="4" w:color="auto"/>
        </w:pBdr>
        <w:ind w:left="540" w:hanging="540"/>
        <w:rPr>
          <w:color w:val="008000"/>
          <w:sz w:val="22"/>
          <w:szCs w:val="22"/>
        </w:rPr>
      </w:pPr>
      <w:r w:rsidRPr="004B4520">
        <w:rPr>
          <w:b/>
          <w:sz w:val="22"/>
          <w:szCs w:val="22"/>
        </w:rPr>
        <w:t>16.</w:t>
      </w:r>
      <w:r w:rsidRPr="004B4520">
        <w:rPr>
          <w:b/>
          <w:sz w:val="22"/>
          <w:szCs w:val="22"/>
        </w:rPr>
        <w:tab/>
        <w:t>INFORMACIJA BRAILIO RAŠTU</w:t>
      </w:r>
    </w:p>
    <w:p w14:paraId="59E794E1" w14:textId="77777777" w:rsidR="00BF2740" w:rsidRPr="004B4520" w:rsidRDefault="00BF2740" w:rsidP="00BF2740">
      <w:pPr>
        <w:rPr>
          <w:sz w:val="22"/>
          <w:szCs w:val="22"/>
        </w:rPr>
      </w:pPr>
    </w:p>
    <w:p w14:paraId="24476C35" w14:textId="77777777" w:rsidR="00BF2740" w:rsidRPr="004B4520" w:rsidRDefault="00BF2740" w:rsidP="00BF2740">
      <w:pPr>
        <w:rPr>
          <w:bCs/>
          <w:sz w:val="22"/>
          <w:szCs w:val="22"/>
        </w:rPr>
      </w:pPr>
      <w:r w:rsidRPr="004B4520">
        <w:rPr>
          <w:bCs/>
          <w:sz w:val="22"/>
          <w:szCs w:val="22"/>
        </w:rPr>
        <w:t xml:space="preserve">Trichopol </w:t>
      </w:r>
    </w:p>
    <w:p w14:paraId="630EF961" w14:textId="77777777" w:rsidR="00BF2740" w:rsidRPr="004B4520" w:rsidRDefault="00BF2740" w:rsidP="00BF2740">
      <w:pPr>
        <w:rPr>
          <w:bCs/>
          <w:sz w:val="22"/>
          <w:szCs w:val="22"/>
        </w:rPr>
      </w:pPr>
    </w:p>
    <w:p w14:paraId="5081ED0E" w14:textId="77777777" w:rsidR="00BF2740" w:rsidRPr="004B4520" w:rsidRDefault="00BF2740" w:rsidP="00BF2740">
      <w:pPr>
        <w:rPr>
          <w:noProof/>
          <w:sz w:val="22"/>
          <w:szCs w:val="22"/>
          <w:shd w:val="clear" w:color="auto" w:fill="CCCCCC"/>
        </w:rPr>
      </w:pPr>
    </w:p>
    <w:p w14:paraId="237024BA" w14:textId="77777777" w:rsidR="00BF2740" w:rsidRPr="004B4520" w:rsidRDefault="00BF2740" w:rsidP="00BF2740">
      <w:pPr>
        <w:keepNext/>
        <w:pBdr>
          <w:top w:val="single" w:sz="4" w:space="1" w:color="auto"/>
          <w:left w:val="single" w:sz="4" w:space="4" w:color="auto"/>
          <w:bottom w:val="single" w:sz="4" w:space="1" w:color="auto"/>
          <w:right w:val="single" w:sz="4" w:space="4" w:color="auto"/>
        </w:pBdr>
        <w:tabs>
          <w:tab w:val="left" w:pos="567"/>
        </w:tabs>
        <w:outlineLvl w:val="0"/>
        <w:rPr>
          <w:i/>
          <w:noProof/>
          <w:sz w:val="22"/>
          <w:szCs w:val="22"/>
        </w:rPr>
      </w:pPr>
      <w:r w:rsidRPr="004B4520">
        <w:rPr>
          <w:b/>
          <w:noProof/>
          <w:sz w:val="22"/>
          <w:szCs w:val="22"/>
        </w:rPr>
        <w:t>17.</w:t>
      </w:r>
      <w:r w:rsidRPr="004B4520">
        <w:rPr>
          <w:b/>
          <w:noProof/>
          <w:sz w:val="22"/>
          <w:szCs w:val="22"/>
        </w:rPr>
        <w:tab/>
        <w:t>UNIKALUS IDENTIFIKATORIUS – 2D BRŪKŠNINIS KODAS</w:t>
      </w:r>
    </w:p>
    <w:p w14:paraId="203DC9F7" w14:textId="77777777" w:rsidR="00BF2740" w:rsidRPr="004B4520" w:rsidRDefault="00BF2740" w:rsidP="00BF2740">
      <w:pPr>
        <w:rPr>
          <w:noProof/>
          <w:sz w:val="22"/>
          <w:szCs w:val="22"/>
        </w:rPr>
      </w:pPr>
    </w:p>
    <w:p w14:paraId="7D79CCC3" w14:textId="77777777" w:rsidR="00BF2740" w:rsidRPr="004B4520" w:rsidRDefault="00BF2740" w:rsidP="00BF2740">
      <w:pPr>
        <w:rPr>
          <w:noProof/>
          <w:vanish/>
          <w:sz w:val="22"/>
          <w:szCs w:val="22"/>
        </w:rPr>
      </w:pPr>
    </w:p>
    <w:p w14:paraId="44B15258" w14:textId="77777777" w:rsidR="00BF2740" w:rsidRPr="00AD30B0" w:rsidRDefault="00BF2740" w:rsidP="00BF2740">
      <w:pPr>
        <w:contextualSpacing/>
        <w:rPr>
          <w:noProof/>
          <w:sz w:val="22"/>
          <w:szCs w:val="22"/>
          <w:shd w:val="clear" w:color="auto" w:fill="CCCCCC"/>
        </w:rPr>
      </w:pPr>
      <w:r w:rsidRPr="00AD30B0">
        <w:rPr>
          <w:sz w:val="22"/>
          <w:szCs w:val="22"/>
          <w:highlight w:val="lightGray"/>
        </w:rPr>
        <w:t>2D brūkšninis kodas su nurodytu unikaliu identifikatoriumi.</w:t>
      </w:r>
    </w:p>
    <w:p w14:paraId="61B0DD66" w14:textId="77777777" w:rsidR="00BF2740" w:rsidRPr="004B4520" w:rsidRDefault="00BF2740" w:rsidP="00BF2740">
      <w:pPr>
        <w:rPr>
          <w:noProof/>
          <w:sz w:val="22"/>
          <w:szCs w:val="22"/>
        </w:rPr>
      </w:pPr>
    </w:p>
    <w:p w14:paraId="592A6D51" w14:textId="77777777" w:rsidR="00BF2740" w:rsidRPr="004B4520" w:rsidRDefault="00BF2740" w:rsidP="00BF2740">
      <w:pPr>
        <w:rPr>
          <w:noProof/>
          <w:sz w:val="22"/>
          <w:szCs w:val="22"/>
        </w:rPr>
      </w:pPr>
    </w:p>
    <w:p w14:paraId="4BB09F68" w14:textId="77777777" w:rsidR="00BF2740" w:rsidRPr="004B4520" w:rsidRDefault="00BF2740" w:rsidP="00BF2740">
      <w:pPr>
        <w:keepNext/>
        <w:pBdr>
          <w:top w:val="single" w:sz="4" w:space="1" w:color="auto"/>
          <w:left w:val="single" w:sz="4" w:space="4" w:color="auto"/>
          <w:bottom w:val="single" w:sz="4" w:space="1" w:color="auto"/>
          <w:right w:val="single" w:sz="4" w:space="4" w:color="auto"/>
        </w:pBdr>
        <w:tabs>
          <w:tab w:val="left" w:pos="567"/>
        </w:tabs>
        <w:outlineLvl w:val="0"/>
        <w:rPr>
          <w:i/>
          <w:noProof/>
          <w:sz w:val="22"/>
          <w:szCs w:val="22"/>
        </w:rPr>
      </w:pPr>
      <w:r w:rsidRPr="004B4520">
        <w:rPr>
          <w:b/>
          <w:noProof/>
          <w:sz w:val="22"/>
          <w:szCs w:val="22"/>
        </w:rPr>
        <w:t>18.</w:t>
      </w:r>
      <w:r w:rsidRPr="004B4520">
        <w:rPr>
          <w:b/>
          <w:noProof/>
          <w:sz w:val="22"/>
          <w:szCs w:val="22"/>
        </w:rPr>
        <w:tab/>
        <w:t>UNIKALUS IDENTIFIKATORIUS – ŽMONĖMS SUPRANTAMI DUOMENYS</w:t>
      </w:r>
    </w:p>
    <w:p w14:paraId="51E03099" w14:textId="77777777" w:rsidR="00BF2740" w:rsidRPr="004B4520" w:rsidRDefault="00BF2740" w:rsidP="00BF2740">
      <w:pPr>
        <w:rPr>
          <w:noProof/>
          <w:sz w:val="22"/>
          <w:szCs w:val="22"/>
        </w:rPr>
      </w:pPr>
    </w:p>
    <w:p w14:paraId="20B532ED" w14:textId="77777777" w:rsidR="00BF2740" w:rsidRPr="004B4520" w:rsidRDefault="00BF2740" w:rsidP="00BF2740">
      <w:pPr>
        <w:rPr>
          <w:noProof/>
          <w:vanish/>
          <w:sz w:val="22"/>
          <w:szCs w:val="22"/>
        </w:rPr>
      </w:pPr>
    </w:p>
    <w:p w14:paraId="626F83AA" w14:textId="77777777" w:rsidR="00BF2740" w:rsidRPr="00AD30B0" w:rsidRDefault="00BF2740" w:rsidP="00BF2740">
      <w:pPr>
        <w:contextualSpacing/>
        <w:rPr>
          <w:sz w:val="22"/>
          <w:szCs w:val="22"/>
        </w:rPr>
      </w:pPr>
      <w:r w:rsidRPr="00AD30B0">
        <w:rPr>
          <w:sz w:val="22"/>
          <w:szCs w:val="22"/>
        </w:rPr>
        <w:t xml:space="preserve">PC: </w:t>
      </w:r>
    </w:p>
    <w:p w14:paraId="6B1AFB3B" w14:textId="77777777" w:rsidR="00BF2740" w:rsidRPr="00AD30B0" w:rsidRDefault="00BF2740" w:rsidP="00BF2740">
      <w:pPr>
        <w:contextualSpacing/>
        <w:rPr>
          <w:sz w:val="22"/>
          <w:szCs w:val="22"/>
        </w:rPr>
      </w:pPr>
      <w:r w:rsidRPr="00AD30B0">
        <w:rPr>
          <w:sz w:val="22"/>
          <w:szCs w:val="22"/>
        </w:rPr>
        <w:t xml:space="preserve">SN: </w:t>
      </w:r>
    </w:p>
    <w:p w14:paraId="0524E48C" w14:textId="77777777" w:rsidR="00BF2740" w:rsidRPr="00AD30B0" w:rsidRDefault="00BF2740" w:rsidP="00BF2740">
      <w:pPr>
        <w:contextualSpacing/>
        <w:rPr>
          <w:sz w:val="22"/>
          <w:szCs w:val="22"/>
        </w:rPr>
      </w:pPr>
      <w:r w:rsidRPr="00AD30B0">
        <w:rPr>
          <w:sz w:val="22"/>
          <w:szCs w:val="22"/>
          <w:highlight w:val="lightGray"/>
        </w:rPr>
        <w:t xml:space="preserve">NN: </w:t>
      </w:r>
    </w:p>
    <w:p w14:paraId="736087BA" w14:textId="77777777" w:rsidR="00BF2740" w:rsidRDefault="00BF2740" w:rsidP="00BF2740">
      <w:pPr>
        <w:rPr>
          <w:noProof/>
          <w:vanish/>
          <w:sz w:val="22"/>
          <w:szCs w:val="22"/>
        </w:rPr>
      </w:pPr>
    </w:p>
    <w:p w14:paraId="5943E59A" w14:textId="77777777" w:rsidR="00BF2740" w:rsidRPr="004B4520" w:rsidRDefault="00BF2740" w:rsidP="00BF2740">
      <w:pPr>
        <w:rPr>
          <w:noProof/>
          <w:vanish/>
          <w:sz w:val="22"/>
          <w:szCs w:val="22"/>
        </w:rPr>
      </w:pPr>
    </w:p>
    <w:p w14:paraId="1CCC28AD" w14:textId="77777777" w:rsidR="00BF2740" w:rsidRPr="004B4520" w:rsidRDefault="00BF2740" w:rsidP="00BF2740">
      <w:pPr>
        <w:suppressLineNumbers/>
        <w:pBdr>
          <w:top w:val="single" w:sz="4" w:space="1" w:color="auto"/>
          <w:left w:val="single" w:sz="4" w:space="4" w:color="auto"/>
          <w:bottom w:val="single" w:sz="4" w:space="1" w:color="auto"/>
          <w:right w:val="single" w:sz="4" w:space="4" w:color="auto"/>
        </w:pBdr>
        <w:rPr>
          <w:b/>
          <w:sz w:val="22"/>
          <w:szCs w:val="22"/>
        </w:rPr>
      </w:pPr>
      <w:r w:rsidRPr="004B4520">
        <w:rPr>
          <w:sz w:val="22"/>
          <w:szCs w:val="22"/>
        </w:rPr>
        <w:br w:type="page"/>
      </w:r>
      <w:r w:rsidRPr="004B4520">
        <w:rPr>
          <w:b/>
          <w:sz w:val="22"/>
          <w:szCs w:val="22"/>
        </w:rPr>
        <w:lastRenderedPageBreak/>
        <w:t>MINIMALI INFORMACIJA ANT LIZDINIŲ PLOKŠTELIŲ ARBA DVISLUOKSNIŲ JUOSTELIŲ</w:t>
      </w:r>
    </w:p>
    <w:p w14:paraId="5F41459E" w14:textId="77777777" w:rsidR="00BF2740" w:rsidRDefault="00BF2740" w:rsidP="00BF2740">
      <w:pPr>
        <w:suppressLineNumbers/>
        <w:pBdr>
          <w:top w:val="single" w:sz="4" w:space="1" w:color="auto"/>
          <w:left w:val="single" w:sz="4" w:space="4" w:color="auto"/>
          <w:bottom w:val="single" w:sz="4" w:space="1" w:color="auto"/>
          <w:right w:val="single" w:sz="4" w:space="4" w:color="auto"/>
        </w:pBdr>
        <w:rPr>
          <w:b/>
          <w:sz w:val="22"/>
          <w:szCs w:val="22"/>
        </w:rPr>
      </w:pPr>
    </w:p>
    <w:p w14:paraId="6618B741" w14:textId="77777777" w:rsidR="00BF2740" w:rsidRPr="004B4520" w:rsidRDefault="00BF2740" w:rsidP="00BF2740">
      <w:pPr>
        <w:suppressLineNumbers/>
        <w:pBdr>
          <w:top w:val="single" w:sz="4" w:space="1" w:color="auto"/>
          <w:left w:val="single" w:sz="4" w:space="4" w:color="auto"/>
          <w:bottom w:val="single" w:sz="4" w:space="1" w:color="auto"/>
          <w:right w:val="single" w:sz="4" w:space="4" w:color="auto"/>
        </w:pBdr>
        <w:rPr>
          <w:sz w:val="22"/>
          <w:szCs w:val="22"/>
        </w:rPr>
      </w:pPr>
      <w:r w:rsidRPr="004B4520">
        <w:rPr>
          <w:b/>
          <w:sz w:val="22"/>
          <w:szCs w:val="22"/>
        </w:rPr>
        <w:t>LIZDINĖ PLOKŠTELĖ</w:t>
      </w:r>
    </w:p>
    <w:p w14:paraId="5D3B384A" w14:textId="77777777" w:rsidR="00BF2740" w:rsidRPr="004B4520" w:rsidRDefault="00BF2740" w:rsidP="00BF2740">
      <w:pPr>
        <w:rPr>
          <w:sz w:val="22"/>
          <w:szCs w:val="22"/>
        </w:rPr>
      </w:pPr>
    </w:p>
    <w:p w14:paraId="43EB5C81" w14:textId="77777777" w:rsidR="00BF2740" w:rsidRPr="004B4520" w:rsidRDefault="00BF2740" w:rsidP="00BF2740">
      <w:pPr>
        <w:rPr>
          <w:sz w:val="22"/>
          <w:szCs w:val="22"/>
        </w:rPr>
      </w:pPr>
    </w:p>
    <w:p w14:paraId="374890BD" w14:textId="77777777" w:rsidR="00BF2740" w:rsidRPr="004B4520" w:rsidRDefault="00BF2740" w:rsidP="00BF2740">
      <w:pPr>
        <w:suppressLineNumbers/>
        <w:pBdr>
          <w:top w:val="single" w:sz="4" w:space="1" w:color="auto"/>
          <w:left w:val="single" w:sz="4" w:space="4" w:color="auto"/>
          <w:bottom w:val="single" w:sz="4" w:space="1" w:color="auto"/>
          <w:right w:val="single" w:sz="4" w:space="4" w:color="auto"/>
        </w:pBdr>
        <w:ind w:left="540" w:hanging="540"/>
        <w:outlineLvl w:val="0"/>
        <w:rPr>
          <w:b/>
          <w:sz w:val="22"/>
          <w:szCs w:val="22"/>
        </w:rPr>
      </w:pPr>
      <w:r w:rsidRPr="004B4520">
        <w:rPr>
          <w:b/>
          <w:sz w:val="22"/>
          <w:szCs w:val="22"/>
        </w:rPr>
        <w:t>1.</w:t>
      </w:r>
      <w:r w:rsidRPr="004B4520">
        <w:rPr>
          <w:b/>
          <w:sz w:val="22"/>
          <w:szCs w:val="22"/>
        </w:rPr>
        <w:tab/>
      </w:r>
      <w:r w:rsidRPr="004B4520">
        <w:rPr>
          <w:b/>
          <w:caps/>
          <w:sz w:val="22"/>
          <w:szCs w:val="22"/>
        </w:rPr>
        <w:t>VAISTINIO</w:t>
      </w:r>
      <w:r w:rsidRPr="004B4520">
        <w:rPr>
          <w:b/>
          <w:sz w:val="22"/>
          <w:szCs w:val="22"/>
        </w:rPr>
        <w:t xml:space="preserve"> PREPARATO PAVADINIMAS</w:t>
      </w:r>
    </w:p>
    <w:p w14:paraId="75E56E43" w14:textId="77777777" w:rsidR="00BF2740" w:rsidRPr="004B4520" w:rsidRDefault="00BF2740" w:rsidP="00BF2740">
      <w:pPr>
        <w:rPr>
          <w:sz w:val="22"/>
          <w:szCs w:val="22"/>
        </w:rPr>
      </w:pPr>
    </w:p>
    <w:p w14:paraId="7DC3E4BE" w14:textId="77777777" w:rsidR="00BF2740" w:rsidRPr="004B4520" w:rsidRDefault="00BF2740" w:rsidP="00BF2740">
      <w:pPr>
        <w:rPr>
          <w:bCs/>
          <w:sz w:val="22"/>
          <w:szCs w:val="22"/>
        </w:rPr>
      </w:pPr>
      <w:r w:rsidRPr="004B4520">
        <w:rPr>
          <w:bCs/>
          <w:sz w:val="22"/>
          <w:szCs w:val="22"/>
        </w:rPr>
        <w:t>Trichopol 250 mg tabletės</w:t>
      </w:r>
    </w:p>
    <w:p w14:paraId="5F2B3625" w14:textId="479E57B0" w:rsidR="00BF2740" w:rsidRPr="00AD30B0" w:rsidRDefault="00BF2740" w:rsidP="00BF2740">
      <w:pPr>
        <w:rPr>
          <w:sz w:val="22"/>
          <w:szCs w:val="22"/>
        </w:rPr>
      </w:pPr>
      <w:r w:rsidRPr="00AD30B0">
        <w:rPr>
          <w:sz w:val="22"/>
          <w:szCs w:val="22"/>
        </w:rPr>
        <w:t>Metronidazolum</w:t>
      </w:r>
    </w:p>
    <w:p w14:paraId="17C923A7" w14:textId="36600EA8" w:rsidR="00BF2740" w:rsidRPr="00AD30B0" w:rsidRDefault="00BF2740" w:rsidP="00BF2740">
      <w:pPr>
        <w:rPr>
          <w:sz w:val="22"/>
          <w:szCs w:val="22"/>
        </w:rPr>
      </w:pPr>
    </w:p>
    <w:p w14:paraId="1A697AF6" w14:textId="77777777" w:rsidR="00BF2740" w:rsidRDefault="00BF2740" w:rsidP="00BF2740">
      <w:pPr>
        <w:rPr>
          <w:sz w:val="22"/>
          <w:szCs w:val="22"/>
        </w:rPr>
      </w:pPr>
    </w:p>
    <w:p w14:paraId="5B9EF92C" w14:textId="77777777" w:rsidR="00BF2740" w:rsidRPr="004B4520" w:rsidRDefault="00BF2740" w:rsidP="00BF2740">
      <w:pPr>
        <w:rPr>
          <w:sz w:val="22"/>
          <w:szCs w:val="22"/>
        </w:rPr>
      </w:pPr>
    </w:p>
    <w:p w14:paraId="7CC9E399" w14:textId="77777777" w:rsidR="00BF2740" w:rsidRPr="004B4520" w:rsidRDefault="00BF2740" w:rsidP="00BF2740">
      <w:pPr>
        <w:suppressLineNumbers/>
        <w:pBdr>
          <w:top w:val="single" w:sz="4" w:space="1" w:color="auto"/>
          <w:left w:val="single" w:sz="4" w:space="4" w:color="auto"/>
          <w:bottom w:val="single" w:sz="4" w:space="1" w:color="auto"/>
          <w:right w:val="single" w:sz="4" w:space="4" w:color="auto"/>
        </w:pBdr>
        <w:ind w:left="540" w:hanging="540"/>
        <w:outlineLvl w:val="0"/>
        <w:rPr>
          <w:b/>
          <w:sz w:val="22"/>
          <w:szCs w:val="22"/>
        </w:rPr>
      </w:pPr>
      <w:r w:rsidRPr="004B4520">
        <w:rPr>
          <w:b/>
          <w:sz w:val="22"/>
          <w:szCs w:val="22"/>
        </w:rPr>
        <w:t>2.</w:t>
      </w:r>
      <w:r w:rsidRPr="004B4520">
        <w:rPr>
          <w:b/>
          <w:sz w:val="22"/>
          <w:szCs w:val="22"/>
        </w:rPr>
        <w:tab/>
        <w:t>REGISTRUOTOJO</w:t>
      </w:r>
      <w:r w:rsidRPr="004B4520">
        <w:rPr>
          <w:b/>
          <w:caps/>
          <w:sz w:val="22"/>
          <w:szCs w:val="22"/>
        </w:rPr>
        <w:t xml:space="preserve"> pavadinimas</w:t>
      </w:r>
    </w:p>
    <w:p w14:paraId="682D63E2" w14:textId="77777777" w:rsidR="00BF2740" w:rsidRPr="004B4520" w:rsidRDefault="00BF2740" w:rsidP="00BF2740">
      <w:pPr>
        <w:rPr>
          <w:sz w:val="22"/>
          <w:szCs w:val="22"/>
        </w:rPr>
      </w:pPr>
    </w:p>
    <w:p w14:paraId="305DC652" w14:textId="77777777" w:rsidR="00BF2740" w:rsidRPr="004B4520" w:rsidRDefault="00BF2740" w:rsidP="00BF2740">
      <w:pPr>
        <w:rPr>
          <w:caps/>
          <w:sz w:val="22"/>
          <w:szCs w:val="22"/>
        </w:rPr>
      </w:pPr>
      <w:r w:rsidRPr="000D224B">
        <w:t>(logo)</w:t>
      </w:r>
      <w:r>
        <w:t xml:space="preserve"> </w:t>
      </w:r>
      <w:r w:rsidRPr="004B4520">
        <w:rPr>
          <w:caps/>
          <w:sz w:val="22"/>
          <w:szCs w:val="22"/>
        </w:rPr>
        <w:t>Polpharma</w:t>
      </w:r>
    </w:p>
    <w:p w14:paraId="188DFCE0" w14:textId="77777777" w:rsidR="00BF2740" w:rsidRPr="004B4520" w:rsidRDefault="00BF2740" w:rsidP="00BF2740">
      <w:pPr>
        <w:rPr>
          <w:sz w:val="22"/>
          <w:szCs w:val="22"/>
        </w:rPr>
      </w:pPr>
    </w:p>
    <w:p w14:paraId="1A2AE2FC" w14:textId="77777777" w:rsidR="00BF2740" w:rsidRPr="004B4520" w:rsidRDefault="00BF2740" w:rsidP="00BF2740">
      <w:pPr>
        <w:rPr>
          <w:sz w:val="22"/>
          <w:szCs w:val="22"/>
        </w:rPr>
      </w:pPr>
    </w:p>
    <w:p w14:paraId="7A52AD91" w14:textId="77777777" w:rsidR="00BF2740" w:rsidRPr="004B4520" w:rsidRDefault="00BF2740" w:rsidP="00BF2740">
      <w:pPr>
        <w:suppressLineNumbers/>
        <w:pBdr>
          <w:top w:val="single" w:sz="4" w:space="1" w:color="auto"/>
          <w:left w:val="single" w:sz="4" w:space="4" w:color="auto"/>
          <w:bottom w:val="single" w:sz="4" w:space="2" w:color="auto"/>
          <w:right w:val="single" w:sz="4" w:space="4" w:color="auto"/>
        </w:pBdr>
        <w:ind w:left="540" w:hanging="540"/>
        <w:outlineLvl w:val="0"/>
        <w:rPr>
          <w:b/>
          <w:sz w:val="22"/>
          <w:szCs w:val="22"/>
        </w:rPr>
      </w:pPr>
      <w:r w:rsidRPr="004B4520">
        <w:rPr>
          <w:b/>
          <w:sz w:val="22"/>
          <w:szCs w:val="22"/>
        </w:rPr>
        <w:t>3.</w:t>
      </w:r>
      <w:r w:rsidRPr="004B4520">
        <w:rPr>
          <w:b/>
          <w:sz w:val="22"/>
          <w:szCs w:val="22"/>
        </w:rPr>
        <w:tab/>
        <w:t>TINKAMUMO LAIKAS</w:t>
      </w:r>
    </w:p>
    <w:p w14:paraId="50D99394" w14:textId="77777777" w:rsidR="00BF2740" w:rsidRPr="004B4520" w:rsidRDefault="00BF2740" w:rsidP="00BF2740">
      <w:pPr>
        <w:rPr>
          <w:sz w:val="22"/>
          <w:szCs w:val="22"/>
        </w:rPr>
      </w:pPr>
    </w:p>
    <w:p w14:paraId="45FF7101" w14:textId="77777777" w:rsidR="00BF2740" w:rsidRPr="004B4520" w:rsidRDefault="00BF2740" w:rsidP="00BF2740">
      <w:pPr>
        <w:rPr>
          <w:sz w:val="22"/>
          <w:szCs w:val="22"/>
        </w:rPr>
      </w:pPr>
      <w:r w:rsidRPr="004B4520">
        <w:rPr>
          <w:sz w:val="22"/>
          <w:szCs w:val="22"/>
        </w:rPr>
        <w:t>EXP {mm/MMMM}</w:t>
      </w:r>
    </w:p>
    <w:p w14:paraId="739EFDD7" w14:textId="77777777" w:rsidR="00BF2740" w:rsidRPr="004B4520" w:rsidRDefault="00BF2740" w:rsidP="00BF2740">
      <w:pPr>
        <w:rPr>
          <w:sz w:val="22"/>
          <w:szCs w:val="22"/>
        </w:rPr>
      </w:pPr>
    </w:p>
    <w:p w14:paraId="357D1013" w14:textId="77777777" w:rsidR="00BF2740" w:rsidRPr="004B4520" w:rsidRDefault="00BF2740" w:rsidP="00BF2740">
      <w:pPr>
        <w:rPr>
          <w:sz w:val="22"/>
          <w:szCs w:val="22"/>
        </w:rPr>
      </w:pPr>
    </w:p>
    <w:p w14:paraId="19DE8332" w14:textId="77777777" w:rsidR="00BF2740" w:rsidRPr="004B4520" w:rsidRDefault="00BF2740" w:rsidP="00BF2740">
      <w:pPr>
        <w:suppressLineNumbers/>
        <w:pBdr>
          <w:top w:val="single" w:sz="4" w:space="1" w:color="auto"/>
          <w:left w:val="single" w:sz="4" w:space="4" w:color="auto"/>
          <w:bottom w:val="single" w:sz="4" w:space="1" w:color="auto"/>
          <w:right w:val="single" w:sz="4" w:space="4" w:color="auto"/>
        </w:pBdr>
        <w:ind w:left="540" w:hanging="540"/>
        <w:outlineLvl w:val="0"/>
        <w:rPr>
          <w:b/>
          <w:sz w:val="22"/>
          <w:szCs w:val="22"/>
        </w:rPr>
      </w:pPr>
      <w:r w:rsidRPr="004B4520">
        <w:rPr>
          <w:b/>
          <w:sz w:val="22"/>
          <w:szCs w:val="22"/>
        </w:rPr>
        <w:t>4.</w:t>
      </w:r>
      <w:r w:rsidRPr="004B4520">
        <w:rPr>
          <w:b/>
          <w:sz w:val="22"/>
          <w:szCs w:val="22"/>
        </w:rPr>
        <w:tab/>
        <w:t xml:space="preserve">SERIJOS NUMERIS </w:t>
      </w:r>
    </w:p>
    <w:p w14:paraId="085BC3EC" w14:textId="77777777" w:rsidR="00BF2740" w:rsidRPr="004B4520" w:rsidRDefault="00BF2740" w:rsidP="00BF2740">
      <w:pPr>
        <w:rPr>
          <w:sz w:val="22"/>
          <w:szCs w:val="22"/>
        </w:rPr>
      </w:pPr>
    </w:p>
    <w:p w14:paraId="4377F566" w14:textId="77777777" w:rsidR="00BF2740" w:rsidRPr="004B4520" w:rsidRDefault="00BF2740" w:rsidP="00BF2740">
      <w:pPr>
        <w:rPr>
          <w:sz w:val="22"/>
          <w:szCs w:val="22"/>
        </w:rPr>
      </w:pPr>
      <w:r w:rsidRPr="004B4520">
        <w:rPr>
          <w:sz w:val="22"/>
          <w:szCs w:val="22"/>
        </w:rPr>
        <w:t xml:space="preserve">Lot </w:t>
      </w:r>
    </w:p>
    <w:p w14:paraId="6C0E1A86" w14:textId="77777777" w:rsidR="00BF2740" w:rsidRPr="004B4520" w:rsidRDefault="00BF2740" w:rsidP="00BF2740">
      <w:pPr>
        <w:rPr>
          <w:sz w:val="22"/>
          <w:szCs w:val="22"/>
        </w:rPr>
      </w:pPr>
    </w:p>
    <w:p w14:paraId="741C8A07" w14:textId="77777777" w:rsidR="00BF2740" w:rsidRPr="004B4520" w:rsidRDefault="00BF2740" w:rsidP="00BF2740">
      <w:pPr>
        <w:rPr>
          <w:sz w:val="22"/>
          <w:szCs w:val="22"/>
        </w:rPr>
      </w:pPr>
    </w:p>
    <w:p w14:paraId="05E8186C" w14:textId="77777777" w:rsidR="00BF2740" w:rsidRPr="004B4520" w:rsidRDefault="00BF2740" w:rsidP="00BF2740">
      <w:pPr>
        <w:suppressLineNumbers/>
        <w:pBdr>
          <w:top w:val="single" w:sz="4" w:space="1" w:color="auto"/>
          <w:left w:val="single" w:sz="4" w:space="4" w:color="auto"/>
          <w:bottom w:val="single" w:sz="4" w:space="1" w:color="auto"/>
          <w:right w:val="single" w:sz="4" w:space="4" w:color="auto"/>
        </w:pBdr>
        <w:ind w:left="540" w:hanging="540"/>
        <w:outlineLvl w:val="0"/>
        <w:rPr>
          <w:b/>
          <w:sz w:val="22"/>
          <w:szCs w:val="22"/>
        </w:rPr>
      </w:pPr>
      <w:r w:rsidRPr="004B4520">
        <w:rPr>
          <w:b/>
          <w:sz w:val="22"/>
          <w:szCs w:val="22"/>
        </w:rPr>
        <w:t>5.</w:t>
      </w:r>
      <w:r w:rsidRPr="004B4520">
        <w:rPr>
          <w:b/>
          <w:sz w:val="22"/>
          <w:szCs w:val="22"/>
        </w:rPr>
        <w:tab/>
        <w:t>KITA</w:t>
      </w:r>
    </w:p>
    <w:p w14:paraId="33FD8DAC" w14:textId="77777777" w:rsidR="00BF2740" w:rsidRPr="004B4520" w:rsidRDefault="00BF2740" w:rsidP="00BF2740">
      <w:pPr>
        <w:rPr>
          <w:sz w:val="22"/>
          <w:szCs w:val="22"/>
        </w:rPr>
      </w:pPr>
    </w:p>
    <w:p w14:paraId="2130E04B" w14:textId="77777777" w:rsidR="00BF2740" w:rsidRPr="004B4520" w:rsidRDefault="00BF2740" w:rsidP="00BF2740">
      <w:pPr>
        <w:rPr>
          <w:sz w:val="22"/>
          <w:szCs w:val="22"/>
        </w:rPr>
      </w:pPr>
    </w:p>
    <w:p w14:paraId="6B196ACB" w14:textId="77777777" w:rsidR="00BF2740" w:rsidRPr="00BD605E" w:rsidRDefault="00BF2740" w:rsidP="008822CE">
      <w:pPr>
        <w:pStyle w:val="BTEMEASMCA"/>
        <w:rPr>
          <w:lang w:val="lt-LT"/>
        </w:rPr>
      </w:pPr>
      <w:r w:rsidRPr="00BD605E">
        <w:rPr>
          <w:lang w:val="lt-LT"/>
        </w:rPr>
        <w:br w:type="page"/>
      </w:r>
    </w:p>
    <w:p w14:paraId="4922EDE0" w14:textId="77777777" w:rsidR="00BF2740" w:rsidRPr="00BD605E" w:rsidRDefault="00BF2740" w:rsidP="008822CE">
      <w:pPr>
        <w:pStyle w:val="BTEMEASMCA"/>
        <w:rPr>
          <w:lang w:val="lt-LT"/>
        </w:rPr>
      </w:pPr>
    </w:p>
    <w:p w14:paraId="5C0C753A" w14:textId="77777777" w:rsidR="00BF2740" w:rsidRPr="00BD605E" w:rsidRDefault="00BF2740" w:rsidP="008822CE">
      <w:pPr>
        <w:pStyle w:val="BTEMEASMCA"/>
        <w:rPr>
          <w:lang w:val="lt-LT"/>
        </w:rPr>
      </w:pPr>
    </w:p>
    <w:p w14:paraId="64FA1D84" w14:textId="77777777" w:rsidR="00BF2740" w:rsidRPr="00BD605E" w:rsidRDefault="00BF2740" w:rsidP="008822CE">
      <w:pPr>
        <w:pStyle w:val="BTEMEASMCA"/>
        <w:rPr>
          <w:lang w:val="lt-LT"/>
        </w:rPr>
      </w:pPr>
    </w:p>
    <w:p w14:paraId="6A4B3CEC" w14:textId="77777777" w:rsidR="00BF2740" w:rsidRPr="00BD605E" w:rsidRDefault="00BF2740" w:rsidP="008822CE">
      <w:pPr>
        <w:pStyle w:val="BTEMEASMCA"/>
        <w:rPr>
          <w:lang w:val="lt-LT"/>
        </w:rPr>
      </w:pPr>
    </w:p>
    <w:p w14:paraId="636D201F" w14:textId="77777777" w:rsidR="00BF2740" w:rsidRPr="00BD605E" w:rsidRDefault="00BF2740" w:rsidP="008822CE">
      <w:pPr>
        <w:pStyle w:val="BTEMEASMCA"/>
        <w:rPr>
          <w:lang w:val="lt-LT"/>
        </w:rPr>
      </w:pPr>
    </w:p>
    <w:p w14:paraId="6C761ECC" w14:textId="77777777" w:rsidR="00BF2740" w:rsidRPr="00BD605E" w:rsidRDefault="00BF2740" w:rsidP="008822CE">
      <w:pPr>
        <w:pStyle w:val="BTEMEASMCA"/>
        <w:rPr>
          <w:lang w:val="lt-LT"/>
        </w:rPr>
      </w:pPr>
    </w:p>
    <w:p w14:paraId="0A887AA3" w14:textId="77777777" w:rsidR="00BF2740" w:rsidRPr="00BD605E" w:rsidRDefault="00BF2740" w:rsidP="008822CE">
      <w:pPr>
        <w:pStyle w:val="BTEMEASMCA"/>
        <w:rPr>
          <w:lang w:val="lt-LT"/>
        </w:rPr>
      </w:pPr>
    </w:p>
    <w:p w14:paraId="30D582E0" w14:textId="77777777" w:rsidR="00BF2740" w:rsidRPr="00BD605E" w:rsidRDefault="00BF2740" w:rsidP="008822CE">
      <w:pPr>
        <w:pStyle w:val="BTEMEASMCA"/>
        <w:rPr>
          <w:lang w:val="lt-LT"/>
        </w:rPr>
      </w:pPr>
    </w:p>
    <w:p w14:paraId="0A0AA60B" w14:textId="77777777" w:rsidR="00BF2740" w:rsidRPr="00BD605E" w:rsidRDefault="00BF2740" w:rsidP="008822CE">
      <w:pPr>
        <w:pStyle w:val="BTEMEASMCA"/>
        <w:rPr>
          <w:lang w:val="lt-LT"/>
        </w:rPr>
      </w:pPr>
    </w:p>
    <w:p w14:paraId="55909F3B" w14:textId="77777777" w:rsidR="00BF2740" w:rsidRPr="00BD605E" w:rsidRDefault="00BF2740" w:rsidP="008822CE">
      <w:pPr>
        <w:pStyle w:val="BTEMEASMCA"/>
        <w:rPr>
          <w:lang w:val="lt-LT"/>
        </w:rPr>
      </w:pPr>
    </w:p>
    <w:p w14:paraId="28396CDB" w14:textId="77777777" w:rsidR="00BF2740" w:rsidRPr="00BD605E" w:rsidRDefault="00BF2740" w:rsidP="008822CE">
      <w:pPr>
        <w:pStyle w:val="BTEMEASMCA"/>
        <w:rPr>
          <w:lang w:val="lt-LT"/>
        </w:rPr>
      </w:pPr>
    </w:p>
    <w:p w14:paraId="3E11DFE8" w14:textId="77777777" w:rsidR="00BF2740" w:rsidRPr="00BD605E" w:rsidRDefault="00BF2740" w:rsidP="008822CE">
      <w:pPr>
        <w:pStyle w:val="BTEMEASMCA"/>
        <w:rPr>
          <w:lang w:val="lt-LT"/>
        </w:rPr>
      </w:pPr>
    </w:p>
    <w:p w14:paraId="4EC792A9" w14:textId="77777777" w:rsidR="00BF2740" w:rsidRPr="00BD605E" w:rsidRDefault="00BF2740" w:rsidP="008822CE">
      <w:pPr>
        <w:pStyle w:val="BTEMEASMCA"/>
        <w:rPr>
          <w:lang w:val="lt-LT"/>
        </w:rPr>
      </w:pPr>
    </w:p>
    <w:p w14:paraId="59522CE4" w14:textId="77777777" w:rsidR="00BF2740" w:rsidRPr="00BD605E" w:rsidRDefault="00BF2740" w:rsidP="008822CE">
      <w:pPr>
        <w:pStyle w:val="BTEMEASMCA"/>
        <w:rPr>
          <w:lang w:val="lt-LT"/>
        </w:rPr>
      </w:pPr>
    </w:p>
    <w:p w14:paraId="40911C51" w14:textId="77777777" w:rsidR="00BF2740" w:rsidRPr="00BD605E" w:rsidRDefault="00BF2740" w:rsidP="008822CE">
      <w:pPr>
        <w:pStyle w:val="BTEMEASMCA"/>
        <w:rPr>
          <w:lang w:val="lt-LT"/>
        </w:rPr>
      </w:pPr>
    </w:p>
    <w:p w14:paraId="19F82213" w14:textId="77777777" w:rsidR="00BF2740" w:rsidRPr="00BD605E" w:rsidRDefault="00BF2740" w:rsidP="008822CE">
      <w:pPr>
        <w:pStyle w:val="BTEMEASMCA"/>
        <w:rPr>
          <w:lang w:val="lt-LT"/>
        </w:rPr>
      </w:pPr>
    </w:p>
    <w:p w14:paraId="5F3FF3CA" w14:textId="77777777" w:rsidR="00BF2740" w:rsidRPr="00BD605E" w:rsidRDefault="00BF2740" w:rsidP="008822CE">
      <w:pPr>
        <w:pStyle w:val="BTEMEASMCA"/>
        <w:rPr>
          <w:lang w:val="lt-LT"/>
        </w:rPr>
      </w:pPr>
    </w:p>
    <w:p w14:paraId="337871C3" w14:textId="77777777" w:rsidR="00BF2740" w:rsidRPr="00BD605E" w:rsidRDefault="00BF2740" w:rsidP="008822CE">
      <w:pPr>
        <w:pStyle w:val="BTEMEASMCA"/>
        <w:rPr>
          <w:lang w:val="lt-LT"/>
        </w:rPr>
      </w:pPr>
    </w:p>
    <w:p w14:paraId="2EB11677" w14:textId="77777777" w:rsidR="00BF2740" w:rsidRPr="00BD605E" w:rsidRDefault="00BF2740" w:rsidP="008822CE">
      <w:pPr>
        <w:pStyle w:val="BTEMEASMCA"/>
        <w:rPr>
          <w:lang w:val="lt-LT"/>
        </w:rPr>
      </w:pPr>
    </w:p>
    <w:p w14:paraId="5AB797CA" w14:textId="77777777" w:rsidR="00BF2740" w:rsidRPr="00BD605E" w:rsidRDefault="00BF2740" w:rsidP="008822CE">
      <w:pPr>
        <w:pStyle w:val="BTEMEASMCA"/>
        <w:rPr>
          <w:lang w:val="lt-LT"/>
        </w:rPr>
      </w:pPr>
    </w:p>
    <w:p w14:paraId="504701F0" w14:textId="77777777" w:rsidR="00BF2740" w:rsidRPr="00BD605E" w:rsidRDefault="00BF2740" w:rsidP="008822CE">
      <w:pPr>
        <w:pStyle w:val="BTEMEASMCA"/>
        <w:rPr>
          <w:lang w:val="lt-LT"/>
        </w:rPr>
      </w:pPr>
    </w:p>
    <w:p w14:paraId="4F22410F" w14:textId="77777777" w:rsidR="00BF2740" w:rsidRPr="004B4520" w:rsidRDefault="00BF2740" w:rsidP="00BF2740">
      <w:pPr>
        <w:pStyle w:val="TTEMEASMCA"/>
        <w:ind w:left="0" w:firstLine="0"/>
        <w:jc w:val="left"/>
        <w:rPr>
          <w:lang w:val="lt-LT"/>
        </w:rPr>
      </w:pPr>
      <w:bookmarkStart w:id="64" w:name="_Toc129243137"/>
      <w:bookmarkStart w:id="65" w:name="_Toc129243262"/>
    </w:p>
    <w:p w14:paraId="7026B35D" w14:textId="5D31BFFA" w:rsidR="00BF2740" w:rsidRPr="004B4520" w:rsidRDefault="00BF2740" w:rsidP="00BF2740">
      <w:pPr>
        <w:pStyle w:val="TTEMEASMCA"/>
        <w:rPr>
          <w:lang w:val="lt-LT"/>
        </w:rPr>
      </w:pPr>
      <w:r w:rsidRPr="004B4520">
        <w:rPr>
          <w:lang w:val="lt-LT"/>
        </w:rPr>
        <w:t>B. PAKUOTĖS LAPELIS</w:t>
      </w:r>
      <w:bookmarkEnd w:id="64"/>
      <w:bookmarkEnd w:id="65"/>
    </w:p>
    <w:p w14:paraId="17BBEB9A" w14:textId="77777777" w:rsidR="00BF2740" w:rsidRPr="004B4520" w:rsidRDefault="00BF2740" w:rsidP="00BF2740">
      <w:pPr>
        <w:pStyle w:val="TTEMEASMCA"/>
        <w:rPr>
          <w:lang w:val="lt-LT"/>
        </w:rPr>
      </w:pPr>
      <w:r w:rsidRPr="004B4520">
        <w:rPr>
          <w:lang w:val="lt-LT"/>
        </w:rPr>
        <w:br w:type="page"/>
      </w:r>
      <w:bookmarkStart w:id="66" w:name="_Toc129243138"/>
      <w:bookmarkStart w:id="67" w:name="_Toc129243263"/>
      <w:r w:rsidRPr="004B4520">
        <w:rPr>
          <w:lang w:val="lt-LT"/>
        </w:rPr>
        <w:lastRenderedPageBreak/>
        <w:t>P</w:t>
      </w:r>
      <w:r w:rsidRPr="004B4520">
        <w:rPr>
          <w:caps w:val="0"/>
          <w:lang w:val="lt-LT"/>
        </w:rPr>
        <w:t>akuotės lapelis: informacija vartotojui</w:t>
      </w:r>
      <w:bookmarkEnd w:id="66"/>
      <w:bookmarkEnd w:id="67"/>
    </w:p>
    <w:p w14:paraId="1F4A2D51" w14:textId="77777777" w:rsidR="00BF2740" w:rsidRPr="00BD605E" w:rsidRDefault="00BF2740" w:rsidP="008822CE">
      <w:pPr>
        <w:pStyle w:val="BTEMEASMCA"/>
        <w:rPr>
          <w:lang w:val="lt-LT"/>
        </w:rPr>
      </w:pPr>
    </w:p>
    <w:p w14:paraId="7BB94301" w14:textId="77777777" w:rsidR="00BF2740" w:rsidRPr="00BD605E" w:rsidRDefault="00BF2740" w:rsidP="008822CE">
      <w:pPr>
        <w:pStyle w:val="BTbeEMEASMCA"/>
        <w:rPr>
          <w:lang w:val="lt-LT"/>
        </w:rPr>
      </w:pPr>
      <w:r w:rsidRPr="00BD605E">
        <w:rPr>
          <w:lang w:val="lt-LT"/>
        </w:rPr>
        <w:t>Trichopol 250 mg tabletės</w:t>
      </w:r>
    </w:p>
    <w:p w14:paraId="0D4C819D" w14:textId="12065A82" w:rsidR="00BF2740" w:rsidRPr="00BD605E" w:rsidRDefault="00953DDF" w:rsidP="008822CE">
      <w:pPr>
        <w:pStyle w:val="BTeEMEASMCA"/>
        <w:rPr>
          <w:lang w:val="lt-LT"/>
        </w:rPr>
      </w:pPr>
      <w:r w:rsidRPr="00BD605E">
        <w:rPr>
          <w:lang w:val="lt-LT"/>
        </w:rPr>
        <w:t>m</w:t>
      </w:r>
      <w:r w:rsidR="00BF2740" w:rsidRPr="00BD605E">
        <w:rPr>
          <w:lang w:val="lt-LT"/>
        </w:rPr>
        <w:t>etronidazolas</w:t>
      </w:r>
    </w:p>
    <w:p w14:paraId="4B152E70" w14:textId="77777777" w:rsidR="00BF2740" w:rsidRPr="00BD605E" w:rsidRDefault="00BF2740" w:rsidP="008822CE">
      <w:pPr>
        <w:pStyle w:val="BTEMEASMCA"/>
        <w:rPr>
          <w:lang w:val="lt-LT"/>
        </w:rPr>
      </w:pPr>
    </w:p>
    <w:p w14:paraId="06A366B1" w14:textId="77777777" w:rsidR="00BF2740" w:rsidRPr="00BD605E" w:rsidRDefault="00BF2740" w:rsidP="008822CE">
      <w:pPr>
        <w:pStyle w:val="BTEMEASMCA"/>
        <w:rPr>
          <w:lang w:val="lt-LT"/>
        </w:rPr>
      </w:pPr>
    </w:p>
    <w:p w14:paraId="45A74C46" w14:textId="77777777" w:rsidR="00BF2740" w:rsidRPr="00BD605E" w:rsidRDefault="00BF2740" w:rsidP="008822CE">
      <w:pPr>
        <w:pStyle w:val="BTbEMEASMCA"/>
        <w:rPr>
          <w:lang w:val="lt-LT"/>
        </w:rPr>
      </w:pPr>
      <w:r w:rsidRPr="00BD605E">
        <w:rPr>
          <w:lang w:val="lt-LT"/>
        </w:rPr>
        <w:t>Atidžiai perskaitykite visą šį lapelį, prieš pradėdami vartoti vaistą, nes jame pateikiama Jums svarbi informacija.</w:t>
      </w:r>
    </w:p>
    <w:p w14:paraId="3E25E735" w14:textId="77777777" w:rsidR="00BF2740" w:rsidRPr="00BD605E" w:rsidRDefault="00BF2740" w:rsidP="008822CE">
      <w:pPr>
        <w:pStyle w:val="BT-EMEASMCA"/>
        <w:rPr>
          <w:lang w:val="lt-LT"/>
        </w:rPr>
      </w:pPr>
      <w:r w:rsidRPr="00BD605E">
        <w:rPr>
          <w:lang w:val="lt-LT"/>
        </w:rPr>
        <w:t>Neišmeskite šio lapelio, nes vėl gali prireikti jį perskaityti.</w:t>
      </w:r>
    </w:p>
    <w:p w14:paraId="4F23A48F" w14:textId="77777777" w:rsidR="00BF2740" w:rsidRPr="00BD605E" w:rsidRDefault="00BF2740" w:rsidP="008822CE">
      <w:pPr>
        <w:pStyle w:val="BT-EMEASMCA"/>
        <w:rPr>
          <w:lang w:val="lt-LT"/>
        </w:rPr>
      </w:pPr>
      <w:r w:rsidRPr="00BD605E">
        <w:rPr>
          <w:lang w:val="lt-LT"/>
        </w:rPr>
        <w:t>Jeigu kiltų daugiau klausimų, kreipkitės į gydytoją arba vaistininką.</w:t>
      </w:r>
    </w:p>
    <w:p w14:paraId="256CE6A8" w14:textId="77777777" w:rsidR="00BF2740" w:rsidRPr="00E37C18" w:rsidRDefault="00BF2740" w:rsidP="008822CE">
      <w:pPr>
        <w:pStyle w:val="BT-EMEASMCA"/>
      </w:pPr>
      <w:r w:rsidRPr="00E37C18">
        <w:t>Šis vaistas skirtas tik Jums, todėl kitiems žmonėms jo duoti negalima. Vaistas gali jiems pakenkti (net tiems, kurių ligos požymiai yra tokie patys kaip Jūsų).</w:t>
      </w:r>
    </w:p>
    <w:p w14:paraId="5DD9734D" w14:textId="77777777" w:rsidR="00BF2740" w:rsidRPr="004B4520" w:rsidRDefault="00BF2740" w:rsidP="008822CE">
      <w:pPr>
        <w:pStyle w:val="BT-EMEASMCA"/>
      </w:pPr>
      <w:r w:rsidRPr="00E37C18">
        <w:t xml:space="preserve">Jeigu pasireiškė šalutinis poveikis (net jeigu jis šiame lapelyje nenurodytas), kreipkitės į gydytoją arba vaistininką. </w:t>
      </w:r>
      <w:r w:rsidRPr="004B4520">
        <w:t>Žr. 4 skyrių.</w:t>
      </w:r>
    </w:p>
    <w:p w14:paraId="7A293A9E" w14:textId="77777777" w:rsidR="00BF2740" w:rsidRPr="004B4520" w:rsidRDefault="00BF2740" w:rsidP="008822CE">
      <w:pPr>
        <w:pStyle w:val="BTEMEASMCA"/>
      </w:pPr>
    </w:p>
    <w:p w14:paraId="1ABAC3F3" w14:textId="77777777" w:rsidR="00BF2740" w:rsidRPr="00BD605E" w:rsidRDefault="00BF2740" w:rsidP="008822CE">
      <w:pPr>
        <w:pStyle w:val="BTbEMEASMCA"/>
        <w:rPr>
          <w:lang w:val="pl-PL"/>
        </w:rPr>
      </w:pPr>
      <w:r w:rsidRPr="00BD605E">
        <w:rPr>
          <w:lang w:val="pl-PL"/>
        </w:rPr>
        <w:t>Apie ką rašoma šiame lapelyje?</w:t>
      </w:r>
    </w:p>
    <w:p w14:paraId="09FC0132" w14:textId="77777777" w:rsidR="00BF2740" w:rsidRPr="00BD605E" w:rsidRDefault="00BF2740" w:rsidP="008822CE">
      <w:pPr>
        <w:pStyle w:val="BTbEMEASMCA"/>
        <w:rPr>
          <w:lang w:val="pl-PL"/>
        </w:rPr>
      </w:pPr>
    </w:p>
    <w:p w14:paraId="23C68C52" w14:textId="77777777" w:rsidR="00BF2740" w:rsidRPr="00BD605E" w:rsidRDefault="00BF2740" w:rsidP="008822CE">
      <w:pPr>
        <w:pStyle w:val="BTEMEASMCA"/>
        <w:rPr>
          <w:lang w:val="pl-PL"/>
        </w:rPr>
      </w:pPr>
      <w:r w:rsidRPr="00BD605E">
        <w:rPr>
          <w:lang w:val="pl-PL"/>
        </w:rPr>
        <w:t>1.</w:t>
      </w:r>
      <w:r w:rsidRPr="00BD605E">
        <w:rPr>
          <w:lang w:val="pl-PL"/>
        </w:rPr>
        <w:tab/>
        <w:t>Kas yra Trichopol ir kam jis vartojamas</w:t>
      </w:r>
    </w:p>
    <w:p w14:paraId="1301DF43" w14:textId="77777777" w:rsidR="00BF2740" w:rsidRPr="00BD605E" w:rsidRDefault="00BF2740" w:rsidP="008822CE">
      <w:pPr>
        <w:pStyle w:val="BTEMEASMCA"/>
        <w:rPr>
          <w:lang w:val="pl-PL"/>
        </w:rPr>
      </w:pPr>
      <w:r w:rsidRPr="00BD605E">
        <w:rPr>
          <w:lang w:val="pl-PL"/>
        </w:rPr>
        <w:t>2.</w:t>
      </w:r>
      <w:r w:rsidRPr="00BD605E">
        <w:rPr>
          <w:lang w:val="pl-PL"/>
        </w:rPr>
        <w:tab/>
        <w:t>Kas žinotina prieš vartojant Trichopol</w:t>
      </w:r>
    </w:p>
    <w:p w14:paraId="49DECD07" w14:textId="77777777" w:rsidR="00BF2740" w:rsidRPr="00E37C18" w:rsidRDefault="00BF2740" w:rsidP="008822CE">
      <w:pPr>
        <w:pStyle w:val="BTEMEASMCA"/>
      </w:pPr>
      <w:r w:rsidRPr="00E37C18">
        <w:t>3.</w:t>
      </w:r>
      <w:r w:rsidRPr="00E37C18">
        <w:tab/>
        <w:t>Kaip vartoti Trichopol</w:t>
      </w:r>
    </w:p>
    <w:p w14:paraId="036C6E86" w14:textId="77777777" w:rsidR="00BF2740" w:rsidRPr="00E37C18" w:rsidRDefault="00BF2740" w:rsidP="008822CE">
      <w:pPr>
        <w:pStyle w:val="BTEMEASMCA"/>
      </w:pPr>
      <w:r w:rsidRPr="00E37C18">
        <w:t>4.</w:t>
      </w:r>
      <w:r w:rsidRPr="00E37C18">
        <w:tab/>
        <w:t>Galimas šalutinis poveikis</w:t>
      </w:r>
    </w:p>
    <w:p w14:paraId="71D8AA26" w14:textId="77777777" w:rsidR="00BF2740" w:rsidRPr="00E37C18" w:rsidRDefault="00BF2740" w:rsidP="008822CE">
      <w:pPr>
        <w:pStyle w:val="BTEMEASMCA"/>
      </w:pPr>
      <w:r w:rsidRPr="00E37C18">
        <w:t>5.</w:t>
      </w:r>
      <w:r w:rsidRPr="00E37C18">
        <w:tab/>
        <w:t>Kaip laikyti Trichopol</w:t>
      </w:r>
    </w:p>
    <w:p w14:paraId="200458BC" w14:textId="77777777" w:rsidR="00BF2740" w:rsidRPr="00E37C18" w:rsidRDefault="00BF2740" w:rsidP="008822CE">
      <w:pPr>
        <w:pStyle w:val="BTEMEASMCA"/>
      </w:pPr>
      <w:r w:rsidRPr="00E37C18">
        <w:t>6.</w:t>
      </w:r>
      <w:r w:rsidRPr="00E37C18">
        <w:tab/>
        <w:t>Pakuotės turinys ir kita informacija</w:t>
      </w:r>
    </w:p>
    <w:p w14:paraId="61CCF18C" w14:textId="77777777" w:rsidR="00BF2740" w:rsidRPr="00E37C18" w:rsidRDefault="00BF2740" w:rsidP="008822CE">
      <w:pPr>
        <w:pStyle w:val="BTEMEASMCA"/>
      </w:pPr>
    </w:p>
    <w:p w14:paraId="0E5B6C1E" w14:textId="77777777" w:rsidR="00BF2740" w:rsidRPr="00E37C18" w:rsidRDefault="00BF2740" w:rsidP="008822CE">
      <w:pPr>
        <w:pStyle w:val="BTEMEASMCA"/>
      </w:pPr>
    </w:p>
    <w:p w14:paraId="644F6FB9" w14:textId="4B526465" w:rsidR="00BF2740" w:rsidRPr="004B4520" w:rsidRDefault="00BF2740" w:rsidP="005F53BD">
      <w:pPr>
        <w:pStyle w:val="PI-1EMEASMCA"/>
      </w:pPr>
      <w:bookmarkStart w:id="68" w:name="_Toc129243139"/>
      <w:bookmarkStart w:id="69" w:name="_Toc129243264"/>
      <w:r w:rsidRPr="004B4520">
        <w:t>1.</w:t>
      </w:r>
      <w:r w:rsidRPr="004B4520">
        <w:tab/>
      </w:r>
      <w:bookmarkEnd w:id="68"/>
      <w:bookmarkEnd w:id="69"/>
      <w:r w:rsidRPr="004B4520">
        <w:t>Kas yra Trichopol ir kam jis vartojamas</w:t>
      </w:r>
    </w:p>
    <w:p w14:paraId="567DE838" w14:textId="77777777" w:rsidR="00BF2740" w:rsidRPr="00E37C18" w:rsidRDefault="00BF2740" w:rsidP="008822CE">
      <w:pPr>
        <w:pStyle w:val="BTEMEASMCA"/>
      </w:pPr>
    </w:p>
    <w:p w14:paraId="37428848" w14:textId="77777777" w:rsidR="00BF2740" w:rsidRPr="004B4520" w:rsidRDefault="00BF2740" w:rsidP="00BF2740">
      <w:pPr>
        <w:rPr>
          <w:sz w:val="22"/>
          <w:szCs w:val="22"/>
        </w:rPr>
      </w:pPr>
      <w:r w:rsidRPr="004B4520">
        <w:rPr>
          <w:sz w:val="22"/>
          <w:szCs w:val="22"/>
        </w:rPr>
        <w:t xml:space="preserve">Trichopol sudėtyje yra veiklioji medžiaga metronidazolas, kuris yra 5-nitroimidazolo junginys, naikinantis pirmuonis ir bakterijas. </w:t>
      </w:r>
    </w:p>
    <w:p w14:paraId="0E730721" w14:textId="77777777" w:rsidR="00BF2740" w:rsidRPr="004B4520" w:rsidRDefault="00BF2740" w:rsidP="00BF2740">
      <w:pPr>
        <w:pStyle w:val="Pagrindinistekstas"/>
        <w:spacing w:after="0"/>
        <w:rPr>
          <w:szCs w:val="22"/>
        </w:rPr>
      </w:pPr>
    </w:p>
    <w:p w14:paraId="6DE52FB6" w14:textId="77777777" w:rsidR="00BF2740" w:rsidRPr="004B4520" w:rsidRDefault="00BF2740" w:rsidP="00BF2740">
      <w:pPr>
        <w:pStyle w:val="Pagrindinistekstas"/>
        <w:spacing w:after="0"/>
        <w:rPr>
          <w:szCs w:val="22"/>
        </w:rPr>
      </w:pPr>
      <w:r w:rsidRPr="004B4520">
        <w:rPr>
          <w:szCs w:val="22"/>
        </w:rPr>
        <w:t xml:space="preserve">Trichopol vartojamas, kai yra: </w:t>
      </w:r>
    </w:p>
    <w:p w14:paraId="0C645833" w14:textId="77777777" w:rsidR="00BF2740" w:rsidRPr="004B4520" w:rsidRDefault="00BF2740" w:rsidP="00BF2740">
      <w:pPr>
        <w:pStyle w:val="Pagrindinistekstas"/>
        <w:numPr>
          <w:ilvl w:val="0"/>
          <w:numId w:val="2"/>
        </w:numPr>
        <w:tabs>
          <w:tab w:val="clear" w:pos="360"/>
          <w:tab w:val="num" w:pos="567"/>
        </w:tabs>
        <w:spacing w:after="0"/>
        <w:ind w:left="567" w:hanging="567"/>
        <w:rPr>
          <w:szCs w:val="22"/>
        </w:rPr>
      </w:pPr>
      <w:r w:rsidRPr="004B4520">
        <w:rPr>
          <w:szCs w:val="22"/>
        </w:rPr>
        <w:t>trichomonozė (šlapimo takų infekcija);</w:t>
      </w:r>
    </w:p>
    <w:p w14:paraId="00985268" w14:textId="77777777" w:rsidR="00BF2740" w:rsidRPr="004B4520" w:rsidRDefault="00BF2740" w:rsidP="00BF2740">
      <w:pPr>
        <w:pStyle w:val="Pagrindinistekstas"/>
        <w:numPr>
          <w:ilvl w:val="0"/>
          <w:numId w:val="2"/>
        </w:numPr>
        <w:tabs>
          <w:tab w:val="clear" w:pos="360"/>
          <w:tab w:val="num" w:pos="567"/>
        </w:tabs>
        <w:spacing w:after="0"/>
        <w:ind w:left="567" w:hanging="567"/>
        <w:rPr>
          <w:szCs w:val="22"/>
        </w:rPr>
      </w:pPr>
      <w:r w:rsidRPr="004B4520">
        <w:rPr>
          <w:szCs w:val="22"/>
        </w:rPr>
        <w:t>giardiazė (liambliozė) (žarnyno liga);</w:t>
      </w:r>
    </w:p>
    <w:p w14:paraId="6E9E03E5" w14:textId="77777777" w:rsidR="00BF2740" w:rsidRPr="004B4520" w:rsidRDefault="00BF2740" w:rsidP="00BF2740">
      <w:pPr>
        <w:pStyle w:val="Pagrindinistekstas"/>
        <w:numPr>
          <w:ilvl w:val="0"/>
          <w:numId w:val="2"/>
        </w:numPr>
        <w:tabs>
          <w:tab w:val="clear" w:pos="360"/>
          <w:tab w:val="num" w:pos="567"/>
        </w:tabs>
        <w:spacing w:after="0"/>
        <w:ind w:left="567" w:hanging="567"/>
        <w:rPr>
          <w:szCs w:val="22"/>
        </w:rPr>
      </w:pPr>
      <w:r w:rsidRPr="004B4520">
        <w:rPr>
          <w:szCs w:val="22"/>
        </w:rPr>
        <w:t>visos amebiazės formos (žarnyno ir kitų organų liga, taip pat besimptomiams cistų nešiotojams);</w:t>
      </w:r>
    </w:p>
    <w:p w14:paraId="3F085729" w14:textId="77777777" w:rsidR="00BF2740" w:rsidRPr="004B4520" w:rsidRDefault="00BF2740" w:rsidP="00BF2740">
      <w:pPr>
        <w:pStyle w:val="Pagrindinistekstas"/>
        <w:numPr>
          <w:ilvl w:val="0"/>
          <w:numId w:val="2"/>
        </w:numPr>
        <w:tabs>
          <w:tab w:val="clear" w:pos="360"/>
          <w:tab w:val="num" w:pos="567"/>
        </w:tabs>
        <w:spacing w:after="0"/>
        <w:ind w:left="567" w:hanging="567"/>
        <w:rPr>
          <w:szCs w:val="22"/>
        </w:rPr>
      </w:pPr>
      <w:r w:rsidRPr="004B4520">
        <w:rPr>
          <w:szCs w:val="22"/>
        </w:rPr>
        <w:t>anaerobinių bakterijų arba mišrios bakterinės infekcijos (anaerobinių ir aerobinių bakterijų) sukelta liga (vaistas dažniausiai vartojamas kartu su tinkamais antibiotikais).</w:t>
      </w:r>
    </w:p>
    <w:p w14:paraId="3E04A5B9" w14:textId="77777777" w:rsidR="00BF2740" w:rsidRPr="004B4520" w:rsidRDefault="00BF2740" w:rsidP="00BF2740">
      <w:pPr>
        <w:pStyle w:val="Pagrindinistekstas"/>
        <w:spacing w:after="0"/>
        <w:rPr>
          <w:szCs w:val="22"/>
        </w:rPr>
      </w:pPr>
      <w:r w:rsidRPr="004B4520">
        <w:rPr>
          <w:szCs w:val="22"/>
        </w:rPr>
        <w:t xml:space="preserve">Metronidazolas taip pat vartojamas </w:t>
      </w:r>
      <w:r w:rsidRPr="004B4520">
        <w:rPr>
          <w:i/>
          <w:szCs w:val="22"/>
        </w:rPr>
        <w:t>Helicobacter pylori</w:t>
      </w:r>
      <w:r w:rsidRPr="004B4520">
        <w:rPr>
          <w:szCs w:val="22"/>
        </w:rPr>
        <w:t xml:space="preserve"> infekcijai gydyti, kai sergama skrandžio ir dvylikapirštės žarnos opalige (pvz., kartu su bismuto citratu ir klaritromicinu arba kartu su klaritromicinu ir omeprazolu). </w:t>
      </w:r>
    </w:p>
    <w:p w14:paraId="53567E47" w14:textId="77777777" w:rsidR="00BF2740" w:rsidRPr="00BD605E" w:rsidRDefault="00BF2740" w:rsidP="008822CE">
      <w:pPr>
        <w:pStyle w:val="BTEMEASMCA"/>
        <w:rPr>
          <w:lang w:val="lt-LT"/>
        </w:rPr>
      </w:pPr>
    </w:p>
    <w:p w14:paraId="38373BFD" w14:textId="77777777" w:rsidR="00BF2740" w:rsidRPr="00BD605E" w:rsidRDefault="00BF2740" w:rsidP="008822CE">
      <w:pPr>
        <w:pStyle w:val="BTEMEASMCA"/>
        <w:rPr>
          <w:lang w:val="lt-LT"/>
        </w:rPr>
      </w:pPr>
    </w:p>
    <w:p w14:paraId="3A053CB7" w14:textId="0355C079" w:rsidR="00BF2740" w:rsidRPr="004B4520" w:rsidRDefault="00BF2740" w:rsidP="005F53BD">
      <w:pPr>
        <w:pStyle w:val="PI-1EMEASMCA"/>
      </w:pPr>
      <w:bookmarkStart w:id="70" w:name="_Toc129243140"/>
      <w:bookmarkStart w:id="71" w:name="_Toc129243265"/>
      <w:r w:rsidRPr="004B4520">
        <w:t>2.</w:t>
      </w:r>
      <w:r w:rsidRPr="004B4520">
        <w:tab/>
      </w:r>
      <w:bookmarkEnd w:id="70"/>
      <w:bookmarkEnd w:id="71"/>
      <w:r w:rsidRPr="004B4520">
        <w:t>Kas žinotina prieš vartojant Trichopol</w:t>
      </w:r>
    </w:p>
    <w:p w14:paraId="75F71038" w14:textId="77777777" w:rsidR="00BF2740" w:rsidRPr="00E37C18" w:rsidRDefault="00BF2740" w:rsidP="008822CE">
      <w:pPr>
        <w:pStyle w:val="BTEMEASMCA"/>
      </w:pPr>
    </w:p>
    <w:p w14:paraId="22362916" w14:textId="31DA00C9" w:rsidR="00BF2740" w:rsidRPr="004B4520" w:rsidRDefault="00BF2740" w:rsidP="00953DDF">
      <w:pPr>
        <w:pStyle w:val="PI-3EMEASMCA"/>
      </w:pPr>
      <w:r w:rsidRPr="004B4520">
        <w:t xml:space="preserve">Trichopol vartoti </w:t>
      </w:r>
      <w:r w:rsidR="00953DDF">
        <w:t>draudžiama</w:t>
      </w:r>
      <w:r w:rsidRPr="004B4520">
        <w:t>:</w:t>
      </w:r>
    </w:p>
    <w:p w14:paraId="12D2E479" w14:textId="77777777" w:rsidR="00BF2740" w:rsidRPr="00BD605E" w:rsidRDefault="00BF2740" w:rsidP="008822CE">
      <w:pPr>
        <w:pStyle w:val="BT-EMEASMCA"/>
        <w:rPr>
          <w:lang w:val="lt-LT"/>
        </w:rPr>
      </w:pPr>
      <w:r w:rsidRPr="00BD605E">
        <w:rPr>
          <w:lang w:val="lt-LT"/>
        </w:rPr>
        <w:t>jeigu yra alergija metronidazolui arba bet kuriai pagalbinei šio vaisto medžiagai (jos išvardytos 6 skyriuje);</w:t>
      </w:r>
    </w:p>
    <w:p w14:paraId="3F93A144" w14:textId="77777777" w:rsidR="00BF2740" w:rsidRPr="00BD605E" w:rsidRDefault="00BF2740" w:rsidP="008822CE">
      <w:pPr>
        <w:pStyle w:val="BT-EMEASMCA"/>
        <w:rPr>
          <w:lang w:val="lt-LT"/>
        </w:rPr>
      </w:pPr>
      <w:r w:rsidRPr="00BD605E">
        <w:rPr>
          <w:lang w:val="lt-LT"/>
        </w:rPr>
        <w:t>jeigu esate nėščia (ypač pirmaisiais trimis nėštumo mėnesiais);</w:t>
      </w:r>
    </w:p>
    <w:p w14:paraId="1D9E8718" w14:textId="77777777" w:rsidR="00BF2740" w:rsidRPr="004B4520" w:rsidRDefault="00BF2740" w:rsidP="008822CE">
      <w:pPr>
        <w:pStyle w:val="BT-EMEASMCA"/>
      </w:pPr>
      <w:r w:rsidRPr="004B4520">
        <w:t>žindymo laikotarpiu.</w:t>
      </w:r>
    </w:p>
    <w:p w14:paraId="65B171F1" w14:textId="77777777" w:rsidR="00BF2740" w:rsidRPr="004B4520" w:rsidRDefault="00BF2740" w:rsidP="008822CE">
      <w:pPr>
        <w:pStyle w:val="BTEMEASMCA"/>
      </w:pPr>
    </w:p>
    <w:p w14:paraId="636D1CAA" w14:textId="77777777" w:rsidR="00BF2740" w:rsidRPr="004B4520" w:rsidRDefault="00BF2740" w:rsidP="00953DDF">
      <w:pPr>
        <w:pStyle w:val="PI-3EMEASMCA"/>
      </w:pPr>
      <w:r w:rsidRPr="004B4520">
        <w:t>Įspėjimai ir atsargumo priemonės</w:t>
      </w:r>
    </w:p>
    <w:p w14:paraId="6BF19819" w14:textId="77777777" w:rsidR="00BF2740" w:rsidRPr="00BD605E" w:rsidRDefault="00BF2740" w:rsidP="008822CE">
      <w:pPr>
        <w:pStyle w:val="BTEMEASMCA"/>
        <w:rPr>
          <w:lang w:val="lt-LT"/>
        </w:rPr>
      </w:pPr>
      <w:r w:rsidRPr="00BD605E">
        <w:rPr>
          <w:lang w:val="lt-LT"/>
        </w:rPr>
        <w:t xml:space="preserve">Sunaikinus </w:t>
      </w:r>
      <w:r w:rsidRPr="00BD605E">
        <w:rPr>
          <w:i/>
          <w:lang w:val="lt-LT"/>
        </w:rPr>
        <w:t>Trichomonas vaginalis</w:t>
      </w:r>
      <w:r w:rsidRPr="00BD605E">
        <w:rPr>
          <w:lang w:val="lt-LT"/>
        </w:rPr>
        <w:t>, išlieka galimybė, kad persistuos gonokokinė infekcija.</w:t>
      </w:r>
    </w:p>
    <w:p w14:paraId="2E64D7F7" w14:textId="77777777" w:rsidR="00BF2740" w:rsidRPr="00BD605E" w:rsidRDefault="00BF2740" w:rsidP="008822CE">
      <w:pPr>
        <w:pStyle w:val="BTEMEASMCA"/>
        <w:rPr>
          <w:lang w:val="lt-LT"/>
        </w:rPr>
      </w:pPr>
      <w:r w:rsidRPr="00BD605E">
        <w:rPr>
          <w:lang w:val="lt-LT"/>
        </w:rPr>
        <w:t>Metronidazolo negalima vartoti porfirija sergantiems pacientams.</w:t>
      </w:r>
    </w:p>
    <w:p w14:paraId="6DBDF352" w14:textId="77777777" w:rsidR="00BF2740" w:rsidRPr="00BD605E" w:rsidRDefault="00BF2740" w:rsidP="008822CE">
      <w:pPr>
        <w:pStyle w:val="BTEMEASMCA"/>
        <w:rPr>
          <w:lang w:val="lt-LT"/>
        </w:rPr>
      </w:pPr>
      <w:r w:rsidRPr="00BD605E">
        <w:rPr>
          <w:lang w:val="lt-LT"/>
        </w:rPr>
        <w:t>Pacientams, kuriems anksčiau yra pasireiškusi kraujo diskrazija, metronidazolo reikia vartoti atsargiai.</w:t>
      </w:r>
    </w:p>
    <w:p w14:paraId="2B2C93C4" w14:textId="77777777" w:rsidR="00BF2740" w:rsidRPr="00E37C18" w:rsidRDefault="00BF2740" w:rsidP="008822CE">
      <w:pPr>
        <w:pStyle w:val="BTEMEASMCA"/>
      </w:pPr>
      <w:r w:rsidRPr="00E37C18">
        <w:t>Pacientams, sergantiems centrinės nervų sistemos ligomis, metronidazolo reikia vartoti atsargiai. Jei pasireiškia neurologinių sutrikimų, metronidazolo vartojimą reikia nedelsiant nutraukti.</w:t>
      </w:r>
    </w:p>
    <w:p w14:paraId="682D8D28" w14:textId="77777777" w:rsidR="00BF2740" w:rsidRPr="00E37C18" w:rsidRDefault="00BF2740" w:rsidP="008822CE">
      <w:pPr>
        <w:pStyle w:val="BTEMEASMCA"/>
      </w:pPr>
      <w:r w:rsidRPr="00E37C18">
        <w:t>Gydymo metu Jūsų gydytojas stebės Jūsų kraujo būklę. Jei metronidazolo vartojate ilgiau nei 10 dienų, kraujo kontrolė yra būtina.</w:t>
      </w:r>
    </w:p>
    <w:p w14:paraId="368D3842" w14:textId="135CEEAC" w:rsidR="00BF2740" w:rsidRPr="00BD605E" w:rsidRDefault="00BF2740" w:rsidP="00BF2740">
      <w:pPr>
        <w:pStyle w:val="Default"/>
        <w:rPr>
          <w:rFonts w:ascii="Times New Roman" w:hAnsi="Times New Roman" w:cs="Times New Roman"/>
          <w:sz w:val="22"/>
          <w:szCs w:val="22"/>
          <w:lang w:val="pt-PT"/>
        </w:rPr>
      </w:pPr>
      <w:r w:rsidRPr="00BD605E">
        <w:rPr>
          <w:rFonts w:ascii="Times New Roman" w:hAnsi="Times New Roman" w:cs="Times New Roman"/>
          <w:sz w:val="22"/>
          <w:szCs w:val="22"/>
          <w:lang w:val="pt-PT"/>
        </w:rPr>
        <w:lastRenderedPageBreak/>
        <w:t>Kokaino (</w:t>
      </w:r>
      <w:r w:rsidRPr="00BD605E">
        <w:rPr>
          <w:rFonts w:ascii="Times New Roman" w:hAnsi="Times New Roman" w:cs="Times New Roman"/>
          <w:i/>
          <w:iCs/>
          <w:sz w:val="22"/>
          <w:szCs w:val="22"/>
          <w:lang w:val="pt-PT"/>
        </w:rPr>
        <w:t>Cockayne</w:t>
      </w:r>
      <w:r w:rsidRPr="00BD605E">
        <w:rPr>
          <w:rFonts w:ascii="Times New Roman" w:hAnsi="Times New Roman" w:cs="Times New Roman"/>
          <w:sz w:val="22"/>
          <w:szCs w:val="22"/>
          <w:lang w:val="pt-PT"/>
        </w:rPr>
        <w:t xml:space="preserve">) sindromu sergantiems pacientams vartojant </w:t>
      </w:r>
      <w:r w:rsidR="00355893">
        <w:rPr>
          <w:rFonts w:ascii="Times New Roman" w:hAnsi="Times New Roman" w:cs="Times New Roman"/>
          <w:sz w:val="22"/>
          <w:szCs w:val="22"/>
          <w:lang w:val="pt-PT"/>
        </w:rPr>
        <w:t>vaistą</w:t>
      </w:r>
      <w:r w:rsidRPr="00BD605E">
        <w:rPr>
          <w:rFonts w:ascii="Times New Roman" w:hAnsi="Times New Roman" w:cs="Times New Roman"/>
          <w:sz w:val="22"/>
          <w:szCs w:val="22"/>
          <w:lang w:val="pt-PT"/>
        </w:rPr>
        <w:t xml:space="preserve">, kurio sudėtyje buvo metronidazolo, nustatyta stipraus toksinio poveikio kepenims ir (arba) ūminio kepenų nepakankamumo atvejų, įskaitant mirtį lėmusius atvejus. </w:t>
      </w:r>
    </w:p>
    <w:p w14:paraId="62B41810" w14:textId="77777777" w:rsidR="00BF2740" w:rsidRPr="00BD605E" w:rsidRDefault="00BF2740" w:rsidP="00BF2740">
      <w:pPr>
        <w:pStyle w:val="Default"/>
        <w:rPr>
          <w:rFonts w:ascii="Times New Roman" w:hAnsi="Times New Roman" w:cs="Times New Roman"/>
          <w:sz w:val="22"/>
          <w:szCs w:val="22"/>
          <w:lang w:val="pt-PT"/>
        </w:rPr>
      </w:pPr>
      <w:r w:rsidRPr="00BD605E">
        <w:rPr>
          <w:rFonts w:ascii="Times New Roman" w:hAnsi="Times New Roman" w:cs="Times New Roman"/>
          <w:sz w:val="22"/>
          <w:szCs w:val="22"/>
          <w:lang w:val="pt-PT"/>
        </w:rPr>
        <w:t>Jeigu Jums diagnozuotas Kokaino (</w:t>
      </w:r>
      <w:r w:rsidRPr="00BD605E">
        <w:rPr>
          <w:rFonts w:ascii="Times New Roman" w:hAnsi="Times New Roman" w:cs="Times New Roman"/>
          <w:i/>
          <w:iCs/>
          <w:sz w:val="22"/>
          <w:szCs w:val="22"/>
          <w:lang w:val="pt-PT"/>
        </w:rPr>
        <w:t>Cockayne</w:t>
      </w:r>
      <w:r w:rsidRPr="00BD605E">
        <w:rPr>
          <w:rFonts w:ascii="Times New Roman" w:hAnsi="Times New Roman" w:cs="Times New Roman"/>
          <w:sz w:val="22"/>
          <w:szCs w:val="22"/>
          <w:lang w:val="pt-PT"/>
        </w:rPr>
        <w:t xml:space="preserve">) sindromas, Jūsų gydytojas taip pat turėtų visą gydymo metronidazolu laikotarpį ir vėliau dažnai tikrinti Jūsų kepenų veiklą. </w:t>
      </w:r>
    </w:p>
    <w:p w14:paraId="320C00B8" w14:textId="77777777" w:rsidR="00BF2740" w:rsidRPr="00BD605E" w:rsidRDefault="00BF2740" w:rsidP="00BF2740">
      <w:pPr>
        <w:pStyle w:val="Default"/>
        <w:rPr>
          <w:rFonts w:ascii="Times New Roman" w:hAnsi="Times New Roman" w:cs="Times New Roman"/>
          <w:sz w:val="22"/>
          <w:szCs w:val="22"/>
          <w:lang w:val="pt-PT"/>
        </w:rPr>
      </w:pPr>
      <w:r w:rsidRPr="00BD605E">
        <w:rPr>
          <w:rFonts w:ascii="Times New Roman" w:hAnsi="Times New Roman" w:cs="Times New Roman"/>
          <w:sz w:val="22"/>
          <w:szCs w:val="22"/>
          <w:lang w:val="pt-PT"/>
        </w:rPr>
        <w:t xml:space="preserve">Nedelsdami praneškite savo gydytojui ir nustokite vartoti metronidazolą, jei Jums pasireikštų: </w:t>
      </w:r>
    </w:p>
    <w:p w14:paraId="118463B2" w14:textId="77777777" w:rsidR="00BF2740" w:rsidRPr="00BD605E" w:rsidRDefault="00BF2740" w:rsidP="00BF2740">
      <w:pPr>
        <w:pStyle w:val="Default"/>
        <w:ind w:left="567" w:hanging="567"/>
        <w:rPr>
          <w:rFonts w:ascii="Times New Roman" w:hAnsi="Times New Roman" w:cs="Times New Roman"/>
          <w:sz w:val="22"/>
          <w:szCs w:val="22"/>
          <w:lang w:val="pt-PT"/>
        </w:rPr>
      </w:pPr>
      <w:r w:rsidRPr="00BD605E">
        <w:rPr>
          <w:rFonts w:ascii="Times New Roman" w:hAnsi="Times New Roman" w:cs="Times New Roman"/>
          <w:sz w:val="22"/>
          <w:szCs w:val="22"/>
          <w:lang w:val="pt-PT"/>
        </w:rPr>
        <w:t xml:space="preserve">• </w:t>
      </w:r>
      <w:r w:rsidRPr="00BD605E">
        <w:rPr>
          <w:rFonts w:ascii="Times New Roman" w:hAnsi="Times New Roman" w:cs="Times New Roman"/>
          <w:sz w:val="22"/>
          <w:szCs w:val="22"/>
          <w:lang w:val="pt-PT"/>
        </w:rPr>
        <w:tab/>
        <w:t>pilvo skausmas, anoreksija, pykinimas, vėmimas, karščiavimas, bendras negalavimas, nuovargis, gelta, šlapimo patamsėjimas, pilkšvos arba vaško spalvos išmatos arba niežėjimas.</w:t>
      </w:r>
    </w:p>
    <w:p w14:paraId="1EF156C4" w14:textId="77777777" w:rsidR="00BF2740" w:rsidRPr="00BD605E" w:rsidRDefault="00BF2740" w:rsidP="008822CE">
      <w:pPr>
        <w:pStyle w:val="BTEMEASMCA"/>
        <w:rPr>
          <w:lang w:val="pt-PT"/>
        </w:rPr>
      </w:pPr>
    </w:p>
    <w:p w14:paraId="2B9A7266" w14:textId="77777777" w:rsidR="00BF2740" w:rsidRPr="004B4520" w:rsidRDefault="00BF2740" w:rsidP="00953DDF">
      <w:pPr>
        <w:pStyle w:val="PI-3EMEASMCA"/>
      </w:pPr>
      <w:r w:rsidRPr="004B4520">
        <w:t>Kiti vaistai ir Trichopol</w:t>
      </w:r>
    </w:p>
    <w:p w14:paraId="5F237AAF" w14:textId="77777777" w:rsidR="00BF2740" w:rsidRPr="00BD605E" w:rsidRDefault="00BF2740" w:rsidP="008822CE">
      <w:pPr>
        <w:pStyle w:val="BTEMEASMCA"/>
        <w:rPr>
          <w:lang w:val="pt-PT"/>
        </w:rPr>
      </w:pPr>
      <w:r w:rsidRPr="00BD605E">
        <w:rPr>
          <w:lang w:val="pt-PT"/>
        </w:rPr>
        <w:t>Jeigu vartojate ar neseniai vartojote kitų vaistų arba dėl to nesate tikri, apie tai pasakykite gydytojui arba vaistininkui.</w:t>
      </w:r>
    </w:p>
    <w:p w14:paraId="6F267E49" w14:textId="77777777" w:rsidR="00BF2740" w:rsidRPr="004B4520" w:rsidRDefault="00BF2740" w:rsidP="00BF2740">
      <w:pPr>
        <w:pStyle w:val="Pagrindinistekstas"/>
        <w:spacing w:after="0"/>
        <w:rPr>
          <w:szCs w:val="22"/>
        </w:rPr>
      </w:pPr>
    </w:p>
    <w:p w14:paraId="32C7BA3F" w14:textId="77777777" w:rsidR="00BF2740" w:rsidRPr="004B4520" w:rsidRDefault="00BF2740" w:rsidP="00BF2740">
      <w:pPr>
        <w:pStyle w:val="Pagrindinistekstas"/>
        <w:numPr>
          <w:ilvl w:val="0"/>
          <w:numId w:val="6"/>
        </w:numPr>
        <w:spacing w:after="0"/>
        <w:ind w:left="567" w:hanging="567"/>
        <w:rPr>
          <w:szCs w:val="22"/>
        </w:rPr>
      </w:pPr>
      <w:r w:rsidRPr="004B4520">
        <w:rPr>
          <w:szCs w:val="22"/>
        </w:rPr>
        <w:t>Pastebėta, kad metronidazolo vartojant kartu su varfarino tipo geriamaisiais antikoaguliantais, gali sustiprėti antikoaguliantų poveikis. Gali prireikti mažinti pastarųjų vaistų dozę. Reikia stebėti protrombino laiką. Sąveikos su heparinu nėra.</w:t>
      </w:r>
    </w:p>
    <w:p w14:paraId="3340C2F4" w14:textId="77777777" w:rsidR="00BF2740" w:rsidRPr="004B4520" w:rsidRDefault="00BF2740" w:rsidP="00BF2740">
      <w:pPr>
        <w:pStyle w:val="Pagrindinistekstas"/>
        <w:numPr>
          <w:ilvl w:val="0"/>
          <w:numId w:val="6"/>
        </w:numPr>
        <w:spacing w:after="0"/>
        <w:ind w:left="567" w:hanging="567"/>
        <w:rPr>
          <w:szCs w:val="22"/>
        </w:rPr>
      </w:pPr>
      <w:r w:rsidRPr="004B4520">
        <w:rPr>
          <w:szCs w:val="22"/>
        </w:rPr>
        <w:t>Pastebėta, kad metronidazolo vartojant kartu su ličio preparatais, organizme gali kauptis litis ir dėl to gali būti pažeisti inkstai. Prieš pradedant vartoti metronidazolo, ličio dozę reikia mažinti arba gydymą juo nutraukti. Metronidazolo vartojant kartu su ličio preparatais, reikia stebėti ličio, kreatinino bei elektrolitų koncentracijas pacientų kraujo plazmoje.</w:t>
      </w:r>
    </w:p>
    <w:p w14:paraId="5683C9BB" w14:textId="77777777" w:rsidR="00BF2740" w:rsidRPr="004B4520" w:rsidRDefault="00BF2740" w:rsidP="00BF2740">
      <w:pPr>
        <w:pStyle w:val="Pagrindinistekstas"/>
        <w:numPr>
          <w:ilvl w:val="0"/>
          <w:numId w:val="6"/>
        </w:numPr>
        <w:spacing w:after="0"/>
        <w:ind w:left="567" w:hanging="567"/>
        <w:rPr>
          <w:szCs w:val="22"/>
        </w:rPr>
      </w:pPr>
      <w:r w:rsidRPr="004B4520">
        <w:rPr>
          <w:szCs w:val="22"/>
        </w:rPr>
        <w:t>Fenobarbitalio vartojantiems pacientams metronidazolas metabolizuojamas žymiai greičiau nei įprastai; pusinės metronidazolo eliminacijos laikas sutrumpėja iki maždaug 3 valandų.</w:t>
      </w:r>
    </w:p>
    <w:p w14:paraId="18DEE287" w14:textId="77777777" w:rsidR="00BF2740" w:rsidRPr="004B4520" w:rsidRDefault="00BF2740" w:rsidP="00BF2740">
      <w:pPr>
        <w:pStyle w:val="Pagrindinistekstas"/>
        <w:numPr>
          <w:ilvl w:val="0"/>
          <w:numId w:val="6"/>
        </w:numPr>
        <w:spacing w:after="0"/>
        <w:ind w:left="567" w:hanging="567"/>
        <w:rPr>
          <w:szCs w:val="22"/>
        </w:rPr>
      </w:pPr>
      <w:r w:rsidRPr="004B4520">
        <w:rPr>
          <w:szCs w:val="22"/>
        </w:rPr>
        <w:t>Metronidazolas mažina 5-fluorouracilo klirensą, todėl gali sustiprėti toksinis 5-fluorouracilo poveikis.</w:t>
      </w:r>
    </w:p>
    <w:p w14:paraId="39A5157B" w14:textId="77777777" w:rsidR="00BF2740" w:rsidRPr="004B4520" w:rsidRDefault="00BF2740" w:rsidP="00BF2740">
      <w:pPr>
        <w:pStyle w:val="Pagrindinistekstas"/>
        <w:numPr>
          <w:ilvl w:val="0"/>
          <w:numId w:val="6"/>
        </w:numPr>
        <w:spacing w:after="0"/>
        <w:ind w:left="567" w:hanging="567"/>
        <w:rPr>
          <w:szCs w:val="22"/>
        </w:rPr>
      </w:pPr>
      <w:r w:rsidRPr="004B4520">
        <w:rPr>
          <w:szCs w:val="22"/>
        </w:rPr>
        <w:t>Ciklosporino vartojantiems pacientams gali padidėti šio vaisto koncentracija kraujo serume. Metronidazolo vartojant kartu su ciklosporinu, reikia atidžiai stebėti ciklosporino ir kreatinino koncentracijas pacientų kraujo serume.</w:t>
      </w:r>
    </w:p>
    <w:p w14:paraId="0D35F19E" w14:textId="77777777" w:rsidR="00BF2740" w:rsidRPr="004B4520" w:rsidRDefault="00BF2740" w:rsidP="00BF2740">
      <w:pPr>
        <w:pStyle w:val="Pagrindinistekstas"/>
        <w:numPr>
          <w:ilvl w:val="0"/>
          <w:numId w:val="6"/>
        </w:numPr>
        <w:spacing w:after="0"/>
        <w:ind w:left="567" w:hanging="567"/>
        <w:rPr>
          <w:szCs w:val="22"/>
        </w:rPr>
      </w:pPr>
      <w:r w:rsidRPr="004B4520">
        <w:rPr>
          <w:szCs w:val="22"/>
        </w:rPr>
        <w:t>Metronidazolas sulėtina fenitoino metabolizmą (padidėja koncentracija kraujo plazmoje).</w:t>
      </w:r>
    </w:p>
    <w:p w14:paraId="6982FD62" w14:textId="77777777" w:rsidR="00BF2740" w:rsidRPr="004B4520" w:rsidRDefault="00BF2740" w:rsidP="00BF2740">
      <w:pPr>
        <w:pStyle w:val="Pagrindinistekstas"/>
        <w:numPr>
          <w:ilvl w:val="0"/>
          <w:numId w:val="6"/>
        </w:numPr>
        <w:spacing w:after="0"/>
        <w:ind w:left="567" w:hanging="567"/>
        <w:rPr>
          <w:szCs w:val="22"/>
        </w:rPr>
      </w:pPr>
      <w:r w:rsidRPr="004B4520">
        <w:rPr>
          <w:szCs w:val="22"/>
        </w:rPr>
        <w:t>Metronidazolo vartojant kartu su disulfiramu, gali pasireikšti ūmi psichozė. Gydymą metronidazolu galima pradėti tik praėjus dviem savaitėms po gydymo disulfiramu nutraukimo.</w:t>
      </w:r>
    </w:p>
    <w:p w14:paraId="613F8146" w14:textId="77777777" w:rsidR="00BF2740" w:rsidRPr="00BD605E" w:rsidRDefault="00BF2740" w:rsidP="008822CE">
      <w:pPr>
        <w:pStyle w:val="BTEMEASMCA"/>
        <w:rPr>
          <w:lang w:val="lt-LT"/>
        </w:rPr>
      </w:pPr>
    </w:p>
    <w:p w14:paraId="5C4F511D" w14:textId="77777777" w:rsidR="00BF2740" w:rsidRPr="004B4520" w:rsidRDefault="00BF2740" w:rsidP="00953DDF">
      <w:pPr>
        <w:pStyle w:val="PI-3EMEASMCA"/>
      </w:pPr>
      <w:r w:rsidRPr="004B4520">
        <w:t>Trichopol vartojimas su maistu, gėrimais ir alkoholiu</w:t>
      </w:r>
    </w:p>
    <w:p w14:paraId="69E7BAF2" w14:textId="77777777" w:rsidR="00BF2740" w:rsidRPr="004B4520" w:rsidRDefault="00BF2740" w:rsidP="00BF2740">
      <w:pPr>
        <w:pStyle w:val="Pagrindinistekstas"/>
        <w:spacing w:after="0"/>
        <w:rPr>
          <w:szCs w:val="22"/>
        </w:rPr>
      </w:pPr>
      <w:r w:rsidRPr="004B4520">
        <w:rPr>
          <w:szCs w:val="22"/>
        </w:rPr>
        <w:t>Metronidazolas stiprina toksinį alkoholio poveikį. Vartojant alkoholio kartu su vaistu, gali pasireikšti nepageidaujamų reakcijų: karščio pylimas, prakaitavimas, galvos skausmas, pykinimas, vėmimas, viršutinės pilvo dalies skausmas. Gydymosi metronidazolu metu ir mažiausiai 48 valandas po to nevartoti alkoholio, kadangi gali pasireikšti į disulfiramo poveikį panašių reakcijų (abstinencijai būdingų reakcijų).</w:t>
      </w:r>
    </w:p>
    <w:p w14:paraId="79FBC7F4" w14:textId="77777777" w:rsidR="00BF2740" w:rsidRPr="00BD605E" w:rsidRDefault="00BF2740" w:rsidP="008822CE">
      <w:pPr>
        <w:pStyle w:val="BTEMEASMCA"/>
        <w:rPr>
          <w:lang w:val="lt-LT"/>
        </w:rPr>
      </w:pPr>
    </w:p>
    <w:p w14:paraId="4B32C703" w14:textId="77777777" w:rsidR="00BF2740" w:rsidRPr="004B4520" w:rsidRDefault="00BF2740" w:rsidP="00953DDF">
      <w:pPr>
        <w:pStyle w:val="PI-3EMEASMCA"/>
      </w:pPr>
      <w:r w:rsidRPr="004B4520">
        <w:t>Nėštumas ir žindymo laikotarpis</w:t>
      </w:r>
    </w:p>
    <w:p w14:paraId="7609A32A" w14:textId="77777777" w:rsidR="00BF2740" w:rsidRPr="00BD605E" w:rsidRDefault="00BF2740" w:rsidP="008822CE">
      <w:pPr>
        <w:pStyle w:val="BTEMEASMCA"/>
        <w:rPr>
          <w:lang w:val="lt-LT"/>
        </w:rPr>
      </w:pPr>
      <w:r w:rsidRPr="00BD605E">
        <w:rPr>
          <w:lang w:val="lt-LT"/>
        </w:rPr>
        <w:t>Jeigu esate nėščia, žindote kūdikį, manote, kad galbūt esate nėščia arba planuojate pastoti, tai prieš vartodama šį vaistą pasitarkite su gydytoju arba vaistininku.</w:t>
      </w:r>
    </w:p>
    <w:p w14:paraId="6AC583BB" w14:textId="77777777" w:rsidR="00BF2740" w:rsidRPr="004B4520" w:rsidRDefault="00BF2740" w:rsidP="00BF2740">
      <w:pPr>
        <w:rPr>
          <w:sz w:val="22"/>
          <w:szCs w:val="22"/>
        </w:rPr>
      </w:pPr>
    </w:p>
    <w:p w14:paraId="365B9857" w14:textId="77777777" w:rsidR="00BF2740" w:rsidRPr="004B4520" w:rsidRDefault="00BF2740" w:rsidP="00BF2740">
      <w:pPr>
        <w:rPr>
          <w:sz w:val="22"/>
          <w:szCs w:val="22"/>
          <w:u w:val="single"/>
        </w:rPr>
      </w:pPr>
      <w:r w:rsidRPr="004B4520">
        <w:rPr>
          <w:sz w:val="22"/>
          <w:szCs w:val="22"/>
          <w:u w:val="single"/>
        </w:rPr>
        <w:t>Nėštumas</w:t>
      </w:r>
    </w:p>
    <w:p w14:paraId="72F021BC" w14:textId="77777777" w:rsidR="00BF2740" w:rsidRPr="004B4520" w:rsidRDefault="00BF2740" w:rsidP="00BF2740">
      <w:pPr>
        <w:rPr>
          <w:sz w:val="22"/>
          <w:szCs w:val="22"/>
        </w:rPr>
      </w:pPr>
      <w:r w:rsidRPr="004B4520">
        <w:rPr>
          <w:sz w:val="22"/>
          <w:szCs w:val="22"/>
        </w:rPr>
        <w:t>Pirmuosius tris nėštumo mėnesius metronidazolo vartoti draudžiama.</w:t>
      </w:r>
    </w:p>
    <w:p w14:paraId="014B2B3A" w14:textId="77777777" w:rsidR="00BF2740" w:rsidRPr="004B4520" w:rsidRDefault="00BF2740" w:rsidP="00BF2740">
      <w:pPr>
        <w:rPr>
          <w:sz w:val="22"/>
          <w:szCs w:val="22"/>
        </w:rPr>
      </w:pPr>
      <w:r w:rsidRPr="004B4520">
        <w:rPr>
          <w:sz w:val="22"/>
          <w:szCs w:val="22"/>
        </w:rPr>
        <w:t>II ir III nėštumo trimestro metu vaisto galima vartoti tik tokiu atveju, jei gydytojo nuomone, vaisto vartojimo nauda motinai didesnė už žalingo poveikio vaisiui pavojų.</w:t>
      </w:r>
    </w:p>
    <w:p w14:paraId="3BC60259" w14:textId="77777777" w:rsidR="00BF2740" w:rsidRPr="00BD605E" w:rsidRDefault="00BF2740" w:rsidP="008822CE">
      <w:pPr>
        <w:pStyle w:val="BTEMEASMCA"/>
        <w:rPr>
          <w:lang w:val="lt-LT"/>
        </w:rPr>
      </w:pPr>
    </w:p>
    <w:p w14:paraId="3654E59A" w14:textId="77777777" w:rsidR="00BF2740" w:rsidRPr="004B4520" w:rsidRDefault="00BF2740" w:rsidP="00BF2740">
      <w:pPr>
        <w:rPr>
          <w:sz w:val="22"/>
          <w:szCs w:val="22"/>
          <w:u w:val="single"/>
        </w:rPr>
      </w:pPr>
      <w:r w:rsidRPr="004B4520">
        <w:rPr>
          <w:sz w:val="22"/>
          <w:szCs w:val="22"/>
          <w:u w:val="single"/>
        </w:rPr>
        <w:t>Žindymas</w:t>
      </w:r>
    </w:p>
    <w:p w14:paraId="71F91F02" w14:textId="77777777" w:rsidR="00BF2740" w:rsidRPr="004B4520" w:rsidRDefault="00BF2740" w:rsidP="00BF2740">
      <w:pPr>
        <w:rPr>
          <w:sz w:val="22"/>
          <w:szCs w:val="22"/>
        </w:rPr>
      </w:pPr>
      <w:r w:rsidRPr="004B4520">
        <w:rPr>
          <w:sz w:val="22"/>
          <w:szCs w:val="22"/>
        </w:rPr>
        <w:t>Metronidazolo patenka į motinos pieną, todėl šio vaisto žindyvei reikėtų nevartoti. Jei vaisto vartoti būtina, gydymo metu žindymą reikia nutraukti.</w:t>
      </w:r>
    </w:p>
    <w:p w14:paraId="7D27764D" w14:textId="77777777" w:rsidR="00BF2740" w:rsidRPr="00BD605E" w:rsidRDefault="00BF2740" w:rsidP="008822CE">
      <w:pPr>
        <w:pStyle w:val="BTEMEASMCA"/>
        <w:rPr>
          <w:lang w:val="lt-LT"/>
        </w:rPr>
      </w:pPr>
    </w:p>
    <w:p w14:paraId="6DF25B6F" w14:textId="77777777" w:rsidR="00BF2740" w:rsidRPr="004B4520" w:rsidRDefault="00BF2740" w:rsidP="00953DDF">
      <w:pPr>
        <w:pStyle w:val="PI-3EMEASMCA"/>
      </w:pPr>
      <w:r w:rsidRPr="004B4520">
        <w:t>Vairavimas ir mechanizmų valdymas</w:t>
      </w:r>
    </w:p>
    <w:p w14:paraId="05AAAE15" w14:textId="77777777" w:rsidR="00BF2740" w:rsidRPr="00BD605E" w:rsidRDefault="00BF2740" w:rsidP="008822CE">
      <w:pPr>
        <w:pStyle w:val="BTEMEASMCA"/>
        <w:rPr>
          <w:lang w:val="lt-LT"/>
        </w:rPr>
      </w:pPr>
      <w:r w:rsidRPr="00BD605E">
        <w:rPr>
          <w:lang w:val="lt-LT"/>
        </w:rPr>
        <w:t>Retkarčiais metronidazolas gali sukelti mieguistumą, galvos svaigimą, sumišimą, haliucinacijų, traukulių ar praeinančių regos sutrikimų. Jei Jums pasireiškia šių simptomų, vairuoti ar valdyti mechanizmų negalima.</w:t>
      </w:r>
    </w:p>
    <w:p w14:paraId="7FE51FBC" w14:textId="77777777" w:rsidR="00BF2740" w:rsidRPr="00BD605E" w:rsidRDefault="00BF2740" w:rsidP="008822CE">
      <w:pPr>
        <w:pStyle w:val="BTEMEASMCA"/>
        <w:rPr>
          <w:lang w:val="lt-LT"/>
        </w:rPr>
      </w:pPr>
      <w:r w:rsidRPr="00BD605E">
        <w:rPr>
          <w:lang w:val="lt-LT"/>
        </w:rPr>
        <w:t>Duomenų, rodančių kad vairuoti ar valdyti mechanizmus negalima, nėra.</w:t>
      </w:r>
    </w:p>
    <w:p w14:paraId="13FF73C6" w14:textId="77777777" w:rsidR="00BF2740" w:rsidRPr="00BD605E" w:rsidRDefault="00BF2740" w:rsidP="008822CE">
      <w:pPr>
        <w:pStyle w:val="BTEMEASMCA"/>
        <w:rPr>
          <w:lang w:val="lt-LT"/>
        </w:rPr>
      </w:pPr>
    </w:p>
    <w:p w14:paraId="4A092BCD" w14:textId="77777777" w:rsidR="00BF2740" w:rsidRPr="00BD605E" w:rsidRDefault="00BF2740" w:rsidP="008822CE">
      <w:pPr>
        <w:pStyle w:val="BTEMEASMCA"/>
        <w:rPr>
          <w:lang w:val="lt-LT"/>
        </w:rPr>
      </w:pPr>
      <w:r w:rsidRPr="00BD605E">
        <w:rPr>
          <w:lang w:val="lt-LT"/>
        </w:rPr>
        <w:lastRenderedPageBreak/>
        <w:t>Trichopol sudėtyje yra gliukozės</w:t>
      </w:r>
    </w:p>
    <w:p w14:paraId="5CE22C24" w14:textId="77777777" w:rsidR="00BF2740" w:rsidRPr="00BD605E" w:rsidRDefault="00BF2740" w:rsidP="008822CE">
      <w:pPr>
        <w:pStyle w:val="BTEMEASMCA"/>
        <w:rPr>
          <w:lang w:val="lt-LT"/>
        </w:rPr>
      </w:pPr>
      <w:r w:rsidRPr="00BD605E">
        <w:rPr>
          <w:lang w:val="lt-LT"/>
        </w:rPr>
        <w:t>Jeigu gydytojas Jums yra sakęs, kad netoleruojate kokių nors angliavandenių, kreipkitės į jį prieš pradėdami vartoti šį vaistą.</w:t>
      </w:r>
    </w:p>
    <w:p w14:paraId="6BC444A8" w14:textId="77777777" w:rsidR="00BF2740" w:rsidRPr="00BD605E" w:rsidRDefault="00BF2740" w:rsidP="008822CE">
      <w:pPr>
        <w:pStyle w:val="BTEMEASMCA"/>
        <w:rPr>
          <w:lang w:val="lt-LT"/>
        </w:rPr>
      </w:pPr>
    </w:p>
    <w:p w14:paraId="638ACA3B" w14:textId="77777777" w:rsidR="00BF2740" w:rsidRPr="00BD605E" w:rsidRDefault="00BF2740" w:rsidP="008822CE">
      <w:pPr>
        <w:pStyle w:val="BTEMEASMCA"/>
        <w:rPr>
          <w:lang w:val="lt-LT"/>
        </w:rPr>
      </w:pPr>
    </w:p>
    <w:p w14:paraId="5E7D142C" w14:textId="6AEBFD4F" w:rsidR="00BF2740" w:rsidRPr="004B4520" w:rsidRDefault="00BF2740" w:rsidP="005F53BD">
      <w:pPr>
        <w:pStyle w:val="PI-1EMEASMCA"/>
      </w:pPr>
      <w:bookmarkStart w:id="72" w:name="_Toc129243141"/>
      <w:bookmarkStart w:id="73" w:name="_Toc129243266"/>
      <w:r w:rsidRPr="004B4520">
        <w:t>3.</w:t>
      </w:r>
      <w:r w:rsidRPr="004B4520">
        <w:tab/>
      </w:r>
      <w:bookmarkEnd w:id="72"/>
      <w:bookmarkEnd w:id="73"/>
      <w:r w:rsidRPr="004B4520">
        <w:t>Kaip vartoti Trichopol</w:t>
      </w:r>
    </w:p>
    <w:p w14:paraId="7F7BB48C" w14:textId="77777777" w:rsidR="00BF2740" w:rsidRPr="00BD605E" w:rsidRDefault="00BF2740" w:rsidP="008822CE">
      <w:pPr>
        <w:pStyle w:val="BTEMEASMCA"/>
        <w:rPr>
          <w:lang w:val="lt-LT"/>
        </w:rPr>
      </w:pPr>
    </w:p>
    <w:p w14:paraId="47CA5386" w14:textId="77777777" w:rsidR="00BF2740" w:rsidRPr="00BD605E" w:rsidRDefault="00BF2740" w:rsidP="008822CE">
      <w:pPr>
        <w:pStyle w:val="BTEMEASMCA"/>
        <w:rPr>
          <w:lang w:val="lt-LT"/>
        </w:rPr>
      </w:pPr>
      <w:r w:rsidRPr="00BD605E">
        <w:rPr>
          <w:lang w:val="lt-LT"/>
        </w:rPr>
        <w:t>Visada vartokite šį vaistą tiksliai kaip nurodė gydytojas. Jeigu abejojate, kreipkitės į gydytoją arba vaistininką.</w:t>
      </w:r>
    </w:p>
    <w:p w14:paraId="37F30E7A" w14:textId="77777777" w:rsidR="00BF2740" w:rsidRPr="00BD605E" w:rsidRDefault="00BF2740" w:rsidP="008822CE">
      <w:pPr>
        <w:pStyle w:val="BTEMEASMCA"/>
        <w:rPr>
          <w:lang w:val="lt-LT"/>
        </w:rPr>
      </w:pPr>
    </w:p>
    <w:p w14:paraId="027F2D26" w14:textId="77777777" w:rsidR="00BF2740" w:rsidRPr="004B4520" w:rsidRDefault="00BF2740" w:rsidP="008822CE">
      <w:pPr>
        <w:pStyle w:val="BTEMEASMCA"/>
      </w:pPr>
      <w:r w:rsidRPr="004B4520">
        <w:t>Vaistą reikia vartoti per burną.</w:t>
      </w:r>
    </w:p>
    <w:p w14:paraId="63F3C193" w14:textId="77777777" w:rsidR="00BF2740" w:rsidRPr="004B4520" w:rsidRDefault="00BF2740" w:rsidP="008822CE">
      <w:pPr>
        <w:pStyle w:val="BTEMEASMCA"/>
      </w:pPr>
    </w:p>
    <w:p w14:paraId="19561C25" w14:textId="77777777" w:rsidR="00BF2740" w:rsidRPr="004B4520" w:rsidRDefault="00BF2740" w:rsidP="00BF2740">
      <w:pPr>
        <w:pStyle w:val="Pagrindinistekstas"/>
        <w:spacing w:after="0"/>
        <w:rPr>
          <w:i/>
          <w:szCs w:val="22"/>
          <w:u w:val="single"/>
        </w:rPr>
      </w:pPr>
      <w:r w:rsidRPr="004B4520">
        <w:rPr>
          <w:i/>
          <w:szCs w:val="22"/>
          <w:u w:val="single"/>
        </w:rPr>
        <w:t>Trichomonozė</w:t>
      </w:r>
    </w:p>
    <w:p w14:paraId="1782659A" w14:textId="77777777" w:rsidR="00BF2740" w:rsidRPr="004B4520" w:rsidRDefault="00BF2740" w:rsidP="00BF2740">
      <w:pPr>
        <w:pStyle w:val="Pagrindinistekstas"/>
        <w:spacing w:after="0"/>
        <w:rPr>
          <w:i/>
          <w:szCs w:val="22"/>
        </w:rPr>
      </w:pPr>
      <w:r w:rsidRPr="004B4520">
        <w:rPr>
          <w:i/>
          <w:szCs w:val="22"/>
        </w:rPr>
        <w:t xml:space="preserve">Pastaba. </w:t>
      </w:r>
      <w:r w:rsidRPr="004B4520">
        <w:rPr>
          <w:szCs w:val="22"/>
        </w:rPr>
        <w:t>Vienu metu turi būti gydomas ir seksualinis partneris.</w:t>
      </w:r>
      <w:r w:rsidRPr="004B4520">
        <w:rPr>
          <w:i/>
          <w:szCs w:val="22"/>
        </w:rPr>
        <w:t xml:space="preserve"> </w:t>
      </w:r>
    </w:p>
    <w:p w14:paraId="0080743B" w14:textId="77777777" w:rsidR="00BF2740" w:rsidRPr="004B4520" w:rsidRDefault="00BF2740" w:rsidP="00BF2740">
      <w:pPr>
        <w:pStyle w:val="Pagrindinistekstas"/>
        <w:spacing w:after="0"/>
        <w:rPr>
          <w:szCs w:val="22"/>
        </w:rPr>
      </w:pPr>
      <w:r w:rsidRPr="004B4520">
        <w:rPr>
          <w:i/>
          <w:szCs w:val="22"/>
        </w:rPr>
        <w:t>Moterims:</w:t>
      </w:r>
      <w:r w:rsidRPr="004B4520">
        <w:rPr>
          <w:szCs w:val="22"/>
        </w:rPr>
        <w:t xml:space="preserve"> po 250 mg tris kartus per parą ryte ir vakare valgio metu 7 paras.</w:t>
      </w:r>
    </w:p>
    <w:p w14:paraId="5AF7A026" w14:textId="77777777" w:rsidR="00BF2740" w:rsidRPr="004B4520" w:rsidRDefault="00BF2740" w:rsidP="00BF2740">
      <w:pPr>
        <w:pStyle w:val="Pagrindinistekstas"/>
        <w:spacing w:after="0"/>
        <w:rPr>
          <w:szCs w:val="22"/>
        </w:rPr>
      </w:pPr>
      <w:r w:rsidRPr="004B4520">
        <w:rPr>
          <w:i/>
          <w:szCs w:val="22"/>
        </w:rPr>
        <w:t>Vyrams:</w:t>
      </w:r>
      <w:r w:rsidRPr="004B4520">
        <w:rPr>
          <w:szCs w:val="22"/>
        </w:rPr>
        <w:t xml:space="preserve"> po 250 mg tris kartus per parą ryte ir vakare valgio metu 7 paras. </w:t>
      </w:r>
    </w:p>
    <w:p w14:paraId="68C7ABCB" w14:textId="77777777" w:rsidR="00BF2740" w:rsidRPr="004B4520" w:rsidRDefault="00BF2740" w:rsidP="00BF2740">
      <w:pPr>
        <w:pStyle w:val="Pagrindinistekstas"/>
        <w:spacing w:after="0"/>
        <w:rPr>
          <w:szCs w:val="22"/>
        </w:rPr>
      </w:pPr>
    </w:p>
    <w:p w14:paraId="4F1675D1" w14:textId="77777777" w:rsidR="00BF2740" w:rsidRPr="004B4520" w:rsidRDefault="00BF2740" w:rsidP="00BF2740">
      <w:pPr>
        <w:pStyle w:val="Pagrindinistekstas"/>
        <w:spacing w:after="0"/>
        <w:rPr>
          <w:i/>
          <w:szCs w:val="22"/>
          <w:u w:val="single"/>
        </w:rPr>
      </w:pPr>
      <w:r w:rsidRPr="004B4520">
        <w:rPr>
          <w:i/>
          <w:szCs w:val="22"/>
          <w:u w:val="single"/>
        </w:rPr>
        <w:t>Amebiazė</w:t>
      </w:r>
    </w:p>
    <w:p w14:paraId="2BB2C26C" w14:textId="77777777" w:rsidR="00BF2740" w:rsidRPr="004B4520" w:rsidRDefault="00BF2740" w:rsidP="00BF2740">
      <w:pPr>
        <w:pStyle w:val="Pagrindinistekstas"/>
        <w:spacing w:after="0"/>
        <w:rPr>
          <w:i/>
          <w:szCs w:val="22"/>
        </w:rPr>
      </w:pPr>
    </w:p>
    <w:tbl>
      <w:tblPr>
        <w:tblW w:w="475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1818"/>
        <w:gridCol w:w="1119"/>
        <w:gridCol w:w="1608"/>
        <w:gridCol w:w="1410"/>
        <w:gridCol w:w="1326"/>
        <w:gridCol w:w="1326"/>
      </w:tblGrid>
      <w:tr w:rsidR="00BF2740" w:rsidRPr="004B4520" w14:paraId="00E61407" w14:textId="77777777" w:rsidTr="00EE1531">
        <w:trPr>
          <w:tblCellSpacing w:w="0" w:type="dxa"/>
          <w:jc w:val="center"/>
        </w:trPr>
        <w:tc>
          <w:tcPr>
            <w:tcW w:w="1838" w:type="dxa"/>
            <w:vMerge w:val="restart"/>
          </w:tcPr>
          <w:p w14:paraId="03D96781" w14:textId="77777777" w:rsidR="00BF2740" w:rsidRPr="004B4520" w:rsidRDefault="00BF2740" w:rsidP="00EE1531">
            <w:pPr>
              <w:rPr>
                <w:sz w:val="22"/>
                <w:szCs w:val="22"/>
              </w:rPr>
            </w:pPr>
            <w:r w:rsidRPr="004B4520">
              <w:rPr>
                <w:sz w:val="22"/>
                <w:szCs w:val="22"/>
              </w:rPr>
              <w:t> </w:t>
            </w:r>
          </w:p>
          <w:p w14:paraId="4664712B" w14:textId="77777777" w:rsidR="00BF2740" w:rsidRPr="004B4520" w:rsidRDefault="00BF2740" w:rsidP="00EE1531">
            <w:pPr>
              <w:rPr>
                <w:sz w:val="22"/>
                <w:szCs w:val="22"/>
              </w:rPr>
            </w:pPr>
            <w:r w:rsidRPr="004B4520">
              <w:rPr>
                <w:sz w:val="22"/>
                <w:szCs w:val="22"/>
              </w:rPr>
              <w:t> </w:t>
            </w:r>
          </w:p>
        </w:tc>
        <w:tc>
          <w:tcPr>
            <w:tcW w:w="1133" w:type="dxa"/>
            <w:vMerge w:val="restart"/>
          </w:tcPr>
          <w:p w14:paraId="16564608" w14:textId="77777777" w:rsidR="00BF2740" w:rsidRPr="004B4520" w:rsidRDefault="00BF2740" w:rsidP="00EE1531">
            <w:pPr>
              <w:rPr>
                <w:sz w:val="22"/>
                <w:szCs w:val="22"/>
              </w:rPr>
            </w:pPr>
            <w:r w:rsidRPr="004B4520">
              <w:rPr>
                <w:b/>
                <w:bCs/>
                <w:sz w:val="22"/>
                <w:szCs w:val="22"/>
              </w:rPr>
              <w:t>Gydymo trukmė paromis</w:t>
            </w:r>
          </w:p>
        </w:tc>
        <w:tc>
          <w:tcPr>
            <w:tcW w:w="1532" w:type="dxa"/>
            <w:vMerge w:val="restart"/>
          </w:tcPr>
          <w:p w14:paraId="06C9585B" w14:textId="77777777" w:rsidR="00BF2740" w:rsidRPr="004B4520" w:rsidRDefault="00BF2740" w:rsidP="00EE1531">
            <w:pPr>
              <w:rPr>
                <w:sz w:val="22"/>
                <w:szCs w:val="22"/>
              </w:rPr>
            </w:pPr>
            <w:r w:rsidRPr="004B4520">
              <w:rPr>
                <w:b/>
                <w:bCs/>
                <w:sz w:val="22"/>
                <w:szCs w:val="22"/>
              </w:rPr>
              <w:t>Suaugusiesiems ir vyresniems kaip 10 metų vaikams</w:t>
            </w:r>
          </w:p>
        </w:tc>
        <w:tc>
          <w:tcPr>
            <w:tcW w:w="4228" w:type="dxa"/>
            <w:gridSpan w:val="3"/>
          </w:tcPr>
          <w:p w14:paraId="754F5E6B" w14:textId="77777777" w:rsidR="00BF2740" w:rsidRPr="004B4520" w:rsidRDefault="00BF2740" w:rsidP="00EE1531">
            <w:pPr>
              <w:rPr>
                <w:sz w:val="22"/>
                <w:szCs w:val="22"/>
              </w:rPr>
            </w:pPr>
            <w:r w:rsidRPr="004B4520">
              <w:rPr>
                <w:b/>
                <w:bCs/>
                <w:sz w:val="22"/>
                <w:szCs w:val="22"/>
              </w:rPr>
              <w:t>Vaikams</w:t>
            </w:r>
          </w:p>
        </w:tc>
      </w:tr>
      <w:tr w:rsidR="00BF2740" w:rsidRPr="004B4520" w14:paraId="654B297A" w14:textId="77777777" w:rsidTr="00EE1531">
        <w:trPr>
          <w:tblCellSpacing w:w="0" w:type="dxa"/>
          <w:jc w:val="center"/>
        </w:trPr>
        <w:tc>
          <w:tcPr>
            <w:tcW w:w="0" w:type="auto"/>
            <w:vMerge/>
            <w:vAlign w:val="center"/>
          </w:tcPr>
          <w:p w14:paraId="159B0C6A" w14:textId="77777777" w:rsidR="00BF2740" w:rsidRPr="004B4520" w:rsidRDefault="00BF2740" w:rsidP="00EE1531">
            <w:pPr>
              <w:rPr>
                <w:sz w:val="22"/>
                <w:szCs w:val="22"/>
              </w:rPr>
            </w:pPr>
          </w:p>
        </w:tc>
        <w:tc>
          <w:tcPr>
            <w:tcW w:w="0" w:type="auto"/>
            <w:vMerge/>
            <w:vAlign w:val="center"/>
          </w:tcPr>
          <w:p w14:paraId="7837F700" w14:textId="77777777" w:rsidR="00BF2740" w:rsidRPr="004B4520" w:rsidRDefault="00BF2740" w:rsidP="00EE1531">
            <w:pPr>
              <w:rPr>
                <w:sz w:val="22"/>
                <w:szCs w:val="22"/>
              </w:rPr>
            </w:pPr>
          </w:p>
        </w:tc>
        <w:tc>
          <w:tcPr>
            <w:tcW w:w="0" w:type="auto"/>
            <w:vMerge/>
            <w:vAlign w:val="center"/>
          </w:tcPr>
          <w:p w14:paraId="160BC50F" w14:textId="77777777" w:rsidR="00BF2740" w:rsidRPr="004B4520" w:rsidRDefault="00BF2740" w:rsidP="00EE1531">
            <w:pPr>
              <w:rPr>
                <w:sz w:val="22"/>
                <w:szCs w:val="22"/>
              </w:rPr>
            </w:pPr>
          </w:p>
        </w:tc>
        <w:tc>
          <w:tcPr>
            <w:tcW w:w="1470" w:type="dxa"/>
          </w:tcPr>
          <w:p w14:paraId="5C938AAB" w14:textId="77777777" w:rsidR="00BF2740" w:rsidRPr="004B4520" w:rsidRDefault="00BF2740" w:rsidP="00EE1531">
            <w:pPr>
              <w:rPr>
                <w:sz w:val="22"/>
                <w:szCs w:val="22"/>
              </w:rPr>
            </w:pPr>
            <w:r w:rsidRPr="004B4520">
              <w:rPr>
                <w:b/>
                <w:bCs/>
                <w:sz w:val="22"/>
                <w:szCs w:val="22"/>
              </w:rPr>
              <w:t>7-10 metų</w:t>
            </w:r>
          </w:p>
        </w:tc>
        <w:tc>
          <w:tcPr>
            <w:tcW w:w="1379" w:type="dxa"/>
          </w:tcPr>
          <w:p w14:paraId="233BA122" w14:textId="77777777" w:rsidR="00BF2740" w:rsidRPr="004B4520" w:rsidRDefault="00BF2740" w:rsidP="00EE1531">
            <w:pPr>
              <w:rPr>
                <w:sz w:val="22"/>
                <w:szCs w:val="22"/>
              </w:rPr>
            </w:pPr>
            <w:r w:rsidRPr="004B4520">
              <w:rPr>
                <w:b/>
                <w:bCs/>
                <w:sz w:val="22"/>
                <w:szCs w:val="22"/>
              </w:rPr>
              <w:t>3-7 metų</w:t>
            </w:r>
          </w:p>
        </w:tc>
        <w:tc>
          <w:tcPr>
            <w:tcW w:w="1379" w:type="dxa"/>
          </w:tcPr>
          <w:p w14:paraId="41A1551E" w14:textId="77777777" w:rsidR="00BF2740" w:rsidRPr="004B4520" w:rsidRDefault="00BF2740" w:rsidP="00EE1531">
            <w:pPr>
              <w:rPr>
                <w:sz w:val="22"/>
                <w:szCs w:val="22"/>
              </w:rPr>
            </w:pPr>
            <w:r w:rsidRPr="004B4520">
              <w:rPr>
                <w:b/>
                <w:bCs/>
                <w:sz w:val="22"/>
                <w:szCs w:val="22"/>
              </w:rPr>
              <w:t>1-3 metų</w:t>
            </w:r>
          </w:p>
        </w:tc>
      </w:tr>
      <w:tr w:rsidR="00BF2740" w:rsidRPr="004B4520" w14:paraId="6323A898" w14:textId="77777777" w:rsidTr="00EE1531">
        <w:trPr>
          <w:tblCellSpacing w:w="0" w:type="dxa"/>
          <w:jc w:val="center"/>
        </w:trPr>
        <w:tc>
          <w:tcPr>
            <w:tcW w:w="1838" w:type="dxa"/>
          </w:tcPr>
          <w:p w14:paraId="0F831566" w14:textId="77777777" w:rsidR="00BF2740" w:rsidRPr="004B4520" w:rsidRDefault="00BF2740" w:rsidP="00EE1531">
            <w:pPr>
              <w:rPr>
                <w:sz w:val="22"/>
                <w:szCs w:val="22"/>
              </w:rPr>
            </w:pPr>
            <w:r w:rsidRPr="004B4520">
              <w:rPr>
                <w:sz w:val="22"/>
                <w:szCs w:val="22"/>
              </w:rPr>
              <w:t>Invazinė žarnyno amebiazė imliems pacientams</w:t>
            </w:r>
          </w:p>
        </w:tc>
        <w:tc>
          <w:tcPr>
            <w:tcW w:w="1133" w:type="dxa"/>
          </w:tcPr>
          <w:p w14:paraId="32D8A8FF" w14:textId="77777777" w:rsidR="00BF2740" w:rsidRPr="004B4520" w:rsidRDefault="00BF2740" w:rsidP="00EE1531">
            <w:pPr>
              <w:rPr>
                <w:sz w:val="22"/>
                <w:szCs w:val="22"/>
              </w:rPr>
            </w:pPr>
            <w:r w:rsidRPr="004B4520">
              <w:rPr>
                <w:sz w:val="22"/>
                <w:szCs w:val="22"/>
              </w:rPr>
              <w:t>5</w:t>
            </w:r>
          </w:p>
        </w:tc>
        <w:tc>
          <w:tcPr>
            <w:tcW w:w="1532" w:type="dxa"/>
          </w:tcPr>
          <w:p w14:paraId="3CD8084B" w14:textId="77777777" w:rsidR="00BF2740" w:rsidRPr="004B4520" w:rsidRDefault="00BF2740" w:rsidP="00EE1531">
            <w:pPr>
              <w:rPr>
                <w:sz w:val="22"/>
                <w:szCs w:val="22"/>
              </w:rPr>
            </w:pPr>
            <w:r w:rsidRPr="004B4520">
              <w:rPr>
                <w:sz w:val="22"/>
                <w:szCs w:val="22"/>
              </w:rPr>
              <w:t>Po 750 mg tris kartus per parą</w:t>
            </w:r>
          </w:p>
        </w:tc>
        <w:tc>
          <w:tcPr>
            <w:tcW w:w="1470" w:type="dxa"/>
          </w:tcPr>
          <w:p w14:paraId="46C2EDED" w14:textId="77777777" w:rsidR="00BF2740" w:rsidRPr="004B4520" w:rsidRDefault="00BF2740" w:rsidP="00EE1531">
            <w:pPr>
              <w:rPr>
                <w:sz w:val="22"/>
                <w:szCs w:val="22"/>
              </w:rPr>
            </w:pPr>
            <w:r w:rsidRPr="004B4520">
              <w:rPr>
                <w:sz w:val="22"/>
                <w:szCs w:val="22"/>
              </w:rPr>
              <w:t>Po 375 mg tris kartus per parą</w:t>
            </w:r>
          </w:p>
        </w:tc>
        <w:tc>
          <w:tcPr>
            <w:tcW w:w="1379" w:type="dxa"/>
          </w:tcPr>
          <w:p w14:paraId="3F2E7E48" w14:textId="77777777" w:rsidR="00BF2740" w:rsidRPr="004B4520" w:rsidRDefault="00BF2740" w:rsidP="00EE1531">
            <w:pPr>
              <w:rPr>
                <w:sz w:val="22"/>
                <w:szCs w:val="22"/>
              </w:rPr>
            </w:pPr>
            <w:r w:rsidRPr="004B4520">
              <w:rPr>
                <w:sz w:val="22"/>
                <w:szCs w:val="22"/>
              </w:rPr>
              <w:t>Po 250 mg tris kartus per parą</w:t>
            </w:r>
          </w:p>
        </w:tc>
        <w:tc>
          <w:tcPr>
            <w:tcW w:w="1379" w:type="dxa"/>
          </w:tcPr>
          <w:p w14:paraId="75AF5A2F" w14:textId="77777777" w:rsidR="00BF2740" w:rsidRPr="004B4520" w:rsidRDefault="00BF2740" w:rsidP="00EE1531">
            <w:pPr>
              <w:rPr>
                <w:sz w:val="22"/>
                <w:szCs w:val="22"/>
              </w:rPr>
            </w:pPr>
            <w:r w:rsidRPr="004B4520">
              <w:rPr>
                <w:sz w:val="22"/>
                <w:szCs w:val="22"/>
              </w:rPr>
              <w:t>Po 250 mg du kartus per parą</w:t>
            </w:r>
          </w:p>
        </w:tc>
      </w:tr>
      <w:tr w:rsidR="00BF2740" w:rsidRPr="004B4520" w14:paraId="13F5EE9C" w14:textId="77777777" w:rsidTr="00EE1531">
        <w:trPr>
          <w:tblCellSpacing w:w="0" w:type="dxa"/>
          <w:jc w:val="center"/>
        </w:trPr>
        <w:tc>
          <w:tcPr>
            <w:tcW w:w="1838" w:type="dxa"/>
          </w:tcPr>
          <w:p w14:paraId="6A07C23B" w14:textId="77777777" w:rsidR="00BF2740" w:rsidRPr="004B4520" w:rsidRDefault="00BF2740" w:rsidP="00EE1531">
            <w:pPr>
              <w:rPr>
                <w:sz w:val="22"/>
                <w:szCs w:val="22"/>
              </w:rPr>
            </w:pPr>
            <w:r w:rsidRPr="004B4520">
              <w:rPr>
                <w:sz w:val="22"/>
                <w:szCs w:val="22"/>
              </w:rPr>
              <w:t>Žarnyno amebiazė mažiau imliems pacientams ir lėtinis amebinis hepatitas</w:t>
            </w:r>
          </w:p>
        </w:tc>
        <w:tc>
          <w:tcPr>
            <w:tcW w:w="1133" w:type="dxa"/>
          </w:tcPr>
          <w:p w14:paraId="46B34AAB" w14:textId="77777777" w:rsidR="00BF2740" w:rsidRPr="004B4520" w:rsidRDefault="00BF2740" w:rsidP="00EE1531">
            <w:pPr>
              <w:rPr>
                <w:sz w:val="22"/>
                <w:szCs w:val="22"/>
              </w:rPr>
            </w:pPr>
            <w:r w:rsidRPr="004B4520">
              <w:rPr>
                <w:sz w:val="22"/>
                <w:szCs w:val="22"/>
              </w:rPr>
              <w:t>5-10</w:t>
            </w:r>
          </w:p>
        </w:tc>
        <w:tc>
          <w:tcPr>
            <w:tcW w:w="1532" w:type="dxa"/>
          </w:tcPr>
          <w:p w14:paraId="674457E9" w14:textId="77777777" w:rsidR="00BF2740" w:rsidRPr="004B4520" w:rsidRDefault="00BF2740" w:rsidP="00EE1531">
            <w:pPr>
              <w:rPr>
                <w:sz w:val="22"/>
                <w:szCs w:val="22"/>
              </w:rPr>
            </w:pPr>
            <w:r w:rsidRPr="004B4520">
              <w:rPr>
                <w:sz w:val="22"/>
                <w:szCs w:val="22"/>
              </w:rPr>
              <w:t>Po 375 mg tris kartus per parą</w:t>
            </w:r>
          </w:p>
        </w:tc>
        <w:tc>
          <w:tcPr>
            <w:tcW w:w="1470" w:type="dxa"/>
          </w:tcPr>
          <w:p w14:paraId="43ED8506" w14:textId="77777777" w:rsidR="00BF2740" w:rsidRPr="004B4520" w:rsidRDefault="00BF2740" w:rsidP="00EE1531">
            <w:pPr>
              <w:rPr>
                <w:sz w:val="22"/>
                <w:szCs w:val="22"/>
              </w:rPr>
            </w:pPr>
            <w:r w:rsidRPr="004B4520">
              <w:rPr>
                <w:sz w:val="22"/>
                <w:szCs w:val="22"/>
              </w:rPr>
              <w:t>Po 250 mg du kartus per parą</w:t>
            </w:r>
          </w:p>
        </w:tc>
        <w:tc>
          <w:tcPr>
            <w:tcW w:w="1379" w:type="dxa"/>
          </w:tcPr>
          <w:p w14:paraId="0A1508EE" w14:textId="77777777" w:rsidR="00BF2740" w:rsidRPr="004B4520" w:rsidRDefault="00BF2740" w:rsidP="00EE1531">
            <w:pPr>
              <w:rPr>
                <w:sz w:val="22"/>
                <w:szCs w:val="22"/>
              </w:rPr>
            </w:pPr>
            <w:r w:rsidRPr="004B4520">
              <w:rPr>
                <w:sz w:val="22"/>
                <w:szCs w:val="22"/>
              </w:rPr>
              <w:t>Po 125 mg tris kartus per parą</w:t>
            </w:r>
          </w:p>
        </w:tc>
        <w:tc>
          <w:tcPr>
            <w:tcW w:w="1379" w:type="dxa"/>
          </w:tcPr>
          <w:p w14:paraId="64044C74" w14:textId="77777777" w:rsidR="00BF2740" w:rsidRPr="004B4520" w:rsidRDefault="00BF2740" w:rsidP="00EE1531">
            <w:pPr>
              <w:rPr>
                <w:sz w:val="22"/>
                <w:szCs w:val="22"/>
              </w:rPr>
            </w:pPr>
            <w:r w:rsidRPr="004B4520">
              <w:rPr>
                <w:sz w:val="22"/>
                <w:szCs w:val="22"/>
              </w:rPr>
              <w:t>Po 125 mg du kartus per parą</w:t>
            </w:r>
          </w:p>
        </w:tc>
      </w:tr>
      <w:tr w:rsidR="00BF2740" w:rsidRPr="004B4520" w14:paraId="0605C2AB" w14:textId="77777777" w:rsidTr="00EE1531">
        <w:trPr>
          <w:tblCellSpacing w:w="0" w:type="dxa"/>
          <w:jc w:val="center"/>
        </w:trPr>
        <w:tc>
          <w:tcPr>
            <w:tcW w:w="1838" w:type="dxa"/>
          </w:tcPr>
          <w:p w14:paraId="5CCFA2CC" w14:textId="77777777" w:rsidR="00BF2740" w:rsidRPr="004B4520" w:rsidRDefault="00BF2740" w:rsidP="00EE1531">
            <w:pPr>
              <w:rPr>
                <w:sz w:val="22"/>
                <w:szCs w:val="22"/>
              </w:rPr>
            </w:pPr>
            <w:r w:rsidRPr="004B4520">
              <w:rPr>
                <w:sz w:val="22"/>
                <w:szCs w:val="22"/>
              </w:rPr>
              <w:t>Amebinis kepenų pūlinys, taip pat kitų organų amebiazė</w:t>
            </w:r>
          </w:p>
        </w:tc>
        <w:tc>
          <w:tcPr>
            <w:tcW w:w="1133" w:type="dxa"/>
          </w:tcPr>
          <w:p w14:paraId="24A55AEE" w14:textId="77777777" w:rsidR="00BF2740" w:rsidRPr="004B4520" w:rsidRDefault="00BF2740" w:rsidP="00EE1531">
            <w:pPr>
              <w:rPr>
                <w:sz w:val="22"/>
                <w:szCs w:val="22"/>
              </w:rPr>
            </w:pPr>
            <w:r w:rsidRPr="004B4520">
              <w:rPr>
                <w:sz w:val="22"/>
                <w:szCs w:val="22"/>
              </w:rPr>
              <w:t>5</w:t>
            </w:r>
          </w:p>
        </w:tc>
        <w:tc>
          <w:tcPr>
            <w:tcW w:w="1532" w:type="dxa"/>
          </w:tcPr>
          <w:p w14:paraId="769E28BC" w14:textId="77777777" w:rsidR="00BF2740" w:rsidRPr="004B4520" w:rsidRDefault="00BF2740" w:rsidP="00EE1531">
            <w:pPr>
              <w:rPr>
                <w:sz w:val="22"/>
                <w:szCs w:val="22"/>
              </w:rPr>
            </w:pPr>
            <w:r w:rsidRPr="004B4520">
              <w:rPr>
                <w:sz w:val="22"/>
                <w:szCs w:val="22"/>
              </w:rPr>
              <w:t>Po 375 mg tris kartus per parą</w:t>
            </w:r>
          </w:p>
        </w:tc>
        <w:tc>
          <w:tcPr>
            <w:tcW w:w="1470" w:type="dxa"/>
          </w:tcPr>
          <w:p w14:paraId="2C8DB10E" w14:textId="77777777" w:rsidR="00BF2740" w:rsidRPr="004B4520" w:rsidRDefault="00BF2740" w:rsidP="00EE1531">
            <w:pPr>
              <w:rPr>
                <w:sz w:val="22"/>
                <w:szCs w:val="22"/>
              </w:rPr>
            </w:pPr>
            <w:r w:rsidRPr="004B4520">
              <w:rPr>
                <w:sz w:val="22"/>
                <w:szCs w:val="22"/>
              </w:rPr>
              <w:t>Po 250 mg du kartus per parą</w:t>
            </w:r>
          </w:p>
        </w:tc>
        <w:tc>
          <w:tcPr>
            <w:tcW w:w="1379" w:type="dxa"/>
          </w:tcPr>
          <w:p w14:paraId="52CE2A32" w14:textId="77777777" w:rsidR="00BF2740" w:rsidRPr="004B4520" w:rsidRDefault="00BF2740" w:rsidP="00EE1531">
            <w:pPr>
              <w:rPr>
                <w:sz w:val="22"/>
                <w:szCs w:val="22"/>
              </w:rPr>
            </w:pPr>
            <w:r w:rsidRPr="004B4520">
              <w:rPr>
                <w:sz w:val="22"/>
                <w:szCs w:val="22"/>
              </w:rPr>
              <w:t>Po 125 mg tris kartus per parą</w:t>
            </w:r>
          </w:p>
        </w:tc>
        <w:tc>
          <w:tcPr>
            <w:tcW w:w="1379" w:type="dxa"/>
          </w:tcPr>
          <w:p w14:paraId="4A359E46" w14:textId="77777777" w:rsidR="00BF2740" w:rsidRPr="004B4520" w:rsidRDefault="00BF2740" w:rsidP="00EE1531">
            <w:pPr>
              <w:rPr>
                <w:sz w:val="22"/>
                <w:szCs w:val="22"/>
              </w:rPr>
            </w:pPr>
            <w:r w:rsidRPr="004B4520">
              <w:rPr>
                <w:sz w:val="22"/>
                <w:szCs w:val="22"/>
              </w:rPr>
              <w:t>Po 125 mg du kartus per parą</w:t>
            </w:r>
          </w:p>
        </w:tc>
      </w:tr>
      <w:tr w:rsidR="00BF2740" w:rsidRPr="004B4520" w14:paraId="69BF6145" w14:textId="77777777" w:rsidTr="00EE1531">
        <w:trPr>
          <w:tblCellSpacing w:w="0" w:type="dxa"/>
          <w:jc w:val="center"/>
        </w:trPr>
        <w:tc>
          <w:tcPr>
            <w:tcW w:w="1838" w:type="dxa"/>
          </w:tcPr>
          <w:p w14:paraId="2609C86E" w14:textId="77777777" w:rsidR="00BF2740" w:rsidRPr="004B4520" w:rsidRDefault="00BF2740" w:rsidP="00EE1531">
            <w:pPr>
              <w:rPr>
                <w:sz w:val="22"/>
                <w:szCs w:val="22"/>
              </w:rPr>
            </w:pPr>
            <w:r w:rsidRPr="004B4520">
              <w:rPr>
                <w:sz w:val="22"/>
                <w:szCs w:val="22"/>
              </w:rPr>
              <w:t>Besimptomiams cistų nešiotojams</w:t>
            </w:r>
          </w:p>
        </w:tc>
        <w:tc>
          <w:tcPr>
            <w:tcW w:w="1133" w:type="dxa"/>
          </w:tcPr>
          <w:p w14:paraId="605AE12D" w14:textId="77777777" w:rsidR="00BF2740" w:rsidRPr="004B4520" w:rsidRDefault="00BF2740" w:rsidP="00EE1531">
            <w:pPr>
              <w:rPr>
                <w:sz w:val="22"/>
                <w:szCs w:val="22"/>
              </w:rPr>
            </w:pPr>
            <w:r w:rsidRPr="004B4520">
              <w:rPr>
                <w:sz w:val="22"/>
                <w:szCs w:val="22"/>
              </w:rPr>
              <w:t>5-10</w:t>
            </w:r>
          </w:p>
        </w:tc>
        <w:tc>
          <w:tcPr>
            <w:tcW w:w="1532" w:type="dxa"/>
          </w:tcPr>
          <w:p w14:paraId="197D648D" w14:textId="77777777" w:rsidR="00BF2740" w:rsidRPr="004B4520" w:rsidRDefault="00BF2740" w:rsidP="00EE1531">
            <w:pPr>
              <w:rPr>
                <w:sz w:val="22"/>
                <w:szCs w:val="22"/>
              </w:rPr>
            </w:pPr>
            <w:r w:rsidRPr="004B4520">
              <w:rPr>
                <w:sz w:val="22"/>
                <w:szCs w:val="22"/>
              </w:rPr>
              <w:t>Po 375-750 mg tris kartus per parą</w:t>
            </w:r>
          </w:p>
        </w:tc>
        <w:tc>
          <w:tcPr>
            <w:tcW w:w="1470" w:type="dxa"/>
          </w:tcPr>
          <w:p w14:paraId="7A872998" w14:textId="77777777" w:rsidR="00BF2740" w:rsidRPr="004B4520" w:rsidRDefault="00BF2740" w:rsidP="00EE1531">
            <w:pPr>
              <w:rPr>
                <w:sz w:val="22"/>
                <w:szCs w:val="22"/>
              </w:rPr>
            </w:pPr>
            <w:r w:rsidRPr="004B4520">
              <w:rPr>
                <w:sz w:val="22"/>
                <w:szCs w:val="22"/>
              </w:rPr>
              <w:t>Po 250-500 mg du kartus per parą</w:t>
            </w:r>
          </w:p>
        </w:tc>
        <w:tc>
          <w:tcPr>
            <w:tcW w:w="1379" w:type="dxa"/>
          </w:tcPr>
          <w:p w14:paraId="2E53AB26" w14:textId="77777777" w:rsidR="00BF2740" w:rsidRPr="004B4520" w:rsidRDefault="00BF2740" w:rsidP="00EE1531">
            <w:pPr>
              <w:rPr>
                <w:sz w:val="22"/>
                <w:szCs w:val="22"/>
              </w:rPr>
            </w:pPr>
            <w:r w:rsidRPr="004B4520">
              <w:rPr>
                <w:sz w:val="22"/>
                <w:szCs w:val="22"/>
              </w:rPr>
              <w:t>Po 125-250 mg tris kartus per parą</w:t>
            </w:r>
          </w:p>
        </w:tc>
        <w:tc>
          <w:tcPr>
            <w:tcW w:w="1379" w:type="dxa"/>
          </w:tcPr>
          <w:p w14:paraId="5AD99F41" w14:textId="77777777" w:rsidR="00BF2740" w:rsidRPr="004B4520" w:rsidRDefault="00BF2740" w:rsidP="00EE1531">
            <w:pPr>
              <w:rPr>
                <w:sz w:val="22"/>
                <w:szCs w:val="22"/>
              </w:rPr>
            </w:pPr>
            <w:r w:rsidRPr="004B4520">
              <w:rPr>
                <w:sz w:val="22"/>
                <w:szCs w:val="22"/>
              </w:rPr>
              <w:t>Po 125-250 mg du kartus per parą</w:t>
            </w:r>
          </w:p>
        </w:tc>
      </w:tr>
    </w:tbl>
    <w:p w14:paraId="6E037A0B" w14:textId="77777777" w:rsidR="00BF2740" w:rsidRPr="004B4520" w:rsidRDefault="00BF2740" w:rsidP="00BF2740">
      <w:pPr>
        <w:pStyle w:val="Pagrindinistekstas"/>
        <w:spacing w:after="0"/>
        <w:rPr>
          <w:i/>
          <w:szCs w:val="22"/>
        </w:rPr>
      </w:pPr>
    </w:p>
    <w:p w14:paraId="166DDA01" w14:textId="77777777" w:rsidR="00BF2740" w:rsidRPr="004B4520" w:rsidRDefault="00BF2740" w:rsidP="00BF2740">
      <w:pPr>
        <w:pStyle w:val="Pagrindinistekstas"/>
        <w:spacing w:after="0"/>
        <w:rPr>
          <w:i/>
          <w:szCs w:val="22"/>
          <w:u w:val="single"/>
        </w:rPr>
      </w:pPr>
      <w:r w:rsidRPr="004B4520">
        <w:rPr>
          <w:i/>
          <w:szCs w:val="22"/>
          <w:u w:val="single"/>
        </w:rPr>
        <w:t>Giardiazė (liambliozė)</w:t>
      </w:r>
    </w:p>
    <w:p w14:paraId="0F512252" w14:textId="77777777" w:rsidR="00BF2740" w:rsidRPr="004B4520" w:rsidRDefault="00BF2740" w:rsidP="00BF2740">
      <w:pPr>
        <w:pStyle w:val="Pagrindinistekstas"/>
        <w:spacing w:after="0"/>
        <w:rPr>
          <w:i/>
          <w:szCs w:val="22"/>
        </w:rPr>
      </w:pPr>
      <w:r w:rsidRPr="004B4520">
        <w:rPr>
          <w:i/>
          <w:szCs w:val="22"/>
        </w:rPr>
        <w:t>Suaugusiesiems:</w:t>
      </w:r>
    </w:p>
    <w:p w14:paraId="369E61FB" w14:textId="77777777" w:rsidR="00BF2740" w:rsidRPr="004B4520" w:rsidRDefault="00BF2740" w:rsidP="00BF2740">
      <w:pPr>
        <w:pStyle w:val="Pagrindinistekstas"/>
        <w:spacing w:after="0"/>
        <w:rPr>
          <w:szCs w:val="22"/>
        </w:rPr>
      </w:pPr>
      <w:r w:rsidRPr="004B4520">
        <w:rPr>
          <w:szCs w:val="22"/>
        </w:rPr>
        <w:t>Po 500 mg du kartus per parą 7-10 parų arba po 2000 mg vieną kartą per parą 3 paras.</w:t>
      </w:r>
    </w:p>
    <w:p w14:paraId="7521AAE1" w14:textId="77777777" w:rsidR="00BF2740" w:rsidRPr="004B4520" w:rsidRDefault="00BF2740" w:rsidP="00BF2740">
      <w:pPr>
        <w:pStyle w:val="Pagrindinistekstas"/>
        <w:spacing w:after="0"/>
        <w:rPr>
          <w:szCs w:val="22"/>
        </w:rPr>
      </w:pPr>
    </w:p>
    <w:p w14:paraId="27A56BA2" w14:textId="77777777" w:rsidR="00BF2740" w:rsidRPr="004B4520" w:rsidRDefault="00BF2740" w:rsidP="00BF2740">
      <w:pPr>
        <w:pStyle w:val="Pagrindinistekstas"/>
        <w:spacing w:after="0"/>
        <w:rPr>
          <w:i/>
          <w:szCs w:val="22"/>
        </w:rPr>
      </w:pPr>
      <w:r w:rsidRPr="004B4520">
        <w:rPr>
          <w:i/>
          <w:szCs w:val="22"/>
        </w:rPr>
        <w:t>Vaikams:</w:t>
      </w:r>
    </w:p>
    <w:p w14:paraId="101EDCED" w14:textId="77777777" w:rsidR="00BF2740" w:rsidRPr="004B4520" w:rsidRDefault="00BF2740" w:rsidP="00BF2740">
      <w:pPr>
        <w:pStyle w:val="Pagrindinistekstas"/>
        <w:numPr>
          <w:ilvl w:val="0"/>
          <w:numId w:val="3"/>
        </w:numPr>
        <w:tabs>
          <w:tab w:val="clear" w:pos="720"/>
          <w:tab w:val="num" w:pos="567"/>
        </w:tabs>
        <w:spacing w:after="0"/>
        <w:ind w:left="0" w:firstLine="0"/>
        <w:rPr>
          <w:szCs w:val="22"/>
        </w:rPr>
      </w:pPr>
      <w:r w:rsidRPr="004B4520">
        <w:rPr>
          <w:szCs w:val="22"/>
        </w:rPr>
        <w:t xml:space="preserve">1-3 metų – 500 mg per parą 3 paras; </w:t>
      </w:r>
    </w:p>
    <w:p w14:paraId="0B0E36FC" w14:textId="77777777" w:rsidR="00BF2740" w:rsidRPr="004B4520" w:rsidRDefault="00BF2740" w:rsidP="00BF2740">
      <w:pPr>
        <w:pStyle w:val="Pagrindinistekstas"/>
        <w:numPr>
          <w:ilvl w:val="0"/>
          <w:numId w:val="3"/>
        </w:numPr>
        <w:tabs>
          <w:tab w:val="clear" w:pos="720"/>
          <w:tab w:val="num" w:pos="567"/>
        </w:tabs>
        <w:spacing w:after="0"/>
        <w:ind w:left="0" w:firstLine="0"/>
        <w:rPr>
          <w:szCs w:val="22"/>
        </w:rPr>
      </w:pPr>
      <w:r w:rsidRPr="004B4520">
        <w:rPr>
          <w:szCs w:val="22"/>
        </w:rPr>
        <w:t>3-7 metų – 500-750 mg per parą 3 paras;</w:t>
      </w:r>
    </w:p>
    <w:p w14:paraId="3B600E94" w14:textId="77777777" w:rsidR="00BF2740" w:rsidRPr="004B4520" w:rsidRDefault="00BF2740" w:rsidP="00BF2740">
      <w:pPr>
        <w:pStyle w:val="Pagrindinistekstas"/>
        <w:numPr>
          <w:ilvl w:val="0"/>
          <w:numId w:val="3"/>
        </w:numPr>
        <w:tabs>
          <w:tab w:val="clear" w:pos="720"/>
          <w:tab w:val="num" w:pos="567"/>
        </w:tabs>
        <w:spacing w:after="0"/>
        <w:ind w:left="0" w:firstLine="0"/>
        <w:rPr>
          <w:szCs w:val="22"/>
        </w:rPr>
      </w:pPr>
      <w:r w:rsidRPr="004B4520">
        <w:rPr>
          <w:szCs w:val="22"/>
        </w:rPr>
        <w:t>7-10 metų – 1000 mg per parą 3 paras.</w:t>
      </w:r>
    </w:p>
    <w:p w14:paraId="6F1C23F9" w14:textId="77777777" w:rsidR="00BF2740" w:rsidRPr="004B4520" w:rsidRDefault="00BF2740" w:rsidP="00BF2740">
      <w:pPr>
        <w:pStyle w:val="Pagrindinistekstas"/>
        <w:spacing w:after="0"/>
        <w:rPr>
          <w:szCs w:val="22"/>
        </w:rPr>
      </w:pPr>
    </w:p>
    <w:p w14:paraId="259CE9FD" w14:textId="77777777" w:rsidR="00BF2740" w:rsidRPr="004B4520" w:rsidRDefault="00BF2740" w:rsidP="00BF2740">
      <w:pPr>
        <w:pStyle w:val="Pagrindinistekstas"/>
        <w:spacing w:after="0"/>
        <w:rPr>
          <w:szCs w:val="22"/>
        </w:rPr>
      </w:pPr>
      <w:r w:rsidRPr="004B4520">
        <w:rPr>
          <w:szCs w:val="22"/>
        </w:rPr>
        <w:t>Prireikus, gydytojo nurodymu, po 4-6 savaičių gydymą galima kartoti.</w:t>
      </w:r>
    </w:p>
    <w:p w14:paraId="0FC9635C" w14:textId="77777777" w:rsidR="00BF2740" w:rsidRPr="004B4520" w:rsidRDefault="00BF2740" w:rsidP="00BF2740">
      <w:pPr>
        <w:pStyle w:val="Pagrindinistekstas"/>
        <w:spacing w:after="0"/>
        <w:rPr>
          <w:szCs w:val="22"/>
        </w:rPr>
      </w:pPr>
    </w:p>
    <w:p w14:paraId="3BF568BC" w14:textId="77777777" w:rsidR="00BF2740" w:rsidRPr="004B4520" w:rsidRDefault="00BF2740" w:rsidP="00BF2740">
      <w:pPr>
        <w:pStyle w:val="Pagrindinistekstas"/>
        <w:spacing w:after="0"/>
        <w:rPr>
          <w:i/>
          <w:szCs w:val="22"/>
          <w:u w:val="single"/>
        </w:rPr>
      </w:pPr>
      <w:r w:rsidRPr="004B4520">
        <w:rPr>
          <w:i/>
          <w:szCs w:val="22"/>
          <w:u w:val="single"/>
        </w:rPr>
        <w:t xml:space="preserve">Anaerobinių bakterijų </w:t>
      </w:r>
      <w:r w:rsidRPr="004B4520">
        <w:rPr>
          <w:i/>
          <w:iCs/>
          <w:szCs w:val="22"/>
          <w:u w:val="single"/>
        </w:rPr>
        <w:t>sukelta infekcija</w:t>
      </w:r>
      <w:r w:rsidRPr="004B4520">
        <w:rPr>
          <w:i/>
          <w:szCs w:val="22"/>
          <w:u w:val="single"/>
        </w:rPr>
        <w:t xml:space="preserve"> </w:t>
      </w:r>
    </w:p>
    <w:p w14:paraId="50BFC37F" w14:textId="77777777" w:rsidR="00BF2740" w:rsidRPr="004B4520" w:rsidRDefault="00BF2740" w:rsidP="00BF2740">
      <w:pPr>
        <w:pStyle w:val="Pagrindinistekstas"/>
        <w:spacing w:after="0"/>
        <w:rPr>
          <w:szCs w:val="22"/>
        </w:rPr>
      </w:pPr>
      <w:r w:rsidRPr="004B4520">
        <w:rPr>
          <w:szCs w:val="22"/>
        </w:rPr>
        <w:t>Galima vartoti vien metronidazolo arba kartu su kitais antibakteriniais vaistais. Vidutinė gydymo trukmė turėtų būti ne ilgesnė kaip 7 paros.</w:t>
      </w:r>
    </w:p>
    <w:p w14:paraId="67BBB8C0" w14:textId="77777777" w:rsidR="00BF2740" w:rsidRPr="004B4520" w:rsidRDefault="00BF2740" w:rsidP="00BF2740">
      <w:pPr>
        <w:pStyle w:val="Pagrindinistekstas"/>
        <w:spacing w:after="0"/>
        <w:rPr>
          <w:szCs w:val="22"/>
        </w:rPr>
      </w:pPr>
    </w:p>
    <w:p w14:paraId="27AB80E2" w14:textId="77777777" w:rsidR="00BF2740" w:rsidRPr="004B4520" w:rsidRDefault="00BF2740" w:rsidP="00BF2740">
      <w:pPr>
        <w:pStyle w:val="Pagrindinistekstas"/>
        <w:spacing w:after="0"/>
        <w:rPr>
          <w:szCs w:val="22"/>
        </w:rPr>
      </w:pPr>
      <w:r w:rsidRPr="004B4520">
        <w:rPr>
          <w:i/>
          <w:szCs w:val="22"/>
        </w:rPr>
        <w:t>Suaugusiesiems ir vyresniems kaip 12 metų vaikams:</w:t>
      </w:r>
      <w:r w:rsidRPr="004B4520">
        <w:rPr>
          <w:szCs w:val="22"/>
        </w:rPr>
        <w:t xml:space="preserve"> po vieną arba dvi 250 mg tabletes tris kartus per parą valgio metu ar po jo. </w:t>
      </w:r>
    </w:p>
    <w:p w14:paraId="797C1D7D" w14:textId="77777777" w:rsidR="00BF2740" w:rsidRPr="004B4520" w:rsidRDefault="00BF2740" w:rsidP="00BF2740">
      <w:pPr>
        <w:pStyle w:val="Pagrindinistekstas"/>
        <w:spacing w:after="0"/>
        <w:rPr>
          <w:szCs w:val="22"/>
        </w:rPr>
      </w:pPr>
    </w:p>
    <w:p w14:paraId="298437E0" w14:textId="77777777" w:rsidR="00BF2740" w:rsidRPr="004B4520" w:rsidRDefault="00BF2740" w:rsidP="00BF2740">
      <w:pPr>
        <w:pStyle w:val="Pagrindinistekstas"/>
        <w:spacing w:after="0"/>
        <w:rPr>
          <w:szCs w:val="22"/>
        </w:rPr>
      </w:pPr>
      <w:r w:rsidRPr="004B4520">
        <w:rPr>
          <w:i/>
          <w:szCs w:val="22"/>
        </w:rPr>
        <w:t>Vyresniems kaip 8 savaičių kūdikiams - jaunesniems kaip 12 metų vaikams:</w:t>
      </w:r>
      <w:r w:rsidRPr="004B4520">
        <w:rPr>
          <w:szCs w:val="22"/>
        </w:rPr>
        <w:t xml:space="preserve"> 7,5 mg/kg kūno svorio dozė tris kartus per parą valgio metu ar po jo</w:t>
      </w:r>
    </w:p>
    <w:p w14:paraId="506062C4" w14:textId="77777777" w:rsidR="00BF2740" w:rsidRPr="004B4520" w:rsidRDefault="00BF2740" w:rsidP="00BF2740">
      <w:pPr>
        <w:pStyle w:val="Pagrindinistekstas"/>
        <w:spacing w:after="0"/>
        <w:rPr>
          <w:szCs w:val="22"/>
        </w:rPr>
      </w:pPr>
    </w:p>
    <w:p w14:paraId="1CB9E39B" w14:textId="77777777" w:rsidR="00BF2740" w:rsidRPr="004B4520" w:rsidRDefault="00BF2740" w:rsidP="00BF2740">
      <w:pPr>
        <w:pStyle w:val="Pagrindinistekstas"/>
        <w:spacing w:after="0"/>
        <w:rPr>
          <w:szCs w:val="22"/>
        </w:rPr>
      </w:pPr>
      <w:r w:rsidRPr="004B4520">
        <w:rPr>
          <w:i/>
          <w:szCs w:val="22"/>
        </w:rPr>
        <w:t>Jaunesniems kaip 8 savaičių kūdikiams:</w:t>
      </w:r>
      <w:r w:rsidRPr="004B4520">
        <w:rPr>
          <w:szCs w:val="22"/>
        </w:rPr>
        <w:t xml:space="preserve"> 7,5 mg/kg kūno svorio dozė du kartus per parą valgio metu ar po jo. </w:t>
      </w:r>
    </w:p>
    <w:p w14:paraId="225D6217" w14:textId="77777777" w:rsidR="00BF2740" w:rsidRPr="004B4520" w:rsidRDefault="00BF2740" w:rsidP="00BF2740">
      <w:pPr>
        <w:pStyle w:val="Pagrindinistekstas"/>
        <w:spacing w:after="0"/>
        <w:rPr>
          <w:szCs w:val="22"/>
        </w:rPr>
      </w:pPr>
      <w:r w:rsidRPr="004B4520">
        <w:rPr>
          <w:szCs w:val="22"/>
        </w:rPr>
        <w:t xml:space="preserve">Per parą negalima viršyti didžiausios </w:t>
      </w:r>
      <w:smartTag w:uri="urn:schemas-microsoft-com:office:smarttags" w:element="metricconverter">
        <w:smartTagPr>
          <w:attr w:name="ProductID" w:val="4 g"/>
        </w:smartTagPr>
        <w:r w:rsidRPr="004B4520">
          <w:rPr>
            <w:szCs w:val="22"/>
          </w:rPr>
          <w:t>4 g</w:t>
        </w:r>
      </w:smartTag>
      <w:r w:rsidRPr="004B4520">
        <w:rPr>
          <w:szCs w:val="22"/>
        </w:rPr>
        <w:t xml:space="preserve"> dozės.</w:t>
      </w:r>
    </w:p>
    <w:p w14:paraId="7388C958" w14:textId="77777777" w:rsidR="00BF2740" w:rsidRPr="004B4520" w:rsidRDefault="00BF2740" w:rsidP="00BF2740">
      <w:pPr>
        <w:pStyle w:val="Pagrindinistekstas"/>
        <w:spacing w:after="0"/>
        <w:rPr>
          <w:szCs w:val="22"/>
        </w:rPr>
      </w:pPr>
    </w:p>
    <w:p w14:paraId="61A12FA0" w14:textId="77777777" w:rsidR="00BF2740" w:rsidRPr="004B4520" w:rsidRDefault="00BF2740" w:rsidP="00BF2740">
      <w:pPr>
        <w:pStyle w:val="Pagrindinistekstas"/>
        <w:spacing w:after="0"/>
        <w:rPr>
          <w:szCs w:val="22"/>
        </w:rPr>
      </w:pPr>
      <w:r w:rsidRPr="004B4520">
        <w:rPr>
          <w:i/>
          <w:szCs w:val="22"/>
          <w:u w:val="single"/>
        </w:rPr>
        <w:t>Helicobacter pylori infekcijai išnaikinti sergant skrandžio ar dvylikapirštės žarnos opalige</w:t>
      </w:r>
    </w:p>
    <w:p w14:paraId="7FACF44C" w14:textId="77777777" w:rsidR="00BF2740" w:rsidRPr="00BD605E" w:rsidRDefault="00BF2740" w:rsidP="008822CE">
      <w:pPr>
        <w:pStyle w:val="BTEMEASMCA"/>
        <w:rPr>
          <w:lang w:val="lt-LT"/>
        </w:rPr>
      </w:pPr>
      <w:r w:rsidRPr="00BD605E">
        <w:rPr>
          <w:lang w:val="lt-LT"/>
        </w:rPr>
        <w:t xml:space="preserve">Metronidazolo reikia vartoti mažiausiai 7 dienas kartu su kitais </w:t>
      </w:r>
      <w:r w:rsidRPr="00BD605E">
        <w:rPr>
          <w:i/>
          <w:lang w:val="lt-LT"/>
        </w:rPr>
        <w:t>Helicobacter pylori</w:t>
      </w:r>
      <w:r w:rsidRPr="00BD605E">
        <w:rPr>
          <w:lang w:val="lt-LT"/>
        </w:rPr>
        <w:t xml:space="preserve"> infekcijai naikinti rekomenduojamais vaistais.</w:t>
      </w:r>
    </w:p>
    <w:p w14:paraId="29250C62" w14:textId="77777777" w:rsidR="00BF2740" w:rsidRPr="004B4520" w:rsidRDefault="00BF2740" w:rsidP="00BF2740">
      <w:pPr>
        <w:pStyle w:val="Pagrindinistekstas"/>
        <w:spacing w:after="0"/>
        <w:rPr>
          <w:szCs w:val="22"/>
        </w:rPr>
      </w:pPr>
    </w:p>
    <w:p w14:paraId="0D58E059" w14:textId="77777777" w:rsidR="00BF2740" w:rsidRPr="004B4520" w:rsidRDefault="00BF2740" w:rsidP="00BF2740">
      <w:pPr>
        <w:pStyle w:val="Pagrindinistekstas"/>
        <w:spacing w:after="0"/>
        <w:rPr>
          <w:szCs w:val="22"/>
        </w:rPr>
      </w:pPr>
      <w:r w:rsidRPr="004B4520">
        <w:rPr>
          <w:i/>
          <w:szCs w:val="22"/>
        </w:rPr>
        <w:t>Suaugusiesiems:</w:t>
      </w:r>
      <w:r w:rsidRPr="004B4520">
        <w:rPr>
          <w:szCs w:val="22"/>
        </w:rPr>
        <w:t xml:space="preserve"> po 500 mg 2-3 kartus per parą 7-14 parų.</w:t>
      </w:r>
    </w:p>
    <w:p w14:paraId="25A37A85" w14:textId="77777777" w:rsidR="00BF2740" w:rsidRPr="004B4520" w:rsidRDefault="00BF2740" w:rsidP="00BF2740">
      <w:pPr>
        <w:pStyle w:val="Pagrindinistekstas"/>
        <w:spacing w:after="0"/>
        <w:rPr>
          <w:szCs w:val="22"/>
        </w:rPr>
      </w:pPr>
    </w:p>
    <w:p w14:paraId="0B9FFF09" w14:textId="77777777" w:rsidR="00BF2740" w:rsidRPr="004B4520" w:rsidRDefault="00BF2740" w:rsidP="00BF2740">
      <w:pPr>
        <w:pStyle w:val="Pagrindinistekstas"/>
        <w:spacing w:after="0"/>
        <w:rPr>
          <w:szCs w:val="22"/>
        </w:rPr>
      </w:pPr>
      <w:r w:rsidRPr="004B4520">
        <w:rPr>
          <w:i/>
          <w:szCs w:val="22"/>
        </w:rPr>
        <w:t>Vaikams:</w:t>
      </w:r>
      <w:r w:rsidRPr="004B4520">
        <w:rPr>
          <w:szCs w:val="22"/>
        </w:rPr>
        <w:t xml:space="preserve"> kaip sudėtinė kombinuotojo gydymo dalis, 20 mg/kg kūno svorio/per parą, neviršijant 500 mg 2 kartus per parą 7-14 parų.</w:t>
      </w:r>
    </w:p>
    <w:p w14:paraId="1407B106" w14:textId="77777777" w:rsidR="00BF2740" w:rsidRPr="004B4520" w:rsidRDefault="00BF2740" w:rsidP="00BF2740">
      <w:pPr>
        <w:contextualSpacing/>
        <w:outlineLvl w:val="0"/>
        <w:rPr>
          <w:i/>
          <w:iCs/>
          <w:sz w:val="22"/>
          <w:szCs w:val="22"/>
        </w:rPr>
      </w:pPr>
    </w:p>
    <w:p w14:paraId="061EE1DD" w14:textId="77777777" w:rsidR="00BF2740" w:rsidRPr="004B4520" w:rsidRDefault="00BF2740" w:rsidP="00BF2740">
      <w:pPr>
        <w:contextualSpacing/>
        <w:outlineLvl w:val="0"/>
        <w:rPr>
          <w:i/>
          <w:iCs/>
          <w:sz w:val="22"/>
          <w:szCs w:val="22"/>
        </w:rPr>
      </w:pPr>
      <w:r w:rsidRPr="004B4520">
        <w:rPr>
          <w:i/>
          <w:iCs/>
          <w:sz w:val="22"/>
          <w:szCs w:val="22"/>
        </w:rPr>
        <w:t>Senyviems  pacientams</w:t>
      </w:r>
    </w:p>
    <w:p w14:paraId="69CB94FA" w14:textId="31B81D7C" w:rsidR="00BF2740" w:rsidRPr="00BD605E" w:rsidRDefault="00BF2740" w:rsidP="008822CE">
      <w:pPr>
        <w:pStyle w:val="BTEMEASMCA"/>
        <w:rPr>
          <w:lang w:val="pl-PL"/>
        </w:rPr>
      </w:pPr>
      <w:r w:rsidRPr="00BD605E">
        <w:rPr>
          <w:lang w:val="pl-PL"/>
        </w:rPr>
        <w:t>Specialių dozavimo rekomendacijų nėra.</w:t>
      </w:r>
    </w:p>
    <w:p w14:paraId="421F35C7" w14:textId="77777777" w:rsidR="00BF2740" w:rsidRPr="004B4520" w:rsidRDefault="00BF2740" w:rsidP="00BF2740">
      <w:pPr>
        <w:pStyle w:val="Pagrindinistekstas"/>
        <w:spacing w:after="0"/>
        <w:rPr>
          <w:i/>
          <w:szCs w:val="22"/>
        </w:rPr>
      </w:pPr>
    </w:p>
    <w:p w14:paraId="425EEFE8" w14:textId="0AAAC74B" w:rsidR="00BF2740" w:rsidRPr="004B4520" w:rsidRDefault="00BF2740" w:rsidP="00BF2740">
      <w:pPr>
        <w:pStyle w:val="Pagrindinistekstas"/>
        <w:spacing w:after="0"/>
        <w:rPr>
          <w:i/>
          <w:szCs w:val="22"/>
        </w:rPr>
      </w:pPr>
      <w:r w:rsidRPr="004B4520">
        <w:rPr>
          <w:i/>
          <w:szCs w:val="22"/>
        </w:rPr>
        <w:t>Pacientams, kurių kepenų funkcija</w:t>
      </w:r>
      <w:r w:rsidR="00CA5763">
        <w:rPr>
          <w:i/>
          <w:szCs w:val="22"/>
        </w:rPr>
        <w:t xml:space="preserve"> sutrikusi</w:t>
      </w:r>
    </w:p>
    <w:p w14:paraId="4F265E3D" w14:textId="77777777" w:rsidR="00BF2740" w:rsidRPr="00BD605E" w:rsidRDefault="00BF2740" w:rsidP="008822CE">
      <w:pPr>
        <w:pStyle w:val="BTEMEASMCA"/>
        <w:rPr>
          <w:lang w:val="lt-LT"/>
        </w:rPr>
      </w:pPr>
      <w:r w:rsidRPr="00BD605E">
        <w:rPr>
          <w:lang w:val="lt-LT"/>
        </w:rPr>
        <w:t>Pacientams, kuriems yra hepatinė encefalopatija, Trichopol reikia vartoti atsargiai. Paros dozę reikia sumažinti iki trečdalio įprastinės, ją galima vartoti per vieną kartą.</w:t>
      </w:r>
    </w:p>
    <w:p w14:paraId="0DFA2487" w14:textId="77777777" w:rsidR="00BF2740" w:rsidRPr="004B4520" w:rsidRDefault="00BF2740" w:rsidP="00BF2740">
      <w:pPr>
        <w:pStyle w:val="Pagrindinistekstas"/>
        <w:spacing w:after="0"/>
        <w:rPr>
          <w:szCs w:val="22"/>
        </w:rPr>
      </w:pPr>
    </w:p>
    <w:p w14:paraId="505804C4" w14:textId="71AC5526" w:rsidR="00BF2740" w:rsidRPr="004B4520" w:rsidRDefault="00BF2740" w:rsidP="00BF2740">
      <w:pPr>
        <w:pStyle w:val="Pagrindinistekstas"/>
        <w:spacing w:after="0"/>
        <w:rPr>
          <w:i/>
          <w:szCs w:val="22"/>
        </w:rPr>
      </w:pPr>
      <w:r w:rsidRPr="004B4520">
        <w:rPr>
          <w:i/>
          <w:szCs w:val="22"/>
        </w:rPr>
        <w:t>Pacientams, kurių inkstų funkcija</w:t>
      </w:r>
      <w:r w:rsidR="00CA5763">
        <w:rPr>
          <w:i/>
          <w:szCs w:val="22"/>
        </w:rPr>
        <w:t xml:space="preserve"> sutrikusi</w:t>
      </w:r>
    </w:p>
    <w:p w14:paraId="5BBBB61B" w14:textId="77777777" w:rsidR="00BF2740" w:rsidRPr="00BD605E" w:rsidRDefault="00BF2740" w:rsidP="008822CE">
      <w:pPr>
        <w:pStyle w:val="BTEMEASMCA"/>
        <w:rPr>
          <w:lang w:val="lt-LT"/>
        </w:rPr>
      </w:pPr>
      <w:r w:rsidRPr="00BD605E">
        <w:rPr>
          <w:lang w:val="lt-LT"/>
        </w:rPr>
        <w:t>Kai yra inkstų funkcijos nepakankamumas, pusinės metronidazolo eliminacijos laikas nesikeičia. Todėl metronidazolo dozės mažinti nereikia. Tačiau šiems pacientams kaupiasi metronidazolo metabolitų. Pastarųjų klinikinė reikšmė iki šiol nežinoma.</w:t>
      </w:r>
    </w:p>
    <w:p w14:paraId="4B462105" w14:textId="77777777" w:rsidR="00BF2740" w:rsidRPr="00BD605E" w:rsidRDefault="00BF2740" w:rsidP="008822CE">
      <w:pPr>
        <w:pStyle w:val="BTEMEASMCA"/>
        <w:rPr>
          <w:lang w:val="lt-LT"/>
        </w:rPr>
      </w:pPr>
      <w:r w:rsidRPr="00BD605E">
        <w:rPr>
          <w:lang w:val="lt-LT"/>
        </w:rPr>
        <w:t>Pacientams, kuriems atliekama hemodializė, metronidazolas ir jo metabolitai visiškai pašalinami aštuonių valandų trukmės dializės metu. Todėl metronidazolo reikia vėl vartoti iškart po hemodializės.</w:t>
      </w:r>
    </w:p>
    <w:p w14:paraId="5C6D9648" w14:textId="77777777" w:rsidR="00BF2740" w:rsidRPr="00BD605E" w:rsidRDefault="00BF2740" w:rsidP="008822CE">
      <w:pPr>
        <w:pStyle w:val="BTEMEASMCA"/>
        <w:rPr>
          <w:lang w:val="lt-LT"/>
        </w:rPr>
      </w:pPr>
      <w:r w:rsidRPr="00BD605E">
        <w:rPr>
          <w:lang w:val="lt-LT"/>
        </w:rPr>
        <w:t xml:space="preserve">Inkstų funkcijos nepakankamumu sergantiems pacientams, kuriems atliekama protarpinė peritoninė dializė ar nuolatinė ambulatorinė peritoninė dializė, koreguoti Trichopol dozės paprastai nereikia. </w:t>
      </w:r>
    </w:p>
    <w:p w14:paraId="732B1D59" w14:textId="77777777" w:rsidR="00BF2740" w:rsidRPr="00BD605E" w:rsidRDefault="00BF2740" w:rsidP="008822CE">
      <w:pPr>
        <w:pStyle w:val="BTEMEASMCA"/>
        <w:rPr>
          <w:lang w:val="lt-LT"/>
        </w:rPr>
      </w:pPr>
    </w:p>
    <w:p w14:paraId="5811CD53" w14:textId="7B4B7F13" w:rsidR="00BF2740" w:rsidRPr="004B4520" w:rsidRDefault="00BF2740" w:rsidP="00953DDF">
      <w:pPr>
        <w:pStyle w:val="PI-3EMEASMCA"/>
      </w:pPr>
      <w:r w:rsidRPr="004B4520">
        <w:t>Ką daryti pavartojus per didelę Trichopol dozę</w:t>
      </w:r>
    </w:p>
    <w:p w14:paraId="3DFEDBDE" w14:textId="77777777" w:rsidR="00BF2740" w:rsidRPr="004B4520" w:rsidRDefault="00BF2740" w:rsidP="00BF2740">
      <w:pPr>
        <w:rPr>
          <w:sz w:val="22"/>
          <w:szCs w:val="22"/>
        </w:rPr>
      </w:pPr>
      <w:r w:rsidRPr="004B4520">
        <w:rPr>
          <w:sz w:val="22"/>
          <w:szCs w:val="22"/>
        </w:rPr>
        <w:t xml:space="preserve">Jei Jūs ar kas nors kitas pavartojo didesnę dozę nei buvo paskirta, nedelsiant kreipkitės į gydytoją ar vaistininką. </w:t>
      </w:r>
    </w:p>
    <w:p w14:paraId="7545B102" w14:textId="77777777" w:rsidR="00BF2740" w:rsidRPr="00BD605E" w:rsidRDefault="00BF2740" w:rsidP="008822CE">
      <w:pPr>
        <w:pStyle w:val="BTEMEASMCA"/>
        <w:rPr>
          <w:lang w:val="lt-LT"/>
        </w:rPr>
      </w:pPr>
    </w:p>
    <w:p w14:paraId="0DA48002" w14:textId="77777777" w:rsidR="00BF2740" w:rsidRPr="004B4520" w:rsidRDefault="00BF2740" w:rsidP="00953DDF">
      <w:pPr>
        <w:pStyle w:val="PI-3EMEASMCA"/>
      </w:pPr>
      <w:r w:rsidRPr="004B4520">
        <w:t>Pamiršus pavartoti Trichopol</w:t>
      </w:r>
    </w:p>
    <w:p w14:paraId="7ACF7DF4" w14:textId="77777777" w:rsidR="00BF2740" w:rsidRPr="004B4520" w:rsidRDefault="00BF2740" w:rsidP="00BF2740">
      <w:pPr>
        <w:pStyle w:val="Pagrindinistekstas"/>
        <w:spacing w:after="0"/>
        <w:rPr>
          <w:szCs w:val="22"/>
        </w:rPr>
      </w:pPr>
      <w:r w:rsidRPr="004B4520">
        <w:rPr>
          <w:szCs w:val="22"/>
        </w:rPr>
        <w:t xml:space="preserve">Pamiršus pavartoti šio vaisto, dozę vartokite kai tik prisiminsite. </w:t>
      </w:r>
    </w:p>
    <w:p w14:paraId="051FE072" w14:textId="77777777" w:rsidR="00BF2740" w:rsidRPr="004B4520" w:rsidRDefault="00BF2740" w:rsidP="00BF2740">
      <w:pPr>
        <w:pStyle w:val="Pagrindinistekstas"/>
        <w:spacing w:after="0"/>
        <w:rPr>
          <w:szCs w:val="22"/>
        </w:rPr>
      </w:pPr>
      <w:r w:rsidRPr="004B4520">
        <w:rPr>
          <w:szCs w:val="22"/>
        </w:rPr>
        <w:t>Negalima vartoti dvigubos dozės norint kompensuoti praleistą dozę. Toliau vaisto reikia vartoti taip, kaip paskirta.</w:t>
      </w:r>
    </w:p>
    <w:p w14:paraId="32F230FC" w14:textId="77777777" w:rsidR="00BF2740" w:rsidRPr="00BD605E" w:rsidRDefault="00BF2740" w:rsidP="008822CE">
      <w:pPr>
        <w:pStyle w:val="BTEMEASMCA"/>
        <w:rPr>
          <w:lang w:val="lt-LT"/>
        </w:rPr>
      </w:pPr>
    </w:p>
    <w:p w14:paraId="104DF689" w14:textId="77777777" w:rsidR="00BF2740" w:rsidRPr="004B4520" w:rsidRDefault="00BF2740" w:rsidP="00953DDF">
      <w:pPr>
        <w:pStyle w:val="PI-3EMEASMCA"/>
      </w:pPr>
      <w:r w:rsidRPr="004B4520">
        <w:t>Nustojus vartoti Trichopol</w:t>
      </w:r>
    </w:p>
    <w:p w14:paraId="19F7A815" w14:textId="77777777" w:rsidR="00BF2740" w:rsidRPr="00BD605E" w:rsidRDefault="00BF2740" w:rsidP="008822CE">
      <w:pPr>
        <w:pStyle w:val="BTEMEASMCA"/>
        <w:rPr>
          <w:lang w:val="lt-LT"/>
        </w:rPr>
      </w:pPr>
      <w:r w:rsidRPr="00BD605E">
        <w:rPr>
          <w:lang w:val="lt-LT"/>
        </w:rPr>
        <w:t>Jeigu kiltų daugiau klausimų dėl šio vaisto vartojimo, kreipkitės į gydytoją.</w:t>
      </w:r>
    </w:p>
    <w:p w14:paraId="4CF7FDF4" w14:textId="77777777" w:rsidR="00BF2740" w:rsidRPr="00BD605E" w:rsidRDefault="00BF2740" w:rsidP="008822CE">
      <w:pPr>
        <w:pStyle w:val="BTEMEASMCA"/>
        <w:rPr>
          <w:lang w:val="lt-LT"/>
        </w:rPr>
      </w:pPr>
    </w:p>
    <w:p w14:paraId="60D648B0" w14:textId="77777777" w:rsidR="00BF2740" w:rsidRPr="00BD605E" w:rsidRDefault="00BF2740" w:rsidP="008822CE">
      <w:pPr>
        <w:pStyle w:val="BTEMEASMCA"/>
        <w:rPr>
          <w:lang w:val="lt-LT"/>
        </w:rPr>
      </w:pPr>
    </w:p>
    <w:p w14:paraId="17AF79FB" w14:textId="2AEED857" w:rsidR="00BF2740" w:rsidRPr="004B4520" w:rsidRDefault="00BF2740" w:rsidP="005F53BD">
      <w:pPr>
        <w:pStyle w:val="PI-1EMEASMCA"/>
      </w:pPr>
      <w:bookmarkStart w:id="74" w:name="_Toc129243142"/>
      <w:bookmarkStart w:id="75" w:name="_Toc129243267"/>
      <w:r w:rsidRPr="004B4520">
        <w:t>4.</w:t>
      </w:r>
      <w:r w:rsidRPr="004B4520">
        <w:tab/>
      </w:r>
      <w:bookmarkEnd w:id="74"/>
      <w:bookmarkEnd w:id="75"/>
      <w:r w:rsidRPr="004B4520">
        <w:t>Galimas šalutinis poveikis</w:t>
      </w:r>
    </w:p>
    <w:p w14:paraId="41E75731" w14:textId="77777777" w:rsidR="00BF2740" w:rsidRPr="00BD605E" w:rsidRDefault="00BF2740" w:rsidP="008822CE">
      <w:pPr>
        <w:pStyle w:val="BTEMEASMCA"/>
        <w:rPr>
          <w:lang w:val="lt-LT"/>
        </w:rPr>
      </w:pPr>
    </w:p>
    <w:p w14:paraId="6308D7CD" w14:textId="77777777" w:rsidR="00BF2740" w:rsidRPr="00BD605E" w:rsidRDefault="00BF2740" w:rsidP="008822CE">
      <w:pPr>
        <w:pStyle w:val="BTEMEASMCA"/>
        <w:rPr>
          <w:lang w:val="lt-LT"/>
        </w:rPr>
      </w:pPr>
      <w:r w:rsidRPr="00BD605E">
        <w:rPr>
          <w:lang w:val="lt-LT"/>
        </w:rPr>
        <w:t>Šis vaistas, kaip ir visi kiti, gali sukelti šalutinį poveikį, nors jis pasireiškia ne visiems žmonėms.</w:t>
      </w:r>
    </w:p>
    <w:p w14:paraId="654BCDFA" w14:textId="77777777" w:rsidR="00BF2740" w:rsidRPr="00BD605E" w:rsidRDefault="00BF2740" w:rsidP="008822CE">
      <w:pPr>
        <w:pStyle w:val="BTEMEASMCA"/>
        <w:rPr>
          <w:lang w:val="lt-LT"/>
        </w:rPr>
      </w:pPr>
    </w:p>
    <w:p w14:paraId="2829EF5A" w14:textId="3F502851" w:rsidR="00BF2740" w:rsidRPr="00BD605E" w:rsidRDefault="00BF2740" w:rsidP="008822CE">
      <w:pPr>
        <w:pStyle w:val="BTEMEASMCA"/>
        <w:rPr>
          <w:lang w:val="lt-LT"/>
        </w:rPr>
      </w:pPr>
    </w:p>
    <w:p w14:paraId="2238927D" w14:textId="532510F2" w:rsidR="00026EF8" w:rsidRPr="00BD605E" w:rsidRDefault="00026EF8" w:rsidP="008822CE">
      <w:pPr>
        <w:pStyle w:val="BTEMEASMCA"/>
        <w:rPr>
          <w:lang w:val="lt-LT"/>
        </w:rPr>
      </w:pPr>
      <w:r w:rsidRPr="00BD605E">
        <w:rPr>
          <w:snapToGrid w:val="0"/>
          <w:lang w:val="lt-LT"/>
        </w:rPr>
        <w:t>Labai dažni šalutinio poveikio reiškiniai (gali pasireikšti ne rečiau kaip 1 iš 10 asmenų):</w:t>
      </w:r>
    </w:p>
    <w:p w14:paraId="6BD00903" w14:textId="77777777" w:rsidR="00BF2740" w:rsidRPr="00BD605E" w:rsidRDefault="00BF2740" w:rsidP="008822CE">
      <w:pPr>
        <w:pStyle w:val="BTEMEASMCA"/>
        <w:rPr>
          <w:lang w:val="pl-PL"/>
        </w:rPr>
      </w:pPr>
      <w:r w:rsidRPr="00BD605E">
        <w:rPr>
          <w:lang w:val="pl-PL"/>
        </w:rPr>
        <w:t xml:space="preserve">Pykinimas (12%), kurio metu kartais skauda galvą, džiūsta burna, juntamas metalo skonis. </w:t>
      </w:r>
    </w:p>
    <w:p w14:paraId="26F6B692" w14:textId="77777777" w:rsidR="00BF2740" w:rsidRPr="00BD605E" w:rsidRDefault="00BF2740" w:rsidP="008822CE">
      <w:pPr>
        <w:pStyle w:val="BTEMEASMCA"/>
        <w:rPr>
          <w:lang w:val="pl-PL"/>
        </w:rPr>
      </w:pPr>
      <w:r w:rsidRPr="00BD605E">
        <w:rPr>
          <w:lang w:val="pl-PL"/>
        </w:rPr>
        <w:t>Nedažni (pasireiškia mažiau nei 1 iš 100 žmonių)</w:t>
      </w:r>
    </w:p>
    <w:p w14:paraId="61C6C9E4" w14:textId="77777777" w:rsidR="00BF2740" w:rsidRPr="00E37C18" w:rsidRDefault="00BF2740" w:rsidP="008822CE">
      <w:pPr>
        <w:pStyle w:val="BTEMEASMCA"/>
      </w:pPr>
      <w:r w:rsidRPr="00E37C18">
        <w:lastRenderedPageBreak/>
        <w:t>Vėmimas, viduriavimas, pilvo negalavimas, vidurių užkietėjimas.</w:t>
      </w:r>
    </w:p>
    <w:p w14:paraId="22096D94" w14:textId="77777777" w:rsidR="00026EF8" w:rsidRPr="00E37C18" w:rsidRDefault="00026EF8" w:rsidP="008822CE">
      <w:pPr>
        <w:pStyle w:val="BTEMEASMCA"/>
      </w:pPr>
    </w:p>
    <w:p w14:paraId="6AC70DB9" w14:textId="18267C5C" w:rsidR="00026EF8" w:rsidRDefault="00026EF8" w:rsidP="008822CE">
      <w:pPr>
        <w:pStyle w:val="BTEMEASMCA"/>
        <w:rPr>
          <w:iCs/>
        </w:rPr>
      </w:pPr>
      <w:r w:rsidRPr="005D554B">
        <w:rPr>
          <w:snapToGrid w:val="0"/>
        </w:rPr>
        <w:t>Reti šalutinio poveikio reiškiniai (gali pasireikšti rečiau kaip 1 iš 1 000 asmenų):</w:t>
      </w:r>
    </w:p>
    <w:p w14:paraId="76EF3866" w14:textId="29458333" w:rsidR="00BF2740" w:rsidRPr="00E37C18" w:rsidRDefault="00BF2740" w:rsidP="008822CE">
      <w:pPr>
        <w:pStyle w:val="BTEMEASMCA"/>
      </w:pPr>
      <w:r w:rsidRPr="00E37C18">
        <w:rPr>
          <w:iCs/>
        </w:rPr>
        <w:t>L</w:t>
      </w:r>
      <w:r w:rsidRPr="00E37C18">
        <w:t>iežuvio apnašos, burnos ertmės mikozė.</w:t>
      </w:r>
    </w:p>
    <w:p w14:paraId="52539771" w14:textId="77777777" w:rsidR="00BF2740" w:rsidRPr="00E37C18" w:rsidRDefault="00BF2740" w:rsidP="008822CE">
      <w:pPr>
        <w:pStyle w:val="BTEMEASMCA"/>
      </w:pPr>
      <w:r w:rsidRPr="00E37C18">
        <w:rPr>
          <w:iCs/>
        </w:rPr>
        <w:t>Vidutinio sunkumo l</w:t>
      </w:r>
      <w:r w:rsidRPr="00E37C18">
        <w:t>eukopenija (leukocitų skaičius visuomet sunormalėja iki baigiant gydymą ar jį baigus), agranuliocitozė, neutropenija, trombocitopenija ir pancitopenija (dažnai grįžtama nutraukus vaisto vartojimą; nors ir labai retai, gali lemti mirtį).</w:t>
      </w:r>
    </w:p>
    <w:p w14:paraId="6BE5A396" w14:textId="77777777" w:rsidR="00BF2740" w:rsidRPr="00E37C18" w:rsidRDefault="00BF2740" w:rsidP="008822CE">
      <w:pPr>
        <w:pStyle w:val="BTEMEASMCA"/>
      </w:pPr>
      <w:r w:rsidRPr="00E37C18">
        <w:t>Periferinė neuropatija, kuriai būdingas galūnių tirpimas, dilgčiojimo pojūtis ar parestezija. Daugeliu atveju neuropatijos reiškiniai išnyko nutraukus vaisto vartojimą ar sumažinus vaisto dozę; taip pat gali pasireikšti galvos skausmas ir svaigimas, sutrikusi judesių koordinacija, mieguistumas.</w:t>
      </w:r>
    </w:p>
    <w:p w14:paraId="63C1B404" w14:textId="77777777" w:rsidR="00BF2740" w:rsidRPr="00E37C18" w:rsidRDefault="00BF2740" w:rsidP="008822CE">
      <w:pPr>
        <w:pStyle w:val="BTEMEASMCA"/>
      </w:pPr>
      <w:r w:rsidRPr="00E37C18">
        <w:t>Dilgėlinė, daugiaformė eritema, angioneurozinė edema, anafilaksijos reakcija.</w:t>
      </w:r>
    </w:p>
    <w:p w14:paraId="1923E77B" w14:textId="77777777" w:rsidR="00BF2740" w:rsidRPr="00E37C18" w:rsidRDefault="00BF2740" w:rsidP="008822CE">
      <w:pPr>
        <w:pStyle w:val="BTEMEASMCA"/>
      </w:pPr>
      <w:r w:rsidRPr="00E37C18">
        <w:t>Patamsėjęs šlapimas.</w:t>
      </w:r>
    </w:p>
    <w:p w14:paraId="7FDFE9EE" w14:textId="77777777" w:rsidR="00026EF8" w:rsidRPr="00E37C18" w:rsidRDefault="00026EF8" w:rsidP="008822CE">
      <w:pPr>
        <w:pStyle w:val="BTEMEASMCA"/>
      </w:pPr>
    </w:p>
    <w:p w14:paraId="11740DFD" w14:textId="61B23015" w:rsidR="00BF2740" w:rsidRPr="00E37C18" w:rsidRDefault="00BF2740" w:rsidP="008822CE">
      <w:pPr>
        <w:pStyle w:val="BTEMEASMCA"/>
      </w:pPr>
    </w:p>
    <w:p w14:paraId="1ED4D70B" w14:textId="11B9282C" w:rsidR="00026EF8" w:rsidRPr="00E37C18" w:rsidRDefault="00026EF8" w:rsidP="008822CE">
      <w:pPr>
        <w:pStyle w:val="BTEMEASMCA"/>
      </w:pPr>
      <w:r w:rsidRPr="00BD605E">
        <w:rPr>
          <w:snapToGrid w:val="0"/>
        </w:rPr>
        <w:t>Labai reti šalutinio poveikio reiškiniai (gali pasireikšti rečiau kaip 1 iš 10 000 asmenų):</w:t>
      </w:r>
    </w:p>
    <w:p w14:paraId="2C494E25" w14:textId="77777777" w:rsidR="00BF2740" w:rsidRPr="00E37C18" w:rsidRDefault="00BF2740" w:rsidP="008822CE">
      <w:pPr>
        <w:pStyle w:val="BTEMEASMCA"/>
      </w:pPr>
      <w:r w:rsidRPr="00E37C18">
        <w:t>Kasos uždegimas (grįžtamas nutraukus vaisto vartojimą).</w:t>
      </w:r>
    </w:p>
    <w:p w14:paraId="1347B3DE" w14:textId="77777777" w:rsidR="00BF2740" w:rsidRPr="00E37C18" w:rsidRDefault="00BF2740" w:rsidP="008822CE">
      <w:pPr>
        <w:pStyle w:val="BTEMEASMCA"/>
      </w:pPr>
      <w:r w:rsidRPr="00E37C18">
        <w:t>Psichikos sutrikimai, tame tarpe sumišimas ir haliucinacijos; praeinantys epilepsiforminiai traukuliai.</w:t>
      </w:r>
    </w:p>
    <w:p w14:paraId="40CBF7A2" w14:textId="77777777" w:rsidR="00BF2740" w:rsidRPr="00E37C18" w:rsidRDefault="00BF2740" w:rsidP="008822CE">
      <w:pPr>
        <w:pStyle w:val="BTEMEASMCA"/>
      </w:pPr>
      <w:r w:rsidRPr="00E37C18">
        <w:t>Pdos bėrimas, pūlinis bėrimas, niežulys.</w:t>
      </w:r>
    </w:p>
    <w:p w14:paraId="6BE7CD3A" w14:textId="77777777" w:rsidR="00BF2740" w:rsidRPr="00E37C18" w:rsidRDefault="00BF2740" w:rsidP="008822CE">
      <w:pPr>
        <w:pStyle w:val="BTEMEASMCA"/>
      </w:pPr>
      <w:r w:rsidRPr="00E37C18">
        <w:rPr>
          <w:iCs/>
        </w:rPr>
        <w:t>K</w:t>
      </w:r>
      <w:r w:rsidRPr="00E37C18">
        <w:t>epenų veiklos rodmenų pokyčiai, cholestazinis hepatitas, gelta (kurie grįžtami nutraukus vaisto vartojimą).</w:t>
      </w:r>
    </w:p>
    <w:p w14:paraId="36B91FEF" w14:textId="77777777" w:rsidR="00BF2740" w:rsidRPr="00E37C18" w:rsidRDefault="00BF2740" w:rsidP="008822CE">
      <w:pPr>
        <w:pStyle w:val="BTEMEASMCA"/>
      </w:pPr>
      <w:r w:rsidRPr="00E37C18">
        <w:t>Raumenų skausmas, sąnarių skausmas.</w:t>
      </w:r>
    </w:p>
    <w:p w14:paraId="06EAC4CF" w14:textId="77777777" w:rsidR="00026EF8" w:rsidRPr="00E37C18" w:rsidRDefault="00026EF8" w:rsidP="008822CE">
      <w:pPr>
        <w:pStyle w:val="BTEMEASMCA"/>
      </w:pPr>
    </w:p>
    <w:p w14:paraId="770AE305" w14:textId="0BEB8F8B" w:rsidR="00BF2740" w:rsidRPr="00E37C18" w:rsidRDefault="00BF2740" w:rsidP="008822CE">
      <w:pPr>
        <w:pStyle w:val="BTEMEASMCA"/>
      </w:pPr>
    </w:p>
    <w:p w14:paraId="1D3EC5B3" w14:textId="7E64B572" w:rsidR="00026EF8" w:rsidRPr="00E37C18" w:rsidRDefault="00026EF8" w:rsidP="008822CE">
      <w:pPr>
        <w:pStyle w:val="BTEMEASMCA"/>
      </w:pPr>
      <w:r w:rsidRPr="00BD605E">
        <w:rPr>
          <w:snapToGrid w:val="0"/>
        </w:rPr>
        <w:t>Šalutinio poveikio reiškiniai, kurių dažnis nežinomas (negali būti apskaičiuotas pagal turimus duomenis):</w:t>
      </w:r>
    </w:p>
    <w:p w14:paraId="77B436CA" w14:textId="77777777" w:rsidR="00BF2740" w:rsidRPr="00E37C18" w:rsidRDefault="00BF2740" w:rsidP="008822CE">
      <w:pPr>
        <w:pStyle w:val="BTEMEASMCA"/>
      </w:pPr>
      <w:r w:rsidRPr="00E37C18">
        <w:t>Apetito nebuvimas (anoreksija).</w:t>
      </w:r>
    </w:p>
    <w:p w14:paraId="57A6ECE0" w14:textId="77777777" w:rsidR="00BF2740" w:rsidRPr="00E37C18" w:rsidRDefault="00BF2740" w:rsidP="008822CE">
      <w:pPr>
        <w:pStyle w:val="BTEMEASMCA"/>
      </w:pPr>
      <w:r w:rsidRPr="00E37C18">
        <w:t>Praeinantis regos sutrikimas, pvz., dvejinimasis ir trumparegystė.</w:t>
      </w:r>
    </w:p>
    <w:p w14:paraId="4CF1D6C1" w14:textId="5DDA94C6" w:rsidR="00E51707" w:rsidRPr="00E37C18" w:rsidRDefault="00E51707" w:rsidP="008822CE">
      <w:pPr>
        <w:pStyle w:val="BTEMEASMCA"/>
      </w:pPr>
      <w:r w:rsidRPr="00E37C18">
        <w:t>Ūminis kepenų nepakankamumas pacientams, sergantiems Kokaino (</w:t>
      </w:r>
      <w:r w:rsidRPr="00BD605E">
        <w:rPr>
          <w:i/>
          <w:iCs/>
        </w:rPr>
        <w:t>Cockayne</w:t>
      </w:r>
      <w:r w:rsidRPr="00E37C18">
        <w:t>) sindromu (žr. 2 skyrių „Įspėjimai ir atsargumo priemonės“).</w:t>
      </w:r>
    </w:p>
    <w:p w14:paraId="6D1116E7" w14:textId="66EE7460" w:rsidR="003D5D1E" w:rsidRPr="00E37C18" w:rsidRDefault="00BF2740" w:rsidP="008822CE">
      <w:pPr>
        <w:pStyle w:val="BTEMEASMCA"/>
      </w:pPr>
      <w:r w:rsidRPr="00E37C18">
        <w:t>Jeigu pasireiškė sunkus šalutinis poveikis arba pastebėjote šiame lapelyje nenurodytą šalutinį poveikį, pasakykite gydytojui, vaistininkui arba slaugytojui.</w:t>
      </w:r>
    </w:p>
    <w:p w14:paraId="121C2091" w14:textId="77777777" w:rsidR="00BF2740" w:rsidRPr="004B4520" w:rsidRDefault="00BF2740" w:rsidP="00BF2740">
      <w:pPr>
        <w:rPr>
          <w:b/>
          <w:sz w:val="22"/>
          <w:szCs w:val="22"/>
        </w:rPr>
      </w:pPr>
      <w:r w:rsidRPr="004B4520">
        <w:rPr>
          <w:b/>
          <w:sz w:val="22"/>
          <w:szCs w:val="22"/>
        </w:rPr>
        <w:t>Pranešimas apie šalutinį poveikį</w:t>
      </w:r>
    </w:p>
    <w:p w14:paraId="5C1A181E" w14:textId="4F2CE225" w:rsidR="00BF2740" w:rsidRPr="00E37C18" w:rsidRDefault="00BF2740" w:rsidP="008822CE">
      <w:pPr>
        <w:pStyle w:val="BTEMEASMCA"/>
      </w:pPr>
      <w:r w:rsidRPr="008822CE">
        <w:t xml:space="preserve">Jeigu pasireiškė šalutinis poveikis, įskaitant šiame lapelyje nenurodytą, pasakykite gydytojui arba vaistininkui. </w:t>
      </w:r>
      <w:r w:rsidR="00026EF8" w:rsidRPr="008822CE">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5" w:history="1">
        <w:r w:rsidR="00026EF8" w:rsidRPr="008822CE">
          <w:rPr>
            <w:snapToGrid w:val="0"/>
            <w:color w:val="0000FF"/>
            <w:u w:val="single"/>
          </w:rPr>
          <w:t>https://vapris.vvkt.lt/vvkt-web/public/nrv</w:t>
        </w:r>
      </w:hyperlink>
      <w:r w:rsidR="00026EF8" w:rsidRPr="008822CE">
        <w:rPr>
          <w:snapToGrid w:val="0"/>
        </w:rPr>
        <w:t xml:space="preserve"> arba užpildant Paciento pranešimo apie įtariamą nepageidaujamą reakciją (ĮNR) formą, kuri skelbiama </w:t>
      </w:r>
      <w:hyperlink r:id="rId16" w:history="1">
        <w:r w:rsidR="00026EF8" w:rsidRPr="008822CE">
          <w:rPr>
            <w:snapToGrid w:val="0"/>
            <w:color w:val="0000FF"/>
            <w:u w:val="single"/>
          </w:rPr>
          <w:t>https://www.vvkt.lt/index.php?4004286486</w:t>
        </w:r>
      </w:hyperlink>
      <w:r w:rsidR="00026EF8" w:rsidRPr="008822CE">
        <w:rPr>
          <w:snapToGrid w:val="0"/>
        </w:rPr>
        <w:t xml:space="preserve">, ir atsiunčiant elektroniniu paštu (adresu </w:t>
      </w:r>
      <w:hyperlink r:id="rId17" w:history="1">
        <w:r w:rsidR="00026EF8" w:rsidRPr="008822CE">
          <w:rPr>
            <w:snapToGrid w:val="0"/>
            <w:color w:val="0000FF"/>
            <w:u w:val="single"/>
          </w:rPr>
          <w:t>NepageidaujamaR@vvkt.lt</w:t>
        </w:r>
      </w:hyperlink>
      <w:r w:rsidR="00026EF8" w:rsidRPr="008822CE">
        <w:rPr>
          <w:snapToGrid w:val="0"/>
        </w:rPr>
        <w:t xml:space="preserve">) arba nemokamu telefonu 8 800 73 568. </w:t>
      </w:r>
      <w:r w:rsidR="00026EF8" w:rsidRPr="00E37C18">
        <w:rPr>
          <w:snapToGrid w:val="0"/>
        </w:rPr>
        <w:t>Pranešdami apie šalutinį poveikį galite mums padėti gauti daugiau informacijos apie šio vaisto saugumą.</w:t>
      </w:r>
    </w:p>
    <w:p w14:paraId="701C25A4" w14:textId="77777777" w:rsidR="00BF2740" w:rsidRPr="00E37C18" w:rsidRDefault="00BF2740" w:rsidP="008822CE">
      <w:pPr>
        <w:pStyle w:val="BTEMEASMCA"/>
      </w:pPr>
    </w:p>
    <w:p w14:paraId="02DCF041" w14:textId="77777777" w:rsidR="00BF2740" w:rsidRPr="00E37C18" w:rsidRDefault="00BF2740" w:rsidP="008822CE">
      <w:pPr>
        <w:pStyle w:val="BTEMEASMCA"/>
      </w:pPr>
    </w:p>
    <w:p w14:paraId="70F9A1D6" w14:textId="2975E77C" w:rsidR="00BF2740" w:rsidRPr="004B4520" w:rsidRDefault="00BF2740" w:rsidP="005F53BD">
      <w:pPr>
        <w:pStyle w:val="PI-1EMEASMCA"/>
      </w:pPr>
      <w:bookmarkStart w:id="76" w:name="_Toc129243143"/>
      <w:bookmarkStart w:id="77" w:name="_Toc129243268"/>
      <w:r w:rsidRPr="004B4520">
        <w:t>5.</w:t>
      </w:r>
      <w:r w:rsidRPr="004B4520">
        <w:tab/>
      </w:r>
      <w:bookmarkEnd w:id="76"/>
      <w:bookmarkEnd w:id="77"/>
      <w:r w:rsidRPr="004B4520">
        <w:t>Kaip laikyti Trichopol</w:t>
      </w:r>
    </w:p>
    <w:p w14:paraId="33C27FBD" w14:textId="77777777" w:rsidR="00BF2740" w:rsidRPr="00E37C18" w:rsidRDefault="00BF2740" w:rsidP="008822CE">
      <w:pPr>
        <w:pStyle w:val="BTEMEASMCA"/>
      </w:pPr>
    </w:p>
    <w:p w14:paraId="47AB3CEB" w14:textId="77777777" w:rsidR="00BF2740" w:rsidRPr="00E37C18" w:rsidRDefault="00BF2740" w:rsidP="008822CE">
      <w:pPr>
        <w:pStyle w:val="BTEMEASMCA"/>
      </w:pPr>
      <w:r w:rsidRPr="00E37C18">
        <w:t>Šį vaistą laikykite vaikams nepastebimoje ir nepasiekiamoje vietoje.</w:t>
      </w:r>
    </w:p>
    <w:p w14:paraId="0F4CD33F" w14:textId="77777777" w:rsidR="00BF2740" w:rsidRPr="004B4520" w:rsidRDefault="00BF2740" w:rsidP="00BF2740">
      <w:pPr>
        <w:pStyle w:val="Pagrindinistekstas"/>
        <w:spacing w:after="0"/>
        <w:rPr>
          <w:szCs w:val="22"/>
        </w:rPr>
      </w:pPr>
      <w:r w:rsidRPr="004B4520">
        <w:rPr>
          <w:szCs w:val="22"/>
        </w:rPr>
        <w:t xml:space="preserve">Laikyti ne aukštesnėje kaip 25 </w:t>
      </w:r>
      <w:r w:rsidRPr="004B4520">
        <w:rPr>
          <w:szCs w:val="22"/>
        </w:rPr>
        <w:sym w:font="Symbol" w:char="F0B0"/>
      </w:r>
      <w:r w:rsidRPr="004B4520">
        <w:rPr>
          <w:szCs w:val="22"/>
        </w:rPr>
        <w:t>C temperatūroje.</w:t>
      </w:r>
    </w:p>
    <w:p w14:paraId="1150E37E" w14:textId="77777777" w:rsidR="00BF2740" w:rsidRPr="004B4520" w:rsidRDefault="00BF2740" w:rsidP="00BF2740">
      <w:pPr>
        <w:pStyle w:val="Pagrindinistekstas"/>
        <w:spacing w:after="0"/>
        <w:rPr>
          <w:szCs w:val="22"/>
        </w:rPr>
      </w:pPr>
      <w:r w:rsidRPr="004B4520">
        <w:rPr>
          <w:szCs w:val="22"/>
        </w:rPr>
        <w:t>Laikyti gamintojo pakuotėje, kad vaistas būtų apsaugotas nuo šviesos ir drėgmės.</w:t>
      </w:r>
    </w:p>
    <w:p w14:paraId="673416D0" w14:textId="77777777" w:rsidR="00BF2740" w:rsidRPr="00BD605E" w:rsidRDefault="00BF2740" w:rsidP="008822CE">
      <w:pPr>
        <w:pStyle w:val="BTEMEASMCA"/>
        <w:rPr>
          <w:lang w:val="lt-LT"/>
        </w:rPr>
      </w:pPr>
      <w:r w:rsidRPr="00BD605E">
        <w:rPr>
          <w:lang w:val="lt-LT"/>
        </w:rPr>
        <w:t xml:space="preserve"> </w:t>
      </w:r>
    </w:p>
    <w:p w14:paraId="545C12B0" w14:textId="77777777" w:rsidR="00BF2740" w:rsidRPr="00BD605E" w:rsidRDefault="00BF2740" w:rsidP="008822CE">
      <w:pPr>
        <w:pStyle w:val="BTEMEASMCA"/>
        <w:rPr>
          <w:noProof w:val="0"/>
          <w:lang w:val="lt-LT"/>
        </w:rPr>
      </w:pPr>
      <w:r w:rsidRPr="00BD605E">
        <w:rPr>
          <w:lang w:val="lt-LT"/>
        </w:rPr>
        <w:t>Ant dėžutės ir lizdinės plokštelės po „EXP“ nurodytam tinkamumo laikui pasibaigus, šio vaisto vartoti negalima.</w:t>
      </w:r>
      <w:r w:rsidRPr="00BD605E">
        <w:rPr>
          <w:noProof w:val="0"/>
          <w:lang w:val="lt-LT"/>
        </w:rPr>
        <w:t xml:space="preserve"> Vaistas tinkamas vartoti iki paskutinės nurodyto mėnesio dienos.</w:t>
      </w:r>
    </w:p>
    <w:p w14:paraId="6B45BDB4" w14:textId="77777777" w:rsidR="00BF2740" w:rsidRPr="004B4520" w:rsidRDefault="00BF2740" w:rsidP="00BF2740">
      <w:pPr>
        <w:numPr>
          <w:ilvl w:val="12"/>
          <w:numId w:val="0"/>
        </w:numPr>
        <w:tabs>
          <w:tab w:val="left" w:pos="1296"/>
        </w:tabs>
        <w:ind w:right="-2"/>
        <w:rPr>
          <w:noProof/>
          <w:sz w:val="22"/>
          <w:szCs w:val="22"/>
        </w:rPr>
      </w:pPr>
    </w:p>
    <w:p w14:paraId="6D8BA570" w14:textId="77777777" w:rsidR="00BF2740" w:rsidRPr="00BD605E" w:rsidRDefault="00BF2740" w:rsidP="008822CE">
      <w:pPr>
        <w:pStyle w:val="BTEMEASMCA"/>
        <w:rPr>
          <w:lang w:val="lt-LT"/>
        </w:rPr>
      </w:pPr>
      <w:r w:rsidRPr="00BD605E">
        <w:rPr>
          <w:lang w:val="lt-LT"/>
        </w:rPr>
        <w:t xml:space="preserve">Vaistų negalima išmesti į kanalizaciją arba su buitinėmis atliekomis. Kaip išmesti nereikalingus vaistus, klauskite vaistininko. Šios priemonės padės apsaugoti aplinką. </w:t>
      </w:r>
    </w:p>
    <w:p w14:paraId="2156AE0E" w14:textId="77777777" w:rsidR="00BF2740" w:rsidRPr="00BD605E" w:rsidRDefault="00BF2740" w:rsidP="008822CE">
      <w:pPr>
        <w:pStyle w:val="BTEMEASMCA"/>
        <w:rPr>
          <w:lang w:val="lt-LT"/>
        </w:rPr>
      </w:pPr>
    </w:p>
    <w:p w14:paraId="15600603" w14:textId="77777777" w:rsidR="00BF2740" w:rsidRPr="00BD605E" w:rsidRDefault="00BF2740" w:rsidP="008822CE">
      <w:pPr>
        <w:pStyle w:val="BTEMEASMCA"/>
        <w:rPr>
          <w:lang w:val="lt-LT"/>
        </w:rPr>
      </w:pPr>
    </w:p>
    <w:p w14:paraId="1FD35A0A" w14:textId="029F645B" w:rsidR="00BF2740" w:rsidRPr="004B4520" w:rsidRDefault="00BF2740" w:rsidP="005F53BD">
      <w:pPr>
        <w:pStyle w:val="PI-1EMEASMCA"/>
      </w:pPr>
      <w:bookmarkStart w:id="78" w:name="_Toc129243144"/>
      <w:bookmarkStart w:id="79" w:name="_Toc129243269"/>
      <w:r w:rsidRPr="004B4520">
        <w:t>6.</w:t>
      </w:r>
      <w:r w:rsidRPr="004B4520">
        <w:tab/>
      </w:r>
      <w:bookmarkEnd w:id="78"/>
      <w:bookmarkEnd w:id="79"/>
      <w:r w:rsidRPr="004B4520">
        <w:t>Pakuotės turinys ir kita informacija</w:t>
      </w:r>
    </w:p>
    <w:p w14:paraId="0A31E6E9" w14:textId="77777777" w:rsidR="00BF2740" w:rsidRPr="00E37C18" w:rsidRDefault="00BF2740" w:rsidP="008822CE">
      <w:pPr>
        <w:pStyle w:val="BTEMEASMCA"/>
      </w:pPr>
    </w:p>
    <w:p w14:paraId="377431BE" w14:textId="77777777" w:rsidR="00BF2740" w:rsidRPr="004B4520" w:rsidRDefault="00BF2740" w:rsidP="00953DDF">
      <w:pPr>
        <w:pStyle w:val="PI-3EMEASMCA"/>
      </w:pPr>
      <w:r w:rsidRPr="004B4520">
        <w:lastRenderedPageBreak/>
        <w:t>Trichopol sudėtis</w:t>
      </w:r>
    </w:p>
    <w:p w14:paraId="7FA5093B" w14:textId="5EA9185F" w:rsidR="00BF2740" w:rsidRPr="00BD605E" w:rsidRDefault="00BF2740" w:rsidP="008822CE">
      <w:pPr>
        <w:pStyle w:val="BT-EMEASMCA"/>
        <w:rPr>
          <w:lang w:val="lt-LT"/>
        </w:rPr>
      </w:pPr>
      <w:r w:rsidRPr="00BD605E">
        <w:rPr>
          <w:lang w:val="lt-LT"/>
        </w:rPr>
        <w:t xml:space="preserve">Veiklioji medžiaga yra metronidazolas. </w:t>
      </w:r>
      <w:r w:rsidR="00026EF8" w:rsidRPr="00BD605E">
        <w:rPr>
          <w:lang w:val="lt-LT"/>
        </w:rPr>
        <w:t>Kiekvienoje</w:t>
      </w:r>
      <w:r w:rsidRPr="00BD605E">
        <w:rPr>
          <w:lang w:val="lt-LT"/>
        </w:rPr>
        <w:t xml:space="preserve"> tabletėje yra 250 mg metronidazolo.</w:t>
      </w:r>
    </w:p>
    <w:p w14:paraId="79601A03" w14:textId="77777777" w:rsidR="00BF2740" w:rsidRPr="00BD605E" w:rsidRDefault="00BF2740" w:rsidP="008822CE">
      <w:pPr>
        <w:pStyle w:val="BT-EMEASMCA"/>
        <w:rPr>
          <w:lang w:val="lt-LT"/>
        </w:rPr>
      </w:pPr>
      <w:r w:rsidRPr="00BD605E">
        <w:rPr>
          <w:lang w:val="lt-LT"/>
        </w:rPr>
        <w:t xml:space="preserve">Pagalbinės medžiagos yra bulvių krakmolas, želatina, </w:t>
      </w:r>
      <w:r w:rsidRPr="004B4520">
        <w:rPr>
          <w:rStyle w:val="shorttext"/>
          <w:lang w:val="lt-LT"/>
        </w:rPr>
        <w:t>skystoji gliukozė</w:t>
      </w:r>
      <w:r w:rsidRPr="00BD605E">
        <w:rPr>
          <w:lang w:val="lt-LT"/>
        </w:rPr>
        <w:t>, magnio stearatas.</w:t>
      </w:r>
    </w:p>
    <w:p w14:paraId="76D2CF69" w14:textId="77777777" w:rsidR="00BF2740" w:rsidRPr="00BD605E" w:rsidRDefault="00BF2740" w:rsidP="008822CE">
      <w:pPr>
        <w:pStyle w:val="BTEMEASMCA"/>
        <w:rPr>
          <w:lang w:val="lt-LT"/>
        </w:rPr>
      </w:pPr>
    </w:p>
    <w:p w14:paraId="106BE5C2" w14:textId="77777777" w:rsidR="00BF2740" w:rsidRPr="004B4520" w:rsidRDefault="00BF2740" w:rsidP="00953DDF">
      <w:pPr>
        <w:pStyle w:val="PI-3EMEASMCA"/>
      </w:pPr>
      <w:r w:rsidRPr="004B4520">
        <w:t>Trichopol išvaizda ir kiekis pakuotėje</w:t>
      </w:r>
    </w:p>
    <w:p w14:paraId="165A0BA3" w14:textId="77777777" w:rsidR="00BF2740" w:rsidRPr="004B4520" w:rsidRDefault="00BF2740" w:rsidP="00BF2740">
      <w:pPr>
        <w:rPr>
          <w:color w:val="000000"/>
          <w:sz w:val="22"/>
          <w:szCs w:val="22"/>
        </w:rPr>
      </w:pPr>
      <w:r w:rsidRPr="004B4520">
        <w:rPr>
          <w:color w:val="000000"/>
          <w:sz w:val="22"/>
          <w:szCs w:val="22"/>
        </w:rPr>
        <w:t>Tabletės yra baltos su gelsvu atspalviu, apvalios, plokščios su vagele vienoje pusėje.</w:t>
      </w:r>
      <w:r w:rsidRPr="004B4520">
        <w:rPr>
          <w:sz w:val="22"/>
          <w:szCs w:val="22"/>
        </w:rPr>
        <w:t xml:space="preserve"> Tabletę galima padalyti į lygias dozes.</w:t>
      </w:r>
      <w:r w:rsidRPr="004B4520">
        <w:rPr>
          <w:color w:val="000000"/>
          <w:sz w:val="22"/>
          <w:szCs w:val="22"/>
        </w:rPr>
        <w:t>  </w:t>
      </w:r>
    </w:p>
    <w:p w14:paraId="177D1C9F" w14:textId="77777777" w:rsidR="00BF2740" w:rsidRPr="00BD605E" w:rsidRDefault="00BF2740" w:rsidP="008822CE">
      <w:pPr>
        <w:pStyle w:val="BTEMEASMCA"/>
        <w:rPr>
          <w:lang w:val="lt-LT"/>
        </w:rPr>
      </w:pPr>
    </w:p>
    <w:p w14:paraId="35BFC047" w14:textId="77777777" w:rsidR="00BF2740" w:rsidRPr="00BD605E" w:rsidRDefault="00BF2740" w:rsidP="008822CE">
      <w:pPr>
        <w:pStyle w:val="BTEMEASMCA"/>
        <w:rPr>
          <w:lang w:val="lt-LT"/>
        </w:rPr>
      </w:pPr>
      <w:r w:rsidRPr="00BD605E">
        <w:rPr>
          <w:lang w:val="lt-LT"/>
        </w:rPr>
        <w:t>Kartono dėžutėje yra 20 tablečių.</w:t>
      </w:r>
    </w:p>
    <w:p w14:paraId="18402655" w14:textId="77777777" w:rsidR="00BF2740" w:rsidRPr="00BD605E" w:rsidRDefault="00BF2740" w:rsidP="008822CE">
      <w:pPr>
        <w:pStyle w:val="BTEMEASMCA"/>
        <w:rPr>
          <w:lang w:val="lt-LT"/>
        </w:rPr>
      </w:pPr>
    </w:p>
    <w:p w14:paraId="700B49BE" w14:textId="77777777" w:rsidR="00BF2740" w:rsidRPr="004B4520" w:rsidRDefault="00BF2740" w:rsidP="00BF2740">
      <w:pPr>
        <w:rPr>
          <w:b/>
          <w:sz w:val="22"/>
          <w:szCs w:val="22"/>
        </w:rPr>
      </w:pPr>
      <w:r w:rsidRPr="004B4520">
        <w:rPr>
          <w:b/>
          <w:sz w:val="22"/>
          <w:szCs w:val="22"/>
        </w:rPr>
        <w:t>Registruotojas ir gamintojas</w:t>
      </w:r>
    </w:p>
    <w:p w14:paraId="7C18E712" w14:textId="77777777" w:rsidR="00BF2740" w:rsidRPr="00BD605E" w:rsidRDefault="00BF2740" w:rsidP="00953DDF">
      <w:pPr>
        <w:pStyle w:val="PI-3EMEASMCA"/>
        <w:rPr>
          <w:b w:val="0"/>
          <w:bCs w:val="0"/>
        </w:rPr>
      </w:pPr>
      <w:r w:rsidRPr="00BD605E">
        <w:rPr>
          <w:b w:val="0"/>
          <w:bCs w:val="0"/>
        </w:rPr>
        <w:t>Registruotojas</w:t>
      </w:r>
    </w:p>
    <w:p w14:paraId="2AE4B04B" w14:textId="0D26A80C" w:rsidR="00D22724" w:rsidRPr="00D22724" w:rsidRDefault="008822CE" w:rsidP="004A76F2">
      <w:pPr>
        <w:ind w:right="566"/>
        <w:jc w:val="both"/>
        <w:rPr>
          <w:sz w:val="22"/>
          <w:szCs w:val="22"/>
        </w:rPr>
      </w:pPr>
      <w:bookmarkStart w:id="80" w:name="_Hlk75851036"/>
      <w:r w:rsidRPr="008822CE">
        <w:rPr>
          <w:sz w:val="22"/>
          <w:szCs w:val="22"/>
        </w:rPr>
        <w:t xml:space="preserve">Zakłady Farmaceutyczne </w:t>
      </w:r>
      <w:r w:rsidR="00D22724" w:rsidRPr="00D22724">
        <w:rPr>
          <w:sz w:val="22"/>
          <w:szCs w:val="22"/>
        </w:rPr>
        <w:t xml:space="preserve">POLPHARMA </w:t>
      </w:r>
      <w:r w:rsidR="00BF2740" w:rsidRPr="004B4520">
        <w:rPr>
          <w:sz w:val="22"/>
          <w:szCs w:val="22"/>
        </w:rPr>
        <w:t>S</w:t>
      </w:r>
      <w:r>
        <w:rPr>
          <w:sz w:val="22"/>
          <w:szCs w:val="22"/>
        </w:rPr>
        <w:t>.</w:t>
      </w:r>
      <w:r w:rsidR="00BF2740" w:rsidRPr="004B4520">
        <w:rPr>
          <w:sz w:val="22"/>
          <w:szCs w:val="22"/>
        </w:rPr>
        <w:t>A</w:t>
      </w:r>
      <w:r>
        <w:rPr>
          <w:sz w:val="22"/>
          <w:szCs w:val="22"/>
        </w:rPr>
        <w:t>.</w:t>
      </w:r>
      <w:r w:rsidR="00BF2740" w:rsidRPr="004B4520">
        <w:rPr>
          <w:sz w:val="22"/>
          <w:szCs w:val="22"/>
        </w:rPr>
        <w:t xml:space="preserve"> </w:t>
      </w:r>
    </w:p>
    <w:p w14:paraId="6D72EA03" w14:textId="4E562FC3" w:rsidR="00BF2740" w:rsidRPr="00D22724" w:rsidRDefault="008822CE" w:rsidP="00BF2740">
      <w:pPr>
        <w:ind w:right="566"/>
        <w:jc w:val="both"/>
        <w:rPr>
          <w:sz w:val="22"/>
          <w:szCs w:val="22"/>
        </w:rPr>
      </w:pPr>
      <w:r>
        <w:rPr>
          <w:sz w:val="22"/>
          <w:szCs w:val="22"/>
        </w:rPr>
        <w:t>ul.</w:t>
      </w:r>
      <w:r w:rsidR="00D22724" w:rsidRPr="00D22724">
        <w:rPr>
          <w:sz w:val="22"/>
          <w:szCs w:val="22"/>
        </w:rPr>
        <w:t xml:space="preserve"> Pelplińska </w:t>
      </w:r>
      <w:r w:rsidRPr="004B4520">
        <w:rPr>
          <w:sz w:val="22"/>
          <w:szCs w:val="22"/>
        </w:rPr>
        <w:t>19</w:t>
      </w:r>
      <w:bookmarkEnd w:id="80"/>
      <w:r w:rsidR="00BF2740" w:rsidRPr="00D22724">
        <w:rPr>
          <w:sz w:val="22"/>
          <w:szCs w:val="22"/>
        </w:rPr>
        <w:t>, 83-200 Starogard Gdański</w:t>
      </w:r>
    </w:p>
    <w:p w14:paraId="6C8867BA" w14:textId="77777777" w:rsidR="00BF2740" w:rsidRPr="00D22724" w:rsidRDefault="00BF2740" w:rsidP="00BF2740">
      <w:pPr>
        <w:ind w:right="566"/>
        <w:jc w:val="both"/>
        <w:rPr>
          <w:sz w:val="22"/>
          <w:szCs w:val="22"/>
        </w:rPr>
      </w:pPr>
      <w:r w:rsidRPr="00D22724">
        <w:rPr>
          <w:sz w:val="22"/>
          <w:szCs w:val="22"/>
        </w:rPr>
        <w:t>Lenkija</w:t>
      </w:r>
    </w:p>
    <w:p w14:paraId="4800477A" w14:textId="77777777" w:rsidR="00BF2740" w:rsidRPr="00BD605E" w:rsidRDefault="00BF2740" w:rsidP="008822CE">
      <w:pPr>
        <w:pStyle w:val="BTEMEASMCA"/>
        <w:rPr>
          <w:lang w:val="pl-PL"/>
        </w:rPr>
      </w:pPr>
    </w:p>
    <w:p w14:paraId="4DC2E55E" w14:textId="77777777" w:rsidR="00BF2740" w:rsidRPr="00BD605E" w:rsidRDefault="00BF2740" w:rsidP="00953DDF">
      <w:pPr>
        <w:pStyle w:val="PI-3EMEASMCA"/>
        <w:rPr>
          <w:b w:val="0"/>
          <w:bCs w:val="0"/>
        </w:rPr>
      </w:pPr>
      <w:r w:rsidRPr="00BD605E">
        <w:rPr>
          <w:b w:val="0"/>
          <w:bCs w:val="0"/>
        </w:rPr>
        <w:t>Gamintojas</w:t>
      </w:r>
    </w:p>
    <w:p w14:paraId="555BABCF" w14:textId="49929C07" w:rsidR="00D22724" w:rsidRPr="00D22724" w:rsidRDefault="00D22724" w:rsidP="00AC7F75">
      <w:pPr>
        <w:spacing w:line="252" w:lineRule="auto"/>
        <w:rPr>
          <w:sz w:val="22"/>
          <w:szCs w:val="22"/>
        </w:rPr>
      </w:pPr>
      <w:r w:rsidRPr="00D22724">
        <w:rPr>
          <w:sz w:val="22"/>
          <w:szCs w:val="22"/>
        </w:rPr>
        <w:t>Zakłady Farmaceutyczne POLPHARMA S.A.</w:t>
      </w:r>
    </w:p>
    <w:p w14:paraId="3EF40270" w14:textId="62D6FF51" w:rsidR="00BF2740" w:rsidRPr="004B4520" w:rsidRDefault="00D22724" w:rsidP="00BF2740">
      <w:pPr>
        <w:ind w:right="566"/>
        <w:jc w:val="both"/>
        <w:rPr>
          <w:sz w:val="22"/>
          <w:szCs w:val="22"/>
        </w:rPr>
      </w:pPr>
      <w:r w:rsidRPr="00D22724">
        <w:rPr>
          <w:sz w:val="22"/>
          <w:szCs w:val="22"/>
        </w:rPr>
        <w:t>ul. Pelplińska 19</w:t>
      </w:r>
      <w:r w:rsidR="00BF2740" w:rsidRPr="004B4520">
        <w:rPr>
          <w:sz w:val="22"/>
          <w:szCs w:val="22"/>
        </w:rPr>
        <w:t>, 83-200 Starogard Gdański</w:t>
      </w:r>
    </w:p>
    <w:p w14:paraId="320E5050" w14:textId="77777777" w:rsidR="00BF2740" w:rsidRPr="004B4520" w:rsidRDefault="00BF2740" w:rsidP="00BF2740">
      <w:pPr>
        <w:ind w:right="566"/>
        <w:jc w:val="both"/>
        <w:rPr>
          <w:sz w:val="22"/>
          <w:szCs w:val="22"/>
        </w:rPr>
      </w:pPr>
      <w:r w:rsidRPr="004B4520">
        <w:rPr>
          <w:sz w:val="22"/>
          <w:szCs w:val="22"/>
        </w:rPr>
        <w:t>Lenkija</w:t>
      </w:r>
    </w:p>
    <w:p w14:paraId="6A2BEDCB" w14:textId="77777777" w:rsidR="00BF2740" w:rsidRPr="00BD605E" w:rsidRDefault="00BF2740" w:rsidP="008822CE">
      <w:pPr>
        <w:pStyle w:val="BTEMEASMCA"/>
        <w:rPr>
          <w:lang w:val="pl-PL"/>
        </w:rPr>
      </w:pPr>
    </w:p>
    <w:p w14:paraId="324E71B1" w14:textId="77777777" w:rsidR="00BF2740" w:rsidRPr="00BD605E" w:rsidRDefault="00BF2740" w:rsidP="008822CE">
      <w:pPr>
        <w:pStyle w:val="BTEMEASMCA"/>
        <w:rPr>
          <w:lang w:val="pl-PL"/>
        </w:rPr>
      </w:pPr>
      <w:r w:rsidRPr="00BD605E">
        <w:rPr>
          <w:lang w:val="pl-PL"/>
        </w:rPr>
        <w:t>arba</w:t>
      </w:r>
    </w:p>
    <w:p w14:paraId="066C7131" w14:textId="77777777" w:rsidR="00BF2740" w:rsidRPr="00BD605E" w:rsidRDefault="00BF2740" w:rsidP="008822CE">
      <w:pPr>
        <w:pStyle w:val="BTEMEASMCA"/>
        <w:rPr>
          <w:lang w:val="pl-PL"/>
        </w:rPr>
      </w:pPr>
    </w:p>
    <w:p w14:paraId="440422E3" w14:textId="77777777" w:rsidR="005F53BD" w:rsidRPr="005F53BD" w:rsidRDefault="005F53BD" w:rsidP="005F53BD">
      <w:pPr>
        <w:numPr>
          <w:ilvl w:val="12"/>
          <w:numId w:val="0"/>
        </w:numPr>
        <w:rPr>
          <w:bCs/>
          <w:sz w:val="22"/>
          <w:szCs w:val="22"/>
          <w:lang w:val="pl-PL" w:eastAsia="es-ES"/>
        </w:rPr>
      </w:pPr>
      <w:r w:rsidRPr="005F53BD">
        <w:rPr>
          <w:bCs/>
          <w:sz w:val="22"/>
          <w:szCs w:val="22"/>
          <w:lang w:val="pl-PL"/>
        </w:rPr>
        <w:t>Zakłady Farmaceutyczne POLPHARMA S.A.</w:t>
      </w:r>
    </w:p>
    <w:p w14:paraId="6DBB2FE9" w14:textId="6D0DB8C4" w:rsidR="005F53BD" w:rsidRPr="00AC7F75" w:rsidRDefault="005F53BD" w:rsidP="005F53BD">
      <w:pPr>
        <w:numPr>
          <w:ilvl w:val="12"/>
          <w:numId w:val="0"/>
        </w:numPr>
        <w:rPr>
          <w:color w:val="000000"/>
          <w:sz w:val="22"/>
          <w:lang w:val="pl-PL"/>
        </w:rPr>
      </w:pPr>
      <w:r w:rsidRPr="005F53BD">
        <w:rPr>
          <w:bCs/>
          <w:sz w:val="22"/>
          <w:szCs w:val="22"/>
          <w:lang w:val="pl-PL"/>
        </w:rPr>
        <w:t xml:space="preserve">Oddział </w:t>
      </w:r>
      <w:r w:rsidRPr="00AC7F75">
        <w:rPr>
          <w:sz w:val="22"/>
          <w:lang w:val="pl-PL"/>
        </w:rPr>
        <w:t xml:space="preserve">Medana </w:t>
      </w:r>
      <w:r w:rsidRPr="005F53BD">
        <w:rPr>
          <w:bCs/>
          <w:sz w:val="22"/>
          <w:szCs w:val="22"/>
          <w:lang w:val="pl-PL"/>
        </w:rPr>
        <w:t>w Sieradzu</w:t>
      </w:r>
      <w:r w:rsidRPr="005F53BD">
        <w:rPr>
          <w:color w:val="000000"/>
          <w:sz w:val="22"/>
          <w:szCs w:val="22"/>
          <w:lang w:val="pl-PL"/>
        </w:rPr>
        <w:t xml:space="preserve"> </w:t>
      </w:r>
    </w:p>
    <w:p w14:paraId="5240283C" w14:textId="4786D896" w:rsidR="00BF2740" w:rsidRPr="004B4520" w:rsidRDefault="005F53BD" w:rsidP="00BF2740">
      <w:pPr>
        <w:numPr>
          <w:ilvl w:val="12"/>
          <w:numId w:val="0"/>
        </w:numPr>
        <w:rPr>
          <w:color w:val="000000"/>
          <w:sz w:val="22"/>
          <w:szCs w:val="22"/>
        </w:rPr>
      </w:pPr>
      <w:proofErr w:type="gramStart"/>
      <w:r w:rsidRPr="005F53BD">
        <w:rPr>
          <w:color w:val="000000"/>
          <w:sz w:val="22"/>
          <w:szCs w:val="22"/>
          <w:lang w:val="pl-PL"/>
        </w:rPr>
        <w:t>ul</w:t>
      </w:r>
      <w:proofErr w:type="gramEnd"/>
      <w:r w:rsidRPr="005F53BD">
        <w:rPr>
          <w:color w:val="000000"/>
          <w:sz w:val="22"/>
          <w:szCs w:val="22"/>
          <w:lang w:val="pl-PL"/>
        </w:rPr>
        <w:t>.</w:t>
      </w:r>
      <w:r w:rsidRPr="00AC7F75">
        <w:rPr>
          <w:color w:val="000000"/>
          <w:sz w:val="22"/>
          <w:lang w:val="pl-PL"/>
        </w:rPr>
        <w:t xml:space="preserve"> Władysława Łokietka </w:t>
      </w:r>
      <w:r w:rsidRPr="005F53BD">
        <w:rPr>
          <w:color w:val="000000"/>
          <w:sz w:val="22"/>
          <w:szCs w:val="22"/>
          <w:lang w:val="pl-PL"/>
        </w:rPr>
        <w:t>10</w:t>
      </w:r>
      <w:r w:rsidR="00BF2740" w:rsidRPr="004B4520">
        <w:rPr>
          <w:color w:val="000000"/>
          <w:sz w:val="22"/>
          <w:szCs w:val="22"/>
        </w:rPr>
        <w:t>, 98-200 Sieradz</w:t>
      </w:r>
    </w:p>
    <w:p w14:paraId="7B305303" w14:textId="4A730B27" w:rsidR="00BF2740" w:rsidRPr="00AC7F75" w:rsidRDefault="00BF2740" w:rsidP="005F53BD">
      <w:pPr>
        <w:numPr>
          <w:ilvl w:val="12"/>
          <w:numId w:val="0"/>
        </w:numPr>
      </w:pPr>
      <w:r w:rsidRPr="004B4520">
        <w:rPr>
          <w:color w:val="000000"/>
          <w:sz w:val="22"/>
          <w:szCs w:val="22"/>
        </w:rPr>
        <w:t>Lenkija</w:t>
      </w:r>
    </w:p>
    <w:p w14:paraId="07ED8C49" w14:textId="77777777" w:rsidR="00BF2740" w:rsidRPr="00BD605E" w:rsidRDefault="00BF2740" w:rsidP="008822CE">
      <w:pPr>
        <w:pStyle w:val="BTEMEASMCA"/>
        <w:rPr>
          <w:lang w:val="lt-LT"/>
        </w:rPr>
      </w:pPr>
    </w:p>
    <w:p w14:paraId="3F2B902E" w14:textId="77777777" w:rsidR="00BF2740" w:rsidRPr="00BD605E" w:rsidRDefault="00BF2740" w:rsidP="008822CE">
      <w:pPr>
        <w:pStyle w:val="BTEMEASMCA"/>
        <w:rPr>
          <w:lang w:val="lt-LT"/>
        </w:rPr>
      </w:pPr>
      <w:r w:rsidRPr="00BD605E">
        <w:rPr>
          <w:lang w:val="lt-LT"/>
        </w:rPr>
        <w:t>Jeigu apie šį vaistą norite sužinoti daugiau, kreipkitės į vietinį registruotojo atstovą.</w:t>
      </w:r>
    </w:p>
    <w:p w14:paraId="05470F61" w14:textId="77777777" w:rsidR="00BF2740" w:rsidRPr="004B4520" w:rsidRDefault="00BF2740" w:rsidP="00BF2740">
      <w:pPr>
        <w:rPr>
          <w:sz w:val="22"/>
          <w:szCs w:val="22"/>
        </w:rPr>
      </w:pPr>
    </w:p>
    <w:p w14:paraId="1225A77A" w14:textId="052672BD" w:rsidR="00BF2740" w:rsidRPr="002B2D65" w:rsidRDefault="00E37C18" w:rsidP="00BD605E">
      <w:pPr>
        <w:widowControl w:val="0"/>
        <w:rPr>
          <w:szCs w:val="22"/>
        </w:rPr>
      </w:pPr>
      <w:r w:rsidRPr="003F3C81">
        <w:rPr>
          <w:noProof/>
          <w:color w:val="000000"/>
          <w:sz w:val="22"/>
          <w:szCs w:val="22"/>
        </w:rPr>
        <w:t>POLPHARMA S.A. atstovybė Lietuvoje</w:t>
      </w:r>
    </w:p>
    <w:p w14:paraId="49969F61" w14:textId="2F0C802C" w:rsidR="00BF2740" w:rsidRPr="004B4520" w:rsidRDefault="00BF2740" w:rsidP="00BF2740">
      <w:pPr>
        <w:pStyle w:val="Pagrindinistekstas"/>
        <w:spacing w:after="0"/>
        <w:rPr>
          <w:szCs w:val="22"/>
        </w:rPr>
      </w:pPr>
      <w:r w:rsidRPr="004B4520">
        <w:rPr>
          <w:szCs w:val="22"/>
        </w:rPr>
        <w:t>E. Ožeškienės g. 18</w:t>
      </w:r>
      <w:r w:rsidR="00E37C18">
        <w:rPr>
          <w:szCs w:val="22"/>
        </w:rPr>
        <w:t>A</w:t>
      </w:r>
    </w:p>
    <w:p w14:paraId="326D1E96" w14:textId="12F06488" w:rsidR="00BF2740" w:rsidRPr="004B4520" w:rsidRDefault="00E37C18" w:rsidP="00BF2740">
      <w:pPr>
        <w:pStyle w:val="Pagrindinistekstas"/>
        <w:spacing w:after="0"/>
        <w:rPr>
          <w:szCs w:val="22"/>
        </w:rPr>
      </w:pPr>
      <w:r>
        <w:rPr>
          <w:szCs w:val="22"/>
        </w:rPr>
        <w:t>LT-</w:t>
      </w:r>
      <w:r w:rsidR="00BF2740" w:rsidRPr="004B4520">
        <w:rPr>
          <w:szCs w:val="22"/>
        </w:rPr>
        <w:t>44254 Kaunas, Lietuva</w:t>
      </w:r>
    </w:p>
    <w:p w14:paraId="1F3B2BDF" w14:textId="0D9DE4B7" w:rsidR="00BF2740" w:rsidRPr="00BD605E" w:rsidRDefault="00BF2740" w:rsidP="008822CE">
      <w:pPr>
        <w:pStyle w:val="BTEMEASMCA"/>
        <w:rPr>
          <w:noProof w:val="0"/>
          <w:lang w:val="lt-LT"/>
        </w:rPr>
      </w:pPr>
      <w:r w:rsidRPr="00BD605E">
        <w:rPr>
          <w:lang w:val="lt-LT"/>
        </w:rPr>
        <w:t>Tel. + 370 37 325</w:t>
      </w:r>
      <w:r w:rsidR="00E37C18" w:rsidRPr="00BD605E">
        <w:rPr>
          <w:lang w:val="lt-LT"/>
        </w:rPr>
        <w:t> </w:t>
      </w:r>
      <w:r w:rsidRPr="00BD605E">
        <w:rPr>
          <w:lang w:val="lt-LT"/>
        </w:rPr>
        <w:t>131</w:t>
      </w:r>
    </w:p>
    <w:p w14:paraId="1A1384FA" w14:textId="77777777" w:rsidR="00E37C18" w:rsidRPr="00BD605E" w:rsidRDefault="00E37C18" w:rsidP="008822CE">
      <w:pPr>
        <w:pStyle w:val="BTbEMEASMCA"/>
        <w:rPr>
          <w:lang w:val="lt-LT"/>
        </w:rPr>
      </w:pPr>
    </w:p>
    <w:p w14:paraId="20BB45B7" w14:textId="0A59785B" w:rsidR="00BF2740" w:rsidRPr="00BD605E" w:rsidRDefault="00BF2740" w:rsidP="008822CE">
      <w:pPr>
        <w:pStyle w:val="BTbEMEASMCA"/>
        <w:rPr>
          <w:lang w:val="lt-LT"/>
        </w:rPr>
      </w:pPr>
      <w:r w:rsidRPr="00BD605E">
        <w:rPr>
          <w:lang w:val="lt-LT"/>
        </w:rPr>
        <w:t>Šis pakuotės lapelis paskutinį kartą peržiūrėtas</w:t>
      </w:r>
      <w:r w:rsidR="003B420D">
        <w:rPr>
          <w:lang w:val="lt-LT"/>
        </w:rPr>
        <w:t xml:space="preserve"> 2023-03-16</w:t>
      </w:r>
      <w:r w:rsidRPr="00BD605E">
        <w:rPr>
          <w:lang w:val="lt-LT"/>
        </w:rPr>
        <w:t>.</w:t>
      </w:r>
    </w:p>
    <w:p w14:paraId="4B6E5020" w14:textId="77777777" w:rsidR="00BF2740" w:rsidRPr="004B4520" w:rsidRDefault="00BF2740" w:rsidP="00BF2740">
      <w:pPr>
        <w:rPr>
          <w:sz w:val="22"/>
          <w:szCs w:val="22"/>
        </w:rPr>
      </w:pPr>
    </w:p>
    <w:p w14:paraId="6204C2E0" w14:textId="77777777" w:rsidR="00BF2740" w:rsidRPr="00BD605E" w:rsidRDefault="00BF2740" w:rsidP="008822CE">
      <w:pPr>
        <w:pStyle w:val="BTEMEASMCA"/>
        <w:rPr>
          <w:lang w:val="lt-LT"/>
        </w:rPr>
      </w:pPr>
      <w:r w:rsidRPr="00BD605E">
        <w:rPr>
          <w:lang w:val="lt-LT"/>
        </w:rPr>
        <w:t>Išsami informacija apie šį vaistą pateikiama Valstybinės vaistų kontrolės tarnybos prie Lietuvos Respublikos sveikatos apsaugos ministerijos tinklalapyje</w:t>
      </w:r>
      <w:r w:rsidRPr="00BD605E">
        <w:rPr>
          <w:i/>
          <w:lang w:val="lt-LT"/>
        </w:rPr>
        <w:t xml:space="preserve"> </w:t>
      </w:r>
      <w:hyperlink r:id="rId18" w:history="1">
        <w:r w:rsidRPr="004B4520">
          <w:rPr>
            <w:rStyle w:val="Hipersaitas"/>
            <w:lang w:val="lt-LT"/>
          </w:rPr>
          <w:t>www.vvkt.lt</w:t>
        </w:r>
      </w:hyperlink>
      <w:r w:rsidRPr="00BD605E">
        <w:rPr>
          <w:lang w:val="lt-LT"/>
        </w:rPr>
        <w:t>.</w:t>
      </w:r>
    </w:p>
    <w:p w14:paraId="6BB4F0C0" w14:textId="77777777" w:rsidR="00BF2740" w:rsidRPr="004B4520" w:rsidRDefault="00BF2740" w:rsidP="00BF2740">
      <w:pPr>
        <w:rPr>
          <w:sz w:val="22"/>
          <w:szCs w:val="22"/>
          <w:highlight w:val="yellow"/>
        </w:rPr>
      </w:pPr>
    </w:p>
    <w:p w14:paraId="1784ECBD" w14:textId="77777777" w:rsidR="00BF2740" w:rsidRPr="004B4520" w:rsidRDefault="00BF2740" w:rsidP="00BF2740">
      <w:pPr>
        <w:rPr>
          <w:sz w:val="22"/>
          <w:szCs w:val="22"/>
        </w:rPr>
      </w:pPr>
      <w:bookmarkStart w:id="81" w:name="_GoBack"/>
      <w:bookmarkEnd w:id="81"/>
    </w:p>
    <w:p w14:paraId="617AD338" w14:textId="77777777" w:rsidR="00BF2740" w:rsidRPr="004B4520" w:rsidRDefault="00BF2740" w:rsidP="00BF2740">
      <w:pPr>
        <w:rPr>
          <w:sz w:val="22"/>
          <w:szCs w:val="22"/>
        </w:rPr>
      </w:pPr>
    </w:p>
    <w:p w14:paraId="4005ECE7" w14:textId="77777777" w:rsidR="00BF2740" w:rsidRPr="004B4520" w:rsidRDefault="00BF2740" w:rsidP="00BF2740">
      <w:pPr>
        <w:rPr>
          <w:sz w:val="22"/>
          <w:szCs w:val="22"/>
        </w:rPr>
      </w:pPr>
    </w:p>
    <w:sectPr w:rsidR="00BF2740" w:rsidRPr="004B4520" w:rsidSect="006C63B0">
      <w:headerReference w:type="default" r:id="rId19"/>
      <w:footerReference w:type="default" r:id="rId2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7D56D" w14:textId="77777777" w:rsidR="006160CD" w:rsidRDefault="006160CD">
      <w:r>
        <w:separator/>
      </w:r>
    </w:p>
  </w:endnote>
  <w:endnote w:type="continuationSeparator" w:id="0">
    <w:p w14:paraId="1F18FAEA" w14:textId="77777777" w:rsidR="006160CD" w:rsidRDefault="006160CD">
      <w:r>
        <w:continuationSeparator/>
      </w:r>
    </w:p>
  </w:endnote>
  <w:endnote w:type="continuationNotice" w:id="1">
    <w:p w14:paraId="77FE73D5" w14:textId="77777777" w:rsidR="006160CD" w:rsidRDefault="006160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76998" w14:textId="422A52DC" w:rsidR="006C63B0" w:rsidRDefault="006C63B0">
    <w:pPr>
      <w:pStyle w:val="Porat"/>
      <w:jc w:val="right"/>
    </w:pPr>
    <w:r>
      <w:fldChar w:fldCharType="begin"/>
    </w:r>
    <w:r>
      <w:instrText xml:space="preserve"> PAGE   \* MERGEFORMAT </w:instrText>
    </w:r>
    <w:r>
      <w:fldChar w:fldCharType="separate"/>
    </w:r>
    <w:r w:rsidR="00D8308B">
      <w:rPr>
        <w:noProof/>
      </w:rPr>
      <w:t>22</w:t>
    </w:r>
    <w:r>
      <w:fldChar w:fldCharType="end"/>
    </w:r>
  </w:p>
  <w:p w14:paraId="2A2AB7C0" w14:textId="77777777" w:rsidR="006C63B0" w:rsidRDefault="006C63B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C37D6" w14:textId="77777777" w:rsidR="006160CD" w:rsidRDefault="006160CD">
      <w:r>
        <w:separator/>
      </w:r>
    </w:p>
  </w:footnote>
  <w:footnote w:type="continuationSeparator" w:id="0">
    <w:p w14:paraId="0CB88225" w14:textId="77777777" w:rsidR="006160CD" w:rsidRDefault="006160CD">
      <w:r>
        <w:continuationSeparator/>
      </w:r>
    </w:p>
  </w:footnote>
  <w:footnote w:type="continuationNotice" w:id="1">
    <w:p w14:paraId="5761321D" w14:textId="77777777" w:rsidR="006160CD" w:rsidRDefault="006160C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CB57B" w14:textId="77777777" w:rsidR="004A76F2" w:rsidRDefault="004A76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D300EF"/>
    <w:multiLevelType w:val="hybridMultilevel"/>
    <w:tmpl w:val="F16689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0F02CEA"/>
    <w:multiLevelType w:val="hybridMultilevel"/>
    <w:tmpl w:val="2E92EEBC"/>
    <w:lvl w:ilvl="0" w:tplc="3AC293C0">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5B6937"/>
    <w:multiLevelType w:val="hybridMultilevel"/>
    <w:tmpl w:val="413E4A46"/>
    <w:lvl w:ilvl="0" w:tplc="C3508C8E">
      <w:numFmt w:val="bullet"/>
      <w:lvlText w:val="-"/>
      <w:lvlJc w:val="left"/>
      <w:pPr>
        <w:tabs>
          <w:tab w:val="num" w:pos="360"/>
        </w:tabs>
        <w:ind w:left="284" w:hanging="284"/>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212B13"/>
    <w:multiLevelType w:val="hybridMultilevel"/>
    <w:tmpl w:val="7CB480A6"/>
    <w:lvl w:ilvl="0" w:tplc="EE5CD452">
      <w:start w:val="6"/>
      <w:numFmt w:val="bullet"/>
      <w:lvlText w:val="-"/>
      <w:lvlJc w:val="left"/>
      <w:pPr>
        <w:tabs>
          <w:tab w:val="num" w:pos="720"/>
        </w:tabs>
        <w:ind w:left="72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10A6674"/>
    <w:multiLevelType w:val="hybridMultilevel"/>
    <w:tmpl w:val="8B248AC8"/>
    <w:lvl w:ilvl="0" w:tplc="EE5CD452">
      <w:start w:val="6"/>
      <w:numFmt w:val="bullet"/>
      <w:lvlText w:val="-"/>
      <w:lvlJc w:val="left"/>
      <w:pPr>
        <w:tabs>
          <w:tab w:val="num" w:pos="3316"/>
        </w:tabs>
        <w:ind w:left="3316" w:hanging="720"/>
      </w:pPr>
      <w:rPr>
        <w:rFonts w:ascii="Times New Roman" w:eastAsia="Times New Roman" w:hAnsi="Times New Roman" w:cs="Times New Roman" w:hint="default"/>
      </w:rPr>
    </w:lvl>
    <w:lvl w:ilvl="1" w:tplc="04270003">
      <w:start w:val="1"/>
      <w:numFmt w:val="bullet"/>
      <w:lvlText w:val="o"/>
      <w:lvlJc w:val="left"/>
      <w:pPr>
        <w:tabs>
          <w:tab w:val="num" w:pos="4036"/>
        </w:tabs>
        <w:ind w:left="4036" w:hanging="360"/>
      </w:pPr>
      <w:rPr>
        <w:rFonts w:ascii="Courier New" w:hAnsi="Courier New" w:cs="Courier New" w:hint="default"/>
      </w:rPr>
    </w:lvl>
    <w:lvl w:ilvl="2" w:tplc="04270005" w:tentative="1">
      <w:start w:val="1"/>
      <w:numFmt w:val="bullet"/>
      <w:lvlText w:val=""/>
      <w:lvlJc w:val="left"/>
      <w:pPr>
        <w:tabs>
          <w:tab w:val="num" w:pos="4756"/>
        </w:tabs>
        <w:ind w:left="4756" w:hanging="360"/>
      </w:pPr>
      <w:rPr>
        <w:rFonts w:ascii="Wingdings" w:hAnsi="Wingdings" w:hint="default"/>
      </w:rPr>
    </w:lvl>
    <w:lvl w:ilvl="3" w:tplc="04270001" w:tentative="1">
      <w:start w:val="1"/>
      <w:numFmt w:val="bullet"/>
      <w:lvlText w:val=""/>
      <w:lvlJc w:val="left"/>
      <w:pPr>
        <w:tabs>
          <w:tab w:val="num" w:pos="5476"/>
        </w:tabs>
        <w:ind w:left="5476" w:hanging="360"/>
      </w:pPr>
      <w:rPr>
        <w:rFonts w:ascii="Symbol" w:hAnsi="Symbol" w:hint="default"/>
      </w:rPr>
    </w:lvl>
    <w:lvl w:ilvl="4" w:tplc="04270003" w:tentative="1">
      <w:start w:val="1"/>
      <w:numFmt w:val="bullet"/>
      <w:lvlText w:val="o"/>
      <w:lvlJc w:val="left"/>
      <w:pPr>
        <w:tabs>
          <w:tab w:val="num" w:pos="6196"/>
        </w:tabs>
        <w:ind w:left="6196" w:hanging="360"/>
      </w:pPr>
      <w:rPr>
        <w:rFonts w:ascii="Courier New" w:hAnsi="Courier New" w:cs="Courier New" w:hint="default"/>
      </w:rPr>
    </w:lvl>
    <w:lvl w:ilvl="5" w:tplc="04270005" w:tentative="1">
      <w:start w:val="1"/>
      <w:numFmt w:val="bullet"/>
      <w:lvlText w:val=""/>
      <w:lvlJc w:val="left"/>
      <w:pPr>
        <w:tabs>
          <w:tab w:val="num" w:pos="6916"/>
        </w:tabs>
        <w:ind w:left="6916" w:hanging="360"/>
      </w:pPr>
      <w:rPr>
        <w:rFonts w:ascii="Wingdings" w:hAnsi="Wingdings" w:hint="default"/>
      </w:rPr>
    </w:lvl>
    <w:lvl w:ilvl="6" w:tplc="04270001" w:tentative="1">
      <w:start w:val="1"/>
      <w:numFmt w:val="bullet"/>
      <w:lvlText w:val=""/>
      <w:lvlJc w:val="left"/>
      <w:pPr>
        <w:tabs>
          <w:tab w:val="num" w:pos="7636"/>
        </w:tabs>
        <w:ind w:left="7636" w:hanging="360"/>
      </w:pPr>
      <w:rPr>
        <w:rFonts w:ascii="Symbol" w:hAnsi="Symbol" w:hint="default"/>
      </w:rPr>
    </w:lvl>
    <w:lvl w:ilvl="7" w:tplc="04270003" w:tentative="1">
      <w:start w:val="1"/>
      <w:numFmt w:val="bullet"/>
      <w:lvlText w:val="o"/>
      <w:lvlJc w:val="left"/>
      <w:pPr>
        <w:tabs>
          <w:tab w:val="num" w:pos="8356"/>
        </w:tabs>
        <w:ind w:left="8356" w:hanging="360"/>
      </w:pPr>
      <w:rPr>
        <w:rFonts w:ascii="Courier New" w:hAnsi="Courier New" w:cs="Courier New" w:hint="default"/>
      </w:rPr>
    </w:lvl>
    <w:lvl w:ilvl="8" w:tplc="04270005" w:tentative="1">
      <w:start w:val="1"/>
      <w:numFmt w:val="bullet"/>
      <w:lvlText w:val=""/>
      <w:lvlJc w:val="left"/>
      <w:pPr>
        <w:tabs>
          <w:tab w:val="num" w:pos="9076"/>
        </w:tabs>
        <w:ind w:left="9076" w:hanging="360"/>
      </w:pPr>
      <w:rPr>
        <w:rFonts w:ascii="Wingdings" w:hAnsi="Wingdings" w:hint="default"/>
      </w:rPr>
    </w:lvl>
  </w:abstractNum>
  <w:abstractNum w:abstractNumId="5" w15:restartNumberingAfterBreak="0">
    <w:nsid w:val="77A3792F"/>
    <w:multiLevelType w:val="hybridMultilevel"/>
    <w:tmpl w:val="B7085190"/>
    <w:lvl w:ilvl="0" w:tplc="C3508C8E">
      <w:numFmt w:val="bullet"/>
      <w:lvlText w:val="-"/>
      <w:lvlJc w:val="left"/>
      <w:pPr>
        <w:tabs>
          <w:tab w:val="num" w:pos="360"/>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EDA"/>
    <w:rsid w:val="00020D3B"/>
    <w:rsid w:val="00026EF8"/>
    <w:rsid w:val="00041BB2"/>
    <w:rsid w:val="00074B2B"/>
    <w:rsid w:val="00087A12"/>
    <w:rsid w:val="0009381C"/>
    <w:rsid w:val="000942C8"/>
    <w:rsid w:val="000B1108"/>
    <w:rsid w:val="00102293"/>
    <w:rsid w:val="00104F89"/>
    <w:rsid w:val="00115E63"/>
    <w:rsid w:val="00117907"/>
    <w:rsid w:val="001364FF"/>
    <w:rsid w:val="00154616"/>
    <w:rsid w:val="00172E56"/>
    <w:rsid w:val="00186459"/>
    <w:rsid w:val="001F32F0"/>
    <w:rsid w:val="00233FBB"/>
    <w:rsid w:val="002608A9"/>
    <w:rsid w:val="002B2141"/>
    <w:rsid w:val="002B2D65"/>
    <w:rsid w:val="002C14C2"/>
    <w:rsid w:val="002D2140"/>
    <w:rsid w:val="00325FA8"/>
    <w:rsid w:val="003476BE"/>
    <w:rsid w:val="00355893"/>
    <w:rsid w:val="00396773"/>
    <w:rsid w:val="003A6F32"/>
    <w:rsid w:val="003B420D"/>
    <w:rsid w:val="003B464E"/>
    <w:rsid w:val="003B5D95"/>
    <w:rsid w:val="003D5D1E"/>
    <w:rsid w:val="003F3C81"/>
    <w:rsid w:val="0040759D"/>
    <w:rsid w:val="004105FB"/>
    <w:rsid w:val="0043711B"/>
    <w:rsid w:val="00454E07"/>
    <w:rsid w:val="00473BD8"/>
    <w:rsid w:val="00491087"/>
    <w:rsid w:val="00495B9B"/>
    <w:rsid w:val="004A76F2"/>
    <w:rsid w:val="004B4520"/>
    <w:rsid w:val="004D48B4"/>
    <w:rsid w:val="004E02A8"/>
    <w:rsid w:val="004E4879"/>
    <w:rsid w:val="00523F26"/>
    <w:rsid w:val="00540737"/>
    <w:rsid w:val="00556AD5"/>
    <w:rsid w:val="00585A77"/>
    <w:rsid w:val="005A4890"/>
    <w:rsid w:val="005C0254"/>
    <w:rsid w:val="005C6D92"/>
    <w:rsid w:val="005F53BD"/>
    <w:rsid w:val="006160CD"/>
    <w:rsid w:val="00616BFB"/>
    <w:rsid w:val="00636543"/>
    <w:rsid w:val="00673E44"/>
    <w:rsid w:val="00681AA3"/>
    <w:rsid w:val="006B749F"/>
    <w:rsid w:val="006C63B0"/>
    <w:rsid w:val="006D1C3C"/>
    <w:rsid w:val="006E7E3D"/>
    <w:rsid w:val="006F7FB8"/>
    <w:rsid w:val="0076339F"/>
    <w:rsid w:val="00772C22"/>
    <w:rsid w:val="007D4FAB"/>
    <w:rsid w:val="0086752F"/>
    <w:rsid w:val="0087329A"/>
    <w:rsid w:val="008822CE"/>
    <w:rsid w:val="00887101"/>
    <w:rsid w:val="008966C9"/>
    <w:rsid w:val="008B655B"/>
    <w:rsid w:val="008E709E"/>
    <w:rsid w:val="009418C4"/>
    <w:rsid w:val="00953DDF"/>
    <w:rsid w:val="00964745"/>
    <w:rsid w:val="00985068"/>
    <w:rsid w:val="0098764C"/>
    <w:rsid w:val="009B08BF"/>
    <w:rsid w:val="009B7A68"/>
    <w:rsid w:val="009C6A30"/>
    <w:rsid w:val="009D42E2"/>
    <w:rsid w:val="009E42B6"/>
    <w:rsid w:val="00A02C21"/>
    <w:rsid w:val="00A07EDA"/>
    <w:rsid w:val="00A14665"/>
    <w:rsid w:val="00A40106"/>
    <w:rsid w:val="00A46272"/>
    <w:rsid w:val="00A66602"/>
    <w:rsid w:val="00A74C15"/>
    <w:rsid w:val="00AC27CB"/>
    <w:rsid w:val="00AC7F75"/>
    <w:rsid w:val="00AD03B0"/>
    <w:rsid w:val="00B24791"/>
    <w:rsid w:val="00B569DF"/>
    <w:rsid w:val="00B80A27"/>
    <w:rsid w:val="00B81D68"/>
    <w:rsid w:val="00B85909"/>
    <w:rsid w:val="00B910EF"/>
    <w:rsid w:val="00B971FD"/>
    <w:rsid w:val="00BC4E58"/>
    <w:rsid w:val="00BD605E"/>
    <w:rsid w:val="00BF2740"/>
    <w:rsid w:val="00C00686"/>
    <w:rsid w:val="00C2107A"/>
    <w:rsid w:val="00C24E74"/>
    <w:rsid w:val="00CA5763"/>
    <w:rsid w:val="00CC3572"/>
    <w:rsid w:val="00D22724"/>
    <w:rsid w:val="00D4452E"/>
    <w:rsid w:val="00D737F7"/>
    <w:rsid w:val="00D8308B"/>
    <w:rsid w:val="00D84EB8"/>
    <w:rsid w:val="00DA1264"/>
    <w:rsid w:val="00DC3554"/>
    <w:rsid w:val="00DD3134"/>
    <w:rsid w:val="00DD5BDC"/>
    <w:rsid w:val="00DD6D04"/>
    <w:rsid w:val="00E03042"/>
    <w:rsid w:val="00E044FD"/>
    <w:rsid w:val="00E37C18"/>
    <w:rsid w:val="00E51707"/>
    <w:rsid w:val="00E71155"/>
    <w:rsid w:val="00E860A5"/>
    <w:rsid w:val="00E9369A"/>
    <w:rsid w:val="00ED0CD0"/>
    <w:rsid w:val="00EE1CBC"/>
    <w:rsid w:val="00EF7A81"/>
    <w:rsid w:val="00F22466"/>
    <w:rsid w:val="00F4420A"/>
    <w:rsid w:val="00F44FCB"/>
    <w:rsid w:val="00F52457"/>
    <w:rsid w:val="00F77150"/>
    <w:rsid w:val="00FA3C6E"/>
    <w:rsid w:val="00FA7529"/>
    <w:rsid w:val="00FB7C7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24F5A78"/>
  <w15:chartTrackingRefBased/>
  <w15:docId w15:val="{8DB3D425-0F74-46E2-B60D-994B69D97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F53BD"/>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A07EDA"/>
    <w:pPr>
      <w:keepNext/>
      <w:keepLines/>
      <w:spacing w:before="480"/>
      <w:outlineLvl w:val="0"/>
    </w:pPr>
    <w:rPr>
      <w:rFonts w:ascii="Calibri Light" w:hAnsi="Calibri Light"/>
      <w:b/>
      <w:bCs/>
      <w:color w:val="2E74B5"/>
      <w:sz w:val="28"/>
      <w:szCs w:val="28"/>
    </w:rPr>
  </w:style>
  <w:style w:type="paragraph" w:styleId="Antrat2">
    <w:name w:val="heading 2"/>
    <w:basedOn w:val="prastasis"/>
    <w:next w:val="prastasis"/>
    <w:link w:val="Antrat2Diagrama"/>
    <w:uiPriority w:val="9"/>
    <w:semiHidden/>
    <w:unhideWhenUsed/>
    <w:qFormat/>
    <w:rsid w:val="00A07EDA"/>
    <w:pPr>
      <w:keepNext/>
      <w:keepLines/>
      <w:spacing w:before="200"/>
      <w:outlineLvl w:val="1"/>
    </w:pPr>
    <w:rPr>
      <w:rFonts w:ascii="Calibri Light" w:hAnsi="Calibri Light"/>
      <w:b/>
      <w:bCs/>
      <w:color w:val="5B9BD5"/>
      <w:sz w:val="26"/>
      <w:szCs w:val="26"/>
    </w:rPr>
  </w:style>
  <w:style w:type="paragraph" w:styleId="Antrat3">
    <w:name w:val="heading 3"/>
    <w:basedOn w:val="prastasis"/>
    <w:next w:val="prastasis"/>
    <w:link w:val="Antrat3Diagrama"/>
    <w:uiPriority w:val="9"/>
    <w:semiHidden/>
    <w:unhideWhenUsed/>
    <w:qFormat/>
    <w:rsid w:val="00A07EDA"/>
    <w:pPr>
      <w:keepNext/>
      <w:keepLines/>
      <w:spacing w:before="200"/>
      <w:outlineLvl w:val="2"/>
    </w:pPr>
    <w:rPr>
      <w:rFonts w:ascii="Calibri Light" w:hAnsi="Calibri Light"/>
      <w:b/>
      <w:bCs/>
      <w:color w:val="5B9BD5"/>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A07EDA"/>
    <w:rPr>
      <w:rFonts w:ascii="Calibri Light" w:eastAsia="Times New Roman" w:hAnsi="Calibri Light" w:cs="Times New Roman"/>
      <w:b/>
      <w:bCs/>
      <w:color w:val="2E74B5"/>
      <w:sz w:val="28"/>
      <w:szCs w:val="28"/>
      <w:lang w:val="lt-LT"/>
    </w:rPr>
  </w:style>
  <w:style w:type="character" w:customStyle="1" w:styleId="Antrat2Diagrama">
    <w:name w:val="Antraštė 2 Diagrama"/>
    <w:link w:val="Antrat2"/>
    <w:uiPriority w:val="9"/>
    <w:semiHidden/>
    <w:rsid w:val="00A07EDA"/>
    <w:rPr>
      <w:rFonts w:ascii="Calibri Light" w:eastAsia="Times New Roman" w:hAnsi="Calibri Light" w:cs="Times New Roman"/>
      <w:b/>
      <w:bCs/>
      <w:color w:val="5B9BD5"/>
      <w:sz w:val="26"/>
      <w:szCs w:val="26"/>
      <w:lang w:val="lt-LT"/>
    </w:rPr>
  </w:style>
  <w:style w:type="character" w:customStyle="1" w:styleId="Antrat3Diagrama">
    <w:name w:val="Antraštė 3 Diagrama"/>
    <w:link w:val="Antrat3"/>
    <w:uiPriority w:val="9"/>
    <w:semiHidden/>
    <w:rsid w:val="00A07EDA"/>
    <w:rPr>
      <w:rFonts w:ascii="Calibri Light" w:eastAsia="Times New Roman" w:hAnsi="Calibri Light" w:cs="Times New Roman"/>
      <w:b/>
      <w:bCs/>
      <w:color w:val="5B9BD5"/>
      <w:sz w:val="24"/>
      <w:szCs w:val="24"/>
      <w:lang w:val="lt-LT"/>
    </w:rPr>
  </w:style>
  <w:style w:type="character" w:styleId="Hipersaitas">
    <w:name w:val="Hyperlink"/>
    <w:uiPriority w:val="99"/>
    <w:rsid w:val="00A07EDA"/>
    <w:rPr>
      <w:color w:val="0000FF"/>
      <w:u w:val="single"/>
    </w:rPr>
  </w:style>
  <w:style w:type="paragraph" w:customStyle="1" w:styleId="PI-1EMEASMCA">
    <w:name w:val="PI-1 EMEA_SMCA"/>
    <w:basedOn w:val="Antrat2"/>
    <w:autoRedefine/>
    <w:rsid w:val="005F53BD"/>
    <w:pPr>
      <w:keepLines w:val="0"/>
      <w:tabs>
        <w:tab w:val="left" w:pos="567"/>
      </w:tabs>
      <w:spacing w:before="0"/>
      <w:ind w:left="567" w:hanging="567"/>
    </w:pPr>
    <w:rPr>
      <w:rFonts w:ascii="Times New Roman" w:hAnsi="Times New Roman"/>
      <w:bCs w:val="0"/>
      <w:color w:val="auto"/>
      <w:sz w:val="22"/>
      <w:szCs w:val="22"/>
    </w:rPr>
  </w:style>
  <w:style w:type="paragraph" w:customStyle="1" w:styleId="PI-2EMEASMCA">
    <w:name w:val="PI-2 EMEA_SMCA"/>
    <w:basedOn w:val="Antrat3"/>
    <w:autoRedefine/>
    <w:rsid w:val="00A07EDA"/>
    <w:pPr>
      <w:tabs>
        <w:tab w:val="left" w:pos="567"/>
      </w:tabs>
      <w:spacing w:before="0"/>
      <w:ind w:left="567" w:hanging="567"/>
    </w:pPr>
    <w:rPr>
      <w:rFonts w:ascii="Times New Roman" w:hAnsi="Times New Roman"/>
      <w:bCs w:val="0"/>
      <w:color w:val="auto"/>
      <w:kern w:val="28"/>
      <w:sz w:val="22"/>
      <w:szCs w:val="22"/>
    </w:rPr>
  </w:style>
  <w:style w:type="paragraph" w:customStyle="1" w:styleId="BTEMEASMCA">
    <w:name w:val="BT EMEA_SMCA"/>
    <w:basedOn w:val="prastasis"/>
    <w:link w:val="BTEMEASMCAChar"/>
    <w:autoRedefine/>
    <w:rsid w:val="008822CE"/>
    <w:pPr>
      <w:tabs>
        <w:tab w:val="left" w:pos="567"/>
      </w:tabs>
    </w:pPr>
    <w:rPr>
      <w:noProof/>
      <w:sz w:val="22"/>
      <w:szCs w:val="22"/>
      <w:lang w:val="en-GB"/>
    </w:rPr>
  </w:style>
  <w:style w:type="character" w:customStyle="1" w:styleId="BTEMEASMCAChar">
    <w:name w:val="BT EMEA_SMCA Char"/>
    <w:link w:val="BTEMEASMCA"/>
    <w:rsid w:val="008822CE"/>
    <w:rPr>
      <w:rFonts w:ascii="Times New Roman" w:eastAsia="Times New Roman" w:hAnsi="Times New Roman"/>
      <w:noProof/>
      <w:sz w:val="22"/>
      <w:szCs w:val="22"/>
      <w:lang w:val="en-GB" w:eastAsia="en-US"/>
    </w:rPr>
  </w:style>
  <w:style w:type="paragraph" w:customStyle="1" w:styleId="TTEMEASMCA">
    <w:name w:val="TT EMEA_SMCA"/>
    <w:basedOn w:val="Antrat1"/>
    <w:link w:val="TTEMEASMCAChar"/>
    <w:autoRedefine/>
    <w:rsid w:val="00A07EDA"/>
    <w:pPr>
      <w:keepNext w:val="0"/>
      <w:keepLines w:val="0"/>
      <w:tabs>
        <w:tab w:val="left" w:pos="567"/>
      </w:tabs>
      <w:spacing w:before="0"/>
      <w:ind w:left="567" w:hanging="567"/>
      <w:jc w:val="center"/>
    </w:pPr>
    <w:rPr>
      <w:rFonts w:ascii="Times New Roman" w:hAnsi="Times New Roman"/>
      <w:bCs w:val="0"/>
      <w:caps/>
      <w:color w:val="auto"/>
      <w:sz w:val="22"/>
      <w:szCs w:val="22"/>
      <w:lang w:val="en-US"/>
    </w:rPr>
  </w:style>
  <w:style w:type="character" w:customStyle="1" w:styleId="TTEMEASMCAChar">
    <w:name w:val="TT EMEA_SMCA Char"/>
    <w:link w:val="TTEMEASMCA"/>
    <w:rsid w:val="00A07EDA"/>
    <w:rPr>
      <w:rFonts w:ascii="Times New Roman" w:eastAsia="Times New Roman" w:hAnsi="Times New Roman" w:cs="Times New Roman"/>
      <w:b/>
      <w:caps/>
      <w:lang w:val="en-US"/>
    </w:rPr>
  </w:style>
  <w:style w:type="paragraph" w:customStyle="1" w:styleId="BTAnIIEMEASMCA">
    <w:name w:val="BT(AnII) EMEA_SMCA"/>
    <w:basedOn w:val="Debesliotekstas"/>
    <w:autoRedefine/>
    <w:rsid w:val="00A07EDA"/>
    <w:pPr>
      <w:tabs>
        <w:tab w:val="left" w:pos="0"/>
        <w:tab w:val="left" w:pos="567"/>
      </w:tabs>
    </w:pPr>
    <w:rPr>
      <w:rFonts w:ascii="Times New Roman" w:hAnsi="Times New Roman"/>
      <w:b/>
      <w:sz w:val="22"/>
      <w:szCs w:val="22"/>
      <w:lang w:val="en-GB"/>
    </w:rPr>
  </w:style>
  <w:style w:type="paragraph" w:customStyle="1" w:styleId="BT-EMEASMCA">
    <w:name w:val="BT- EMEA_SMCA"/>
    <w:basedOn w:val="BTEMEASMCA"/>
    <w:autoRedefine/>
    <w:rsid w:val="00026EF8"/>
    <w:pPr>
      <w:numPr>
        <w:numId w:val="1"/>
      </w:numPr>
      <w:tabs>
        <w:tab w:val="clear" w:pos="720"/>
        <w:tab w:val="num" w:pos="360"/>
      </w:tabs>
      <w:ind w:left="350" w:hanging="350"/>
    </w:pPr>
  </w:style>
  <w:style w:type="paragraph" w:customStyle="1" w:styleId="PI-3EMEASMCA">
    <w:name w:val="PI-3 EMEA_SMCA"/>
    <w:basedOn w:val="prastasis"/>
    <w:autoRedefine/>
    <w:rsid w:val="00953DDF"/>
    <w:pPr>
      <w:spacing w:line="220" w:lineRule="exact"/>
    </w:pPr>
    <w:rPr>
      <w:b/>
      <w:bCs/>
      <w:sz w:val="22"/>
      <w:szCs w:val="22"/>
    </w:rPr>
  </w:style>
  <w:style w:type="paragraph" w:customStyle="1" w:styleId="BTbEMEASMCA">
    <w:name w:val="BT(b) EMEA_SMCA"/>
    <w:basedOn w:val="BTEMEASMCA"/>
    <w:autoRedefine/>
    <w:rsid w:val="00A07EDA"/>
    <w:rPr>
      <w:b/>
    </w:rPr>
  </w:style>
  <w:style w:type="paragraph" w:customStyle="1" w:styleId="BTbeEMEASMCA">
    <w:name w:val="BT(be) EMEA_SMCA"/>
    <w:basedOn w:val="BTEMEASMCA"/>
    <w:autoRedefine/>
    <w:rsid w:val="00A07EDA"/>
    <w:pPr>
      <w:jc w:val="center"/>
    </w:pPr>
    <w:rPr>
      <w:b/>
    </w:rPr>
  </w:style>
  <w:style w:type="paragraph" w:customStyle="1" w:styleId="BTeEMEASMCA">
    <w:name w:val="BT(e) EMEA_SMCA"/>
    <w:basedOn w:val="BTEMEASMCA"/>
    <w:autoRedefine/>
    <w:rsid w:val="00A07EDA"/>
    <w:pPr>
      <w:jc w:val="center"/>
    </w:pPr>
  </w:style>
  <w:style w:type="paragraph" w:customStyle="1" w:styleId="BTuEMEASMCA">
    <w:name w:val="BT(u) EMEA_SMCA"/>
    <w:basedOn w:val="BTEMEASMCA"/>
    <w:autoRedefine/>
    <w:rsid w:val="00A07EDA"/>
    <w:rPr>
      <w:u w:val="single"/>
    </w:rPr>
  </w:style>
  <w:style w:type="paragraph" w:styleId="Pagrindinistekstas">
    <w:name w:val="Body Text"/>
    <w:basedOn w:val="prastasis"/>
    <w:link w:val="PagrindinistekstasDiagrama"/>
    <w:rsid w:val="00A07EDA"/>
    <w:pPr>
      <w:spacing w:after="120"/>
    </w:pPr>
    <w:rPr>
      <w:sz w:val="22"/>
      <w:szCs w:val="20"/>
      <w:lang w:eastAsia="lt-LT"/>
    </w:rPr>
  </w:style>
  <w:style w:type="character" w:customStyle="1" w:styleId="PagrindinistekstasDiagrama">
    <w:name w:val="Pagrindinis tekstas Diagrama"/>
    <w:link w:val="Pagrindinistekstas"/>
    <w:rsid w:val="00A07EDA"/>
    <w:rPr>
      <w:rFonts w:ascii="Times New Roman" w:eastAsia="Times New Roman" w:hAnsi="Times New Roman" w:cs="Times New Roman"/>
      <w:szCs w:val="20"/>
      <w:lang w:val="lt-LT" w:eastAsia="lt-LT"/>
    </w:rPr>
  </w:style>
  <w:style w:type="paragraph" w:styleId="Porat">
    <w:name w:val="footer"/>
    <w:basedOn w:val="prastasis"/>
    <w:link w:val="PoratDiagrama"/>
    <w:uiPriority w:val="99"/>
    <w:rsid w:val="00A07EDA"/>
    <w:pPr>
      <w:tabs>
        <w:tab w:val="center" w:pos="4153"/>
        <w:tab w:val="right" w:pos="8306"/>
      </w:tabs>
    </w:pPr>
    <w:rPr>
      <w:sz w:val="22"/>
      <w:szCs w:val="20"/>
    </w:rPr>
  </w:style>
  <w:style w:type="character" w:customStyle="1" w:styleId="PoratDiagrama">
    <w:name w:val="Poraštė Diagrama"/>
    <w:link w:val="Porat"/>
    <w:uiPriority w:val="99"/>
    <w:rsid w:val="00A07EDA"/>
    <w:rPr>
      <w:rFonts w:ascii="Times New Roman" w:eastAsia="Times New Roman" w:hAnsi="Times New Roman" w:cs="Times New Roman"/>
      <w:szCs w:val="20"/>
      <w:lang w:val="lt-LT"/>
    </w:rPr>
  </w:style>
  <w:style w:type="paragraph" w:styleId="Pavadinimas">
    <w:name w:val="Title"/>
    <w:basedOn w:val="prastasis"/>
    <w:link w:val="PavadinimasDiagrama"/>
    <w:autoRedefine/>
    <w:qFormat/>
    <w:rsid w:val="00A07EDA"/>
    <w:pPr>
      <w:jc w:val="center"/>
      <w:outlineLvl w:val="0"/>
    </w:pPr>
    <w:rPr>
      <w:b/>
      <w:kern w:val="28"/>
      <w:sz w:val="22"/>
      <w:szCs w:val="20"/>
      <w:lang w:eastAsia="lt-LT"/>
    </w:rPr>
  </w:style>
  <w:style w:type="character" w:customStyle="1" w:styleId="PavadinimasDiagrama">
    <w:name w:val="Pavadinimas Diagrama"/>
    <w:link w:val="Pavadinimas"/>
    <w:rsid w:val="00A07EDA"/>
    <w:rPr>
      <w:rFonts w:ascii="Times New Roman" w:eastAsia="Times New Roman" w:hAnsi="Times New Roman" w:cs="Times New Roman"/>
      <w:b/>
      <w:kern w:val="28"/>
      <w:szCs w:val="20"/>
      <w:lang w:val="lt-LT" w:eastAsia="lt-LT"/>
    </w:rPr>
  </w:style>
  <w:style w:type="paragraph" w:styleId="Dokumentoinaostekstas">
    <w:name w:val="endnote text"/>
    <w:basedOn w:val="prastasis"/>
    <w:link w:val="DokumentoinaostekstasDiagrama"/>
    <w:rsid w:val="00A07EDA"/>
    <w:pPr>
      <w:tabs>
        <w:tab w:val="left" w:pos="567"/>
      </w:tabs>
    </w:pPr>
    <w:rPr>
      <w:sz w:val="22"/>
      <w:szCs w:val="20"/>
      <w:lang w:val="en-GB"/>
    </w:rPr>
  </w:style>
  <w:style w:type="character" w:customStyle="1" w:styleId="DokumentoinaostekstasDiagrama">
    <w:name w:val="Dokumento išnašos tekstas Diagrama"/>
    <w:link w:val="Dokumentoinaostekstas"/>
    <w:rsid w:val="00A07EDA"/>
    <w:rPr>
      <w:rFonts w:ascii="Times New Roman" w:eastAsia="Times New Roman" w:hAnsi="Times New Roman" w:cs="Times New Roman"/>
      <w:szCs w:val="20"/>
      <w:lang w:val="en-GB"/>
    </w:rPr>
  </w:style>
  <w:style w:type="paragraph" w:styleId="Debesliotekstas">
    <w:name w:val="Balloon Text"/>
    <w:basedOn w:val="prastasis"/>
    <w:link w:val="DebesliotekstasDiagrama"/>
    <w:uiPriority w:val="99"/>
    <w:semiHidden/>
    <w:unhideWhenUsed/>
    <w:rsid w:val="00A07EDA"/>
    <w:rPr>
      <w:rFonts w:ascii="Tahoma" w:hAnsi="Tahoma" w:cs="Tahoma"/>
      <w:sz w:val="16"/>
      <w:szCs w:val="16"/>
    </w:rPr>
  </w:style>
  <w:style w:type="character" w:customStyle="1" w:styleId="DebesliotekstasDiagrama">
    <w:name w:val="Debesėlio tekstas Diagrama"/>
    <w:link w:val="Debesliotekstas"/>
    <w:uiPriority w:val="99"/>
    <w:semiHidden/>
    <w:rsid w:val="00A07EDA"/>
    <w:rPr>
      <w:rFonts w:ascii="Tahoma" w:eastAsia="Times New Roman" w:hAnsi="Tahoma" w:cs="Tahoma"/>
      <w:sz w:val="16"/>
      <w:szCs w:val="16"/>
      <w:lang w:val="lt-LT"/>
    </w:rPr>
  </w:style>
  <w:style w:type="character" w:styleId="Perirtashipersaitas">
    <w:name w:val="FollowedHyperlink"/>
    <w:uiPriority w:val="99"/>
    <w:semiHidden/>
    <w:unhideWhenUsed/>
    <w:rsid w:val="00A07EDA"/>
    <w:rPr>
      <w:color w:val="954F72"/>
      <w:u w:val="single"/>
    </w:rPr>
  </w:style>
  <w:style w:type="paragraph" w:styleId="Paprastasistekstas">
    <w:name w:val="Plain Text"/>
    <w:basedOn w:val="prastasis"/>
    <w:link w:val="PaprastasistekstasDiagrama"/>
    <w:uiPriority w:val="99"/>
    <w:rsid w:val="00E9369A"/>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E9369A"/>
    <w:rPr>
      <w:rFonts w:ascii="Courier New" w:eastAsia="SimSun" w:hAnsi="Courier New"/>
      <w:lang w:val="en-US" w:eastAsia="en-US"/>
    </w:rPr>
  </w:style>
  <w:style w:type="character" w:styleId="Komentaronuoroda">
    <w:name w:val="annotation reference"/>
    <w:uiPriority w:val="99"/>
    <w:semiHidden/>
    <w:unhideWhenUsed/>
    <w:rsid w:val="00E860A5"/>
    <w:rPr>
      <w:sz w:val="16"/>
      <w:szCs w:val="16"/>
    </w:rPr>
  </w:style>
  <w:style w:type="paragraph" w:styleId="Komentarotekstas">
    <w:name w:val="annotation text"/>
    <w:basedOn w:val="prastasis"/>
    <w:link w:val="KomentarotekstasDiagrama"/>
    <w:uiPriority w:val="99"/>
    <w:unhideWhenUsed/>
    <w:rsid w:val="00E860A5"/>
    <w:rPr>
      <w:sz w:val="20"/>
      <w:szCs w:val="20"/>
    </w:rPr>
  </w:style>
  <w:style w:type="character" w:customStyle="1" w:styleId="KomentarotekstasDiagrama">
    <w:name w:val="Komentaro tekstas Diagrama"/>
    <w:link w:val="Komentarotekstas"/>
    <w:uiPriority w:val="99"/>
    <w:rsid w:val="00E860A5"/>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E860A5"/>
    <w:rPr>
      <w:b/>
      <w:bCs/>
    </w:rPr>
  </w:style>
  <w:style w:type="character" w:customStyle="1" w:styleId="KomentarotemaDiagrama">
    <w:name w:val="Komentaro tema Diagrama"/>
    <w:link w:val="Komentarotema"/>
    <w:uiPriority w:val="99"/>
    <w:semiHidden/>
    <w:rsid w:val="00E860A5"/>
    <w:rPr>
      <w:rFonts w:ascii="Times New Roman" w:eastAsia="Times New Roman" w:hAnsi="Times New Roman"/>
      <w:b/>
      <w:bCs/>
      <w:lang w:eastAsia="en-US"/>
    </w:rPr>
  </w:style>
  <w:style w:type="paragraph" w:styleId="Pataisymai">
    <w:name w:val="Revision"/>
    <w:hidden/>
    <w:uiPriority w:val="99"/>
    <w:semiHidden/>
    <w:rsid w:val="00115E63"/>
    <w:rPr>
      <w:rFonts w:ascii="Times New Roman" w:eastAsia="Times New Roman" w:hAnsi="Times New Roman"/>
      <w:sz w:val="24"/>
      <w:szCs w:val="24"/>
      <w:lang w:eastAsia="en-US"/>
    </w:rPr>
  </w:style>
  <w:style w:type="character" w:customStyle="1" w:styleId="shorttext">
    <w:name w:val="short_text"/>
    <w:rsid w:val="000B1108"/>
  </w:style>
  <w:style w:type="paragraph" w:customStyle="1" w:styleId="Default">
    <w:name w:val="Default"/>
    <w:rsid w:val="009C6A30"/>
    <w:pPr>
      <w:autoSpaceDE w:val="0"/>
      <w:autoSpaceDN w:val="0"/>
      <w:adjustRightInd w:val="0"/>
    </w:pPr>
    <w:rPr>
      <w:rFonts w:ascii="Verdana" w:hAnsi="Verdana" w:cs="Verdana"/>
      <w:color w:val="000000"/>
      <w:sz w:val="24"/>
      <w:szCs w:val="24"/>
      <w:lang w:val="pl-PL" w:eastAsia="pl-PL"/>
    </w:rPr>
  </w:style>
  <w:style w:type="paragraph" w:styleId="Antrats">
    <w:name w:val="header"/>
    <w:basedOn w:val="prastasis"/>
    <w:link w:val="AntratsDiagrama"/>
    <w:uiPriority w:val="99"/>
    <w:unhideWhenUsed/>
    <w:rsid w:val="005F53BD"/>
    <w:pPr>
      <w:tabs>
        <w:tab w:val="center" w:pos="4536"/>
        <w:tab w:val="right" w:pos="9072"/>
      </w:tabs>
    </w:pPr>
  </w:style>
  <w:style w:type="character" w:customStyle="1" w:styleId="AntratsDiagrama">
    <w:name w:val="Antraštės Diagrama"/>
    <w:basedOn w:val="Numatytasispastraiposriftas"/>
    <w:link w:val="Antrats"/>
    <w:uiPriority w:val="99"/>
    <w:rsid w:val="005F53BD"/>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52771">
      <w:bodyDiv w:val="1"/>
      <w:marLeft w:val="0"/>
      <w:marRight w:val="0"/>
      <w:marTop w:val="0"/>
      <w:marBottom w:val="0"/>
      <w:divBdr>
        <w:top w:val="none" w:sz="0" w:space="0" w:color="auto"/>
        <w:left w:val="none" w:sz="0" w:space="0" w:color="auto"/>
        <w:bottom w:val="none" w:sz="0" w:space="0" w:color="auto"/>
        <w:right w:val="none" w:sz="0" w:space="0" w:color="auto"/>
      </w:divBdr>
    </w:div>
    <w:div w:id="318192005">
      <w:bodyDiv w:val="1"/>
      <w:marLeft w:val="0"/>
      <w:marRight w:val="0"/>
      <w:marTop w:val="0"/>
      <w:marBottom w:val="0"/>
      <w:divBdr>
        <w:top w:val="none" w:sz="0" w:space="0" w:color="auto"/>
        <w:left w:val="none" w:sz="0" w:space="0" w:color="auto"/>
        <w:bottom w:val="none" w:sz="0" w:space="0" w:color="auto"/>
        <w:right w:val="none" w:sz="0" w:space="0" w:color="auto"/>
      </w:divBdr>
    </w:div>
    <w:div w:id="358506576">
      <w:bodyDiv w:val="1"/>
      <w:marLeft w:val="0"/>
      <w:marRight w:val="0"/>
      <w:marTop w:val="0"/>
      <w:marBottom w:val="0"/>
      <w:divBdr>
        <w:top w:val="none" w:sz="0" w:space="0" w:color="auto"/>
        <w:left w:val="none" w:sz="0" w:space="0" w:color="auto"/>
        <w:bottom w:val="none" w:sz="0" w:space="0" w:color="auto"/>
        <w:right w:val="none" w:sz="0" w:space="0" w:color="auto"/>
      </w:divBdr>
    </w:div>
    <w:div w:id="679237924">
      <w:bodyDiv w:val="1"/>
      <w:marLeft w:val="0"/>
      <w:marRight w:val="0"/>
      <w:marTop w:val="0"/>
      <w:marBottom w:val="0"/>
      <w:divBdr>
        <w:top w:val="none" w:sz="0" w:space="0" w:color="auto"/>
        <w:left w:val="none" w:sz="0" w:space="0" w:color="auto"/>
        <w:bottom w:val="none" w:sz="0" w:space="0" w:color="auto"/>
        <w:right w:val="none" w:sz="0" w:space="0" w:color="auto"/>
      </w:divBdr>
    </w:div>
    <w:div w:id="1184170469">
      <w:bodyDiv w:val="1"/>
      <w:marLeft w:val="0"/>
      <w:marRight w:val="0"/>
      <w:marTop w:val="0"/>
      <w:marBottom w:val="0"/>
      <w:divBdr>
        <w:top w:val="none" w:sz="0" w:space="0" w:color="auto"/>
        <w:left w:val="none" w:sz="0" w:space="0" w:color="auto"/>
        <w:bottom w:val="none" w:sz="0" w:space="0" w:color="auto"/>
        <w:right w:val="none" w:sz="0" w:space="0" w:color="auto"/>
      </w:divBdr>
    </w:div>
    <w:div w:id="1688018890">
      <w:bodyDiv w:val="1"/>
      <w:marLeft w:val="0"/>
      <w:marRight w:val="0"/>
      <w:marTop w:val="0"/>
      <w:marBottom w:val="0"/>
      <w:divBdr>
        <w:top w:val="none" w:sz="0" w:space="0" w:color="auto"/>
        <w:left w:val="none" w:sz="0" w:space="0" w:color="auto"/>
        <w:bottom w:val="none" w:sz="0" w:space="0" w:color="auto"/>
        <w:right w:val="none" w:sz="0" w:space="0" w:color="auto"/>
      </w:divBdr>
    </w:div>
    <w:div w:id="190475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vkt.lt/index.php?1399030386"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apris.vvkt.lt/vvkt-web/public/nrvSpecialist" TargetMode="External"/><Relationship Id="rId17" Type="http://schemas.openxmlformats.org/officeDocument/2006/relationships/hyperlink" Target="mailto:NepageidaujamaR@vvkt.lt" TargetMode="External"/><Relationship Id="rId2" Type="http://schemas.openxmlformats.org/officeDocument/2006/relationships/customXml" Target="../customXml/item2.xml"/><Relationship Id="rId16" Type="http://schemas.openxmlformats.org/officeDocument/2006/relationships/hyperlink" Target="https://www.vvkt.lt/index.php?400428648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apris.vvkt.lt/vvkt-web/public/nrv"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cedure_number xmlns="82db5bd2-3f09-4eff-b4f8-de6a53cd5a02" xsi:nil="true"/>
    <IconOverlay xmlns="http://schemas.microsoft.com/sharepoint/v4" xsi:nil="true"/>
    <Trade_x0020_name xmlns="82db5bd2-3f09-4eff-b4f8-de6a53cd5a02">Trichopol</Trade_x0020_nam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3694B-69C6-41F3-B692-781E4E94E4EF}">
  <ds:schemaRef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 ds:uri="http://schemas.microsoft.com/sharepoint/v4"/>
    <ds:schemaRef ds:uri="82db5bd2-3f09-4eff-b4f8-de6a53cd5a02"/>
    <ds:schemaRef ds:uri="http://schemas.microsoft.com/office/2006/documentManagement/typ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45EC4CA6-B8C4-4D91-8347-C83AE344F987}">
  <ds:schemaRefs>
    <ds:schemaRef ds:uri="http://schemas.microsoft.com/sharepoint/v3/contenttype/forms"/>
  </ds:schemaRefs>
</ds:datastoreItem>
</file>

<file path=customXml/itemProps3.xml><?xml version="1.0" encoding="utf-8"?>
<ds:datastoreItem xmlns:ds="http://schemas.openxmlformats.org/officeDocument/2006/customXml" ds:itemID="{DBD52715-49FA-4A84-8A1C-58769E4E2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96E7D9-8662-4ECA-9331-C087F4E251FC}">
  <ds:schemaRefs>
    <ds:schemaRef ds:uri="http://schemas.microsoft.com/office/2006/metadata/longProperties"/>
  </ds:schemaRefs>
</ds:datastoreItem>
</file>

<file path=customXml/itemProps5.xml><?xml version="1.0" encoding="utf-8"?>
<ds:datastoreItem xmlns:ds="http://schemas.openxmlformats.org/officeDocument/2006/customXml" ds:itemID="{8CF02C46-7F06-49C1-B6DD-C27C2DF7C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23877</Words>
  <Characters>13610</Characters>
  <Application>Microsoft Office Word</Application>
  <DocSecurity>0</DocSecurity>
  <Lines>113</Lines>
  <Paragraphs>74</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37413</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7077950</vt:i4>
      </vt:variant>
      <vt:variant>
        <vt:i4>12</vt:i4>
      </vt:variant>
      <vt:variant>
        <vt:i4>0</vt:i4>
      </vt:variant>
      <vt:variant>
        <vt:i4>5</vt:i4>
      </vt:variant>
      <vt:variant>
        <vt:lpwstr>http://www.vvkt.lt/</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Ginko Joanna</dc:creator>
  <cp:keywords/>
  <dc:description/>
  <cp:lastModifiedBy>Albina Burkauskaitė</cp:lastModifiedBy>
  <cp:revision>3</cp:revision>
  <dcterms:created xsi:type="dcterms:W3CDTF">2023-03-17T09:12:00Z</dcterms:created>
  <dcterms:modified xsi:type="dcterms:W3CDTF">2023-03-17T09:14:00Z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c6716a-2832-4ee8-8ee5-b4471006f0c1_Enabled">
    <vt:lpwstr>true</vt:lpwstr>
  </property>
  <property fmtid="{D5CDD505-2E9C-101B-9397-08002B2CF9AE}" pid="3" name="MSIP_Label_52c6716a-2832-4ee8-8ee5-b4471006f0c1_SetDate">
    <vt:lpwstr>2021-05-31T11:37:09Z</vt:lpwstr>
  </property>
  <property fmtid="{D5CDD505-2E9C-101B-9397-08002B2CF9AE}" pid="4" name="MSIP_Label_52c6716a-2832-4ee8-8ee5-b4471006f0c1_Method">
    <vt:lpwstr>Privileged</vt:lpwstr>
  </property>
  <property fmtid="{D5CDD505-2E9C-101B-9397-08002B2CF9AE}" pid="5" name="MSIP_Label_52c6716a-2832-4ee8-8ee5-b4471006f0c1_Name">
    <vt:lpwstr>Poufne – Bez Oznaczeń</vt:lpwstr>
  </property>
  <property fmtid="{D5CDD505-2E9C-101B-9397-08002B2CF9AE}" pid="6" name="MSIP_Label_52c6716a-2832-4ee8-8ee5-b4471006f0c1_SiteId">
    <vt:lpwstr>edf3cfc4-ee60-4b92-a2cb-da2c123fc895</vt:lpwstr>
  </property>
  <property fmtid="{D5CDD505-2E9C-101B-9397-08002B2CF9AE}" pid="7" name="MSIP_Label_52c6716a-2832-4ee8-8ee5-b4471006f0c1_ActionId">
    <vt:lpwstr>6fcf7d3a-5752-4637-a3ae-40192775d3d7</vt:lpwstr>
  </property>
  <property fmtid="{D5CDD505-2E9C-101B-9397-08002B2CF9AE}" pid="8" name="MSIP_Label_52c6716a-2832-4ee8-8ee5-b4471006f0c1_ContentBits">
    <vt:lpwstr>0</vt:lpwstr>
  </property>
  <property fmtid="{D5CDD505-2E9C-101B-9397-08002B2CF9AE}" pid="9" name="ContentTypeId">
    <vt:lpwstr>0x010100A46161AA78E4354FBC4919F68D2AA10E</vt:lpwstr>
  </property>
</Properties>
</file>