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CC" w:rsidRPr="004B4520" w:rsidRDefault="009D45CC" w:rsidP="009D45CC">
      <w:pPr>
        <w:pStyle w:val="TTEMEASMCA"/>
        <w:rPr>
          <w:lang w:val="lt-LT"/>
        </w:rPr>
      </w:pPr>
      <w:bookmarkStart w:id="0" w:name="_Toc129243138"/>
      <w:bookmarkStart w:id="1" w:name="_Toc129243263"/>
      <w:r w:rsidRPr="004B4520">
        <w:rPr>
          <w:lang w:val="lt-LT"/>
        </w:rPr>
        <w:t>P</w:t>
      </w:r>
      <w:r w:rsidRPr="004B4520">
        <w:rPr>
          <w:caps w:val="0"/>
          <w:lang w:val="lt-LT"/>
        </w:rPr>
        <w:t>akuotės lapelis: informacija vartotojui</w:t>
      </w:r>
      <w:bookmarkEnd w:id="0"/>
      <w:bookmarkEnd w:id="1"/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beEMEASMCA"/>
        <w:rPr>
          <w:lang w:val="lt-LT"/>
        </w:rPr>
      </w:pPr>
      <w:r w:rsidRPr="00BD605E">
        <w:rPr>
          <w:lang w:val="lt-LT"/>
        </w:rPr>
        <w:t>Trichopol 250 mg tabletės</w:t>
      </w:r>
    </w:p>
    <w:p w:rsidR="009D45CC" w:rsidRPr="00BD605E" w:rsidRDefault="009D45CC" w:rsidP="009D45CC">
      <w:pPr>
        <w:pStyle w:val="BTeEMEASMCA"/>
        <w:rPr>
          <w:lang w:val="lt-LT"/>
        </w:rPr>
      </w:pPr>
      <w:r w:rsidRPr="00BD605E">
        <w:rPr>
          <w:lang w:val="lt-LT"/>
        </w:rPr>
        <w:t>metronidazolas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bEMEASMCA"/>
        <w:rPr>
          <w:lang w:val="lt-LT"/>
        </w:rPr>
      </w:pPr>
      <w:r w:rsidRPr="00BD605E">
        <w:rPr>
          <w:lang w:val="lt-LT"/>
        </w:rPr>
        <w:t>Atidžiai perskaitykite visą šį lapelį, prieš pradėdami vartoti vaistą, nes jame pateikiama Jums svarbi informacija.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>Neišmeskite šio lapelio, nes vėl gali prireikti jį perskaityti.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>Jeigu kiltų daugiau klausimų, kreipkitės į gydytoją arba vaistininką.</w:t>
      </w:r>
    </w:p>
    <w:p w:rsidR="009D45CC" w:rsidRPr="00E37C18" w:rsidRDefault="009D45CC" w:rsidP="009D45CC">
      <w:pPr>
        <w:pStyle w:val="BT-EMEASMCA"/>
      </w:pPr>
      <w:r w:rsidRPr="00E37C18">
        <w:t>Šis vaistas skirtas tik Jums, todėl kitiems žmonėms jo duoti negalima. Vaistas gali jiems pakenkti (net tiems, kurių ligos požymiai yra tokie patys kaip Jūsų).</w:t>
      </w:r>
    </w:p>
    <w:p w:rsidR="009D45CC" w:rsidRPr="004B4520" w:rsidRDefault="009D45CC" w:rsidP="009D45CC">
      <w:pPr>
        <w:pStyle w:val="BT-EMEASMCA"/>
      </w:pPr>
      <w:r w:rsidRPr="00E37C18">
        <w:t xml:space="preserve">Jeigu pasireiškė šalutinis poveikis (net jeigu jis šiame lapelyje nenurodytas), kreipkitės į gydytoją arba vaistininką. </w:t>
      </w:r>
      <w:r w:rsidRPr="004B4520">
        <w:t>Žr. 4 skyrių.</w:t>
      </w:r>
    </w:p>
    <w:p w:rsidR="009D45CC" w:rsidRPr="004B4520" w:rsidRDefault="009D45CC" w:rsidP="009D45CC">
      <w:pPr>
        <w:pStyle w:val="BTEMEASMCA"/>
      </w:pPr>
    </w:p>
    <w:p w:rsidR="009D45CC" w:rsidRPr="00BD605E" w:rsidRDefault="009D45CC" w:rsidP="009D45CC">
      <w:pPr>
        <w:pStyle w:val="BTbEMEASMCA"/>
        <w:rPr>
          <w:lang w:val="pl-PL"/>
        </w:rPr>
      </w:pPr>
      <w:r w:rsidRPr="00BD605E">
        <w:rPr>
          <w:lang w:val="pl-PL"/>
        </w:rPr>
        <w:t>Apie ką rašoma šiame lapelyje?</w:t>
      </w:r>
    </w:p>
    <w:p w:rsidR="009D45CC" w:rsidRPr="00BD605E" w:rsidRDefault="009D45CC" w:rsidP="009D45CC">
      <w:pPr>
        <w:pStyle w:val="BTbEMEASMCA"/>
        <w:rPr>
          <w:lang w:val="pl-PL"/>
        </w:rPr>
      </w:pP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>1.</w:t>
      </w:r>
      <w:r w:rsidRPr="00BD605E">
        <w:rPr>
          <w:lang w:val="pl-PL"/>
        </w:rPr>
        <w:tab/>
        <w:t>Kas yra Trichopol ir kam jis vartojamas</w:t>
      </w: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>2.</w:t>
      </w:r>
      <w:r w:rsidRPr="00BD605E">
        <w:rPr>
          <w:lang w:val="pl-PL"/>
        </w:rPr>
        <w:tab/>
        <w:t>Kas žinotina prieš vartojant Trichopol</w:t>
      </w:r>
    </w:p>
    <w:p w:rsidR="009D45CC" w:rsidRPr="00E37C18" w:rsidRDefault="009D45CC" w:rsidP="009D45CC">
      <w:pPr>
        <w:pStyle w:val="BTEMEASMCA"/>
      </w:pPr>
      <w:r w:rsidRPr="00E37C18">
        <w:t>3.</w:t>
      </w:r>
      <w:r w:rsidRPr="00E37C18">
        <w:tab/>
        <w:t>Kaip vartoti Trichopol</w:t>
      </w:r>
    </w:p>
    <w:p w:rsidR="009D45CC" w:rsidRPr="00E37C18" w:rsidRDefault="009D45CC" w:rsidP="009D45CC">
      <w:pPr>
        <w:pStyle w:val="BTEMEASMCA"/>
      </w:pPr>
      <w:r w:rsidRPr="00E37C18">
        <w:t>4.</w:t>
      </w:r>
      <w:r w:rsidRPr="00E37C18">
        <w:tab/>
        <w:t>Galimas šalutinis poveikis</w:t>
      </w:r>
    </w:p>
    <w:p w:rsidR="009D45CC" w:rsidRPr="00E37C18" w:rsidRDefault="009D45CC" w:rsidP="009D45CC">
      <w:pPr>
        <w:pStyle w:val="BTEMEASMCA"/>
      </w:pPr>
      <w:r w:rsidRPr="00E37C18">
        <w:t>5.</w:t>
      </w:r>
      <w:r w:rsidRPr="00E37C18">
        <w:tab/>
        <w:t>Kaip laikyti Trichopol</w:t>
      </w:r>
    </w:p>
    <w:p w:rsidR="009D45CC" w:rsidRPr="00E37C18" w:rsidRDefault="009D45CC" w:rsidP="009D45CC">
      <w:pPr>
        <w:pStyle w:val="BTEMEASMCA"/>
      </w:pPr>
      <w:r w:rsidRPr="00E37C18">
        <w:t>6.</w:t>
      </w:r>
      <w:r w:rsidRPr="00E37C18">
        <w:tab/>
        <w:t>Pakuotės turinys ir kita informacija</w:t>
      </w: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</w:p>
    <w:p w:rsidR="009D45CC" w:rsidRPr="004B4520" w:rsidRDefault="009D45CC" w:rsidP="009D45CC">
      <w:pPr>
        <w:pStyle w:val="PI-1EMEASMCA"/>
      </w:pPr>
      <w:bookmarkStart w:id="2" w:name="_Toc129243139"/>
      <w:bookmarkStart w:id="3" w:name="_Toc129243264"/>
      <w:r w:rsidRPr="004B4520">
        <w:t>1.</w:t>
      </w:r>
      <w:r w:rsidRPr="004B4520">
        <w:tab/>
      </w:r>
      <w:bookmarkEnd w:id="2"/>
      <w:bookmarkEnd w:id="3"/>
      <w:r w:rsidRPr="004B4520">
        <w:t xml:space="preserve">Kas yra </w:t>
      </w:r>
      <w:proofErr w:type="spellStart"/>
      <w:r w:rsidRPr="004B4520">
        <w:t>Trichopol</w:t>
      </w:r>
      <w:proofErr w:type="spellEnd"/>
      <w:r w:rsidRPr="004B4520">
        <w:t xml:space="preserve"> ir kam jis vartojamas</w:t>
      </w:r>
    </w:p>
    <w:p w:rsidR="009D45CC" w:rsidRPr="00E37C18" w:rsidRDefault="009D45CC" w:rsidP="009D45CC">
      <w:pPr>
        <w:pStyle w:val="BTEMEASMCA"/>
      </w:pPr>
    </w:p>
    <w:p w:rsidR="009D45CC" w:rsidRPr="004B4520" w:rsidRDefault="009D45CC" w:rsidP="009D45CC">
      <w:pPr>
        <w:rPr>
          <w:sz w:val="22"/>
          <w:szCs w:val="22"/>
        </w:rPr>
      </w:pPr>
      <w:proofErr w:type="spellStart"/>
      <w:r w:rsidRPr="004B4520">
        <w:rPr>
          <w:sz w:val="22"/>
          <w:szCs w:val="22"/>
        </w:rPr>
        <w:t>Trichopol</w:t>
      </w:r>
      <w:proofErr w:type="spellEnd"/>
      <w:r w:rsidRPr="004B4520">
        <w:rPr>
          <w:sz w:val="22"/>
          <w:szCs w:val="22"/>
        </w:rPr>
        <w:t xml:space="preserve"> sudėtyje yra veiklioji medžiaga </w:t>
      </w:r>
      <w:proofErr w:type="spellStart"/>
      <w:r w:rsidRPr="004B4520">
        <w:rPr>
          <w:sz w:val="22"/>
          <w:szCs w:val="22"/>
        </w:rPr>
        <w:t>metronidazolas</w:t>
      </w:r>
      <w:proofErr w:type="spellEnd"/>
      <w:r w:rsidRPr="004B4520">
        <w:rPr>
          <w:sz w:val="22"/>
          <w:szCs w:val="22"/>
        </w:rPr>
        <w:t xml:space="preserve">, kuris yra 5-nitroimidazolo junginys, naikinantis pirmuonis ir bakterijas.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proofErr w:type="spellStart"/>
      <w:r w:rsidRPr="004B4520">
        <w:rPr>
          <w:szCs w:val="22"/>
        </w:rPr>
        <w:t>Trichopol</w:t>
      </w:r>
      <w:proofErr w:type="spellEnd"/>
      <w:r w:rsidRPr="004B4520">
        <w:rPr>
          <w:szCs w:val="22"/>
        </w:rPr>
        <w:t xml:space="preserve"> vartojamas, kai yra: </w:t>
      </w:r>
    </w:p>
    <w:p w:rsidR="009D45CC" w:rsidRPr="004B4520" w:rsidRDefault="009D45CC" w:rsidP="009D45CC">
      <w:pPr>
        <w:pStyle w:val="Pagrindinistekstas"/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567"/>
        <w:rPr>
          <w:szCs w:val="22"/>
        </w:rPr>
      </w:pPr>
      <w:r w:rsidRPr="004B4520">
        <w:rPr>
          <w:szCs w:val="22"/>
        </w:rPr>
        <w:t>trichomonozė (šlapimo takų infekcija);</w:t>
      </w:r>
    </w:p>
    <w:p w:rsidR="009D45CC" w:rsidRPr="004B4520" w:rsidRDefault="009D45CC" w:rsidP="009D45CC">
      <w:pPr>
        <w:pStyle w:val="Pagrindinistekstas"/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giardiazė</w:t>
      </w:r>
      <w:proofErr w:type="spellEnd"/>
      <w:r w:rsidRPr="004B4520">
        <w:rPr>
          <w:szCs w:val="22"/>
        </w:rPr>
        <w:t xml:space="preserve"> (</w:t>
      </w:r>
      <w:proofErr w:type="spellStart"/>
      <w:r w:rsidRPr="004B4520">
        <w:rPr>
          <w:szCs w:val="22"/>
        </w:rPr>
        <w:t>liambliozė</w:t>
      </w:r>
      <w:proofErr w:type="spellEnd"/>
      <w:r w:rsidRPr="004B4520">
        <w:rPr>
          <w:szCs w:val="22"/>
        </w:rPr>
        <w:t>) (žarnyno liga);</w:t>
      </w:r>
    </w:p>
    <w:p w:rsidR="009D45CC" w:rsidRPr="004B4520" w:rsidRDefault="009D45CC" w:rsidP="009D45CC">
      <w:pPr>
        <w:pStyle w:val="Pagrindinistekstas"/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567"/>
        <w:rPr>
          <w:szCs w:val="22"/>
        </w:rPr>
      </w:pPr>
      <w:r w:rsidRPr="004B4520">
        <w:rPr>
          <w:szCs w:val="22"/>
        </w:rPr>
        <w:t xml:space="preserve">visos </w:t>
      </w:r>
      <w:proofErr w:type="spellStart"/>
      <w:r w:rsidRPr="004B4520">
        <w:rPr>
          <w:szCs w:val="22"/>
        </w:rPr>
        <w:t>amebiazės</w:t>
      </w:r>
      <w:proofErr w:type="spellEnd"/>
      <w:r w:rsidRPr="004B4520">
        <w:rPr>
          <w:szCs w:val="22"/>
        </w:rPr>
        <w:t xml:space="preserve"> formos (žarnyno ir kitų organų liga, taip pat </w:t>
      </w:r>
      <w:proofErr w:type="spellStart"/>
      <w:r w:rsidRPr="004B4520">
        <w:rPr>
          <w:szCs w:val="22"/>
        </w:rPr>
        <w:t>besimptomiams</w:t>
      </w:r>
      <w:proofErr w:type="spellEnd"/>
      <w:r w:rsidRPr="004B4520">
        <w:rPr>
          <w:szCs w:val="22"/>
        </w:rPr>
        <w:t xml:space="preserve"> cistų nešiotojams);</w:t>
      </w:r>
    </w:p>
    <w:p w:rsidR="009D45CC" w:rsidRPr="004B4520" w:rsidRDefault="009D45CC" w:rsidP="009D45CC">
      <w:pPr>
        <w:pStyle w:val="Pagrindinistekstas"/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567"/>
        <w:rPr>
          <w:szCs w:val="22"/>
        </w:rPr>
      </w:pPr>
      <w:r w:rsidRPr="004B4520">
        <w:rPr>
          <w:szCs w:val="22"/>
        </w:rPr>
        <w:t>anaerobinių bakterijų arba mišrios bakterinės infekcijos (anaerobinių ir aerobinių bakterijų) sukelta liga (vaistas dažniausiai vartojamas kartu su tinkamais antibiotikais).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proofErr w:type="spellStart"/>
      <w:r w:rsidRPr="004B4520">
        <w:rPr>
          <w:szCs w:val="22"/>
        </w:rPr>
        <w:t>Metronidazolas</w:t>
      </w:r>
      <w:proofErr w:type="spellEnd"/>
      <w:r w:rsidRPr="004B4520">
        <w:rPr>
          <w:szCs w:val="22"/>
        </w:rPr>
        <w:t xml:space="preserve"> taip pat vartojamas </w:t>
      </w:r>
      <w:proofErr w:type="spellStart"/>
      <w:r w:rsidRPr="004B4520">
        <w:rPr>
          <w:i/>
          <w:szCs w:val="22"/>
        </w:rPr>
        <w:t>Helicobacter</w:t>
      </w:r>
      <w:proofErr w:type="spellEnd"/>
      <w:r w:rsidRPr="004B4520">
        <w:rPr>
          <w:i/>
          <w:szCs w:val="22"/>
        </w:rPr>
        <w:t xml:space="preserve"> </w:t>
      </w:r>
      <w:proofErr w:type="spellStart"/>
      <w:r w:rsidRPr="004B4520">
        <w:rPr>
          <w:i/>
          <w:szCs w:val="22"/>
        </w:rPr>
        <w:t>pylori</w:t>
      </w:r>
      <w:proofErr w:type="spellEnd"/>
      <w:r w:rsidRPr="004B4520">
        <w:rPr>
          <w:szCs w:val="22"/>
        </w:rPr>
        <w:t xml:space="preserve"> infekcijai gydyti, kai sergama skrandžio ir dvylikapirštės žarnos opalige (pvz., kartu su bismuto citratu ir </w:t>
      </w:r>
      <w:proofErr w:type="spellStart"/>
      <w:r w:rsidRPr="004B4520">
        <w:rPr>
          <w:szCs w:val="22"/>
        </w:rPr>
        <w:t>klaritromicinu</w:t>
      </w:r>
      <w:proofErr w:type="spellEnd"/>
      <w:r w:rsidRPr="004B4520">
        <w:rPr>
          <w:szCs w:val="22"/>
        </w:rPr>
        <w:t xml:space="preserve"> arba kartu su </w:t>
      </w:r>
      <w:proofErr w:type="spellStart"/>
      <w:r w:rsidRPr="004B4520">
        <w:rPr>
          <w:szCs w:val="22"/>
        </w:rPr>
        <w:t>klaritromicinu</w:t>
      </w:r>
      <w:proofErr w:type="spellEnd"/>
      <w:r w:rsidRPr="004B4520">
        <w:rPr>
          <w:szCs w:val="22"/>
        </w:rPr>
        <w:t xml:space="preserve"> ir </w:t>
      </w:r>
      <w:proofErr w:type="spellStart"/>
      <w:r w:rsidRPr="004B4520">
        <w:rPr>
          <w:szCs w:val="22"/>
        </w:rPr>
        <w:t>omeprazolu</w:t>
      </w:r>
      <w:proofErr w:type="spellEnd"/>
      <w:r w:rsidRPr="004B4520">
        <w:rPr>
          <w:szCs w:val="22"/>
        </w:rPr>
        <w:t xml:space="preserve">). 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1EMEASMCA"/>
      </w:pPr>
      <w:bookmarkStart w:id="4" w:name="_Toc129243140"/>
      <w:bookmarkStart w:id="5" w:name="_Toc129243265"/>
      <w:r w:rsidRPr="004B4520">
        <w:t>2.</w:t>
      </w:r>
      <w:r w:rsidRPr="004B4520">
        <w:tab/>
      </w:r>
      <w:bookmarkEnd w:id="4"/>
      <w:bookmarkEnd w:id="5"/>
      <w:r w:rsidRPr="004B4520">
        <w:t xml:space="preserve">Kas žinotina prieš vartojant </w:t>
      </w:r>
      <w:proofErr w:type="spellStart"/>
      <w:r w:rsidRPr="004B4520">
        <w:t>Trichopol</w:t>
      </w:r>
      <w:proofErr w:type="spellEnd"/>
    </w:p>
    <w:p w:rsidR="009D45CC" w:rsidRPr="00E37C18" w:rsidRDefault="009D45CC" w:rsidP="009D45CC">
      <w:pPr>
        <w:pStyle w:val="BTEMEASMCA"/>
      </w:pPr>
    </w:p>
    <w:p w:rsidR="009D45CC" w:rsidRPr="004B4520" w:rsidRDefault="009D45CC" w:rsidP="009D45CC">
      <w:pPr>
        <w:pStyle w:val="PI-3EMEASMCA"/>
      </w:pPr>
      <w:proofErr w:type="spellStart"/>
      <w:r w:rsidRPr="004B4520">
        <w:t>Trichopol</w:t>
      </w:r>
      <w:proofErr w:type="spellEnd"/>
      <w:r w:rsidRPr="004B4520">
        <w:t xml:space="preserve"> vartoti </w:t>
      </w:r>
      <w:r>
        <w:t>draudžiama</w:t>
      </w:r>
      <w:r w:rsidRPr="004B4520">
        <w:t>: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>jeigu yra alergija metronidazolui arba bet kuriai pagalbinei šio vaisto medžiagai (jos išvardytos 6 skyriuje);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>jeigu esate nėščia (ypač pirmaisiais trimis nėštumo mėnesiais);</w:t>
      </w:r>
    </w:p>
    <w:p w:rsidR="009D45CC" w:rsidRPr="004B4520" w:rsidRDefault="009D45CC" w:rsidP="009D45CC">
      <w:pPr>
        <w:pStyle w:val="BT-EMEASMCA"/>
      </w:pPr>
      <w:r w:rsidRPr="004B4520">
        <w:t>žindymo laikotarpiu.</w:t>
      </w:r>
    </w:p>
    <w:p w:rsidR="009D45CC" w:rsidRPr="004B4520" w:rsidRDefault="009D45CC" w:rsidP="009D45CC">
      <w:pPr>
        <w:pStyle w:val="BTEMEASMCA"/>
      </w:pPr>
    </w:p>
    <w:p w:rsidR="009D45CC" w:rsidRPr="004B4520" w:rsidRDefault="009D45CC" w:rsidP="009D45CC">
      <w:pPr>
        <w:pStyle w:val="PI-3EMEASMCA"/>
      </w:pPr>
      <w:r w:rsidRPr="004B4520">
        <w:t>Įspėjimai ir atsargumo priemonės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 xml:space="preserve">Sunaikinus </w:t>
      </w:r>
      <w:r w:rsidRPr="00BD605E">
        <w:rPr>
          <w:i/>
          <w:lang w:val="lt-LT"/>
        </w:rPr>
        <w:t>Trichomonas vaginalis</w:t>
      </w:r>
      <w:r w:rsidRPr="00BD605E">
        <w:rPr>
          <w:lang w:val="lt-LT"/>
        </w:rPr>
        <w:t>, išlieka galimybė, kad persistuos gonokokinė infekcija.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Metronidazolo negalima vartoti porfirija sergantiems pacientams.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Pacientams, kuriems anksčiau yra pasireiškusi kraujo diskrazija, metronidazolo reikia vartoti atsargiai.</w:t>
      </w:r>
    </w:p>
    <w:p w:rsidR="009D45CC" w:rsidRPr="00E37C18" w:rsidRDefault="009D45CC" w:rsidP="009D45CC">
      <w:pPr>
        <w:pStyle w:val="BTEMEASMCA"/>
      </w:pPr>
      <w:r w:rsidRPr="00E37C18">
        <w:lastRenderedPageBreak/>
        <w:t>Pacientams, sergantiems centrinės nervų sistemos ligomis, metronidazolo reikia vartoti atsargiai. Jei pasireiškia neurologinių sutrikimų, metronidazolo vartojimą reikia nedelsiant nutraukti.</w:t>
      </w:r>
    </w:p>
    <w:p w:rsidR="009D45CC" w:rsidRPr="00E37C18" w:rsidRDefault="009D45CC" w:rsidP="009D45CC">
      <w:pPr>
        <w:pStyle w:val="BTEMEASMCA"/>
      </w:pPr>
      <w:r w:rsidRPr="00E37C18">
        <w:t>Gydymo metu Jūsų gydytojas stebės Jūsų kraujo būklę. Jei metronidazolo vartojate ilgiau nei 10 dienų, kraujo kontrolė yra būtina.</w:t>
      </w:r>
    </w:p>
    <w:p w:rsidR="009D45CC" w:rsidRPr="00BD605E" w:rsidRDefault="009D45CC" w:rsidP="009D45CC">
      <w:pPr>
        <w:pStyle w:val="Default"/>
        <w:rPr>
          <w:rFonts w:ascii="Times New Roman" w:hAnsi="Times New Roman" w:cs="Times New Roman"/>
          <w:sz w:val="22"/>
          <w:szCs w:val="22"/>
          <w:lang w:val="pt-PT"/>
        </w:rPr>
      </w:pPr>
      <w:r w:rsidRPr="00BD605E">
        <w:rPr>
          <w:rFonts w:ascii="Times New Roman" w:hAnsi="Times New Roman" w:cs="Times New Roman"/>
          <w:sz w:val="22"/>
          <w:szCs w:val="22"/>
          <w:lang w:val="pt-PT"/>
        </w:rPr>
        <w:t>Kokaino (</w:t>
      </w:r>
      <w:r w:rsidRPr="00BD605E">
        <w:rPr>
          <w:rFonts w:ascii="Times New Roman" w:hAnsi="Times New Roman" w:cs="Times New Roman"/>
          <w:i/>
          <w:iCs/>
          <w:sz w:val="22"/>
          <w:szCs w:val="22"/>
          <w:lang w:val="pt-PT"/>
        </w:rPr>
        <w:t>Cockayne</w:t>
      </w:r>
      <w:r w:rsidRPr="00BD605E">
        <w:rPr>
          <w:rFonts w:ascii="Times New Roman" w:hAnsi="Times New Roman" w:cs="Times New Roman"/>
          <w:sz w:val="22"/>
          <w:szCs w:val="22"/>
          <w:lang w:val="pt-PT"/>
        </w:rPr>
        <w:t xml:space="preserve">) sindromu sergantiems pacientams vartojant </w:t>
      </w:r>
      <w:r>
        <w:rPr>
          <w:rFonts w:ascii="Times New Roman" w:hAnsi="Times New Roman" w:cs="Times New Roman"/>
          <w:sz w:val="22"/>
          <w:szCs w:val="22"/>
          <w:lang w:val="pt-PT"/>
        </w:rPr>
        <w:t>vaistą</w:t>
      </w:r>
      <w:r w:rsidRPr="00BD605E">
        <w:rPr>
          <w:rFonts w:ascii="Times New Roman" w:hAnsi="Times New Roman" w:cs="Times New Roman"/>
          <w:sz w:val="22"/>
          <w:szCs w:val="22"/>
          <w:lang w:val="pt-PT"/>
        </w:rPr>
        <w:t xml:space="preserve">, kurio sudėtyje buvo metronidazolo, nustatyta stipraus toksinio poveikio kepenims ir (arba) ūminio kepenų nepakankamumo atvejų, įskaitant mirtį lėmusius atvejus. </w:t>
      </w:r>
    </w:p>
    <w:p w:rsidR="009D45CC" w:rsidRPr="00BD605E" w:rsidRDefault="009D45CC" w:rsidP="009D45CC">
      <w:pPr>
        <w:pStyle w:val="Default"/>
        <w:rPr>
          <w:rFonts w:ascii="Times New Roman" w:hAnsi="Times New Roman" w:cs="Times New Roman"/>
          <w:sz w:val="22"/>
          <w:szCs w:val="22"/>
          <w:lang w:val="pt-PT"/>
        </w:rPr>
      </w:pPr>
      <w:r w:rsidRPr="00BD605E">
        <w:rPr>
          <w:rFonts w:ascii="Times New Roman" w:hAnsi="Times New Roman" w:cs="Times New Roman"/>
          <w:sz w:val="22"/>
          <w:szCs w:val="22"/>
          <w:lang w:val="pt-PT"/>
        </w:rPr>
        <w:t>Jeigu Jums diagnozuotas Kokaino (</w:t>
      </w:r>
      <w:r w:rsidRPr="00BD605E">
        <w:rPr>
          <w:rFonts w:ascii="Times New Roman" w:hAnsi="Times New Roman" w:cs="Times New Roman"/>
          <w:i/>
          <w:iCs/>
          <w:sz w:val="22"/>
          <w:szCs w:val="22"/>
          <w:lang w:val="pt-PT"/>
        </w:rPr>
        <w:t>Cockayne</w:t>
      </w:r>
      <w:r w:rsidRPr="00BD605E">
        <w:rPr>
          <w:rFonts w:ascii="Times New Roman" w:hAnsi="Times New Roman" w:cs="Times New Roman"/>
          <w:sz w:val="22"/>
          <w:szCs w:val="22"/>
          <w:lang w:val="pt-PT"/>
        </w:rPr>
        <w:t xml:space="preserve">) sindromas, Jūsų gydytojas taip pat turėtų visą gydymo metronidazolu laikotarpį ir vėliau dažnai tikrinti Jūsų kepenų veiklą. </w:t>
      </w:r>
    </w:p>
    <w:p w:rsidR="009D45CC" w:rsidRPr="00BD605E" w:rsidRDefault="009D45CC" w:rsidP="009D45CC">
      <w:pPr>
        <w:pStyle w:val="Default"/>
        <w:rPr>
          <w:rFonts w:ascii="Times New Roman" w:hAnsi="Times New Roman" w:cs="Times New Roman"/>
          <w:sz w:val="22"/>
          <w:szCs w:val="22"/>
          <w:lang w:val="pt-PT"/>
        </w:rPr>
      </w:pPr>
      <w:r w:rsidRPr="00BD605E">
        <w:rPr>
          <w:rFonts w:ascii="Times New Roman" w:hAnsi="Times New Roman" w:cs="Times New Roman"/>
          <w:sz w:val="22"/>
          <w:szCs w:val="22"/>
          <w:lang w:val="pt-PT"/>
        </w:rPr>
        <w:t xml:space="preserve">Nedelsdami praneškite savo gydytojui ir nustokite vartoti metronidazolą, jei Jums pasireikštų: </w:t>
      </w:r>
    </w:p>
    <w:p w:rsidR="009D45CC" w:rsidRPr="00BD605E" w:rsidRDefault="009D45CC" w:rsidP="009D45CC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pt-PT"/>
        </w:rPr>
      </w:pPr>
      <w:r w:rsidRPr="00BD605E">
        <w:rPr>
          <w:rFonts w:ascii="Times New Roman" w:hAnsi="Times New Roman" w:cs="Times New Roman"/>
          <w:sz w:val="22"/>
          <w:szCs w:val="22"/>
          <w:lang w:val="pt-PT"/>
        </w:rPr>
        <w:t xml:space="preserve">• </w:t>
      </w:r>
      <w:r w:rsidRPr="00BD605E">
        <w:rPr>
          <w:rFonts w:ascii="Times New Roman" w:hAnsi="Times New Roman" w:cs="Times New Roman"/>
          <w:sz w:val="22"/>
          <w:szCs w:val="22"/>
          <w:lang w:val="pt-PT"/>
        </w:rPr>
        <w:tab/>
        <w:t>pilvo skausmas, anoreksija, pykinimas, vėmimas, karščiavimas, bendras negalavimas, nuovargis, gelta, šlapimo patamsėjimas, pilkšvos arba vaško spalvos išmatos arba niežėjimas.</w:t>
      </w:r>
    </w:p>
    <w:p w:rsidR="009D45CC" w:rsidRPr="00BD605E" w:rsidRDefault="009D45CC" w:rsidP="009D45CC">
      <w:pPr>
        <w:pStyle w:val="BTEMEASMCA"/>
        <w:rPr>
          <w:lang w:val="pt-PT"/>
        </w:rPr>
      </w:pPr>
    </w:p>
    <w:p w:rsidR="009D45CC" w:rsidRPr="004B4520" w:rsidRDefault="009D45CC" w:rsidP="009D45CC">
      <w:pPr>
        <w:pStyle w:val="PI-3EMEASMCA"/>
      </w:pPr>
      <w:r w:rsidRPr="004B4520">
        <w:t xml:space="preserve">Kiti vaistai ir </w:t>
      </w:r>
      <w:proofErr w:type="spellStart"/>
      <w:r w:rsidRPr="004B4520">
        <w:t>Trichopol</w:t>
      </w:r>
      <w:proofErr w:type="spellEnd"/>
    </w:p>
    <w:p w:rsidR="009D45CC" w:rsidRPr="00BD605E" w:rsidRDefault="009D45CC" w:rsidP="009D45CC">
      <w:pPr>
        <w:pStyle w:val="BTEMEASMCA"/>
        <w:rPr>
          <w:lang w:val="pt-PT"/>
        </w:rPr>
      </w:pPr>
      <w:r w:rsidRPr="00BD605E">
        <w:rPr>
          <w:lang w:val="pt-PT"/>
        </w:rPr>
        <w:t>Jeigu vartojate ar neseniai vartojote kitų vaistų arba dėl to nesate tikri, apie tai pasakykite gydytojui arba vaistininkui.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4B4520">
        <w:rPr>
          <w:szCs w:val="22"/>
        </w:rPr>
        <w:t xml:space="preserve">Pastebėta, kad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vartojant kartu su </w:t>
      </w:r>
      <w:proofErr w:type="spellStart"/>
      <w:r w:rsidRPr="004B4520">
        <w:rPr>
          <w:szCs w:val="22"/>
        </w:rPr>
        <w:t>varfarino</w:t>
      </w:r>
      <w:proofErr w:type="spellEnd"/>
      <w:r w:rsidRPr="004B4520">
        <w:rPr>
          <w:szCs w:val="22"/>
        </w:rPr>
        <w:t xml:space="preserve"> tipo geriamaisiais antikoaguliantais, gali sustiprėti antikoaguliantų poveikis. Gali prireikti mažinti pastarųjų vaistų dozę. Reikia stebėti </w:t>
      </w:r>
      <w:proofErr w:type="spellStart"/>
      <w:r w:rsidRPr="004B4520">
        <w:rPr>
          <w:szCs w:val="22"/>
        </w:rPr>
        <w:t>protrombino</w:t>
      </w:r>
      <w:proofErr w:type="spellEnd"/>
      <w:r w:rsidRPr="004B4520">
        <w:rPr>
          <w:szCs w:val="22"/>
        </w:rPr>
        <w:t xml:space="preserve"> laiką. Sąveikos su heparinu nėra.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4B4520">
        <w:rPr>
          <w:szCs w:val="22"/>
        </w:rPr>
        <w:t xml:space="preserve">Pastebėta, kad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vartojant kartu su ličio preparatais, organizme gali kauptis litis ir dėl to gali būti pažeisti inkstai. Prieš pradedant vartoti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, ličio dozę reikia mažinti arba gydymą juo nutraukti.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vartojant kartu su ličio preparatais, reikia stebėti ličio, </w:t>
      </w:r>
      <w:proofErr w:type="spellStart"/>
      <w:r w:rsidRPr="004B4520">
        <w:rPr>
          <w:szCs w:val="22"/>
        </w:rPr>
        <w:t>kreatinino</w:t>
      </w:r>
      <w:proofErr w:type="spellEnd"/>
      <w:r w:rsidRPr="004B4520">
        <w:rPr>
          <w:szCs w:val="22"/>
        </w:rPr>
        <w:t xml:space="preserve"> bei elektrolitų koncentracijas pacientų kraujo plazmoje.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Fenobarbitalio</w:t>
      </w:r>
      <w:proofErr w:type="spellEnd"/>
      <w:r w:rsidRPr="004B4520">
        <w:rPr>
          <w:szCs w:val="22"/>
        </w:rPr>
        <w:t xml:space="preserve"> vartojantiems pacientams </w:t>
      </w:r>
      <w:proofErr w:type="spellStart"/>
      <w:r w:rsidRPr="004B4520">
        <w:rPr>
          <w:szCs w:val="22"/>
        </w:rPr>
        <w:t>metronidazolas</w:t>
      </w:r>
      <w:proofErr w:type="spellEnd"/>
      <w:r w:rsidRPr="004B4520">
        <w:rPr>
          <w:szCs w:val="22"/>
        </w:rPr>
        <w:t xml:space="preserve"> </w:t>
      </w:r>
      <w:proofErr w:type="spellStart"/>
      <w:r w:rsidRPr="004B4520">
        <w:rPr>
          <w:szCs w:val="22"/>
        </w:rPr>
        <w:t>metabolizuojamas</w:t>
      </w:r>
      <w:proofErr w:type="spellEnd"/>
      <w:r w:rsidRPr="004B4520">
        <w:rPr>
          <w:szCs w:val="22"/>
        </w:rPr>
        <w:t xml:space="preserve"> žymiai greičiau nei įprastai; pusinės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eliminacijos laikas sutrumpėja iki maždaug 3 valandų.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Metronidazolas</w:t>
      </w:r>
      <w:proofErr w:type="spellEnd"/>
      <w:r w:rsidRPr="004B4520">
        <w:rPr>
          <w:szCs w:val="22"/>
        </w:rPr>
        <w:t xml:space="preserve"> mažina 5-fluorouracilo klirensą, todėl gali sustiprėti toksinis 5-fluorouracilo poveikis.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Ciklosporino</w:t>
      </w:r>
      <w:proofErr w:type="spellEnd"/>
      <w:r w:rsidRPr="004B4520">
        <w:rPr>
          <w:szCs w:val="22"/>
        </w:rPr>
        <w:t xml:space="preserve"> vartojantiems pacientams gali padidėti šio vaisto koncentracija kraujo serume.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vartojant kartu su </w:t>
      </w:r>
      <w:proofErr w:type="spellStart"/>
      <w:r w:rsidRPr="004B4520">
        <w:rPr>
          <w:szCs w:val="22"/>
        </w:rPr>
        <w:t>ciklosporinu</w:t>
      </w:r>
      <w:proofErr w:type="spellEnd"/>
      <w:r w:rsidRPr="004B4520">
        <w:rPr>
          <w:szCs w:val="22"/>
        </w:rPr>
        <w:t xml:space="preserve">, reikia atidžiai stebėti </w:t>
      </w:r>
      <w:proofErr w:type="spellStart"/>
      <w:r w:rsidRPr="004B4520">
        <w:rPr>
          <w:szCs w:val="22"/>
        </w:rPr>
        <w:t>ciklosporino</w:t>
      </w:r>
      <w:proofErr w:type="spellEnd"/>
      <w:r w:rsidRPr="004B4520">
        <w:rPr>
          <w:szCs w:val="22"/>
        </w:rPr>
        <w:t xml:space="preserve"> ir </w:t>
      </w:r>
      <w:proofErr w:type="spellStart"/>
      <w:r w:rsidRPr="004B4520">
        <w:rPr>
          <w:szCs w:val="22"/>
        </w:rPr>
        <w:t>kreatinino</w:t>
      </w:r>
      <w:proofErr w:type="spellEnd"/>
      <w:r w:rsidRPr="004B4520">
        <w:rPr>
          <w:szCs w:val="22"/>
        </w:rPr>
        <w:t xml:space="preserve"> koncentracijas pacientų kraujo serume.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Metronidazolas</w:t>
      </w:r>
      <w:proofErr w:type="spellEnd"/>
      <w:r w:rsidRPr="004B4520">
        <w:rPr>
          <w:szCs w:val="22"/>
        </w:rPr>
        <w:t xml:space="preserve"> sulėtina </w:t>
      </w:r>
      <w:proofErr w:type="spellStart"/>
      <w:r w:rsidRPr="004B4520">
        <w:rPr>
          <w:szCs w:val="22"/>
        </w:rPr>
        <w:t>fenitoino</w:t>
      </w:r>
      <w:proofErr w:type="spellEnd"/>
      <w:r w:rsidRPr="004B4520">
        <w:rPr>
          <w:szCs w:val="22"/>
        </w:rPr>
        <w:t xml:space="preserve"> metabolizmą (padidėja koncentracija kraujo plazmoje).</w:t>
      </w:r>
    </w:p>
    <w:p w:rsidR="009D45CC" w:rsidRPr="004B4520" w:rsidRDefault="009D45CC" w:rsidP="009D45CC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vartojant kartu su </w:t>
      </w:r>
      <w:proofErr w:type="spellStart"/>
      <w:r w:rsidRPr="004B4520">
        <w:rPr>
          <w:szCs w:val="22"/>
        </w:rPr>
        <w:t>disulfiramu</w:t>
      </w:r>
      <w:proofErr w:type="spellEnd"/>
      <w:r w:rsidRPr="004B4520">
        <w:rPr>
          <w:szCs w:val="22"/>
        </w:rPr>
        <w:t xml:space="preserve">, gali pasireikšti ūmi psichozė. Gydymą </w:t>
      </w:r>
      <w:proofErr w:type="spellStart"/>
      <w:r w:rsidRPr="004B4520">
        <w:rPr>
          <w:szCs w:val="22"/>
        </w:rPr>
        <w:t>metronidazolu</w:t>
      </w:r>
      <w:proofErr w:type="spellEnd"/>
      <w:r w:rsidRPr="004B4520">
        <w:rPr>
          <w:szCs w:val="22"/>
        </w:rPr>
        <w:t xml:space="preserve"> galima pradėti tik praėjus dviem savaitėms po gydymo </w:t>
      </w:r>
      <w:proofErr w:type="spellStart"/>
      <w:r w:rsidRPr="004B4520">
        <w:rPr>
          <w:szCs w:val="22"/>
        </w:rPr>
        <w:t>disulfiramu</w:t>
      </w:r>
      <w:proofErr w:type="spellEnd"/>
      <w:r w:rsidRPr="004B4520">
        <w:rPr>
          <w:szCs w:val="22"/>
        </w:rPr>
        <w:t xml:space="preserve"> nutraukimo.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proofErr w:type="spellStart"/>
      <w:r w:rsidRPr="004B4520">
        <w:t>Trichopol</w:t>
      </w:r>
      <w:proofErr w:type="spellEnd"/>
      <w:r w:rsidRPr="004B4520">
        <w:t xml:space="preserve"> vartojimas su maistu, gėrimais ir alkoholiu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proofErr w:type="spellStart"/>
      <w:r w:rsidRPr="004B4520">
        <w:rPr>
          <w:szCs w:val="22"/>
        </w:rPr>
        <w:t>Metronidazolas</w:t>
      </w:r>
      <w:proofErr w:type="spellEnd"/>
      <w:r w:rsidRPr="004B4520">
        <w:rPr>
          <w:szCs w:val="22"/>
        </w:rPr>
        <w:t xml:space="preserve"> stiprina toksinį alkoholio poveikį. Vartojant alkoholio kartu su vaistu, gali pasireikšti nepageidaujamų reakcijų: karščio pylimas, prakaitavimas, galvos skausmas, pykinimas, vėmimas, viršutinės pilvo dalies skausmas. Gydymosi </w:t>
      </w:r>
      <w:proofErr w:type="spellStart"/>
      <w:r w:rsidRPr="004B4520">
        <w:rPr>
          <w:szCs w:val="22"/>
        </w:rPr>
        <w:t>metronidazolu</w:t>
      </w:r>
      <w:proofErr w:type="spellEnd"/>
      <w:r w:rsidRPr="004B4520">
        <w:rPr>
          <w:szCs w:val="22"/>
        </w:rPr>
        <w:t xml:space="preserve"> metu ir mažiausiai 48 valandas po to nevartoti alkoholio, kadangi gali pasireikšti į </w:t>
      </w:r>
      <w:proofErr w:type="spellStart"/>
      <w:r w:rsidRPr="004B4520">
        <w:rPr>
          <w:szCs w:val="22"/>
        </w:rPr>
        <w:t>disulfiramo</w:t>
      </w:r>
      <w:proofErr w:type="spellEnd"/>
      <w:r w:rsidRPr="004B4520">
        <w:rPr>
          <w:szCs w:val="22"/>
        </w:rPr>
        <w:t xml:space="preserve"> poveikį panašių reakcijų (abstinencijai būdingų reakcijų).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r w:rsidRPr="004B4520">
        <w:t>Nėštumas ir žindymo laikotarpis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9D45CC" w:rsidRPr="004B4520" w:rsidRDefault="009D45CC" w:rsidP="009D45CC">
      <w:pPr>
        <w:rPr>
          <w:sz w:val="22"/>
          <w:szCs w:val="22"/>
        </w:rPr>
      </w:pPr>
    </w:p>
    <w:p w:rsidR="009D45CC" w:rsidRPr="004B4520" w:rsidRDefault="009D45CC" w:rsidP="009D45CC">
      <w:pPr>
        <w:rPr>
          <w:sz w:val="22"/>
          <w:szCs w:val="22"/>
          <w:u w:val="single"/>
        </w:rPr>
      </w:pPr>
      <w:r w:rsidRPr="004B4520">
        <w:rPr>
          <w:sz w:val="22"/>
          <w:szCs w:val="22"/>
          <w:u w:val="single"/>
        </w:rPr>
        <w:t>Nėštumas</w:t>
      </w:r>
    </w:p>
    <w:p w:rsidR="009D45CC" w:rsidRPr="004B4520" w:rsidRDefault="009D45CC" w:rsidP="009D45CC">
      <w:pPr>
        <w:rPr>
          <w:sz w:val="22"/>
          <w:szCs w:val="22"/>
        </w:rPr>
      </w:pPr>
      <w:r w:rsidRPr="004B4520">
        <w:rPr>
          <w:sz w:val="22"/>
          <w:szCs w:val="22"/>
        </w:rPr>
        <w:t xml:space="preserve">Pirmuosius tris nėštumo mėnesius </w:t>
      </w:r>
      <w:proofErr w:type="spellStart"/>
      <w:r w:rsidRPr="004B4520">
        <w:rPr>
          <w:sz w:val="22"/>
          <w:szCs w:val="22"/>
        </w:rPr>
        <w:t>metronidazolo</w:t>
      </w:r>
      <w:proofErr w:type="spellEnd"/>
      <w:r w:rsidRPr="004B4520">
        <w:rPr>
          <w:sz w:val="22"/>
          <w:szCs w:val="22"/>
        </w:rPr>
        <w:t xml:space="preserve"> vartoti draudžiama.</w:t>
      </w:r>
    </w:p>
    <w:p w:rsidR="009D45CC" w:rsidRPr="004B4520" w:rsidRDefault="009D45CC" w:rsidP="009D45CC">
      <w:pPr>
        <w:rPr>
          <w:sz w:val="22"/>
          <w:szCs w:val="22"/>
        </w:rPr>
      </w:pPr>
      <w:r w:rsidRPr="004B4520">
        <w:rPr>
          <w:sz w:val="22"/>
          <w:szCs w:val="22"/>
        </w:rPr>
        <w:t>II ir III nėštumo trimestro metu vaisto galima vartoti tik tokiu atveju, jei gydytojo nuomone, vaisto vartojimo nauda motinai didesnė už žalingo poveikio vaisiui pavojų.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rPr>
          <w:sz w:val="22"/>
          <w:szCs w:val="22"/>
          <w:u w:val="single"/>
        </w:rPr>
      </w:pPr>
      <w:r w:rsidRPr="004B4520">
        <w:rPr>
          <w:sz w:val="22"/>
          <w:szCs w:val="22"/>
          <w:u w:val="single"/>
        </w:rPr>
        <w:t>Žindymas</w:t>
      </w:r>
    </w:p>
    <w:p w:rsidR="009D45CC" w:rsidRPr="004B4520" w:rsidRDefault="009D45CC" w:rsidP="009D45CC">
      <w:pPr>
        <w:rPr>
          <w:sz w:val="22"/>
          <w:szCs w:val="22"/>
        </w:rPr>
      </w:pPr>
      <w:proofErr w:type="spellStart"/>
      <w:r w:rsidRPr="004B4520">
        <w:rPr>
          <w:sz w:val="22"/>
          <w:szCs w:val="22"/>
        </w:rPr>
        <w:t>Metronidazolo</w:t>
      </w:r>
      <w:proofErr w:type="spellEnd"/>
      <w:r w:rsidRPr="004B4520">
        <w:rPr>
          <w:sz w:val="22"/>
          <w:szCs w:val="22"/>
        </w:rPr>
        <w:t xml:space="preserve"> patenka į motinos pieną, todėl šio vaisto žindyvei reikėtų nevartoti. Jei vaisto vartoti būtina, gydymo metu žindymą reikia nutraukti.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r w:rsidRPr="004B4520">
        <w:t>Vairavimas ir mechanizmų valdymas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Retkarčiais metronidazolas gali sukelti mieguistumą, galvos svaigimą, sumišimą, haliucinacijų, traukulių ar praeinančių regos sutrikimų. Jei Jums pasireiškia šių simptomų, vairuoti ar valdyti mechanizmų negalima.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Duomenų, rodančių kad vairuoti ar valdyti mechanizmus negalima, nėra.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Trichopol sudėtyje yra gliukozės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Jeigu gydytojas Jums yra sakęs, kad netoleruojate kokių nors angliavandenių, kreipkitės į jį prieš pradėdami vartoti šį vaistą.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1EMEASMCA"/>
      </w:pPr>
      <w:bookmarkStart w:id="6" w:name="_Toc129243141"/>
      <w:bookmarkStart w:id="7" w:name="_Toc129243266"/>
      <w:r w:rsidRPr="004B4520">
        <w:t>3.</w:t>
      </w:r>
      <w:r w:rsidRPr="004B4520">
        <w:tab/>
      </w:r>
      <w:bookmarkEnd w:id="6"/>
      <w:bookmarkEnd w:id="7"/>
      <w:r w:rsidRPr="004B4520">
        <w:t xml:space="preserve">Kaip vartoti </w:t>
      </w:r>
      <w:proofErr w:type="spellStart"/>
      <w:r w:rsidRPr="004B4520">
        <w:t>Trichopol</w:t>
      </w:r>
      <w:proofErr w:type="spellEnd"/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Visada vartokite šį vaistą tiksliai kaip nurodė gydytojas. Jeigu abejojate, kreipkitės į gydytoją arba vaistininką.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BTEMEASMCA"/>
      </w:pPr>
      <w:r w:rsidRPr="004B4520">
        <w:t>Vaistą reikia vartoti per burną.</w:t>
      </w:r>
    </w:p>
    <w:p w:rsidR="009D45CC" w:rsidRPr="004B4520" w:rsidRDefault="009D45CC" w:rsidP="009D45CC">
      <w:pPr>
        <w:pStyle w:val="BTEMEASMCA"/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  <w:u w:val="single"/>
        </w:rPr>
      </w:pPr>
      <w:r w:rsidRPr="004B4520">
        <w:rPr>
          <w:i/>
          <w:szCs w:val="22"/>
          <w:u w:val="single"/>
        </w:rPr>
        <w:t>Trichomonozė</w:t>
      </w: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  <w:r w:rsidRPr="004B4520">
        <w:rPr>
          <w:i/>
          <w:szCs w:val="22"/>
        </w:rPr>
        <w:t xml:space="preserve">Pastaba. </w:t>
      </w:r>
      <w:r w:rsidRPr="004B4520">
        <w:rPr>
          <w:szCs w:val="22"/>
        </w:rPr>
        <w:t>Vienu metu turi būti gydomas ir seksualinis partneris.</w:t>
      </w:r>
      <w:r w:rsidRPr="004B4520">
        <w:rPr>
          <w:i/>
          <w:szCs w:val="22"/>
        </w:rPr>
        <w:t xml:space="preserve">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Moterims:</w:t>
      </w:r>
      <w:r w:rsidRPr="004B4520">
        <w:rPr>
          <w:szCs w:val="22"/>
        </w:rPr>
        <w:t xml:space="preserve"> po 250 mg tris kartus per parą ryte ir vakare valgio metu 7 paras.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Vyrams:</w:t>
      </w:r>
      <w:r w:rsidRPr="004B4520">
        <w:rPr>
          <w:szCs w:val="22"/>
        </w:rPr>
        <w:t xml:space="preserve"> po 250 mg tris kartus per parą ryte ir vakare valgio metu 7 paras.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  <w:u w:val="single"/>
        </w:rPr>
      </w:pPr>
      <w:proofErr w:type="spellStart"/>
      <w:r w:rsidRPr="004B4520">
        <w:rPr>
          <w:i/>
          <w:szCs w:val="22"/>
          <w:u w:val="single"/>
        </w:rPr>
        <w:t>Amebiazė</w:t>
      </w:r>
      <w:proofErr w:type="spellEnd"/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</w:p>
    <w:tbl>
      <w:tblPr>
        <w:tblW w:w="475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3"/>
        <w:gridCol w:w="1148"/>
        <w:gridCol w:w="1629"/>
        <w:gridCol w:w="1490"/>
        <w:gridCol w:w="1397"/>
        <w:gridCol w:w="1397"/>
      </w:tblGrid>
      <w:tr w:rsidR="009D45CC" w:rsidRPr="004B4520" w:rsidTr="00CC0BD6">
        <w:trPr>
          <w:tblCellSpacing w:w="0" w:type="dxa"/>
          <w:jc w:val="center"/>
        </w:trPr>
        <w:tc>
          <w:tcPr>
            <w:tcW w:w="1838" w:type="dxa"/>
            <w:vMerge w:val="restart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 </w:t>
            </w:r>
          </w:p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vMerge w:val="restart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Gydymo trukmė paromis</w:t>
            </w:r>
          </w:p>
        </w:tc>
        <w:tc>
          <w:tcPr>
            <w:tcW w:w="1532" w:type="dxa"/>
            <w:vMerge w:val="restart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Suaugusiesiems ir vyresniems kaip 10 metų vaikams</w:t>
            </w:r>
          </w:p>
        </w:tc>
        <w:tc>
          <w:tcPr>
            <w:tcW w:w="4228" w:type="dxa"/>
            <w:gridSpan w:val="3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Vaikams</w:t>
            </w:r>
          </w:p>
        </w:tc>
      </w:tr>
      <w:tr w:rsidR="009D45CC" w:rsidRPr="004B4520" w:rsidTr="00CC0BD6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7-10 metų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3-7 metų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b/>
                <w:bCs/>
                <w:sz w:val="22"/>
                <w:szCs w:val="22"/>
              </w:rPr>
              <w:t>1-3 metų</w:t>
            </w:r>
          </w:p>
        </w:tc>
      </w:tr>
      <w:tr w:rsidR="009D45CC" w:rsidRPr="004B4520" w:rsidTr="00CC0BD6">
        <w:trPr>
          <w:tblCellSpacing w:w="0" w:type="dxa"/>
          <w:jc w:val="center"/>
        </w:trPr>
        <w:tc>
          <w:tcPr>
            <w:tcW w:w="1838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 xml:space="preserve">Invazinė žarnyno </w:t>
            </w:r>
            <w:proofErr w:type="spellStart"/>
            <w:r w:rsidRPr="004B4520">
              <w:rPr>
                <w:sz w:val="22"/>
                <w:szCs w:val="22"/>
              </w:rPr>
              <w:t>amebiazė</w:t>
            </w:r>
            <w:proofErr w:type="spellEnd"/>
            <w:r w:rsidRPr="004B4520">
              <w:rPr>
                <w:sz w:val="22"/>
                <w:szCs w:val="22"/>
              </w:rPr>
              <w:t xml:space="preserve"> imliems pacientams</w:t>
            </w:r>
          </w:p>
        </w:tc>
        <w:tc>
          <w:tcPr>
            <w:tcW w:w="1133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750 mg tris kartus per parą</w:t>
            </w:r>
          </w:p>
        </w:tc>
        <w:tc>
          <w:tcPr>
            <w:tcW w:w="1470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375 mg tris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250 mg tris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250 mg du kartus per parą</w:t>
            </w:r>
          </w:p>
        </w:tc>
      </w:tr>
      <w:tr w:rsidR="009D45CC" w:rsidRPr="004B4520" w:rsidTr="00CC0BD6">
        <w:trPr>
          <w:tblCellSpacing w:w="0" w:type="dxa"/>
          <w:jc w:val="center"/>
        </w:trPr>
        <w:tc>
          <w:tcPr>
            <w:tcW w:w="1838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 xml:space="preserve">Žarnyno </w:t>
            </w:r>
            <w:proofErr w:type="spellStart"/>
            <w:r w:rsidRPr="004B4520">
              <w:rPr>
                <w:sz w:val="22"/>
                <w:szCs w:val="22"/>
              </w:rPr>
              <w:t>amebiazė</w:t>
            </w:r>
            <w:proofErr w:type="spellEnd"/>
            <w:r w:rsidRPr="004B4520">
              <w:rPr>
                <w:sz w:val="22"/>
                <w:szCs w:val="22"/>
              </w:rPr>
              <w:t xml:space="preserve"> mažiau imliems pacientams ir lėtinis amebinis hepatitas</w:t>
            </w:r>
          </w:p>
        </w:tc>
        <w:tc>
          <w:tcPr>
            <w:tcW w:w="1133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5-10</w:t>
            </w:r>
          </w:p>
        </w:tc>
        <w:tc>
          <w:tcPr>
            <w:tcW w:w="1532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375 mg tris kartus per parą</w:t>
            </w:r>
          </w:p>
        </w:tc>
        <w:tc>
          <w:tcPr>
            <w:tcW w:w="1470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250 mg du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 mg tris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 mg du kartus per parą</w:t>
            </w:r>
          </w:p>
        </w:tc>
      </w:tr>
      <w:tr w:rsidR="009D45CC" w:rsidRPr="004B4520" w:rsidTr="00CC0BD6">
        <w:trPr>
          <w:tblCellSpacing w:w="0" w:type="dxa"/>
          <w:jc w:val="center"/>
        </w:trPr>
        <w:tc>
          <w:tcPr>
            <w:tcW w:w="1838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 xml:space="preserve">Amebinis kepenų pūlinys, taip pat kitų organų </w:t>
            </w:r>
            <w:proofErr w:type="spellStart"/>
            <w:r w:rsidRPr="004B4520">
              <w:rPr>
                <w:sz w:val="22"/>
                <w:szCs w:val="22"/>
              </w:rPr>
              <w:t>amebiazė</w:t>
            </w:r>
            <w:proofErr w:type="spellEnd"/>
          </w:p>
        </w:tc>
        <w:tc>
          <w:tcPr>
            <w:tcW w:w="1133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375 mg tris kartus per parą</w:t>
            </w:r>
          </w:p>
        </w:tc>
        <w:tc>
          <w:tcPr>
            <w:tcW w:w="1470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250 mg du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 mg tris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 mg du kartus per parą</w:t>
            </w:r>
          </w:p>
        </w:tc>
      </w:tr>
      <w:tr w:rsidR="009D45CC" w:rsidRPr="004B4520" w:rsidTr="00CC0BD6">
        <w:trPr>
          <w:tblCellSpacing w:w="0" w:type="dxa"/>
          <w:jc w:val="center"/>
        </w:trPr>
        <w:tc>
          <w:tcPr>
            <w:tcW w:w="1838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proofErr w:type="spellStart"/>
            <w:r w:rsidRPr="004B4520">
              <w:rPr>
                <w:sz w:val="22"/>
                <w:szCs w:val="22"/>
              </w:rPr>
              <w:t>Besimptomiams</w:t>
            </w:r>
            <w:proofErr w:type="spellEnd"/>
            <w:r w:rsidRPr="004B4520">
              <w:rPr>
                <w:sz w:val="22"/>
                <w:szCs w:val="22"/>
              </w:rPr>
              <w:t xml:space="preserve"> cistų nešiotojams</w:t>
            </w:r>
          </w:p>
        </w:tc>
        <w:tc>
          <w:tcPr>
            <w:tcW w:w="1133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5-10</w:t>
            </w:r>
          </w:p>
        </w:tc>
        <w:tc>
          <w:tcPr>
            <w:tcW w:w="1532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375-750 mg tris kartus per parą</w:t>
            </w:r>
          </w:p>
        </w:tc>
        <w:tc>
          <w:tcPr>
            <w:tcW w:w="1470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250-500 mg du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125-250 mg tris kartus per parą</w:t>
            </w:r>
          </w:p>
        </w:tc>
        <w:tc>
          <w:tcPr>
            <w:tcW w:w="1379" w:type="dxa"/>
          </w:tcPr>
          <w:p w:rsidR="009D45CC" w:rsidRPr="004B4520" w:rsidRDefault="009D45CC" w:rsidP="00CC0BD6">
            <w:pPr>
              <w:rPr>
                <w:sz w:val="22"/>
                <w:szCs w:val="22"/>
              </w:rPr>
            </w:pPr>
            <w:r w:rsidRPr="004B4520">
              <w:rPr>
                <w:sz w:val="22"/>
                <w:szCs w:val="22"/>
              </w:rPr>
              <w:t>Po 125-250 mg du kartus per parą</w:t>
            </w:r>
          </w:p>
        </w:tc>
      </w:tr>
    </w:tbl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  <w:u w:val="single"/>
        </w:rPr>
      </w:pPr>
      <w:proofErr w:type="spellStart"/>
      <w:r w:rsidRPr="004B4520">
        <w:rPr>
          <w:i/>
          <w:szCs w:val="22"/>
          <w:u w:val="single"/>
        </w:rPr>
        <w:t>Giardiazė</w:t>
      </w:r>
      <w:proofErr w:type="spellEnd"/>
      <w:r w:rsidRPr="004B4520">
        <w:rPr>
          <w:i/>
          <w:szCs w:val="22"/>
          <w:u w:val="single"/>
        </w:rPr>
        <w:t xml:space="preserve"> (</w:t>
      </w:r>
      <w:proofErr w:type="spellStart"/>
      <w:r w:rsidRPr="004B4520">
        <w:rPr>
          <w:i/>
          <w:szCs w:val="22"/>
          <w:u w:val="single"/>
        </w:rPr>
        <w:t>liambliozė</w:t>
      </w:r>
      <w:proofErr w:type="spellEnd"/>
      <w:r w:rsidRPr="004B4520">
        <w:rPr>
          <w:i/>
          <w:szCs w:val="22"/>
          <w:u w:val="single"/>
        </w:rPr>
        <w:t>)</w:t>
      </w: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  <w:r w:rsidRPr="004B4520">
        <w:rPr>
          <w:i/>
          <w:szCs w:val="22"/>
        </w:rPr>
        <w:t>Suaugusiesiems: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>Po 500 mg du kartus per parą 7-10 parų arba po 2000 mg vieną kartą per parą 3 paras.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  <w:r w:rsidRPr="004B4520">
        <w:rPr>
          <w:i/>
          <w:szCs w:val="22"/>
        </w:rPr>
        <w:lastRenderedPageBreak/>
        <w:t>Vaikams:</w:t>
      </w:r>
    </w:p>
    <w:p w:rsidR="009D45CC" w:rsidRPr="004B4520" w:rsidRDefault="009D45CC" w:rsidP="009D45CC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0" w:firstLine="0"/>
        <w:rPr>
          <w:szCs w:val="22"/>
        </w:rPr>
      </w:pPr>
      <w:r w:rsidRPr="004B4520">
        <w:rPr>
          <w:szCs w:val="22"/>
        </w:rPr>
        <w:t xml:space="preserve">1-3 metų – 500 mg per parą 3 paras; </w:t>
      </w:r>
    </w:p>
    <w:p w:rsidR="009D45CC" w:rsidRPr="004B4520" w:rsidRDefault="009D45CC" w:rsidP="009D45CC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0" w:firstLine="0"/>
        <w:rPr>
          <w:szCs w:val="22"/>
        </w:rPr>
      </w:pPr>
      <w:r w:rsidRPr="004B4520">
        <w:rPr>
          <w:szCs w:val="22"/>
        </w:rPr>
        <w:t>3-7 metų – 500-750 mg per parą 3 paras;</w:t>
      </w:r>
    </w:p>
    <w:p w:rsidR="009D45CC" w:rsidRPr="004B4520" w:rsidRDefault="009D45CC" w:rsidP="009D45CC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0" w:firstLine="0"/>
        <w:rPr>
          <w:szCs w:val="22"/>
        </w:rPr>
      </w:pPr>
      <w:r w:rsidRPr="004B4520">
        <w:rPr>
          <w:szCs w:val="22"/>
        </w:rPr>
        <w:t>7-10 metų – 1000 mg per parą 3 paras.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>Prireikus, gydytojo nurodymu, po 4-6 savaičių gydymą galima kartoti.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  <w:u w:val="single"/>
        </w:rPr>
      </w:pPr>
      <w:r w:rsidRPr="004B4520">
        <w:rPr>
          <w:i/>
          <w:szCs w:val="22"/>
          <w:u w:val="single"/>
        </w:rPr>
        <w:t xml:space="preserve">Anaerobinių bakterijų </w:t>
      </w:r>
      <w:r w:rsidRPr="004B4520">
        <w:rPr>
          <w:i/>
          <w:iCs/>
          <w:szCs w:val="22"/>
          <w:u w:val="single"/>
        </w:rPr>
        <w:t>sukelta infekcija</w:t>
      </w:r>
      <w:r w:rsidRPr="004B4520">
        <w:rPr>
          <w:i/>
          <w:szCs w:val="22"/>
          <w:u w:val="single"/>
        </w:rPr>
        <w:t xml:space="preserve">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 xml:space="preserve">Galima vartoti vien </w:t>
      </w:r>
      <w:proofErr w:type="spellStart"/>
      <w:r w:rsidRPr="004B4520">
        <w:rPr>
          <w:szCs w:val="22"/>
        </w:rPr>
        <w:t>metronidazolo</w:t>
      </w:r>
      <w:proofErr w:type="spellEnd"/>
      <w:r w:rsidRPr="004B4520">
        <w:rPr>
          <w:szCs w:val="22"/>
        </w:rPr>
        <w:t xml:space="preserve"> arba kartu su kitais antibakteriniais vaistais. Vidutinė gydymo trukmė turėtų būti ne ilgesnė kaip 7 paros.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Suaugusiesiems ir vyresniems kaip 12 metų vaikams:</w:t>
      </w:r>
      <w:r w:rsidRPr="004B4520">
        <w:rPr>
          <w:szCs w:val="22"/>
        </w:rPr>
        <w:t xml:space="preserve"> po vieną arba dvi 250 mg tabletes tris kartus per parą valgio metu ar po jo.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Vyresniems kaip 8 savaičių kūdikiams - jaunesniems kaip 12 metų vaikams:</w:t>
      </w:r>
      <w:r w:rsidRPr="004B4520">
        <w:rPr>
          <w:szCs w:val="22"/>
        </w:rPr>
        <w:t xml:space="preserve"> 7,5 mg/kg kūno svorio dozė tris kartus per parą valgio metu ar po jo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Jaunesniems kaip 8 savaičių kūdikiams:</w:t>
      </w:r>
      <w:r w:rsidRPr="004B4520">
        <w:rPr>
          <w:szCs w:val="22"/>
        </w:rPr>
        <w:t xml:space="preserve"> 7,5 mg/kg kūno svorio dozė du kartus per parą valgio metu ar po jo.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 xml:space="preserve">Per parą negalima viršyti didžiausios </w:t>
      </w:r>
      <w:smartTag w:uri="urn:schemas-microsoft-com:office:smarttags" w:element="metricconverter">
        <w:smartTagPr>
          <w:attr w:name="ProductID" w:val="4 g"/>
        </w:smartTagPr>
        <w:r w:rsidRPr="004B4520">
          <w:rPr>
            <w:szCs w:val="22"/>
          </w:rPr>
          <w:t>4 g</w:t>
        </w:r>
      </w:smartTag>
      <w:r w:rsidRPr="004B4520">
        <w:rPr>
          <w:szCs w:val="22"/>
        </w:rPr>
        <w:t xml:space="preserve"> dozės.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proofErr w:type="spellStart"/>
      <w:r w:rsidRPr="004B4520">
        <w:rPr>
          <w:i/>
          <w:szCs w:val="22"/>
          <w:u w:val="single"/>
        </w:rPr>
        <w:t>Helicobacter</w:t>
      </w:r>
      <w:proofErr w:type="spellEnd"/>
      <w:r w:rsidRPr="004B4520">
        <w:rPr>
          <w:i/>
          <w:szCs w:val="22"/>
          <w:u w:val="single"/>
        </w:rPr>
        <w:t xml:space="preserve"> </w:t>
      </w:r>
      <w:proofErr w:type="spellStart"/>
      <w:r w:rsidRPr="004B4520">
        <w:rPr>
          <w:i/>
          <w:szCs w:val="22"/>
          <w:u w:val="single"/>
        </w:rPr>
        <w:t>pylori</w:t>
      </w:r>
      <w:proofErr w:type="spellEnd"/>
      <w:r w:rsidRPr="004B4520">
        <w:rPr>
          <w:i/>
          <w:szCs w:val="22"/>
          <w:u w:val="single"/>
        </w:rPr>
        <w:t xml:space="preserve"> infekcijai išnaikinti sergant skrandžio ar dvylikapirštės žarnos opalige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 xml:space="preserve">Metronidazolo reikia vartoti mažiausiai 7 dienas kartu su kitais </w:t>
      </w:r>
      <w:r w:rsidRPr="00BD605E">
        <w:rPr>
          <w:i/>
          <w:lang w:val="lt-LT"/>
        </w:rPr>
        <w:t>Helicobacter pylori</w:t>
      </w:r>
      <w:r w:rsidRPr="00BD605E">
        <w:rPr>
          <w:lang w:val="lt-LT"/>
        </w:rPr>
        <w:t xml:space="preserve"> infekcijai naikinti rekomenduojamais vaistais.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Suaugusiesiems:</w:t>
      </w:r>
      <w:r w:rsidRPr="004B4520">
        <w:rPr>
          <w:szCs w:val="22"/>
        </w:rPr>
        <w:t xml:space="preserve"> po 500 mg 2-3 kartus per parą 7-14 parų.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i/>
          <w:szCs w:val="22"/>
        </w:rPr>
        <w:t>Vaikams:</w:t>
      </w:r>
      <w:r w:rsidRPr="004B4520">
        <w:rPr>
          <w:szCs w:val="22"/>
        </w:rPr>
        <w:t xml:space="preserve"> kaip sudėtinė kombinuotojo gydymo dalis, 20 mg/kg kūno svorio/per parą, neviršijant 500 mg 2 kartus per parą 7-14 parų.</w:t>
      </w:r>
    </w:p>
    <w:p w:rsidR="009D45CC" w:rsidRPr="004B4520" w:rsidRDefault="009D45CC" w:rsidP="009D45CC">
      <w:pPr>
        <w:contextualSpacing/>
        <w:outlineLvl w:val="0"/>
        <w:rPr>
          <w:i/>
          <w:iCs/>
          <w:sz w:val="22"/>
          <w:szCs w:val="22"/>
        </w:rPr>
      </w:pPr>
    </w:p>
    <w:p w:rsidR="009D45CC" w:rsidRPr="004B4520" w:rsidRDefault="009D45CC" w:rsidP="009D45CC">
      <w:pPr>
        <w:contextualSpacing/>
        <w:outlineLvl w:val="0"/>
        <w:rPr>
          <w:i/>
          <w:iCs/>
          <w:sz w:val="22"/>
          <w:szCs w:val="22"/>
        </w:rPr>
      </w:pPr>
      <w:r w:rsidRPr="004B4520">
        <w:rPr>
          <w:i/>
          <w:iCs/>
          <w:sz w:val="22"/>
          <w:szCs w:val="22"/>
        </w:rPr>
        <w:t>Senyviems  pacientams</w:t>
      </w: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>Specialių dozavimo rekomendacijų nėra.</w:t>
      </w: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  <w:r w:rsidRPr="004B4520">
        <w:rPr>
          <w:i/>
          <w:szCs w:val="22"/>
        </w:rPr>
        <w:t>Pacientams, kurių kepenų funkcija</w:t>
      </w:r>
      <w:r>
        <w:rPr>
          <w:i/>
          <w:szCs w:val="22"/>
        </w:rPr>
        <w:t xml:space="preserve"> sutrikusi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Pacientams, kuriems yra hepatinė encefalopatija, Trichopol reikia vartoti atsargiai. Paros dozę reikia sumažinti iki trečdalio įprastinės, ją galima vartoti per vieną kartą.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</w:p>
    <w:p w:rsidR="009D45CC" w:rsidRPr="004B4520" w:rsidRDefault="009D45CC" w:rsidP="009D45CC">
      <w:pPr>
        <w:pStyle w:val="Pagrindinistekstas"/>
        <w:spacing w:after="0"/>
        <w:rPr>
          <w:i/>
          <w:szCs w:val="22"/>
        </w:rPr>
      </w:pPr>
      <w:r w:rsidRPr="004B4520">
        <w:rPr>
          <w:i/>
          <w:szCs w:val="22"/>
        </w:rPr>
        <w:t>Pacientams, kurių inkstų funkcija</w:t>
      </w:r>
      <w:r>
        <w:rPr>
          <w:i/>
          <w:szCs w:val="22"/>
        </w:rPr>
        <w:t xml:space="preserve"> sutrikusi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Kai yra inkstų funkcijos nepakankamumas, pusinės metronidazolo eliminacijos laikas nesikeičia. Todėl metronidazolo dozės mažinti nereikia. Tačiau šiems pacientams kaupiasi metronidazolo metabolitų. Pastarųjų klinikinė reikšmė iki šiol nežinoma.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Pacientams, kuriems atliekama hemodializė, metronidazolas ir jo metabolitai visiškai pašalinami aštuonių valandų trukmės dializės metu. Todėl metronidazolo reikia vėl vartoti iškart po hemodializės.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 xml:space="preserve">Inkstų funkcijos nepakankamumu sergantiems pacientams, kuriems atliekama protarpinė peritoninė dializė ar nuolatinė ambulatorinė peritoninė dializė, koreguoti Trichopol dozės paprastai nereikia. 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r w:rsidRPr="004B4520">
        <w:t xml:space="preserve">Ką daryti pavartojus per didelę </w:t>
      </w:r>
      <w:proofErr w:type="spellStart"/>
      <w:r w:rsidRPr="004B4520">
        <w:t>Trichopol</w:t>
      </w:r>
      <w:proofErr w:type="spellEnd"/>
      <w:r w:rsidRPr="004B4520">
        <w:t xml:space="preserve"> dozę</w:t>
      </w:r>
    </w:p>
    <w:p w:rsidR="009D45CC" w:rsidRPr="004B4520" w:rsidRDefault="009D45CC" w:rsidP="009D45CC">
      <w:pPr>
        <w:rPr>
          <w:sz w:val="22"/>
          <w:szCs w:val="22"/>
        </w:rPr>
      </w:pPr>
      <w:r w:rsidRPr="004B4520">
        <w:rPr>
          <w:sz w:val="22"/>
          <w:szCs w:val="22"/>
        </w:rPr>
        <w:t xml:space="preserve">Jei Jūs ar kas nors kitas pavartojo didesnę dozę nei buvo paskirta, nedelsiant kreipkitės į gydytoją ar vaistininką. 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r w:rsidRPr="004B4520">
        <w:t xml:space="preserve">Pamiršus pavartoti </w:t>
      </w:r>
      <w:proofErr w:type="spellStart"/>
      <w:r w:rsidRPr="004B4520">
        <w:t>Trichopol</w:t>
      </w:r>
      <w:proofErr w:type="spellEnd"/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 xml:space="preserve">Pamiršus pavartoti šio vaisto, dozę vartokite kai tik prisiminsite. 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lastRenderedPageBreak/>
        <w:t>Negalima vartoti dvigubos dozės norint kompensuoti praleistą dozę. Toliau vaisto reikia vartoti taip, kaip paskirta.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r w:rsidRPr="004B4520">
        <w:t xml:space="preserve">Nustojus vartoti </w:t>
      </w:r>
      <w:proofErr w:type="spellStart"/>
      <w:r w:rsidRPr="004B4520">
        <w:t>Trichopol</w:t>
      </w:r>
      <w:proofErr w:type="spellEnd"/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Jeigu kiltų daugiau klausimų dėl šio vaisto vartojimo, kreipkitės į gydytoją.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1EMEASMCA"/>
      </w:pPr>
      <w:bookmarkStart w:id="8" w:name="_Toc129243142"/>
      <w:bookmarkStart w:id="9" w:name="_Toc129243267"/>
      <w:r w:rsidRPr="004B4520">
        <w:t>4.</w:t>
      </w:r>
      <w:r w:rsidRPr="004B4520">
        <w:tab/>
      </w:r>
      <w:bookmarkEnd w:id="8"/>
      <w:bookmarkEnd w:id="9"/>
      <w:r w:rsidRPr="004B4520">
        <w:t>Galimas šalutinis poveikis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Šis vaistas, kaip ir visi kiti, gali sukelti šalutinį poveikį, nors jis pasireiškia ne visiems žmonėms.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snapToGrid w:val="0"/>
          <w:lang w:val="lt-LT"/>
        </w:rPr>
        <w:t>Labai dažni šalutinio poveikio reiškiniai (gali pasireikšti ne rečiau kaip 1 iš 10 asmenų):</w:t>
      </w: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 xml:space="preserve">Pykinimas (12%), kurio metu kartais skauda galvą, džiūsta burna, juntamas metalo skonis. </w:t>
      </w: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>Nedažni (pasireiškia mažiau nei 1 iš 100 žmonių)</w:t>
      </w:r>
    </w:p>
    <w:p w:rsidR="009D45CC" w:rsidRPr="00E37C18" w:rsidRDefault="009D45CC" w:rsidP="009D45CC">
      <w:pPr>
        <w:pStyle w:val="BTEMEASMCA"/>
      </w:pPr>
      <w:r w:rsidRPr="00E37C18">
        <w:t>Vėmimas, viduriavimas, pilvo negalavimas, vidurių užkietėjimas.</w:t>
      </w:r>
    </w:p>
    <w:p w:rsidR="009D45CC" w:rsidRPr="00E37C18" w:rsidRDefault="009D45CC" w:rsidP="009D45CC">
      <w:pPr>
        <w:pStyle w:val="BTEMEASMCA"/>
      </w:pPr>
    </w:p>
    <w:p w:rsidR="009D45CC" w:rsidRDefault="009D45CC" w:rsidP="009D45CC">
      <w:pPr>
        <w:pStyle w:val="BTEMEASMCA"/>
        <w:rPr>
          <w:iCs/>
        </w:rPr>
      </w:pPr>
      <w:r w:rsidRPr="005D554B">
        <w:rPr>
          <w:snapToGrid w:val="0"/>
        </w:rPr>
        <w:t>Reti šalutinio poveikio reiškiniai (gali pasireikšti rečiau kaip 1 iš 1 000 asmenų):</w:t>
      </w:r>
    </w:p>
    <w:p w:rsidR="009D45CC" w:rsidRPr="00E37C18" w:rsidRDefault="009D45CC" w:rsidP="009D45CC">
      <w:pPr>
        <w:pStyle w:val="BTEMEASMCA"/>
      </w:pPr>
      <w:r w:rsidRPr="00E37C18">
        <w:rPr>
          <w:iCs/>
        </w:rPr>
        <w:t>L</w:t>
      </w:r>
      <w:r w:rsidRPr="00E37C18">
        <w:t>iežuvio apnašos, burnos ertmės mikozė.</w:t>
      </w:r>
    </w:p>
    <w:p w:rsidR="009D45CC" w:rsidRPr="00E37C18" w:rsidRDefault="009D45CC" w:rsidP="009D45CC">
      <w:pPr>
        <w:pStyle w:val="BTEMEASMCA"/>
      </w:pPr>
      <w:r w:rsidRPr="00E37C18">
        <w:rPr>
          <w:iCs/>
        </w:rPr>
        <w:t>Vidutinio sunkumo l</w:t>
      </w:r>
      <w:r w:rsidRPr="00E37C18">
        <w:t>eukopenija (leukocitų skaičius visuomet sunormalėja iki baigiant gydymą ar jį baigus), agranuliocitozė, neutropenija, trombocitopenija ir pancitopenija (dažnai grįžtama nutraukus vaisto vartojimą; nors ir labai retai, gali lemti mirtį).</w:t>
      </w:r>
    </w:p>
    <w:p w:rsidR="009D45CC" w:rsidRPr="00E37C18" w:rsidRDefault="009D45CC" w:rsidP="009D45CC">
      <w:pPr>
        <w:pStyle w:val="BTEMEASMCA"/>
      </w:pPr>
      <w:r w:rsidRPr="00E37C18">
        <w:t>Periferinė neuropatija, kuriai būdingas galūnių tirpimas, dilgčiojimo pojūtis ar parestezija. Daugeliu atveju neuropatijos reiškiniai išnyko nutraukus vaisto vartojimą ar sumažinus vaisto dozę; taip pat gali pasireikšti galvos skausmas ir svaigimas, sutrikusi judesių koordinacija, mieguistumas.</w:t>
      </w:r>
    </w:p>
    <w:p w:rsidR="009D45CC" w:rsidRPr="00E37C18" w:rsidRDefault="009D45CC" w:rsidP="009D45CC">
      <w:pPr>
        <w:pStyle w:val="BTEMEASMCA"/>
      </w:pPr>
      <w:r w:rsidRPr="00E37C18">
        <w:t>Dilgėlinė, daugiaformė eritema, angioneurozinė edema, anafilaksijos reakcija.</w:t>
      </w:r>
    </w:p>
    <w:p w:rsidR="009D45CC" w:rsidRPr="00E37C18" w:rsidRDefault="009D45CC" w:rsidP="009D45CC">
      <w:pPr>
        <w:pStyle w:val="BTEMEASMCA"/>
      </w:pPr>
      <w:r w:rsidRPr="00E37C18">
        <w:t>Patamsėjęs šlapimas.</w:t>
      </w: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  <w:r w:rsidRPr="00BD605E">
        <w:rPr>
          <w:snapToGrid w:val="0"/>
        </w:rPr>
        <w:t>Labai reti šalutinio poveikio reiškiniai (gali pasireikšti rečiau kaip 1 iš 10 000 asmenų):</w:t>
      </w:r>
    </w:p>
    <w:p w:rsidR="009D45CC" w:rsidRPr="00E37C18" w:rsidRDefault="009D45CC" w:rsidP="009D45CC">
      <w:pPr>
        <w:pStyle w:val="BTEMEASMCA"/>
      </w:pPr>
      <w:r w:rsidRPr="00E37C18">
        <w:t>Kasos uždegimas (grįžtamas nutraukus vaisto vartojimą).</w:t>
      </w:r>
    </w:p>
    <w:p w:rsidR="009D45CC" w:rsidRPr="00E37C18" w:rsidRDefault="009D45CC" w:rsidP="009D45CC">
      <w:pPr>
        <w:pStyle w:val="BTEMEASMCA"/>
      </w:pPr>
      <w:r w:rsidRPr="00E37C18">
        <w:t>Psichikos sutrikimai, tame tarpe sumišimas ir haliucinacijos; praeinantys epilepsiforminiai traukuliai.</w:t>
      </w:r>
    </w:p>
    <w:p w:rsidR="009D45CC" w:rsidRPr="00E37C18" w:rsidRDefault="009D45CC" w:rsidP="009D45CC">
      <w:pPr>
        <w:pStyle w:val="BTEMEASMCA"/>
      </w:pPr>
      <w:r w:rsidRPr="00E37C18">
        <w:t>Pdos bėrimas, pūlinis bėrimas, niežulys.</w:t>
      </w:r>
    </w:p>
    <w:p w:rsidR="009D45CC" w:rsidRPr="00E37C18" w:rsidRDefault="009D45CC" w:rsidP="009D45CC">
      <w:pPr>
        <w:pStyle w:val="BTEMEASMCA"/>
      </w:pPr>
      <w:r w:rsidRPr="00E37C18">
        <w:rPr>
          <w:iCs/>
        </w:rPr>
        <w:t>K</w:t>
      </w:r>
      <w:r w:rsidRPr="00E37C18">
        <w:t>epenų veiklos rodmenų pokyčiai, cholestazinis hepatitas, gelta (kurie grįžtami nutraukus vaisto vartojimą).</w:t>
      </w:r>
    </w:p>
    <w:p w:rsidR="009D45CC" w:rsidRPr="00E37C18" w:rsidRDefault="009D45CC" w:rsidP="009D45CC">
      <w:pPr>
        <w:pStyle w:val="BTEMEASMCA"/>
      </w:pPr>
      <w:r w:rsidRPr="00E37C18">
        <w:t>Raumenų skausmas, sąnarių skausmas.</w:t>
      </w: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  <w:r w:rsidRPr="00BD605E">
        <w:rPr>
          <w:snapToGrid w:val="0"/>
        </w:rPr>
        <w:t>Šalutinio poveikio reiškiniai, kurių dažnis nežinomas (negali būti apskaičiuotas pagal turimus duomenis):</w:t>
      </w:r>
    </w:p>
    <w:p w:rsidR="009D45CC" w:rsidRPr="00E37C18" w:rsidRDefault="009D45CC" w:rsidP="009D45CC">
      <w:pPr>
        <w:pStyle w:val="BTEMEASMCA"/>
      </w:pPr>
      <w:r w:rsidRPr="00E37C18">
        <w:t>Apetito nebuvimas (anoreksija).</w:t>
      </w:r>
    </w:p>
    <w:p w:rsidR="009D45CC" w:rsidRPr="00E37C18" w:rsidRDefault="009D45CC" w:rsidP="009D45CC">
      <w:pPr>
        <w:pStyle w:val="BTEMEASMCA"/>
      </w:pPr>
      <w:r w:rsidRPr="00E37C18">
        <w:t>Praeinantis regos sutrikimas, pvz., dvejinimasis ir trumparegystė.</w:t>
      </w:r>
    </w:p>
    <w:p w:rsidR="009D45CC" w:rsidRPr="00E37C18" w:rsidRDefault="009D45CC" w:rsidP="009D45CC">
      <w:pPr>
        <w:pStyle w:val="BTEMEASMCA"/>
      </w:pPr>
      <w:r w:rsidRPr="00E37C18">
        <w:t>Ūminis kepenų nepakankamumas pacientams, sergantiems Kokaino (</w:t>
      </w:r>
      <w:r w:rsidRPr="00BD605E">
        <w:rPr>
          <w:i/>
          <w:iCs/>
        </w:rPr>
        <w:t>Cockayne</w:t>
      </w:r>
      <w:r w:rsidRPr="00E37C18">
        <w:t>) sindromu (žr. 2 skyrių „Įspėjimai ir atsargumo priemonės“).</w:t>
      </w:r>
    </w:p>
    <w:p w:rsidR="009D45CC" w:rsidRPr="00E37C18" w:rsidRDefault="009D45CC" w:rsidP="009D45CC">
      <w:pPr>
        <w:pStyle w:val="BTEMEASMCA"/>
      </w:pPr>
      <w:r w:rsidRPr="00E37C18">
        <w:t>Jeigu pasireiškė sunkus šalutinis poveikis arba pastebėjote šiame lapelyje nenurodytą šalutinį poveikį, pasakykite gydytojui, vaistininkui arba slaugytojui.</w:t>
      </w:r>
    </w:p>
    <w:p w:rsidR="009D45CC" w:rsidRPr="004B4520" w:rsidRDefault="009D45CC" w:rsidP="009D45CC">
      <w:pPr>
        <w:rPr>
          <w:b/>
          <w:sz w:val="22"/>
          <w:szCs w:val="22"/>
        </w:rPr>
      </w:pPr>
      <w:r w:rsidRPr="004B4520">
        <w:rPr>
          <w:b/>
          <w:sz w:val="22"/>
          <w:szCs w:val="22"/>
        </w:rPr>
        <w:t>Pranešimas apie šalutinį poveikį</w:t>
      </w:r>
    </w:p>
    <w:p w:rsidR="009D45CC" w:rsidRPr="00E37C18" w:rsidRDefault="009D45CC" w:rsidP="009D45CC">
      <w:pPr>
        <w:pStyle w:val="BTEMEASMCA"/>
      </w:pPr>
      <w:r w:rsidRPr="008822CE">
        <w:t xml:space="preserve">Jeigu pasireiškė šalutinis poveikis, įskaitant šiame lapelyje nenurodytą, pasakykite gydytojui arba vaistininkui. </w:t>
      </w:r>
      <w:r w:rsidRPr="008822CE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8822CE">
          <w:rPr>
            <w:snapToGrid w:val="0"/>
            <w:color w:val="0000FF"/>
            <w:u w:val="single"/>
          </w:rPr>
          <w:t>https://vapris.vvkt.lt/vvkt-web/public/nrv</w:t>
        </w:r>
      </w:hyperlink>
      <w:r w:rsidRPr="008822CE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8822CE">
          <w:rPr>
            <w:snapToGrid w:val="0"/>
            <w:color w:val="0000FF"/>
            <w:u w:val="single"/>
          </w:rPr>
          <w:t>https://www.vvkt.lt/index.php?4004286486</w:t>
        </w:r>
      </w:hyperlink>
      <w:r w:rsidRPr="008822CE">
        <w:rPr>
          <w:snapToGrid w:val="0"/>
        </w:rPr>
        <w:t xml:space="preserve">, ir atsiunčiant elektroniniu paštu (adresu </w:t>
      </w:r>
      <w:hyperlink r:id="rId7" w:history="1">
        <w:r w:rsidRPr="008822CE">
          <w:rPr>
            <w:snapToGrid w:val="0"/>
            <w:color w:val="0000FF"/>
            <w:u w:val="single"/>
          </w:rPr>
          <w:t>NepageidaujamaR@vvkt.lt</w:t>
        </w:r>
      </w:hyperlink>
      <w:r w:rsidRPr="008822CE">
        <w:rPr>
          <w:snapToGrid w:val="0"/>
        </w:rPr>
        <w:t xml:space="preserve">) arba nemokamu telefonu 8 800 73 568. </w:t>
      </w:r>
      <w:r w:rsidRPr="00E37C18">
        <w:rPr>
          <w:snapToGrid w:val="0"/>
        </w:rPr>
        <w:t>Pranešdami apie šalutinį poveikį galite mums padėti gauti daugiau informacijos apie šio vaisto saugumą.</w:t>
      </w:r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</w:p>
    <w:p w:rsidR="009D45CC" w:rsidRPr="004B4520" w:rsidRDefault="009D45CC" w:rsidP="009D45CC">
      <w:pPr>
        <w:pStyle w:val="PI-1EMEASMCA"/>
      </w:pPr>
      <w:bookmarkStart w:id="10" w:name="_Toc129243143"/>
      <w:bookmarkStart w:id="11" w:name="_Toc129243268"/>
      <w:r w:rsidRPr="004B4520">
        <w:t>5.</w:t>
      </w:r>
      <w:r w:rsidRPr="004B4520">
        <w:tab/>
      </w:r>
      <w:bookmarkEnd w:id="10"/>
      <w:bookmarkEnd w:id="11"/>
      <w:r w:rsidRPr="004B4520">
        <w:t xml:space="preserve">Kaip laikyti </w:t>
      </w:r>
      <w:proofErr w:type="spellStart"/>
      <w:r w:rsidRPr="004B4520">
        <w:t>Trichopol</w:t>
      </w:r>
      <w:proofErr w:type="spellEnd"/>
    </w:p>
    <w:p w:rsidR="009D45CC" w:rsidRPr="00E37C18" w:rsidRDefault="009D45CC" w:rsidP="009D45CC">
      <w:pPr>
        <w:pStyle w:val="BTEMEASMCA"/>
      </w:pPr>
    </w:p>
    <w:p w:rsidR="009D45CC" w:rsidRPr="00E37C18" w:rsidRDefault="009D45CC" w:rsidP="009D45CC">
      <w:pPr>
        <w:pStyle w:val="BTEMEASMCA"/>
      </w:pPr>
      <w:r w:rsidRPr="00E37C18">
        <w:t>Šį vaistą laikykite vaikams nepastebimoje ir nepasiekiamoje vietoje.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 xml:space="preserve">Laikyti ne aukštesnėje kaip 25 </w:t>
      </w:r>
      <w:r w:rsidRPr="004B4520">
        <w:rPr>
          <w:szCs w:val="22"/>
        </w:rPr>
        <w:sym w:font="Symbol" w:char="F0B0"/>
      </w:r>
      <w:r w:rsidRPr="004B4520">
        <w:rPr>
          <w:szCs w:val="22"/>
        </w:rPr>
        <w:t>C temperatūroje.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>Laikyti gamintojo pakuotėje, kad vaistas būtų apsaugotas nuo šviesos ir drėgmės.</w:t>
      </w: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 xml:space="preserve"> </w:t>
      </w:r>
    </w:p>
    <w:p w:rsidR="009D45CC" w:rsidRPr="00BD605E" w:rsidRDefault="009D45CC" w:rsidP="009D45CC">
      <w:pPr>
        <w:pStyle w:val="BTEMEASMCA"/>
        <w:rPr>
          <w:noProof w:val="0"/>
          <w:lang w:val="lt-LT"/>
        </w:rPr>
      </w:pPr>
      <w:r w:rsidRPr="00BD605E">
        <w:rPr>
          <w:lang w:val="lt-LT"/>
        </w:rPr>
        <w:t>Ant dėžutės ir lizdinės plokštelės po „EXP“ nurodytam tinkamumo laikui pasibaigus, šio vaisto vartoti negalima.</w:t>
      </w:r>
      <w:r w:rsidRPr="00BD605E">
        <w:rPr>
          <w:noProof w:val="0"/>
          <w:lang w:val="lt-LT"/>
        </w:rPr>
        <w:t xml:space="preserve"> Vaistas tinkamas vartoti iki paskutinės nurodyto mėnesio dienos.</w:t>
      </w:r>
    </w:p>
    <w:p w:rsidR="009D45CC" w:rsidRPr="004B4520" w:rsidRDefault="009D45CC" w:rsidP="009D45CC">
      <w:pPr>
        <w:numPr>
          <w:ilvl w:val="12"/>
          <w:numId w:val="0"/>
        </w:numPr>
        <w:tabs>
          <w:tab w:val="left" w:pos="1296"/>
        </w:tabs>
        <w:ind w:right="-2"/>
        <w:rPr>
          <w:noProof/>
          <w:sz w:val="22"/>
          <w:szCs w:val="22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1EMEASMCA"/>
      </w:pPr>
      <w:bookmarkStart w:id="12" w:name="_Toc129243144"/>
      <w:bookmarkStart w:id="13" w:name="_Toc129243269"/>
      <w:r w:rsidRPr="004B4520">
        <w:t>6.</w:t>
      </w:r>
      <w:r w:rsidRPr="004B4520">
        <w:tab/>
      </w:r>
      <w:bookmarkEnd w:id="12"/>
      <w:bookmarkEnd w:id="13"/>
      <w:r w:rsidRPr="004B4520">
        <w:t>Pakuotės turinys ir kita informacija</w:t>
      </w:r>
    </w:p>
    <w:p w:rsidR="009D45CC" w:rsidRPr="00E37C18" w:rsidRDefault="009D45CC" w:rsidP="009D45CC">
      <w:pPr>
        <w:pStyle w:val="BTEMEASMCA"/>
      </w:pPr>
    </w:p>
    <w:p w:rsidR="009D45CC" w:rsidRPr="004B4520" w:rsidRDefault="009D45CC" w:rsidP="009D45CC">
      <w:pPr>
        <w:pStyle w:val="PI-3EMEASMCA"/>
      </w:pPr>
      <w:proofErr w:type="spellStart"/>
      <w:r w:rsidRPr="004B4520">
        <w:t>Trichopol</w:t>
      </w:r>
      <w:proofErr w:type="spellEnd"/>
      <w:r w:rsidRPr="004B4520">
        <w:t xml:space="preserve"> sudėtis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>Veiklioji medžiaga yra metronidazolas. Kiekvienoje tabletėje yra 250 mg metronidazolo.</w:t>
      </w:r>
    </w:p>
    <w:p w:rsidR="009D45CC" w:rsidRPr="00BD605E" w:rsidRDefault="009D45CC" w:rsidP="009D45CC">
      <w:pPr>
        <w:pStyle w:val="BT-EMEASMCA"/>
        <w:rPr>
          <w:lang w:val="lt-LT"/>
        </w:rPr>
      </w:pPr>
      <w:r w:rsidRPr="00BD605E">
        <w:rPr>
          <w:lang w:val="lt-LT"/>
        </w:rPr>
        <w:t xml:space="preserve">Pagalbinės medžiagos yra bulvių krakmolas, želatina, </w:t>
      </w:r>
      <w:r w:rsidRPr="004B4520">
        <w:rPr>
          <w:rStyle w:val="shorttext"/>
          <w:lang w:val="lt-LT"/>
        </w:rPr>
        <w:t>skystoji gliukozė</w:t>
      </w:r>
      <w:r w:rsidRPr="00BD605E">
        <w:rPr>
          <w:lang w:val="lt-LT"/>
        </w:rPr>
        <w:t>, magnio stearatas.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pStyle w:val="PI-3EMEASMCA"/>
      </w:pPr>
      <w:proofErr w:type="spellStart"/>
      <w:r w:rsidRPr="004B4520">
        <w:t>Trichopol</w:t>
      </w:r>
      <w:proofErr w:type="spellEnd"/>
      <w:r w:rsidRPr="004B4520">
        <w:t xml:space="preserve"> išvaizda ir kiekis pakuotėje</w:t>
      </w:r>
    </w:p>
    <w:p w:rsidR="009D45CC" w:rsidRPr="004B4520" w:rsidRDefault="009D45CC" w:rsidP="009D45CC">
      <w:pPr>
        <w:rPr>
          <w:color w:val="000000"/>
          <w:sz w:val="22"/>
          <w:szCs w:val="22"/>
        </w:rPr>
      </w:pPr>
      <w:r w:rsidRPr="004B4520">
        <w:rPr>
          <w:color w:val="000000"/>
          <w:sz w:val="22"/>
          <w:szCs w:val="22"/>
        </w:rPr>
        <w:t>Tabletės yra baltos su gelsvu atspalviu, apvalios, plokščios su vagele vienoje pusėje.</w:t>
      </w:r>
      <w:r w:rsidRPr="004B4520">
        <w:rPr>
          <w:sz w:val="22"/>
          <w:szCs w:val="22"/>
        </w:rPr>
        <w:t xml:space="preserve"> Tabletę galima padalyti į lygias dozes.</w:t>
      </w:r>
      <w:r w:rsidRPr="004B4520">
        <w:rPr>
          <w:color w:val="000000"/>
          <w:sz w:val="22"/>
          <w:szCs w:val="22"/>
        </w:rPr>
        <w:t>  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Kartono dėžutėje yra 20 tablečių.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4B4520" w:rsidRDefault="009D45CC" w:rsidP="009D45CC">
      <w:pPr>
        <w:rPr>
          <w:b/>
          <w:sz w:val="22"/>
          <w:szCs w:val="22"/>
        </w:rPr>
      </w:pPr>
      <w:r w:rsidRPr="004B4520">
        <w:rPr>
          <w:b/>
          <w:sz w:val="22"/>
          <w:szCs w:val="22"/>
        </w:rPr>
        <w:t>Registruotojas ir gamintojas</w:t>
      </w:r>
    </w:p>
    <w:p w:rsidR="009D45CC" w:rsidRPr="00BD605E" w:rsidRDefault="009D45CC" w:rsidP="009D45CC">
      <w:pPr>
        <w:pStyle w:val="PI-3EMEASMCA"/>
        <w:rPr>
          <w:b w:val="0"/>
          <w:bCs w:val="0"/>
        </w:rPr>
      </w:pPr>
      <w:r w:rsidRPr="00BD605E">
        <w:rPr>
          <w:b w:val="0"/>
          <w:bCs w:val="0"/>
        </w:rPr>
        <w:t>Registruotojas</w:t>
      </w:r>
    </w:p>
    <w:p w:rsidR="009D45CC" w:rsidRPr="00D22724" w:rsidRDefault="009D45CC" w:rsidP="009D45CC">
      <w:pPr>
        <w:ind w:right="566"/>
        <w:jc w:val="both"/>
        <w:rPr>
          <w:sz w:val="22"/>
          <w:szCs w:val="22"/>
        </w:rPr>
      </w:pPr>
      <w:bookmarkStart w:id="14" w:name="_Hlk75851036"/>
      <w:proofErr w:type="spellStart"/>
      <w:r w:rsidRPr="008822CE">
        <w:rPr>
          <w:sz w:val="22"/>
          <w:szCs w:val="22"/>
        </w:rPr>
        <w:t>Zakłady</w:t>
      </w:r>
      <w:proofErr w:type="spellEnd"/>
      <w:r w:rsidRPr="008822CE">
        <w:rPr>
          <w:sz w:val="22"/>
          <w:szCs w:val="22"/>
        </w:rPr>
        <w:t xml:space="preserve"> </w:t>
      </w:r>
      <w:proofErr w:type="spellStart"/>
      <w:r w:rsidRPr="008822CE">
        <w:rPr>
          <w:sz w:val="22"/>
          <w:szCs w:val="22"/>
        </w:rPr>
        <w:t>Farmaceutyczne</w:t>
      </w:r>
      <w:proofErr w:type="spellEnd"/>
      <w:r w:rsidRPr="008822CE">
        <w:rPr>
          <w:sz w:val="22"/>
          <w:szCs w:val="22"/>
        </w:rPr>
        <w:t xml:space="preserve"> </w:t>
      </w:r>
      <w:r w:rsidRPr="00D22724">
        <w:rPr>
          <w:sz w:val="22"/>
          <w:szCs w:val="22"/>
        </w:rPr>
        <w:t xml:space="preserve">POLPHARMA </w:t>
      </w:r>
      <w:r w:rsidRPr="004B4520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Pr="004B4520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4B4520">
        <w:rPr>
          <w:sz w:val="22"/>
          <w:szCs w:val="22"/>
        </w:rPr>
        <w:t xml:space="preserve"> </w:t>
      </w:r>
    </w:p>
    <w:p w:rsidR="009D45CC" w:rsidRPr="00D22724" w:rsidRDefault="009D45CC" w:rsidP="009D45CC">
      <w:pPr>
        <w:ind w:right="56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>.</w:t>
      </w:r>
      <w:r w:rsidRPr="00D22724">
        <w:rPr>
          <w:sz w:val="22"/>
          <w:szCs w:val="22"/>
        </w:rPr>
        <w:t xml:space="preserve"> </w:t>
      </w:r>
      <w:proofErr w:type="spellStart"/>
      <w:r w:rsidRPr="00D22724">
        <w:rPr>
          <w:sz w:val="22"/>
          <w:szCs w:val="22"/>
        </w:rPr>
        <w:t>Pelplińska</w:t>
      </w:r>
      <w:proofErr w:type="spellEnd"/>
      <w:r w:rsidRPr="00D22724">
        <w:rPr>
          <w:sz w:val="22"/>
          <w:szCs w:val="22"/>
        </w:rPr>
        <w:t xml:space="preserve"> </w:t>
      </w:r>
      <w:r w:rsidRPr="004B4520">
        <w:rPr>
          <w:sz w:val="22"/>
          <w:szCs w:val="22"/>
        </w:rPr>
        <w:t>19</w:t>
      </w:r>
      <w:bookmarkEnd w:id="14"/>
      <w:r w:rsidRPr="00D22724">
        <w:rPr>
          <w:sz w:val="22"/>
          <w:szCs w:val="22"/>
        </w:rPr>
        <w:t xml:space="preserve">, 83-200 </w:t>
      </w:r>
      <w:proofErr w:type="spellStart"/>
      <w:r w:rsidRPr="00D22724">
        <w:rPr>
          <w:sz w:val="22"/>
          <w:szCs w:val="22"/>
        </w:rPr>
        <w:t>Starogard</w:t>
      </w:r>
      <w:proofErr w:type="spellEnd"/>
      <w:r w:rsidRPr="00D22724">
        <w:rPr>
          <w:sz w:val="22"/>
          <w:szCs w:val="22"/>
        </w:rPr>
        <w:t xml:space="preserve"> </w:t>
      </w:r>
      <w:proofErr w:type="spellStart"/>
      <w:r w:rsidRPr="00D22724">
        <w:rPr>
          <w:sz w:val="22"/>
          <w:szCs w:val="22"/>
        </w:rPr>
        <w:t>Gdański</w:t>
      </w:r>
      <w:proofErr w:type="spellEnd"/>
    </w:p>
    <w:p w:rsidR="009D45CC" w:rsidRPr="00D22724" w:rsidRDefault="009D45CC" w:rsidP="009D45CC">
      <w:pPr>
        <w:ind w:right="566"/>
        <w:jc w:val="both"/>
        <w:rPr>
          <w:sz w:val="22"/>
          <w:szCs w:val="22"/>
        </w:rPr>
      </w:pPr>
      <w:r w:rsidRPr="00D22724">
        <w:rPr>
          <w:sz w:val="22"/>
          <w:szCs w:val="22"/>
        </w:rPr>
        <w:t>Lenkija</w:t>
      </w:r>
    </w:p>
    <w:p w:rsidR="009D45CC" w:rsidRPr="00BD605E" w:rsidRDefault="009D45CC" w:rsidP="009D45CC">
      <w:pPr>
        <w:pStyle w:val="BTEMEASMCA"/>
        <w:rPr>
          <w:lang w:val="pl-PL"/>
        </w:rPr>
      </w:pPr>
    </w:p>
    <w:p w:rsidR="009D45CC" w:rsidRPr="00BD605E" w:rsidRDefault="009D45CC" w:rsidP="009D45CC">
      <w:pPr>
        <w:pStyle w:val="PI-3EMEASMCA"/>
        <w:rPr>
          <w:b w:val="0"/>
          <w:bCs w:val="0"/>
        </w:rPr>
      </w:pPr>
      <w:r w:rsidRPr="00BD605E">
        <w:rPr>
          <w:b w:val="0"/>
          <w:bCs w:val="0"/>
        </w:rPr>
        <w:t>Gamintojas</w:t>
      </w:r>
    </w:p>
    <w:p w:rsidR="009D45CC" w:rsidRPr="00D22724" w:rsidRDefault="009D45CC" w:rsidP="009D45CC">
      <w:pPr>
        <w:spacing w:line="252" w:lineRule="auto"/>
        <w:rPr>
          <w:sz w:val="22"/>
          <w:szCs w:val="22"/>
        </w:rPr>
      </w:pPr>
      <w:proofErr w:type="spellStart"/>
      <w:r w:rsidRPr="00D22724">
        <w:rPr>
          <w:sz w:val="22"/>
          <w:szCs w:val="22"/>
        </w:rPr>
        <w:t>Zakłady</w:t>
      </w:r>
      <w:proofErr w:type="spellEnd"/>
      <w:r w:rsidRPr="00D22724">
        <w:rPr>
          <w:sz w:val="22"/>
          <w:szCs w:val="22"/>
        </w:rPr>
        <w:t xml:space="preserve"> </w:t>
      </w:r>
      <w:proofErr w:type="spellStart"/>
      <w:r w:rsidRPr="00D22724">
        <w:rPr>
          <w:sz w:val="22"/>
          <w:szCs w:val="22"/>
        </w:rPr>
        <w:t>Farmaceutyczne</w:t>
      </w:r>
      <w:proofErr w:type="spellEnd"/>
      <w:r w:rsidRPr="00D22724">
        <w:rPr>
          <w:sz w:val="22"/>
          <w:szCs w:val="22"/>
        </w:rPr>
        <w:t xml:space="preserve"> POLPHARMA S.A.</w:t>
      </w:r>
    </w:p>
    <w:p w:rsidR="009D45CC" w:rsidRPr="004B4520" w:rsidRDefault="009D45CC" w:rsidP="009D45CC">
      <w:pPr>
        <w:ind w:right="566"/>
        <w:jc w:val="both"/>
        <w:rPr>
          <w:sz w:val="22"/>
          <w:szCs w:val="22"/>
        </w:rPr>
      </w:pPr>
      <w:proofErr w:type="spellStart"/>
      <w:r w:rsidRPr="00D22724">
        <w:rPr>
          <w:sz w:val="22"/>
          <w:szCs w:val="22"/>
        </w:rPr>
        <w:t>ul</w:t>
      </w:r>
      <w:proofErr w:type="spellEnd"/>
      <w:r w:rsidRPr="00D22724">
        <w:rPr>
          <w:sz w:val="22"/>
          <w:szCs w:val="22"/>
        </w:rPr>
        <w:t xml:space="preserve">. </w:t>
      </w:r>
      <w:proofErr w:type="spellStart"/>
      <w:r w:rsidRPr="00D22724">
        <w:rPr>
          <w:sz w:val="22"/>
          <w:szCs w:val="22"/>
        </w:rPr>
        <w:t>Pelplińska</w:t>
      </w:r>
      <w:proofErr w:type="spellEnd"/>
      <w:r w:rsidRPr="00D22724">
        <w:rPr>
          <w:sz w:val="22"/>
          <w:szCs w:val="22"/>
        </w:rPr>
        <w:t xml:space="preserve"> 19</w:t>
      </w:r>
      <w:r w:rsidRPr="004B4520">
        <w:rPr>
          <w:sz w:val="22"/>
          <w:szCs w:val="22"/>
        </w:rPr>
        <w:t xml:space="preserve">, 83-200 </w:t>
      </w:r>
      <w:proofErr w:type="spellStart"/>
      <w:r w:rsidRPr="004B4520">
        <w:rPr>
          <w:sz w:val="22"/>
          <w:szCs w:val="22"/>
        </w:rPr>
        <w:t>Starogard</w:t>
      </w:r>
      <w:proofErr w:type="spellEnd"/>
      <w:r w:rsidRPr="004B4520">
        <w:rPr>
          <w:sz w:val="22"/>
          <w:szCs w:val="22"/>
        </w:rPr>
        <w:t xml:space="preserve"> </w:t>
      </w:r>
      <w:proofErr w:type="spellStart"/>
      <w:r w:rsidRPr="004B4520">
        <w:rPr>
          <w:sz w:val="22"/>
          <w:szCs w:val="22"/>
        </w:rPr>
        <w:t>Gdański</w:t>
      </w:r>
      <w:proofErr w:type="spellEnd"/>
    </w:p>
    <w:p w:rsidR="009D45CC" w:rsidRPr="004B4520" w:rsidRDefault="009D45CC" w:rsidP="009D45CC">
      <w:pPr>
        <w:ind w:right="566"/>
        <w:jc w:val="both"/>
        <w:rPr>
          <w:sz w:val="22"/>
          <w:szCs w:val="22"/>
        </w:rPr>
      </w:pPr>
      <w:r w:rsidRPr="004B4520">
        <w:rPr>
          <w:sz w:val="22"/>
          <w:szCs w:val="22"/>
        </w:rPr>
        <w:t>Lenkija</w:t>
      </w:r>
    </w:p>
    <w:p w:rsidR="009D45CC" w:rsidRPr="00BD605E" w:rsidRDefault="009D45CC" w:rsidP="009D45CC">
      <w:pPr>
        <w:pStyle w:val="BTEMEASMCA"/>
        <w:rPr>
          <w:lang w:val="pl-PL"/>
        </w:rPr>
      </w:pPr>
    </w:p>
    <w:p w:rsidR="009D45CC" w:rsidRPr="00BD605E" w:rsidRDefault="009D45CC" w:rsidP="009D45CC">
      <w:pPr>
        <w:pStyle w:val="BTEMEASMCA"/>
        <w:rPr>
          <w:lang w:val="pl-PL"/>
        </w:rPr>
      </w:pPr>
      <w:r w:rsidRPr="00BD605E">
        <w:rPr>
          <w:lang w:val="pl-PL"/>
        </w:rPr>
        <w:t>arba</w:t>
      </w:r>
    </w:p>
    <w:p w:rsidR="009D45CC" w:rsidRPr="00BD605E" w:rsidRDefault="009D45CC" w:rsidP="009D45CC">
      <w:pPr>
        <w:pStyle w:val="BTEMEASMCA"/>
        <w:rPr>
          <w:lang w:val="pl-PL"/>
        </w:rPr>
      </w:pPr>
    </w:p>
    <w:p w:rsidR="009D45CC" w:rsidRPr="005F53BD" w:rsidRDefault="009D45CC" w:rsidP="009D45CC">
      <w:pPr>
        <w:numPr>
          <w:ilvl w:val="12"/>
          <w:numId w:val="0"/>
        </w:numPr>
        <w:rPr>
          <w:bCs/>
          <w:sz w:val="22"/>
          <w:szCs w:val="22"/>
          <w:lang w:val="pl-PL" w:eastAsia="es-ES"/>
        </w:rPr>
      </w:pPr>
      <w:r w:rsidRPr="005F53BD">
        <w:rPr>
          <w:bCs/>
          <w:sz w:val="22"/>
          <w:szCs w:val="22"/>
          <w:lang w:val="pl-PL"/>
        </w:rPr>
        <w:t>Zakłady Farmaceutyczne POLPHARMA S.A.</w:t>
      </w:r>
    </w:p>
    <w:p w:rsidR="009D45CC" w:rsidRPr="00AC7F75" w:rsidRDefault="009D45CC" w:rsidP="009D45CC">
      <w:pPr>
        <w:numPr>
          <w:ilvl w:val="12"/>
          <w:numId w:val="0"/>
        </w:numPr>
        <w:rPr>
          <w:color w:val="000000"/>
          <w:sz w:val="22"/>
          <w:lang w:val="pl-PL"/>
        </w:rPr>
      </w:pPr>
      <w:r w:rsidRPr="005F53BD">
        <w:rPr>
          <w:bCs/>
          <w:sz w:val="22"/>
          <w:szCs w:val="22"/>
          <w:lang w:val="pl-PL"/>
        </w:rPr>
        <w:t xml:space="preserve">Oddział </w:t>
      </w:r>
      <w:proofErr w:type="spellStart"/>
      <w:r w:rsidRPr="00AC7F75">
        <w:rPr>
          <w:sz w:val="22"/>
          <w:lang w:val="pl-PL"/>
        </w:rPr>
        <w:t>Medana</w:t>
      </w:r>
      <w:proofErr w:type="spellEnd"/>
      <w:r w:rsidRPr="00AC7F75">
        <w:rPr>
          <w:sz w:val="22"/>
          <w:lang w:val="pl-PL"/>
        </w:rPr>
        <w:t xml:space="preserve"> </w:t>
      </w:r>
      <w:r w:rsidRPr="005F53BD">
        <w:rPr>
          <w:bCs/>
          <w:sz w:val="22"/>
          <w:szCs w:val="22"/>
          <w:lang w:val="pl-PL"/>
        </w:rPr>
        <w:t>w Sieradzu</w:t>
      </w:r>
      <w:r w:rsidRPr="005F53BD">
        <w:rPr>
          <w:color w:val="000000"/>
          <w:sz w:val="22"/>
          <w:szCs w:val="22"/>
          <w:lang w:val="pl-PL"/>
        </w:rPr>
        <w:t xml:space="preserve"> </w:t>
      </w:r>
    </w:p>
    <w:p w:rsidR="009D45CC" w:rsidRPr="004B4520" w:rsidRDefault="009D45CC" w:rsidP="009D45CC">
      <w:pPr>
        <w:numPr>
          <w:ilvl w:val="12"/>
          <w:numId w:val="0"/>
        </w:numPr>
        <w:rPr>
          <w:color w:val="000000"/>
          <w:sz w:val="22"/>
          <w:szCs w:val="22"/>
        </w:rPr>
      </w:pPr>
      <w:proofErr w:type="gramStart"/>
      <w:r w:rsidRPr="005F53BD">
        <w:rPr>
          <w:color w:val="000000"/>
          <w:sz w:val="22"/>
          <w:szCs w:val="22"/>
          <w:lang w:val="pl-PL"/>
        </w:rPr>
        <w:t>ul</w:t>
      </w:r>
      <w:proofErr w:type="gramEnd"/>
      <w:r w:rsidRPr="005F53BD">
        <w:rPr>
          <w:color w:val="000000"/>
          <w:sz w:val="22"/>
          <w:szCs w:val="22"/>
          <w:lang w:val="pl-PL"/>
        </w:rPr>
        <w:t>.</w:t>
      </w:r>
      <w:r w:rsidRPr="00AC7F75">
        <w:rPr>
          <w:color w:val="000000"/>
          <w:sz w:val="22"/>
          <w:lang w:val="pl-PL"/>
        </w:rPr>
        <w:t xml:space="preserve"> Władysława Łokietka </w:t>
      </w:r>
      <w:r w:rsidRPr="005F53BD">
        <w:rPr>
          <w:color w:val="000000"/>
          <w:sz w:val="22"/>
          <w:szCs w:val="22"/>
          <w:lang w:val="pl-PL"/>
        </w:rPr>
        <w:t>10</w:t>
      </w:r>
      <w:r w:rsidRPr="004B4520">
        <w:rPr>
          <w:color w:val="000000"/>
          <w:sz w:val="22"/>
          <w:szCs w:val="22"/>
        </w:rPr>
        <w:t xml:space="preserve">, 98-200 </w:t>
      </w:r>
      <w:proofErr w:type="spellStart"/>
      <w:r w:rsidRPr="004B4520">
        <w:rPr>
          <w:color w:val="000000"/>
          <w:sz w:val="22"/>
          <w:szCs w:val="22"/>
        </w:rPr>
        <w:t>Sieradz</w:t>
      </w:r>
      <w:proofErr w:type="spellEnd"/>
    </w:p>
    <w:p w:rsidR="009D45CC" w:rsidRPr="00AC7F75" w:rsidRDefault="009D45CC" w:rsidP="009D45CC">
      <w:pPr>
        <w:numPr>
          <w:ilvl w:val="12"/>
          <w:numId w:val="0"/>
        </w:numPr>
      </w:pPr>
      <w:r w:rsidRPr="004B4520">
        <w:rPr>
          <w:color w:val="000000"/>
          <w:sz w:val="22"/>
          <w:szCs w:val="22"/>
        </w:rPr>
        <w:t>Lenkija</w:t>
      </w:r>
    </w:p>
    <w:p w:rsidR="009D45CC" w:rsidRPr="00BD605E" w:rsidRDefault="009D45CC" w:rsidP="009D45CC">
      <w:pPr>
        <w:pStyle w:val="BTEMEASMCA"/>
        <w:rPr>
          <w:lang w:val="lt-LT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Jeigu apie šį vaistą norite sužinoti daugiau, kreipkitės į vietinį registruotojo atstovą.</w:t>
      </w:r>
    </w:p>
    <w:p w:rsidR="009D45CC" w:rsidRPr="004B4520" w:rsidRDefault="009D45CC" w:rsidP="009D45CC">
      <w:pPr>
        <w:rPr>
          <w:sz w:val="22"/>
          <w:szCs w:val="22"/>
        </w:rPr>
      </w:pPr>
    </w:p>
    <w:p w:rsidR="009D45CC" w:rsidRPr="002B2D65" w:rsidRDefault="009D45CC" w:rsidP="009D45CC">
      <w:pPr>
        <w:widowControl w:val="0"/>
        <w:rPr>
          <w:szCs w:val="22"/>
        </w:rPr>
      </w:pPr>
      <w:r w:rsidRPr="003F3C81">
        <w:rPr>
          <w:noProof/>
          <w:color w:val="000000"/>
          <w:sz w:val="22"/>
          <w:szCs w:val="22"/>
        </w:rPr>
        <w:t>POLPHARMA S.A. atstovybė Lietuvoje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 w:rsidRPr="004B4520">
        <w:rPr>
          <w:szCs w:val="22"/>
        </w:rPr>
        <w:t>E. Ožeškienės g. 18</w:t>
      </w:r>
      <w:r>
        <w:rPr>
          <w:szCs w:val="22"/>
        </w:rPr>
        <w:t>A</w:t>
      </w:r>
    </w:p>
    <w:p w:rsidR="009D45CC" w:rsidRPr="004B4520" w:rsidRDefault="009D45CC" w:rsidP="009D45CC">
      <w:pPr>
        <w:pStyle w:val="Pagrindinistekstas"/>
        <w:spacing w:after="0"/>
        <w:rPr>
          <w:szCs w:val="22"/>
        </w:rPr>
      </w:pPr>
      <w:r>
        <w:rPr>
          <w:szCs w:val="22"/>
        </w:rPr>
        <w:t>LT-</w:t>
      </w:r>
      <w:r w:rsidRPr="004B4520">
        <w:rPr>
          <w:szCs w:val="22"/>
        </w:rPr>
        <w:t>44254 Kaunas, Lietuva</w:t>
      </w:r>
    </w:p>
    <w:p w:rsidR="009D45CC" w:rsidRPr="00BD605E" w:rsidRDefault="009D45CC" w:rsidP="009D45CC">
      <w:pPr>
        <w:pStyle w:val="BTEMEASMCA"/>
        <w:rPr>
          <w:noProof w:val="0"/>
          <w:lang w:val="lt-LT"/>
        </w:rPr>
      </w:pPr>
      <w:r w:rsidRPr="00BD605E">
        <w:rPr>
          <w:lang w:val="lt-LT"/>
        </w:rPr>
        <w:t>Tel. + 370 37 325 131</w:t>
      </w:r>
    </w:p>
    <w:p w:rsidR="009D45CC" w:rsidRPr="00BD605E" w:rsidRDefault="009D45CC" w:rsidP="009D45CC">
      <w:pPr>
        <w:pStyle w:val="BTbEMEASMCA"/>
        <w:rPr>
          <w:lang w:val="lt-LT"/>
        </w:rPr>
      </w:pPr>
    </w:p>
    <w:p w:rsidR="009D45CC" w:rsidRPr="00BD605E" w:rsidRDefault="009D45CC" w:rsidP="009D45CC">
      <w:pPr>
        <w:pStyle w:val="BTbEMEASMCA"/>
        <w:rPr>
          <w:lang w:val="lt-LT"/>
        </w:rPr>
      </w:pPr>
      <w:r w:rsidRPr="00BD605E">
        <w:rPr>
          <w:lang w:val="lt-LT"/>
        </w:rPr>
        <w:lastRenderedPageBreak/>
        <w:t>Šis pakuotės lapelis paskutinį kartą peržiūrėtas</w:t>
      </w:r>
      <w:r>
        <w:rPr>
          <w:lang w:val="lt-LT"/>
        </w:rPr>
        <w:t xml:space="preserve"> 2023-03-16</w:t>
      </w:r>
      <w:r w:rsidRPr="00BD605E">
        <w:rPr>
          <w:lang w:val="lt-LT"/>
        </w:rPr>
        <w:t>.</w:t>
      </w:r>
    </w:p>
    <w:p w:rsidR="009D45CC" w:rsidRPr="004B4520" w:rsidRDefault="009D45CC" w:rsidP="009D45CC">
      <w:pPr>
        <w:rPr>
          <w:sz w:val="22"/>
          <w:szCs w:val="22"/>
        </w:rPr>
      </w:pPr>
    </w:p>
    <w:p w:rsidR="009D45CC" w:rsidRPr="00BD605E" w:rsidRDefault="009D45CC" w:rsidP="009D45CC">
      <w:pPr>
        <w:pStyle w:val="BTEMEASMCA"/>
        <w:rPr>
          <w:lang w:val="lt-LT"/>
        </w:rPr>
      </w:pPr>
      <w:r w:rsidRPr="00BD605E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BD605E">
        <w:rPr>
          <w:i/>
          <w:lang w:val="lt-LT"/>
        </w:rPr>
        <w:t xml:space="preserve"> </w:t>
      </w:r>
      <w:hyperlink r:id="rId8" w:history="1">
        <w:r w:rsidRPr="004B4520">
          <w:rPr>
            <w:rStyle w:val="Hipersaitas"/>
            <w:lang w:val="lt-LT"/>
          </w:rPr>
          <w:t>www.vvkt.lt</w:t>
        </w:r>
      </w:hyperlink>
      <w:r w:rsidRPr="00BD605E">
        <w:rPr>
          <w:lang w:val="lt-LT"/>
        </w:rPr>
        <w:t>.</w:t>
      </w:r>
    </w:p>
    <w:p w:rsidR="009D45CC" w:rsidRPr="004B4520" w:rsidRDefault="009D45CC" w:rsidP="009D45CC">
      <w:pPr>
        <w:rPr>
          <w:sz w:val="22"/>
          <w:szCs w:val="22"/>
          <w:highlight w:val="yellow"/>
        </w:rPr>
      </w:pPr>
    </w:p>
    <w:p w:rsidR="009D45CC" w:rsidRPr="004B4520" w:rsidRDefault="009D45CC" w:rsidP="009D45CC">
      <w:pPr>
        <w:rPr>
          <w:sz w:val="22"/>
          <w:szCs w:val="22"/>
        </w:rPr>
      </w:pPr>
    </w:p>
    <w:p w:rsidR="009D45CC" w:rsidRPr="004B4520" w:rsidRDefault="009D45CC" w:rsidP="009D45CC">
      <w:pPr>
        <w:rPr>
          <w:sz w:val="22"/>
          <w:szCs w:val="22"/>
        </w:rPr>
      </w:pPr>
    </w:p>
    <w:p w:rsidR="009041DB" w:rsidRDefault="009041DB">
      <w:bookmarkStart w:id="15" w:name="_GoBack"/>
      <w:bookmarkEnd w:id="15"/>
    </w:p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00EF"/>
    <w:multiLevelType w:val="hybridMultilevel"/>
    <w:tmpl w:val="F16689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E92EEBC"/>
    <w:lvl w:ilvl="0" w:tplc="3AC293C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6937"/>
    <w:multiLevelType w:val="hybridMultilevel"/>
    <w:tmpl w:val="413E4A46"/>
    <w:lvl w:ilvl="0" w:tplc="C3508C8E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2B13"/>
    <w:multiLevelType w:val="hybridMultilevel"/>
    <w:tmpl w:val="7CB480A6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CC"/>
    <w:rsid w:val="00004415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9D45CC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A7F2-81FF-48A9-BFCA-AB72D2C4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45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4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D45C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9D45C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9D45CC"/>
    <w:pPr>
      <w:tabs>
        <w:tab w:val="left" w:pos="567"/>
      </w:tabs>
    </w:pPr>
    <w:rPr>
      <w:noProof/>
      <w:sz w:val="22"/>
      <w:szCs w:val="22"/>
      <w:lang w:val="en-GB"/>
    </w:rPr>
  </w:style>
  <w:style w:type="character" w:customStyle="1" w:styleId="BTEMEASMCAChar">
    <w:name w:val="BT EMEA_SMCA Char"/>
    <w:link w:val="BTEMEASMCA"/>
    <w:rsid w:val="009D45CC"/>
    <w:rPr>
      <w:rFonts w:ascii="Times New Roman" w:hAnsi="Times New Roman" w:cs="Times New Roman"/>
      <w:noProof/>
      <w:lang w:val="en-GB"/>
    </w:rPr>
  </w:style>
  <w:style w:type="paragraph" w:customStyle="1" w:styleId="TTEMEASMCA">
    <w:name w:val="TT EMEA_SMCA"/>
    <w:basedOn w:val="Antrat1"/>
    <w:link w:val="TTEMEASMCAChar"/>
    <w:autoRedefine/>
    <w:rsid w:val="009D45C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9D45CC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9D45CC"/>
    <w:pPr>
      <w:numPr>
        <w:numId w:val="1"/>
      </w:numPr>
      <w:tabs>
        <w:tab w:val="clear" w:pos="720"/>
        <w:tab w:val="num" w:pos="360"/>
      </w:tabs>
      <w:ind w:left="350" w:hanging="350"/>
    </w:pPr>
  </w:style>
  <w:style w:type="paragraph" w:customStyle="1" w:styleId="PI-3EMEASMCA">
    <w:name w:val="PI-3 EMEA_SMCA"/>
    <w:basedOn w:val="prastasis"/>
    <w:autoRedefine/>
    <w:rsid w:val="009D45C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D45CC"/>
    <w:rPr>
      <w:b/>
    </w:rPr>
  </w:style>
  <w:style w:type="paragraph" w:customStyle="1" w:styleId="BTbeEMEASMCA">
    <w:name w:val="BT(be) EMEA_SMCA"/>
    <w:basedOn w:val="BTEMEASMCA"/>
    <w:autoRedefine/>
    <w:rsid w:val="009D45CC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9D45CC"/>
    <w:pPr>
      <w:jc w:val="center"/>
    </w:pPr>
  </w:style>
  <w:style w:type="paragraph" w:styleId="Pagrindinistekstas">
    <w:name w:val="Body Text"/>
    <w:basedOn w:val="prastasis"/>
    <w:link w:val="PagrindinistekstasDiagrama"/>
    <w:rsid w:val="009D45C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D45CC"/>
    <w:rPr>
      <w:rFonts w:ascii="Times New Roman" w:hAnsi="Times New Roman" w:cs="Times New Roman"/>
      <w:szCs w:val="20"/>
      <w:lang w:eastAsia="lt-LT"/>
    </w:rPr>
  </w:style>
  <w:style w:type="character" w:customStyle="1" w:styleId="shorttext">
    <w:name w:val="short_text"/>
    <w:rsid w:val="009D45CC"/>
  </w:style>
  <w:style w:type="paragraph" w:customStyle="1" w:styleId="Default">
    <w:name w:val="Default"/>
    <w:rsid w:val="009D45C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pl-PL" w:eastAsia="pl-P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45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4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9747</Words>
  <Characters>5556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2023-03-17T09:13:00Z</dcterms:created>
  <dcterms:modified xsi:type="dcterms:W3CDTF">2023-03-17T09:13:00Z</dcterms:modified>
</cp:coreProperties>
</file>