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98" w:rsidRPr="008A07C4" w:rsidRDefault="00B86598" w:rsidP="00B86598">
      <w:pPr>
        <w:pStyle w:val="Pagrindinistekstas"/>
        <w:spacing w:after="0"/>
        <w:jc w:val="center"/>
        <w:rPr>
          <w:b/>
        </w:rPr>
      </w:pPr>
      <w:r>
        <w:rPr>
          <w:b/>
        </w:rPr>
        <w:t>Pakuotės lapelis: informacija vartotojui</w:t>
      </w:r>
      <w:r w:rsidRPr="008A07C4" w:rsidDel="0073548B">
        <w:rPr>
          <w:b/>
        </w:rPr>
        <w:t xml:space="preserve"> </w:t>
      </w:r>
    </w:p>
    <w:p w:rsidR="00B86598" w:rsidRPr="008A07C4" w:rsidRDefault="00B86598" w:rsidP="00B86598">
      <w:pPr>
        <w:pStyle w:val="Pagrindinistekstas"/>
        <w:spacing w:after="0"/>
        <w:jc w:val="center"/>
        <w:rPr>
          <w:b/>
          <w:szCs w:val="22"/>
        </w:rPr>
      </w:pPr>
    </w:p>
    <w:p w:rsidR="00B86598" w:rsidRPr="008A07C4" w:rsidRDefault="00B86598" w:rsidP="00B86598">
      <w:pPr>
        <w:pStyle w:val="Pagrindinistekstas"/>
        <w:spacing w:after="0"/>
        <w:jc w:val="center"/>
        <w:rPr>
          <w:b/>
          <w:szCs w:val="22"/>
        </w:rPr>
      </w:pPr>
      <w:r w:rsidRPr="008A07C4">
        <w:rPr>
          <w:b/>
          <w:szCs w:val="22"/>
        </w:rPr>
        <w:t>DOXORUBICIN-TEVA 10 mg milteliai injekciniam tirpalui</w:t>
      </w:r>
    </w:p>
    <w:p w:rsidR="00B86598" w:rsidRPr="008A07C4" w:rsidRDefault="00B86598" w:rsidP="00B86598">
      <w:pPr>
        <w:pStyle w:val="Pagrindinistekstas"/>
        <w:spacing w:after="0"/>
        <w:jc w:val="center"/>
        <w:rPr>
          <w:b/>
          <w:szCs w:val="22"/>
        </w:rPr>
      </w:pPr>
      <w:r w:rsidRPr="008A07C4">
        <w:rPr>
          <w:b/>
          <w:szCs w:val="22"/>
        </w:rPr>
        <w:t>DOXORUBICIN-TEVA 50 mg milteliai injekciniam tirpalui</w:t>
      </w:r>
    </w:p>
    <w:p w:rsidR="00B86598" w:rsidRPr="008A07C4" w:rsidRDefault="00B86598" w:rsidP="00B86598">
      <w:pPr>
        <w:pStyle w:val="Pagrindinistekstas"/>
        <w:spacing w:after="0"/>
        <w:jc w:val="center"/>
      </w:pPr>
      <w:proofErr w:type="spellStart"/>
      <w:r w:rsidRPr="008A07C4">
        <w:t>Doksorubicino</w:t>
      </w:r>
      <w:proofErr w:type="spellEnd"/>
      <w:r w:rsidRPr="008A07C4">
        <w:t xml:space="preserve"> hidrochloridas</w:t>
      </w:r>
    </w:p>
    <w:p w:rsidR="00B86598" w:rsidRPr="008A07C4" w:rsidRDefault="00B86598" w:rsidP="00B86598">
      <w:pPr>
        <w:pStyle w:val="Pagrindinistekstas"/>
        <w:spacing w:after="0"/>
        <w:jc w:val="center"/>
        <w:rPr>
          <w:b/>
        </w:rPr>
      </w:pPr>
    </w:p>
    <w:p w:rsidR="00B86598" w:rsidRPr="008A07C4" w:rsidRDefault="00B86598" w:rsidP="00B86598">
      <w:pPr>
        <w:pStyle w:val="BTbEMEASMCA"/>
        <w:rPr>
          <w:noProof w:val="0"/>
        </w:rPr>
      </w:pPr>
      <w:r w:rsidRPr="008A07C4">
        <w:rPr>
          <w:noProof w:val="0"/>
        </w:rPr>
        <w:t>Atidžiai perskaitykite visą šį lapelį, prieš pradėdami vartoti vaistą</w:t>
      </w:r>
      <w:r>
        <w:rPr>
          <w:noProof w:val="0"/>
        </w:rPr>
        <w:t>, nes jame pateikiama Jums svarbi informacija.</w:t>
      </w:r>
    </w:p>
    <w:p w:rsidR="00B86598" w:rsidRPr="008A07C4" w:rsidRDefault="00B86598" w:rsidP="00B8659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8A07C4">
        <w:rPr>
          <w:noProof w:val="0"/>
        </w:rPr>
        <w:t>Neišmeskite šio lapelio, nes vėl gali prireikti jį perskaityti.</w:t>
      </w:r>
    </w:p>
    <w:p w:rsidR="00B86598" w:rsidRPr="008A07C4" w:rsidRDefault="00B86598" w:rsidP="00B8659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8A07C4">
        <w:rPr>
          <w:noProof w:val="0"/>
        </w:rPr>
        <w:t>Jeigu kiltų daugiau klausimų, kreipkitės į gydytoją arba vaistininką.</w:t>
      </w:r>
    </w:p>
    <w:p w:rsidR="00B86598" w:rsidRPr="008A07C4" w:rsidRDefault="00B86598" w:rsidP="00B8659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8A07C4">
        <w:rPr>
          <w:noProof w:val="0"/>
        </w:rPr>
        <w:t xml:space="preserve">Šis vaistas skirtas </w:t>
      </w:r>
      <w:r>
        <w:rPr>
          <w:noProof w:val="0"/>
        </w:rPr>
        <w:t xml:space="preserve">tik </w:t>
      </w:r>
      <w:r w:rsidRPr="008A07C4">
        <w:rPr>
          <w:noProof w:val="0"/>
        </w:rPr>
        <w:t xml:space="preserve">Jums, todėl kitiems žmonėms jo duoti negalima. Vaistas gali jiems pakenkti (net tiems, kurių ligos </w:t>
      </w:r>
      <w:r>
        <w:rPr>
          <w:noProof w:val="0"/>
        </w:rPr>
        <w:t>požymiai</w:t>
      </w:r>
      <w:r w:rsidRPr="008A07C4">
        <w:rPr>
          <w:noProof w:val="0"/>
        </w:rPr>
        <w:t xml:space="preserve"> yra tokie patys kaip Jūsų).</w:t>
      </w:r>
    </w:p>
    <w:p w:rsidR="00B86598" w:rsidRPr="00426716" w:rsidRDefault="00B86598" w:rsidP="00B86598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8A07C4">
        <w:rPr>
          <w:noProof w:val="0"/>
        </w:rPr>
        <w:t xml:space="preserve">Jeigu pasireiškė šalutinis poveikis </w:t>
      </w:r>
      <w:r>
        <w:rPr>
          <w:noProof w:val="0"/>
        </w:rPr>
        <w:t>(net jeigu jis šiame lapelyje nenurodytas), kreipkitės į gydytoją arba vaistininką. Žr. 4 skyrių.</w:t>
      </w:r>
    </w:p>
    <w:p w:rsidR="00B86598" w:rsidRPr="008A07C4" w:rsidRDefault="00B86598" w:rsidP="00B86598">
      <w:pPr>
        <w:pStyle w:val="Pagrindinistekstas"/>
        <w:spacing w:after="0"/>
        <w:rPr>
          <w:b/>
        </w:rPr>
      </w:pPr>
    </w:p>
    <w:p w:rsidR="00B86598" w:rsidRDefault="00B86598" w:rsidP="00B86598">
      <w:pPr>
        <w:pStyle w:val="Pagrindinistekstas"/>
        <w:spacing w:after="0"/>
        <w:rPr>
          <w:b/>
        </w:rPr>
      </w:pPr>
      <w:r>
        <w:rPr>
          <w:b/>
        </w:rPr>
        <w:t>Apie ką rašoma šiame lapelyje?</w:t>
      </w:r>
    </w:p>
    <w:p w:rsidR="00B86598" w:rsidRPr="008A07C4" w:rsidRDefault="00B86598" w:rsidP="00B86598">
      <w:pPr>
        <w:pStyle w:val="Pagrindinistekstas"/>
        <w:spacing w:after="0"/>
        <w:rPr>
          <w:b/>
        </w:rPr>
      </w:pP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1.</w:t>
      </w:r>
      <w:r w:rsidRPr="008A07C4">
        <w:tab/>
        <w:t>Kas yra DOXORUBICIN-TEVA ir kam jis vartojamas</w:t>
      </w: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2.</w:t>
      </w:r>
      <w:r w:rsidRPr="008A07C4">
        <w:tab/>
        <w:t>Kas žinotina prieš vartojant DOXORUBICIN-TEVA</w:t>
      </w: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3.</w:t>
      </w:r>
      <w:r w:rsidRPr="008A07C4">
        <w:tab/>
        <w:t>Kaip vartoti DOXORUBICIN-TEVA</w:t>
      </w: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4.</w:t>
      </w:r>
      <w:r w:rsidRPr="008A07C4">
        <w:tab/>
        <w:t>Galimas šalutinis poveikis</w:t>
      </w: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5.</w:t>
      </w:r>
      <w:r w:rsidRPr="008A07C4">
        <w:tab/>
        <w:t xml:space="preserve">Kaip laikyti DOXORUBICIN-TEVA </w:t>
      </w:r>
    </w:p>
    <w:p w:rsidR="00B86598" w:rsidRPr="008A07C4" w:rsidRDefault="00B86598" w:rsidP="00B86598">
      <w:pPr>
        <w:pStyle w:val="Pagrindinistekstas"/>
        <w:spacing w:after="0"/>
        <w:ind w:left="540" w:hanging="540"/>
      </w:pPr>
      <w:r w:rsidRPr="008A07C4">
        <w:t>6.</w:t>
      </w:r>
      <w:r w:rsidRPr="008A07C4">
        <w:tab/>
      </w:r>
      <w:r>
        <w:t xml:space="preserve">Pakuotės turinys ir kita </w:t>
      </w:r>
      <w:r w:rsidRPr="008A07C4">
        <w:t>informacija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2"/>
      </w:pPr>
      <w:r w:rsidRPr="008A07C4">
        <w:t>1.</w:t>
      </w:r>
      <w:r w:rsidRPr="008A07C4">
        <w:tab/>
      </w:r>
      <w:r>
        <w:t>Kas yra</w:t>
      </w:r>
      <w:r w:rsidRPr="008A07C4">
        <w:t xml:space="preserve"> DOXORUBICIN-TEVA </w:t>
      </w:r>
      <w:r>
        <w:t>ir kam jis vartojamas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proofErr w:type="spellStart"/>
      <w:r w:rsidRPr="008A07C4">
        <w:t>Doksorubicinas</w:t>
      </w:r>
      <w:proofErr w:type="spellEnd"/>
      <w:r w:rsidRPr="008A07C4">
        <w:t xml:space="preserve"> yra </w:t>
      </w:r>
      <w:proofErr w:type="spellStart"/>
      <w:r w:rsidRPr="008A07C4">
        <w:t>antraciklinų</w:t>
      </w:r>
      <w:proofErr w:type="spellEnd"/>
      <w:r w:rsidRPr="008A07C4">
        <w:t xml:space="preserve"> grupės priešvėžinis preparatas. Jis išskirtas iš </w:t>
      </w:r>
      <w:proofErr w:type="spellStart"/>
      <w:r w:rsidRPr="008A07C4">
        <w:rPr>
          <w:i/>
        </w:rPr>
        <w:t>Streptomyces</w:t>
      </w:r>
      <w:proofErr w:type="spellEnd"/>
      <w:r w:rsidRPr="008A07C4">
        <w:rPr>
          <w:i/>
        </w:rPr>
        <w:t xml:space="preserve"> </w:t>
      </w:r>
      <w:proofErr w:type="spellStart"/>
      <w:r w:rsidRPr="008A07C4">
        <w:rPr>
          <w:i/>
        </w:rPr>
        <w:t>peucetius</w:t>
      </w:r>
      <w:proofErr w:type="spellEnd"/>
      <w:r w:rsidRPr="008A07C4">
        <w:t xml:space="preserve"> </w:t>
      </w:r>
      <w:r w:rsidRPr="008A07C4">
        <w:rPr>
          <w:i/>
        </w:rPr>
        <w:t xml:space="preserve">var. </w:t>
      </w:r>
      <w:proofErr w:type="spellStart"/>
      <w:r w:rsidRPr="008A07C4">
        <w:rPr>
          <w:i/>
        </w:rPr>
        <w:t>caesius</w:t>
      </w:r>
      <w:proofErr w:type="spellEnd"/>
      <w:r w:rsidRPr="008A07C4">
        <w:t xml:space="preserve"> kultūros. Tyrimų su gyvūnais metu vaistas veikė kai kurių minkštųjų audinių auglius ir kraujo vėžį.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Doksorubicinu</w:t>
      </w:r>
      <w:proofErr w:type="spellEnd"/>
      <w:r w:rsidRPr="008A07C4">
        <w:t xml:space="preserve"> vienu arba kartu su kitais vaistais nuo vėžio gydoma ūminė </w:t>
      </w:r>
      <w:proofErr w:type="spellStart"/>
      <w:r w:rsidRPr="008A07C4">
        <w:t>limfoleukozė</w:t>
      </w:r>
      <w:proofErr w:type="spellEnd"/>
      <w:r w:rsidRPr="008A07C4">
        <w:t xml:space="preserve">, išskyrus ūminę mažai rizikingą vaikų </w:t>
      </w:r>
      <w:proofErr w:type="spellStart"/>
      <w:r w:rsidRPr="008A07C4">
        <w:t>limfoleukozę</w:t>
      </w:r>
      <w:proofErr w:type="spellEnd"/>
      <w:r w:rsidRPr="008A07C4">
        <w:t xml:space="preserve">, ūminė </w:t>
      </w:r>
      <w:proofErr w:type="spellStart"/>
      <w:r w:rsidRPr="008A07C4">
        <w:t>mieloleukozė</w:t>
      </w:r>
      <w:proofErr w:type="spellEnd"/>
      <w:r w:rsidRPr="008A07C4">
        <w:t xml:space="preserve">, </w:t>
      </w:r>
      <w:proofErr w:type="spellStart"/>
      <w:r w:rsidRPr="008A07C4">
        <w:t>Hodžkino</w:t>
      </w:r>
      <w:proofErr w:type="spellEnd"/>
      <w:r w:rsidRPr="008A07C4">
        <w:t xml:space="preserve"> ir ne </w:t>
      </w:r>
      <w:proofErr w:type="spellStart"/>
      <w:r w:rsidRPr="008A07C4">
        <w:t>Hodžkino</w:t>
      </w:r>
      <w:proofErr w:type="spellEnd"/>
      <w:r w:rsidRPr="008A07C4">
        <w:t xml:space="preserve"> limfoma, </w:t>
      </w:r>
      <w:proofErr w:type="spellStart"/>
      <w:r w:rsidRPr="008A07C4">
        <w:t>osteosarkoma</w:t>
      </w:r>
      <w:proofErr w:type="spellEnd"/>
      <w:r w:rsidRPr="008A07C4">
        <w:t xml:space="preserve">, </w:t>
      </w:r>
      <w:proofErr w:type="spellStart"/>
      <w:r w:rsidRPr="008A07C4">
        <w:t>Evingo</w:t>
      </w:r>
      <w:proofErr w:type="spellEnd"/>
      <w:r w:rsidRPr="008A07C4">
        <w:t xml:space="preserve"> sarkoma, suaugusių žmonių minkštųjų audinių sarkoma, </w:t>
      </w:r>
      <w:proofErr w:type="spellStart"/>
      <w:r w:rsidRPr="008A07C4">
        <w:t>metastazavusi</w:t>
      </w:r>
      <w:proofErr w:type="spellEnd"/>
      <w:r w:rsidRPr="008A07C4">
        <w:t xml:space="preserve"> krūtų </w:t>
      </w:r>
      <w:proofErr w:type="spellStart"/>
      <w:r w:rsidRPr="008A07C4">
        <w:t>karcinoma</w:t>
      </w:r>
      <w:proofErr w:type="spellEnd"/>
      <w:r w:rsidRPr="008A07C4">
        <w:t xml:space="preserve">, skrandžio </w:t>
      </w:r>
      <w:proofErr w:type="spellStart"/>
      <w:r w:rsidRPr="008A07C4">
        <w:t>karcinoma</w:t>
      </w:r>
      <w:proofErr w:type="spellEnd"/>
      <w:r w:rsidRPr="008A07C4">
        <w:t xml:space="preserve">, </w:t>
      </w:r>
      <w:proofErr w:type="spellStart"/>
      <w:r w:rsidRPr="008A07C4">
        <w:t>smulkialąstelinis</w:t>
      </w:r>
      <w:proofErr w:type="spellEnd"/>
      <w:r w:rsidRPr="008A07C4">
        <w:t xml:space="preserve"> plaučių vėžys, </w:t>
      </w:r>
      <w:proofErr w:type="spellStart"/>
      <w:r w:rsidRPr="008A07C4">
        <w:t>neuroblastoma</w:t>
      </w:r>
      <w:proofErr w:type="spellEnd"/>
      <w:r w:rsidRPr="008A07C4">
        <w:t xml:space="preserve">, </w:t>
      </w:r>
      <w:proofErr w:type="spellStart"/>
      <w:r w:rsidRPr="008A07C4">
        <w:t>Vilmso</w:t>
      </w:r>
      <w:proofErr w:type="spellEnd"/>
      <w:r w:rsidRPr="008A07C4">
        <w:t xml:space="preserve"> auglys, šlapimo pūslės </w:t>
      </w:r>
      <w:proofErr w:type="spellStart"/>
      <w:r w:rsidRPr="008A07C4">
        <w:t>karcinoma</w:t>
      </w:r>
      <w:proofErr w:type="spellEnd"/>
      <w:r w:rsidRPr="008A07C4">
        <w:t>.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Paviršinei šlapimo pūslės </w:t>
      </w:r>
      <w:proofErr w:type="spellStart"/>
      <w:r w:rsidRPr="008A07C4">
        <w:t>karcinomai</w:t>
      </w:r>
      <w:proofErr w:type="spellEnd"/>
      <w:r w:rsidRPr="008A07C4">
        <w:t xml:space="preserve"> gydyti vieno </w:t>
      </w:r>
      <w:proofErr w:type="spellStart"/>
      <w:r w:rsidRPr="008A07C4">
        <w:t>doksorubicino</w:t>
      </w:r>
      <w:proofErr w:type="spellEnd"/>
      <w:r w:rsidRPr="008A07C4">
        <w:t xml:space="preserve"> galima </w:t>
      </w:r>
      <w:proofErr w:type="spellStart"/>
      <w:r w:rsidRPr="008A07C4">
        <w:t>instiliuoti</w:t>
      </w:r>
      <w:proofErr w:type="spellEnd"/>
      <w:r w:rsidRPr="008A07C4">
        <w:t xml:space="preserve"> į šlapimo pūslę.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2"/>
      </w:pPr>
      <w:r w:rsidRPr="008A07C4">
        <w:t>2.</w:t>
      </w:r>
      <w:r w:rsidRPr="008A07C4">
        <w:tab/>
      </w:r>
      <w:r>
        <w:t>Kas žinotina prieš vartojant</w:t>
      </w:r>
      <w:r w:rsidRPr="008A07C4">
        <w:t xml:space="preserve"> DOXORUBICIN-TEVA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 w:rsidRPr="008A07C4">
        <w:t>DOXORUBICIN-TEVA vartoti negalima: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 xml:space="preserve">jeigu yra alergija </w:t>
      </w:r>
      <w:proofErr w:type="spellStart"/>
      <w:r w:rsidRPr="008A07C4">
        <w:rPr>
          <w:szCs w:val="22"/>
        </w:rPr>
        <w:t>doksorubicinui</w:t>
      </w:r>
      <w:proofErr w:type="spellEnd"/>
      <w:r w:rsidRPr="008A07C4">
        <w:rPr>
          <w:szCs w:val="22"/>
        </w:rPr>
        <w:t xml:space="preserve"> arba bet kuriai pagalbinei </w:t>
      </w:r>
      <w:r>
        <w:t>šio vaisto</w:t>
      </w:r>
      <w:r w:rsidRPr="008A07C4">
        <w:rPr>
          <w:szCs w:val="22"/>
        </w:rPr>
        <w:t xml:space="preserve"> medžiagai</w:t>
      </w:r>
      <w:r>
        <w:rPr>
          <w:szCs w:val="22"/>
        </w:rPr>
        <w:t xml:space="preserve"> (jos išvardytos 6 skyriuje)</w:t>
      </w:r>
      <w:r w:rsidRPr="008A07C4">
        <w:rPr>
          <w:szCs w:val="22"/>
        </w:rPr>
        <w:t>;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>jeigu</w:t>
      </w:r>
      <w:r w:rsidRPr="008A07C4">
        <w:t xml:space="preserve"> yra kaulų čiulpų veiklos slopinimas;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>jeigu</w:t>
      </w:r>
      <w:r w:rsidRPr="008A07C4">
        <w:t xml:space="preserve"> pacientas serga ūminiu kepenų uždegimu;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>jeigu</w:t>
      </w:r>
      <w:r w:rsidRPr="008A07C4">
        <w:t xml:space="preserve"> pacientas serga širdies liga;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>jeigu</w:t>
      </w:r>
      <w:r w:rsidRPr="008A07C4">
        <w:t xml:space="preserve"> moteris nėščia ar maitina krūtimi kūdikį;</w:t>
      </w:r>
    </w:p>
    <w:p w:rsidR="00B86598" w:rsidRPr="008A07C4" w:rsidRDefault="00B86598" w:rsidP="00B86598">
      <w:pPr>
        <w:pStyle w:val="Pagrindinistekstas"/>
        <w:numPr>
          <w:ilvl w:val="0"/>
          <w:numId w:val="2"/>
        </w:numPr>
        <w:spacing w:after="0"/>
      </w:pPr>
      <w:r w:rsidRPr="008A07C4">
        <w:rPr>
          <w:szCs w:val="22"/>
        </w:rPr>
        <w:t>jeigu</w:t>
      </w:r>
      <w:r w:rsidRPr="008A07C4">
        <w:t xml:space="preserve"> ankstesnio gydymo metu suvartota visa didžiausia </w:t>
      </w:r>
      <w:proofErr w:type="spellStart"/>
      <w:r w:rsidRPr="008A07C4">
        <w:t>doksorubicino</w:t>
      </w:r>
      <w:proofErr w:type="spellEnd"/>
      <w:r w:rsidRPr="008A07C4">
        <w:t xml:space="preserve"> arba kitokio </w:t>
      </w:r>
      <w:proofErr w:type="spellStart"/>
      <w:r w:rsidRPr="008A07C4">
        <w:t>antraciklino</w:t>
      </w:r>
      <w:proofErr w:type="spellEnd"/>
      <w:r w:rsidRPr="008A07C4">
        <w:t xml:space="preserve"> dozė</w:t>
      </w:r>
      <w:r>
        <w:t>;</w:t>
      </w:r>
    </w:p>
    <w:p w:rsidR="00B86598" w:rsidRPr="008A07C4" w:rsidRDefault="00B86598" w:rsidP="00B86598">
      <w:pPr>
        <w:tabs>
          <w:tab w:val="left" w:pos="540"/>
        </w:tabs>
        <w:ind w:left="540" w:hanging="540"/>
        <w:rPr>
          <w:szCs w:val="22"/>
        </w:rPr>
      </w:pPr>
      <w:r w:rsidRPr="008A07C4">
        <w:t>-</w:t>
      </w:r>
      <w:r w:rsidRPr="008A07C4">
        <w:tab/>
        <w:t xml:space="preserve">jeigu yra šlaplės stenozė ir dėl to paciento neįmanoma </w:t>
      </w:r>
      <w:proofErr w:type="spellStart"/>
      <w:r w:rsidRPr="008A07C4">
        <w:t>kateterizuoti</w:t>
      </w:r>
      <w:proofErr w:type="spellEnd"/>
      <w:r w:rsidRPr="008A07C4">
        <w:t xml:space="preserve">, šio vaisto į pūslę </w:t>
      </w:r>
      <w:proofErr w:type="spellStart"/>
      <w:r w:rsidRPr="008A07C4">
        <w:t>instiliuoti</w:t>
      </w:r>
      <w:proofErr w:type="spellEnd"/>
      <w:r w:rsidRPr="008A07C4">
        <w:t xml:space="preserve"> negalima. </w:t>
      </w:r>
      <w:proofErr w:type="spellStart"/>
      <w:r w:rsidRPr="008A07C4">
        <w:rPr>
          <w:szCs w:val="22"/>
        </w:rPr>
        <w:t>Doksorubicino</w:t>
      </w:r>
      <w:proofErr w:type="spellEnd"/>
      <w:r w:rsidRPr="008A07C4">
        <w:rPr>
          <w:szCs w:val="22"/>
        </w:rPr>
        <w:t xml:space="preserve"> nerekomenduojama </w:t>
      </w:r>
      <w:proofErr w:type="spellStart"/>
      <w:r w:rsidRPr="008A07C4">
        <w:rPr>
          <w:szCs w:val="22"/>
        </w:rPr>
        <w:t>instiliuoti</w:t>
      </w:r>
      <w:proofErr w:type="spellEnd"/>
      <w:r w:rsidRPr="008A07C4">
        <w:rPr>
          <w:szCs w:val="22"/>
        </w:rPr>
        <w:t xml:space="preserve"> ir tuo atveju, jeigu vėžys yra įsiskverbęs į šlapimo pūslės sienelę, yra šlapimo pūslės uždegimas arba jeigu šlapimo organuose yra infekcija.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rPr>
          <w:b/>
        </w:rPr>
      </w:pPr>
      <w:r>
        <w:rPr>
          <w:b/>
        </w:rPr>
        <w:t>Įspėjimai ir atsargumo priemonės</w:t>
      </w:r>
    </w:p>
    <w:p w:rsidR="00B86598" w:rsidRPr="009D4804" w:rsidRDefault="00B86598" w:rsidP="00B8659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 xml:space="preserve">Pasitarkite su gydytoju </w:t>
      </w:r>
      <w:r w:rsidRPr="004D5AAB">
        <w:rPr>
          <w:noProof/>
          <w:snapToGrid w:val="0"/>
          <w:szCs w:val="24"/>
          <w:lang w:eastAsia="en-US"/>
        </w:rPr>
        <w:t>arba</w:t>
      </w:r>
      <w:r>
        <w:rPr>
          <w:noProof/>
          <w:snapToGrid w:val="0"/>
          <w:szCs w:val="24"/>
          <w:lang w:eastAsia="en-US"/>
        </w:rPr>
        <w:t xml:space="preserve"> </w:t>
      </w:r>
      <w:r w:rsidRPr="004D5AAB">
        <w:rPr>
          <w:noProof/>
          <w:snapToGrid w:val="0"/>
          <w:szCs w:val="24"/>
          <w:lang w:eastAsia="en-US"/>
        </w:rPr>
        <w:t xml:space="preserve">vaistininku, prieš pradėdami vartoti </w:t>
      </w:r>
      <w:r w:rsidRPr="008A07C4">
        <w:t>DOXORUBICIN-TEVA</w:t>
      </w:r>
      <w:r>
        <w:t>.</w:t>
      </w:r>
    </w:p>
    <w:p w:rsidR="00B86598" w:rsidRPr="008A07C4" w:rsidRDefault="00B86598" w:rsidP="00B86598">
      <w:pPr>
        <w:tabs>
          <w:tab w:val="left" w:pos="720"/>
        </w:tabs>
      </w:pPr>
      <w:r w:rsidRPr="008A07C4">
        <w:t>-</w:t>
      </w:r>
      <w:r w:rsidRPr="008A07C4">
        <w:tab/>
      </w:r>
      <w:proofErr w:type="spellStart"/>
      <w:r w:rsidRPr="008A07C4">
        <w:t>Doksorubicino</w:t>
      </w:r>
      <w:proofErr w:type="spellEnd"/>
      <w:r w:rsidRPr="008A07C4">
        <w:t xml:space="preserve"> sudėtyje yra laktozės.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lastRenderedPageBreak/>
        <w:t>-</w:t>
      </w:r>
      <w:r w:rsidRPr="008A07C4">
        <w:tab/>
      </w:r>
      <w:proofErr w:type="spellStart"/>
      <w:r w:rsidRPr="008A07C4">
        <w:t>Doksorubicino</w:t>
      </w:r>
      <w:proofErr w:type="spellEnd"/>
      <w:r w:rsidRPr="008A07C4">
        <w:t xml:space="preserve"> sukeltas pykinimas, vėmimas ir gleivinės uždegimas dažnai būna labai sunkūs, todėl būtinas tinkamas jų gydymas.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Į raumenis arba po oda šio vaisto švirkšti negalima. Jeigu tirpalo patenka šalia venos, pasireiškia sunki, progresuojanti audinių nekrozė. Jeigu taip atsitinka, infuziją būtina tuoj pat nutraukti, o tirpalo likutį suleisti į kitą veną. Jei tokiu atveju į pažeistą veną srove suleidžiama </w:t>
      </w:r>
      <w:proofErr w:type="spellStart"/>
      <w:r w:rsidRPr="008A07C4">
        <w:t>izotoninio</w:t>
      </w:r>
      <w:proofErr w:type="spellEnd"/>
      <w:r w:rsidRPr="008A07C4">
        <w:t xml:space="preserve"> natrio chlorido tirpalo, į pažeistus audinius </w:t>
      </w:r>
      <w:r w:rsidRPr="008A07C4">
        <w:sym w:font="Symbol" w:char="F02D"/>
      </w:r>
      <w:r w:rsidRPr="008A07C4">
        <w:t xml:space="preserve"> kortikosteroidų ar 8,4 % natrio vandenilio karbonato tirpalo, o lokaliai vartojama </w:t>
      </w:r>
      <w:proofErr w:type="spellStart"/>
      <w:r w:rsidRPr="008A07C4">
        <w:t>dimetilsulfoksido</w:t>
      </w:r>
      <w:proofErr w:type="spellEnd"/>
      <w:r w:rsidRPr="008A07C4">
        <w:t>, tam tikras terapinis poveikis galimas. Ligoniui būtina plastinės chirurgijos specialisto konsultacija, kadangi gali reikėti plačiai išpjauti pažeistus audinius.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>Kadangi didėjant suvartotai dozei, palaipsniui didėja ir kardiomiopatijos rizika, bendrą 550 mg/m</w:t>
      </w:r>
      <w:r w:rsidRPr="008A07C4">
        <w:rPr>
          <w:vertAlign w:val="superscript"/>
        </w:rPr>
        <w:t>2</w:t>
      </w:r>
      <w:r w:rsidRPr="008A07C4">
        <w:t xml:space="preserve"> kūno paviršiaus dozę viršyti draudžiama.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Kardiomiopatijos rizikos veiksniai yra amžius (vyresni negu 70 metų arba jaunesni negu 15 metų žmonės) bei širdies liga.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Vaisto </w:t>
      </w:r>
      <w:proofErr w:type="spellStart"/>
      <w:r w:rsidRPr="008A07C4">
        <w:t>infuzuojant</w:t>
      </w:r>
      <w:proofErr w:type="spellEnd"/>
      <w:r w:rsidRPr="008A07C4">
        <w:t xml:space="preserve">, gali atsirasti EKG pokyčių, įskaitant QRS komplekso voltažo sumažėjimą, pailgėti </w:t>
      </w:r>
      <w:proofErr w:type="spellStart"/>
      <w:r w:rsidRPr="008A07C4">
        <w:t>sistolės</w:t>
      </w:r>
      <w:proofErr w:type="spellEnd"/>
      <w:r w:rsidRPr="008A07C4">
        <w:t xml:space="preserve"> trukmė, sumažėti išstūmimo frakcija.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Ligoniams, kurie anksčiau buvo gydyti kitais </w:t>
      </w:r>
      <w:proofErr w:type="spellStart"/>
      <w:r w:rsidRPr="008A07C4">
        <w:t>antraciklinais</w:t>
      </w:r>
      <w:proofErr w:type="spellEnd"/>
      <w:r w:rsidRPr="008A07C4">
        <w:t xml:space="preserve">, </w:t>
      </w:r>
      <w:proofErr w:type="spellStart"/>
      <w:r w:rsidRPr="008A07C4">
        <w:t>ciklofosfamidu</w:t>
      </w:r>
      <w:proofErr w:type="spellEnd"/>
      <w:r w:rsidRPr="008A07C4">
        <w:t xml:space="preserve">, </w:t>
      </w:r>
      <w:proofErr w:type="spellStart"/>
      <w:r w:rsidRPr="008A07C4">
        <w:t>mitomicinu</w:t>
      </w:r>
      <w:proofErr w:type="spellEnd"/>
      <w:r w:rsidRPr="008A07C4">
        <w:t xml:space="preserve"> C arba </w:t>
      </w:r>
      <w:proofErr w:type="spellStart"/>
      <w:r w:rsidRPr="008A07C4">
        <w:t>d</w:t>
      </w:r>
      <w:r>
        <w:t>a</w:t>
      </w:r>
      <w:r w:rsidRPr="008A07C4">
        <w:t>karbazinu</w:t>
      </w:r>
      <w:proofErr w:type="spellEnd"/>
      <w:r w:rsidRPr="008A07C4">
        <w:t xml:space="preserve"> arba kurių tarpusienio organai buvo švitinti radioaktyviaisiais spinduliais, toksinis </w:t>
      </w:r>
      <w:proofErr w:type="spellStart"/>
      <w:r w:rsidRPr="008A07C4">
        <w:t>doksorubicino</w:t>
      </w:r>
      <w:proofErr w:type="spellEnd"/>
      <w:r w:rsidRPr="008A07C4">
        <w:t xml:space="preserve"> poveikis širdžiai gali pasireikšti nuo mažesnės, negu rekomenduojama, bendros dozės.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</w:r>
      <w:proofErr w:type="spellStart"/>
      <w:r w:rsidRPr="008A07C4">
        <w:t>Doksorubicino</w:t>
      </w:r>
      <w:proofErr w:type="spellEnd"/>
      <w:r w:rsidRPr="008A07C4">
        <w:t xml:space="preserve"> infuzijos metu arba kelias valandas po jos galima sunki ūminė aritmija.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Prieš gydymą </w:t>
      </w:r>
      <w:proofErr w:type="spellStart"/>
      <w:r w:rsidRPr="008A07C4">
        <w:t>doksorubicinu</w:t>
      </w:r>
      <w:proofErr w:type="spellEnd"/>
      <w:r w:rsidRPr="008A07C4">
        <w:t xml:space="preserve">, gydymo metu ir po jo reikia tirti širdies funkciją (pvz., daryti EKG, atlikti </w:t>
      </w:r>
      <w:proofErr w:type="spellStart"/>
      <w:r w:rsidRPr="008A07C4">
        <w:t>echokardiografiją</w:t>
      </w:r>
      <w:proofErr w:type="spellEnd"/>
      <w:r w:rsidRPr="008A07C4">
        <w:t xml:space="preserve">, nustatyti išstūmimo frakciją).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Kadangi vaistas dažnai sukelia kaulų čiulpų veiklos slopinimą, būtina atidžiai tirti ligonio kraują. Stipriausias poveikis kraujo gamybai pasireiškia praėjus 10 – 14 parų po infuzijos. Po 21 paros kraujas paprastai tampa toks, koks buvo prieš vaisto leidimą Jeigu </w:t>
      </w:r>
      <w:proofErr w:type="spellStart"/>
      <w:r w:rsidRPr="008A07C4">
        <w:t>neutrofilų</w:t>
      </w:r>
      <w:proofErr w:type="spellEnd"/>
      <w:r w:rsidRPr="008A07C4">
        <w:t xml:space="preserve"> yra mažiau negu 2000 ląstelių/mm</w:t>
      </w:r>
      <w:r w:rsidRPr="008A07C4">
        <w:rPr>
          <w:vertAlign w:val="superscript"/>
        </w:rPr>
        <w:t>3</w:t>
      </w:r>
      <w:r w:rsidRPr="008A07C4">
        <w:t xml:space="preserve">, šiuo vaistu negalima nei pradėti gydyti, nei gydymo tęsti. Ligoniams, sergantiems ūmine leukoze, ši riba priklausomai nuo aplinkybių gali būti mažesnė.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Prieš gydymą ir jo metu reikia tirti paciento kepenų funkciją: nustatinėti </w:t>
      </w:r>
      <w:proofErr w:type="spellStart"/>
      <w:r w:rsidRPr="008A07C4">
        <w:t>alanino</w:t>
      </w:r>
      <w:proofErr w:type="spellEnd"/>
      <w:r w:rsidRPr="008A07C4">
        <w:t xml:space="preserve"> </w:t>
      </w:r>
      <w:proofErr w:type="spellStart"/>
      <w:r w:rsidRPr="008A07C4">
        <w:t>aminotransferazės</w:t>
      </w:r>
      <w:proofErr w:type="spellEnd"/>
      <w:r w:rsidRPr="008A07C4">
        <w:t xml:space="preserve">, </w:t>
      </w:r>
      <w:proofErr w:type="spellStart"/>
      <w:r w:rsidRPr="008A07C4">
        <w:t>aspartato</w:t>
      </w:r>
      <w:proofErr w:type="spellEnd"/>
      <w:r w:rsidRPr="008A07C4">
        <w:t xml:space="preserve"> </w:t>
      </w:r>
      <w:proofErr w:type="spellStart"/>
      <w:r w:rsidRPr="008A07C4">
        <w:t>aminotransferazės</w:t>
      </w:r>
      <w:proofErr w:type="spellEnd"/>
      <w:r w:rsidRPr="008A07C4">
        <w:t xml:space="preserve">, šarminės </w:t>
      </w:r>
      <w:proofErr w:type="spellStart"/>
      <w:r w:rsidRPr="008A07C4">
        <w:t>fosfatazės</w:t>
      </w:r>
      <w:proofErr w:type="spellEnd"/>
      <w:r w:rsidRPr="008A07C4">
        <w:t xml:space="preserve"> aktyvumą ir </w:t>
      </w:r>
      <w:proofErr w:type="spellStart"/>
      <w:r w:rsidRPr="008A07C4">
        <w:t>bilirubino</w:t>
      </w:r>
      <w:proofErr w:type="spellEnd"/>
      <w:r w:rsidRPr="008A07C4">
        <w:t xml:space="preserve"> kiekį kraujyje. 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</w:r>
      <w:proofErr w:type="spellStart"/>
      <w:r w:rsidRPr="008A07C4">
        <w:t>Doksorubicinas</w:t>
      </w:r>
      <w:proofErr w:type="spellEnd"/>
      <w:r w:rsidRPr="008A07C4">
        <w:t xml:space="preserve"> gali sukelti </w:t>
      </w:r>
      <w:proofErr w:type="spellStart"/>
      <w:r w:rsidRPr="008A07C4">
        <w:t>hiperurikemiją</w:t>
      </w:r>
      <w:proofErr w:type="spellEnd"/>
      <w:r w:rsidRPr="008A07C4">
        <w:t>, todėl reikia matuoti šlapimo rūgšties kiekį kraujyje, ligonis turi gerti daugiau skysčių, t. y. mažiausiai 3 l/m</w:t>
      </w:r>
      <w:r w:rsidRPr="008A07C4">
        <w:rPr>
          <w:vertAlign w:val="superscript"/>
        </w:rPr>
        <w:t>2</w:t>
      </w:r>
      <w:r w:rsidRPr="008A07C4">
        <w:t xml:space="preserve"> kūno paviršiaus per parą. Jei reikia, galima vartoti </w:t>
      </w:r>
      <w:proofErr w:type="spellStart"/>
      <w:r w:rsidRPr="008A07C4">
        <w:t>ksantinoksidazės</w:t>
      </w:r>
      <w:proofErr w:type="spellEnd"/>
      <w:r w:rsidRPr="008A07C4">
        <w:t xml:space="preserve"> inhibitorių, pvz., </w:t>
      </w:r>
      <w:proofErr w:type="spellStart"/>
      <w:r w:rsidRPr="008A07C4">
        <w:t>alopurinolio</w:t>
      </w:r>
      <w:proofErr w:type="spellEnd"/>
      <w:r w:rsidRPr="008A07C4">
        <w:t xml:space="preserve">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Gydymo metu ir mažiausiai 3 mėnesius po jo reikia naudotis veiksmingomis kontraceptinėmis priemonėmis. </w:t>
      </w:r>
    </w:p>
    <w:p w:rsidR="00B86598" w:rsidRPr="008A07C4" w:rsidRDefault="00B86598" w:rsidP="00B86598">
      <w:pPr>
        <w:pStyle w:val="Pagrindinistekstas"/>
        <w:tabs>
          <w:tab w:val="left" w:pos="720"/>
        </w:tabs>
        <w:spacing w:after="0"/>
        <w:ind w:left="720" w:hanging="720"/>
      </w:pPr>
      <w:r w:rsidRPr="008A07C4">
        <w:t>-</w:t>
      </w:r>
      <w:r w:rsidRPr="008A07C4">
        <w:tab/>
        <w:t xml:space="preserve">Vartojant </w:t>
      </w:r>
      <w:proofErr w:type="spellStart"/>
      <w:r w:rsidRPr="008A07C4">
        <w:t>doksorubicino</w:t>
      </w:r>
      <w:proofErr w:type="spellEnd"/>
      <w:r w:rsidRPr="008A07C4">
        <w:t>, gali parausvėti šlapimas.</w:t>
      </w:r>
    </w:p>
    <w:p w:rsidR="00B86598" w:rsidRPr="008A07C4" w:rsidRDefault="00B86598" w:rsidP="00B86598">
      <w:pPr>
        <w:pStyle w:val="Pagrindinistekstas"/>
        <w:spacing w:after="0"/>
        <w:ind w:left="720" w:hanging="720"/>
      </w:pPr>
    </w:p>
    <w:p w:rsidR="00B86598" w:rsidRPr="008A07C4" w:rsidRDefault="00B86598" w:rsidP="00B86598">
      <w:pPr>
        <w:pStyle w:val="Antrat3"/>
      </w:pPr>
      <w:r w:rsidRPr="008A07C4">
        <w:t>Kit</w:t>
      </w:r>
      <w:r>
        <w:t>i vaistai ir DOXORUBICIN-TEVA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>Jeigu vartojate ar neseniai vartojote kitų vaistų</w:t>
      </w:r>
      <w:r>
        <w:t xml:space="preserve"> arba dėl to nesate tikri, apie tai </w:t>
      </w:r>
      <w:r w:rsidRPr="008A07C4">
        <w:t>pasakykite gydytojui arba vaistininkui.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Jeigu prieš gydymą </w:t>
      </w:r>
      <w:proofErr w:type="spellStart"/>
      <w:r w:rsidRPr="008A07C4">
        <w:t>doksorubicinu</w:t>
      </w:r>
      <w:proofErr w:type="spellEnd"/>
      <w:r w:rsidRPr="008A07C4">
        <w:t xml:space="preserve"> arba jo metu ligonis vartoja kitokių </w:t>
      </w:r>
      <w:proofErr w:type="spellStart"/>
      <w:r w:rsidRPr="008A07C4">
        <w:t>antraciklinų</w:t>
      </w:r>
      <w:proofErr w:type="spellEnd"/>
      <w:r w:rsidRPr="008A07C4">
        <w:t xml:space="preserve">, </w:t>
      </w:r>
      <w:proofErr w:type="spellStart"/>
      <w:r w:rsidRPr="008A07C4">
        <w:t>mitomicino</w:t>
      </w:r>
      <w:proofErr w:type="spellEnd"/>
      <w:r w:rsidRPr="008A07C4">
        <w:t xml:space="preserve"> C, </w:t>
      </w:r>
      <w:proofErr w:type="spellStart"/>
      <w:r w:rsidRPr="008A07C4">
        <w:t>d</w:t>
      </w:r>
      <w:r>
        <w:t>a</w:t>
      </w:r>
      <w:r w:rsidRPr="008A07C4">
        <w:t>karbazino</w:t>
      </w:r>
      <w:proofErr w:type="spellEnd"/>
      <w:r w:rsidRPr="008A07C4">
        <w:t xml:space="preserve">, </w:t>
      </w:r>
      <w:proofErr w:type="spellStart"/>
      <w:r w:rsidRPr="008A07C4">
        <w:t>daktinomicino</w:t>
      </w:r>
      <w:proofErr w:type="spellEnd"/>
      <w:r w:rsidRPr="008A07C4">
        <w:t xml:space="preserve"> arba </w:t>
      </w:r>
      <w:proofErr w:type="spellStart"/>
      <w:r w:rsidRPr="008A07C4">
        <w:t>ciklofosfamido</w:t>
      </w:r>
      <w:proofErr w:type="spellEnd"/>
      <w:r w:rsidRPr="008A07C4">
        <w:t xml:space="preserve"> (dėl pastarojo vaisto duomenys yra prieštaringi), toksinis </w:t>
      </w:r>
      <w:proofErr w:type="spellStart"/>
      <w:r w:rsidRPr="008A07C4">
        <w:t>doksorubicino</w:t>
      </w:r>
      <w:proofErr w:type="spellEnd"/>
      <w:r w:rsidRPr="008A07C4">
        <w:t xml:space="preserve"> poveikis širdžiai būna stipresnis. 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Doksorubicinas</w:t>
      </w:r>
      <w:proofErr w:type="spellEnd"/>
      <w:r w:rsidRPr="008A07C4">
        <w:t xml:space="preserve"> gali sunkinti </w:t>
      </w:r>
      <w:proofErr w:type="spellStart"/>
      <w:r w:rsidRPr="008A07C4">
        <w:t>ciklofosfamido</w:t>
      </w:r>
      <w:proofErr w:type="spellEnd"/>
      <w:r w:rsidRPr="008A07C4">
        <w:t xml:space="preserve"> sukeltą hemoraginį cistitą. Medikamentas stiprina radioaktyviųjų spindulių sukeliamą poveikį. Pavartotas net ir praėjus ilgokam laikotarpiui po radioterapijos jis gali sukelti pavojingą švitinto ploto reakciją. 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Citochromo</w:t>
      </w:r>
      <w:proofErr w:type="spellEnd"/>
      <w:r w:rsidRPr="008A07C4">
        <w:t xml:space="preserve"> P 450 fermentų </w:t>
      </w:r>
      <w:proofErr w:type="spellStart"/>
      <w:r w:rsidRPr="008A07C4">
        <w:t>induktoriai</w:t>
      </w:r>
      <w:proofErr w:type="spellEnd"/>
      <w:r w:rsidRPr="008A07C4">
        <w:t xml:space="preserve">, pvz., </w:t>
      </w:r>
      <w:proofErr w:type="spellStart"/>
      <w:r w:rsidRPr="008A07C4">
        <w:t>rifampicinas</w:t>
      </w:r>
      <w:proofErr w:type="spellEnd"/>
      <w:r w:rsidRPr="008A07C4">
        <w:t xml:space="preserve">, barbitūratai, gali stimuliuoti </w:t>
      </w:r>
      <w:proofErr w:type="spellStart"/>
      <w:r w:rsidRPr="008A07C4">
        <w:t>doksorubicino</w:t>
      </w:r>
      <w:proofErr w:type="spellEnd"/>
      <w:r w:rsidRPr="008A07C4">
        <w:t xml:space="preserve"> metabolizmą, todėl gali silpnėti terapinis jo poveikis.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Citochromo</w:t>
      </w:r>
      <w:proofErr w:type="spellEnd"/>
      <w:r w:rsidRPr="008A07C4">
        <w:t xml:space="preserve"> P 450 inhibitoriai, pvz., </w:t>
      </w:r>
      <w:proofErr w:type="spellStart"/>
      <w:r w:rsidRPr="008A07C4">
        <w:t>cimetidinas</w:t>
      </w:r>
      <w:proofErr w:type="spellEnd"/>
      <w:r w:rsidRPr="008A07C4">
        <w:t xml:space="preserve">, gali slopinti </w:t>
      </w:r>
      <w:proofErr w:type="spellStart"/>
      <w:r w:rsidRPr="008A07C4">
        <w:t>doksorubicino</w:t>
      </w:r>
      <w:proofErr w:type="spellEnd"/>
      <w:r w:rsidRPr="008A07C4">
        <w:t xml:space="preserve"> metabolizmą, todėl gali stiprėti toksinis jo poveikis.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 w:rsidRPr="008A07C4">
        <w:t>Nėštumas</w:t>
      </w:r>
      <w:r>
        <w:t xml:space="preserve">, </w:t>
      </w:r>
      <w:r w:rsidRPr="008A07C4">
        <w:t>žindymo laikotarpis</w:t>
      </w:r>
      <w:r>
        <w:t xml:space="preserve"> ir vaisingumas</w:t>
      </w:r>
    </w:p>
    <w:p w:rsidR="00B86598" w:rsidRPr="008A07C4" w:rsidRDefault="00B86598" w:rsidP="00B86598">
      <w:pPr>
        <w:pStyle w:val="Pagrindinistekstas"/>
        <w:spacing w:after="0"/>
      </w:pPr>
      <w:r>
        <w:t>Jeigu esate nėščia, žindote kūdikį, manote, kad galbūt esate nėščia, arba planuojate pastoti, tai prieš vartodama šį vaistą, pasitarkite su gydytoju.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Klinikiniai duomenys rodo, kad nėštumo metu vartojamas </w:t>
      </w:r>
      <w:proofErr w:type="spellStart"/>
      <w:r w:rsidRPr="008A07C4">
        <w:t>doksorubicinas</w:t>
      </w:r>
      <w:proofErr w:type="spellEnd"/>
      <w:r w:rsidRPr="008A07C4">
        <w:t xml:space="preserve"> gali sukelti šalutinį poveikį vaisiui. Tyrimų metu gyvūnams medikamentas sukėlė ir </w:t>
      </w:r>
      <w:proofErr w:type="spellStart"/>
      <w:r w:rsidRPr="008A07C4">
        <w:t>embriotoksinį</w:t>
      </w:r>
      <w:proofErr w:type="spellEnd"/>
      <w:r w:rsidRPr="008A07C4">
        <w:t xml:space="preserve">, ir </w:t>
      </w:r>
      <w:proofErr w:type="spellStart"/>
      <w:r w:rsidRPr="008A07C4">
        <w:t>teratogeninį</w:t>
      </w:r>
      <w:proofErr w:type="spellEnd"/>
      <w:r w:rsidRPr="008A07C4">
        <w:t xml:space="preserve"> poveikį. Nėštumo metu </w:t>
      </w:r>
      <w:proofErr w:type="spellStart"/>
      <w:r w:rsidRPr="008A07C4">
        <w:t>doksorubicino</w:t>
      </w:r>
      <w:proofErr w:type="spellEnd"/>
      <w:r w:rsidRPr="008A07C4">
        <w:t xml:space="preserve"> vartoti negalima.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Į motinos pieną vaisto patenka. Vadinasi, kūdikį žindančių moterų </w:t>
      </w:r>
      <w:proofErr w:type="spellStart"/>
      <w:r w:rsidRPr="008A07C4">
        <w:t>doksorubicinu</w:t>
      </w:r>
      <w:proofErr w:type="spellEnd"/>
      <w:r w:rsidRPr="008A07C4">
        <w:t xml:space="preserve"> gydyti negalima.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 w:rsidRPr="008A07C4">
        <w:t>Vairavimas ir mechanizmų valdymas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Kadangi </w:t>
      </w:r>
      <w:proofErr w:type="spellStart"/>
      <w:r w:rsidRPr="008A07C4">
        <w:t>doksorubicinu</w:t>
      </w:r>
      <w:proofErr w:type="spellEnd"/>
      <w:r w:rsidRPr="008A07C4">
        <w:t xml:space="preserve"> gydomiems ligoniams dažnai pasireiškia pykinimas ir vėmimas, todėl vairuoti arba valdyti mechanizmų nerekomenduojama. </w:t>
      </w:r>
    </w:p>
    <w:p w:rsidR="00B86598" w:rsidRDefault="00B86598" w:rsidP="00B86598">
      <w:pPr>
        <w:pStyle w:val="Pagrindinistekstas"/>
        <w:spacing w:after="0"/>
      </w:pPr>
    </w:p>
    <w:p w:rsidR="00B86598" w:rsidRPr="0080104C" w:rsidRDefault="00B86598" w:rsidP="00B86598">
      <w:pPr>
        <w:pStyle w:val="Pagrindinistekstas"/>
        <w:spacing w:after="0"/>
        <w:rPr>
          <w:szCs w:val="22"/>
        </w:rPr>
      </w:pPr>
      <w:r w:rsidRPr="0080104C">
        <w:rPr>
          <w:b/>
          <w:szCs w:val="22"/>
        </w:rPr>
        <w:t>DOXORUBICIN-TEVA sudėtyje yra laktozės</w:t>
      </w:r>
    </w:p>
    <w:p w:rsidR="00B86598" w:rsidRPr="0080104C" w:rsidRDefault="00B86598" w:rsidP="00B86598">
      <w:pPr>
        <w:autoSpaceDE w:val="0"/>
        <w:autoSpaceDN w:val="0"/>
        <w:adjustRightInd w:val="0"/>
        <w:rPr>
          <w:szCs w:val="22"/>
        </w:rPr>
      </w:pPr>
      <w:r w:rsidRPr="0080104C">
        <w:rPr>
          <w:szCs w:val="22"/>
        </w:rPr>
        <w:t>Jeigu gydytojas Jums yra sakęs, kad netoleruojate kokių nors angliavandenių, kreipkitės į jį prieš pradėdami vartoti šį vaistą.</w:t>
      </w:r>
    </w:p>
    <w:p w:rsidR="00B86598" w:rsidRPr="0080104C" w:rsidRDefault="00B86598" w:rsidP="00B86598">
      <w:pPr>
        <w:pStyle w:val="Pagrindinistekstas"/>
        <w:spacing w:after="0"/>
        <w:rPr>
          <w:szCs w:val="22"/>
        </w:rPr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2"/>
      </w:pPr>
      <w:r w:rsidRPr="008A07C4">
        <w:t>3.</w:t>
      </w:r>
      <w:r w:rsidRPr="008A07C4">
        <w:tab/>
      </w:r>
      <w:r>
        <w:t>Kaip vartoti</w:t>
      </w:r>
      <w:r w:rsidRPr="008A07C4">
        <w:t xml:space="preserve"> DOXORUBICIN-TEVA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>
        <w:t>V</w:t>
      </w:r>
      <w:r w:rsidRPr="008A07C4">
        <w:t xml:space="preserve">isada vartokite </w:t>
      </w:r>
      <w:r>
        <w:t xml:space="preserve">šį vaistą </w:t>
      </w:r>
      <w:r w:rsidRPr="008A07C4">
        <w:t>tiksliai kaip nurodė gydytojas. Jeigu abejojate, kreipkitės į gydytoją arba vaistininką.</w:t>
      </w:r>
    </w:p>
    <w:p w:rsidR="00B86598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 w:rsidRPr="008A07C4">
        <w:t xml:space="preserve">Vaisto dozė priklauso nuo auglio rūšies, ligonio kepenų funkcijos ir kitų kartu vartojamų chemoterapinių preparatų.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Gydant vien </w:t>
      </w:r>
      <w:proofErr w:type="spellStart"/>
      <w:r w:rsidRPr="008A07C4">
        <w:t>doksorubicinu</w:t>
      </w:r>
      <w:proofErr w:type="spellEnd"/>
      <w:r w:rsidRPr="008A07C4">
        <w:t xml:space="preserve">, jo galima dozuoti vienu iš šių būdų: </w:t>
      </w:r>
    </w:p>
    <w:p w:rsidR="00B86598" w:rsidRPr="008A07C4" w:rsidRDefault="00B86598" w:rsidP="00B86598">
      <w:pPr>
        <w:pStyle w:val="Pagrindinistekstas"/>
        <w:numPr>
          <w:ilvl w:val="0"/>
          <w:numId w:val="1"/>
        </w:numPr>
        <w:spacing w:after="0"/>
      </w:pPr>
      <w:r w:rsidRPr="008A07C4">
        <w:t>kas tr</w:t>
      </w:r>
      <w:r>
        <w:t>i</w:t>
      </w:r>
      <w:r w:rsidRPr="008A07C4">
        <w:t>s savait</w:t>
      </w:r>
      <w:r>
        <w:t>e</w:t>
      </w:r>
      <w:r w:rsidRPr="008A07C4">
        <w:t xml:space="preserve">s į veną </w:t>
      </w:r>
      <w:proofErr w:type="spellStart"/>
      <w:r w:rsidRPr="008A07C4">
        <w:t>injekuoti</w:t>
      </w:r>
      <w:proofErr w:type="spellEnd"/>
      <w:r w:rsidRPr="008A07C4">
        <w:t xml:space="preserve"> 60 - 75 mg/m</w:t>
      </w:r>
      <w:r w:rsidRPr="008A07C4">
        <w:rPr>
          <w:vertAlign w:val="superscript"/>
        </w:rPr>
        <w:t>2</w:t>
      </w:r>
      <w:r w:rsidRPr="008A07C4">
        <w:t xml:space="preserve"> kūno paviršiaus dozę;</w:t>
      </w:r>
    </w:p>
    <w:p w:rsidR="00B86598" w:rsidRPr="008A07C4" w:rsidRDefault="00B86598" w:rsidP="00B86598">
      <w:pPr>
        <w:pStyle w:val="Pagrindinistekstas"/>
        <w:numPr>
          <w:ilvl w:val="0"/>
          <w:numId w:val="1"/>
        </w:numPr>
        <w:spacing w:after="0"/>
      </w:pPr>
      <w:r w:rsidRPr="008A07C4">
        <w:t>kas tr</w:t>
      </w:r>
      <w:r>
        <w:t>i</w:t>
      </w:r>
      <w:r w:rsidRPr="008A07C4">
        <w:t>s savait</w:t>
      </w:r>
      <w:r>
        <w:t>e</w:t>
      </w:r>
      <w:r w:rsidRPr="008A07C4">
        <w:t>s tris paras iš eilės į veną leisti po 20 mg/m</w:t>
      </w:r>
      <w:r w:rsidRPr="008A07C4">
        <w:rPr>
          <w:vertAlign w:val="superscript"/>
        </w:rPr>
        <w:t>2</w:t>
      </w:r>
      <w:r w:rsidRPr="008A07C4">
        <w:t xml:space="preserve"> kūno paviršiaus dozę.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Kartu su kitais </w:t>
      </w:r>
      <w:proofErr w:type="spellStart"/>
      <w:r w:rsidRPr="008A07C4">
        <w:t>citostatikais</w:t>
      </w:r>
      <w:proofErr w:type="spellEnd"/>
      <w:r w:rsidRPr="008A07C4">
        <w:t xml:space="preserve"> reikia vartoti 50 – 75 mg/m</w:t>
      </w:r>
      <w:r w:rsidRPr="008A07C4">
        <w:rPr>
          <w:vertAlign w:val="superscript"/>
        </w:rPr>
        <w:t>2</w:t>
      </w:r>
      <w:r w:rsidRPr="008A07C4">
        <w:t xml:space="preserve"> kūno paviršiaus </w:t>
      </w:r>
      <w:proofErr w:type="spellStart"/>
      <w:r w:rsidRPr="008A07C4">
        <w:t>doksorubicino</w:t>
      </w:r>
      <w:proofErr w:type="spellEnd"/>
      <w:r w:rsidRPr="008A07C4">
        <w:t xml:space="preserve"> dozę. Taip gydant, dėl adityvaus </w:t>
      </w:r>
      <w:proofErr w:type="spellStart"/>
      <w:r w:rsidRPr="008A07C4">
        <w:t>citostatikų</w:t>
      </w:r>
      <w:proofErr w:type="spellEnd"/>
      <w:r w:rsidRPr="008A07C4">
        <w:t xml:space="preserve"> poveikio galimas stipresnis kaulų čiulpų veiklos slopinimas. 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>Didėjant suvartotai dozei, palaipsniui didėja ir kardiomiopatijos pasireiškimo rizika, todėl bendrą 550 mg/m</w:t>
      </w:r>
      <w:r w:rsidRPr="008A07C4">
        <w:rPr>
          <w:vertAlign w:val="superscript"/>
        </w:rPr>
        <w:t>2</w:t>
      </w:r>
      <w:r w:rsidRPr="008A07C4">
        <w:t xml:space="preserve"> kūno paviršiaus dozę viršyti draudžiama. Gydant </w:t>
      </w:r>
      <w:proofErr w:type="spellStart"/>
      <w:r w:rsidRPr="008A07C4">
        <w:t>doksorubicinu</w:t>
      </w:r>
      <w:proofErr w:type="spellEnd"/>
      <w:r w:rsidRPr="008A07C4">
        <w:t xml:space="preserve"> būtina sekti EKG, </w:t>
      </w:r>
      <w:proofErr w:type="spellStart"/>
      <w:r w:rsidRPr="008A07C4">
        <w:t>echokardiografijos</w:t>
      </w:r>
      <w:proofErr w:type="spellEnd"/>
      <w:r w:rsidRPr="008A07C4">
        <w:t xml:space="preserve"> duomenis ir miego arterijos pulso kreivę. Jeigu QRS komplekso voltažas sumažėja 30 %. arba 5 % sutrumpėja išstūmimo frakcija, gydymą šiuo medikamentu reikia nutraukti. Pacientams, sergantiems širdies liga, vartojantiems širdžiai toksinį poveikį darančių vaistų nuo vėžio (ne </w:t>
      </w:r>
      <w:proofErr w:type="spellStart"/>
      <w:r w:rsidRPr="008A07C4">
        <w:t>antraciklinų</w:t>
      </w:r>
      <w:proofErr w:type="spellEnd"/>
      <w:r w:rsidRPr="008A07C4">
        <w:t xml:space="preserve">), bei tiems ligoniams, kurių tarpusienio organai švitinti radioaktyviaisiais spinduliais, didžiausia bendra </w:t>
      </w:r>
      <w:proofErr w:type="spellStart"/>
      <w:r w:rsidRPr="008A07C4">
        <w:t>doksorubicino</w:t>
      </w:r>
      <w:proofErr w:type="spellEnd"/>
      <w:r w:rsidRPr="008A07C4">
        <w:t xml:space="preserve"> dozė yra 400 mg/m</w:t>
      </w:r>
      <w:r w:rsidRPr="008A07C4">
        <w:rPr>
          <w:vertAlign w:val="superscript"/>
        </w:rPr>
        <w:t>2</w:t>
      </w:r>
      <w:r w:rsidRPr="008A07C4">
        <w:t xml:space="preserve"> kūno paviršiaus. Jeigu </w:t>
      </w:r>
      <w:proofErr w:type="spellStart"/>
      <w:r w:rsidRPr="008A07C4">
        <w:t>bilirubino</w:t>
      </w:r>
      <w:proofErr w:type="spellEnd"/>
      <w:r w:rsidRPr="008A07C4">
        <w:t xml:space="preserve"> koncentracija kraujo plazmoje padidėja, vaisto dozę rekomenduojama mažinti taip: jeigu </w:t>
      </w:r>
      <w:proofErr w:type="spellStart"/>
      <w:r w:rsidRPr="008A07C4">
        <w:t>bilirubino</w:t>
      </w:r>
      <w:proofErr w:type="spellEnd"/>
      <w:r w:rsidRPr="008A07C4">
        <w:t xml:space="preserve"> yra 12 - 30 mg/l, vartoti pusę įprastinės dozės, jeigu daugiau negu 30 mg/l </w:t>
      </w:r>
      <w:r w:rsidRPr="008A07C4">
        <w:sym w:font="Symbol" w:char="F02D"/>
      </w:r>
      <w:r w:rsidRPr="008A07C4">
        <w:t xml:space="preserve"> ketvirtadalį. 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Pacientams, kurių inkstų funkcija sutrikusi, dozės mažinti paprastai nereikia. 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Doksorubicino</w:t>
      </w:r>
      <w:proofErr w:type="spellEnd"/>
      <w:r w:rsidRPr="008A07C4">
        <w:t xml:space="preserve"> tirpalą reikia švirkšti iš karto arba nepertraukiamai </w:t>
      </w:r>
      <w:proofErr w:type="spellStart"/>
      <w:r w:rsidRPr="008A07C4">
        <w:t>infuzuoti</w:t>
      </w:r>
      <w:proofErr w:type="spellEnd"/>
      <w:r w:rsidRPr="008A07C4">
        <w:t xml:space="preserve"> į veną. Vaisto sušvirkštus, didžiausia koncentracija kraujyje būna didesnė, todėl gali pasireikšti stipresnis toksinis poveikis širdžiai. Į raumenis arba po oda </w:t>
      </w:r>
      <w:proofErr w:type="spellStart"/>
      <w:r w:rsidRPr="008A07C4">
        <w:t>doksorubicino</w:t>
      </w:r>
      <w:proofErr w:type="spellEnd"/>
      <w:r w:rsidRPr="008A07C4">
        <w:t xml:space="preserve"> leisti negalima. Geriausia vienkartinę dozę per 3 – 5 min. suleisti į infuzijų sistemą, kuria lašinama skysčių. Pacientams, kuriems toksinio poveikio širdžiai rizika yra didesnė, vienkartinę dozę geriau ne iš karto švirkšti į veną, bet per 24 valandas sulašinti. Vaisto </w:t>
      </w:r>
      <w:proofErr w:type="spellStart"/>
      <w:r w:rsidRPr="008A07C4">
        <w:t>infuzavus</w:t>
      </w:r>
      <w:proofErr w:type="spellEnd"/>
      <w:r w:rsidRPr="008A07C4">
        <w:t xml:space="preserve">, terapinis veiksmingumas nesumažėja, o toksinis poveikis širdžiai gali pasireikšti rečiau. Tokiems ligoniams prieš kiekvieną </w:t>
      </w:r>
      <w:proofErr w:type="spellStart"/>
      <w:r w:rsidRPr="008A07C4">
        <w:t>do</w:t>
      </w:r>
      <w:r>
        <w:t>k</w:t>
      </w:r>
      <w:r w:rsidRPr="008A07C4">
        <w:t>sorubicino</w:t>
      </w:r>
      <w:proofErr w:type="spellEnd"/>
      <w:r w:rsidRPr="008A07C4">
        <w:t xml:space="preserve"> injekciją reikia matuoti išstūmimo frakciją.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9D4804" w:rsidRDefault="00B86598" w:rsidP="00B86598">
      <w:pPr>
        <w:pStyle w:val="Pagrindinistekstas"/>
        <w:spacing w:after="0"/>
        <w:rPr>
          <w:b/>
        </w:rPr>
      </w:pPr>
      <w:r w:rsidRPr="009D4804">
        <w:rPr>
          <w:b/>
        </w:rPr>
        <w:t>Vartojimas vaikams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Vaikus galima gydyti mažesne </w:t>
      </w:r>
      <w:proofErr w:type="spellStart"/>
      <w:r w:rsidRPr="008A07C4">
        <w:t>doksorubicino</w:t>
      </w:r>
      <w:proofErr w:type="spellEnd"/>
      <w:r w:rsidRPr="008A07C4">
        <w:t xml:space="preserve"> doze, kadangi jiems yra didesnė vėlyvojo toksinio poveikio širdžiai rizika. Galimas toksinis poveikis kaulų čiulpams. Stipriausiai jo funkcija slopinama 10 - 12 parą po injekcijos, tačiau ji greitai (greičiau negu suaugusių žmonių) atsigauna.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Paviršinė ar lokali (</w:t>
      </w:r>
      <w:proofErr w:type="spellStart"/>
      <w:r w:rsidRPr="008A07C4">
        <w:rPr>
          <w:i/>
        </w:rPr>
        <w:t>in</w:t>
      </w:r>
      <w:proofErr w:type="spellEnd"/>
      <w:r w:rsidRPr="008A07C4">
        <w:rPr>
          <w:i/>
        </w:rPr>
        <w:t xml:space="preserve"> </w:t>
      </w:r>
      <w:proofErr w:type="spellStart"/>
      <w:r w:rsidRPr="008A07C4">
        <w:rPr>
          <w:i/>
        </w:rPr>
        <w:t>situ</w:t>
      </w:r>
      <w:proofErr w:type="spellEnd"/>
      <w:r w:rsidRPr="008A07C4">
        <w:rPr>
          <w:i/>
        </w:rPr>
        <w:t xml:space="preserve">) šlapimo pūslės </w:t>
      </w:r>
      <w:proofErr w:type="spellStart"/>
      <w:r w:rsidRPr="008A07C4">
        <w:rPr>
          <w:i/>
        </w:rPr>
        <w:t>karcinoma</w:t>
      </w:r>
      <w:proofErr w:type="spellEnd"/>
    </w:p>
    <w:p w:rsidR="00B86598" w:rsidRPr="008A07C4" w:rsidRDefault="00B86598" w:rsidP="00B86598">
      <w:pPr>
        <w:pStyle w:val="Pagrindinistekstas"/>
        <w:spacing w:after="0"/>
      </w:pPr>
      <w:r w:rsidRPr="008A07C4">
        <w:lastRenderedPageBreak/>
        <w:t xml:space="preserve">Rekomenduojama vienkartinė dozė yra 50 mg. Ji ištirpinama 50 ml </w:t>
      </w:r>
      <w:proofErr w:type="spellStart"/>
      <w:r w:rsidRPr="008A07C4">
        <w:t>izotoninio</w:t>
      </w:r>
      <w:proofErr w:type="spellEnd"/>
      <w:r w:rsidRPr="008A07C4">
        <w:t xml:space="preserve"> natrio chlorido tirpalo ir steriliu kateteriu </w:t>
      </w:r>
      <w:proofErr w:type="spellStart"/>
      <w:r w:rsidRPr="008A07C4">
        <w:t>instiliuojama</w:t>
      </w:r>
      <w:proofErr w:type="spellEnd"/>
      <w:r w:rsidRPr="008A07C4">
        <w:t xml:space="preserve"> į pūslę: gydymo pradžioje kas savaitę, vėliau </w:t>
      </w:r>
      <w:r w:rsidRPr="008A07C4">
        <w:sym w:font="Symbol" w:char="F02D"/>
      </w:r>
      <w:r w:rsidRPr="008A07C4">
        <w:t xml:space="preserve"> kas mėnesį. Optimali gydymo trukmė dar nenustatyta, ji gali trukti 6 - 12 mėnesių. </w:t>
      </w:r>
      <w:proofErr w:type="spellStart"/>
      <w:r w:rsidRPr="008A07C4">
        <w:t>Doksorubicino</w:t>
      </w:r>
      <w:proofErr w:type="spellEnd"/>
      <w:r w:rsidRPr="008A07C4">
        <w:t xml:space="preserve"> vartojant šiuo būdu, priešingai nei leidžiant į veną, nurodytos didžiausios bendros dozės galima nepaisyti, kadangi iš pūslės medikamento rezorbuojama labai mažai.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>Jeigu manote, kad DOXORUBICIN-TEVA veikia per stipriai arba per silpnai, kreipkitės į gydytoją arba vaistininką.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>
        <w:t>Ką daryti p</w:t>
      </w:r>
      <w:r w:rsidRPr="008A07C4">
        <w:t>avartojus per didelę DOXORUBICIN-TEVA dozę</w:t>
      </w:r>
      <w:r>
        <w:t>?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Ūminis </w:t>
      </w:r>
      <w:proofErr w:type="spellStart"/>
      <w:r w:rsidRPr="008A07C4">
        <w:t>doksorubicino</w:t>
      </w:r>
      <w:proofErr w:type="spellEnd"/>
      <w:r w:rsidRPr="008A07C4">
        <w:t xml:space="preserve"> perdozavimas pasireiškia labai sunkiais įprastiniais šalutinio poveikio simptomais, y</w:t>
      </w:r>
      <w:r>
        <w:t>p</w:t>
      </w:r>
      <w:r w:rsidRPr="008A07C4">
        <w:t xml:space="preserve">ač gleivinės uždegimu, </w:t>
      </w:r>
      <w:proofErr w:type="spellStart"/>
      <w:r w:rsidRPr="008A07C4">
        <w:t>leukopenija</w:t>
      </w:r>
      <w:proofErr w:type="spellEnd"/>
      <w:r w:rsidRPr="008A07C4">
        <w:t xml:space="preserve"> ir </w:t>
      </w:r>
      <w:proofErr w:type="spellStart"/>
      <w:r w:rsidRPr="008A07C4">
        <w:t>trombocitopenija</w:t>
      </w:r>
      <w:proofErr w:type="spellEnd"/>
      <w:r w:rsidRPr="008A07C4">
        <w:t xml:space="preserve">. Per didelę dozę </w:t>
      </w:r>
      <w:proofErr w:type="spellStart"/>
      <w:r w:rsidRPr="008A07C4">
        <w:t>instiliavus</w:t>
      </w:r>
      <w:proofErr w:type="spellEnd"/>
      <w:r w:rsidRPr="008A07C4">
        <w:t xml:space="preserve"> į šlapimo pūslę, gali pasunkėti cistitas. Apsinuodijęs ligonis, onkologui prižiūrint, gydomas ligoninėje kaulų čiulpų slopinimą mažinančiomis priemonėmis, antibiotikais bei kraujo transfuzijomis. 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>Jeigu viršijama rekomenduojama didžiausia bendra dozė (550 mg/m</w:t>
      </w:r>
      <w:r w:rsidRPr="008A07C4">
        <w:rPr>
          <w:vertAlign w:val="superscript"/>
        </w:rPr>
        <w:t>2</w:t>
      </w:r>
      <w:r w:rsidRPr="008A07C4">
        <w:t xml:space="preserve"> kūno paviršiaus), galima sunki kardiomiopatija ir širdies nepakankamumas. Tokiu atveju ligonį būtina tuoj pat pradėti tinkamai gydyti, pvz., širdies glikozidais, diuretikais. 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Suleidus labai didelę vienkartinę dozę, per 24 valandas gali pasireikšti miokardo degeneracija.    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 w:rsidRPr="008A07C4">
        <w:t>Pamiršus pavartoti DOXORUBICIN-TEVA</w:t>
      </w:r>
    </w:p>
    <w:p w:rsidR="00B86598" w:rsidRPr="008A07C4" w:rsidRDefault="00B86598" w:rsidP="00B86598">
      <w:pPr>
        <w:pStyle w:val="Pagrindinistekstas"/>
        <w:spacing w:after="0"/>
      </w:pPr>
      <w:r w:rsidRPr="00EA0830">
        <w:t>Negalima vartoti dvigubos dozės norint kompensuoti praleistą dozę.</w:t>
      </w:r>
      <w:r>
        <w:t xml:space="preserve"> </w:t>
      </w:r>
      <w:r w:rsidRPr="008A07C4">
        <w:t>Toliau vaistą reikia dozuoti taip, kaip paskirta.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3"/>
      </w:pPr>
      <w:r w:rsidRPr="008A07C4">
        <w:t xml:space="preserve">Nustojus vartoti DOXORUBICIN-TEVA 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>Savo nuožiūra, pvz., dėl šalutinio poveikio, pertraukus ar per anksti baigus gydymą, liga gali atsinaujinti ir/ar progresuoti.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>Jeigu kiltų daugiau klausimų dėl šio vaisto vartojimo, kreipkitės į gydytoją arba vaistininką.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2"/>
      </w:pPr>
      <w:r w:rsidRPr="008A07C4">
        <w:t>4.</w:t>
      </w:r>
      <w:r w:rsidRPr="008A07C4">
        <w:tab/>
        <w:t>G</w:t>
      </w:r>
      <w:r>
        <w:t>alimas šalutinis poveikis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>
        <w:t>Šis vaistas,</w:t>
      </w:r>
      <w:r w:rsidRPr="008A07C4">
        <w:t xml:space="preserve"> kaip ir </w:t>
      </w:r>
      <w:r>
        <w:t xml:space="preserve">visi </w:t>
      </w:r>
      <w:r w:rsidRPr="008A07C4">
        <w:t>kiti, gali sukelti šalutinį poveikį, nors jis pasireiškia ne visiems žmonėms.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proofErr w:type="spellStart"/>
      <w:r w:rsidRPr="008A07C4">
        <w:t>Doksorubicino</w:t>
      </w:r>
      <w:proofErr w:type="spellEnd"/>
      <w:r w:rsidRPr="008A07C4">
        <w:t xml:space="preserve"> poveikis, dėl kurio reikia riboti dozę, yra kaulų čiulpų funkcijos slopinimas ir toksinis poveikis širdžiai.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 </w:t>
      </w:r>
    </w:p>
    <w:p w:rsidR="00B86598" w:rsidRPr="008A07C4" w:rsidRDefault="00B86598" w:rsidP="00B86598">
      <w:pPr>
        <w:pStyle w:val="Pagrindinistekstas"/>
        <w:spacing w:after="0"/>
        <w:rPr>
          <w:i/>
          <w:color w:val="000000"/>
        </w:rPr>
      </w:pPr>
      <w:r w:rsidRPr="008A07C4">
        <w:rPr>
          <w:i/>
          <w:color w:val="000000"/>
        </w:rPr>
        <w:t>Kraujo ir limfinės sistemos sutrikimai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Dėl kaulų čiulpų slopinimo atsiranda laikina </w:t>
      </w:r>
      <w:proofErr w:type="spellStart"/>
      <w:r w:rsidRPr="008A07C4">
        <w:t>leukopenija</w:t>
      </w:r>
      <w:proofErr w:type="spellEnd"/>
      <w:r w:rsidRPr="008A07C4">
        <w:t xml:space="preserve">, anemija ir </w:t>
      </w:r>
      <w:proofErr w:type="spellStart"/>
      <w:r w:rsidRPr="008A07C4">
        <w:t>trombocitopenija</w:t>
      </w:r>
      <w:proofErr w:type="spellEnd"/>
      <w:r w:rsidRPr="008A07C4">
        <w:t xml:space="preserve">. Daugiausiai minėtų kraujo ląstelių kiekis sumažėja 10 - 14 parą po vaisto suleidimo.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Širdies sutrikimai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>Toksinis poveikis širdžiai pasireiškia aritmija, prasidedančia tuoj pat po injekcijos. Gali atsirasti EKG pokyčių, įskaitant T dantelio suplokštėjimą bei ST depresiją, kurie gali išlikti net 2 savaites. Kadangi didėjant suvartotai dozei didėja ir kardiomiopatijos pasireiškimo galimybė, todėl rekomenduojamą bendrą 550 mg/m</w:t>
      </w:r>
      <w:r w:rsidRPr="008A07C4">
        <w:rPr>
          <w:vertAlign w:val="superscript"/>
        </w:rPr>
        <w:t>2</w:t>
      </w:r>
      <w:r w:rsidRPr="008A07C4">
        <w:t xml:space="preserve"> kūno paviršiaus dozę viršyti draudžiama. 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Kardiomiopatijos rizikos veiksniai yra amžius (vyresni negu 70 metų arba jaunesni negu 15 metų žmonės). Ankstesnis gydymas </w:t>
      </w:r>
      <w:proofErr w:type="spellStart"/>
      <w:r w:rsidRPr="008A07C4">
        <w:t>mitomicinu</w:t>
      </w:r>
      <w:proofErr w:type="spellEnd"/>
      <w:r w:rsidRPr="008A07C4">
        <w:t xml:space="preserve"> C, </w:t>
      </w:r>
      <w:proofErr w:type="spellStart"/>
      <w:r w:rsidRPr="008A07C4">
        <w:t>ciklofosfamidu</w:t>
      </w:r>
      <w:proofErr w:type="spellEnd"/>
      <w:r w:rsidRPr="008A07C4">
        <w:t xml:space="preserve"> ar </w:t>
      </w:r>
      <w:proofErr w:type="spellStart"/>
      <w:r w:rsidRPr="008A07C4">
        <w:t>d</w:t>
      </w:r>
      <w:r>
        <w:t>a</w:t>
      </w:r>
      <w:r w:rsidRPr="008A07C4">
        <w:t>karbazinu</w:t>
      </w:r>
      <w:proofErr w:type="spellEnd"/>
      <w:r w:rsidRPr="008A07C4">
        <w:t xml:space="preserve"> arba jų vartojimas kartu su </w:t>
      </w:r>
      <w:proofErr w:type="spellStart"/>
      <w:r w:rsidRPr="008A07C4">
        <w:t>doksorubicinu</w:t>
      </w:r>
      <w:proofErr w:type="spellEnd"/>
      <w:r w:rsidRPr="008A07C4">
        <w:t xml:space="preserve"> sunkina šio medikamento sukeltą kardiomiopatiją. Toksinis </w:t>
      </w:r>
      <w:proofErr w:type="spellStart"/>
      <w:r w:rsidRPr="008A07C4">
        <w:t>doksorubicino</w:t>
      </w:r>
      <w:proofErr w:type="spellEnd"/>
      <w:r w:rsidRPr="008A07C4">
        <w:t xml:space="preserve"> poveikis širdžiai galimas net kelias savaites ar mėnesius po gydymo nutraukimo.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Virškinimo trakto sutrikimai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Gali pasireikšti virškinimo trakto sutrikimas, įskaitant pykinimą, vėmimą ir viduriavimą. 5 - 10 parą po vaisto suleidimo gali atsirasti  </w:t>
      </w:r>
      <w:proofErr w:type="spellStart"/>
      <w:r w:rsidRPr="008A07C4">
        <w:t>mukozitas</w:t>
      </w:r>
      <w:proofErr w:type="spellEnd"/>
      <w:r w:rsidRPr="008A07C4">
        <w:t xml:space="preserve"> (stomatitas ar </w:t>
      </w:r>
      <w:proofErr w:type="spellStart"/>
      <w:r w:rsidRPr="008A07C4">
        <w:t>ezofagitas</w:t>
      </w:r>
      <w:proofErr w:type="spellEnd"/>
      <w:r w:rsidRPr="008A07C4">
        <w:t xml:space="preserve">).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lastRenderedPageBreak/>
        <w:t>Imuninės sistemos sutrikimai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Kartais galima padidėjusio organizmo jautrumo reakcija, pvz., karščiavimas, </w:t>
      </w:r>
      <w:proofErr w:type="spellStart"/>
      <w:r w:rsidRPr="008A07C4">
        <w:t>urtikarija</w:t>
      </w:r>
      <w:proofErr w:type="spellEnd"/>
      <w:r w:rsidRPr="008A07C4">
        <w:t xml:space="preserve">, </w:t>
      </w:r>
      <w:proofErr w:type="spellStart"/>
      <w:r w:rsidRPr="008A07C4">
        <w:t>anafilaksija</w:t>
      </w:r>
      <w:proofErr w:type="spellEnd"/>
      <w:r w:rsidRPr="008A07C4">
        <w:t xml:space="preserve">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Kepenų</w:t>
      </w:r>
      <w:r>
        <w:rPr>
          <w:i/>
        </w:rPr>
        <w:t xml:space="preserve">, </w:t>
      </w:r>
      <w:r w:rsidRPr="008A07C4">
        <w:rPr>
          <w:i/>
        </w:rPr>
        <w:t xml:space="preserve">tulžies </w:t>
      </w:r>
      <w:r>
        <w:rPr>
          <w:i/>
        </w:rPr>
        <w:t xml:space="preserve">pūslės ir latakų </w:t>
      </w:r>
      <w:r w:rsidRPr="008A07C4">
        <w:rPr>
          <w:i/>
        </w:rPr>
        <w:t>sutrikimai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Kraujyje gali trumpam šiek tiek padidėti kepenų fermentų aktyvumas. Jeigu gydant </w:t>
      </w:r>
      <w:proofErr w:type="spellStart"/>
      <w:r w:rsidRPr="008A07C4">
        <w:t>doksorubicinu</w:t>
      </w:r>
      <w:proofErr w:type="spellEnd"/>
      <w:r w:rsidRPr="008A07C4">
        <w:t xml:space="preserve"> švitinamos kepenys, joms gali pasireikšti sunkus toksinis poveikis, kartais progresuojantis į cirozę.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Inkstų ir šlapimo takų sutrikimai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Doksorubicino</w:t>
      </w:r>
      <w:proofErr w:type="spellEnd"/>
      <w:r w:rsidRPr="008A07C4">
        <w:t xml:space="preserve"> </w:t>
      </w:r>
      <w:proofErr w:type="spellStart"/>
      <w:r w:rsidRPr="008A07C4">
        <w:t>instiliavus</w:t>
      </w:r>
      <w:proofErr w:type="spellEnd"/>
      <w:r w:rsidRPr="008A07C4">
        <w:t xml:space="preserve"> į šlapimo pūslę, gali pasireikšti </w:t>
      </w:r>
      <w:proofErr w:type="spellStart"/>
      <w:r w:rsidRPr="008A07C4">
        <w:t>hematurija</w:t>
      </w:r>
      <w:proofErr w:type="spellEnd"/>
      <w:r w:rsidRPr="008A07C4">
        <w:t xml:space="preserve">, pūslės ir šlaplės dirginimas, stanga ir </w:t>
      </w:r>
      <w:proofErr w:type="spellStart"/>
      <w:r w:rsidRPr="008A07C4">
        <w:t>poliakiurija</w:t>
      </w:r>
      <w:proofErr w:type="spellEnd"/>
      <w:r w:rsidRPr="008A07C4">
        <w:t xml:space="preserve">. Minėtas poveikis paprastai būna vidutinio sunkumo ir trumpalaikis. Kartais gali atsirasti hemoraginis cistitas, dėl to gali mažėti pūslės talpumas. Vartojant </w:t>
      </w:r>
      <w:proofErr w:type="spellStart"/>
      <w:r w:rsidRPr="008A07C4">
        <w:t>doksorubicino</w:t>
      </w:r>
      <w:proofErr w:type="spellEnd"/>
      <w:r w:rsidRPr="008A07C4">
        <w:t xml:space="preserve">, gali parausvėti šlapimas. </w:t>
      </w:r>
    </w:p>
    <w:p w:rsidR="00B86598" w:rsidRDefault="00B86598" w:rsidP="00B86598">
      <w:pPr>
        <w:pStyle w:val="Pagrindinistekstas"/>
        <w:spacing w:after="0"/>
        <w:rPr>
          <w:i/>
        </w:rPr>
      </w:pPr>
    </w:p>
    <w:p w:rsidR="00B86598" w:rsidRPr="008A07C4" w:rsidRDefault="00B86598" w:rsidP="00B86598">
      <w:pPr>
        <w:pStyle w:val="Pagrindinistekstas"/>
        <w:spacing w:after="0"/>
        <w:rPr>
          <w:i/>
        </w:rPr>
      </w:pPr>
      <w:r w:rsidRPr="008A07C4">
        <w:rPr>
          <w:i/>
        </w:rPr>
        <w:t>Bendri</w:t>
      </w:r>
      <w:r>
        <w:rPr>
          <w:i/>
        </w:rPr>
        <w:t>eji</w:t>
      </w:r>
      <w:r w:rsidRPr="008A07C4">
        <w:rPr>
          <w:i/>
        </w:rPr>
        <w:t xml:space="preserve"> sutrikimai ir vartojimo vietos pažeidimas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Gali pasireikšti </w:t>
      </w:r>
      <w:proofErr w:type="spellStart"/>
      <w:r w:rsidRPr="008A07C4">
        <w:t>alopecija</w:t>
      </w:r>
      <w:proofErr w:type="spellEnd"/>
      <w:r w:rsidRPr="008A07C4">
        <w:t xml:space="preserve"> (paprastai ji būna laikina). 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Doksorubicinas</w:t>
      </w:r>
      <w:proofErr w:type="spellEnd"/>
      <w:r w:rsidRPr="008A07C4">
        <w:t xml:space="preserve"> stiprina audinių reakciją į radioaktyviųjų spindulių poveikį. Medikamento pavartojus praėjus kiek laiko po švitinimo, galima vėlyvoji audinių reakcija (</w:t>
      </w:r>
      <w:proofErr w:type="spellStart"/>
      <w:r w:rsidRPr="008A07C4">
        <w:t>recall</w:t>
      </w:r>
      <w:proofErr w:type="spellEnd"/>
      <w:r w:rsidRPr="008A07C4">
        <w:t xml:space="preserve">). </w:t>
      </w:r>
    </w:p>
    <w:p w:rsidR="00B86598" w:rsidRDefault="00B86598" w:rsidP="00B86598">
      <w:pPr>
        <w:pStyle w:val="Pagrindinistekstas"/>
        <w:spacing w:after="0"/>
      </w:pPr>
      <w:r w:rsidRPr="008A07C4">
        <w:t xml:space="preserve">Jeigu </w:t>
      </w:r>
      <w:proofErr w:type="spellStart"/>
      <w:r w:rsidRPr="008A07C4">
        <w:t>doksorubicino</w:t>
      </w:r>
      <w:proofErr w:type="spellEnd"/>
      <w:r w:rsidRPr="008A07C4">
        <w:t xml:space="preserve"> </w:t>
      </w:r>
      <w:proofErr w:type="spellStart"/>
      <w:r w:rsidRPr="008A07C4">
        <w:t>infuzuojama</w:t>
      </w:r>
      <w:proofErr w:type="spellEnd"/>
      <w:r w:rsidRPr="008A07C4">
        <w:t xml:space="preserve"> greitai, gali parausti ligonio veidas. Gali pasireikšti </w:t>
      </w:r>
      <w:proofErr w:type="spellStart"/>
      <w:r w:rsidRPr="008A07C4">
        <w:t>tromboflebitas</w:t>
      </w:r>
      <w:proofErr w:type="spellEnd"/>
      <w:r w:rsidRPr="008A07C4">
        <w:t xml:space="preserve"> ir konjunktyvitas.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>Jeigu atsiranda šiame lapelyje neminėtas šalutinis poveikis, pasakykite gydytojui arba vaistininkui.</w:t>
      </w:r>
    </w:p>
    <w:p w:rsidR="00B86598" w:rsidRDefault="00B86598" w:rsidP="00B86598">
      <w:pPr>
        <w:pStyle w:val="Pagrindinistekstas"/>
        <w:spacing w:after="0"/>
      </w:pPr>
    </w:p>
    <w:p w:rsidR="00B86598" w:rsidRPr="009D4804" w:rsidRDefault="00B86598" w:rsidP="00B86598">
      <w:pPr>
        <w:pStyle w:val="Pagrindinistekstas"/>
        <w:spacing w:after="0"/>
        <w:rPr>
          <w:b/>
        </w:rPr>
      </w:pPr>
      <w:r w:rsidRPr="009D4804">
        <w:rPr>
          <w:b/>
        </w:rPr>
        <w:t>Pranešimas apie šalutinį poveikį</w:t>
      </w:r>
    </w:p>
    <w:p w:rsidR="00B86598" w:rsidRPr="008A07C4" w:rsidRDefault="00B86598" w:rsidP="00B86598">
      <w:pPr>
        <w:pStyle w:val="Pagrindinistekstas"/>
        <w:spacing w:after="0"/>
      </w:pPr>
      <w:r>
        <w:t xml:space="preserve">Jeigu pasireiškė šalutinis poveikis, įskaitant šiame lapelyje nenurodytą, pasakykite gydytojui, vaistininkui arba slaugytojui. </w:t>
      </w:r>
      <w:r w:rsidRPr="007F01BF">
        <w:t xml:space="preserve"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7F01BF">
        <w:t>NepageidaujamaR@vvkt.lt</w:t>
      </w:r>
      <w:proofErr w:type="spellEnd"/>
      <w:r w:rsidRPr="007F01BF">
        <w:t>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B86598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Antrat2"/>
      </w:pPr>
      <w:r w:rsidRPr="008A07C4">
        <w:t>5.</w:t>
      </w:r>
      <w:r w:rsidRPr="008A07C4">
        <w:tab/>
        <w:t>K</w:t>
      </w:r>
      <w:r>
        <w:t xml:space="preserve">aip laikyti </w:t>
      </w:r>
      <w:r w:rsidRPr="008A07C4">
        <w:t xml:space="preserve">DOXORUBICIN-TEVA 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>
        <w:t>Šį vaistą l</w:t>
      </w:r>
      <w:r w:rsidRPr="008A07C4">
        <w:t xml:space="preserve">aikyti vaikams nepastebimoje </w:t>
      </w:r>
      <w:r>
        <w:t xml:space="preserve">ir nepasiekiamoje </w:t>
      </w:r>
      <w:r w:rsidRPr="008A07C4">
        <w:t>vietoje.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 w:rsidRPr="008A07C4">
        <w:t>Laikyti ne aukštesnėje kaip 25 </w:t>
      </w:r>
      <w:r w:rsidRPr="008A07C4">
        <w:sym w:font="Symbol" w:char="F0B0"/>
      </w:r>
      <w:r w:rsidRPr="008A07C4">
        <w:t>C temperatūroje.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Laikyti gamintojo pakuotėje, kad </w:t>
      </w:r>
      <w:r>
        <w:t>vaistas</w:t>
      </w:r>
      <w:r w:rsidRPr="008A07C4">
        <w:t xml:space="preserve"> būtų apsaugotas nuo šviesos.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Paruošto iš miltelių tirpalo tinkamumo laikas yra 7 paros, jei </w:t>
      </w:r>
      <w:r>
        <w:t>vaistas</w:t>
      </w:r>
      <w:r w:rsidRPr="008A07C4">
        <w:t xml:space="preserve"> laikomas ne aukštesnėje kaip 25 </w:t>
      </w:r>
      <w:r w:rsidRPr="008A07C4">
        <w:sym w:font="Symbol" w:char="F0B0"/>
      </w:r>
      <w:r w:rsidRPr="008A07C4">
        <w:t>C temperatūroje.</w:t>
      </w:r>
    </w:p>
    <w:p w:rsidR="00B86598" w:rsidRDefault="00B86598" w:rsidP="00B86598">
      <w:pPr>
        <w:pStyle w:val="Pagrindinistekstas"/>
        <w:spacing w:after="0"/>
      </w:pPr>
      <w:r w:rsidRPr="008A07C4">
        <w:t xml:space="preserve">Paruošto iš miltelių tirpalo tinkamumo laikas yra 15 parų, jei </w:t>
      </w:r>
      <w:r>
        <w:t>vaistas</w:t>
      </w:r>
      <w:r w:rsidRPr="008A07C4">
        <w:t xml:space="preserve"> laikomas 2 – 8 </w:t>
      </w:r>
      <w:r w:rsidRPr="008A07C4">
        <w:sym w:font="Symbol" w:char="F0B0"/>
      </w:r>
      <w:r w:rsidRPr="008A07C4">
        <w:t>C temperatūroje (šaldytuve).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Default="00B86598" w:rsidP="00B86598">
      <w:pPr>
        <w:pStyle w:val="Pagrindinistekstas"/>
        <w:spacing w:after="0"/>
      </w:pPr>
      <w:r w:rsidRPr="008A07C4">
        <w:t xml:space="preserve">Ant </w:t>
      </w:r>
      <w:r>
        <w:t>dėžutės ir flakono</w:t>
      </w:r>
      <w:r w:rsidRPr="008A07C4">
        <w:t xml:space="preserve"> </w:t>
      </w:r>
      <w:r>
        <w:t xml:space="preserve">po </w:t>
      </w:r>
      <w:r w:rsidRPr="00E44EDA">
        <w:rPr>
          <w:highlight w:val="lightGray"/>
        </w:rPr>
        <w:t>„Tinka iki“/</w:t>
      </w:r>
      <w:r w:rsidRPr="007C2A47">
        <w:t>,</w:t>
      </w:r>
      <w:r>
        <w:t xml:space="preserve">,EXP“ </w:t>
      </w:r>
      <w:r w:rsidRPr="008A07C4">
        <w:t xml:space="preserve">nurodytam tinkamumo laikui pasibaigus, </w:t>
      </w:r>
      <w:r>
        <w:t xml:space="preserve">šio vaisto </w:t>
      </w:r>
      <w:r w:rsidRPr="008A07C4">
        <w:t>vartoti negalima. Vaistas tinka</w:t>
      </w:r>
      <w:r>
        <w:t>mas</w:t>
      </w:r>
      <w:r w:rsidRPr="008A07C4">
        <w:t xml:space="preserve"> vartoti iki paskutinės nurodyto mėnesio dienos.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Vaistų negalima </w:t>
      </w:r>
      <w:r>
        <w:t>išmesti</w:t>
      </w:r>
      <w:r w:rsidRPr="008A07C4">
        <w:t xml:space="preserve"> į kanalizaciją arba</w:t>
      </w:r>
      <w:r>
        <w:t xml:space="preserve"> </w:t>
      </w:r>
      <w:r w:rsidRPr="008A07C4">
        <w:t xml:space="preserve">su buitinėmis atliekomis. Kaip </w:t>
      </w:r>
      <w:r>
        <w:t xml:space="preserve">išmesti </w:t>
      </w:r>
      <w:r w:rsidRPr="008A07C4">
        <w:t>nereikalingus vaistus, klauskite vaistininko. Šios priemonės padės apsaugoti aplinką.</w:t>
      </w:r>
    </w:p>
    <w:p w:rsidR="00B86598" w:rsidRPr="008A07C4" w:rsidRDefault="00B86598" w:rsidP="00B86598"/>
    <w:p w:rsidR="00B86598" w:rsidRPr="008A07C4" w:rsidRDefault="00B86598" w:rsidP="00B86598"/>
    <w:p w:rsidR="00B86598" w:rsidRPr="008A07C4" w:rsidRDefault="00B86598" w:rsidP="00B86598">
      <w:pPr>
        <w:pStyle w:val="Antrat2"/>
      </w:pPr>
      <w:r w:rsidRPr="008A07C4">
        <w:t>6.</w:t>
      </w:r>
      <w:r w:rsidRPr="008A07C4">
        <w:tab/>
      </w:r>
      <w:r>
        <w:t>Pakuotės turinys ir kita informacija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  <w:rPr>
          <w:b/>
        </w:rPr>
      </w:pPr>
      <w:r w:rsidRPr="008A07C4">
        <w:rPr>
          <w:b/>
        </w:rPr>
        <w:t>DOXORUBICIN-TEVA sudėtis</w:t>
      </w:r>
    </w:p>
    <w:p w:rsidR="00B86598" w:rsidRPr="008A07C4" w:rsidRDefault="00B86598" w:rsidP="00B86598">
      <w:pPr>
        <w:pStyle w:val="Pagrindinistekstas"/>
        <w:spacing w:after="0"/>
        <w:rPr>
          <w:b/>
        </w:rPr>
      </w:pPr>
    </w:p>
    <w:p w:rsidR="00B86598" w:rsidRPr="008A07C4" w:rsidRDefault="00B86598" w:rsidP="00B86598">
      <w:pPr>
        <w:pStyle w:val="Pagrindinistekstas"/>
        <w:spacing w:after="0"/>
        <w:ind w:left="567" w:hanging="567"/>
      </w:pPr>
      <w:r w:rsidRPr="008A07C4">
        <w:t>-</w:t>
      </w:r>
      <w:r w:rsidRPr="008A07C4">
        <w:tab/>
        <w:t xml:space="preserve">Veiklioji medžiaga yra </w:t>
      </w:r>
      <w:proofErr w:type="spellStart"/>
      <w:r w:rsidRPr="008A07C4">
        <w:t>doksorubicino</w:t>
      </w:r>
      <w:proofErr w:type="spellEnd"/>
      <w:r w:rsidRPr="008A07C4">
        <w:t xml:space="preserve"> hidrochloridas.  </w:t>
      </w:r>
      <w:r>
        <w:t>V</w:t>
      </w:r>
      <w:r w:rsidRPr="008A07C4">
        <w:t xml:space="preserve">iename </w:t>
      </w:r>
      <w:r>
        <w:t>flakone</w:t>
      </w:r>
      <w:r w:rsidRPr="008A07C4">
        <w:t xml:space="preserve"> yra 10 mg arba 50 mg</w:t>
      </w:r>
      <w:r>
        <w:t xml:space="preserve"> </w:t>
      </w:r>
      <w:proofErr w:type="spellStart"/>
      <w:r>
        <w:t>doksorubicino</w:t>
      </w:r>
      <w:proofErr w:type="spellEnd"/>
      <w:r>
        <w:t xml:space="preserve"> hidrochlorido</w:t>
      </w:r>
      <w:r w:rsidRPr="008A07C4">
        <w:t>.</w:t>
      </w:r>
    </w:p>
    <w:p w:rsidR="00B86598" w:rsidRPr="008A07C4" w:rsidRDefault="00B86598" w:rsidP="00B86598">
      <w:pPr>
        <w:pStyle w:val="Pagrindinistekstas"/>
        <w:spacing w:after="0"/>
        <w:ind w:left="567" w:hanging="567"/>
      </w:pPr>
      <w:r w:rsidRPr="008A07C4">
        <w:t>-</w:t>
      </w:r>
      <w:r w:rsidRPr="008A07C4">
        <w:tab/>
        <w:t>Pagalbinė medžiaga yra laktozė.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  <w:rPr>
          <w:b/>
        </w:rPr>
      </w:pPr>
      <w:r w:rsidRPr="008A07C4">
        <w:rPr>
          <w:b/>
        </w:rPr>
        <w:t>DOXORUBICIN-TEVA išvaizda ir kiekis pakuotėje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DOXORUBICIN-TEVA yra raudonai oranžiniai, sterilūs milteliai, tiekiami stikliniuose </w:t>
      </w:r>
      <w:r>
        <w:t>flakonuose</w:t>
      </w:r>
      <w:r w:rsidRPr="008A07C4">
        <w:t xml:space="preserve"> po 10 mg arba 50 mg.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  <w:rPr>
          <w:b/>
        </w:rPr>
      </w:pPr>
      <w:r>
        <w:rPr>
          <w:b/>
        </w:rPr>
        <w:t>Registruotojas ir gamintojas</w:t>
      </w:r>
    </w:p>
    <w:p w:rsidR="00B86598" w:rsidRPr="007A1775" w:rsidRDefault="00B86598" w:rsidP="00B86598">
      <w:pPr>
        <w:pStyle w:val="Pagrindinistekstas"/>
        <w:spacing w:after="0"/>
        <w:rPr>
          <w:i/>
        </w:rPr>
      </w:pPr>
      <w:r w:rsidRPr="007A1775">
        <w:rPr>
          <w:i/>
        </w:rPr>
        <w:t>Registruotojas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Teva</w:t>
      </w:r>
      <w:proofErr w:type="spellEnd"/>
      <w:r w:rsidRPr="008A07C4">
        <w:t xml:space="preserve"> </w:t>
      </w:r>
      <w:proofErr w:type="spellStart"/>
      <w:r w:rsidRPr="008A07C4">
        <w:t>Pharma</w:t>
      </w:r>
      <w:proofErr w:type="spellEnd"/>
      <w:r w:rsidRPr="008A07C4">
        <w:t xml:space="preserve"> B.V.</w:t>
      </w:r>
    </w:p>
    <w:p w:rsidR="00B86598" w:rsidRDefault="00B86598" w:rsidP="00B86598">
      <w:pPr>
        <w:pStyle w:val="Pagrindinistekstas"/>
        <w:spacing w:after="0"/>
      </w:pPr>
      <w:proofErr w:type="spellStart"/>
      <w:r>
        <w:t>Swensweg</w:t>
      </w:r>
      <w:proofErr w:type="spellEnd"/>
      <w:r>
        <w:t xml:space="preserve"> 5</w:t>
      </w:r>
    </w:p>
    <w:p w:rsidR="00B86598" w:rsidRPr="008A07C4" w:rsidRDefault="00B86598" w:rsidP="00B86598">
      <w:pPr>
        <w:pStyle w:val="Pagrindinistekstas"/>
        <w:spacing w:after="0"/>
      </w:pPr>
      <w:r>
        <w:t xml:space="preserve">2031 GA </w:t>
      </w:r>
      <w:proofErr w:type="spellStart"/>
      <w:r>
        <w:t>Haarlem</w:t>
      </w:r>
      <w:proofErr w:type="spellEnd"/>
    </w:p>
    <w:p w:rsidR="00B86598" w:rsidRDefault="00B86598" w:rsidP="00B86598">
      <w:pPr>
        <w:pStyle w:val="Pagrindinistekstas"/>
        <w:spacing w:after="0"/>
        <w:rPr>
          <w:lang w:val="fr-FR"/>
        </w:rPr>
      </w:pPr>
      <w:proofErr w:type="spellStart"/>
      <w:r w:rsidRPr="008A07C4">
        <w:rPr>
          <w:lang w:val="fr-FR"/>
        </w:rPr>
        <w:t>Nyderlandai</w:t>
      </w:r>
      <w:proofErr w:type="spellEnd"/>
    </w:p>
    <w:p w:rsidR="00B86598" w:rsidRPr="008A07C4" w:rsidRDefault="00B86598" w:rsidP="00B86598">
      <w:pPr>
        <w:pStyle w:val="Pagrindinistekstas"/>
        <w:spacing w:after="0"/>
        <w:rPr>
          <w:lang w:val="fr-FR"/>
        </w:rPr>
      </w:pPr>
    </w:p>
    <w:p w:rsidR="00B86598" w:rsidRPr="007A1775" w:rsidRDefault="00B86598" w:rsidP="00B86598">
      <w:pPr>
        <w:pStyle w:val="Pagrindinistekstas"/>
        <w:spacing w:after="0"/>
        <w:rPr>
          <w:i/>
        </w:rPr>
      </w:pPr>
      <w:r w:rsidRPr="007A1775">
        <w:rPr>
          <w:i/>
        </w:rPr>
        <w:t>Gamintojas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Pharmachemie</w:t>
      </w:r>
      <w:proofErr w:type="spellEnd"/>
      <w:r w:rsidRPr="008A07C4">
        <w:t xml:space="preserve"> B.V.,</w:t>
      </w:r>
    </w:p>
    <w:p w:rsidR="00B86598" w:rsidRPr="008A07C4" w:rsidRDefault="00B86598" w:rsidP="00B86598">
      <w:pPr>
        <w:pStyle w:val="Pagrindinistekstas"/>
        <w:spacing w:after="0"/>
      </w:pPr>
      <w:proofErr w:type="spellStart"/>
      <w:r w:rsidRPr="008A07C4">
        <w:t>P.O.Box</w:t>
      </w:r>
      <w:proofErr w:type="spellEnd"/>
      <w:r w:rsidRPr="008A07C4">
        <w:t xml:space="preserve"> 552, 2003 RN </w:t>
      </w:r>
      <w:proofErr w:type="spellStart"/>
      <w:r w:rsidRPr="008A07C4">
        <w:t>Haarlem</w:t>
      </w:r>
      <w:proofErr w:type="spellEnd"/>
    </w:p>
    <w:p w:rsidR="00B86598" w:rsidRPr="008A07C4" w:rsidRDefault="00B86598" w:rsidP="00B86598">
      <w:pPr>
        <w:pStyle w:val="Pagrindinistekstas"/>
        <w:spacing w:after="0"/>
      </w:pPr>
      <w:r w:rsidRPr="008A07C4">
        <w:t>Nyderlandai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BTEMEASMCA"/>
        <w:rPr>
          <w:noProof w:val="0"/>
        </w:rPr>
      </w:pPr>
      <w:r w:rsidRPr="008A07C4">
        <w:rPr>
          <w:noProof w:val="0"/>
        </w:rPr>
        <w:t xml:space="preserve">Jeigu apie šį vaistą norite sužinoti daugiau, kreipkitės į vietinį </w:t>
      </w:r>
      <w:r>
        <w:rPr>
          <w:noProof w:val="0"/>
        </w:rPr>
        <w:t>registruotojo</w:t>
      </w:r>
      <w:r w:rsidRPr="008A07C4">
        <w:rPr>
          <w:noProof w:val="0"/>
        </w:rPr>
        <w:t xml:space="preserve"> atstovą.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UAB </w:t>
      </w:r>
      <w:proofErr w:type="spellStart"/>
      <w:r>
        <w:t>Teva</w:t>
      </w:r>
      <w:proofErr w:type="spellEnd"/>
      <w:r>
        <w:t xml:space="preserve"> Baltics</w:t>
      </w:r>
    </w:p>
    <w:p w:rsidR="00B86598" w:rsidRDefault="00B86598" w:rsidP="00B86598">
      <w:pPr>
        <w:pStyle w:val="Pagrindinistekstas"/>
        <w:spacing w:after="0"/>
      </w:pPr>
      <w:r>
        <w:t>Molėtų pl. 5</w:t>
      </w:r>
    </w:p>
    <w:p w:rsidR="00B86598" w:rsidRPr="008A07C4" w:rsidRDefault="00B86598" w:rsidP="00B86598">
      <w:pPr>
        <w:pStyle w:val="Pagrindinistekstas"/>
        <w:spacing w:after="0"/>
      </w:pPr>
      <w:r>
        <w:t>LT-08409 Vilnius</w:t>
      </w:r>
    </w:p>
    <w:p w:rsidR="00B86598" w:rsidRPr="008A07C4" w:rsidRDefault="00B86598" w:rsidP="00B86598">
      <w:pPr>
        <w:pStyle w:val="Pagrindinistekstas"/>
        <w:spacing w:after="0"/>
      </w:pPr>
      <w:r w:rsidRPr="008A07C4">
        <w:t xml:space="preserve">Tel.: +370 5 </w:t>
      </w:r>
      <w:r>
        <w:t>266 02 03</w:t>
      </w: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pStyle w:val="Pagrindinistekstas"/>
        <w:spacing w:after="0"/>
      </w:pPr>
    </w:p>
    <w:p w:rsidR="00B86598" w:rsidRPr="008A07C4" w:rsidRDefault="00B86598" w:rsidP="00B86598">
      <w:pPr>
        <w:rPr>
          <w:b/>
        </w:rPr>
      </w:pPr>
      <w:r w:rsidRPr="008A07C4">
        <w:rPr>
          <w:b/>
          <w:bCs/>
        </w:rPr>
        <w:t>Šis pakuotės lapelis</w:t>
      </w:r>
      <w:r w:rsidRPr="008A07C4">
        <w:rPr>
          <w:b/>
        </w:rPr>
        <w:t xml:space="preserve"> paskutinį kartą patvirtintas</w:t>
      </w:r>
      <w:r>
        <w:rPr>
          <w:b/>
        </w:rPr>
        <w:t xml:space="preserve"> 2021-03-03.</w:t>
      </w:r>
    </w:p>
    <w:p w:rsidR="00B86598" w:rsidRPr="008A07C4" w:rsidRDefault="00B86598" w:rsidP="00B86598">
      <w:pPr>
        <w:rPr>
          <w:b/>
        </w:rPr>
      </w:pPr>
    </w:p>
    <w:p w:rsidR="00B86598" w:rsidRPr="008A07C4" w:rsidRDefault="00B86598" w:rsidP="00B86598">
      <w:pPr>
        <w:rPr>
          <w:b/>
        </w:rPr>
      </w:pPr>
    </w:p>
    <w:p w:rsidR="00B86598" w:rsidRPr="0091015B" w:rsidRDefault="00B86598" w:rsidP="00B86598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eastAsia="en-US"/>
        </w:rPr>
      </w:pPr>
      <w:r w:rsidRPr="0091015B">
        <w:rPr>
          <w:snapToGrid w:val="0"/>
          <w:lang w:eastAsia="en-US"/>
        </w:rPr>
        <w:t xml:space="preserve">Išsami informacija apie šį </w:t>
      </w:r>
      <w:r w:rsidRPr="0091015B">
        <w:rPr>
          <w:snapToGrid w:val="0"/>
          <w:szCs w:val="24"/>
          <w:lang w:eastAsia="en-US"/>
        </w:rPr>
        <w:t>vaistą</w:t>
      </w:r>
      <w:r w:rsidRPr="0091015B">
        <w:rPr>
          <w:snapToGrid w:val="0"/>
          <w:lang w:eastAsia="en-US"/>
        </w:rPr>
        <w:t xml:space="preserve"> pateikiama Valstybinės vaistų kontrolės tarnybos prie Lietuvos Respublikos sveikatos apsaugos ministerijos tinklalapyje</w:t>
      </w:r>
      <w:r w:rsidRPr="0091015B">
        <w:rPr>
          <w:i/>
          <w:snapToGrid w:val="0"/>
          <w:szCs w:val="24"/>
          <w:lang w:eastAsia="en-US"/>
        </w:rPr>
        <w:t xml:space="preserve"> </w:t>
      </w:r>
      <w:hyperlink r:id="rId5" w:history="1">
        <w:r w:rsidRPr="0091015B">
          <w:rPr>
            <w:rFonts w:eastAsia="SimSun"/>
            <w:snapToGrid w:val="0"/>
            <w:color w:val="0000FF"/>
            <w:u w:val="single"/>
            <w:lang w:eastAsia="en-US"/>
          </w:rPr>
          <w:t>http://www.vvkt.lt/</w:t>
        </w:r>
      </w:hyperlink>
      <w:r w:rsidRPr="0091015B">
        <w:rPr>
          <w:snapToGrid w:val="0"/>
          <w:lang w:eastAsia="en-US"/>
        </w:rPr>
        <w:t>.</w:t>
      </w:r>
    </w:p>
    <w:p w:rsidR="00B86598" w:rsidRDefault="00B86598" w:rsidP="00B86598">
      <w:pPr>
        <w:rPr>
          <w:highlight w:val="yellow"/>
        </w:rPr>
      </w:pPr>
    </w:p>
    <w:p w:rsidR="00B86598" w:rsidRDefault="00B86598" w:rsidP="00B86598">
      <w:pPr>
        <w:rPr>
          <w:highlight w:val="yellow"/>
        </w:rPr>
      </w:pPr>
    </w:p>
    <w:p w:rsidR="00B86598" w:rsidRDefault="00B86598" w:rsidP="00B86598">
      <w:pPr>
        <w:rPr>
          <w:highlight w:val="yellow"/>
        </w:rPr>
      </w:pPr>
      <w:r w:rsidRPr="006D3452">
        <w:t>Toliau pateikta informacija skirta tik sveikatos priežiūros specialistams.</w:t>
      </w:r>
    </w:p>
    <w:p w:rsidR="00B86598" w:rsidRDefault="00B86598" w:rsidP="00B86598">
      <w:pPr>
        <w:rPr>
          <w:highlight w:val="yellow"/>
        </w:rPr>
      </w:pPr>
    </w:p>
    <w:p w:rsidR="00B86598" w:rsidRDefault="00B86598" w:rsidP="00B86598">
      <w:r w:rsidRPr="009D4804">
        <w:t xml:space="preserve">Prieš injekciją 10 mg </w:t>
      </w:r>
      <w:proofErr w:type="spellStart"/>
      <w:r w:rsidRPr="009D4804">
        <w:t>doksorubicino</w:t>
      </w:r>
      <w:proofErr w:type="spellEnd"/>
      <w:r w:rsidRPr="009D4804">
        <w:t xml:space="preserve"> miltelių reikia ištirpinti 5 ml, 50 mg </w:t>
      </w:r>
      <w:r w:rsidRPr="009D4804">
        <w:sym w:font="Symbol" w:char="F02D"/>
      </w:r>
      <w:r w:rsidRPr="009D4804">
        <w:t xml:space="preserve"> 25 ml 0,9 </w:t>
      </w:r>
      <w:r w:rsidRPr="009D4804">
        <w:sym w:font="Symbol" w:char="F025"/>
      </w:r>
      <w:r w:rsidRPr="009D4804">
        <w:t xml:space="preserve"> natrio chlorido tirpalo arba injekcinio vandens. Miltelius ištirpinus injekciniame vandenyje, paruoštą tirpalą rekomenduojama skiesti tokiu 0,9 </w:t>
      </w:r>
      <w:r w:rsidRPr="009D4804">
        <w:sym w:font="Symbol" w:char="F025"/>
      </w:r>
      <w:r w:rsidRPr="009D4804">
        <w:t xml:space="preserve"> natrio chlorido tirpalu, kad skiedinys būtų beveik </w:t>
      </w:r>
      <w:proofErr w:type="spellStart"/>
      <w:r w:rsidRPr="009D4804">
        <w:t>izotoninis</w:t>
      </w:r>
      <w:proofErr w:type="spellEnd"/>
      <w:r w:rsidRPr="009D4804">
        <w:t>.</w:t>
      </w:r>
      <w:r w:rsidRPr="006D3452">
        <w:t xml:space="preserve"> </w:t>
      </w:r>
    </w:p>
    <w:p w:rsidR="00B86598" w:rsidRDefault="00B86598" w:rsidP="00B86598"/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ahoma"/>
    <w:panose1 w:val="00000000000000000000"/>
    <w:charset w:val="00"/>
    <w:family w:val="auto"/>
    <w:notTrueType/>
    <w:pitch w:val="default"/>
    <w:sig w:usb0="80000080" w:usb1="000044C8" w:usb2="00000000" w:usb3="00000000" w:csb0="30B50000" w:csb1="30B5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2FD4"/>
    <w:multiLevelType w:val="singleLevel"/>
    <w:tmpl w:val="72EAFF46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(normal text)" w:hAnsi="(normal text)" w:hint="default"/>
      </w:rPr>
    </w:lvl>
  </w:abstractNum>
  <w:abstractNum w:abstractNumId="2" w15:restartNumberingAfterBreak="0">
    <w:nsid w:val="57632EE6"/>
    <w:multiLevelType w:val="singleLevel"/>
    <w:tmpl w:val="1138FB9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LT" w:hAnsi="TimesLT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8"/>
    <w:rsid w:val="009041DB"/>
    <w:rsid w:val="00B86598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F0C40-90B7-43C3-8C1D-C2F0324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6598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B86598"/>
    <w:pPr>
      <w:keepNext/>
      <w:ind w:left="540" w:hanging="540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B86598"/>
    <w:pPr>
      <w:keepNext/>
      <w:ind w:left="540" w:hanging="540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86598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86598"/>
    <w:rPr>
      <w:rFonts w:ascii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B8659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86598"/>
    <w:rPr>
      <w:rFonts w:ascii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B86598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B86598"/>
    <w:rPr>
      <w:rFonts w:ascii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rsid w:val="00B86598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B8659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11196</Words>
  <Characters>6383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2021-03-15T11:24:00Z</dcterms:created>
  <dcterms:modified xsi:type="dcterms:W3CDTF">2021-03-15T11:25:00Z</dcterms:modified>
</cp:coreProperties>
</file>