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75B24" w14:textId="77777777" w:rsidR="00922D8A" w:rsidRPr="008661CD" w:rsidRDefault="00922D8A" w:rsidP="008661CD">
      <w:pPr>
        <w:widowControl w:val="0"/>
        <w:rPr>
          <w:color w:val="008000"/>
        </w:rPr>
      </w:pPr>
    </w:p>
    <w:p w14:paraId="1480569D" w14:textId="77777777" w:rsidR="00922D8A" w:rsidRPr="008661CD" w:rsidRDefault="00922D8A" w:rsidP="008661CD">
      <w:pPr>
        <w:outlineLvl w:val="0"/>
        <w:rPr>
          <w:b/>
        </w:rPr>
      </w:pPr>
    </w:p>
    <w:p w14:paraId="1A87730B" w14:textId="77777777" w:rsidR="00922D8A" w:rsidRPr="008661CD" w:rsidRDefault="00922D8A" w:rsidP="008661CD">
      <w:pPr>
        <w:outlineLvl w:val="0"/>
        <w:rPr>
          <w:b/>
        </w:rPr>
      </w:pPr>
    </w:p>
    <w:p w14:paraId="595534B4" w14:textId="77777777" w:rsidR="00922D8A" w:rsidRPr="008661CD" w:rsidRDefault="00922D8A" w:rsidP="008661CD">
      <w:pPr>
        <w:outlineLvl w:val="0"/>
        <w:rPr>
          <w:b/>
        </w:rPr>
      </w:pPr>
    </w:p>
    <w:p w14:paraId="34D3B0B6" w14:textId="77777777" w:rsidR="00922D8A" w:rsidRPr="008661CD" w:rsidRDefault="00922D8A" w:rsidP="008661CD">
      <w:pPr>
        <w:outlineLvl w:val="0"/>
        <w:rPr>
          <w:b/>
        </w:rPr>
      </w:pPr>
    </w:p>
    <w:p w14:paraId="382F0F5C" w14:textId="77777777" w:rsidR="00922D8A" w:rsidRPr="008661CD" w:rsidRDefault="00922D8A" w:rsidP="008661CD">
      <w:pPr>
        <w:tabs>
          <w:tab w:val="left" w:pos="-1440"/>
          <w:tab w:val="left" w:pos="-720"/>
        </w:tabs>
        <w:rPr>
          <w:b/>
        </w:rPr>
      </w:pPr>
    </w:p>
    <w:p w14:paraId="006CFCB7" w14:textId="77777777" w:rsidR="00922D8A" w:rsidRPr="008661CD" w:rsidRDefault="00922D8A" w:rsidP="008661CD">
      <w:pPr>
        <w:tabs>
          <w:tab w:val="left" w:pos="-1440"/>
          <w:tab w:val="left" w:pos="-720"/>
        </w:tabs>
        <w:rPr>
          <w:b/>
        </w:rPr>
      </w:pPr>
    </w:p>
    <w:p w14:paraId="7027A61C" w14:textId="77777777" w:rsidR="00922D8A" w:rsidRPr="008661CD" w:rsidRDefault="00922D8A" w:rsidP="008661CD">
      <w:pPr>
        <w:tabs>
          <w:tab w:val="left" w:pos="-1440"/>
          <w:tab w:val="left" w:pos="-720"/>
        </w:tabs>
        <w:rPr>
          <w:b/>
        </w:rPr>
      </w:pPr>
    </w:p>
    <w:p w14:paraId="3C1C71C4" w14:textId="77777777" w:rsidR="00922D8A" w:rsidRPr="008661CD" w:rsidRDefault="00922D8A" w:rsidP="008661CD">
      <w:pPr>
        <w:tabs>
          <w:tab w:val="left" w:pos="-1440"/>
          <w:tab w:val="left" w:pos="-720"/>
        </w:tabs>
        <w:rPr>
          <w:b/>
        </w:rPr>
      </w:pPr>
    </w:p>
    <w:p w14:paraId="2A45394E" w14:textId="77777777" w:rsidR="00922D8A" w:rsidRPr="008661CD" w:rsidRDefault="00922D8A" w:rsidP="008661CD">
      <w:pPr>
        <w:tabs>
          <w:tab w:val="left" w:pos="-1440"/>
          <w:tab w:val="left" w:pos="-720"/>
        </w:tabs>
        <w:rPr>
          <w:b/>
        </w:rPr>
      </w:pPr>
    </w:p>
    <w:p w14:paraId="3CB43BA7" w14:textId="77777777" w:rsidR="00922D8A" w:rsidRPr="008661CD" w:rsidRDefault="00922D8A" w:rsidP="008661CD">
      <w:pPr>
        <w:tabs>
          <w:tab w:val="left" w:pos="-1440"/>
          <w:tab w:val="left" w:pos="-720"/>
        </w:tabs>
        <w:rPr>
          <w:b/>
        </w:rPr>
      </w:pPr>
    </w:p>
    <w:p w14:paraId="69615918" w14:textId="77777777" w:rsidR="00922D8A" w:rsidRPr="008661CD" w:rsidRDefault="00922D8A" w:rsidP="008661CD">
      <w:pPr>
        <w:tabs>
          <w:tab w:val="left" w:pos="-1440"/>
          <w:tab w:val="left" w:pos="-720"/>
        </w:tabs>
        <w:rPr>
          <w:b/>
        </w:rPr>
      </w:pPr>
    </w:p>
    <w:p w14:paraId="56A3EF58" w14:textId="77777777" w:rsidR="00922D8A" w:rsidRPr="008661CD" w:rsidRDefault="00922D8A" w:rsidP="008661CD">
      <w:pPr>
        <w:tabs>
          <w:tab w:val="left" w:pos="-1440"/>
          <w:tab w:val="left" w:pos="-720"/>
        </w:tabs>
        <w:rPr>
          <w:b/>
        </w:rPr>
      </w:pPr>
    </w:p>
    <w:p w14:paraId="6A21E5F2" w14:textId="77777777" w:rsidR="00922D8A" w:rsidRPr="008661CD" w:rsidRDefault="00922D8A" w:rsidP="008661CD">
      <w:pPr>
        <w:tabs>
          <w:tab w:val="left" w:pos="-1440"/>
          <w:tab w:val="left" w:pos="-720"/>
        </w:tabs>
        <w:rPr>
          <w:b/>
        </w:rPr>
      </w:pPr>
    </w:p>
    <w:p w14:paraId="317F7318" w14:textId="77777777" w:rsidR="00922D8A" w:rsidRPr="008661CD" w:rsidRDefault="00922D8A" w:rsidP="008661CD">
      <w:pPr>
        <w:tabs>
          <w:tab w:val="left" w:pos="-1440"/>
          <w:tab w:val="left" w:pos="-720"/>
        </w:tabs>
        <w:rPr>
          <w:b/>
        </w:rPr>
      </w:pPr>
    </w:p>
    <w:p w14:paraId="016F3511" w14:textId="77777777" w:rsidR="00922D8A" w:rsidRPr="008661CD" w:rsidRDefault="00922D8A" w:rsidP="008661CD">
      <w:pPr>
        <w:tabs>
          <w:tab w:val="left" w:pos="-1440"/>
          <w:tab w:val="left" w:pos="-720"/>
        </w:tabs>
        <w:rPr>
          <w:b/>
        </w:rPr>
      </w:pPr>
    </w:p>
    <w:p w14:paraId="22537C62" w14:textId="77777777" w:rsidR="00922D8A" w:rsidRPr="008661CD" w:rsidRDefault="00922D8A" w:rsidP="008661CD">
      <w:pPr>
        <w:tabs>
          <w:tab w:val="left" w:pos="-1440"/>
          <w:tab w:val="left" w:pos="-720"/>
        </w:tabs>
        <w:rPr>
          <w:b/>
        </w:rPr>
      </w:pPr>
    </w:p>
    <w:p w14:paraId="77D77FB6" w14:textId="77777777" w:rsidR="00922D8A" w:rsidRPr="008661CD" w:rsidRDefault="00922D8A" w:rsidP="008661CD">
      <w:pPr>
        <w:tabs>
          <w:tab w:val="left" w:pos="-1440"/>
          <w:tab w:val="left" w:pos="-720"/>
        </w:tabs>
        <w:rPr>
          <w:b/>
        </w:rPr>
      </w:pPr>
    </w:p>
    <w:p w14:paraId="214B52BB" w14:textId="77777777" w:rsidR="00922D8A" w:rsidRPr="008661CD" w:rsidRDefault="00922D8A" w:rsidP="008661CD">
      <w:pPr>
        <w:tabs>
          <w:tab w:val="left" w:pos="-1440"/>
          <w:tab w:val="left" w:pos="-720"/>
        </w:tabs>
        <w:rPr>
          <w:b/>
        </w:rPr>
      </w:pPr>
    </w:p>
    <w:p w14:paraId="61B1977D" w14:textId="77777777" w:rsidR="00922D8A" w:rsidRPr="008661CD" w:rsidRDefault="00922D8A" w:rsidP="008661CD">
      <w:pPr>
        <w:tabs>
          <w:tab w:val="left" w:pos="-1440"/>
          <w:tab w:val="left" w:pos="-720"/>
        </w:tabs>
        <w:rPr>
          <w:b/>
        </w:rPr>
      </w:pPr>
    </w:p>
    <w:p w14:paraId="750D8227" w14:textId="77777777" w:rsidR="00922D8A" w:rsidRPr="008661CD" w:rsidRDefault="00922D8A" w:rsidP="008661CD">
      <w:pPr>
        <w:tabs>
          <w:tab w:val="left" w:pos="-1440"/>
          <w:tab w:val="left" w:pos="-720"/>
        </w:tabs>
        <w:rPr>
          <w:b/>
        </w:rPr>
      </w:pPr>
    </w:p>
    <w:p w14:paraId="22471A04" w14:textId="77777777" w:rsidR="00922D8A" w:rsidRPr="008661CD" w:rsidRDefault="00922D8A" w:rsidP="008661CD">
      <w:pPr>
        <w:tabs>
          <w:tab w:val="left" w:pos="-1440"/>
          <w:tab w:val="left" w:pos="-720"/>
        </w:tabs>
        <w:rPr>
          <w:b/>
        </w:rPr>
      </w:pPr>
    </w:p>
    <w:p w14:paraId="1CBDCB12" w14:textId="77777777" w:rsidR="00922D8A" w:rsidRPr="008661CD" w:rsidRDefault="00922D8A" w:rsidP="008661CD">
      <w:pPr>
        <w:tabs>
          <w:tab w:val="left" w:pos="-1440"/>
          <w:tab w:val="left" w:pos="-720"/>
        </w:tabs>
        <w:rPr>
          <w:b/>
        </w:rPr>
      </w:pPr>
    </w:p>
    <w:p w14:paraId="38242D2F" w14:textId="77777777" w:rsidR="00922D8A" w:rsidRPr="000F3553" w:rsidRDefault="00922D8A" w:rsidP="000F3553">
      <w:pPr>
        <w:pStyle w:val="Antrat2"/>
        <w:spacing w:before="0" w:after="0" w:line="240" w:lineRule="auto"/>
        <w:jc w:val="center"/>
        <w:rPr>
          <w:b w:val="0"/>
        </w:rPr>
      </w:pPr>
      <w:r w:rsidRPr="000F3553">
        <w:rPr>
          <w:rFonts w:ascii="Times New Roman" w:hAnsi="Times New Roman"/>
          <w:i w:val="0"/>
          <w:lang w:val="lt-LT"/>
        </w:rPr>
        <w:t>I PRIEDAS</w:t>
      </w:r>
    </w:p>
    <w:p w14:paraId="5EE62E07" w14:textId="77777777" w:rsidR="00922D8A" w:rsidRPr="008661CD" w:rsidRDefault="00922D8A" w:rsidP="008661CD"/>
    <w:p w14:paraId="3F80A719" w14:textId="77777777" w:rsidR="00922D8A" w:rsidRPr="008661CD" w:rsidRDefault="00922D8A" w:rsidP="008661CD">
      <w:pPr>
        <w:ind w:left="567" w:hanging="567"/>
        <w:jc w:val="center"/>
      </w:pPr>
      <w:r w:rsidRPr="008661CD">
        <w:rPr>
          <w:b/>
        </w:rPr>
        <w:t>PREPARATO CHARAKTERISTIKŲ SANTRAUKA</w:t>
      </w:r>
      <w:r w:rsidRPr="008661CD" w:rsidDel="00C67EE0">
        <w:t xml:space="preserve"> </w:t>
      </w:r>
    </w:p>
    <w:p w14:paraId="45973AC8" w14:textId="77777777" w:rsidR="00922D8A" w:rsidRPr="008661CD" w:rsidRDefault="00922D8A" w:rsidP="008661CD">
      <w:pPr>
        <w:ind w:left="567" w:hanging="567"/>
        <w:jc w:val="center"/>
      </w:pPr>
    </w:p>
    <w:p w14:paraId="55B6D62F" w14:textId="77777777" w:rsidR="00922D8A" w:rsidRPr="008661CD" w:rsidRDefault="00922D8A" w:rsidP="008661CD">
      <w:pPr>
        <w:ind w:left="567" w:hanging="567"/>
        <w:rPr>
          <w:b/>
        </w:rPr>
      </w:pPr>
      <w:r w:rsidRPr="008661CD">
        <w:br w:type="page"/>
      </w:r>
      <w:r w:rsidRPr="008661CD">
        <w:rPr>
          <w:b/>
        </w:rPr>
        <w:lastRenderedPageBreak/>
        <w:t>1.</w:t>
      </w:r>
      <w:r w:rsidRPr="008661CD">
        <w:rPr>
          <w:b/>
        </w:rPr>
        <w:tab/>
      </w:r>
      <w:r w:rsidRPr="008661CD">
        <w:rPr>
          <w:b/>
          <w:caps/>
        </w:rPr>
        <w:t>VAISTINIO</w:t>
      </w:r>
      <w:r w:rsidRPr="008661CD">
        <w:rPr>
          <w:b/>
        </w:rPr>
        <w:t xml:space="preserve"> PREPARATO PAVADINIMAS</w:t>
      </w:r>
    </w:p>
    <w:p w14:paraId="6243A682" w14:textId="77777777" w:rsidR="00922D8A" w:rsidRPr="008661CD" w:rsidRDefault="00922D8A" w:rsidP="008661CD">
      <w:pPr>
        <w:ind w:left="567" w:hanging="567"/>
      </w:pPr>
    </w:p>
    <w:p w14:paraId="5857B679" w14:textId="77777777" w:rsidR="00922D8A" w:rsidRPr="008661CD" w:rsidRDefault="00922D8A" w:rsidP="008661CD">
      <w:r w:rsidRPr="008661CD">
        <w:t>Zinnat 125 mg plėvele dengtos tabletės</w:t>
      </w:r>
    </w:p>
    <w:p w14:paraId="3800135A" w14:textId="77777777" w:rsidR="00922D8A" w:rsidRPr="008661CD" w:rsidRDefault="00922D8A" w:rsidP="008661CD">
      <w:pPr>
        <w:rPr>
          <w:highlight w:val="lightGray"/>
        </w:rPr>
      </w:pPr>
      <w:bookmarkStart w:id="0" w:name="_Hlk530746991"/>
      <w:r w:rsidRPr="008661CD">
        <w:rPr>
          <w:highlight w:val="lightGray"/>
        </w:rPr>
        <w:t>Zinnat 250 mg plėvele dengtos tabletės</w:t>
      </w:r>
    </w:p>
    <w:p w14:paraId="75F343E6" w14:textId="77777777" w:rsidR="00922D8A" w:rsidRPr="008661CD" w:rsidRDefault="00922D8A" w:rsidP="008661CD">
      <w:bookmarkStart w:id="1" w:name="_Hlk530747013"/>
      <w:bookmarkEnd w:id="0"/>
      <w:r w:rsidRPr="008661CD">
        <w:rPr>
          <w:highlight w:val="lightGray"/>
        </w:rPr>
        <w:t>Zinnat 500 mg plėvele dengtos tabletės</w:t>
      </w:r>
    </w:p>
    <w:bookmarkEnd w:id="1"/>
    <w:p w14:paraId="1080D774" w14:textId="77777777" w:rsidR="00922D8A" w:rsidRPr="008661CD" w:rsidRDefault="00922D8A" w:rsidP="008661CD">
      <w:pPr>
        <w:ind w:left="567" w:hanging="567"/>
      </w:pPr>
    </w:p>
    <w:p w14:paraId="39D62B39" w14:textId="77777777" w:rsidR="00922D8A" w:rsidRPr="008661CD" w:rsidRDefault="00922D8A" w:rsidP="008661CD">
      <w:pPr>
        <w:ind w:left="567" w:hanging="567"/>
      </w:pPr>
    </w:p>
    <w:p w14:paraId="6844F861" w14:textId="77777777" w:rsidR="00922D8A" w:rsidRPr="008661CD" w:rsidRDefault="00922D8A" w:rsidP="008661CD">
      <w:pPr>
        <w:ind w:left="567" w:hanging="567"/>
        <w:rPr>
          <w:b/>
          <w:caps/>
        </w:rPr>
      </w:pPr>
      <w:r w:rsidRPr="008661CD">
        <w:rPr>
          <w:b/>
          <w:caps/>
        </w:rPr>
        <w:t>2.</w:t>
      </w:r>
      <w:r w:rsidRPr="008661CD">
        <w:rPr>
          <w:b/>
          <w:caps/>
        </w:rPr>
        <w:tab/>
        <w:t>kokybinė ir kiekybinė sudėtis</w:t>
      </w:r>
    </w:p>
    <w:p w14:paraId="38F996CD" w14:textId="77777777" w:rsidR="00922D8A" w:rsidRPr="008661CD" w:rsidRDefault="00922D8A" w:rsidP="008661CD"/>
    <w:p w14:paraId="5A1B1016" w14:textId="77777777" w:rsidR="00922D8A" w:rsidRPr="008661CD" w:rsidRDefault="00922D8A" w:rsidP="008661CD">
      <w:bookmarkStart w:id="2" w:name="_Hlk530746961"/>
      <w:r w:rsidRPr="008661CD">
        <w:t>Zinnat 125 mg plėvele dengtos tabletės</w:t>
      </w:r>
    </w:p>
    <w:bookmarkEnd w:id="2"/>
    <w:p w14:paraId="5B44FF1F" w14:textId="77777777" w:rsidR="00922D8A" w:rsidRPr="008661CD" w:rsidRDefault="00922D8A" w:rsidP="008661CD">
      <w:r w:rsidRPr="008661CD">
        <w:t>Vienoje tabletėje yra 125 mg cefuroksimo (cefuroksimo aksetilo pavidalu).</w:t>
      </w:r>
    </w:p>
    <w:p w14:paraId="00FC2E05" w14:textId="77777777" w:rsidR="00922D8A" w:rsidRPr="008661CD" w:rsidRDefault="00922D8A" w:rsidP="008661CD"/>
    <w:p w14:paraId="657E1C8D" w14:textId="77777777" w:rsidR="00922D8A" w:rsidRPr="008661CD" w:rsidRDefault="00922D8A" w:rsidP="008661CD">
      <w:pPr>
        <w:rPr>
          <w:highlight w:val="lightGray"/>
        </w:rPr>
      </w:pPr>
      <w:r w:rsidRPr="008661CD">
        <w:rPr>
          <w:highlight w:val="lightGray"/>
        </w:rPr>
        <w:t>Zinnat 250 mg plėvele dengtos tabletės</w:t>
      </w:r>
    </w:p>
    <w:p w14:paraId="321A49E8" w14:textId="77777777" w:rsidR="00922D8A" w:rsidRPr="008661CD" w:rsidRDefault="00922D8A" w:rsidP="008661CD">
      <w:pPr>
        <w:rPr>
          <w:highlight w:val="lightGray"/>
        </w:rPr>
      </w:pPr>
      <w:r w:rsidRPr="008661CD">
        <w:rPr>
          <w:highlight w:val="lightGray"/>
        </w:rPr>
        <w:t>Vienoje tabletėje yra 250 mg cefuroksimo (cefuroksimo aksetilo pavidalu).</w:t>
      </w:r>
    </w:p>
    <w:p w14:paraId="359211D0" w14:textId="77777777" w:rsidR="00922D8A" w:rsidRPr="008661CD" w:rsidRDefault="00922D8A" w:rsidP="008661CD">
      <w:pPr>
        <w:rPr>
          <w:highlight w:val="lightGray"/>
        </w:rPr>
      </w:pPr>
    </w:p>
    <w:p w14:paraId="3FC22BCF" w14:textId="77777777" w:rsidR="00922D8A" w:rsidRPr="008661CD" w:rsidRDefault="00922D8A" w:rsidP="008661CD">
      <w:pPr>
        <w:rPr>
          <w:highlight w:val="lightGray"/>
        </w:rPr>
      </w:pPr>
      <w:r w:rsidRPr="008661CD">
        <w:rPr>
          <w:highlight w:val="lightGray"/>
        </w:rPr>
        <w:t>Zinnat 500 mg plėvele dengtos tabletės</w:t>
      </w:r>
    </w:p>
    <w:p w14:paraId="17177679" w14:textId="77777777" w:rsidR="00922D8A" w:rsidRPr="008661CD" w:rsidRDefault="00922D8A" w:rsidP="008661CD">
      <w:r w:rsidRPr="008661CD">
        <w:rPr>
          <w:highlight w:val="lightGray"/>
        </w:rPr>
        <w:t>Vienoje tabletėje yra 500 mg cefuroksimo (cefuroksimo aksetilo pavidalu).</w:t>
      </w:r>
    </w:p>
    <w:p w14:paraId="7A28C45D" w14:textId="77777777" w:rsidR="00922D8A" w:rsidRPr="008661CD" w:rsidRDefault="00922D8A" w:rsidP="008661CD"/>
    <w:p w14:paraId="09021DC6" w14:textId="77777777" w:rsidR="00922D8A" w:rsidRPr="008661CD" w:rsidRDefault="00922D8A" w:rsidP="008661CD">
      <w:pPr>
        <w:rPr>
          <w:u w:val="single"/>
        </w:rPr>
      </w:pPr>
      <w:r w:rsidRPr="008661CD">
        <w:rPr>
          <w:u w:val="single"/>
        </w:rPr>
        <w:t>Pagalbinės medžiagos, kurių poveikis žinomas</w:t>
      </w:r>
    </w:p>
    <w:p w14:paraId="313CDD51" w14:textId="77777777" w:rsidR="00922D8A" w:rsidRPr="008661CD" w:rsidRDefault="00922D8A" w:rsidP="008661CD">
      <w:pPr>
        <w:rPr>
          <w:u w:val="single"/>
        </w:rPr>
      </w:pPr>
    </w:p>
    <w:p w14:paraId="07034299" w14:textId="77777777" w:rsidR="00922D8A" w:rsidRPr="008661CD" w:rsidRDefault="00922D8A" w:rsidP="008661CD">
      <w:r w:rsidRPr="008661CD">
        <w:t>Zinnat 125 mg plėvele dengtos tabletės</w:t>
      </w:r>
    </w:p>
    <w:p w14:paraId="231E96B7" w14:textId="77777777" w:rsidR="00922D8A" w:rsidRPr="008661CD" w:rsidRDefault="00922D8A" w:rsidP="008661CD">
      <w:bookmarkStart w:id="3" w:name="_Hlk536116514"/>
      <w:bookmarkStart w:id="4" w:name="_Hlk530747633"/>
      <w:r w:rsidRPr="008661CD">
        <w:t>Vienoje tabletėje yra 0,00152 mg natrio benzoato (E211).</w:t>
      </w:r>
    </w:p>
    <w:p w14:paraId="6788A79F" w14:textId="77777777" w:rsidR="00922D8A" w:rsidRPr="008661CD" w:rsidRDefault="00922D8A" w:rsidP="008661CD">
      <w:bookmarkStart w:id="5" w:name="_Hlk536116200"/>
      <w:bookmarkEnd w:id="3"/>
      <w:r w:rsidRPr="008661CD">
        <w:t>Kiekvienoje tabletėje yra metilparahidroksibenzoato (E218) ir propilparahidroksibenzoato (E216).</w:t>
      </w:r>
    </w:p>
    <w:bookmarkEnd w:id="4"/>
    <w:bookmarkEnd w:id="5"/>
    <w:p w14:paraId="009360FF" w14:textId="77777777" w:rsidR="00922D8A" w:rsidRPr="008661CD" w:rsidRDefault="00922D8A" w:rsidP="008661CD"/>
    <w:p w14:paraId="30FCCF22" w14:textId="77777777" w:rsidR="00922D8A" w:rsidRPr="008661CD" w:rsidRDefault="00922D8A" w:rsidP="008661CD">
      <w:pPr>
        <w:rPr>
          <w:highlight w:val="lightGray"/>
        </w:rPr>
      </w:pPr>
      <w:r w:rsidRPr="008661CD">
        <w:rPr>
          <w:highlight w:val="lightGray"/>
        </w:rPr>
        <w:t>Zinnat 250 mg plėvele dengtos tabletės</w:t>
      </w:r>
    </w:p>
    <w:p w14:paraId="6DA3238A" w14:textId="77777777" w:rsidR="00922D8A" w:rsidRPr="008661CD" w:rsidRDefault="00922D8A" w:rsidP="008661CD">
      <w:pPr>
        <w:rPr>
          <w:highlight w:val="lightGray"/>
        </w:rPr>
      </w:pPr>
      <w:bookmarkStart w:id="6" w:name="_Hlk530747738"/>
      <w:r w:rsidRPr="008661CD">
        <w:rPr>
          <w:highlight w:val="lightGray"/>
        </w:rPr>
        <w:t>Vienoje tabletėje yra 0,00203 mg natrio benzoato (E211).</w:t>
      </w:r>
    </w:p>
    <w:bookmarkEnd w:id="6"/>
    <w:p w14:paraId="269768D2" w14:textId="77777777" w:rsidR="00922D8A" w:rsidRPr="008661CD" w:rsidRDefault="00922D8A" w:rsidP="008661CD">
      <w:r w:rsidRPr="008661CD">
        <w:rPr>
          <w:highlight w:val="lightGray"/>
        </w:rPr>
        <w:t>Kiekvienoje tabletėje yra metilparahidroksibenzoato (E218) ir propilparahidroksibenzoato (E216).</w:t>
      </w:r>
    </w:p>
    <w:p w14:paraId="199D0FF1" w14:textId="77777777" w:rsidR="00922D8A" w:rsidRPr="008661CD" w:rsidRDefault="00922D8A" w:rsidP="008661CD">
      <w:pPr>
        <w:rPr>
          <w:highlight w:val="lightGray"/>
        </w:rPr>
      </w:pPr>
    </w:p>
    <w:p w14:paraId="39794740" w14:textId="77777777" w:rsidR="00922D8A" w:rsidRPr="008661CD" w:rsidRDefault="00922D8A" w:rsidP="008661CD">
      <w:pPr>
        <w:rPr>
          <w:highlight w:val="lightGray"/>
        </w:rPr>
      </w:pPr>
      <w:r w:rsidRPr="008661CD">
        <w:rPr>
          <w:highlight w:val="lightGray"/>
        </w:rPr>
        <w:t>Zinnat 500 mg plėvele dengtos tabletės</w:t>
      </w:r>
    </w:p>
    <w:p w14:paraId="7CAF2CA7" w14:textId="77777777" w:rsidR="00922D8A" w:rsidRPr="008661CD" w:rsidRDefault="00922D8A" w:rsidP="008661CD">
      <w:bookmarkStart w:id="7" w:name="_Hlk530747771"/>
      <w:r w:rsidRPr="008661CD">
        <w:rPr>
          <w:highlight w:val="lightGray"/>
        </w:rPr>
        <w:t>Vienoje tabletėje yra 0,00506 mg natrio benzoato (E211).</w:t>
      </w:r>
    </w:p>
    <w:bookmarkEnd w:id="7"/>
    <w:p w14:paraId="6750EAAB" w14:textId="77777777" w:rsidR="00922D8A" w:rsidRPr="008661CD" w:rsidRDefault="00922D8A" w:rsidP="008661CD">
      <w:r w:rsidRPr="008661CD">
        <w:rPr>
          <w:highlight w:val="lightGray"/>
        </w:rPr>
        <w:t>Kiekvienoje tabletėje yra metilparahidroksibenzoato (E218) ir propilparahidroksibenzoato (E216).</w:t>
      </w:r>
    </w:p>
    <w:p w14:paraId="26478075" w14:textId="77777777" w:rsidR="00922D8A" w:rsidRPr="008661CD" w:rsidRDefault="00922D8A" w:rsidP="008661CD"/>
    <w:p w14:paraId="2017D648" w14:textId="77777777" w:rsidR="00922D8A" w:rsidRPr="008661CD" w:rsidRDefault="00922D8A" w:rsidP="008661CD">
      <w:r w:rsidRPr="008661CD">
        <w:t>Visos pagalbinės medžiagos išvardytos 6.1 skyriuje.</w:t>
      </w:r>
    </w:p>
    <w:p w14:paraId="4D845076" w14:textId="77777777" w:rsidR="00922D8A" w:rsidRPr="008661CD" w:rsidRDefault="00922D8A" w:rsidP="008661CD">
      <w:pPr>
        <w:ind w:left="567" w:hanging="567"/>
      </w:pPr>
    </w:p>
    <w:p w14:paraId="680FA392" w14:textId="77777777" w:rsidR="00922D8A" w:rsidRPr="008661CD" w:rsidRDefault="00922D8A" w:rsidP="008661CD">
      <w:pPr>
        <w:ind w:left="567" w:hanging="567"/>
      </w:pPr>
    </w:p>
    <w:p w14:paraId="3B02F6AD" w14:textId="77777777" w:rsidR="00922D8A" w:rsidRPr="008661CD" w:rsidRDefault="00922D8A" w:rsidP="008661CD">
      <w:pPr>
        <w:ind w:left="567" w:hanging="567"/>
        <w:rPr>
          <w:b/>
          <w:caps/>
        </w:rPr>
      </w:pPr>
      <w:r w:rsidRPr="008661CD">
        <w:rPr>
          <w:b/>
          <w:caps/>
        </w:rPr>
        <w:t>3.</w:t>
      </w:r>
      <w:r w:rsidRPr="008661CD">
        <w:rPr>
          <w:b/>
          <w:caps/>
        </w:rPr>
        <w:tab/>
        <w:t>FARMACINĖ forma</w:t>
      </w:r>
    </w:p>
    <w:p w14:paraId="7BBE0E21" w14:textId="77777777" w:rsidR="00922D8A" w:rsidRPr="008661CD" w:rsidRDefault="00922D8A" w:rsidP="008661CD">
      <w:pPr>
        <w:rPr>
          <w:highlight w:val="yellow"/>
        </w:rPr>
      </w:pPr>
    </w:p>
    <w:p w14:paraId="45310C89" w14:textId="77777777" w:rsidR="00922D8A" w:rsidRPr="008661CD" w:rsidRDefault="00922D8A" w:rsidP="008661CD">
      <w:r w:rsidRPr="008661CD">
        <w:t>Plėvele dengta tabletė (tabletė).</w:t>
      </w:r>
    </w:p>
    <w:p w14:paraId="05BACA0D" w14:textId="77777777" w:rsidR="00922D8A" w:rsidRPr="008661CD" w:rsidRDefault="00922D8A" w:rsidP="008661CD"/>
    <w:p w14:paraId="69E605E0" w14:textId="77777777" w:rsidR="00922D8A" w:rsidRPr="008661CD" w:rsidRDefault="00922D8A" w:rsidP="008661CD">
      <w:r w:rsidRPr="008661CD">
        <w:t xml:space="preserve">Balta, plėvele dengta, kapsulės formos tabletė. Viena tabletės pusė lygi, kitoje tabletės pusėje įspaustas užrašas „GX ES5“ </w:t>
      </w:r>
    </w:p>
    <w:p w14:paraId="387C4236" w14:textId="77777777" w:rsidR="00922D8A" w:rsidRPr="008661CD" w:rsidRDefault="00922D8A" w:rsidP="008661CD">
      <w:pPr>
        <w:rPr>
          <w:highlight w:val="lightGray"/>
        </w:rPr>
      </w:pPr>
      <w:r w:rsidRPr="008661CD">
        <w:rPr>
          <w:highlight w:val="lightGray"/>
        </w:rPr>
        <w:t>Balta, plėvele dengta, kapsulės formos tabletė. Viena tabletės pusė lygi, kitoje tabletės pusėje įspaustas užrašas „GX ES7“</w:t>
      </w:r>
    </w:p>
    <w:p w14:paraId="1204D14F" w14:textId="77777777" w:rsidR="00922D8A" w:rsidRPr="008661CD" w:rsidRDefault="00922D8A" w:rsidP="008661CD">
      <w:r w:rsidRPr="008661CD">
        <w:rPr>
          <w:highlight w:val="lightGray"/>
        </w:rPr>
        <w:t>Balta, plėvele dengta, kapsulės formos tabletė. Viena tabletės pusė lygi, kitoje tabletės pusėje įspaustas užrašas „GX EG2“</w:t>
      </w:r>
      <w:r w:rsidRPr="008661CD">
        <w:t xml:space="preserve"> </w:t>
      </w:r>
    </w:p>
    <w:p w14:paraId="5DDE864F" w14:textId="77777777" w:rsidR="00922D8A" w:rsidRPr="008661CD" w:rsidRDefault="00922D8A" w:rsidP="008661CD">
      <w:pPr>
        <w:ind w:left="567" w:hanging="567"/>
      </w:pPr>
    </w:p>
    <w:p w14:paraId="3CD370E5" w14:textId="77777777" w:rsidR="00922D8A" w:rsidRPr="008661CD" w:rsidRDefault="00922D8A" w:rsidP="008661CD">
      <w:pPr>
        <w:ind w:left="567" w:hanging="567"/>
      </w:pPr>
    </w:p>
    <w:p w14:paraId="169EE61F" w14:textId="77777777" w:rsidR="00922D8A" w:rsidRPr="008661CD" w:rsidRDefault="00922D8A" w:rsidP="008661CD">
      <w:pPr>
        <w:ind w:left="567" w:hanging="567"/>
        <w:rPr>
          <w:b/>
          <w:caps/>
        </w:rPr>
      </w:pPr>
      <w:r w:rsidRPr="008661CD">
        <w:rPr>
          <w:b/>
          <w:caps/>
        </w:rPr>
        <w:t>4.</w:t>
      </w:r>
      <w:r w:rsidRPr="008661CD">
        <w:rPr>
          <w:b/>
          <w:caps/>
        </w:rPr>
        <w:tab/>
        <w:t>klinikinĖ informacija</w:t>
      </w:r>
    </w:p>
    <w:p w14:paraId="68EF0070" w14:textId="77777777" w:rsidR="00922D8A" w:rsidRPr="008661CD" w:rsidRDefault="00922D8A" w:rsidP="008661CD">
      <w:pPr>
        <w:ind w:left="567" w:hanging="567"/>
      </w:pPr>
    </w:p>
    <w:p w14:paraId="33F0A5F9" w14:textId="77777777" w:rsidR="00922D8A" w:rsidRPr="008661CD" w:rsidRDefault="00922D8A" w:rsidP="008661CD">
      <w:pPr>
        <w:ind w:left="567" w:hanging="567"/>
        <w:rPr>
          <w:b/>
        </w:rPr>
      </w:pPr>
      <w:r w:rsidRPr="008661CD">
        <w:rPr>
          <w:b/>
        </w:rPr>
        <w:t>4.1</w:t>
      </w:r>
      <w:r w:rsidRPr="008661CD">
        <w:rPr>
          <w:b/>
        </w:rPr>
        <w:tab/>
        <w:t>Terapinės indikacijos</w:t>
      </w:r>
    </w:p>
    <w:p w14:paraId="321C20C4" w14:textId="77777777" w:rsidR="00922D8A" w:rsidRPr="008661CD" w:rsidRDefault="00922D8A" w:rsidP="008661CD">
      <w:pPr>
        <w:ind w:left="567" w:hanging="567"/>
      </w:pPr>
    </w:p>
    <w:p w14:paraId="7C21DAD6" w14:textId="77777777" w:rsidR="00922D8A" w:rsidRPr="008661CD" w:rsidRDefault="00922D8A" w:rsidP="008661CD">
      <w:r w:rsidRPr="008661CD">
        <w:t>Zinnat skirtas suaugusiesiems bei vyresniems kaip 3 mėnesių kūdikiams ir vaikams toliau išvardytoms infekcinėms ligoms gydyti (žr. 4.4 ir 5.1 skyrius).</w:t>
      </w:r>
    </w:p>
    <w:p w14:paraId="39D54991" w14:textId="77777777" w:rsidR="00922D8A" w:rsidRPr="008661CD" w:rsidRDefault="00922D8A" w:rsidP="008661CD"/>
    <w:p w14:paraId="46740309" w14:textId="77777777" w:rsidR="00922D8A" w:rsidRPr="008661CD" w:rsidRDefault="00922D8A" w:rsidP="000F3553">
      <w:pPr>
        <w:numPr>
          <w:ilvl w:val="0"/>
          <w:numId w:val="3"/>
        </w:numPr>
        <w:tabs>
          <w:tab w:val="left" w:pos="567"/>
        </w:tabs>
        <w:spacing w:line="260" w:lineRule="exact"/>
        <w:ind w:left="567" w:hanging="567"/>
      </w:pPr>
      <w:r w:rsidRPr="008661CD">
        <w:t>Ūminis streptokokinis tonzilitas ir faringitas.</w:t>
      </w:r>
    </w:p>
    <w:p w14:paraId="6BA5556C" w14:textId="77777777" w:rsidR="00922D8A" w:rsidRPr="008661CD" w:rsidRDefault="00922D8A" w:rsidP="000F3553">
      <w:pPr>
        <w:numPr>
          <w:ilvl w:val="0"/>
          <w:numId w:val="3"/>
        </w:numPr>
        <w:tabs>
          <w:tab w:val="left" w:pos="567"/>
        </w:tabs>
        <w:spacing w:line="260" w:lineRule="exact"/>
        <w:ind w:left="567" w:hanging="567"/>
      </w:pPr>
      <w:r w:rsidRPr="008661CD">
        <w:t>Ūminis bakterinis sinusitas.</w:t>
      </w:r>
    </w:p>
    <w:p w14:paraId="40CAF251" w14:textId="77777777" w:rsidR="00922D8A" w:rsidRPr="008661CD" w:rsidRDefault="00922D8A" w:rsidP="000F3553">
      <w:pPr>
        <w:numPr>
          <w:ilvl w:val="0"/>
          <w:numId w:val="3"/>
        </w:numPr>
        <w:tabs>
          <w:tab w:val="left" w:pos="567"/>
        </w:tabs>
        <w:spacing w:line="260" w:lineRule="exact"/>
        <w:ind w:left="567" w:hanging="567"/>
      </w:pPr>
      <w:r w:rsidRPr="008661CD">
        <w:t>Ūminis vidurinės ausies uždegimas.</w:t>
      </w:r>
    </w:p>
    <w:p w14:paraId="44BEDE6C" w14:textId="77777777" w:rsidR="00922D8A" w:rsidRPr="008661CD" w:rsidRDefault="00922D8A" w:rsidP="000F3553">
      <w:pPr>
        <w:numPr>
          <w:ilvl w:val="0"/>
          <w:numId w:val="3"/>
        </w:numPr>
        <w:tabs>
          <w:tab w:val="left" w:pos="567"/>
        </w:tabs>
        <w:spacing w:line="260" w:lineRule="exact"/>
        <w:ind w:left="540" w:hanging="540"/>
      </w:pPr>
      <w:r w:rsidRPr="008661CD">
        <w:lastRenderedPageBreak/>
        <w:t>Paūmėjęs lėtinis bronchitas.</w:t>
      </w:r>
    </w:p>
    <w:p w14:paraId="6967BCA2" w14:textId="77777777" w:rsidR="00922D8A" w:rsidRPr="008661CD" w:rsidRDefault="00922D8A" w:rsidP="000F3553">
      <w:pPr>
        <w:numPr>
          <w:ilvl w:val="0"/>
          <w:numId w:val="3"/>
        </w:numPr>
        <w:tabs>
          <w:tab w:val="left" w:pos="567"/>
        </w:tabs>
        <w:spacing w:line="260" w:lineRule="exact"/>
        <w:ind w:hanging="720"/>
      </w:pPr>
      <w:r w:rsidRPr="008661CD">
        <w:t>Cistitas.</w:t>
      </w:r>
    </w:p>
    <w:p w14:paraId="4BBC862A" w14:textId="77777777" w:rsidR="00922D8A" w:rsidRPr="008661CD" w:rsidRDefault="00922D8A" w:rsidP="000F3553">
      <w:pPr>
        <w:numPr>
          <w:ilvl w:val="0"/>
          <w:numId w:val="3"/>
        </w:numPr>
        <w:tabs>
          <w:tab w:val="left" w:pos="567"/>
        </w:tabs>
        <w:spacing w:line="260" w:lineRule="exact"/>
        <w:ind w:hanging="720"/>
      </w:pPr>
      <w:r w:rsidRPr="008661CD">
        <w:t>Pielonefritas.</w:t>
      </w:r>
    </w:p>
    <w:p w14:paraId="1A73E801" w14:textId="77777777" w:rsidR="00922D8A" w:rsidRPr="008661CD" w:rsidRDefault="00922D8A" w:rsidP="000F3553">
      <w:pPr>
        <w:numPr>
          <w:ilvl w:val="0"/>
          <w:numId w:val="3"/>
        </w:numPr>
        <w:tabs>
          <w:tab w:val="left" w:pos="567"/>
        </w:tabs>
        <w:spacing w:line="260" w:lineRule="exact"/>
        <w:ind w:hanging="720"/>
      </w:pPr>
      <w:r w:rsidRPr="008661CD">
        <w:t>Nekomplikuotos odos ir poodinio audinio infekcinės ligos.</w:t>
      </w:r>
    </w:p>
    <w:p w14:paraId="6B9833AB" w14:textId="77777777" w:rsidR="00922D8A" w:rsidRPr="008661CD" w:rsidRDefault="00922D8A" w:rsidP="000F3553">
      <w:pPr>
        <w:numPr>
          <w:ilvl w:val="0"/>
          <w:numId w:val="3"/>
        </w:numPr>
        <w:tabs>
          <w:tab w:val="left" w:pos="567"/>
        </w:tabs>
        <w:spacing w:line="260" w:lineRule="exact"/>
        <w:ind w:left="567" w:hanging="567"/>
      </w:pPr>
      <w:r w:rsidRPr="008661CD">
        <w:t>Ankstyvosios Laimo ligos stadijos gydymas.</w:t>
      </w:r>
    </w:p>
    <w:p w14:paraId="490327FF" w14:textId="77777777" w:rsidR="00922D8A" w:rsidRPr="008661CD" w:rsidRDefault="00922D8A" w:rsidP="008661CD"/>
    <w:p w14:paraId="19224BAA" w14:textId="77777777" w:rsidR="00922D8A" w:rsidRPr="008661CD" w:rsidRDefault="00922D8A" w:rsidP="008661CD">
      <w:r w:rsidRPr="008661CD">
        <w:t>Reikia atsižvelgti į oficialias tinkamo antimikrobinių vaistinių preparatų vartojimo rekomendacijas.</w:t>
      </w:r>
    </w:p>
    <w:p w14:paraId="53BD6D0F" w14:textId="77777777" w:rsidR="00922D8A" w:rsidRPr="008661CD" w:rsidRDefault="00922D8A" w:rsidP="008661CD"/>
    <w:p w14:paraId="250DAA0C" w14:textId="77777777" w:rsidR="00922D8A" w:rsidRPr="008661CD" w:rsidRDefault="00922D8A" w:rsidP="008661CD">
      <w:pPr>
        <w:keepNext/>
        <w:tabs>
          <w:tab w:val="left" w:pos="567"/>
        </w:tabs>
        <w:rPr>
          <w:b/>
        </w:rPr>
      </w:pPr>
      <w:r w:rsidRPr="008661CD">
        <w:rPr>
          <w:b/>
        </w:rPr>
        <w:t>4.2</w:t>
      </w:r>
      <w:r w:rsidRPr="008661CD">
        <w:rPr>
          <w:b/>
        </w:rPr>
        <w:tab/>
        <w:t>Dozavimas ir vartojimo metodas</w:t>
      </w:r>
    </w:p>
    <w:p w14:paraId="184160C9" w14:textId="77777777" w:rsidR="00922D8A" w:rsidRPr="008661CD" w:rsidRDefault="00922D8A" w:rsidP="008661CD">
      <w:pPr>
        <w:keepNext/>
        <w:tabs>
          <w:tab w:val="left" w:pos="567"/>
        </w:tabs>
      </w:pPr>
    </w:p>
    <w:p w14:paraId="1F2AAB01" w14:textId="77777777" w:rsidR="00922D8A" w:rsidRPr="008661CD" w:rsidRDefault="00922D8A" w:rsidP="008661CD">
      <w:pPr>
        <w:keepNext/>
        <w:tabs>
          <w:tab w:val="left" w:pos="567"/>
        </w:tabs>
        <w:rPr>
          <w:u w:val="single"/>
        </w:rPr>
      </w:pPr>
      <w:r w:rsidRPr="008661CD">
        <w:rPr>
          <w:u w:val="single"/>
        </w:rPr>
        <w:t>Dozavimas</w:t>
      </w:r>
    </w:p>
    <w:p w14:paraId="42EF10BE" w14:textId="77777777" w:rsidR="00922D8A" w:rsidRPr="008661CD" w:rsidRDefault="00922D8A" w:rsidP="008661CD">
      <w:pPr>
        <w:keepNext/>
        <w:tabs>
          <w:tab w:val="left" w:pos="567"/>
        </w:tabs>
      </w:pPr>
    </w:p>
    <w:p w14:paraId="68621885" w14:textId="77777777" w:rsidR="00922D8A" w:rsidRPr="008661CD" w:rsidRDefault="00922D8A" w:rsidP="008661CD">
      <w:r w:rsidRPr="008661CD">
        <w:t>Įprastas gydymo kursas trunka septynias paras (gali svyruoti nuo penkių iki dešimties parų).</w:t>
      </w:r>
    </w:p>
    <w:p w14:paraId="16539BCF" w14:textId="77777777" w:rsidR="00922D8A" w:rsidRPr="008661CD" w:rsidRDefault="00922D8A" w:rsidP="008661CD">
      <w:pPr>
        <w:rPr>
          <w:u w:val="single"/>
        </w:rPr>
      </w:pPr>
    </w:p>
    <w:p w14:paraId="208D007C" w14:textId="77777777" w:rsidR="00922D8A" w:rsidRPr="008661CD" w:rsidRDefault="00922D8A" w:rsidP="008661CD">
      <w:pPr>
        <w:keepNext/>
        <w:rPr>
          <w:i/>
        </w:rPr>
      </w:pPr>
      <w:r w:rsidRPr="008661CD">
        <w:rPr>
          <w:i/>
        </w:rPr>
        <w:t>1 lentelė. Suaugusiesiems ir vaikams (</w:t>
      </w:r>
      <w:r w:rsidRPr="008661CD">
        <w:rPr>
          <w:i/>
        </w:rPr>
        <w:sym w:font="Symbol" w:char="F0B3"/>
      </w:r>
      <w:r w:rsidRPr="008661CD">
        <w:rPr>
          <w:i/>
        </w:rPr>
        <w:t> 40 kg)</w:t>
      </w:r>
    </w:p>
    <w:p w14:paraId="5C5855EF" w14:textId="77777777" w:rsidR="00922D8A" w:rsidRPr="008661CD" w:rsidRDefault="00922D8A" w:rsidP="008661CD">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4"/>
      </w:tblGrid>
      <w:tr w:rsidR="00922D8A" w:rsidRPr="00C510EF" w14:paraId="795D6A82" w14:textId="77777777" w:rsidTr="00894113">
        <w:tc>
          <w:tcPr>
            <w:tcW w:w="4621" w:type="dxa"/>
          </w:tcPr>
          <w:p w14:paraId="43E59734" w14:textId="77777777" w:rsidR="00922D8A" w:rsidRPr="008661CD" w:rsidRDefault="00922D8A" w:rsidP="008661CD">
            <w:pPr>
              <w:keepNext/>
              <w:jc w:val="center"/>
              <w:rPr>
                <w:b/>
              </w:rPr>
            </w:pPr>
            <w:r w:rsidRPr="008661CD">
              <w:rPr>
                <w:b/>
              </w:rPr>
              <w:t>Indikacija</w:t>
            </w:r>
          </w:p>
        </w:tc>
        <w:tc>
          <w:tcPr>
            <w:tcW w:w="4621" w:type="dxa"/>
          </w:tcPr>
          <w:p w14:paraId="59E67683" w14:textId="77777777" w:rsidR="00922D8A" w:rsidRPr="008661CD" w:rsidRDefault="00922D8A" w:rsidP="008661CD">
            <w:pPr>
              <w:keepNext/>
              <w:jc w:val="center"/>
              <w:rPr>
                <w:b/>
              </w:rPr>
            </w:pPr>
            <w:r w:rsidRPr="008661CD">
              <w:rPr>
                <w:b/>
              </w:rPr>
              <w:t>Dozavimas</w:t>
            </w:r>
          </w:p>
        </w:tc>
      </w:tr>
      <w:tr w:rsidR="00922D8A" w:rsidRPr="00C510EF" w14:paraId="708518B8" w14:textId="77777777" w:rsidTr="00894113">
        <w:tc>
          <w:tcPr>
            <w:tcW w:w="4621" w:type="dxa"/>
          </w:tcPr>
          <w:p w14:paraId="0FCC0526" w14:textId="77777777" w:rsidR="00922D8A" w:rsidRPr="008661CD" w:rsidRDefault="00922D8A" w:rsidP="008661CD">
            <w:pPr>
              <w:keepNext/>
            </w:pPr>
            <w:r w:rsidRPr="008661CD">
              <w:t>Ūminis tonzilitas ir faringitas, ūminis bakterinis sinusitas</w:t>
            </w:r>
          </w:p>
        </w:tc>
        <w:tc>
          <w:tcPr>
            <w:tcW w:w="4621" w:type="dxa"/>
          </w:tcPr>
          <w:p w14:paraId="20EE4977" w14:textId="77777777" w:rsidR="00922D8A" w:rsidRPr="008661CD" w:rsidRDefault="00922D8A" w:rsidP="008661CD">
            <w:pPr>
              <w:keepNext/>
            </w:pPr>
            <w:r w:rsidRPr="008661CD">
              <w:t>250 mg du kartus per parą</w:t>
            </w:r>
          </w:p>
        </w:tc>
      </w:tr>
      <w:tr w:rsidR="00922D8A" w:rsidRPr="00C510EF" w14:paraId="287FD5D0" w14:textId="77777777" w:rsidTr="00894113">
        <w:tc>
          <w:tcPr>
            <w:tcW w:w="4621" w:type="dxa"/>
          </w:tcPr>
          <w:p w14:paraId="3D12376A" w14:textId="77777777" w:rsidR="00922D8A" w:rsidRPr="008661CD" w:rsidRDefault="00922D8A" w:rsidP="008661CD">
            <w:r w:rsidRPr="008661CD">
              <w:t>Ūminis vidurinės ausies uždegimas</w:t>
            </w:r>
          </w:p>
        </w:tc>
        <w:tc>
          <w:tcPr>
            <w:tcW w:w="4621" w:type="dxa"/>
          </w:tcPr>
          <w:p w14:paraId="7EE4BEFC" w14:textId="77777777" w:rsidR="00922D8A" w:rsidRPr="008661CD" w:rsidRDefault="00922D8A" w:rsidP="008661CD">
            <w:r w:rsidRPr="008661CD">
              <w:t>500 mg du kartus per parą</w:t>
            </w:r>
          </w:p>
        </w:tc>
      </w:tr>
      <w:tr w:rsidR="00922D8A" w:rsidRPr="00C510EF" w14:paraId="52889CFF" w14:textId="77777777" w:rsidTr="00894113">
        <w:tc>
          <w:tcPr>
            <w:tcW w:w="4621" w:type="dxa"/>
          </w:tcPr>
          <w:p w14:paraId="4B3A679A" w14:textId="77777777" w:rsidR="00922D8A" w:rsidRPr="008661CD" w:rsidRDefault="00922D8A" w:rsidP="008661CD">
            <w:r w:rsidRPr="008661CD">
              <w:t xml:space="preserve">Paūmėjęs lėtinis bronchitas </w:t>
            </w:r>
          </w:p>
        </w:tc>
        <w:tc>
          <w:tcPr>
            <w:tcW w:w="4621" w:type="dxa"/>
          </w:tcPr>
          <w:p w14:paraId="1AA54D06" w14:textId="77777777" w:rsidR="00922D8A" w:rsidRPr="008661CD" w:rsidRDefault="00922D8A" w:rsidP="008661CD">
            <w:r w:rsidRPr="008661CD">
              <w:t>500 mg du kartus per parą</w:t>
            </w:r>
          </w:p>
        </w:tc>
      </w:tr>
      <w:tr w:rsidR="00922D8A" w:rsidRPr="00C510EF" w14:paraId="2D0694DD" w14:textId="77777777" w:rsidTr="00894113">
        <w:tc>
          <w:tcPr>
            <w:tcW w:w="4621" w:type="dxa"/>
          </w:tcPr>
          <w:p w14:paraId="5DFBB6DB" w14:textId="77777777" w:rsidR="00922D8A" w:rsidRPr="008661CD" w:rsidRDefault="00922D8A" w:rsidP="008661CD">
            <w:r w:rsidRPr="008661CD">
              <w:t>Cistitas</w:t>
            </w:r>
          </w:p>
        </w:tc>
        <w:tc>
          <w:tcPr>
            <w:tcW w:w="4621" w:type="dxa"/>
          </w:tcPr>
          <w:p w14:paraId="1CA2CFB2" w14:textId="77777777" w:rsidR="00922D8A" w:rsidRPr="008661CD" w:rsidRDefault="00922D8A" w:rsidP="008661CD">
            <w:r w:rsidRPr="008661CD">
              <w:t>250 mg du kartus per parą</w:t>
            </w:r>
          </w:p>
        </w:tc>
      </w:tr>
      <w:tr w:rsidR="00922D8A" w:rsidRPr="00C510EF" w14:paraId="1CC96FF8" w14:textId="77777777" w:rsidTr="00894113">
        <w:tc>
          <w:tcPr>
            <w:tcW w:w="4621" w:type="dxa"/>
          </w:tcPr>
          <w:p w14:paraId="7089BAC6" w14:textId="77777777" w:rsidR="00922D8A" w:rsidRPr="008661CD" w:rsidRDefault="00922D8A" w:rsidP="008661CD">
            <w:r w:rsidRPr="008661CD">
              <w:t>Pielonefritas</w:t>
            </w:r>
          </w:p>
        </w:tc>
        <w:tc>
          <w:tcPr>
            <w:tcW w:w="4621" w:type="dxa"/>
          </w:tcPr>
          <w:p w14:paraId="6ECF2B9F" w14:textId="77777777" w:rsidR="00922D8A" w:rsidRPr="008661CD" w:rsidRDefault="00922D8A" w:rsidP="008661CD">
            <w:r w:rsidRPr="008661CD">
              <w:t>250 mg du kartus per parą</w:t>
            </w:r>
          </w:p>
        </w:tc>
      </w:tr>
      <w:tr w:rsidR="00922D8A" w:rsidRPr="00C510EF" w14:paraId="07DC545C" w14:textId="77777777" w:rsidTr="00894113">
        <w:tc>
          <w:tcPr>
            <w:tcW w:w="4621" w:type="dxa"/>
          </w:tcPr>
          <w:p w14:paraId="76D944A6" w14:textId="77777777" w:rsidR="00922D8A" w:rsidRPr="008661CD" w:rsidRDefault="00922D8A" w:rsidP="008661CD">
            <w:r w:rsidRPr="008661CD">
              <w:t>Nekomplikuotos odos ir poodinio audinio infekcinės ligos</w:t>
            </w:r>
          </w:p>
        </w:tc>
        <w:tc>
          <w:tcPr>
            <w:tcW w:w="4621" w:type="dxa"/>
          </w:tcPr>
          <w:p w14:paraId="082B800E" w14:textId="77777777" w:rsidR="00922D8A" w:rsidRPr="008661CD" w:rsidRDefault="00922D8A" w:rsidP="008661CD">
            <w:r w:rsidRPr="008661CD">
              <w:t>250 mg du kartus per parą</w:t>
            </w:r>
          </w:p>
        </w:tc>
      </w:tr>
      <w:tr w:rsidR="00922D8A" w:rsidRPr="00C510EF" w14:paraId="4AFBCF80" w14:textId="77777777" w:rsidTr="00894113">
        <w:tc>
          <w:tcPr>
            <w:tcW w:w="4621" w:type="dxa"/>
          </w:tcPr>
          <w:p w14:paraId="2A9CF489" w14:textId="77777777" w:rsidR="00922D8A" w:rsidRPr="008661CD" w:rsidRDefault="00922D8A" w:rsidP="008661CD">
            <w:r w:rsidRPr="008661CD">
              <w:t>Laimo liga</w:t>
            </w:r>
          </w:p>
        </w:tc>
        <w:tc>
          <w:tcPr>
            <w:tcW w:w="4621" w:type="dxa"/>
          </w:tcPr>
          <w:p w14:paraId="625DFE90" w14:textId="77777777" w:rsidR="00922D8A" w:rsidRPr="008661CD" w:rsidRDefault="00922D8A" w:rsidP="008661CD">
            <w:r w:rsidRPr="008661CD">
              <w:t>500 mg du kartus per parą 14 parų (nuo 10 iki 21 paros)</w:t>
            </w:r>
          </w:p>
        </w:tc>
      </w:tr>
    </w:tbl>
    <w:p w14:paraId="39543EA3" w14:textId="77777777" w:rsidR="00922D8A" w:rsidRPr="008661CD" w:rsidRDefault="00922D8A" w:rsidP="008661CD">
      <w:pPr>
        <w:rPr>
          <w:u w:val="single"/>
          <w:shd w:val="clear" w:color="auto" w:fill="C0C0C0"/>
        </w:rPr>
      </w:pPr>
    </w:p>
    <w:p w14:paraId="6FF3C496" w14:textId="77777777" w:rsidR="00922D8A" w:rsidRPr="008661CD" w:rsidRDefault="00922D8A" w:rsidP="008661CD">
      <w:pPr>
        <w:rPr>
          <w:i/>
        </w:rPr>
      </w:pPr>
      <w:r w:rsidRPr="008661CD">
        <w:rPr>
          <w:i/>
        </w:rPr>
        <w:t>2 lentelė. Vaikams (&lt; 40 kg)</w:t>
      </w:r>
    </w:p>
    <w:p w14:paraId="75C9925E" w14:textId="77777777" w:rsidR="00922D8A" w:rsidRPr="008661CD" w:rsidRDefault="00922D8A" w:rsidP="008661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4"/>
      </w:tblGrid>
      <w:tr w:rsidR="00922D8A" w:rsidRPr="00C510EF" w14:paraId="17E99232" w14:textId="77777777" w:rsidTr="00894113">
        <w:tc>
          <w:tcPr>
            <w:tcW w:w="4621" w:type="dxa"/>
          </w:tcPr>
          <w:p w14:paraId="5101254C" w14:textId="77777777" w:rsidR="00922D8A" w:rsidRPr="008661CD" w:rsidRDefault="00922D8A" w:rsidP="008661CD">
            <w:pPr>
              <w:jc w:val="center"/>
              <w:rPr>
                <w:b/>
              </w:rPr>
            </w:pPr>
            <w:r w:rsidRPr="008661CD">
              <w:rPr>
                <w:b/>
              </w:rPr>
              <w:t>Indikacija</w:t>
            </w:r>
          </w:p>
        </w:tc>
        <w:tc>
          <w:tcPr>
            <w:tcW w:w="4621" w:type="dxa"/>
          </w:tcPr>
          <w:p w14:paraId="3400A5E8" w14:textId="77777777" w:rsidR="00922D8A" w:rsidRPr="008661CD" w:rsidRDefault="00922D8A" w:rsidP="008661CD">
            <w:pPr>
              <w:jc w:val="center"/>
              <w:rPr>
                <w:b/>
              </w:rPr>
            </w:pPr>
            <w:r w:rsidRPr="008661CD">
              <w:rPr>
                <w:b/>
              </w:rPr>
              <w:t>Dozavimas</w:t>
            </w:r>
          </w:p>
        </w:tc>
      </w:tr>
      <w:tr w:rsidR="00922D8A" w:rsidRPr="00C510EF" w14:paraId="375317AB" w14:textId="77777777" w:rsidTr="00894113">
        <w:tc>
          <w:tcPr>
            <w:tcW w:w="4621" w:type="dxa"/>
          </w:tcPr>
          <w:p w14:paraId="769A44A1" w14:textId="77777777" w:rsidR="00922D8A" w:rsidRPr="008661CD" w:rsidRDefault="00922D8A" w:rsidP="008661CD">
            <w:r w:rsidRPr="008661CD">
              <w:t>Ūminis tonzilitas ir faringitas, ūminis bakterinis sinusitas</w:t>
            </w:r>
          </w:p>
        </w:tc>
        <w:tc>
          <w:tcPr>
            <w:tcW w:w="4621" w:type="dxa"/>
          </w:tcPr>
          <w:p w14:paraId="1747C4BC" w14:textId="77777777" w:rsidR="00922D8A" w:rsidRPr="008661CD" w:rsidRDefault="00922D8A" w:rsidP="008661CD">
            <w:r w:rsidRPr="008661CD">
              <w:t>10 mg/kg du kartus per parą, didžiausia dozė – 125 mg du kartus per parą.</w:t>
            </w:r>
          </w:p>
        </w:tc>
      </w:tr>
      <w:tr w:rsidR="00922D8A" w:rsidRPr="00C510EF" w14:paraId="11F19904" w14:textId="77777777" w:rsidTr="00894113">
        <w:tc>
          <w:tcPr>
            <w:tcW w:w="4621" w:type="dxa"/>
          </w:tcPr>
          <w:p w14:paraId="09BFDDE1" w14:textId="77777777" w:rsidR="00922D8A" w:rsidRPr="008661CD" w:rsidRDefault="00922D8A" w:rsidP="008661CD">
            <w:r w:rsidRPr="008661CD">
              <w:t>Dviejų metų ar vyresni vaikai, sergantys vidurinės ausies uždegimu arba sunkesnėmis infekcinėmis ligomis, jeigu tinka</w:t>
            </w:r>
          </w:p>
        </w:tc>
        <w:tc>
          <w:tcPr>
            <w:tcW w:w="4621" w:type="dxa"/>
          </w:tcPr>
          <w:p w14:paraId="20AFC3A7" w14:textId="77777777" w:rsidR="00922D8A" w:rsidRPr="008661CD" w:rsidRDefault="00922D8A" w:rsidP="008661CD">
            <w:r w:rsidRPr="008661CD">
              <w:t>15 mg/kg du kartus per parą, didžiausia dozė – 250 mg du kartus per parą.</w:t>
            </w:r>
          </w:p>
        </w:tc>
      </w:tr>
      <w:tr w:rsidR="00922D8A" w:rsidRPr="00C510EF" w14:paraId="2115DEC4" w14:textId="77777777" w:rsidTr="00894113">
        <w:tc>
          <w:tcPr>
            <w:tcW w:w="4621" w:type="dxa"/>
          </w:tcPr>
          <w:p w14:paraId="7C87DC88" w14:textId="77777777" w:rsidR="00922D8A" w:rsidRPr="008661CD" w:rsidRDefault="00922D8A" w:rsidP="008661CD">
            <w:r w:rsidRPr="008661CD">
              <w:t>Cistitas</w:t>
            </w:r>
          </w:p>
        </w:tc>
        <w:tc>
          <w:tcPr>
            <w:tcW w:w="4621" w:type="dxa"/>
          </w:tcPr>
          <w:p w14:paraId="03244273" w14:textId="77777777" w:rsidR="00922D8A" w:rsidRPr="008661CD" w:rsidRDefault="00922D8A" w:rsidP="008661CD">
            <w:r w:rsidRPr="008661CD">
              <w:t>15 mg/kg</w:t>
            </w:r>
            <w:r w:rsidRPr="008661CD" w:rsidDel="007B4FE9">
              <w:t xml:space="preserve"> </w:t>
            </w:r>
            <w:r w:rsidRPr="008661CD">
              <w:t>du kartus per parą, didžiausia dozė – 250 mg du kartus per parą.</w:t>
            </w:r>
          </w:p>
        </w:tc>
      </w:tr>
      <w:tr w:rsidR="00922D8A" w:rsidRPr="00C510EF" w14:paraId="1C1F2DC8" w14:textId="77777777" w:rsidTr="00894113">
        <w:tc>
          <w:tcPr>
            <w:tcW w:w="4621" w:type="dxa"/>
          </w:tcPr>
          <w:p w14:paraId="5F0FC664" w14:textId="77777777" w:rsidR="00922D8A" w:rsidRPr="008661CD" w:rsidRDefault="00922D8A" w:rsidP="008661CD">
            <w:r w:rsidRPr="008661CD">
              <w:t>Pielonefritas</w:t>
            </w:r>
          </w:p>
        </w:tc>
        <w:tc>
          <w:tcPr>
            <w:tcW w:w="4621" w:type="dxa"/>
          </w:tcPr>
          <w:p w14:paraId="7B3ADC37" w14:textId="77777777" w:rsidR="00922D8A" w:rsidRPr="008661CD" w:rsidRDefault="00922D8A" w:rsidP="008661CD">
            <w:r w:rsidRPr="008661CD">
              <w:t>15 mg/kg</w:t>
            </w:r>
            <w:r w:rsidRPr="008661CD" w:rsidDel="007B4FE9">
              <w:t xml:space="preserve"> </w:t>
            </w:r>
            <w:r w:rsidRPr="008661CD">
              <w:t>du kartus per parą, didžiausia dozė – 250 mg du kartus per parą 10</w:t>
            </w:r>
            <w:r w:rsidRPr="008661CD">
              <w:noBreakHyphen/>
              <w:t>14 parų.</w:t>
            </w:r>
          </w:p>
        </w:tc>
      </w:tr>
      <w:tr w:rsidR="00922D8A" w:rsidRPr="00C510EF" w14:paraId="41103A4B" w14:textId="77777777" w:rsidTr="00894113">
        <w:tc>
          <w:tcPr>
            <w:tcW w:w="4621" w:type="dxa"/>
          </w:tcPr>
          <w:p w14:paraId="732C189C" w14:textId="77777777" w:rsidR="00922D8A" w:rsidRPr="008661CD" w:rsidRDefault="00922D8A" w:rsidP="008661CD">
            <w:r w:rsidRPr="008661CD">
              <w:t>Nekomplikuotos odos ir poodinio audinio infekcinės ligos</w:t>
            </w:r>
          </w:p>
        </w:tc>
        <w:tc>
          <w:tcPr>
            <w:tcW w:w="4621" w:type="dxa"/>
          </w:tcPr>
          <w:p w14:paraId="7DB91965" w14:textId="77777777" w:rsidR="00922D8A" w:rsidRPr="008661CD" w:rsidRDefault="00922D8A" w:rsidP="008661CD">
            <w:r w:rsidRPr="008661CD">
              <w:t>15 mg/kg</w:t>
            </w:r>
            <w:r w:rsidRPr="008661CD" w:rsidDel="007B4FE9">
              <w:t xml:space="preserve"> </w:t>
            </w:r>
            <w:r w:rsidRPr="008661CD">
              <w:t>du kartus per parą, didžiausia dozė – 250 mg du kartus per parą</w:t>
            </w:r>
          </w:p>
        </w:tc>
      </w:tr>
      <w:tr w:rsidR="00922D8A" w:rsidRPr="00C510EF" w14:paraId="6CB8AB73" w14:textId="77777777" w:rsidTr="00894113">
        <w:tc>
          <w:tcPr>
            <w:tcW w:w="4621" w:type="dxa"/>
          </w:tcPr>
          <w:p w14:paraId="269919CD" w14:textId="77777777" w:rsidR="00922D8A" w:rsidRPr="008661CD" w:rsidRDefault="00922D8A" w:rsidP="008661CD">
            <w:r w:rsidRPr="008661CD">
              <w:t>Laimo liga</w:t>
            </w:r>
          </w:p>
        </w:tc>
        <w:tc>
          <w:tcPr>
            <w:tcW w:w="4621" w:type="dxa"/>
          </w:tcPr>
          <w:p w14:paraId="5A7F9D0C" w14:textId="77777777" w:rsidR="00922D8A" w:rsidRPr="008661CD" w:rsidRDefault="00922D8A" w:rsidP="008661CD">
            <w:r w:rsidRPr="008661CD">
              <w:t>15 mg/kg per parą du kartus per parą, didžiausia dozė – 250 mg per parą 14 parų (nuo 10 iki 21 paros).</w:t>
            </w:r>
          </w:p>
        </w:tc>
      </w:tr>
    </w:tbl>
    <w:p w14:paraId="03964FAB" w14:textId="77777777" w:rsidR="00922D8A" w:rsidRPr="008661CD" w:rsidRDefault="00922D8A" w:rsidP="008661CD">
      <w:pPr>
        <w:rPr>
          <w:u w:val="single"/>
        </w:rPr>
      </w:pPr>
    </w:p>
    <w:p w14:paraId="387B1462" w14:textId="77777777" w:rsidR="00922D8A" w:rsidRPr="000F3553" w:rsidRDefault="00922D8A" w:rsidP="008661CD">
      <w:pPr>
        <w:rPr>
          <w:rFonts w:eastAsia="Calibri"/>
        </w:rPr>
      </w:pPr>
      <w:r w:rsidRPr="000F3553">
        <w:rPr>
          <w:rFonts w:eastAsia="Calibri"/>
        </w:rPr>
        <w:t>Zinnat vartojimo jaunesniems kaip 3 mėnesių kūdikiams patirties nėra.</w:t>
      </w:r>
    </w:p>
    <w:p w14:paraId="64C9D575" w14:textId="77777777" w:rsidR="00922D8A" w:rsidRPr="000F3553" w:rsidRDefault="00922D8A" w:rsidP="008661CD">
      <w:pPr>
        <w:rPr>
          <w:rFonts w:eastAsia="Calibri"/>
        </w:rPr>
      </w:pPr>
    </w:p>
    <w:p w14:paraId="2E0ECBE3" w14:textId="77777777" w:rsidR="00922D8A" w:rsidRPr="008661CD" w:rsidRDefault="00922D8A" w:rsidP="008661CD">
      <w:pPr>
        <w:rPr>
          <w:shd w:val="clear" w:color="auto" w:fill="C0C0C0"/>
        </w:rPr>
      </w:pPr>
      <w:r w:rsidRPr="000F3553">
        <w:rPr>
          <w:rFonts w:eastAsia="Calibri"/>
        </w:rPr>
        <w:t>Cefuroksimo aksetilo tabletės ir cefuroksimo aksetilo granulės geriamajai suspensijai nėra bioekvivalentiškos ir jų negalima pakeisti vienų kitomis miligramas į miligramą (žr. 5.2 skyrių).</w:t>
      </w:r>
    </w:p>
    <w:p w14:paraId="08B089E7" w14:textId="77777777" w:rsidR="00922D8A" w:rsidRPr="008661CD" w:rsidRDefault="00922D8A" w:rsidP="008661CD">
      <w:pPr>
        <w:rPr>
          <w:u w:val="single"/>
        </w:rPr>
      </w:pPr>
    </w:p>
    <w:p w14:paraId="77A70C80" w14:textId="77777777" w:rsidR="00922D8A" w:rsidRPr="008661CD" w:rsidRDefault="00922D8A" w:rsidP="008661CD">
      <w:pPr>
        <w:rPr>
          <w:i/>
        </w:rPr>
      </w:pPr>
      <w:r w:rsidRPr="008661CD">
        <w:rPr>
          <w:i/>
        </w:rPr>
        <w:t>Pacientams, kurių inkstų funkcija sutrikusi</w:t>
      </w:r>
    </w:p>
    <w:p w14:paraId="5E97836F" w14:textId="77777777" w:rsidR="00922D8A" w:rsidRPr="008661CD" w:rsidRDefault="00922D8A" w:rsidP="008661CD">
      <w:r w:rsidRPr="008661CD">
        <w:t xml:space="preserve">Cefuroksimo aksetilo saugumas ir veiksmingumas pacientams, kurie serga inkstų funkcijos nepakankamumu, nenustatytas. Didžiausia dalis cefuroksimo šalinama per inkstus. Pacientams, kurių inkstų funkcija yra labai sutrikusi, cefuroksimo dozę rekomenduojama sumažinti, siekiant </w:t>
      </w:r>
      <w:r w:rsidRPr="008661CD">
        <w:lastRenderedPageBreak/>
        <w:t>kompensuoti jo ekskrecijos sulėtėjimą. Cefuroksimas veiksmingai šalinamas iš organizmo dializės metu.</w:t>
      </w:r>
    </w:p>
    <w:p w14:paraId="759A19C1" w14:textId="77777777" w:rsidR="00922D8A" w:rsidRPr="008661CD" w:rsidRDefault="00922D8A" w:rsidP="008661CD"/>
    <w:p w14:paraId="33DAF88D" w14:textId="77777777" w:rsidR="00922D8A" w:rsidRPr="008661CD" w:rsidRDefault="00922D8A" w:rsidP="008661CD">
      <w:pPr>
        <w:keepNext/>
        <w:rPr>
          <w:i/>
        </w:rPr>
      </w:pPr>
      <w:r w:rsidRPr="008661CD">
        <w:rPr>
          <w:i/>
        </w:rPr>
        <w:t>3 lentelė. Rekomenduojamos Zinnat dozės pacientams, kuriems yra inkstų funkcijos sutrikimas</w:t>
      </w:r>
    </w:p>
    <w:p w14:paraId="727E0160" w14:textId="77777777" w:rsidR="00922D8A" w:rsidRPr="008661CD" w:rsidRDefault="00922D8A" w:rsidP="008661CD">
      <w:pPr>
        <w:keepNext/>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1100"/>
        <w:gridCol w:w="4504"/>
      </w:tblGrid>
      <w:tr w:rsidR="00922D8A" w:rsidRPr="00C510EF" w14:paraId="7D339775" w14:textId="77777777" w:rsidTr="00894113">
        <w:trPr>
          <w:trHeight w:val="297"/>
        </w:trPr>
        <w:tc>
          <w:tcPr>
            <w:tcW w:w="3528" w:type="dxa"/>
          </w:tcPr>
          <w:p w14:paraId="6707BD01" w14:textId="77777777" w:rsidR="00922D8A" w:rsidRPr="008661CD" w:rsidRDefault="00922D8A" w:rsidP="008661CD">
            <w:pPr>
              <w:keepNext/>
              <w:spacing w:after="240"/>
              <w:jc w:val="center"/>
              <w:rPr>
                <w:b/>
              </w:rPr>
            </w:pPr>
            <w:r w:rsidRPr="008661CD">
              <w:rPr>
                <w:b/>
              </w:rPr>
              <w:t>Kreatinino klirensas</w:t>
            </w:r>
          </w:p>
        </w:tc>
        <w:tc>
          <w:tcPr>
            <w:tcW w:w="1115" w:type="dxa"/>
          </w:tcPr>
          <w:p w14:paraId="2EEAB664" w14:textId="77777777" w:rsidR="00922D8A" w:rsidRPr="008661CD" w:rsidRDefault="00922D8A" w:rsidP="008661CD">
            <w:pPr>
              <w:keepNext/>
              <w:spacing w:after="240"/>
              <w:jc w:val="center"/>
              <w:rPr>
                <w:b/>
              </w:rPr>
            </w:pPr>
            <w:r w:rsidRPr="008661CD">
              <w:rPr>
                <w:b/>
              </w:rPr>
              <w:t>t</w:t>
            </w:r>
            <w:r w:rsidRPr="008661CD">
              <w:rPr>
                <w:b/>
                <w:vertAlign w:val="subscript"/>
              </w:rPr>
              <w:t>1/2</w:t>
            </w:r>
            <w:r w:rsidRPr="008661CD">
              <w:rPr>
                <w:b/>
              </w:rPr>
              <w:t xml:space="preserve"> (val.)</w:t>
            </w:r>
          </w:p>
        </w:tc>
        <w:tc>
          <w:tcPr>
            <w:tcW w:w="4643" w:type="dxa"/>
          </w:tcPr>
          <w:p w14:paraId="7D63EACC" w14:textId="77777777" w:rsidR="00922D8A" w:rsidRPr="008661CD" w:rsidRDefault="00922D8A" w:rsidP="008661CD">
            <w:pPr>
              <w:keepNext/>
              <w:spacing w:after="240"/>
              <w:jc w:val="center"/>
              <w:rPr>
                <w:b/>
              </w:rPr>
            </w:pPr>
            <w:r w:rsidRPr="008661CD">
              <w:rPr>
                <w:b/>
              </w:rPr>
              <w:t>Rekomenduojamas dozavimas</w:t>
            </w:r>
          </w:p>
        </w:tc>
      </w:tr>
      <w:tr w:rsidR="00922D8A" w:rsidRPr="00C510EF" w14:paraId="5212A39A" w14:textId="77777777" w:rsidTr="00894113">
        <w:tc>
          <w:tcPr>
            <w:tcW w:w="3528" w:type="dxa"/>
          </w:tcPr>
          <w:p w14:paraId="3F464D61" w14:textId="77777777" w:rsidR="00922D8A" w:rsidRPr="008661CD" w:rsidRDefault="00922D8A" w:rsidP="008661CD">
            <w:pPr>
              <w:spacing w:after="240"/>
              <w:rPr>
                <w:vertAlign w:val="superscript"/>
              </w:rPr>
            </w:pPr>
            <w:r w:rsidRPr="008661CD">
              <w:t>≥ 30 ml/min./</w:t>
            </w:r>
            <w:smartTag w:uri="schemas-tilde-lv/tildestengine" w:element="metric2">
              <w:smartTagPr>
                <w:attr w:name="metric_text" w:val="m"/>
                <w:attr w:name="metric_value" w:val="1.73"/>
              </w:smartTagPr>
              <w:r w:rsidRPr="008661CD">
                <w:t>1,73 m</w:t>
              </w:r>
            </w:smartTag>
            <w:r w:rsidRPr="008661CD">
              <w:rPr>
                <w:vertAlign w:val="superscript"/>
              </w:rPr>
              <w:t>2</w:t>
            </w:r>
          </w:p>
        </w:tc>
        <w:tc>
          <w:tcPr>
            <w:tcW w:w="1110" w:type="dxa"/>
          </w:tcPr>
          <w:p w14:paraId="07134F0B" w14:textId="77777777" w:rsidR="00922D8A" w:rsidRPr="008661CD" w:rsidRDefault="00922D8A" w:rsidP="008661CD">
            <w:pPr>
              <w:spacing w:after="240"/>
            </w:pPr>
            <w:r w:rsidRPr="008661CD">
              <w:t>1,4</w:t>
            </w:r>
            <w:r w:rsidRPr="008661CD">
              <w:noBreakHyphen/>
              <w:t>2,4</w:t>
            </w:r>
          </w:p>
        </w:tc>
        <w:tc>
          <w:tcPr>
            <w:tcW w:w="4648" w:type="dxa"/>
          </w:tcPr>
          <w:p w14:paraId="0ACC1372" w14:textId="77777777" w:rsidR="00922D8A" w:rsidRPr="008661CD" w:rsidRDefault="00922D8A" w:rsidP="008661CD">
            <w:pPr>
              <w:spacing w:after="240"/>
            </w:pPr>
            <w:r w:rsidRPr="008661CD">
              <w:t>Dozės keisti nebūtina (įprasta dozė yra 125</w:t>
            </w:r>
            <w:r w:rsidRPr="008661CD">
              <w:noBreakHyphen/>
              <w:t>500 mg du kartus per parą).</w:t>
            </w:r>
          </w:p>
        </w:tc>
      </w:tr>
      <w:tr w:rsidR="00922D8A" w:rsidRPr="00C510EF" w14:paraId="35D0AB53" w14:textId="77777777" w:rsidTr="00894113">
        <w:tc>
          <w:tcPr>
            <w:tcW w:w="3528" w:type="dxa"/>
          </w:tcPr>
          <w:p w14:paraId="301B24B6" w14:textId="77777777" w:rsidR="00922D8A" w:rsidRPr="008661CD" w:rsidRDefault="00922D8A" w:rsidP="008661CD">
            <w:pPr>
              <w:spacing w:after="240"/>
            </w:pPr>
            <w:r w:rsidRPr="008661CD">
              <w:t>10</w:t>
            </w:r>
            <w:r w:rsidRPr="008661CD">
              <w:noBreakHyphen/>
              <w:t>29 ml/min./</w:t>
            </w:r>
            <w:smartTag w:uri="schemas-tilde-lv/tildestengine" w:element="metric2">
              <w:smartTagPr>
                <w:attr w:name="metric_text" w:val="m"/>
                <w:attr w:name="metric_value" w:val="1.73"/>
              </w:smartTagPr>
              <w:r w:rsidRPr="008661CD">
                <w:t>1,73 m</w:t>
              </w:r>
            </w:smartTag>
            <w:r w:rsidRPr="008661CD">
              <w:rPr>
                <w:vertAlign w:val="superscript"/>
              </w:rPr>
              <w:t>2</w:t>
            </w:r>
          </w:p>
        </w:tc>
        <w:tc>
          <w:tcPr>
            <w:tcW w:w="1110" w:type="dxa"/>
          </w:tcPr>
          <w:p w14:paraId="1C5C24D3" w14:textId="77777777" w:rsidR="00922D8A" w:rsidRPr="008661CD" w:rsidRDefault="00922D8A" w:rsidP="008661CD">
            <w:pPr>
              <w:spacing w:after="240"/>
            </w:pPr>
            <w:r w:rsidRPr="008661CD">
              <w:t>4,6</w:t>
            </w:r>
          </w:p>
        </w:tc>
        <w:tc>
          <w:tcPr>
            <w:tcW w:w="4648" w:type="dxa"/>
          </w:tcPr>
          <w:p w14:paraId="15FD69CD" w14:textId="77777777" w:rsidR="00922D8A" w:rsidRPr="008661CD" w:rsidRDefault="00922D8A" w:rsidP="008661CD">
            <w:pPr>
              <w:spacing w:after="240"/>
            </w:pPr>
            <w:r w:rsidRPr="008661CD">
              <w:t>Įprastos individualios dozės kas 24 valandas.</w:t>
            </w:r>
          </w:p>
        </w:tc>
      </w:tr>
      <w:tr w:rsidR="00922D8A" w:rsidRPr="00C510EF" w14:paraId="76F48BF8" w14:textId="77777777" w:rsidTr="00894113">
        <w:tc>
          <w:tcPr>
            <w:tcW w:w="3528" w:type="dxa"/>
          </w:tcPr>
          <w:p w14:paraId="21495E6E" w14:textId="77777777" w:rsidR="00922D8A" w:rsidRPr="008661CD" w:rsidRDefault="00922D8A" w:rsidP="008661CD">
            <w:pPr>
              <w:spacing w:after="240"/>
            </w:pPr>
            <w:r w:rsidRPr="008661CD">
              <w:t>&lt; 10 ml/min./</w:t>
            </w:r>
            <w:smartTag w:uri="schemas-tilde-lv/tildestengine" w:element="metric2">
              <w:smartTagPr>
                <w:attr w:name="metric_text" w:val="m"/>
                <w:attr w:name="metric_value" w:val="1.73"/>
              </w:smartTagPr>
              <w:r w:rsidRPr="008661CD">
                <w:t>1,73 m</w:t>
              </w:r>
            </w:smartTag>
            <w:r w:rsidRPr="008661CD">
              <w:rPr>
                <w:vertAlign w:val="superscript"/>
              </w:rPr>
              <w:t>2</w:t>
            </w:r>
          </w:p>
        </w:tc>
        <w:tc>
          <w:tcPr>
            <w:tcW w:w="1110" w:type="dxa"/>
          </w:tcPr>
          <w:p w14:paraId="16B85C2F" w14:textId="77777777" w:rsidR="00922D8A" w:rsidRPr="008661CD" w:rsidRDefault="00922D8A" w:rsidP="008661CD">
            <w:pPr>
              <w:spacing w:after="240"/>
            </w:pPr>
            <w:r w:rsidRPr="008661CD">
              <w:t>16,8</w:t>
            </w:r>
          </w:p>
        </w:tc>
        <w:tc>
          <w:tcPr>
            <w:tcW w:w="4648" w:type="dxa"/>
          </w:tcPr>
          <w:p w14:paraId="39B52FB9" w14:textId="77777777" w:rsidR="00922D8A" w:rsidRPr="008661CD" w:rsidRDefault="00922D8A" w:rsidP="008661CD">
            <w:pPr>
              <w:spacing w:after="240"/>
            </w:pPr>
            <w:r w:rsidRPr="008661CD">
              <w:t>Įprastos individualios dozės kas 48 valandas.</w:t>
            </w:r>
          </w:p>
        </w:tc>
      </w:tr>
      <w:tr w:rsidR="00922D8A" w:rsidRPr="00C510EF" w14:paraId="6E46C1DD" w14:textId="77777777" w:rsidTr="00894113">
        <w:tc>
          <w:tcPr>
            <w:tcW w:w="3528" w:type="dxa"/>
          </w:tcPr>
          <w:p w14:paraId="1EAA990A" w14:textId="77777777" w:rsidR="00922D8A" w:rsidRPr="008661CD" w:rsidRDefault="00922D8A" w:rsidP="008661CD">
            <w:pPr>
              <w:spacing w:after="240"/>
            </w:pPr>
            <w:r w:rsidRPr="008661CD">
              <w:t>Hemodializės metu</w:t>
            </w:r>
          </w:p>
        </w:tc>
        <w:tc>
          <w:tcPr>
            <w:tcW w:w="1110" w:type="dxa"/>
          </w:tcPr>
          <w:p w14:paraId="11BDD67F" w14:textId="77777777" w:rsidR="00922D8A" w:rsidRPr="008661CD" w:rsidRDefault="00922D8A" w:rsidP="008661CD">
            <w:pPr>
              <w:spacing w:after="240"/>
            </w:pPr>
            <w:r w:rsidRPr="008661CD">
              <w:t>2</w:t>
            </w:r>
            <w:r w:rsidRPr="008661CD">
              <w:noBreakHyphen/>
              <w:t>4</w:t>
            </w:r>
          </w:p>
        </w:tc>
        <w:tc>
          <w:tcPr>
            <w:tcW w:w="4648" w:type="dxa"/>
          </w:tcPr>
          <w:p w14:paraId="3ADA9304" w14:textId="77777777" w:rsidR="00922D8A" w:rsidRPr="008661CD" w:rsidRDefault="00922D8A" w:rsidP="008661CD">
            <w:pPr>
              <w:spacing w:after="240"/>
            </w:pPr>
            <w:r w:rsidRPr="008661CD">
              <w:t>Baigus kiekvieną dializės seansą reikia skirti vienkartinę papildomą įprastą individualią dozę.</w:t>
            </w:r>
          </w:p>
        </w:tc>
      </w:tr>
    </w:tbl>
    <w:p w14:paraId="2B882B14" w14:textId="77777777" w:rsidR="00922D8A" w:rsidRPr="008661CD" w:rsidRDefault="00922D8A" w:rsidP="008661CD"/>
    <w:p w14:paraId="21E97868" w14:textId="77777777" w:rsidR="00922D8A" w:rsidRPr="008661CD" w:rsidRDefault="00922D8A" w:rsidP="008661CD">
      <w:pPr>
        <w:rPr>
          <w:i/>
        </w:rPr>
      </w:pPr>
      <w:r w:rsidRPr="008661CD">
        <w:rPr>
          <w:i/>
        </w:rPr>
        <w:t>Pacientams, kurių kepenų funkcija sutrikusi</w:t>
      </w:r>
    </w:p>
    <w:p w14:paraId="14BCF4F7" w14:textId="77777777" w:rsidR="00922D8A" w:rsidRPr="008661CD" w:rsidRDefault="00922D8A" w:rsidP="008661CD">
      <w:r w:rsidRPr="008661CD">
        <w:t>Duomenų apie pacientus, kuriems yra kepenų funkcijos sutrikimas, nėra. Didžiausia dalis cefuroksimo šalinama per inkstus, todėl nesitikima, kad kepenų funkcijos sutrikimas turėtų įtakos cefuroksimo farmakokinetikai.</w:t>
      </w:r>
    </w:p>
    <w:p w14:paraId="300E70A3" w14:textId="77777777" w:rsidR="00922D8A" w:rsidRPr="008661CD" w:rsidRDefault="00922D8A" w:rsidP="008661CD"/>
    <w:p w14:paraId="3503ECF1" w14:textId="77777777" w:rsidR="00922D8A" w:rsidRPr="008661CD" w:rsidRDefault="00922D8A" w:rsidP="008661CD">
      <w:pPr>
        <w:rPr>
          <w:u w:val="single"/>
        </w:rPr>
      </w:pPr>
      <w:r w:rsidRPr="008661CD">
        <w:rPr>
          <w:u w:val="single"/>
        </w:rPr>
        <w:t>Vartojimo metodas</w:t>
      </w:r>
    </w:p>
    <w:p w14:paraId="72A59737" w14:textId="77777777" w:rsidR="00922D8A" w:rsidRPr="008661CD" w:rsidRDefault="00922D8A" w:rsidP="008661CD"/>
    <w:p w14:paraId="55A705A0" w14:textId="77777777" w:rsidR="00922D8A" w:rsidRPr="008661CD" w:rsidRDefault="00922D8A" w:rsidP="008661CD">
      <w:r w:rsidRPr="008661CD">
        <w:t>Vartoti per burną.</w:t>
      </w:r>
    </w:p>
    <w:p w14:paraId="038FB3A7" w14:textId="77777777" w:rsidR="00922D8A" w:rsidRPr="008661CD" w:rsidRDefault="00922D8A" w:rsidP="008661CD">
      <w:r w:rsidRPr="008661CD">
        <w:t>Kad absorbcija būtų optimali, Zinnat tabletes reikia gerti po valgio.</w:t>
      </w:r>
    </w:p>
    <w:p w14:paraId="3AEBD00E" w14:textId="77777777" w:rsidR="00922D8A" w:rsidRPr="008661CD" w:rsidRDefault="00922D8A" w:rsidP="008661CD"/>
    <w:p w14:paraId="03998062" w14:textId="77777777" w:rsidR="00922D8A" w:rsidRPr="000F3553" w:rsidRDefault="00922D8A" w:rsidP="008661CD">
      <w:pPr>
        <w:autoSpaceDE w:val="0"/>
        <w:autoSpaceDN w:val="0"/>
        <w:adjustRightInd w:val="0"/>
        <w:rPr>
          <w:rFonts w:eastAsia="Calibri"/>
        </w:rPr>
      </w:pPr>
      <w:r w:rsidRPr="000F3553">
        <w:rPr>
          <w:rFonts w:eastAsia="Calibri"/>
        </w:rPr>
        <w:t>Zinnat tablečių negalima traiškyti, todėl jomis negalima gydyti pacientų, kurie negali nuryti tablečių. Vaikams galima vartoti Zinnat geriamąją suspensiją.</w:t>
      </w:r>
    </w:p>
    <w:p w14:paraId="32DED42B" w14:textId="77777777" w:rsidR="00922D8A" w:rsidRPr="008661CD" w:rsidRDefault="00922D8A" w:rsidP="008661CD"/>
    <w:p w14:paraId="297E41AD" w14:textId="77777777" w:rsidR="00922D8A" w:rsidRPr="008661CD" w:rsidRDefault="00922D8A" w:rsidP="008661CD">
      <w:r w:rsidRPr="008661CD">
        <w:t>Atsižvelgiant į dozavimą, galimos ir kitos vaistinio preparato formos.</w:t>
      </w:r>
    </w:p>
    <w:p w14:paraId="6BAA4B55" w14:textId="77777777" w:rsidR="00922D8A" w:rsidRPr="008661CD" w:rsidRDefault="00922D8A" w:rsidP="008661CD"/>
    <w:p w14:paraId="7F18F2A3" w14:textId="77777777" w:rsidR="00922D8A" w:rsidRPr="008661CD" w:rsidRDefault="00922D8A" w:rsidP="008661CD">
      <w:pPr>
        <w:ind w:left="567" w:hanging="567"/>
        <w:rPr>
          <w:b/>
        </w:rPr>
      </w:pPr>
      <w:r w:rsidRPr="008661CD">
        <w:rPr>
          <w:b/>
        </w:rPr>
        <w:t>4.3</w:t>
      </w:r>
      <w:r w:rsidRPr="008661CD">
        <w:rPr>
          <w:b/>
        </w:rPr>
        <w:tab/>
        <w:t>Kontraindikacijos</w:t>
      </w:r>
    </w:p>
    <w:p w14:paraId="7B2153AB" w14:textId="77777777" w:rsidR="00922D8A" w:rsidRPr="008661CD" w:rsidRDefault="00922D8A" w:rsidP="008661CD">
      <w:pPr>
        <w:ind w:left="567" w:hanging="567"/>
      </w:pPr>
    </w:p>
    <w:p w14:paraId="4893BC15" w14:textId="77777777" w:rsidR="00922D8A" w:rsidRPr="008661CD" w:rsidRDefault="00922D8A" w:rsidP="008661CD">
      <w:r w:rsidRPr="008661CD">
        <w:t>Padidėjęs jautrumas cefuroksimui arba bet kuriai 6.1 skyriuje nurodytai pagalbinei medžiagai.</w:t>
      </w:r>
    </w:p>
    <w:p w14:paraId="66A3604C" w14:textId="77777777" w:rsidR="00922D8A" w:rsidRPr="008661CD" w:rsidRDefault="00922D8A" w:rsidP="008661CD"/>
    <w:p w14:paraId="24B22851" w14:textId="77777777" w:rsidR="00922D8A" w:rsidRPr="008661CD" w:rsidRDefault="00922D8A" w:rsidP="008661CD">
      <w:r w:rsidRPr="008661CD">
        <w:t>Padidėjęs jautrumas cefalosporinų grupės antibiotikams.</w:t>
      </w:r>
    </w:p>
    <w:p w14:paraId="61C163B2" w14:textId="77777777" w:rsidR="00922D8A" w:rsidRPr="008661CD" w:rsidRDefault="00922D8A" w:rsidP="008661CD"/>
    <w:p w14:paraId="531A8D50" w14:textId="77777777" w:rsidR="00922D8A" w:rsidRPr="008661CD" w:rsidRDefault="00922D8A" w:rsidP="008661CD">
      <w:r w:rsidRPr="008661CD">
        <w:t>Buvo pasireiškęs sunkus padidėjęs jautrumas (pvz., anafilaksinė reakcija) bet kokiam kitam beta laktaminiam antibiotikui (penicilinams, monobaktamams, karmapenemams).</w:t>
      </w:r>
    </w:p>
    <w:p w14:paraId="3CAC143F" w14:textId="77777777" w:rsidR="00922D8A" w:rsidRPr="008661CD" w:rsidRDefault="00922D8A" w:rsidP="008661CD"/>
    <w:p w14:paraId="30919B17" w14:textId="77777777" w:rsidR="00922D8A" w:rsidRPr="008661CD" w:rsidRDefault="00922D8A" w:rsidP="008661CD">
      <w:pPr>
        <w:ind w:left="567" w:hanging="567"/>
        <w:rPr>
          <w:b/>
        </w:rPr>
      </w:pPr>
      <w:r w:rsidRPr="008661CD">
        <w:rPr>
          <w:b/>
        </w:rPr>
        <w:t>4.4</w:t>
      </w:r>
      <w:r w:rsidRPr="008661CD">
        <w:rPr>
          <w:b/>
        </w:rPr>
        <w:tab/>
        <w:t>Specialūs įspėjimai ir atsargumo priemonės</w:t>
      </w:r>
    </w:p>
    <w:p w14:paraId="5CF791E7" w14:textId="77777777" w:rsidR="00922D8A" w:rsidRPr="008661CD" w:rsidRDefault="00922D8A" w:rsidP="008661CD">
      <w:pPr>
        <w:ind w:left="567" w:hanging="567"/>
        <w:rPr>
          <w:b/>
        </w:rPr>
      </w:pPr>
    </w:p>
    <w:p w14:paraId="20A52EE0" w14:textId="77777777" w:rsidR="00922D8A" w:rsidRPr="008661CD" w:rsidRDefault="00922D8A" w:rsidP="008661CD">
      <w:pPr>
        <w:rPr>
          <w:u w:val="single"/>
        </w:rPr>
      </w:pPr>
      <w:r w:rsidRPr="008661CD">
        <w:rPr>
          <w:u w:val="single"/>
        </w:rPr>
        <w:t>Padidėjusio jautrumo reakcijos</w:t>
      </w:r>
    </w:p>
    <w:p w14:paraId="7C0406B0" w14:textId="77777777" w:rsidR="00922D8A" w:rsidRPr="008661CD" w:rsidRDefault="00922D8A" w:rsidP="008661CD">
      <w:r w:rsidRPr="008661CD">
        <w:t>Reikia labai atsargiai gydyti pacientus, kuriems pasireiškė alerginė reakcija penicilinams arba kitiems beta laktaminiams antibiotikams, nes yra kryžminio padidėjusio jautrumo rizika. Kaip ir vartojant visus beta laktaminius antibakterinius vaistinius preparatus, buvo pranešta apie sunkias ir kartais mirtinas padidėjusio jautrumo reakcijas. Jeigu pasireiškia sunkios padidėjusio jautrumo reakcijos, gydymą cefuroksimu reikia nedelsiant nutraukti ir imtis tinkamų neatidėliotinos pagalbos priemonių.</w:t>
      </w:r>
    </w:p>
    <w:p w14:paraId="41817A6F" w14:textId="77777777" w:rsidR="00922D8A" w:rsidRPr="008661CD" w:rsidRDefault="00922D8A" w:rsidP="008661CD"/>
    <w:p w14:paraId="1F42CEC4" w14:textId="77777777" w:rsidR="00922D8A" w:rsidRPr="008661CD" w:rsidRDefault="00922D8A" w:rsidP="008661CD">
      <w:r w:rsidRPr="008661CD">
        <w:t>Prieš pradedant gydymą, reikia nustatyti, ar pacientui nebuvo pasireiškę sunkių padidėjusio jautrumo cefuroksimui, kitokiems cefalosporinams arba bet kokiam kitam beta laktaminiam antibiotikui reakcijų. Cefuroksimą skiriant pacientams, kuriems buvo pasireiškęs nesunkus padidėjęs jautrumas kitokiems beta laktaminiams antibiotikams, gydyti reikia atsargiai.</w:t>
      </w:r>
    </w:p>
    <w:p w14:paraId="6102F1E5" w14:textId="77777777" w:rsidR="00922D8A" w:rsidRPr="008661CD" w:rsidRDefault="00922D8A" w:rsidP="008661CD"/>
    <w:p w14:paraId="4906BCFA" w14:textId="77777777" w:rsidR="00922D8A" w:rsidRPr="008661CD" w:rsidRDefault="00922D8A" w:rsidP="008661CD">
      <w:pPr>
        <w:keepNext/>
        <w:rPr>
          <w:u w:val="single"/>
        </w:rPr>
      </w:pPr>
      <w:r w:rsidRPr="008661CD">
        <w:rPr>
          <w:i/>
          <w:u w:val="single"/>
        </w:rPr>
        <w:lastRenderedPageBreak/>
        <w:t>Jarisch–Herxheimer</w:t>
      </w:r>
      <w:r w:rsidRPr="008661CD">
        <w:rPr>
          <w:u w:val="single"/>
        </w:rPr>
        <w:t xml:space="preserve"> reakcija</w:t>
      </w:r>
    </w:p>
    <w:p w14:paraId="228C940B" w14:textId="77777777" w:rsidR="00922D8A" w:rsidRPr="008661CD" w:rsidRDefault="00922D8A" w:rsidP="008661CD">
      <w:r w:rsidRPr="008661CD">
        <w:t xml:space="preserve">Cefuroksimo aksetilu gydant Laimo ligą, pasireiškė </w:t>
      </w:r>
      <w:r w:rsidRPr="008661CD">
        <w:rPr>
          <w:i/>
        </w:rPr>
        <w:t>Jarisch–Herxheimer</w:t>
      </w:r>
      <w:r w:rsidRPr="008661CD">
        <w:t xml:space="preserve"> reakcija. Tai tiesiogiai susiję su cefuroksimo aksetilo baktericidiniu poveikiu Laimo ligą sukeliančioms bakterijoms (</w:t>
      </w:r>
      <w:r w:rsidRPr="008661CD">
        <w:rPr>
          <w:i/>
        </w:rPr>
        <w:t>Borrelia burgdorferi</w:t>
      </w:r>
      <w:r w:rsidRPr="008661CD">
        <w:t xml:space="preserve"> spirochetoms). Pacientus reikia perspėti, kad tai yra dažna ir paprastai savaime išnykstanti Laimo ligos gydymo antibiotikais pasekmė (žr. 4.8 skyrių).</w:t>
      </w:r>
    </w:p>
    <w:p w14:paraId="06183FF1" w14:textId="77777777" w:rsidR="00922D8A" w:rsidRPr="008661CD" w:rsidRDefault="00922D8A" w:rsidP="008661CD"/>
    <w:p w14:paraId="6B59C123" w14:textId="77777777" w:rsidR="00922D8A" w:rsidRPr="008661CD" w:rsidRDefault="00922D8A" w:rsidP="008661CD">
      <w:pPr>
        <w:rPr>
          <w:u w:val="single"/>
        </w:rPr>
      </w:pPr>
      <w:r w:rsidRPr="008661CD">
        <w:rPr>
          <w:u w:val="single"/>
        </w:rPr>
        <w:t>Pernelyg greitas nejautrių mikroorganizmų dauginimasis</w:t>
      </w:r>
    </w:p>
    <w:p w14:paraId="6D534B95" w14:textId="77777777" w:rsidR="00922D8A" w:rsidRPr="008661CD" w:rsidRDefault="00922D8A" w:rsidP="008661CD">
      <w:r w:rsidRPr="008661CD">
        <w:t>Vartojant cefuroksimo aksetilo, kaip ir vartojant kitų antibiotikų, gali pernelyg išvešėti mieliagrybiai (</w:t>
      </w:r>
      <w:r w:rsidRPr="008661CD">
        <w:rPr>
          <w:i/>
        </w:rPr>
        <w:t>Candida</w:t>
      </w:r>
      <w:r w:rsidRPr="008661CD">
        <w:t xml:space="preserve">). Be to, ilgalaikis vartojimas gali skatinti pernelyg greitą nejautrių mikroorganizmų (pvz.: enterokokų ir </w:t>
      </w:r>
      <w:r w:rsidRPr="008661CD">
        <w:rPr>
          <w:i/>
        </w:rPr>
        <w:t>Clostridium difficile</w:t>
      </w:r>
      <w:r w:rsidRPr="008661CD">
        <w:t>) dauginimąsi ir dėl to gali tekti nutraukti gydymą (žr. 4.8 skyrių).</w:t>
      </w:r>
    </w:p>
    <w:p w14:paraId="2F877450" w14:textId="77777777" w:rsidR="00922D8A" w:rsidRPr="008661CD" w:rsidRDefault="00922D8A" w:rsidP="008661CD"/>
    <w:p w14:paraId="7A85EB2A" w14:textId="77777777" w:rsidR="00922D8A" w:rsidRPr="008661CD" w:rsidRDefault="00922D8A" w:rsidP="008661CD">
      <w:r w:rsidRPr="008661CD">
        <w:t xml:space="preserve">Vartojant beveik visus antibakterinius vaistinius preparatus, įskaitant cefuroksimą, buvo pranešta apie su vaistinio preparato vartojimu susijusį pseudomembraninį kolitą, kurio intensyvumas gali būti nuo lengvo iki gyvybei pavojingo. Svarbu numatyti tokią diagnozę pacientams, kuriems pasireiškia viduriavimas cefuroksimo vartojimo metu arba baigus vartoti cefuroksimą (žr. 4.8 skyrių). Reikia apgalvotai nutraukti gydymą cefuroksimu ir skirti specifinį gydymą nuo </w:t>
      </w:r>
      <w:r w:rsidRPr="008661CD">
        <w:rPr>
          <w:i/>
        </w:rPr>
        <w:t>Clostridium difficile</w:t>
      </w:r>
      <w:r w:rsidRPr="008661CD">
        <w:t xml:space="preserve"> sukeltos ligos. Negalima skirti vaistinių preparatų, kurie slopina peristaltiką (žr. 4.8 skyrių).</w:t>
      </w:r>
    </w:p>
    <w:p w14:paraId="7E9B9CBF" w14:textId="77777777" w:rsidR="00922D8A" w:rsidRPr="008661CD" w:rsidRDefault="00922D8A" w:rsidP="008661CD"/>
    <w:p w14:paraId="32D93A35" w14:textId="77777777" w:rsidR="00922D8A" w:rsidRPr="008661CD" w:rsidRDefault="00922D8A" w:rsidP="008661CD">
      <w:pPr>
        <w:rPr>
          <w:u w:val="single"/>
        </w:rPr>
      </w:pPr>
      <w:r w:rsidRPr="008661CD">
        <w:rPr>
          <w:u w:val="single"/>
        </w:rPr>
        <w:t>Įtaka diagnostiniams tyrimams</w:t>
      </w:r>
    </w:p>
    <w:p w14:paraId="529ACF9B" w14:textId="77777777" w:rsidR="00922D8A" w:rsidRPr="008661CD" w:rsidRDefault="00922D8A" w:rsidP="008661CD"/>
    <w:p w14:paraId="181B4AAC" w14:textId="77777777" w:rsidR="00922D8A" w:rsidRPr="008661CD" w:rsidRDefault="00922D8A" w:rsidP="008661CD">
      <w:r w:rsidRPr="008661CD">
        <w:t>Vartojant cefuroksimą, gali būti teigiamas Kumbso mėginys, ir tai gali trukdyti įvertinti donoro ir recipiento kraujo tapatumą (žr. 4.8 skyrių).</w:t>
      </w:r>
    </w:p>
    <w:p w14:paraId="6A0C6865" w14:textId="77777777" w:rsidR="00922D8A" w:rsidRPr="008661CD" w:rsidRDefault="00922D8A" w:rsidP="008661CD"/>
    <w:p w14:paraId="790DE891" w14:textId="77777777" w:rsidR="00922D8A" w:rsidRPr="008661CD" w:rsidRDefault="00922D8A" w:rsidP="008661CD">
      <w:r w:rsidRPr="008661CD">
        <w:t>Gali būti klaidingai neigiami fericianido mėginio duomenys, todėl tiriant gliukozės koncentraciją pacientų, vartojančių cefuroksimo aksetilą, kraujyje ar plazmoje, rekomenduojama taikyti gliukozės oksidazės arba heksokinazės metodus.</w:t>
      </w:r>
    </w:p>
    <w:p w14:paraId="25A008E0" w14:textId="77777777" w:rsidR="00922D8A" w:rsidRPr="008661CD" w:rsidRDefault="00922D8A" w:rsidP="008661CD"/>
    <w:p w14:paraId="07813925" w14:textId="77777777" w:rsidR="00922D8A" w:rsidRPr="008661CD" w:rsidRDefault="00922D8A" w:rsidP="008661CD">
      <w:pPr>
        <w:keepNext/>
        <w:tabs>
          <w:tab w:val="left" w:pos="567"/>
        </w:tabs>
        <w:rPr>
          <w:u w:val="single"/>
        </w:rPr>
      </w:pPr>
      <w:r w:rsidRPr="008661CD">
        <w:rPr>
          <w:u w:val="single"/>
        </w:rPr>
        <w:t>Svarbi informacija apie pagalbines medžiagas</w:t>
      </w:r>
    </w:p>
    <w:p w14:paraId="0379E3A9" w14:textId="77777777" w:rsidR="00922D8A" w:rsidRPr="008661CD" w:rsidRDefault="00922D8A" w:rsidP="008661CD">
      <w:pPr>
        <w:keepNext/>
        <w:tabs>
          <w:tab w:val="left" w:pos="567"/>
        </w:tabs>
        <w:rPr>
          <w:u w:val="single"/>
        </w:rPr>
      </w:pPr>
    </w:p>
    <w:p w14:paraId="761F8C1B" w14:textId="77777777" w:rsidR="00922D8A" w:rsidRPr="008661CD" w:rsidRDefault="00922D8A" w:rsidP="008661CD">
      <w:pPr>
        <w:tabs>
          <w:tab w:val="left" w:pos="567"/>
        </w:tabs>
        <w:rPr>
          <w:highlight w:val="lightGray"/>
          <w:shd w:val="clear" w:color="auto" w:fill="C0C0C0"/>
        </w:rPr>
      </w:pPr>
      <w:bookmarkStart w:id="8" w:name="_Hlk536116915"/>
      <w:r w:rsidRPr="008661CD">
        <w:rPr>
          <w:highlight w:val="lightGray"/>
          <w:shd w:val="clear" w:color="auto" w:fill="C0C0C0"/>
        </w:rPr>
        <w:t>125 mg, 250 mg, 500 mg plėvele dengtos tabletės</w:t>
      </w:r>
    </w:p>
    <w:p w14:paraId="334ECD1D" w14:textId="77777777" w:rsidR="00922D8A" w:rsidRPr="008661CD" w:rsidRDefault="00922D8A" w:rsidP="008661CD">
      <w:pPr>
        <w:ind w:left="567"/>
        <w:rPr>
          <w:highlight w:val="lightGray"/>
        </w:rPr>
      </w:pPr>
      <w:r w:rsidRPr="008661CD">
        <w:rPr>
          <w:highlight w:val="lightGray"/>
        </w:rPr>
        <w:t>Vienoje 125 mg tabletėje yra 0,00152 mg natrio benzoato.</w:t>
      </w:r>
    </w:p>
    <w:p w14:paraId="711F9B30" w14:textId="77777777" w:rsidR="00922D8A" w:rsidRPr="008661CD" w:rsidRDefault="00922D8A" w:rsidP="008661CD">
      <w:pPr>
        <w:ind w:left="567"/>
        <w:rPr>
          <w:highlight w:val="lightGray"/>
          <w:shd w:val="clear" w:color="auto" w:fill="C0C0C0"/>
        </w:rPr>
      </w:pPr>
      <w:r w:rsidRPr="008661CD">
        <w:rPr>
          <w:highlight w:val="lightGray"/>
        </w:rPr>
        <w:t xml:space="preserve">Vienoje </w:t>
      </w:r>
      <w:r w:rsidRPr="008661CD">
        <w:rPr>
          <w:highlight w:val="lightGray"/>
          <w:shd w:val="clear" w:color="auto" w:fill="C0C0C0"/>
        </w:rPr>
        <w:t xml:space="preserve">250 mg </w:t>
      </w:r>
      <w:r w:rsidRPr="008661CD">
        <w:rPr>
          <w:highlight w:val="lightGray"/>
        </w:rPr>
        <w:t xml:space="preserve">tabletėje yra </w:t>
      </w:r>
      <w:r w:rsidRPr="008661CD">
        <w:rPr>
          <w:highlight w:val="lightGray"/>
          <w:shd w:val="clear" w:color="auto" w:fill="C0C0C0"/>
        </w:rPr>
        <w:t xml:space="preserve">0,00203 mg </w:t>
      </w:r>
      <w:r w:rsidRPr="008661CD">
        <w:rPr>
          <w:highlight w:val="lightGray"/>
        </w:rPr>
        <w:t>natrio benzoato.</w:t>
      </w:r>
    </w:p>
    <w:p w14:paraId="64916F7B" w14:textId="77777777" w:rsidR="00922D8A" w:rsidRPr="008661CD" w:rsidRDefault="00922D8A" w:rsidP="008661CD">
      <w:pPr>
        <w:ind w:left="567"/>
        <w:rPr>
          <w:highlight w:val="lightGray"/>
        </w:rPr>
      </w:pPr>
      <w:r w:rsidRPr="008661CD">
        <w:rPr>
          <w:highlight w:val="lightGray"/>
        </w:rPr>
        <w:t xml:space="preserve">Vienoje </w:t>
      </w:r>
      <w:r w:rsidRPr="008661CD">
        <w:rPr>
          <w:highlight w:val="lightGray"/>
          <w:shd w:val="clear" w:color="auto" w:fill="C0C0C0"/>
        </w:rPr>
        <w:t xml:space="preserve">500 mg </w:t>
      </w:r>
      <w:r w:rsidRPr="008661CD">
        <w:rPr>
          <w:highlight w:val="lightGray"/>
        </w:rPr>
        <w:t xml:space="preserve">tabletėje yra </w:t>
      </w:r>
      <w:r w:rsidRPr="008661CD">
        <w:rPr>
          <w:highlight w:val="lightGray"/>
          <w:shd w:val="clear" w:color="auto" w:fill="C0C0C0"/>
        </w:rPr>
        <w:t xml:space="preserve">0,00506 mg </w:t>
      </w:r>
      <w:r w:rsidRPr="008661CD">
        <w:rPr>
          <w:highlight w:val="lightGray"/>
        </w:rPr>
        <w:t>natrio benzoato.</w:t>
      </w:r>
    </w:p>
    <w:p w14:paraId="3A6EA304" w14:textId="77777777" w:rsidR="00922D8A" w:rsidRPr="008661CD" w:rsidRDefault="00922D8A" w:rsidP="008661CD">
      <w:pPr>
        <w:rPr>
          <w:shd w:val="clear" w:color="auto" w:fill="C0C0C0"/>
        </w:rPr>
      </w:pPr>
      <w:r w:rsidRPr="008661CD">
        <w:rPr>
          <w:highlight w:val="lightGray"/>
        </w:rPr>
        <w:t>Zinnat tabletėse yra parabenų, kurie gali sukelti alergines reakcijas (gali būti uždelstos). Šiame vaiste yra mažiau kaip 1 mmol (23 mg) natrio, t. y. jis beveik neturi reikšmės.</w:t>
      </w:r>
    </w:p>
    <w:bookmarkEnd w:id="8"/>
    <w:p w14:paraId="4170A86B" w14:textId="77777777" w:rsidR="00922D8A" w:rsidRPr="008661CD" w:rsidRDefault="00922D8A" w:rsidP="008661CD">
      <w:pPr>
        <w:ind w:left="567" w:hanging="567"/>
      </w:pPr>
    </w:p>
    <w:p w14:paraId="19F9F427" w14:textId="77777777" w:rsidR="00922D8A" w:rsidRPr="008661CD" w:rsidRDefault="00922D8A" w:rsidP="008661CD">
      <w:pPr>
        <w:ind w:left="567" w:hanging="567"/>
        <w:rPr>
          <w:b/>
        </w:rPr>
      </w:pPr>
      <w:r w:rsidRPr="008661CD">
        <w:rPr>
          <w:b/>
        </w:rPr>
        <w:t>4.5</w:t>
      </w:r>
      <w:r w:rsidRPr="008661CD">
        <w:rPr>
          <w:b/>
        </w:rPr>
        <w:tab/>
        <w:t>Sąveika su kitais vaistiniais preparatais ir kitokia sąveika</w:t>
      </w:r>
    </w:p>
    <w:p w14:paraId="2518497F" w14:textId="77777777" w:rsidR="00922D8A" w:rsidRPr="008661CD" w:rsidRDefault="00922D8A" w:rsidP="008661CD">
      <w:pPr>
        <w:ind w:left="567" w:hanging="567"/>
        <w:rPr>
          <w:b/>
        </w:rPr>
      </w:pPr>
    </w:p>
    <w:p w14:paraId="2FC851FF" w14:textId="77777777" w:rsidR="00922D8A" w:rsidRPr="008661CD" w:rsidRDefault="00922D8A" w:rsidP="008661CD">
      <w:r w:rsidRPr="008661CD">
        <w:t>Skrandžio rūgštingumą mažinantys vaistiniai preparatai gali mažinti cefuroksimo aksetilo biologinį prieinamumą, palyginti su vartojamo nevalgius, ir gali panaikinti absorbcijos padidėjimo po valgio poveikį.</w:t>
      </w:r>
    </w:p>
    <w:p w14:paraId="32FE7AB4" w14:textId="77777777" w:rsidR="00922D8A" w:rsidRPr="008661CD" w:rsidRDefault="00922D8A" w:rsidP="008661CD"/>
    <w:p w14:paraId="67B627C6" w14:textId="77777777" w:rsidR="00922D8A" w:rsidRPr="008661CD" w:rsidRDefault="00922D8A" w:rsidP="008661CD">
      <w:r w:rsidRPr="008661CD">
        <w:t>Cefuroksimo aksetilas gali veikti žarnų mikroflorą, dėl to gali sumažėti estrogenų reabsorbcija ir sumažėti sudėtinių geriamųjų kontraceptikų veiksmingumas.</w:t>
      </w:r>
    </w:p>
    <w:p w14:paraId="5220D5B5" w14:textId="77777777" w:rsidR="00922D8A" w:rsidRPr="008661CD" w:rsidRDefault="00922D8A" w:rsidP="008661CD"/>
    <w:p w14:paraId="50B3677B" w14:textId="77777777" w:rsidR="00922D8A" w:rsidRPr="008661CD" w:rsidRDefault="00922D8A" w:rsidP="008661CD">
      <w:r w:rsidRPr="008661CD">
        <w:t>Cefuroksimas šalinamas iš organizmo glomerulų filtracijos ir sekrecijos inkstų kanalėliuose būdais. Nerekomenduojama kartu vartoti probenecido. Kartu vartojamas probenecidas reikšmingai didina cefuroksimo didžiausią koncentraciją, plotą po koncentracijų serume laiko atžvilgiu kreive ir ilgina pusinės eliminacijos laiką.</w:t>
      </w:r>
    </w:p>
    <w:p w14:paraId="0D95B4A6" w14:textId="77777777" w:rsidR="00922D8A" w:rsidRPr="008661CD" w:rsidRDefault="00922D8A" w:rsidP="008661CD"/>
    <w:p w14:paraId="43400B69" w14:textId="77777777" w:rsidR="00922D8A" w:rsidRPr="008661CD" w:rsidRDefault="00922D8A" w:rsidP="008661CD">
      <w:r w:rsidRPr="008661CD">
        <w:t xml:space="preserve">Vartojant kartu su geriamaisiais antikoaguliantais, gali padidėti tarptautinis normalizuotasis santykis (angl. </w:t>
      </w:r>
      <w:r w:rsidRPr="008661CD">
        <w:rPr>
          <w:i/>
        </w:rPr>
        <w:t>International normalized ratio [</w:t>
      </w:r>
      <w:smartTag w:uri="urn:schemas-microsoft-com:office:smarttags" w:element="PlaceName">
        <w:smartTagPr>
          <w:attr w:name="currency_text" w:val="INR"/>
          <w:attr w:name="currency_value" w:val="1"/>
          <w:attr w:name="currency_key" w:val="INR"/>
          <w:attr w:name="currency_id" w:val="69"/>
        </w:smartTagPr>
        <w:r w:rsidRPr="008661CD">
          <w:rPr>
            <w:i/>
          </w:rPr>
          <w:t>INR</w:t>
        </w:r>
      </w:smartTag>
      <w:r w:rsidRPr="008661CD">
        <w:rPr>
          <w:i/>
        </w:rPr>
        <w:t>]</w:t>
      </w:r>
      <w:r w:rsidRPr="008661CD">
        <w:t>).</w:t>
      </w:r>
    </w:p>
    <w:p w14:paraId="0B02A373" w14:textId="77777777" w:rsidR="00922D8A" w:rsidRPr="008661CD" w:rsidRDefault="00922D8A" w:rsidP="008661CD">
      <w:pPr>
        <w:ind w:left="567" w:hanging="567"/>
        <w:rPr>
          <w:b/>
        </w:rPr>
      </w:pPr>
    </w:p>
    <w:p w14:paraId="7F452041" w14:textId="77777777" w:rsidR="00922D8A" w:rsidRPr="008661CD" w:rsidRDefault="00922D8A" w:rsidP="008661CD">
      <w:pPr>
        <w:keepNext/>
        <w:ind w:left="567" w:hanging="567"/>
        <w:rPr>
          <w:b/>
        </w:rPr>
      </w:pPr>
      <w:r w:rsidRPr="008661CD">
        <w:rPr>
          <w:b/>
        </w:rPr>
        <w:lastRenderedPageBreak/>
        <w:t>4.6</w:t>
      </w:r>
      <w:r w:rsidRPr="008661CD">
        <w:rPr>
          <w:b/>
        </w:rPr>
        <w:tab/>
        <w:t>Vaisingumas, nėštumo ir žindymo laikotarpis</w:t>
      </w:r>
    </w:p>
    <w:p w14:paraId="19F367A2" w14:textId="77777777" w:rsidR="00922D8A" w:rsidRPr="008661CD" w:rsidRDefault="00922D8A" w:rsidP="008661CD">
      <w:pPr>
        <w:keepNext/>
      </w:pPr>
    </w:p>
    <w:p w14:paraId="29DB7BCF" w14:textId="77777777" w:rsidR="00922D8A" w:rsidRPr="008661CD" w:rsidRDefault="00922D8A" w:rsidP="008661CD">
      <w:pPr>
        <w:keepNext/>
        <w:rPr>
          <w:u w:val="single"/>
        </w:rPr>
      </w:pPr>
      <w:r w:rsidRPr="008661CD">
        <w:rPr>
          <w:u w:val="single"/>
        </w:rPr>
        <w:t>Nėštumas</w:t>
      </w:r>
    </w:p>
    <w:p w14:paraId="64297263" w14:textId="77777777" w:rsidR="00922D8A" w:rsidRPr="008661CD" w:rsidRDefault="00922D8A" w:rsidP="008661CD">
      <w:r w:rsidRPr="008661CD">
        <w:t>Duomenys apie cefuroksimo vartojimą moterims nėštumo metu yra riboti. Tyrimai su gyvūnais kenksmingo cefuroksimo poveikio nėštumo eigai, embriono ar vaisiaus vystymuisi, gimdymui ar postnataliniam vystymuisi neparodė. Zinnat skirti moterims nėštumo metu galima tik tada, kai nauda persveria riziką.</w:t>
      </w:r>
    </w:p>
    <w:p w14:paraId="25163707" w14:textId="77777777" w:rsidR="00922D8A" w:rsidRPr="008661CD" w:rsidRDefault="00922D8A" w:rsidP="008661CD">
      <w:pPr>
        <w:rPr>
          <w:u w:val="single"/>
        </w:rPr>
      </w:pPr>
    </w:p>
    <w:p w14:paraId="6049D312" w14:textId="77777777" w:rsidR="00922D8A" w:rsidRPr="000F3553" w:rsidRDefault="00922D8A" w:rsidP="008661CD">
      <w:pPr>
        <w:autoSpaceDE w:val="0"/>
        <w:autoSpaceDN w:val="0"/>
        <w:adjustRightInd w:val="0"/>
        <w:rPr>
          <w:rFonts w:eastAsia="Calibri"/>
          <w:u w:val="single"/>
        </w:rPr>
      </w:pPr>
      <w:r w:rsidRPr="000F3553">
        <w:rPr>
          <w:rFonts w:eastAsia="Calibri"/>
          <w:u w:val="single"/>
        </w:rPr>
        <w:t>Žindymas</w:t>
      </w:r>
    </w:p>
    <w:p w14:paraId="0B3336FA" w14:textId="77777777" w:rsidR="00922D8A" w:rsidRPr="008661CD" w:rsidRDefault="00922D8A" w:rsidP="008661CD">
      <w:r w:rsidRPr="008661CD">
        <w:t xml:space="preserve">Mažas cefuroksimo kiekis </w:t>
      </w:r>
      <w:r w:rsidRPr="000F3553">
        <w:rPr>
          <w:rFonts w:eastAsia="SimSun"/>
          <w:color w:val="000000"/>
        </w:rPr>
        <w:t>išsiskiria į motinos pieną</w:t>
      </w:r>
      <w:r w:rsidRPr="008661CD">
        <w:t>. Vartojant gydomąsias dozes, nepageidaujamo poveikio nesitikima, nors viduriavimo ir grybelių sukeltos gleivinių infekcinės ligos rizikos paneigti negalima. Dėl tokio poveikio gali tekti nutraukti žindymą. Reikia atsižvelgti į galimą jautrumo padidėjimą. Cefuroksimą vartoti žindymo laikotarpiu galima tik po to, kai prižiūrintis gydytojas įvertina naudos ir rizikos santykį.</w:t>
      </w:r>
    </w:p>
    <w:p w14:paraId="46D0DBB4" w14:textId="77777777" w:rsidR="00922D8A" w:rsidRPr="008661CD" w:rsidRDefault="00922D8A" w:rsidP="008661CD">
      <w:pPr>
        <w:rPr>
          <w:u w:val="single"/>
        </w:rPr>
      </w:pPr>
    </w:p>
    <w:p w14:paraId="55895BC9" w14:textId="77777777" w:rsidR="00922D8A" w:rsidRPr="008661CD" w:rsidRDefault="00922D8A" w:rsidP="008661CD">
      <w:pPr>
        <w:rPr>
          <w:u w:val="single"/>
        </w:rPr>
      </w:pPr>
      <w:r w:rsidRPr="008661CD">
        <w:rPr>
          <w:u w:val="single"/>
        </w:rPr>
        <w:t>Vaisingumas</w:t>
      </w:r>
    </w:p>
    <w:p w14:paraId="11930E3B" w14:textId="77777777" w:rsidR="00922D8A" w:rsidRPr="008661CD" w:rsidRDefault="00922D8A" w:rsidP="008661CD">
      <w:r w:rsidRPr="008661CD">
        <w:t>Duomenų apie cefuroksimo aksetilo poveikį žmogaus vaisingumui nėra. Reprodukcijos tyrimai su gyvūnais poveikio vaisingumui neparodė.</w:t>
      </w:r>
    </w:p>
    <w:p w14:paraId="5195A99A" w14:textId="77777777" w:rsidR="00922D8A" w:rsidRPr="008661CD" w:rsidRDefault="00922D8A" w:rsidP="008661CD"/>
    <w:p w14:paraId="75984D50" w14:textId="77777777" w:rsidR="00922D8A" w:rsidRPr="008661CD" w:rsidRDefault="00922D8A" w:rsidP="008661CD">
      <w:pPr>
        <w:ind w:left="567" w:hanging="567"/>
        <w:rPr>
          <w:b/>
        </w:rPr>
      </w:pPr>
      <w:r w:rsidRPr="008661CD">
        <w:rPr>
          <w:b/>
        </w:rPr>
        <w:t>4.7</w:t>
      </w:r>
      <w:r w:rsidRPr="008661CD">
        <w:rPr>
          <w:b/>
        </w:rPr>
        <w:tab/>
        <w:t>Poveikis gebėjimui vairuoti ir valdyti mechanizmus</w:t>
      </w:r>
    </w:p>
    <w:p w14:paraId="6EDAE421" w14:textId="77777777" w:rsidR="00922D8A" w:rsidRPr="008661CD" w:rsidRDefault="00922D8A" w:rsidP="008661CD">
      <w:pPr>
        <w:ind w:left="567" w:hanging="567"/>
      </w:pPr>
    </w:p>
    <w:p w14:paraId="5E6EBFBF" w14:textId="77777777" w:rsidR="00922D8A" w:rsidRPr="008661CD" w:rsidRDefault="00922D8A" w:rsidP="008661CD">
      <w:r w:rsidRPr="008661CD">
        <w:t>Poveikio gebėjimui vairuoti ir valdyti mechanizmus tyrimų neatlikta. Vis dėlto šis vaistinis preparatas gali sukelti galvos svaigimą, todėl pacientus reikia perspėti, kad būtų atsargūs vairuodami ar valdydami mechanizmus.</w:t>
      </w:r>
    </w:p>
    <w:p w14:paraId="59BEE2AB" w14:textId="77777777" w:rsidR="00922D8A" w:rsidRPr="008661CD" w:rsidRDefault="00922D8A" w:rsidP="008661CD">
      <w:pPr>
        <w:ind w:left="567" w:hanging="567"/>
      </w:pPr>
    </w:p>
    <w:p w14:paraId="0B0AA3A0" w14:textId="77777777" w:rsidR="00922D8A" w:rsidRPr="008661CD" w:rsidRDefault="00922D8A" w:rsidP="008661CD">
      <w:pPr>
        <w:ind w:left="567" w:hanging="567"/>
        <w:rPr>
          <w:b/>
        </w:rPr>
      </w:pPr>
      <w:r w:rsidRPr="008661CD">
        <w:rPr>
          <w:b/>
        </w:rPr>
        <w:t>4.8</w:t>
      </w:r>
      <w:r w:rsidRPr="008661CD">
        <w:rPr>
          <w:b/>
        </w:rPr>
        <w:tab/>
        <w:t>Nepageidaujamas poveikis</w:t>
      </w:r>
    </w:p>
    <w:p w14:paraId="3233DB03" w14:textId="77777777" w:rsidR="00922D8A" w:rsidRPr="008661CD" w:rsidRDefault="00922D8A" w:rsidP="008661CD">
      <w:pPr>
        <w:ind w:left="567" w:hanging="567"/>
      </w:pPr>
    </w:p>
    <w:p w14:paraId="0A65CA2D" w14:textId="77777777" w:rsidR="00922D8A" w:rsidRPr="008661CD" w:rsidRDefault="00922D8A" w:rsidP="008661CD">
      <w:r w:rsidRPr="008661CD">
        <w:t>Dažniausios nepageidaujamos reakcijos yra mieliagrybių išvešėjimas, eozinofilija, galvos skausmas, galvos svaigimas, virškinimo trakto sutrikimai ir trumpalaikis kepenų fermentų suaktyvėjimas.</w:t>
      </w:r>
    </w:p>
    <w:p w14:paraId="7E09C9C8" w14:textId="77777777" w:rsidR="00922D8A" w:rsidRPr="008661CD" w:rsidRDefault="00922D8A" w:rsidP="008661CD"/>
    <w:p w14:paraId="588EE8A7" w14:textId="77777777" w:rsidR="00922D8A" w:rsidRPr="008661CD" w:rsidRDefault="00922D8A" w:rsidP="008661CD">
      <w:r w:rsidRPr="008661CD">
        <w:t>Toliau nurodytas nepageidaujamų reakcijų dažnis yra apytikris, nes apie daugumą reakcijų nėra tinkamų duomenų (pvz., placebu kontroliuojamųjų tyrimų) dažniui apskaičiuoti. Be to, su cefuroksimo aksetilu susijusių nepageidaujamų reakcijų dažnis gali skirtis priklausomai nuo indikacijos.</w:t>
      </w:r>
    </w:p>
    <w:p w14:paraId="7D803731" w14:textId="77777777" w:rsidR="00922D8A" w:rsidRPr="008661CD" w:rsidRDefault="00922D8A" w:rsidP="008661CD"/>
    <w:p w14:paraId="3AD23B8D" w14:textId="77777777" w:rsidR="00922D8A" w:rsidRPr="008661CD" w:rsidRDefault="00922D8A" w:rsidP="008661CD">
      <w:r w:rsidRPr="008661CD">
        <w:t>Nustatant nuo labai dažno iki reto nepageidaujamo poveikio dažnį, buvo naudojami didelių klinikinių tyrimų duomenys. Viso kito nepageidaujamo poveikio (t. y., kuris pasireiškė &lt; 1/10 000) dažnis daugiausiai buvo nustatytas, naudojant duomenis, gautus po vaistinio preparato patekimo į rinką, ir labiau atitinka pranešimų nei tikrąjį dažnį. Placebu kontroliuojamųjų tyrimų duomenų nėra. Tais atvejais, kai dažnis buvo apskaičiuotas pagal klinikinių tyrimų duomenis, jis pagrįstas su vaistiniu preparatu susijusiais (pagal tyrėjo įvertinimą) duomenimis. Kiekvienoje dažnio grupėje nepageidaujamas poveikis pateikiamas mažėjančio sunkumo tvarka.</w:t>
      </w:r>
    </w:p>
    <w:p w14:paraId="2E4367AA" w14:textId="77777777" w:rsidR="00922D8A" w:rsidRPr="008661CD" w:rsidRDefault="00922D8A" w:rsidP="008661CD"/>
    <w:p w14:paraId="6AECBD9F" w14:textId="77777777" w:rsidR="00922D8A" w:rsidRPr="008661CD" w:rsidRDefault="00922D8A" w:rsidP="008661CD">
      <w:r w:rsidRPr="008661CD">
        <w:t xml:space="preserve">Su gydymu susijusios nepageidaujamos reakcijos (visų sunkumo laipsnių) yra išvardytos toliau pagal </w:t>
      </w:r>
      <w:r w:rsidRPr="008661CD">
        <w:rPr>
          <w:i/>
        </w:rPr>
        <w:t>MedDRA</w:t>
      </w:r>
      <w:r w:rsidRPr="008661CD">
        <w:t xml:space="preserve"> organų sistemų klases, dažnį ir sunkumo laipsnį. Dažnis apibūdinamas naudojant tokius sutrikimų dažnio apibūdinimus: labai dažnas (</w:t>
      </w:r>
      <w:r w:rsidRPr="008661CD">
        <w:sym w:font="Symbol" w:char="F0B3"/>
      </w:r>
      <w:r w:rsidRPr="008661CD">
        <w:t xml:space="preserve"> 1/10), dažnas (nuo </w:t>
      </w:r>
      <w:r w:rsidRPr="008661CD">
        <w:sym w:font="Symbol" w:char="F0B3"/>
      </w:r>
      <w:r w:rsidRPr="008661CD">
        <w:t xml:space="preserve"> 1/100 iki &lt; 1/10), nedažnas (nuo </w:t>
      </w:r>
      <w:r w:rsidRPr="008661CD">
        <w:sym w:font="Symbol" w:char="F0B3"/>
      </w:r>
      <w:r w:rsidRPr="008661CD">
        <w:t xml:space="preserve"> 1/1 000 iki &lt; 1/100), retas (nuo </w:t>
      </w:r>
      <w:r w:rsidRPr="008661CD">
        <w:sym w:font="Symbol" w:char="F0B3"/>
      </w:r>
      <w:r w:rsidRPr="008661CD">
        <w:t> 1/10 000 iki &lt; 1/1 000), labai retas (&lt; 1/10000) ir dažnis nežinomas (negali būti apskaičiuotas pagal turimus duomenis).</w:t>
      </w:r>
    </w:p>
    <w:p w14:paraId="173366F0" w14:textId="77777777" w:rsidR="00922D8A" w:rsidRPr="008661CD" w:rsidRDefault="00922D8A" w:rsidP="008661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1933"/>
        <w:gridCol w:w="2184"/>
        <w:gridCol w:w="3283"/>
      </w:tblGrid>
      <w:tr w:rsidR="00922D8A" w:rsidRPr="00C510EF" w14:paraId="628DEBE7" w14:textId="77777777" w:rsidTr="00894113">
        <w:tc>
          <w:tcPr>
            <w:tcW w:w="0" w:type="auto"/>
          </w:tcPr>
          <w:p w14:paraId="2A00C780" w14:textId="77777777" w:rsidR="00922D8A" w:rsidRPr="008661CD" w:rsidRDefault="00922D8A" w:rsidP="008661CD">
            <w:pPr>
              <w:rPr>
                <w:b/>
              </w:rPr>
            </w:pPr>
            <w:r w:rsidRPr="008661CD">
              <w:rPr>
                <w:b/>
              </w:rPr>
              <w:t>Organų sistemų klasės</w:t>
            </w:r>
          </w:p>
        </w:tc>
        <w:tc>
          <w:tcPr>
            <w:tcW w:w="0" w:type="auto"/>
          </w:tcPr>
          <w:p w14:paraId="7AF249D2" w14:textId="77777777" w:rsidR="00922D8A" w:rsidRPr="008661CD" w:rsidRDefault="00922D8A" w:rsidP="008661CD">
            <w:pPr>
              <w:jc w:val="center"/>
              <w:rPr>
                <w:b/>
              </w:rPr>
            </w:pPr>
            <w:r w:rsidRPr="008661CD">
              <w:rPr>
                <w:b/>
              </w:rPr>
              <w:t>Dažnas</w:t>
            </w:r>
          </w:p>
        </w:tc>
        <w:tc>
          <w:tcPr>
            <w:tcW w:w="0" w:type="auto"/>
          </w:tcPr>
          <w:p w14:paraId="3C06F2B4" w14:textId="77777777" w:rsidR="00922D8A" w:rsidRPr="008661CD" w:rsidRDefault="00922D8A" w:rsidP="008661CD">
            <w:pPr>
              <w:jc w:val="center"/>
              <w:rPr>
                <w:b/>
              </w:rPr>
            </w:pPr>
            <w:r w:rsidRPr="008661CD">
              <w:rPr>
                <w:b/>
              </w:rPr>
              <w:t>Nedažnas</w:t>
            </w:r>
          </w:p>
        </w:tc>
        <w:tc>
          <w:tcPr>
            <w:tcW w:w="0" w:type="auto"/>
            <w:shd w:val="clear" w:color="auto" w:fill="auto"/>
          </w:tcPr>
          <w:p w14:paraId="7199AF24" w14:textId="77777777" w:rsidR="00922D8A" w:rsidRPr="008661CD" w:rsidRDefault="00922D8A" w:rsidP="008661CD">
            <w:pPr>
              <w:jc w:val="center"/>
              <w:rPr>
                <w:b/>
              </w:rPr>
            </w:pPr>
            <w:r w:rsidRPr="008661CD">
              <w:rPr>
                <w:b/>
              </w:rPr>
              <w:t>Dažnis nežinomas</w:t>
            </w:r>
          </w:p>
          <w:p w14:paraId="2FE0EA6C" w14:textId="77777777" w:rsidR="00922D8A" w:rsidRPr="008661CD" w:rsidRDefault="00922D8A" w:rsidP="008661CD">
            <w:pPr>
              <w:jc w:val="center"/>
              <w:rPr>
                <w:b/>
              </w:rPr>
            </w:pPr>
          </w:p>
        </w:tc>
      </w:tr>
      <w:tr w:rsidR="00922D8A" w:rsidRPr="00C510EF" w14:paraId="0D01DA69" w14:textId="77777777" w:rsidTr="00894113">
        <w:tc>
          <w:tcPr>
            <w:tcW w:w="0" w:type="auto"/>
          </w:tcPr>
          <w:p w14:paraId="799FDF5F" w14:textId="77777777" w:rsidR="00922D8A" w:rsidRPr="008661CD" w:rsidRDefault="00922D8A" w:rsidP="008661CD">
            <w:pPr>
              <w:rPr>
                <w:u w:val="single"/>
              </w:rPr>
            </w:pPr>
            <w:r w:rsidRPr="008661CD">
              <w:rPr>
                <w:u w:val="single"/>
              </w:rPr>
              <w:t>Infekcijos ir infestacijos</w:t>
            </w:r>
          </w:p>
        </w:tc>
        <w:tc>
          <w:tcPr>
            <w:tcW w:w="0" w:type="auto"/>
          </w:tcPr>
          <w:p w14:paraId="05493348" w14:textId="77777777" w:rsidR="00922D8A" w:rsidRPr="008661CD" w:rsidRDefault="00922D8A" w:rsidP="008661CD">
            <w:r w:rsidRPr="008661CD">
              <w:t>Mieliagrybių išvešėjimas</w:t>
            </w:r>
          </w:p>
        </w:tc>
        <w:tc>
          <w:tcPr>
            <w:tcW w:w="0" w:type="auto"/>
          </w:tcPr>
          <w:p w14:paraId="6440F6B2" w14:textId="77777777" w:rsidR="00922D8A" w:rsidRPr="008661CD" w:rsidRDefault="00922D8A" w:rsidP="008661CD"/>
        </w:tc>
        <w:tc>
          <w:tcPr>
            <w:tcW w:w="0" w:type="auto"/>
            <w:shd w:val="clear" w:color="auto" w:fill="auto"/>
          </w:tcPr>
          <w:p w14:paraId="2B44E494" w14:textId="77777777" w:rsidR="00922D8A" w:rsidRPr="008661CD" w:rsidRDefault="00922D8A" w:rsidP="008661CD">
            <w:r w:rsidRPr="008661CD">
              <w:rPr>
                <w:i/>
              </w:rPr>
              <w:t xml:space="preserve">Clostridium dificille </w:t>
            </w:r>
            <w:r w:rsidRPr="008661CD">
              <w:t>išvešėjimas</w:t>
            </w:r>
          </w:p>
        </w:tc>
      </w:tr>
      <w:tr w:rsidR="00922D8A" w:rsidRPr="00C510EF" w14:paraId="6D613759" w14:textId="77777777" w:rsidTr="00894113">
        <w:tc>
          <w:tcPr>
            <w:tcW w:w="0" w:type="auto"/>
          </w:tcPr>
          <w:p w14:paraId="1B249D0D" w14:textId="77777777" w:rsidR="00922D8A" w:rsidRPr="008661CD" w:rsidRDefault="00922D8A" w:rsidP="008661CD">
            <w:pPr>
              <w:rPr>
                <w:u w:val="single"/>
              </w:rPr>
            </w:pPr>
            <w:r w:rsidRPr="008661CD">
              <w:rPr>
                <w:u w:val="single"/>
              </w:rPr>
              <w:t>Kraujo ir limfinės sistemos sutrikimai</w:t>
            </w:r>
          </w:p>
        </w:tc>
        <w:tc>
          <w:tcPr>
            <w:tcW w:w="0" w:type="auto"/>
          </w:tcPr>
          <w:p w14:paraId="66A9CA52" w14:textId="77777777" w:rsidR="00922D8A" w:rsidRPr="008661CD" w:rsidRDefault="00922D8A" w:rsidP="008661CD">
            <w:r w:rsidRPr="008661CD">
              <w:t>Eozinofilija</w:t>
            </w:r>
          </w:p>
        </w:tc>
        <w:tc>
          <w:tcPr>
            <w:tcW w:w="0" w:type="auto"/>
          </w:tcPr>
          <w:p w14:paraId="1AC39A63" w14:textId="77777777" w:rsidR="00922D8A" w:rsidRPr="008661CD" w:rsidRDefault="00922D8A" w:rsidP="008661CD">
            <w:r w:rsidRPr="008661CD">
              <w:t>Teigiamas Kumbso mėginys</w:t>
            </w:r>
          </w:p>
          <w:p w14:paraId="5D067F56" w14:textId="77777777" w:rsidR="00922D8A" w:rsidRPr="008661CD" w:rsidRDefault="00922D8A" w:rsidP="008661CD">
            <w:r w:rsidRPr="008661CD">
              <w:t>trombocitopenija, leukopenija (kartais sunki)</w:t>
            </w:r>
          </w:p>
        </w:tc>
        <w:tc>
          <w:tcPr>
            <w:tcW w:w="0" w:type="auto"/>
            <w:shd w:val="clear" w:color="auto" w:fill="auto"/>
          </w:tcPr>
          <w:p w14:paraId="5D4FE8FF" w14:textId="77777777" w:rsidR="00922D8A" w:rsidRPr="008661CD" w:rsidRDefault="00922D8A" w:rsidP="008661CD">
            <w:r w:rsidRPr="008661CD">
              <w:t>Hemolizinė anemija</w:t>
            </w:r>
          </w:p>
          <w:p w14:paraId="5DAA67E9" w14:textId="77777777" w:rsidR="00922D8A" w:rsidRPr="008661CD" w:rsidRDefault="00922D8A" w:rsidP="008661CD"/>
        </w:tc>
      </w:tr>
      <w:tr w:rsidR="00922D8A" w:rsidRPr="00C510EF" w14:paraId="76B9BC2D" w14:textId="77777777" w:rsidTr="00894113">
        <w:tc>
          <w:tcPr>
            <w:tcW w:w="0" w:type="auto"/>
          </w:tcPr>
          <w:p w14:paraId="45954C24" w14:textId="77777777" w:rsidR="00922D8A" w:rsidRPr="008661CD" w:rsidRDefault="00922D8A" w:rsidP="008661CD">
            <w:pPr>
              <w:rPr>
                <w:u w:val="single"/>
              </w:rPr>
            </w:pPr>
            <w:r w:rsidRPr="008661CD">
              <w:rPr>
                <w:u w:val="single"/>
              </w:rPr>
              <w:lastRenderedPageBreak/>
              <w:t>Imuninės sistemos sutrikimai</w:t>
            </w:r>
          </w:p>
        </w:tc>
        <w:tc>
          <w:tcPr>
            <w:tcW w:w="0" w:type="auto"/>
          </w:tcPr>
          <w:p w14:paraId="0B96CFD5" w14:textId="77777777" w:rsidR="00922D8A" w:rsidRPr="008661CD" w:rsidRDefault="00922D8A" w:rsidP="008661CD"/>
        </w:tc>
        <w:tc>
          <w:tcPr>
            <w:tcW w:w="0" w:type="auto"/>
          </w:tcPr>
          <w:p w14:paraId="33AFCE2F" w14:textId="77777777" w:rsidR="00922D8A" w:rsidRPr="008661CD" w:rsidRDefault="00922D8A" w:rsidP="008661CD"/>
        </w:tc>
        <w:tc>
          <w:tcPr>
            <w:tcW w:w="0" w:type="auto"/>
            <w:shd w:val="clear" w:color="auto" w:fill="auto"/>
          </w:tcPr>
          <w:p w14:paraId="7A85B690" w14:textId="77777777" w:rsidR="00922D8A" w:rsidRPr="008661CD" w:rsidRDefault="00922D8A" w:rsidP="008661CD">
            <w:r w:rsidRPr="008661CD">
              <w:t xml:space="preserve">Vaistų sukeltas karščiavimas, seruminė liga, anafilaksija, </w:t>
            </w:r>
            <w:r w:rsidRPr="008661CD">
              <w:rPr>
                <w:i/>
              </w:rPr>
              <w:t>Jarisch-Herxheimer</w:t>
            </w:r>
            <w:r w:rsidRPr="008661CD">
              <w:t xml:space="preserve"> reakcija</w:t>
            </w:r>
          </w:p>
        </w:tc>
      </w:tr>
      <w:tr w:rsidR="00922D8A" w:rsidRPr="00C510EF" w14:paraId="7EF0F014" w14:textId="77777777" w:rsidTr="00894113">
        <w:tc>
          <w:tcPr>
            <w:tcW w:w="0" w:type="auto"/>
          </w:tcPr>
          <w:p w14:paraId="4E7512F1" w14:textId="77777777" w:rsidR="00922D8A" w:rsidRPr="008661CD" w:rsidRDefault="00922D8A" w:rsidP="008661CD">
            <w:pPr>
              <w:rPr>
                <w:u w:val="single"/>
              </w:rPr>
            </w:pPr>
            <w:r w:rsidRPr="008661CD">
              <w:rPr>
                <w:u w:val="single"/>
              </w:rPr>
              <w:t>Nervų sistemos sutrikimai</w:t>
            </w:r>
          </w:p>
        </w:tc>
        <w:tc>
          <w:tcPr>
            <w:tcW w:w="0" w:type="auto"/>
          </w:tcPr>
          <w:p w14:paraId="7C64867B" w14:textId="77777777" w:rsidR="00922D8A" w:rsidRPr="008661CD" w:rsidRDefault="00922D8A" w:rsidP="008661CD">
            <w:r w:rsidRPr="008661CD">
              <w:t>Galvos skausmas, galvos svaigimas</w:t>
            </w:r>
          </w:p>
        </w:tc>
        <w:tc>
          <w:tcPr>
            <w:tcW w:w="0" w:type="auto"/>
          </w:tcPr>
          <w:p w14:paraId="37882235" w14:textId="77777777" w:rsidR="00922D8A" w:rsidRPr="008661CD" w:rsidRDefault="00922D8A" w:rsidP="008661CD"/>
        </w:tc>
        <w:tc>
          <w:tcPr>
            <w:tcW w:w="0" w:type="auto"/>
            <w:shd w:val="clear" w:color="auto" w:fill="auto"/>
          </w:tcPr>
          <w:p w14:paraId="7C95191A" w14:textId="77777777" w:rsidR="00922D8A" w:rsidRPr="008661CD" w:rsidRDefault="00922D8A" w:rsidP="008661CD"/>
        </w:tc>
      </w:tr>
      <w:tr w:rsidR="00922D8A" w:rsidRPr="00C510EF" w14:paraId="692F0DB1" w14:textId="77777777" w:rsidTr="00894113">
        <w:tc>
          <w:tcPr>
            <w:tcW w:w="0" w:type="auto"/>
          </w:tcPr>
          <w:p w14:paraId="7C37365C" w14:textId="77777777" w:rsidR="00922D8A" w:rsidRPr="008661CD" w:rsidRDefault="00922D8A" w:rsidP="008661CD">
            <w:pPr>
              <w:keepNext/>
              <w:tabs>
                <w:tab w:val="left" w:pos="567"/>
              </w:tabs>
              <w:rPr>
                <w:u w:val="single"/>
              </w:rPr>
            </w:pPr>
            <w:r w:rsidRPr="008661CD">
              <w:rPr>
                <w:u w:val="single"/>
              </w:rPr>
              <w:t>Virškinimo trakto sutrikimai</w:t>
            </w:r>
          </w:p>
        </w:tc>
        <w:tc>
          <w:tcPr>
            <w:tcW w:w="0" w:type="auto"/>
          </w:tcPr>
          <w:p w14:paraId="6D2D5471" w14:textId="77777777" w:rsidR="00922D8A" w:rsidRPr="008661CD" w:rsidRDefault="00922D8A" w:rsidP="008661CD">
            <w:r w:rsidRPr="008661CD">
              <w:t>Viduriavimas,</w:t>
            </w:r>
          </w:p>
          <w:p w14:paraId="7F0D57FA" w14:textId="77777777" w:rsidR="00922D8A" w:rsidRPr="008661CD" w:rsidRDefault="00922D8A" w:rsidP="008661CD">
            <w:r w:rsidRPr="008661CD">
              <w:t>pykinimas,</w:t>
            </w:r>
          </w:p>
          <w:p w14:paraId="3DF5056F" w14:textId="77777777" w:rsidR="00922D8A" w:rsidRPr="008661CD" w:rsidRDefault="00922D8A" w:rsidP="008661CD">
            <w:r w:rsidRPr="008661CD">
              <w:t>pilvo skausmas</w:t>
            </w:r>
          </w:p>
        </w:tc>
        <w:tc>
          <w:tcPr>
            <w:tcW w:w="0" w:type="auto"/>
          </w:tcPr>
          <w:p w14:paraId="7BDE57A6" w14:textId="77777777" w:rsidR="00922D8A" w:rsidRPr="008661CD" w:rsidRDefault="00922D8A" w:rsidP="008661CD">
            <w:r w:rsidRPr="008661CD">
              <w:t>Vėmimas</w:t>
            </w:r>
          </w:p>
        </w:tc>
        <w:tc>
          <w:tcPr>
            <w:tcW w:w="0" w:type="auto"/>
            <w:shd w:val="clear" w:color="auto" w:fill="auto"/>
          </w:tcPr>
          <w:p w14:paraId="1BD583D4" w14:textId="77777777" w:rsidR="00922D8A" w:rsidRPr="008661CD" w:rsidRDefault="00922D8A" w:rsidP="008661CD">
            <w:r w:rsidRPr="008661CD">
              <w:t>Pseudomembraninis kolitas (žr. 4.4 skyrių)</w:t>
            </w:r>
          </w:p>
        </w:tc>
      </w:tr>
      <w:tr w:rsidR="00922D8A" w:rsidRPr="00C510EF" w14:paraId="1885E7D9" w14:textId="77777777" w:rsidTr="00894113">
        <w:tc>
          <w:tcPr>
            <w:tcW w:w="0" w:type="auto"/>
          </w:tcPr>
          <w:p w14:paraId="4D2D298C" w14:textId="77777777" w:rsidR="00922D8A" w:rsidRPr="008661CD" w:rsidRDefault="00922D8A" w:rsidP="008661CD">
            <w:pPr>
              <w:rPr>
                <w:u w:val="single"/>
              </w:rPr>
            </w:pPr>
            <w:r w:rsidRPr="008661CD">
              <w:rPr>
                <w:u w:val="single"/>
              </w:rPr>
              <w:t>Kepenų, tulžies pūslės ir latakų sutrikimai</w:t>
            </w:r>
          </w:p>
        </w:tc>
        <w:tc>
          <w:tcPr>
            <w:tcW w:w="0" w:type="auto"/>
          </w:tcPr>
          <w:p w14:paraId="589FCF6D" w14:textId="77777777" w:rsidR="00922D8A" w:rsidRPr="008661CD" w:rsidRDefault="00922D8A" w:rsidP="008661CD">
            <w:r w:rsidRPr="008661CD">
              <w:t>Trumpalaikis kepenų fermentų suaktyvėjimas</w:t>
            </w:r>
          </w:p>
        </w:tc>
        <w:tc>
          <w:tcPr>
            <w:tcW w:w="0" w:type="auto"/>
          </w:tcPr>
          <w:p w14:paraId="05E57433" w14:textId="77777777" w:rsidR="00922D8A" w:rsidRPr="008661CD" w:rsidRDefault="00922D8A" w:rsidP="008661CD"/>
        </w:tc>
        <w:tc>
          <w:tcPr>
            <w:tcW w:w="0" w:type="auto"/>
            <w:shd w:val="clear" w:color="auto" w:fill="auto"/>
          </w:tcPr>
          <w:p w14:paraId="4EA775B5" w14:textId="77777777" w:rsidR="00922D8A" w:rsidRPr="008661CD" w:rsidRDefault="00922D8A" w:rsidP="008661CD">
            <w:r w:rsidRPr="008661CD">
              <w:t>Gelta (daugiausia cholestazinė), hepatitas</w:t>
            </w:r>
          </w:p>
          <w:p w14:paraId="095B8EE7" w14:textId="77777777" w:rsidR="00922D8A" w:rsidRPr="008661CD" w:rsidRDefault="00922D8A" w:rsidP="008661CD"/>
        </w:tc>
      </w:tr>
      <w:tr w:rsidR="00922D8A" w:rsidRPr="00C510EF" w14:paraId="00C5CB17" w14:textId="77777777" w:rsidTr="00894113">
        <w:tc>
          <w:tcPr>
            <w:tcW w:w="0" w:type="auto"/>
          </w:tcPr>
          <w:p w14:paraId="641C1E96" w14:textId="77777777" w:rsidR="00922D8A" w:rsidRPr="008661CD" w:rsidRDefault="00922D8A" w:rsidP="008661CD">
            <w:pPr>
              <w:keepNext/>
              <w:tabs>
                <w:tab w:val="left" w:pos="567"/>
              </w:tabs>
              <w:rPr>
                <w:u w:val="single"/>
              </w:rPr>
            </w:pPr>
            <w:r w:rsidRPr="008661CD">
              <w:rPr>
                <w:u w:val="single"/>
              </w:rPr>
              <w:t>Odos ir poodinio audinio sutrikimai</w:t>
            </w:r>
          </w:p>
        </w:tc>
        <w:tc>
          <w:tcPr>
            <w:tcW w:w="0" w:type="auto"/>
          </w:tcPr>
          <w:p w14:paraId="25CE4785" w14:textId="77777777" w:rsidR="00922D8A" w:rsidRPr="008661CD" w:rsidRDefault="00922D8A" w:rsidP="008661CD"/>
        </w:tc>
        <w:tc>
          <w:tcPr>
            <w:tcW w:w="0" w:type="auto"/>
          </w:tcPr>
          <w:p w14:paraId="759A89C9" w14:textId="77777777" w:rsidR="00922D8A" w:rsidRPr="008661CD" w:rsidRDefault="00922D8A" w:rsidP="008661CD">
            <w:r w:rsidRPr="008661CD">
              <w:t>Odos bėrimas</w:t>
            </w:r>
          </w:p>
        </w:tc>
        <w:tc>
          <w:tcPr>
            <w:tcW w:w="0" w:type="auto"/>
            <w:shd w:val="clear" w:color="auto" w:fill="auto"/>
          </w:tcPr>
          <w:p w14:paraId="44A4E75E" w14:textId="77777777" w:rsidR="00922D8A" w:rsidRPr="008661CD" w:rsidRDefault="00922D8A" w:rsidP="008661CD">
            <w:r w:rsidRPr="008661CD">
              <w:t>Dilgėlinė,</w:t>
            </w:r>
          </w:p>
          <w:p w14:paraId="054CEB07" w14:textId="77777777" w:rsidR="00922D8A" w:rsidRPr="008661CD" w:rsidRDefault="00922D8A" w:rsidP="008661CD">
            <w:r w:rsidRPr="008661CD">
              <w:t>niežulys,</w:t>
            </w:r>
          </w:p>
          <w:p w14:paraId="72E111E7" w14:textId="77777777" w:rsidR="00922D8A" w:rsidRPr="008661CD" w:rsidRDefault="00922D8A" w:rsidP="008661CD">
            <w:r w:rsidRPr="008661CD">
              <w:t>daugiaformė eritema,</w:t>
            </w:r>
          </w:p>
          <w:p w14:paraId="3F78CB1F" w14:textId="77777777" w:rsidR="00922D8A" w:rsidRPr="008661CD" w:rsidRDefault="00922D8A" w:rsidP="008661CD">
            <w:r w:rsidRPr="008661CD">
              <w:rPr>
                <w:i/>
              </w:rPr>
              <w:t>Stevens-Johnson</w:t>
            </w:r>
            <w:r w:rsidRPr="008661CD">
              <w:t xml:space="preserve"> sindromas,</w:t>
            </w:r>
          </w:p>
          <w:p w14:paraId="18153603" w14:textId="77777777" w:rsidR="00922D8A" w:rsidRPr="008661CD" w:rsidRDefault="00922D8A" w:rsidP="008661CD">
            <w:r w:rsidRPr="008661CD">
              <w:t>toksinė epidermio nekrolizė (egzanteminė nekrolizė) (</w:t>
            </w:r>
            <w:r w:rsidRPr="008661CD">
              <w:rPr>
                <w:i/>
              </w:rPr>
              <w:t>žr. ,,Imuninės sistemos sutrikimai</w:t>
            </w:r>
            <w:r w:rsidRPr="008661CD">
              <w:t>), angioneurozinė edema</w:t>
            </w:r>
          </w:p>
        </w:tc>
      </w:tr>
      <w:tr w:rsidR="00922D8A" w:rsidRPr="00C510EF" w14:paraId="08E11D65" w14:textId="77777777" w:rsidTr="00894113">
        <w:tc>
          <w:tcPr>
            <w:tcW w:w="0" w:type="auto"/>
            <w:gridSpan w:val="4"/>
          </w:tcPr>
          <w:p w14:paraId="3F0CD519" w14:textId="77777777" w:rsidR="00922D8A" w:rsidRPr="008661CD" w:rsidRDefault="00922D8A" w:rsidP="008661CD">
            <w:r w:rsidRPr="008661CD">
              <w:rPr>
                <w:i/>
              </w:rPr>
              <w:t>Atrinktų nepageidaujamų reakcijų apibūdinimas</w:t>
            </w:r>
          </w:p>
          <w:p w14:paraId="6A57EC35" w14:textId="77777777" w:rsidR="00922D8A" w:rsidRPr="008661CD" w:rsidRDefault="00922D8A" w:rsidP="008661CD">
            <w:r w:rsidRPr="008661CD">
              <w:t>Cefalosporinų grupės antibiotikai yra linkę absorbuotis ant raudonųjų kraujo ląstelių membranų paviršiaus ir reaguoja su antikūnais prieš vaistinį preparatą, sukeldami teigiamą Kumbso reakciją (tai gali turėti įtakos kraujo suderinamumo nustatymo mėginiams) ir labai retais atvejais hemolizinę anemiją.</w:t>
            </w:r>
          </w:p>
          <w:p w14:paraId="4A0DA789" w14:textId="77777777" w:rsidR="00922D8A" w:rsidRPr="008661CD" w:rsidRDefault="00922D8A" w:rsidP="008661CD">
            <w:r w:rsidRPr="008661CD">
              <w:t>Buvo nustatytas trumpalaikis kepenų fermentų suaktyvėjimas serume, kuris paprastai buvo grįžtamas.</w:t>
            </w:r>
          </w:p>
        </w:tc>
      </w:tr>
    </w:tbl>
    <w:p w14:paraId="3F317160" w14:textId="77777777" w:rsidR="00922D8A" w:rsidRPr="008661CD" w:rsidRDefault="00922D8A" w:rsidP="008661CD">
      <w:pPr>
        <w:ind w:left="567" w:hanging="567"/>
      </w:pPr>
    </w:p>
    <w:p w14:paraId="66D746DD" w14:textId="77777777" w:rsidR="00922D8A" w:rsidRPr="008661CD" w:rsidRDefault="00922D8A" w:rsidP="008661CD">
      <w:pPr>
        <w:ind w:left="567" w:hanging="567"/>
        <w:rPr>
          <w:i/>
        </w:rPr>
      </w:pPr>
      <w:r w:rsidRPr="008661CD">
        <w:rPr>
          <w:i/>
        </w:rPr>
        <w:t>Vaikų populiacija</w:t>
      </w:r>
    </w:p>
    <w:p w14:paraId="6BC68810" w14:textId="77777777" w:rsidR="00922D8A" w:rsidRPr="008661CD" w:rsidRDefault="00922D8A" w:rsidP="008661CD">
      <w:pPr>
        <w:ind w:left="567" w:hanging="567"/>
      </w:pPr>
      <w:r w:rsidRPr="008661CD">
        <w:t>Cefuroksimo aksetilo saugumo pobūdis vaikams atitinka saugumo pobūdį suaugusiesiems.</w:t>
      </w:r>
    </w:p>
    <w:p w14:paraId="3A5ED0B7" w14:textId="77777777" w:rsidR="00922D8A" w:rsidRPr="008661CD" w:rsidRDefault="00922D8A" w:rsidP="008661CD">
      <w:pPr>
        <w:ind w:left="567" w:hanging="567"/>
      </w:pPr>
    </w:p>
    <w:p w14:paraId="6279BC8B" w14:textId="77777777" w:rsidR="00922D8A" w:rsidRPr="008661CD" w:rsidRDefault="00922D8A" w:rsidP="008661CD">
      <w:pPr>
        <w:autoSpaceDE w:val="0"/>
        <w:autoSpaceDN w:val="0"/>
        <w:adjustRightInd w:val="0"/>
        <w:rPr>
          <w:u w:val="single"/>
        </w:rPr>
      </w:pPr>
      <w:r w:rsidRPr="008661CD">
        <w:rPr>
          <w:u w:val="single"/>
        </w:rPr>
        <w:t>Pranešimas apie įtariamas nepageidaujamas reakcijas</w:t>
      </w:r>
    </w:p>
    <w:p w14:paraId="734305F2" w14:textId="77777777" w:rsidR="00922D8A" w:rsidRPr="008661CD" w:rsidRDefault="00922D8A" w:rsidP="008661CD">
      <w:pPr>
        <w:autoSpaceDE w:val="0"/>
        <w:autoSpaceDN w:val="0"/>
        <w:adjustRightInd w:val="0"/>
      </w:pPr>
      <w:r w:rsidRPr="008661CD">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F3553">
          <w:rPr>
            <w:rStyle w:val="Hipersaitas"/>
            <w:rFonts w:eastAsia="SimSun"/>
          </w:rPr>
          <w:t>www.vvkt.lt</w:t>
        </w:r>
      </w:hyperlink>
      <w:r w:rsidRPr="008661CD">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F3553">
          <w:rPr>
            <w:rStyle w:val="Hipersaitas"/>
            <w:rFonts w:eastAsia="SimSun"/>
          </w:rPr>
          <w:t>NepageidaujamaR@vvkt.lt</w:t>
        </w:r>
      </w:hyperlink>
      <w:r w:rsidRPr="008661CD">
        <w:t>), per interneto svetainę (adresu http://www.vvkt.lt).</w:t>
      </w:r>
    </w:p>
    <w:p w14:paraId="6D4812DE" w14:textId="77777777" w:rsidR="00922D8A" w:rsidRPr="008661CD" w:rsidRDefault="00922D8A" w:rsidP="008661CD"/>
    <w:p w14:paraId="0108B587" w14:textId="77777777" w:rsidR="00922D8A" w:rsidRPr="008661CD" w:rsidRDefault="00922D8A" w:rsidP="008661CD">
      <w:pPr>
        <w:keepNext/>
        <w:ind w:left="567" w:hanging="567"/>
        <w:rPr>
          <w:b/>
        </w:rPr>
      </w:pPr>
      <w:r w:rsidRPr="008661CD">
        <w:rPr>
          <w:b/>
        </w:rPr>
        <w:t>4.9</w:t>
      </w:r>
      <w:r w:rsidRPr="008661CD">
        <w:rPr>
          <w:b/>
        </w:rPr>
        <w:tab/>
        <w:t>Perdozavimas</w:t>
      </w:r>
    </w:p>
    <w:p w14:paraId="4628BEA7" w14:textId="77777777" w:rsidR="00922D8A" w:rsidRPr="008661CD" w:rsidRDefault="00922D8A" w:rsidP="008661CD">
      <w:pPr>
        <w:keepNext/>
      </w:pPr>
    </w:p>
    <w:p w14:paraId="2426F8DE" w14:textId="77777777" w:rsidR="00922D8A" w:rsidRPr="008661CD" w:rsidRDefault="00922D8A" w:rsidP="008661CD">
      <w:pPr>
        <w:keepNext/>
      </w:pPr>
      <w:r w:rsidRPr="008661CD">
        <w:t>Perdozavimas gali sukelti neurologinių pasekmių, įskaitant encefalopatiją, traukulius ir komą. Perdozavimo simptomų gali atsirasti, tinkamai nesumažinus dozės pacientams, kuriems yra inkstų funkcijos sutrikimas (žr. 4.2 ir 4.4 skyrius).</w:t>
      </w:r>
    </w:p>
    <w:p w14:paraId="062626AE" w14:textId="77777777" w:rsidR="00922D8A" w:rsidRPr="008661CD" w:rsidRDefault="00922D8A" w:rsidP="008661CD"/>
    <w:p w14:paraId="00A6A660" w14:textId="77777777" w:rsidR="00922D8A" w:rsidRPr="008661CD" w:rsidRDefault="00922D8A" w:rsidP="008661CD">
      <w:r w:rsidRPr="008661CD">
        <w:t>Cefuroksimo koncentracijas serume galima sumažinti atliekant hemodializę ar peritoninę dializę.</w:t>
      </w:r>
    </w:p>
    <w:p w14:paraId="14495717" w14:textId="77777777" w:rsidR="00922D8A" w:rsidRPr="008661CD" w:rsidRDefault="00922D8A" w:rsidP="008661CD"/>
    <w:p w14:paraId="5C9ED942" w14:textId="77777777" w:rsidR="00922D8A" w:rsidRPr="008661CD" w:rsidRDefault="00922D8A" w:rsidP="008661CD"/>
    <w:p w14:paraId="55019E64" w14:textId="77777777" w:rsidR="00922D8A" w:rsidRPr="008661CD" w:rsidRDefault="00922D8A" w:rsidP="008661CD">
      <w:pPr>
        <w:ind w:left="567" w:hanging="567"/>
        <w:rPr>
          <w:b/>
          <w:caps/>
        </w:rPr>
      </w:pPr>
      <w:r w:rsidRPr="008661CD">
        <w:rPr>
          <w:b/>
          <w:caps/>
        </w:rPr>
        <w:t>5.</w:t>
      </w:r>
      <w:r w:rsidRPr="008661CD">
        <w:rPr>
          <w:b/>
          <w:caps/>
        </w:rPr>
        <w:tab/>
      </w:r>
      <w:r w:rsidRPr="008661CD">
        <w:rPr>
          <w:b/>
        </w:rPr>
        <w:t xml:space="preserve">FARMAKOLOGINĖS </w:t>
      </w:r>
      <w:r w:rsidRPr="008661CD">
        <w:rPr>
          <w:b/>
          <w:caps/>
        </w:rPr>
        <w:t>savybės</w:t>
      </w:r>
    </w:p>
    <w:p w14:paraId="3A264994" w14:textId="77777777" w:rsidR="00922D8A" w:rsidRPr="008661CD" w:rsidRDefault="00922D8A" w:rsidP="008661CD">
      <w:pPr>
        <w:ind w:left="567" w:hanging="567"/>
      </w:pPr>
    </w:p>
    <w:p w14:paraId="69E19824" w14:textId="77777777" w:rsidR="00922D8A" w:rsidRPr="008661CD" w:rsidRDefault="00922D8A" w:rsidP="008661CD">
      <w:pPr>
        <w:ind w:left="567" w:hanging="567"/>
        <w:rPr>
          <w:b/>
        </w:rPr>
      </w:pPr>
      <w:r w:rsidRPr="008661CD">
        <w:rPr>
          <w:b/>
        </w:rPr>
        <w:t>5.1</w:t>
      </w:r>
      <w:r w:rsidRPr="008661CD">
        <w:rPr>
          <w:b/>
        </w:rPr>
        <w:tab/>
        <w:t xml:space="preserve">Farmakodinaminės savybės </w:t>
      </w:r>
    </w:p>
    <w:p w14:paraId="0E969411" w14:textId="77777777" w:rsidR="00922D8A" w:rsidRPr="008661CD" w:rsidRDefault="00922D8A" w:rsidP="008661CD">
      <w:pPr>
        <w:ind w:left="567" w:hanging="567"/>
      </w:pPr>
    </w:p>
    <w:p w14:paraId="41BB14BC" w14:textId="77777777" w:rsidR="00922D8A" w:rsidRPr="008661CD" w:rsidRDefault="00922D8A" w:rsidP="008661CD">
      <w:r w:rsidRPr="008661CD">
        <w:t>Farmakoterapinė grupė – sisteminio poveikio antibakteriniai vaistiniai preparatai, antros kartos cefalosporinai, ATC kodas – J01DC02.</w:t>
      </w:r>
    </w:p>
    <w:p w14:paraId="411751DB" w14:textId="77777777" w:rsidR="00922D8A" w:rsidRPr="008661CD" w:rsidRDefault="00922D8A" w:rsidP="008661CD"/>
    <w:p w14:paraId="36AC0511" w14:textId="77777777" w:rsidR="00922D8A" w:rsidRPr="000F3553" w:rsidRDefault="00922D8A" w:rsidP="008661CD">
      <w:pPr>
        <w:keepNext/>
        <w:autoSpaceDE w:val="0"/>
        <w:autoSpaceDN w:val="0"/>
        <w:adjustRightInd w:val="0"/>
        <w:rPr>
          <w:rFonts w:eastAsia="Calibri"/>
          <w:u w:val="single"/>
        </w:rPr>
      </w:pPr>
      <w:r w:rsidRPr="000F3553">
        <w:rPr>
          <w:rFonts w:eastAsia="Calibri"/>
          <w:u w:val="single"/>
        </w:rPr>
        <w:lastRenderedPageBreak/>
        <w:t>Veikimo mechanizmas</w:t>
      </w:r>
    </w:p>
    <w:p w14:paraId="004B3419" w14:textId="77777777" w:rsidR="00922D8A" w:rsidRPr="000F3553" w:rsidRDefault="00922D8A" w:rsidP="008661CD">
      <w:pPr>
        <w:keepNext/>
        <w:autoSpaceDE w:val="0"/>
        <w:autoSpaceDN w:val="0"/>
        <w:adjustRightInd w:val="0"/>
        <w:rPr>
          <w:rFonts w:eastAsia="Calibri"/>
          <w:u w:val="single"/>
        </w:rPr>
      </w:pPr>
    </w:p>
    <w:p w14:paraId="601A4B2B" w14:textId="77777777" w:rsidR="00922D8A" w:rsidRPr="008661CD" w:rsidRDefault="00922D8A" w:rsidP="008661CD">
      <w:r w:rsidRPr="008661CD">
        <w:t>Veikiant esterazėms, cefuroksimo aksetilas hidrolizės būdu verčiamas į aktyvų antibiotiką cefuroksimą.</w:t>
      </w:r>
    </w:p>
    <w:p w14:paraId="6BC29147" w14:textId="77777777" w:rsidR="00922D8A" w:rsidRPr="008661CD" w:rsidRDefault="00922D8A" w:rsidP="008661CD"/>
    <w:p w14:paraId="224C4529" w14:textId="77777777" w:rsidR="00922D8A" w:rsidRPr="008661CD" w:rsidRDefault="00922D8A" w:rsidP="008661CD">
      <w:r w:rsidRPr="008661CD">
        <w:t>Cefuroksimas slopina bakterijų ląstelių sienelės sintezę, prisijungdamas prie peniciliną prisijungiančio baltymo (PPB). Dėl to nutrūksta ląstelių sienelės (peptidoglikano) biosintezė, pasireiškia bakterijų ląstelių lizė ir mirtis.</w:t>
      </w:r>
    </w:p>
    <w:p w14:paraId="6305ECD1" w14:textId="77777777" w:rsidR="00922D8A" w:rsidRPr="008661CD" w:rsidRDefault="00922D8A" w:rsidP="008661CD">
      <w:pPr>
        <w:rPr>
          <w:b/>
          <w:highlight w:val="yellow"/>
        </w:rPr>
      </w:pPr>
    </w:p>
    <w:p w14:paraId="755AED3B" w14:textId="77777777" w:rsidR="00922D8A" w:rsidRPr="008661CD" w:rsidRDefault="00922D8A" w:rsidP="008661CD">
      <w:pPr>
        <w:keepNext/>
        <w:tabs>
          <w:tab w:val="left" w:pos="567"/>
        </w:tabs>
        <w:rPr>
          <w:u w:val="single"/>
        </w:rPr>
      </w:pPr>
      <w:r w:rsidRPr="008661CD">
        <w:rPr>
          <w:u w:val="single"/>
        </w:rPr>
        <w:t>Atsparumo atsiradimo mechanizmas</w:t>
      </w:r>
    </w:p>
    <w:p w14:paraId="3C4BF26F" w14:textId="77777777" w:rsidR="00922D8A" w:rsidRPr="008661CD" w:rsidRDefault="00922D8A" w:rsidP="008661CD">
      <w:pPr>
        <w:rPr>
          <w:u w:val="single"/>
        </w:rPr>
      </w:pPr>
    </w:p>
    <w:p w14:paraId="48A06BDC" w14:textId="77777777" w:rsidR="00922D8A" w:rsidRPr="008661CD" w:rsidRDefault="00922D8A" w:rsidP="008661CD">
      <w:r w:rsidRPr="008661CD">
        <w:t>Bakterijų atsparumas cefuroksimui gali pasireikšti dėl vieno arba daugiau išvardytų mechanizmų:</w:t>
      </w:r>
    </w:p>
    <w:p w14:paraId="4D56A11A" w14:textId="77777777" w:rsidR="00922D8A" w:rsidRPr="008661CD" w:rsidRDefault="00922D8A" w:rsidP="000F3553">
      <w:pPr>
        <w:numPr>
          <w:ilvl w:val="0"/>
          <w:numId w:val="4"/>
        </w:numPr>
        <w:tabs>
          <w:tab w:val="left" w:pos="567"/>
        </w:tabs>
        <w:spacing w:line="260" w:lineRule="exact"/>
        <w:ind w:left="567" w:hanging="567"/>
      </w:pPr>
      <w:r w:rsidRPr="008661CD">
        <w:t>hidrolizė, veikiant beta laktamazėms, įskaitant (bet neapsiribojant vien tik) plataus spektro beta laktamazes (PSBL) ir AmpC fermentus, kurie gali būti sužadinami arba stabiliai slopinami kai kurių rūšių aerobinėse gramneigiamose bakterijose;</w:t>
      </w:r>
    </w:p>
    <w:p w14:paraId="0F6F358B" w14:textId="77777777" w:rsidR="00922D8A" w:rsidRPr="008661CD" w:rsidRDefault="00922D8A" w:rsidP="000F3553">
      <w:pPr>
        <w:numPr>
          <w:ilvl w:val="0"/>
          <w:numId w:val="4"/>
        </w:numPr>
        <w:tabs>
          <w:tab w:val="left" w:pos="567"/>
        </w:tabs>
        <w:spacing w:line="260" w:lineRule="exact"/>
        <w:ind w:left="567" w:hanging="567"/>
      </w:pPr>
      <w:r w:rsidRPr="008661CD">
        <w:t>peniciliną prisijungiančio baltymo afiniteto cefuroksimui sumažėjimas;</w:t>
      </w:r>
    </w:p>
    <w:p w14:paraId="3865D9D5" w14:textId="77777777" w:rsidR="00922D8A" w:rsidRPr="008661CD" w:rsidRDefault="00922D8A" w:rsidP="000F3553">
      <w:pPr>
        <w:numPr>
          <w:ilvl w:val="0"/>
          <w:numId w:val="4"/>
        </w:numPr>
        <w:tabs>
          <w:tab w:val="left" w:pos="567"/>
        </w:tabs>
        <w:spacing w:line="260" w:lineRule="exact"/>
        <w:ind w:left="567" w:hanging="567"/>
      </w:pPr>
      <w:r w:rsidRPr="008661CD">
        <w:t>išorinės membranos nepralaidumas, dėl kurio yra ribojamas cefuroksimo prasiskverbimas prie peniciliną prisijungiančio baltymo gramneigiamose bakterijose;</w:t>
      </w:r>
    </w:p>
    <w:p w14:paraId="36628D08" w14:textId="77777777" w:rsidR="00922D8A" w:rsidRPr="008661CD" w:rsidRDefault="00922D8A" w:rsidP="000F3553">
      <w:pPr>
        <w:numPr>
          <w:ilvl w:val="0"/>
          <w:numId w:val="4"/>
        </w:numPr>
        <w:tabs>
          <w:tab w:val="left" w:pos="567"/>
        </w:tabs>
        <w:ind w:left="567" w:hanging="567"/>
      </w:pPr>
      <w:r w:rsidRPr="008661CD">
        <w:t>bakterijų šalinimo iš ląstelės siurbliai.</w:t>
      </w:r>
    </w:p>
    <w:p w14:paraId="7DC93EC6" w14:textId="77777777" w:rsidR="00922D8A" w:rsidRPr="000F3553" w:rsidRDefault="00922D8A" w:rsidP="000F3553">
      <w:pPr>
        <w:pStyle w:val="prastasiniatinklio"/>
        <w:spacing w:before="0" w:beforeAutospacing="0" w:after="0" w:afterAutospacing="0"/>
        <w:ind w:left="567"/>
      </w:pPr>
    </w:p>
    <w:p w14:paraId="2C7A2E16" w14:textId="77777777" w:rsidR="00922D8A" w:rsidRPr="000F3553" w:rsidRDefault="00922D8A" w:rsidP="000F3553">
      <w:pPr>
        <w:pStyle w:val="prastasiniatinklio"/>
        <w:spacing w:before="0" w:beforeAutospacing="0" w:after="0" w:afterAutospacing="0"/>
      </w:pPr>
      <w:r w:rsidRPr="000F3553">
        <w:rPr>
          <w:sz w:val="22"/>
          <w:lang w:val="lt-LT"/>
        </w:rPr>
        <w:t>Numatyta, kad mikroorganizmai, kuriems būdingas įgytas atsparumas kitiems injekuojamiesiems cefalosporinams, bus atsparūs ir cefuroksimui.</w:t>
      </w:r>
    </w:p>
    <w:p w14:paraId="6646DB14" w14:textId="77777777" w:rsidR="00922D8A" w:rsidRPr="000F3553" w:rsidRDefault="00922D8A" w:rsidP="000F3553">
      <w:pPr>
        <w:pStyle w:val="prastasiniatinklio"/>
        <w:spacing w:before="0" w:beforeAutospacing="0" w:after="0" w:afterAutospacing="0"/>
      </w:pPr>
    </w:p>
    <w:p w14:paraId="474F8D58" w14:textId="77777777" w:rsidR="00922D8A" w:rsidRPr="000F3553" w:rsidRDefault="00922D8A" w:rsidP="000F3553">
      <w:pPr>
        <w:pStyle w:val="prastasiniatinklio"/>
        <w:spacing w:before="0" w:beforeAutospacing="0" w:after="0" w:afterAutospacing="0"/>
        <w:rPr>
          <w:u w:val="single"/>
        </w:rPr>
      </w:pPr>
      <w:r w:rsidRPr="000F3553">
        <w:rPr>
          <w:sz w:val="22"/>
          <w:lang w:val="lt-LT"/>
        </w:rPr>
        <w:t>Priklausomai nuo atsparumo atsiradimo mechanizmo, mikroorganizmų, kuriems būdingas įgytas atsparumas penicilinams, jautrumas cefuroksimui gali būti sumažėjęs arba šie mikroorganizmai gali būti atsparūs cefuroksimui.</w:t>
      </w:r>
    </w:p>
    <w:p w14:paraId="51EE4534" w14:textId="77777777" w:rsidR="00922D8A" w:rsidRPr="008661CD" w:rsidRDefault="00922D8A" w:rsidP="008661CD"/>
    <w:p w14:paraId="3CE1CCBC" w14:textId="77777777" w:rsidR="00922D8A" w:rsidRPr="008661CD" w:rsidRDefault="00922D8A" w:rsidP="008661CD">
      <w:pPr>
        <w:keepNext/>
        <w:rPr>
          <w:u w:val="single"/>
        </w:rPr>
      </w:pPr>
      <w:r w:rsidRPr="008661CD">
        <w:rPr>
          <w:u w:val="single"/>
        </w:rPr>
        <w:t>Jautrumo cefuroksimo aksetilui ribinės vertės</w:t>
      </w:r>
    </w:p>
    <w:p w14:paraId="3D7810E7" w14:textId="77777777" w:rsidR="00922D8A" w:rsidRPr="008661CD" w:rsidRDefault="00922D8A" w:rsidP="008661CD">
      <w:pPr>
        <w:rPr>
          <w:u w:val="single"/>
        </w:rPr>
      </w:pPr>
    </w:p>
    <w:p w14:paraId="422D4822" w14:textId="77777777" w:rsidR="00922D8A" w:rsidRPr="008661CD" w:rsidRDefault="00922D8A" w:rsidP="008661CD">
      <w:r w:rsidRPr="008661CD">
        <w:t xml:space="preserve">Europos antimikrobinio jautrumo tyrimų komitetas (angl. </w:t>
      </w:r>
      <w:r w:rsidRPr="008661CD">
        <w:rPr>
          <w:i/>
        </w:rPr>
        <w:t>European Committee on Antimicrobial Susceptibility Testing [EUCAST]</w:t>
      </w:r>
      <w:r w:rsidRPr="008661CD">
        <w:t>) nustatė tokias minimalios slopinamosios koncentracijos (MSK) ribines vertes.</w:t>
      </w:r>
    </w:p>
    <w:p w14:paraId="5E350E80" w14:textId="77777777" w:rsidR="00922D8A" w:rsidRPr="008661CD" w:rsidRDefault="00922D8A" w:rsidP="008661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0"/>
        <w:gridCol w:w="2841"/>
        <w:gridCol w:w="2841"/>
      </w:tblGrid>
      <w:tr w:rsidR="00922D8A" w:rsidRPr="00C510EF" w14:paraId="098F26EE" w14:textId="77777777" w:rsidTr="00894113">
        <w:tc>
          <w:tcPr>
            <w:tcW w:w="2840" w:type="dxa"/>
          </w:tcPr>
          <w:p w14:paraId="347A2FA6" w14:textId="77777777" w:rsidR="00922D8A" w:rsidRPr="008661CD" w:rsidRDefault="00922D8A" w:rsidP="008661CD">
            <w:pPr>
              <w:tabs>
                <w:tab w:val="left" w:pos="0"/>
              </w:tabs>
              <w:jc w:val="center"/>
              <w:rPr>
                <w:b/>
              </w:rPr>
            </w:pPr>
            <w:r w:rsidRPr="008661CD">
              <w:rPr>
                <w:b/>
              </w:rPr>
              <w:t>Mikroorganizmas</w:t>
            </w:r>
          </w:p>
        </w:tc>
        <w:tc>
          <w:tcPr>
            <w:tcW w:w="5682" w:type="dxa"/>
            <w:gridSpan w:val="2"/>
            <w:vAlign w:val="center"/>
          </w:tcPr>
          <w:p w14:paraId="4E82C367" w14:textId="77777777" w:rsidR="00922D8A" w:rsidRPr="008661CD" w:rsidRDefault="00922D8A" w:rsidP="008661CD">
            <w:pPr>
              <w:tabs>
                <w:tab w:val="left" w:pos="0"/>
              </w:tabs>
              <w:jc w:val="center"/>
              <w:rPr>
                <w:b/>
              </w:rPr>
            </w:pPr>
            <w:r w:rsidRPr="008661CD">
              <w:rPr>
                <w:b/>
              </w:rPr>
              <w:t>Ribinės vertės (mg/l)</w:t>
            </w:r>
          </w:p>
        </w:tc>
      </w:tr>
      <w:tr w:rsidR="00922D8A" w:rsidRPr="00C510EF" w14:paraId="2B53126C" w14:textId="77777777" w:rsidTr="00894113">
        <w:trPr>
          <w:trHeight w:val="302"/>
        </w:trPr>
        <w:tc>
          <w:tcPr>
            <w:tcW w:w="2840" w:type="dxa"/>
          </w:tcPr>
          <w:p w14:paraId="53D52A23" w14:textId="77777777" w:rsidR="00922D8A" w:rsidRPr="008661CD" w:rsidRDefault="00922D8A" w:rsidP="008661CD">
            <w:pPr>
              <w:tabs>
                <w:tab w:val="left" w:pos="0"/>
              </w:tabs>
            </w:pPr>
          </w:p>
        </w:tc>
        <w:tc>
          <w:tcPr>
            <w:tcW w:w="2841" w:type="dxa"/>
          </w:tcPr>
          <w:p w14:paraId="33BE6AF7" w14:textId="77777777" w:rsidR="00922D8A" w:rsidRPr="008661CD" w:rsidRDefault="00922D8A" w:rsidP="008661CD">
            <w:pPr>
              <w:tabs>
                <w:tab w:val="left" w:pos="0"/>
              </w:tabs>
              <w:jc w:val="center"/>
              <w:rPr>
                <w:u w:val="single"/>
              </w:rPr>
            </w:pPr>
            <w:r w:rsidRPr="008661CD">
              <w:rPr>
                <w:u w:val="single"/>
              </w:rPr>
              <w:t>J</w:t>
            </w:r>
          </w:p>
        </w:tc>
        <w:tc>
          <w:tcPr>
            <w:tcW w:w="2841" w:type="dxa"/>
          </w:tcPr>
          <w:p w14:paraId="2B1A4EF0" w14:textId="77777777" w:rsidR="00922D8A" w:rsidRPr="008661CD" w:rsidRDefault="00922D8A" w:rsidP="008661CD">
            <w:pPr>
              <w:tabs>
                <w:tab w:val="left" w:pos="0"/>
              </w:tabs>
              <w:jc w:val="center"/>
              <w:rPr>
                <w:u w:val="single"/>
              </w:rPr>
            </w:pPr>
            <w:r w:rsidRPr="008661CD">
              <w:rPr>
                <w:u w:val="single"/>
              </w:rPr>
              <w:t>A</w:t>
            </w:r>
          </w:p>
        </w:tc>
      </w:tr>
      <w:tr w:rsidR="00922D8A" w:rsidRPr="00C510EF" w14:paraId="6183A1F0" w14:textId="77777777" w:rsidTr="00894113">
        <w:tc>
          <w:tcPr>
            <w:tcW w:w="2840" w:type="dxa"/>
          </w:tcPr>
          <w:p w14:paraId="2CF68CC8" w14:textId="77777777" w:rsidR="00922D8A" w:rsidRPr="008661CD" w:rsidRDefault="00922D8A" w:rsidP="008661CD">
            <w:pPr>
              <w:tabs>
                <w:tab w:val="left" w:pos="0"/>
              </w:tabs>
            </w:pPr>
            <w:r w:rsidRPr="008661CD">
              <w:rPr>
                <w:i/>
              </w:rPr>
              <w:t>Enterobacteriaceae</w:t>
            </w:r>
            <w:r w:rsidRPr="008661CD">
              <w:t xml:space="preserve"> </w:t>
            </w:r>
            <w:r w:rsidRPr="008661CD">
              <w:rPr>
                <w:vertAlign w:val="superscript"/>
              </w:rPr>
              <w:t>1, 2</w:t>
            </w:r>
          </w:p>
        </w:tc>
        <w:tc>
          <w:tcPr>
            <w:tcW w:w="2841" w:type="dxa"/>
          </w:tcPr>
          <w:p w14:paraId="09839C71" w14:textId="77777777" w:rsidR="00922D8A" w:rsidRPr="008661CD" w:rsidRDefault="00922D8A" w:rsidP="008661CD">
            <w:pPr>
              <w:tabs>
                <w:tab w:val="left" w:pos="0"/>
              </w:tabs>
              <w:jc w:val="center"/>
            </w:pPr>
            <w:r w:rsidRPr="008661CD">
              <w:sym w:font="Symbol" w:char="F0A3"/>
            </w:r>
            <w:r w:rsidRPr="008661CD">
              <w:t>8</w:t>
            </w:r>
          </w:p>
        </w:tc>
        <w:tc>
          <w:tcPr>
            <w:tcW w:w="2841" w:type="dxa"/>
          </w:tcPr>
          <w:p w14:paraId="19154EFB" w14:textId="77777777" w:rsidR="00922D8A" w:rsidRPr="008661CD" w:rsidRDefault="00922D8A" w:rsidP="008661CD">
            <w:pPr>
              <w:tabs>
                <w:tab w:val="left" w:pos="0"/>
              </w:tabs>
              <w:jc w:val="center"/>
            </w:pPr>
            <w:r w:rsidRPr="008661CD">
              <w:t>&gt;8</w:t>
            </w:r>
          </w:p>
        </w:tc>
      </w:tr>
      <w:tr w:rsidR="00922D8A" w:rsidRPr="00C510EF" w14:paraId="14E85D6D" w14:textId="77777777" w:rsidTr="00894113">
        <w:tc>
          <w:tcPr>
            <w:tcW w:w="2840" w:type="dxa"/>
          </w:tcPr>
          <w:p w14:paraId="11E85B38" w14:textId="77777777" w:rsidR="00922D8A" w:rsidRPr="008661CD" w:rsidRDefault="00922D8A" w:rsidP="008661CD">
            <w:pPr>
              <w:tabs>
                <w:tab w:val="left" w:pos="0"/>
              </w:tabs>
            </w:pPr>
            <w:r w:rsidRPr="008661CD">
              <w:rPr>
                <w:i/>
              </w:rPr>
              <w:t>Staphylococcus</w:t>
            </w:r>
            <w:r w:rsidRPr="008661CD">
              <w:t xml:space="preserve"> rūšys</w:t>
            </w:r>
          </w:p>
        </w:tc>
        <w:tc>
          <w:tcPr>
            <w:tcW w:w="2841" w:type="dxa"/>
          </w:tcPr>
          <w:p w14:paraId="1A001D75" w14:textId="77777777" w:rsidR="00922D8A" w:rsidRPr="008661CD" w:rsidRDefault="00922D8A" w:rsidP="008661CD">
            <w:pPr>
              <w:tabs>
                <w:tab w:val="left" w:pos="0"/>
              </w:tabs>
              <w:jc w:val="center"/>
            </w:pPr>
            <w:r w:rsidRPr="008661CD">
              <w:t xml:space="preserve">Pastaba </w:t>
            </w:r>
            <w:r w:rsidRPr="008661CD">
              <w:rPr>
                <w:vertAlign w:val="superscript"/>
              </w:rPr>
              <w:t>3</w:t>
            </w:r>
          </w:p>
        </w:tc>
        <w:tc>
          <w:tcPr>
            <w:tcW w:w="2841" w:type="dxa"/>
          </w:tcPr>
          <w:p w14:paraId="1176C821" w14:textId="77777777" w:rsidR="00922D8A" w:rsidRPr="008661CD" w:rsidRDefault="00922D8A" w:rsidP="008661CD">
            <w:pPr>
              <w:tabs>
                <w:tab w:val="left" w:pos="0"/>
              </w:tabs>
              <w:jc w:val="center"/>
            </w:pPr>
            <w:r w:rsidRPr="008661CD">
              <w:t>Pastaba</w:t>
            </w:r>
            <w:r w:rsidRPr="008661CD">
              <w:rPr>
                <w:vertAlign w:val="superscript"/>
              </w:rPr>
              <w:t xml:space="preserve"> 3</w:t>
            </w:r>
          </w:p>
        </w:tc>
      </w:tr>
      <w:tr w:rsidR="00922D8A" w:rsidRPr="00C510EF" w14:paraId="3F599F72" w14:textId="77777777" w:rsidTr="00894113">
        <w:tc>
          <w:tcPr>
            <w:tcW w:w="2840" w:type="dxa"/>
          </w:tcPr>
          <w:p w14:paraId="3154E45B" w14:textId="77777777" w:rsidR="00922D8A" w:rsidRPr="008661CD" w:rsidRDefault="00922D8A" w:rsidP="008661CD">
            <w:pPr>
              <w:tabs>
                <w:tab w:val="left" w:pos="0"/>
              </w:tabs>
            </w:pPr>
            <w:r w:rsidRPr="008661CD">
              <w:rPr>
                <w:i/>
              </w:rPr>
              <w:t xml:space="preserve">Streptococcus </w:t>
            </w:r>
            <w:r w:rsidRPr="008661CD">
              <w:t>A, B, C ir G</w:t>
            </w:r>
          </w:p>
        </w:tc>
        <w:tc>
          <w:tcPr>
            <w:tcW w:w="2841" w:type="dxa"/>
          </w:tcPr>
          <w:p w14:paraId="20C95505" w14:textId="77777777" w:rsidR="00922D8A" w:rsidRPr="008661CD" w:rsidRDefault="00922D8A" w:rsidP="008661CD">
            <w:pPr>
              <w:tabs>
                <w:tab w:val="left" w:pos="0"/>
              </w:tabs>
              <w:jc w:val="center"/>
            </w:pPr>
            <w:r w:rsidRPr="008661CD">
              <w:t>Pastaba</w:t>
            </w:r>
            <w:r w:rsidRPr="008661CD">
              <w:rPr>
                <w:vertAlign w:val="superscript"/>
              </w:rPr>
              <w:t xml:space="preserve"> 4</w:t>
            </w:r>
          </w:p>
        </w:tc>
        <w:tc>
          <w:tcPr>
            <w:tcW w:w="2841" w:type="dxa"/>
          </w:tcPr>
          <w:p w14:paraId="66CF721D" w14:textId="77777777" w:rsidR="00922D8A" w:rsidRPr="008661CD" w:rsidRDefault="00922D8A" w:rsidP="008661CD">
            <w:pPr>
              <w:tabs>
                <w:tab w:val="left" w:pos="0"/>
              </w:tabs>
              <w:jc w:val="center"/>
            </w:pPr>
            <w:r w:rsidRPr="008661CD">
              <w:t>Pastaba</w:t>
            </w:r>
            <w:r w:rsidRPr="008661CD">
              <w:rPr>
                <w:vertAlign w:val="superscript"/>
              </w:rPr>
              <w:t xml:space="preserve"> 4</w:t>
            </w:r>
          </w:p>
        </w:tc>
      </w:tr>
      <w:tr w:rsidR="00922D8A" w:rsidRPr="00C510EF" w14:paraId="322FD705" w14:textId="77777777" w:rsidTr="00894113">
        <w:tc>
          <w:tcPr>
            <w:tcW w:w="2840" w:type="dxa"/>
          </w:tcPr>
          <w:p w14:paraId="6C46BB3E" w14:textId="77777777" w:rsidR="00922D8A" w:rsidRPr="008661CD" w:rsidRDefault="00922D8A" w:rsidP="008661CD">
            <w:pPr>
              <w:tabs>
                <w:tab w:val="left" w:pos="0"/>
              </w:tabs>
              <w:rPr>
                <w:i/>
              </w:rPr>
            </w:pPr>
            <w:r w:rsidRPr="008661CD">
              <w:rPr>
                <w:i/>
              </w:rPr>
              <w:t>Streptococcus pneumoniae</w:t>
            </w:r>
          </w:p>
        </w:tc>
        <w:tc>
          <w:tcPr>
            <w:tcW w:w="2841" w:type="dxa"/>
          </w:tcPr>
          <w:p w14:paraId="708A29C3" w14:textId="77777777" w:rsidR="00922D8A" w:rsidRPr="008661CD" w:rsidRDefault="00922D8A" w:rsidP="008661CD">
            <w:pPr>
              <w:tabs>
                <w:tab w:val="left" w:pos="0"/>
              </w:tabs>
              <w:jc w:val="center"/>
            </w:pPr>
            <w:r w:rsidRPr="008661CD">
              <w:sym w:font="Symbol" w:char="F0A3"/>
            </w:r>
            <w:r w:rsidRPr="008661CD">
              <w:t>0,25</w:t>
            </w:r>
          </w:p>
        </w:tc>
        <w:tc>
          <w:tcPr>
            <w:tcW w:w="2841" w:type="dxa"/>
          </w:tcPr>
          <w:p w14:paraId="7F7121EF" w14:textId="77777777" w:rsidR="00922D8A" w:rsidRPr="008661CD" w:rsidRDefault="00922D8A" w:rsidP="008661CD">
            <w:pPr>
              <w:tabs>
                <w:tab w:val="left" w:pos="0"/>
              </w:tabs>
              <w:jc w:val="center"/>
            </w:pPr>
            <w:r w:rsidRPr="008661CD">
              <w:t>&gt;0,5</w:t>
            </w:r>
          </w:p>
        </w:tc>
      </w:tr>
      <w:tr w:rsidR="00922D8A" w:rsidRPr="00C510EF" w14:paraId="605757A2" w14:textId="77777777" w:rsidTr="00894113">
        <w:tc>
          <w:tcPr>
            <w:tcW w:w="2840" w:type="dxa"/>
          </w:tcPr>
          <w:p w14:paraId="7058A4C5" w14:textId="77777777" w:rsidR="00922D8A" w:rsidRPr="008661CD" w:rsidRDefault="00922D8A" w:rsidP="008661CD">
            <w:pPr>
              <w:tabs>
                <w:tab w:val="left" w:pos="0"/>
              </w:tabs>
            </w:pPr>
            <w:r w:rsidRPr="008661CD">
              <w:rPr>
                <w:i/>
              </w:rPr>
              <w:t>Moraxella catarrhalis</w:t>
            </w:r>
          </w:p>
        </w:tc>
        <w:tc>
          <w:tcPr>
            <w:tcW w:w="2841" w:type="dxa"/>
          </w:tcPr>
          <w:p w14:paraId="13B5FE20" w14:textId="77777777" w:rsidR="00922D8A" w:rsidRPr="008661CD" w:rsidRDefault="00922D8A" w:rsidP="008661CD">
            <w:pPr>
              <w:tabs>
                <w:tab w:val="left" w:pos="0"/>
              </w:tabs>
              <w:jc w:val="center"/>
            </w:pPr>
            <w:r w:rsidRPr="008661CD">
              <w:sym w:font="Symbol" w:char="F0A3"/>
            </w:r>
            <w:r w:rsidRPr="008661CD">
              <w:t>0,125</w:t>
            </w:r>
          </w:p>
        </w:tc>
        <w:tc>
          <w:tcPr>
            <w:tcW w:w="2841" w:type="dxa"/>
          </w:tcPr>
          <w:p w14:paraId="47E2BC1C" w14:textId="77777777" w:rsidR="00922D8A" w:rsidRPr="008661CD" w:rsidRDefault="00922D8A" w:rsidP="008661CD">
            <w:pPr>
              <w:tabs>
                <w:tab w:val="left" w:pos="0"/>
              </w:tabs>
              <w:jc w:val="center"/>
            </w:pPr>
            <w:r w:rsidRPr="008661CD">
              <w:t>&gt;4</w:t>
            </w:r>
          </w:p>
        </w:tc>
      </w:tr>
      <w:tr w:rsidR="00922D8A" w:rsidRPr="00C510EF" w14:paraId="14C8294E" w14:textId="77777777" w:rsidTr="00894113">
        <w:tc>
          <w:tcPr>
            <w:tcW w:w="2840" w:type="dxa"/>
          </w:tcPr>
          <w:p w14:paraId="11C9DD69" w14:textId="77777777" w:rsidR="00922D8A" w:rsidRPr="008661CD" w:rsidRDefault="00922D8A" w:rsidP="008661CD">
            <w:pPr>
              <w:tabs>
                <w:tab w:val="left" w:pos="0"/>
              </w:tabs>
            </w:pPr>
            <w:r w:rsidRPr="008661CD">
              <w:rPr>
                <w:i/>
              </w:rPr>
              <w:t>Haemophilus influenzae</w:t>
            </w:r>
          </w:p>
        </w:tc>
        <w:tc>
          <w:tcPr>
            <w:tcW w:w="2841" w:type="dxa"/>
          </w:tcPr>
          <w:p w14:paraId="083FCCC8" w14:textId="77777777" w:rsidR="00922D8A" w:rsidRPr="008661CD" w:rsidRDefault="00922D8A" w:rsidP="008661CD">
            <w:pPr>
              <w:tabs>
                <w:tab w:val="left" w:pos="0"/>
              </w:tabs>
              <w:jc w:val="center"/>
            </w:pPr>
            <w:r w:rsidRPr="008661CD">
              <w:sym w:font="Symbol" w:char="F0A3"/>
            </w:r>
            <w:r w:rsidRPr="008661CD">
              <w:t>0,125</w:t>
            </w:r>
          </w:p>
        </w:tc>
        <w:tc>
          <w:tcPr>
            <w:tcW w:w="2841" w:type="dxa"/>
          </w:tcPr>
          <w:p w14:paraId="129FBAA6" w14:textId="77777777" w:rsidR="00922D8A" w:rsidRPr="008661CD" w:rsidRDefault="00922D8A" w:rsidP="008661CD">
            <w:pPr>
              <w:tabs>
                <w:tab w:val="left" w:pos="0"/>
              </w:tabs>
              <w:jc w:val="center"/>
            </w:pPr>
            <w:r w:rsidRPr="008661CD">
              <w:t>&gt;1</w:t>
            </w:r>
          </w:p>
        </w:tc>
      </w:tr>
      <w:tr w:rsidR="00922D8A" w:rsidRPr="00C510EF" w14:paraId="33762953" w14:textId="77777777" w:rsidTr="00894113">
        <w:tc>
          <w:tcPr>
            <w:tcW w:w="2840" w:type="dxa"/>
          </w:tcPr>
          <w:p w14:paraId="5DE55540" w14:textId="77777777" w:rsidR="00922D8A" w:rsidRPr="008661CD" w:rsidRDefault="00922D8A" w:rsidP="008661CD">
            <w:pPr>
              <w:tabs>
                <w:tab w:val="left" w:pos="0"/>
              </w:tabs>
            </w:pPr>
            <w:r w:rsidRPr="008661CD">
              <w:t>Su rūšimi nesusijusios ribinės vertės</w:t>
            </w:r>
            <w:r w:rsidRPr="008661CD">
              <w:rPr>
                <w:vertAlign w:val="superscript"/>
              </w:rPr>
              <w:t>1</w:t>
            </w:r>
          </w:p>
        </w:tc>
        <w:tc>
          <w:tcPr>
            <w:tcW w:w="2841" w:type="dxa"/>
          </w:tcPr>
          <w:p w14:paraId="42044FC4" w14:textId="77777777" w:rsidR="00922D8A" w:rsidRPr="008661CD" w:rsidRDefault="00922D8A" w:rsidP="008661CD">
            <w:pPr>
              <w:tabs>
                <w:tab w:val="left" w:pos="0"/>
              </w:tabs>
              <w:jc w:val="center"/>
            </w:pPr>
            <w:r w:rsidRPr="008661CD">
              <w:t>ND</w:t>
            </w:r>
            <w:r w:rsidRPr="008661CD">
              <w:rPr>
                <w:vertAlign w:val="superscript"/>
              </w:rPr>
              <w:t>5</w:t>
            </w:r>
          </w:p>
        </w:tc>
        <w:tc>
          <w:tcPr>
            <w:tcW w:w="2841" w:type="dxa"/>
          </w:tcPr>
          <w:p w14:paraId="3A74F209" w14:textId="77777777" w:rsidR="00922D8A" w:rsidRPr="008661CD" w:rsidRDefault="00922D8A" w:rsidP="008661CD">
            <w:pPr>
              <w:tabs>
                <w:tab w:val="left" w:pos="0"/>
              </w:tabs>
              <w:jc w:val="center"/>
            </w:pPr>
            <w:r w:rsidRPr="008661CD">
              <w:t>ND</w:t>
            </w:r>
            <w:r w:rsidRPr="008661CD">
              <w:rPr>
                <w:vertAlign w:val="superscript"/>
              </w:rPr>
              <w:t>5</w:t>
            </w:r>
          </w:p>
        </w:tc>
      </w:tr>
      <w:tr w:rsidR="00922D8A" w:rsidRPr="00C510EF" w14:paraId="660B630C" w14:textId="77777777" w:rsidTr="00894113">
        <w:tc>
          <w:tcPr>
            <w:tcW w:w="8522" w:type="dxa"/>
            <w:gridSpan w:val="3"/>
          </w:tcPr>
          <w:p w14:paraId="571C17C3" w14:textId="77777777" w:rsidR="00922D8A" w:rsidRPr="000F3553" w:rsidRDefault="00922D8A" w:rsidP="000F3553">
            <w:pPr>
              <w:pStyle w:val="Default"/>
            </w:pPr>
            <w:r w:rsidRPr="000F3553">
              <w:rPr>
                <w:b/>
                <w:sz w:val="22"/>
                <w:vertAlign w:val="superscript"/>
                <w:lang w:val="lt-LT"/>
              </w:rPr>
              <w:t xml:space="preserve">1 </w:t>
            </w:r>
            <w:r w:rsidRPr="000F3553">
              <w:rPr>
                <w:i/>
                <w:sz w:val="22"/>
                <w:lang w:val="lt-LT"/>
              </w:rPr>
              <w:t>Enterobacteriaceae</w:t>
            </w:r>
            <w:r w:rsidRPr="000F3553">
              <w:rPr>
                <w:sz w:val="22"/>
                <w:lang w:val="lt-LT"/>
              </w:rPr>
              <w:t xml:space="preserve"> nustatytos jautrumo cefalosporinams ribinės vertės susijusios su visais kliniškai reikšmingais atsparumo mechanizmais (įskaitant PSBL ir plazmidėmis perduodamą AmpC). Kai kurios padermės, kurios gamina beta laktamazes, yra jautrios arba vidutiniškai jautrios trečios ir ketvirtos kartos cefalosporinams esant šioms ribinėms vertėms ir turėtų būti nurodoma, kaip nustatyta, t. y. PSBL buvimas arba nebuvimas neturi įtakos jautrumo apibūdinimui. Daugelyje vietų rekomenduojama arba privaloma nustatyti ir apibūdinti PSBL infekcijos kontrolės tikslais.</w:t>
            </w:r>
          </w:p>
          <w:p w14:paraId="6BC88009" w14:textId="77777777" w:rsidR="00922D8A" w:rsidRPr="000F3553" w:rsidRDefault="00922D8A" w:rsidP="000F3553">
            <w:pPr>
              <w:pStyle w:val="Default"/>
            </w:pPr>
            <w:r w:rsidRPr="000F3553">
              <w:rPr>
                <w:sz w:val="22"/>
                <w:vertAlign w:val="superscript"/>
                <w:lang w:val="lt-LT"/>
              </w:rPr>
              <w:t>2</w:t>
            </w:r>
            <w:r w:rsidRPr="000F3553">
              <w:rPr>
                <w:sz w:val="22"/>
                <w:lang w:val="lt-LT"/>
              </w:rPr>
              <w:t xml:space="preserve"> Tik nekomplikuotų ŠTI (cistitas) atveju (žr. 4.1. skyrių).</w:t>
            </w:r>
          </w:p>
          <w:p w14:paraId="05E4BE34" w14:textId="77777777" w:rsidR="00922D8A" w:rsidRPr="008661CD" w:rsidRDefault="00922D8A" w:rsidP="008661CD">
            <w:pPr>
              <w:tabs>
                <w:tab w:val="left" w:pos="0"/>
              </w:tabs>
            </w:pPr>
            <w:r w:rsidRPr="008661CD">
              <w:rPr>
                <w:vertAlign w:val="superscript"/>
              </w:rPr>
              <w:t>3</w:t>
            </w:r>
            <w:r w:rsidRPr="008661CD">
              <w:t xml:space="preserve"> Stafilokokų jautrumas cefalosporinams yra numatomas pagal jautrumą meticilinui, išskyrus ceftazidmą, cefiksimą ir ceftibuteną, kurie neturi ribinių verčių ir neturėtų būti vartojami stafilokokų sukeltoms infekcinėms ligoms gydyti.</w:t>
            </w:r>
          </w:p>
          <w:p w14:paraId="336177C8" w14:textId="77777777" w:rsidR="00922D8A" w:rsidRPr="008661CD" w:rsidRDefault="00922D8A" w:rsidP="008661CD">
            <w:pPr>
              <w:tabs>
                <w:tab w:val="left" w:pos="0"/>
              </w:tabs>
            </w:pPr>
            <w:r w:rsidRPr="008661CD">
              <w:rPr>
                <w:vertAlign w:val="superscript"/>
              </w:rPr>
              <w:t>4</w:t>
            </w:r>
            <w:r w:rsidRPr="008661CD">
              <w:t xml:space="preserve"> A, B, C ir G grupių beta hemolizinių streptokokų jautrumas beta laktamams numatomas pagal jautrumą penicilinui.</w:t>
            </w:r>
          </w:p>
          <w:p w14:paraId="3D3CF18C" w14:textId="77777777" w:rsidR="00922D8A" w:rsidRPr="008661CD" w:rsidRDefault="00922D8A" w:rsidP="008661CD">
            <w:pPr>
              <w:tabs>
                <w:tab w:val="left" w:pos="0"/>
              </w:tabs>
            </w:pPr>
            <w:r w:rsidRPr="008661CD">
              <w:rPr>
                <w:vertAlign w:val="superscript"/>
              </w:rPr>
              <w:lastRenderedPageBreak/>
              <w:t xml:space="preserve">5 </w:t>
            </w:r>
            <w:r w:rsidRPr="008661CD">
              <w:t>ND = nepakanka duomenų, kad šių rūšių bakterijų sukeltas ligas galima gydyti šiuo vaistiniu preparatu. Galima pateikti MSK su komentaru, bet be J ar A apibūdinimo.</w:t>
            </w:r>
          </w:p>
        </w:tc>
      </w:tr>
    </w:tbl>
    <w:p w14:paraId="5DE39F5F" w14:textId="77777777" w:rsidR="00922D8A" w:rsidRPr="008661CD" w:rsidRDefault="00922D8A" w:rsidP="008661CD">
      <w:r w:rsidRPr="008661CD">
        <w:lastRenderedPageBreak/>
        <w:t>J = jautrūs, A = atsparūs</w:t>
      </w:r>
    </w:p>
    <w:p w14:paraId="0065DB74" w14:textId="77777777" w:rsidR="00922D8A" w:rsidRPr="008661CD" w:rsidRDefault="00922D8A" w:rsidP="008661CD"/>
    <w:p w14:paraId="5EA09FBF" w14:textId="77777777" w:rsidR="00922D8A" w:rsidRPr="008661CD" w:rsidRDefault="00922D8A" w:rsidP="008661CD">
      <w:pPr>
        <w:rPr>
          <w:u w:val="single"/>
        </w:rPr>
      </w:pPr>
      <w:r w:rsidRPr="008661CD">
        <w:rPr>
          <w:u w:val="single"/>
        </w:rPr>
        <w:t>Mikrobiologinis jautrumas</w:t>
      </w:r>
    </w:p>
    <w:p w14:paraId="531D3B7A" w14:textId="77777777" w:rsidR="00922D8A" w:rsidRPr="008661CD" w:rsidRDefault="00922D8A" w:rsidP="008661CD">
      <w:pPr>
        <w:rPr>
          <w:u w:val="single"/>
        </w:rPr>
      </w:pPr>
    </w:p>
    <w:p w14:paraId="237F9E6C" w14:textId="77777777" w:rsidR="00922D8A" w:rsidRPr="008661CD" w:rsidRDefault="00922D8A" w:rsidP="008661CD">
      <w:r w:rsidRPr="008661CD">
        <w:t>Tam tikrų mikroorganizmų rūšių atsparumo paplitimas įvairiose geografinėse vietovėse laikui bėgant skiriasi, taigi rekomenduojama atsižvelgti į vietinę informaciją apie mikroorganizmų atsparumą, ypač gydant sunkias infekcines ligas. Jeigu būtina, kai atsparumo paplitimas vietovėje yra toks, kad kyla abejonių dėl cefuroksimo aksetilo veiksmingumo gydant bent kelių tipų infekcijas, reikia kreiptis konsultacijos į specialistą.</w:t>
      </w:r>
    </w:p>
    <w:p w14:paraId="71ED6CAC" w14:textId="77777777" w:rsidR="00922D8A" w:rsidRPr="008661CD" w:rsidRDefault="00922D8A" w:rsidP="008661CD"/>
    <w:p w14:paraId="3C6F01B7" w14:textId="77777777" w:rsidR="00922D8A" w:rsidRPr="008661CD" w:rsidRDefault="00922D8A" w:rsidP="008661CD">
      <w:pPr>
        <w:keepNext/>
        <w:tabs>
          <w:tab w:val="left" w:pos="567"/>
        </w:tabs>
      </w:pPr>
      <w:r w:rsidRPr="008661CD">
        <w:t xml:space="preserve">Cefuroksimas </w:t>
      </w:r>
      <w:r w:rsidRPr="008661CD">
        <w:rPr>
          <w:i/>
        </w:rPr>
        <w:t>in vitro</w:t>
      </w:r>
      <w:r w:rsidRPr="008661CD">
        <w:t xml:space="preserve"> paprastai yra veiksmingas prieš išvardytus mikroorganizmus</w:t>
      </w:r>
      <w:r w:rsidRPr="008661CD">
        <w:rPr>
          <w:i/>
        </w:rPr>
        <w:t>.</w:t>
      </w:r>
    </w:p>
    <w:p w14:paraId="09A18D72" w14:textId="77777777" w:rsidR="00922D8A" w:rsidRPr="008661CD" w:rsidRDefault="00922D8A" w:rsidP="008661CD">
      <w:pPr>
        <w:keepNext/>
        <w:tabs>
          <w:tab w:val="left" w:pos="567"/>
        </w:tabs>
        <w:rPr>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922D8A" w:rsidRPr="00C510EF" w14:paraId="672E8A2E" w14:textId="77777777" w:rsidTr="00894113">
        <w:tc>
          <w:tcPr>
            <w:tcW w:w="8522" w:type="dxa"/>
          </w:tcPr>
          <w:p w14:paraId="15BBF83A" w14:textId="77777777" w:rsidR="00922D8A" w:rsidRPr="008661CD" w:rsidRDefault="00922D8A" w:rsidP="008661CD">
            <w:pPr>
              <w:keepNext/>
              <w:tabs>
                <w:tab w:val="left" w:pos="567"/>
              </w:tabs>
              <w:rPr>
                <w:b/>
              </w:rPr>
            </w:pPr>
            <w:r w:rsidRPr="008661CD">
              <w:rPr>
                <w:b/>
              </w:rPr>
              <w:t>Dažniausiai jautrios rūšys</w:t>
            </w:r>
          </w:p>
        </w:tc>
      </w:tr>
      <w:tr w:rsidR="00922D8A" w:rsidRPr="00C510EF" w14:paraId="4D57DE3B" w14:textId="77777777" w:rsidTr="00894113">
        <w:tc>
          <w:tcPr>
            <w:tcW w:w="8522" w:type="dxa"/>
          </w:tcPr>
          <w:p w14:paraId="7F7800FE" w14:textId="77777777" w:rsidR="00922D8A" w:rsidRPr="008661CD" w:rsidRDefault="00922D8A" w:rsidP="008661CD">
            <w:pPr>
              <w:keepNext/>
              <w:tabs>
                <w:tab w:val="left" w:pos="567"/>
              </w:tabs>
              <w:rPr>
                <w:u w:val="single"/>
              </w:rPr>
            </w:pPr>
            <w:r w:rsidRPr="008661CD">
              <w:rPr>
                <w:u w:val="single"/>
              </w:rPr>
              <w:t>Gramteigiami aerobai</w:t>
            </w:r>
          </w:p>
          <w:p w14:paraId="39CAFAE6" w14:textId="77777777" w:rsidR="00922D8A" w:rsidRPr="008661CD" w:rsidRDefault="00922D8A" w:rsidP="008661CD">
            <w:r w:rsidRPr="008661CD">
              <w:rPr>
                <w:i/>
              </w:rPr>
              <w:t>Staphylococcus aureus</w:t>
            </w:r>
            <w:r w:rsidRPr="008661CD">
              <w:t xml:space="preserve"> (meticilinui jautrūs)*</w:t>
            </w:r>
          </w:p>
          <w:p w14:paraId="3B080F50" w14:textId="77777777" w:rsidR="00922D8A" w:rsidRPr="008661CD" w:rsidRDefault="00922D8A" w:rsidP="008661CD">
            <w:r w:rsidRPr="008661CD">
              <w:rPr>
                <w:i/>
              </w:rPr>
              <w:t xml:space="preserve">Koaguliazei neigiamas staphylococcus </w:t>
            </w:r>
            <w:r w:rsidRPr="008661CD">
              <w:t>(meticilinui jautrus)</w:t>
            </w:r>
          </w:p>
          <w:p w14:paraId="3F404E06" w14:textId="77777777" w:rsidR="00922D8A" w:rsidRPr="008661CD" w:rsidRDefault="00922D8A" w:rsidP="008661CD">
            <w:pPr>
              <w:rPr>
                <w:u w:val="single"/>
              </w:rPr>
            </w:pPr>
            <w:r w:rsidRPr="008661CD">
              <w:rPr>
                <w:i/>
              </w:rPr>
              <w:t>Streptococcus pyogenes</w:t>
            </w:r>
          </w:p>
          <w:p w14:paraId="20FE0D7B" w14:textId="77777777" w:rsidR="00922D8A" w:rsidRPr="008661CD" w:rsidRDefault="00922D8A" w:rsidP="008661CD">
            <w:pPr>
              <w:rPr>
                <w:i/>
              </w:rPr>
            </w:pPr>
            <w:r w:rsidRPr="008661CD">
              <w:rPr>
                <w:i/>
              </w:rPr>
              <w:t>Streptococcus agalactiae</w:t>
            </w:r>
          </w:p>
        </w:tc>
      </w:tr>
      <w:tr w:rsidR="00922D8A" w:rsidRPr="00C510EF" w14:paraId="5A1885A8" w14:textId="77777777" w:rsidTr="00894113">
        <w:tc>
          <w:tcPr>
            <w:tcW w:w="8522" w:type="dxa"/>
          </w:tcPr>
          <w:p w14:paraId="3EF56044" w14:textId="77777777" w:rsidR="00922D8A" w:rsidRPr="008661CD" w:rsidRDefault="00922D8A" w:rsidP="008661CD">
            <w:pPr>
              <w:rPr>
                <w:u w:val="single"/>
              </w:rPr>
            </w:pPr>
            <w:r w:rsidRPr="008661CD">
              <w:rPr>
                <w:u w:val="single"/>
              </w:rPr>
              <w:t>Gramneigiami aerobai</w:t>
            </w:r>
          </w:p>
          <w:p w14:paraId="667ADA95" w14:textId="77777777" w:rsidR="00922D8A" w:rsidRPr="008661CD" w:rsidRDefault="00922D8A" w:rsidP="008661CD">
            <w:r w:rsidRPr="008661CD">
              <w:rPr>
                <w:i/>
              </w:rPr>
              <w:t>Haemophilus influenzae</w:t>
            </w:r>
          </w:p>
          <w:p w14:paraId="122063B8" w14:textId="77777777" w:rsidR="00922D8A" w:rsidRPr="008661CD" w:rsidRDefault="00922D8A" w:rsidP="008661CD">
            <w:pPr>
              <w:rPr>
                <w:i/>
                <w:u w:val="single"/>
              </w:rPr>
            </w:pPr>
            <w:r w:rsidRPr="008661CD">
              <w:rPr>
                <w:i/>
              </w:rPr>
              <w:t>Haemophilus parainfluenzae</w:t>
            </w:r>
          </w:p>
          <w:p w14:paraId="7F9E384C" w14:textId="77777777" w:rsidR="00922D8A" w:rsidRPr="008661CD" w:rsidRDefault="00922D8A" w:rsidP="008661CD">
            <w:pPr>
              <w:rPr>
                <w:u w:val="single"/>
              </w:rPr>
            </w:pPr>
            <w:r w:rsidRPr="008661CD">
              <w:rPr>
                <w:i/>
              </w:rPr>
              <w:t>Moraxella catarrhalis</w:t>
            </w:r>
          </w:p>
          <w:p w14:paraId="73E2AD1F" w14:textId="77777777" w:rsidR="00922D8A" w:rsidRPr="008661CD" w:rsidRDefault="00922D8A" w:rsidP="008661CD"/>
        </w:tc>
      </w:tr>
      <w:tr w:rsidR="00922D8A" w:rsidRPr="00C510EF" w14:paraId="366E296E" w14:textId="77777777" w:rsidTr="00894113">
        <w:tc>
          <w:tcPr>
            <w:tcW w:w="8522" w:type="dxa"/>
          </w:tcPr>
          <w:p w14:paraId="79CC608F" w14:textId="77777777" w:rsidR="00922D8A" w:rsidRPr="008661CD" w:rsidRDefault="00922D8A" w:rsidP="008661CD">
            <w:pPr>
              <w:rPr>
                <w:u w:val="single"/>
              </w:rPr>
            </w:pPr>
            <w:r w:rsidRPr="008661CD">
              <w:rPr>
                <w:u w:val="single"/>
              </w:rPr>
              <w:t>Spirochetos</w:t>
            </w:r>
          </w:p>
          <w:p w14:paraId="30A148AF" w14:textId="77777777" w:rsidR="00922D8A" w:rsidRPr="008661CD" w:rsidRDefault="00922D8A" w:rsidP="008661CD">
            <w:r w:rsidRPr="008661CD">
              <w:rPr>
                <w:i/>
              </w:rPr>
              <w:t>Borrelia burgdorferi</w:t>
            </w:r>
          </w:p>
        </w:tc>
      </w:tr>
      <w:tr w:rsidR="00922D8A" w:rsidRPr="00C510EF" w14:paraId="78512F57" w14:textId="77777777" w:rsidTr="00894113">
        <w:tc>
          <w:tcPr>
            <w:tcW w:w="8522" w:type="dxa"/>
          </w:tcPr>
          <w:p w14:paraId="3B384238" w14:textId="77777777" w:rsidR="00922D8A" w:rsidRPr="008661CD" w:rsidRDefault="00922D8A" w:rsidP="008661CD">
            <w:pPr>
              <w:rPr>
                <w:u w:val="single"/>
              </w:rPr>
            </w:pPr>
          </w:p>
        </w:tc>
      </w:tr>
      <w:tr w:rsidR="00922D8A" w:rsidRPr="00C510EF" w14:paraId="45B08DAE" w14:textId="77777777" w:rsidTr="00894113">
        <w:trPr>
          <w:trHeight w:val="179"/>
        </w:trPr>
        <w:tc>
          <w:tcPr>
            <w:tcW w:w="8522" w:type="dxa"/>
          </w:tcPr>
          <w:p w14:paraId="5D920401" w14:textId="77777777" w:rsidR="00922D8A" w:rsidRPr="008661CD" w:rsidRDefault="00922D8A" w:rsidP="008661CD">
            <w:pPr>
              <w:keepNext/>
              <w:tabs>
                <w:tab w:val="left" w:pos="567"/>
              </w:tabs>
              <w:rPr>
                <w:b/>
                <w:i/>
              </w:rPr>
            </w:pPr>
            <w:r w:rsidRPr="008661CD">
              <w:rPr>
                <w:b/>
              </w:rPr>
              <w:t>Mikroorganizmai, kurių įgytas atsparumas gali kelti problemų</w:t>
            </w:r>
          </w:p>
        </w:tc>
      </w:tr>
      <w:tr w:rsidR="00922D8A" w:rsidRPr="00C510EF" w14:paraId="259EA58F" w14:textId="77777777" w:rsidTr="00894113">
        <w:tc>
          <w:tcPr>
            <w:tcW w:w="8522" w:type="dxa"/>
          </w:tcPr>
          <w:p w14:paraId="21381498" w14:textId="77777777" w:rsidR="00922D8A" w:rsidRPr="008661CD" w:rsidRDefault="00922D8A" w:rsidP="008661CD">
            <w:pPr>
              <w:keepNext/>
              <w:tabs>
                <w:tab w:val="left" w:pos="567"/>
              </w:tabs>
              <w:rPr>
                <w:u w:val="single"/>
              </w:rPr>
            </w:pPr>
            <w:r w:rsidRPr="008661CD">
              <w:rPr>
                <w:u w:val="single"/>
              </w:rPr>
              <w:t>Gramteigiami aerobai</w:t>
            </w:r>
          </w:p>
          <w:p w14:paraId="7F7AD086" w14:textId="77777777" w:rsidR="00922D8A" w:rsidRPr="008661CD" w:rsidRDefault="00922D8A" w:rsidP="008661CD">
            <w:pPr>
              <w:rPr>
                <w:i/>
              </w:rPr>
            </w:pPr>
            <w:r w:rsidRPr="008661CD">
              <w:rPr>
                <w:i/>
              </w:rPr>
              <w:t>Streptococcus pneumoniae</w:t>
            </w:r>
          </w:p>
        </w:tc>
      </w:tr>
      <w:tr w:rsidR="00922D8A" w:rsidRPr="00C510EF" w14:paraId="363592AA" w14:textId="77777777" w:rsidTr="00894113">
        <w:tc>
          <w:tcPr>
            <w:tcW w:w="8522" w:type="dxa"/>
          </w:tcPr>
          <w:p w14:paraId="5242229C" w14:textId="77777777" w:rsidR="00922D8A" w:rsidRPr="008661CD" w:rsidRDefault="00922D8A" w:rsidP="008661CD">
            <w:pPr>
              <w:rPr>
                <w:u w:val="single"/>
              </w:rPr>
            </w:pPr>
            <w:r w:rsidRPr="008661CD">
              <w:rPr>
                <w:u w:val="single"/>
              </w:rPr>
              <w:t>Gramneigiami aerobai</w:t>
            </w:r>
          </w:p>
          <w:p w14:paraId="4E369556" w14:textId="77777777" w:rsidR="00922D8A" w:rsidRPr="008661CD" w:rsidRDefault="00922D8A" w:rsidP="008661CD">
            <w:pPr>
              <w:rPr>
                <w:u w:val="single"/>
              </w:rPr>
            </w:pPr>
            <w:r w:rsidRPr="008661CD">
              <w:rPr>
                <w:i/>
              </w:rPr>
              <w:t>Citrobacter freundii</w:t>
            </w:r>
          </w:p>
          <w:p w14:paraId="1F0BD5D7" w14:textId="77777777" w:rsidR="00922D8A" w:rsidRPr="008661CD" w:rsidRDefault="00922D8A" w:rsidP="008661CD">
            <w:pPr>
              <w:rPr>
                <w:i/>
              </w:rPr>
            </w:pPr>
            <w:r w:rsidRPr="008661CD">
              <w:rPr>
                <w:i/>
              </w:rPr>
              <w:t>Enterobacter aerogenes</w:t>
            </w:r>
          </w:p>
          <w:p w14:paraId="24176B87" w14:textId="77777777" w:rsidR="00922D8A" w:rsidRPr="008661CD" w:rsidRDefault="00922D8A" w:rsidP="008661CD">
            <w:pPr>
              <w:rPr>
                <w:u w:val="single"/>
              </w:rPr>
            </w:pPr>
            <w:r w:rsidRPr="008661CD">
              <w:rPr>
                <w:i/>
              </w:rPr>
              <w:t>Enterobacter cloacae</w:t>
            </w:r>
          </w:p>
          <w:p w14:paraId="3184EC64" w14:textId="77777777" w:rsidR="00922D8A" w:rsidRPr="008661CD" w:rsidRDefault="00922D8A" w:rsidP="008661CD">
            <w:pPr>
              <w:rPr>
                <w:u w:val="single"/>
              </w:rPr>
            </w:pPr>
            <w:r w:rsidRPr="008661CD">
              <w:rPr>
                <w:i/>
              </w:rPr>
              <w:t>Escherichia coli</w:t>
            </w:r>
          </w:p>
          <w:p w14:paraId="536D83B5" w14:textId="77777777" w:rsidR="00922D8A" w:rsidRPr="008661CD" w:rsidRDefault="00922D8A" w:rsidP="008661CD">
            <w:pPr>
              <w:rPr>
                <w:u w:val="single"/>
              </w:rPr>
            </w:pPr>
            <w:r w:rsidRPr="008661CD">
              <w:rPr>
                <w:i/>
              </w:rPr>
              <w:t>Klebsiella pneumoniae</w:t>
            </w:r>
          </w:p>
          <w:p w14:paraId="2B628641" w14:textId="77777777" w:rsidR="00922D8A" w:rsidRPr="008661CD" w:rsidRDefault="00922D8A" w:rsidP="008661CD">
            <w:pPr>
              <w:rPr>
                <w:i/>
              </w:rPr>
            </w:pPr>
            <w:r w:rsidRPr="008661CD">
              <w:rPr>
                <w:i/>
              </w:rPr>
              <w:t xml:space="preserve">Proteus mirabilis </w:t>
            </w:r>
          </w:p>
          <w:p w14:paraId="7DC53ABC" w14:textId="77777777" w:rsidR="00922D8A" w:rsidRPr="008661CD" w:rsidRDefault="00922D8A" w:rsidP="008661CD">
            <w:pPr>
              <w:rPr>
                <w:u w:val="single"/>
              </w:rPr>
            </w:pPr>
            <w:r w:rsidRPr="008661CD">
              <w:rPr>
                <w:i/>
              </w:rPr>
              <w:t xml:space="preserve">Proteus </w:t>
            </w:r>
            <w:r w:rsidRPr="008661CD">
              <w:t>rūšys</w:t>
            </w:r>
            <w:r w:rsidRPr="008661CD">
              <w:rPr>
                <w:i/>
              </w:rPr>
              <w:t xml:space="preserve"> </w:t>
            </w:r>
            <w:r w:rsidRPr="008661CD">
              <w:t xml:space="preserve">(kitokios nei </w:t>
            </w:r>
            <w:r w:rsidRPr="008661CD">
              <w:rPr>
                <w:i/>
              </w:rPr>
              <w:t>P. vulgaris</w:t>
            </w:r>
            <w:r w:rsidRPr="008661CD">
              <w:t>)</w:t>
            </w:r>
          </w:p>
          <w:p w14:paraId="126B374F" w14:textId="77777777" w:rsidR="00922D8A" w:rsidRPr="008661CD" w:rsidRDefault="00922D8A" w:rsidP="008661CD">
            <w:pPr>
              <w:rPr>
                <w:u w:val="single"/>
              </w:rPr>
            </w:pPr>
            <w:r w:rsidRPr="008661CD">
              <w:rPr>
                <w:i/>
              </w:rPr>
              <w:t>Providencia</w:t>
            </w:r>
            <w:r w:rsidRPr="008661CD">
              <w:t xml:space="preserve"> rūšys</w:t>
            </w:r>
          </w:p>
        </w:tc>
      </w:tr>
      <w:tr w:rsidR="00922D8A" w:rsidRPr="00C510EF" w14:paraId="07D291DC" w14:textId="77777777" w:rsidTr="00894113">
        <w:tc>
          <w:tcPr>
            <w:tcW w:w="8522" w:type="dxa"/>
          </w:tcPr>
          <w:p w14:paraId="404849BE" w14:textId="77777777" w:rsidR="00922D8A" w:rsidRPr="008661CD" w:rsidRDefault="00922D8A" w:rsidP="008661CD">
            <w:pPr>
              <w:rPr>
                <w:u w:val="single"/>
              </w:rPr>
            </w:pPr>
            <w:r w:rsidRPr="008661CD">
              <w:rPr>
                <w:u w:val="single"/>
              </w:rPr>
              <w:t>Gramteigiami anaerobai</w:t>
            </w:r>
          </w:p>
          <w:p w14:paraId="3041CA87" w14:textId="77777777" w:rsidR="00922D8A" w:rsidRPr="008661CD" w:rsidRDefault="00922D8A" w:rsidP="008661CD">
            <w:pPr>
              <w:rPr>
                <w:i/>
              </w:rPr>
            </w:pPr>
            <w:r w:rsidRPr="008661CD">
              <w:rPr>
                <w:i/>
              </w:rPr>
              <w:t xml:space="preserve">Peptostreptococcus </w:t>
            </w:r>
            <w:r w:rsidRPr="008661CD">
              <w:t>rūšys</w:t>
            </w:r>
          </w:p>
          <w:p w14:paraId="670361FA" w14:textId="77777777" w:rsidR="00922D8A" w:rsidRPr="008661CD" w:rsidRDefault="00922D8A" w:rsidP="008661CD">
            <w:pPr>
              <w:rPr>
                <w:u w:val="single"/>
              </w:rPr>
            </w:pPr>
            <w:r w:rsidRPr="008661CD">
              <w:rPr>
                <w:i/>
              </w:rPr>
              <w:t xml:space="preserve">Propionibacterium </w:t>
            </w:r>
            <w:r w:rsidRPr="008661CD">
              <w:t>rūšys</w:t>
            </w:r>
          </w:p>
        </w:tc>
      </w:tr>
      <w:tr w:rsidR="00922D8A" w:rsidRPr="00C510EF" w14:paraId="0F081156" w14:textId="77777777" w:rsidTr="00894113">
        <w:tc>
          <w:tcPr>
            <w:tcW w:w="8522" w:type="dxa"/>
          </w:tcPr>
          <w:p w14:paraId="343256D3" w14:textId="77777777" w:rsidR="00922D8A" w:rsidRPr="008661CD" w:rsidRDefault="00922D8A" w:rsidP="008661CD">
            <w:pPr>
              <w:rPr>
                <w:u w:val="single"/>
              </w:rPr>
            </w:pPr>
            <w:r w:rsidRPr="008661CD">
              <w:rPr>
                <w:u w:val="single"/>
              </w:rPr>
              <w:t>Gramneigiami anaerobai</w:t>
            </w:r>
          </w:p>
          <w:p w14:paraId="0A39B572" w14:textId="77777777" w:rsidR="00922D8A" w:rsidRPr="008661CD" w:rsidRDefault="00922D8A" w:rsidP="008661CD">
            <w:pPr>
              <w:rPr>
                <w:i/>
              </w:rPr>
            </w:pPr>
            <w:r w:rsidRPr="008661CD">
              <w:rPr>
                <w:i/>
              </w:rPr>
              <w:t xml:space="preserve">Fusobacterium </w:t>
            </w:r>
            <w:r w:rsidRPr="008661CD">
              <w:t>rūšys</w:t>
            </w:r>
          </w:p>
          <w:p w14:paraId="62F29341" w14:textId="77777777" w:rsidR="00922D8A" w:rsidRPr="008661CD" w:rsidRDefault="00922D8A" w:rsidP="008661CD">
            <w:pPr>
              <w:rPr>
                <w:u w:val="single"/>
              </w:rPr>
            </w:pPr>
            <w:r w:rsidRPr="008661CD">
              <w:rPr>
                <w:i/>
              </w:rPr>
              <w:t xml:space="preserve">Bacteroides </w:t>
            </w:r>
            <w:r w:rsidRPr="008661CD">
              <w:t>rūšys</w:t>
            </w:r>
          </w:p>
        </w:tc>
      </w:tr>
      <w:tr w:rsidR="00922D8A" w:rsidRPr="00C510EF" w14:paraId="33D33666" w14:textId="77777777" w:rsidTr="00894113">
        <w:tc>
          <w:tcPr>
            <w:tcW w:w="8522" w:type="dxa"/>
          </w:tcPr>
          <w:p w14:paraId="438DD939" w14:textId="77777777" w:rsidR="00922D8A" w:rsidRPr="008661CD" w:rsidRDefault="00922D8A" w:rsidP="008661CD">
            <w:pPr>
              <w:rPr>
                <w:b/>
              </w:rPr>
            </w:pPr>
            <w:r w:rsidRPr="008661CD">
              <w:rPr>
                <w:b/>
              </w:rPr>
              <w:t>Iš prigimties atsparūs mikroorganizmai</w:t>
            </w:r>
          </w:p>
        </w:tc>
      </w:tr>
      <w:tr w:rsidR="00922D8A" w:rsidRPr="00C510EF" w14:paraId="6D0A487F" w14:textId="77777777" w:rsidTr="00894113">
        <w:tc>
          <w:tcPr>
            <w:tcW w:w="8522" w:type="dxa"/>
          </w:tcPr>
          <w:p w14:paraId="48DAC6F6" w14:textId="77777777" w:rsidR="00922D8A" w:rsidRPr="008661CD" w:rsidRDefault="00922D8A" w:rsidP="008661CD">
            <w:pPr>
              <w:rPr>
                <w:u w:val="single"/>
              </w:rPr>
            </w:pPr>
            <w:r w:rsidRPr="008661CD">
              <w:rPr>
                <w:u w:val="single"/>
              </w:rPr>
              <w:t>Gramteigiami aerobai</w:t>
            </w:r>
          </w:p>
          <w:p w14:paraId="0C0FB864" w14:textId="77777777" w:rsidR="00922D8A" w:rsidRPr="008661CD" w:rsidRDefault="00922D8A" w:rsidP="008661CD">
            <w:pPr>
              <w:rPr>
                <w:i/>
                <w:color w:val="000000"/>
              </w:rPr>
            </w:pPr>
            <w:r w:rsidRPr="008661CD">
              <w:rPr>
                <w:i/>
                <w:color w:val="000000"/>
              </w:rPr>
              <w:t>Enterococcus faecalis</w:t>
            </w:r>
          </w:p>
          <w:p w14:paraId="522192D1" w14:textId="77777777" w:rsidR="00922D8A" w:rsidRPr="008661CD" w:rsidRDefault="00922D8A" w:rsidP="008661CD">
            <w:pPr>
              <w:rPr>
                <w:u w:val="single"/>
              </w:rPr>
            </w:pPr>
            <w:r w:rsidRPr="008661CD">
              <w:rPr>
                <w:i/>
                <w:color w:val="000000"/>
              </w:rPr>
              <w:t>Enterococcus faecium</w:t>
            </w:r>
          </w:p>
        </w:tc>
      </w:tr>
      <w:tr w:rsidR="00922D8A" w:rsidRPr="00C510EF" w14:paraId="56B05E4C" w14:textId="77777777" w:rsidTr="00894113">
        <w:tc>
          <w:tcPr>
            <w:tcW w:w="8522" w:type="dxa"/>
          </w:tcPr>
          <w:p w14:paraId="3E8C118B" w14:textId="77777777" w:rsidR="00922D8A" w:rsidRPr="008661CD" w:rsidRDefault="00922D8A" w:rsidP="008661CD">
            <w:pPr>
              <w:rPr>
                <w:color w:val="000000"/>
                <w:u w:val="single"/>
              </w:rPr>
            </w:pPr>
            <w:r w:rsidRPr="008661CD">
              <w:rPr>
                <w:u w:val="single"/>
              </w:rPr>
              <w:t>Gramneigiami</w:t>
            </w:r>
            <w:r w:rsidRPr="008661CD">
              <w:rPr>
                <w:color w:val="000000"/>
                <w:u w:val="single"/>
              </w:rPr>
              <w:t xml:space="preserve"> aerobai</w:t>
            </w:r>
          </w:p>
          <w:p w14:paraId="1E89E06F" w14:textId="77777777" w:rsidR="00922D8A" w:rsidRPr="008661CD" w:rsidRDefault="00922D8A" w:rsidP="008661CD">
            <w:pPr>
              <w:rPr>
                <w:color w:val="000000"/>
              </w:rPr>
            </w:pPr>
            <w:r w:rsidRPr="008661CD">
              <w:rPr>
                <w:i/>
                <w:color w:val="000000"/>
              </w:rPr>
              <w:t xml:space="preserve">Acinetobacter </w:t>
            </w:r>
            <w:r w:rsidRPr="008661CD">
              <w:t>rūšys</w:t>
            </w:r>
          </w:p>
          <w:p w14:paraId="2A73BB1F" w14:textId="77777777" w:rsidR="00922D8A" w:rsidRPr="008661CD" w:rsidRDefault="00922D8A" w:rsidP="008661CD">
            <w:pPr>
              <w:rPr>
                <w:i/>
                <w:color w:val="000000"/>
              </w:rPr>
            </w:pPr>
            <w:r w:rsidRPr="008661CD">
              <w:rPr>
                <w:i/>
              </w:rPr>
              <w:t xml:space="preserve">Campylobacter </w:t>
            </w:r>
            <w:r w:rsidRPr="008661CD">
              <w:t>rūšys</w:t>
            </w:r>
            <w:r w:rsidRPr="008661CD">
              <w:rPr>
                <w:i/>
                <w:color w:val="000000"/>
              </w:rPr>
              <w:t xml:space="preserve"> </w:t>
            </w:r>
          </w:p>
          <w:p w14:paraId="34DE61F7" w14:textId="77777777" w:rsidR="00922D8A" w:rsidRPr="008661CD" w:rsidRDefault="00922D8A" w:rsidP="008661CD">
            <w:pPr>
              <w:rPr>
                <w:i/>
                <w:color w:val="000000"/>
              </w:rPr>
            </w:pPr>
            <w:r w:rsidRPr="008661CD">
              <w:rPr>
                <w:i/>
              </w:rPr>
              <w:t>Morganella morganii</w:t>
            </w:r>
            <w:r w:rsidRPr="008661CD">
              <w:rPr>
                <w:i/>
                <w:color w:val="000000"/>
              </w:rPr>
              <w:t xml:space="preserve"> </w:t>
            </w:r>
          </w:p>
          <w:p w14:paraId="52610211" w14:textId="77777777" w:rsidR="00922D8A" w:rsidRPr="008661CD" w:rsidRDefault="00922D8A" w:rsidP="008661CD">
            <w:pPr>
              <w:rPr>
                <w:i/>
                <w:color w:val="000000"/>
              </w:rPr>
            </w:pPr>
            <w:r w:rsidRPr="008661CD">
              <w:rPr>
                <w:i/>
                <w:color w:val="000000"/>
              </w:rPr>
              <w:t>Proteus vulgaris</w:t>
            </w:r>
          </w:p>
          <w:p w14:paraId="6E992EFF" w14:textId="77777777" w:rsidR="00922D8A" w:rsidRPr="008661CD" w:rsidRDefault="00922D8A" w:rsidP="008661CD">
            <w:pPr>
              <w:rPr>
                <w:color w:val="000000"/>
              </w:rPr>
            </w:pPr>
            <w:r w:rsidRPr="008661CD">
              <w:rPr>
                <w:i/>
                <w:color w:val="000000"/>
              </w:rPr>
              <w:t>Pseudomonas aeruginosa</w:t>
            </w:r>
          </w:p>
          <w:p w14:paraId="05ACF144" w14:textId="77777777" w:rsidR="00922D8A" w:rsidRPr="008661CD" w:rsidRDefault="00922D8A" w:rsidP="008661CD">
            <w:pPr>
              <w:rPr>
                <w:color w:val="000000"/>
              </w:rPr>
            </w:pPr>
            <w:r w:rsidRPr="008661CD">
              <w:rPr>
                <w:i/>
                <w:color w:val="000000"/>
              </w:rPr>
              <w:lastRenderedPageBreak/>
              <w:t>Serratia marcescens</w:t>
            </w:r>
          </w:p>
        </w:tc>
      </w:tr>
      <w:tr w:rsidR="00922D8A" w:rsidRPr="00C510EF" w14:paraId="11D66E68" w14:textId="77777777" w:rsidTr="00894113">
        <w:tc>
          <w:tcPr>
            <w:tcW w:w="8522" w:type="dxa"/>
          </w:tcPr>
          <w:p w14:paraId="471E63F9" w14:textId="77777777" w:rsidR="00922D8A" w:rsidRPr="008661CD" w:rsidRDefault="00922D8A" w:rsidP="008661CD">
            <w:pPr>
              <w:keepNext/>
              <w:tabs>
                <w:tab w:val="left" w:pos="567"/>
              </w:tabs>
              <w:rPr>
                <w:color w:val="000000"/>
                <w:u w:val="single"/>
              </w:rPr>
            </w:pPr>
            <w:r w:rsidRPr="008661CD">
              <w:rPr>
                <w:color w:val="000000"/>
                <w:u w:val="single"/>
              </w:rPr>
              <w:lastRenderedPageBreak/>
              <w:t>Gramneigiami anaerobai</w:t>
            </w:r>
          </w:p>
          <w:p w14:paraId="73EE238B" w14:textId="77777777" w:rsidR="00922D8A" w:rsidRPr="008661CD" w:rsidRDefault="00922D8A" w:rsidP="008661CD">
            <w:pPr>
              <w:rPr>
                <w:color w:val="000000"/>
                <w:u w:val="single"/>
              </w:rPr>
            </w:pPr>
            <w:r w:rsidRPr="008661CD">
              <w:rPr>
                <w:i/>
              </w:rPr>
              <w:t>Bacteroides fragilis</w:t>
            </w:r>
            <w:r w:rsidRPr="008661CD">
              <w:t xml:space="preserve"> </w:t>
            </w:r>
          </w:p>
        </w:tc>
      </w:tr>
      <w:tr w:rsidR="00922D8A" w:rsidRPr="00C510EF" w14:paraId="420C8D4D" w14:textId="77777777" w:rsidTr="00894113">
        <w:tc>
          <w:tcPr>
            <w:tcW w:w="8522" w:type="dxa"/>
          </w:tcPr>
          <w:p w14:paraId="6A563643" w14:textId="77777777" w:rsidR="00922D8A" w:rsidRPr="008661CD" w:rsidRDefault="00922D8A" w:rsidP="008661CD">
            <w:pPr>
              <w:rPr>
                <w:color w:val="000000"/>
                <w:u w:val="single"/>
              </w:rPr>
            </w:pPr>
            <w:r w:rsidRPr="008661CD">
              <w:rPr>
                <w:color w:val="000000"/>
                <w:u w:val="single"/>
              </w:rPr>
              <w:t>Kiti</w:t>
            </w:r>
          </w:p>
          <w:p w14:paraId="086CA82C" w14:textId="77777777" w:rsidR="00922D8A" w:rsidRPr="008661CD" w:rsidRDefault="00922D8A" w:rsidP="008661CD">
            <w:pPr>
              <w:rPr>
                <w:color w:val="000000"/>
              </w:rPr>
            </w:pPr>
            <w:r w:rsidRPr="008661CD">
              <w:rPr>
                <w:i/>
                <w:color w:val="000000"/>
              </w:rPr>
              <w:t xml:space="preserve">Chlamydia </w:t>
            </w:r>
            <w:r w:rsidRPr="008661CD">
              <w:t>rūšys</w:t>
            </w:r>
          </w:p>
          <w:p w14:paraId="4B7C4ED0" w14:textId="77777777" w:rsidR="00922D8A" w:rsidRPr="008661CD" w:rsidRDefault="00922D8A" w:rsidP="008661CD">
            <w:pPr>
              <w:rPr>
                <w:color w:val="000000"/>
              </w:rPr>
            </w:pPr>
            <w:r w:rsidRPr="008661CD">
              <w:rPr>
                <w:i/>
                <w:color w:val="000000"/>
              </w:rPr>
              <w:t>Mycoplasma</w:t>
            </w:r>
            <w:r w:rsidRPr="008661CD">
              <w:rPr>
                <w:color w:val="000000"/>
              </w:rPr>
              <w:t xml:space="preserve"> </w:t>
            </w:r>
            <w:r w:rsidRPr="008661CD">
              <w:t>rūšys</w:t>
            </w:r>
          </w:p>
          <w:p w14:paraId="7AE86F8E" w14:textId="77777777" w:rsidR="00922D8A" w:rsidRPr="008661CD" w:rsidRDefault="00922D8A" w:rsidP="008661CD">
            <w:pPr>
              <w:rPr>
                <w:color w:val="000000"/>
                <w:u w:val="single"/>
              </w:rPr>
            </w:pPr>
            <w:r w:rsidRPr="008661CD">
              <w:rPr>
                <w:i/>
              </w:rPr>
              <w:t>Legionella</w:t>
            </w:r>
            <w:r w:rsidRPr="008661CD">
              <w:t xml:space="preserve"> rūšys</w:t>
            </w:r>
          </w:p>
        </w:tc>
      </w:tr>
    </w:tbl>
    <w:p w14:paraId="7695A068" w14:textId="77777777" w:rsidR="00922D8A" w:rsidRPr="008661CD" w:rsidRDefault="00922D8A" w:rsidP="008661CD">
      <w:pPr>
        <w:ind w:left="567" w:hanging="567"/>
      </w:pPr>
      <w:r w:rsidRPr="008661CD">
        <w:t xml:space="preserve">* Visi meticilinui atsparūs </w:t>
      </w:r>
      <w:r w:rsidRPr="008661CD">
        <w:rPr>
          <w:i/>
        </w:rPr>
        <w:t xml:space="preserve">S. aureus </w:t>
      </w:r>
      <w:r w:rsidRPr="008661CD">
        <w:t>yra atsparūs cefuroksimui.</w:t>
      </w:r>
    </w:p>
    <w:p w14:paraId="6537A306" w14:textId="77777777" w:rsidR="00922D8A" w:rsidRPr="008661CD" w:rsidRDefault="00922D8A" w:rsidP="008661CD">
      <w:pPr>
        <w:ind w:left="567" w:hanging="567"/>
      </w:pPr>
    </w:p>
    <w:p w14:paraId="22761717" w14:textId="77777777" w:rsidR="00922D8A" w:rsidRPr="008661CD" w:rsidRDefault="00922D8A" w:rsidP="008661CD">
      <w:pPr>
        <w:keepNext/>
        <w:ind w:left="567" w:hanging="567"/>
        <w:rPr>
          <w:b/>
        </w:rPr>
      </w:pPr>
      <w:r w:rsidRPr="008661CD">
        <w:rPr>
          <w:b/>
        </w:rPr>
        <w:t>5.2</w:t>
      </w:r>
      <w:r w:rsidRPr="008661CD">
        <w:rPr>
          <w:b/>
        </w:rPr>
        <w:tab/>
        <w:t>Farmakokinetinės savybės</w:t>
      </w:r>
    </w:p>
    <w:p w14:paraId="27609523" w14:textId="77777777" w:rsidR="00922D8A" w:rsidRPr="008661CD" w:rsidRDefault="00922D8A" w:rsidP="008661CD">
      <w:pPr>
        <w:keepNext/>
        <w:ind w:left="567" w:hanging="567"/>
        <w:rPr>
          <w:b/>
        </w:rPr>
      </w:pPr>
    </w:p>
    <w:p w14:paraId="3F463A01" w14:textId="77777777" w:rsidR="00922D8A" w:rsidRPr="000F3553" w:rsidRDefault="00922D8A" w:rsidP="008661CD">
      <w:pPr>
        <w:keepNext/>
        <w:autoSpaceDE w:val="0"/>
        <w:autoSpaceDN w:val="0"/>
        <w:adjustRightInd w:val="0"/>
        <w:rPr>
          <w:rFonts w:eastAsia="Calibri"/>
          <w:u w:val="single"/>
        </w:rPr>
      </w:pPr>
      <w:r w:rsidRPr="000F3553">
        <w:rPr>
          <w:rFonts w:eastAsia="Calibri"/>
          <w:u w:val="single"/>
        </w:rPr>
        <w:t>Absorbcija</w:t>
      </w:r>
    </w:p>
    <w:p w14:paraId="042C0D7C" w14:textId="77777777" w:rsidR="00922D8A" w:rsidRPr="000F3553" w:rsidRDefault="00922D8A" w:rsidP="008661CD">
      <w:pPr>
        <w:autoSpaceDE w:val="0"/>
        <w:autoSpaceDN w:val="0"/>
        <w:adjustRightInd w:val="0"/>
        <w:rPr>
          <w:rFonts w:eastAsia="Calibri"/>
          <w:u w:val="single"/>
        </w:rPr>
      </w:pPr>
    </w:p>
    <w:p w14:paraId="290E0EB6" w14:textId="77777777" w:rsidR="00922D8A" w:rsidRPr="000F3553" w:rsidRDefault="00922D8A" w:rsidP="008661CD">
      <w:pPr>
        <w:rPr>
          <w:rFonts w:eastAsia="Calibri"/>
        </w:rPr>
      </w:pPr>
      <w:r w:rsidRPr="000F3553">
        <w:rPr>
          <w:rFonts w:eastAsia="Calibri"/>
        </w:rPr>
        <w:t>Per burną pavartotas cefuroksimo aksetilas absorbuojamas iš virškinimo trakto, žarnų gleivinėje ir kraujyje greitai hidrolizuojamas ir kraujyje cirkuliuoja cefuroksimo pavidalu. Geriausia absorbcija būna pavartojus tuoj pat po valgio.</w:t>
      </w:r>
    </w:p>
    <w:p w14:paraId="1B572C98" w14:textId="77777777" w:rsidR="00922D8A" w:rsidRPr="000F3553" w:rsidRDefault="00922D8A" w:rsidP="008661CD">
      <w:pPr>
        <w:rPr>
          <w:rFonts w:eastAsia="Calibri"/>
        </w:rPr>
      </w:pPr>
    </w:p>
    <w:p w14:paraId="7A5679D7" w14:textId="77777777" w:rsidR="00922D8A" w:rsidRPr="000F3553" w:rsidRDefault="00922D8A" w:rsidP="008661CD">
      <w:pPr>
        <w:autoSpaceDE w:val="0"/>
        <w:autoSpaceDN w:val="0"/>
        <w:adjustRightInd w:val="0"/>
        <w:rPr>
          <w:rFonts w:eastAsia="Calibri"/>
        </w:rPr>
      </w:pPr>
      <w:r w:rsidRPr="000F3553">
        <w:rPr>
          <w:rFonts w:eastAsia="Calibri"/>
        </w:rPr>
        <w:t>Vartojant cefuroksimo aksetilo tabletes, didžiausios koncentracijos serume (2,1 mikrogramų/ml suvartojus 125 mg dozę, 4,1 mikrogramų/ml – 250 mg dozę, 7,0 mikrogramai/ml – 500 mg dozę ir 13,6 mikrogramų/ml – 1 000 mg dozę) atsiranda praėjus maždaug 2 - 3 valandoms po dozės išgėrimo su maistu. Cefuroksimo absorbcijos greitis vartojant suspensiją yra mažesnis, palyginti su tablečių, todėl didžiausios koncentracijos serume atsiranda vėliau ir būna mažesnės bei sumažėja sisteminis biologinis prieinamumas (4</w:t>
      </w:r>
      <w:r w:rsidRPr="000F3553">
        <w:rPr>
          <w:rFonts w:eastAsia="Calibri"/>
        </w:rPr>
        <w:noBreakHyphen/>
        <w:t>17 % mažesnis). Tyrimų su suaugusiaisiais duomenimis, cefuroksimo aksetilo</w:t>
      </w:r>
      <w:r w:rsidRPr="008661CD">
        <w:t xml:space="preserve"> geriamoji suspensija nebuvo bioekvivalentiška </w:t>
      </w:r>
      <w:r w:rsidRPr="000F3553">
        <w:rPr>
          <w:rFonts w:eastAsia="Calibri"/>
        </w:rPr>
        <w:t>cefuroksimo aksetilo tabletėms, todėl</w:t>
      </w:r>
      <w:r w:rsidRPr="008661CD">
        <w:t xml:space="preserve"> </w:t>
      </w:r>
      <w:r w:rsidRPr="000F3553">
        <w:rPr>
          <w:rFonts w:eastAsia="Calibri"/>
        </w:rPr>
        <w:t>jų negalima pakeisti vienų kitomis miligramas į miligramą</w:t>
      </w:r>
      <w:r w:rsidRPr="008661CD">
        <w:t xml:space="preserve"> (žr. 4.2 skyrių). Cefuroksimo f</w:t>
      </w:r>
      <w:r w:rsidRPr="000F3553">
        <w:rPr>
          <w:rFonts w:eastAsia="Calibri"/>
        </w:rPr>
        <w:t>armakokinetika yra tiesinė vartojant per burną plačiose dozių ribose (nuo 125 iki 1 000 mg). Vartojant kartotines nuo 250 iki 500 mg vaistinio preparato dozes, cefuroksimo kaupimosi organizme nebuvo.</w:t>
      </w:r>
    </w:p>
    <w:p w14:paraId="628D16E7" w14:textId="77777777" w:rsidR="00922D8A" w:rsidRPr="000F3553" w:rsidRDefault="00922D8A" w:rsidP="008661CD">
      <w:pPr>
        <w:autoSpaceDE w:val="0"/>
        <w:autoSpaceDN w:val="0"/>
        <w:adjustRightInd w:val="0"/>
        <w:rPr>
          <w:rFonts w:eastAsia="Calibri"/>
        </w:rPr>
      </w:pPr>
    </w:p>
    <w:p w14:paraId="59B4880A" w14:textId="77777777" w:rsidR="00922D8A" w:rsidRPr="000F3553" w:rsidRDefault="00922D8A" w:rsidP="008661CD">
      <w:pPr>
        <w:keepNext/>
        <w:rPr>
          <w:rFonts w:eastAsia="Calibri"/>
          <w:u w:val="single"/>
        </w:rPr>
      </w:pPr>
      <w:r w:rsidRPr="000F3553">
        <w:rPr>
          <w:rFonts w:eastAsia="Calibri"/>
          <w:u w:val="single"/>
        </w:rPr>
        <w:t>Pasiskirstymas</w:t>
      </w:r>
    </w:p>
    <w:p w14:paraId="7DD3C597" w14:textId="77777777" w:rsidR="00922D8A" w:rsidRPr="000F3553" w:rsidRDefault="00922D8A" w:rsidP="008661CD">
      <w:pPr>
        <w:autoSpaceDE w:val="0"/>
        <w:autoSpaceDN w:val="0"/>
        <w:adjustRightInd w:val="0"/>
        <w:rPr>
          <w:rFonts w:eastAsia="Calibri"/>
          <w:u w:val="single"/>
        </w:rPr>
      </w:pPr>
    </w:p>
    <w:p w14:paraId="40502984" w14:textId="77777777" w:rsidR="00922D8A" w:rsidRPr="008661CD" w:rsidRDefault="00922D8A" w:rsidP="008661CD">
      <w:pPr>
        <w:autoSpaceDE w:val="0"/>
        <w:autoSpaceDN w:val="0"/>
        <w:adjustRightInd w:val="0"/>
      </w:pPr>
      <w:r w:rsidRPr="000F3553">
        <w:rPr>
          <w:rFonts w:eastAsia="Calibri"/>
        </w:rPr>
        <w:t>Priklausomai nuo naudoto metodo, buvo nustatyta, kad nuo 33 iki 50 % medžiagos prisijungia prie baltymų.</w:t>
      </w:r>
      <w:r w:rsidRPr="008661CD">
        <w:t xml:space="preserve"> 12 sveikų savanorių pavartojus vienkartinę 500 mg cefuroksimo aksetilo tablečių dozę, tariamas pasiskirstymo tūris buvo 50 l (CV%=28 %). Koncentracijos, didesnės už minimalią slopinamąją koncentraciją dažniausiems patologiniams mikroorganizmams, gali būti pasiektos migdoluose, prienosinių ančių audiniuose, bronchų gleivinėje, kauluose, pleuros skystyje, sąnarių skystyje, sinovijos skystyje, intersticiniame skystyje, tulžyje, skrepliuose ir akies skystyje. Smegenų dangalų uždegimo atveju cefuroksimas prasiskverbia per kraujo smegenų barjerą.</w:t>
      </w:r>
    </w:p>
    <w:p w14:paraId="5E5589F0" w14:textId="77777777" w:rsidR="00922D8A" w:rsidRPr="000F3553" w:rsidRDefault="00922D8A" w:rsidP="008661CD">
      <w:pPr>
        <w:autoSpaceDE w:val="0"/>
        <w:autoSpaceDN w:val="0"/>
        <w:adjustRightInd w:val="0"/>
        <w:rPr>
          <w:rFonts w:eastAsia="Calibri"/>
        </w:rPr>
      </w:pPr>
    </w:p>
    <w:p w14:paraId="1299A5FD" w14:textId="77777777" w:rsidR="00922D8A" w:rsidRPr="000F3553" w:rsidRDefault="00922D8A" w:rsidP="008661CD">
      <w:pPr>
        <w:autoSpaceDE w:val="0"/>
        <w:autoSpaceDN w:val="0"/>
        <w:adjustRightInd w:val="0"/>
        <w:rPr>
          <w:rFonts w:eastAsia="Calibri"/>
          <w:u w:val="single"/>
        </w:rPr>
      </w:pPr>
      <w:r w:rsidRPr="000F3553">
        <w:rPr>
          <w:rFonts w:eastAsia="Calibri"/>
          <w:u w:val="single"/>
        </w:rPr>
        <w:t>Biotransformacija</w:t>
      </w:r>
    </w:p>
    <w:p w14:paraId="2B81A0AC" w14:textId="77777777" w:rsidR="00922D8A" w:rsidRPr="000F3553" w:rsidRDefault="00922D8A" w:rsidP="008661CD">
      <w:pPr>
        <w:autoSpaceDE w:val="0"/>
        <w:autoSpaceDN w:val="0"/>
        <w:adjustRightInd w:val="0"/>
        <w:rPr>
          <w:rFonts w:eastAsia="Calibri"/>
          <w:u w:val="single"/>
        </w:rPr>
      </w:pPr>
    </w:p>
    <w:p w14:paraId="26FD9E15" w14:textId="77777777" w:rsidR="00922D8A" w:rsidRPr="000F3553" w:rsidRDefault="00922D8A" w:rsidP="008661CD">
      <w:pPr>
        <w:autoSpaceDE w:val="0"/>
        <w:autoSpaceDN w:val="0"/>
        <w:adjustRightInd w:val="0"/>
        <w:rPr>
          <w:rFonts w:eastAsia="Calibri"/>
        </w:rPr>
      </w:pPr>
      <w:r w:rsidRPr="000F3553">
        <w:rPr>
          <w:rFonts w:eastAsia="Calibri"/>
        </w:rPr>
        <w:t>Cefuroksimas nemetabolizuojamas.</w:t>
      </w:r>
    </w:p>
    <w:p w14:paraId="6AA65CEC" w14:textId="77777777" w:rsidR="00922D8A" w:rsidRPr="000F3553" w:rsidRDefault="00922D8A" w:rsidP="008661CD">
      <w:pPr>
        <w:autoSpaceDE w:val="0"/>
        <w:autoSpaceDN w:val="0"/>
        <w:adjustRightInd w:val="0"/>
        <w:rPr>
          <w:rFonts w:eastAsia="Calibri"/>
        </w:rPr>
      </w:pPr>
    </w:p>
    <w:p w14:paraId="0B47CD03" w14:textId="77777777" w:rsidR="00922D8A" w:rsidRPr="000F3553" w:rsidRDefault="00922D8A" w:rsidP="008661CD">
      <w:pPr>
        <w:autoSpaceDE w:val="0"/>
        <w:autoSpaceDN w:val="0"/>
        <w:adjustRightInd w:val="0"/>
        <w:rPr>
          <w:rFonts w:eastAsia="Calibri"/>
          <w:u w:val="single"/>
        </w:rPr>
      </w:pPr>
      <w:r w:rsidRPr="000F3553">
        <w:rPr>
          <w:rFonts w:eastAsia="Calibri"/>
          <w:u w:val="single"/>
        </w:rPr>
        <w:t>Eliminacija</w:t>
      </w:r>
    </w:p>
    <w:p w14:paraId="5C90A88E" w14:textId="77777777" w:rsidR="00922D8A" w:rsidRPr="000F3553" w:rsidRDefault="00922D8A" w:rsidP="008661CD">
      <w:pPr>
        <w:autoSpaceDE w:val="0"/>
        <w:autoSpaceDN w:val="0"/>
        <w:adjustRightInd w:val="0"/>
        <w:rPr>
          <w:rFonts w:eastAsia="Calibri"/>
          <w:u w:val="single"/>
        </w:rPr>
      </w:pPr>
    </w:p>
    <w:p w14:paraId="349F3FD4" w14:textId="77777777" w:rsidR="00922D8A" w:rsidRPr="000F3553" w:rsidRDefault="00922D8A" w:rsidP="008661CD">
      <w:pPr>
        <w:autoSpaceDE w:val="0"/>
        <w:autoSpaceDN w:val="0"/>
        <w:adjustRightInd w:val="0"/>
        <w:rPr>
          <w:rFonts w:eastAsia="Calibri"/>
        </w:rPr>
      </w:pPr>
      <w:r w:rsidRPr="000F3553">
        <w:rPr>
          <w:rFonts w:eastAsia="Calibri"/>
        </w:rPr>
        <w:t>Pusinės eliminacijos iš serumo laikas yra nuo 1 iki 1,5 valandos. Cefuroksimas šalinamas glomerulų filtracijos ir sekrecijos inkstų kanalėliuose būdais. Klirensas per inkstus yra nuo 125 iki 148 ml/min./</w:t>
      </w:r>
      <w:smartTag w:uri="schemas-tilde-lv/tildestengine" w:element="metric2">
        <w:smartTagPr>
          <w:attr w:name="metric_text" w:val="m"/>
          <w:attr w:name="metric_value" w:val="1.73"/>
        </w:smartTagPr>
        <w:r w:rsidRPr="000F3553">
          <w:rPr>
            <w:rFonts w:eastAsia="Calibri"/>
          </w:rPr>
          <w:t>1,73 m</w:t>
        </w:r>
      </w:smartTag>
      <w:r w:rsidRPr="000F3553">
        <w:rPr>
          <w:rFonts w:eastAsia="Calibri"/>
          <w:vertAlign w:val="superscript"/>
        </w:rPr>
        <w:t>2</w:t>
      </w:r>
      <w:r w:rsidRPr="000F3553">
        <w:rPr>
          <w:rFonts w:eastAsia="Calibri"/>
        </w:rPr>
        <w:t>.</w:t>
      </w:r>
    </w:p>
    <w:p w14:paraId="5C60859A" w14:textId="77777777" w:rsidR="00922D8A" w:rsidRPr="000F3553" w:rsidRDefault="00922D8A" w:rsidP="008661CD">
      <w:pPr>
        <w:rPr>
          <w:rFonts w:eastAsia="Calibri"/>
        </w:rPr>
      </w:pPr>
    </w:p>
    <w:p w14:paraId="7DF239C3" w14:textId="77777777" w:rsidR="00922D8A" w:rsidRPr="000F3553" w:rsidRDefault="00922D8A" w:rsidP="008661CD">
      <w:pPr>
        <w:keepNext/>
        <w:rPr>
          <w:rFonts w:eastAsia="Calibri"/>
          <w:b/>
          <w:i/>
          <w:u w:val="single"/>
        </w:rPr>
      </w:pPr>
      <w:r w:rsidRPr="000F3553">
        <w:rPr>
          <w:rFonts w:eastAsia="Calibri"/>
          <w:b/>
          <w:i/>
          <w:u w:val="single"/>
        </w:rPr>
        <w:t>Specialios pacientų grupės</w:t>
      </w:r>
    </w:p>
    <w:p w14:paraId="509EDF5B" w14:textId="77777777" w:rsidR="00922D8A" w:rsidRPr="000F3553" w:rsidRDefault="00922D8A" w:rsidP="008661CD">
      <w:pPr>
        <w:keepNext/>
        <w:rPr>
          <w:rFonts w:eastAsia="Calibri"/>
          <w:u w:val="single"/>
        </w:rPr>
      </w:pPr>
    </w:p>
    <w:p w14:paraId="79EB8716" w14:textId="77777777" w:rsidR="00922D8A" w:rsidRPr="008661CD" w:rsidRDefault="00922D8A" w:rsidP="008661CD">
      <w:pPr>
        <w:keepNext/>
        <w:rPr>
          <w:u w:val="single"/>
        </w:rPr>
      </w:pPr>
      <w:r w:rsidRPr="008661CD">
        <w:rPr>
          <w:u w:val="single"/>
        </w:rPr>
        <w:t>Lytis</w:t>
      </w:r>
    </w:p>
    <w:p w14:paraId="5BAA5FCF" w14:textId="77777777" w:rsidR="00922D8A" w:rsidRPr="008661CD" w:rsidRDefault="00922D8A" w:rsidP="008661CD">
      <w:pPr>
        <w:keepNext/>
        <w:rPr>
          <w:u w:val="single"/>
        </w:rPr>
      </w:pPr>
    </w:p>
    <w:p w14:paraId="322A7C1D" w14:textId="77777777" w:rsidR="00922D8A" w:rsidRPr="008661CD" w:rsidRDefault="00922D8A" w:rsidP="008661CD">
      <w:pPr>
        <w:keepNext/>
        <w:rPr>
          <w:u w:val="single"/>
        </w:rPr>
      </w:pPr>
      <w:r w:rsidRPr="000F3553">
        <w:rPr>
          <w:rFonts w:eastAsia="Calibri"/>
        </w:rPr>
        <w:t>Cefuroksimo farmakokinetikos vyrų ar moterų organizme skirtumų nepastebėta</w:t>
      </w:r>
      <w:r w:rsidRPr="008661CD">
        <w:t>.</w:t>
      </w:r>
    </w:p>
    <w:p w14:paraId="22E83E4D" w14:textId="77777777" w:rsidR="00922D8A" w:rsidRPr="008661CD" w:rsidRDefault="00922D8A" w:rsidP="008661CD">
      <w:pPr>
        <w:rPr>
          <w:u w:val="single"/>
        </w:rPr>
      </w:pPr>
    </w:p>
    <w:p w14:paraId="42AADAAD" w14:textId="77777777" w:rsidR="00922D8A" w:rsidRPr="008661CD" w:rsidRDefault="00922D8A" w:rsidP="008661CD">
      <w:pPr>
        <w:keepNext/>
        <w:rPr>
          <w:u w:val="single"/>
        </w:rPr>
      </w:pPr>
      <w:r w:rsidRPr="008661CD">
        <w:rPr>
          <w:u w:val="single"/>
        </w:rPr>
        <w:lastRenderedPageBreak/>
        <w:t>Senyvi žmonės</w:t>
      </w:r>
    </w:p>
    <w:p w14:paraId="2F93FC5C" w14:textId="77777777" w:rsidR="00922D8A" w:rsidRPr="008661CD" w:rsidRDefault="00922D8A" w:rsidP="008661CD">
      <w:pPr>
        <w:keepNext/>
        <w:rPr>
          <w:u w:val="single"/>
        </w:rPr>
      </w:pPr>
    </w:p>
    <w:p w14:paraId="5B452345" w14:textId="77777777" w:rsidR="00922D8A" w:rsidRPr="008661CD" w:rsidRDefault="00922D8A" w:rsidP="008661CD">
      <w:r w:rsidRPr="008661CD">
        <w:t>Senyviems pacientams, kurių inkstų funkcija yra normali, vartojantiems normalias ne didesnes už didžiausią 1 g paros dozes, specialių atsargumo priemonių nereikia. Senyviems pacientams yra didesnė inkstų funkcijos susilpnėjimo rizika, todėl dozę reikia keisti atsižvelgiant į senyvų žmonių inkstų funkciją (žr. 4.2 skyrių).</w:t>
      </w:r>
    </w:p>
    <w:p w14:paraId="066703B5" w14:textId="77777777" w:rsidR="00922D8A" w:rsidRPr="008661CD" w:rsidRDefault="00922D8A" w:rsidP="008661CD">
      <w:pPr>
        <w:rPr>
          <w:u w:val="single"/>
        </w:rPr>
      </w:pPr>
    </w:p>
    <w:p w14:paraId="3905F0F9" w14:textId="77777777" w:rsidR="00922D8A" w:rsidRPr="008661CD" w:rsidRDefault="00922D8A" w:rsidP="008661CD">
      <w:pPr>
        <w:keepNext/>
        <w:rPr>
          <w:u w:val="single"/>
        </w:rPr>
      </w:pPr>
      <w:r w:rsidRPr="008661CD">
        <w:rPr>
          <w:u w:val="single"/>
        </w:rPr>
        <w:t>Vaikų populiacija</w:t>
      </w:r>
    </w:p>
    <w:p w14:paraId="33FA5F78" w14:textId="77777777" w:rsidR="00922D8A" w:rsidRPr="008661CD" w:rsidRDefault="00922D8A" w:rsidP="008661CD">
      <w:pPr>
        <w:keepNext/>
        <w:rPr>
          <w:u w:val="single"/>
        </w:rPr>
      </w:pPr>
    </w:p>
    <w:p w14:paraId="272D3E5C" w14:textId="77777777" w:rsidR="00922D8A" w:rsidRPr="008661CD" w:rsidRDefault="00922D8A" w:rsidP="008661CD">
      <w:pPr>
        <w:keepNext/>
      </w:pPr>
      <w:r w:rsidRPr="008661CD">
        <w:t>Cefuroksimo farmakokinetika vyresnių kūdikių (&gt; 3 mėnesių) ir vaikų organizme yra panaši į suaugusiųjų.</w:t>
      </w:r>
    </w:p>
    <w:p w14:paraId="0DBE1901" w14:textId="77777777" w:rsidR="00922D8A" w:rsidRPr="008661CD" w:rsidRDefault="00922D8A" w:rsidP="008661CD"/>
    <w:p w14:paraId="50D1FD13" w14:textId="77777777" w:rsidR="00922D8A" w:rsidRPr="008661CD" w:rsidRDefault="00922D8A" w:rsidP="008661CD">
      <w:r w:rsidRPr="008661CD">
        <w:t>Klinikinių tyrimų duomenų apie cefuroksimo aksetilo vartojimą jaunesniems kaip 3 mėnesių kūdikiams nėra.</w:t>
      </w:r>
    </w:p>
    <w:p w14:paraId="22E6A735" w14:textId="77777777" w:rsidR="00922D8A" w:rsidRPr="008661CD" w:rsidRDefault="00922D8A" w:rsidP="008661CD">
      <w:pPr>
        <w:rPr>
          <w:u w:val="single"/>
        </w:rPr>
      </w:pPr>
    </w:p>
    <w:p w14:paraId="05A965EA" w14:textId="77777777" w:rsidR="00922D8A" w:rsidRPr="008661CD" w:rsidRDefault="00922D8A" w:rsidP="008661CD">
      <w:r w:rsidRPr="008661CD">
        <w:rPr>
          <w:u w:val="single"/>
        </w:rPr>
        <w:t>Inkstų funkcijos sutrikimas</w:t>
      </w:r>
    </w:p>
    <w:p w14:paraId="4EB76453" w14:textId="77777777" w:rsidR="00922D8A" w:rsidRPr="008661CD" w:rsidRDefault="00922D8A" w:rsidP="008661CD"/>
    <w:p w14:paraId="6C90A555" w14:textId="77777777" w:rsidR="00922D8A" w:rsidRPr="008661CD" w:rsidRDefault="00922D8A" w:rsidP="008661CD">
      <w:r w:rsidRPr="008661CD">
        <w:t>Cefuroksimo aksetilo saugumas ir veiksmingumas pacientams, kuriems yra inkstų funkcijos nepakankamumas, nebuvo nustatytas.</w:t>
      </w:r>
    </w:p>
    <w:p w14:paraId="04239E46" w14:textId="77777777" w:rsidR="00922D8A" w:rsidRPr="008661CD" w:rsidRDefault="00922D8A" w:rsidP="008661CD"/>
    <w:p w14:paraId="657BA896" w14:textId="77777777" w:rsidR="00922D8A" w:rsidRPr="008661CD" w:rsidRDefault="00922D8A" w:rsidP="008661CD">
      <w:r w:rsidRPr="008661CD">
        <w:t>Didžiausia dalis cefuroksimo šalinama per inkstus. Todėl kaip ir vartojant visus tokius antibiotikus, pacientams, kurių inkstų funkcija yra žymiai sutrikusi (t. y., Kl</w:t>
      </w:r>
      <w:r w:rsidRPr="008661CD">
        <w:rPr>
          <w:vertAlign w:val="subscript"/>
        </w:rPr>
        <w:t>kr</w:t>
      </w:r>
      <w:r w:rsidRPr="008661CD">
        <w:t> &lt; 30 ml per minutę), rekomenduojama sumažinti cefuroksimo dozę, kad būtų kompensuojama lėtesnė ekskrecija (žr. 4.2 skyrių). Cefuroksimas veiksmingai šalinamas iš organizme atliekant dializę.</w:t>
      </w:r>
    </w:p>
    <w:p w14:paraId="53FF756E" w14:textId="77777777" w:rsidR="00922D8A" w:rsidRPr="008661CD" w:rsidRDefault="00922D8A" w:rsidP="008661CD">
      <w:pPr>
        <w:rPr>
          <w:b/>
          <w:highlight w:val="yellow"/>
        </w:rPr>
      </w:pPr>
    </w:p>
    <w:p w14:paraId="0A48EF3B" w14:textId="77777777" w:rsidR="00922D8A" w:rsidRPr="008661CD" w:rsidRDefault="00922D8A" w:rsidP="008661CD">
      <w:pPr>
        <w:keepNext/>
        <w:tabs>
          <w:tab w:val="left" w:pos="567"/>
        </w:tabs>
        <w:rPr>
          <w:u w:val="single"/>
        </w:rPr>
      </w:pPr>
      <w:r w:rsidRPr="008661CD">
        <w:rPr>
          <w:u w:val="single"/>
        </w:rPr>
        <w:t>Kepenų funkcijos sutrikimas</w:t>
      </w:r>
    </w:p>
    <w:p w14:paraId="2B0E5DFC" w14:textId="77777777" w:rsidR="00922D8A" w:rsidRPr="008661CD" w:rsidRDefault="00922D8A" w:rsidP="008661CD">
      <w:pPr>
        <w:keepNext/>
        <w:tabs>
          <w:tab w:val="left" w:pos="567"/>
        </w:tabs>
        <w:rPr>
          <w:u w:val="single"/>
        </w:rPr>
      </w:pPr>
    </w:p>
    <w:p w14:paraId="6138652F" w14:textId="77777777" w:rsidR="00922D8A" w:rsidRPr="008661CD" w:rsidRDefault="00922D8A" w:rsidP="008661CD">
      <w:r w:rsidRPr="008661CD">
        <w:t>Duomenų apie pacientus, kuriems yra kepenų funkcijos sutrikimas, nėra. Kadangi didžiausia dalis cefuroksimo šalinama per inkstus, manoma, kad kepenų funkcijos sutrikimas neveiks cefuroksimo farmakokinetikos.</w:t>
      </w:r>
    </w:p>
    <w:p w14:paraId="4B8EB7B5" w14:textId="77777777" w:rsidR="00922D8A" w:rsidRPr="008661CD" w:rsidRDefault="00922D8A" w:rsidP="008661CD">
      <w:pPr>
        <w:rPr>
          <w:u w:val="single"/>
        </w:rPr>
      </w:pPr>
    </w:p>
    <w:p w14:paraId="3D2A695B" w14:textId="77777777" w:rsidR="00922D8A" w:rsidRPr="008661CD" w:rsidRDefault="00922D8A" w:rsidP="008661CD">
      <w:pPr>
        <w:keepNext/>
        <w:tabs>
          <w:tab w:val="left" w:pos="567"/>
        </w:tabs>
        <w:rPr>
          <w:u w:val="single"/>
        </w:rPr>
      </w:pPr>
      <w:r w:rsidRPr="008661CD">
        <w:rPr>
          <w:u w:val="single"/>
        </w:rPr>
        <w:t xml:space="preserve">Santykis tarp farmakokinetikos ir farmakodinamikos  </w:t>
      </w:r>
    </w:p>
    <w:p w14:paraId="1F18904B" w14:textId="77777777" w:rsidR="00922D8A" w:rsidRPr="008661CD" w:rsidRDefault="00922D8A" w:rsidP="008661CD">
      <w:pPr>
        <w:rPr>
          <w:u w:val="single"/>
        </w:rPr>
      </w:pPr>
    </w:p>
    <w:p w14:paraId="0C64449F" w14:textId="77777777" w:rsidR="00922D8A" w:rsidRPr="008661CD" w:rsidRDefault="00922D8A" w:rsidP="008661CD">
      <w:r w:rsidRPr="008661CD">
        <w:t xml:space="preserve">Nustatyta, kad svarbiausias cefalosporinų farmakokinetikos ir farmakodinamikos rodiklis, kuris koreliuoja su veiksmingumu </w:t>
      </w:r>
      <w:r w:rsidRPr="008661CD">
        <w:rPr>
          <w:i/>
        </w:rPr>
        <w:t>in vivo</w:t>
      </w:r>
      <w:r w:rsidRPr="008661CD">
        <w:t>, yra dozavimo intervalo procentinė dalis (%T), kurią neprisijungusio cefuroksimo koncentracija būna didesnė už minimalią slopinamąją koncentraciją (MSK), nustatytą atskiroms tikslinėms rūšims (t. y. %T &gt; MSK).</w:t>
      </w:r>
    </w:p>
    <w:p w14:paraId="7DA94427" w14:textId="77777777" w:rsidR="00922D8A" w:rsidRPr="008661CD" w:rsidRDefault="00922D8A" w:rsidP="008661CD">
      <w:pPr>
        <w:ind w:left="567" w:hanging="567"/>
      </w:pPr>
    </w:p>
    <w:p w14:paraId="61A87571" w14:textId="77777777" w:rsidR="00922D8A" w:rsidRPr="008661CD" w:rsidRDefault="00922D8A" w:rsidP="008661CD">
      <w:pPr>
        <w:ind w:left="567" w:hanging="567"/>
        <w:rPr>
          <w:b/>
        </w:rPr>
      </w:pPr>
      <w:r w:rsidRPr="008661CD">
        <w:rPr>
          <w:b/>
        </w:rPr>
        <w:t>5.3</w:t>
      </w:r>
      <w:r w:rsidRPr="008661CD">
        <w:rPr>
          <w:b/>
        </w:rPr>
        <w:tab/>
        <w:t>Ikiklinikinių saugumo tyrimų duomenys</w:t>
      </w:r>
    </w:p>
    <w:p w14:paraId="16AE51D6" w14:textId="77777777" w:rsidR="00922D8A" w:rsidRPr="008661CD" w:rsidRDefault="00922D8A" w:rsidP="008661CD">
      <w:pPr>
        <w:ind w:left="567" w:hanging="567"/>
      </w:pPr>
    </w:p>
    <w:p w14:paraId="388633CB" w14:textId="77777777" w:rsidR="00922D8A" w:rsidRPr="008661CD" w:rsidRDefault="00922D8A" w:rsidP="008661CD">
      <w:r w:rsidRPr="008661CD">
        <w:t>Farmakologinio saugumo, kartotinių dozių toksiškumo, genotoksiškumo ir toksinio poveikio reprodukcijai ir vystymuisi ikiklinikinių tyrimų duomenys specifinio pavojaus žmogui nerodo. Kancerogeniškumo tyrimų neatlikta. Vis dėlto duomenų, kurie rodytų kancerogeninio poveikio tikimybę, nėra.</w:t>
      </w:r>
    </w:p>
    <w:p w14:paraId="0F7DBD4E" w14:textId="77777777" w:rsidR="00922D8A" w:rsidRPr="008661CD" w:rsidRDefault="00922D8A" w:rsidP="008661CD"/>
    <w:p w14:paraId="65D4028B" w14:textId="77777777" w:rsidR="00922D8A" w:rsidRPr="008661CD" w:rsidRDefault="00922D8A" w:rsidP="008661CD">
      <w:r w:rsidRPr="008661CD">
        <w:t>Įvairūs cefalosporinai slopino gama gliutamiltranspeptidazės aktyvumą žiurkių šlapime, vis dėlto slopinimo lygmuo vartojant cefuroksimą yra mažesnis. Tai gali turėti reikšmės darant įtaką klinikinių laboratorinių tyrimų duomenimis žmogui.</w:t>
      </w:r>
    </w:p>
    <w:p w14:paraId="11728AF5" w14:textId="77777777" w:rsidR="00922D8A" w:rsidRPr="008661CD" w:rsidRDefault="00922D8A" w:rsidP="008661CD"/>
    <w:p w14:paraId="7249812A" w14:textId="77777777" w:rsidR="00922D8A" w:rsidRPr="008661CD" w:rsidRDefault="00922D8A" w:rsidP="008661CD">
      <w:pPr>
        <w:ind w:left="567" w:hanging="567"/>
      </w:pPr>
    </w:p>
    <w:p w14:paraId="08ED0FE3" w14:textId="77777777" w:rsidR="00922D8A" w:rsidRPr="008661CD" w:rsidRDefault="00922D8A" w:rsidP="008661CD">
      <w:pPr>
        <w:keepNext/>
        <w:ind w:left="567" w:hanging="567"/>
        <w:rPr>
          <w:b/>
          <w:caps/>
        </w:rPr>
      </w:pPr>
      <w:r w:rsidRPr="008661CD">
        <w:rPr>
          <w:b/>
          <w:caps/>
        </w:rPr>
        <w:t>6.</w:t>
      </w:r>
      <w:r w:rsidRPr="008661CD">
        <w:rPr>
          <w:b/>
          <w:caps/>
        </w:rPr>
        <w:tab/>
        <w:t>farmacinė informacija</w:t>
      </w:r>
    </w:p>
    <w:p w14:paraId="09873309" w14:textId="77777777" w:rsidR="00922D8A" w:rsidRPr="008661CD" w:rsidRDefault="00922D8A" w:rsidP="008661CD">
      <w:pPr>
        <w:keepNext/>
        <w:ind w:left="567" w:hanging="567"/>
      </w:pPr>
    </w:p>
    <w:p w14:paraId="22BDA342" w14:textId="77777777" w:rsidR="00922D8A" w:rsidRPr="008661CD" w:rsidRDefault="00922D8A" w:rsidP="008661CD">
      <w:pPr>
        <w:keepNext/>
        <w:ind w:left="567" w:hanging="567"/>
        <w:rPr>
          <w:b/>
        </w:rPr>
      </w:pPr>
      <w:r w:rsidRPr="008661CD">
        <w:rPr>
          <w:b/>
        </w:rPr>
        <w:t>6.1</w:t>
      </w:r>
      <w:r w:rsidRPr="008661CD">
        <w:rPr>
          <w:b/>
        </w:rPr>
        <w:tab/>
        <w:t>Pagalbinių medžiagų sąrašas</w:t>
      </w:r>
    </w:p>
    <w:p w14:paraId="602CDD49" w14:textId="77777777" w:rsidR="00922D8A" w:rsidRPr="008661CD" w:rsidRDefault="00922D8A" w:rsidP="008661CD">
      <w:pPr>
        <w:keepNext/>
      </w:pPr>
    </w:p>
    <w:p w14:paraId="34323035" w14:textId="77777777" w:rsidR="00922D8A" w:rsidRPr="008661CD" w:rsidRDefault="00922D8A" w:rsidP="008661CD">
      <w:pPr>
        <w:keepNext/>
        <w:ind w:left="567" w:hanging="567"/>
      </w:pPr>
      <w:r w:rsidRPr="008661CD">
        <w:t>Mikrokristalinė celiuliozė</w:t>
      </w:r>
    </w:p>
    <w:p w14:paraId="0470304F" w14:textId="77777777" w:rsidR="00922D8A" w:rsidRPr="008661CD" w:rsidRDefault="00922D8A" w:rsidP="008661CD">
      <w:pPr>
        <w:keepNext/>
        <w:ind w:left="567" w:hanging="567"/>
      </w:pPr>
      <w:r w:rsidRPr="008661CD">
        <w:t xml:space="preserve">Natrio laurilsulfatas </w:t>
      </w:r>
    </w:p>
    <w:p w14:paraId="5EF9EC03" w14:textId="77777777" w:rsidR="00922D8A" w:rsidRPr="008661CD" w:rsidRDefault="00922D8A" w:rsidP="008661CD">
      <w:pPr>
        <w:ind w:left="567" w:hanging="567"/>
      </w:pPr>
      <w:r w:rsidRPr="008661CD">
        <w:t xml:space="preserve">Kroskarmeliozės natrio druska </w:t>
      </w:r>
    </w:p>
    <w:p w14:paraId="34E01A77" w14:textId="77777777" w:rsidR="00922D8A" w:rsidRPr="008661CD" w:rsidRDefault="00922D8A" w:rsidP="008661CD">
      <w:pPr>
        <w:ind w:left="567" w:hanging="567"/>
      </w:pPr>
      <w:r w:rsidRPr="008661CD">
        <w:lastRenderedPageBreak/>
        <w:t>Hidrintas augalinis aliejus</w:t>
      </w:r>
    </w:p>
    <w:p w14:paraId="146405E0" w14:textId="77777777" w:rsidR="00922D8A" w:rsidRPr="008661CD" w:rsidRDefault="00922D8A" w:rsidP="008661CD">
      <w:pPr>
        <w:ind w:left="567" w:hanging="567"/>
      </w:pPr>
      <w:bookmarkStart w:id="9" w:name="_Hlk530748225"/>
      <w:r w:rsidRPr="008661CD">
        <w:t>Koloidinis silicio dioksidas, bevandenis</w:t>
      </w:r>
    </w:p>
    <w:p w14:paraId="5C421028" w14:textId="77777777" w:rsidR="00922D8A" w:rsidRPr="008661CD" w:rsidRDefault="00922D8A" w:rsidP="008661CD">
      <w:pPr>
        <w:ind w:left="567" w:hanging="567"/>
        <w:rPr>
          <w:i/>
        </w:rPr>
      </w:pPr>
      <w:r w:rsidRPr="008661CD">
        <w:t xml:space="preserve">Hipromeliozė </w:t>
      </w:r>
    </w:p>
    <w:p w14:paraId="6D72A7B2" w14:textId="77777777" w:rsidR="00922D8A" w:rsidRPr="008661CD" w:rsidRDefault="00922D8A" w:rsidP="008661CD">
      <w:pPr>
        <w:ind w:left="567" w:hanging="567"/>
      </w:pPr>
      <w:r w:rsidRPr="008661CD">
        <w:t xml:space="preserve">Propilenglikolis </w:t>
      </w:r>
    </w:p>
    <w:p w14:paraId="62983759" w14:textId="77777777" w:rsidR="00922D8A" w:rsidRPr="008661CD" w:rsidRDefault="00922D8A" w:rsidP="008661CD">
      <w:pPr>
        <w:ind w:left="567" w:hanging="567"/>
      </w:pPr>
      <w:r w:rsidRPr="008661CD">
        <w:t>Metilparahidroksibenzoatas (E218)</w:t>
      </w:r>
    </w:p>
    <w:p w14:paraId="04902987" w14:textId="77777777" w:rsidR="00922D8A" w:rsidRPr="008661CD" w:rsidRDefault="00922D8A" w:rsidP="008661CD">
      <w:pPr>
        <w:ind w:left="567" w:hanging="567"/>
      </w:pPr>
      <w:bookmarkStart w:id="10" w:name="_Hlk536117056"/>
      <w:bookmarkEnd w:id="9"/>
      <w:r w:rsidRPr="008661CD">
        <w:t>Propilparahidroksibenzoatas (E216)</w:t>
      </w:r>
    </w:p>
    <w:bookmarkEnd w:id="10"/>
    <w:p w14:paraId="2995CB81" w14:textId="77777777" w:rsidR="00922D8A" w:rsidRPr="008661CD" w:rsidRDefault="00922D8A" w:rsidP="008661CD">
      <w:r w:rsidRPr="008661CD">
        <w:t xml:space="preserve">Baltas </w:t>
      </w:r>
      <w:r w:rsidRPr="008661CD">
        <w:rPr>
          <w:i/>
        </w:rPr>
        <w:t>Opaspray</w:t>
      </w:r>
      <w:r w:rsidRPr="008661CD">
        <w:t xml:space="preserve"> M–1-7120J </w:t>
      </w:r>
      <w:bookmarkStart w:id="11" w:name="_Hlk517875642"/>
      <w:r w:rsidRPr="008661CD">
        <w:t>[sudėtyje yra titano dioksido (E171) ir natrio benzoato (E211)].</w:t>
      </w:r>
      <w:bookmarkEnd w:id="11"/>
    </w:p>
    <w:p w14:paraId="72ACD4D3" w14:textId="77777777" w:rsidR="00922D8A" w:rsidRPr="008661CD" w:rsidRDefault="00922D8A" w:rsidP="008661CD">
      <w:pPr>
        <w:ind w:left="567" w:hanging="567"/>
      </w:pPr>
    </w:p>
    <w:p w14:paraId="6B6D8EFF" w14:textId="77777777" w:rsidR="00922D8A" w:rsidRPr="008661CD" w:rsidRDefault="00922D8A" w:rsidP="008661CD">
      <w:pPr>
        <w:keepNext/>
        <w:ind w:left="567" w:hanging="567"/>
        <w:rPr>
          <w:b/>
        </w:rPr>
      </w:pPr>
      <w:r w:rsidRPr="008661CD">
        <w:rPr>
          <w:b/>
        </w:rPr>
        <w:t>6.2</w:t>
      </w:r>
      <w:r w:rsidRPr="008661CD">
        <w:rPr>
          <w:b/>
        </w:rPr>
        <w:tab/>
        <w:t>Nesuderinamumas</w:t>
      </w:r>
    </w:p>
    <w:p w14:paraId="6513BFA6" w14:textId="77777777" w:rsidR="00922D8A" w:rsidRPr="008661CD" w:rsidRDefault="00922D8A" w:rsidP="008661CD">
      <w:pPr>
        <w:keepNext/>
      </w:pPr>
    </w:p>
    <w:p w14:paraId="41AC3C9D" w14:textId="77777777" w:rsidR="00922D8A" w:rsidRPr="008661CD" w:rsidRDefault="00922D8A" w:rsidP="008661CD">
      <w:r w:rsidRPr="008661CD">
        <w:t>Gydant cefalosporinais, gauta pranešimų apie teigiamą Kumbso mėginį. Šis reiškinys gali trukdyti, nustatant kraujo suderinamumą.</w:t>
      </w:r>
    </w:p>
    <w:p w14:paraId="079E2FCD" w14:textId="77777777" w:rsidR="00922D8A" w:rsidRPr="008661CD" w:rsidRDefault="00922D8A" w:rsidP="008661CD">
      <w:pPr>
        <w:ind w:left="567" w:hanging="567"/>
      </w:pPr>
      <w:r w:rsidRPr="008661CD" w:rsidDel="0029346B">
        <w:t xml:space="preserve"> </w:t>
      </w:r>
    </w:p>
    <w:p w14:paraId="5A9C7A00" w14:textId="77777777" w:rsidR="00922D8A" w:rsidRPr="008661CD" w:rsidRDefault="00922D8A" w:rsidP="008661CD">
      <w:pPr>
        <w:ind w:left="567" w:hanging="567"/>
        <w:rPr>
          <w:b/>
        </w:rPr>
      </w:pPr>
      <w:r w:rsidRPr="008661CD">
        <w:rPr>
          <w:b/>
        </w:rPr>
        <w:t>6.3</w:t>
      </w:r>
      <w:r w:rsidRPr="008661CD">
        <w:rPr>
          <w:b/>
        </w:rPr>
        <w:tab/>
        <w:t>Tinkamumo laikas</w:t>
      </w:r>
    </w:p>
    <w:p w14:paraId="40014A7C" w14:textId="77777777" w:rsidR="00922D8A" w:rsidRPr="008661CD" w:rsidRDefault="00922D8A" w:rsidP="008661CD"/>
    <w:p w14:paraId="0C9353E3" w14:textId="77777777" w:rsidR="00922D8A" w:rsidRPr="008661CD" w:rsidRDefault="00922D8A" w:rsidP="008661CD">
      <w:pPr>
        <w:ind w:left="567" w:hanging="567"/>
      </w:pPr>
      <w:bookmarkStart w:id="12" w:name="_Hlk517875848"/>
      <w:r w:rsidRPr="008661CD">
        <w:t>36 mėnesiai.</w:t>
      </w:r>
    </w:p>
    <w:bookmarkEnd w:id="12"/>
    <w:p w14:paraId="0B05E0F8" w14:textId="77777777" w:rsidR="00922D8A" w:rsidRPr="008661CD" w:rsidRDefault="00922D8A" w:rsidP="008661CD">
      <w:pPr>
        <w:ind w:left="567" w:hanging="567"/>
      </w:pPr>
    </w:p>
    <w:p w14:paraId="7B9431BA" w14:textId="77777777" w:rsidR="00922D8A" w:rsidRPr="008661CD" w:rsidRDefault="00922D8A" w:rsidP="008661CD">
      <w:pPr>
        <w:ind w:left="567" w:hanging="567"/>
        <w:rPr>
          <w:b/>
        </w:rPr>
      </w:pPr>
      <w:r w:rsidRPr="008661CD">
        <w:rPr>
          <w:b/>
        </w:rPr>
        <w:t>6.4</w:t>
      </w:r>
      <w:r w:rsidRPr="008661CD">
        <w:rPr>
          <w:b/>
        </w:rPr>
        <w:tab/>
        <w:t>Specialios laikymo sąlygos</w:t>
      </w:r>
    </w:p>
    <w:p w14:paraId="7F44B024" w14:textId="77777777" w:rsidR="00922D8A" w:rsidRPr="008661CD" w:rsidRDefault="00922D8A" w:rsidP="008661CD"/>
    <w:p w14:paraId="092653C9" w14:textId="77777777" w:rsidR="00922D8A" w:rsidRPr="000F3553" w:rsidRDefault="00922D8A" w:rsidP="000F3553">
      <w:pPr>
        <w:pStyle w:val="Pagrindinistekstas"/>
      </w:pPr>
      <w:r w:rsidRPr="000F3553">
        <w:rPr>
          <w:i w:val="0"/>
          <w:color w:val="auto"/>
          <w:lang w:val="lt-LT"/>
        </w:rPr>
        <w:t>Aliuminio folijos lizdinių plokštelių pakuotėje esančias cefuroksimo aksetilo tabletes laikyti ne aukštesnėje kaip 30 ºC temperatūroje.</w:t>
      </w:r>
    </w:p>
    <w:p w14:paraId="1E68FF7E" w14:textId="77777777" w:rsidR="00922D8A" w:rsidRPr="008661CD" w:rsidRDefault="00922D8A" w:rsidP="008661CD">
      <w:pPr>
        <w:ind w:left="567" w:hanging="567"/>
      </w:pPr>
    </w:p>
    <w:p w14:paraId="3D1E4477" w14:textId="77777777" w:rsidR="00922D8A" w:rsidRPr="008661CD" w:rsidRDefault="00922D8A" w:rsidP="008661CD">
      <w:pPr>
        <w:ind w:left="567" w:hanging="567"/>
        <w:rPr>
          <w:b/>
        </w:rPr>
      </w:pPr>
      <w:r w:rsidRPr="008661CD">
        <w:rPr>
          <w:b/>
        </w:rPr>
        <w:t>6.5</w:t>
      </w:r>
      <w:r w:rsidRPr="008661CD">
        <w:rPr>
          <w:b/>
        </w:rPr>
        <w:tab/>
        <w:t>Talpyklės pobūdis ir jos</w:t>
      </w:r>
      <w:r w:rsidRPr="008661CD">
        <w:t xml:space="preserve"> </w:t>
      </w:r>
      <w:r w:rsidRPr="008661CD">
        <w:rPr>
          <w:b/>
        </w:rPr>
        <w:t>turinys</w:t>
      </w:r>
    </w:p>
    <w:p w14:paraId="4D354BD7" w14:textId="77777777" w:rsidR="00922D8A" w:rsidRPr="008661CD" w:rsidRDefault="00922D8A" w:rsidP="008661CD"/>
    <w:p w14:paraId="10AB634E" w14:textId="77777777" w:rsidR="00922D8A" w:rsidRPr="008661CD" w:rsidRDefault="00922D8A" w:rsidP="008661CD">
      <w:bookmarkStart w:id="13" w:name="_Hlk517876097"/>
      <w:r w:rsidRPr="008661CD">
        <w:t>Aliuminio</w:t>
      </w:r>
      <w:r w:rsidRPr="008661CD">
        <w:rPr>
          <w:i/>
        </w:rPr>
        <w:t xml:space="preserve"> </w:t>
      </w:r>
      <w:r w:rsidRPr="008661CD">
        <w:t>folijos lizdinė plokštelė, padengta aliuminio sluoksniu.</w:t>
      </w:r>
    </w:p>
    <w:p w14:paraId="1A0D65E7" w14:textId="77777777" w:rsidR="00922D8A" w:rsidRPr="008661CD" w:rsidRDefault="00922D8A" w:rsidP="008661CD">
      <w:r w:rsidRPr="008661CD">
        <w:t>Pakuotėje yra 10 arba 14 tablečių.</w:t>
      </w:r>
    </w:p>
    <w:bookmarkEnd w:id="13"/>
    <w:p w14:paraId="0F0B1C19" w14:textId="77777777" w:rsidR="00922D8A" w:rsidRPr="008661CD" w:rsidRDefault="00922D8A" w:rsidP="008661CD"/>
    <w:p w14:paraId="3841A201" w14:textId="77777777" w:rsidR="00922D8A" w:rsidRPr="008661CD" w:rsidRDefault="00922D8A" w:rsidP="008661CD">
      <w:r w:rsidRPr="008661CD">
        <w:t>Gali būti tiekiamos ne visų dydžių pakuotės.</w:t>
      </w:r>
    </w:p>
    <w:p w14:paraId="48F0DFAC" w14:textId="77777777" w:rsidR="00922D8A" w:rsidRPr="008661CD" w:rsidRDefault="00922D8A" w:rsidP="008661CD"/>
    <w:p w14:paraId="5BC1A51F" w14:textId="77777777" w:rsidR="00922D8A" w:rsidRPr="008661CD" w:rsidRDefault="00922D8A" w:rsidP="008661CD">
      <w:pPr>
        <w:ind w:left="567" w:hanging="567"/>
        <w:outlineLvl w:val="0"/>
      </w:pPr>
      <w:r w:rsidRPr="008661CD">
        <w:rPr>
          <w:b/>
        </w:rPr>
        <w:t>6.6</w:t>
      </w:r>
      <w:r w:rsidRPr="008661CD">
        <w:rPr>
          <w:b/>
        </w:rPr>
        <w:tab/>
      </w:r>
      <w:r w:rsidRPr="000F3553">
        <w:rPr>
          <w:rStyle w:val="Grietas"/>
        </w:rPr>
        <w:t>Specialūs reikalavimai atliekoms tvarkyti</w:t>
      </w:r>
    </w:p>
    <w:p w14:paraId="2EE875B9" w14:textId="77777777" w:rsidR="00922D8A" w:rsidRPr="008661CD" w:rsidRDefault="00922D8A" w:rsidP="008661CD">
      <w:pPr>
        <w:ind w:left="567" w:hanging="567"/>
        <w:rPr>
          <w:b/>
        </w:rPr>
      </w:pPr>
    </w:p>
    <w:p w14:paraId="26F8FD6B" w14:textId="77777777" w:rsidR="00922D8A" w:rsidRPr="008661CD" w:rsidRDefault="00922D8A" w:rsidP="008661CD">
      <w:pPr>
        <w:ind w:left="567" w:hanging="567"/>
      </w:pPr>
      <w:r w:rsidRPr="008661CD">
        <w:t>Nesuvartotą vaistinį preparatą ar atliekas reikia tvarkyti laikantis vietinių reikalavimų.</w:t>
      </w:r>
    </w:p>
    <w:p w14:paraId="391EC917" w14:textId="77777777" w:rsidR="00922D8A" w:rsidRPr="008661CD" w:rsidRDefault="00922D8A" w:rsidP="008661CD"/>
    <w:p w14:paraId="6D153B50" w14:textId="77777777" w:rsidR="00922D8A" w:rsidRPr="008661CD" w:rsidRDefault="00922D8A" w:rsidP="008661CD">
      <w:pPr>
        <w:ind w:left="567" w:hanging="567"/>
      </w:pPr>
    </w:p>
    <w:p w14:paraId="62916299" w14:textId="77777777" w:rsidR="00922D8A" w:rsidRPr="008661CD" w:rsidRDefault="00922D8A" w:rsidP="008661CD">
      <w:pPr>
        <w:keepNext/>
        <w:tabs>
          <w:tab w:val="left" w:pos="567"/>
        </w:tabs>
        <w:rPr>
          <w:b/>
          <w:caps/>
        </w:rPr>
      </w:pPr>
      <w:r w:rsidRPr="008661CD">
        <w:rPr>
          <w:b/>
          <w:caps/>
        </w:rPr>
        <w:t>7.</w:t>
      </w:r>
      <w:r w:rsidRPr="008661CD">
        <w:rPr>
          <w:b/>
          <w:caps/>
        </w:rPr>
        <w:tab/>
        <w:t>REGISTRUOTOJAS</w:t>
      </w:r>
    </w:p>
    <w:p w14:paraId="7E806F34" w14:textId="77777777" w:rsidR="00922D8A" w:rsidRPr="008661CD" w:rsidRDefault="00922D8A" w:rsidP="008661CD">
      <w:pPr>
        <w:keepNext/>
        <w:tabs>
          <w:tab w:val="left" w:pos="567"/>
        </w:tabs>
      </w:pPr>
    </w:p>
    <w:p w14:paraId="2037261D" w14:textId="77777777" w:rsidR="00922D8A" w:rsidRPr="000F3553" w:rsidRDefault="00922D8A" w:rsidP="000F3553">
      <w:pPr>
        <w:pStyle w:val="Pagrindinistekstas"/>
      </w:pPr>
      <w:r w:rsidRPr="000F3553">
        <w:rPr>
          <w:i w:val="0"/>
          <w:color w:val="auto"/>
          <w:lang w:val="lt-LT"/>
        </w:rPr>
        <w:t xml:space="preserve">UAB „GlaxoSmithKline Lietuva“ </w:t>
      </w:r>
    </w:p>
    <w:p w14:paraId="7EBDE2B3" w14:textId="77777777" w:rsidR="00922D8A" w:rsidRPr="008661CD" w:rsidRDefault="00922D8A" w:rsidP="008661CD">
      <w:pPr>
        <w:autoSpaceDE w:val="0"/>
        <w:autoSpaceDN w:val="0"/>
        <w:adjustRightInd w:val="0"/>
      </w:pPr>
      <w:r w:rsidRPr="008661CD">
        <w:t>Ukmergės g. 120</w:t>
      </w:r>
    </w:p>
    <w:p w14:paraId="55AEE7C2" w14:textId="77777777" w:rsidR="00922D8A" w:rsidRPr="008661CD" w:rsidRDefault="00922D8A" w:rsidP="008661CD">
      <w:pPr>
        <w:autoSpaceDE w:val="0"/>
        <w:autoSpaceDN w:val="0"/>
        <w:adjustRightInd w:val="0"/>
      </w:pPr>
      <w:r w:rsidRPr="008661CD">
        <w:t>LT-08105 Vilnius</w:t>
      </w:r>
    </w:p>
    <w:p w14:paraId="31FDEBB2" w14:textId="77777777" w:rsidR="00922D8A" w:rsidRPr="008661CD" w:rsidRDefault="00922D8A" w:rsidP="008661CD">
      <w:r w:rsidRPr="008661CD">
        <w:t>Lietuva</w:t>
      </w:r>
      <w:r w:rsidRPr="008661CD" w:rsidDel="0029346B">
        <w:t xml:space="preserve"> </w:t>
      </w:r>
    </w:p>
    <w:p w14:paraId="7547ECEB" w14:textId="77777777" w:rsidR="00922D8A" w:rsidRPr="008661CD" w:rsidRDefault="00922D8A" w:rsidP="008661CD">
      <w:pPr>
        <w:ind w:left="567" w:hanging="567"/>
      </w:pPr>
    </w:p>
    <w:p w14:paraId="6358EABB" w14:textId="77777777" w:rsidR="00922D8A" w:rsidRPr="008661CD" w:rsidRDefault="00922D8A" w:rsidP="008661CD">
      <w:pPr>
        <w:ind w:left="567" w:hanging="567"/>
      </w:pPr>
    </w:p>
    <w:p w14:paraId="6531EF68" w14:textId="77777777" w:rsidR="00922D8A" w:rsidRPr="008661CD" w:rsidRDefault="00922D8A" w:rsidP="008661CD">
      <w:pPr>
        <w:ind w:left="567" w:hanging="567"/>
        <w:rPr>
          <w:b/>
          <w:caps/>
        </w:rPr>
      </w:pPr>
      <w:r w:rsidRPr="008661CD">
        <w:rPr>
          <w:b/>
          <w:caps/>
        </w:rPr>
        <w:t>8.</w:t>
      </w:r>
      <w:r w:rsidRPr="008661CD">
        <w:rPr>
          <w:b/>
          <w:caps/>
        </w:rPr>
        <w:tab/>
        <w:t>REGISTRACIJOS PAŽYMĖJIMO numeris (-IAI)</w:t>
      </w:r>
    </w:p>
    <w:p w14:paraId="47BA6310" w14:textId="77777777" w:rsidR="00922D8A" w:rsidRPr="008661CD" w:rsidRDefault="00922D8A" w:rsidP="008661CD">
      <w:pPr>
        <w:rPr>
          <w:i/>
        </w:rPr>
      </w:pPr>
    </w:p>
    <w:p w14:paraId="5477476F" w14:textId="77777777" w:rsidR="00922D8A" w:rsidRPr="008661CD" w:rsidRDefault="00922D8A" w:rsidP="008661CD">
      <w:pPr>
        <w:ind w:left="567" w:hanging="567"/>
      </w:pPr>
      <w:r w:rsidRPr="008661CD">
        <w:t>Zinnat 125 mg plėvele dengtos tabletės</w:t>
      </w:r>
    </w:p>
    <w:p w14:paraId="7EFC595E" w14:textId="77777777" w:rsidR="00922D8A" w:rsidRPr="008661CD" w:rsidRDefault="00922D8A" w:rsidP="008661CD">
      <w:pPr>
        <w:ind w:left="567" w:hanging="567"/>
      </w:pPr>
      <w:r w:rsidRPr="008661CD">
        <w:t>N10 – LT/1/94/0478/001</w:t>
      </w:r>
    </w:p>
    <w:p w14:paraId="31FD6881" w14:textId="77777777" w:rsidR="00922D8A" w:rsidRPr="008661CD" w:rsidRDefault="00922D8A" w:rsidP="008661CD">
      <w:pPr>
        <w:ind w:left="567" w:hanging="567"/>
      </w:pPr>
      <w:r w:rsidRPr="008661CD">
        <w:t>N14 – LT/1/94/0478/002</w:t>
      </w:r>
    </w:p>
    <w:p w14:paraId="619EF25B" w14:textId="77777777" w:rsidR="00922D8A" w:rsidRPr="008661CD" w:rsidRDefault="00922D8A" w:rsidP="008661CD">
      <w:pPr>
        <w:ind w:left="567" w:hanging="567"/>
      </w:pPr>
    </w:p>
    <w:p w14:paraId="29C47091" w14:textId="77777777" w:rsidR="00922D8A" w:rsidRPr="008661CD" w:rsidRDefault="00922D8A" w:rsidP="008661CD">
      <w:pPr>
        <w:keepNext/>
        <w:ind w:left="567" w:hanging="567"/>
      </w:pPr>
      <w:r w:rsidRPr="008661CD">
        <w:rPr>
          <w:lang w:val="en-US"/>
        </w:rPr>
        <w:t xml:space="preserve">Zinnat 250 mg </w:t>
      </w:r>
      <w:r w:rsidRPr="008661CD">
        <w:t>plėvele dengtos tabletės</w:t>
      </w:r>
    </w:p>
    <w:p w14:paraId="701F268A" w14:textId="77777777" w:rsidR="00922D8A" w:rsidRPr="008661CD" w:rsidRDefault="00922D8A" w:rsidP="008661CD">
      <w:pPr>
        <w:keepNext/>
        <w:ind w:left="567" w:hanging="567"/>
      </w:pPr>
      <w:r w:rsidRPr="008661CD">
        <w:t>N10 - LT/1/94/0478/003</w:t>
      </w:r>
    </w:p>
    <w:p w14:paraId="7616815A" w14:textId="77777777" w:rsidR="00922D8A" w:rsidRPr="008661CD" w:rsidRDefault="00922D8A" w:rsidP="008661CD">
      <w:pPr>
        <w:keepNext/>
        <w:ind w:left="567" w:hanging="567"/>
      </w:pPr>
      <w:r w:rsidRPr="008661CD">
        <w:t>N14 - LT/1/94/0478/004</w:t>
      </w:r>
    </w:p>
    <w:p w14:paraId="586D5866" w14:textId="77777777" w:rsidR="00922D8A" w:rsidRPr="008661CD" w:rsidRDefault="00922D8A" w:rsidP="008661CD">
      <w:pPr>
        <w:ind w:left="567" w:hanging="567"/>
      </w:pPr>
    </w:p>
    <w:p w14:paraId="75E520E3" w14:textId="77777777" w:rsidR="00922D8A" w:rsidRPr="008661CD" w:rsidRDefault="00922D8A" w:rsidP="008661CD">
      <w:pPr>
        <w:ind w:left="567" w:hanging="567"/>
      </w:pPr>
      <w:r w:rsidRPr="008661CD">
        <w:rPr>
          <w:lang w:val="en-US"/>
        </w:rPr>
        <w:t xml:space="preserve">Zinnat 500 mg </w:t>
      </w:r>
      <w:r w:rsidRPr="008661CD">
        <w:t>plėvele dengtos tabletės</w:t>
      </w:r>
    </w:p>
    <w:p w14:paraId="722B8A84" w14:textId="77777777" w:rsidR="00922D8A" w:rsidRPr="000F3553" w:rsidRDefault="00922D8A" w:rsidP="000F3553">
      <w:pPr>
        <w:pStyle w:val="Pagrindinistekstas"/>
      </w:pPr>
      <w:r w:rsidRPr="000F3553">
        <w:rPr>
          <w:i w:val="0"/>
          <w:color w:val="auto"/>
          <w:lang w:val="lt-LT"/>
        </w:rPr>
        <w:t>N10 - LT/1/94/0478/005</w:t>
      </w:r>
    </w:p>
    <w:p w14:paraId="0B6DD315" w14:textId="77777777" w:rsidR="00922D8A" w:rsidRPr="000F3553" w:rsidRDefault="00922D8A" w:rsidP="000F3553">
      <w:pPr>
        <w:pStyle w:val="Pagrindinistekstas"/>
      </w:pPr>
      <w:r w:rsidRPr="000F3553">
        <w:rPr>
          <w:i w:val="0"/>
          <w:color w:val="auto"/>
          <w:lang w:val="lt-LT"/>
        </w:rPr>
        <w:t>N14 - LT/1/94/0478/006</w:t>
      </w:r>
    </w:p>
    <w:p w14:paraId="0F477A1D" w14:textId="77777777" w:rsidR="00922D8A" w:rsidRPr="008661CD" w:rsidRDefault="00922D8A" w:rsidP="008661CD">
      <w:pPr>
        <w:ind w:left="567" w:hanging="567"/>
      </w:pPr>
    </w:p>
    <w:p w14:paraId="442467D4" w14:textId="77777777" w:rsidR="00922D8A" w:rsidRPr="008661CD" w:rsidRDefault="00922D8A" w:rsidP="008661CD">
      <w:pPr>
        <w:ind w:left="567" w:hanging="567"/>
      </w:pPr>
    </w:p>
    <w:p w14:paraId="43AFF9D2" w14:textId="77777777" w:rsidR="00922D8A" w:rsidRPr="008661CD" w:rsidRDefault="00922D8A" w:rsidP="008661CD">
      <w:pPr>
        <w:ind w:left="567" w:hanging="567"/>
        <w:rPr>
          <w:b/>
          <w:caps/>
        </w:rPr>
      </w:pPr>
      <w:r w:rsidRPr="008661CD">
        <w:rPr>
          <w:b/>
          <w:caps/>
        </w:rPr>
        <w:lastRenderedPageBreak/>
        <w:t>9.</w:t>
      </w:r>
      <w:r w:rsidRPr="008661CD">
        <w:rPr>
          <w:b/>
          <w:caps/>
        </w:rPr>
        <w:tab/>
        <w:t>REGISTRAVIMO / PERREGISTRAVIMO data</w:t>
      </w:r>
    </w:p>
    <w:p w14:paraId="510FC3E8" w14:textId="77777777" w:rsidR="00922D8A" w:rsidRPr="008661CD" w:rsidRDefault="00922D8A" w:rsidP="008661CD">
      <w:pPr>
        <w:ind w:left="567" w:hanging="567"/>
        <w:rPr>
          <w:b/>
          <w:caps/>
        </w:rPr>
      </w:pPr>
    </w:p>
    <w:p w14:paraId="64DB7438" w14:textId="77777777" w:rsidR="00922D8A" w:rsidRPr="008661CD" w:rsidRDefault="00922D8A" w:rsidP="008661CD">
      <w:pPr>
        <w:ind w:left="567" w:hanging="567"/>
      </w:pPr>
      <w:r w:rsidRPr="008661CD">
        <w:t>Registravimo data 1994 m. kovo mėn. 31 d.</w:t>
      </w:r>
    </w:p>
    <w:p w14:paraId="5206797C" w14:textId="77777777" w:rsidR="00922D8A" w:rsidRPr="008661CD" w:rsidRDefault="00922D8A" w:rsidP="008661CD">
      <w:pPr>
        <w:ind w:left="567" w:hanging="567"/>
      </w:pPr>
      <w:r w:rsidRPr="008661CD">
        <w:t>Paskutinio perregistravimo data 2006 m. balandžio mėn. 28 d.</w:t>
      </w:r>
    </w:p>
    <w:p w14:paraId="5D6F6E86" w14:textId="77777777" w:rsidR="00922D8A" w:rsidRPr="008661CD" w:rsidRDefault="00922D8A" w:rsidP="008661CD">
      <w:pPr>
        <w:ind w:left="567" w:hanging="567"/>
      </w:pPr>
    </w:p>
    <w:p w14:paraId="16EFFAC6" w14:textId="77777777" w:rsidR="00922D8A" w:rsidRPr="008661CD" w:rsidRDefault="00922D8A" w:rsidP="008661CD">
      <w:pPr>
        <w:ind w:left="567" w:hanging="567"/>
      </w:pPr>
    </w:p>
    <w:p w14:paraId="0F744D95" w14:textId="77777777" w:rsidR="00922D8A" w:rsidRPr="008661CD" w:rsidRDefault="00922D8A" w:rsidP="008661CD">
      <w:pPr>
        <w:keepNext/>
        <w:ind w:left="567" w:hanging="567"/>
        <w:rPr>
          <w:b/>
          <w:caps/>
        </w:rPr>
      </w:pPr>
      <w:r w:rsidRPr="008661CD">
        <w:rPr>
          <w:b/>
          <w:caps/>
        </w:rPr>
        <w:t>10.</w:t>
      </w:r>
      <w:r w:rsidRPr="008661CD">
        <w:rPr>
          <w:b/>
          <w:caps/>
        </w:rPr>
        <w:tab/>
        <w:t>teksto peržiūros data</w:t>
      </w:r>
    </w:p>
    <w:p w14:paraId="7BD103D3" w14:textId="77777777" w:rsidR="00922D8A" w:rsidRPr="008661CD" w:rsidRDefault="00922D8A" w:rsidP="008661CD">
      <w:pPr>
        <w:keepNext/>
        <w:ind w:left="567" w:hanging="567"/>
        <w:rPr>
          <w:b/>
          <w:caps/>
        </w:rPr>
      </w:pPr>
    </w:p>
    <w:p w14:paraId="1C8CA66C" w14:textId="77777777" w:rsidR="00922D8A" w:rsidRPr="008661CD" w:rsidRDefault="00922D8A" w:rsidP="008661CD">
      <w:r w:rsidRPr="008661CD">
        <w:t>2019 m. vasario 8 d.</w:t>
      </w:r>
    </w:p>
    <w:p w14:paraId="5AD93EF2" w14:textId="77777777" w:rsidR="00922D8A" w:rsidRPr="008661CD" w:rsidRDefault="00922D8A" w:rsidP="008661CD"/>
    <w:p w14:paraId="5B50AF37" w14:textId="77777777" w:rsidR="00922D8A" w:rsidRPr="008661CD" w:rsidRDefault="00922D8A" w:rsidP="008661CD">
      <w:r w:rsidRPr="008661CD">
        <w:t>Išsami informacija apie šį vaistinį preparatą pateikiama Valstybinės vaistų kontrolės tarnybos prie Lietuvos Respublikos  sveikatos apsaugos ministerijos tinklalapyje</w:t>
      </w:r>
      <w:r w:rsidRPr="008661CD">
        <w:rPr>
          <w:i/>
        </w:rPr>
        <w:t xml:space="preserve"> </w:t>
      </w:r>
      <w:hyperlink r:id="rId9" w:history="1">
        <w:r w:rsidRPr="000F3553">
          <w:rPr>
            <w:rStyle w:val="Hipersaitas"/>
          </w:rPr>
          <w:t>http://www.vvkt.lt</w:t>
        </w:r>
      </w:hyperlink>
    </w:p>
    <w:p w14:paraId="415EC100" w14:textId="77777777" w:rsidR="00922D8A" w:rsidRPr="008661CD" w:rsidRDefault="00922D8A" w:rsidP="008661CD">
      <w:pPr>
        <w:ind w:left="567" w:hanging="567"/>
        <w:rPr>
          <w:b/>
          <w:caps/>
        </w:rPr>
      </w:pPr>
    </w:p>
    <w:p w14:paraId="6B1EE5AE" w14:textId="77777777" w:rsidR="00922D8A" w:rsidRPr="000F3553" w:rsidRDefault="00922D8A" w:rsidP="000F3553">
      <w:pPr>
        <w:pStyle w:val="Paprastasistekstas"/>
        <w:tabs>
          <w:tab w:val="left" w:pos="5954"/>
          <w:tab w:val="left" w:pos="6237"/>
          <w:tab w:val="left" w:pos="6663"/>
          <w:tab w:val="left" w:pos="6946"/>
        </w:tabs>
        <w:ind w:left="5103"/>
        <w:rPr>
          <w:color w:val="000000"/>
        </w:rPr>
      </w:pPr>
      <w:r w:rsidRPr="000F3553">
        <w:rPr>
          <w:rFonts w:ascii="Times New Roman" w:hAnsi="Times New Roman"/>
          <w:sz w:val="22"/>
          <w:lang w:val="lt-LT"/>
        </w:rPr>
        <w:br w:type="page"/>
      </w:r>
    </w:p>
    <w:p w14:paraId="1B5E2565" w14:textId="77777777" w:rsidR="00922D8A" w:rsidRPr="008661CD" w:rsidRDefault="00922D8A" w:rsidP="008661CD"/>
    <w:p w14:paraId="05CD5DCD" w14:textId="77777777" w:rsidR="00922D8A" w:rsidRPr="008661CD" w:rsidRDefault="00922D8A" w:rsidP="008661CD"/>
    <w:p w14:paraId="3294273D" w14:textId="77777777" w:rsidR="00922D8A" w:rsidRPr="008661CD" w:rsidRDefault="00922D8A" w:rsidP="008661CD"/>
    <w:p w14:paraId="78B2179D" w14:textId="77777777" w:rsidR="00922D8A" w:rsidRPr="008661CD" w:rsidRDefault="00922D8A" w:rsidP="008661CD"/>
    <w:p w14:paraId="6340D4AC" w14:textId="77777777" w:rsidR="00922D8A" w:rsidRPr="008661CD" w:rsidRDefault="00922D8A" w:rsidP="008661CD"/>
    <w:p w14:paraId="492BC764" w14:textId="77777777" w:rsidR="00922D8A" w:rsidRPr="008661CD" w:rsidRDefault="00922D8A" w:rsidP="008661CD"/>
    <w:p w14:paraId="2F8D194D" w14:textId="77777777" w:rsidR="00922D8A" w:rsidRPr="008661CD" w:rsidRDefault="00922D8A" w:rsidP="008661CD"/>
    <w:p w14:paraId="53106DDF" w14:textId="77777777" w:rsidR="00922D8A" w:rsidRPr="008661CD" w:rsidRDefault="00922D8A" w:rsidP="008661CD"/>
    <w:p w14:paraId="3853E81E" w14:textId="77777777" w:rsidR="00922D8A" w:rsidRPr="008661CD" w:rsidRDefault="00922D8A" w:rsidP="008661CD"/>
    <w:p w14:paraId="05FC9427" w14:textId="77777777" w:rsidR="00922D8A" w:rsidRPr="008661CD" w:rsidRDefault="00922D8A" w:rsidP="008661CD"/>
    <w:p w14:paraId="45CC5A0F" w14:textId="77777777" w:rsidR="00922D8A" w:rsidRPr="008661CD" w:rsidRDefault="00922D8A" w:rsidP="008661CD"/>
    <w:p w14:paraId="4BA7CCA3" w14:textId="77777777" w:rsidR="00922D8A" w:rsidRPr="008661CD" w:rsidRDefault="00922D8A" w:rsidP="008661CD"/>
    <w:p w14:paraId="7F626539" w14:textId="77777777" w:rsidR="00922D8A" w:rsidRPr="008661CD" w:rsidRDefault="00922D8A" w:rsidP="008661CD"/>
    <w:p w14:paraId="7CD23E01" w14:textId="77777777" w:rsidR="00922D8A" w:rsidRPr="008661CD" w:rsidRDefault="00922D8A" w:rsidP="008661CD"/>
    <w:p w14:paraId="28A1A7C6" w14:textId="77777777" w:rsidR="00922D8A" w:rsidRPr="008661CD" w:rsidRDefault="00922D8A" w:rsidP="008661CD"/>
    <w:p w14:paraId="5CAE10B3" w14:textId="77777777" w:rsidR="00922D8A" w:rsidRPr="008661CD" w:rsidRDefault="00922D8A" w:rsidP="008661CD"/>
    <w:p w14:paraId="1CC37E98" w14:textId="77777777" w:rsidR="00922D8A" w:rsidRPr="008661CD" w:rsidRDefault="00922D8A" w:rsidP="008661CD"/>
    <w:p w14:paraId="12DC3F59" w14:textId="77777777" w:rsidR="00922D8A" w:rsidRPr="008661CD" w:rsidRDefault="00922D8A" w:rsidP="008661CD">
      <w:pPr>
        <w:jc w:val="center"/>
        <w:rPr>
          <w:b/>
        </w:rPr>
      </w:pPr>
    </w:p>
    <w:p w14:paraId="267700AA" w14:textId="77777777" w:rsidR="00922D8A" w:rsidRPr="008661CD" w:rsidRDefault="00922D8A" w:rsidP="008661CD">
      <w:pPr>
        <w:jc w:val="center"/>
        <w:rPr>
          <w:b/>
        </w:rPr>
      </w:pPr>
    </w:p>
    <w:p w14:paraId="3E61509A" w14:textId="77777777" w:rsidR="00922D8A" w:rsidRPr="008661CD" w:rsidRDefault="00922D8A" w:rsidP="008661CD">
      <w:pPr>
        <w:jc w:val="center"/>
        <w:rPr>
          <w:b/>
        </w:rPr>
      </w:pPr>
    </w:p>
    <w:p w14:paraId="365DEB6E" w14:textId="77777777" w:rsidR="00922D8A" w:rsidRPr="008661CD" w:rsidRDefault="00922D8A" w:rsidP="008661CD">
      <w:pPr>
        <w:jc w:val="center"/>
        <w:rPr>
          <w:b/>
        </w:rPr>
      </w:pPr>
    </w:p>
    <w:p w14:paraId="4C1D9960" w14:textId="77777777" w:rsidR="00922D8A" w:rsidRPr="008661CD" w:rsidRDefault="00922D8A" w:rsidP="008661CD">
      <w:pPr>
        <w:jc w:val="center"/>
        <w:rPr>
          <w:b/>
        </w:rPr>
      </w:pPr>
    </w:p>
    <w:p w14:paraId="2691DD7B" w14:textId="77777777" w:rsidR="00922D8A" w:rsidRPr="008661CD" w:rsidRDefault="00922D8A" w:rsidP="008661CD">
      <w:pPr>
        <w:jc w:val="center"/>
        <w:rPr>
          <w:b/>
        </w:rPr>
      </w:pPr>
    </w:p>
    <w:p w14:paraId="44EA76D9" w14:textId="77777777" w:rsidR="00922D8A" w:rsidRPr="008661CD" w:rsidRDefault="00922D8A" w:rsidP="008661CD">
      <w:pPr>
        <w:jc w:val="center"/>
        <w:rPr>
          <w:b/>
        </w:rPr>
      </w:pPr>
      <w:r w:rsidRPr="008661CD">
        <w:rPr>
          <w:b/>
        </w:rPr>
        <w:t>II PRIEDAS</w:t>
      </w:r>
    </w:p>
    <w:p w14:paraId="71DE4164" w14:textId="77777777" w:rsidR="00922D8A" w:rsidRPr="008661CD" w:rsidRDefault="00922D8A" w:rsidP="008661CD">
      <w:pPr>
        <w:ind w:left="1701" w:right="1416" w:hanging="567"/>
      </w:pPr>
    </w:p>
    <w:p w14:paraId="767F7C01" w14:textId="77777777" w:rsidR="00922D8A" w:rsidRPr="008661CD" w:rsidRDefault="00922D8A" w:rsidP="008661CD">
      <w:pPr>
        <w:jc w:val="center"/>
        <w:rPr>
          <w:i/>
        </w:rPr>
      </w:pPr>
      <w:r w:rsidRPr="008661CD">
        <w:rPr>
          <w:b/>
        </w:rPr>
        <w:t>REGISTRACIJOS SĄLYGOS</w:t>
      </w:r>
    </w:p>
    <w:p w14:paraId="13C53B1C" w14:textId="77777777" w:rsidR="00922D8A" w:rsidRPr="008661CD" w:rsidRDefault="00922D8A" w:rsidP="008661CD"/>
    <w:p w14:paraId="107967AF" w14:textId="77777777" w:rsidR="00922D8A" w:rsidRPr="008661CD" w:rsidRDefault="00922D8A" w:rsidP="008661CD">
      <w:pPr>
        <w:tabs>
          <w:tab w:val="left" w:pos="1701"/>
        </w:tabs>
        <w:ind w:left="1701" w:right="567" w:hanging="567"/>
        <w:rPr>
          <w:b/>
        </w:rPr>
      </w:pPr>
      <w:r w:rsidRPr="008661CD">
        <w:rPr>
          <w:b/>
        </w:rPr>
        <w:t>A.</w:t>
      </w:r>
      <w:r w:rsidRPr="008661CD">
        <w:rPr>
          <w:b/>
        </w:rPr>
        <w:tab/>
        <w:t>GAMINTOJAS (-AI), ATSAKINGAS (-I) UŽ SERIJŲ IŠLEIDIMĄ</w:t>
      </w:r>
    </w:p>
    <w:p w14:paraId="1C8B5521" w14:textId="77777777" w:rsidR="00922D8A" w:rsidRPr="008661CD" w:rsidRDefault="00922D8A" w:rsidP="008661CD">
      <w:pPr>
        <w:tabs>
          <w:tab w:val="left" w:pos="1701"/>
        </w:tabs>
        <w:ind w:left="567" w:right="567" w:hanging="567"/>
      </w:pPr>
    </w:p>
    <w:p w14:paraId="284DA171" w14:textId="77777777" w:rsidR="00922D8A" w:rsidRPr="008661CD" w:rsidRDefault="00922D8A" w:rsidP="008661CD">
      <w:pPr>
        <w:tabs>
          <w:tab w:val="left" w:pos="1701"/>
        </w:tabs>
        <w:ind w:left="1701" w:right="567" w:hanging="567"/>
        <w:rPr>
          <w:b/>
        </w:rPr>
      </w:pPr>
      <w:r w:rsidRPr="008661CD">
        <w:rPr>
          <w:b/>
        </w:rPr>
        <w:t>B.</w:t>
      </w:r>
      <w:r w:rsidRPr="008661CD">
        <w:rPr>
          <w:b/>
        </w:rPr>
        <w:tab/>
        <w:t>TIEKIMO IR VARTOJIMO SĄLYGOS AR APRIBOJIMAI</w:t>
      </w:r>
    </w:p>
    <w:p w14:paraId="45372658" w14:textId="77777777" w:rsidR="00922D8A" w:rsidRPr="008661CD" w:rsidRDefault="00922D8A" w:rsidP="008661CD">
      <w:pPr>
        <w:ind w:left="567" w:hanging="567"/>
        <w:rPr>
          <w:b/>
        </w:rPr>
      </w:pPr>
      <w:r w:rsidRPr="008661CD">
        <w:br w:type="page"/>
      </w:r>
      <w:r w:rsidRPr="008661CD">
        <w:rPr>
          <w:b/>
        </w:rPr>
        <w:lastRenderedPageBreak/>
        <w:t xml:space="preserve">A. </w:t>
      </w:r>
      <w:r w:rsidRPr="008661CD">
        <w:rPr>
          <w:b/>
        </w:rPr>
        <w:tab/>
        <w:t>GAMINTOJAS (-AI), ATSAKINGAS (-I) UŽ SERIJŲ IŠLEIDIMĄ</w:t>
      </w:r>
    </w:p>
    <w:p w14:paraId="6FC6E3F2" w14:textId="77777777" w:rsidR="00922D8A" w:rsidRPr="008661CD" w:rsidRDefault="00922D8A" w:rsidP="008661CD"/>
    <w:p w14:paraId="3C239CEC" w14:textId="77777777" w:rsidR="00922D8A" w:rsidRPr="000F3553" w:rsidRDefault="00922D8A" w:rsidP="008661CD">
      <w:r w:rsidRPr="008661CD">
        <w:rPr>
          <w:u w:val="single"/>
        </w:rPr>
        <w:t>Gamintojo (-ų), atsakingo (-ų) už serijų išleidimą, pavadinimas (-ai) ir adresas (-ai)</w:t>
      </w:r>
    </w:p>
    <w:p w14:paraId="3D47D3B0" w14:textId="77777777" w:rsidR="00922D8A" w:rsidRPr="008661CD" w:rsidRDefault="00922D8A" w:rsidP="008661CD">
      <w:pPr>
        <w:autoSpaceDE w:val="0"/>
        <w:autoSpaceDN w:val="0"/>
        <w:adjustRightInd w:val="0"/>
      </w:pPr>
      <w:r w:rsidRPr="008661CD">
        <w:t>Glaxo Operations UK Ltd</w:t>
      </w:r>
    </w:p>
    <w:p w14:paraId="0790EB7F" w14:textId="77777777" w:rsidR="00922D8A" w:rsidRPr="008661CD" w:rsidRDefault="00922D8A" w:rsidP="008661CD">
      <w:pPr>
        <w:autoSpaceDE w:val="0"/>
        <w:autoSpaceDN w:val="0"/>
        <w:adjustRightInd w:val="0"/>
      </w:pPr>
      <w:r w:rsidRPr="008661CD">
        <w:t>(Trading as Glaxo Wellcome Operations)</w:t>
      </w:r>
    </w:p>
    <w:p w14:paraId="5DA71178" w14:textId="77777777" w:rsidR="00922D8A" w:rsidRPr="008661CD" w:rsidRDefault="00922D8A" w:rsidP="008661CD">
      <w:pPr>
        <w:autoSpaceDE w:val="0"/>
        <w:autoSpaceDN w:val="0"/>
        <w:adjustRightInd w:val="0"/>
      </w:pPr>
      <w:r w:rsidRPr="008661CD">
        <w:t>Harmire Road</w:t>
      </w:r>
    </w:p>
    <w:p w14:paraId="6D561A7B" w14:textId="77777777" w:rsidR="00922D8A" w:rsidRPr="008661CD" w:rsidRDefault="00922D8A" w:rsidP="008661CD">
      <w:pPr>
        <w:autoSpaceDE w:val="0"/>
        <w:autoSpaceDN w:val="0"/>
        <w:adjustRightInd w:val="0"/>
      </w:pPr>
      <w:r w:rsidRPr="008661CD">
        <w:t>Barnard Castle</w:t>
      </w:r>
    </w:p>
    <w:p w14:paraId="1B42E47C" w14:textId="77777777" w:rsidR="00922D8A" w:rsidRPr="008661CD" w:rsidRDefault="00922D8A" w:rsidP="008661CD">
      <w:pPr>
        <w:autoSpaceDE w:val="0"/>
        <w:autoSpaceDN w:val="0"/>
        <w:adjustRightInd w:val="0"/>
      </w:pPr>
      <w:r w:rsidRPr="008661CD">
        <w:t>Durham</w:t>
      </w:r>
    </w:p>
    <w:p w14:paraId="70443000" w14:textId="77777777" w:rsidR="00922D8A" w:rsidRPr="008661CD" w:rsidRDefault="00922D8A" w:rsidP="008661CD">
      <w:pPr>
        <w:autoSpaceDE w:val="0"/>
        <w:autoSpaceDN w:val="0"/>
        <w:adjustRightInd w:val="0"/>
      </w:pPr>
      <w:r w:rsidRPr="008661CD">
        <w:t>DL12 8DT</w:t>
      </w:r>
    </w:p>
    <w:p w14:paraId="02F270BB" w14:textId="77777777" w:rsidR="00922D8A" w:rsidRPr="008661CD" w:rsidRDefault="00922D8A" w:rsidP="008661CD">
      <w:pPr>
        <w:autoSpaceDE w:val="0"/>
        <w:autoSpaceDN w:val="0"/>
        <w:adjustRightInd w:val="0"/>
      </w:pPr>
      <w:r w:rsidRPr="008661CD">
        <w:t>Jungtinė Karalystė</w:t>
      </w:r>
    </w:p>
    <w:p w14:paraId="29DB6BCF" w14:textId="77777777" w:rsidR="00F43431" w:rsidRPr="008661CD" w:rsidRDefault="00F43431" w:rsidP="000F3553">
      <w:pPr>
        <w:autoSpaceDE w:val="0"/>
        <w:autoSpaceDN w:val="0"/>
        <w:adjustRightInd w:val="0"/>
      </w:pPr>
    </w:p>
    <w:p w14:paraId="61C3AEAE" w14:textId="77777777" w:rsidR="00F43431" w:rsidRDefault="00F43431" w:rsidP="00922D8A">
      <w:pPr>
        <w:autoSpaceDE w:val="0"/>
        <w:autoSpaceDN w:val="0"/>
        <w:adjustRightInd w:val="0"/>
        <w:rPr>
          <w:szCs w:val="22"/>
        </w:rPr>
      </w:pPr>
      <w:r>
        <w:rPr>
          <w:szCs w:val="22"/>
        </w:rPr>
        <w:t>arba</w:t>
      </w:r>
    </w:p>
    <w:p w14:paraId="2B1128D2" w14:textId="77777777" w:rsidR="00F43431" w:rsidRDefault="00F43431" w:rsidP="00922D8A">
      <w:pPr>
        <w:autoSpaceDE w:val="0"/>
        <w:autoSpaceDN w:val="0"/>
        <w:adjustRightInd w:val="0"/>
        <w:rPr>
          <w:szCs w:val="22"/>
        </w:rPr>
      </w:pPr>
    </w:p>
    <w:p w14:paraId="606610D4" w14:textId="6F45AD13" w:rsidR="00CD0ED2" w:rsidRPr="00242FF6" w:rsidRDefault="00CD0ED2" w:rsidP="00CD0ED2">
      <w:pPr>
        <w:autoSpaceDE w:val="0"/>
        <w:autoSpaceDN w:val="0"/>
        <w:adjustRightInd w:val="0"/>
        <w:rPr>
          <w:rFonts w:eastAsia="Calibri"/>
        </w:rPr>
      </w:pPr>
      <w:r w:rsidRPr="00242FF6">
        <w:rPr>
          <w:rFonts w:eastAsia="Calibri"/>
        </w:rPr>
        <w:t>GlaxoSmithKline Trading Services Limited</w:t>
      </w:r>
    </w:p>
    <w:p w14:paraId="46A08DA6" w14:textId="77777777" w:rsidR="00CD0ED2" w:rsidRPr="00242FF6" w:rsidRDefault="00CD0ED2" w:rsidP="00CD0ED2">
      <w:pPr>
        <w:autoSpaceDE w:val="0"/>
        <w:autoSpaceDN w:val="0"/>
        <w:adjustRightInd w:val="0"/>
        <w:rPr>
          <w:rFonts w:eastAsia="Calibri"/>
        </w:rPr>
      </w:pPr>
      <w:r w:rsidRPr="00242FF6">
        <w:rPr>
          <w:rFonts w:eastAsia="Calibri"/>
        </w:rPr>
        <w:t>12 Riverwalk</w:t>
      </w:r>
    </w:p>
    <w:p w14:paraId="18670415" w14:textId="77777777" w:rsidR="00CD0ED2" w:rsidRPr="00242FF6" w:rsidRDefault="00CD0ED2" w:rsidP="00CD0ED2">
      <w:pPr>
        <w:autoSpaceDE w:val="0"/>
        <w:autoSpaceDN w:val="0"/>
        <w:adjustRightInd w:val="0"/>
        <w:rPr>
          <w:rFonts w:eastAsia="Calibri"/>
        </w:rPr>
      </w:pPr>
      <w:r w:rsidRPr="00242FF6">
        <w:rPr>
          <w:rFonts w:eastAsia="Calibri"/>
        </w:rPr>
        <w:t>Citywest Business Campus</w:t>
      </w:r>
    </w:p>
    <w:p w14:paraId="431446E3" w14:textId="77777777" w:rsidR="00CD0ED2" w:rsidRPr="00242FF6" w:rsidRDefault="00CD0ED2" w:rsidP="00CD0ED2">
      <w:pPr>
        <w:autoSpaceDE w:val="0"/>
        <w:autoSpaceDN w:val="0"/>
        <w:adjustRightInd w:val="0"/>
        <w:rPr>
          <w:rFonts w:eastAsia="Calibri"/>
        </w:rPr>
      </w:pPr>
      <w:r w:rsidRPr="00242FF6">
        <w:rPr>
          <w:rFonts w:eastAsia="Calibri"/>
        </w:rPr>
        <w:t>Dublin 24</w:t>
      </w:r>
    </w:p>
    <w:p w14:paraId="7BF04136" w14:textId="77777777" w:rsidR="00CD0ED2" w:rsidRPr="00242FF6" w:rsidRDefault="00CD0ED2" w:rsidP="00CD0ED2">
      <w:pPr>
        <w:autoSpaceDE w:val="0"/>
        <w:autoSpaceDN w:val="0"/>
        <w:adjustRightInd w:val="0"/>
        <w:rPr>
          <w:rFonts w:eastAsia="Calibri"/>
        </w:rPr>
      </w:pPr>
      <w:r w:rsidRPr="00242FF6">
        <w:rPr>
          <w:rFonts w:eastAsia="Calibri"/>
        </w:rPr>
        <w:t>D24 YK11</w:t>
      </w:r>
    </w:p>
    <w:p w14:paraId="361273BE" w14:textId="04FE89AA" w:rsidR="00CD0ED2" w:rsidRPr="008661CD" w:rsidRDefault="00CD0ED2" w:rsidP="00CD0ED2">
      <w:pPr>
        <w:autoSpaceDE w:val="0"/>
        <w:autoSpaceDN w:val="0"/>
        <w:adjustRightInd w:val="0"/>
        <w:rPr>
          <w:szCs w:val="22"/>
        </w:rPr>
      </w:pPr>
      <w:r>
        <w:rPr>
          <w:rFonts w:eastAsia="Calibri"/>
        </w:rPr>
        <w:t>Airija</w:t>
      </w:r>
    </w:p>
    <w:p w14:paraId="388F13D6" w14:textId="77777777" w:rsidR="00922D8A" w:rsidRPr="00C510EF" w:rsidRDefault="00922D8A" w:rsidP="00922D8A">
      <w:pPr>
        <w:rPr>
          <w:szCs w:val="22"/>
        </w:rPr>
      </w:pPr>
    </w:p>
    <w:p w14:paraId="63F8D068" w14:textId="77777777" w:rsidR="00922D8A" w:rsidRPr="00C510EF" w:rsidRDefault="00922D8A" w:rsidP="00922D8A">
      <w:pPr>
        <w:autoSpaceDE w:val="0"/>
        <w:autoSpaceDN w:val="0"/>
        <w:adjustRightInd w:val="0"/>
        <w:rPr>
          <w:noProof/>
          <w:szCs w:val="22"/>
        </w:rPr>
      </w:pPr>
      <w:r w:rsidRPr="00C510EF">
        <w:rPr>
          <w:noProof/>
          <w:szCs w:val="22"/>
        </w:rPr>
        <w:t>Su pakuote pateikiamame lapelyje nurodomas gamintojo, atsakingo už konkrečios serijos išleidimą, pavadinimas ir adresas.</w:t>
      </w:r>
    </w:p>
    <w:p w14:paraId="5B60138D" w14:textId="77777777" w:rsidR="00922D8A" w:rsidRPr="00C510EF" w:rsidRDefault="00922D8A" w:rsidP="00922D8A">
      <w:pPr>
        <w:rPr>
          <w:szCs w:val="22"/>
        </w:rPr>
      </w:pPr>
    </w:p>
    <w:p w14:paraId="0FDAE609" w14:textId="77777777" w:rsidR="00922D8A" w:rsidRPr="008661CD" w:rsidRDefault="00922D8A" w:rsidP="008661CD"/>
    <w:p w14:paraId="5BB7AAA1" w14:textId="77777777" w:rsidR="00922D8A" w:rsidRPr="008661CD" w:rsidRDefault="00922D8A" w:rsidP="008661CD">
      <w:pPr>
        <w:ind w:left="567" w:hanging="567"/>
        <w:rPr>
          <w:b/>
        </w:rPr>
      </w:pPr>
      <w:r w:rsidRPr="008661CD">
        <w:rPr>
          <w:b/>
        </w:rPr>
        <w:t xml:space="preserve">B. </w:t>
      </w:r>
      <w:r w:rsidRPr="008661CD">
        <w:rPr>
          <w:b/>
        </w:rPr>
        <w:tab/>
        <w:t>TIEKIMO IR VARTOJIMO SĄLYGOS AR APRIBOJIMAI</w:t>
      </w:r>
    </w:p>
    <w:p w14:paraId="3019C7A5" w14:textId="77777777" w:rsidR="00922D8A" w:rsidRPr="008661CD" w:rsidRDefault="00922D8A" w:rsidP="008661CD"/>
    <w:p w14:paraId="680CC0A8" w14:textId="77777777" w:rsidR="00922D8A" w:rsidRPr="008661CD" w:rsidRDefault="00922D8A" w:rsidP="008661CD">
      <w:r w:rsidRPr="008661CD">
        <w:t>Receptinis vaistinis preparatas.</w:t>
      </w:r>
    </w:p>
    <w:p w14:paraId="4C47E451" w14:textId="77777777" w:rsidR="00922D8A" w:rsidRPr="008661CD" w:rsidRDefault="00922D8A" w:rsidP="008661CD"/>
    <w:p w14:paraId="7D0ED7DB" w14:textId="77777777" w:rsidR="00922D8A" w:rsidRPr="000F3553" w:rsidRDefault="00922D8A" w:rsidP="000F3553">
      <w:pPr>
        <w:pStyle w:val="Paprastasistekstas"/>
        <w:tabs>
          <w:tab w:val="left" w:pos="5954"/>
          <w:tab w:val="left" w:pos="6237"/>
          <w:tab w:val="left" w:pos="6663"/>
          <w:tab w:val="left" w:pos="6946"/>
        </w:tabs>
        <w:jc w:val="center"/>
        <w:rPr>
          <w:color w:val="000000"/>
        </w:rPr>
      </w:pPr>
      <w:r w:rsidRPr="000F3553">
        <w:rPr>
          <w:rFonts w:ascii="Times New Roman" w:hAnsi="Times New Roman"/>
          <w:sz w:val="22"/>
        </w:rPr>
        <w:br w:type="page"/>
      </w:r>
    </w:p>
    <w:p w14:paraId="3D7BE3FF" w14:textId="77777777" w:rsidR="00922D8A" w:rsidRPr="008661CD" w:rsidRDefault="00922D8A" w:rsidP="008661CD">
      <w:pPr>
        <w:ind w:right="566"/>
      </w:pPr>
    </w:p>
    <w:p w14:paraId="54E675CB" w14:textId="77777777" w:rsidR="00922D8A" w:rsidRPr="008661CD" w:rsidRDefault="00922D8A" w:rsidP="008661CD"/>
    <w:p w14:paraId="2841C384" w14:textId="77777777" w:rsidR="00922D8A" w:rsidRPr="008661CD" w:rsidRDefault="00922D8A" w:rsidP="008661CD"/>
    <w:p w14:paraId="7DF65F77" w14:textId="77777777" w:rsidR="00922D8A" w:rsidRPr="008661CD" w:rsidRDefault="00922D8A" w:rsidP="008661CD"/>
    <w:p w14:paraId="6FB94121" w14:textId="77777777" w:rsidR="00922D8A" w:rsidRPr="008661CD" w:rsidRDefault="00922D8A" w:rsidP="008661CD"/>
    <w:p w14:paraId="31047438" w14:textId="77777777" w:rsidR="00922D8A" w:rsidRPr="008661CD" w:rsidRDefault="00922D8A" w:rsidP="008661CD"/>
    <w:p w14:paraId="12EB4B1C" w14:textId="77777777" w:rsidR="00922D8A" w:rsidRPr="008661CD" w:rsidRDefault="00922D8A" w:rsidP="008661CD"/>
    <w:p w14:paraId="67AD1E94" w14:textId="77777777" w:rsidR="00922D8A" w:rsidRPr="008661CD" w:rsidRDefault="00922D8A" w:rsidP="008661CD"/>
    <w:p w14:paraId="777AF073" w14:textId="77777777" w:rsidR="00922D8A" w:rsidRPr="008661CD" w:rsidRDefault="00922D8A" w:rsidP="008661CD"/>
    <w:p w14:paraId="42676011" w14:textId="77777777" w:rsidR="00922D8A" w:rsidRPr="008661CD" w:rsidRDefault="00922D8A" w:rsidP="008661CD"/>
    <w:p w14:paraId="12DD426C" w14:textId="77777777" w:rsidR="00922D8A" w:rsidRPr="008661CD" w:rsidRDefault="00922D8A" w:rsidP="008661CD"/>
    <w:p w14:paraId="4D49DF55" w14:textId="77777777" w:rsidR="00922D8A" w:rsidRPr="008661CD" w:rsidRDefault="00922D8A" w:rsidP="008661CD"/>
    <w:p w14:paraId="26099F44" w14:textId="77777777" w:rsidR="00922D8A" w:rsidRPr="008661CD" w:rsidRDefault="00922D8A" w:rsidP="008661CD"/>
    <w:p w14:paraId="5A2FAFF2" w14:textId="77777777" w:rsidR="00922D8A" w:rsidRPr="008661CD" w:rsidRDefault="00922D8A" w:rsidP="008661CD"/>
    <w:p w14:paraId="727DB240" w14:textId="77777777" w:rsidR="00922D8A" w:rsidRPr="008661CD" w:rsidRDefault="00922D8A" w:rsidP="008661CD"/>
    <w:p w14:paraId="5B2C2B33" w14:textId="77777777" w:rsidR="00922D8A" w:rsidRPr="008661CD" w:rsidRDefault="00922D8A" w:rsidP="008661CD"/>
    <w:p w14:paraId="4882175F" w14:textId="77777777" w:rsidR="00922D8A" w:rsidRPr="008661CD" w:rsidRDefault="00922D8A" w:rsidP="008661CD"/>
    <w:p w14:paraId="41C77B2B" w14:textId="77777777" w:rsidR="00922D8A" w:rsidRPr="008661CD" w:rsidRDefault="00922D8A" w:rsidP="008661CD">
      <w:pPr>
        <w:outlineLvl w:val="0"/>
        <w:rPr>
          <w:b/>
        </w:rPr>
      </w:pPr>
    </w:p>
    <w:p w14:paraId="1CCCEA6E" w14:textId="77777777" w:rsidR="00922D8A" w:rsidRPr="008661CD" w:rsidRDefault="00922D8A" w:rsidP="008661CD">
      <w:pPr>
        <w:outlineLvl w:val="0"/>
        <w:rPr>
          <w:b/>
        </w:rPr>
      </w:pPr>
    </w:p>
    <w:p w14:paraId="7C4A2E36" w14:textId="77777777" w:rsidR="00922D8A" w:rsidRPr="008661CD" w:rsidRDefault="00922D8A" w:rsidP="008661CD">
      <w:pPr>
        <w:outlineLvl w:val="0"/>
        <w:rPr>
          <w:b/>
        </w:rPr>
      </w:pPr>
    </w:p>
    <w:p w14:paraId="44DBCCEC" w14:textId="77777777" w:rsidR="00922D8A" w:rsidRPr="008661CD" w:rsidRDefault="00922D8A" w:rsidP="008661CD">
      <w:pPr>
        <w:outlineLvl w:val="0"/>
        <w:rPr>
          <w:b/>
        </w:rPr>
      </w:pPr>
    </w:p>
    <w:p w14:paraId="3F514497" w14:textId="77777777" w:rsidR="00922D8A" w:rsidRPr="008661CD" w:rsidRDefault="00922D8A" w:rsidP="008661CD">
      <w:pPr>
        <w:outlineLvl w:val="0"/>
        <w:rPr>
          <w:b/>
        </w:rPr>
      </w:pPr>
    </w:p>
    <w:p w14:paraId="2BC119F1" w14:textId="77777777" w:rsidR="00922D8A" w:rsidRPr="008661CD" w:rsidRDefault="00922D8A" w:rsidP="008661CD">
      <w:pPr>
        <w:outlineLvl w:val="0"/>
        <w:rPr>
          <w:b/>
        </w:rPr>
      </w:pPr>
    </w:p>
    <w:p w14:paraId="2A0CF829" w14:textId="77777777" w:rsidR="00922D8A" w:rsidRPr="000F3553" w:rsidRDefault="00922D8A" w:rsidP="000F3553">
      <w:pPr>
        <w:pStyle w:val="Antrat2"/>
        <w:spacing w:before="0" w:after="0" w:line="240" w:lineRule="auto"/>
        <w:jc w:val="center"/>
        <w:rPr>
          <w:b w:val="0"/>
        </w:rPr>
      </w:pPr>
      <w:r w:rsidRPr="000F3553">
        <w:rPr>
          <w:rFonts w:ascii="Times New Roman" w:hAnsi="Times New Roman"/>
          <w:i w:val="0"/>
          <w:lang w:val="lt-LT"/>
        </w:rPr>
        <w:t>III PRIEDAS</w:t>
      </w:r>
    </w:p>
    <w:p w14:paraId="4E990CEB" w14:textId="77777777" w:rsidR="00922D8A" w:rsidRPr="008661CD" w:rsidRDefault="00922D8A" w:rsidP="008661CD"/>
    <w:p w14:paraId="60916CE9" w14:textId="77777777" w:rsidR="00922D8A" w:rsidRPr="000F3553" w:rsidRDefault="00922D8A" w:rsidP="000F3553">
      <w:pPr>
        <w:pStyle w:val="Antrat2"/>
        <w:spacing w:before="0" w:after="0" w:line="240" w:lineRule="auto"/>
        <w:jc w:val="center"/>
        <w:rPr>
          <w:b w:val="0"/>
        </w:rPr>
      </w:pPr>
      <w:r w:rsidRPr="000F3553">
        <w:rPr>
          <w:rFonts w:ascii="Times New Roman" w:hAnsi="Times New Roman"/>
          <w:i w:val="0"/>
          <w:lang w:val="lt-LT"/>
        </w:rPr>
        <w:t>ŽENKLINIMAS IR PAKUOTĖS LAPELIS</w:t>
      </w:r>
    </w:p>
    <w:p w14:paraId="460C02CE" w14:textId="77777777" w:rsidR="00922D8A" w:rsidRPr="008661CD" w:rsidRDefault="00922D8A" w:rsidP="008661CD">
      <w:r w:rsidRPr="008661CD">
        <w:br w:type="page"/>
      </w:r>
    </w:p>
    <w:p w14:paraId="55D482B5" w14:textId="77777777" w:rsidR="00922D8A" w:rsidRPr="008661CD" w:rsidRDefault="00922D8A" w:rsidP="008661CD">
      <w:pPr>
        <w:jc w:val="center"/>
      </w:pPr>
    </w:p>
    <w:p w14:paraId="54A74CD8" w14:textId="77777777" w:rsidR="00922D8A" w:rsidRPr="008661CD" w:rsidRDefault="00922D8A" w:rsidP="008661CD">
      <w:pPr>
        <w:jc w:val="center"/>
      </w:pPr>
    </w:p>
    <w:p w14:paraId="313BD44F" w14:textId="77777777" w:rsidR="00922D8A" w:rsidRPr="008661CD" w:rsidRDefault="00922D8A" w:rsidP="008661CD">
      <w:pPr>
        <w:jc w:val="center"/>
      </w:pPr>
    </w:p>
    <w:p w14:paraId="5F4CAC5F" w14:textId="77777777" w:rsidR="00922D8A" w:rsidRPr="008661CD" w:rsidRDefault="00922D8A" w:rsidP="008661CD">
      <w:pPr>
        <w:jc w:val="center"/>
      </w:pPr>
    </w:p>
    <w:p w14:paraId="1B7D91E7" w14:textId="77777777" w:rsidR="00922D8A" w:rsidRPr="008661CD" w:rsidRDefault="00922D8A" w:rsidP="008661CD">
      <w:pPr>
        <w:jc w:val="center"/>
      </w:pPr>
    </w:p>
    <w:p w14:paraId="3B531925" w14:textId="77777777" w:rsidR="00922D8A" w:rsidRPr="008661CD" w:rsidRDefault="00922D8A" w:rsidP="008661CD">
      <w:pPr>
        <w:jc w:val="center"/>
      </w:pPr>
    </w:p>
    <w:p w14:paraId="7DF86C31" w14:textId="77777777" w:rsidR="00922D8A" w:rsidRPr="008661CD" w:rsidRDefault="00922D8A" w:rsidP="008661CD">
      <w:pPr>
        <w:jc w:val="center"/>
      </w:pPr>
    </w:p>
    <w:p w14:paraId="3E5B8624" w14:textId="77777777" w:rsidR="00922D8A" w:rsidRPr="008661CD" w:rsidRDefault="00922D8A" w:rsidP="008661CD">
      <w:pPr>
        <w:jc w:val="center"/>
      </w:pPr>
    </w:p>
    <w:p w14:paraId="5835F41C" w14:textId="77777777" w:rsidR="00922D8A" w:rsidRPr="008661CD" w:rsidRDefault="00922D8A" w:rsidP="008661CD">
      <w:pPr>
        <w:jc w:val="center"/>
      </w:pPr>
    </w:p>
    <w:p w14:paraId="28E2B8A1" w14:textId="77777777" w:rsidR="00922D8A" w:rsidRPr="008661CD" w:rsidRDefault="00922D8A" w:rsidP="008661CD">
      <w:pPr>
        <w:jc w:val="center"/>
      </w:pPr>
    </w:p>
    <w:p w14:paraId="1CD1C5E4" w14:textId="77777777" w:rsidR="00922D8A" w:rsidRPr="008661CD" w:rsidRDefault="00922D8A" w:rsidP="008661CD">
      <w:pPr>
        <w:jc w:val="center"/>
      </w:pPr>
    </w:p>
    <w:p w14:paraId="36A187A8" w14:textId="77777777" w:rsidR="00922D8A" w:rsidRPr="008661CD" w:rsidRDefault="00922D8A" w:rsidP="008661CD">
      <w:pPr>
        <w:jc w:val="center"/>
      </w:pPr>
    </w:p>
    <w:p w14:paraId="6DDE0AF9" w14:textId="77777777" w:rsidR="00922D8A" w:rsidRPr="008661CD" w:rsidRDefault="00922D8A" w:rsidP="008661CD">
      <w:pPr>
        <w:jc w:val="center"/>
      </w:pPr>
    </w:p>
    <w:p w14:paraId="7A57F594" w14:textId="77777777" w:rsidR="00922D8A" w:rsidRPr="008661CD" w:rsidRDefault="00922D8A" w:rsidP="008661CD">
      <w:pPr>
        <w:jc w:val="center"/>
      </w:pPr>
    </w:p>
    <w:p w14:paraId="1B752A2D" w14:textId="77777777" w:rsidR="00922D8A" w:rsidRPr="008661CD" w:rsidRDefault="00922D8A" w:rsidP="008661CD">
      <w:pPr>
        <w:jc w:val="center"/>
      </w:pPr>
    </w:p>
    <w:p w14:paraId="78DFBA1D" w14:textId="77777777" w:rsidR="00922D8A" w:rsidRPr="008661CD" w:rsidRDefault="00922D8A" w:rsidP="008661CD">
      <w:pPr>
        <w:jc w:val="center"/>
      </w:pPr>
    </w:p>
    <w:p w14:paraId="39F3EC76" w14:textId="77777777" w:rsidR="00922D8A" w:rsidRPr="008661CD" w:rsidRDefault="00922D8A" w:rsidP="008661CD">
      <w:pPr>
        <w:jc w:val="center"/>
      </w:pPr>
    </w:p>
    <w:p w14:paraId="5DC34382" w14:textId="77777777" w:rsidR="00922D8A" w:rsidRPr="008661CD" w:rsidRDefault="00922D8A" w:rsidP="008661CD">
      <w:pPr>
        <w:jc w:val="center"/>
      </w:pPr>
    </w:p>
    <w:p w14:paraId="2701A77F" w14:textId="77777777" w:rsidR="00922D8A" w:rsidRPr="008661CD" w:rsidRDefault="00922D8A" w:rsidP="008661CD">
      <w:pPr>
        <w:jc w:val="center"/>
      </w:pPr>
    </w:p>
    <w:p w14:paraId="058381BE" w14:textId="77777777" w:rsidR="00922D8A" w:rsidRPr="008661CD" w:rsidRDefault="00922D8A" w:rsidP="008661CD">
      <w:pPr>
        <w:jc w:val="center"/>
      </w:pPr>
    </w:p>
    <w:p w14:paraId="2114F7E5" w14:textId="77777777" w:rsidR="00922D8A" w:rsidRPr="008661CD" w:rsidRDefault="00922D8A" w:rsidP="008661CD">
      <w:pPr>
        <w:jc w:val="center"/>
      </w:pPr>
    </w:p>
    <w:p w14:paraId="3C76C390" w14:textId="77777777" w:rsidR="00922D8A" w:rsidRPr="008661CD" w:rsidRDefault="00922D8A" w:rsidP="008661CD">
      <w:pPr>
        <w:jc w:val="center"/>
      </w:pPr>
    </w:p>
    <w:p w14:paraId="33394E12" w14:textId="77777777" w:rsidR="00922D8A" w:rsidRPr="008661CD" w:rsidRDefault="00922D8A" w:rsidP="008661CD">
      <w:pPr>
        <w:jc w:val="center"/>
        <w:outlineLvl w:val="0"/>
        <w:rPr>
          <w:b/>
        </w:rPr>
      </w:pPr>
    </w:p>
    <w:p w14:paraId="3874CB73" w14:textId="77777777" w:rsidR="00922D8A" w:rsidRPr="008661CD" w:rsidRDefault="00922D8A" w:rsidP="008661CD">
      <w:pPr>
        <w:jc w:val="center"/>
        <w:outlineLvl w:val="0"/>
      </w:pPr>
      <w:r w:rsidRPr="008661CD">
        <w:rPr>
          <w:b/>
        </w:rPr>
        <w:t>A. ŽENKLINIMAS</w:t>
      </w:r>
    </w:p>
    <w:p w14:paraId="73ADDC7B" w14:textId="77777777" w:rsidR="00922D8A" w:rsidRPr="008661CD" w:rsidRDefault="00922D8A" w:rsidP="008661CD">
      <w:pPr>
        <w:shd w:val="clear" w:color="auto" w:fill="FFFFFF"/>
      </w:pPr>
      <w:r w:rsidRPr="008661CD">
        <w:br w:type="page"/>
      </w:r>
    </w:p>
    <w:p w14:paraId="6FF0557D" w14:textId="77777777" w:rsidR="00922D8A" w:rsidRPr="008661CD" w:rsidRDefault="00922D8A" w:rsidP="008661CD">
      <w:pPr>
        <w:pBdr>
          <w:top w:val="single" w:sz="4" w:space="1" w:color="auto"/>
          <w:left w:val="single" w:sz="4" w:space="4" w:color="auto"/>
          <w:bottom w:val="single" w:sz="4" w:space="1" w:color="auto"/>
          <w:right w:val="single" w:sz="4" w:space="4" w:color="auto"/>
        </w:pBdr>
        <w:rPr>
          <w:b/>
        </w:rPr>
      </w:pPr>
      <w:r w:rsidRPr="008661CD">
        <w:rPr>
          <w:b/>
        </w:rPr>
        <w:lastRenderedPageBreak/>
        <w:t>INFORMACIJA ANT IŠORINĖS PAKUOTĖS</w:t>
      </w:r>
    </w:p>
    <w:p w14:paraId="720C9185"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pPr>
    </w:p>
    <w:p w14:paraId="673797EC" w14:textId="77777777" w:rsidR="00922D8A" w:rsidRPr="008661CD" w:rsidRDefault="00922D8A" w:rsidP="008661CD">
      <w:pPr>
        <w:pBdr>
          <w:top w:val="single" w:sz="4" w:space="1" w:color="auto"/>
          <w:left w:val="single" w:sz="4" w:space="4" w:color="auto"/>
          <w:bottom w:val="single" w:sz="4" w:space="1" w:color="auto"/>
          <w:right w:val="single" w:sz="4" w:space="4" w:color="auto"/>
        </w:pBdr>
      </w:pPr>
      <w:r w:rsidRPr="008661CD">
        <w:rPr>
          <w:b/>
        </w:rPr>
        <w:t>KARTONO DĖŽUTĖ</w:t>
      </w:r>
    </w:p>
    <w:p w14:paraId="5ACC1545" w14:textId="77777777" w:rsidR="00922D8A" w:rsidRPr="008661CD" w:rsidRDefault="00922D8A" w:rsidP="008661CD"/>
    <w:p w14:paraId="6258DE6B"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pPr>
      <w:r w:rsidRPr="008661CD">
        <w:rPr>
          <w:b/>
        </w:rPr>
        <w:t>1.</w:t>
      </w:r>
      <w:r w:rsidRPr="008661CD">
        <w:rPr>
          <w:b/>
        </w:rPr>
        <w:tab/>
        <w:t>VAISTINIO PREPARATO PAVADINIMAS</w:t>
      </w:r>
    </w:p>
    <w:p w14:paraId="06598D5C" w14:textId="77777777" w:rsidR="00922D8A" w:rsidRPr="008661CD" w:rsidRDefault="00922D8A" w:rsidP="008661CD"/>
    <w:p w14:paraId="3490B7C6" w14:textId="77777777" w:rsidR="00922D8A" w:rsidRPr="008661CD" w:rsidRDefault="00922D8A" w:rsidP="008661CD">
      <w:r w:rsidRPr="008661CD">
        <w:t>Zinnat 125 mg plėvele dengtos tabletės</w:t>
      </w:r>
    </w:p>
    <w:p w14:paraId="2EE6E6FF" w14:textId="77777777" w:rsidR="00922D8A" w:rsidRPr="008661CD" w:rsidRDefault="00922D8A" w:rsidP="008661CD">
      <w:pPr>
        <w:rPr>
          <w:highlight w:val="lightGray"/>
          <w:shd w:val="clear" w:color="auto" w:fill="C0C0C0"/>
        </w:rPr>
      </w:pPr>
      <w:r w:rsidRPr="008661CD">
        <w:rPr>
          <w:shd w:val="clear" w:color="auto" w:fill="C0C0C0"/>
        </w:rPr>
        <w:t xml:space="preserve">Zinnat 250 mg </w:t>
      </w:r>
      <w:r w:rsidRPr="008661CD">
        <w:rPr>
          <w:highlight w:val="lightGray"/>
        </w:rPr>
        <w:t>plėvele dengtos</w:t>
      </w:r>
      <w:r w:rsidRPr="008661CD">
        <w:rPr>
          <w:highlight w:val="lightGray"/>
          <w:shd w:val="clear" w:color="auto" w:fill="C0C0C0"/>
        </w:rPr>
        <w:t xml:space="preserve"> tabletės</w:t>
      </w:r>
    </w:p>
    <w:p w14:paraId="6B3883B9" w14:textId="77777777" w:rsidR="00922D8A" w:rsidRPr="008661CD" w:rsidRDefault="00922D8A" w:rsidP="008661CD">
      <w:pPr>
        <w:rPr>
          <w:shd w:val="clear" w:color="auto" w:fill="C0C0C0"/>
        </w:rPr>
      </w:pPr>
      <w:r w:rsidRPr="008661CD">
        <w:rPr>
          <w:highlight w:val="lightGray"/>
          <w:shd w:val="clear" w:color="auto" w:fill="C0C0C0"/>
        </w:rPr>
        <w:t xml:space="preserve">Zinnat 500 mg </w:t>
      </w:r>
      <w:r w:rsidRPr="008661CD">
        <w:rPr>
          <w:highlight w:val="lightGray"/>
        </w:rPr>
        <w:t>plėvele dengtos</w:t>
      </w:r>
      <w:r w:rsidRPr="008661CD">
        <w:rPr>
          <w:highlight w:val="lightGray"/>
          <w:shd w:val="clear" w:color="auto" w:fill="C0C0C0"/>
        </w:rPr>
        <w:t xml:space="preserve"> ta</w:t>
      </w:r>
      <w:r w:rsidRPr="008661CD">
        <w:rPr>
          <w:shd w:val="clear" w:color="auto" w:fill="C0C0C0"/>
        </w:rPr>
        <w:t>bletės</w:t>
      </w:r>
    </w:p>
    <w:p w14:paraId="72224E29" w14:textId="77777777" w:rsidR="00922D8A" w:rsidRPr="008661CD" w:rsidRDefault="00922D8A" w:rsidP="008661CD"/>
    <w:p w14:paraId="291D61C6" w14:textId="77777777" w:rsidR="00922D8A" w:rsidRPr="008661CD" w:rsidRDefault="00922D8A" w:rsidP="008661CD">
      <w:r w:rsidRPr="008661CD">
        <w:t>Cefuroksimas</w:t>
      </w:r>
    </w:p>
    <w:p w14:paraId="673CAB8A" w14:textId="77777777" w:rsidR="00922D8A" w:rsidRPr="008661CD" w:rsidRDefault="00922D8A" w:rsidP="008661CD">
      <w:r w:rsidRPr="008661CD">
        <w:rPr>
          <w:highlight w:val="lightGray"/>
        </w:rPr>
        <w:t>Cefuroximum</w:t>
      </w:r>
    </w:p>
    <w:p w14:paraId="1D8DB955" w14:textId="77777777" w:rsidR="00922D8A" w:rsidRPr="008661CD" w:rsidRDefault="00922D8A" w:rsidP="008661CD"/>
    <w:p w14:paraId="610BB071" w14:textId="77777777" w:rsidR="00922D8A" w:rsidRPr="008661CD" w:rsidRDefault="00922D8A" w:rsidP="008661CD"/>
    <w:p w14:paraId="187CD298"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b/>
        </w:rPr>
      </w:pPr>
      <w:r w:rsidRPr="008661CD">
        <w:rPr>
          <w:b/>
        </w:rPr>
        <w:t>2.</w:t>
      </w:r>
      <w:r w:rsidRPr="008661CD">
        <w:rPr>
          <w:b/>
        </w:rPr>
        <w:tab/>
        <w:t>VEIKLIOJI (-IOS) MEDŽIAGA (-OS) IR JOS (-Ų) KIEKIS (-IAI)</w:t>
      </w:r>
    </w:p>
    <w:p w14:paraId="07A7C825" w14:textId="77777777" w:rsidR="00922D8A" w:rsidRPr="008661CD" w:rsidRDefault="00922D8A" w:rsidP="008661CD"/>
    <w:p w14:paraId="4AB5EC63" w14:textId="77777777" w:rsidR="00922D8A" w:rsidRPr="008661CD" w:rsidRDefault="00922D8A" w:rsidP="008661CD">
      <w:r w:rsidRPr="008661CD">
        <w:t>Kiekvienoje plėvele dengtoje tabletėje yra 125 mg cefuroksimo (cefuroksimo aksetilo pavidalu).</w:t>
      </w:r>
    </w:p>
    <w:p w14:paraId="403A6D9A" w14:textId="77777777" w:rsidR="00922D8A" w:rsidRPr="008661CD" w:rsidRDefault="00922D8A" w:rsidP="008661CD">
      <w:pPr>
        <w:rPr>
          <w:highlight w:val="lightGray"/>
        </w:rPr>
      </w:pPr>
      <w:r w:rsidRPr="008661CD">
        <w:rPr>
          <w:highlight w:val="lightGray"/>
        </w:rPr>
        <w:t>Kiekvienoje plėvele dengtoje tabletėje yra 250 mg cefuroksimo (cefuroksimo aksetilo pavidalu).</w:t>
      </w:r>
    </w:p>
    <w:p w14:paraId="1C8B8C68" w14:textId="77777777" w:rsidR="00922D8A" w:rsidRPr="008661CD" w:rsidRDefault="00922D8A" w:rsidP="008661CD">
      <w:r w:rsidRPr="008661CD">
        <w:rPr>
          <w:highlight w:val="lightGray"/>
        </w:rPr>
        <w:t>Kiekvienoje plėvele dengtoje tabletėje yra 500  mg cefuroksimo (cefuroksimo aksetilo pavidalu).</w:t>
      </w:r>
    </w:p>
    <w:p w14:paraId="309634FE" w14:textId="77777777" w:rsidR="00922D8A" w:rsidRPr="008661CD" w:rsidRDefault="00922D8A" w:rsidP="008661CD"/>
    <w:p w14:paraId="0D7BCB7E" w14:textId="77777777" w:rsidR="00922D8A" w:rsidRPr="008661CD" w:rsidRDefault="00922D8A" w:rsidP="008661CD"/>
    <w:p w14:paraId="613A64BB"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t>3.</w:t>
      </w:r>
      <w:r w:rsidRPr="008661CD">
        <w:rPr>
          <w:b/>
        </w:rPr>
        <w:tab/>
        <w:t>PAGALBINIŲ MEDŽIAGŲ SĄRAŠAS</w:t>
      </w:r>
    </w:p>
    <w:p w14:paraId="18375079" w14:textId="77777777" w:rsidR="00922D8A" w:rsidRPr="008661CD" w:rsidRDefault="00922D8A" w:rsidP="008661CD"/>
    <w:p w14:paraId="1D16F312" w14:textId="77777777" w:rsidR="00922D8A" w:rsidRPr="008661CD" w:rsidRDefault="00922D8A" w:rsidP="008661CD">
      <w:pPr>
        <w:autoSpaceDE w:val="0"/>
        <w:autoSpaceDN w:val="0"/>
        <w:adjustRightInd w:val="0"/>
        <w:rPr>
          <w:color w:val="000000"/>
        </w:rPr>
      </w:pPr>
      <w:bookmarkStart w:id="14" w:name="_Hlk530748553"/>
      <w:r w:rsidRPr="008661CD">
        <w:t xml:space="preserve">Sudėtyje taip pat yra natrio, natrio benzoato (E211), </w:t>
      </w:r>
      <w:r w:rsidRPr="008661CD">
        <w:rPr>
          <w:color w:val="000000"/>
        </w:rPr>
        <w:t xml:space="preserve">metilparahidroksibenzoato(E218) ir propilparahidroksibenzoato(E216). </w:t>
      </w:r>
    </w:p>
    <w:p w14:paraId="1477CD76" w14:textId="77777777" w:rsidR="00922D8A" w:rsidRPr="008661CD" w:rsidRDefault="00922D8A" w:rsidP="008661CD">
      <w:pPr>
        <w:autoSpaceDE w:val="0"/>
        <w:autoSpaceDN w:val="0"/>
        <w:adjustRightInd w:val="0"/>
        <w:rPr>
          <w:color w:val="000000"/>
          <w:highlight w:val="lightGray"/>
        </w:rPr>
      </w:pPr>
      <w:r w:rsidRPr="008661CD">
        <w:rPr>
          <w:highlight w:val="lightGray"/>
        </w:rPr>
        <w:t xml:space="preserve">Sudėtyje taip pat yra natrio, natrio benzoato (E211), </w:t>
      </w:r>
      <w:r w:rsidRPr="008661CD">
        <w:rPr>
          <w:color w:val="000000"/>
          <w:highlight w:val="lightGray"/>
        </w:rPr>
        <w:t>metilparahidroksibenzoato (E218) ir propilparahidroksibenzoato (E216).</w:t>
      </w:r>
    </w:p>
    <w:p w14:paraId="5311EC20" w14:textId="77777777" w:rsidR="00922D8A" w:rsidRPr="008661CD" w:rsidRDefault="00922D8A" w:rsidP="008661CD">
      <w:pPr>
        <w:autoSpaceDE w:val="0"/>
        <w:autoSpaceDN w:val="0"/>
        <w:adjustRightInd w:val="0"/>
        <w:rPr>
          <w:color w:val="000000"/>
        </w:rPr>
      </w:pPr>
      <w:r w:rsidRPr="008661CD">
        <w:rPr>
          <w:highlight w:val="lightGray"/>
        </w:rPr>
        <w:t xml:space="preserve">Sudėtyje taip pat yra natrio, natrio benzoato (E211), </w:t>
      </w:r>
      <w:r w:rsidRPr="008661CD">
        <w:rPr>
          <w:color w:val="000000"/>
          <w:highlight w:val="lightGray"/>
        </w:rPr>
        <w:t>metilparahidroksibenzoato (E218) ir propilparahidroksibenzoato (E216).</w:t>
      </w:r>
    </w:p>
    <w:p w14:paraId="719C73AB" w14:textId="77777777" w:rsidR="00922D8A" w:rsidRPr="008661CD" w:rsidRDefault="00922D8A" w:rsidP="008661CD">
      <w:pPr>
        <w:autoSpaceDE w:val="0"/>
        <w:autoSpaceDN w:val="0"/>
        <w:adjustRightInd w:val="0"/>
        <w:rPr>
          <w:color w:val="000000"/>
        </w:rPr>
      </w:pPr>
    </w:p>
    <w:p w14:paraId="1A0E647B" w14:textId="77777777" w:rsidR="00922D8A" w:rsidRPr="008661CD" w:rsidRDefault="00922D8A" w:rsidP="008661CD">
      <w:pPr>
        <w:autoSpaceDE w:val="0"/>
        <w:autoSpaceDN w:val="0"/>
        <w:adjustRightInd w:val="0"/>
        <w:rPr>
          <w:color w:val="000000"/>
        </w:rPr>
      </w:pPr>
      <w:r w:rsidRPr="008661CD">
        <w:t>Daugiau informacijos žr. pakuotės lapelyje.</w:t>
      </w:r>
    </w:p>
    <w:bookmarkEnd w:id="14"/>
    <w:p w14:paraId="353171D1" w14:textId="77777777" w:rsidR="00922D8A" w:rsidRPr="008661CD" w:rsidRDefault="00922D8A" w:rsidP="008661CD"/>
    <w:p w14:paraId="44E81C11" w14:textId="77777777" w:rsidR="00922D8A" w:rsidRPr="008661CD" w:rsidRDefault="00922D8A" w:rsidP="008661CD"/>
    <w:p w14:paraId="17899A69"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pPr>
      <w:r w:rsidRPr="008661CD">
        <w:rPr>
          <w:b/>
        </w:rPr>
        <w:t>4.</w:t>
      </w:r>
      <w:r w:rsidRPr="008661CD">
        <w:rPr>
          <w:b/>
        </w:rPr>
        <w:tab/>
        <w:t>FARMACINĖ FORMA IR KIEKIS PAKUOTĖJE</w:t>
      </w:r>
    </w:p>
    <w:p w14:paraId="14F566A5" w14:textId="77777777" w:rsidR="00922D8A" w:rsidRPr="008661CD" w:rsidRDefault="00922D8A" w:rsidP="008661CD"/>
    <w:p w14:paraId="256F79C5" w14:textId="77777777" w:rsidR="00922D8A" w:rsidRPr="000F3553" w:rsidRDefault="00922D8A" w:rsidP="000F3553">
      <w:pPr>
        <w:pStyle w:val="Pagrindinistekstas"/>
        <w:rPr>
          <w:color w:val="000000"/>
        </w:rPr>
      </w:pPr>
      <w:r w:rsidRPr="000F3553">
        <w:rPr>
          <w:i w:val="0"/>
          <w:color w:val="000000"/>
          <w:highlight w:val="lightGray"/>
          <w:lang w:val="lt-LT"/>
        </w:rPr>
        <w:t>Plėvele dengtos tabletės</w:t>
      </w:r>
    </w:p>
    <w:p w14:paraId="409F4C63" w14:textId="77777777" w:rsidR="00922D8A" w:rsidRPr="000F3553" w:rsidRDefault="00922D8A" w:rsidP="000F3553">
      <w:pPr>
        <w:pStyle w:val="Pagrindinistekstas"/>
        <w:rPr>
          <w:color w:val="000000"/>
        </w:rPr>
      </w:pPr>
      <w:r w:rsidRPr="000F3553">
        <w:rPr>
          <w:i w:val="0"/>
          <w:color w:val="000000"/>
          <w:lang w:val="lt-LT"/>
        </w:rPr>
        <w:t>10 plėvele dengtų tablečių</w:t>
      </w:r>
    </w:p>
    <w:p w14:paraId="3A42594B" w14:textId="77777777" w:rsidR="00922D8A" w:rsidRPr="000F3553" w:rsidRDefault="00922D8A" w:rsidP="000F3553">
      <w:pPr>
        <w:pStyle w:val="Pagrindinistekstas"/>
        <w:rPr>
          <w:color w:val="000000"/>
        </w:rPr>
      </w:pPr>
      <w:r w:rsidRPr="000F3553">
        <w:rPr>
          <w:i w:val="0"/>
          <w:color w:val="000000"/>
          <w:highlight w:val="lightGray"/>
          <w:lang w:val="lt-LT"/>
        </w:rPr>
        <w:t>14 plėvele dengtų tablečių</w:t>
      </w:r>
    </w:p>
    <w:p w14:paraId="1E68583B" w14:textId="77777777" w:rsidR="00922D8A" w:rsidRPr="008661CD" w:rsidRDefault="00922D8A" w:rsidP="008661CD"/>
    <w:p w14:paraId="240D9BF0" w14:textId="77777777" w:rsidR="00922D8A" w:rsidRPr="008661CD" w:rsidRDefault="00922D8A" w:rsidP="008661CD"/>
    <w:p w14:paraId="39240B1F"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t>5.</w:t>
      </w:r>
      <w:r w:rsidRPr="008661CD">
        <w:rPr>
          <w:b/>
        </w:rPr>
        <w:tab/>
        <w:t>VARTOJIMO METODAS IR BŪDAS (-AI)</w:t>
      </w:r>
    </w:p>
    <w:p w14:paraId="36CB824C" w14:textId="77777777" w:rsidR="00922D8A" w:rsidRPr="008661CD" w:rsidRDefault="00922D8A" w:rsidP="008661CD">
      <w:pPr>
        <w:rPr>
          <w:i/>
        </w:rPr>
      </w:pPr>
    </w:p>
    <w:p w14:paraId="385275E0" w14:textId="77777777" w:rsidR="00922D8A" w:rsidRPr="008661CD" w:rsidRDefault="00922D8A" w:rsidP="008661CD">
      <w:r w:rsidRPr="008661CD">
        <w:t>Vartoti per burną.</w:t>
      </w:r>
    </w:p>
    <w:p w14:paraId="4E80EB2A" w14:textId="77777777" w:rsidR="00922D8A" w:rsidRPr="008661CD" w:rsidRDefault="00922D8A" w:rsidP="008661CD">
      <w:r w:rsidRPr="008661CD">
        <w:t>Prieš vartojimą perskaitykite pakuotės lapelį.</w:t>
      </w:r>
    </w:p>
    <w:p w14:paraId="42CA8D77" w14:textId="77777777" w:rsidR="00922D8A" w:rsidRPr="008661CD" w:rsidRDefault="00922D8A" w:rsidP="008661CD"/>
    <w:p w14:paraId="6FA1D496" w14:textId="77777777" w:rsidR="00922D8A" w:rsidRPr="008661CD" w:rsidRDefault="00922D8A" w:rsidP="008661CD"/>
    <w:p w14:paraId="2E656DD6" w14:textId="77777777" w:rsidR="00922D8A" w:rsidRPr="008661CD" w:rsidRDefault="00922D8A" w:rsidP="008661CD">
      <w:pPr>
        <w:pBdr>
          <w:top w:val="single" w:sz="4" w:space="0" w:color="auto"/>
          <w:left w:val="single" w:sz="4" w:space="4" w:color="auto"/>
          <w:bottom w:val="single" w:sz="4" w:space="1" w:color="auto"/>
          <w:right w:val="single" w:sz="4" w:space="4" w:color="auto"/>
        </w:pBdr>
        <w:ind w:left="567" w:hanging="567"/>
        <w:outlineLvl w:val="0"/>
      </w:pPr>
      <w:r w:rsidRPr="008661CD">
        <w:rPr>
          <w:b/>
        </w:rPr>
        <w:t>6.</w:t>
      </w:r>
      <w:r w:rsidRPr="008661CD">
        <w:rPr>
          <w:b/>
        </w:rPr>
        <w:tab/>
        <w:t>SPECIALUS ĮSPĖJIMAS, KAD VAISTINĮ PREPARATĄ BŪTINA LAIKYTI VAIKAMS NEPASTEBIMOJE IR NEPASIEKIAMOJE VIETOJE</w:t>
      </w:r>
    </w:p>
    <w:p w14:paraId="04338197" w14:textId="77777777" w:rsidR="00922D8A" w:rsidRPr="008661CD" w:rsidRDefault="00922D8A" w:rsidP="008661CD"/>
    <w:p w14:paraId="46FF1EF9" w14:textId="77777777" w:rsidR="00922D8A" w:rsidRPr="000F3553" w:rsidRDefault="00922D8A" w:rsidP="000F3553">
      <w:pPr>
        <w:pStyle w:val="Pagrindinistekstas"/>
      </w:pPr>
      <w:r w:rsidRPr="000F3553">
        <w:rPr>
          <w:i w:val="0"/>
          <w:color w:val="auto"/>
          <w:lang w:val="lt-LT"/>
        </w:rPr>
        <w:t>Laikyti vaikams nepastebimoje ir nepasiekiamoje vietoje.</w:t>
      </w:r>
    </w:p>
    <w:p w14:paraId="44541B3C" w14:textId="77777777" w:rsidR="00922D8A" w:rsidRPr="008661CD" w:rsidRDefault="00922D8A" w:rsidP="008661CD"/>
    <w:p w14:paraId="69A5B266" w14:textId="77777777" w:rsidR="00922D8A" w:rsidRPr="008661CD" w:rsidRDefault="00922D8A" w:rsidP="008661CD"/>
    <w:p w14:paraId="14B9D896"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t>7.</w:t>
      </w:r>
      <w:r w:rsidRPr="008661CD">
        <w:rPr>
          <w:b/>
        </w:rPr>
        <w:tab/>
        <w:t>KITAS (-I) SPECIALUS (-ŪS) ĮSPĖJIMAS (-AI) (JEI REIKIA)</w:t>
      </w:r>
    </w:p>
    <w:p w14:paraId="38B6AAB0" w14:textId="77777777" w:rsidR="00922D8A" w:rsidRPr="008661CD" w:rsidRDefault="00922D8A" w:rsidP="008661CD"/>
    <w:p w14:paraId="52BF049E" w14:textId="77777777" w:rsidR="00922D8A" w:rsidRPr="008661CD" w:rsidRDefault="00922D8A" w:rsidP="008661CD"/>
    <w:p w14:paraId="052103B5"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lastRenderedPageBreak/>
        <w:t>8.</w:t>
      </w:r>
      <w:r w:rsidRPr="008661CD">
        <w:rPr>
          <w:b/>
        </w:rPr>
        <w:tab/>
        <w:t>TINKAMUMO LAIKAS</w:t>
      </w:r>
    </w:p>
    <w:p w14:paraId="5E97F637" w14:textId="77777777" w:rsidR="00922D8A" w:rsidRPr="008661CD" w:rsidRDefault="00922D8A" w:rsidP="008661CD"/>
    <w:p w14:paraId="06CD966B" w14:textId="77777777" w:rsidR="00922D8A" w:rsidRPr="008661CD" w:rsidRDefault="00922D8A" w:rsidP="008661CD">
      <w:r w:rsidRPr="008661CD">
        <w:t>Tinka iki {mm-MMMM}</w:t>
      </w:r>
    </w:p>
    <w:p w14:paraId="181032B5" w14:textId="77777777" w:rsidR="00922D8A" w:rsidRPr="008661CD" w:rsidRDefault="00922D8A" w:rsidP="008661CD">
      <w:r w:rsidRPr="008661CD">
        <w:rPr>
          <w:highlight w:val="lightGray"/>
        </w:rPr>
        <w:t>EXP {mm-MMMM}</w:t>
      </w:r>
    </w:p>
    <w:p w14:paraId="40760732" w14:textId="77777777" w:rsidR="00922D8A" w:rsidRPr="008661CD" w:rsidRDefault="00922D8A" w:rsidP="008661CD"/>
    <w:p w14:paraId="0AFEE0E9" w14:textId="77777777" w:rsidR="00922D8A" w:rsidRPr="008661CD" w:rsidRDefault="00922D8A" w:rsidP="008661CD"/>
    <w:p w14:paraId="6F06F2A7" w14:textId="77777777" w:rsidR="00922D8A" w:rsidRPr="008661CD" w:rsidRDefault="00922D8A" w:rsidP="008661CD">
      <w:pPr>
        <w:keepNext/>
        <w:pBdr>
          <w:top w:val="single" w:sz="4" w:space="1" w:color="auto"/>
          <w:left w:val="single" w:sz="4" w:space="4" w:color="auto"/>
          <w:bottom w:val="single" w:sz="4" w:space="1" w:color="auto"/>
          <w:right w:val="single" w:sz="4" w:space="4" w:color="auto"/>
        </w:pBdr>
        <w:tabs>
          <w:tab w:val="left" w:pos="567"/>
        </w:tabs>
      </w:pPr>
      <w:r w:rsidRPr="008661CD">
        <w:rPr>
          <w:b/>
        </w:rPr>
        <w:t>9.</w:t>
      </w:r>
      <w:r w:rsidRPr="008661CD">
        <w:rPr>
          <w:b/>
        </w:rPr>
        <w:tab/>
      </w:r>
      <w:r w:rsidRPr="008661CD">
        <w:rPr>
          <w:b/>
          <w:caps/>
        </w:rPr>
        <w:t>SPECIALIOS laikymo sąlygos</w:t>
      </w:r>
    </w:p>
    <w:p w14:paraId="7897F0B8" w14:textId="77777777" w:rsidR="00922D8A" w:rsidRPr="008661CD" w:rsidRDefault="00922D8A" w:rsidP="008661CD">
      <w:pPr>
        <w:keepNext/>
        <w:tabs>
          <w:tab w:val="left" w:pos="567"/>
        </w:tabs>
      </w:pPr>
    </w:p>
    <w:p w14:paraId="77FAAD04" w14:textId="77777777" w:rsidR="00922D8A" w:rsidRPr="000F3553" w:rsidRDefault="00922D8A" w:rsidP="000F3553">
      <w:pPr>
        <w:pStyle w:val="Pagrindinistekstas"/>
      </w:pPr>
      <w:r w:rsidRPr="000F3553">
        <w:rPr>
          <w:i w:val="0"/>
          <w:color w:val="auto"/>
          <w:lang w:val="lt-LT"/>
        </w:rPr>
        <w:t xml:space="preserve">Laikyti ne aukštesnėje kaip 30 </w:t>
      </w:r>
      <w:r w:rsidRPr="000F3553">
        <w:rPr>
          <w:i w:val="0"/>
          <w:color w:val="auto"/>
          <w:lang w:val="lt-LT"/>
        </w:rPr>
        <w:sym w:font="Symbol" w:char="F0B0"/>
      </w:r>
      <w:r w:rsidRPr="000F3553">
        <w:rPr>
          <w:i w:val="0"/>
          <w:color w:val="auto"/>
          <w:lang w:val="lt-LT"/>
        </w:rPr>
        <w:t>C temperatūroje.</w:t>
      </w:r>
    </w:p>
    <w:p w14:paraId="66CC5B20" w14:textId="77777777" w:rsidR="00922D8A" w:rsidRPr="008661CD" w:rsidRDefault="00922D8A" w:rsidP="008661CD">
      <w:pPr>
        <w:ind w:left="567" w:hanging="567"/>
      </w:pPr>
    </w:p>
    <w:p w14:paraId="48D0D163" w14:textId="77777777" w:rsidR="00922D8A" w:rsidRPr="008661CD" w:rsidRDefault="00922D8A" w:rsidP="008661CD">
      <w:pPr>
        <w:ind w:left="567" w:hanging="567"/>
      </w:pPr>
    </w:p>
    <w:p w14:paraId="0DFD98FC"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b/>
        </w:rPr>
      </w:pPr>
      <w:r w:rsidRPr="008661CD">
        <w:rPr>
          <w:b/>
        </w:rPr>
        <w:t>10.</w:t>
      </w:r>
      <w:r w:rsidRPr="008661CD">
        <w:rPr>
          <w:b/>
        </w:rPr>
        <w:tab/>
      </w:r>
      <w:r w:rsidRPr="008661CD">
        <w:rPr>
          <w:b/>
          <w:caps/>
        </w:rPr>
        <w:t>specialios atsargumo priemonės DĖL NESUVARTOTO</w:t>
      </w:r>
      <w:r w:rsidRPr="008661CD">
        <w:rPr>
          <w:b/>
        </w:rPr>
        <w:t xml:space="preserve"> </w:t>
      </w:r>
      <w:r w:rsidRPr="008661CD">
        <w:rPr>
          <w:b/>
          <w:caps/>
        </w:rPr>
        <w:t>VAISTINIO PREPARATO AR JO ATLIEKŲ</w:t>
      </w:r>
      <w:r w:rsidRPr="008661CD">
        <w:rPr>
          <w:caps/>
        </w:rPr>
        <w:t xml:space="preserve"> </w:t>
      </w:r>
      <w:r w:rsidRPr="008661CD">
        <w:rPr>
          <w:b/>
          <w:caps/>
        </w:rPr>
        <w:t>TVARKYMO (jei reikia)</w:t>
      </w:r>
    </w:p>
    <w:p w14:paraId="54E2C31A" w14:textId="77777777" w:rsidR="00922D8A" w:rsidRPr="008661CD" w:rsidRDefault="00922D8A" w:rsidP="008661CD"/>
    <w:p w14:paraId="1A63A832" w14:textId="77777777" w:rsidR="00922D8A" w:rsidRPr="008661CD" w:rsidRDefault="00922D8A" w:rsidP="008661CD"/>
    <w:p w14:paraId="7C384147"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rPr>
          <w:b/>
        </w:rPr>
      </w:pPr>
      <w:r w:rsidRPr="008661CD">
        <w:rPr>
          <w:b/>
        </w:rPr>
        <w:t>11.</w:t>
      </w:r>
      <w:r w:rsidRPr="008661CD">
        <w:rPr>
          <w:b/>
        </w:rPr>
        <w:tab/>
      </w:r>
      <w:r w:rsidRPr="008661CD">
        <w:rPr>
          <w:b/>
          <w:caps/>
        </w:rPr>
        <w:t>REGISTRUOTOJO pavadinimas ir adresas</w:t>
      </w:r>
    </w:p>
    <w:p w14:paraId="152D4D10" w14:textId="77777777" w:rsidR="00922D8A" w:rsidRPr="008661CD" w:rsidRDefault="00922D8A" w:rsidP="008661CD"/>
    <w:p w14:paraId="05F2137E" w14:textId="77777777" w:rsidR="00922D8A" w:rsidRPr="008661CD" w:rsidRDefault="00922D8A" w:rsidP="008661CD">
      <w:pPr>
        <w:autoSpaceDE w:val="0"/>
        <w:autoSpaceDN w:val="0"/>
        <w:adjustRightInd w:val="0"/>
      </w:pPr>
      <w:r w:rsidRPr="008661CD">
        <w:t>Registruotojas:</w:t>
      </w:r>
    </w:p>
    <w:p w14:paraId="32E2707D" w14:textId="77777777" w:rsidR="00922D8A" w:rsidRPr="008661CD" w:rsidRDefault="00922D8A" w:rsidP="008661CD">
      <w:pPr>
        <w:autoSpaceDE w:val="0"/>
        <w:autoSpaceDN w:val="0"/>
        <w:adjustRightInd w:val="0"/>
      </w:pPr>
      <w:r w:rsidRPr="008661CD">
        <w:t xml:space="preserve">UAB „GlaxoSmithKline Lietuva“ </w:t>
      </w:r>
    </w:p>
    <w:p w14:paraId="3402293A" w14:textId="77777777" w:rsidR="00922D8A" w:rsidRPr="008661CD" w:rsidRDefault="00922D8A" w:rsidP="008661CD">
      <w:pPr>
        <w:autoSpaceDE w:val="0"/>
        <w:autoSpaceDN w:val="0"/>
        <w:adjustRightInd w:val="0"/>
      </w:pPr>
      <w:r w:rsidRPr="008661CD">
        <w:t>Ukmergės g. 120</w:t>
      </w:r>
    </w:p>
    <w:p w14:paraId="51F46A4A" w14:textId="77777777" w:rsidR="00922D8A" w:rsidRPr="008661CD" w:rsidRDefault="00922D8A" w:rsidP="008661CD">
      <w:pPr>
        <w:autoSpaceDE w:val="0"/>
        <w:autoSpaceDN w:val="0"/>
        <w:adjustRightInd w:val="0"/>
      </w:pPr>
      <w:r w:rsidRPr="008661CD">
        <w:t>LT-08105 Vilnius</w:t>
      </w:r>
    </w:p>
    <w:p w14:paraId="289E7904" w14:textId="77777777" w:rsidR="00922D8A" w:rsidRPr="008661CD" w:rsidRDefault="00922D8A" w:rsidP="008661CD">
      <w:r w:rsidRPr="008661CD">
        <w:t>Lietuva</w:t>
      </w:r>
    </w:p>
    <w:p w14:paraId="62956A04" w14:textId="77777777" w:rsidR="00922D8A" w:rsidRPr="008661CD" w:rsidRDefault="00922D8A" w:rsidP="008661CD"/>
    <w:p w14:paraId="1910F3F2" w14:textId="77777777" w:rsidR="00922D8A" w:rsidRPr="008661CD" w:rsidRDefault="00922D8A" w:rsidP="008661CD"/>
    <w:p w14:paraId="3A6B523F"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12.</w:t>
      </w:r>
      <w:r w:rsidRPr="008661CD">
        <w:rPr>
          <w:b/>
        </w:rPr>
        <w:tab/>
      </w:r>
      <w:r w:rsidRPr="008661CD">
        <w:rPr>
          <w:b/>
          <w:caps/>
        </w:rPr>
        <w:t>REGISTRACIJOS PAŽYMĖJIMO numeris (-IAI)</w:t>
      </w:r>
    </w:p>
    <w:p w14:paraId="423F11BB" w14:textId="77777777" w:rsidR="00922D8A" w:rsidRPr="008661CD" w:rsidRDefault="00922D8A" w:rsidP="008661CD"/>
    <w:p w14:paraId="0897FA6B" w14:textId="77777777" w:rsidR="00922D8A" w:rsidRPr="008661CD" w:rsidRDefault="00922D8A" w:rsidP="008661CD">
      <w:pPr>
        <w:ind w:left="567" w:hanging="567"/>
      </w:pPr>
      <w:r w:rsidRPr="008661CD">
        <w:rPr>
          <w:highlight w:val="lightGray"/>
        </w:rPr>
        <w:t>Zinnat 125 mg plėvele dengtos tabletės</w:t>
      </w:r>
    </w:p>
    <w:p w14:paraId="496E9949" w14:textId="77777777" w:rsidR="00922D8A" w:rsidRPr="008661CD" w:rsidRDefault="00922D8A" w:rsidP="008661CD">
      <w:pPr>
        <w:ind w:left="567" w:hanging="567"/>
      </w:pPr>
      <w:r w:rsidRPr="008661CD">
        <w:t>N10 – LT/1/94/0478/001</w:t>
      </w:r>
    </w:p>
    <w:p w14:paraId="32FB6B20" w14:textId="77777777" w:rsidR="00922D8A" w:rsidRPr="008661CD" w:rsidRDefault="00922D8A" w:rsidP="008661CD">
      <w:pPr>
        <w:ind w:left="567" w:hanging="567"/>
        <w:rPr>
          <w:highlight w:val="lightGray"/>
        </w:rPr>
      </w:pPr>
      <w:r w:rsidRPr="008661CD">
        <w:rPr>
          <w:highlight w:val="lightGray"/>
        </w:rPr>
        <w:t>N14 – LT/1/94/0478/002</w:t>
      </w:r>
    </w:p>
    <w:p w14:paraId="724969C9" w14:textId="77777777" w:rsidR="00922D8A" w:rsidRPr="008661CD" w:rsidRDefault="00922D8A" w:rsidP="008661CD">
      <w:pPr>
        <w:ind w:left="567" w:hanging="567"/>
        <w:rPr>
          <w:highlight w:val="lightGray"/>
        </w:rPr>
      </w:pPr>
    </w:p>
    <w:p w14:paraId="056C48F2" w14:textId="77777777" w:rsidR="00922D8A" w:rsidRPr="008661CD" w:rsidRDefault="00922D8A" w:rsidP="008661CD">
      <w:pPr>
        <w:ind w:left="567" w:hanging="567"/>
        <w:rPr>
          <w:highlight w:val="lightGray"/>
        </w:rPr>
      </w:pPr>
      <w:r w:rsidRPr="008661CD">
        <w:rPr>
          <w:highlight w:val="lightGray"/>
          <w:lang w:val="en-US"/>
        </w:rPr>
        <w:t xml:space="preserve">Zinnat 250 mg </w:t>
      </w:r>
      <w:r w:rsidRPr="008661CD">
        <w:rPr>
          <w:highlight w:val="lightGray"/>
        </w:rPr>
        <w:t>plėvele dengtos tabletės</w:t>
      </w:r>
    </w:p>
    <w:p w14:paraId="26372862" w14:textId="77777777" w:rsidR="00922D8A" w:rsidRPr="008661CD" w:rsidRDefault="00922D8A" w:rsidP="008661CD">
      <w:pPr>
        <w:ind w:left="567" w:hanging="567"/>
        <w:rPr>
          <w:highlight w:val="lightGray"/>
        </w:rPr>
      </w:pPr>
      <w:r w:rsidRPr="008661CD">
        <w:rPr>
          <w:highlight w:val="lightGray"/>
        </w:rPr>
        <w:t>N10 - LT/1/94/0478/003</w:t>
      </w:r>
    </w:p>
    <w:p w14:paraId="2D15017B" w14:textId="77777777" w:rsidR="00922D8A" w:rsidRPr="008661CD" w:rsidRDefault="00922D8A" w:rsidP="008661CD">
      <w:pPr>
        <w:ind w:left="567" w:hanging="567"/>
        <w:rPr>
          <w:highlight w:val="lightGray"/>
        </w:rPr>
      </w:pPr>
      <w:r w:rsidRPr="008661CD">
        <w:rPr>
          <w:highlight w:val="lightGray"/>
        </w:rPr>
        <w:t>N14 - LT/1/94/0478/004</w:t>
      </w:r>
    </w:p>
    <w:p w14:paraId="19E6A946" w14:textId="77777777" w:rsidR="00922D8A" w:rsidRPr="008661CD" w:rsidRDefault="00922D8A" w:rsidP="008661CD">
      <w:pPr>
        <w:ind w:left="567" w:hanging="567"/>
        <w:rPr>
          <w:highlight w:val="lightGray"/>
        </w:rPr>
      </w:pPr>
    </w:p>
    <w:p w14:paraId="40F890E3" w14:textId="77777777" w:rsidR="00922D8A" w:rsidRPr="008661CD" w:rsidRDefault="00922D8A" w:rsidP="008661CD">
      <w:pPr>
        <w:ind w:left="567" w:hanging="567"/>
        <w:rPr>
          <w:highlight w:val="lightGray"/>
        </w:rPr>
      </w:pPr>
      <w:r w:rsidRPr="008661CD">
        <w:rPr>
          <w:highlight w:val="lightGray"/>
          <w:lang w:val="en-US"/>
        </w:rPr>
        <w:t xml:space="preserve">Zinnat 500 mg </w:t>
      </w:r>
      <w:r w:rsidRPr="008661CD">
        <w:rPr>
          <w:highlight w:val="lightGray"/>
        </w:rPr>
        <w:t>plėvele dengtos tabletės</w:t>
      </w:r>
    </w:p>
    <w:p w14:paraId="1ADB1F9F" w14:textId="77777777" w:rsidR="00922D8A" w:rsidRPr="000F3553" w:rsidRDefault="00922D8A" w:rsidP="000F3553">
      <w:pPr>
        <w:pStyle w:val="Pagrindinistekstas"/>
        <w:rPr>
          <w:highlight w:val="lightGray"/>
        </w:rPr>
      </w:pPr>
      <w:r w:rsidRPr="000F3553">
        <w:rPr>
          <w:i w:val="0"/>
          <w:color w:val="auto"/>
          <w:highlight w:val="lightGray"/>
          <w:lang w:val="lt-LT"/>
        </w:rPr>
        <w:t>N10 - LT/1/94/0478/005</w:t>
      </w:r>
    </w:p>
    <w:p w14:paraId="6358D15B" w14:textId="77777777" w:rsidR="00922D8A" w:rsidRPr="000F3553" w:rsidRDefault="00922D8A" w:rsidP="000F3553">
      <w:pPr>
        <w:pStyle w:val="Pagrindinistekstas"/>
      </w:pPr>
      <w:r w:rsidRPr="000F3553">
        <w:rPr>
          <w:i w:val="0"/>
          <w:color w:val="auto"/>
          <w:highlight w:val="lightGray"/>
          <w:lang w:val="lt-LT"/>
        </w:rPr>
        <w:t>N14 - LT/1/94/0478/006</w:t>
      </w:r>
    </w:p>
    <w:p w14:paraId="61646B8B" w14:textId="77777777" w:rsidR="00922D8A" w:rsidRPr="008661CD" w:rsidRDefault="00922D8A" w:rsidP="008661CD"/>
    <w:p w14:paraId="647EAB61" w14:textId="77777777" w:rsidR="00922D8A" w:rsidRPr="008661CD" w:rsidRDefault="00922D8A" w:rsidP="008661CD"/>
    <w:p w14:paraId="6A819A0D"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13.</w:t>
      </w:r>
      <w:r w:rsidRPr="008661CD">
        <w:rPr>
          <w:b/>
        </w:rPr>
        <w:tab/>
        <w:t>SERIJOS NUMERIS</w:t>
      </w:r>
    </w:p>
    <w:p w14:paraId="08FFE18F" w14:textId="77777777" w:rsidR="00922D8A" w:rsidRPr="008661CD" w:rsidRDefault="00922D8A" w:rsidP="008661CD"/>
    <w:p w14:paraId="5B7CCF96" w14:textId="77777777" w:rsidR="00922D8A" w:rsidRPr="008661CD" w:rsidRDefault="00922D8A" w:rsidP="008661CD">
      <w:r w:rsidRPr="008661CD">
        <w:t>Serija</w:t>
      </w:r>
    </w:p>
    <w:p w14:paraId="5E34A6E0" w14:textId="77777777" w:rsidR="00922D8A" w:rsidRPr="008661CD" w:rsidRDefault="00922D8A" w:rsidP="008661CD">
      <w:r w:rsidRPr="008661CD">
        <w:rPr>
          <w:highlight w:val="darkGray"/>
        </w:rPr>
        <w:t>Lot</w:t>
      </w:r>
    </w:p>
    <w:p w14:paraId="24F2C31B" w14:textId="77777777" w:rsidR="00922D8A" w:rsidRPr="008661CD" w:rsidRDefault="00922D8A" w:rsidP="008661CD"/>
    <w:p w14:paraId="1033B396" w14:textId="77777777" w:rsidR="00922D8A" w:rsidRPr="008661CD" w:rsidRDefault="00922D8A" w:rsidP="008661CD"/>
    <w:p w14:paraId="2A7D2DA0"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14.</w:t>
      </w:r>
      <w:r w:rsidRPr="008661CD">
        <w:rPr>
          <w:b/>
        </w:rPr>
        <w:tab/>
        <w:t>PARDAVIMO (IŠDAVIMO)</w:t>
      </w:r>
      <w:r w:rsidRPr="008661CD">
        <w:rPr>
          <w:b/>
          <w:caps/>
        </w:rPr>
        <w:t xml:space="preserve"> tvarka</w:t>
      </w:r>
    </w:p>
    <w:p w14:paraId="1F4C2C71" w14:textId="77777777" w:rsidR="00922D8A" w:rsidRPr="008661CD" w:rsidRDefault="00922D8A" w:rsidP="008661CD"/>
    <w:p w14:paraId="4851B24F" w14:textId="77777777" w:rsidR="00922D8A" w:rsidRPr="008661CD" w:rsidRDefault="00922D8A" w:rsidP="008661CD">
      <w:r w:rsidRPr="008661CD">
        <w:t>Receptinis vaistas.</w:t>
      </w:r>
    </w:p>
    <w:p w14:paraId="01325094" w14:textId="77777777" w:rsidR="00922D8A" w:rsidRPr="008661CD" w:rsidRDefault="00922D8A" w:rsidP="008661CD"/>
    <w:p w14:paraId="0249E302" w14:textId="77777777" w:rsidR="00922D8A" w:rsidRPr="008661CD" w:rsidRDefault="00922D8A" w:rsidP="008661CD"/>
    <w:p w14:paraId="679681C4"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15.</w:t>
      </w:r>
      <w:r w:rsidRPr="008661CD">
        <w:rPr>
          <w:b/>
        </w:rPr>
        <w:tab/>
      </w:r>
      <w:r w:rsidRPr="008661CD">
        <w:rPr>
          <w:b/>
          <w:caps/>
        </w:rPr>
        <w:t>vartojimo instrukcijA</w:t>
      </w:r>
    </w:p>
    <w:p w14:paraId="13FD30D4" w14:textId="77777777" w:rsidR="00922D8A" w:rsidRPr="008661CD" w:rsidRDefault="00922D8A" w:rsidP="008661CD"/>
    <w:p w14:paraId="73470077" w14:textId="77777777" w:rsidR="00922D8A" w:rsidRPr="000F3553" w:rsidRDefault="00922D8A" w:rsidP="000F3553">
      <w:pPr>
        <w:pStyle w:val="Pagrindinistekstas"/>
      </w:pPr>
      <w:bookmarkStart w:id="15" w:name="_Hlk517876831"/>
      <w:r w:rsidRPr="000F3553">
        <w:rPr>
          <w:i w:val="0"/>
          <w:color w:val="auto"/>
          <w:lang w:val="lt-LT"/>
        </w:rPr>
        <w:t>Vartoti taip, kaip nurodė Jūsų gydytojas.</w:t>
      </w:r>
    </w:p>
    <w:p w14:paraId="05E9D211" w14:textId="77777777" w:rsidR="00922D8A" w:rsidRPr="000F3553" w:rsidRDefault="00922D8A" w:rsidP="000F3553">
      <w:pPr>
        <w:pStyle w:val="Pagrindinistekstas"/>
      </w:pPr>
    </w:p>
    <w:p w14:paraId="762C7AF6" w14:textId="77777777" w:rsidR="00922D8A" w:rsidRPr="000F3553" w:rsidRDefault="00922D8A" w:rsidP="000F3553">
      <w:pPr>
        <w:pStyle w:val="Pagrindinistekstas"/>
      </w:pPr>
      <w:r w:rsidRPr="000F3553">
        <w:rPr>
          <w:i w:val="0"/>
          <w:color w:val="auto"/>
          <w:lang w:val="lt-LT"/>
        </w:rPr>
        <w:t>Tablečių negalima smulkinti ar kramtyti. Reikia nuryti visą tabletę, užgeriant stikline vandens.</w:t>
      </w:r>
    </w:p>
    <w:bookmarkEnd w:id="15"/>
    <w:p w14:paraId="237636B1" w14:textId="77777777" w:rsidR="00922D8A" w:rsidRPr="008661CD" w:rsidRDefault="00922D8A" w:rsidP="008661CD"/>
    <w:p w14:paraId="091CD994" w14:textId="77777777" w:rsidR="00922D8A" w:rsidRPr="008661CD" w:rsidRDefault="00922D8A" w:rsidP="008661CD"/>
    <w:p w14:paraId="32D3BBDD"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16.</w:t>
      </w:r>
      <w:r w:rsidRPr="008661CD">
        <w:rPr>
          <w:b/>
        </w:rPr>
        <w:tab/>
        <w:t>INFORMACIJA BRAILIO RAŠTU</w:t>
      </w:r>
    </w:p>
    <w:p w14:paraId="7FDAD07E" w14:textId="77777777" w:rsidR="00922D8A" w:rsidRPr="008661CD" w:rsidRDefault="00922D8A" w:rsidP="008661CD"/>
    <w:p w14:paraId="087D6F5B" w14:textId="77777777" w:rsidR="00922D8A" w:rsidRPr="008661CD" w:rsidRDefault="00922D8A" w:rsidP="008661CD">
      <w:r w:rsidRPr="008661CD">
        <w:t>zinnat 125 mg</w:t>
      </w:r>
    </w:p>
    <w:p w14:paraId="4F25BA05" w14:textId="77777777" w:rsidR="00922D8A" w:rsidRPr="008661CD" w:rsidRDefault="00922D8A" w:rsidP="008661CD">
      <w:pPr>
        <w:rPr>
          <w:highlight w:val="lightGray"/>
        </w:rPr>
      </w:pPr>
      <w:r w:rsidRPr="008661CD">
        <w:rPr>
          <w:highlight w:val="lightGray"/>
        </w:rPr>
        <w:t xml:space="preserve">zinnat </w:t>
      </w:r>
      <w:r w:rsidRPr="008661CD">
        <w:rPr>
          <w:highlight w:val="lightGray"/>
          <w:lang w:val="en-US"/>
        </w:rPr>
        <w:t>250</w:t>
      </w:r>
      <w:r w:rsidRPr="008661CD">
        <w:rPr>
          <w:highlight w:val="lightGray"/>
        </w:rPr>
        <w:t xml:space="preserve"> mg</w:t>
      </w:r>
    </w:p>
    <w:p w14:paraId="755E21FD" w14:textId="77777777" w:rsidR="00922D8A" w:rsidRPr="008661CD" w:rsidRDefault="00922D8A" w:rsidP="008661CD">
      <w:r w:rsidRPr="008661CD">
        <w:rPr>
          <w:highlight w:val="lightGray"/>
        </w:rPr>
        <w:t>zinnat 500 mg</w:t>
      </w:r>
    </w:p>
    <w:p w14:paraId="374ACE63" w14:textId="77777777" w:rsidR="00922D8A" w:rsidRPr="008661CD" w:rsidRDefault="00922D8A" w:rsidP="008661CD">
      <w:pPr>
        <w:tabs>
          <w:tab w:val="left" w:pos="567"/>
        </w:tabs>
        <w:spacing w:line="260" w:lineRule="exact"/>
      </w:pPr>
    </w:p>
    <w:p w14:paraId="4BDC7FF6" w14:textId="77777777" w:rsidR="00922D8A" w:rsidRPr="008661CD" w:rsidRDefault="00922D8A" w:rsidP="008661CD">
      <w:pPr>
        <w:tabs>
          <w:tab w:val="left" w:pos="567"/>
        </w:tabs>
        <w:spacing w:line="260" w:lineRule="exact"/>
        <w:rPr>
          <w:shd w:val="clear" w:color="auto" w:fill="CCCCCC"/>
        </w:rPr>
      </w:pPr>
    </w:p>
    <w:p w14:paraId="6525CB98" w14:textId="77777777" w:rsidR="00922D8A" w:rsidRPr="008661CD" w:rsidRDefault="00922D8A" w:rsidP="008661C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lang w:val="en-GB"/>
        </w:rPr>
      </w:pPr>
      <w:r w:rsidRPr="008661CD">
        <w:rPr>
          <w:b/>
          <w:lang w:val="en-GB"/>
        </w:rPr>
        <w:t>17.</w:t>
      </w:r>
      <w:r w:rsidRPr="008661CD">
        <w:rPr>
          <w:b/>
          <w:lang w:val="en-GB"/>
        </w:rPr>
        <w:tab/>
        <w:t>UNIKALUS IDENTIFIKATORIUS – 2D BRŪKŠNINIS KODAS</w:t>
      </w:r>
    </w:p>
    <w:p w14:paraId="76006E24" w14:textId="77777777" w:rsidR="00922D8A" w:rsidRPr="008661CD" w:rsidRDefault="00922D8A" w:rsidP="008661CD">
      <w:pPr>
        <w:tabs>
          <w:tab w:val="left" w:pos="567"/>
        </w:tabs>
        <w:spacing w:line="260" w:lineRule="exact"/>
        <w:rPr>
          <w:lang w:val="en-GB"/>
        </w:rPr>
      </w:pPr>
    </w:p>
    <w:p w14:paraId="098E58D0" w14:textId="77777777" w:rsidR="00922D8A" w:rsidRPr="008661CD" w:rsidRDefault="00922D8A" w:rsidP="008661CD">
      <w:pPr>
        <w:tabs>
          <w:tab w:val="left" w:pos="567"/>
        </w:tabs>
        <w:spacing w:line="260" w:lineRule="exact"/>
        <w:rPr>
          <w:shd w:val="clear" w:color="auto" w:fill="CCCCCC"/>
          <w:lang w:val="en-GB"/>
        </w:rPr>
      </w:pPr>
      <w:r w:rsidRPr="008661CD">
        <w:rPr>
          <w:highlight w:val="lightGray"/>
          <w:lang w:val="en-GB"/>
        </w:rPr>
        <w:t>2D brūkšninis kodas su nurodytu unikaliu identifikatoriumi.</w:t>
      </w:r>
    </w:p>
    <w:p w14:paraId="34F1CF3F" w14:textId="77777777" w:rsidR="00922D8A" w:rsidRPr="008661CD" w:rsidRDefault="00922D8A" w:rsidP="008661CD">
      <w:pPr>
        <w:tabs>
          <w:tab w:val="left" w:pos="567"/>
        </w:tabs>
        <w:spacing w:line="260" w:lineRule="exact"/>
        <w:rPr>
          <w:lang w:val="en-GB"/>
        </w:rPr>
      </w:pPr>
    </w:p>
    <w:p w14:paraId="3BA879C1" w14:textId="77777777" w:rsidR="00922D8A" w:rsidRPr="008661CD" w:rsidRDefault="00922D8A" w:rsidP="008661CD">
      <w:pPr>
        <w:tabs>
          <w:tab w:val="left" w:pos="567"/>
        </w:tabs>
        <w:spacing w:line="260" w:lineRule="exact"/>
        <w:rPr>
          <w:lang w:val="en-GB"/>
        </w:rPr>
      </w:pPr>
    </w:p>
    <w:p w14:paraId="4953C119" w14:textId="77777777" w:rsidR="00922D8A" w:rsidRPr="008661CD" w:rsidRDefault="00922D8A" w:rsidP="008661C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lang w:val="en-GB"/>
        </w:rPr>
      </w:pPr>
      <w:r w:rsidRPr="008661CD">
        <w:rPr>
          <w:b/>
          <w:lang w:val="en-GB"/>
        </w:rPr>
        <w:t>18.</w:t>
      </w:r>
      <w:r w:rsidRPr="008661CD">
        <w:rPr>
          <w:b/>
          <w:lang w:val="en-GB"/>
        </w:rPr>
        <w:tab/>
        <w:t>UNIKALUS IDENTIFIKATORIUS – ŽMONĖMS SUPRANTAMI DUOMENYS</w:t>
      </w:r>
    </w:p>
    <w:p w14:paraId="2D23A9B6" w14:textId="77777777" w:rsidR="00922D8A" w:rsidRPr="008661CD" w:rsidRDefault="00922D8A" w:rsidP="008661CD">
      <w:pPr>
        <w:tabs>
          <w:tab w:val="left" w:pos="567"/>
        </w:tabs>
        <w:spacing w:line="260" w:lineRule="exact"/>
        <w:rPr>
          <w:lang w:val="en-GB"/>
        </w:rPr>
      </w:pPr>
    </w:p>
    <w:p w14:paraId="4C32657C" w14:textId="77777777" w:rsidR="00922D8A" w:rsidRPr="008661CD" w:rsidRDefault="00922D8A" w:rsidP="008661CD">
      <w:pPr>
        <w:tabs>
          <w:tab w:val="left" w:pos="567"/>
        </w:tabs>
        <w:spacing w:line="260" w:lineRule="exact"/>
        <w:rPr>
          <w:color w:val="008000"/>
          <w:lang w:val="en-GB"/>
        </w:rPr>
      </w:pPr>
      <w:r w:rsidRPr="008661CD">
        <w:rPr>
          <w:lang w:val="en-GB"/>
        </w:rPr>
        <w:t>PC:</w:t>
      </w:r>
    </w:p>
    <w:p w14:paraId="446C32FE" w14:textId="77777777" w:rsidR="00922D8A" w:rsidRPr="008661CD" w:rsidRDefault="00922D8A" w:rsidP="008661CD">
      <w:pPr>
        <w:tabs>
          <w:tab w:val="left" w:pos="567"/>
        </w:tabs>
        <w:spacing w:line="260" w:lineRule="exact"/>
        <w:rPr>
          <w:lang w:val="en-GB"/>
        </w:rPr>
      </w:pPr>
      <w:r w:rsidRPr="008661CD">
        <w:rPr>
          <w:lang w:val="en-GB"/>
        </w:rPr>
        <w:t>SN:</w:t>
      </w:r>
    </w:p>
    <w:p w14:paraId="05ED182A" w14:textId="77777777" w:rsidR="00922D8A" w:rsidRPr="008661CD" w:rsidRDefault="00922D8A" w:rsidP="008661CD">
      <w:pPr>
        <w:tabs>
          <w:tab w:val="left" w:pos="567"/>
        </w:tabs>
        <w:spacing w:line="260" w:lineRule="exact"/>
        <w:rPr>
          <w:lang w:val="en-GB"/>
        </w:rPr>
      </w:pPr>
      <w:r w:rsidRPr="008661CD">
        <w:rPr>
          <w:highlight w:val="lightGray"/>
          <w:lang w:val="en-GB"/>
        </w:rPr>
        <w:t>NN:</w:t>
      </w:r>
    </w:p>
    <w:p w14:paraId="73C4A738" w14:textId="77777777" w:rsidR="00922D8A" w:rsidRPr="008661CD" w:rsidRDefault="00922D8A" w:rsidP="008661CD"/>
    <w:p w14:paraId="5A5016BD" w14:textId="77777777" w:rsidR="00922D8A" w:rsidRPr="008661CD" w:rsidRDefault="00922D8A" w:rsidP="000F3553">
      <w:pPr>
        <w:spacing w:after="160" w:line="259" w:lineRule="auto"/>
      </w:pPr>
      <w:r w:rsidRPr="008661CD">
        <w:br w:type="page"/>
      </w:r>
    </w:p>
    <w:p w14:paraId="4D853331" w14:textId="77777777" w:rsidR="00922D8A" w:rsidRPr="008661CD" w:rsidRDefault="00922D8A" w:rsidP="008661CD"/>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0F071801" w14:textId="77777777" w:rsidTr="00894113">
        <w:trPr>
          <w:trHeight w:val="785"/>
        </w:trPr>
        <w:tc>
          <w:tcPr>
            <w:tcW w:w="9287" w:type="dxa"/>
            <w:tcBorders>
              <w:bottom w:val="single" w:sz="4" w:space="0" w:color="auto"/>
            </w:tcBorders>
          </w:tcPr>
          <w:p w14:paraId="0A09B32C" w14:textId="77777777" w:rsidR="00922D8A" w:rsidRPr="008661CD" w:rsidRDefault="00922D8A" w:rsidP="008661CD">
            <w:pPr>
              <w:rPr>
                <w:b/>
              </w:rPr>
            </w:pPr>
            <w:r w:rsidRPr="008661CD">
              <w:rPr>
                <w:b/>
                <w:color w:val="FF0000"/>
              </w:rPr>
              <w:br w:type="page"/>
            </w:r>
            <w:r w:rsidRPr="008661CD">
              <w:rPr>
                <w:b/>
              </w:rPr>
              <w:t xml:space="preserve">MINIMALI </w:t>
            </w:r>
            <w:r w:rsidRPr="008661CD">
              <w:rPr>
                <w:b/>
                <w:caps/>
              </w:rPr>
              <w:t xml:space="preserve">informacija ant </w:t>
            </w:r>
            <w:r w:rsidRPr="008661CD">
              <w:rPr>
                <w:b/>
              </w:rPr>
              <w:t xml:space="preserve">LIZDINIŲ PLOKŠTELIŲ </w:t>
            </w:r>
          </w:p>
          <w:p w14:paraId="312B66B1" w14:textId="77777777" w:rsidR="00922D8A" w:rsidRPr="008661CD" w:rsidRDefault="00922D8A" w:rsidP="008661CD">
            <w:pPr>
              <w:rPr>
                <w:b/>
              </w:rPr>
            </w:pPr>
          </w:p>
          <w:p w14:paraId="690F679E" w14:textId="77777777" w:rsidR="00922D8A" w:rsidRPr="008661CD" w:rsidRDefault="00922D8A" w:rsidP="008661CD">
            <w:pPr>
              <w:rPr>
                <w:b/>
              </w:rPr>
            </w:pPr>
            <w:r w:rsidRPr="008661CD">
              <w:rPr>
                <w:b/>
              </w:rPr>
              <w:t xml:space="preserve">LIZDINĖS PLOKŠTELĖS </w:t>
            </w:r>
          </w:p>
        </w:tc>
      </w:tr>
    </w:tbl>
    <w:p w14:paraId="1E309EA7" w14:textId="77777777" w:rsidR="00922D8A" w:rsidRPr="008661CD" w:rsidRDefault="00922D8A" w:rsidP="008661CD">
      <w:pPr>
        <w:rPr>
          <w:b/>
        </w:rPr>
      </w:pPr>
    </w:p>
    <w:p w14:paraId="4A4340AA" w14:textId="77777777" w:rsidR="00922D8A" w:rsidRPr="008661CD" w:rsidRDefault="00922D8A" w:rsidP="008661C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5B3E9F79" w14:textId="77777777" w:rsidTr="00894113">
        <w:tc>
          <w:tcPr>
            <w:tcW w:w="9287" w:type="dxa"/>
          </w:tcPr>
          <w:p w14:paraId="111484FD" w14:textId="77777777" w:rsidR="00922D8A" w:rsidRPr="008661CD" w:rsidRDefault="00922D8A" w:rsidP="008661CD">
            <w:pPr>
              <w:tabs>
                <w:tab w:val="left" w:pos="142"/>
              </w:tabs>
              <w:ind w:left="567" w:hanging="567"/>
              <w:rPr>
                <w:b/>
              </w:rPr>
            </w:pPr>
            <w:r w:rsidRPr="008661CD">
              <w:rPr>
                <w:b/>
              </w:rPr>
              <w:t>1.</w:t>
            </w:r>
            <w:r w:rsidRPr="008661CD">
              <w:rPr>
                <w:b/>
              </w:rPr>
              <w:tab/>
            </w:r>
            <w:r w:rsidRPr="008661CD">
              <w:rPr>
                <w:b/>
                <w:caps/>
              </w:rPr>
              <w:t>Vaistinio preparato pavadinimas</w:t>
            </w:r>
          </w:p>
        </w:tc>
      </w:tr>
    </w:tbl>
    <w:p w14:paraId="0C78BC54" w14:textId="77777777" w:rsidR="00922D8A" w:rsidRPr="008661CD" w:rsidRDefault="00922D8A" w:rsidP="008661CD">
      <w:pPr>
        <w:ind w:left="567" w:hanging="567"/>
      </w:pPr>
    </w:p>
    <w:p w14:paraId="0EDD8E0D" w14:textId="77777777" w:rsidR="00922D8A" w:rsidRPr="008661CD" w:rsidRDefault="00922D8A" w:rsidP="008661CD">
      <w:r w:rsidRPr="008661CD">
        <w:t>Zinnat 125 mg plėvele dengtos tabletės</w:t>
      </w:r>
    </w:p>
    <w:p w14:paraId="649F50A7" w14:textId="77777777" w:rsidR="00922D8A" w:rsidRPr="008661CD" w:rsidRDefault="00922D8A" w:rsidP="008661CD">
      <w:pPr>
        <w:rPr>
          <w:highlight w:val="lightGray"/>
          <w:shd w:val="clear" w:color="auto" w:fill="C0C0C0"/>
        </w:rPr>
      </w:pPr>
      <w:r w:rsidRPr="008661CD">
        <w:rPr>
          <w:shd w:val="clear" w:color="auto" w:fill="C0C0C0"/>
        </w:rPr>
        <w:t xml:space="preserve">Zinnat 250 mg </w:t>
      </w:r>
      <w:r w:rsidRPr="008661CD">
        <w:rPr>
          <w:highlight w:val="lightGray"/>
        </w:rPr>
        <w:t>plėvele dengtos</w:t>
      </w:r>
      <w:r w:rsidRPr="008661CD">
        <w:rPr>
          <w:highlight w:val="lightGray"/>
          <w:shd w:val="clear" w:color="auto" w:fill="C0C0C0"/>
        </w:rPr>
        <w:t xml:space="preserve"> tabletės</w:t>
      </w:r>
    </w:p>
    <w:p w14:paraId="4EE5FEE5" w14:textId="77777777" w:rsidR="00922D8A" w:rsidRPr="008661CD" w:rsidRDefault="00922D8A" w:rsidP="008661CD">
      <w:pPr>
        <w:rPr>
          <w:shd w:val="clear" w:color="auto" w:fill="C0C0C0"/>
        </w:rPr>
      </w:pPr>
      <w:r w:rsidRPr="008661CD">
        <w:rPr>
          <w:highlight w:val="lightGray"/>
          <w:shd w:val="clear" w:color="auto" w:fill="C0C0C0"/>
        </w:rPr>
        <w:t xml:space="preserve">Zinnat 500 mg </w:t>
      </w:r>
      <w:r w:rsidRPr="008661CD">
        <w:rPr>
          <w:highlight w:val="lightGray"/>
        </w:rPr>
        <w:t>plėvele dengtos</w:t>
      </w:r>
      <w:r w:rsidRPr="008661CD">
        <w:rPr>
          <w:highlight w:val="lightGray"/>
          <w:shd w:val="clear" w:color="auto" w:fill="C0C0C0"/>
        </w:rPr>
        <w:t xml:space="preserve"> tabletės</w:t>
      </w:r>
    </w:p>
    <w:p w14:paraId="68706411" w14:textId="77777777" w:rsidR="00922D8A" w:rsidRPr="008661CD" w:rsidRDefault="00922D8A" w:rsidP="008661CD"/>
    <w:p w14:paraId="3ABBC7F4" w14:textId="77777777" w:rsidR="00922D8A" w:rsidRPr="008661CD" w:rsidRDefault="00922D8A" w:rsidP="008661CD">
      <w:r w:rsidRPr="008661CD">
        <w:t>Cefuroksimas</w:t>
      </w:r>
    </w:p>
    <w:p w14:paraId="50F2A512" w14:textId="77777777" w:rsidR="00922D8A" w:rsidRPr="008661CD" w:rsidRDefault="00922D8A" w:rsidP="008661CD">
      <w:pPr>
        <w:rPr>
          <w:highlight w:val="lightGray"/>
        </w:rPr>
      </w:pPr>
      <w:r w:rsidRPr="008661CD">
        <w:rPr>
          <w:highlight w:val="lightGray"/>
        </w:rPr>
        <w:t>Cefuroximum</w:t>
      </w:r>
    </w:p>
    <w:p w14:paraId="07B37DAE" w14:textId="77777777" w:rsidR="00922D8A" w:rsidRPr="008661CD" w:rsidRDefault="00922D8A" w:rsidP="008661CD"/>
    <w:p w14:paraId="0BE94365" w14:textId="77777777" w:rsidR="00922D8A" w:rsidRPr="008661CD" w:rsidRDefault="00922D8A" w:rsidP="008661C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26C6B74F" w14:textId="77777777" w:rsidTr="00894113">
        <w:tc>
          <w:tcPr>
            <w:tcW w:w="9287" w:type="dxa"/>
          </w:tcPr>
          <w:p w14:paraId="0ECB429A" w14:textId="77777777" w:rsidR="00922D8A" w:rsidRPr="008661CD" w:rsidRDefault="00922D8A" w:rsidP="008661CD">
            <w:pPr>
              <w:tabs>
                <w:tab w:val="left" w:pos="142"/>
              </w:tabs>
              <w:ind w:left="567" w:hanging="567"/>
              <w:rPr>
                <w:b/>
              </w:rPr>
            </w:pPr>
            <w:r w:rsidRPr="008661CD">
              <w:rPr>
                <w:b/>
              </w:rPr>
              <w:t>2.</w:t>
            </w:r>
            <w:r w:rsidRPr="008661CD">
              <w:rPr>
                <w:b/>
              </w:rPr>
              <w:tab/>
            </w:r>
            <w:r w:rsidRPr="008661CD">
              <w:rPr>
                <w:b/>
                <w:caps/>
              </w:rPr>
              <w:t>REGISTRUOTOJO pavadinimas</w:t>
            </w:r>
          </w:p>
        </w:tc>
      </w:tr>
    </w:tbl>
    <w:p w14:paraId="30730F5E" w14:textId="77777777" w:rsidR="00922D8A" w:rsidRPr="008661CD" w:rsidRDefault="00922D8A" w:rsidP="008661CD">
      <w:pPr>
        <w:rPr>
          <w:b/>
        </w:rPr>
      </w:pPr>
    </w:p>
    <w:p w14:paraId="49214F6E" w14:textId="77777777" w:rsidR="00922D8A" w:rsidRPr="000F3553" w:rsidRDefault="00922D8A" w:rsidP="000F3553">
      <w:pPr>
        <w:pStyle w:val="Pagrindinistekstas"/>
      </w:pPr>
      <w:r w:rsidRPr="000F3553">
        <w:rPr>
          <w:i w:val="0"/>
          <w:color w:val="auto"/>
          <w:lang w:val="lt-LT"/>
        </w:rPr>
        <w:t>GlaxoSmithKline {Logo}</w:t>
      </w:r>
    </w:p>
    <w:p w14:paraId="1DF11757" w14:textId="77777777" w:rsidR="00922D8A" w:rsidRPr="008661CD" w:rsidRDefault="00922D8A" w:rsidP="008661CD">
      <w:pPr>
        <w:rPr>
          <w:b/>
        </w:rPr>
      </w:pPr>
    </w:p>
    <w:p w14:paraId="4519190E" w14:textId="77777777" w:rsidR="00922D8A" w:rsidRPr="008661CD" w:rsidRDefault="00922D8A" w:rsidP="008661C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178E56F2" w14:textId="77777777" w:rsidTr="00894113">
        <w:tc>
          <w:tcPr>
            <w:tcW w:w="9287" w:type="dxa"/>
          </w:tcPr>
          <w:p w14:paraId="6EE30D9E" w14:textId="77777777" w:rsidR="00922D8A" w:rsidRPr="008661CD" w:rsidRDefault="00922D8A" w:rsidP="008661CD">
            <w:pPr>
              <w:tabs>
                <w:tab w:val="left" w:pos="142"/>
              </w:tabs>
              <w:ind w:left="567" w:hanging="567"/>
              <w:rPr>
                <w:b/>
              </w:rPr>
            </w:pPr>
            <w:r w:rsidRPr="008661CD">
              <w:rPr>
                <w:b/>
              </w:rPr>
              <w:t>3.</w:t>
            </w:r>
            <w:r w:rsidRPr="008661CD">
              <w:rPr>
                <w:b/>
              </w:rPr>
              <w:tab/>
            </w:r>
            <w:r w:rsidRPr="008661CD">
              <w:rPr>
                <w:b/>
                <w:caps/>
              </w:rPr>
              <w:t>tinkamumo laikas</w:t>
            </w:r>
          </w:p>
        </w:tc>
      </w:tr>
    </w:tbl>
    <w:p w14:paraId="4AAA2ECC" w14:textId="77777777" w:rsidR="00922D8A" w:rsidRPr="008661CD" w:rsidRDefault="00922D8A" w:rsidP="008661CD">
      <w:pPr>
        <w:rPr>
          <w:b/>
        </w:rPr>
      </w:pPr>
    </w:p>
    <w:p w14:paraId="7DD21A61" w14:textId="77777777" w:rsidR="00922D8A" w:rsidRPr="008661CD" w:rsidRDefault="00922D8A" w:rsidP="008661CD">
      <w:r w:rsidRPr="008661CD">
        <w:t>EXP {mm-MMMM}</w:t>
      </w:r>
    </w:p>
    <w:p w14:paraId="004AE604" w14:textId="77777777" w:rsidR="00922D8A" w:rsidRPr="008661CD" w:rsidRDefault="00922D8A" w:rsidP="008661CD"/>
    <w:p w14:paraId="5466D4C9" w14:textId="77777777" w:rsidR="00922D8A" w:rsidRPr="008661CD" w:rsidRDefault="00922D8A" w:rsidP="008661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353C4B18" w14:textId="77777777" w:rsidTr="00894113">
        <w:tc>
          <w:tcPr>
            <w:tcW w:w="9287" w:type="dxa"/>
          </w:tcPr>
          <w:p w14:paraId="07FDF8BE" w14:textId="77777777" w:rsidR="00922D8A" w:rsidRPr="008661CD" w:rsidRDefault="00922D8A" w:rsidP="008661CD">
            <w:pPr>
              <w:tabs>
                <w:tab w:val="left" w:pos="142"/>
              </w:tabs>
              <w:ind w:left="567" w:hanging="567"/>
              <w:rPr>
                <w:b/>
              </w:rPr>
            </w:pPr>
            <w:r w:rsidRPr="008661CD">
              <w:rPr>
                <w:b/>
              </w:rPr>
              <w:t>4.</w:t>
            </w:r>
            <w:r w:rsidRPr="008661CD">
              <w:rPr>
                <w:b/>
              </w:rPr>
              <w:tab/>
            </w:r>
            <w:r w:rsidRPr="008661CD">
              <w:rPr>
                <w:b/>
                <w:caps/>
              </w:rPr>
              <w:t>serijos numeris</w:t>
            </w:r>
          </w:p>
        </w:tc>
      </w:tr>
    </w:tbl>
    <w:p w14:paraId="6519A8CA" w14:textId="77777777" w:rsidR="00922D8A" w:rsidRPr="008661CD" w:rsidRDefault="00922D8A" w:rsidP="008661CD">
      <w:pPr>
        <w:ind w:right="113"/>
      </w:pPr>
    </w:p>
    <w:p w14:paraId="246D3BC1" w14:textId="77777777" w:rsidR="00922D8A" w:rsidRPr="008661CD" w:rsidRDefault="00922D8A" w:rsidP="008661CD">
      <w:pPr>
        <w:ind w:right="113"/>
      </w:pPr>
      <w:r w:rsidRPr="008661CD">
        <w:t>Lot</w:t>
      </w:r>
    </w:p>
    <w:p w14:paraId="0D9A23F2" w14:textId="77777777" w:rsidR="00922D8A" w:rsidRPr="008661CD" w:rsidRDefault="00922D8A" w:rsidP="008661CD">
      <w:pPr>
        <w:ind w:right="113"/>
      </w:pPr>
    </w:p>
    <w:p w14:paraId="6D61C3AB" w14:textId="77777777" w:rsidR="00922D8A" w:rsidRPr="008661CD" w:rsidRDefault="00922D8A" w:rsidP="008661CD">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3BFFC67D" w14:textId="77777777" w:rsidTr="00894113">
        <w:tc>
          <w:tcPr>
            <w:tcW w:w="9287" w:type="dxa"/>
          </w:tcPr>
          <w:p w14:paraId="5A9C5F45" w14:textId="77777777" w:rsidR="00922D8A" w:rsidRPr="008661CD" w:rsidRDefault="00922D8A" w:rsidP="008661CD">
            <w:pPr>
              <w:tabs>
                <w:tab w:val="left" w:pos="142"/>
              </w:tabs>
              <w:ind w:left="567" w:hanging="567"/>
              <w:rPr>
                <w:b/>
              </w:rPr>
            </w:pPr>
            <w:r w:rsidRPr="008661CD">
              <w:rPr>
                <w:b/>
              </w:rPr>
              <w:t>5.</w:t>
            </w:r>
            <w:r w:rsidRPr="008661CD">
              <w:rPr>
                <w:b/>
              </w:rPr>
              <w:tab/>
              <w:t>KITA</w:t>
            </w:r>
          </w:p>
        </w:tc>
      </w:tr>
    </w:tbl>
    <w:p w14:paraId="5E6E7CE1" w14:textId="77777777" w:rsidR="00922D8A" w:rsidRPr="008661CD" w:rsidRDefault="00922D8A" w:rsidP="008661CD">
      <w:pPr>
        <w:ind w:right="113"/>
      </w:pPr>
    </w:p>
    <w:p w14:paraId="4FB9AAEA" w14:textId="77777777" w:rsidR="00922D8A" w:rsidRPr="008661CD" w:rsidRDefault="00922D8A" w:rsidP="008661CD">
      <w:pPr>
        <w:shd w:val="clear" w:color="auto" w:fill="FFFFFF"/>
      </w:pPr>
      <w:r w:rsidRPr="008661CD">
        <w:br w:type="page"/>
      </w:r>
    </w:p>
    <w:p w14:paraId="20DEB16B" w14:textId="77777777" w:rsidR="00922D8A" w:rsidRPr="008661CD" w:rsidRDefault="00922D8A" w:rsidP="008661CD">
      <w:pPr>
        <w:jc w:val="center"/>
      </w:pPr>
    </w:p>
    <w:p w14:paraId="1A492A9E" w14:textId="77777777" w:rsidR="00922D8A" w:rsidRPr="008661CD" w:rsidRDefault="00922D8A" w:rsidP="008661CD">
      <w:pPr>
        <w:jc w:val="center"/>
      </w:pPr>
    </w:p>
    <w:p w14:paraId="03F4B396" w14:textId="77777777" w:rsidR="00922D8A" w:rsidRPr="008661CD" w:rsidRDefault="00922D8A" w:rsidP="008661CD">
      <w:pPr>
        <w:jc w:val="center"/>
      </w:pPr>
    </w:p>
    <w:p w14:paraId="5D9A4035" w14:textId="77777777" w:rsidR="00922D8A" w:rsidRPr="008661CD" w:rsidRDefault="00922D8A" w:rsidP="008661CD">
      <w:pPr>
        <w:jc w:val="center"/>
      </w:pPr>
    </w:p>
    <w:p w14:paraId="019E0C5F" w14:textId="77777777" w:rsidR="00922D8A" w:rsidRPr="008661CD" w:rsidRDefault="00922D8A" w:rsidP="008661CD">
      <w:pPr>
        <w:jc w:val="center"/>
      </w:pPr>
    </w:p>
    <w:p w14:paraId="274D4732" w14:textId="77777777" w:rsidR="00922D8A" w:rsidRPr="008661CD" w:rsidRDefault="00922D8A" w:rsidP="008661CD">
      <w:pPr>
        <w:jc w:val="center"/>
      </w:pPr>
    </w:p>
    <w:p w14:paraId="5AB102DC" w14:textId="77777777" w:rsidR="00922D8A" w:rsidRPr="008661CD" w:rsidRDefault="00922D8A" w:rsidP="008661CD">
      <w:pPr>
        <w:jc w:val="center"/>
      </w:pPr>
    </w:p>
    <w:p w14:paraId="53C79204" w14:textId="77777777" w:rsidR="00922D8A" w:rsidRPr="008661CD" w:rsidRDefault="00922D8A" w:rsidP="008661CD">
      <w:pPr>
        <w:jc w:val="center"/>
      </w:pPr>
    </w:p>
    <w:p w14:paraId="2A398EC1" w14:textId="77777777" w:rsidR="00922D8A" w:rsidRPr="008661CD" w:rsidRDefault="00922D8A" w:rsidP="008661CD">
      <w:pPr>
        <w:jc w:val="center"/>
      </w:pPr>
    </w:p>
    <w:p w14:paraId="7D2639C8" w14:textId="77777777" w:rsidR="00922D8A" w:rsidRPr="008661CD" w:rsidRDefault="00922D8A" w:rsidP="008661CD">
      <w:pPr>
        <w:jc w:val="center"/>
      </w:pPr>
    </w:p>
    <w:p w14:paraId="3E83AC49" w14:textId="77777777" w:rsidR="00922D8A" w:rsidRPr="008661CD" w:rsidRDefault="00922D8A" w:rsidP="008661CD">
      <w:pPr>
        <w:jc w:val="center"/>
      </w:pPr>
    </w:p>
    <w:p w14:paraId="5C754575" w14:textId="77777777" w:rsidR="00922D8A" w:rsidRPr="008661CD" w:rsidRDefault="00922D8A" w:rsidP="008661CD">
      <w:pPr>
        <w:jc w:val="center"/>
      </w:pPr>
    </w:p>
    <w:p w14:paraId="19F68AA6" w14:textId="77777777" w:rsidR="00922D8A" w:rsidRPr="008661CD" w:rsidRDefault="00922D8A" w:rsidP="008661CD">
      <w:pPr>
        <w:jc w:val="center"/>
      </w:pPr>
    </w:p>
    <w:p w14:paraId="2231C06C" w14:textId="77777777" w:rsidR="00922D8A" w:rsidRPr="008661CD" w:rsidRDefault="00922D8A" w:rsidP="008661CD">
      <w:pPr>
        <w:jc w:val="center"/>
      </w:pPr>
    </w:p>
    <w:p w14:paraId="69AFB8F6" w14:textId="77777777" w:rsidR="00922D8A" w:rsidRPr="008661CD" w:rsidRDefault="00922D8A" w:rsidP="008661CD">
      <w:pPr>
        <w:jc w:val="center"/>
      </w:pPr>
    </w:p>
    <w:p w14:paraId="1557AB62" w14:textId="77777777" w:rsidR="00922D8A" w:rsidRPr="008661CD" w:rsidRDefault="00922D8A" w:rsidP="008661CD">
      <w:pPr>
        <w:jc w:val="center"/>
      </w:pPr>
    </w:p>
    <w:p w14:paraId="5F56854C" w14:textId="77777777" w:rsidR="00922D8A" w:rsidRPr="008661CD" w:rsidRDefault="00922D8A" w:rsidP="008661CD">
      <w:pPr>
        <w:jc w:val="center"/>
      </w:pPr>
    </w:p>
    <w:p w14:paraId="1544A561" w14:textId="77777777" w:rsidR="00922D8A" w:rsidRPr="008661CD" w:rsidRDefault="00922D8A" w:rsidP="008661CD">
      <w:pPr>
        <w:jc w:val="center"/>
      </w:pPr>
    </w:p>
    <w:p w14:paraId="05893BE1" w14:textId="77777777" w:rsidR="00922D8A" w:rsidRPr="008661CD" w:rsidRDefault="00922D8A" w:rsidP="008661CD">
      <w:pPr>
        <w:jc w:val="center"/>
      </w:pPr>
    </w:p>
    <w:p w14:paraId="7CCADEB5" w14:textId="77777777" w:rsidR="00922D8A" w:rsidRPr="008661CD" w:rsidRDefault="00922D8A" w:rsidP="008661CD">
      <w:pPr>
        <w:jc w:val="center"/>
      </w:pPr>
    </w:p>
    <w:p w14:paraId="0DCEB9E5" w14:textId="77777777" w:rsidR="00922D8A" w:rsidRPr="008661CD" w:rsidRDefault="00922D8A" w:rsidP="008661CD">
      <w:pPr>
        <w:jc w:val="center"/>
      </w:pPr>
    </w:p>
    <w:p w14:paraId="4EBE4EA6" w14:textId="77777777" w:rsidR="00922D8A" w:rsidRPr="008661CD" w:rsidRDefault="00922D8A" w:rsidP="008661CD">
      <w:pPr>
        <w:jc w:val="center"/>
      </w:pPr>
    </w:p>
    <w:p w14:paraId="75DC0294" w14:textId="77777777" w:rsidR="00922D8A" w:rsidRPr="008661CD" w:rsidRDefault="00922D8A" w:rsidP="008661CD">
      <w:pPr>
        <w:jc w:val="center"/>
        <w:outlineLvl w:val="0"/>
        <w:rPr>
          <w:b/>
        </w:rPr>
      </w:pPr>
    </w:p>
    <w:p w14:paraId="145BE486" w14:textId="77777777" w:rsidR="00922D8A" w:rsidRPr="008661CD" w:rsidRDefault="00922D8A" w:rsidP="008661CD">
      <w:pPr>
        <w:jc w:val="center"/>
        <w:outlineLvl w:val="0"/>
      </w:pPr>
      <w:r w:rsidRPr="008661CD">
        <w:rPr>
          <w:b/>
        </w:rPr>
        <w:t>B. PAKUOTĖS LAPELIS</w:t>
      </w:r>
    </w:p>
    <w:p w14:paraId="245AACCB" w14:textId="77777777" w:rsidR="00922D8A" w:rsidRPr="008661CD" w:rsidRDefault="00922D8A" w:rsidP="008661CD">
      <w:pPr>
        <w:jc w:val="center"/>
        <w:outlineLvl w:val="0"/>
        <w:rPr>
          <w:b/>
        </w:rPr>
      </w:pPr>
      <w:r w:rsidRPr="008661CD">
        <w:rPr>
          <w:b/>
        </w:rPr>
        <w:br w:type="page"/>
      </w:r>
      <w:r w:rsidRPr="008661CD">
        <w:rPr>
          <w:b/>
        </w:rPr>
        <w:lastRenderedPageBreak/>
        <w:t>Pakuotės lapelis: informacija vartotojui</w:t>
      </w:r>
    </w:p>
    <w:p w14:paraId="45A39F7E" w14:textId="77777777" w:rsidR="00922D8A" w:rsidRPr="008661CD" w:rsidRDefault="00922D8A" w:rsidP="008661CD">
      <w:pPr>
        <w:jc w:val="center"/>
        <w:outlineLvl w:val="0"/>
        <w:rPr>
          <w:b/>
        </w:rPr>
      </w:pPr>
    </w:p>
    <w:p w14:paraId="312A8402" w14:textId="77777777" w:rsidR="00922D8A" w:rsidRPr="008661CD" w:rsidRDefault="00922D8A" w:rsidP="008661CD">
      <w:pPr>
        <w:numPr>
          <w:ilvl w:val="12"/>
          <w:numId w:val="0"/>
        </w:numPr>
        <w:jc w:val="center"/>
        <w:rPr>
          <w:b/>
        </w:rPr>
      </w:pPr>
      <w:r w:rsidRPr="008661CD">
        <w:rPr>
          <w:b/>
        </w:rPr>
        <w:t>Zinnat 125 mg plėvele dengtos tabletės</w:t>
      </w:r>
    </w:p>
    <w:p w14:paraId="47171565" w14:textId="77777777" w:rsidR="00922D8A" w:rsidRPr="008661CD" w:rsidRDefault="00922D8A" w:rsidP="008661CD">
      <w:pPr>
        <w:jc w:val="center"/>
        <w:rPr>
          <w:b/>
          <w:highlight w:val="lightGray"/>
          <w:shd w:val="clear" w:color="auto" w:fill="C0C0C0"/>
        </w:rPr>
      </w:pPr>
      <w:r w:rsidRPr="008661CD">
        <w:rPr>
          <w:b/>
          <w:highlight w:val="lightGray"/>
          <w:shd w:val="clear" w:color="auto" w:fill="C0C0C0"/>
        </w:rPr>
        <w:t xml:space="preserve">Zinnat 250 mg </w:t>
      </w:r>
      <w:r w:rsidRPr="008661CD">
        <w:rPr>
          <w:b/>
          <w:highlight w:val="lightGray"/>
        </w:rPr>
        <w:t>plėvele dengtos</w:t>
      </w:r>
      <w:r w:rsidRPr="008661CD">
        <w:rPr>
          <w:b/>
          <w:highlight w:val="lightGray"/>
          <w:shd w:val="clear" w:color="auto" w:fill="C0C0C0"/>
        </w:rPr>
        <w:t xml:space="preserve"> tabletės</w:t>
      </w:r>
    </w:p>
    <w:p w14:paraId="5B9CA745" w14:textId="77777777" w:rsidR="00922D8A" w:rsidRPr="008661CD" w:rsidRDefault="00922D8A" w:rsidP="008661CD">
      <w:pPr>
        <w:jc w:val="center"/>
        <w:rPr>
          <w:b/>
          <w:shd w:val="clear" w:color="auto" w:fill="C0C0C0"/>
        </w:rPr>
      </w:pPr>
      <w:r w:rsidRPr="008661CD">
        <w:rPr>
          <w:b/>
          <w:highlight w:val="lightGray"/>
          <w:shd w:val="clear" w:color="auto" w:fill="C0C0C0"/>
        </w:rPr>
        <w:t xml:space="preserve">Zinnat 500 mg </w:t>
      </w:r>
      <w:r w:rsidRPr="008661CD">
        <w:rPr>
          <w:b/>
          <w:highlight w:val="lightGray"/>
        </w:rPr>
        <w:t>plėvele dengtos</w:t>
      </w:r>
      <w:r w:rsidRPr="008661CD">
        <w:rPr>
          <w:b/>
          <w:highlight w:val="lightGray"/>
          <w:shd w:val="clear" w:color="auto" w:fill="C0C0C0"/>
        </w:rPr>
        <w:t> </w:t>
      </w:r>
      <w:r w:rsidRPr="008661CD">
        <w:rPr>
          <w:b/>
          <w:shd w:val="clear" w:color="auto" w:fill="C0C0C0"/>
        </w:rPr>
        <w:t xml:space="preserve"> tabletės</w:t>
      </w:r>
    </w:p>
    <w:p w14:paraId="23C9EB45" w14:textId="77777777" w:rsidR="00922D8A" w:rsidRPr="008661CD" w:rsidRDefault="00922D8A" w:rsidP="008661CD">
      <w:pPr>
        <w:numPr>
          <w:ilvl w:val="12"/>
          <w:numId w:val="0"/>
        </w:numPr>
        <w:jc w:val="center"/>
      </w:pPr>
    </w:p>
    <w:p w14:paraId="14536A72" w14:textId="77777777" w:rsidR="00922D8A" w:rsidRPr="008661CD" w:rsidRDefault="00922D8A" w:rsidP="008661CD">
      <w:pPr>
        <w:numPr>
          <w:ilvl w:val="12"/>
          <w:numId w:val="0"/>
        </w:numPr>
        <w:jc w:val="center"/>
      </w:pPr>
      <w:r w:rsidRPr="008661CD">
        <w:t>Cefuroksimas</w:t>
      </w:r>
    </w:p>
    <w:p w14:paraId="5F27499D" w14:textId="77777777" w:rsidR="00922D8A" w:rsidRPr="008661CD" w:rsidRDefault="00922D8A" w:rsidP="008661CD">
      <w:pPr>
        <w:jc w:val="center"/>
      </w:pPr>
    </w:p>
    <w:p w14:paraId="014000B4" w14:textId="77777777" w:rsidR="00922D8A" w:rsidRPr="008661CD" w:rsidRDefault="00922D8A" w:rsidP="008661CD">
      <w:pPr>
        <w:rPr>
          <w:b/>
        </w:rPr>
      </w:pPr>
      <w:r w:rsidRPr="008661CD">
        <w:rPr>
          <w:b/>
        </w:rPr>
        <w:t>Atidžiai perskaitykite visą šį lapelį, prieš pradėdami vartoti vaistą, nes jame pateikiama Jums svarbi informacija.</w:t>
      </w:r>
    </w:p>
    <w:p w14:paraId="0F67A5C0" w14:textId="77777777" w:rsidR="00922D8A" w:rsidRPr="008661CD" w:rsidRDefault="00922D8A" w:rsidP="008661CD">
      <w:pPr>
        <w:ind w:left="567" w:hanging="567"/>
      </w:pPr>
      <w:r w:rsidRPr="008661CD">
        <w:t>-</w:t>
      </w:r>
      <w:r w:rsidRPr="008661CD">
        <w:tab/>
        <w:t>Neišmeskite šio lapelio, nes vėl gali prireikti jį perskaityti.</w:t>
      </w:r>
    </w:p>
    <w:p w14:paraId="164E7E9C" w14:textId="77777777" w:rsidR="00922D8A" w:rsidRPr="008661CD" w:rsidRDefault="00922D8A" w:rsidP="008661CD">
      <w:pPr>
        <w:ind w:left="567" w:hanging="567"/>
      </w:pPr>
      <w:r w:rsidRPr="008661CD">
        <w:t>-</w:t>
      </w:r>
      <w:r w:rsidRPr="008661CD">
        <w:tab/>
        <w:t>Jeigu kiltų daugiau klausimų, kreipkitės į gydytoją, vaistininką arba slaugytoją.</w:t>
      </w:r>
    </w:p>
    <w:p w14:paraId="5C5BED11" w14:textId="77777777" w:rsidR="00922D8A" w:rsidRPr="008661CD" w:rsidRDefault="00922D8A" w:rsidP="000F3553">
      <w:pPr>
        <w:numPr>
          <w:ilvl w:val="0"/>
          <w:numId w:val="1"/>
        </w:numPr>
        <w:ind w:left="567" w:hanging="567"/>
      </w:pPr>
      <w:r w:rsidRPr="008661CD">
        <w:t>Šis vaistas skirtas tik Jums, todėl kitiems žmonėms jo duoti negalima. Vaistas gali jiems pakenkti (net tiems, kurių ligos požymiai yra tokie patys kaip Jūsų).</w:t>
      </w:r>
    </w:p>
    <w:p w14:paraId="4DA284D2" w14:textId="77777777" w:rsidR="00922D8A" w:rsidRPr="008661CD" w:rsidRDefault="00922D8A" w:rsidP="000F3553">
      <w:pPr>
        <w:numPr>
          <w:ilvl w:val="0"/>
          <w:numId w:val="1"/>
        </w:numPr>
        <w:ind w:left="567" w:hanging="567"/>
      </w:pPr>
      <w:r w:rsidRPr="008661CD">
        <w:t>Jeigu pasireiškė šalutinis poveikis (net jeigu jis šiame lapelyje nenurodytas), kreipkitės į gydytoją, vaistininką arba slaugytoją. Žr. 4 skyrių.</w:t>
      </w:r>
    </w:p>
    <w:p w14:paraId="6ECE5423" w14:textId="77777777" w:rsidR="00922D8A" w:rsidRPr="008661CD" w:rsidRDefault="00922D8A" w:rsidP="008661CD">
      <w:pPr>
        <w:ind w:right="-2"/>
      </w:pPr>
    </w:p>
    <w:p w14:paraId="7C7EB979" w14:textId="77777777" w:rsidR="00922D8A" w:rsidRPr="008661CD" w:rsidRDefault="00922D8A" w:rsidP="008661CD">
      <w:pPr>
        <w:ind w:left="567" w:hanging="567"/>
        <w:rPr>
          <w:b/>
        </w:rPr>
      </w:pPr>
      <w:r w:rsidRPr="008661CD">
        <w:rPr>
          <w:b/>
        </w:rPr>
        <w:t>Apie ką rašoma šiame lapelyje?</w:t>
      </w:r>
    </w:p>
    <w:p w14:paraId="249E536A" w14:textId="77777777" w:rsidR="00922D8A" w:rsidRPr="008661CD" w:rsidRDefault="00922D8A" w:rsidP="008661CD">
      <w:pPr>
        <w:ind w:left="567" w:hanging="567"/>
        <w:rPr>
          <w:b/>
        </w:rPr>
      </w:pPr>
    </w:p>
    <w:p w14:paraId="68F2D81B" w14:textId="77777777" w:rsidR="00922D8A" w:rsidRPr="008661CD" w:rsidRDefault="00922D8A" w:rsidP="008661CD">
      <w:pPr>
        <w:ind w:left="567" w:hanging="567"/>
      </w:pPr>
      <w:r w:rsidRPr="008661CD">
        <w:t>1.</w:t>
      </w:r>
      <w:r w:rsidRPr="008661CD">
        <w:tab/>
        <w:t>Kas yra Zinnat ir kam jis vartojamas</w:t>
      </w:r>
    </w:p>
    <w:p w14:paraId="47597267" w14:textId="77777777" w:rsidR="00922D8A" w:rsidRPr="008661CD" w:rsidRDefault="00922D8A" w:rsidP="008661CD">
      <w:pPr>
        <w:ind w:left="567" w:hanging="567"/>
      </w:pPr>
      <w:r w:rsidRPr="008661CD">
        <w:t>2.</w:t>
      </w:r>
      <w:r w:rsidRPr="008661CD">
        <w:tab/>
        <w:t>Kas žinotina prieš vartojant Zinnat</w:t>
      </w:r>
    </w:p>
    <w:p w14:paraId="4D86B727" w14:textId="77777777" w:rsidR="00922D8A" w:rsidRPr="008661CD" w:rsidRDefault="00922D8A" w:rsidP="008661CD">
      <w:pPr>
        <w:ind w:left="567" w:hanging="567"/>
      </w:pPr>
      <w:r w:rsidRPr="008661CD">
        <w:t>3.</w:t>
      </w:r>
      <w:r w:rsidRPr="008661CD">
        <w:tab/>
        <w:t>Kaip vartoti Zinnat</w:t>
      </w:r>
    </w:p>
    <w:p w14:paraId="442D35EC" w14:textId="77777777" w:rsidR="00922D8A" w:rsidRPr="008661CD" w:rsidRDefault="00922D8A" w:rsidP="008661CD">
      <w:pPr>
        <w:ind w:left="567" w:hanging="567"/>
      </w:pPr>
      <w:r w:rsidRPr="008661CD">
        <w:t>4.</w:t>
      </w:r>
      <w:r w:rsidRPr="008661CD">
        <w:tab/>
        <w:t>Galimas šalutinis poveikis</w:t>
      </w:r>
    </w:p>
    <w:p w14:paraId="157A8803" w14:textId="77777777" w:rsidR="00922D8A" w:rsidRPr="008661CD" w:rsidRDefault="00922D8A" w:rsidP="008661CD">
      <w:pPr>
        <w:ind w:left="567" w:hanging="567"/>
      </w:pPr>
      <w:r w:rsidRPr="008661CD">
        <w:t>5.</w:t>
      </w:r>
      <w:r w:rsidRPr="008661CD">
        <w:tab/>
        <w:t>Kaip laikyti Zinnat</w:t>
      </w:r>
    </w:p>
    <w:p w14:paraId="18C09670" w14:textId="77777777" w:rsidR="00922D8A" w:rsidRPr="008661CD" w:rsidRDefault="00922D8A" w:rsidP="008661CD">
      <w:pPr>
        <w:ind w:left="567" w:hanging="567"/>
      </w:pPr>
      <w:r w:rsidRPr="008661CD">
        <w:t>6.</w:t>
      </w:r>
      <w:r w:rsidRPr="008661CD">
        <w:tab/>
        <w:t>Pakuotės turinys ir kita informacija</w:t>
      </w:r>
    </w:p>
    <w:p w14:paraId="2F57F4C5" w14:textId="77777777" w:rsidR="00922D8A" w:rsidRPr="008661CD" w:rsidRDefault="00922D8A" w:rsidP="008661CD">
      <w:pPr>
        <w:numPr>
          <w:ilvl w:val="12"/>
          <w:numId w:val="0"/>
        </w:numPr>
      </w:pPr>
    </w:p>
    <w:p w14:paraId="5C55F83D" w14:textId="77777777" w:rsidR="00922D8A" w:rsidRPr="008661CD" w:rsidRDefault="00922D8A" w:rsidP="008661CD">
      <w:pPr>
        <w:numPr>
          <w:ilvl w:val="12"/>
          <w:numId w:val="0"/>
        </w:numPr>
      </w:pPr>
    </w:p>
    <w:p w14:paraId="692131B8" w14:textId="77777777" w:rsidR="00922D8A" w:rsidRPr="008661CD" w:rsidRDefault="00922D8A" w:rsidP="000F3553">
      <w:pPr>
        <w:numPr>
          <w:ilvl w:val="12"/>
          <w:numId w:val="0"/>
        </w:numPr>
        <w:ind w:left="567" w:hanging="567"/>
        <w:outlineLvl w:val="0"/>
        <w:rPr>
          <w:b/>
          <w:caps/>
        </w:rPr>
      </w:pPr>
      <w:r w:rsidRPr="008661CD">
        <w:rPr>
          <w:b/>
        </w:rPr>
        <w:t>1.</w:t>
      </w:r>
      <w:r w:rsidRPr="008661CD">
        <w:rPr>
          <w:b/>
        </w:rPr>
        <w:tab/>
        <w:t>Kas yra Zinnat ir kam jis vartojamas</w:t>
      </w:r>
    </w:p>
    <w:p w14:paraId="397D5FD2" w14:textId="77777777" w:rsidR="00922D8A" w:rsidRPr="008661CD" w:rsidRDefault="00922D8A" w:rsidP="008661CD">
      <w:pPr>
        <w:numPr>
          <w:ilvl w:val="12"/>
          <w:numId w:val="0"/>
        </w:numPr>
      </w:pPr>
    </w:p>
    <w:p w14:paraId="19D1DE6C" w14:textId="77777777" w:rsidR="00922D8A" w:rsidRPr="008661CD" w:rsidRDefault="00922D8A" w:rsidP="008661CD">
      <w:pPr>
        <w:numPr>
          <w:ilvl w:val="12"/>
          <w:numId w:val="0"/>
        </w:numPr>
        <w:ind w:right="-2"/>
      </w:pPr>
      <w:r w:rsidRPr="008661CD">
        <w:t xml:space="preserve">Zinnat yra antibiotikas, kuriuo gydomi suaugusieji ir vaikai. Jis naikina infekcines ligas sukeliančias bakterijas. Jis priklauso vaistų, vadinamų </w:t>
      </w:r>
      <w:r w:rsidRPr="008661CD">
        <w:rPr>
          <w:i/>
        </w:rPr>
        <w:t>cefalosporinais</w:t>
      </w:r>
      <w:r w:rsidRPr="008661CD">
        <w:t>, grupei.</w:t>
      </w:r>
    </w:p>
    <w:p w14:paraId="234E94A0" w14:textId="77777777" w:rsidR="00922D8A" w:rsidRPr="008661CD" w:rsidRDefault="00922D8A" w:rsidP="008661CD">
      <w:pPr>
        <w:numPr>
          <w:ilvl w:val="12"/>
          <w:numId w:val="0"/>
        </w:numPr>
        <w:ind w:right="-2"/>
        <w:rPr>
          <w:b/>
        </w:rPr>
      </w:pPr>
    </w:p>
    <w:p w14:paraId="18A88B3B" w14:textId="77777777" w:rsidR="00922D8A" w:rsidRPr="008661CD" w:rsidRDefault="00922D8A" w:rsidP="008661CD">
      <w:pPr>
        <w:numPr>
          <w:ilvl w:val="12"/>
          <w:numId w:val="0"/>
        </w:numPr>
        <w:ind w:right="-2"/>
      </w:pPr>
      <w:r w:rsidRPr="008661CD">
        <w:t>Zinnat gydomos sunkios infekcinės ligos:</w:t>
      </w:r>
    </w:p>
    <w:p w14:paraId="14F20664" w14:textId="77777777" w:rsidR="00922D8A" w:rsidRPr="008661CD" w:rsidRDefault="00922D8A" w:rsidP="000F3553">
      <w:pPr>
        <w:numPr>
          <w:ilvl w:val="0"/>
          <w:numId w:val="8"/>
        </w:numPr>
        <w:ind w:left="567" w:right="-2" w:hanging="567"/>
      </w:pPr>
      <w:r w:rsidRPr="008661CD">
        <w:t>gerklės;</w:t>
      </w:r>
    </w:p>
    <w:p w14:paraId="23EBE766" w14:textId="77777777" w:rsidR="00922D8A" w:rsidRPr="008661CD" w:rsidRDefault="00922D8A" w:rsidP="000F3553">
      <w:pPr>
        <w:numPr>
          <w:ilvl w:val="0"/>
          <w:numId w:val="8"/>
        </w:numPr>
        <w:ind w:left="567" w:right="-2" w:hanging="567"/>
      </w:pPr>
      <w:r w:rsidRPr="008661CD">
        <w:t>nosies ančių;</w:t>
      </w:r>
    </w:p>
    <w:p w14:paraId="2C18E8F5" w14:textId="77777777" w:rsidR="00922D8A" w:rsidRPr="008661CD" w:rsidRDefault="00922D8A" w:rsidP="000F3553">
      <w:pPr>
        <w:numPr>
          <w:ilvl w:val="0"/>
          <w:numId w:val="8"/>
        </w:numPr>
        <w:ind w:left="567" w:right="-2" w:hanging="567"/>
      </w:pPr>
      <w:r w:rsidRPr="008661CD">
        <w:t>vidurinės ausies;</w:t>
      </w:r>
    </w:p>
    <w:p w14:paraId="52ADBB9F" w14:textId="77777777" w:rsidR="00922D8A" w:rsidRPr="008661CD" w:rsidRDefault="00922D8A" w:rsidP="000F3553">
      <w:pPr>
        <w:numPr>
          <w:ilvl w:val="0"/>
          <w:numId w:val="8"/>
        </w:numPr>
        <w:ind w:left="567" w:right="-2" w:hanging="567"/>
      </w:pPr>
      <w:r w:rsidRPr="008661CD">
        <w:t>plaučių ar krūtinės ląstos;</w:t>
      </w:r>
    </w:p>
    <w:p w14:paraId="6E039A93" w14:textId="77777777" w:rsidR="00922D8A" w:rsidRPr="008661CD" w:rsidRDefault="00922D8A" w:rsidP="000F3553">
      <w:pPr>
        <w:numPr>
          <w:ilvl w:val="0"/>
          <w:numId w:val="8"/>
        </w:numPr>
        <w:ind w:left="567" w:right="-2" w:hanging="567"/>
      </w:pPr>
      <w:r w:rsidRPr="008661CD">
        <w:t>šlapimo takų;</w:t>
      </w:r>
    </w:p>
    <w:p w14:paraId="1B4DF51D" w14:textId="77777777" w:rsidR="00922D8A" w:rsidRPr="008661CD" w:rsidRDefault="00922D8A" w:rsidP="000F3553">
      <w:pPr>
        <w:numPr>
          <w:ilvl w:val="0"/>
          <w:numId w:val="8"/>
        </w:numPr>
        <w:ind w:left="567" w:right="-2" w:hanging="567"/>
      </w:pPr>
      <w:r w:rsidRPr="008661CD">
        <w:t>odos ir poodinio audinio.</w:t>
      </w:r>
    </w:p>
    <w:p w14:paraId="18C108D1" w14:textId="77777777" w:rsidR="00922D8A" w:rsidRPr="008661CD" w:rsidRDefault="00922D8A" w:rsidP="008661CD">
      <w:pPr>
        <w:ind w:left="907" w:right="-2"/>
      </w:pPr>
    </w:p>
    <w:p w14:paraId="407C0501" w14:textId="77777777" w:rsidR="00922D8A" w:rsidRPr="008661CD" w:rsidRDefault="00922D8A" w:rsidP="008661CD">
      <w:pPr>
        <w:numPr>
          <w:ilvl w:val="12"/>
          <w:numId w:val="0"/>
        </w:numPr>
        <w:ind w:right="-2"/>
      </w:pPr>
      <w:r w:rsidRPr="008661CD">
        <w:t>Be to, Zinnat galima vartoti:</w:t>
      </w:r>
    </w:p>
    <w:p w14:paraId="70D8D159" w14:textId="77777777" w:rsidR="00922D8A" w:rsidRPr="008661CD" w:rsidRDefault="00922D8A" w:rsidP="000F3553">
      <w:pPr>
        <w:numPr>
          <w:ilvl w:val="0"/>
          <w:numId w:val="8"/>
        </w:numPr>
        <w:ind w:left="567" w:right="-2" w:hanging="567"/>
      </w:pPr>
      <w:r w:rsidRPr="008661CD">
        <w:t>Laimo ligai gydyti (tai yra infekcinė liga, kurią perneša parazitai, vadinami erkėmis).</w:t>
      </w:r>
    </w:p>
    <w:p w14:paraId="48E4494E" w14:textId="77777777" w:rsidR="00922D8A" w:rsidRPr="008661CD" w:rsidRDefault="00922D8A" w:rsidP="008661CD">
      <w:pPr>
        <w:numPr>
          <w:ilvl w:val="12"/>
          <w:numId w:val="0"/>
        </w:numPr>
      </w:pPr>
    </w:p>
    <w:p w14:paraId="78DD067B" w14:textId="77777777" w:rsidR="00922D8A" w:rsidRPr="008661CD" w:rsidRDefault="00922D8A" w:rsidP="008661CD">
      <w:pPr>
        <w:numPr>
          <w:ilvl w:val="12"/>
          <w:numId w:val="0"/>
        </w:numPr>
      </w:pPr>
      <w:r w:rsidRPr="008661CD">
        <w:t>Jūsų gydytojas gali ištirti, kokia bakterija sukėlė infekcinę ligą, ir stebėti, ar bakterijos yra jautrios Zinnat gydymo metu.</w:t>
      </w:r>
    </w:p>
    <w:p w14:paraId="524E9205" w14:textId="77777777" w:rsidR="00922D8A" w:rsidRPr="008661CD" w:rsidRDefault="00922D8A" w:rsidP="008661CD">
      <w:pPr>
        <w:numPr>
          <w:ilvl w:val="12"/>
          <w:numId w:val="0"/>
        </w:numPr>
      </w:pPr>
    </w:p>
    <w:p w14:paraId="2B44B50A" w14:textId="77777777" w:rsidR="00922D8A" w:rsidRPr="008661CD" w:rsidRDefault="00922D8A" w:rsidP="008661CD">
      <w:pPr>
        <w:numPr>
          <w:ilvl w:val="12"/>
          <w:numId w:val="0"/>
        </w:numPr>
      </w:pPr>
    </w:p>
    <w:p w14:paraId="05E217B4" w14:textId="77777777" w:rsidR="00922D8A" w:rsidRPr="008661CD" w:rsidRDefault="00922D8A" w:rsidP="000F3553">
      <w:pPr>
        <w:numPr>
          <w:ilvl w:val="12"/>
          <w:numId w:val="0"/>
        </w:numPr>
        <w:ind w:left="567" w:hanging="567"/>
        <w:outlineLvl w:val="0"/>
        <w:rPr>
          <w:b/>
          <w:caps/>
        </w:rPr>
      </w:pPr>
      <w:r w:rsidRPr="008661CD">
        <w:rPr>
          <w:b/>
        </w:rPr>
        <w:t>2.</w:t>
      </w:r>
      <w:r w:rsidRPr="008661CD">
        <w:rPr>
          <w:b/>
        </w:rPr>
        <w:tab/>
        <w:t>Kas žinotina prieš vartojant Zinnat</w:t>
      </w:r>
    </w:p>
    <w:p w14:paraId="4DB40A6A" w14:textId="77777777" w:rsidR="00922D8A" w:rsidRPr="008661CD" w:rsidRDefault="00922D8A" w:rsidP="008661CD">
      <w:pPr>
        <w:ind w:left="567" w:hanging="567"/>
      </w:pPr>
    </w:p>
    <w:p w14:paraId="0F005CED" w14:textId="77777777" w:rsidR="00922D8A" w:rsidRPr="008661CD" w:rsidRDefault="00922D8A" w:rsidP="008661CD">
      <w:pPr>
        <w:ind w:left="567" w:hanging="567"/>
        <w:rPr>
          <w:b/>
          <w:caps/>
        </w:rPr>
      </w:pPr>
      <w:r w:rsidRPr="008661CD">
        <w:rPr>
          <w:b/>
        </w:rPr>
        <w:t>Zinnat vartoti negalima</w:t>
      </w:r>
    </w:p>
    <w:p w14:paraId="1BF9B077" w14:textId="77777777" w:rsidR="00922D8A" w:rsidRPr="008661CD" w:rsidRDefault="00922D8A" w:rsidP="008661CD">
      <w:pPr>
        <w:numPr>
          <w:ilvl w:val="12"/>
          <w:numId w:val="0"/>
        </w:numPr>
        <w:outlineLvl w:val="0"/>
      </w:pPr>
    </w:p>
    <w:p w14:paraId="54F379D4" w14:textId="77777777" w:rsidR="00922D8A" w:rsidRPr="008661CD" w:rsidRDefault="00922D8A" w:rsidP="000F3553">
      <w:pPr>
        <w:numPr>
          <w:ilvl w:val="0"/>
          <w:numId w:val="8"/>
        </w:numPr>
        <w:ind w:left="567" w:right="-2" w:hanging="567"/>
      </w:pPr>
      <w:r w:rsidRPr="008661CD">
        <w:rPr>
          <w:b/>
        </w:rPr>
        <w:t>jeigu yra alergija</w:t>
      </w:r>
      <w:r w:rsidRPr="008661CD">
        <w:t xml:space="preserve"> cefuroksimo aksetilui arba </w:t>
      </w:r>
      <w:r w:rsidRPr="008661CD">
        <w:rPr>
          <w:b/>
        </w:rPr>
        <w:t>kuriam nors cefalosporinų grupės antibiotikui,</w:t>
      </w:r>
      <w:r w:rsidRPr="008661CD">
        <w:t xml:space="preserve"> arba bet kuriai pagalbinei šio vaisto medžiagai (jos išvardytos 6 skyriuje);</w:t>
      </w:r>
    </w:p>
    <w:p w14:paraId="1B95A77D" w14:textId="77777777" w:rsidR="00922D8A" w:rsidRPr="008661CD" w:rsidRDefault="00922D8A" w:rsidP="000F3553">
      <w:pPr>
        <w:numPr>
          <w:ilvl w:val="0"/>
          <w:numId w:val="8"/>
        </w:numPr>
        <w:ind w:left="567" w:right="-2" w:hanging="567"/>
      </w:pPr>
      <w:r w:rsidRPr="008661CD">
        <w:t>jeigu yra sunki alergija (</w:t>
      </w:r>
      <w:r w:rsidRPr="008661CD">
        <w:rPr>
          <w:i/>
        </w:rPr>
        <w:t>padidėjęs jautrumas</w:t>
      </w:r>
      <w:r w:rsidRPr="008661CD">
        <w:t>) kuriam nors kitokiam beta laktaminiam antibiotikui (penicilinams, monobaktamams, karbapenemams).</w:t>
      </w:r>
    </w:p>
    <w:p w14:paraId="57472859" w14:textId="77777777" w:rsidR="00922D8A" w:rsidRPr="008661CD" w:rsidRDefault="00922D8A" w:rsidP="000F3553">
      <w:pPr>
        <w:numPr>
          <w:ilvl w:val="0"/>
          <w:numId w:val="9"/>
        </w:numPr>
        <w:tabs>
          <w:tab w:val="clear" w:pos="720"/>
        </w:tabs>
        <w:ind w:hanging="720"/>
      </w:pPr>
      <w:r w:rsidRPr="008661CD">
        <w:rPr>
          <w:color w:val="000000"/>
        </w:rPr>
        <w:t xml:space="preserve">Jeigu galvojate, kad yra tokių aplinkybių, </w:t>
      </w:r>
      <w:r w:rsidRPr="008661CD">
        <w:rPr>
          <w:b/>
          <w:color w:val="000000"/>
        </w:rPr>
        <w:t xml:space="preserve">Zinnat nevartokite </w:t>
      </w:r>
      <w:r w:rsidRPr="008661CD">
        <w:rPr>
          <w:color w:val="000000"/>
        </w:rPr>
        <w:t>tol, kol Jūsų neištirs gydytojas.</w:t>
      </w:r>
    </w:p>
    <w:p w14:paraId="5FE3B22D" w14:textId="77777777" w:rsidR="00922D8A" w:rsidRPr="008661CD" w:rsidRDefault="00922D8A" w:rsidP="008661CD">
      <w:pPr>
        <w:ind w:left="567" w:hanging="567"/>
      </w:pPr>
    </w:p>
    <w:p w14:paraId="3D374C01" w14:textId="77777777" w:rsidR="00922D8A" w:rsidRPr="008661CD" w:rsidRDefault="00922D8A" w:rsidP="008661CD">
      <w:pPr>
        <w:keepNext/>
        <w:tabs>
          <w:tab w:val="left" w:pos="567"/>
        </w:tabs>
        <w:rPr>
          <w:b/>
        </w:rPr>
      </w:pPr>
      <w:r w:rsidRPr="008661CD">
        <w:rPr>
          <w:b/>
        </w:rPr>
        <w:lastRenderedPageBreak/>
        <w:t>Įspėjimai ir atsargumo priemonės</w:t>
      </w:r>
    </w:p>
    <w:p w14:paraId="0D6B8C2C" w14:textId="77777777" w:rsidR="00922D8A" w:rsidRPr="008661CD" w:rsidRDefault="00922D8A" w:rsidP="008661CD">
      <w:pPr>
        <w:keepNext/>
        <w:tabs>
          <w:tab w:val="left" w:pos="567"/>
        </w:tabs>
        <w:rPr>
          <w:b/>
        </w:rPr>
      </w:pPr>
    </w:p>
    <w:p w14:paraId="71ED243C" w14:textId="77777777" w:rsidR="00922D8A" w:rsidRPr="008661CD" w:rsidRDefault="00922D8A" w:rsidP="008661CD">
      <w:pPr>
        <w:keepNext/>
        <w:tabs>
          <w:tab w:val="left" w:pos="567"/>
        </w:tabs>
      </w:pPr>
      <w:r w:rsidRPr="008661CD">
        <w:t>Pasitarkite su gydytoju arba vaistininku, prieš pradėdami vartoti Zinnat.</w:t>
      </w:r>
    </w:p>
    <w:p w14:paraId="3194111A" w14:textId="77777777" w:rsidR="00922D8A" w:rsidRPr="008661CD" w:rsidRDefault="00922D8A" w:rsidP="008661CD">
      <w:pPr>
        <w:keepNext/>
        <w:tabs>
          <w:tab w:val="left" w:pos="567"/>
        </w:tabs>
      </w:pPr>
    </w:p>
    <w:p w14:paraId="1860DD4D" w14:textId="77777777" w:rsidR="00922D8A" w:rsidRPr="008661CD" w:rsidRDefault="00922D8A" w:rsidP="008661CD">
      <w:pPr>
        <w:keepNext/>
        <w:tabs>
          <w:tab w:val="left" w:pos="567"/>
        </w:tabs>
        <w:rPr>
          <w:b/>
        </w:rPr>
      </w:pPr>
      <w:r w:rsidRPr="008661CD">
        <w:rPr>
          <w:b/>
        </w:rPr>
        <w:t>Vaikams</w:t>
      </w:r>
    </w:p>
    <w:p w14:paraId="5716980E" w14:textId="77777777" w:rsidR="00922D8A" w:rsidRPr="008661CD" w:rsidRDefault="00922D8A" w:rsidP="008661CD">
      <w:pPr>
        <w:keepNext/>
        <w:tabs>
          <w:tab w:val="left" w:pos="567"/>
        </w:tabs>
        <w:rPr>
          <w:b/>
        </w:rPr>
      </w:pPr>
    </w:p>
    <w:p w14:paraId="18D43D0F" w14:textId="77777777" w:rsidR="00922D8A" w:rsidRPr="008661CD" w:rsidRDefault="00922D8A" w:rsidP="008661CD">
      <w:pPr>
        <w:numPr>
          <w:ilvl w:val="12"/>
          <w:numId w:val="0"/>
        </w:numPr>
      </w:pPr>
      <w:r w:rsidRPr="008661CD">
        <w:rPr>
          <w:b/>
        </w:rPr>
        <w:t>Zinnat nerekomenduojama vartoti jaunesniems kaip 3 mėnesių kūdikiams</w:t>
      </w:r>
      <w:r w:rsidRPr="008661CD">
        <w:t>, nes saugumas ir veiksmingumas šios grupės pacientams nežinomas.</w:t>
      </w:r>
    </w:p>
    <w:p w14:paraId="2137387A" w14:textId="77777777" w:rsidR="00922D8A" w:rsidRPr="008661CD" w:rsidRDefault="00922D8A" w:rsidP="008661CD">
      <w:pPr>
        <w:numPr>
          <w:ilvl w:val="12"/>
          <w:numId w:val="0"/>
        </w:numPr>
        <w:rPr>
          <w:b/>
        </w:rPr>
      </w:pPr>
    </w:p>
    <w:p w14:paraId="5E7E537F" w14:textId="77777777" w:rsidR="00922D8A" w:rsidRPr="008661CD" w:rsidRDefault="00922D8A" w:rsidP="008661CD">
      <w:pPr>
        <w:numPr>
          <w:ilvl w:val="12"/>
          <w:numId w:val="0"/>
        </w:numPr>
      </w:pPr>
      <w:r w:rsidRPr="008661CD">
        <w:t xml:space="preserve">Turite stebėti, ar vartojant Zinnat, neatsiranda tam tikrų simptomų, pavyzdžiui: alerginės reakcijos, grybelių (pvz., </w:t>
      </w:r>
      <w:r w:rsidRPr="008661CD">
        <w:rPr>
          <w:i/>
        </w:rPr>
        <w:t>mieliagrybių</w:t>
      </w:r>
      <w:r w:rsidRPr="008661CD">
        <w:t>) sukeltos infekcinės ligos, sunkaus viduriavimo (</w:t>
      </w:r>
      <w:r w:rsidRPr="008661CD">
        <w:rPr>
          <w:i/>
        </w:rPr>
        <w:t>pseudomembraninio kolito</w:t>
      </w:r>
      <w:r w:rsidRPr="008661CD">
        <w:t>). Taip galima sumažinti bet kurių sutrikimų riziką. Žr. 4 skyriuje skyrelį ,,</w:t>
      </w:r>
      <w:r w:rsidRPr="008661CD">
        <w:rPr>
          <w:i/>
        </w:rPr>
        <w:t>Būklės, į kurias reikia atkreipti dėmes</w:t>
      </w:r>
      <w:r w:rsidRPr="008661CD">
        <w:t>į“.</w:t>
      </w:r>
    </w:p>
    <w:p w14:paraId="2F560B4D" w14:textId="77777777" w:rsidR="00922D8A" w:rsidRPr="008661CD" w:rsidRDefault="00922D8A" w:rsidP="008661CD">
      <w:pPr>
        <w:numPr>
          <w:ilvl w:val="12"/>
          <w:numId w:val="0"/>
        </w:numPr>
      </w:pPr>
    </w:p>
    <w:p w14:paraId="12FC4C7C" w14:textId="77777777" w:rsidR="00922D8A" w:rsidRPr="008661CD" w:rsidRDefault="00922D8A" w:rsidP="008661CD">
      <w:pPr>
        <w:numPr>
          <w:ilvl w:val="12"/>
          <w:numId w:val="0"/>
        </w:numPr>
        <w:rPr>
          <w:b/>
        </w:rPr>
      </w:pPr>
      <w:r w:rsidRPr="008661CD">
        <w:rPr>
          <w:b/>
        </w:rPr>
        <w:t>Jeigu reikia atlikti kraujo tyrimą</w:t>
      </w:r>
    </w:p>
    <w:p w14:paraId="740EFDC5" w14:textId="77777777" w:rsidR="00922D8A" w:rsidRPr="008661CD" w:rsidRDefault="00922D8A" w:rsidP="008661CD">
      <w:pPr>
        <w:numPr>
          <w:ilvl w:val="12"/>
          <w:numId w:val="0"/>
        </w:numPr>
        <w:rPr>
          <w:b/>
        </w:rPr>
      </w:pPr>
    </w:p>
    <w:p w14:paraId="7E2A6EC4" w14:textId="77777777" w:rsidR="00922D8A" w:rsidRPr="008661CD" w:rsidRDefault="00922D8A" w:rsidP="008661CD">
      <w:pPr>
        <w:numPr>
          <w:ilvl w:val="12"/>
          <w:numId w:val="0"/>
        </w:numPr>
        <w:rPr>
          <w:b/>
        </w:rPr>
      </w:pPr>
      <w:r w:rsidRPr="008661CD">
        <w:t xml:space="preserve">Zinnat gali veikti kraujo tyrimo gliukozei nustatyti arba kraujo tyrimo, kuris vadinamas </w:t>
      </w:r>
      <w:r w:rsidRPr="008661CD">
        <w:rPr>
          <w:i/>
        </w:rPr>
        <w:t>Kumbso mėginiu</w:t>
      </w:r>
      <w:r w:rsidRPr="008661CD">
        <w:t>, rezultatus. Jeigu reikia atlikti kraujo tyrimą:</w:t>
      </w:r>
    </w:p>
    <w:p w14:paraId="3CE84D50" w14:textId="77777777" w:rsidR="00922D8A" w:rsidRPr="008661CD" w:rsidRDefault="00922D8A" w:rsidP="000F3553">
      <w:pPr>
        <w:numPr>
          <w:ilvl w:val="0"/>
          <w:numId w:val="9"/>
        </w:numPr>
        <w:tabs>
          <w:tab w:val="clear" w:pos="720"/>
        </w:tabs>
        <w:ind w:left="567" w:hanging="567"/>
        <w:rPr>
          <w:b/>
        </w:rPr>
      </w:pPr>
      <w:r w:rsidRPr="008661CD">
        <w:rPr>
          <w:b/>
        </w:rPr>
        <w:t xml:space="preserve">mėginį imančiam asmeniui pasakykite, </w:t>
      </w:r>
      <w:r w:rsidRPr="008661CD">
        <w:t>kad vartojate Zinnat.</w:t>
      </w:r>
    </w:p>
    <w:p w14:paraId="36EAD67F" w14:textId="77777777" w:rsidR="00922D8A" w:rsidRPr="008661CD" w:rsidRDefault="00922D8A" w:rsidP="008661CD">
      <w:pPr>
        <w:numPr>
          <w:ilvl w:val="12"/>
          <w:numId w:val="0"/>
        </w:numPr>
      </w:pPr>
    </w:p>
    <w:p w14:paraId="6A339735" w14:textId="77777777" w:rsidR="00922D8A" w:rsidRPr="008661CD" w:rsidRDefault="00922D8A" w:rsidP="008661CD">
      <w:pPr>
        <w:ind w:left="567" w:hanging="567"/>
        <w:rPr>
          <w:b/>
        </w:rPr>
      </w:pPr>
      <w:r w:rsidRPr="008661CD">
        <w:rPr>
          <w:b/>
        </w:rPr>
        <w:t>Kiti vaistai ir Zinnat</w:t>
      </w:r>
    </w:p>
    <w:p w14:paraId="583CBA9F" w14:textId="77777777" w:rsidR="00922D8A" w:rsidRPr="008661CD" w:rsidRDefault="00922D8A" w:rsidP="008661CD"/>
    <w:p w14:paraId="2CD054F5" w14:textId="77777777" w:rsidR="00922D8A" w:rsidRPr="008661CD" w:rsidRDefault="00922D8A" w:rsidP="008661CD">
      <w:r w:rsidRPr="008661CD">
        <w:t xml:space="preserve">Jeigu vartojate, neseniai vartojote kitų vaistų arba dėl to nesate tikri, apie tai pasakykite gydytojui arba vaistininkui. </w:t>
      </w:r>
    </w:p>
    <w:p w14:paraId="4F5803C2" w14:textId="77777777" w:rsidR="00922D8A" w:rsidRPr="008661CD" w:rsidRDefault="00922D8A" w:rsidP="008661CD">
      <w:pPr>
        <w:numPr>
          <w:ilvl w:val="12"/>
          <w:numId w:val="0"/>
        </w:numPr>
        <w:ind w:right="-2"/>
      </w:pPr>
    </w:p>
    <w:p w14:paraId="7E9511A0" w14:textId="77777777" w:rsidR="00922D8A" w:rsidRPr="008661CD" w:rsidRDefault="00922D8A" w:rsidP="008661CD">
      <w:pPr>
        <w:keepNext/>
        <w:rPr>
          <w:color w:val="000000"/>
        </w:rPr>
      </w:pPr>
      <w:r w:rsidRPr="008661CD">
        <w:t>Vaistai, kurie vartojami</w:t>
      </w:r>
      <w:r w:rsidRPr="008661CD">
        <w:rPr>
          <w:color w:val="000000"/>
        </w:rPr>
        <w:t xml:space="preserve"> </w:t>
      </w:r>
      <w:r w:rsidRPr="008661CD">
        <w:rPr>
          <w:b/>
          <w:color w:val="000000"/>
        </w:rPr>
        <w:t xml:space="preserve">skrandžio rūgštingumui mažinti </w:t>
      </w:r>
      <w:r w:rsidRPr="008661CD">
        <w:rPr>
          <w:color w:val="000000"/>
        </w:rPr>
        <w:t xml:space="preserve">(pvz., </w:t>
      </w:r>
      <w:r w:rsidRPr="008661CD">
        <w:rPr>
          <w:i/>
          <w:color w:val="000000"/>
        </w:rPr>
        <w:t>antacidiniai vaistai</w:t>
      </w:r>
      <w:r w:rsidRPr="008661CD">
        <w:rPr>
          <w:color w:val="000000"/>
        </w:rPr>
        <w:t xml:space="preserve">, kuriais gydomas </w:t>
      </w:r>
      <w:r w:rsidRPr="008661CD">
        <w:rPr>
          <w:b/>
          <w:color w:val="000000"/>
        </w:rPr>
        <w:t>rėmuo</w:t>
      </w:r>
      <w:r w:rsidRPr="008661CD">
        <w:rPr>
          <w:color w:val="000000"/>
        </w:rPr>
        <w:t xml:space="preserve">), gali keisti Zinnat veikimą. </w:t>
      </w:r>
    </w:p>
    <w:p w14:paraId="37D21366" w14:textId="77777777" w:rsidR="00922D8A" w:rsidRPr="008661CD" w:rsidRDefault="00922D8A" w:rsidP="008661CD">
      <w:pPr>
        <w:keepNext/>
        <w:rPr>
          <w:color w:val="000000"/>
        </w:rPr>
      </w:pPr>
      <w:r w:rsidRPr="008661CD">
        <w:rPr>
          <w:color w:val="000000"/>
        </w:rPr>
        <w:t>Probenecidas.</w:t>
      </w:r>
    </w:p>
    <w:p w14:paraId="113EF5AB" w14:textId="77777777" w:rsidR="00922D8A" w:rsidRPr="008661CD" w:rsidRDefault="00922D8A" w:rsidP="008661CD">
      <w:pPr>
        <w:keepNext/>
        <w:rPr>
          <w:color w:val="000000"/>
        </w:rPr>
      </w:pPr>
      <w:r w:rsidRPr="008661CD">
        <w:rPr>
          <w:color w:val="000000"/>
        </w:rPr>
        <w:t>Geriamieji antikoaguliantai.</w:t>
      </w:r>
    </w:p>
    <w:p w14:paraId="37634AC8" w14:textId="77777777" w:rsidR="00922D8A" w:rsidRPr="008661CD" w:rsidRDefault="00922D8A" w:rsidP="000F3553">
      <w:pPr>
        <w:numPr>
          <w:ilvl w:val="0"/>
          <w:numId w:val="9"/>
        </w:numPr>
        <w:tabs>
          <w:tab w:val="clear" w:pos="720"/>
        </w:tabs>
        <w:ind w:left="567" w:hanging="567"/>
      </w:pPr>
      <w:r w:rsidRPr="008661CD">
        <w:t xml:space="preserve">Jeigu vartojate kokių nors panašių vaistų, </w:t>
      </w:r>
      <w:r w:rsidRPr="008661CD">
        <w:rPr>
          <w:b/>
        </w:rPr>
        <w:t>pasakykite gydytojui arba vaistininkui.</w:t>
      </w:r>
    </w:p>
    <w:p w14:paraId="7738B431" w14:textId="77777777" w:rsidR="00922D8A" w:rsidRPr="008661CD" w:rsidRDefault="00922D8A" w:rsidP="008661CD">
      <w:pPr>
        <w:tabs>
          <w:tab w:val="left" w:pos="0"/>
          <w:tab w:val="left" w:pos="540"/>
          <w:tab w:val="left" w:pos="1440"/>
          <w:tab w:val="left" w:pos="2160"/>
          <w:tab w:val="left" w:pos="2880"/>
          <w:tab w:val="left" w:pos="3600"/>
          <w:tab w:val="left" w:pos="4320"/>
        </w:tabs>
        <w:autoSpaceDE w:val="0"/>
        <w:autoSpaceDN w:val="0"/>
        <w:adjustRightInd w:val="0"/>
        <w:rPr>
          <w:color w:val="000000"/>
        </w:rPr>
      </w:pPr>
    </w:p>
    <w:p w14:paraId="5565BE53" w14:textId="77777777" w:rsidR="00922D8A" w:rsidRPr="008661CD" w:rsidRDefault="00922D8A" w:rsidP="008661CD">
      <w:pPr>
        <w:tabs>
          <w:tab w:val="left" w:pos="0"/>
          <w:tab w:val="left" w:pos="540"/>
          <w:tab w:val="left" w:pos="1440"/>
          <w:tab w:val="left" w:pos="2160"/>
          <w:tab w:val="left" w:pos="2880"/>
          <w:tab w:val="left" w:pos="3600"/>
          <w:tab w:val="left" w:pos="4320"/>
        </w:tabs>
        <w:autoSpaceDE w:val="0"/>
        <w:autoSpaceDN w:val="0"/>
        <w:adjustRightInd w:val="0"/>
        <w:rPr>
          <w:b/>
          <w:color w:val="000000"/>
        </w:rPr>
      </w:pPr>
      <w:r w:rsidRPr="008661CD">
        <w:rPr>
          <w:b/>
          <w:color w:val="000000"/>
        </w:rPr>
        <w:t>Kontraceptinės tabletės</w:t>
      </w:r>
    </w:p>
    <w:p w14:paraId="3B43602D" w14:textId="77777777" w:rsidR="00922D8A" w:rsidRPr="008661CD" w:rsidRDefault="00922D8A" w:rsidP="008661CD">
      <w:pPr>
        <w:tabs>
          <w:tab w:val="left" w:pos="0"/>
          <w:tab w:val="left" w:pos="540"/>
          <w:tab w:val="left" w:pos="1440"/>
          <w:tab w:val="left" w:pos="2160"/>
          <w:tab w:val="left" w:pos="2880"/>
          <w:tab w:val="left" w:pos="3600"/>
          <w:tab w:val="left" w:pos="4320"/>
        </w:tabs>
        <w:autoSpaceDE w:val="0"/>
        <w:autoSpaceDN w:val="0"/>
        <w:adjustRightInd w:val="0"/>
        <w:rPr>
          <w:b/>
          <w:color w:val="000000"/>
        </w:rPr>
      </w:pPr>
    </w:p>
    <w:p w14:paraId="22CD7903" w14:textId="77777777" w:rsidR="00922D8A" w:rsidRPr="008661CD" w:rsidRDefault="00922D8A" w:rsidP="008661CD">
      <w:pPr>
        <w:tabs>
          <w:tab w:val="left" w:pos="0"/>
          <w:tab w:val="left" w:pos="540"/>
          <w:tab w:val="left" w:pos="1440"/>
          <w:tab w:val="left" w:pos="2160"/>
          <w:tab w:val="left" w:pos="2880"/>
          <w:tab w:val="left" w:pos="3600"/>
          <w:tab w:val="left" w:pos="4320"/>
        </w:tabs>
        <w:autoSpaceDE w:val="0"/>
        <w:autoSpaceDN w:val="0"/>
        <w:adjustRightInd w:val="0"/>
        <w:rPr>
          <w:color w:val="000000"/>
        </w:rPr>
      </w:pPr>
      <w:r w:rsidRPr="008661CD">
        <w:rPr>
          <w:color w:val="000000"/>
        </w:rPr>
        <w:t xml:space="preserve">Zinnat gali mažinti kontraceptinių tablečių veiksmingumą. Jeigu vartojate kontraceptines tabletes gydymo Zinnat metu, turite naudoti ir </w:t>
      </w:r>
      <w:r w:rsidRPr="008661CD">
        <w:rPr>
          <w:b/>
          <w:color w:val="000000"/>
        </w:rPr>
        <w:t>barjerinį kontracepcijos metodą</w:t>
      </w:r>
      <w:r w:rsidRPr="008661CD">
        <w:rPr>
          <w:color w:val="000000"/>
        </w:rPr>
        <w:t xml:space="preserve"> (pvz., prezervatyvus). Kreipkitės į gydytoją patarimo.</w:t>
      </w:r>
    </w:p>
    <w:p w14:paraId="3FA839B0" w14:textId="77777777" w:rsidR="00922D8A" w:rsidRPr="008661CD" w:rsidRDefault="00922D8A" w:rsidP="008661CD">
      <w:pPr>
        <w:numPr>
          <w:ilvl w:val="12"/>
          <w:numId w:val="0"/>
        </w:numPr>
        <w:tabs>
          <w:tab w:val="left" w:pos="1290"/>
        </w:tabs>
        <w:ind w:right="-2"/>
      </w:pPr>
    </w:p>
    <w:p w14:paraId="33B9E75C" w14:textId="77777777" w:rsidR="00922D8A" w:rsidRPr="008661CD" w:rsidRDefault="00922D8A" w:rsidP="008661CD">
      <w:pPr>
        <w:rPr>
          <w:b/>
        </w:rPr>
      </w:pPr>
      <w:r w:rsidRPr="008661CD">
        <w:rPr>
          <w:b/>
        </w:rPr>
        <w:t>Nėštumas, žindymo laikotarpis ir</w:t>
      </w:r>
      <w:r w:rsidRPr="008661CD">
        <w:t xml:space="preserve"> </w:t>
      </w:r>
      <w:r w:rsidRPr="008661CD">
        <w:rPr>
          <w:b/>
        </w:rPr>
        <w:t>vaisingumas</w:t>
      </w:r>
    </w:p>
    <w:p w14:paraId="7DED86C4" w14:textId="77777777" w:rsidR="00922D8A" w:rsidRPr="008661CD" w:rsidRDefault="00922D8A" w:rsidP="008661CD">
      <w:pPr>
        <w:numPr>
          <w:ilvl w:val="12"/>
          <w:numId w:val="0"/>
        </w:numPr>
        <w:ind w:right="-2"/>
        <w:outlineLvl w:val="0"/>
        <w:rPr>
          <w:b/>
        </w:rPr>
      </w:pPr>
    </w:p>
    <w:p w14:paraId="1C57FEF2" w14:textId="77777777" w:rsidR="00922D8A" w:rsidRPr="008661CD" w:rsidRDefault="00922D8A" w:rsidP="008661CD">
      <w:pPr>
        <w:numPr>
          <w:ilvl w:val="12"/>
          <w:numId w:val="0"/>
        </w:numPr>
      </w:pPr>
      <w:r w:rsidRPr="008661CD">
        <w:t xml:space="preserve">Jeigu esate nėščia, žindote kūdikį, manote, kad galbūt esate nėščia, arba planuojate pastoti, tai prieš vartodama šį vaistą, pasitarkite su  gydytoju arba vaistininku. </w:t>
      </w:r>
    </w:p>
    <w:p w14:paraId="76DC598F" w14:textId="77777777" w:rsidR="00922D8A" w:rsidRPr="008661CD" w:rsidRDefault="00922D8A" w:rsidP="008661CD">
      <w:pPr>
        <w:numPr>
          <w:ilvl w:val="12"/>
          <w:numId w:val="0"/>
        </w:numPr>
        <w:ind w:right="-2"/>
        <w:outlineLvl w:val="0"/>
        <w:rPr>
          <w:b/>
        </w:rPr>
      </w:pPr>
    </w:p>
    <w:p w14:paraId="7E64C65F" w14:textId="77777777" w:rsidR="00922D8A" w:rsidRPr="008661CD" w:rsidRDefault="00922D8A" w:rsidP="008661CD">
      <w:pPr>
        <w:rPr>
          <w:b/>
        </w:rPr>
      </w:pPr>
      <w:r w:rsidRPr="008661CD">
        <w:rPr>
          <w:b/>
        </w:rPr>
        <w:t>Vairavimas ir mechanizmų valdymas</w:t>
      </w:r>
    </w:p>
    <w:p w14:paraId="7B1B1B6D" w14:textId="77777777" w:rsidR="00922D8A" w:rsidRPr="008661CD" w:rsidRDefault="00922D8A" w:rsidP="008661CD">
      <w:pPr>
        <w:numPr>
          <w:ilvl w:val="12"/>
          <w:numId w:val="0"/>
        </w:numPr>
        <w:ind w:right="-2"/>
        <w:outlineLvl w:val="0"/>
      </w:pPr>
    </w:p>
    <w:p w14:paraId="59F81A9C" w14:textId="77777777" w:rsidR="00922D8A" w:rsidRPr="008661CD"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661CD">
        <w:t>Zinnat</w:t>
      </w:r>
      <w:r w:rsidRPr="008661CD">
        <w:rPr>
          <w:b/>
          <w:color w:val="000000"/>
        </w:rPr>
        <w:t xml:space="preserve"> gali sukelti galvos svaigimą</w:t>
      </w:r>
      <w:r w:rsidRPr="008661CD">
        <w:rPr>
          <w:color w:val="000000"/>
        </w:rPr>
        <w:t xml:space="preserve"> ir kitą šalutinį poveikį, dėl kurio gali sumažėti Jūsų budrumas.</w:t>
      </w:r>
    </w:p>
    <w:p w14:paraId="1E21AFCF" w14:textId="77777777" w:rsidR="00922D8A" w:rsidRPr="008661CD" w:rsidRDefault="00922D8A" w:rsidP="000F3553">
      <w:pPr>
        <w:numPr>
          <w:ilvl w:val="0"/>
          <w:numId w:val="9"/>
        </w:numPr>
        <w:tabs>
          <w:tab w:val="clear" w:pos="720"/>
          <w:tab w:val="left" w:pos="-720"/>
          <w:tab w:val="left" w:pos="0"/>
        </w:tabs>
        <w:autoSpaceDE w:val="0"/>
        <w:autoSpaceDN w:val="0"/>
        <w:adjustRightInd w:val="0"/>
        <w:ind w:left="567" w:hanging="567"/>
        <w:rPr>
          <w:color w:val="000000"/>
        </w:rPr>
      </w:pPr>
      <w:r w:rsidRPr="008661CD">
        <w:rPr>
          <w:color w:val="000000"/>
        </w:rPr>
        <w:t xml:space="preserve">jeigu jaučiatės blogai, </w:t>
      </w:r>
      <w:r w:rsidRPr="008661CD">
        <w:rPr>
          <w:b/>
          <w:color w:val="000000"/>
        </w:rPr>
        <w:t>negalima vairuoti ir valdyti mechanizmų</w:t>
      </w:r>
      <w:r w:rsidRPr="008661CD">
        <w:rPr>
          <w:color w:val="000000"/>
        </w:rPr>
        <w:t>.</w:t>
      </w:r>
    </w:p>
    <w:p w14:paraId="0D626993" w14:textId="77777777" w:rsidR="00922D8A" w:rsidRPr="008661CD" w:rsidRDefault="00922D8A" w:rsidP="008661CD">
      <w:pPr>
        <w:keepNext/>
        <w:rPr>
          <w:b/>
          <w:highlight w:val="lightGray"/>
        </w:rPr>
      </w:pPr>
      <w:bookmarkStart w:id="16" w:name="_Hlk530749976"/>
    </w:p>
    <w:p w14:paraId="1378E9EC" w14:textId="77777777" w:rsidR="00922D8A" w:rsidRPr="008661CD" w:rsidRDefault="00922D8A" w:rsidP="008661CD">
      <w:pPr>
        <w:keepNext/>
        <w:rPr>
          <w:b/>
          <w:highlight w:val="lightGray"/>
        </w:rPr>
      </w:pPr>
      <w:r w:rsidRPr="008661CD">
        <w:rPr>
          <w:b/>
          <w:highlight w:val="lightGray"/>
        </w:rPr>
        <w:t>Svarbi informacija apie kai kurias Zinnat sudėtyje esančias medžiagas</w:t>
      </w:r>
    </w:p>
    <w:p w14:paraId="20B2BB15" w14:textId="77777777" w:rsidR="00922D8A" w:rsidRPr="008661CD" w:rsidRDefault="00922D8A" w:rsidP="008661CD">
      <w:pPr>
        <w:numPr>
          <w:ilvl w:val="12"/>
          <w:numId w:val="0"/>
        </w:numPr>
        <w:ind w:right="-2"/>
      </w:pPr>
    </w:p>
    <w:p w14:paraId="03BFDEE3" w14:textId="77777777" w:rsidR="00922D8A" w:rsidRPr="008661CD" w:rsidRDefault="00922D8A" w:rsidP="008661CD">
      <w:pPr>
        <w:numPr>
          <w:ilvl w:val="12"/>
          <w:numId w:val="0"/>
        </w:numPr>
        <w:ind w:right="-2"/>
      </w:pPr>
      <w:r w:rsidRPr="008661CD">
        <w:t>Zinnat tabletėse yra parabenų, kurie gali sukelti alergines reakcijas, kurios gali būti uždelstos.</w:t>
      </w:r>
    </w:p>
    <w:p w14:paraId="72D65E2A" w14:textId="77777777" w:rsidR="00922D8A" w:rsidRPr="008661CD" w:rsidRDefault="00922D8A" w:rsidP="008661CD">
      <w:pPr>
        <w:numPr>
          <w:ilvl w:val="12"/>
          <w:numId w:val="0"/>
        </w:numPr>
        <w:ind w:right="-2"/>
      </w:pPr>
      <w:bookmarkStart w:id="17" w:name="_Hlk536117510"/>
      <w:r w:rsidRPr="008661CD">
        <w:t xml:space="preserve">Kiekvienoje </w:t>
      </w:r>
      <w:r w:rsidRPr="008661CD">
        <w:rPr>
          <w:lang w:val="en-US"/>
        </w:rPr>
        <w:t>125</w:t>
      </w:r>
      <w:r w:rsidRPr="008661CD">
        <w:t> mg tabletėje yra 0,00152 mg natrio benzoato.</w:t>
      </w:r>
    </w:p>
    <w:p w14:paraId="24E757D6" w14:textId="77777777" w:rsidR="00922D8A" w:rsidRPr="008661CD" w:rsidRDefault="00922D8A" w:rsidP="008661CD">
      <w:pPr>
        <w:numPr>
          <w:ilvl w:val="12"/>
          <w:numId w:val="0"/>
        </w:numPr>
        <w:ind w:right="-2"/>
        <w:rPr>
          <w:highlight w:val="lightGray"/>
        </w:rPr>
      </w:pPr>
      <w:r w:rsidRPr="008661CD">
        <w:rPr>
          <w:highlight w:val="lightGray"/>
        </w:rPr>
        <w:t xml:space="preserve">Kiekvienoje </w:t>
      </w:r>
      <w:r w:rsidRPr="008661CD">
        <w:rPr>
          <w:highlight w:val="lightGray"/>
          <w:lang w:val="en-US"/>
        </w:rPr>
        <w:t>250</w:t>
      </w:r>
      <w:r w:rsidRPr="008661CD">
        <w:rPr>
          <w:highlight w:val="lightGray"/>
        </w:rPr>
        <w:t> mg tabletėje yra 0,00203 mg natrio benzoato.</w:t>
      </w:r>
    </w:p>
    <w:p w14:paraId="5A2179D8" w14:textId="77777777" w:rsidR="00922D8A" w:rsidRPr="008661CD" w:rsidRDefault="00922D8A" w:rsidP="008661CD">
      <w:pPr>
        <w:numPr>
          <w:ilvl w:val="12"/>
          <w:numId w:val="0"/>
        </w:numPr>
        <w:ind w:right="-2"/>
        <w:rPr>
          <w:highlight w:val="lightGray"/>
        </w:rPr>
      </w:pPr>
      <w:r w:rsidRPr="008661CD">
        <w:rPr>
          <w:highlight w:val="lightGray"/>
        </w:rPr>
        <w:t xml:space="preserve">Kiekvienoje </w:t>
      </w:r>
      <w:r w:rsidRPr="008661CD">
        <w:rPr>
          <w:highlight w:val="lightGray"/>
          <w:lang w:val="en-US"/>
        </w:rPr>
        <w:t>500</w:t>
      </w:r>
      <w:r w:rsidRPr="008661CD">
        <w:rPr>
          <w:highlight w:val="lightGray"/>
        </w:rPr>
        <w:t> mg tabletėje yra 0,00506 mg natrio benzoato.</w:t>
      </w:r>
    </w:p>
    <w:p w14:paraId="514C29C9" w14:textId="77777777" w:rsidR="00922D8A" w:rsidRPr="008661CD" w:rsidRDefault="00922D8A" w:rsidP="008661CD">
      <w:pPr>
        <w:numPr>
          <w:ilvl w:val="12"/>
          <w:numId w:val="0"/>
        </w:numPr>
        <w:ind w:right="-2"/>
      </w:pPr>
      <w:r w:rsidRPr="008661CD">
        <w:t>Šiame vaiste yra mažiau kaip 1 mmol (23 mg) natrio, t. y. jis beveik neturi reikšmės.</w:t>
      </w:r>
    </w:p>
    <w:bookmarkEnd w:id="17"/>
    <w:p w14:paraId="71EBE772" w14:textId="77777777" w:rsidR="00922D8A" w:rsidRPr="008661CD" w:rsidRDefault="00922D8A" w:rsidP="008661CD">
      <w:pPr>
        <w:numPr>
          <w:ilvl w:val="12"/>
          <w:numId w:val="0"/>
        </w:numPr>
        <w:ind w:right="-2"/>
      </w:pPr>
    </w:p>
    <w:p w14:paraId="021B020B" w14:textId="77777777" w:rsidR="00922D8A" w:rsidRPr="008661CD" w:rsidRDefault="00922D8A" w:rsidP="000F3553">
      <w:pPr>
        <w:numPr>
          <w:ilvl w:val="0"/>
          <w:numId w:val="9"/>
        </w:numPr>
        <w:tabs>
          <w:tab w:val="clear" w:pos="720"/>
          <w:tab w:val="left" w:pos="-720"/>
          <w:tab w:val="left" w:pos="0"/>
        </w:tabs>
        <w:autoSpaceDE w:val="0"/>
        <w:autoSpaceDN w:val="0"/>
        <w:adjustRightInd w:val="0"/>
        <w:ind w:left="567" w:hanging="567"/>
        <w:rPr>
          <w:color w:val="000000"/>
          <w:highlight w:val="lightGray"/>
        </w:rPr>
      </w:pPr>
      <w:r w:rsidRPr="008661CD">
        <w:rPr>
          <w:color w:val="000000"/>
          <w:highlight w:val="lightGray"/>
        </w:rPr>
        <w:t xml:space="preserve">Ar Jums tinka vartoti Zinnat, </w:t>
      </w:r>
      <w:r w:rsidRPr="008661CD">
        <w:rPr>
          <w:b/>
          <w:color w:val="000000"/>
          <w:highlight w:val="lightGray"/>
        </w:rPr>
        <w:t>klauskite savo gydytojo.</w:t>
      </w:r>
    </w:p>
    <w:p w14:paraId="612A1CC3" w14:textId="77777777" w:rsidR="00922D8A" w:rsidRPr="008661CD" w:rsidRDefault="00922D8A" w:rsidP="008661CD">
      <w:pPr>
        <w:numPr>
          <w:ilvl w:val="12"/>
          <w:numId w:val="0"/>
        </w:numPr>
        <w:ind w:right="-2"/>
      </w:pPr>
    </w:p>
    <w:bookmarkEnd w:id="16"/>
    <w:p w14:paraId="279E4A99" w14:textId="77777777" w:rsidR="00922D8A" w:rsidRPr="008661CD" w:rsidRDefault="00922D8A" w:rsidP="008661CD">
      <w:pPr>
        <w:numPr>
          <w:ilvl w:val="12"/>
          <w:numId w:val="0"/>
        </w:numPr>
        <w:ind w:right="-2"/>
      </w:pPr>
    </w:p>
    <w:p w14:paraId="7EA08D52" w14:textId="77777777" w:rsidR="00922D8A" w:rsidRPr="008661CD" w:rsidRDefault="00922D8A" w:rsidP="008661CD">
      <w:pPr>
        <w:keepNext/>
        <w:ind w:left="540" w:hanging="540"/>
        <w:rPr>
          <w:b/>
          <w:caps/>
        </w:rPr>
      </w:pPr>
      <w:r w:rsidRPr="008661CD">
        <w:rPr>
          <w:b/>
        </w:rPr>
        <w:t>3.</w:t>
      </w:r>
      <w:r w:rsidRPr="008661CD">
        <w:rPr>
          <w:b/>
        </w:rPr>
        <w:tab/>
        <w:t>Kaip vartoti Zinnat</w:t>
      </w:r>
    </w:p>
    <w:p w14:paraId="705A7667" w14:textId="77777777" w:rsidR="00922D8A" w:rsidRPr="008661CD" w:rsidRDefault="00922D8A" w:rsidP="008661CD">
      <w:pPr>
        <w:keepNext/>
      </w:pPr>
    </w:p>
    <w:p w14:paraId="597D31BF" w14:textId="77777777" w:rsidR="00922D8A" w:rsidRPr="008661CD" w:rsidRDefault="00922D8A" w:rsidP="008661CD">
      <w:pPr>
        <w:numPr>
          <w:ilvl w:val="12"/>
          <w:numId w:val="0"/>
        </w:numPr>
        <w:ind w:right="-2"/>
      </w:pPr>
      <w:r w:rsidRPr="008661CD">
        <w:rPr>
          <w:b/>
        </w:rPr>
        <w:t>Šį vaistą visada vartokite tiksliai, kaip nurodė gydytojas arba vaistininkas</w:t>
      </w:r>
      <w:r w:rsidRPr="008661CD">
        <w:t>. Jeigu abejojate, kreipkitės į gydytoją arba vaistininką.</w:t>
      </w:r>
    </w:p>
    <w:p w14:paraId="32EA4E9E" w14:textId="77777777" w:rsidR="00922D8A" w:rsidRPr="008661CD" w:rsidRDefault="00922D8A" w:rsidP="008661CD">
      <w:pPr>
        <w:numPr>
          <w:ilvl w:val="12"/>
          <w:numId w:val="0"/>
        </w:numPr>
        <w:ind w:right="-2"/>
      </w:pPr>
    </w:p>
    <w:p w14:paraId="61D6E242" w14:textId="77777777" w:rsidR="00922D8A" w:rsidRPr="008661CD" w:rsidRDefault="00922D8A" w:rsidP="008661CD">
      <w:pPr>
        <w:keepNext/>
        <w:autoSpaceDE w:val="0"/>
        <w:autoSpaceDN w:val="0"/>
        <w:adjustRightInd w:val="0"/>
      </w:pPr>
      <w:r w:rsidRPr="008661CD">
        <w:rPr>
          <w:b/>
        </w:rPr>
        <w:t xml:space="preserve">Zinnat vartokite po valgio. </w:t>
      </w:r>
      <w:r w:rsidRPr="008661CD">
        <w:t>Tai padės padidinti gydymo veiksmingumą.</w:t>
      </w:r>
    </w:p>
    <w:p w14:paraId="0BB2D62C" w14:textId="77777777" w:rsidR="00922D8A" w:rsidRPr="008661CD" w:rsidRDefault="00922D8A" w:rsidP="008661CD">
      <w:pPr>
        <w:keepNext/>
        <w:autoSpaceDE w:val="0"/>
        <w:autoSpaceDN w:val="0"/>
        <w:adjustRightInd w:val="0"/>
      </w:pPr>
    </w:p>
    <w:p w14:paraId="66CF0171" w14:textId="77777777" w:rsidR="00922D8A" w:rsidRPr="008661CD" w:rsidRDefault="00922D8A" w:rsidP="008661CD">
      <w:pPr>
        <w:keepNext/>
        <w:autoSpaceDE w:val="0"/>
        <w:autoSpaceDN w:val="0"/>
        <w:adjustRightInd w:val="0"/>
      </w:pPr>
      <w:r w:rsidRPr="008661CD">
        <w:t>Nurykite visą Zinnat tabletę užsigerdami nedideliu vandens kiekiu.</w:t>
      </w:r>
    </w:p>
    <w:p w14:paraId="2E773361" w14:textId="77777777" w:rsidR="00922D8A" w:rsidRPr="008661CD" w:rsidRDefault="00922D8A" w:rsidP="008661CD">
      <w:pPr>
        <w:keepNext/>
        <w:autoSpaceDE w:val="0"/>
        <w:autoSpaceDN w:val="0"/>
        <w:adjustRightInd w:val="0"/>
      </w:pPr>
    </w:p>
    <w:p w14:paraId="2DFAD639" w14:textId="77777777" w:rsidR="00922D8A" w:rsidRPr="008661CD" w:rsidRDefault="00922D8A" w:rsidP="008661CD">
      <w:pPr>
        <w:autoSpaceDE w:val="0"/>
        <w:autoSpaceDN w:val="0"/>
        <w:adjustRightInd w:val="0"/>
      </w:pPr>
      <w:r w:rsidRPr="008661CD">
        <w:rPr>
          <w:b/>
        </w:rPr>
        <w:t xml:space="preserve">Tablečių negalima kramtyti, traiškyti arba dalyti </w:t>
      </w:r>
      <w:r w:rsidRPr="008661CD">
        <w:t>— tai gali sumažinti gydymo veiksmingumą.</w:t>
      </w:r>
    </w:p>
    <w:p w14:paraId="0AF91536" w14:textId="77777777" w:rsidR="00922D8A" w:rsidRPr="008661CD" w:rsidRDefault="00922D8A" w:rsidP="008661CD">
      <w:pPr>
        <w:tabs>
          <w:tab w:val="left" w:pos="-720"/>
          <w:tab w:val="left" w:pos="0"/>
          <w:tab w:val="left" w:pos="2160"/>
          <w:tab w:val="left" w:pos="2880"/>
          <w:tab w:val="left" w:pos="3600"/>
          <w:tab w:val="left" w:pos="4320"/>
        </w:tabs>
        <w:autoSpaceDE w:val="0"/>
        <w:autoSpaceDN w:val="0"/>
        <w:adjustRightInd w:val="0"/>
      </w:pPr>
    </w:p>
    <w:p w14:paraId="10AF7D8E" w14:textId="77777777" w:rsidR="00922D8A" w:rsidRPr="008661CD" w:rsidRDefault="00922D8A" w:rsidP="008661CD">
      <w:pPr>
        <w:keepNext/>
        <w:numPr>
          <w:ilvl w:val="12"/>
          <w:numId w:val="0"/>
        </w:numPr>
        <w:rPr>
          <w:b/>
        </w:rPr>
      </w:pPr>
      <w:r w:rsidRPr="008661CD">
        <w:rPr>
          <w:b/>
        </w:rPr>
        <w:t>Rekomenduojama dozė</w:t>
      </w:r>
    </w:p>
    <w:p w14:paraId="37706842" w14:textId="77777777" w:rsidR="00922D8A" w:rsidRPr="008661CD" w:rsidRDefault="00922D8A" w:rsidP="008661CD">
      <w:pPr>
        <w:keepNext/>
        <w:numPr>
          <w:ilvl w:val="12"/>
          <w:numId w:val="0"/>
        </w:numPr>
        <w:rPr>
          <w:b/>
        </w:rPr>
      </w:pPr>
    </w:p>
    <w:p w14:paraId="6E5C843D" w14:textId="77777777" w:rsidR="00922D8A" w:rsidRPr="008661CD" w:rsidRDefault="00922D8A" w:rsidP="008661CD">
      <w:pPr>
        <w:keepNext/>
        <w:numPr>
          <w:ilvl w:val="12"/>
          <w:numId w:val="0"/>
        </w:numPr>
        <w:rPr>
          <w:b/>
        </w:rPr>
      </w:pPr>
      <w:r w:rsidRPr="008661CD">
        <w:rPr>
          <w:b/>
        </w:rPr>
        <w:t>Suaugusiesiems</w:t>
      </w:r>
    </w:p>
    <w:p w14:paraId="6E4A1750" w14:textId="77777777" w:rsidR="00922D8A" w:rsidRPr="008661CD" w:rsidRDefault="00922D8A" w:rsidP="008661CD">
      <w:pPr>
        <w:keepNext/>
        <w:numPr>
          <w:ilvl w:val="12"/>
          <w:numId w:val="0"/>
        </w:numPr>
      </w:pPr>
      <w:r w:rsidRPr="008661CD">
        <w:t>Rekomenduojama Zinnat dozė yra nuo 250 mg iki 500 mg du kartus per parą, priklausomai nuo infekcinės ligos sunkumo ir tipo.</w:t>
      </w:r>
    </w:p>
    <w:p w14:paraId="2B6D3B58" w14:textId="77777777" w:rsidR="00922D8A" w:rsidRPr="008661CD" w:rsidRDefault="00922D8A" w:rsidP="008661CD">
      <w:pPr>
        <w:keepNext/>
        <w:numPr>
          <w:ilvl w:val="12"/>
          <w:numId w:val="0"/>
        </w:numPr>
      </w:pPr>
    </w:p>
    <w:p w14:paraId="188A6C5F" w14:textId="77777777" w:rsidR="00922D8A" w:rsidRPr="008661CD" w:rsidRDefault="00922D8A" w:rsidP="008661CD">
      <w:pPr>
        <w:keepNext/>
        <w:numPr>
          <w:ilvl w:val="12"/>
          <w:numId w:val="0"/>
        </w:numPr>
        <w:rPr>
          <w:b/>
        </w:rPr>
      </w:pPr>
      <w:r w:rsidRPr="008661CD">
        <w:rPr>
          <w:b/>
        </w:rPr>
        <w:t>Vaikams</w:t>
      </w:r>
    </w:p>
    <w:p w14:paraId="116C4458" w14:textId="77777777" w:rsidR="00922D8A" w:rsidRPr="008661CD" w:rsidRDefault="00922D8A" w:rsidP="008661CD">
      <w:pPr>
        <w:keepNext/>
        <w:numPr>
          <w:ilvl w:val="12"/>
          <w:numId w:val="0"/>
        </w:numPr>
      </w:pPr>
      <w:r w:rsidRPr="008661CD">
        <w:t>Rekomenduojama Zinnat dozė yra nuo 10 mg/kg (daugiausiai iki 125 mg) iki 15mg/kg (daugiausiai iki 250 mg) du kartus per parą, priklausomai nuo:</w:t>
      </w:r>
    </w:p>
    <w:p w14:paraId="0186908E" w14:textId="77777777" w:rsidR="00922D8A" w:rsidRPr="008661CD" w:rsidRDefault="00922D8A" w:rsidP="000F3553">
      <w:pPr>
        <w:keepNext/>
        <w:numPr>
          <w:ilvl w:val="0"/>
          <w:numId w:val="10"/>
        </w:numPr>
        <w:tabs>
          <w:tab w:val="left" w:pos="567"/>
        </w:tabs>
        <w:ind w:left="765" w:hanging="765"/>
      </w:pPr>
      <w:r w:rsidRPr="008661CD">
        <w:t>infekcinės ligos sunkumo ir infekcijos rūšies.</w:t>
      </w:r>
    </w:p>
    <w:p w14:paraId="22644DFC" w14:textId="77777777" w:rsidR="00922D8A" w:rsidRPr="008661CD" w:rsidRDefault="00922D8A" w:rsidP="008661CD">
      <w:pPr>
        <w:keepNext/>
      </w:pPr>
    </w:p>
    <w:p w14:paraId="7D109170" w14:textId="77777777" w:rsidR="00922D8A" w:rsidRPr="008661CD" w:rsidRDefault="00922D8A" w:rsidP="008661CD">
      <w:pPr>
        <w:autoSpaceDE w:val="0"/>
        <w:autoSpaceDN w:val="0"/>
        <w:adjustRightInd w:val="0"/>
      </w:pPr>
      <w:r w:rsidRPr="008661CD">
        <w:rPr>
          <w:b/>
        </w:rPr>
        <w:t>Zinnat nerekomenduojama vartoti jaunesniems kaip 3 mėnesių kūdikiams</w:t>
      </w:r>
      <w:r w:rsidRPr="008661CD">
        <w:t>, nes saugumas ir veiksmingumas šio amžiaus grupės pacientams nežinomas.</w:t>
      </w:r>
    </w:p>
    <w:p w14:paraId="7FA879AC" w14:textId="77777777" w:rsidR="00922D8A" w:rsidRPr="008661CD" w:rsidRDefault="00922D8A" w:rsidP="008661CD">
      <w:pPr>
        <w:autoSpaceDE w:val="0"/>
        <w:autoSpaceDN w:val="0"/>
        <w:adjustRightInd w:val="0"/>
      </w:pPr>
    </w:p>
    <w:p w14:paraId="7D50A701"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r w:rsidRPr="008661CD">
        <w:t>Atsižvelgiant į ligą ir kaip Jūs arba Jūsų vaikas reaguoja į gydymą, pradinė dozė gali būti keičiama arba gali prireikti daugiau nei vieno gydymo kurso.</w:t>
      </w:r>
    </w:p>
    <w:p w14:paraId="1A23C461"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p>
    <w:p w14:paraId="6931902F" w14:textId="77777777" w:rsidR="00922D8A" w:rsidRPr="008661CD" w:rsidRDefault="00922D8A" w:rsidP="008661CD">
      <w:pPr>
        <w:keepNext/>
        <w:numPr>
          <w:ilvl w:val="12"/>
          <w:numId w:val="0"/>
        </w:numPr>
        <w:rPr>
          <w:b/>
        </w:rPr>
      </w:pPr>
      <w:r w:rsidRPr="008661CD">
        <w:rPr>
          <w:b/>
        </w:rPr>
        <w:t>Pacientams, kuriems yra inkstų funkcijos sutrikimas</w:t>
      </w:r>
    </w:p>
    <w:p w14:paraId="2D7537D6"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p>
    <w:p w14:paraId="04EBE1A4" w14:textId="77777777" w:rsidR="00922D8A" w:rsidRPr="008661CD"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661CD">
        <w:t>Jeigu Jums yra inkstų funkcijos sutrikimas, Jūsų gydytojas gali keisti Jums skirtą dozę.</w:t>
      </w:r>
    </w:p>
    <w:p w14:paraId="683BFC56" w14:textId="77777777" w:rsidR="00922D8A" w:rsidRPr="008661CD" w:rsidRDefault="00922D8A" w:rsidP="000F3553">
      <w:pPr>
        <w:numPr>
          <w:ilvl w:val="0"/>
          <w:numId w:val="9"/>
        </w:numPr>
        <w:tabs>
          <w:tab w:val="clear" w:pos="720"/>
          <w:tab w:val="left" w:pos="-720"/>
          <w:tab w:val="left" w:pos="0"/>
          <w:tab w:val="left" w:pos="540"/>
          <w:tab w:val="num" w:pos="567"/>
          <w:tab w:val="left" w:pos="1440"/>
          <w:tab w:val="left" w:pos="2160"/>
          <w:tab w:val="left" w:pos="2880"/>
          <w:tab w:val="left" w:pos="3600"/>
          <w:tab w:val="left" w:pos="4320"/>
        </w:tabs>
        <w:autoSpaceDE w:val="0"/>
        <w:autoSpaceDN w:val="0"/>
        <w:adjustRightInd w:val="0"/>
        <w:ind w:hanging="720"/>
        <w:rPr>
          <w:color w:val="000000"/>
        </w:rPr>
      </w:pPr>
      <w:r w:rsidRPr="008661CD">
        <w:rPr>
          <w:b/>
          <w:color w:val="000000"/>
        </w:rPr>
        <w:t xml:space="preserve">Pasakykite gydytojui, </w:t>
      </w:r>
      <w:r w:rsidRPr="008661CD">
        <w:rPr>
          <w:color w:val="000000"/>
        </w:rPr>
        <w:t>jeigu yra tokia aplinkybė.</w:t>
      </w:r>
    </w:p>
    <w:p w14:paraId="604C4C14" w14:textId="77777777" w:rsidR="00922D8A" w:rsidRPr="008661CD" w:rsidRDefault="00922D8A" w:rsidP="008661CD">
      <w:pPr>
        <w:ind w:left="567" w:hanging="567"/>
        <w:rPr>
          <w:b/>
        </w:rPr>
      </w:pPr>
    </w:p>
    <w:p w14:paraId="6A0F7720" w14:textId="77777777" w:rsidR="00922D8A" w:rsidRPr="008661CD"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rPr>
          <w:b/>
        </w:rPr>
      </w:pPr>
      <w:r w:rsidRPr="008661CD">
        <w:rPr>
          <w:b/>
        </w:rPr>
        <w:t>Ką daryti pavartojus per didelę Zinnat dozę?</w:t>
      </w:r>
    </w:p>
    <w:p w14:paraId="6E59FAFC" w14:textId="77777777" w:rsidR="00922D8A" w:rsidRPr="008661CD"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rPr>
          <w:b/>
        </w:rPr>
      </w:pPr>
    </w:p>
    <w:p w14:paraId="0CFE9920" w14:textId="77777777" w:rsidR="00922D8A" w:rsidRPr="008661CD" w:rsidRDefault="00922D8A" w:rsidP="008661CD">
      <w:pPr>
        <w:keepNext/>
        <w:autoSpaceDE w:val="0"/>
        <w:autoSpaceDN w:val="0"/>
        <w:adjustRightInd w:val="0"/>
        <w:rPr>
          <w:color w:val="000000"/>
        </w:rPr>
      </w:pPr>
      <w:r w:rsidRPr="008661CD">
        <w:rPr>
          <w:color w:val="000000"/>
        </w:rPr>
        <w:t xml:space="preserve">Jeigu išgėrėte per daug Zinnat, Jums gali atsirasti neurologinių sutrikimų, ypač gali </w:t>
      </w:r>
      <w:r w:rsidRPr="008661CD">
        <w:rPr>
          <w:b/>
          <w:color w:val="000000"/>
        </w:rPr>
        <w:t xml:space="preserve">padidėti traukulių </w:t>
      </w:r>
      <w:r w:rsidRPr="008661CD">
        <w:rPr>
          <w:i/>
          <w:color w:val="000000"/>
        </w:rPr>
        <w:t xml:space="preserve">(priepuolių) </w:t>
      </w:r>
      <w:r w:rsidRPr="008661CD">
        <w:rPr>
          <w:b/>
          <w:color w:val="000000"/>
        </w:rPr>
        <w:t>atsiradimo tikimybė</w:t>
      </w:r>
      <w:r w:rsidRPr="008661CD">
        <w:rPr>
          <w:b/>
          <w:i/>
          <w:color w:val="000000"/>
        </w:rPr>
        <w:t>.</w:t>
      </w:r>
    </w:p>
    <w:p w14:paraId="1E45129B" w14:textId="77777777" w:rsidR="00922D8A" w:rsidRPr="008661CD" w:rsidRDefault="00922D8A" w:rsidP="000F3553">
      <w:pPr>
        <w:numPr>
          <w:ilvl w:val="0"/>
          <w:numId w:val="9"/>
        </w:numPr>
        <w:tabs>
          <w:tab w:val="clear" w:pos="720"/>
        </w:tabs>
        <w:autoSpaceDE w:val="0"/>
        <w:autoSpaceDN w:val="0"/>
        <w:adjustRightInd w:val="0"/>
        <w:ind w:left="567" w:hanging="567"/>
        <w:rPr>
          <w:color w:val="000000"/>
        </w:rPr>
      </w:pPr>
      <w:r w:rsidRPr="008661CD">
        <w:rPr>
          <w:b/>
          <w:color w:val="000000"/>
        </w:rPr>
        <w:t>Nedelskite.</w:t>
      </w:r>
      <w:r w:rsidRPr="008661CD">
        <w:rPr>
          <w:color w:val="000000"/>
        </w:rPr>
        <w:t xml:space="preserve"> </w:t>
      </w:r>
      <w:r w:rsidRPr="008661CD">
        <w:rPr>
          <w:b/>
          <w:color w:val="000000"/>
        </w:rPr>
        <w:t>Nedelsdami kreipkitės į gydytoją arba vykite į artimiausios ligoninės priėmimo skyrių</w:t>
      </w:r>
      <w:r w:rsidRPr="008661CD">
        <w:rPr>
          <w:color w:val="000000"/>
        </w:rPr>
        <w:t>. Jeigu įmanoma, parodykite gydytojui Zinnat pakuotę.</w:t>
      </w:r>
    </w:p>
    <w:p w14:paraId="5AE77DB4" w14:textId="77777777" w:rsidR="00922D8A" w:rsidRPr="008661CD" w:rsidRDefault="00922D8A" w:rsidP="008661CD">
      <w:pPr>
        <w:ind w:left="567" w:hanging="567"/>
        <w:rPr>
          <w:b/>
        </w:rPr>
      </w:pPr>
    </w:p>
    <w:p w14:paraId="7DCE4179" w14:textId="77777777" w:rsidR="00922D8A" w:rsidRPr="008661CD" w:rsidRDefault="00922D8A" w:rsidP="008661CD">
      <w:pPr>
        <w:ind w:left="567" w:hanging="567"/>
        <w:rPr>
          <w:b/>
        </w:rPr>
      </w:pPr>
      <w:r w:rsidRPr="008661CD">
        <w:rPr>
          <w:b/>
        </w:rPr>
        <w:t>Pamiršus pavartoti Zinnat</w:t>
      </w:r>
    </w:p>
    <w:p w14:paraId="6CB2AC0D" w14:textId="77777777" w:rsidR="00922D8A" w:rsidRPr="008661CD" w:rsidRDefault="00922D8A" w:rsidP="008661CD">
      <w:pPr>
        <w:ind w:left="567" w:hanging="567"/>
      </w:pPr>
    </w:p>
    <w:p w14:paraId="1D7F5A8C" w14:textId="77777777" w:rsidR="00922D8A" w:rsidRPr="008661CD" w:rsidRDefault="00922D8A" w:rsidP="008661CD">
      <w:r w:rsidRPr="008661CD">
        <w:rPr>
          <w:b/>
        </w:rPr>
        <w:t>Negalima vartoti dvigubos dozės norint kompensuoti praleistą dozę</w:t>
      </w:r>
      <w:r w:rsidRPr="008661CD">
        <w:t>. Tik išgerkite kitą dozę įprastu laiku.</w:t>
      </w:r>
    </w:p>
    <w:p w14:paraId="39C16F06" w14:textId="77777777" w:rsidR="00922D8A" w:rsidRPr="008661CD" w:rsidRDefault="00922D8A" w:rsidP="008661CD">
      <w:pPr>
        <w:ind w:left="567" w:hanging="567"/>
      </w:pPr>
    </w:p>
    <w:p w14:paraId="4CCCFB91" w14:textId="77777777" w:rsidR="00922D8A" w:rsidRPr="008661CD" w:rsidRDefault="00922D8A" w:rsidP="008661CD">
      <w:pPr>
        <w:numPr>
          <w:ilvl w:val="12"/>
          <w:numId w:val="0"/>
        </w:numPr>
        <w:ind w:right="-2"/>
        <w:outlineLvl w:val="0"/>
        <w:rPr>
          <w:b/>
        </w:rPr>
      </w:pPr>
      <w:r w:rsidRPr="008661CD">
        <w:rPr>
          <w:b/>
        </w:rPr>
        <w:t>Nustojus vartoti Zinnat</w:t>
      </w:r>
    </w:p>
    <w:p w14:paraId="6EDBC0F7" w14:textId="77777777" w:rsidR="00922D8A" w:rsidRPr="008661CD" w:rsidRDefault="00922D8A" w:rsidP="008661CD">
      <w:pPr>
        <w:numPr>
          <w:ilvl w:val="12"/>
          <w:numId w:val="0"/>
        </w:numPr>
        <w:ind w:right="-2"/>
        <w:outlineLvl w:val="0"/>
        <w:rPr>
          <w:b/>
        </w:rPr>
      </w:pPr>
    </w:p>
    <w:p w14:paraId="7F86B505" w14:textId="77777777" w:rsidR="00922D8A" w:rsidRPr="008661CD" w:rsidRDefault="00922D8A" w:rsidP="008661CD">
      <w:pPr>
        <w:numPr>
          <w:ilvl w:val="12"/>
          <w:numId w:val="0"/>
        </w:numPr>
        <w:ind w:right="-2"/>
        <w:outlineLvl w:val="0"/>
        <w:rPr>
          <w:b/>
        </w:rPr>
      </w:pPr>
      <w:r w:rsidRPr="008661CD">
        <w:rPr>
          <w:b/>
        </w:rPr>
        <w:t>Nenutraukite Zinnat vartojimo be nurodymo.</w:t>
      </w:r>
    </w:p>
    <w:p w14:paraId="6DDB733B" w14:textId="77777777" w:rsidR="00922D8A" w:rsidRPr="008661CD" w:rsidRDefault="00922D8A" w:rsidP="008661CD">
      <w:pPr>
        <w:numPr>
          <w:ilvl w:val="12"/>
          <w:numId w:val="0"/>
        </w:numPr>
        <w:ind w:right="-2"/>
        <w:outlineLvl w:val="0"/>
        <w:rPr>
          <w:b/>
        </w:rPr>
      </w:pPr>
    </w:p>
    <w:p w14:paraId="16E0865D"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r w:rsidRPr="008661CD">
        <w:rPr>
          <w:b/>
        </w:rPr>
        <w:t>Svarbu, kad užbaigtumėte visą Zinnat kursą.</w:t>
      </w:r>
      <w:r w:rsidRPr="008661CD">
        <w:t xml:space="preserve"> Nenutraukite vaisto vartojimo be gydytojo nurodymo, net jeigu geriau jaučiatės. Nebaigus viso gydymo kurso, infekcinė liga gali atsinaujinti.</w:t>
      </w:r>
    </w:p>
    <w:p w14:paraId="3E8F4EDD" w14:textId="77777777" w:rsidR="00922D8A" w:rsidRPr="008661CD" w:rsidRDefault="00922D8A" w:rsidP="008661CD">
      <w:pPr>
        <w:numPr>
          <w:ilvl w:val="12"/>
          <w:numId w:val="0"/>
        </w:numPr>
        <w:ind w:right="-2"/>
      </w:pPr>
    </w:p>
    <w:p w14:paraId="1AD14D27" w14:textId="77777777" w:rsidR="00922D8A" w:rsidRPr="008661CD" w:rsidRDefault="00922D8A" w:rsidP="008661CD">
      <w:pPr>
        <w:numPr>
          <w:ilvl w:val="12"/>
          <w:numId w:val="0"/>
        </w:numPr>
        <w:ind w:right="-2"/>
      </w:pPr>
      <w:r w:rsidRPr="008661CD">
        <w:t>Jei kiltų daugiau klausimų dėl šio vaisto vartojimo, kreipkitės į gydytoją ar vaistininką.</w:t>
      </w:r>
    </w:p>
    <w:p w14:paraId="6A8994FA" w14:textId="77777777" w:rsidR="00922D8A" w:rsidRPr="008661CD" w:rsidRDefault="00922D8A" w:rsidP="008661CD">
      <w:pPr>
        <w:numPr>
          <w:ilvl w:val="12"/>
          <w:numId w:val="0"/>
        </w:numPr>
        <w:ind w:right="-2"/>
      </w:pPr>
    </w:p>
    <w:p w14:paraId="3B25236C" w14:textId="77777777" w:rsidR="00922D8A" w:rsidRPr="008661CD" w:rsidRDefault="00922D8A" w:rsidP="008661CD">
      <w:pPr>
        <w:numPr>
          <w:ilvl w:val="12"/>
          <w:numId w:val="0"/>
        </w:numPr>
        <w:ind w:right="-2"/>
      </w:pPr>
    </w:p>
    <w:p w14:paraId="1ACCAF97" w14:textId="77777777" w:rsidR="00922D8A" w:rsidRPr="008661CD" w:rsidRDefault="00922D8A" w:rsidP="000F3553">
      <w:pPr>
        <w:keepNext/>
        <w:numPr>
          <w:ilvl w:val="12"/>
          <w:numId w:val="0"/>
        </w:numPr>
        <w:ind w:left="567" w:hanging="567"/>
        <w:outlineLvl w:val="0"/>
        <w:rPr>
          <w:b/>
          <w:caps/>
        </w:rPr>
      </w:pPr>
      <w:r w:rsidRPr="008661CD">
        <w:rPr>
          <w:b/>
          <w:caps/>
        </w:rPr>
        <w:lastRenderedPageBreak/>
        <w:t>4.</w:t>
      </w:r>
      <w:r w:rsidRPr="008661CD">
        <w:rPr>
          <w:b/>
          <w:caps/>
        </w:rPr>
        <w:tab/>
      </w:r>
      <w:r w:rsidRPr="008661CD">
        <w:rPr>
          <w:b/>
        </w:rPr>
        <w:t>Galimas šalutinis poveikis</w:t>
      </w:r>
    </w:p>
    <w:p w14:paraId="39790707" w14:textId="77777777" w:rsidR="00922D8A" w:rsidRPr="008661CD" w:rsidRDefault="00922D8A" w:rsidP="008661CD">
      <w:pPr>
        <w:keepNext/>
        <w:ind w:left="567" w:hanging="567"/>
      </w:pPr>
    </w:p>
    <w:p w14:paraId="730F62D8" w14:textId="77777777" w:rsidR="00922D8A" w:rsidRPr="008661CD" w:rsidRDefault="00922D8A" w:rsidP="008661CD">
      <w:pPr>
        <w:ind w:left="567" w:hanging="567"/>
      </w:pPr>
      <w:r w:rsidRPr="008661CD">
        <w:t>Šis vaistas, kaip ir visi kiti, gali sukelti šalutinį poveikį, nors jis pasireiškia ne visiems žmonėms.</w:t>
      </w:r>
    </w:p>
    <w:p w14:paraId="304FE75D" w14:textId="77777777" w:rsidR="00922D8A" w:rsidRPr="008661CD" w:rsidRDefault="00922D8A" w:rsidP="008661CD">
      <w:pPr>
        <w:numPr>
          <w:ilvl w:val="12"/>
          <w:numId w:val="0"/>
        </w:numPr>
        <w:ind w:right="-2"/>
      </w:pPr>
    </w:p>
    <w:p w14:paraId="046BAE09" w14:textId="77777777" w:rsidR="00922D8A" w:rsidRPr="008661CD" w:rsidRDefault="00922D8A" w:rsidP="008661CD">
      <w:pPr>
        <w:keepNext/>
        <w:outlineLvl w:val="0"/>
        <w:rPr>
          <w:b/>
          <w:color w:val="000000"/>
        </w:rPr>
      </w:pPr>
      <w:r w:rsidRPr="008661CD">
        <w:rPr>
          <w:b/>
          <w:color w:val="000000"/>
        </w:rPr>
        <w:t>Būklės, į kurias reikia atkreipti dėmesį</w:t>
      </w:r>
    </w:p>
    <w:p w14:paraId="32003B2E" w14:textId="77777777" w:rsidR="00922D8A" w:rsidRPr="008661CD" w:rsidRDefault="00922D8A" w:rsidP="008661CD">
      <w:pPr>
        <w:keepNext/>
        <w:outlineLvl w:val="0"/>
        <w:rPr>
          <w:b/>
          <w:color w:val="000000"/>
        </w:rPr>
      </w:pPr>
    </w:p>
    <w:p w14:paraId="4DEB181F" w14:textId="77777777" w:rsidR="00922D8A" w:rsidRPr="008661CD" w:rsidRDefault="00922D8A" w:rsidP="008661CD">
      <w:pPr>
        <w:keepNext/>
        <w:outlineLvl w:val="0"/>
      </w:pPr>
      <w:r w:rsidRPr="008661CD">
        <w:t>Mažai daliai Zinnat vartojančių žmonių pasireiškė alerginė reakcija arba galinti būti sunki odos reakcija. Tokių reakcijų simptomai yra:</w:t>
      </w:r>
    </w:p>
    <w:p w14:paraId="4F0930E2" w14:textId="77777777" w:rsidR="00922D8A" w:rsidRPr="008661CD" w:rsidRDefault="00922D8A" w:rsidP="008661CD">
      <w:pPr>
        <w:keepNext/>
        <w:outlineLvl w:val="0"/>
      </w:pPr>
    </w:p>
    <w:p w14:paraId="2EA51CDA" w14:textId="77777777" w:rsidR="00922D8A" w:rsidRPr="000F3553" w:rsidRDefault="00922D8A" w:rsidP="000F3553">
      <w:pPr>
        <w:pStyle w:val="Bullet"/>
        <w:tabs>
          <w:tab w:val="clear" w:pos="851"/>
          <w:tab w:val="num" w:pos="540"/>
        </w:tabs>
        <w:ind w:left="540" w:hanging="540"/>
      </w:pPr>
      <w:r w:rsidRPr="000F3553">
        <w:rPr>
          <w:b/>
          <w:lang w:val="lt-LT"/>
        </w:rPr>
        <w:t>sunki alerginė reakcija</w:t>
      </w:r>
      <w:r w:rsidRPr="000F3553">
        <w:rPr>
          <w:lang w:val="lt-LT"/>
        </w:rPr>
        <w:t xml:space="preserve">. Požymiai gali būti </w:t>
      </w:r>
      <w:r w:rsidRPr="000F3553">
        <w:rPr>
          <w:b/>
          <w:lang w:val="lt-LT"/>
        </w:rPr>
        <w:t>iškilusis niežtintysis bėrimas, patinimas</w:t>
      </w:r>
      <w:r w:rsidRPr="000F3553">
        <w:rPr>
          <w:lang w:val="lt-LT"/>
        </w:rPr>
        <w:t xml:space="preserve">, kartais veido ar burnos, dėl kurio </w:t>
      </w:r>
      <w:r w:rsidRPr="000F3553">
        <w:rPr>
          <w:b/>
          <w:lang w:val="lt-LT"/>
        </w:rPr>
        <w:t>pasunkėja kvėpavimas</w:t>
      </w:r>
      <w:r w:rsidRPr="000F3553">
        <w:rPr>
          <w:lang w:val="lt-LT"/>
        </w:rPr>
        <w:t>;</w:t>
      </w:r>
    </w:p>
    <w:p w14:paraId="0F50AD5E" w14:textId="77777777" w:rsidR="00922D8A" w:rsidRPr="000F3553" w:rsidRDefault="00922D8A" w:rsidP="000F3553">
      <w:pPr>
        <w:pStyle w:val="Bullet"/>
        <w:numPr>
          <w:ilvl w:val="0"/>
          <w:numId w:val="18"/>
        </w:numPr>
        <w:tabs>
          <w:tab w:val="clear" w:pos="284"/>
          <w:tab w:val="num" w:pos="561"/>
        </w:tabs>
        <w:spacing w:before="0"/>
        <w:ind w:left="561" w:hanging="561"/>
      </w:pPr>
      <w:r w:rsidRPr="000F3553">
        <w:rPr>
          <w:b/>
          <w:lang w:val="lt-LT"/>
        </w:rPr>
        <w:t>odos bėrimas</w:t>
      </w:r>
      <w:r w:rsidRPr="000F3553">
        <w:rPr>
          <w:lang w:val="lt-LT"/>
        </w:rPr>
        <w:t xml:space="preserve">, kuris gali apsitraukti </w:t>
      </w:r>
      <w:r w:rsidRPr="000F3553">
        <w:rPr>
          <w:b/>
          <w:lang w:val="lt-LT"/>
        </w:rPr>
        <w:t>pūslėmis</w:t>
      </w:r>
      <w:r w:rsidRPr="000F3553">
        <w:rPr>
          <w:lang w:val="lt-LT"/>
        </w:rPr>
        <w:t xml:space="preserve"> ar atrodyti kaip </w:t>
      </w:r>
      <w:r w:rsidRPr="000F3553">
        <w:rPr>
          <w:b/>
          <w:lang w:val="lt-LT"/>
        </w:rPr>
        <w:t>maži taikiniai</w:t>
      </w:r>
      <w:r w:rsidRPr="000F3553">
        <w:rPr>
          <w:lang w:val="lt-LT"/>
        </w:rPr>
        <w:t xml:space="preserve"> (centre tamsus taškas, apsuptas blyškesnės srities, o iš krašto apjuostas tamsaus žiedo);</w:t>
      </w:r>
    </w:p>
    <w:p w14:paraId="25179E48" w14:textId="77777777" w:rsidR="00922D8A" w:rsidRPr="000F3553" w:rsidRDefault="00922D8A" w:rsidP="000F3553">
      <w:pPr>
        <w:pStyle w:val="Bullet"/>
        <w:numPr>
          <w:ilvl w:val="0"/>
          <w:numId w:val="18"/>
        </w:numPr>
        <w:tabs>
          <w:tab w:val="clear" w:pos="284"/>
          <w:tab w:val="num" w:pos="561"/>
        </w:tabs>
        <w:spacing w:before="0"/>
        <w:ind w:left="561" w:hanging="561"/>
      </w:pPr>
      <w:r w:rsidRPr="000F3553">
        <w:rPr>
          <w:b/>
          <w:lang w:val="lt-LT"/>
        </w:rPr>
        <w:t>išplitęs bėrimas</w:t>
      </w:r>
      <w:r w:rsidRPr="000F3553">
        <w:rPr>
          <w:lang w:val="lt-LT"/>
        </w:rPr>
        <w:t xml:space="preserve"> su </w:t>
      </w:r>
      <w:r w:rsidRPr="000F3553">
        <w:rPr>
          <w:b/>
          <w:lang w:val="lt-LT"/>
        </w:rPr>
        <w:t>pūslėmis</w:t>
      </w:r>
      <w:r w:rsidRPr="000F3553">
        <w:rPr>
          <w:lang w:val="lt-LT"/>
        </w:rPr>
        <w:t xml:space="preserve"> ir </w:t>
      </w:r>
      <w:r w:rsidRPr="000F3553">
        <w:rPr>
          <w:b/>
          <w:lang w:val="lt-LT"/>
        </w:rPr>
        <w:t>odos lupimusi</w:t>
      </w:r>
      <w:r w:rsidRPr="000F3553">
        <w:rPr>
          <w:lang w:val="lt-LT"/>
        </w:rPr>
        <w:t xml:space="preserve"> (tai gali būti </w:t>
      </w:r>
      <w:r w:rsidRPr="000F3553">
        <w:rPr>
          <w:i/>
          <w:lang w:val="lt-LT"/>
        </w:rPr>
        <w:t>Stevens-Johnson sindromo</w:t>
      </w:r>
      <w:r w:rsidRPr="000F3553">
        <w:rPr>
          <w:lang w:val="lt-LT"/>
        </w:rPr>
        <w:t xml:space="preserve"> arba </w:t>
      </w:r>
      <w:r w:rsidRPr="000F3553">
        <w:rPr>
          <w:i/>
          <w:lang w:val="lt-LT"/>
        </w:rPr>
        <w:t xml:space="preserve">toksinės epidermio nekrolizės </w:t>
      </w:r>
      <w:r w:rsidRPr="000F3553">
        <w:rPr>
          <w:lang w:val="lt-LT"/>
        </w:rPr>
        <w:t>požymiai).</w:t>
      </w:r>
    </w:p>
    <w:p w14:paraId="161FED4D" w14:textId="77777777" w:rsidR="00922D8A" w:rsidRPr="000F3553" w:rsidRDefault="00922D8A" w:rsidP="000F3553">
      <w:pPr>
        <w:pStyle w:val="Bullet"/>
        <w:numPr>
          <w:ilvl w:val="0"/>
          <w:numId w:val="0"/>
        </w:numPr>
        <w:tabs>
          <w:tab w:val="left" w:pos="0"/>
        </w:tabs>
        <w:spacing w:before="0"/>
        <w:jc w:val="both"/>
      </w:pPr>
    </w:p>
    <w:p w14:paraId="61DF5ED7" w14:textId="77777777" w:rsidR="00922D8A" w:rsidRPr="000F3553" w:rsidRDefault="00922D8A" w:rsidP="000F3553">
      <w:pPr>
        <w:pStyle w:val="Bullet"/>
        <w:numPr>
          <w:ilvl w:val="0"/>
          <w:numId w:val="0"/>
        </w:numPr>
        <w:tabs>
          <w:tab w:val="left" w:pos="0"/>
        </w:tabs>
        <w:spacing w:before="0"/>
        <w:jc w:val="both"/>
        <w:rPr>
          <w:b/>
        </w:rPr>
      </w:pPr>
      <w:r w:rsidRPr="000F3553">
        <w:rPr>
          <w:b/>
          <w:lang w:val="lt-LT"/>
        </w:rPr>
        <w:t>Kitos būklės, į kurias reikia atkreipti dėmesį vartojant Zinnat, yra</w:t>
      </w:r>
    </w:p>
    <w:p w14:paraId="51463CF7" w14:textId="77777777" w:rsidR="00922D8A" w:rsidRPr="000F3553" w:rsidRDefault="00922D8A" w:rsidP="000F3553">
      <w:pPr>
        <w:pStyle w:val="Bullet"/>
        <w:numPr>
          <w:ilvl w:val="0"/>
          <w:numId w:val="18"/>
        </w:numPr>
        <w:tabs>
          <w:tab w:val="clear" w:pos="284"/>
          <w:tab w:val="num" w:pos="561"/>
        </w:tabs>
        <w:spacing w:before="0"/>
        <w:ind w:left="561" w:hanging="561"/>
      </w:pPr>
      <w:r w:rsidRPr="000F3553">
        <w:rPr>
          <w:b/>
          <w:color w:val="000000"/>
          <w:lang w:val="lt-LT"/>
        </w:rPr>
        <w:t xml:space="preserve">grybelių sukelta infekcinė liga. </w:t>
      </w:r>
      <w:r w:rsidRPr="000F3553">
        <w:rPr>
          <w:lang w:val="lt-LT"/>
        </w:rPr>
        <w:t>Į Zinnat panašūs vaistai gali sukelti pernelyg didelį mieliagrybių (</w:t>
      </w:r>
      <w:r w:rsidRPr="000F3553">
        <w:rPr>
          <w:i/>
          <w:lang w:val="lt-LT"/>
        </w:rPr>
        <w:t>Candida</w:t>
      </w:r>
      <w:r w:rsidRPr="000F3553">
        <w:rPr>
          <w:lang w:val="lt-LT"/>
        </w:rPr>
        <w:t xml:space="preserve">) dauginimąsi organizme ir sukelti grybelinę infekcinę ligą (pvz., pienligę). </w:t>
      </w:r>
      <w:r w:rsidRPr="008661CD">
        <w:t>Toks šalutinis poveikis labiau tikėtinas, jeigu Zinnat vartojate ilgą laiką;</w:t>
      </w:r>
    </w:p>
    <w:p w14:paraId="0E9DA7ED" w14:textId="77777777" w:rsidR="00922D8A" w:rsidRPr="000F3553" w:rsidRDefault="00922D8A" w:rsidP="000F3553">
      <w:pPr>
        <w:pStyle w:val="Bullet"/>
        <w:numPr>
          <w:ilvl w:val="0"/>
          <w:numId w:val="18"/>
        </w:numPr>
        <w:tabs>
          <w:tab w:val="clear" w:pos="284"/>
          <w:tab w:val="num" w:pos="561"/>
        </w:tabs>
        <w:spacing w:before="0"/>
        <w:ind w:left="561" w:hanging="561"/>
      </w:pPr>
      <w:r w:rsidRPr="000F3553">
        <w:rPr>
          <w:b/>
          <w:lang w:val="lt-LT"/>
        </w:rPr>
        <w:t>sunkus viduriavimas (</w:t>
      </w:r>
      <w:r w:rsidRPr="000F3553">
        <w:rPr>
          <w:b/>
          <w:i/>
          <w:lang w:val="lt-LT"/>
        </w:rPr>
        <w:t>pseudomembraninis kolitas</w:t>
      </w:r>
      <w:r w:rsidRPr="000F3553">
        <w:rPr>
          <w:b/>
          <w:lang w:val="lt-LT"/>
        </w:rPr>
        <w:t xml:space="preserve">). </w:t>
      </w:r>
      <w:r w:rsidRPr="000F3553">
        <w:rPr>
          <w:lang w:val="lt-LT"/>
        </w:rPr>
        <w:t>Į Zinnat panašūs vaistai gali sukelti gaubtinės (storosios) žarnos uždegimą, sukeldami sunkų viduriavimą, paprastai su krauju ir gleivėmis, pilvo skausmu, karščiavimu;</w:t>
      </w:r>
    </w:p>
    <w:p w14:paraId="513FDA8E" w14:textId="77777777" w:rsidR="00922D8A" w:rsidRPr="000F3553" w:rsidRDefault="00922D8A" w:rsidP="000F3553">
      <w:pPr>
        <w:pStyle w:val="Bullet"/>
        <w:numPr>
          <w:ilvl w:val="0"/>
          <w:numId w:val="18"/>
        </w:numPr>
        <w:tabs>
          <w:tab w:val="clear" w:pos="284"/>
          <w:tab w:val="num" w:pos="561"/>
        </w:tabs>
        <w:spacing w:before="0"/>
        <w:ind w:left="561" w:hanging="561"/>
      </w:pPr>
      <w:r w:rsidRPr="000F3553">
        <w:rPr>
          <w:b/>
          <w:i/>
          <w:lang w:val="lt-LT"/>
        </w:rPr>
        <w:t>Jarisch-Herxheimer</w:t>
      </w:r>
      <w:r w:rsidRPr="000F3553">
        <w:rPr>
          <w:b/>
          <w:lang w:val="lt-LT"/>
        </w:rPr>
        <w:t xml:space="preserve"> reakcija. </w:t>
      </w:r>
      <w:r w:rsidRPr="000F3553">
        <w:rPr>
          <w:lang w:val="lt-LT"/>
        </w:rPr>
        <w:t xml:space="preserve">Kai kuriems Zinnat gydytiems Laimo liga sergantiems pacientams labai padidėjo kūno temperatūra (pasireiškė karščiavimas), pasireiškė šaltkrėtis, galvos skausmas, raumenų skausmas ir odos bėrimas. Tai vadinamoji </w:t>
      </w:r>
      <w:r w:rsidRPr="000F3553">
        <w:rPr>
          <w:i/>
          <w:lang w:val="lt-LT"/>
        </w:rPr>
        <w:t>Jarisch-Herxheimer reakcija.</w:t>
      </w:r>
      <w:r w:rsidRPr="000F3553">
        <w:rPr>
          <w:lang w:val="lt-LT"/>
        </w:rPr>
        <w:t xml:space="preserve"> Simptomų paprastai būna keletą valandų ar ne ilgiau kaip vieną parą.</w:t>
      </w:r>
    </w:p>
    <w:p w14:paraId="19B060EA" w14:textId="77777777" w:rsidR="00922D8A" w:rsidRPr="008661CD" w:rsidRDefault="00922D8A" w:rsidP="008661CD">
      <w:pPr>
        <w:numPr>
          <w:ilvl w:val="0"/>
          <w:numId w:val="16"/>
        </w:numPr>
        <w:jc w:val="both"/>
        <w:rPr>
          <w:b/>
        </w:rPr>
      </w:pPr>
      <w:r w:rsidRPr="008661CD">
        <w:rPr>
          <w:b/>
          <w:color w:val="000000"/>
        </w:rPr>
        <w:t>Jeigu pasireiškė kuris nors iš šių simptomų, apie tai nedelsdami pasakykite gydytojui arba slaugytojai</w:t>
      </w:r>
      <w:r w:rsidRPr="008661CD">
        <w:t>.</w:t>
      </w:r>
    </w:p>
    <w:p w14:paraId="1E82B6FE" w14:textId="77777777" w:rsidR="00922D8A" w:rsidRPr="008661CD" w:rsidRDefault="00922D8A" w:rsidP="008661CD">
      <w:pPr>
        <w:tabs>
          <w:tab w:val="left" w:pos="-720"/>
          <w:tab w:val="left" w:pos="0"/>
          <w:tab w:val="left" w:pos="540"/>
          <w:tab w:val="left" w:pos="2160"/>
          <w:tab w:val="left" w:pos="2880"/>
          <w:tab w:val="left" w:pos="3600"/>
          <w:tab w:val="left" w:pos="4320"/>
        </w:tabs>
        <w:autoSpaceDE w:val="0"/>
        <w:autoSpaceDN w:val="0"/>
        <w:adjustRightInd w:val="0"/>
        <w:ind w:left="539"/>
        <w:rPr>
          <w:b/>
        </w:rPr>
      </w:pPr>
    </w:p>
    <w:p w14:paraId="17B2FAC7" w14:textId="77777777" w:rsidR="00922D8A" w:rsidRPr="000F3553" w:rsidRDefault="00922D8A" w:rsidP="000F3553">
      <w:pPr>
        <w:pStyle w:val="NoNumHead2"/>
        <w:rPr>
          <w:b w:val="0"/>
        </w:rPr>
      </w:pPr>
      <w:r w:rsidRPr="000F3553">
        <w:rPr>
          <w:lang w:val="lt-LT"/>
        </w:rPr>
        <w:t>Dažnas šalutinis poveikis</w:t>
      </w:r>
    </w:p>
    <w:p w14:paraId="484B693A" w14:textId="77777777" w:rsidR="00922D8A" w:rsidRPr="000F3553" w:rsidRDefault="00922D8A" w:rsidP="000F3553">
      <w:pPr>
        <w:pStyle w:val="NoNumHead2"/>
        <w:rPr>
          <w:b w:val="0"/>
        </w:rPr>
      </w:pPr>
    </w:p>
    <w:p w14:paraId="1010B41C" w14:textId="77777777" w:rsidR="00922D8A" w:rsidRPr="008661CD" w:rsidRDefault="00922D8A" w:rsidP="008661CD">
      <w:pPr>
        <w:keepNext/>
      </w:pPr>
      <w:r w:rsidRPr="008661CD">
        <w:t xml:space="preserve">Toks poveikis gali pasireikšti </w:t>
      </w:r>
      <w:r w:rsidRPr="008661CD">
        <w:rPr>
          <w:b/>
        </w:rPr>
        <w:t xml:space="preserve">ne dažniau kaip 1 iš 10 </w:t>
      </w:r>
      <w:r w:rsidRPr="008661CD">
        <w:t>žmonių:</w:t>
      </w:r>
    </w:p>
    <w:p w14:paraId="6BDA4812" w14:textId="77777777" w:rsidR="00922D8A" w:rsidRPr="008661CD" w:rsidRDefault="00922D8A" w:rsidP="008661CD">
      <w:pPr>
        <w:keepNext/>
      </w:pPr>
    </w:p>
    <w:p w14:paraId="300BD9B2" w14:textId="77777777" w:rsidR="00922D8A" w:rsidRPr="000F3553" w:rsidRDefault="00922D8A" w:rsidP="000F3553">
      <w:pPr>
        <w:pStyle w:val="centhead12"/>
        <w:keepNext w:val="0"/>
        <w:numPr>
          <w:ilvl w:val="0"/>
          <w:numId w:val="11"/>
        </w:numPr>
        <w:tabs>
          <w:tab w:val="clear" w:pos="907"/>
          <w:tab w:val="num" w:pos="561"/>
        </w:tabs>
        <w:spacing w:after="0"/>
        <w:ind w:left="714" w:hanging="714"/>
        <w:jc w:val="left"/>
        <w:rPr>
          <w:color w:val="000000"/>
        </w:rPr>
      </w:pPr>
      <w:r w:rsidRPr="000F3553">
        <w:rPr>
          <w:rFonts w:ascii="Times New Roman" w:hAnsi="Times New Roman"/>
          <w:b w:val="0"/>
          <w:color w:val="000000"/>
          <w:sz w:val="22"/>
          <w:lang w:val="lt-LT"/>
        </w:rPr>
        <w:t xml:space="preserve">grybelių (pvz., </w:t>
      </w:r>
      <w:r w:rsidRPr="000F3553">
        <w:rPr>
          <w:rFonts w:ascii="Times New Roman" w:hAnsi="Times New Roman"/>
          <w:b w:val="0"/>
          <w:i/>
          <w:color w:val="000000"/>
          <w:sz w:val="22"/>
          <w:lang w:val="lt-LT"/>
        </w:rPr>
        <w:t>Candida</w:t>
      </w:r>
      <w:r w:rsidRPr="000F3553">
        <w:rPr>
          <w:rFonts w:ascii="Times New Roman" w:hAnsi="Times New Roman"/>
          <w:b w:val="0"/>
          <w:color w:val="000000"/>
          <w:sz w:val="22"/>
          <w:lang w:val="lt-LT"/>
        </w:rPr>
        <w:t>) sukeltos infekcinės ligos;</w:t>
      </w:r>
    </w:p>
    <w:p w14:paraId="51AB3E94" w14:textId="77777777" w:rsidR="00922D8A" w:rsidRPr="000F3553" w:rsidRDefault="00922D8A" w:rsidP="000F3553">
      <w:pPr>
        <w:pStyle w:val="centhead12"/>
        <w:keepNext w:val="0"/>
        <w:numPr>
          <w:ilvl w:val="0"/>
          <w:numId w:val="11"/>
        </w:numPr>
        <w:tabs>
          <w:tab w:val="clear" w:pos="907"/>
          <w:tab w:val="num" w:pos="561"/>
        </w:tabs>
        <w:spacing w:after="0"/>
        <w:ind w:left="714" w:hanging="714"/>
        <w:jc w:val="left"/>
      </w:pPr>
      <w:r w:rsidRPr="000F3553">
        <w:rPr>
          <w:rFonts w:ascii="Times New Roman" w:hAnsi="Times New Roman"/>
          <w:b w:val="0"/>
          <w:sz w:val="22"/>
          <w:lang w:val="lt-LT"/>
        </w:rPr>
        <w:t>galvos skausmas;</w:t>
      </w:r>
    </w:p>
    <w:p w14:paraId="318CA775" w14:textId="77777777" w:rsidR="00922D8A" w:rsidRPr="000F3553" w:rsidRDefault="00922D8A" w:rsidP="000F3553">
      <w:pPr>
        <w:pStyle w:val="centhead12"/>
        <w:keepNext w:val="0"/>
        <w:numPr>
          <w:ilvl w:val="0"/>
          <w:numId w:val="11"/>
        </w:numPr>
        <w:tabs>
          <w:tab w:val="clear" w:pos="907"/>
          <w:tab w:val="num" w:pos="561"/>
        </w:tabs>
        <w:spacing w:after="0"/>
        <w:ind w:left="714" w:hanging="714"/>
        <w:jc w:val="left"/>
      </w:pPr>
      <w:r w:rsidRPr="000F3553">
        <w:rPr>
          <w:rFonts w:ascii="Times New Roman" w:hAnsi="Times New Roman"/>
          <w:b w:val="0"/>
          <w:sz w:val="22"/>
          <w:lang w:val="lt-LT"/>
        </w:rPr>
        <w:t>galvos svaigimas;</w:t>
      </w:r>
    </w:p>
    <w:p w14:paraId="7C00F85C" w14:textId="77777777" w:rsidR="00922D8A" w:rsidRPr="000F3553" w:rsidRDefault="00922D8A" w:rsidP="000F3553">
      <w:pPr>
        <w:pStyle w:val="centhead12"/>
        <w:keepNext w:val="0"/>
        <w:numPr>
          <w:ilvl w:val="0"/>
          <w:numId w:val="11"/>
        </w:numPr>
        <w:tabs>
          <w:tab w:val="clear" w:pos="907"/>
          <w:tab w:val="num" w:pos="561"/>
        </w:tabs>
        <w:spacing w:after="0"/>
        <w:ind w:left="714" w:hanging="714"/>
        <w:jc w:val="left"/>
      </w:pPr>
      <w:r w:rsidRPr="000F3553">
        <w:rPr>
          <w:rFonts w:ascii="Times New Roman" w:hAnsi="Times New Roman"/>
          <w:b w:val="0"/>
          <w:sz w:val="22"/>
          <w:lang w:val="lt-LT"/>
        </w:rPr>
        <w:t>viduriavimas;</w:t>
      </w:r>
    </w:p>
    <w:p w14:paraId="4C44DEDA" w14:textId="77777777" w:rsidR="00922D8A" w:rsidRPr="000F3553" w:rsidRDefault="00922D8A" w:rsidP="000F3553">
      <w:pPr>
        <w:pStyle w:val="centhead12"/>
        <w:keepNext w:val="0"/>
        <w:numPr>
          <w:ilvl w:val="0"/>
          <w:numId w:val="11"/>
        </w:numPr>
        <w:tabs>
          <w:tab w:val="clear" w:pos="907"/>
          <w:tab w:val="num" w:pos="561"/>
        </w:tabs>
        <w:spacing w:after="0"/>
        <w:ind w:left="714" w:hanging="714"/>
        <w:jc w:val="left"/>
      </w:pPr>
      <w:r w:rsidRPr="000F3553">
        <w:rPr>
          <w:rFonts w:ascii="Times New Roman" w:hAnsi="Times New Roman"/>
          <w:b w:val="0"/>
          <w:sz w:val="22"/>
          <w:lang w:val="lt-LT"/>
        </w:rPr>
        <w:t>pykinimas;</w:t>
      </w:r>
    </w:p>
    <w:p w14:paraId="09262DBC" w14:textId="77777777" w:rsidR="00922D8A" w:rsidRPr="000F3553" w:rsidRDefault="00922D8A" w:rsidP="000F3553">
      <w:pPr>
        <w:pStyle w:val="centhead12"/>
        <w:keepNext w:val="0"/>
        <w:numPr>
          <w:ilvl w:val="0"/>
          <w:numId w:val="11"/>
        </w:numPr>
        <w:tabs>
          <w:tab w:val="clear" w:pos="907"/>
          <w:tab w:val="num" w:pos="561"/>
        </w:tabs>
        <w:spacing w:after="0"/>
        <w:ind w:left="714" w:hanging="714"/>
        <w:jc w:val="left"/>
      </w:pPr>
      <w:r w:rsidRPr="000F3553">
        <w:rPr>
          <w:rFonts w:ascii="Times New Roman" w:hAnsi="Times New Roman"/>
          <w:b w:val="0"/>
          <w:sz w:val="22"/>
          <w:lang w:val="lt-LT"/>
        </w:rPr>
        <w:t>pilvo skausmas.</w:t>
      </w:r>
    </w:p>
    <w:p w14:paraId="18B5454A" w14:textId="77777777" w:rsidR="00922D8A" w:rsidRPr="008661CD" w:rsidRDefault="00922D8A" w:rsidP="008661CD"/>
    <w:p w14:paraId="7D2FE000" w14:textId="77777777" w:rsidR="00922D8A" w:rsidRPr="008661CD" w:rsidRDefault="00922D8A" w:rsidP="008661CD">
      <w:pPr>
        <w:keepNext/>
        <w:autoSpaceDE w:val="0"/>
        <w:autoSpaceDN w:val="0"/>
        <w:adjustRightInd w:val="0"/>
      </w:pPr>
      <w:r w:rsidRPr="008661CD">
        <w:t>Dažnas šalutinis poveikis, kurį gali rodyti kraujo tyrimai:</w:t>
      </w:r>
    </w:p>
    <w:p w14:paraId="30B16214" w14:textId="77777777" w:rsidR="00922D8A" w:rsidRPr="008661CD" w:rsidRDefault="00922D8A" w:rsidP="008661CD">
      <w:pPr>
        <w:keepNext/>
        <w:autoSpaceDE w:val="0"/>
        <w:autoSpaceDN w:val="0"/>
        <w:adjustRightInd w:val="0"/>
      </w:pPr>
    </w:p>
    <w:p w14:paraId="200C5955" w14:textId="77777777" w:rsidR="00922D8A" w:rsidRPr="000F3553" w:rsidRDefault="00922D8A" w:rsidP="000F3553">
      <w:pPr>
        <w:pStyle w:val="centhead12"/>
        <w:keepNext w:val="0"/>
        <w:numPr>
          <w:ilvl w:val="0"/>
          <w:numId w:val="11"/>
        </w:numPr>
        <w:tabs>
          <w:tab w:val="clear" w:pos="907"/>
          <w:tab w:val="num" w:pos="561"/>
        </w:tabs>
        <w:spacing w:after="0"/>
        <w:ind w:left="720" w:hanging="720"/>
        <w:jc w:val="left"/>
      </w:pPr>
      <w:r w:rsidRPr="000F3553">
        <w:rPr>
          <w:rFonts w:ascii="Times New Roman" w:hAnsi="Times New Roman"/>
          <w:b w:val="0"/>
          <w:sz w:val="22"/>
          <w:lang w:val="lt-LT"/>
        </w:rPr>
        <w:t>tam tikros rūšies baltųjų kraujo ląstelių kiekio padidėjimas (</w:t>
      </w:r>
      <w:r w:rsidRPr="000F3553">
        <w:rPr>
          <w:rFonts w:ascii="Times New Roman" w:hAnsi="Times New Roman"/>
          <w:b w:val="0"/>
          <w:i/>
          <w:sz w:val="22"/>
          <w:lang w:val="lt-LT"/>
        </w:rPr>
        <w:t>eozinofilija</w:t>
      </w:r>
      <w:r w:rsidRPr="000F3553">
        <w:rPr>
          <w:rFonts w:ascii="Times New Roman" w:hAnsi="Times New Roman"/>
          <w:b w:val="0"/>
          <w:sz w:val="22"/>
          <w:lang w:val="lt-LT"/>
        </w:rPr>
        <w:t>);</w:t>
      </w:r>
    </w:p>
    <w:p w14:paraId="14CBD0F9" w14:textId="77777777" w:rsidR="00922D8A" w:rsidRPr="000F3553" w:rsidRDefault="00922D8A" w:rsidP="000F3553">
      <w:pPr>
        <w:pStyle w:val="centhead12"/>
        <w:keepNext w:val="0"/>
        <w:numPr>
          <w:ilvl w:val="0"/>
          <w:numId w:val="11"/>
        </w:numPr>
        <w:tabs>
          <w:tab w:val="clear" w:pos="907"/>
          <w:tab w:val="num" w:pos="561"/>
        </w:tabs>
        <w:spacing w:after="0"/>
        <w:ind w:left="720" w:hanging="720"/>
        <w:jc w:val="left"/>
        <w:rPr>
          <w:color w:val="000000"/>
        </w:rPr>
      </w:pPr>
      <w:r w:rsidRPr="000F3553">
        <w:rPr>
          <w:rFonts w:ascii="Times New Roman" w:hAnsi="Times New Roman"/>
          <w:b w:val="0"/>
          <w:color w:val="000000"/>
          <w:sz w:val="22"/>
          <w:lang w:val="lt-LT"/>
        </w:rPr>
        <w:t>kepenų fermentų suaktyvėjimas.</w:t>
      </w:r>
    </w:p>
    <w:p w14:paraId="6A1C91AF" w14:textId="77777777" w:rsidR="00922D8A" w:rsidRPr="008661CD" w:rsidRDefault="00922D8A" w:rsidP="008661CD"/>
    <w:p w14:paraId="650DCD60" w14:textId="77777777" w:rsidR="00922D8A" w:rsidRPr="000F3553" w:rsidRDefault="00922D8A" w:rsidP="000F3553">
      <w:pPr>
        <w:pStyle w:val="NoNumHead2"/>
        <w:rPr>
          <w:b w:val="0"/>
        </w:rPr>
      </w:pPr>
      <w:r w:rsidRPr="000F3553">
        <w:rPr>
          <w:lang w:val="lt-LT"/>
        </w:rPr>
        <w:t>Nedažnas šalutinis poveikis</w:t>
      </w:r>
    </w:p>
    <w:p w14:paraId="5D8CBDCE" w14:textId="77777777" w:rsidR="00922D8A" w:rsidRPr="008661CD" w:rsidRDefault="00922D8A" w:rsidP="008661CD"/>
    <w:p w14:paraId="7B5A712F" w14:textId="77777777" w:rsidR="00922D8A" w:rsidRPr="008661CD" w:rsidRDefault="00922D8A" w:rsidP="008661CD">
      <w:pPr>
        <w:keepNext/>
      </w:pPr>
      <w:r w:rsidRPr="008661CD">
        <w:t xml:space="preserve">Toks poveikis gali pasireikšti </w:t>
      </w:r>
      <w:r w:rsidRPr="008661CD">
        <w:rPr>
          <w:b/>
        </w:rPr>
        <w:t>ne dažniau kaip 1 iš 100</w:t>
      </w:r>
      <w:r w:rsidRPr="008661CD">
        <w:t xml:space="preserve"> žmonių:</w:t>
      </w:r>
    </w:p>
    <w:p w14:paraId="57B500BF" w14:textId="77777777" w:rsidR="00922D8A" w:rsidRPr="008661CD" w:rsidRDefault="00922D8A" w:rsidP="008661CD">
      <w:pPr>
        <w:keepNext/>
      </w:pPr>
    </w:p>
    <w:p w14:paraId="55EA9626" w14:textId="77777777" w:rsidR="00922D8A" w:rsidRPr="008661CD" w:rsidRDefault="00922D8A" w:rsidP="000F3553">
      <w:pPr>
        <w:numPr>
          <w:ilvl w:val="0"/>
          <w:numId w:val="13"/>
        </w:numPr>
        <w:tabs>
          <w:tab w:val="clear" w:pos="720"/>
          <w:tab w:val="num" w:pos="561"/>
        </w:tabs>
        <w:ind w:hanging="720"/>
      </w:pPr>
      <w:r w:rsidRPr="008661CD">
        <w:t>vėmimas;</w:t>
      </w:r>
    </w:p>
    <w:p w14:paraId="238F05D3" w14:textId="77777777" w:rsidR="00922D8A" w:rsidRPr="008661CD" w:rsidRDefault="00922D8A" w:rsidP="000F3553">
      <w:pPr>
        <w:numPr>
          <w:ilvl w:val="0"/>
          <w:numId w:val="13"/>
        </w:numPr>
        <w:tabs>
          <w:tab w:val="clear" w:pos="720"/>
          <w:tab w:val="num" w:pos="561"/>
        </w:tabs>
        <w:ind w:hanging="720"/>
      </w:pPr>
      <w:r w:rsidRPr="008661CD">
        <w:t>odos bėrimai.</w:t>
      </w:r>
    </w:p>
    <w:p w14:paraId="40DF3736" w14:textId="77777777" w:rsidR="00922D8A" w:rsidRPr="008661CD" w:rsidRDefault="00922D8A" w:rsidP="008661CD">
      <w:pPr>
        <w:ind w:left="720"/>
      </w:pPr>
    </w:p>
    <w:p w14:paraId="4E55D800" w14:textId="77777777" w:rsidR="00922D8A" w:rsidRPr="008661CD" w:rsidRDefault="00922D8A" w:rsidP="008661CD">
      <w:pPr>
        <w:keepNext/>
        <w:autoSpaceDE w:val="0"/>
        <w:autoSpaceDN w:val="0"/>
        <w:adjustRightInd w:val="0"/>
      </w:pPr>
      <w:r w:rsidRPr="008661CD">
        <w:lastRenderedPageBreak/>
        <w:t>Nedažnas šalutinis poveikis, kurį gali rodyti kraujo tyrimai:</w:t>
      </w:r>
    </w:p>
    <w:p w14:paraId="4E4C597B" w14:textId="77777777" w:rsidR="00922D8A" w:rsidRPr="008661CD" w:rsidRDefault="00922D8A" w:rsidP="008661CD">
      <w:pPr>
        <w:keepNext/>
        <w:autoSpaceDE w:val="0"/>
        <w:autoSpaceDN w:val="0"/>
        <w:adjustRightInd w:val="0"/>
      </w:pPr>
    </w:p>
    <w:p w14:paraId="6211A996" w14:textId="77777777" w:rsidR="00922D8A" w:rsidRPr="008661CD" w:rsidRDefault="00922D8A" w:rsidP="000F3553">
      <w:pPr>
        <w:numPr>
          <w:ilvl w:val="0"/>
          <w:numId w:val="13"/>
        </w:numPr>
        <w:tabs>
          <w:tab w:val="clear" w:pos="720"/>
          <w:tab w:val="num" w:pos="561"/>
        </w:tabs>
        <w:ind w:hanging="720"/>
        <w:rPr>
          <w:i/>
        </w:rPr>
      </w:pPr>
      <w:r w:rsidRPr="008661CD">
        <w:t>kraujo plokštelių kiekio sumažėjimas (ląstelių, kurios padeda kraujui krešėti)</w:t>
      </w:r>
    </w:p>
    <w:p w14:paraId="5AA3BA87" w14:textId="77777777" w:rsidR="00922D8A" w:rsidRPr="008661CD" w:rsidRDefault="00922D8A" w:rsidP="000F3553">
      <w:pPr>
        <w:numPr>
          <w:ilvl w:val="0"/>
          <w:numId w:val="13"/>
        </w:numPr>
        <w:tabs>
          <w:tab w:val="clear" w:pos="720"/>
          <w:tab w:val="num" w:pos="561"/>
        </w:tabs>
        <w:ind w:hanging="720"/>
      </w:pPr>
      <w:r w:rsidRPr="008661CD">
        <w:t>baltųjų kraujo ląstelių kiekio sumažėjimas;</w:t>
      </w:r>
    </w:p>
    <w:p w14:paraId="5637C17B" w14:textId="77777777" w:rsidR="00922D8A" w:rsidRPr="008661CD" w:rsidRDefault="00922D8A" w:rsidP="000F3553">
      <w:pPr>
        <w:numPr>
          <w:ilvl w:val="0"/>
          <w:numId w:val="13"/>
        </w:numPr>
        <w:tabs>
          <w:tab w:val="clear" w:pos="720"/>
          <w:tab w:val="num" w:pos="561"/>
        </w:tabs>
        <w:ind w:hanging="720"/>
      </w:pPr>
      <w:r w:rsidRPr="008661CD">
        <w:t>teigiamas Kumbso mėginys.</w:t>
      </w:r>
    </w:p>
    <w:p w14:paraId="34066FDD" w14:textId="77777777" w:rsidR="00922D8A" w:rsidRPr="008661CD" w:rsidRDefault="00922D8A" w:rsidP="008661CD">
      <w:pPr>
        <w:ind w:left="720"/>
      </w:pPr>
    </w:p>
    <w:p w14:paraId="75FE4580" w14:textId="77777777" w:rsidR="00922D8A" w:rsidRPr="008661CD" w:rsidRDefault="00922D8A" w:rsidP="008661CD">
      <w:pPr>
        <w:numPr>
          <w:ilvl w:val="12"/>
          <w:numId w:val="0"/>
        </w:numPr>
        <w:ind w:right="-2"/>
        <w:outlineLvl w:val="0"/>
        <w:rPr>
          <w:b/>
        </w:rPr>
      </w:pPr>
      <w:r w:rsidRPr="008661CD">
        <w:rPr>
          <w:b/>
        </w:rPr>
        <w:t>Kitas šalutinis poveikis</w:t>
      </w:r>
    </w:p>
    <w:p w14:paraId="36BD45FF" w14:textId="77777777" w:rsidR="00922D8A" w:rsidRPr="008661CD" w:rsidRDefault="00922D8A" w:rsidP="008661CD">
      <w:pPr>
        <w:autoSpaceDE w:val="0"/>
        <w:autoSpaceDN w:val="0"/>
        <w:adjustRightInd w:val="0"/>
        <w:spacing w:after="120"/>
      </w:pPr>
      <w:r w:rsidRPr="008661CD">
        <w:t>Kitas šalutinis poveikis pasireiškė labai mažai daliai žmonių, bet tikslus jo dažnis nežinomas:</w:t>
      </w:r>
    </w:p>
    <w:p w14:paraId="16332347" w14:textId="77777777" w:rsidR="00922D8A" w:rsidRPr="008661CD" w:rsidRDefault="00922D8A" w:rsidP="000F3553">
      <w:pPr>
        <w:numPr>
          <w:ilvl w:val="0"/>
          <w:numId w:val="15"/>
        </w:numPr>
        <w:tabs>
          <w:tab w:val="clear" w:pos="720"/>
          <w:tab w:val="num" w:pos="561"/>
        </w:tabs>
        <w:ind w:left="561" w:hanging="561"/>
      </w:pPr>
      <w:r w:rsidRPr="008661CD">
        <w:t>sunkus viduriavimas (</w:t>
      </w:r>
      <w:r w:rsidRPr="008661CD">
        <w:rPr>
          <w:i/>
        </w:rPr>
        <w:t>pseudomembraninis kolitas</w:t>
      </w:r>
      <w:r w:rsidRPr="008661CD">
        <w:t>);</w:t>
      </w:r>
    </w:p>
    <w:p w14:paraId="42DD13E3" w14:textId="77777777" w:rsidR="00922D8A" w:rsidRPr="008661CD" w:rsidRDefault="00922D8A" w:rsidP="000F3553">
      <w:pPr>
        <w:numPr>
          <w:ilvl w:val="0"/>
          <w:numId w:val="15"/>
        </w:numPr>
        <w:tabs>
          <w:tab w:val="clear" w:pos="720"/>
          <w:tab w:val="num" w:pos="561"/>
        </w:tabs>
        <w:ind w:left="561" w:hanging="561"/>
      </w:pPr>
      <w:r w:rsidRPr="008661CD">
        <w:t>alerginės reakcijos;</w:t>
      </w:r>
    </w:p>
    <w:p w14:paraId="3650D50A" w14:textId="77777777" w:rsidR="00922D8A" w:rsidRPr="008661CD" w:rsidRDefault="00922D8A" w:rsidP="000F3553">
      <w:pPr>
        <w:numPr>
          <w:ilvl w:val="0"/>
          <w:numId w:val="15"/>
        </w:numPr>
        <w:tabs>
          <w:tab w:val="clear" w:pos="720"/>
          <w:tab w:val="num" w:pos="561"/>
        </w:tabs>
        <w:ind w:left="561" w:hanging="561"/>
      </w:pPr>
      <w:r w:rsidRPr="008661CD">
        <w:t>odos reakcijos (įskaitant sunkias);</w:t>
      </w:r>
    </w:p>
    <w:p w14:paraId="5609B7D9" w14:textId="77777777" w:rsidR="00922D8A" w:rsidRPr="008661CD" w:rsidRDefault="00922D8A" w:rsidP="000F3553">
      <w:pPr>
        <w:numPr>
          <w:ilvl w:val="0"/>
          <w:numId w:val="15"/>
        </w:numPr>
        <w:tabs>
          <w:tab w:val="clear" w:pos="720"/>
          <w:tab w:val="num" w:pos="561"/>
        </w:tabs>
        <w:ind w:left="561" w:hanging="561"/>
      </w:pPr>
      <w:r w:rsidRPr="008661CD">
        <w:t>kūno temperatūros padidėjimas (</w:t>
      </w:r>
      <w:r w:rsidRPr="008661CD">
        <w:rPr>
          <w:i/>
        </w:rPr>
        <w:t>karščiavimas</w:t>
      </w:r>
      <w:r w:rsidRPr="008661CD">
        <w:t>);</w:t>
      </w:r>
    </w:p>
    <w:p w14:paraId="4DDEEA28" w14:textId="77777777" w:rsidR="00922D8A" w:rsidRPr="008661CD" w:rsidRDefault="00922D8A" w:rsidP="000F3553">
      <w:pPr>
        <w:numPr>
          <w:ilvl w:val="0"/>
          <w:numId w:val="15"/>
        </w:numPr>
        <w:tabs>
          <w:tab w:val="clear" w:pos="720"/>
          <w:tab w:val="num" w:pos="561"/>
        </w:tabs>
        <w:ind w:left="561" w:hanging="561"/>
      </w:pPr>
      <w:r w:rsidRPr="008661CD">
        <w:t>akies baltymo ar odos pageltimas;</w:t>
      </w:r>
    </w:p>
    <w:p w14:paraId="7BC9D0B4" w14:textId="77777777" w:rsidR="00922D8A" w:rsidRPr="008661CD" w:rsidRDefault="00922D8A" w:rsidP="000F3553">
      <w:pPr>
        <w:numPr>
          <w:ilvl w:val="0"/>
          <w:numId w:val="15"/>
        </w:numPr>
        <w:tabs>
          <w:tab w:val="clear" w:pos="720"/>
          <w:tab w:val="num" w:pos="561"/>
        </w:tabs>
        <w:ind w:left="561" w:hanging="561"/>
      </w:pPr>
      <w:r w:rsidRPr="008661CD">
        <w:t>kepenų uždegimas (</w:t>
      </w:r>
      <w:r w:rsidRPr="008661CD">
        <w:rPr>
          <w:i/>
        </w:rPr>
        <w:t>hepatitas</w:t>
      </w:r>
      <w:r w:rsidRPr="008661CD">
        <w:t>).</w:t>
      </w:r>
    </w:p>
    <w:p w14:paraId="085870DF" w14:textId="77777777" w:rsidR="00922D8A" w:rsidRPr="008661CD" w:rsidRDefault="00922D8A" w:rsidP="008661CD">
      <w:pPr>
        <w:ind w:left="561"/>
      </w:pPr>
    </w:p>
    <w:p w14:paraId="43EEC8A5" w14:textId="77777777" w:rsidR="00922D8A" w:rsidRPr="008661CD" w:rsidRDefault="00922D8A" w:rsidP="008661CD">
      <w:pPr>
        <w:keepNext/>
        <w:autoSpaceDE w:val="0"/>
        <w:autoSpaceDN w:val="0"/>
        <w:adjustRightInd w:val="0"/>
      </w:pPr>
      <w:r w:rsidRPr="008661CD">
        <w:t>Šalutinis poveikis, kurį gali rodyti kraujo tyrimai:</w:t>
      </w:r>
    </w:p>
    <w:p w14:paraId="3A942D2C" w14:textId="77777777" w:rsidR="00922D8A" w:rsidRPr="008661CD" w:rsidRDefault="00922D8A" w:rsidP="008661CD">
      <w:pPr>
        <w:keepNext/>
        <w:autoSpaceDE w:val="0"/>
        <w:autoSpaceDN w:val="0"/>
        <w:adjustRightInd w:val="0"/>
      </w:pPr>
    </w:p>
    <w:p w14:paraId="6195B28B" w14:textId="77777777" w:rsidR="00922D8A" w:rsidRPr="008661CD" w:rsidRDefault="00922D8A" w:rsidP="000F3553">
      <w:pPr>
        <w:numPr>
          <w:ilvl w:val="0"/>
          <w:numId w:val="14"/>
        </w:numPr>
        <w:tabs>
          <w:tab w:val="clear" w:pos="720"/>
          <w:tab w:val="num" w:pos="561"/>
        </w:tabs>
        <w:autoSpaceDE w:val="0"/>
        <w:autoSpaceDN w:val="0"/>
        <w:adjustRightInd w:val="0"/>
        <w:ind w:left="714" w:hanging="714"/>
      </w:pPr>
      <w:r w:rsidRPr="008661CD">
        <w:t>pernelyg greitas raudonųjų kraujo ląstelių suirimas (</w:t>
      </w:r>
      <w:r w:rsidRPr="008661CD">
        <w:rPr>
          <w:i/>
        </w:rPr>
        <w:t>hemolizinė anemija</w:t>
      </w:r>
      <w:r w:rsidRPr="008661CD">
        <w:t>).</w:t>
      </w:r>
    </w:p>
    <w:p w14:paraId="46EF7C3A" w14:textId="77777777" w:rsidR="00922D8A" w:rsidRPr="008661CD" w:rsidRDefault="00922D8A" w:rsidP="008661CD">
      <w:pPr>
        <w:numPr>
          <w:ilvl w:val="12"/>
          <w:numId w:val="0"/>
        </w:numPr>
        <w:ind w:right="-2"/>
      </w:pPr>
    </w:p>
    <w:p w14:paraId="6C7D8EF7" w14:textId="77777777" w:rsidR="00922D8A" w:rsidRPr="008661CD" w:rsidRDefault="00922D8A" w:rsidP="008661CD">
      <w:pPr>
        <w:rPr>
          <w:b/>
        </w:rPr>
      </w:pPr>
      <w:r w:rsidRPr="008661CD">
        <w:rPr>
          <w:b/>
        </w:rPr>
        <w:t>Pranešimas apie šalutinį poveikį</w:t>
      </w:r>
    </w:p>
    <w:p w14:paraId="27E28807" w14:textId="77777777" w:rsidR="00922D8A" w:rsidRPr="008661CD" w:rsidRDefault="00922D8A" w:rsidP="008661CD">
      <w:pPr>
        <w:ind w:right="-449"/>
      </w:pPr>
      <w:r w:rsidRPr="008661CD">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0F3553">
          <w:rPr>
            <w:rStyle w:val="Hipersaitas"/>
            <w:rFonts w:eastAsia="SimSun"/>
          </w:rPr>
          <w:t>www.vvkt.lt</w:t>
        </w:r>
      </w:hyperlink>
      <w:r w:rsidRPr="008661CD">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0F3553">
          <w:rPr>
            <w:rStyle w:val="Hipersaitas"/>
            <w:rFonts w:eastAsia="SimSun"/>
          </w:rPr>
          <w:t>NepageidaujamaR@vvkt.lt</w:t>
        </w:r>
      </w:hyperlink>
      <w:r w:rsidRPr="008661CD">
        <w:t xml:space="preserve">, taip pat per Valstybinės vaistų kontrolės tarnybos prie Lietuvos Respublikos sveikatos apsaugos ministerijos interneto svetainę (adresu </w:t>
      </w:r>
      <w:hyperlink r:id="rId12" w:history="1">
        <w:r w:rsidRPr="000F3553">
          <w:rPr>
            <w:rStyle w:val="Hipersaitas"/>
            <w:rFonts w:eastAsia="SimSun"/>
          </w:rPr>
          <w:t>http://www.vvkt.lt</w:t>
        </w:r>
      </w:hyperlink>
      <w:r w:rsidRPr="008661CD">
        <w:t>). Pranešdami apie šalutinį poveikį galite mums padėti gauti daugiau informacijos apie šio vaisto saugumą.</w:t>
      </w:r>
    </w:p>
    <w:p w14:paraId="38893668" w14:textId="77777777" w:rsidR="00922D8A" w:rsidRPr="008661CD" w:rsidRDefault="00922D8A" w:rsidP="008661CD">
      <w:pPr>
        <w:ind w:right="-449"/>
      </w:pPr>
    </w:p>
    <w:p w14:paraId="02F900A9" w14:textId="77777777" w:rsidR="00922D8A" w:rsidRPr="008661CD" w:rsidRDefault="00922D8A" w:rsidP="008661CD">
      <w:pPr>
        <w:numPr>
          <w:ilvl w:val="12"/>
          <w:numId w:val="0"/>
        </w:numPr>
        <w:ind w:right="-2"/>
      </w:pPr>
    </w:p>
    <w:p w14:paraId="259B14CF" w14:textId="77777777" w:rsidR="00922D8A" w:rsidRPr="008661CD" w:rsidRDefault="00922D8A" w:rsidP="000F3553">
      <w:pPr>
        <w:numPr>
          <w:ilvl w:val="12"/>
          <w:numId w:val="0"/>
        </w:numPr>
        <w:ind w:left="567" w:right="-2" w:hanging="567"/>
      </w:pPr>
      <w:r w:rsidRPr="008661CD">
        <w:rPr>
          <w:b/>
        </w:rPr>
        <w:t>5.</w:t>
      </w:r>
      <w:r w:rsidRPr="008661CD">
        <w:rPr>
          <w:b/>
        </w:rPr>
        <w:tab/>
        <w:t>Kaip laikyti Zinnat</w:t>
      </w:r>
    </w:p>
    <w:p w14:paraId="497A12A2" w14:textId="77777777" w:rsidR="00922D8A" w:rsidRPr="008661CD" w:rsidRDefault="00922D8A" w:rsidP="008661CD"/>
    <w:p w14:paraId="6B299BA1" w14:textId="77777777" w:rsidR="00922D8A" w:rsidRPr="008661CD" w:rsidRDefault="00922D8A" w:rsidP="008661CD">
      <w:pPr>
        <w:numPr>
          <w:ilvl w:val="12"/>
          <w:numId w:val="0"/>
        </w:numPr>
        <w:ind w:right="-2"/>
      </w:pPr>
      <w:r w:rsidRPr="008661CD">
        <w:t>Šį vaistą laikykite vaikams nepastebimoje ir nepasiekiamoje vietoje.</w:t>
      </w:r>
    </w:p>
    <w:p w14:paraId="364453F8" w14:textId="77777777" w:rsidR="00922D8A" w:rsidRPr="008661CD" w:rsidRDefault="00922D8A" w:rsidP="008661CD">
      <w:pPr>
        <w:numPr>
          <w:ilvl w:val="12"/>
          <w:numId w:val="0"/>
        </w:numPr>
        <w:ind w:right="-2"/>
      </w:pPr>
    </w:p>
    <w:p w14:paraId="76561AE5" w14:textId="77777777" w:rsidR="00922D8A" w:rsidRPr="008661CD" w:rsidRDefault="00922D8A" w:rsidP="008661CD">
      <w:bookmarkStart w:id="18" w:name="_Hlk536117555"/>
      <w:bookmarkStart w:id="19" w:name="_Hlk517877045"/>
      <w:r w:rsidRPr="008661CD">
        <w:t>Laikyti gamintojo pakuotėje ne aukštesnėje kaip 30 ºC temperatūroje.</w:t>
      </w:r>
    </w:p>
    <w:bookmarkEnd w:id="18"/>
    <w:p w14:paraId="6052C02C" w14:textId="77777777" w:rsidR="00922D8A" w:rsidRPr="008661CD" w:rsidRDefault="00922D8A" w:rsidP="008661CD">
      <w:pPr>
        <w:numPr>
          <w:ilvl w:val="12"/>
          <w:numId w:val="0"/>
        </w:numPr>
        <w:ind w:right="-2"/>
      </w:pPr>
    </w:p>
    <w:p w14:paraId="61A330EC" w14:textId="77777777" w:rsidR="00922D8A" w:rsidRPr="000F3553" w:rsidRDefault="00922D8A" w:rsidP="000F3553">
      <w:pPr>
        <w:pStyle w:val="Pagrindinistekstas"/>
      </w:pPr>
      <w:r w:rsidRPr="000F3553">
        <w:rPr>
          <w:i w:val="0"/>
          <w:color w:val="auto"/>
          <w:lang w:val="lt-LT"/>
        </w:rPr>
        <w:t>Jei tabletės yra susmulkintos arba yra kitų matomų sugedimo požymių, Zinnat vartoti negalima.</w:t>
      </w:r>
    </w:p>
    <w:p w14:paraId="4C98BEE0" w14:textId="77777777" w:rsidR="00922D8A" w:rsidRPr="008661CD" w:rsidRDefault="00922D8A" w:rsidP="000F3553">
      <w:pPr>
        <w:pStyle w:val="Pagrindinistekstas"/>
      </w:pPr>
    </w:p>
    <w:bookmarkEnd w:id="19"/>
    <w:p w14:paraId="1ADF7BDB" w14:textId="77777777" w:rsidR="00922D8A" w:rsidRPr="000F3553" w:rsidRDefault="00922D8A" w:rsidP="000F3553">
      <w:pPr>
        <w:pStyle w:val="Pagrindinistekstas"/>
      </w:pPr>
      <w:r w:rsidRPr="000F3553">
        <w:rPr>
          <w:i w:val="0"/>
          <w:color w:val="auto"/>
          <w:lang w:val="lt-LT"/>
        </w:rPr>
        <w:t>Ant dėžutės po ,,Tinka iki“ arba „</w:t>
      </w:r>
      <w:r w:rsidRPr="000F3553">
        <w:rPr>
          <w:color w:val="auto"/>
          <w:lang w:val="lt-LT"/>
        </w:rPr>
        <w:t>EXP</w:t>
      </w:r>
      <w:r w:rsidRPr="000F3553">
        <w:rPr>
          <w:i w:val="0"/>
          <w:color w:val="auto"/>
          <w:lang w:val="lt-LT"/>
        </w:rPr>
        <w:t>“ ir lizdinės plokštelės po ,,</w:t>
      </w:r>
      <w:r w:rsidRPr="000F3553">
        <w:rPr>
          <w:color w:val="auto"/>
          <w:lang w:val="lt-LT"/>
        </w:rPr>
        <w:t>EXP</w:t>
      </w:r>
      <w:r w:rsidRPr="000F3553">
        <w:rPr>
          <w:i w:val="0"/>
          <w:color w:val="auto"/>
          <w:lang w:val="lt-LT"/>
        </w:rPr>
        <w:t>“ nurodytam tinkamumo laikui pasibaigus, šio vaisto vartoti negalima. Vaistas tinkamas vartoti iki paskutinės nurodyto mėnesio dienos.</w:t>
      </w:r>
    </w:p>
    <w:p w14:paraId="0A9F4A4B" w14:textId="77777777" w:rsidR="00922D8A" w:rsidRPr="008661CD" w:rsidRDefault="00922D8A" w:rsidP="008661CD">
      <w:pPr>
        <w:numPr>
          <w:ilvl w:val="12"/>
          <w:numId w:val="0"/>
        </w:numPr>
        <w:ind w:right="-2"/>
      </w:pPr>
    </w:p>
    <w:p w14:paraId="1BF1C889" w14:textId="77777777" w:rsidR="00922D8A" w:rsidRPr="008661CD" w:rsidRDefault="00922D8A" w:rsidP="008661CD">
      <w:pPr>
        <w:numPr>
          <w:ilvl w:val="12"/>
          <w:numId w:val="0"/>
        </w:numPr>
        <w:ind w:right="-2"/>
      </w:pPr>
      <w:r w:rsidRPr="008661CD">
        <w:t>Vaistų negalima išmesti į kanalizaciją arba su buitinėmis</w:t>
      </w:r>
      <w:r w:rsidRPr="008661CD">
        <w:rPr>
          <w:color w:val="993366"/>
        </w:rPr>
        <w:t xml:space="preserve"> </w:t>
      </w:r>
      <w:r w:rsidRPr="008661CD">
        <w:t>atliekomis. Kaip išmesti nereikalingus vaistus, klauskite vaistininko. Šios priemonės padės apsaugoti aplinką.</w:t>
      </w:r>
    </w:p>
    <w:p w14:paraId="25A6E678" w14:textId="77777777" w:rsidR="00922D8A" w:rsidRPr="008661CD" w:rsidRDefault="00922D8A" w:rsidP="008661CD">
      <w:pPr>
        <w:numPr>
          <w:ilvl w:val="12"/>
          <w:numId w:val="0"/>
        </w:numPr>
        <w:ind w:right="-2"/>
      </w:pPr>
    </w:p>
    <w:p w14:paraId="0EE45400" w14:textId="77777777" w:rsidR="00922D8A" w:rsidRPr="008661CD" w:rsidRDefault="00922D8A" w:rsidP="008661CD">
      <w:pPr>
        <w:numPr>
          <w:ilvl w:val="12"/>
          <w:numId w:val="0"/>
        </w:numPr>
        <w:ind w:right="-2"/>
      </w:pPr>
    </w:p>
    <w:p w14:paraId="687745A3" w14:textId="77777777" w:rsidR="00922D8A" w:rsidRPr="008661CD" w:rsidRDefault="00922D8A" w:rsidP="000F3553">
      <w:pPr>
        <w:numPr>
          <w:ilvl w:val="12"/>
          <w:numId w:val="0"/>
        </w:numPr>
        <w:ind w:left="540" w:right="-2" w:hanging="540"/>
        <w:rPr>
          <w:b/>
        </w:rPr>
      </w:pPr>
      <w:r w:rsidRPr="008661CD">
        <w:rPr>
          <w:b/>
        </w:rPr>
        <w:t>6.</w:t>
      </w:r>
      <w:r w:rsidRPr="008661CD">
        <w:rPr>
          <w:b/>
        </w:rPr>
        <w:tab/>
        <w:t>Pakuotės turinys ir kita informacija</w:t>
      </w:r>
    </w:p>
    <w:p w14:paraId="42B75C8D" w14:textId="77777777" w:rsidR="00922D8A" w:rsidRPr="008661CD" w:rsidRDefault="00922D8A" w:rsidP="008661CD">
      <w:pPr>
        <w:numPr>
          <w:ilvl w:val="12"/>
          <w:numId w:val="0"/>
        </w:numPr>
        <w:ind w:right="-2"/>
      </w:pPr>
    </w:p>
    <w:p w14:paraId="0F665B00" w14:textId="77777777" w:rsidR="00922D8A" w:rsidRPr="008661CD" w:rsidRDefault="00922D8A" w:rsidP="008661CD">
      <w:pPr>
        <w:numPr>
          <w:ilvl w:val="12"/>
          <w:numId w:val="0"/>
        </w:numPr>
        <w:ind w:right="-2"/>
        <w:rPr>
          <w:b/>
        </w:rPr>
      </w:pPr>
      <w:r w:rsidRPr="008661CD">
        <w:rPr>
          <w:b/>
        </w:rPr>
        <w:t>Zinnat sudėtis</w:t>
      </w:r>
    </w:p>
    <w:p w14:paraId="64BDD74E" w14:textId="77777777" w:rsidR="00922D8A" w:rsidRPr="008661CD" w:rsidRDefault="00922D8A" w:rsidP="008661CD">
      <w:pPr>
        <w:numPr>
          <w:ilvl w:val="12"/>
          <w:numId w:val="0"/>
        </w:numPr>
        <w:ind w:right="-2"/>
        <w:rPr>
          <w:b/>
        </w:rPr>
      </w:pPr>
    </w:p>
    <w:p w14:paraId="61F9B00A" w14:textId="77777777" w:rsidR="00922D8A" w:rsidRPr="008661CD" w:rsidRDefault="00922D8A" w:rsidP="008661CD">
      <w:pPr>
        <w:numPr>
          <w:ilvl w:val="12"/>
          <w:numId w:val="0"/>
        </w:numPr>
        <w:ind w:right="-2"/>
        <w:rPr>
          <w:u w:val="single"/>
        </w:rPr>
      </w:pPr>
      <w:r w:rsidRPr="008661CD">
        <w:rPr>
          <w:u w:val="single"/>
        </w:rPr>
        <w:t xml:space="preserve">Veiklioji medžiaga </w:t>
      </w:r>
    </w:p>
    <w:p w14:paraId="42E34E44" w14:textId="77777777" w:rsidR="00922D8A" w:rsidRPr="008661CD" w:rsidRDefault="00922D8A" w:rsidP="008661CD">
      <w:pPr>
        <w:numPr>
          <w:ilvl w:val="12"/>
          <w:numId w:val="0"/>
        </w:numPr>
        <w:ind w:right="-2"/>
        <w:rPr>
          <w:u w:val="single"/>
        </w:rPr>
      </w:pPr>
    </w:p>
    <w:p w14:paraId="253E705B" w14:textId="77777777" w:rsidR="00922D8A" w:rsidRPr="008661CD" w:rsidRDefault="00922D8A" w:rsidP="008661CD">
      <w:r w:rsidRPr="008661CD">
        <w:t>Vienoje tabletėje yra 125 mg cefuroksimo (cefuroksimo aksetilo pavidalu).</w:t>
      </w:r>
    </w:p>
    <w:p w14:paraId="67690AE1" w14:textId="77777777" w:rsidR="00922D8A" w:rsidRPr="008661CD" w:rsidRDefault="00922D8A" w:rsidP="008661CD">
      <w:pPr>
        <w:rPr>
          <w:highlight w:val="lightGray"/>
        </w:rPr>
      </w:pPr>
      <w:r w:rsidRPr="008661CD">
        <w:rPr>
          <w:highlight w:val="lightGray"/>
        </w:rPr>
        <w:t>Vienoje tabletėje yra 250 mg cefuroksimo (cefuroksimo aksetilo pavidalu).</w:t>
      </w:r>
    </w:p>
    <w:p w14:paraId="43D33FF1" w14:textId="77777777" w:rsidR="00922D8A" w:rsidRPr="008661CD" w:rsidRDefault="00922D8A" w:rsidP="008661CD">
      <w:r w:rsidRPr="008661CD">
        <w:rPr>
          <w:highlight w:val="lightGray"/>
        </w:rPr>
        <w:t>Vienoje tabletėje yra 500 mg cefuroksimo (cefuroksimo aksetilo pavidalu).</w:t>
      </w:r>
    </w:p>
    <w:p w14:paraId="1A48D11A" w14:textId="77777777" w:rsidR="00922D8A" w:rsidRPr="008661CD" w:rsidRDefault="00922D8A" w:rsidP="008661CD"/>
    <w:p w14:paraId="768A9009" w14:textId="77777777" w:rsidR="00922D8A" w:rsidRPr="008661CD" w:rsidRDefault="00922D8A" w:rsidP="008661CD">
      <w:pPr>
        <w:keepNext/>
        <w:ind w:left="567" w:hanging="567"/>
        <w:rPr>
          <w:b/>
          <w:u w:val="single"/>
        </w:rPr>
      </w:pPr>
      <w:r w:rsidRPr="008661CD">
        <w:rPr>
          <w:u w:val="single"/>
        </w:rPr>
        <w:t>Pagalbinės medžiagos yra</w:t>
      </w:r>
    </w:p>
    <w:p w14:paraId="3CC48EF3" w14:textId="77777777" w:rsidR="00922D8A" w:rsidRPr="008661CD" w:rsidRDefault="00922D8A" w:rsidP="008661CD">
      <w:pPr>
        <w:keepNext/>
      </w:pPr>
    </w:p>
    <w:p w14:paraId="5BACC67C" w14:textId="77777777" w:rsidR="00922D8A" w:rsidRPr="008661CD" w:rsidRDefault="00922D8A" w:rsidP="008661CD">
      <w:bookmarkStart w:id="20" w:name="_Hlk536117621"/>
      <w:r w:rsidRPr="008661CD">
        <w:t xml:space="preserve">Mikrokristalinė celiuliozė, kroskarmeliozės natrio A tipo druska, natrio laurilsulfatas, hidrintas augalinis aliejus, bevandenis koloidinis silicio dioksidas, hipromeliozė, propilenglikolis, metilparahidroksibenzoatas (E218), propilparahidroksibenzoatas (E216), baltasis </w:t>
      </w:r>
      <w:r w:rsidRPr="008661CD">
        <w:rPr>
          <w:i/>
        </w:rPr>
        <w:t>Opaspray</w:t>
      </w:r>
      <w:r w:rsidRPr="008661CD">
        <w:t xml:space="preserve"> M–1-7120J [sudėtyje yra titano dioksido (E171) ir natrio benzoato (E211)].</w:t>
      </w:r>
    </w:p>
    <w:bookmarkEnd w:id="20"/>
    <w:p w14:paraId="0E476475" w14:textId="77777777" w:rsidR="00922D8A" w:rsidRPr="008661CD" w:rsidRDefault="00922D8A" w:rsidP="008661CD">
      <w:pPr>
        <w:ind w:right="-2"/>
      </w:pPr>
    </w:p>
    <w:p w14:paraId="63E59513" w14:textId="77777777" w:rsidR="00922D8A" w:rsidRPr="008661CD" w:rsidRDefault="00922D8A" w:rsidP="008661CD">
      <w:pPr>
        <w:keepNext/>
        <w:tabs>
          <w:tab w:val="left" w:pos="0"/>
        </w:tabs>
        <w:outlineLvl w:val="0"/>
        <w:rPr>
          <w:b/>
        </w:rPr>
      </w:pPr>
      <w:r w:rsidRPr="008661CD">
        <w:rPr>
          <w:b/>
        </w:rPr>
        <w:t>Zinnat išvaizda ir kiekis pakuotėje</w:t>
      </w:r>
    </w:p>
    <w:p w14:paraId="7994D90F" w14:textId="77777777" w:rsidR="00922D8A" w:rsidRPr="008661CD" w:rsidRDefault="00922D8A" w:rsidP="008661CD"/>
    <w:p w14:paraId="5E580883" w14:textId="77777777" w:rsidR="00922D8A" w:rsidRPr="008661CD" w:rsidRDefault="00922D8A" w:rsidP="008661CD">
      <w:bookmarkStart w:id="21" w:name="_Hlk517877812"/>
      <w:r w:rsidRPr="008661CD">
        <w:t>Zinnat 125 mg tabletės yra baltos spalvos, dengtos plėvele, kapsulės formos tabletės, kurių viena pusė yra lygi, o kitoje tabletės pusėje yra įspaustas užrašas „GX ES5“. Jos tiekiamos aliuminio folijos lizdinių plokštelių, supakuotų į kartono dėžutes, pakuotėse. Kiekvienoje pakuotėje yra 10 arba 14 tablečių.</w:t>
      </w:r>
    </w:p>
    <w:p w14:paraId="724B715D" w14:textId="77777777" w:rsidR="00922D8A" w:rsidRPr="008661CD" w:rsidRDefault="00922D8A" w:rsidP="008661CD">
      <w:r w:rsidRPr="008661CD">
        <w:t>Zinnat 250 mg tabletės yra baltos spalvos, dengtos plėvele, kapsulės formos tabletės, kurių viena pusė yra lygi, o kitoje tabletės pusėje yra įspaustas užrašas „GX ES7“. Jos tiekiamos aliuminio folijos lizdinių plokštelių, supakuotų į kartono dėžutes, pakuotėse. Kiekvienoje pakuotėje yra 10 arba 14 tablečių.</w:t>
      </w:r>
    </w:p>
    <w:p w14:paraId="5348EC94" w14:textId="77777777" w:rsidR="00922D8A" w:rsidRPr="008661CD" w:rsidRDefault="00922D8A" w:rsidP="008661CD">
      <w:r w:rsidRPr="008661CD">
        <w:t>Zinnat 500 mg tabletės yra baltos spalvos, dengtos plėvele, kapsulės formos tabletės, kurių viena pusė yra lygi, o kitoje tabletės pusėje yra įspaustas užrašas „GX EG2“. Jos tiekiamos aliuminio folijos lizdinių plokštelių, supakuotų kartono dėžutėje, pakuotėse. Kiekvienoje pakuotėje yra 10 arba 14 tablečių.</w:t>
      </w:r>
    </w:p>
    <w:bookmarkEnd w:id="21"/>
    <w:p w14:paraId="2FA8C3E8" w14:textId="77777777" w:rsidR="00922D8A" w:rsidRPr="008661CD" w:rsidRDefault="00922D8A" w:rsidP="008661CD">
      <w:pPr>
        <w:numPr>
          <w:ilvl w:val="12"/>
          <w:numId w:val="0"/>
        </w:numPr>
        <w:ind w:right="-2"/>
      </w:pPr>
    </w:p>
    <w:p w14:paraId="78706276" w14:textId="77777777" w:rsidR="00922D8A" w:rsidRPr="008661CD" w:rsidRDefault="00922D8A" w:rsidP="008661CD">
      <w:pPr>
        <w:numPr>
          <w:ilvl w:val="12"/>
          <w:numId w:val="0"/>
        </w:numPr>
        <w:ind w:right="-2"/>
        <w:rPr>
          <w:b/>
        </w:rPr>
      </w:pPr>
      <w:r w:rsidRPr="008661CD">
        <w:rPr>
          <w:b/>
        </w:rPr>
        <w:t>Registruotojas ir gamintojas</w:t>
      </w:r>
    </w:p>
    <w:p w14:paraId="0A7E3824" w14:textId="77777777" w:rsidR="00922D8A" w:rsidRPr="008661CD" w:rsidRDefault="00922D8A" w:rsidP="008661CD">
      <w:pPr>
        <w:numPr>
          <w:ilvl w:val="12"/>
          <w:numId w:val="0"/>
        </w:numPr>
        <w:ind w:right="-2"/>
      </w:pPr>
    </w:p>
    <w:p w14:paraId="273C6684" w14:textId="77777777" w:rsidR="00922D8A" w:rsidRPr="008661CD" w:rsidRDefault="00922D8A" w:rsidP="008661CD">
      <w:pPr>
        <w:rPr>
          <w:u w:val="single"/>
        </w:rPr>
      </w:pPr>
      <w:r w:rsidRPr="008661CD">
        <w:rPr>
          <w:u w:val="single"/>
        </w:rPr>
        <w:t>Registruotojas</w:t>
      </w:r>
    </w:p>
    <w:p w14:paraId="53359A96" w14:textId="77777777" w:rsidR="00922D8A" w:rsidRPr="008661CD" w:rsidRDefault="00922D8A" w:rsidP="008661CD">
      <w:pPr>
        <w:tabs>
          <w:tab w:val="left" w:pos="567"/>
        </w:tabs>
      </w:pPr>
      <w:r w:rsidRPr="008661CD">
        <w:t>UAB „GlaxoSmithKline Lietuva“</w:t>
      </w:r>
    </w:p>
    <w:p w14:paraId="4A785504" w14:textId="77777777" w:rsidR="00922D8A" w:rsidRPr="008661CD" w:rsidRDefault="00922D8A" w:rsidP="008661CD">
      <w:pPr>
        <w:autoSpaceDE w:val="0"/>
        <w:autoSpaceDN w:val="0"/>
        <w:adjustRightInd w:val="0"/>
      </w:pPr>
      <w:r w:rsidRPr="008661CD">
        <w:t>Ukmergės g. 120</w:t>
      </w:r>
    </w:p>
    <w:p w14:paraId="05626335" w14:textId="77777777" w:rsidR="00922D8A" w:rsidRPr="008661CD" w:rsidRDefault="00922D8A" w:rsidP="008661CD">
      <w:pPr>
        <w:autoSpaceDE w:val="0"/>
        <w:autoSpaceDN w:val="0"/>
        <w:adjustRightInd w:val="0"/>
      </w:pPr>
      <w:r w:rsidRPr="008661CD">
        <w:t>LT-08105 Vilnius</w:t>
      </w:r>
    </w:p>
    <w:p w14:paraId="2A84992F" w14:textId="77777777" w:rsidR="00922D8A" w:rsidRPr="008661CD" w:rsidRDefault="00922D8A" w:rsidP="008661CD">
      <w:r w:rsidRPr="008661CD">
        <w:t>Lietuva</w:t>
      </w:r>
    </w:p>
    <w:p w14:paraId="3BF56B01" w14:textId="77777777" w:rsidR="00922D8A" w:rsidRPr="008661CD" w:rsidRDefault="00922D8A" w:rsidP="008661CD">
      <w:pPr>
        <w:rPr>
          <w:u w:val="single"/>
        </w:rPr>
      </w:pPr>
    </w:p>
    <w:p w14:paraId="5116D16A" w14:textId="77777777" w:rsidR="00922D8A" w:rsidRPr="008661CD" w:rsidRDefault="00922D8A" w:rsidP="008661CD">
      <w:pPr>
        <w:rPr>
          <w:u w:val="single"/>
        </w:rPr>
      </w:pPr>
      <w:r w:rsidRPr="008661CD">
        <w:rPr>
          <w:u w:val="single"/>
        </w:rPr>
        <w:t>Gamintojas</w:t>
      </w:r>
    </w:p>
    <w:p w14:paraId="736CB75B" w14:textId="77777777" w:rsidR="00922D8A" w:rsidRPr="008661CD" w:rsidRDefault="00922D8A" w:rsidP="008661CD">
      <w:pPr>
        <w:autoSpaceDE w:val="0"/>
        <w:autoSpaceDN w:val="0"/>
        <w:adjustRightInd w:val="0"/>
      </w:pPr>
      <w:r w:rsidRPr="008661CD">
        <w:t>Glaxo Operations UK Ltd</w:t>
      </w:r>
    </w:p>
    <w:p w14:paraId="2CC314D2" w14:textId="77777777" w:rsidR="00922D8A" w:rsidRPr="008661CD" w:rsidRDefault="00922D8A" w:rsidP="008661CD">
      <w:pPr>
        <w:autoSpaceDE w:val="0"/>
        <w:autoSpaceDN w:val="0"/>
        <w:adjustRightInd w:val="0"/>
      </w:pPr>
      <w:r w:rsidRPr="008661CD">
        <w:t>(Trading as Glaxo Wellcome Operations)</w:t>
      </w:r>
    </w:p>
    <w:p w14:paraId="53029261" w14:textId="77777777" w:rsidR="00922D8A" w:rsidRPr="008661CD" w:rsidRDefault="00922D8A" w:rsidP="008661CD">
      <w:pPr>
        <w:autoSpaceDE w:val="0"/>
        <w:autoSpaceDN w:val="0"/>
        <w:adjustRightInd w:val="0"/>
      </w:pPr>
      <w:r w:rsidRPr="008661CD">
        <w:t>Harmire Road</w:t>
      </w:r>
    </w:p>
    <w:p w14:paraId="24B68821" w14:textId="77777777" w:rsidR="00922D8A" w:rsidRPr="008661CD" w:rsidRDefault="00922D8A" w:rsidP="008661CD">
      <w:pPr>
        <w:autoSpaceDE w:val="0"/>
        <w:autoSpaceDN w:val="0"/>
        <w:adjustRightInd w:val="0"/>
      </w:pPr>
      <w:r w:rsidRPr="008661CD">
        <w:t>Barnard Castle</w:t>
      </w:r>
    </w:p>
    <w:p w14:paraId="09911B41" w14:textId="77777777" w:rsidR="00922D8A" w:rsidRPr="008661CD" w:rsidRDefault="00922D8A" w:rsidP="008661CD">
      <w:pPr>
        <w:autoSpaceDE w:val="0"/>
        <w:autoSpaceDN w:val="0"/>
        <w:adjustRightInd w:val="0"/>
      </w:pPr>
      <w:r w:rsidRPr="008661CD">
        <w:t>Durham</w:t>
      </w:r>
    </w:p>
    <w:p w14:paraId="1ECF481C" w14:textId="77777777" w:rsidR="00922D8A" w:rsidRPr="008661CD" w:rsidRDefault="00922D8A" w:rsidP="008661CD">
      <w:pPr>
        <w:autoSpaceDE w:val="0"/>
        <w:autoSpaceDN w:val="0"/>
        <w:adjustRightInd w:val="0"/>
      </w:pPr>
      <w:r w:rsidRPr="008661CD">
        <w:t>DL12 8DT</w:t>
      </w:r>
    </w:p>
    <w:p w14:paraId="110E1631" w14:textId="77777777" w:rsidR="00922D8A" w:rsidRPr="008661CD" w:rsidRDefault="00922D8A" w:rsidP="008661CD">
      <w:pPr>
        <w:autoSpaceDE w:val="0"/>
        <w:autoSpaceDN w:val="0"/>
        <w:adjustRightInd w:val="0"/>
      </w:pPr>
      <w:r w:rsidRPr="008661CD">
        <w:t>Jungtinė Karalystė</w:t>
      </w:r>
    </w:p>
    <w:p w14:paraId="64761C3B" w14:textId="77777777" w:rsidR="002D0BEA" w:rsidRPr="008661CD" w:rsidRDefault="002D0BEA" w:rsidP="000F3553">
      <w:pPr>
        <w:autoSpaceDE w:val="0"/>
        <w:autoSpaceDN w:val="0"/>
        <w:adjustRightInd w:val="0"/>
      </w:pPr>
    </w:p>
    <w:p w14:paraId="2225F9BF" w14:textId="77777777" w:rsidR="002D0BEA" w:rsidRDefault="002D0BEA" w:rsidP="00922D8A">
      <w:pPr>
        <w:autoSpaceDE w:val="0"/>
        <w:autoSpaceDN w:val="0"/>
        <w:adjustRightInd w:val="0"/>
        <w:rPr>
          <w:szCs w:val="22"/>
        </w:rPr>
      </w:pPr>
      <w:r>
        <w:rPr>
          <w:szCs w:val="22"/>
        </w:rPr>
        <w:t>arba</w:t>
      </w:r>
    </w:p>
    <w:p w14:paraId="25EAE6F6" w14:textId="77777777" w:rsidR="002D0BEA" w:rsidRDefault="002D0BEA" w:rsidP="00922D8A">
      <w:pPr>
        <w:autoSpaceDE w:val="0"/>
        <w:autoSpaceDN w:val="0"/>
        <w:adjustRightInd w:val="0"/>
        <w:rPr>
          <w:szCs w:val="22"/>
        </w:rPr>
      </w:pPr>
    </w:p>
    <w:p w14:paraId="541DE0BA" w14:textId="33D3493E" w:rsidR="00CD0ED2" w:rsidRPr="00242FF6" w:rsidRDefault="00CD0ED2" w:rsidP="00CD0ED2">
      <w:pPr>
        <w:autoSpaceDE w:val="0"/>
        <w:autoSpaceDN w:val="0"/>
        <w:adjustRightInd w:val="0"/>
        <w:rPr>
          <w:rFonts w:eastAsia="Calibri"/>
        </w:rPr>
      </w:pPr>
      <w:r w:rsidRPr="00242FF6">
        <w:rPr>
          <w:rFonts w:eastAsia="Calibri"/>
        </w:rPr>
        <w:t>GlaxoSmithKline Trading Services Limited</w:t>
      </w:r>
    </w:p>
    <w:p w14:paraId="19431537" w14:textId="77777777" w:rsidR="00CD0ED2" w:rsidRPr="00242FF6" w:rsidRDefault="00CD0ED2" w:rsidP="00CD0ED2">
      <w:pPr>
        <w:autoSpaceDE w:val="0"/>
        <w:autoSpaceDN w:val="0"/>
        <w:adjustRightInd w:val="0"/>
        <w:rPr>
          <w:rFonts w:eastAsia="Calibri"/>
        </w:rPr>
      </w:pPr>
      <w:r w:rsidRPr="00242FF6">
        <w:rPr>
          <w:rFonts w:eastAsia="Calibri"/>
        </w:rPr>
        <w:t>12 Riverwalk</w:t>
      </w:r>
    </w:p>
    <w:p w14:paraId="3D91AA0F" w14:textId="77777777" w:rsidR="00CD0ED2" w:rsidRPr="00242FF6" w:rsidRDefault="00CD0ED2" w:rsidP="00CD0ED2">
      <w:pPr>
        <w:autoSpaceDE w:val="0"/>
        <w:autoSpaceDN w:val="0"/>
        <w:adjustRightInd w:val="0"/>
        <w:rPr>
          <w:rFonts w:eastAsia="Calibri"/>
        </w:rPr>
      </w:pPr>
      <w:r w:rsidRPr="00242FF6">
        <w:rPr>
          <w:rFonts w:eastAsia="Calibri"/>
        </w:rPr>
        <w:t>Citywest Business Campus</w:t>
      </w:r>
    </w:p>
    <w:p w14:paraId="1835DB71" w14:textId="77777777" w:rsidR="00CD0ED2" w:rsidRPr="00242FF6" w:rsidRDefault="00CD0ED2" w:rsidP="00CD0ED2">
      <w:pPr>
        <w:autoSpaceDE w:val="0"/>
        <w:autoSpaceDN w:val="0"/>
        <w:adjustRightInd w:val="0"/>
        <w:rPr>
          <w:rFonts w:eastAsia="Calibri"/>
        </w:rPr>
      </w:pPr>
      <w:r w:rsidRPr="00242FF6">
        <w:rPr>
          <w:rFonts w:eastAsia="Calibri"/>
        </w:rPr>
        <w:t>Dublin 24</w:t>
      </w:r>
    </w:p>
    <w:p w14:paraId="6530374B" w14:textId="77777777" w:rsidR="00CD0ED2" w:rsidRPr="00242FF6" w:rsidRDefault="00CD0ED2" w:rsidP="00CD0ED2">
      <w:pPr>
        <w:autoSpaceDE w:val="0"/>
        <w:autoSpaceDN w:val="0"/>
        <w:adjustRightInd w:val="0"/>
        <w:rPr>
          <w:rFonts w:eastAsia="Calibri"/>
        </w:rPr>
      </w:pPr>
      <w:r w:rsidRPr="00242FF6">
        <w:rPr>
          <w:rFonts w:eastAsia="Calibri"/>
        </w:rPr>
        <w:t>D24 YK11</w:t>
      </w:r>
    </w:p>
    <w:p w14:paraId="26DD12C8" w14:textId="2EFD15AB" w:rsidR="00CD0ED2" w:rsidRPr="002E318C" w:rsidRDefault="00CD0ED2" w:rsidP="00CD0ED2">
      <w:pPr>
        <w:autoSpaceDE w:val="0"/>
        <w:autoSpaceDN w:val="0"/>
        <w:adjustRightInd w:val="0"/>
        <w:rPr>
          <w:szCs w:val="22"/>
        </w:rPr>
      </w:pPr>
      <w:r>
        <w:rPr>
          <w:rFonts w:eastAsia="Calibri"/>
        </w:rPr>
        <w:t>Airija</w:t>
      </w:r>
    </w:p>
    <w:p w14:paraId="1A9E5CBF" w14:textId="77777777" w:rsidR="00922D8A" w:rsidRPr="00C510EF" w:rsidRDefault="00922D8A" w:rsidP="00922D8A">
      <w:pPr>
        <w:numPr>
          <w:ilvl w:val="12"/>
          <w:numId w:val="0"/>
        </w:numPr>
        <w:ind w:right="-2"/>
        <w:rPr>
          <w:szCs w:val="22"/>
        </w:rPr>
      </w:pPr>
    </w:p>
    <w:p w14:paraId="4858CC46" w14:textId="77777777" w:rsidR="00922D8A" w:rsidRPr="008661CD" w:rsidRDefault="00922D8A" w:rsidP="000F3553">
      <w:pPr>
        <w:keepNext/>
        <w:numPr>
          <w:ilvl w:val="12"/>
          <w:numId w:val="0"/>
        </w:numPr>
        <w:ind w:right="-2"/>
        <w:rPr>
          <w:b/>
        </w:rPr>
      </w:pPr>
      <w:r w:rsidRPr="008661CD">
        <w:rPr>
          <w:b/>
        </w:rPr>
        <w:t>Šis vaistas EEE valstybėse narėse registruotas tokiais pavadinimais:</w:t>
      </w:r>
    </w:p>
    <w:p w14:paraId="11A17ED0" w14:textId="77777777" w:rsidR="00922D8A" w:rsidRPr="008661CD" w:rsidRDefault="00922D8A" w:rsidP="000F3553">
      <w:pPr>
        <w:keepNext/>
        <w:numPr>
          <w:ilvl w:val="12"/>
          <w:numId w:val="0"/>
        </w:numPr>
        <w:ind w:right="-2"/>
        <w:rPr>
          <w:b/>
        </w:rPr>
      </w:pPr>
    </w:p>
    <w:p w14:paraId="7B8A9BD2" w14:textId="77777777" w:rsidR="00922D8A" w:rsidRPr="008661CD" w:rsidRDefault="00922D8A" w:rsidP="000F3553">
      <w:pPr>
        <w:keepNext/>
        <w:rPr>
          <w:shd w:val="clear" w:color="auto" w:fill="C0C0C0"/>
        </w:rPr>
      </w:pPr>
      <w:r w:rsidRPr="008661CD">
        <w:rPr>
          <w:shd w:val="clear" w:color="auto" w:fill="C0C0C0"/>
        </w:rPr>
        <w:t>125 mg plėvele dengtos tabletės</w:t>
      </w:r>
    </w:p>
    <w:p w14:paraId="0F88B237" w14:textId="77777777" w:rsidR="00922D8A" w:rsidRPr="008661CD" w:rsidRDefault="00922D8A" w:rsidP="000F3553">
      <w:pPr>
        <w:keepNext/>
      </w:pPr>
      <w:r w:rsidRPr="008661CD">
        <w:t>Čekija, Danija, Prancūzija, Vengrija, Airija, Lietuva, Nyderlandai, Lenkija, Rumunija, Slovakija, Jungtinė Karalystė – Zinnat</w:t>
      </w:r>
    </w:p>
    <w:p w14:paraId="0A29A341" w14:textId="77777777" w:rsidR="00922D8A" w:rsidRPr="008661CD" w:rsidRDefault="00922D8A" w:rsidP="008661CD">
      <w:pPr>
        <w:ind w:left="567" w:hanging="567"/>
      </w:pPr>
      <w:r w:rsidRPr="008661CD">
        <w:t>Vokietija – Elobact</w:t>
      </w:r>
    </w:p>
    <w:p w14:paraId="7A689BB9" w14:textId="77777777" w:rsidR="00922D8A" w:rsidRPr="008661CD" w:rsidRDefault="00922D8A" w:rsidP="008661CD">
      <w:pPr>
        <w:ind w:left="567" w:hanging="567"/>
      </w:pPr>
    </w:p>
    <w:p w14:paraId="1A2B015E" w14:textId="77777777" w:rsidR="00922D8A" w:rsidRPr="008661CD" w:rsidRDefault="00922D8A" w:rsidP="008661CD">
      <w:pPr>
        <w:keepNext/>
        <w:rPr>
          <w:shd w:val="clear" w:color="auto" w:fill="C0C0C0"/>
        </w:rPr>
      </w:pPr>
      <w:r w:rsidRPr="008661CD">
        <w:rPr>
          <w:shd w:val="clear" w:color="auto" w:fill="C0C0C0"/>
        </w:rPr>
        <w:lastRenderedPageBreak/>
        <w:t>250 mg plėvele dengtos tabletės</w:t>
      </w:r>
    </w:p>
    <w:p w14:paraId="7EE0420B" w14:textId="77777777" w:rsidR="00922D8A" w:rsidRPr="008661CD" w:rsidRDefault="00922D8A" w:rsidP="008661CD">
      <w:pPr>
        <w:rPr>
          <w:highlight w:val="lightGray"/>
        </w:rPr>
      </w:pPr>
      <w:r w:rsidRPr="008661CD">
        <w:rPr>
          <w:highlight w:val="lightGray"/>
        </w:rPr>
        <w:t>Austrija, Belgija, Bulgarija, Kipras, Čekija, Danija, Estija, Suomija, Prancūzija, Vengrija, Islandija, Airija, Italija, Latvija, Lietuva, Liuksemburgas, Malta, Nyderlandai, Lenkija, Rumunija, Slovakija, Slovėnija, Ispanija, Švedija, Jungtinė Karalystė – Zinnat</w:t>
      </w:r>
    </w:p>
    <w:p w14:paraId="7C52AA76" w14:textId="77777777" w:rsidR="00922D8A" w:rsidRPr="008661CD" w:rsidRDefault="00922D8A" w:rsidP="008661CD">
      <w:pPr>
        <w:ind w:left="567" w:hanging="567"/>
        <w:rPr>
          <w:highlight w:val="lightGray"/>
        </w:rPr>
      </w:pPr>
      <w:r w:rsidRPr="008661CD">
        <w:rPr>
          <w:highlight w:val="lightGray"/>
        </w:rPr>
        <w:t>Vokietija – Elobact</w:t>
      </w:r>
    </w:p>
    <w:p w14:paraId="0A62647C" w14:textId="77777777" w:rsidR="00922D8A" w:rsidRPr="008661CD" w:rsidRDefault="00922D8A" w:rsidP="008661CD">
      <w:pPr>
        <w:ind w:left="567" w:hanging="567"/>
        <w:rPr>
          <w:highlight w:val="lightGray"/>
        </w:rPr>
      </w:pPr>
      <w:r w:rsidRPr="008661CD">
        <w:rPr>
          <w:highlight w:val="lightGray"/>
        </w:rPr>
        <w:t>Graikija – Zinadol</w:t>
      </w:r>
    </w:p>
    <w:p w14:paraId="7BB5A702" w14:textId="77777777" w:rsidR="00922D8A" w:rsidRPr="008661CD" w:rsidRDefault="00922D8A" w:rsidP="008661CD">
      <w:pPr>
        <w:ind w:left="567" w:hanging="567"/>
        <w:rPr>
          <w:highlight w:val="lightGray"/>
        </w:rPr>
      </w:pPr>
      <w:r w:rsidRPr="008661CD">
        <w:rPr>
          <w:highlight w:val="lightGray"/>
        </w:rPr>
        <w:t>Italija – Oraxim</w:t>
      </w:r>
    </w:p>
    <w:p w14:paraId="02D50040" w14:textId="77777777" w:rsidR="00922D8A" w:rsidRPr="008661CD" w:rsidRDefault="00922D8A" w:rsidP="008661CD">
      <w:pPr>
        <w:ind w:left="567" w:hanging="567"/>
        <w:rPr>
          <w:highlight w:val="lightGray"/>
        </w:rPr>
      </w:pPr>
      <w:r w:rsidRPr="008661CD">
        <w:rPr>
          <w:highlight w:val="lightGray"/>
        </w:rPr>
        <w:t>Portugalija – Zipos</w:t>
      </w:r>
    </w:p>
    <w:p w14:paraId="407748EE" w14:textId="77777777" w:rsidR="00922D8A" w:rsidRPr="008661CD" w:rsidRDefault="00922D8A" w:rsidP="008661CD">
      <w:pPr>
        <w:ind w:left="567" w:hanging="567"/>
        <w:rPr>
          <w:highlight w:val="lightGray"/>
        </w:rPr>
      </w:pPr>
      <w:r w:rsidRPr="008661CD">
        <w:rPr>
          <w:highlight w:val="lightGray"/>
        </w:rPr>
        <w:t>Portugalija – Zoref</w:t>
      </w:r>
    </w:p>
    <w:p w14:paraId="3B359659" w14:textId="77777777" w:rsidR="00922D8A" w:rsidRPr="008661CD" w:rsidRDefault="00922D8A" w:rsidP="008661CD"/>
    <w:p w14:paraId="11D5B48B" w14:textId="77777777" w:rsidR="00922D8A" w:rsidRPr="008661CD" w:rsidRDefault="00922D8A" w:rsidP="008661CD">
      <w:pPr>
        <w:keepNext/>
        <w:tabs>
          <w:tab w:val="left" w:pos="0"/>
        </w:tabs>
        <w:outlineLvl w:val="0"/>
        <w:rPr>
          <w:shd w:val="clear" w:color="auto" w:fill="C0C0C0"/>
        </w:rPr>
      </w:pPr>
      <w:r w:rsidRPr="008661CD">
        <w:rPr>
          <w:shd w:val="clear" w:color="auto" w:fill="C0C0C0"/>
        </w:rPr>
        <w:t>500 mg plėvele dengtos tabletės</w:t>
      </w:r>
    </w:p>
    <w:p w14:paraId="4E7BF4AA" w14:textId="77777777" w:rsidR="00922D8A" w:rsidRPr="008661CD" w:rsidRDefault="00922D8A" w:rsidP="008661CD">
      <w:pPr>
        <w:rPr>
          <w:highlight w:val="lightGray"/>
        </w:rPr>
      </w:pPr>
      <w:r w:rsidRPr="008661CD">
        <w:rPr>
          <w:highlight w:val="lightGray"/>
        </w:rPr>
        <w:t>Austrija, Belgija, Bulgarija, Kipras, Čekija, Danija, Estija, Vengrija, Airija, Italija, Latvija, Lietuva, Liuksemburgas, Malta, Nyderlandai, Lenkija, Rumunija, Slovakija, Slovėnija, Ispanija, Jungtinė Karalystė – Zinnat</w:t>
      </w:r>
    </w:p>
    <w:p w14:paraId="0465F222" w14:textId="77777777" w:rsidR="00922D8A" w:rsidRPr="008661CD" w:rsidRDefault="00922D8A" w:rsidP="008661CD">
      <w:pPr>
        <w:ind w:left="567" w:hanging="567"/>
        <w:rPr>
          <w:highlight w:val="lightGray"/>
        </w:rPr>
      </w:pPr>
      <w:r w:rsidRPr="008661CD">
        <w:rPr>
          <w:highlight w:val="lightGray"/>
        </w:rPr>
        <w:t>Vokietija – Elobact</w:t>
      </w:r>
    </w:p>
    <w:p w14:paraId="5606A3B2" w14:textId="77777777" w:rsidR="00922D8A" w:rsidRPr="008661CD" w:rsidRDefault="00922D8A" w:rsidP="008661CD">
      <w:pPr>
        <w:ind w:left="567" w:hanging="567"/>
        <w:rPr>
          <w:highlight w:val="lightGray"/>
        </w:rPr>
      </w:pPr>
      <w:r w:rsidRPr="008661CD">
        <w:rPr>
          <w:highlight w:val="lightGray"/>
        </w:rPr>
        <w:t>Graikija – Zinadol</w:t>
      </w:r>
    </w:p>
    <w:p w14:paraId="57C2B6FC" w14:textId="77777777" w:rsidR="00922D8A" w:rsidRPr="008661CD" w:rsidRDefault="00922D8A" w:rsidP="008661CD">
      <w:pPr>
        <w:ind w:left="567" w:hanging="567"/>
        <w:rPr>
          <w:highlight w:val="lightGray"/>
        </w:rPr>
      </w:pPr>
      <w:r w:rsidRPr="008661CD">
        <w:rPr>
          <w:highlight w:val="lightGray"/>
        </w:rPr>
        <w:t>Italija – Oraxim</w:t>
      </w:r>
    </w:p>
    <w:p w14:paraId="63F2BAC9" w14:textId="77777777" w:rsidR="00922D8A" w:rsidRPr="008661CD" w:rsidRDefault="00922D8A" w:rsidP="008661CD">
      <w:pPr>
        <w:ind w:left="567" w:hanging="567"/>
        <w:rPr>
          <w:highlight w:val="lightGray"/>
        </w:rPr>
      </w:pPr>
      <w:r w:rsidRPr="008661CD">
        <w:rPr>
          <w:highlight w:val="lightGray"/>
        </w:rPr>
        <w:t>Portugalija – Zipos</w:t>
      </w:r>
    </w:p>
    <w:p w14:paraId="71F497AB" w14:textId="77777777" w:rsidR="00922D8A" w:rsidRPr="008661CD" w:rsidRDefault="00922D8A" w:rsidP="008661CD">
      <w:pPr>
        <w:ind w:left="567" w:hanging="567"/>
        <w:rPr>
          <w:highlight w:val="lightGray"/>
          <w:lang w:val="pt-PT"/>
        </w:rPr>
      </w:pPr>
      <w:r w:rsidRPr="008661CD">
        <w:rPr>
          <w:highlight w:val="lightGray"/>
          <w:lang w:val="pt-PT"/>
        </w:rPr>
        <w:t>Portugalija – Zoref</w:t>
      </w:r>
    </w:p>
    <w:p w14:paraId="4F6B757A" w14:textId="77777777" w:rsidR="00922D8A" w:rsidRPr="008661CD" w:rsidRDefault="00922D8A" w:rsidP="008661CD">
      <w:pPr>
        <w:ind w:left="567" w:hanging="567"/>
      </w:pPr>
    </w:p>
    <w:p w14:paraId="6886BAFC" w14:textId="77777777" w:rsidR="00922D8A" w:rsidRPr="008661CD" w:rsidRDefault="00922D8A" w:rsidP="008661CD">
      <w:pPr>
        <w:autoSpaceDE w:val="0"/>
        <w:autoSpaceDN w:val="0"/>
        <w:adjustRightInd w:val="0"/>
      </w:pPr>
      <w:r w:rsidRPr="008661CD">
        <w:t>Jeigu apie šį vaistą norite sužinoti daugiau, kreipkitės į vietinį registruotojo atstovą:</w:t>
      </w:r>
    </w:p>
    <w:p w14:paraId="13C04472" w14:textId="77777777" w:rsidR="00922D8A" w:rsidRPr="008661CD" w:rsidRDefault="00922D8A" w:rsidP="008661CD">
      <w:pPr>
        <w:autoSpaceDE w:val="0"/>
        <w:autoSpaceDN w:val="0"/>
        <w:adjustRightInd w:val="0"/>
      </w:pPr>
    </w:p>
    <w:tbl>
      <w:tblPr>
        <w:tblW w:w="0" w:type="auto"/>
        <w:tblLayout w:type="fixed"/>
        <w:tblLook w:val="0000" w:firstRow="0" w:lastRow="0" w:firstColumn="0" w:lastColumn="0" w:noHBand="0" w:noVBand="0"/>
      </w:tblPr>
      <w:tblGrid>
        <w:gridCol w:w="4678"/>
      </w:tblGrid>
      <w:tr w:rsidR="00922D8A" w:rsidRPr="00C510EF" w14:paraId="5C4E0451" w14:textId="77777777" w:rsidTr="00894113">
        <w:tc>
          <w:tcPr>
            <w:tcW w:w="4678" w:type="dxa"/>
          </w:tcPr>
          <w:p w14:paraId="520E764C" w14:textId="77777777" w:rsidR="00922D8A" w:rsidRPr="008661CD" w:rsidRDefault="00922D8A" w:rsidP="008661CD">
            <w:pPr>
              <w:autoSpaceDE w:val="0"/>
              <w:autoSpaceDN w:val="0"/>
              <w:adjustRightInd w:val="0"/>
            </w:pPr>
            <w:r w:rsidRPr="008661CD">
              <w:t>UAB „GlaxoSmithKline Lietuva”</w:t>
            </w:r>
          </w:p>
          <w:p w14:paraId="0FDD13E2" w14:textId="77777777" w:rsidR="00922D8A" w:rsidRPr="008661CD" w:rsidRDefault="00922D8A" w:rsidP="008661CD">
            <w:pPr>
              <w:autoSpaceDE w:val="0"/>
              <w:autoSpaceDN w:val="0"/>
              <w:adjustRightInd w:val="0"/>
            </w:pPr>
            <w:r w:rsidRPr="008661CD">
              <w:t>Ukmergės g. 120</w:t>
            </w:r>
          </w:p>
          <w:p w14:paraId="2F508983" w14:textId="77777777" w:rsidR="00922D8A" w:rsidRPr="008661CD" w:rsidRDefault="00922D8A" w:rsidP="008661CD">
            <w:pPr>
              <w:autoSpaceDE w:val="0"/>
              <w:autoSpaceDN w:val="0"/>
              <w:adjustRightInd w:val="0"/>
            </w:pPr>
            <w:r w:rsidRPr="008661CD">
              <w:t>LT-08105 Vilnius</w:t>
            </w:r>
          </w:p>
          <w:p w14:paraId="3FB83A36" w14:textId="77777777" w:rsidR="00922D8A" w:rsidRPr="008661CD" w:rsidRDefault="00922D8A" w:rsidP="008661CD">
            <w:pPr>
              <w:autoSpaceDE w:val="0"/>
              <w:autoSpaceDN w:val="0"/>
              <w:adjustRightInd w:val="0"/>
            </w:pPr>
            <w:r w:rsidRPr="008661CD">
              <w:t>Lietuva</w:t>
            </w:r>
          </w:p>
          <w:p w14:paraId="199DF85F" w14:textId="77777777" w:rsidR="00922D8A" w:rsidRPr="008661CD" w:rsidRDefault="00922D8A" w:rsidP="008661CD">
            <w:pPr>
              <w:autoSpaceDE w:val="0"/>
              <w:autoSpaceDN w:val="0"/>
              <w:adjustRightInd w:val="0"/>
            </w:pPr>
            <w:r w:rsidRPr="008661CD">
              <w:t>Tel. +370 5 264 90 00</w:t>
            </w:r>
          </w:p>
        </w:tc>
      </w:tr>
    </w:tbl>
    <w:p w14:paraId="38086CEB" w14:textId="77777777" w:rsidR="00922D8A" w:rsidRPr="008661CD" w:rsidRDefault="00922D8A" w:rsidP="008661CD">
      <w:pPr>
        <w:numPr>
          <w:ilvl w:val="12"/>
          <w:numId w:val="0"/>
        </w:numPr>
        <w:ind w:right="-2"/>
      </w:pPr>
    </w:p>
    <w:p w14:paraId="364756E0" w14:textId="7A31D143" w:rsidR="00922D8A" w:rsidRPr="008661CD" w:rsidRDefault="00922D8A" w:rsidP="008661CD">
      <w:pPr>
        <w:numPr>
          <w:ilvl w:val="12"/>
          <w:numId w:val="0"/>
        </w:numPr>
        <w:ind w:right="-2"/>
        <w:outlineLvl w:val="0"/>
      </w:pPr>
      <w:r w:rsidRPr="008661CD">
        <w:rPr>
          <w:b/>
        </w:rPr>
        <w:t xml:space="preserve">Šis pakuotės lapelis paskutinį kartą peržiūrėtas </w:t>
      </w:r>
      <w:r w:rsidR="000F3553">
        <w:rPr>
          <w:b/>
        </w:rPr>
        <w:t>20</w:t>
      </w:r>
      <w:r w:rsidR="00CD0ED2">
        <w:rPr>
          <w:b/>
        </w:rPr>
        <w:t>20</w:t>
      </w:r>
      <w:r w:rsidR="000F3553">
        <w:rPr>
          <w:b/>
        </w:rPr>
        <w:t>-0</w:t>
      </w:r>
      <w:r w:rsidR="00CD0ED2">
        <w:rPr>
          <w:b/>
        </w:rPr>
        <w:t>3</w:t>
      </w:r>
      <w:r w:rsidR="000F3553">
        <w:rPr>
          <w:b/>
        </w:rPr>
        <w:t>-27.</w:t>
      </w:r>
    </w:p>
    <w:p w14:paraId="69DCB19B" w14:textId="77777777" w:rsidR="00922D8A" w:rsidRPr="008661CD" w:rsidRDefault="00922D8A" w:rsidP="008661CD">
      <w:pPr>
        <w:numPr>
          <w:ilvl w:val="12"/>
          <w:numId w:val="0"/>
        </w:numPr>
        <w:ind w:right="-2"/>
      </w:pPr>
    </w:p>
    <w:p w14:paraId="5296662B" w14:textId="77777777" w:rsidR="00922D8A" w:rsidRPr="008661CD" w:rsidRDefault="00922D8A" w:rsidP="008661CD">
      <w:pPr>
        <w:numPr>
          <w:ilvl w:val="12"/>
          <w:numId w:val="0"/>
        </w:numPr>
        <w:ind w:right="-2"/>
        <w:rPr>
          <w:i/>
        </w:rPr>
      </w:pPr>
    </w:p>
    <w:p w14:paraId="6EDA57CF" w14:textId="77777777" w:rsidR="00922D8A" w:rsidRPr="008661CD" w:rsidRDefault="00922D8A" w:rsidP="008661CD">
      <w:pPr>
        <w:numPr>
          <w:ilvl w:val="12"/>
          <w:numId w:val="0"/>
        </w:numPr>
        <w:ind w:right="-2"/>
      </w:pPr>
      <w:r w:rsidRPr="008661CD">
        <w:t>Išsami informacija apie šį vaistą pateikiama Valstybinės vaistų kontrolės tarnybos prie Lietuvos Respublikos sveikatos apsaugos ministerijos tinklalapyje</w:t>
      </w:r>
      <w:r w:rsidRPr="008661CD">
        <w:rPr>
          <w:i/>
        </w:rPr>
        <w:t xml:space="preserve"> </w:t>
      </w:r>
      <w:hyperlink r:id="rId13" w:history="1">
        <w:r w:rsidRPr="000F3553">
          <w:rPr>
            <w:rStyle w:val="Hipersaitas"/>
            <w:rFonts w:eastAsia="SimSun"/>
          </w:rPr>
          <w:t>http://www.vvkt.lt/</w:t>
        </w:r>
      </w:hyperlink>
      <w:r w:rsidRPr="008661CD">
        <w:t>.</w:t>
      </w:r>
    </w:p>
    <w:p w14:paraId="49679862" w14:textId="77777777" w:rsidR="00922D8A" w:rsidRPr="008661CD" w:rsidRDefault="00922D8A" w:rsidP="008661CD"/>
    <w:p w14:paraId="264DCEEE" w14:textId="77777777" w:rsidR="00137990" w:rsidRDefault="00137990">
      <w:bookmarkStart w:id="22" w:name="_GoBack"/>
      <w:bookmarkEnd w:id="22"/>
    </w:p>
    <w:sectPr w:rsidR="00137990" w:rsidSect="00894113">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8C160" w14:textId="77777777" w:rsidR="00894113" w:rsidRDefault="00894113" w:rsidP="008661CD">
      <w:r>
        <w:separator/>
      </w:r>
    </w:p>
  </w:endnote>
  <w:endnote w:type="continuationSeparator" w:id="0">
    <w:p w14:paraId="620A4978" w14:textId="77777777" w:rsidR="00894113" w:rsidRDefault="00894113" w:rsidP="008661CD">
      <w:r>
        <w:continuationSeparator/>
      </w:r>
    </w:p>
  </w:endnote>
  <w:endnote w:type="continuationNotice" w:id="1">
    <w:p w14:paraId="12881EC2" w14:textId="77777777" w:rsidR="00894113" w:rsidRDefault="00894113" w:rsidP="00866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4672" w14:textId="77777777" w:rsidR="00894113" w:rsidRDefault="00894113" w:rsidP="00894113">
    <w:pPr>
      <w:pStyle w:val="Porat"/>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62834FEA" w14:textId="77777777" w:rsidR="00894113" w:rsidRDefault="0089411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215F" w14:textId="4B304F9F" w:rsidR="00894113" w:rsidRDefault="00894113" w:rsidP="0089411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1D97">
      <w:rPr>
        <w:rStyle w:val="Puslapionumeris"/>
        <w:noProof/>
      </w:rPr>
      <w:t>13</w:t>
    </w:r>
    <w:r>
      <w:rPr>
        <w:rStyle w:val="Puslapionumeris"/>
      </w:rPr>
      <w:fldChar w:fldCharType="end"/>
    </w:r>
  </w:p>
  <w:p w14:paraId="011C11C8" w14:textId="77777777" w:rsidR="00894113" w:rsidRDefault="00894113">
    <w:pPr>
      <w:pStyle w:val="Porat"/>
      <w:framePr w:wrap="around" w:vAnchor="text" w:hAnchor="margin" w:xAlign="right" w:y="1"/>
      <w:rPr>
        <w:rStyle w:val="Puslapionumeris"/>
        <w:lang w:val="lt-LT"/>
      </w:rPr>
    </w:pPr>
  </w:p>
  <w:p w14:paraId="2CE2D816" w14:textId="77777777" w:rsidR="00894113" w:rsidRDefault="00894113">
    <w:pPr>
      <w:pStyle w:val="Porat"/>
      <w:ind w:right="360"/>
      <w:jc w:val="center"/>
      <w:rPr>
        <w:rStyle w:val="Puslapionumeris"/>
        <w:rFonts w:ascii="Arial" w:hAnsi="Arial" w:cs="Arial"/>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93E82" w14:textId="77777777" w:rsidR="00894113" w:rsidRDefault="00894113" w:rsidP="008661CD">
      <w:r>
        <w:separator/>
      </w:r>
    </w:p>
  </w:footnote>
  <w:footnote w:type="continuationSeparator" w:id="0">
    <w:p w14:paraId="5F6407CD" w14:textId="77777777" w:rsidR="00894113" w:rsidRDefault="00894113" w:rsidP="008661CD">
      <w:r>
        <w:continuationSeparator/>
      </w:r>
    </w:p>
  </w:footnote>
  <w:footnote w:type="continuationNotice" w:id="1">
    <w:p w14:paraId="6DE7E2B5" w14:textId="77777777" w:rsidR="00894113" w:rsidRDefault="00894113" w:rsidP="008661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C6A7" w14:textId="77777777" w:rsidR="00894113" w:rsidRDefault="008941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05ACF"/>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1E43527"/>
    <w:multiLevelType w:val="hybridMultilevel"/>
    <w:tmpl w:val="B2A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B172B"/>
    <w:multiLevelType w:val="hybridMultilevel"/>
    <w:tmpl w:val="B3EA927E"/>
    <w:lvl w:ilvl="0" w:tplc="866A0322">
      <w:numFmt w:val="bullet"/>
      <w:lvlText w:val=""/>
      <w:lvlJc w:val="left"/>
      <w:pPr>
        <w:tabs>
          <w:tab w:val="num" w:pos="357"/>
        </w:tabs>
        <w:ind w:left="357" w:hanging="357"/>
      </w:pPr>
      <w:rPr>
        <w:rFonts w:ascii="Wingdings" w:hAnsi="Wingdings" w:cs="Wingdings" w:hint="default"/>
        <w:b/>
        <w:bCs/>
        <w:i w:val="0"/>
        <w:iCs w:val="0"/>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02E1E"/>
    <w:multiLevelType w:val="hybridMultilevel"/>
    <w:tmpl w:val="9EC44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A23F0"/>
    <w:multiLevelType w:val="hybridMultilevel"/>
    <w:tmpl w:val="EA566F16"/>
    <w:lvl w:ilvl="0" w:tplc="C038A71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6225D6"/>
    <w:multiLevelType w:val="hybridMultilevel"/>
    <w:tmpl w:val="685CE77E"/>
    <w:lvl w:ilvl="0" w:tplc="7750C47E">
      <w:start w:val="1"/>
      <w:numFmt w:val="bullet"/>
      <w:lvlText w:val=""/>
      <w:lvlJc w:val="left"/>
      <w:pPr>
        <w:tabs>
          <w:tab w:val="num" w:pos="921"/>
        </w:tabs>
        <w:ind w:left="921"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szCs w:val="22"/>
      </w:rPr>
    </w:lvl>
    <w:lvl w:ilvl="1" w:tplc="C284D12A">
      <w:start w:val="2"/>
      <w:numFmt w:val="bullet"/>
      <w:lvlText w:val=""/>
      <w:lvlJc w:val="left"/>
      <w:pPr>
        <w:tabs>
          <w:tab w:val="num" w:pos="1420"/>
        </w:tabs>
        <w:ind w:left="1420" w:hanging="34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C7D4A"/>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17"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CE43134"/>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9923B43"/>
    <w:multiLevelType w:val="hybridMultilevel"/>
    <w:tmpl w:val="BACEEEFA"/>
    <w:lvl w:ilvl="0" w:tplc="FEA2497E">
      <w:start w:val="1"/>
      <w:numFmt w:val="bullet"/>
      <w:lvlText w:val=""/>
      <w:lvlJc w:val="left"/>
      <w:pPr>
        <w:tabs>
          <w:tab w:val="num" w:pos="567"/>
        </w:tabs>
        <w:ind w:left="567" w:hanging="567"/>
      </w:pPr>
      <w:rPr>
        <w:rFonts w:ascii="Wingdings" w:hAnsi="Wingdings" w:cs="Wingdings" w:hint="default"/>
        <w:b/>
        <w:bCs/>
        <w:i w:val="0"/>
        <w:iCs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2"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11"/>
  </w:num>
  <w:num w:numId="4">
    <w:abstractNumId w:val="6"/>
  </w:num>
  <w:num w:numId="5">
    <w:abstractNumId w:val="5"/>
  </w:num>
  <w:num w:numId="6">
    <w:abstractNumId w:val="19"/>
  </w:num>
  <w:num w:numId="7">
    <w:abstractNumId w:val="15"/>
  </w:num>
  <w:num w:numId="8">
    <w:abstractNumId w:val="17"/>
  </w:num>
  <w:num w:numId="9">
    <w:abstractNumId w:val="22"/>
  </w:num>
  <w:num w:numId="10">
    <w:abstractNumId w:val="2"/>
  </w:num>
  <w:num w:numId="11">
    <w:abstractNumId w:val="16"/>
  </w:num>
  <w:num w:numId="12">
    <w:abstractNumId w:val="13"/>
  </w:num>
  <w:num w:numId="13">
    <w:abstractNumId w:val="10"/>
  </w:num>
  <w:num w:numId="14">
    <w:abstractNumId w:val="8"/>
  </w:num>
  <w:num w:numId="15">
    <w:abstractNumId w:val="4"/>
  </w:num>
  <w:num w:numId="16">
    <w:abstractNumId w:val="1"/>
  </w:num>
  <w:num w:numId="17">
    <w:abstractNumId w:val="14"/>
  </w:num>
  <w:num w:numId="18">
    <w:abstractNumId w:val="21"/>
  </w:num>
  <w:num w:numId="19">
    <w:abstractNumId w:val="7"/>
  </w:num>
  <w:num w:numId="20">
    <w:abstractNumId w:val="20"/>
  </w:num>
  <w:num w:numId="21">
    <w:abstractNumId w:val="9"/>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8A"/>
    <w:rsid w:val="00020E68"/>
    <w:rsid w:val="00051BB3"/>
    <w:rsid w:val="000D6620"/>
    <w:rsid w:val="000F3553"/>
    <w:rsid w:val="00137990"/>
    <w:rsid w:val="0015205C"/>
    <w:rsid w:val="00196850"/>
    <w:rsid w:val="001A39BE"/>
    <w:rsid w:val="002B330B"/>
    <w:rsid w:val="002D0BEA"/>
    <w:rsid w:val="00535996"/>
    <w:rsid w:val="00572457"/>
    <w:rsid w:val="00620AF9"/>
    <w:rsid w:val="008661CD"/>
    <w:rsid w:val="0087135F"/>
    <w:rsid w:val="00894113"/>
    <w:rsid w:val="008E31F8"/>
    <w:rsid w:val="009048DD"/>
    <w:rsid w:val="00913990"/>
    <w:rsid w:val="00922D8A"/>
    <w:rsid w:val="00AE434E"/>
    <w:rsid w:val="00CC5332"/>
    <w:rsid w:val="00CD0ED2"/>
    <w:rsid w:val="00E32E7D"/>
    <w:rsid w:val="00EC5180"/>
    <w:rsid w:val="00F43431"/>
    <w:rsid w:val="00F54DCD"/>
    <w:rsid w:val="00FD1D97"/>
    <w:rsid w:val="00FD26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schemas-tilde-lv/tildestengine" w:name="metric2"/>
  <w:shapeDefaults>
    <o:shapedefaults v:ext="edit" spidmax="1026"/>
    <o:shapelayout v:ext="edit">
      <o:idmap v:ext="edit" data="1"/>
    </o:shapelayout>
  </w:shapeDefaults>
  <w:decimalSymbol w:val=","/>
  <w:listSeparator w:val=";"/>
  <w14:docId w14:val="06864D8D"/>
  <w15:chartTrackingRefBased/>
  <w15:docId w15:val="{B16174BB-2298-4E30-A0EB-0FB260E9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61CD"/>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8661CD"/>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922D8A"/>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8661CD"/>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8661CD"/>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8661CD"/>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8661CD"/>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8661CD"/>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8661CD"/>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8661CD"/>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22D8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22D8A"/>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922D8A"/>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922D8A"/>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922D8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922D8A"/>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922D8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922D8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922D8A"/>
    <w:rPr>
      <w:rFonts w:ascii="Times New Roman" w:eastAsia="Times New Roman" w:hAnsi="Times New Roman" w:cs="Times New Roman"/>
      <w:b/>
      <w:i/>
      <w:szCs w:val="20"/>
      <w:lang w:val="cs-CZ"/>
    </w:rPr>
  </w:style>
  <w:style w:type="paragraph" w:styleId="Porat">
    <w:name w:val="footer"/>
    <w:basedOn w:val="prastasis"/>
    <w:link w:val="PoratDiagrama"/>
    <w:rsid w:val="008661CD"/>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22D8A"/>
    <w:rPr>
      <w:rFonts w:ascii="Helvetica" w:eastAsia="Times New Roman" w:hAnsi="Helvetica" w:cs="Times New Roman"/>
      <w:sz w:val="16"/>
      <w:szCs w:val="20"/>
      <w:lang w:val="cs-CZ"/>
    </w:rPr>
  </w:style>
  <w:style w:type="character" w:styleId="Puslapionumeris">
    <w:name w:val="page number"/>
    <w:basedOn w:val="Numatytasispastraiposriftas"/>
    <w:rsid w:val="00922D8A"/>
  </w:style>
  <w:style w:type="paragraph" w:styleId="Antrats">
    <w:name w:val="header"/>
    <w:basedOn w:val="prastasis"/>
    <w:link w:val="AntratsDiagrama"/>
    <w:rsid w:val="008661CD"/>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922D8A"/>
    <w:rPr>
      <w:rFonts w:ascii="Helvetica" w:eastAsia="Times New Roman" w:hAnsi="Helvetica" w:cs="Times New Roman"/>
      <w:sz w:val="20"/>
      <w:szCs w:val="20"/>
      <w:lang w:val="cs-CZ"/>
    </w:rPr>
  </w:style>
  <w:style w:type="paragraph" w:customStyle="1" w:styleId="EMEAEnBodyText">
    <w:name w:val="EMEA En Body Text"/>
    <w:basedOn w:val="prastasis"/>
    <w:rsid w:val="008661CD"/>
    <w:pPr>
      <w:spacing w:before="120" w:after="120"/>
      <w:jc w:val="both"/>
    </w:pPr>
    <w:rPr>
      <w:szCs w:val="20"/>
      <w:lang w:val="en-US"/>
    </w:rPr>
  </w:style>
  <w:style w:type="paragraph" w:customStyle="1" w:styleId="AHeader1">
    <w:name w:val="AHeader 1"/>
    <w:basedOn w:val="prastasis"/>
    <w:rsid w:val="00E32E7D"/>
    <w:pPr>
      <w:numPr>
        <w:numId w:val="2"/>
      </w:numPr>
      <w:spacing w:after="120"/>
    </w:pPr>
    <w:rPr>
      <w:rFonts w:ascii="Arial" w:hAnsi="Arial" w:cs="Arial"/>
      <w:b/>
      <w:bCs/>
      <w:sz w:val="24"/>
      <w:szCs w:val="20"/>
      <w:lang w:val="en-GB"/>
    </w:rPr>
  </w:style>
  <w:style w:type="paragraph" w:customStyle="1" w:styleId="AHeader2">
    <w:name w:val="AHeader 2"/>
    <w:basedOn w:val="AHeader1"/>
    <w:rsid w:val="00E32E7D"/>
    <w:pPr>
      <w:numPr>
        <w:ilvl w:val="1"/>
      </w:numPr>
      <w:tabs>
        <w:tab w:val="clear" w:pos="709"/>
        <w:tab w:val="num" w:pos="360"/>
      </w:tabs>
      <w:ind w:left="360" w:hanging="360"/>
    </w:pPr>
    <w:rPr>
      <w:sz w:val="22"/>
    </w:rPr>
  </w:style>
  <w:style w:type="paragraph" w:customStyle="1" w:styleId="AHeader3">
    <w:name w:val="AHeader 3"/>
    <w:basedOn w:val="AHeader2"/>
    <w:rsid w:val="00E32E7D"/>
    <w:pPr>
      <w:numPr>
        <w:ilvl w:val="2"/>
      </w:numPr>
      <w:tabs>
        <w:tab w:val="clear" w:pos="1276"/>
        <w:tab w:val="num" w:pos="360"/>
      </w:tabs>
      <w:ind w:left="360" w:hanging="360"/>
    </w:pPr>
  </w:style>
  <w:style w:type="paragraph" w:customStyle="1" w:styleId="AHeader2abc">
    <w:name w:val="AHeader 2 abc"/>
    <w:basedOn w:val="AHeader3"/>
    <w:rsid w:val="00E32E7D"/>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E32E7D"/>
    <w:pPr>
      <w:numPr>
        <w:ilvl w:val="4"/>
      </w:numPr>
      <w:tabs>
        <w:tab w:val="clear" w:pos="1701"/>
        <w:tab w:val="num" w:pos="360"/>
      </w:tabs>
      <w:ind w:left="360" w:hanging="360"/>
    </w:pPr>
  </w:style>
  <w:style w:type="paragraph" w:styleId="Pagrindinistekstas2">
    <w:name w:val="Body Text 2"/>
    <w:basedOn w:val="prastasis"/>
    <w:link w:val="Pagrindinistekstas2Diagrama"/>
    <w:rsid w:val="008661CD"/>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922D8A"/>
    <w:rPr>
      <w:rFonts w:ascii="Times New Roman" w:eastAsia="Times New Roman" w:hAnsi="Times New Roman" w:cs="Times New Roman"/>
      <w:b/>
      <w:bCs/>
      <w:szCs w:val="20"/>
    </w:rPr>
  </w:style>
  <w:style w:type="paragraph" w:styleId="Pagrindinistekstas">
    <w:name w:val="Body Text"/>
    <w:basedOn w:val="prastasis"/>
    <w:link w:val="PagrindinistekstasDiagrama"/>
    <w:rsid w:val="008661CD"/>
    <w:rPr>
      <w:i/>
      <w:color w:val="008000"/>
      <w:szCs w:val="20"/>
      <w:lang w:val="en-GB"/>
    </w:rPr>
  </w:style>
  <w:style w:type="character" w:customStyle="1" w:styleId="PagrindinistekstasDiagrama">
    <w:name w:val="Pagrindinis tekstas Diagrama"/>
    <w:basedOn w:val="Numatytasispastraiposriftas"/>
    <w:link w:val="Pagrindinistekstas"/>
    <w:rsid w:val="00922D8A"/>
    <w:rPr>
      <w:rFonts w:ascii="Times New Roman" w:eastAsia="Times New Roman" w:hAnsi="Times New Roman" w:cs="Times New Roman"/>
      <w:i/>
      <w:color w:val="008000"/>
      <w:szCs w:val="20"/>
      <w:lang w:val="en-GB"/>
    </w:rPr>
  </w:style>
  <w:style w:type="character" w:styleId="Hipersaitas">
    <w:name w:val="Hyperlink"/>
    <w:uiPriority w:val="99"/>
    <w:rsid w:val="00922D8A"/>
    <w:rPr>
      <w:color w:val="0000FF"/>
      <w:u w:val="single"/>
    </w:rPr>
  </w:style>
  <w:style w:type="character" w:styleId="Grietas">
    <w:name w:val="Strong"/>
    <w:qFormat/>
    <w:rsid w:val="00922D8A"/>
    <w:rPr>
      <w:b/>
      <w:bCs/>
    </w:rPr>
  </w:style>
  <w:style w:type="paragraph" w:styleId="Debesliotekstas">
    <w:name w:val="Balloon Text"/>
    <w:basedOn w:val="prastasis"/>
    <w:link w:val="DebesliotekstasDiagrama"/>
    <w:semiHidden/>
    <w:rsid w:val="008661C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22D8A"/>
    <w:rPr>
      <w:rFonts w:ascii="Tahoma" w:eastAsia="Times New Roman" w:hAnsi="Tahoma" w:cs="Tahoma"/>
      <w:sz w:val="16"/>
      <w:szCs w:val="16"/>
    </w:rPr>
  </w:style>
  <w:style w:type="character" w:styleId="Perirtashipersaitas">
    <w:name w:val="FollowedHyperlink"/>
    <w:rsid w:val="00922D8A"/>
    <w:rPr>
      <w:color w:val="800080"/>
      <w:u w:val="single"/>
    </w:rPr>
  </w:style>
  <w:style w:type="paragraph" w:customStyle="1" w:styleId="Postspace">
    <w:name w:val="Postspace"/>
    <w:basedOn w:val="prastasis"/>
    <w:autoRedefine/>
    <w:rsid w:val="008661CD"/>
    <w:rPr>
      <w:sz w:val="24"/>
      <w:szCs w:val="20"/>
      <w:lang w:val="en-GB"/>
    </w:rPr>
  </w:style>
  <w:style w:type="paragraph" w:customStyle="1" w:styleId="TableCell">
    <w:name w:val="TableCell"/>
    <w:basedOn w:val="prastasis"/>
    <w:rsid w:val="008661CD"/>
    <w:rPr>
      <w:sz w:val="24"/>
      <w:szCs w:val="20"/>
      <w:lang w:val="en-GB"/>
    </w:rPr>
  </w:style>
  <w:style w:type="paragraph" w:customStyle="1" w:styleId="anchor">
    <w:name w:val="anchor"/>
    <w:basedOn w:val="prastasis"/>
    <w:autoRedefine/>
    <w:rsid w:val="008661CD"/>
    <w:rPr>
      <w:sz w:val="24"/>
      <w:szCs w:val="20"/>
      <w:lang w:val="en-GB"/>
    </w:rPr>
  </w:style>
  <w:style w:type="paragraph" w:customStyle="1" w:styleId="NoNumHead2">
    <w:name w:val="NoNum:Head2"/>
    <w:basedOn w:val="prastasis"/>
    <w:next w:val="prastasis"/>
    <w:autoRedefine/>
    <w:rsid w:val="008661CD"/>
    <w:pPr>
      <w:keepNext/>
      <w:outlineLvl w:val="0"/>
    </w:pPr>
    <w:rPr>
      <w:b/>
      <w:szCs w:val="22"/>
      <w:lang w:val="en-GB"/>
    </w:rPr>
  </w:style>
  <w:style w:type="paragraph" w:customStyle="1" w:styleId="centhead12">
    <w:name w:val="centhead12"/>
    <w:basedOn w:val="prastasis"/>
    <w:next w:val="prastasis"/>
    <w:rsid w:val="008661CD"/>
    <w:pPr>
      <w:keepNext/>
      <w:spacing w:after="240"/>
      <w:jc w:val="center"/>
    </w:pPr>
    <w:rPr>
      <w:rFonts w:ascii="Arial" w:hAnsi="Arial"/>
      <w:b/>
      <w:sz w:val="24"/>
      <w:szCs w:val="20"/>
      <w:lang w:val="en-GB"/>
    </w:rPr>
  </w:style>
  <w:style w:type="paragraph" w:styleId="prastasiniatinklio">
    <w:name w:val="Normal (Web)"/>
    <w:basedOn w:val="prastasis"/>
    <w:rsid w:val="008661CD"/>
    <w:pPr>
      <w:spacing w:before="100" w:beforeAutospacing="1" w:after="100" w:afterAutospacing="1"/>
    </w:pPr>
    <w:rPr>
      <w:sz w:val="24"/>
      <w:lang w:val="en-GB" w:eastAsia="en-GB"/>
    </w:rPr>
  </w:style>
  <w:style w:type="paragraph" w:customStyle="1" w:styleId="Bullet">
    <w:name w:val="Bullet"/>
    <w:basedOn w:val="prastasis"/>
    <w:rsid w:val="00E32E7D"/>
    <w:pPr>
      <w:numPr>
        <w:numId w:val="17"/>
      </w:numPr>
      <w:spacing w:before="120"/>
    </w:pPr>
    <w:rPr>
      <w:lang w:val="en-GB" w:eastAsia="en-GB"/>
    </w:rPr>
  </w:style>
  <w:style w:type="paragraph" w:styleId="Pagrindinistekstas3">
    <w:name w:val="Body Text 3"/>
    <w:basedOn w:val="prastasis"/>
    <w:link w:val="Pagrindinistekstas3Diagrama"/>
    <w:rsid w:val="008661CD"/>
    <w:pPr>
      <w:spacing w:after="120"/>
    </w:pPr>
    <w:rPr>
      <w:sz w:val="16"/>
      <w:szCs w:val="16"/>
    </w:rPr>
  </w:style>
  <w:style w:type="character" w:customStyle="1" w:styleId="Pagrindinistekstas3Diagrama">
    <w:name w:val="Pagrindinis tekstas 3 Diagrama"/>
    <w:basedOn w:val="Numatytasispastraiposriftas"/>
    <w:link w:val="Pagrindinistekstas3"/>
    <w:rsid w:val="00922D8A"/>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661CD"/>
    <w:pPr>
      <w:spacing w:after="120"/>
      <w:ind w:left="283"/>
    </w:pPr>
  </w:style>
  <w:style w:type="character" w:customStyle="1" w:styleId="PagrindiniotekstotraukaDiagrama">
    <w:name w:val="Pagrindinio teksto įtrauka Diagrama"/>
    <w:basedOn w:val="Numatytasispastraiposriftas"/>
    <w:link w:val="Pagrindiniotekstotrauka"/>
    <w:rsid w:val="00922D8A"/>
    <w:rPr>
      <w:rFonts w:ascii="Times New Roman" w:eastAsia="Times New Roman" w:hAnsi="Times New Roman" w:cs="Times New Roman"/>
      <w:szCs w:val="24"/>
    </w:rPr>
  </w:style>
  <w:style w:type="paragraph" w:customStyle="1" w:styleId="Default">
    <w:name w:val="Default"/>
    <w:rsid w:val="00922D8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CharChar1CharCharCharCharCharChar1CharCharCharCharCharChar">
    <w:name w:val="Char Char1 Char Char Char Char Char Char1 Char Char Char Char Char Char"/>
    <w:basedOn w:val="prastasis"/>
    <w:rsid w:val="008661CD"/>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Header1">
    <w:name w:val="Header1"/>
    <w:rsid w:val="00922D8A"/>
    <w:pPr>
      <w:suppressAutoHyphens/>
      <w:spacing w:after="0" w:line="260" w:lineRule="exact"/>
    </w:pPr>
    <w:rPr>
      <w:rFonts w:ascii="Arial" w:eastAsia="Times New Roman" w:hAnsi="Arial" w:cs="Times New Roman"/>
      <w:b/>
      <w:sz w:val="20"/>
      <w:szCs w:val="20"/>
      <w:u w:val="single"/>
      <w:lang w:val="en-GB"/>
    </w:rPr>
  </w:style>
  <w:style w:type="paragraph" w:customStyle="1" w:styleId="Footer1">
    <w:name w:val="Footer1"/>
    <w:rsid w:val="00922D8A"/>
    <w:pPr>
      <w:spacing w:after="0" w:line="240" w:lineRule="auto"/>
    </w:pPr>
    <w:rPr>
      <w:rFonts w:ascii="Arial" w:eastAsia="Times New Roman" w:hAnsi="Arial" w:cs="Times New Roman"/>
      <w:sz w:val="16"/>
      <w:szCs w:val="20"/>
      <w:lang w:val="en-GB"/>
    </w:rPr>
  </w:style>
  <w:style w:type="character" w:customStyle="1" w:styleId="PuslapioinaostekstasDiagrama">
    <w:name w:val="Puslapio išnašos tekstas Diagrama"/>
    <w:link w:val="Puslapioinaostekstas"/>
    <w:rsid w:val="00922D8A"/>
    <w:rPr>
      <w:lang w:val="en-GB"/>
    </w:rPr>
  </w:style>
  <w:style w:type="paragraph" w:styleId="Puslapioinaostekstas">
    <w:name w:val="footnote text"/>
    <w:basedOn w:val="prastasis"/>
    <w:link w:val="PuslapioinaostekstasDiagrama"/>
    <w:rsid w:val="008661CD"/>
    <w:pPr>
      <w:tabs>
        <w:tab w:val="left" w:pos="567"/>
      </w:tabs>
      <w:spacing w:line="260" w:lineRule="exact"/>
    </w:pPr>
    <w:rPr>
      <w:rFonts w:asciiTheme="minorHAnsi" w:eastAsiaTheme="minorHAnsi" w:hAnsiTheme="minorHAnsi" w:cstheme="minorBidi"/>
      <w:szCs w:val="22"/>
      <w:lang w:val="en-GB"/>
    </w:rPr>
  </w:style>
  <w:style w:type="character" w:customStyle="1" w:styleId="FootnoteTextChar1">
    <w:name w:val="Footnote Text Char1"/>
    <w:basedOn w:val="Numatytasispastraiposriftas"/>
    <w:uiPriority w:val="99"/>
    <w:semiHidden/>
    <w:rsid w:val="00922D8A"/>
    <w:rPr>
      <w:rFonts w:ascii="Times New Roman" w:eastAsia="Times New Roman" w:hAnsi="Times New Roman" w:cs="Times New Roman"/>
      <w:sz w:val="20"/>
      <w:szCs w:val="20"/>
    </w:rPr>
  </w:style>
  <w:style w:type="character" w:styleId="Puslapioinaosnuoroda">
    <w:name w:val="footnote reference"/>
    <w:rsid w:val="00922D8A"/>
    <w:rPr>
      <w:vertAlign w:val="superscript"/>
    </w:rPr>
  </w:style>
  <w:style w:type="character" w:styleId="Komentaronuoroda">
    <w:name w:val="annotation reference"/>
    <w:rsid w:val="00922D8A"/>
    <w:rPr>
      <w:sz w:val="16"/>
      <w:szCs w:val="16"/>
    </w:rPr>
  </w:style>
  <w:style w:type="character" w:customStyle="1" w:styleId="KomentarotekstasDiagrama">
    <w:name w:val="Komentaro tekstas Diagrama"/>
    <w:link w:val="Komentarotekstas"/>
    <w:rsid w:val="00922D8A"/>
    <w:rPr>
      <w:lang w:val="en-GB"/>
    </w:rPr>
  </w:style>
  <w:style w:type="paragraph" w:styleId="Komentarotekstas">
    <w:name w:val="annotation text"/>
    <w:basedOn w:val="prastasis"/>
    <w:link w:val="KomentarotekstasDiagrama"/>
    <w:rsid w:val="008661CD"/>
    <w:pPr>
      <w:tabs>
        <w:tab w:val="left" w:pos="567"/>
      </w:tabs>
      <w:spacing w:line="260" w:lineRule="exact"/>
    </w:pPr>
    <w:rPr>
      <w:rFonts w:asciiTheme="minorHAnsi" w:eastAsiaTheme="minorHAnsi" w:hAnsiTheme="minorHAnsi" w:cstheme="minorBidi"/>
      <w:szCs w:val="22"/>
      <w:lang w:val="en-GB"/>
    </w:rPr>
  </w:style>
  <w:style w:type="character" w:customStyle="1" w:styleId="CommentTextChar1">
    <w:name w:val="Comment Text Char1"/>
    <w:basedOn w:val="Numatytasispastraiposriftas"/>
    <w:uiPriority w:val="99"/>
    <w:semiHidden/>
    <w:rsid w:val="00922D8A"/>
    <w:rPr>
      <w:rFonts w:ascii="Times New Roman" w:eastAsia="Times New Roman" w:hAnsi="Times New Roman" w:cs="Times New Roman"/>
      <w:sz w:val="20"/>
      <w:szCs w:val="20"/>
    </w:rPr>
  </w:style>
  <w:style w:type="character" w:customStyle="1" w:styleId="KomentarotemaDiagrama">
    <w:name w:val="Komentaro tema Diagrama"/>
    <w:link w:val="Komentarotema"/>
    <w:rsid w:val="00922D8A"/>
    <w:rPr>
      <w:b/>
      <w:bCs/>
      <w:lang w:val="en-GB"/>
    </w:rPr>
  </w:style>
  <w:style w:type="paragraph" w:styleId="Komentarotema">
    <w:name w:val="annotation subject"/>
    <w:basedOn w:val="Komentarotekstas"/>
    <w:next w:val="Komentarotekstas"/>
    <w:link w:val="KomentarotemaDiagrama"/>
    <w:rsid w:val="00922D8A"/>
    <w:rPr>
      <w:b/>
      <w:bCs/>
    </w:rPr>
  </w:style>
  <w:style w:type="character" w:customStyle="1" w:styleId="CommentSubjectChar1">
    <w:name w:val="Comment Subject Char1"/>
    <w:basedOn w:val="CommentTextChar1"/>
    <w:uiPriority w:val="99"/>
    <w:semiHidden/>
    <w:rsid w:val="00922D8A"/>
    <w:rPr>
      <w:rFonts w:ascii="Times New Roman" w:eastAsia="Times New Roman" w:hAnsi="Times New Roman" w:cs="Times New Roman"/>
      <w:b/>
      <w:bCs/>
      <w:sz w:val="20"/>
      <w:szCs w:val="20"/>
    </w:rPr>
  </w:style>
  <w:style w:type="paragraph" w:customStyle="1" w:styleId="BodytextAgency">
    <w:name w:val="Body text (Agency)"/>
    <w:basedOn w:val="prastasis"/>
    <w:link w:val="BodytextAgencyChar"/>
    <w:rsid w:val="00922D8A"/>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922D8A"/>
    <w:rPr>
      <w:rFonts w:ascii="Verdana" w:eastAsia="Verdana" w:hAnsi="Verdana" w:cs="Times New Roman"/>
      <w:sz w:val="18"/>
      <w:szCs w:val="18"/>
      <w:lang w:val="en-GB" w:eastAsia="en-GB"/>
    </w:rPr>
  </w:style>
  <w:style w:type="paragraph" w:customStyle="1" w:styleId="No-numheading1Agency">
    <w:name w:val="No-num heading 1 (Agency)"/>
    <w:basedOn w:val="prastasis"/>
    <w:next w:val="BodytextAgency"/>
    <w:link w:val="No-numheading1AgencyChar"/>
    <w:rsid w:val="008661CD"/>
    <w:pPr>
      <w:keepNext/>
      <w:spacing w:before="280" w:after="220"/>
      <w:outlineLvl w:val="0"/>
    </w:pPr>
    <w:rPr>
      <w:rFonts w:ascii="Verdana" w:eastAsia="Verdana" w:hAnsi="Verdana"/>
      <w:b/>
      <w:bCs/>
      <w:kern w:val="32"/>
      <w:sz w:val="27"/>
      <w:szCs w:val="27"/>
      <w:lang w:val="en-GB" w:eastAsia="en-GB"/>
    </w:rPr>
  </w:style>
  <w:style w:type="character" w:customStyle="1" w:styleId="No-numheading1AgencyChar">
    <w:name w:val="No-num heading 1 (Agency) Char"/>
    <w:link w:val="No-numheading1Agency"/>
    <w:rsid w:val="00922D8A"/>
    <w:rPr>
      <w:rFonts w:ascii="Verdana" w:eastAsia="Verdana" w:hAnsi="Verdana" w:cs="Times New Roman"/>
      <w:b/>
      <w:bCs/>
      <w:kern w:val="32"/>
      <w:sz w:val="27"/>
      <w:szCs w:val="27"/>
      <w:lang w:val="en-GB" w:eastAsia="en-GB"/>
    </w:rPr>
  </w:style>
  <w:style w:type="paragraph" w:customStyle="1" w:styleId="No-numheading2Agency">
    <w:name w:val="No-num heading 2 (Agency)"/>
    <w:basedOn w:val="prastasis"/>
    <w:next w:val="BodytextAgency"/>
    <w:link w:val="No-numheading2AgencyChar"/>
    <w:rsid w:val="008661CD"/>
    <w:pPr>
      <w:keepNext/>
      <w:spacing w:before="280" w:after="220"/>
      <w:outlineLvl w:val="1"/>
    </w:pPr>
    <w:rPr>
      <w:rFonts w:ascii="Verdana" w:eastAsia="Verdana" w:hAnsi="Verdana"/>
      <w:b/>
      <w:bCs/>
      <w:i/>
      <w:kern w:val="32"/>
      <w:sz w:val="20"/>
      <w:szCs w:val="20"/>
      <w:lang w:val="en-GB" w:eastAsia="en-GB"/>
    </w:rPr>
  </w:style>
  <w:style w:type="character" w:customStyle="1" w:styleId="No-numheading2AgencyChar">
    <w:name w:val="No-num heading 2 (Agency) Char"/>
    <w:link w:val="No-numheading2Agency"/>
    <w:rsid w:val="00922D8A"/>
    <w:rPr>
      <w:rFonts w:ascii="Verdana" w:eastAsia="Verdana" w:hAnsi="Verdana" w:cs="Times New Roman"/>
      <w:b/>
      <w:bCs/>
      <w:i/>
      <w:kern w:val="32"/>
      <w:sz w:val="20"/>
      <w:szCs w:val="20"/>
      <w:lang w:val="en-GB" w:eastAsia="en-GB"/>
    </w:rPr>
  </w:style>
  <w:style w:type="character" w:customStyle="1" w:styleId="LaikoantratDiagrama">
    <w:name w:val="Laiško antraštė Diagrama"/>
    <w:link w:val="Laikoantrat"/>
    <w:rsid w:val="00922D8A"/>
    <w:rPr>
      <w:rFonts w:ascii="Arial" w:hAnsi="Arial" w:cs="Arial"/>
      <w:sz w:val="24"/>
      <w:szCs w:val="24"/>
      <w:shd w:val="pct20" w:color="auto" w:fill="auto"/>
      <w:lang w:val="en-GB"/>
    </w:rPr>
  </w:style>
  <w:style w:type="paragraph" w:styleId="Laikoantrat">
    <w:name w:val="Message Header"/>
    <w:basedOn w:val="prastasis"/>
    <w:link w:val="LaikoantratDiagrama"/>
    <w:rsid w:val="008661CD"/>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eastAsiaTheme="minorHAnsi" w:hAnsi="Arial" w:cs="Arial"/>
      <w:sz w:val="24"/>
      <w:lang w:val="en-GB"/>
    </w:rPr>
  </w:style>
  <w:style w:type="character" w:customStyle="1" w:styleId="MessageHeaderChar1">
    <w:name w:val="Message Header Char1"/>
    <w:basedOn w:val="Numatytasispastraiposriftas"/>
    <w:uiPriority w:val="99"/>
    <w:semiHidden/>
    <w:rsid w:val="00922D8A"/>
    <w:rPr>
      <w:rFonts w:asciiTheme="majorHAnsi" w:eastAsiaTheme="majorEastAsia" w:hAnsiTheme="majorHAnsi" w:cstheme="majorBidi"/>
      <w:sz w:val="24"/>
      <w:szCs w:val="24"/>
      <w:shd w:val="pct20" w:color="auto" w:fill="auto"/>
    </w:rPr>
  </w:style>
  <w:style w:type="paragraph" w:styleId="Pavadinimas">
    <w:name w:val="Title"/>
    <w:basedOn w:val="prastasis"/>
    <w:link w:val="PavadinimasDiagrama"/>
    <w:autoRedefine/>
    <w:qFormat/>
    <w:rsid w:val="008661CD"/>
    <w:pPr>
      <w:jc w:val="center"/>
      <w:outlineLvl w:val="0"/>
    </w:pPr>
    <w:rPr>
      <w:b/>
      <w:kern w:val="28"/>
      <w:szCs w:val="20"/>
    </w:rPr>
  </w:style>
  <w:style w:type="character" w:customStyle="1" w:styleId="PavadinimasDiagrama">
    <w:name w:val="Pavadinimas Diagrama"/>
    <w:basedOn w:val="Numatytasispastraiposriftas"/>
    <w:link w:val="Pavadinimas"/>
    <w:rsid w:val="00922D8A"/>
    <w:rPr>
      <w:rFonts w:ascii="Times New Roman" w:eastAsia="Times New Roman" w:hAnsi="Times New Roman" w:cs="Times New Roman"/>
      <w:b/>
      <w:kern w:val="28"/>
      <w:szCs w:val="20"/>
    </w:rPr>
  </w:style>
  <w:style w:type="paragraph" w:styleId="Paprastasistekstas">
    <w:name w:val="Plain Text"/>
    <w:basedOn w:val="prastasis"/>
    <w:link w:val="PaprastasistekstasDiagrama"/>
    <w:uiPriority w:val="99"/>
    <w:rsid w:val="008661C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922D8A"/>
    <w:rPr>
      <w:rFonts w:ascii="Courier New" w:eastAsia="SimSun" w:hAnsi="Courier New" w:cs="Times New Roman"/>
      <w:sz w:val="20"/>
      <w:szCs w:val="20"/>
      <w:lang w:val="en-US"/>
    </w:rPr>
  </w:style>
  <w:style w:type="paragraph" w:styleId="Sraopastraipa">
    <w:name w:val="List Paragraph"/>
    <w:basedOn w:val="prastasis"/>
    <w:uiPriority w:val="34"/>
    <w:qFormat/>
    <w:rsid w:val="008661CD"/>
    <w:pPr>
      <w:ind w:left="720"/>
      <w:contextualSpacing/>
    </w:pPr>
  </w:style>
  <w:style w:type="paragraph" w:styleId="Pataisymai">
    <w:name w:val="Revision"/>
    <w:hidden/>
    <w:uiPriority w:val="99"/>
    <w:semiHidden/>
    <w:rsid w:val="00922D8A"/>
    <w:pPr>
      <w:spacing w:after="0" w:line="240" w:lineRule="auto"/>
    </w:pPr>
    <w:rPr>
      <w:rFonts w:ascii="Times New Roman" w:eastAsia="Times New Roman" w:hAnsi="Times New Roman" w:cs="Times New Roman"/>
      <w:szCs w:val="20"/>
      <w:lang w:val="en-GB"/>
    </w:rPr>
  </w:style>
  <w:style w:type="numbering" w:customStyle="1" w:styleId="NoList1">
    <w:name w:val="No List1"/>
    <w:next w:val="Sraonra"/>
    <w:uiPriority w:val="99"/>
    <w:semiHidden/>
    <w:unhideWhenUsed/>
    <w:rsid w:val="0086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29026</Words>
  <Characters>16545</Characters>
  <Application>Microsoft Office Word</Application>
  <DocSecurity>4</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Cizaite</dc:creator>
  <cp:keywords/>
  <dc:description/>
  <cp:lastModifiedBy>Albina Burkauskaitė</cp:lastModifiedBy>
  <cp:revision>2</cp:revision>
  <dcterms:created xsi:type="dcterms:W3CDTF">2020-07-01T13:26:00Z</dcterms:created>
  <dcterms:modified xsi:type="dcterms:W3CDTF">2020-07-01T13:26:00Z</dcterms:modified>
</cp:coreProperties>
</file>