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C5EC" w14:textId="77777777" w:rsidR="00922D8A" w:rsidRPr="009C0DB0" w:rsidRDefault="00922D8A" w:rsidP="008661CD">
      <w:pPr>
        <w:widowControl w:val="0"/>
      </w:pPr>
    </w:p>
    <w:p w14:paraId="4D38C307" w14:textId="77777777" w:rsidR="00922D8A" w:rsidRPr="009C0DB0" w:rsidRDefault="00922D8A" w:rsidP="008661CD">
      <w:pPr>
        <w:outlineLvl w:val="0"/>
      </w:pPr>
    </w:p>
    <w:p w14:paraId="159ECAA6" w14:textId="77777777" w:rsidR="00922D8A" w:rsidRPr="009C0DB0" w:rsidRDefault="00922D8A" w:rsidP="008661CD">
      <w:pPr>
        <w:outlineLvl w:val="0"/>
      </w:pPr>
    </w:p>
    <w:p w14:paraId="07D0F363" w14:textId="77777777" w:rsidR="00922D8A" w:rsidRPr="009C0DB0" w:rsidRDefault="00922D8A" w:rsidP="008661CD">
      <w:pPr>
        <w:outlineLvl w:val="0"/>
      </w:pPr>
    </w:p>
    <w:p w14:paraId="7615CF77" w14:textId="77777777" w:rsidR="00922D8A" w:rsidRPr="009C0DB0" w:rsidRDefault="00922D8A" w:rsidP="008661CD">
      <w:pPr>
        <w:outlineLvl w:val="0"/>
      </w:pPr>
    </w:p>
    <w:p w14:paraId="3DC4F268" w14:textId="77777777" w:rsidR="00922D8A" w:rsidRPr="009C0DB0" w:rsidRDefault="00922D8A" w:rsidP="008661CD">
      <w:pPr>
        <w:tabs>
          <w:tab w:val="left" w:pos="-1440"/>
          <w:tab w:val="left" w:pos="-720"/>
        </w:tabs>
      </w:pPr>
    </w:p>
    <w:p w14:paraId="47944218" w14:textId="77777777" w:rsidR="00922D8A" w:rsidRPr="009C0DB0" w:rsidRDefault="00922D8A" w:rsidP="008661CD">
      <w:pPr>
        <w:tabs>
          <w:tab w:val="left" w:pos="-1440"/>
          <w:tab w:val="left" w:pos="-720"/>
        </w:tabs>
      </w:pPr>
    </w:p>
    <w:p w14:paraId="1DB8630B" w14:textId="77777777" w:rsidR="00922D8A" w:rsidRPr="009C0DB0" w:rsidRDefault="00922D8A" w:rsidP="008661CD">
      <w:pPr>
        <w:tabs>
          <w:tab w:val="left" w:pos="-1440"/>
          <w:tab w:val="left" w:pos="-720"/>
        </w:tabs>
      </w:pPr>
    </w:p>
    <w:p w14:paraId="45BC6C0C" w14:textId="77777777" w:rsidR="00922D8A" w:rsidRPr="009C0DB0" w:rsidRDefault="00922D8A" w:rsidP="008661CD">
      <w:pPr>
        <w:tabs>
          <w:tab w:val="left" w:pos="-1440"/>
          <w:tab w:val="left" w:pos="-720"/>
        </w:tabs>
      </w:pPr>
    </w:p>
    <w:p w14:paraId="6889D409" w14:textId="77777777" w:rsidR="00922D8A" w:rsidRPr="009C0DB0" w:rsidRDefault="00922D8A" w:rsidP="008661CD">
      <w:pPr>
        <w:tabs>
          <w:tab w:val="left" w:pos="-1440"/>
          <w:tab w:val="left" w:pos="-720"/>
        </w:tabs>
      </w:pPr>
    </w:p>
    <w:p w14:paraId="0A9848A5" w14:textId="77777777" w:rsidR="00922D8A" w:rsidRPr="009C0DB0" w:rsidRDefault="00922D8A" w:rsidP="008661CD">
      <w:pPr>
        <w:tabs>
          <w:tab w:val="left" w:pos="-1440"/>
          <w:tab w:val="left" w:pos="-720"/>
        </w:tabs>
      </w:pPr>
    </w:p>
    <w:p w14:paraId="0F27A096" w14:textId="77777777" w:rsidR="00922D8A" w:rsidRPr="009C0DB0" w:rsidRDefault="00922D8A" w:rsidP="008661CD">
      <w:pPr>
        <w:tabs>
          <w:tab w:val="left" w:pos="-1440"/>
          <w:tab w:val="left" w:pos="-720"/>
        </w:tabs>
      </w:pPr>
    </w:p>
    <w:p w14:paraId="7E484845" w14:textId="77777777" w:rsidR="00922D8A" w:rsidRPr="009C0DB0" w:rsidRDefault="00922D8A" w:rsidP="008661CD">
      <w:pPr>
        <w:tabs>
          <w:tab w:val="left" w:pos="-1440"/>
          <w:tab w:val="left" w:pos="-720"/>
        </w:tabs>
      </w:pPr>
    </w:p>
    <w:p w14:paraId="36097E98" w14:textId="77777777" w:rsidR="00922D8A" w:rsidRPr="009C0DB0" w:rsidRDefault="00922D8A" w:rsidP="008661CD">
      <w:pPr>
        <w:tabs>
          <w:tab w:val="left" w:pos="-1440"/>
          <w:tab w:val="left" w:pos="-720"/>
        </w:tabs>
      </w:pPr>
    </w:p>
    <w:p w14:paraId="254A6D0E" w14:textId="77777777" w:rsidR="00922D8A" w:rsidRPr="009C0DB0" w:rsidRDefault="00922D8A" w:rsidP="008661CD">
      <w:pPr>
        <w:tabs>
          <w:tab w:val="left" w:pos="-1440"/>
          <w:tab w:val="left" w:pos="-720"/>
        </w:tabs>
      </w:pPr>
    </w:p>
    <w:p w14:paraId="334671C7" w14:textId="77777777" w:rsidR="00922D8A" w:rsidRPr="009C0DB0" w:rsidRDefault="00922D8A" w:rsidP="008661CD">
      <w:pPr>
        <w:tabs>
          <w:tab w:val="left" w:pos="-1440"/>
          <w:tab w:val="left" w:pos="-720"/>
        </w:tabs>
      </w:pPr>
    </w:p>
    <w:p w14:paraId="3087A1E8" w14:textId="77777777" w:rsidR="00922D8A" w:rsidRPr="009C0DB0" w:rsidRDefault="00922D8A" w:rsidP="008661CD">
      <w:pPr>
        <w:tabs>
          <w:tab w:val="left" w:pos="-1440"/>
          <w:tab w:val="left" w:pos="-720"/>
        </w:tabs>
      </w:pPr>
    </w:p>
    <w:p w14:paraId="5E5B071D" w14:textId="77777777" w:rsidR="00922D8A" w:rsidRPr="009C0DB0" w:rsidRDefault="00922D8A" w:rsidP="008661CD">
      <w:pPr>
        <w:tabs>
          <w:tab w:val="left" w:pos="-1440"/>
          <w:tab w:val="left" w:pos="-720"/>
        </w:tabs>
      </w:pPr>
    </w:p>
    <w:p w14:paraId="652CC876" w14:textId="77777777" w:rsidR="00922D8A" w:rsidRPr="009C0DB0" w:rsidRDefault="00922D8A" w:rsidP="008661CD">
      <w:pPr>
        <w:tabs>
          <w:tab w:val="left" w:pos="-1440"/>
          <w:tab w:val="left" w:pos="-720"/>
        </w:tabs>
      </w:pPr>
    </w:p>
    <w:p w14:paraId="02134A69" w14:textId="77777777" w:rsidR="00922D8A" w:rsidRPr="009C0DB0" w:rsidRDefault="00922D8A" w:rsidP="008661CD">
      <w:pPr>
        <w:tabs>
          <w:tab w:val="left" w:pos="-1440"/>
          <w:tab w:val="left" w:pos="-720"/>
        </w:tabs>
      </w:pPr>
    </w:p>
    <w:p w14:paraId="391A5511" w14:textId="77777777" w:rsidR="00922D8A" w:rsidRPr="009C0DB0" w:rsidRDefault="00922D8A" w:rsidP="008661CD">
      <w:pPr>
        <w:tabs>
          <w:tab w:val="left" w:pos="-1440"/>
          <w:tab w:val="left" w:pos="-720"/>
        </w:tabs>
      </w:pPr>
    </w:p>
    <w:p w14:paraId="423E4C7D" w14:textId="77777777" w:rsidR="00922D8A" w:rsidRPr="009C0DB0" w:rsidRDefault="00922D8A" w:rsidP="008661CD">
      <w:pPr>
        <w:tabs>
          <w:tab w:val="left" w:pos="-1440"/>
          <w:tab w:val="left" w:pos="-720"/>
        </w:tabs>
      </w:pPr>
    </w:p>
    <w:p w14:paraId="6B0923AF" w14:textId="77777777" w:rsidR="00922D8A" w:rsidRPr="009C0DB0" w:rsidRDefault="00922D8A" w:rsidP="008661CD">
      <w:pPr>
        <w:tabs>
          <w:tab w:val="left" w:pos="-1440"/>
          <w:tab w:val="left" w:pos="-720"/>
        </w:tabs>
      </w:pPr>
    </w:p>
    <w:p w14:paraId="58AAED54"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I PRIEDAS</w:t>
      </w:r>
    </w:p>
    <w:p w14:paraId="305F99FD" w14:textId="77777777" w:rsidR="00922D8A" w:rsidRPr="008661CD" w:rsidRDefault="00922D8A" w:rsidP="008661CD"/>
    <w:p w14:paraId="5EA35D05" w14:textId="77777777" w:rsidR="00922D8A" w:rsidRPr="008661CD" w:rsidRDefault="00922D8A" w:rsidP="008661CD">
      <w:pPr>
        <w:ind w:left="567" w:hanging="567"/>
        <w:jc w:val="center"/>
      </w:pPr>
      <w:r w:rsidRPr="008661CD">
        <w:rPr>
          <w:b/>
        </w:rPr>
        <w:t>PREPARATO CHARAKTERISTIKŲ SANTRAUKA</w:t>
      </w:r>
      <w:r w:rsidRPr="008661CD" w:rsidDel="00C67EE0">
        <w:t xml:space="preserve"> </w:t>
      </w:r>
    </w:p>
    <w:p w14:paraId="3C34680D" w14:textId="77777777" w:rsidR="00922D8A" w:rsidRPr="008661CD" w:rsidRDefault="00922D8A" w:rsidP="008661CD">
      <w:pPr>
        <w:ind w:left="567" w:hanging="567"/>
        <w:jc w:val="center"/>
      </w:pPr>
    </w:p>
    <w:p w14:paraId="41888F64" w14:textId="77777777" w:rsidR="00922D8A" w:rsidRPr="008661CD" w:rsidRDefault="00922D8A" w:rsidP="008661CD">
      <w:pPr>
        <w:ind w:left="567" w:hanging="567"/>
        <w:rPr>
          <w:b/>
        </w:rPr>
      </w:pPr>
      <w:r w:rsidRPr="008661CD">
        <w:br w:type="page"/>
      </w:r>
      <w:r w:rsidRPr="008661CD">
        <w:rPr>
          <w:b/>
        </w:rPr>
        <w:lastRenderedPageBreak/>
        <w:t>1.</w:t>
      </w:r>
      <w:r w:rsidRPr="008661CD">
        <w:rPr>
          <w:b/>
        </w:rPr>
        <w:tab/>
      </w:r>
      <w:r w:rsidRPr="008661CD">
        <w:rPr>
          <w:b/>
          <w:caps/>
        </w:rPr>
        <w:t>VAISTINIO</w:t>
      </w:r>
      <w:r w:rsidRPr="008661CD">
        <w:rPr>
          <w:b/>
        </w:rPr>
        <w:t xml:space="preserve"> PREPARATO PAVADINIMAS</w:t>
      </w:r>
    </w:p>
    <w:p w14:paraId="0E34F77C" w14:textId="41277801" w:rsidR="00922D8A" w:rsidRPr="008661CD" w:rsidRDefault="00922D8A" w:rsidP="008661CD"/>
    <w:p w14:paraId="2107046D" w14:textId="77777777" w:rsidR="00922D8A" w:rsidRPr="00AA08CA" w:rsidRDefault="00922D8A" w:rsidP="008661CD">
      <w:bookmarkStart w:id="0" w:name="_Hlk530746991"/>
      <w:r w:rsidRPr="00AA08CA">
        <w:t>Zinnat 250 mg plėvele dengtos tabletės</w:t>
      </w:r>
    </w:p>
    <w:p w14:paraId="25417BCD" w14:textId="77777777" w:rsidR="00922D8A" w:rsidRPr="008661CD" w:rsidRDefault="00922D8A" w:rsidP="008661CD">
      <w:bookmarkStart w:id="1" w:name="_Hlk530747013"/>
      <w:bookmarkEnd w:id="0"/>
      <w:r w:rsidRPr="008661CD">
        <w:rPr>
          <w:highlight w:val="lightGray"/>
        </w:rPr>
        <w:t>Zinnat 500 mg plėvele dengtos tabletės</w:t>
      </w:r>
    </w:p>
    <w:p w14:paraId="5C3735C5" w14:textId="77777777" w:rsidR="006B5F08" w:rsidRPr="00C07A3C" w:rsidRDefault="006B5F08" w:rsidP="006B5F08">
      <w:pPr>
        <w:rPr>
          <w:rFonts w:eastAsia="Calibri"/>
        </w:rPr>
      </w:pPr>
      <w:bookmarkStart w:id="2" w:name="_Hlk811511"/>
      <w:bookmarkEnd w:id="1"/>
      <w:r w:rsidRPr="004906D7">
        <w:rPr>
          <w:rFonts w:eastAsia="Calibri"/>
          <w:highlight w:val="lightGray"/>
        </w:rPr>
        <w:t>Zinnat 125 mg/5 ml granulės geriamajai suspensijai</w:t>
      </w:r>
    </w:p>
    <w:bookmarkEnd w:id="2"/>
    <w:p w14:paraId="4D16BFA6" w14:textId="77777777" w:rsidR="00922D8A" w:rsidRPr="008661CD" w:rsidRDefault="00922D8A" w:rsidP="008661CD">
      <w:pPr>
        <w:ind w:left="567" w:hanging="567"/>
      </w:pPr>
    </w:p>
    <w:p w14:paraId="7CC33185" w14:textId="77777777" w:rsidR="00922D8A" w:rsidRPr="008661CD" w:rsidRDefault="00922D8A" w:rsidP="008661CD">
      <w:pPr>
        <w:ind w:left="567" w:hanging="567"/>
      </w:pPr>
    </w:p>
    <w:p w14:paraId="674FC2EF" w14:textId="77777777" w:rsidR="00922D8A" w:rsidRPr="008661CD" w:rsidRDefault="00922D8A" w:rsidP="008661CD">
      <w:pPr>
        <w:ind w:left="567" w:hanging="567"/>
        <w:rPr>
          <w:b/>
          <w:caps/>
        </w:rPr>
      </w:pPr>
      <w:r w:rsidRPr="008661CD">
        <w:rPr>
          <w:b/>
          <w:caps/>
        </w:rPr>
        <w:t>2.</w:t>
      </w:r>
      <w:r w:rsidRPr="008661CD">
        <w:rPr>
          <w:b/>
          <w:caps/>
        </w:rPr>
        <w:tab/>
        <w:t>kokybinė ir kiekybinė sudėtis</w:t>
      </w:r>
    </w:p>
    <w:p w14:paraId="4ED09308" w14:textId="77777777" w:rsidR="00922D8A" w:rsidRPr="008661CD" w:rsidRDefault="00922D8A" w:rsidP="008661CD"/>
    <w:p w14:paraId="32A57D43" w14:textId="77777777" w:rsidR="00922D8A" w:rsidRPr="00AA08CA" w:rsidRDefault="00922D8A" w:rsidP="008661CD">
      <w:r w:rsidRPr="00AA08CA">
        <w:t>Zinnat 250 mg plėvele dengtos tabletės</w:t>
      </w:r>
    </w:p>
    <w:p w14:paraId="11C347A3" w14:textId="77777777" w:rsidR="00922D8A" w:rsidRPr="00AA08CA" w:rsidRDefault="00922D8A" w:rsidP="008661CD">
      <w:r w:rsidRPr="00AA08CA">
        <w:t>Vienoje tabletėje yra 250 mg cefuroksimo (cefuroksimo aksetilo pavidalu).</w:t>
      </w:r>
    </w:p>
    <w:p w14:paraId="0B9FF8F5" w14:textId="77777777" w:rsidR="00922D8A" w:rsidRPr="008661CD" w:rsidRDefault="00922D8A" w:rsidP="008661CD">
      <w:pPr>
        <w:rPr>
          <w:highlight w:val="lightGray"/>
        </w:rPr>
      </w:pPr>
    </w:p>
    <w:p w14:paraId="131E8016" w14:textId="77777777" w:rsidR="00922D8A" w:rsidRPr="008661CD" w:rsidRDefault="00922D8A" w:rsidP="008661CD">
      <w:pPr>
        <w:rPr>
          <w:highlight w:val="lightGray"/>
        </w:rPr>
      </w:pPr>
      <w:r w:rsidRPr="008661CD">
        <w:rPr>
          <w:highlight w:val="lightGray"/>
        </w:rPr>
        <w:t>Zinnat 500 mg plėvele dengtos tabletės</w:t>
      </w:r>
    </w:p>
    <w:p w14:paraId="14247E7F" w14:textId="77777777" w:rsidR="00922D8A" w:rsidRPr="008661CD" w:rsidRDefault="00922D8A" w:rsidP="008661CD">
      <w:r w:rsidRPr="008661CD">
        <w:rPr>
          <w:highlight w:val="lightGray"/>
        </w:rPr>
        <w:t>Vienoje tabletėje yra 500 mg cefuroksimo (cefuroksimo aksetilo pavidalu).</w:t>
      </w:r>
    </w:p>
    <w:p w14:paraId="571591F2" w14:textId="77777777" w:rsidR="006B5F08" w:rsidRPr="008661CD" w:rsidRDefault="006B5F08" w:rsidP="006B5F08"/>
    <w:p w14:paraId="718CD983" w14:textId="77777777" w:rsidR="006B5F08" w:rsidRPr="00C07A3C" w:rsidRDefault="006B5F08" w:rsidP="006B5F08">
      <w:pPr>
        <w:rPr>
          <w:rFonts w:eastAsia="Calibri"/>
        </w:rPr>
      </w:pPr>
      <w:bookmarkStart w:id="3" w:name="_Hlk49786297"/>
      <w:r w:rsidRPr="004906D7">
        <w:rPr>
          <w:rFonts w:eastAsia="Calibri"/>
          <w:highlight w:val="lightGray"/>
        </w:rPr>
        <w:t>Zinnat 125 mg/5 ml granulės geriamajai suspensijai</w:t>
      </w:r>
    </w:p>
    <w:p w14:paraId="4381664F" w14:textId="77777777" w:rsidR="006B5F08" w:rsidRPr="004906D7" w:rsidRDefault="006B5F08" w:rsidP="006B5F08">
      <w:pPr>
        <w:rPr>
          <w:rFonts w:eastAsia="Calibri"/>
          <w:highlight w:val="lightGray"/>
        </w:rPr>
      </w:pPr>
      <w:r w:rsidRPr="004906D7">
        <w:rPr>
          <w:rFonts w:eastAsia="Calibri"/>
          <w:highlight w:val="lightGray"/>
        </w:rPr>
        <w:t>5 ml yra 125 mg cefuroksimo (150 mg cefuroksimo aksetilo pavidalu).</w:t>
      </w:r>
    </w:p>
    <w:bookmarkEnd w:id="3"/>
    <w:p w14:paraId="563EB7F2" w14:textId="77777777" w:rsidR="00922D8A" w:rsidRPr="008661CD" w:rsidRDefault="00922D8A" w:rsidP="008661CD"/>
    <w:p w14:paraId="3F239130" w14:textId="77777777" w:rsidR="00922D8A" w:rsidRPr="008661CD" w:rsidRDefault="00922D8A" w:rsidP="008661CD">
      <w:pPr>
        <w:rPr>
          <w:u w:val="single"/>
        </w:rPr>
      </w:pPr>
      <w:r w:rsidRPr="008661CD">
        <w:rPr>
          <w:u w:val="single"/>
        </w:rPr>
        <w:t>Pagalbinės medžiagos, kurių poveikis žinomas</w:t>
      </w:r>
    </w:p>
    <w:p w14:paraId="39569600" w14:textId="77777777" w:rsidR="00922D8A" w:rsidRPr="008661CD" w:rsidRDefault="00922D8A" w:rsidP="008661CD"/>
    <w:p w14:paraId="49C55D89" w14:textId="77777777" w:rsidR="00922D8A" w:rsidRPr="00AA08CA" w:rsidRDefault="00922D8A" w:rsidP="008661CD">
      <w:r w:rsidRPr="00AA08CA">
        <w:t>Zinnat 250 mg plėvele dengtos tabletės</w:t>
      </w:r>
    </w:p>
    <w:p w14:paraId="33A21AF3" w14:textId="6FB94313" w:rsidR="00922D8A" w:rsidRPr="00AA08CA" w:rsidRDefault="002231B0" w:rsidP="008661CD">
      <w:bookmarkStart w:id="4" w:name="_Hlk530747738"/>
      <w:r>
        <w:t>Kiekv</w:t>
      </w:r>
      <w:r w:rsidR="00922D8A" w:rsidRPr="00AA08CA">
        <w:t>ienoje tabletėje yra 0,00203 mg natrio benzoato (E211).</w:t>
      </w:r>
    </w:p>
    <w:bookmarkEnd w:id="4"/>
    <w:p w14:paraId="6884BA35" w14:textId="77777777" w:rsidR="00922D8A" w:rsidRPr="008661CD" w:rsidRDefault="00922D8A" w:rsidP="008661CD">
      <w:pPr>
        <w:rPr>
          <w:highlight w:val="lightGray"/>
        </w:rPr>
      </w:pPr>
    </w:p>
    <w:p w14:paraId="46E87645" w14:textId="77777777" w:rsidR="00922D8A" w:rsidRPr="008661CD" w:rsidRDefault="00922D8A" w:rsidP="008661CD">
      <w:pPr>
        <w:rPr>
          <w:highlight w:val="lightGray"/>
        </w:rPr>
      </w:pPr>
      <w:r w:rsidRPr="008661CD">
        <w:rPr>
          <w:highlight w:val="lightGray"/>
        </w:rPr>
        <w:t>Zinnat 500 mg plėvele dengtos tabletės</w:t>
      </w:r>
    </w:p>
    <w:p w14:paraId="5F0E07EF" w14:textId="651EAC45" w:rsidR="00922D8A" w:rsidRPr="008661CD" w:rsidRDefault="002231B0" w:rsidP="008661CD">
      <w:bookmarkStart w:id="5" w:name="_Hlk530747771"/>
      <w:r>
        <w:rPr>
          <w:highlight w:val="lightGray"/>
        </w:rPr>
        <w:t>Kiekv</w:t>
      </w:r>
      <w:r w:rsidR="00922D8A" w:rsidRPr="008661CD">
        <w:rPr>
          <w:highlight w:val="lightGray"/>
        </w:rPr>
        <w:t>ienoje tabletėje yra 0,00506 mg natrio benzoato (E211).</w:t>
      </w:r>
    </w:p>
    <w:bookmarkEnd w:id="5"/>
    <w:p w14:paraId="40AD1F91" w14:textId="77777777" w:rsidR="00922D8A" w:rsidRPr="008661CD" w:rsidRDefault="00922D8A" w:rsidP="008661CD"/>
    <w:p w14:paraId="70631132" w14:textId="77777777" w:rsidR="006B5F08" w:rsidRPr="00AA08CA" w:rsidRDefault="006B5F08" w:rsidP="006B5F08">
      <w:pPr>
        <w:rPr>
          <w:rFonts w:eastAsia="Calibri"/>
          <w:highlight w:val="lightGray"/>
        </w:rPr>
      </w:pPr>
      <w:bookmarkStart w:id="6" w:name="_Hlk49786304"/>
    </w:p>
    <w:p w14:paraId="2397A347" w14:textId="77777777" w:rsidR="006B5F08" w:rsidRPr="00C07A3C" w:rsidRDefault="006B5F08" w:rsidP="006B5F08">
      <w:pPr>
        <w:rPr>
          <w:rFonts w:eastAsia="Calibri"/>
        </w:rPr>
      </w:pPr>
      <w:bookmarkStart w:id="7" w:name="_Hlk811374"/>
      <w:r w:rsidRPr="004906D7">
        <w:rPr>
          <w:rFonts w:eastAsia="Calibri"/>
          <w:highlight w:val="lightGray"/>
        </w:rPr>
        <w:t>Zinnat 125 mg/5 ml granulės geriamajai suspensijai</w:t>
      </w:r>
    </w:p>
    <w:p w14:paraId="0B5F94DE" w14:textId="77777777" w:rsidR="006B5F08" w:rsidRPr="004906D7" w:rsidRDefault="006B5F08" w:rsidP="006B5F08">
      <w:pPr>
        <w:rPr>
          <w:rFonts w:eastAsia="Calibri"/>
          <w:highlight w:val="lightGray"/>
        </w:rPr>
      </w:pPr>
      <w:r w:rsidRPr="004906D7">
        <w:rPr>
          <w:rFonts w:eastAsia="Calibri"/>
          <w:highlight w:val="lightGray"/>
        </w:rPr>
        <w:t>5 ml dozėje yra 0,021 g aspartamo (E951).</w:t>
      </w:r>
    </w:p>
    <w:p w14:paraId="6CDEB35B" w14:textId="77777777" w:rsidR="006B5F08" w:rsidRPr="004906D7" w:rsidRDefault="006B5F08" w:rsidP="006B5F08">
      <w:pPr>
        <w:rPr>
          <w:rFonts w:eastAsia="Calibri"/>
          <w:highlight w:val="lightGray"/>
        </w:rPr>
      </w:pPr>
      <w:r w:rsidRPr="004906D7">
        <w:rPr>
          <w:rFonts w:eastAsia="Calibri"/>
          <w:highlight w:val="lightGray"/>
        </w:rPr>
        <w:t>5 ml dozėje yra 3,1 g sacharozės.</w:t>
      </w:r>
    </w:p>
    <w:p w14:paraId="3693986E" w14:textId="77777777" w:rsidR="006B5F08" w:rsidRPr="004906D7" w:rsidRDefault="006B5F08" w:rsidP="006B5F08">
      <w:pPr>
        <w:rPr>
          <w:rFonts w:eastAsia="Calibri"/>
          <w:highlight w:val="lightGray"/>
        </w:rPr>
      </w:pPr>
      <w:r w:rsidRPr="004906D7">
        <w:rPr>
          <w:rFonts w:eastAsia="Calibri"/>
          <w:highlight w:val="lightGray"/>
        </w:rPr>
        <w:t>5 ml dozėje yra 6 mg propilenglikolio (E1520).</w:t>
      </w:r>
    </w:p>
    <w:p w14:paraId="574B7CDD" w14:textId="77777777" w:rsidR="006B5F08" w:rsidRPr="004906D7" w:rsidRDefault="006B5F08" w:rsidP="006B5F08">
      <w:pPr>
        <w:rPr>
          <w:rFonts w:eastAsia="Calibri"/>
          <w:highlight w:val="lightGray"/>
        </w:rPr>
      </w:pPr>
      <w:r w:rsidRPr="004906D7">
        <w:rPr>
          <w:rFonts w:eastAsia="Calibri"/>
          <w:highlight w:val="lightGray"/>
        </w:rPr>
        <w:t>5 ml dozėje yra 4,5 mg benzilo alkoholio (E1519).</w:t>
      </w:r>
    </w:p>
    <w:bookmarkEnd w:id="7"/>
    <w:p w14:paraId="06022060" w14:textId="77777777" w:rsidR="008F46C5" w:rsidRDefault="008F46C5" w:rsidP="008661CD"/>
    <w:p w14:paraId="1AA0C08B" w14:textId="77777777" w:rsidR="00922D8A" w:rsidRPr="008661CD" w:rsidRDefault="00922D8A" w:rsidP="008661CD">
      <w:r w:rsidRPr="008F46C5">
        <w:t>Visos pagalbinės medžiagos išvardytos 6.1 skyriuje.</w:t>
      </w:r>
    </w:p>
    <w:bookmarkEnd w:id="6"/>
    <w:p w14:paraId="24075AC8" w14:textId="77777777" w:rsidR="00922D8A" w:rsidRPr="008661CD" w:rsidRDefault="00922D8A" w:rsidP="008661CD">
      <w:pPr>
        <w:ind w:left="567" w:hanging="567"/>
      </w:pPr>
    </w:p>
    <w:p w14:paraId="49326CAB" w14:textId="77777777" w:rsidR="00922D8A" w:rsidRPr="008661CD" w:rsidRDefault="00922D8A" w:rsidP="008661CD">
      <w:pPr>
        <w:ind w:left="567" w:hanging="567"/>
      </w:pPr>
    </w:p>
    <w:p w14:paraId="2E7FB6F0" w14:textId="77777777" w:rsidR="00922D8A" w:rsidRPr="008661CD" w:rsidRDefault="00922D8A" w:rsidP="008661CD">
      <w:pPr>
        <w:ind w:left="567" w:hanging="567"/>
        <w:rPr>
          <w:b/>
          <w:caps/>
        </w:rPr>
      </w:pPr>
      <w:r w:rsidRPr="008661CD">
        <w:rPr>
          <w:b/>
          <w:caps/>
        </w:rPr>
        <w:t>3.</w:t>
      </w:r>
      <w:r w:rsidRPr="008661CD">
        <w:rPr>
          <w:b/>
          <w:caps/>
        </w:rPr>
        <w:tab/>
        <w:t>FARMACINĖ forma</w:t>
      </w:r>
    </w:p>
    <w:p w14:paraId="7499CE5B" w14:textId="77777777" w:rsidR="00922D8A" w:rsidRPr="008661CD" w:rsidRDefault="00922D8A" w:rsidP="008661CD">
      <w:pPr>
        <w:rPr>
          <w:highlight w:val="yellow"/>
        </w:rPr>
      </w:pPr>
    </w:p>
    <w:p w14:paraId="4B8E699A" w14:textId="6600097B" w:rsidR="0012689E" w:rsidRPr="008661CD" w:rsidRDefault="0012689E" w:rsidP="0012689E">
      <w:pPr>
        <w:rPr>
          <w:highlight w:val="lightGray"/>
        </w:rPr>
      </w:pPr>
      <w:r w:rsidRPr="00AA08CA">
        <w:t xml:space="preserve">Zinnat 250 mg, </w:t>
      </w:r>
      <w:r>
        <w:rPr>
          <w:highlight w:val="lightGray"/>
        </w:rPr>
        <w:t>500 mg</w:t>
      </w:r>
      <w:r w:rsidRPr="008661CD">
        <w:rPr>
          <w:highlight w:val="lightGray"/>
        </w:rPr>
        <w:t xml:space="preserve"> plėvele dengtos tabletės</w:t>
      </w:r>
    </w:p>
    <w:p w14:paraId="31760C31" w14:textId="77777777" w:rsidR="00922D8A" w:rsidRPr="008661CD" w:rsidRDefault="00922D8A" w:rsidP="008661CD">
      <w:r w:rsidRPr="008661CD">
        <w:t>Plėvele dengta tabletė (tabletė).</w:t>
      </w:r>
    </w:p>
    <w:p w14:paraId="169731BE" w14:textId="77777777" w:rsidR="0012689E" w:rsidRDefault="0012689E" w:rsidP="0012689E">
      <w:pPr>
        <w:ind w:left="567" w:hanging="567"/>
      </w:pPr>
    </w:p>
    <w:p w14:paraId="415BF17B" w14:textId="77777777" w:rsidR="0012689E" w:rsidRPr="00C07A3C" w:rsidRDefault="0012689E" w:rsidP="0012689E">
      <w:pPr>
        <w:rPr>
          <w:rFonts w:eastAsia="Calibri"/>
        </w:rPr>
      </w:pPr>
      <w:bookmarkStart w:id="8" w:name="_Hlk49786440"/>
      <w:r w:rsidRPr="004906D7">
        <w:rPr>
          <w:rFonts w:eastAsia="Calibri"/>
          <w:highlight w:val="lightGray"/>
        </w:rPr>
        <w:t>Zinnat 125 mg/5 ml granulės geriamajai suspensijai</w:t>
      </w:r>
    </w:p>
    <w:p w14:paraId="7F4BE302" w14:textId="77777777" w:rsidR="0012689E" w:rsidRPr="00DB1866" w:rsidRDefault="0012689E" w:rsidP="0012689E">
      <w:pPr>
        <w:rPr>
          <w:rFonts w:eastAsia="Calibri"/>
          <w:highlight w:val="lightGray"/>
        </w:rPr>
      </w:pPr>
      <w:r w:rsidRPr="006B5F08">
        <w:rPr>
          <w:rFonts w:eastAsia="Calibri"/>
          <w:highlight w:val="lightGray"/>
        </w:rPr>
        <w:t>Granulės geriamajai suspensijai</w:t>
      </w:r>
    </w:p>
    <w:p w14:paraId="4C4B50E9" w14:textId="631B66AC" w:rsidR="001878E5" w:rsidRPr="001878E5" w:rsidRDefault="001878E5" w:rsidP="001878E5">
      <w:pPr>
        <w:rPr>
          <w:rFonts w:eastAsia="Calibri"/>
          <w:iCs/>
          <w:highlight w:val="lightGray"/>
        </w:rPr>
      </w:pPr>
      <w:r w:rsidRPr="00007F6A">
        <w:rPr>
          <w:rFonts w:eastAsia="Calibri"/>
          <w:iCs/>
          <w:highlight w:val="lightGray"/>
        </w:rPr>
        <w:t>Baltos arba beveik baltos spalvos granulės</w:t>
      </w:r>
    </w:p>
    <w:bookmarkEnd w:id="8"/>
    <w:p w14:paraId="3B7F958E" w14:textId="77777777" w:rsidR="006B5F08" w:rsidRPr="008661CD" w:rsidRDefault="006B5F08" w:rsidP="008661CD">
      <w:pPr>
        <w:ind w:left="567" w:hanging="567"/>
      </w:pPr>
    </w:p>
    <w:p w14:paraId="28993B75" w14:textId="77777777" w:rsidR="00922D8A" w:rsidRPr="008661CD" w:rsidRDefault="00922D8A" w:rsidP="008661CD">
      <w:pPr>
        <w:ind w:left="567" w:hanging="567"/>
      </w:pPr>
    </w:p>
    <w:p w14:paraId="198ACD4D" w14:textId="77777777" w:rsidR="00922D8A" w:rsidRPr="008661CD" w:rsidRDefault="00922D8A" w:rsidP="008661CD">
      <w:pPr>
        <w:ind w:left="567" w:hanging="567"/>
        <w:rPr>
          <w:b/>
          <w:caps/>
        </w:rPr>
      </w:pPr>
      <w:r w:rsidRPr="008661CD">
        <w:rPr>
          <w:b/>
          <w:caps/>
        </w:rPr>
        <w:t>4.</w:t>
      </w:r>
      <w:r w:rsidRPr="008661CD">
        <w:rPr>
          <w:b/>
          <w:caps/>
        </w:rPr>
        <w:tab/>
        <w:t>klinikinĖ informacija</w:t>
      </w:r>
    </w:p>
    <w:p w14:paraId="7CF2B59F" w14:textId="77777777" w:rsidR="00922D8A" w:rsidRPr="008661CD" w:rsidRDefault="00922D8A" w:rsidP="008661CD">
      <w:pPr>
        <w:ind w:left="567" w:hanging="567"/>
      </w:pPr>
    </w:p>
    <w:p w14:paraId="062E8CE0" w14:textId="77777777" w:rsidR="00922D8A" w:rsidRPr="008661CD" w:rsidRDefault="00922D8A" w:rsidP="008661CD">
      <w:pPr>
        <w:ind w:left="567" w:hanging="567"/>
        <w:rPr>
          <w:b/>
        </w:rPr>
      </w:pPr>
      <w:r w:rsidRPr="008661CD">
        <w:rPr>
          <w:b/>
        </w:rPr>
        <w:t>4.1</w:t>
      </w:r>
      <w:r w:rsidRPr="008661CD">
        <w:rPr>
          <w:b/>
        </w:rPr>
        <w:tab/>
        <w:t>Terapinės indikacijos</w:t>
      </w:r>
    </w:p>
    <w:p w14:paraId="42DF2772" w14:textId="77777777" w:rsidR="00922D8A" w:rsidRPr="008661CD" w:rsidRDefault="00922D8A" w:rsidP="008661CD">
      <w:pPr>
        <w:ind w:left="567" w:hanging="567"/>
      </w:pPr>
    </w:p>
    <w:p w14:paraId="05F9117E" w14:textId="5EE18230" w:rsidR="00922D8A" w:rsidRPr="008661CD" w:rsidRDefault="00922D8A" w:rsidP="008661CD">
      <w:r w:rsidRPr="008661CD">
        <w:t>Zinnat skirtas suaugusiesiems bei vyresniems kaip 3 mėnesių kūdikiams ir vaikams toliau išvardytoms infekcinėms ligoms gydyti (žr.</w:t>
      </w:r>
      <w:r w:rsidR="009D476A">
        <w:t> </w:t>
      </w:r>
      <w:r w:rsidRPr="008661CD">
        <w:t>4.4 ir 5.1 skyrius).</w:t>
      </w:r>
    </w:p>
    <w:p w14:paraId="3F20B06B" w14:textId="77777777" w:rsidR="00922D8A" w:rsidRPr="008661CD" w:rsidRDefault="00922D8A" w:rsidP="008661CD"/>
    <w:p w14:paraId="641CC1B3" w14:textId="77777777" w:rsidR="00922D8A" w:rsidRPr="008661CD" w:rsidRDefault="00922D8A" w:rsidP="000F3553">
      <w:pPr>
        <w:numPr>
          <w:ilvl w:val="0"/>
          <w:numId w:val="3"/>
        </w:numPr>
        <w:tabs>
          <w:tab w:val="left" w:pos="567"/>
        </w:tabs>
        <w:spacing w:line="260" w:lineRule="exact"/>
        <w:ind w:left="567" w:hanging="567"/>
      </w:pPr>
      <w:r w:rsidRPr="008661CD">
        <w:t>Ūminis streptokokinis tonzilitas ir faringitas.</w:t>
      </w:r>
    </w:p>
    <w:p w14:paraId="3E3FDF25" w14:textId="77777777" w:rsidR="00922D8A" w:rsidRPr="008661CD" w:rsidRDefault="00922D8A" w:rsidP="000F3553">
      <w:pPr>
        <w:numPr>
          <w:ilvl w:val="0"/>
          <w:numId w:val="3"/>
        </w:numPr>
        <w:tabs>
          <w:tab w:val="left" w:pos="567"/>
        </w:tabs>
        <w:spacing w:line="260" w:lineRule="exact"/>
        <w:ind w:left="567" w:hanging="567"/>
      </w:pPr>
      <w:r w:rsidRPr="008661CD">
        <w:t>Ūminis bakterinis sinusitas.</w:t>
      </w:r>
    </w:p>
    <w:p w14:paraId="33607698" w14:textId="77777777" w:rsidR="00922D8A" w:rsidRPr="008661CD" w:rsidRDefault="00922D8A" w:rsidP="000F3553">
      <w:pPr>
        <w:numPr>
          <w:ilvl w:val="0"/>
          <w:numId w:val="3"/>
        </w:numPr>
        <w:tabs>
          <w:tab w:val="left" w:pos="567"/>
        </w:tabs>
        <w:spacing w:line="260" w:lineRule="exact"/>
        <w:ind w:left="567" w:hanging="567"/>
      </w:pPr>
      <w:r w:rsidRPr="008661CD">
        <w:t>Ūminis vidurinės ausies uždegimas.</w:t>
      </w:r>
    </w:p>
    <w:p w14:paraId="25F817E8" w14:textId="0CA46638" w:rsidR="00C77D95" w:rsidRPr="008661CD" w:rsidRDefault="00C77D95" w:rsidP="000F3553">
      <w:pPr>
        <w:numPr>
          <w:ilvl w:val="0"/>
          <w:numId w:val="3"/>
        </w:numPr>
        <w:tabs>
          <w:tab w:val="left" w:pos="567"/>
        </w:tabs>
        <w:spacing w:line="260" w:lineRule="exact"/>
        <w:ind w:left="540" w:hanging="540"/>
      </w:pPr>
      <w:r w:rsidRPr="00C77D95">
        <w:t>Lėtinės obstrukcinės plaučių ligos ūmūs paūmėjimai</w:t>
      </w:r>
    </w:p>
    <w:p w14:paraId="55C49685" w14:textId="77777777" w:rsidR="00922D8A" w:rsidRPr="008661CD" w:rsidRDefault="00922D8A" w:rsidP="000F3553">
      <w:pPr>
        <w:numPr>
          <w:ilvl w:val="0"/>
          <w:numId w:val="3"/>
        </w:numPr>
        <w:tabs>
          <w:tab w:val="left" w:pos="567"/>
        </w:tabs>
        <w:spacing w:line="260" w:lineRule="exact"/>
        <w:ind w:hanging="720"/>
      </w:pPr>
      <w:r w:rsidRPr="008661CD">
        <w:lastRenderedPageBreak/>
        <w:t>Cistitas.</w:t>
      </w:r>
    </w:p>
    <w:p w14:paraId="71CF5BBB" w14:textId="77777777" w:rsidR="00922D8A" w:rsidRPr="008661CD" w:rsidRDefault="00922D8A" w:rsidP="000F3553">
      <w:pPr>
        <w:numPr>
          <w:ilvl w:val="0"/>
          <w:numId w:val="3"/>
        </w:numPr>
        <w:tabs>
          <w:tab w:val="left" w:pos="567"/>
        </w:tabs>
        <w:spacing w:line="260" w:lineRule="exact"/>
        <w:ind w:hanging="720"/>
      </w:pPr>
      <w:r w:rsidRPr="008661CD">
        <w:t>Pielonefritas.</w:t>
      </w:r>
    </w:p>
    <w:p w14:paraId="3AFF18F5" w14:textId="77777777" w:rsidR="00922D8A" w:rsidRPr="008661CD" w:rsidRDefault="00922D8A" w:rsidP="000F3553">
      <w:pPr>
        <w:numPr>
          <w:ilvl w:val="0"/>
          <w:numId w:val="3"/>
        </w:numPr>
        <w:tabs>
          <w:tab w:val="left" w:pos="567"/>
        </w:tabs>
        <w:spacing w:line="260" w:lineRule="exact"/>
        <w:ind w:hanging="720"/>
      </w:pPr>
      <w:r w:rsidRPr="008661CD">
        <w:t>Nekomplikuotos odos ir poodinio audinio infekcinės ligos.</w:t>
      </w:r>
    </w:p>
    <w:p w14:paraId="676D4AF0" w14:textId="77777777" w:rsidR="00922D8A" w:rsidRPr="008661CD" w:rsidRDefault="00922D8A" w:rsidP="000F3553">
      <w:pPr>
        <w:numPr>
          <w:ilvl w:val="0"/>
          <w:numId w:val="3"/>
        </w:numPr>
        <w:tabs>
          <w:tab w:val="left" w:pos="567"/>
        </w:tabs>
        <w:spacing w:line="260" w:lineRule="exact"/>
        <w:ind w:left="567" w:hanging="567"/>
      </w:pPr>
      <w:r w:rsidRPr="008661CD">
        <w:t>Ankstyvosios Laimo ligos stadijos gydymas.</w:t>
      </w:r>
    </w:p>
    <w:p w14:paraId="66E0D484" w14:textId="77777777" w:rsidR="00922D8A" w:rsidRPr="008661CD" w:rsidRDefault="00922D8A" w:rsidP="008661CD"/>
    <w:p w14:paraId="5A45CB68" w14:textId="77777777" w:rsidR="00922D8A" w:rsidRPr="008661CD" w:rsidRDefault="00922D8A" w:rsidP="008661CD">
      <w:r w:rsidRPr="008661CD">
        <w:t>Reikia atsižvelgti į oficialias tinkamo antimikrobinių vaistinių preparatų vartojimo rekomendacijas.</w:t>
      </w:r>
    </w:p>
    <w:p w14:paraId="42992D7F" w14:textId="77777777" w:rsidR="00922D8A" w:rsidRPr="008661CD" w:rsidRDefault="00922D8A" w:rsidP="008661CD"/>
    <w:p w14:paraId="09733D61" w14:textId="77777777" w:rsidR="00922D8A" w:rsidRPr="008661CD" w:rsidRDefault="00922D8A" w:rsidP="008661CD">
      <w:pPr>
        <w:keepNext/>
        <w:tabs>
          <w:tab w:val="left" w:pos="567"/>
        </w:tabs>
        <w:rPr>
          <w:b/>
        </w:rPr>
      </w:pPr>
      <w:r w:rsidRPr="008661CD">
        <w:rPr>
          <w:b/>
        </w:rPr>
        <w:t>4.2</w:t>
      </w:r>
      <w:r w:rsidRPr="008661CD">
        <w:rPr>
          <w:b/>
        </w:rPr>
        <w:tab/>
        <w:t>Dozavimas ir vartojimo metodas</w:t>
      </w:r>
    </w:p>
    <w:p w14:paraId="2506565B" w14:textId="77777777" w:rsidR="00922D8A" w:rsidRPr="008661CD" w:rsidRDefault="00922D8A" w:rsidP="008661CD">
      <w:pPr>
        <w:keepNext/>
        <w:tabs>
          <w:tab w:val="left" w:pos="567"/>
        </w:tabs>
      </w:pPr>
    </w:p>
    <w:p w14:paraId="7F2BA9A9" w14:textId="77777777" w:rsidR="00922D8A" w:rsidRPr="008661CD" w:rsidRDefault="00922D8A" w:rsidP="008661CD">
      <w:pPr>
        <w:keepNext/>
        <w:tabs>
          <w:tab w:val="left" w:pos="567"/>
        </w:tabs>
        <w:rPr>
          <w:u w:val="single"/>
        </w:rPr>
      </w:pPr>
      <w:r w:rsidRPr="008661CD">
        <w:rPr>
          <w:u w:val="single"/>
        </w:rPr>
        <w:t>Dozavimas</w:t>
      </w:r>
    </w:p>
    <w:p w14:paraId="4918B8F9" w14:textId="77777777" w:rsidR="00922D8A" w:rsidRPr="008661CD" w:rsidRDefault="00922D8A" w:rsidP="008661CD">
      <w:pPr>
        <w:keepNext/>
        <w:tabs>
          <w:tab w:val="left" w:pos="567"/>
        </w:tabs>
      </w:pPr>
    </w:p>
    <w:p w14:paraId="63466DB4" w14:textId="77777777" w:rsidR="00C77D95" w:rsidRDefault="00922D8A" w:rsidP="00C77D95">
      <w:r w:rsidRPr="008661CD">
        <w:t>Įprastas gydymo kursas trunka septynias paras (gali svyruoti nuo penkių iki dešimties parų).</w:t>
      </w:r>
      <w:r w:rsidR="00C77D95">
        <w:t xml:space="preserve"> Parenkant cefuroksimo dozę individualiai infekcijai gydyti, reikia atsižvelgti į:</w:t>
      </w:r>
    </w:p>
    <w:p w14:paraId="18366901" w14:textId="77777777" w:rsidR="00C77D95" w:rsidRDefault="00C77D95" w:rsidP="00C77D95"/>
    <w:p w14:paraId="1FEB83E9" w14:textId="0A5A9DCC" w:rsidR="00C77D95" w:rsidRDefault="00C77D95" w:rsidP="00C77D95">
      <w:r>
        <w:t>- numatomus patogenus ir jų tikėtiną jautrumą cefuroksimo aksetiliui,</w:t>
      </w:r>
    </w:p>
    <w:p w14:paraId="29303C3D" w14:textId="3C676AC4" w:rsidR="00C77D95" w:rsidRDefault="00C77D95" w:rsidP="00C77D95">
      <w:r>
        <w:t>- infekcijos sunkumą ir vietą,</w:t>
      </w:r>
    </w:p>
    <w:p w14:paraId="3A83CBA6" w14:textId="77777777" w:rsidR="00C77D95" w:rsidRDefault="00C77D95" w:rsidP="00C77D95">
      <w:r>
        <w:t>- paciento amžių, svorį ir inkstų funkciją; kaip nurodyta toliau.</w:t>
      </w:r>
    </w:p>
    <w:p w14:paraId="4C01A598" w14:textId="77777777" w:rsidR="00C77D95" w:rsidRDefault="00C77D95" w:rsidP="00C77D95"/>
    <w:p w14:paraId="547CF69B" w14:textId="19F21A95" w:rsidR="00922D8A" w:rsidRPr="008661CD" w:rsidRDefault="00C77D95" w:rsidP="00C77D95">
      <w:r>
        <w:t xml:space="preserve">Gydymo trukmė turėtų būti nustatoma atsižvelgiant į infekcijos tipą ir paciento </w:t>
      </w:r>
      <w:r w:rsidR="000540F9">
        <w:t>atsaką</w:t>
      </w:r>
      <w:r>
        <w:t xml:space="preserve"> ir paprastai neturėtų būti ilgesnė nei rekomenduojama.</w:t>
      </w:r>
    </w:p>
    <w:p w14:paraId="590D8374" w14:textId="77777777" w:rsidR="00922D8A" w:rsidRPr="008661CD" w:rsidRDefault="00922D8A" w:rsidP="008661CD">
      <w:pPr>
        <w:rPr>
          <w:u w:val="single"/>
        </w:rPr>
      </w:pPr>
    </w:p>
    <w:p w14:paraId="7678EF99" w14:textId="77777777" w:rsidR="00922D8A" w:rsidRPr="008661CD" w:rsidRDefault="00922D8A" w:rsidP="008661CD">
      <w:pPr>
        <w:keepNext/>
        <w:rPr>
          <w:i/>
        </w:rPr>
      </w:pPr>
      <w:r w:rsidRPr="008661CD">
        <w:rPr>
          <w:i/>
        </w:rPr>
        <w:t>1 lentelė. Suaugusiesiems ir vaikams (</w:t>
      </w:r>
      <w:r w:rsidRPr="008661CD">
        <w:rPr>
          <w:i/>
        </w:rPr>
        <w:sym w:font="Symbol" w:char="F0B3"/>
      </w:r>
      <w:r w:rsidRPr="008661CD">
        <w:rPr>
          <w:i/>
        </w:rPr>
        <w:t> 40 kg)</w:t>
      </w:r>
    </w:p>
    <w:p w14:paraId="188CC775" w14:textId="77777777" w:rsidR="00922D8A" w:rsidRPr="008661CD" w:rsidRDefault="00922D8A" w:rsidP="008661CD">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922D8A" w:rsidRPr="00C510EF" w14:paraId="3EBCE9B9" w14:textId="77777777" w:rsidTr="00894113">
        <w:tc>
          <w:tcPr>
            <w:tcW w:w="4621" w:type="dxa"/>
          </w:tcPr>
          <w:p w14:paraId="6BCC852E" w14:textId="77777777" w:rsidR="00922D8A" w:rsidRPr="008661CD" w:rsidRDefault="00922D8A" w:rsidP="008661CD">
            <w:pPr>
              <w:keepNext/>
              <w:jc w:val="center"/>
              <w:rPr>
                <w:b/>
              </w:rPr>
            </w:pPr>
            <w:r w:rsidRPr="008661CD">
              <w:rPr>
                <w:b/>
              </w:rPr>
              <w:t>Indikacija</w:t>
            </w:r>
          </w:p>
        </w:tc>
        <w:tc>
          <w:tcPr>
            <w:tcW w:w="4621" w:type="dxa"/>
          </w:tcPr>
          <w:p w14:paraId="201E1FF6" w14:textId="77777777" w:rsidR="00922D8A" w:rsidRPr="008661CD" w:rsidRDefault="00922D8A" w:rsidP="008661CD">
            <w:pPr>
              <w:keepNext/>
              <w:jc w:val="center"/>
              <w:rPr>
                <w:b/>
              </w:rPr>
            </w:pPr>
            <w:r w:rsidRPr="008661CD">
              <w:rPr>
                <w:b/>
              </w:rPr>
              <w:t>Dozavimas</w:t>
            </w:r>
          </w:p>
        </w:tc>
      </w:tr>
      <w:tr w:rsidR="00922D8A" w:rsidRPr="00C510EF" w14:paraId="13719A1B" w14:textId="77777777" w:rsidTr="00894113">
        <w:tc>
          <w:tcPr>
            <w:tcW w:w="4621" w:type="dxa"/>
          </w:tcPr>
          <w:p w14:paraId="705F3160" w14:textId="77777777" w:rsidR="00922D8A" w:rsidRPr="008661CD" w:rsidRDefault="00922D8A" w:rsidP="008661CD">
            <w:pPr>
              <w:keepNext/>
            </w:pPr>
            <w:r w:rsidRPr="008661CD">
              <w:t>Ūminis tonzilitas ir faringitas, ūminis bakterinis sinusitas</w:t>
            </w:r>
          </w:p>
        </w:tc>
        <w:tc>
          <w:tcPr>
            <w:tcW w:w="4621" w:type="dxa"/>
          </w:tcPr>
          <w:p w14:paraId="0EF6218B" w14:textId="77777777" w:rsidR="00922D8A" w:rsidRPr="008661CD" w:rsidRDefault="00922D8A" w:rsidP="008661CD">
            <w:pPr>
              <w:keepNext/>
            </w:pPr>
            <w:r w:rsidRPr="008661CD">
              <w:t>250 mg du kartus per parą</w:t>
            </w:r>
          </w:p>
        </w:tc>
      </w:tr>
      <w:tr w:rsidR="00922D8A" w:rsidRPr="00C510EF" w14:paraId="4E92B5A5" w14:textId="77777777" w:rsidTr="00894113">
        <w:tc>
          <w:tcPr>
            <w:tcW w:w="4621" w:type="dxa"/>
          </w:tcPr>
          <w:p w14:paraId="0831B1AA" w14:textId="77777777" w:rsidR="00922D8A" w:rsidRPr="008661CD" w:rsidRDefault="00922D8A" w:rsidP="008661CD">
            <w:r w:rsidRPr="008661CD">
              <w:t>Ūminis vidurinės ausies uždegimas</w:t>
            </w:r>
          </w:p>
        </w:tc>
        <w:tc>
          <w:tcPr>
            <w:tcW w:w="4621" w:type="dxa"/>
          </w:tcPr>
          <w:p w14:paraId="75796E8B" w14:textId="77777777" w:rsidR="00922D8A" w:rsidRPr="008661CD" w:rsidRDefault="00922D8A" w:rsidP="008661CD">
            <w:r w:rsidRPr="008661CD">
              <w:t>500 mg du kartus per parą</w:t>
            </w:r>
          </w:p>
        </w:tc>
      </w:tr>
      <w:tr w:rsidR="00922D8A" w:rsidRPr="00C510EF" w14:paraId="40B8D40D" w14:textId="77777777" w:rsidTr="00894113">
        <w:tc>
          <w:tcPr>
            <w:tcW w:w="4621" w:type="dxa"/>
          </w:tcPr>
          <w:p w14:paraId="6D4F4B30" w14:textId="77F28E5B" w:rsidR="00922D8A" w:rsidRPr="008661CD" w:rsidRDefault="00C77D95" w:rsidP="008661CD">
            <w:r w:rsidRPr="00C77D95">
              <w:t>Lėtinės obstrukcinės plaučių ligos ūmūs paūmėjimai</w:t>
            </w:r>
          </w:p>
        </w:tc>
        <w:tc>
          <w:tcPr>
            <w:tcW w:w="4621" w:type="dxa"/>
          </w:tcPr>
          <w:p w14:paraId="16045EE2" w14:textId="77777777" w:rsidR="00922D8A" w:rsidRPr="008661CD" w:rsidRDefault="00922D8A" w:rsidP="008661CD">
            <w:r w:rsidRPr="008661CD">
              <w:t>500 mg du kartus per parą</w:t>
            </w:r>
          </w:p>
        </w:tc>
      </w:tr>
      <w:tr w:rsidR="00922D8A" w:rsidRPr="00C510EF" w14:paraId="0D777E8C" w14:textId="77777777" w:rsidTr="00894113">
        <w:tc>
          <w:tcPr>
            <w:tcW w:w="4621" w:type="dxa"/>
          </w:tcPr>
          <w:p w14:paraId="0DABC94C" w14:textId="77777777" w:rsidR="00922D8A" w:rsidRPr="008661CD" w:rsidRDefault="00922D8A" w:rsidP="008661CD">
            <w:r w:rsidRPr="008661CD">
              <w:t>Cistitas</w:t>
            </w:r>
          </w:p>
        </w:tc>
        <w:tc>
          <w:tcPr>
            <w:tcW w:w="4621" w:type="dxa"/>
          </w:tcPr>
          <w:p w14:paraId="12562288" w14:textId="77777777" w:rsidR="00922D8A" w:rsidRPr="008661CD" w:rsidRDefault="00922D8A" w:rsidP="008661CD">
            <w:r w:rsidRPr="008661CD">
              <w:t>250 mg du kartus per parą</w:t>
            </w:r>
          </w:p>
        </w:tc>
      </w:tr>
      <w:tr w:rsidR="00922D8A" w:rsidRPr="00C510EF" w14:paraId="15B67065" w14:textId="77777777" w:rsidTr="00894113">
        <w:tc>
          <w:tcPr>
            <w:tcW w:w="4621" w:type="dxa"/>
          </w:tcPr>
          <w:p w14:paraId="3C3E6ABF" w14:textId="77777777" w:rsidR="00922D8A" w:rsidRPr="008661CD" w:rsidRDefault="00922D8A" w:rsidP="008661CD">
            <w:r w:rsidRPr="008661CD">
              <w:t>Pielonefritas</w:t>
            </w:r>
          </w:p>
        </w:tc>
        <w:tc>
          <w:tcPr>
            <w:tcW w:w="4621" w:type="dxa"/>
          </w:tcPr>
          <w:p w14:paraId="4191E978" w14:textId="77777777" w:rsidR="00922D8A" w:rsidRPr="008661CD" w:rsidRDefault="00922D8A" w:rsidP="008661CD">
            <w:r w:rsidRPr="008661CD">
              <w:t>250 mg du kartus per parą</w:t>
            </w:r>
          </w:p>
        </w:tc>
      </w:tr>
      <w:tr w:rsidR="00922D8A" w:rsidRPr="00C510EF" w14:paraId="35EF5C99" w14:textId="77777777" w:rsidTr="00894113">
        <w:tc>
          <w:tcPr>
            <w:tcW w:w="4621" w:type="dxa"/>
          </w:tcPr>
          <w:p w14:paraId="13029754" w14:textId="77777777" w:rsidR="00922D8A" w:rsidRPr="008661CD" w:rsidRDefault="00922D8A" w:rsidP="008661CD">
            <w:r w:rsidRPr="008661CD">
              <w:t>Nekomplikuotos odos ir poodinio audinio infekcinės ligos</w:t>
            </w:r>
          </w:p>
        </w:tc>
        <w:tc>
          <w:tcPr>
            <w:tcW w:w="4621" w:type="dxa"/>
          </w:tcPr>
          <w:p w14:paraId="657433AD" w14:textId="77777777" w:rsidR="00922D8A" w:rsidRPr="008661CD" w:rsidRDefault="00922D8A" w:rsidP="008661CD">
            <w:r w:rsidRPr="008661CD">
              <w:t>250 mg du kartus per parą</w:t>
            </w:r>
          </w:p>
        </w:tc>
      </w:tr>
      <w:tr w:rsidR="00922D8A" w:rsidRPr="00C510EF" w14:paraId="30ED9864" w14:textId="77777777" w:rsidTr="00894113">
        <w:tc>
          <w:tcPr>
            <w:tcW w:w="4621" w:type="dxa"/>
          </w:tcPr>
          <w:p w14:paraId="3AC030E0" w14:textId="77777777" w:rsidR="00922D8A" w:rsidRPr="008661CD" w:rsidRDefault="00922D8A" w:rsidP="008661CD">
            <w:r w:rsidRPr="008661CD">
              <w:t>Laimo liga</w:t>
            </w:r>
          </w:p>
        </w:tc>
        <w:tc>
          <w:tcPr>
            <w:tcW w:w="4621" w:type="dxa"/>
          </w:tcPr>
          <w:p w14:paraId="7A1FCC4D" w14:textId="77777777" w:rsidR="00922D8A" w:rsidRPr="008661CD" w:rsidRDefault="00922D8A" w:rsidP="008661CD">
            <w:r w:rsidRPr="008661CD">
              <w:t>500 mg du kartus per parą 14 parų (nuo 10 iki 21 paros)</w:t>
            </w:r>
          </w:p>
        </w:tc>
      </w:tr>
    </w:tbl>
    <w:p w14:paraId="25FBF5E4" w14:textId="77777777" w:rsidR="00922D8A" w:rsidRPr="008661CD" w:rsidRDefault="00922D8A" w:rsidP="008661CD">
      <w:pPr>
        <w:rPr>
          <w:u w:val="single"/>
          <w:shd w:val="clear" w:color="auto" w:fill="C0C0C0"/>
        </w:rPr>
      </w:pPr>
    </w:p>
    <w:p w14:paraId="4E150332" w14:textId="11C79B1D" w:rsidR="00922D8A" w:rsidRPr="008661CD" w:rsidRDefault="00922D8A" w:rsidP="008661CD">
      <w:pPr>
        <w:rPr>
          <w:i/>
        </w:rPr>
      </w:pPr>
      <w:r w:rsidRPr="008661CD">
        <w:rPr>
          <w:i/>
        </w:rPr>
        <w:t>2 lentelė. Vaikams (&lt; 40 kg)</w:t>
      </w:r>
      <w:r w:rsidR="00C77D95">
        <w:rPr>
          <w:i/>
        </w:rPr>
        <w:t xml:space="preserve"> (žr.3 ir 4 lenteles)</w:t>
      </w:r>
    </w:p>
    <w:p w14:paraId="17286710"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922D8A" w:rsidRPr="00C510EF" w14:paraId="0CE9F921" w14:textId="77777777" w:rsidTr="00894113">
        <w:tc>
          <w:tcPr>
            <w:tcW w:w="4621" w:type="dxa"/>
          </w:tcPr>
          <w:p w14:paraId="040698BF" w14:textId="77777777" w:rsidR="00922D8A" w:rsidRPr="008661CD" w:rsidRDefault="00922D8A" w:rsidP="008661CD">
            <w:pPr>
              <w:jc w:val="center"/>
              <w:rPr>
                <w:b/>
              </w:rPr>
            </w:pPr>
            <w:r w:rsidRPr="008661CD">
              <w:rPr>
                <w:b/>
              </w:rPr>
              <w:t>Indikacija</w:t>
            </w:r>
          </w:p>
        </w:tc>
        <w:tc>
          <w:tcPr>
            <w:tcW w:w="4621" w:type="dxa"/>
          </w:tcPr>
          <w:p w14:paraId="0C1E9941" w14:textId="77777777" w:rsidR="00922D8A" w:rsidRPr="008661CD" w:rsidRDefault="00922D8A" w:rsidP="008661CD">
            <w:pPr>
              <w:jc w:val="center"/>
              <w:rPr>
                <w:b/>
              </w:rPr>
            </w:pPr>
            <w:r w:rsidRPr="008661CD">
              <w:rPr>
                <w:b/>
              </w:rPr>
              <w:t>Dozavimas</w:t>
            </w:r>
          </w:p>
        </w:tc>
      </w:tr>
      <w:tr w:rsidR="00922D8A" w:rsidRPr="00C510EF" w14:paraId="49E41EF8" w14:textId="77777777" w:rsidTr="00894113">
        <w:tc>
          <w:tcPr>
            <w:tcW w:w="4621" w:type="dxa"/>
          </w:tcPr>
          <w:p w14:paraId="07072868" w14:textId="2F4C3D29" w:rsidR="00922D8A" w:rsidRPr="008661CD" w:rsidRDefault="00922D8A" w:rsidP="008661CD">
            <w:r w:rsidRPr="008661CD">
              <w:t>Ūminis tonzilitas ir faringitas</w:t>
            </w:r>
          </w:p>
        </w:tc>
        <w:tc>
          <w:tcPr>
            <w:tcW w:w="4621" w:type="dxa"/>
          </w:tcPr>
          <w:p w14:paraId="38A5C0D9" w14:textId="1AD30A5D" w:rsidR="00922D8A" w:rsidRPr="008661CD" w:rsidRDefault="00922D8A" w:rsidP="008661CD">
            <w:r w:rsidRPr="008661CD">
              <w:t xml:space="preserve">10 mg/kg du kartus per parą, didžiausia dozė – </w:t>
            </w:r>
            <w:r w:rsidR="00626BDC">
              <w:t>250</w:t>
            </w:r>
            <w:r w:rsidR="00626BDC" w:rsidRPr="008661CD">
              <w:t> </w:t>
            </w:r>
            <w:r w:rsidRPr="008661CD">
              <w:t>mg du kartus per parą.</w:t>
            </w:r>
          </w:p>
        </w:tc>
      </w:tr>
      <w:tr w:rsidR="00626BDC" w:rsidRPr="00C510EF" w14:paraId="2A3B0D4E" w14:textId="77777777" w:rsidTr="00894113">
        <w:tc>
          <w:tcPr>
            <w:tcW w:w="4621" w:type="dxa"/>
          </w:tcPr>
          <w:p w14:paraId="3FBCD12A" w14:textId="267D1513" w:rsidR="00626BDC" w:rsidRPr="008661CD" w:rsidRDefault="00626BDC" w:rsidP="008661CD">
            <w:r w:rsidRPr="00626BDC">
              <w:t>Ūminis vidurinės ausies uždegimas</w:t>
            </w:r>
          </w:p>
        </w:tc>
        <w:tc>
          <w:tcPr>
            <w:tcW w:w="4621" w:type="dxa"/>
          </w:tcPr>
          <w:p w14:paraId="49B119E4" w14:textId="5735D8FC" w:rsidR="00626BDC" w:rsidRPr="008661CD" w:rsidRDefault="00626BDC" w:rsidP="008661CD">
            <w:r w:rsidRPr="00626BDC">
              <w:t>15 mg/kg du kartus per parą, didžiausia dozė – 250 mg du kartus per parą.</w:t>
            </w:r>
          </w:p>
        </w:tc>
      </w:tr>
      <w:tr w:rsidR="00922D8A" w:rsidRPr="00C510EF" w14:paraId="648D75C5" w14:textId="77777777" w:rsidTr="00894113">
        <w:tc>
          <w:tcPr>
            <w:tcW w:w="4621" w:type="dxa"/>
          </w:tcPr>
          <w:p w14:paraId="4F84FDA3" w14:textId="3F666658" w:rsidR="00922D8A" w:rsidRPr="008661CD" w:rsidRDefault="00626BDC" w:rsidP="008661CD">
            <w:r w:rsidRPr="00626BDC">
              <w:t>Ūminis bakterinis sinusitas</w:t>
            </w:r>
          </w:p>
        </w:tc>
        <w:tc>
          <w:tcPr>
            <w:tcW w:w="4621" w:type="dxa"/>
          </w:tcPr>
          <w:p w14:paraId="3C03457C" w14:textId="567112C9" w:rsidR="00922D8A" w:rsidRPr="008661CD" w:rsidRDefault="00626BDC" w:rsidP="008661CD">
            <w:r w:rsidRPr="008661CD">
              <w:t>1</w:t>
            </w:r>
            <w:r>
              <w:t xml:space="preserve">0 </w:t>
            </w:r>
            <w:r w:rsidR="00922D8A" w:rsidRPr="008661CD">
              <w:t>mg/kg du kartus per parą, didžiausia dozė – 250 mg du kartus per parą.</w:t>
            </w:r>
          </w:p>
        </w:tc>
      </w:tr>
      <w:tr w:rsidR="00922D8A" w:rsidRPr="00C510EF" w14:paraId="27B4C7A9" w14:textId="77777777" w:rsidTr="00894113">
        <w:tc>
          <w:tcPr>
            <w:tcW w:w="4621" w:type="dxa"/>
          </w:tcPr>
          <w:p w14:paraId="21EBEA99" w14:textId="77777777" w:rsidR="00922D8A" w:rsidRPr="008661CD" w:rsidRDefault="00922D8A" w:rsidP="008661CD">
            <w:r w:rsidRPr="008661CD">
              <w:t>Cistitas</w:t>
            </w:r>
          </w:p>
        </w:tc>
        <w:tc>
          <w:tcPr>
            <w:tcW w:w="4621" w:type="dxa"/>
          </w:tcPr>
          <w:p w14:paraId="7293B5DD" w14:textId="77777777" w:rsidR="00922D8A" w:rsidRPr="008661CD" w:rsidRDefault="00922D8A" w:rsidP="008661CD">
            <w:r w:rsidRPr="008661CD">
              <w:t>15 mg/kg</w:t>
            </w:r>
            <w:r w:rsidRPr="008661CD" w:rsidDel="007B4FE9">
              <w:t xml:space="preserve"> </w:t>
            </w:r>
            <w:r w:rsidRPr="008661CD">
              <w:t>du kartus per parą, didžiausia dozė – 250 mg du kartus per parą.</w:t>
            </w:r>
          </w:p>
        </w:tc>
      </w:tr>
      <w:tr w:rsidR="00922D8A" w:rsidRPr="00C510EF" w14:paraId="50D10A74" w14:textId="77777777" w:rsidTr="00894113">
        <w:tc>
          <w:tcPr>
            <w:tcW w:w="4621" w:type="dxa"/>
          </w:tcPr>
          <w:p w14:paraId="5D5C7948" w14:textId="77777777" w:rsidR="00922D8A" w:rsidRPr="008661CD" w:rsidRDefault="00922D8A" w:rsidP="008661CD">
            <w:r w:rsidRPr="008661CD">
              <w:t>Pielonefritas</w:t>
            </w:r>
          </w:p>
        </w:tc>
        <w:tc>
          <w:tcPr>
            <w:tcW w:w="4621" w:type="dxa"/>
          </w:tcPr>
          <w:p w14:paraId="3FA5A5A9" w14:textId="77777777" w:rsidR="00922D8A" w:rsidRPr="008661CD" w:rsidRDefault="00922D8A" w:rsidP="008661CD">
            <w:r w:rsidRPr="008661CD">
              <w:t>15 mg/kg</w:t>
            </w:r>
            <w:r w:rsidRPr="008661CD" w:rsidDel="007B4FE9">
              <w:t xml:space="preserve"> </w:t>
            </w:r>
            <w:r w:rsidRPr="008661CD">
              <w:t>du kartus per parą, didžiausia dozė – 250 mg du kartus per parą 10</w:t>
            </w:r>
            <w:r w:rsidRPr="008661CD">
              <w:noBreakHyphen/>
              <w:t>14 parų.</w:t>
            </w:r>
          </w:p>
        </w:tc>
      </w:tr>
      <w:tr w:rsidR="00922D8A" w:rsidRPr="00C510EF" w14:paraId="1EA2FD52" w14:textId="77777777" w:rsidTr="00894113">
        <w:tc>
          <w:tcPr>
            <w:tcW w:w="4621" w:type="dxa"/>
          </w:tcPr>
          <w:p w14:paraId="7E8AD79B" w14:textId="77777777" w:rsidR="00922D8A" w:rsidRPr="008661CD" w:rsidRDefault="00922D8A" w:rsidP="008661CD">
            <w:r w:rsidRPr="008661CD">
              <w:t>Nekomplikuotos odos ir poodinio audinio infekcinės ligos</w:t>
            </w:r>
          </w:p>
        </w:tc>
        <w:tc>
          <w:tcPr>
            <w:tcW w:w="4621" w:type="dxa"/>
          </w:tcPr>
          <w:p w14:paraId="2F7E62D9" w14:textId="77777777" w:rsidR="00922D8A" w:rsidRPr="008661CD" w:rsidRDefault="00922D8A" w:rsidP="008661CD">
            <w:r w:rsidRPr="008661CD">
              <w:t>15 mg/kg</w:t>
            </w:r>
            <w:r w:rsidRPr="008661CD" w:rsidDel="007B4FE9">
              <w:t xml:space="preserve"> </w:t>
            </w:r>
            <w:r w:rsidRPr="008661CD">
              <w:t>du kartus per parą, didžiausia dozė – 250 mg du kartus per parą</w:t>
            </w:r>
          </w:p>
        </w:tc>
      </w:tr>
      <w:tr w:rsidR="00922D8A" w:rsidRPr="00C510EF" w14:paraId="13E1E39C" w14:textId="77777777" w:rsidTr="00894113">
        <w:tc>
          <w:tcPr>
            <w:tcW w:w="4621" w:type="dxa"/>
          </w:tcPr>
          <w:p w14:paraId="6DDCE823" w14:textId="77777777" w:rsidR="00922D8A" w:rsidRPr="008661CD" w:rsidRDefault="00922D8A" w:rsidP="008661CD">
            <w:r w:rsidRPr="008661CD">
              <w:t>Laimo liga</w:t>
            </w:r>
          </w:p>
        </w:tc>
        <w:tc>
          <w:tcPr>
            <w:tcW w:w="4621" w:type="dxa"/>
          </w:tcPr>
          <w:p w14:paraId="4EC26D24" w14:textId="77777777" w:rsidR="00922D8A" w:rsidRPr="008661CD" w:rsidRDefault="00922D8A" w:rsidP="008661CD">
            <w:r w:rsidRPr="008661CD">
              <w:t>15 mg/kg per parą du kartus per parą, didžiausia dozė – 250 mg per parą 14 parų (nuo 10 iki 21 paros).</w:t>
            </w:r>
          </w:p>
        </w:tc>
      </w:tr>
    </w:tbl>
    <w:p w14:paraId="5BE58FDE" w14:textId="77777777" w:rsidR="00922D8A" w:rsidRPr="008661CD" w:rsidRDefault="00922D8A" w:rsidP="008661CD">
      <w:pPr>
        <w:rPr>
          <w:u w:val="single"/>
        </w:rPr>
      </w:pPr>
    </w:p>
    <w:p w14:paraId="10CD1A55" w14:textId="77777777" w:rsidR="00922D8A" w:rsidRPr="000F3553" w:rsidRDefault="00922D8A" w:rsidP="008661CD">
      <w:pPr>
        <w:rPr>
          <w:rFonts w:eastAsia="Calibri"/>
        </w:rPr>
      </w:pPr>
      <w:r w:rsidRPr="000F3553">
        <w:rPr>
          <w:rFonts w:eastAsia="Calibri"/>
        </w:rPr>
        <w:t>Zinnat vartojimo jaunesniems kaip 3 mėnesių kūdikiams patirties nėra.</w:t>
      </w:r>
    </w:p>
    <w:p w14:paraId="2777EAD3" w14:textId="77777777" w:rsidR="00922D8A" w:rsidRDefault="00922D8A" w:rsidP="008661CD">
      <w:pPr>
        <w:rPr>
          <w:rFonts w:eastAsia="Calibri"/>
        </w:rPr>
      </w:pPr>
    </w:p>
    <w:p w14:paraId="4E6FE076" w14:textId="63EDF234" w:rsidR="00665806" w:rsidRDefault="00665806" w:rsidP="008661CD">
      <w:pPr>
        <w:rPr>
          <w:rFonts w:eastAsia="Calibri"/>
        </w:rPr>
      </w:pPr>
      <w:r w:rsidRPr="001D5FF7">
        <w:rPr>
          <w:rFonts w:eastAsia="Calibri"/>
          <w:highlight w:val="lightGray"/>
        </w:rPr>
        <w:t>Kūdikiams (nuo 3 mėnesių amžiaus) ir vaikams, kurių kūno masė yra mažesnė nei 40 kg, gali būti geriau koreguoti dozę pagal svorį.</w:t>
      </w:r>
    </w:p>
    <w:p w14:paraId="293B45DC" w14:textId="77777777" w:rsidR="00665806" w:rsidRPr="000F3553" w:rsidRDefault="00665806" w:rsidP="008661CD">
      <w:pPr>
        <w:rPr>
          <w:rFonts w:eastAsia="Calibri"/>
        </w:rPr>
      </w:pPr>
    </w:p>
    <w:p w14:paraId="3E78601E" w14:textId="77777777" w:rsidR="00922D8A" w:rsidRPr="008661CD" w:rsidRDefault="00922D8A" w:rsidP="008661CD">
      <w:pPr>
        <w:rPr>
          <w:shd w:val="clear" w:color="auto" w:fill="C0C0C0"/>
        </w:rPr>
      </w:pPr>
      <w:r w:rsidRPr="000F3553">
        <w:rPr>
          <w:rFonts w:eastAsia="Calibri"/>
        </w:rPr>
        <w:t>Cefuroksimo aksetilo tabletės ir cefuroksimo aksetilo granulės geriamajai suspensijai nėra bioekvivalentiškos ir jų negalima pakeisti vienų kitomis miligramas į miligramą (žr. 5.2 skyrių).</w:t>
      </w:r>
    </w:p>
    <w:p w14:paraId="2B0C32F8" w14:textId="77777777" w:rsidR="00922D8A" w:rsidRDefault="00922D8A" w:rsidP="008661CD">
      <w:pPr>
        <w:rPr>
          <w:u w:val="single"/>
        </w:rPr>
      </w:pPr>
    </w:p>
    <w:p w14:paraId="5B90DFAD" w14:textId="77777777" w:rsidR="002563D5" w:rsidRPr="006B5F08" w:rsidRDefault="002563D5" w:rsidP="002563D5">
      <w:pPr>
        <w:autoSpaceDE w:val="0"/>
        <w:autoSpaceDN w:val="0"/>
        <w:adjustRightInd w:val="0"/>
        <w:rPr>
          <w:rFonts w:eastAsia="Calibri"/>
          <w:color w:val="000000"/>
          <w:highlight w:val="lightGray"/>
        </w:rPr>
      </w:pPr>
    </w:p>
    <w:p w14:paraId="5FE1E496" w14:textId="6E65706B" w:rsidR="002563D5" w:rsidRPr="006B5F08" w:rsidRDefault="002563D5" w:rsidP="002563D5">
      <w:pPr>
        <w:rPr>
          <w:rFonts w:eastAsia="Calibri"/>
          <w:color w:val="000000"/>
          <w:highlight w:val="lightGray"/>
        </w:rPr>
      </w:pPr>
      <w:r w:rsidRPr="006B5F08">
        <w:rPr>
          <w:rFonts w:eastAsia="Calibri"/>
          <w:color w:val="000000"/>
          <w:highlight w:val="lightGray"/>
        </w:rPr>
        <w:t>Toliau esančiose dviejose lentelėse, suskirstant į grupes pagal</w:t>
      </w:r>
      <w:r w:rsidR="00665806">
        <w:rPr>
          <w:rFonts w:eastAsia="Calibri"/>
          <w:color w:val="000000"/>
          <w:highlight w:val="lightGray"/>
        </w:rPr>
        <w:t xml:space="preserve"> kūno</w:t>
      </w:r>
      <w:r w:rsidRPr="006B5F08">
        <w:rPr>
          <w:rFonts w:eastAsia="Calibri"/>
          <w:color w:val="000000"/>
          <w:highlight w:val="lightGray"/>
        </w:rPr>
        <w:t xml:space="preserve"> </w:t>
      </w:r>
      <w:r w:rsidR="00665806">
        <w:rPr>
          <w:rFonts w:eastAsia="Calibri"/>
          <w:color w:val="000000"/>
          <w:highlight w:val="lightGray"/>
        </w:rPr>
        <w:t>svorį</w:t>
      </w:r>
      <w:r w:rsidRPr="006B5F08">
        <w:rPr>
          <w:rFonts w:eastAsia="Calibri"/>
          <w:color w:val="000000"/>
          <w:highlight w:val="lightGray"/>
        </w:rPr>
        <w:t>, pateiktos supaprastinto 125 mg/5 ml daugiadozės suspensijos vartojimo matavimo šaukšteliais (5 ml)</w:t>
      </w:r>
      <w:r w:rsidR="00883879">
        <w:rPr>
          <w:rFonts w:eastAsia="Calibri"/>
          <w:color w:val="000000"/>
          <w:highlight w:val="lightGray"/>
        </w:rPr>
        <w:t>.</w:t>
      </w:r>
    </w:p>
    <w:p w14:paraId="780B3F2E" w14:textId="77777777" w:rsidR="002563D5" w:rsidRPr="006B5F08" w:rsidRDefault="002563D5" w:rsidP="002563D5">
      <w:pPr>
        <w:rPr>
          <w:rFonts w:eastAsia="Calibri"/>
          <w:highlight w:val="lightGray"/>
        </w:rPr>
      </w:pPr>
    </w:p>
    <w:p w14:paraId="76D17FE3" w14:textId="61D1877B" w:rsidR="00627BA5" w:rsidRPr="006B5F08" w:rsidRDefault="002563D5" w:rsidP="002563D5">
      <w:pPr>
        <w:keepNext/>
        <w:tabs>
          <w:tab w:val="left" w:pos="567"/>
        </w:tabs>
        <w:rPr>
          <w:rFonts w:eastAsia="Calibri"/>
          <w:i/>
          <w:highlight w:val="lightGray"/>
        </w:rPr>
      </w:pPr>
      <w:r w:rsidRPr="006B5F08">
        <w:rPr>
          <w:rFonts w:eastAsia="Calibri"/>
          <w:i/>
          <w:highlight w:val="lightGray"/>
        </w:rPr>
        <w:t xml:space="preserve">3 lentelė. 10 mg/kg </w:t>
      </w:r>
      <w:r w:rsidRPr="00627BA5">
        <w:rPr>
          <w:rFonts w:eastAsia="Calibri"/>
          <w:i/>
          <w:highlight w:val="lightGray"/>
        </w:rPr>
        <w:t xml:space="preserve">dozė </w:t>
      </w:r>
      <w:r w:rsidR="00D75713" w:rsidRPr="001D5FF7">
        <w:rPr>
          <w:rFonts w:eastAsia="Calibri"/>
          <w:i/>
          <w:highlight w:val="lightGray"/>
        </w:rPr>
        <w:t>3 mėnesių ir vyresniems vaikams, kurių svoris &lt; 40 kg.</w:t>
      </w:r>
    </w:p>
    <w:p w14:paraId="75AD2156" w14:textId="77777777" w:rsidR="002563D5" w:rsidRPr="006B5F08" w:rsidRDefault="002563D5" w:rsidP="002563D5">
      <w:pPr>
        <w:keepNext/>
        <w:tabs>
          <w:tab w:val="left" w:pos="567"/>
        </w:tabs>
        <w:rPr>
          <w:rFonts w:eastAsia="Calibri"/>
          <w: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11"/>
        <w:gridCol w:w="3119"/>
      </w:tblGrid>
      <w:tr w:rsidR="00883879" w:rsidRPr="006B5F08" w14:paraId="36AAF0FC" w14:textId="77777777" w:rsidTr="001D5FF7">
        <w:trPr>
          <w:jc w:val="center"/>
        </w:trPr>
        <w:tc>
          <w:tcPr>
            <w:tcW w:w="2376" w:type="dxa"/>
          </w:tcPr>
          <w:p w14:paraId="0DE4DAFA" w14:textId="3E475D57" w:rsidR="00883879" w:rsidRPr="006B5F08" w:rsidRDefault="00883879" w:rsidP="00D6299C">
            <w:pPr>
              <w:keepNext/>
              <w:tabs>
                <w:tab w:val="left" w:pos="567"/>
              </w:tabs>
              <w:jc w:val="center"/>
              <w:rPr>
                <w:rFonts w:eastAsia="Calibri"/>
                <w:b/>
                <w:highlight w:val="lightGray"/>
              </w:rPr>
            </w:pPr>
            <w:r>
              <w:rPr>
                <w:rFonts w:eastAsia="Calibri"/>
                <w:b/>
                <w:highlight w:val="lightGray"/>
              </w:rPr>
              <w:t>Svoris (kg)</w:t>
            </w:r>
          </w:p>
        </w:tc>
        <w:tc>
          <w:tcPr>
            <w:tcW w:w="3011" w:type="dxa"/>
          </w:tcPr>
          <w:p w14:paraId="1FB170AE" w14:textId="77777777" w:rsidR="00883879" w:rsidRPr="006B5F08" w:rsidRDefault="00883879" w:rsidP="00D6299C">
            <w:pPr>
              <w:keepNext/>
              <w:tabs>
                <w:tab w:val="left" w:pos="567"/>
              </w:tabs>
              <w:jc w:val="center"/>
              <w:rPr>
                <w:rFonts w:eastAsia="Calibri"/>
                <w:b/>
                <w:highlight w:val="lightGray"/>
              </w:rPr>
            </w:pPr>
            <w:r w:rsidRPr="006B5F08">
              <w:rPr>
                <w:rFonts w:eastAsia="Calibri"/>
                <w:b/>
                <w:highlight w:val="lightGray"/>
              </w:rPr>
              <w:t>Dozė (mg) du kartus per parą</w:t>
            </w:r>
          </w:p>
        </w:tc>
        <w:tc>
          <w:tcPr>
            <w:tcW w:w="3119" w:type="dxa"/>
          </w:tcPr>
          <w:p w14:paraId="753C7E1A" w14:textId="77777777" w:rsidR="00883879" w:rsidRPr="006B5F08" w:rsidRDefault="00883879" w:rsidP="00D6299C">
            <w:pPr>
              <w:keepNext/>
              <w:tabs>
                <w:tab w:val="left" w:pos="567"/>
              </w:tabs>
              <w:jc w:val="center"/>
              <w:rPr>
                <w:rFonts w:eastAsia="Calibri"/>
                <w:b/>
                <w:highlight w:val="lightGray"/>
              </w:rPr>
            </w:pPr>
            <w:r w:rsidRPr="006B5F08">
              <w:rPr>
                <w:rFonts w:eastAsia="Calibri"/>
                <w:b/>
                <w:highlight w:val="lightGray"/>
              </w:rPr>
              <w:t>Kiekis dozėje (ml)</w:t>
            </w:r>
          </w:p>
        </w:tc>
      </w:tr>
      <w:tr w:rsidR="00883879" w:rsidRPr="006B5F08" w14:paraId="60D43A4D" w14:textId="77777777" w:rsidTr="001D5FF7">
        <w:trPr>
          <w:jc w:val="center"/>
        </w:trPr>
        <w:tc>
          <w:tcPr>
            <w:tcW w:w="2376" w:type="dxa"/>
          </w:tcPr>
          <w:p w14:paraId="56EBB7CE" w14:textId="77777777" w:rsidR="00883879" w:rsidRPr="006B5F08" w:rsidRDefault="00883879" w:rsidP="00D6299C">
            <w:pPr>
              <w:keepNext/>
              <w:tabs>
                <w:tab w:val="left" w:pos="567"/>
              </w:tabs>
              <w:rPr>
                <w:rFonts w:eastAsia="Calibri"/>
                <w:highlight w:val="lightGray"/>
              </w:rPr>
            </w:pPr>
          </w:p>
        </w:tc>
        <w:tc>
          <w:tcPr>
            <w:tcW w:w="3011" w:type="dxa"/>
          </w:tcPr>
          <w:p w14:paraId="2BF745E2" w14:textId="77777777" w:rsidR="00883879" w:rsidRPr="006B5F08" w:rsidRDefault="00883879" w:rsidP="00D6299C">
            <w:pPr>
              <w:keepNext/>
              <w:tabs>
                <w:tab w:val="left" w:pos="567"/>
              </w:tabs>
              <w:rPr>
                <w:rFonts w:eastAsia="Calibri"/>
                <w:highlight w:val="lightGray"/>
              </w:rPr>
            </w:pPr>
          </w:p>
        </w:tc>
        <w:tc>
          <w:tcPr>
            <w:tcW w:w="3119" w:type="dxa"/>
          </w:tcPr>
          <w:p w14:paraId="4840C618" w14:textId="3281F166" w:rsidR="00883879" w:rsidRPr="001D5FF7" w:rsidRDefault="00883879" w:rsidP="00D6299C">
            <w:pPr>
              <w:keepNext/>
              <w:tabs>
                <w:tab w:val="left" w:pos="567"/>
              </w:tabs>
              <w:jc w:val="center"/>
              <w:rPr>
                <w:rFonts w:eastAsia="Calibri"/>
                <w:highlight w:val="lightGray"/>
                <w:lang w:val="en-US"/>
              </w:rPr>
            </w:pPr>
            <w:r w:rsidRPr="006B5F08">
              <w:rPr>
                <w:rFonts w:eastAsia="Calibri"/>
                <w:highlight w:val="lightGray"/>
              </w:rPr>
              <w:t>125 mg</w:t>
            </w:r>
            <w:r>
              <w:rPr>
                <w:rFonts w:eastAsia="Calibri"/>
                <w:highlight w:val="lightGray"/>
              </w:rPr>
              <w:t>/5 ml</w:t>
            </w:r>
          </w:p>
        </w:tc>
      </w:tr>
      <w:tr w:rsidR="00883879" w:rsidRPr="006B5F08" w14:paraId="403E04ED" w14:textId="77777777" w:rsidTr="001D5FF7">
        <w:trPr>
          <w:jc w:val="center"/>
        </w:trPr>
        <w:tc>
          <w:tcPr>
            <w:tcW w:w="2376" w:type="dxa"/>
          </w:tcPr>
          <w:p w14:paraId="48CD7390" w14:textId="165197C8" w:rsidR="00883879" w:rsidRPr="006B5F08" w:rsidRDefault="00883879" w:rsidP="00D6299C">
            <w:pPr>
              <w:keepNext/>
              <w:tabs>
                <w:tab w:val="left" w:pos="567"/>
              </w:tabs>
              <w:jc w:val="center"/>
              <w:rPr>
                <w:rFonts w:eastAsia="Calibri"/>
                <w:highlight w:val="lightGray"/>
              </w:rPr>
            </w:pPr>
            <w:r>
              <w:rPr>
                <w:rFonts w:eastAsia="Calibri"/>
                <w:highlight w:val="lightGray"/>
              </w:rPr>
              <w:t>4-6</w:t>
            </w:r>
          </w:p>
        </w:tc>
        <w:tc>
          <w:tcPr>
            <w:tcW w:w="3011" w:type="dxa"/>
          </w:tcPr>
          <w:p w14:paraId="0CD7421E"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40</w:t>
            </w:r>
            <w:r w:rsidRPr="006B5F08">
              <w:rPr>
                <w:rFonts w:eastAsia="Calibri"/>
                <w:highlight w:val="lightGray"/>
              </w:rPr>
              <w:noBreakHyphen/>
              <w:t>60</w:t>
            </w:r>
          </w:p>
        </w:tc>
        <w:tc>
          <w:tcPr>
            <w:tcW w:w="3119" w:type="dxa"/>
          </w:tcPr>
          <w:p w14:paraId="39103478"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2,5</w:t>
            </w:r>
          </w:p>
        </w:tc>
      </w:tr>
      <w:tr w:rsidR="00883879" w:rsidRPr="006B5F08" w14:paraId="378FAB7E" w14:textId="77777777" w:rsidTr="001D5FF7">
        <w:trPr>
          <w:jc w:val="center"/>
        </w:trPr>
        <w:tc>
          <w:tcPr>
            <w:tcW w:w="2376" w:type="dxa"/>
            <w:tcBorders>
              <w:bottom w:val="single" w:sz="4" w:space="0" w:color="auto"/>
            </w:tcBorders>
          </w:tcPr>
          <w:p w14:paraId="264FC3C7" w14:textId="027EF338" w:rsidR="00883879" w:rsidRPr="006B5F08" w:rsidRDefault="00883879" w:rsidP="00D6299C">
            <w:pPr>
              <w:keepNext/>
              <w:tabs>
                <w:tab w:val="left" w:pos="567"/>
              </w:tabs>
              <w:jc w:val="center"/>
              <w:rPr>
                <w:rFonts w:eastAsia="Calibri"/>
                <w:highlight w:val="lightGray"/>
              </w:rPr>
            </w:pPr>
            <w:r>
              <w:rPr>
                <w:rFonts w:eastAsia="Calibri"/>
                <w:highlight w:val="lightGray"/>
              </w:rPr>
              <w:t>6-12,5</w:t>
            </w:r>
          </w:p>
        </w:tc>
        <w:tc>
          <w:tcPr>
            <w:tcW w:w="3011" w:type="dxa"/>
            <w:tcBorders>
              <w:bottom w:val="single" w:sz="4" w:space="0" w:color="auto"/>
            </w:tcBorders>
          </w:tcPr>
          <w:p w14:paraId="5D166E4D" w14:textId="5B454F62"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60</w:t>
            </w:r>
            <w:r w:rsidRPr="006B5F08">
              <w:rPr>
                <w:rFonts w:eastAsia="Calibri"/>
                <w:highlight w:val="lightGray"/>
              </w:rPr>
              <w:noBreakHyphen/>
              <w:t>12</w:t>
            </w:r>
            <w:r>
              <w:rPr>
                <w:rFonts w:eastAsia="Calibri"/>
                <w:highlight w:val="lightGray"/>
              </w:rPr>
              <w:t>5</w:t>
            </w:r>
          </w:p>
        </w:tc>
        <w:tc>
          <w:tcPr>
            <w:tcW w:w="3119" w:type="dxa"/>
            <w:tcBorders>
              <w:bottom w:val="single" w:sz="4" w:space="0" w:color="auto"/>
            </w:tcBorders>
          </w:tcPr>
          <w:p w14:paraId="409264FA"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2,5</w:t>
            </w:r>
            <w:r w:rsidRPr="006B5F08">
              <w:rPr>
                <w:rFonts w:eastAsia="Calibri"/>
                <w:highlight w:val="lightGray"/>
              </w:rPr>
              <w:noBreakHyphen/>
              <w:t>5</w:t>
            </w:r>
          </w:p>
        </w:tc>
      </w:tr>
      <w:tr w:rsidR="00883879" w:rsidRPr="006B5F08" w14:paraId="6E9122E4" w14:textId="77777777" w:rsidTr="001D5FF7">
        <w:trPr>
          <w:jc w:val="center"/>
        </w:trPr>
        <w:tc>
          <w:tcPr>
            <w:tcW w:w="2376" w:type="dxa"/>
            <w:tcBorders>
              <w:top w:val="single" w:sz="4" w:space="0" w:color="auto"/>
              <w:left w:val="single" w:sz="4" w:space="0" w:color="auto"/>
              <w:bottom w:val="single" w:sz="4" w:space="0" w:color="auto"/>
              <w:right w:val="single" w:sz="4" w:space="0" w:color="auto"/>
            </w:tcBorders>
          </w:tcPr>
          <w:p w14:paraId="1DB2CBA1" w14:textId="2BBC143B" w:rsidR="00883879" w:rsidRPr="006B5F08" w:rsidRDefault="00883879" w:rsidP="00D6299C">
            <w:pPr>
              <w:keepNext/>
              <w:tabs>
                <w:tab w:val="left" w:pos="567"/>
              </w:tabs>
              <w:jc w:val="center"/>
              <w:rPr>
                <w:rFonts w:eastAsia="Calibri"/>
                <w:highlight w:val="lightGray"/>
              </w:rPr>
            </w:pPr>
            <w:r>
              <w:rPr>
                <w:rFonts w:eastAsia="Calibri"/>
                <w:highlight w:val="lightGray"/>
              </w:rPr>
              <w:t>12,5-25</w:t>
            </w:r>
          </w:p>
        </w:tc>
        <w:tc>
          <w:tcPr>
            <w:tcW w:w="3011" w:type="dxa"/>
            <w:tcBorders>
              <w:top w:val="single" w:sz="4" w:space="0" w:color="auto"/>
              <w:left w:val="single" w:sz="4" w:space="0" w:color="auto"/>
              <w:bottom w:val="single" w:sz="4" w:space="0" w:color="auto"/>
              <w:right w:val="single" w:sz="4" w:space="0" w:color="auto"/>
            </w:tcBorders>
          </w:tcPr>
          <w:p w14:paraId="6F3AA492" w14:textId="0C650A41"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125</w:t>
            </w:r>
            <w:r>
              <w:rPr>
                <w:rFonts w:eastAsia="Calibri"/>
                <w:highlight w:val="lightGray"/>
              </w:rPr>
              <w:t>-250</w:t>
            </w:r>
          </w:p>
        </w:tc>
        <w:tc>
          <w:tcPr>
            <w:tcW w:w="3119" w:type="dxa"/>
            <w:tcBorders>
              <w:top w:val="single" w:sz="4" w:space="0" w:color="auto"/>
              <w:left w:val="single" w:sz="4" w:space="0" w:color="auto"/>
              <w:bottom w:val="single" w:sz="4" w:space="0" w:color="auto"/>
              <w:right w:val="single" w:sz="4" w:space="0" w:color="auto"/>
            </w:tcBorders>
          </w:tcPr>
          <w:p w14:paraId="37C86103" w14:textId="38E7F0C9"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5</w:t>
            </w:r>
            <w:r>
              <w:rPr>
                <w:rFonts w:eastAsia="Calibri"/>
                <w:highlight w:val="lightGray"/>
              </w:rPr>
              <w:t>-10</w:t>
            </w:r>
          </w:p>
        </w:tc>
      </w:tr>
      <w:tr w:rsidR="00883879" w:rsidRPr="006B5F08" w14:paraId="2C4985C6" w14:textId="77777777" w:rsidTr="001D5FF7">
        <w:trPr>
          <w:jc w:val="center"/>
        </w:trPr>
        <w:tc>
          <w:tcPr>
            <w:tcW w:w="2376" w:type="dxa"/>
            <w:tcBorders>
              <w:top w:val="single" w:sz="4" w:space="0" w:color="auto"/>
              <w:left w:val="single" w:sz="4" w:space="0" w:color="auto"/>
              <w:bottom w:val="single" w:sz="4" w:space="0" w:color="auto"/>
              <w:right w:val="single" w:sz="4" w:space="0" w:color="auto"/>
            </w:tcBorders>
          </w:tcPr>
          <w:p w14:paraId="2B01C36C" w14:textId="416F1E2D" w:rsidR="00883879" w:rsidRPr="006B5F08" w:rsidDel="00627BA5" w:rsidRDefault="00883879" w:rsidP="00D6299C">
            <w:pPr>
              <w:keepNext/>
              <w:tabs>
                <w:tab w:val="left" w:pos="567"/>
              </w:tabs>
              <w:jc w:val="center"/>
              <w:rPr>
                <w:rFonts w:eastAsia="Calibri"/>
                <w:highlight w:val="lightGray"/>
              </w:rPr>
            </w:pPr>
            <w:r>
              <w:rPr>
                <w:rFonts w:eastAsia="Calibri"/>
                <w:highlight w:val="lightGray"/>
              </w:rPr>
              <w:t>Daugiau kaip 25</w:t>
            </w:r>
          </w:p>
        </w:tc>
        <w:tc>
          <w:tcPr>
            <w:tcW w:w="3011" w:type="dxa"/>
            <w:tcBorders>
              <w:top w:val="single" w:sz="4" w:space="0" w:color="auto"/>
              <w:left w:val="single" w:sz="4" w:space="0" w:color="auto"/>
              <w:bottom w:val="single" w:sz="4" w:space="0" w:color="auto"/>
              <w:right w:val="single" w:sz="4" w:space="0" w:color="auto"/>
            </w:tcBorders>
          </w:tcPr>
          <w:p w14:paraId="7DB2C9AB" w14:textId="1417FB48" w:rsidR="00883879" w:rsidRPr="006B5F08" w:rsidRDefault="00883879" w:rsidP="00D6299C">
            <w:pPr>
              <w:keepNext/>
              <w:tabs>
                <w:tab w:val="left" w:pos="567"/>
              </w:tabs>
              <w:jc w:val="center"/>
              <w:rPr>
                <w:rFonts w:eastAsia="Calibri"/>
                <w:highlight w:val="lightGray"/>
              </w:rPr>
            </w:pPr>
            <w:r>
              <w:rPr>
                <w:rFonts w:eastAsia="Calibri"/>
                <w:highlight w:val="lightGray"/>
              </w:rPr>
              <w:t>250</w:t>
            </w:r>
          </w:p>
        </w:tc>
        <w:tc>
          <w:tcPr>
            <w:tcW w:w="3119" w:type="dxa"/>
            <w:tcBorders>
              <w:top w:val="single" w:sz="4" w:space="0" w:color="auto"/>
              <w:left w:val="single" w:sz="4" w:space="0" w:color="auto"/>
              <w:bottom w:val="single" w:sz="4" w:space="0" w:color="auto"/>
              <w:right w:val="single" w:sz="4" w:space="0" w:color="auto"/>
            </w:tcBorders>
          </w:tcPr>
          <w:p w14:paraId="4EEF913E" w14:textId="59A22491" w:rsidR="00883879" w:rsidRPr="006B5F08" w:rsidRDefault="00883879" w:rsidP="00D6299C">
            <w:pPr>
              <w:keepNext/>
              <w:tabs>
                <w:tab w:val="left" w:pos="567"/>
              </w:tabs>
              <w:jc w:val="center"/>
              <w:rPr>
                <w:rFonts w:eastAsia="Calibri"/>
                <w:highlight w:val="lightGray"/>
              </w:rPr>
            </w:pPr>
            <w:r>
              <w:rPr>
                <w:rFonts w:eastAsia="Calibri"/>
                <w:highlight w:val="lightGray"/>
              </w:rPr>
              <w:t>10</w:t>
            </w:r>
          </w:p>
        </w:tc>
      </w:tr>
    </w:tbl>
    <w:p w14:paraId="50F46507" w14:textId="77777777" w:rsidR="002563D5" w:rsidRPr="006B5F08" w:rsidRDefault="002563D5" w:rsidP="002563D5">
      <w:pPr>
        <w:rPr>
          <w:rFonts w:ascii="Calibri" w:eastAsia="Calibri" w:hAnsi="Calibri"/>
          <w:highlight w:val="lightGray"/>
        </w:rPr>
      </w:pPr>
    </w:p>
    <w:p w14:paraId="4AD490F0" w14:textId="6960E490" w:rsidR="002563D5" w:rsidRPr="006B5F08" w:rsidRDefault="002563D5" w:rsidP="002563D5">
      <w:pPr>
        <w:keepNext/>
        <w:rPr>
          <w:rFonts w:eastAsia="Calibri"/>
          <w:i/>
          <w:highlight w:val="lightGray"/>
        </w:rPr>
      </w:pPr>
      <w:r w:rsidRPr="006B5F08">
        <w:rPr>
          <w:rFonts w:eastAsia="Calibri"/>
          <w:i/>
          <w:highlight w:val="lightGray"/>
        </w:rPr>
        <w:t>4 lentelė. 15 mg/kg dozė</w:t>
      </w:r>
      <w:r w:rsidRPr="00627BA5">
        <w:rPr>
          <w:rFonts w:eastAsia="Calibri"/>
          <w:i/>
          <w:highlight w:val="lightGray"/>
        </w:rPr>
        <w:t xml:space="preserve"> </w:t>
      </w:r>
      <w:r w:rsidR="00627BA5" w:rsidRPr="001D5FF7">
        <w:rPr>
          <w:rFonts w:eastAsia="Calibri"/>
          <w:i/>
          <w:highlight w:val="lightGray"/>
        </w:rPr>
        <w:t>3 mėnesių ir vyresniems vaikams, kurių svoris &lt; 40 kg.</w:t>
      </w:r>
    </w:p>
    <w:p w14:paraId="57C92765" w14:textId="77777777" w:rsidR="002563D5" w:rsidRPr="006B5F08" w:rsidRDefault="002563D5" w:rsidP="002563D5">
      <w:pPr>
        <w:keepNext/>
        <w:rPr>
          <w:rFonts w:eastAsia="Calibri"/>
          <w:i/>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703"/>
        <w:gridCol w:w="3402"/>
      </w:tblGrid>
      <w:tr w:rsidR="00883879" w:rsidRPr="006B5F08" w14:paraId="43D3BF0F" w14:textId="77777777" w:rsidTr="001D5FF7">
        <w:trPr>
          <w:jc w:val="center"/>
        </w:trPr>
        <w:tc>
          <w:tcPr>
            <w:tcW w:w="2259" w:type="dxa"/>
          </w:tcPr>
          <w:p w14:paraId="5AF93039" w14:textId="452D4CF1" w:rsidR="00883879" w:rsidRPr="006B5F08" w:rsidRDefault="00883879" w:rsidP="00D6299C">
            <w:pPr>
              <w:keepNext/>
              <w:tabs>
                <w:tab w:val="left" w:pos="567"/>
              </w:tabs>
              <w:jc w:val="center"/>
              <w:rPr>
                <w:rFonts w:eastAsia="Calibri"/>
                <w:b/>
                <w:highlight w:val="lightGray"/>
              </w:rPr>
            </w:pPr>
            <w:r>
              <w:rPr>
                <w:rFonts w:eastAsia="Calibri"/>
                <w:b/>
                <w:highlight w:val="lightGray"/>
              </w:rPr>
              <w:t>Svoris (kg)</w:t>
            </w:r>
          </w:p>
        </w:tc>
        <w:tc>
          <w:tcPr>
            <w:tcW w:w="2703" w:type="dxa"/>
          </w:tcPr>
          <w:p w14:paraId="24BBCF14" w14:textId="77777777" w:rsidR="00883879" w:rsidRPr="006B5F08" w:rsidRDefault="00883879" w:rsidP="00D6299C">
            <w:pPr>
              <w:keepNext/>
              <w:tabs>
                <w:tab w:val="left" w:pos="567"/>
              </w:tabs>
              <w:jc w:val="center"/>
              <w:rPr>
                <w:rFonts w:eastAsia="Calibri"/>
                <w:b/>
                <w:highlight w:val="lightGray"/>
              </w:rPr>
            </w:pPr>
            <w:r w:rsidRPr="006B5F08">
              <w:rPr>
                <w:rFonts w:eastAsia="Calibri"/>
                <w:b/>
                <w:highlight w:val="lightGray"/>
              </w:rPr>
              <w:t>Dozė (mg) du kartus per parą</w:t>
            </w:r>
          </w:p>
        </w:tc>
        <w:tc>
          <w:tcPr>
            <w:tcW w:w="3402" w:type="dxa"/>
          </w:tcPr>
          <w:p w14:paraId="5403F9F9" w14:textId="77777777" w:rsidR="00883879" w:rsidRPr="006B5F08" w:rsidRDefault="00883879" w:rsidP="00D6299C">
            <w:pPr>
              <w:keepNext/>
              <w:tabs>
                <w:tab w:val="left" w:pos="567"/>
              </w:tabs>
              <w:jc w:val="center"/>
              <w:rPr>
                <w:rFonts w:eastAsia="Calibri"/>
                <w:b/>
                <w:highlight w:val="lightGray"/>
              </w:rPr>
            </w:pPr>
            <w:r w:rsidRPr="006B5F08">
              <w:rPr>
                <w:rFonts w:eastAsia="Calibri"/>
                <w:b/>
                <w:highlight w:val="lightGray"/>
              </w:rPr>
              <w:t>Kiekis dozėje (ml)</w:t>
            </w:r>
          </w:p>
        </w:tc>
      </w:tr>
      <w:tr w:rsidR="00883879" w:rsidRPr="006B5F08" w14:paraId="1847BF6D" w14:textId="77777777" w:rsidTr="001D5FF7">
        <w:trPr>
          <w:jc w:val="center"/>
        </w:trPr>
        <w:tc>
          <w:tcPr>
            <w:tcW w:w="2259" w:type="dxa"/>
          </w:tcPr>
          <w:p w14:paraId="2D557672" w14:textId="77777777" w:rsidR="00883879" w:rsidRPr="006B5F08" w:rsidRDefault="00883879" w:rsidP="00D6299C">
            <w:pPr>
              <w:keepNext/>
              <w:tabs>
                <w:tab w:val="left" w:pos="567"/>
              </w:tabs>
              <w:rPr>
                <w:rFonts w:eastAsia="Calibri"/>
                <w:highlight w:val="lightGray"/>
              </w:rPr>
            </w:pPr>
          </w:p>
        </w:tc>
        <w:tc>
          <w:tcPr>
            <w:tcW w:w="2703" w:type="dxa"/>
          </w:tcPr>
          <w:p w14:paraId="42ADBEA4" w14:textId="77777777" w:rsidR="00883879" w:rsidRPr="006B5F08" w:rsidRDefault="00883879" w:rsidP="00D6299C">
            <w:pPr>
              <w:keepNext/>
              <w:tabs>
                <w:tab w:val="left" w:pos="567"/>
              </w:tabs>
              <w:rPr>
                <w:rFonts w:eastAsia="Calibri"/>
                <w:highlight w:val="lightGray"/>
              </w:rPr>
            </w:pPr>
          </w:p>
        </w:tc>
        <w:tc>
          <w:tcPr>
            <w:tcW w:w="3402" w:type="dxa"/>
          </w:tcPr>
          <w:p w14:paraId="1E778182" w14:textId="1C29FD42"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125 mg</w:t>
            </w:r>
            <w:r>
              <w:rPr>
                <w:rFonts w:eastAsia="Calibri"/>
                <w:highlight w:val="lightGray"/>
              </w:rPr>
              <w:t>/ 5 ml</w:t>
            </w:r>
          </w:p>
        </w:tc>
      </w:tr>
      <w:tr w:rsidR="00883879" w:rsidRPr="006B5F08" w14:paraId="62357A76" w14:textId="77777777" w:rsidTr="001D5FF7">
        <w:trPr>
          <w:jc w:val="center"/>
        </w:trPr>
        <w:tc>
          <w:tcPr>
            <w:tcW w:w="2259" w:type="dxa"/>
          </w:tcPr>
          <w:p w14:paraId="1387857A" w14:textId="40D01BA3" w:rsidR="00883879" w:rsidRPr="006B5F08" w:rsidRDefault="00883879" w:rsidP="00D6299C">
            <w:pPr>
              <w:keepNext/>
              <w:tabs>
                <w:tab w:val="left" w:pos="567"/>
              </w:tabs>
              <w:jc w:val="center"/>
              <w:rPr>
                <w:rFonts w:eastAsia="Calibri"/>
                <w:highlight w:val="lightGray"/>
              </w:rPr>
            </w:pPr>
            <w:r>
              <w:rPr>
                <w:rFonts w:eastAsia="Calibri"/>
                <w:highlight w:val="lightGray"/>
              </w:rPr>
              <w:t>4-6</w:t>
            </w:r>
          </w:p>
        </w:tc>
        <w:tc>
          <w:tcPr>
            <w:tcW w:w="2703" w:type="dxa"/>
          </w:tcPr>
          <w:p w14:paraId="51185ABB"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60</w:t>
            </w:r>
            <w:r w:rsidRPr="006B5F08">
              <w:rPr>
                <w:rFonts w:eastAsia="Calibri"/>
                <w:highlight w:val="lightGray"/>
              </w:rPr>
              <w:noBreakHyphen/>
              <w:t>90</w:t>
            </w:r>
          </w:p>
        </w:tc>
        <w:tc>
          <w:tcPr>
            <w:tcW w:w="3402" w:type="dxa"/>
          </w:tcPr>
          <w:p w14:paraId="2E5DA7BA" w14:textId="560DE8C1"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2,5</w:t>
            </w:r>
            <w:r>
              <w:rPr>
                <w:rFonts w:eastAsia="Calibri"/>
                <w:highlight w:val="lightGray"/>
              </w:rPr>
              <w:t>-5</w:t>
            </w:r>
          </w:p>
        </w:tc>
      </w:tr>
      <w:tr w:rsidR="00883879" w:rsidRPr="006B5F08" w14:paraId="54F988ED" w14:textId="77777777" w:rsidTr="001D5FF7">
        <w:trPr>
          <w:jc w:val="center"/>
        </w:trPr>
        <w:tc>
          <w:tcPr>
            <w:tcW w:w="2259" w:type="dxa"/>
          </w:tcPr>
          <w:p w14:paraId="38A7E4E6" w14:textId="5488CCBF" w:rsidR="00883879" w:rsidRPr="006B5F08" w:rsidRDefault="00883879" w:rsidP="00D6299C">
            <w:pPr>
              <w:keepNext/>
              <w:tabs>
                <w:tab w:val="left" w:pos="567"/>
              </w:tabs>
              <w:jc w:val="center"/>
              <w:rPr>
                <w:rFonts w:eastAsia="Calibri"/>
                <w:highlight w:val="lightGray"/>
              </w:rPr>
            </w:pPr>
            <w:r>
              <w:rPr>
                <w:rFonts w:eastAsia="Calibri"/>
                <w:highlight w:val="lightGray"/>
              </w:rPr>
              <w:t>6-12</w:t>
            </w:r>
          </w:p>
        </w:tc>
        <w:tc>
          <w:tcPr>
            <w:tcW w:w="2703" w:type="dxa"/>
          </w:tcPr>
          <w:p w14:paraId="1C0511D7"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90</w:t>
            </w:r>
            <w:r w:rsidRPr="006B5F08">
              <w:rPr>
                <w:rFonts w:eastAsia="Calibri"/>
                <w:highlight w:val="lightGray"/>
              </w:rPr>
              <w:noBreakHyphen/>
              <w:t>180</w:t>
            </w:r>
          </w:p>
        </w:tc>
        <w:tc>
          <w:tcPr>
            <w:tcW w:w="3402" w:type="dxa"/>
          </w:tcPr>
          <w:p w14:paraId="098A271F"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5</w:t>
            </w:r>
            <w:r w:rsidRPr="006B5F08">
              <w:rPr>
                <w:rFonts w:eastAsia="Calibri"/>
                <w:highlight w:val="lightGray"/>
              </w:rPr>
              <w:noBreakHyphen/>
              <w:t>7,5</w:t>
            </w:r>
          </w:p>
        </w:tc>
      </w:tr>
      <w:tr w:rsidR="00883879" w:rsidRPr="00C07A3C" w14:paraId="543C3F6F" w14:textId="77777777" w:rsidTr="001D5FF7">
        <w:trPr>
          <w:jc w:val="center"/>
        </w:trPr>
        <w:tc>
          <w:tcPr>
            <w:tcW w:w="2259" w:type="dxa"/>
          </w:tcPr>
          <w:p w14:paraId="0406D6CD" w14:textId="64E87B78" w:rsidR="00883879" w:rsidRPr="006B5F08" w:rsidRDefault="00883879" w:rsidP="00D6299C">
            <w:pPr>
              <w:keepNext/>
              <w:tabs>
                <w:tab w:val="left" w:pos="567"/>
              </w:tabs>
              <w:jc w:val="center"/>
              <w:rPr>
                <w:rFonts w:eastAsia="Calibri"/>
                <w:highlight w:val="lightGray"/>
              </w:rPr>
            </w:pPr>
            <w:r>
              <w:rPr>
                <w:rFonts w:eastAsia="Calibri"/>
                <w:highlight w:val="lightGray"/>
              </w:rPr>
              <w:t>12-16</w:t>
            </w:r>
          </w:p>
        </w:tc>
        <w:tc>
          <w:tcPr>
            <w:tcW w:w="2703" w:type="dxa"/>
          </w:tcPr>
          <w:p w14:paraId="156B1CC4" w14:textId="45D5A314"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180-2</w:t>
            </w:r>
            <w:r>
              <w:rPr>
                <w:rFonts w:eastAsia="Calibri"/>
                <w:highlight w:val="lightGray"/>
              </w:rPr>
              <w:t>40</w:t>
            </w:r>
          </w:p>
        </w:tc>
        <w:tc>
          <w:tcPr>
            <w:tcW w:w="3402" w:type="dxa"/>
          </w:tcPr>
          <w:p w14:paraId="493B37B6" w14:textId="77777777" w:rsidR="00883879" w:rsidRPr="006B5F08" w:rsidRDefault="00883879" w:rsidP="00D6299C">
            <w:pPr>
              <w:keepNext/>
              <w:tabs>
                <w:tab w:val="left" w:pos="567"/>
              </w:tabs>
              <w:jc w:val="center"/>
              <w:rPr>
                <w:rFonts w:eastAsia="Calibri"/>
                <w:highlight w:val="lightGray"/>
              </w:rPr>
            </w:pPr>
            <w:r w:rsidRPr="006B5F08">
              <w:rPr>
                <w:rFonts w:eastAsia="Calibri"/>
                <w:highlight w:val="lightGray"/>
              </w:rPr>
              <w:t>7,5-10</w:t>
            </w:r>
          </w:p>
        </w:tc>
      </w:tr>
      <w:tr w:rsidR="00883879" w:rsidRPr="00C07A3C" w14:paraId="75840EA0" w14:textId="77777777" w:rsidTr="001D5FF7">
        <w:trPr>
          <w:jc w:val="center"/>
        </w:trPr>
        <w:tc>
          <w:tcPr>
            <w:tcW w:w="2259" w:type="dxa"/>
          </w:tcPr>
          <w:p w14:paraId="617B2E8B" w14:textId="019BE3BE" w:rsidR="00883879" w:rsidRPr="006B5F08" w:rsidDel="00627BA5" w:rsidRDefault="00883879" w:rsidP="00D6299C">
            <w:pPr>
              <w:keepNext/>
              <w:tabs>
                <w:tab w:val="left" w:pos="567"/>
              </w:tabs>
              <w:jc w:val="center"/>
              <w:rPr>
                <w:rFonts w:eastAsia="Calibri"/>
                <w:highlight w:val="lightGray"/>
              </w:rPr>
            </w:pPr>
            <w:r>
              <w:rPr>
                <w:rFonts w:eastAsia="Calibri"/>
                <w:highlight w:val="lightGray"/>
              </w:rPr>
              <w:t>Daugiau kaip 16</w:t>
            </w:r>
          </w:p>
        </w:tc>
        <w:tc>
          <w:tcPr>
            <w:tcW w:w="2703" w:type="dxa"/>
          </w:tcPr>
          <w:p w14:paraId="4DB5738C" w14:textId="7057E4E8" w:rsidR="00883879" w:rsidRPr="006B5F08" w:rsidRDefault="00883879" w:rsidP="00D6299C">
            <w:pPr>
              <w:keepNext/>
              <w:tabs>
                <w:tab w:val="left" w:pos="567"/>
              </w:tabs>
              <w:jc w:val="center"/>
              <w:rPr>
                <w:rFonts w:eastAsia="Calibri"/>
                <w:highlight w:val="lightGray"/>
              </w:rPr>
            </w:pPr>
            <w:r>
              <w:rPr>
                <w:rFonts w:eastAsia="Calibri"/>
                <w:highlight w:val="lightGray"/>
              </w:rPr>
              <w:t>250</w:t>
            </w:r>
          </w:p>
        </w:tc>
        <w:tc>
          <w:tcPr>
            <w:tcW w:w="3402" w:type="dxa"/>
          </w:tcPr>
          <w:p w14:paraId="451E8EA9" w14:textId="0F14D747" w:rsidR="00883879" w:rsidRPr="006B5F08" w:rsidRDefault="00883879" w:rsidP="00D6299C">
            <w:pPr>
              <w:keepNext/>
              <w:tabs>
                <w:tab w:val="left" w:pos="567"/>
              </w:tabs>
              <w:jc w:val="center"/>
              <w:rPr>
                <w:rFonts w:eastAsia="Calibri"/>
                <w:highlight w:val="lightGray"/>
              </w:rPr>
            </w:pPr>
            <w:r>
              <w:rPr>
                <w:rFonts w:eastAsia="Calibri"/>
                <w:highlight w:val="lightGray"/>
              </w:rPr>
              <w:t>10</w:t>
            </w:r>
          </w:p>
        </w:tc>
      </w:tr>
    </w:tbl>
    <w:p w14:paraId="265A75CB" w14:textId="77777777" w:rsidR="002563D5" w:rsidRPr="00C07A3C" w:rsidRDefault="002563D5" w:rsidP="002563D5">
      <w:pPr>
        <w:rPr>
          <w:rFonts w:eastAsia="Calibri"/>
          <w:i/>
        </w:rPr>
      </w:pPr>
    </w:p>
    <w:p w14:paraId="7765B8DF" w14:textId="77777777" w:rsidR="002563D5" w:rsidRPr="00C07A3C" w:rsidRDefault="002563D5" w:rsidP="002563D5">
      <w:pPr>
        <w:rPr>
          <w:rFonts w:eastAsia="Calibri"/>
          <w:highlight w:val="lightGray"/>
        </w:rPr>
      </w:pPr>
      <w:r w:rsidRPr="00C07A3C">
        <w:rPr>
          <w:rFonts w:eastAsia="Calibri"/>
          <w:highlight w:val="lightGray"/>
        </w:rPr>
        <w:t>Kad būtų lengviau laikytis gydytojo nurodymų ir tiksliau dozuojama labai mažiems vaikams, kartu su daugiadoziu buteliuku gali būti tiekiamas dozavimo švirkštas.</w:t>
      </w:r>
    </w:p>
    <w:p w14:paraId="147231D5" w14:textId="77777777" w:rsidR="002563D5" w:rsidRPr="00C07A3C" w:rsidRDefault="002563D5" w:rsidP="002563D5">
      <w:pPr>
        <w:rPr>
          <w:rFonts w:eastAsia="Calibri"/>
          <w:highlight w:val="lightGray"/>
        </w:rPr>
      </w:pPr>
    </w:p>
    <w:p w14:paraId="7BEE84BA" w14:textId="77777777" w:rsidR="002563D5" w:rsidRPr="00C07A3C" w:rsidRDefault="002563D5" w:rsidP="002563D5">
      <w:pPr>
        <w:rPr>
          <w:rFonts w:eastAsia="Calibri"/>
          <w:highlight w:val="lightGray"/>
        </w:rPr>
      </w:pPr>
      <w:r w:rsidRPr="00C07A3C">
        <w:rPr>
          <w:rFonts w:eastAsia="Calibri"/>
          <w:highlight w:val="lightGray"/>
        </w:rPr>
        <w:t>Jeigu reikia, dozavimo švirkštą galima naudoti ir vyresniems vaikams (prašome atkreipti dėmesį į toliau esančias dozavimo lenteles).</w:t>
      </w:r>
    </w:p>
    <w:p w14:paraId="0866D74C" w14:textId="77777777" w:rsidR="002563D5" w:rsidRPr="00C07A3C" w:rsidRDefault="002563D5" w:rsidP="002563D5">
      <w:pPr>
        <w:rPr>
          <w:rFonts w:eastAsia="Calibri"/>
          <w:highlight w:val="lightGray"/>
        </w:rPr>
      </w:pPr>
    </w:p>
    <w:p w14:paraId="6C5E3EAC" w14:textId="77777777" w:rsidR="002563D5" w:rsidRPr="00C07A3C" w:rsidRDefault="002563D5" w:rsidP="002563D5">
      <w:pPr>
        <w:rPr>
          <w:rFonts w:eastAsia="Calibri"/>
          <w:highlight w:val="lightGray"/>
        </w:rPr>
      </w:pPr>
      <w:bookmarkStart w:id="9" w:name="_Hlk812268"/>
      <w:r w:rsidRPr="00C07A3C">
        <w:rPr>
          <w:rFonts w:eastAsia="Calibri"/>
          <w:highlight w:val="lightGray"/>
        </w:rPr>
        <w:t>Skiriant 10 mg/kg dozę vaikui, kurio kūno masė yra „M”, vartojančiam 125 mg/5 ml suspensiją, suspensijos kiekis mililitrais, kurį reikia sugirdyti vaikui, apskaičiuojamas pagal formulę: (10 x M x 5) / 125</w:t>
      </w:r>
    </w:p>
    <w:p w14:paraId="769731EF" w14:textId="77777777" w:rsidR="002563D5" w:rsidRPr="00C07A3C" w:rsidRDefault="002563D5" w:rsidP="002563D5">
      <w:pPr>
        <w:rPr>
          <w:rFonts w:eastAsia="Calibri"/>
          <w:highlight w:val="lightGray"/>
        </w:rPr>
      </w:pPr>
    </w:p>
    <w:bookmarkEnd w:id="9"/>
    <w:p w14:paraId="0561C7EA" w14:textId="77777777" w:rsidR="002563D5" w:rsidRPr="00C07A3C" w:rsidRDefault="002563D5" w:rsidP="002563D5">
      <w:pPr>
        <w:rPr>
          <w:rFonts w:eastAsia="Calibri"/>
          <w:highlight w:val="lightGray"/>
        </w:rPr>
      </w:pPr>
    </w:p>
    <w:p w14:paraId="133F164E" w14:textId="77777777" w:rsidR="002563D5" w:rsidRPr="00C07A3C" w:rsidRDefault="002563D5" w:rsidP="002563D5">
      <w:pPr>
        <w:rPr>
          <w:rFonts w:eastAsia="Calibri"/>
          <w:highlight w:val="lightGray"/>
        </w:rPr>
      </w:pPr>
      <w:r w:rsidRPr="00C07A3C">
        <w:rPr>
          <w:rFonts w:eastAsia="Calibri"/>
          <w:highlight w:val="lightGray"/>
        </w:rPr>
        <w:t>Kai kurie apskaičiuotų vaikų dozavimo švirkštuose esančių dozių pavyzdžiai, išreikšti mililitrais arba miligramais, atsižvelgiant į vaiko kūno masę kilogramais, nurodyti toliau esančioje lentelėje.</w:t>
      </w:r>
    </w:p>
    <w:p w14:paraId="76476DF2" w14:textId="77777777" w:rsidR="002563D5" w:rsidRPr="00C07A3C" w:rsidRDefault="002563D5" w:rsidP="002563D5">
      <w:pPr>
        <w:rPr>
          <w:rFonts w:eastAsia="Calibri"/>
          <w:highlight w:val="lightGray"/>
        </w:rPr>
      </w:pPr>
    </w:p>
    <w:p w14:paraId="2D51E549" w14:textId="77777777" w:rsidR="002563D5" w:rsidRDefault="002563D5" w:rsidP="002563D5">
      <w:pPr>
        <w:rPr>
          <w:rFonts w:eastAsia="Calibri"/>
          <w:i/>
          <w:highlight w:val="lightGray"/>
        </w:rPr>
      </w:pPr>
      <w:r w:rsidRPr="00C07A3C">
        <w:rPr>
          <w:rFonts w:eastAsia="Calibri"/>
          <w:i/>
          <w:highlight w:val="lightGray"/>
        </w:rPr>
        <w:t>5 lentelė. 10 mg/kg/dozėje (dozavimo vaikų populiacijos pacientams švirkštas)</w:t>
      </w:r>
    </w:p>
    <w:p w14:paraId="67E7F28A" w14:textId="77777777" w:rsidR="008A1C72" w:rsidRPr="00C07A3C" w:rsidRDefault="008A1C72" w:rsidP="002563D5">
      <w:pPr>
        <w:rPr>
          <w:rFonts w:eastAsia="Calibri"/>
          <w:i/>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302"/>
        <w:gridCol w:w="3685"/>
        <w:gridCol w:w="47"/>
      </w:tblGrid>
      <w:tr w:rsidR="008A1C72" w:rsidRPr="00C07A3C" w14:paraId="2C762E95" w14:textId="77777777" w:rsidTr="001D5FF7">
        <w:trPr>
          <w:gridAfter w:val="1"/>
          <w:wAfter w:w="47" w:type="dxa"/>
          <w:cantSplit/>
        </w:trPr>
        <w:tc>
          <w:tcPr>
            <w:tcW w:w="4282" w:type="dxa"/>
            <w:gridSpan w:val="2"/>
          </w:tcPr>
          <w:p w14:paraId="5EB76582" w14:textId="54507FEE" w:rsidR="008A1C72" w:rsidRPr="00C07A3C" w:rsidRDefault="008A1C72" w:rsidP="00D6299C">
            <w:pPr>
              <w:rPr>
                <w:rFonts w:eastAsia="Calibri"/>
                <w:b/>
                <w:highlight w:val="lightGray"/>
              </w:rPr>
            </w:pPr>
          </w:p>
        </w:tc>
        <w:tc>
          <w:tcPr>
            <w:tcW w:w="3685" w:type="dxa"/>
          </w:tcPr>
          <w:p w14:paraId="655C9969" w14:textId="2307C699" w:rsidR="008A1C72" w:rsidRPr="00C07A3C" w:rsidRDefault="000750B7" w:rsidP="00D6299C">
            <w:pPr>
              <w:rPr>
                <w:rFonts w:eastAsia="Calibri"/>
                <w:b/>
                <w:highlight w:val="lightGray"/>
              </w:rPr>
            </w:pPr>
            <w:r>
              <w:rPr>
                <w:rFonts w:eastAsia="Calibri"/>
                <w:b/>
              </w:rPr>
              <w:t>Paruoštos</w:t>
            </w:r>
            <w:r w:rsidR="008A1C72" w:rsidRPr="008A1C72">
              <w:rPr>
                <w:rFonts w:eastAsia="Calibri"/>
                <w:b/>
              </w:rPr>
              <w:t xml:space="preserve"> suspensijos kiekis vienai dozei (ml)</w:t>
            </w:r>
          </w:p>
        </w:tc>
      </w:tr>
      <w:tr w:rsidR="00883879" w:rsidRPr="00C07A3C" w14:paraId="577F001B" w14:textId="77777777" w:rsidTr="001D5FF7">
        <w:trPr>
          <w:cantSplit/>
        </w:trPr>
        <w:tc>
          <w:tcPr>
            <w:tcW w:w="1980" w:type="dxa"/>
          </w:tcPr>
          <w:p w14:paraId="6872E51E" w14:textId="4670887A" w:rsidR="00883879" w:rsidRPr="00C07A3C" w:rsidRDefault="00883879" w:rsidP="008A1C72">
            <w:pPr>
              <w:rPr>
                <w:rFonts w:eastAsia="Calibri"/>
                <w:b/>
                <w:highlight w:val="lightGray"/>
              </w:rPr>
            </w:pPr>
            <w:r w:rsidRPr="00C07A3C">
              <w:rPr>
                <w:rFonts w:eastAsia="Calibri"/>
                <w:b/>
                <w:highlight w:val="lightGray"/>
              </w:rPr>
              <w:t>Vaiko kūno masė (kg)</w:t>
            </w:r>
          </w:p>
        </w:tc>
        <w:tc>
          <w:tcPr>
            <w:tcW w:w="2302" w:type="dxa"/>
          </w:tcPr>
          <w:p w14:paraId="1ACC9FD8" w14:textId="66307CF8" w:rsidR="00883879" w:rsidRPr="00C07A3C" w:rsidRDefault="00883879" w:rsidP="008A1C72">
            <w:pPr>
              <w:rPr>
                <w:rFonts w:eastAsia="Calibri"/>
                <w:b/>
                <w:highlight w:val="lightGray"/>
              </w:rPr>
            </w:pPr>
            <w:r w:rsidRPr="00C07A3C">
              <w:rPr>
                <w:rFonts w:eastAsia="Calibri"/>
                <w:b/>
                <w:highlight w:val="lightGray"/>
              </w:rPr>
              <w:t>Dozė du kartus per parą (mg)</w:t>
            </w:r>
          </w:p>
        </w:tc>
        <w:tc>
          <w:tcPr>
            <w:tcW w:w="3732" w:type="dxa"/>
            <w:gridSpan w:val="2"/>
          </w:tcPr>
          <w:p w14:paraId="371CE32F" w14:textId="6629E143" w:rsidR="00883879" w:rsidRPr="00C07A3C" w:rsidRDefault="00883879" w:rsidP="008A1C72">
            <w:pPr>
              <w:rPr>
                <w:rFonts w:eastAsia="Calibri"/>
                <w:b/>
                <w:highlight w:val="lightGray"/>
              </w:rPr>
            </w:pPr>
            <w:r w:rsidRPr="00C07A3C">
              <w:rPr>
                <w:rFonts w:eastAsia="Calibri"/>
                <w:b/>
                <w:highlight w:val="lightGray"/>
              </w:rPr>
              <w:t xml:space="preserve">125 mg/5 ml dozė du kartus per parą </w:t>
            </w:r>
          </w:p>
        </w:tc>
      </w:tr>
      <w:tr w:rsidR="00883879" w:rsidRPr="00C07A3C" w14:paraId="14C75BD0" w14:textId="77777777" w:rsidTr="001D5FF7">
        <w:trPr>
          <w:cantSplit/>
        </w:trPr>
        <w:tc>
          <w:tcPr>
            <w:tcW w:w="1980" w:type="dxa"/>
          </w:tcPr>
          <w:p w14:paraId="4CE5D103" w14:textId="77777777" w:rsidR="00883879" w:rsidRPr="00C07A3C" w:rsidRDefault="00883879" w:rsidP="00D6299C">
            <w:pPr>
              <w:jc w:val="center"/>
              <w:rPr>
                <w:rFonts w:eastAsia="Calibri"/>
                <w:highlight w:val="lightGray"/>
              </w:rPr>
            </w:pPr>
            <w:r w:rsidRPr="00C07A3C">
              <w:rPr>
                <w:rFonts w:eastAsia="Calibri"/>
                <w:highlight w:val="lightGray"/>
              </w:rPr>
              <w:t>4</w:t>
            </w:r>
          </w:p>
        </w:tc>
        <w:tc>
          <w:tcPr>
            <w:tcW w:w="2302" w:type="dxa"/>
          </w:tcPr>
          <w:p w14:paraId="2790337D" w14:textId="77777777" w:rsidR="00883879" w:rsidRPr="00C07A3C" w:rsidRDefault="00883879" w:rsidP="00D6299C">
            <w:pPr>
              <w:jc w:val="center"/>
              <w:rPr>
                <w:rFonts w:eastAsia="Calibri"/>
                <w:highlight w:val="lightGray"/>
              </w:rPr>
            </w:pPr>
            <w:r w:rsidRPr="00C07A3C">
              <w:rPr>
                <w:rFonts w:eastAsia="Calibri"/>
                <w:highlight w:val="lightGray"/>
              </w:rPr>
              <w:t>40</w:t>
            </w:r>
          </w:p>
        </w:tc>
        <w:tc>
          <w:tcPr>
            <w:tcW w:w="3732" w:type="dxa"/>
            <w:gridSpan w:val="2"/>
          </w:tcPr>
          <w:p w14:paraId="6213FC41" w14:textId="77777777" w:rsidR="00883879" w:rsidRPr="00C07A3C" w:rsidRDefault="00883879" w:rsidP="00D6299C">
            <w:pPr>
              <w:jc w:val="center"/>
              <w:rPr>
                <w:rFonts w:eastAsia="Calibri"/>
                <w:highlight w:val="lightGray"/>
              </w:rPr>
            </w:pPr>
            <w:r w:rsidRPr="00C07A3C">
              <w:rPr>
                <w:rFonts w:eastAsia="Calibri"/>
                <w:highlight w:val="lightGray"/>
              </w:rPr>
              <w:t>1,6</w:t>
            </w:r>
          </w:p>
        </w:tc>
      </w:tr>
      <w:tr w:rsidR="00883879" w:rsidRPr="00C07A3C" w14:paraId="4728D07E" w14:textId="77777777" w:rsidTr="001D5FF7">
        <w:trPr>
          <w:cantSplit/>
        </w:trPr>
        <w:tc>
          <w:tcPr>
            <w:tcW w:w="1980" w:type="dxa"/>
          </w:tcPr>
          <w:p w14:paraId="3F1A0245" w14:textId="77777777" w:rsidR="00883879" w:rsidRPr="00C07A3C" w:rsidRDefault="00883879" w:rsidP="00D6299C">
            <w:pPr>
              <w:jc w:val="center"/>
              <w:rPr>
                <w:rFonts w:eastAsia="Calibri"/>
                <w:highlight w:val="lightGray"/>
              </w:rPr>
            </w:pPr>
            <w:r w:rsidRPr="00C07A3C">
              <w:rPr>
                <w:rFonts w:eastAsia="Calibri"/>
                <w:highlight w:val="lightGray"/>
              </w:rPr>
              <w:t>6</w:t>
            </w:r>
          </w:p>
        </w:tc>
        <w:tc>
          <w:tcPr>
            <w:tcW w:w="2302" w:type="dxa"/>
          </w:tcPr>
          <w:p w14:paraId="63D5E463" w14:textId="77777777" w:rsidR="00883879" w:rsidRPr="00C07A3C" w:rsidRDefault="00883879" w:rsidP="00D6299C">
            <w:pPr>
              <w:jc w:val="center"/>
              <w:rPr>
                <w:rFonts w:eastAsia="Calibri"/>
                <w:highlight w:val="lightGray"/>
              </w:rPr>
            </w:pPr>
            <w:r w:rsidRPr="00C07A3C">
              <w:rPr>
                <w:rFonts w:eastAsia="Calibri"/>
                <w:highlight w:val="lightGray"/>
              </w:rPr>
              <w:t>60</w:t>
            </w:r>
          </w:p>
        </w:tc>
        <w:tc>
          <w:tcPr>
            <w:tcW w:w="3732" w:type="dxa"/>
            <w:gridSpan w:val="2"/>
          </w:tcPr>
          <w:p w14:paraId="1FA78335" w14:textId="77777777" w:rsidR="00883879" w:rsidRPr="00C07A3C" w:rsidRDefault="00883879" w:rsidP="00D6299C">
            <w:pPr>
              <w:jc w:val="center"/>
              <w:rPr>
                <w:rFonts w:eastAsia="Calibri"/>
                <w:highlight w:val="lightGray"/>
              </w:rPr>
            </w:pPr>
            <w:r w:rsidRPr="00C07A3C">
              <w:rPr>
                <w:rFonts w:eastAsia="Calibri"/>
                <w:highlight w:val="lightGray"/>
              </w:rPr>
              <w:t>2,4</w:t>
            </w:r>
          </w:p>
        </w:tc>
      </w:tr>
      <w:tr w:rsidR="00883879" w:rsidRPr="00C07A3C" w14:paraId="377DFF4A" w14:textId="77777777" w:rsidTr="001D5FF7">
        <w:trPr>
          <w:cantSplit/>
        </w:trPr>
        <w:tc>
          <w:tcPr>
            <w:tcW w:w="1980" w:type="dxa"/>
          </w:tcPr>
          <w:p w14:paraId="03D33D15" w14:textId="77777777" w:rsidR="00883879" w:rsidRPr="00C07A3C" w:rsidRDefault="00883879" w:rsidP="00D6299C">
            <w:pPr>
              <w:jc w:val="center"/>
              <w:rPr>
                <w:rFonts w:eastAsia="Calibri"/>
                <w:highlight w:val="lightGray"/>
              </w:rPr>
            </w:pPr>
            <w:r w:rsidRPr="00C07A3C">
              <w:rPr>
                <w:rFonts w:eastAsia="Calibri"/>
                <w:highlight w:val="lightGray"/>
              </w:rPr>
              <w:t>8</w:t>
            </w:r>
          </w:p>
        </w:tc>
        <w:tc>
          <w:tcPr>
            <w:tcW w:w="2302" w:type="dxa"/>
          </w:tcPr>
          <w:p w14:paraId="59DAF0CC" w14:textId="77777777" w:rsidR="00883879" w:rsidRPr="00C07A3C" w:rsidRDefault="00883879" w:rsidP="00D6299C">
            <w:pPr>
              <w:jc w:val="center"/>
              <w:rPr>
                <w:rFonts w:eastAsia="Calibri"/>
                <w:highlight w:val="lightGray"/>
              </w:rPr>
            </w:pPr>
            <w:r w:rsidRPr="00C07A3C">
              <w:rPr>
                <w:rFonts w:eastAsia="Calibri"/>
                <w:highlight w:val="lightGray"/>
              </w:rPr>
              <w:t>80</w:t>
            </w:r>
          </w:p>
        </w:tc>
        <w:tc>
          <w:tcPr>
            <w:tcW w:w="3732" w:type="dxa"/>
            <w:gridSpan w:val="2"/>
          </w:tcPr>
          <w:p w14:paraId="3F54955B" w14:textId="77777777" w:rsidR="00883879" w:rsidRPr="00C07A3C" w:rsidRDefault="00883879" w:rsidP="00D6299C">
            <w:pPr>
              <w:jc w:val="center"/>
              <w:rPr>
                <w:rFonts w:eastAsia="Calibri"/>
                <w:highlight w:val="lightGray"/>
              </w:rPr>
            </w:pPr>
            <w:r w:rsidRPr="00C07A3C">
              <w:rPr>
                <w:rFonts w:eastAsia="Calibri"/>
                <w:highlight w:val="lightGray"/>
              </w:rPr>
              <w:t>3,2</w:t>
            </w:r>
          </w:p>
        </w:tc>
      </w:tr>
      <w:tr w:rsidR="00883879" w:rsidRPr="00C07A3C" w14:paraId="2D63EE26" w14:textId="77777777" w:rsidTr="001D5FF7">
        <w:trPr>
          <w:cantSplit/>
        </w:trPr>
        <w:tc>
          <w:tcPr>
            <w:tcW w:w="1980" w:type="dxa"/>
          </w:tcPr>
          <w:p w14:paraId="77B78D80" w14:textId="77777777" w:rsidR="00883879" w:rsidRPr="00C07A3C" w:rsidRDefault="00883879" w:rsidP="00D6299C">
            <w:pPr>
              <w:jc w:val="center"/>
              <w:rPr>
                <w:rFonts w:eastAsia="Calibri"/>
                <w:highlight w:val="lightGray"/>
              </w:rPr>
            </w:pPr>
            <w:r w:rsidRPr="00C07A3C">
              <w:rPr>
                <w:rFonts w:eastAsia="Calibri"/>
                <w:highlight w:val="lightGray"/>
              </w:rPr>
              <w:t>10</w:t>
            </w:r>
          </w:p>
        </w:tc>
        <w:tc>
          <w:tcPr>
            <w:tcW w:w="2302" w:type="dxa"/>
          </w:tcPr>
          <w:p w14:paraId="57BC5C9D" w14:textId="77777777" w:rsidR="00883879" w:rsidRPr="00C07A3C" w:rsidRDefault="00883879" w:rsidP="00D6299C">
            <w:pPr>
              <w:jc w:val="center"/>
              <w:rPr>
                <w:rFonts w:eastAsia="Calibri"/>
                <w:highlight w:val="lightGray"/>
              </w:rPr>
            </w:pPr>
            <w:r w:rsidRPr="00C07A3C">
              <w:rPr>
                <w:rFonts w:eastAsia="Calibri"/>
                <w:highlight w:val="lightGray"/>
              </w:rPr>
              <w:t>100</w:t>
            </w:r>
          </w:p>
        </w:tc>
        <w:tc>
          <w:tcPr>
            <w:tcW w:w="3732" w:type="dxa"/>
            <w:gridSpan w:val="2"/>
          </w:tcPr>
          <w:p w14:paraId="7039C946" w14:textId="77777777" w:rsidR="00883879" w:rsidRPr="00C07A3C" w:rsidRDefault="00883879" w:rsidP="00D6299C">
            <w:pPr>
              <w:jc w:val="center"/>
              <w:rPr>
                <w:rFonts w:eastAsia="Calibri"/>
                <w:highlight w:val="lightGray"/>
              </w:rPr>
            </w:pPr>
            <w:r w:rsidRPr="00C07A3C">
              <w:rPr>
                <w:rFonts w:eastAsia="Calibri"/>
                <w:highlight w:val="lightGray"/>
              </w:rPr>
              <w:t>4,0</w:t>
            </w:r>
          </w:p>
        </w:tc>
      </w:tr>
      <w:tr w:rsidR="00883879" w:rsidRPr="00C07A3C" w14:paraId="15F0E070" w14:textId="77777777" w:rsidTr="001D5FF7">
        <w:trPr>
          <w:cantSplit/>
        </w:trPr>
        <w:tc>
          <w:tcPr>
            <w:tcW w:w="1980" w:type="dxa"/>
          </w:tcPr>
          <w:p w14:paraId="6DB3F20E" w14:textId="77777777" w:rsidR="00883879" w:rsidRPr="00C07A3C" w:rsidRDefault="00883879" w:rsidP="00D6299C">
            <w:pPr>
              <w:jc w:val="center"/>
              <w:rPr>
                <w:rFonts w:eastAsia="Calibri"/>
                <w:highlight w:val="lightGray"/>
              </w:rPr>
            </w:pPr>
            <w:r w:rsidRPr="00C07A3C">
              <w:rPr>
                <w:rFonts w:eastAsia="Calibri"/>
                <w:highlight w:val="lightGray"/>
              </w:rPr>
              <w:t>12</w:t>
            </w:r>
          </w:p>
        </w:tc>
        <w:tc>
          <w:tcPr>
            <w:tcW w:w="2302" w:type="dxa"/>
          </w:tcPr>
          <w:p w14:paraId="2B5A0384" w14:textId="77777777" w:rsidR="00883879" w:rsidRPr="00C07A3C" w:rsidRDefault="00883879" w:rsidP="00D6299C">
            <w:pPr>
              <w:jc w:val="center"/>
              <w:rPr>
                <w:rFonts w:eastAsia="Calibri"/>
                <w:highlight w:val="lightGray"/>
              </w:rPr>
            </w:pPr>
            <w:r w:rsidRPr="00C07A3C">
              <w:rPr>
                <w:rFonts w:eastAsia="Calibri"/>
                <w:highlight w:val="lightGray"/>
              </w:rPr>
              <w:t>120</w:t>
            </w:r>
          </w:p>
        </w:tc>
        <w:tc>
          <w:tcPr>
            <w:tcW w:w="3732" w:type="dxa"/>
            <w:gridSpan w:val="2"/>
          </w:tcPr>
          <w:p w14:paraId="37459F51" w14:textId="77777777" w:rsidR="00883879" w:rsidRPr="00C07A3C" w:rsidRDefault="00883879" w:rsidP="00D6299C">
            <w:pPr>
              <w:jc w:val="center"/>
              <w:rPr>
                <w:rFonts w:eastAsia="Calibri"/>
                <w:highlight w:val="lightGray"/>
              </w:rPr>
            </w:pPr>
            <w:r w:rsidRPr="00C07A3C">
              <w:rPr>
                <w:rFonts w:eastAsia="Calibri"/>
                <w:highlight w:val="lightGray"/>
              </w:rPr>
              <w:t>4,8</w:t>
            </w:r>
          </w:p>
        </w:tc>
      </w:tr>
      <w:tr w:rsidR="00883879" w:rsidRPr="00C07A3C" w14:paraId="799AE998" w14:textId="77777777" w:rsidTr="001D5FF7">
        <w:trPr>
          <w:gridAfter w:val="1"/>
          <w:wAfter w:w="47" w:type="dxa"/>
          <w:cantSplit/>
        </w:trPr>
        <w:tc>
          <w:tcPr>
            <w:tcW w:w="1980" w:type="dxa"/>
          </w:tcPr>
          <w:p w14:paraId="7EC17BBC" w14:textId="53AA0760" w:rsidR="00883879" w:rsidRPr="00C07A3C" w:rsidRDefault="00883879" w:rsidP="00D6299C">
            <w:pPr>
              <w:jc w:val="center"/>
              <w:rPr>
                <w:rFonts w:eastAsia="Calibri"/>
                <w:highlight w:val="lightGray"/>
              </w:rPr>
            </w:pPr>
            <w:r>
              <w:rPr>
                <w:rFonts w:eastAsia="Calibri"/>
                <w:highlight w:val="lightGray"/>
              </w:rPr>
              <w:t>14</w:t>
            </w:r>
          </w:p>
        </w:tc>
        <w:tc>
          <w:tcPr>
            <w:tcW w:w="2302" w:type="dxa"/>
          </w:tcPr>
          <w:p w14:paraId="5FB4E24F" w14:textId="54618881" w:rsidR="00883879" w:rsidRPr="00C07A3C" w:rsidRDefault="00883879" w:rsidP="00D6299C">
            <w:pPr>
              <w:jc w:val="center"/>
              <w:rPr>
                <w:rFonts w:eastAsia="Calibri"/>
                <w:highlight w:val="lightGray"/>
              </w:rPr>
            </w:pPr>
            <w:r>
              <w:rPr>
                <w:rFonts w:eastAsia="Calibri"/>
                <w:highlight w:val="lightGray"/>
              </w:rPr>
              <w:t>140</w:t>
            </w:r>
          </w:p>
        </w:tc>
        <w:tc>
          <w:tcPr>
            <w:tcW w:w="3685" w:type="dxa"/>
          </w:tcPr>
          <w:p w14:paraId="395AC78B" w14:textId="14E261DB" w:rsidR="00883879" w:rsidRPr="00C07A3C" w:rsidRDefault="00883879" w:rsidP="00D6299C">
            <w:pPr>
              <w:jc w:val="center"/>
              <w:rPr>
                <w:rFonts w:eastAsia="Calibri"/>
                <w:highlight w:val="lightGray"/>
              </w:rPr>
            </w:pPr>
            <w:r>
              <w:rPr>
                <w:rFonts w:eastAsia="Calibri"/>
                <w:highlight w:val="lightGray"/>
              </w:rPr>
              <w:t>5,6</w:t>
            </w:r>
          </w:p>
        </w:tc>
      </w:tr>
    </w:tbl>
    <w:p w14:paraId="54DEEAA0" w14:textId="77777777" w:rsidR="002563D5" w:rsidRPr="00C07A3C" w:rsidRDefault="002563D5" w:rsidP="002563D5">
      <w:pPr>
        <w:rPr>
          <w:rFonts w:eastAsia="Calibri"/>
          <w:highlight w:val="lightGray"/>
        </w:rPr>
      </w:pPr>
    </w:p>
    <w:p w14:paraId="06DBCFF9" w14:textId="77777777" w:rsidR="002563D5" w:rsidRPr="00C07A3C" w:rsidRDefault="002563D5" w:rsidP="002563D5">
      <w:pPr>
        <w:rPr>
          <w:rFonts w:eastAsia="Calibri"/>
          <w:highlight w:val="lightGray"/>
        </w:rPr>
      </w:pPr>
      <w:bookmarkStart w:id="10" w:name="_Hlk812258"/>
      <w:r w:rsidRPr="00C07A3C">
        <w:rPr>
          <w:rFonts w:eastAsia="Calibri"/>
          <w:highlight w:val="lightGray"/>
        </w:rPr>
        <w:t>Skiriant 15 mg/kg dozę vaikui, kurio kūno masė yra „M”, vartojančiam 125 mg/5 ml suspensiją, suspensijos kiekis mililitrais, kurį reikia sugirdyti vaikui, apskaičiuojamas pagal formulę: (15 x M x 5) / 125</w:t>
      </w:r>
    </w:p>
    <w:bookmarkEnd w:id="10"/>
    <w:p w14:paraId="1E5D5135" w14:textId="77777777" w:rsidR="002563D5" w:rsidRPr="00C07A3C" w:rsidRDefault="002563D5" w:rsidP="002563D5">
      <w:pPr>
        <w:rPr>
          <w:rFonts w:eastAsia="Calibri"/>
          <w:highlight w:val="lightGray"/>
        </w:rPr>
      </w:pPr>
    </w:p>
    <w:p w14:paraId="7D0110D4" w14:textId="77777777" w:rsidR="002563D5" w:rsidRPr="00C07A3C" w:rsidRDefault="002563D5" w:rsidP="002563D5">
      <w:pPr>
        <w:rPr>
          <w:rFonts w:eastAsia="Calibri"/>
          <w:highlight w:val="lightGray"/>
        </w:rPr>
      </w:pPr>
      <w:r w:rsidRPr="00C07A3C">
        <w:rPr>
          <w:rFonts w:eastAsia="Calibri"/>
          <w:highlight w:val="lightGray"/>
        </w:rPr>
        <w:t>Kai kurie apskaičiuotų vaikų dozavimo švirkštuose esančių dozių pavyzdžiai, išreikšti mililitrais arba miligramais, atsižvelgiant į vaiko kūno masę kilogramais, nurodyti toliau esančioje lentelėje.</w:t>
      </w:r>
    </w:p>
    <w:p w14:paraId="2CEF8629" w14:textId="77777777" w:rsidR="002563D5" w:rsidRPr="00C07A3C" w:rsidRDefault="002563D5" w:rsidP="002563D5">
      <w:pPr>
        <w:rPr>
          <w:rFonts w:eastAsia="Calibri"/>
          <w:highlight w:val="lightGray"/>
        </w:rPr>
      </w:pPr>
    </w:p>
    <w:p w14:paraId="7BFA9128" w14:textId="77777777" w:rsidR="002563D5" w:rsidRPr="00C07A3C" w:rsidRDefault="002563D5" w:rsidP="002563D5">
      <w:pPr>
        <w:keepNext/>
        <w:rPr>
          <w:rFonts w:eastAsia="Calibri"/>
          <w:i/>
          <w:highlight w:val="lightGray"/>
        </w:rPr>
      </w:pPr>
      <w:r w:rsidRPr="00C07A3C">
        <w:rPr>
          <w:rFonts w:eastAsia="Calibri"/>
          <w:i/>
          <w:highlight w:val="lightGray"/>
        </w:rPr>
        <w:t>6 lentelė. 15 mg/kg/dozėje (dozavimo vaikų populiacijos pacientams švirkštas)</w:t>
      </w:r>
    </w:p>
    <w:p w14:paraId="569FA98F" w14:textId="77777777" w:rsidR="002563D5" w:rsidRPr="00C07A3C" w:rsidRDefault="002563D5" w:rsidP="002563D5">
      <w:pPr>
        <w:keepNext/>
        <w:rPr>
          <w:rFonts w:eastAsia="Calibri"/>
          <w:i/>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4007"/>
        <w:gridCol w:w="47"/>
      </w:tblGrid>
      <w:tr w:rsidR="008A1C72" w:rsidRPr="00C07A3C" w14:paraId="20C01C81" w14:textId="77777777" w:rsidTr="001D5FF7">
        <w:trPr>
          <w:gridAfter w:val="1"/>
          <w:wAfter w:w="47" w:type="dxa"/>
          <w:cantSplit/>
        </w:trPr>
        <w:tc>
          <w:tcPr>
            <w:tcW w:w="3960" w:type="dxa"/>
            <w:gridSpan w:val="2"/>
          </w:tcPr>
          <w:p w14:paraId="0A4BF066" w14:textId="5C7E055E" w:rsidR="008A1C72" w:rsidRPr="00C07A3C" w:rsidRDefault="008A1C72" w:rsidP="00D6299C">
            <w:pPr>
              <w:keepNext/>
              <w:rPr>
                <w:rFonts w:eastAsia="Calibri"/>
                <w:b/>
                <w:highlight w:val="lightGray"/>
              </w:rPr>
            </w:pPr>
          </w:p>
        </w:tc>
        <w:tc>
          <w:tcPr>
            <w:tcW w:w="4007" w:type="dxa"/>
          </w:tcPr>
          <w:p w14:paraId="52A861E3" w14:textId="244BE98E" w:rsidR="008A1C72" w:rsidRPr="00C07A3C" w:rsidRDefault="000750B7" w:rsidP="00D6299C">
            <w:pPr>
              <w:keepNext/>
              <w:rPr>
                <w:rFonts w:eastAsia="Calibri"/>
                <w:b/>
                <w:highlight w:val="lightGray"/>
              </w:rPr>
            </w:pPr>
            <w:r>
              <w:rPr>
                <w:rFonts w:eastAsia="Calibri"/>
                <w:b/>
              </w:rPr>
              <w:t>Paruoštos</w:t>
            </w:r>
            <w:r w:rsidR="008A1C72" w:rsidRPr="008A1C72">
              <w:rPr>
                <w:rFonts w:eastAsia="Calibri"/>
                <w:b/>
              </w:rPr>
              <w:t xml:space="preserve"> suspensijos kiekis vienai dozei (ml)</w:t>
            </w:r>
          </w:p>
        </w:tc>
      </w:tr>
      <w:tr w:rsidR="00C414FF" w:rsidRPr="00C07A3C" w14:paraId="40188804" w14:textId="77777777" w:rsidTr="001D5FF7">
        <w:trPr>
          <w:cantSplit/>
        </w:trPr>
        <w:tc>
          <w:tcPr>
            <w:tcW w:w="1980" w:type="dxa"/>
          </w:tcPr>
          <w:p w14:paraId="45F39C3E" w14:textId="26F3C44F" w:rsidR="00C414FF" w:rsidRPr="00C07A3C" w:rsidRDefault="00C414FF" w:rsidP="008A1C72">
            <w:pPr>
              <w:keepNext/>
              <w:rPr>
                <w:rFonts w:eastAsia="Calibri"/>
                <w:b/>
                <w:highlight w:val="lightGray"/>
              </w:rPr>
            </w:pPr>
            <w:r w:rsidRPr="00C07A3C">
              <w:rPr>
                <w:rFonts w:eastAsia="Calibri"/>
                <w:b/>
                <w:highlight w:val="lightGray"/>
              </w:rPr>
              <w:t>Vaiko kūno masė (kg)</w:t>
            </w:r>
          </w:p>
        </w:tc>
        <w:tc>
          <w:tcPr>
            <w:tcW w:w="1980" w:type="dxa"/>
          </w:tcPr>
          <w:p w14:paraId="2DBDC580" w14:textId="70BED7FC" w:rsidR="00C414FF" w:rsidRPr="00C07A3C" w:rsidRDefault="00C414FF" w:rsidP="008A1C72">
            <w:pPr>
              <w:keepNext/>
              <w:rPr>
                <w:rFonts w:eastAsia="Calibri"/>
                <w:b/>
                <w:highlight w:val="lightGray"/>
              </w:rPr>
            </w:pPr>
            <w:r w:rsidRPr="00C07A3C">
              <w:rPr>
                <w:rFonts w:eastAsia="Calibri"/>
                <w:b/>
                <w:highlight w:val="lightGray"/>
              </w:rPr>
              <w:t>Dozė du kartus per parą (mg)</w:t>
            </w:r>
          </w:p>
        </w:tc>
        <w:tc>
          <w:tcPr>
            <w:tcW w:w="4054" w:type="dxa"/>
            <w:gridSpan w:val="2"/>
          </w:tcPr>
          <w:p w14:paraId="644E8435" w14:textId="502CD6F1" w:rsidR="00C414FF" w:rsidRPr="00C07A3C" w:rsidRDefault="00C414FF" w:rsidP="008A1C72">
            <w:pPr>
              <w:keepNext/>
              <w:rPr>
                <w:rFonts w:eastAsia="Calibri"/>
                <w:b/>
                <w:highlight w:val="lightGray"/>
              </w:rPr>
            </w:pPr>
            <w:r w:rsidRPr="00C07A3C">
              <w:rPr>
                <w:rFonts w:eastAsia="Calibri"/>
                <w:b/>
                <w:highlight w:val="lightGray"/>
              </w:rPr>
              <w:t>125</w:t>
            </w:r>
            <w:r>
              <w:rPr>
                <w:rFonts w:eastAsia="Calibri"/>
                <w:b/>
                <w:highlight w:val="lightGray"/>
              </w:rPr>
              <w:t> </w:t>
            </w:r>
            <w:r w:rsidRPr="00C07A3C">
              <w:rPr>
                <w:rFonts w:eastAsia="Calibri"/>
                <w:b/>
                <w:highlight w:val="lightGray"/>
              </w:rPr>
              <w:t>mg/5</w:t>
            </w:r>
            <w:r>
              <w:rPr>
                <w:rFonts w:eastAsia="Calibri"/>
                <w:b/>
                <w:highlight w:val="lightGray"/>
              </w:rPr>
              <w:t> </w:t>
            </w:r>
            <w:r w:rsidRPr="00C07A3C">
              <w:rPr>
                <w:rFonts w:eastAsia="Calibri"/>
                <w:b/>
                <w:highlight w:val="lightGray"/>
              </w:rPr>
              <w:t xml:space="preserve">ml dozė du kartus per parą </w:t>
            </w:r>
          </w:p>
        </w:tc>
      </w:tr>
      <w:tr w:rsidR="00C414FF" w:rsidRPr="00C07A3C" w14:paraId="26AAB2CC" w14:textId="77777777" w:rsidTr="001D5FF7">
        <w:trPr>
          <w:cantSplit/>
        </w:trPr>
        <w:tc>
          <w:tcPr>
            <w:tcW w:w="1980" w:type="dxa"/>
          </w:tcPr>
          <w:p w14:paraId="05124EF1" w14:textId="77777777" w:rsidR="00C414FF" w:rsidRPr="00C07A3C" w:rsidRDefault="00C414FF" w:rsidP="00D6299C">
            <w:pPr>
              <w:keepNext/>
              <w:jc w:val="center"/>
              <w:rPr>
                <w:rFonts w:eastAsia="Calibri"/>
                <w:highlight w:val="lightGray"/>
              </w:rPr>
            </w:pPr>
            <w:r w:rsidRPr="00C07A3C">
              <w:rPr>
                <w:rFonts w:eastAsia="Calibri"/>
                <w:highlight w:val="lightGray"/>
              </w:rPr>
              <w:t>4</w:t>
            </w:r>
          </w:p>
        </w:tc>
        <w:tc>
          <w:tcPr>
            <w:tcW w:w="1980" w:type="dxa"/>
          </w:tcPr>
          <w:p w14:paraId="2A6B315E" w14:textId="77777777" w:rsidR="00C414FF" w:rsidRPr="00C07A3C" w:rsidRDefault="00C414FF" w:rsidP="00D6299C">
            <w:pPr>
              <w:keepNext/>
              <w:jc w:val="center"/>
              <w:rPr>
                <w:rFonts w:eastAsia="Calibri"/>
                <w:highlight w:val="lightGray"/>
              </w:rPr>
            </w:pPr>
            <w:r w:rsidRPr="00C07A3C">
              <w:rPr>
                <w:rFonts w:eastAsia="Calibri"/>
                <w:highlight w:val="lightGray"/>
              </w:rPr>
              <w:t>60</w:t>
            </w:r>
          </w:p>
        </w:tc>
        <w:tc>
          <w:tcPr>
            <w:tcW w:w="4054" w:type="dxa"/>
            <w:gridSpan w:val="2"/>
          </w:tcPr>
          <w:p w14:paraId="6D51B75E" w14:textId="77777777" w:rsidR="00C414FF" w:rsidRPr="00C07A3C" w:rsidRDefault="00C414FF" w:rsidP="00D6299C">
            <w:pPr>
              <w:keepNext/>
              <w:jc w:val="center"/>
              <w:rPr>
                <w:rFonts w:eastAsia="Calibri"/>
                <w:highlight w:val="lightGray"/>
              </w:rPr>
            </w:pPr>
            <w:r w:rsidRPr="00C07A3C">
              <w:rPr>
                <w:rFonts w:eastAsia="Calibri"/>
                <w:highlight w:val="lightGray"/>
              </w:rPr>
              <w:t>2,4</w:t>
            </w:r>
          </w:p>
        </w:tc>
      </w:tr>
      <w:tr w:rsidR="00C414FF" w:rsidRPr="00C07A3C" w14:paraId="3C7305FC" w14:textId="77777777" w:rsidTr="001D5FF7">
        <w:trPr>
          <w:cantSplit/>
        </w:trPr>
        <w:tc>
          <w:tcPr>
            <w:tcW w:w="1980" w:type="dxa"/>
          </w:tcPr>
          <w:p w14:paraId="7D99F547" w14:textId="77777777" w:rsidR="00C414FF" w:rsidRPr="00C07A3C" w:rsidRDefault="00C414FF" w:rsidP="00D6299C">
            <w:pPr>
              <w:jc w:val="center"/>
              <w:rPr>
                <w:rFonts w:eastAsia="Calibri"/>
                <w:highlight w:val="lightGray"/>
              </w:rPr>
            </w:pPr>
            <w:r w:rsidRPr="00C07A3C">
              <w:rPr>
                <w:rFonts w:eastAsia="Calibri"/>
                <w:highlight w:val="lightGray"/>
              </w:rPr>
              <w:t>6</w:t>
            </w:r>
          </w:p>
        </w:tc>
        <w:tc>
          <w:tcPr>
            <w:tcW w:w="1980" w:type="dxa"/>
          </w:tcPr>
          <w:p w14:paraId="16639557" w14:textId="77777777" w:rsidR="00C414FF" w:rsidRPr="00C07A3C" w:rsidRDefault="00C414FF" w:rsidP="00D6299C">
            <w:pPr>
              <w:jc w:val="center"/>
              <w:rPr>
                <w:rFonts w:eastAsia="Calibri"/>
                <w:highlight w:val="lightGray"/>
              </w:rPr>
            </w:pPr>
            <w:r w:rsidRPr="00C07A3C">
              <w:rPr>
                <w:rFonts w:eastAsia="Calibri"/>
                <w:highlight w:val="lightGray"/>
              </w:rPr>
              <w:t>90</w:t>
            </w:r>
          </w:p>
        </w:tc>
        <w:tc>
          <w:tcPr>
            <w:tcW w:w="4054" w:type="dxa"/>
            <w:gridSpan w:val="2"/>
          </w:tcPr>
          <w:p w14:paraId="0564D77E" w14:textId="77777777" w:rsidR="00C414FF" w:rsidRPr="00C07A3C" w:rsidRDefault="00C414FF" w:rsidP="00D6299C">
            <w:pPr>
              <w:jc w:val="center"/>
              <w:rPr>
                <w:rFonts w:eastAsia="Calibri"/>
                <w:highlight w:val="lightGray"/>
              </w:rPr>
            </w:pPr>
            <w:r w:rsidRPr="00C07A3C">
              <w:rPr>
                <w:rFonts w:eastAsia="Calibri"/>
                <w:highlight w:val="lightGray"/>
              </w:rPr>
              <w:t>3,6</w:t>
            </w:r>
          </w:p>
        </w:tc>
      </w:tr>
      <w:tr w:rsidR="00C414FF" w:rsidRPr="00C07A3C" w14:paraId="05DB6EE6" w14:textId="77777777" w:rsidTr="001D5FF7">
        <w:trPr>
          <w:cantSplit/>
        </w:trPr>
        <w:tc>
          <w:tcPr>
            <w:tcW w:w="1980" w:type="dxa"/>
          </w:tcPr>
          <w:p w14:paraId="23B9682B" w14:textId="77777777" w:rsidR="00C414FF" w:rsidRPr="00C07A3C" w:rsidRDefault="00C414FF" w:rsidP="00D6299C">
            <w:pPr>
              <w:jc w:val="center"/>
              <w:rPr>
                <w:rFonts w:eastAsia="Calibri"/>
                <w:highlight w:val="lightGray"/>
              </w:rPr>
            </w:pPr>
            <w:r w:rsidRPr="00C07A3C">
              <w:rPr>
                <w:rFonts w:eastAsia="Calibri"/>
                <w:highlight w:val="lightGray"/>
              </w:rPr>
              <w:t>8</w:t>
            </w:r>
          </w:p>
        </w:tc>
        <w:tc>
          <w:tcPr>
            <w:tcW w:w="1980" w:type="dxa"/>
          </w:tcPr>
          <w:p w14:paraId="1ADE0860" w14:textId="77777777" w:rsidR="00C414FF" w:rsidRPr="00C07A3C" w:rsidRDefault="00C414FF" w:rsidP="00D6299C">
            <w:pPr>
              <w:jc w:val="center"/>
              <w:rPr>
                <w:rFonts w:eastAsia="Calibri"/>
                <w:highlight w:val="lightGray"/>
              </w:rPr>
            </w:pPr>
            <w:r w:rsidRPr="00C07A3C">
              <w:rPr>
                <w:rFonts w:eastAsia="Calibri"/>
                <w:highlight w:val="lightGray"/>
              </w:rPr>
              <w:t>120</w:t>
            </w:r>
          </w:p>
        </w:tc>
        <w:tc>
          <w:tcPr>
            <w:tcW w:w="4054" w:type="dxa"/>
            <w:gridSpan w:val="2"/>
          </w:tcPr>
          <w:p w14:paraId="52F3FAAE" w14:textId="77777777" w:rsidR="00C414FF" w:rsidRPr="00C07A3C" w:rsidRDefault="00C414FF" w:rsidP="00D6299C">
            <w:pPr>
              <w:jc w:val="center"/>
              <w:rPr>
                <w:rFonts w:eastAsia="Calibri"/>
                <w:highlight w:val="lightGray"/>
              </w:rPr>
            </w:pPr>
            <w:r w:rsidRPr="00C07A3C">
              <w:rPr>
                <w:rFonts w:eastAsia="Calibri"/>
                <w:highlight w:val="lightGray"/>
              </w:rPr>
              <w:t>4,8</w:t>
            </w:r>
          </w:p>
        </w:tc>
      </w:tr>
      <w:tr w:rsidR="00C414FF" w:rsidRPr="00C07A3C" w14:paraId="2C71B78F" w14:textId="77777777" w:rsidTr="001D5FF7">
        <w:trPr>
          <w:cantSplit/>
        </w:trPr>
        <w:tc>
          <w:tcPr>
            <w:tcW w:w="1980" w:type="dxa"/>
          </w:tcPr>
          <w:p w14:paraId="4E3A296C" w14:textId="77777777" w:rsidR="00C414FF" w:rsidRPr="00C07A3C" w:rsidRDefault="00C414FF" w:rsidP="00D6299C">
            <w:pPr>
              <w:jc w:val="center"/>
              <w:rPr>
                <w:rFonts w:eastAsia="Calibri"/>
                <w:highlight w:val="lightGray"/>
              </w:rPr>
            </w:pPr>
            <w:r w:rsidRPr="00C07A3C">
              <w:rPr>
                <w:rFonts w:eastAsia="Calibri"/>
                <w:highlight w:val="lightGray"/>
              </w:rPr>
              <w:t>10</w:t>
            </w:r>
          </w:p>
        </w:tc>
        <w:tc>
          <w:tcPr>
            <w:tcW w:w="1980" w:type="dxa"/>
          </w:tcPr>
          <w:p w14:paraId="2853F318" w14:textId="77777777" w:rsidR="00C414FF" w:rsidRPr="00C07A3C" w:rsidRDefault="00C414FF" w:rsidP="00D6299C">
            <w:pPr>
              <w:jc w:val="center"/>
              <w:rPr>
                <w:rFonts w:eastAsia="Calibri"/>
                <w:highlight w:val="lightGray"/>
              </w:rPr>
            </w:pPr>
            <w:r w:rsidRPr="00C07A3C">
              <w:rPr>
                <w:rFonts w:eastAsia="Calibri"/>
                <w:highlight w:val="lightGray"/>
              </w:rPr>
              <w:t>150</w:t>
            </w:r>
          </w:p>
        </w:tc>
        <w:tc>
          <w:tcPr>
            <w:tcW w:w="4054" w:type="dxa"/>
            <w:gridSpan w:val="2"/>
          </w:tcPr>
          <w:p w14:paraId="37A1B7E9" w14:textId="77777777" w:rsidR="00C414FF" w:rsidRPr="00C07A3C" w:rsidRDefault="00C414FF" w:rsidP="00D6299C">
            <w:pPr>
              <w:jc w:val="center"/>
              <w:rPr>
                <w:rFonts w:eastAsia="Calibri"/>
                <w:highlight w:val="lightGray"/>
              </w:rPr>
            </w:pPr>
            <w:r w:rsidRPr="00C07A3C">
              <w:rPr>
                <w:rFonts w:eastAsia="Calibri"/>
                <w:highlight w:val="lightGray"/>
              </w:rPr>
              <w:t>6,0</w:t>
            </w:r>
          </w:p>
        </w:tc>
      </w:tr>
      <w:tr w:rsidR="00C414FF" w:rsidRPr="00C07A3C" w14:paraId="0D9EAAD5" w14:textId="77777777" w:rsidTr="001D5FF7">
        <w:trPr>
          <w:cantSplit/>
        </w:trPr>
        <w:tc>
          <w:tcPr>
            <w:tcW w:w="1980" w:type="dxa"/>
          </w:tcPr>
          <w:p w14:paraId="219BAEEF" w14:textId="77777777" w:rsidR="00C414FF" w:rsidRPr="00C07A3C" w:rsidRDefault="00C414FF" w:rsidP="00D6299C">
            <w:pPr>
              <w:jc w:val="center"/>
              <w:rPr>
                <w:rFonts w:eastAsia="Calibri"/>
                <w:highlight w:val="lightGray"/>
              </w:rPr>
            </w:pPr>
            <w:r w:rsidRPr="00C07A3C">
              <w:rPr>
                <w:rFonts w:eastAsia="Calibri"/>
                <w:highlight w:val="lightGray"/>
              </w:rPr>
              <w:t>12</w:t>
            </w:r>
          </w:p>
        </w:tc>
        <w:tc>
          <w:tcPr>
            <w:tcW w:w="1980" w:type="dxa"/>
          </w:tcPr>
          <w:p w14:paraId="6C92D353" w14:textId="77777777" w:rsidR="00C414FF" w:rsidRPr="00C07A3C" w:rsidRDefault="00C414FF" w:rsidP="00D6299C">
            <w:pPr>
              <w:jc w:val="center"/>
              <w:rPr>
                <w:rFonts w:eastAsia="Calibri"/>
                <w:highlight w:val="lightGray"/>
              </w:rPr>
            </w:pPr>
            <w:r w:rsidRPr="00C07A3C">
              <w:rPr>
                <w:rFonts w:eastAsia="Calibri"/>
                <w:highlight w:val="lightGray"/>
              </w:rPr>
              <w:t>180</w:t>
            </w:r>
          </w:p>
        </w:tc>
        <w:tc>
          <w:tcPr>
            <w:tcW w:w="4054" w:type="dxa"/>
            <w:gridSpan w:val="2"/>
          </w:tcPr>
          <w:p w14:paraId="57C20273" w14:textId="77777777" w:rsidR="00C414FF" w:rsidRPr="00C07A3C" w:rsidRDefault="00C414FF" w:rsidP="00D6299C">
            <w:pPr>
              <w:jc w:val="center"/>
              <w:rPr>
                <w:rFonts w:eastAsia="Calibri"/>
                <w:highlight w:val="lightGray"/>
              </w:rPr>
            </w:pPr>
            <w:r w:rsidRPr="00C07A3C">
              <w:rPr>
                <w:rFonts w:eastAsia="Calibri"/>
                <w:highlight w:val="lightGray"/>
              </w:rPr>
              <w:t>7,2</w:t>
            </w:r>
          </w:p>
        </w:tc>
      </w:tr>
      <w:tr w:rsidR="00C414FF" w:rsidRPr="00C07A3C" w14:paraId="647BB753" w14:textId="77777777" w:rsidTr="001D5FF7">
        <w:trPr>
          <w:cantSplit/>
        </w:trPr>
        <w:tc>
          <w:tcPr>
            <w:tcW w:w="1980" w:type="dxa"/>
          </w:tcPr>
          <w:p w14:paraId="1B0C5FCF" w14:textId="77777777" w:rsidR="00C414FF" w:rsidRPr="00C07A3C" w:rsidRDefault="00C414FF" w:rsidP="00D6299C">
            <w:pPr>
              <w:jc w:val="center"/>
              <w:rPr>
                <w:rFonts w:eastAsia="Calibri"/>
                <w:highlight w:val="lightGray"/>
              </w:rPr>
            </w:pPr>
            <w:r w:rsidRPr="00C07A3C">
              <w:rPr>
                <w:rFonts w:eastAsia="Calibri"/>
                <w:highlight w:val="lightGray"/>
              </w:rPr>
              <w:t>14</w:t>
            </w:r>
          </w:p>
        </w:tc>
        <w:tc>
          <w:tcPr>
            <w:tcW w:w="1980" w:type="dxa"/>
          </w:tcPr>
          <w:p w14:paraId="44C4450B" w14:textId="77777777" w:rsidR="00C414FF" w:rsidRPr="00C07A3C" w:rsidRDefault="00C414FF" w:rsidP="00D6299C">
            <w:pPr>
              <w:jc w:val="center"/>
              <w:rPr>
                <w:rFonts w:eastAsia="Calibri"/>
                <w:highlight w:val="lightGray"/>
              </w:rPr>
            </w:pPr>
            <w:r w:rsidRPr="00C07A3C">
              <w:rPr>
                <w:rFonts w:eastAsia="Calibri"/>
                <w:highlight w:val="lightGray"/>
              </w:rPr>
              <w:t>210</w:t>
            </w:r>
          </w:p>
        </w:tc>
        <w:tc>
          <w:tcPr>
            <w:tcW w:w="4054" w:type="dxa"/>
            <w:gridSpan w:val="2"/>
          </w:tcPr>
          <w:p w14:paraId="38997D5B" w14:textId="77777777" w:rsidR="00C414FF" w:rsidRPr="00C07A3C" w:rsidRDefault="00C414FF" w:rsidP="00D6299C">
            <w:pPr>
              <w:jc w:val="center"/>
              <w:rPr>
                <w:rFonts w:eastAsia="Calibri"/>
                <w:highlight w:val="lightGray"/>
              </w:rPr>
            </w:pPr>
            <w:r w:rsidRPr="00C07A3C">
              <w:rPr>
                <w:rFonts w:eastAsia="Calibri"/>
                <w:highlight w:val="lightGray"/>
              </w:rPr>
              <w:t>8,4</w:t>
            </w:r>
          </w:p>
        </w:tc>
      </w:tr>
    </w:tbl>
    <w:p w14:paraId="558CB45F" w14:textId="77777777" w:rsidR="006B5F08" w:rsidRPr="008661CD" w:rsidRDefault="006B5F08" w:rsidP="008661CD">
      <w:pPr>
        <w:rPr>
          <w:u w:val="single"/>
        </w:rPr>
      </w:pPr>
    </w:p>
    <w:p w14:paraId="11F081EC" w14:textId="77777777" w:rsidR="00922D8A" w:rsidRPr="008661CD" w:rsidRDefault="00922D8A" w:rsidP="008661CD">
      <w:pPr>
        <w:rPr>
          <w:i/>
        </w:rPr>
      </w:pPr>
      <w:r w:rsidRPr="008661CD">
        <w:rPr>
          <w:i/>
        </w:rPr>
        <w:t>Pacientams, kurių inkstų funkcija sutrikusi</w:t>
      </w:r>
    </w:p>
    <w:p w14:paraId="52B4F34E" w14:textId="77777777" w:rsidR="00922D8A" w:rsidRPr="008661CD" w:rsidRDefault="00922D8A" w:rsidP="008661CD">
      <w:r w:rsidRPr="008661CD">
        <w:t>Cefuroksimo aksetilo saugumas ir veiksmingumas pacientams, kurie serga inkstų funkcijos nepakankamumu, nenustatytas. Didžiausia dalis cefuroksimo šalinama per inkstus. Pacientams, kurių inkstų funkcija yra labai sutrikusi, cefuroksimo dozę rekomenduojama sumažinti, siekiant kompensuoti jo ekskrecijos sulėtėjimą. Cefuroksimas veiksmingai šalinamas iš organizmo dializės metu.</w:t>
      </w:r>
    </w:p>
    <w:p w14:paraId="02E6D680" w14:textId="77777777" w:rsidR="00922D8A" w:rsidRPr="008661CD" w:rsidRDefault="00922D8A" w:rsidP="008661CD"/>
    <w:p w14:paraId="6CBF93D6" w14:textId="633EC62C" w:rsidR="00922D8A" w:rsidRPr="008661CD" w:rsidRDefault="00490B45" w:rsidP="008661CD">
      <w:pPr>
        <w:keepNext/>
        <w:rPr>
          <w:i/>
        </w:rPr>
      </w:pPr>
      <w:r>
        <w:rPr>
          <w:i/>
        </w:rPr>
        <w:t>7</w:t>
      </w:r>
      <w:r w:rsidRPr="008661CD">
        <w:rPr>
          <w:i/>
        </w:rPr>
        <w:t> </w:t>
      </w:r>
      <w:r w:rsidR="00922D8A" w:rsidRPr="008661CD">
        <w:rPr>
          <w:i/>
        </w:rPr>
        <w:t xml:space="preserve">lentelė. Rekomenduojamos Zinnat dozės pacientams, </w:t>
      </w:r>
      <w:r w:rsidR="0059070D">
        <w:rPr>
          <w:i/>
        </w:rPr>
        <w:t>kurių inkstų funkcija sutrikusi</w:t>
      </w:r>
    </w:p>
    <w:p w14:paraId="0C976073" w14:textId="77777777" w:rsidR="00922D8A" w:rsidRPr="008661CD" w:rsidRDefault="00922D8A" w:rsidP="008661CD">
      <w:pPr>
        <w:keepNext/>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100"/>
        <w:gridCol w:w="4504"/>
      </w:tblGrid>
      <w:tr w:rsidR="00922D8A" w:rsidRPr="00C510EF" w14:paraId="2144CF10" w14:textId="77777777" w:rsidTr="00894113">
        <w:trPr>
          <w:trHeight w:val="297"/>
        </w:trPr>
        <w:tc>
          <w:tcPr>
            <w:tcW w:w="3528" w:type="dxa"/>
          </w:tcPr>
          <w:p w14:paraId="265BCEF5" w14:textId="77777777" w:rsidR="00922D8A" w:rsidRPr="008661CD" w:rsidRDefault="00922D8A" w:rsidP="008661CD">
            <w:pPr>
              <w:keepNext/>
              <w:spacing w:after="240"/>
              <w:jc w:val="center"/>
              <w:rPr>
                <w:b/>
              </w:rPr>
            </w:pPr>
            <w:r w:rsidRPr="008661CD">
              <w:rPr>
                <w:b/>
              </w:rPr>
              <w:t>Kreatinino klirensas</w:t>
            </w:r>
          </w:p>
        </w:tc>
        <w:tc>
          <w:tcPr>
            <w:tcW w:w="1115" w:type="dxa"/>
          </w:tcPr>
          <w:p w14:paraId="2B1F42CE" w14:textId="77777777" w:rsidR="00922D8A" w:rsidRPr="008661CD" w:rsidRDefault="00922D8A" w:rsidP="008661CD">
            <w:pPr>
              <w:keepNext/>
              <w:spacing w:after="240"/>
              <w:jc w:val="center"/>
              <w:rPr>
                <w:b/>
              </w:rPr>
            </w:pPr>
            <w:r w:rsidRPr="008661CD">
              <w:rPr>
                <w:b/>
              </w:rPr>
              <w:t>t</w:t>
            </w:r>
            <w:r w:rsidRPr="008661CD">
              <w:rPr>
                <w:b/>
                <w:vertAlign w:val="subscript"/>
              </w:rPr>
              <w:t>1/2</w:t>
            </w:r>
            <w:r w:rsidRPr="008661CD">
              <w:rPr>
                <w:b/>
              </w:rPr>
              <w:t xml:space="preserve"> (val.)</w:t>
            </w:r>
          </w:p>
        </w:tc>
        <w:tc>
          <w:tcPr>
            <w:tcW w:w="4643" w:type="dxa"/>
          </w:tcPr>
          <w:p w14:paraId="69529C58" w14:textId="77777777" w:rsidR="00922D8A" w:rsidRPr="008661CD" w:rsidRDefault="00922D8A" w:rsidP="008661CD">
            <w:pPr>
              <w:keepNext/>
              <w:spacing w:after="240"/>
              <w:jc w:val="center"/>
              <w:rPr>
                <w:b/>
              </w:rPr>
            </w:pPr>
            <w:r w:rsidRPr="008661CD">
              <w:rPr>
                <w:b/>
              </w:rPr>
              <w:t>Rekomenduojamas dozavimas</w:t>
            </w:r>
          </w:p>
        </w:tc>
      </w:tr>
      <w:tr w:rsidR="00922D8A" w:rsidRPr="00C510EF" w14:paraId="31AE890C" w14:textId="77777777" w:rsidTr="00894113">
        <w:tc>
          <w:tcPr>
            <w:tcW w:w="3528" w:type="dxa"/>
          </w:tcPr>
          <w:p w14:paraId="67C84C49" w14:textId="77777777" w:rsidR="00922D8A" w:rsidRPr="008661CD" w:rsidRDefault="00922D8A" w:rsidP="008661CD">
            <w:pPr>
              <w:spacing w:after="240"/>
              <w:rPr>
                <w:vertAlign w:val="superscript"/>
              </w:rPr>
            </w:pPr>
            <w:r w:rsidRPr="008661CD">
              <w:t>≥ 30 ml/min./</w:t>
            </w:r>
            <w:smartTag w:uri="schemas-tilde-lv/tildestengine" w:element="metric2">
              <w:smartTagPr>
                <w:attr w:name="metric_value" w:val="1.73"/>
                <w:attr w:name="metric_text" w:val="m"/>
              </w:smartTagPr>
              <w:r w:rsidRPr="008661CD">
                <w:t>1,73 m</w:t>
              </w:r>
            </w:smartTag>
            <w:r w:rsidRPr="008661CD">
              <w:rPr>
                <w:vertAlign w:val="superscript"/>
              </w:rPr>
              <w:t>2</w:t>
            </w:r>
          </w:p>
        </w:tc>
        <w:tc>
          <w:tcPr>
            <w:tcW w:w="1110" w:type="dxa"/>
          </w:tcPr>
          <w:p w14:paraId="0A23848F" w14:textId="77777777" w:rsidR="00922D8A" w:rsidRPr="008661CD" w:rsidRDefault="00922D8A" w:rsidP="008661CD">
            <w:pPr>
              <w:spacing w:after="240"/>
            </w:pPr>
            <w:r w:rsidRPr="008661CD">
              <w:t>1,4</w:t>
            </w:r>
            <w:r w:rsidRPr="008661CD">
              <w:noBreakHyphen/>
              <w:t>2,4</w:t>
            </w:r>
          </w:p>
        </w:tc>
        <w:tc>
          <w:tcPr>
            <w:tcW w:w="4648" w:type="dxa"/>
          </w:tcPr>
          <w:p w14:paraId="0FA114FB" w14:textId="77777777" w:rsidR="00922D8A" w:rsidRPr="008661CD" w:rsidRDefault="00922D8A" w:rsidP="008661CD">
            <w:pPr>
              <w:spacing w:after="240"/>
            </w:pPr>
            <w:r w:rsidRPr="008661CD">
              <w:t>Dozės keisti nebūtina (įprasta dozė yra 125</w:t>
            </w:r>
            <w:r w:rsidRPr="008661CD">
              <w:noBreakHyphen/>
              <w:t>500 mg du kartus per parą).</w:t>
            </w:r>
          </w:p>
        </w:tc>
      </w:tr>
      <w:tr w:rsidR="00922D8A" w:rsidRPr="00C510EF" w14:paraId="2BE9457A" w14:textId="77777777" w:rsidTr="00894113">
        <w:tc>
          <w:tcPr>
            <w:tcW w:w="3528" w:type="dxa"/>
          </w:tcPr>
          <w:p w14:paraId="0FCC5D1D" w14:textId="77777777" w:rsidR="00922D8A" w:rsidRPr="008661CD" w:rsidRDefault="00922D8A" w:rsidP="008661CD">
            <w:pPr>
              <w:spacing w:after="240"/>
            </w:pPr>
            <w:r w:rsidRPr="008661CD">
              <w:t>10</w:t>
            </w:r>
            <w:r w:rsidRPr="008661CD">
              <w:noBreakHyphen/>
              <w:t>29 ml/min./</w:t>
            </w:r>
            <w:smartTag w:uri="schemas-tilde-lv/tildestengine" w:element="metric2">
              <w:smartTagPr>
                <w:attr w:name="metric_value" w:val="1.73"/>
                <w:attr w:name="metric_text" w:val="m"/>
              </w:smartTagPr>
              <w:r w:rsidRPr="008661CD">
                <w:t>1,73 m</w:t>
              </w:r>
            </w:smartTag>
            <w:r w:rsidRPr="008661CD">
              <w:rPr>
                <w:vertAlign w:val="superscript"/>
              </w:rPr>
              <w:t>2</w:t>
            </w:r>
          </w:p>
        </w:tc>
        <w:tc>
          <w:tcPr>
            <w:tcW w:w="1110" w:type="dxa"/>
          </w:tcPr>
          <w:p w14:paraId="2E1CED84" w14:textId="77777777" w:rsidR="00922D8A" w:rsidRPr="008661CD" w:rsidRDefault="00922D8A" w:rsidP="008661CD">
            <w:pPr>
              <w:spacing w:after="240"/>
            </w:pPr>
            <w:r w:rsidRPr="008661CD">
              <w:t>4,6</w:t>
            </w:r>
          </w:p>
        </w:tc>
        <w:tc>
          <w:tcPr>
            <w:tcW w:w="4648" w:type="dxa"/>
          </w:tcPr>
          <w:p w14:paraId="26D09B79" w14:textId="77777777" w:rsidR="00922D8A" w:rsidRPr="008661CD" w:rsidRDefault="00922D8A" w:rsidP="008661CD">
            <w:pPr>
              <w:spacing w:after="240"/>
            </w:pPr>
            <w:r w:rsidRPr="008661CD">
              <w:t>Įprastos individualios dozės kas 24 valandas.</w:t>
            </w:r>
          </w:p>
        </w:tc>
      </w:tr>
      <w:tr w:rsidR="00922D8A" w:rsidRPr="00C510EF" w14:paraId="5FC6B80B" w14:textId="77777777" w:rsidTr="00894113">
        <w:tc>
          <w:tcPr>
            <w:tcW w:w="3528" w:type="dxa"/>
          </w:tcPr>
          <w:p w14:paraId="2F1B2EF7" w14:textId="77777777" w:rsidR="00922D8A" w:rsidRPr="008661CD" w:rsidRDefault="00922D8A" w:rsidP="008661CD">
            <w:pPr>
              <w:spacing w:after="240"/>
            </w:pPr>
            <w:r w:rsidRPr="008661CD">
              <w:t>&lt; 10 ml/min./</w:t>
            </w:r>
            <w:smartTag w:uri="schemas-tilde-lv/tildestengine" w:element="metric2">
              <w:smartTagPr>
                <w:attr w:name="metric_value" w:val="1.73"/>
                <w:attr w:name="metric_text" w:val="m"/>
              </w:smartTagPr>
              <w:r w:rsidRPr="008661CD">
                <w:t>1,73 m</w:t>
              </w:r>
            </w:smartTag>
            <w:r w:rsidRPr="008661CD">
              <w:rPr>
                <w:vertAlign w:val="superscript"/>
              </w:rPr>
              <w:t>2</w:t>
            </w:r>
          </w:p>
        </w:tc>
        <w:tc>
          <w:tcPr>
            <w:tcW w:w="1110" w:type="dxa"/>
          </w:tcPr>
          <w:p w14:paraId="40E584CF" w14:textId="77777777" w:rsidR="00922D8A" w:rsidRPr="008661CD" w:rsidRDefault="00922D8A" w:rsidP="008661CD">
            <w:pPr>
              <w:spacing w:after="240"/>
            </w:pPr>
            <w:r w:rsidRPr="008661CD">
              <w:t>16,8</w:t>
            </w:r>
          </w:p>
        </w:tc>
        <w:tc>
          <w:tcPr>
            <w:tcW w:w="4648" w:type="dxa"/>
          </w:tcPr>
          <w:p w14:paraId="4024D330" w14:textId="77777777" w:rsidR="00922D8A" w:rsidRPr="008661CD" w:rsidRDefault="00922D8A" w:rsidP="008661CD">
            <w:pPr>
              <w:spacing w:after="240"/>
            </w:pPr>
            <w:r w:rsidRPr="008661CD">
              <w:t>Įprastos individualios dozės kas 48 valandas.</w:t>
            </w:r>
          </w:p>
        </w:tc>
      </w:tr>
      <w:tr w:rsidR="00922D8A" w:rsidRPr="00C510EF" w14:paraId="56073313" w14:textId="77777777" w:rsidTr="00894113">
        <w:tc>
          <w:tcPr>
            <w:tcW w:w="3528" w:type="dxa"/>
          </w:tcPr>
          <w:p w14:paraId="658F7581" w14:textId="77777777" w:rsidR="00922D8A" w:rsidRPr="008661CD" w:rsidRDefault="00922D8A" w:rsidP="008661CD">
            <w:pPr>
              <w:spacing w:after="240"/>
            </w:pPr>
            <w:r w:rsidRPr="008661CD">
              <w:t>Hemodializės metu</w:t>
            </w:r>
          </w:p>
        </w:tc>
        <w:tc>
          <w:tcPr>
            <w:tcW w:w="1110" w:type="dxa"/>
          </w:tcPr>
          <w:p w14:paraId="4B9BCB33" w14:textId="77777777" w:rsidR="00922D8A" w:rsidRPr="008661CD" w:rsidRDefault="00922D8A" w:rsidP="008661CD">
            <w:pPr>
              <w:spacing w:after="240"/>
            </w:pPr>
            <w:r w:rsidRPr="008661CD">
              <w:t>2</w:t>
            </w:r>
            <w:r w:rsidRPr="008661CD">
              <w:noBreakHyphen/>
              <w:t>4</w:t>
            </w:r>
          </w:p>
        </w:tc>
        <w:tc>
          <w:tcPr>
            <w:tcW w:w="4648" w:type="dxa"/>
          </w:tcPr>
          <w:p w14:paraId="32CF4E9A" w14:textId="77777777" w:rsidR="00922D8A" w:rsidRPr="008661CD" w:rsidRDefault="00922D8A" w:rsidP="008661CD">
            <w:pPr>
              <w:spacing w:after="240"/>
            </w:pPr>
            <w:r w:rsidRPr="008661CD">
              <w:t>Baigus kiekvieną dializės seansą reikia skirti vienkartinę papildomą įprastą individualią dozę.</w:t>
            </w:r>
          </w:p>
        </w:tc>
      </w:tr>
    </w:tbl>
    <w:p w14:paraId="6D3F4487" w14:textId="77777777" w:rsidR="00922D8A" w:rsidRPr="008661CD" w:rsidRDefault="00922D8A" w:rsidP="008661CD"/>
    <w:p w14:paraId="2F34ED13" w14:textId="77777777" w:rsidR="00922D8A" w:rsidRPr="008661CD" w:rsidRDefault="00922D8A" w:rsidP="008661CD">
      <w:pPr>
        <w:rPr>
          <w:i/>
        </w:rPr>
      </w:pPr>
      <w:r w:rsidRPr="008661CD">
        <w:rPr>
          <w:i/>
        </w:rPr>
        <w:t>Pacientams, kurių kepenų funkcija sutrikusi</w:t>
      </w:r>
    </w:p>
    <w:p w14:paraId="1C77B976" w14:textId="77777777" w:rsidR="00922D8A" w:rsidRPr="008661CD" w:rsidRDefault="00922D8A" w:rsidP="008661CD">
      <w:r w:rsidRPr="008661CD">
        <w:t>Duomenų apie pacientus, kuriems yra kepenų funkcijos sutrikimas, nėra. Didžiausia dalis cefuroksimo šalinama per inkstus, todėl nesitikima, kad kepenų funkcijos sutrikimas turėtų įtakos cefuroksimo farmakokinetikai.</w:t>
      </w:r>
    </w:p>
    <w:p w14:paraId="3812A940" w14:textId="77777777" w:rsidR="00922D8A" w:rsidRPr="008661CD" w:rsidRDefault="00922D8A" w:rsidP="008661CD"/>
    <w:p w14:paraId="3EF3DDBB" w14:textId="77777777" w:rsidR="00922D8A" w:rsidRPr="008661CD" w:rsidRDefault="00922D8A" w:rsidP="008661CD">
      <w:pPr>
        <w:rPr>
          <w:u w:val="single"/>
        </w:rPr>
      </w:pPr>
      <w:r w:rsidRPr="008661CD">
        <w:rPr>
          <w:u w:val="single"/>
        </w:rPr>
        <w:t>Vartojimo metodas</w:t>
      </w:r>
    </w:p>
    <w:p w14:paraId="2C8E34D6" w14:textId="77777777" w:rsidR="00922D8A" w:rsidRPr="008661CD" w:rsidRDefault="00922D8A" w:rsidP="008661CD"/>
    <w:p w14:paraId="668DD0C7" w14:textId="77777777" w:rsidR="00922D8A" w:rsidRPr="008661CD" w:rsidRDefault="00922D8A" w:rsidP="008661CD">
      <w:r w:rsidRPr="008661CD">
        <w:t>Vartoti per burną.</w:t>
      </w:r>
    </w:p>
    <w:p w14:paraId="698F56BB" w14:textId="77777777" w:rsidR="009F4E08" w:rsidRDefault="009F4E08" w:rsidP="009F4E08">
      <w:pPr>
        <w:rPr>
          <w:highlight w:val="lightGray"/>
        </w:rPr>
      </w:pPr>
    </w:p>
    <w:p w14:paraId="3AFF281D" w14:textId="545B675D" w:rsidR="009F4E08" w:rsidRPr="008661CD" w:rsidRDefault="009F4E08" w:rsidP="009F4E08">
      <w:pPr>
        <w:rPr>
          <w:highlight w:val="lightGray"/>
        </w:rPr>
      </w:pPr>
      <w:r w:rsidRPr="008661CD">
        <w:rPr>
          <w:highlight w:val="lightGray"/>
        </w:rPr>
        <w:t>Zinnat</w:t>
      </w:r>
      <w:r>
        <w:rPr>
          <w:highlight w:val="lightGray"/>
        </w:rPr>
        <w:t xml:space="preserve"> </w:t>
      </w:r>
      <w:r w:rsidRPr="008661CD">
        <w:rPr>
          <w:highlight w:val="lightGray"/>
        </w:rPr>
        <w:t>250 mg</w:t>
      </w:r>
      <w:r>
        <w:rPr>
          <w:highlight w:val="lightGray"/>
        </w:rPr>
        <w:t>, 500 mg</w:t>
      </w:r>
      <w:r w:rsidRPr="008661CD">
        <w:rPr>
          <w:highlight w:val="lightGray"/>
        </w:rPr>
        <w:t xml:space="preserve"> plėvele dengtos tabletės</w:t>
      </w:r>
    </w:p>
    <w:p w14:paraId="69B2B4C1" w14:textId="77777777" w:rsidR="00922D8A" w:rsidRPr="008661CD" w:rsidRDefault="00922D8A" w:rsidP="008661CD">
      <w:r w:rsidRPr="008661CD">
        <w:t>Kad absorbcija būtų optimali, Zinnat tabletes reikia gerti po valgio.</w:t>
      </w:r>
    </w:p>
    <w:p w14:paraId="07CD3040" w14:textId="77777777" w:rsidR="00922D8A" w:rsidRPr="008661CD" w:rsidRDefault="00922D8A" w:rsidP="008661CD"/>
    <w:p w14:paraId="65C0BC72" w14:textId="77777777" w:rsidR="00922D8A" w:rsidRPr="000F3553" w:rsidRDefault="00922D8A" w:rsidP="008661CD">
      <w:pPr>
        <w:autoSpaceDE w:val="0"/>
        <w:autoSpaceDN w:val="0"/>
        <w:adjustRightInd w:val="0"/>
        <w:rPr>
          <w:rFonts w:eastAsia="Calibri"/>
        </w:rPr>
      </w:pPr>
      <w:r w:rsidRPr="000F3553">
        <w:rPr>
          <w:rFonts w:eastAsia="Calibri"/>
        </w:rPr>
        <w:t xml:space="preserve">Zinnat tablečių negalima traiškyti, todėl jomis negalima gydyti pacientų, kurie negali nuryti tablečių. </w:t>
      </w:r>
      <w:r w:rsidRPr="00AA08CA">
        <w:rPr>
          <w:rFonts w:eastAsia="Calibri"/>
          <w:highlight w:val="lightGray"/>
        </w:rPr>
        <w:t>Vaikams galima vartoti Zinnat geriamąją suspensiją</w:t>
      </w:r>
      <w:r w:rsidRPr="000F3553">
        <w:rPr>
          <w:rFonts w:eastAsia="Calibri"/>
        </w:rPr>
        <w:t>.</w:t>
      </w:r>
    </w:p>
    <w:p w14:paraId="2E0A6045" w14:textId="77777777" w:rsidR="00922D8A" w:rsidRPr="008661CD" w:rsidRDefault="00922D8A" w:rsidP="008661CD"/>
    <w:p w14:paraId="5F1BFE66" w14:textId="77777777" w:rsidR="009F4E08" w:rsidRPr="00C07A3C" w:rsidRDefault="009F4E08" w:rsidP="009F4E08">
      <w:pPr>
        <w:rPr>
          <w:rFonts w:eastAsia="Calibri"/>
        </w:rPr>
      </w:pPr>
      <w:r w:rsidRPr="004906D7">
        <w:rPr>
          <w:rFonts w:eastAsia="Calibri"/>
          <w:highlight w:val="lightGray"/>
        </w:rPr>
        <w:t>Zinnat 125 mg/5 ml granulės geriamajai suspensijai</w:t>
      </w:r>
    </w:p>
    <w:p w14:paraId="4FFB65E5" w14:textId="77777777" w:rsidR="009F4E08" w:rsidRPr="00BE446D" w:rsidRDefault="009F4E08" w:rsidP="009F4E08">
      <w:pPr>
        <w:autoSpaceDE w:val="0"/>
        <w:autoSpaceDN w:val="0"/>
        <w:adjustRightInd w:val="0"/>
        <w:rPr>
          <w:rFonts w:eastAsia="Calibri"/>
          <w:color w:val="000000"/>
          <w:highlight w:val="lightGray"/>
        </w:rPr>
      </w:pPr>
      <w:r w:rsidRPr="00BE446D">
        <w:rPr>
          <w:rFonts w:eastAsia="Calibri"/>
          <w:color w:val="000000"/>
          <w:highlight w:val="lightGray"/>
        </w:rPr>
        <w:t xml:space="preserve">Kad absorbcija būtų optimali, cefuroksimo aksetilo suspensiją reikia gerti su maistu. </w:t>
      </w:r>
    </w:p>
    <w:p w14:paraId="7A80F008" w14:textId="77777777" w:rsidR="009F4E08" w:rsidRPr="00BE446D" w:rsidRDefault="009F4E08" w:rsidP="009F4E08">
      <w:pPr>
        <w:autoSpaceDE w:val="0"/>
        <w:autoSpaceDN w:val="0"/>
        <w:adjustRightInd w:val="0"/>
        <w:rPr>
          <w:rFonts w:eastAsia="Calibri"/>
          <w:color w:val="000000"/>
          <w:highlight w:val="lightGray"/>
        </w:rPr>
      </w:pPr>
    </w:p>
    <w:p w14:paraId="3F856E0C" w14:textId="77777777" w:rsidR="009F4E08" w:rsidRPr="00C07A3C" w:rsidRDefault="009F4E08" w:rsidP="009F4E08">
      <w:pPr>
        <w:rPr>
          <w:rFonts w:eastAsia="Calibri"/>
          <w:shd w:val="clear" w:color="auto" w:fill="C0C0C0"/>
        </w:rPr>
      </w:pPr>
      <w:r w:rsidRPr="00BE446D">
        <w:rPr>
          <w:rFonts w:eastAsia="Calibri"/>
          <w:highlight w:val="lightGray"/>
        </w:rPr>
        <w:t>Vaistinio preparato ruošimo prieš vartojant instrukcija pateikiama 6.6 skyriuje.</w:t>
      </w:r>
    </w:p>
    <w:p w14:paraId="7CDBA809" w14:textId="77777777" w:rsidR="009F4E08" w:rsidRDefault="009F4E08" w:rsidP="008661CD"/>
    <w:p w14:paraId="11CA4DC5" w14:textId="77777777" w:rsidR="00922D8A" w:rsidRPr="008661CD" w:rsidRDefault="00922D8A" w:rsidP="008661CD">
      <w:r w:rsidRPr="008661CD">
        <w:t>Atsižvelgiant į dozavimą, galimos ir kitos vaistinio preparato formos.</w:t>
      </w:r>
    </w:p>
    <w:p w14:paraId="191632A5" w14:textId="77777777" w:rsidR="00922D8A" w:rsidRPr="008661CD" w:rsidRDefault="00922D8A" w:rsidP="008661CD"/>
    <w:p w14:paraId="03A1A0A3" w14:textId="77777777" w:rsidR="00922D8A" w:rsidRPr="008661CD" w:rsidRDefault="00922D8A" w:rsidP="008661CD">
      <w:pPr>
        <w:ind w:left="567" w:hanging="567"/>
        <w:rPr>
          <w:b/>
        </w:rPr>
      </w:pPr>
      <w:r w:rsidRPr="008661CD">
        <w:rPr>
          <w:b/>
        </w:rPr>
        <w:t>4.3</w:t>
      </w:r>
      <w:r w:rsidRPr="008661CD">
        <w:rPr>
          <w:b/>
        </w:rPr>
        <w:tab/>
        <w:t>Kontraindikacijos</w:t>
      </w:r>
    </w:p>
    <w:p w14:paraId="6A9C45A2" w14:textId="77777777" w:rsidR="00922D8A" w:rsidRPr="008661CD" w:rsidRDefault="00922D8A" w:rsidP="008661CD">
      <w:pPr>
        <w:ind w:left="567" w:hanging="567"/>
      </w:pPr>
    </w:p>
    <w:p w14:paraId="08284F71" w14:textId="77777777" w:rsidR="00922D8A" w:rsidRPr="008661CD" w:rsidRDefault="00922D8A" w:rsidP="008661CD">
      <w:r w:rsidRPr="008661CD">
        <w:t>Padidėjęs jautrumas cefuroksimui arba bet kuriai 6.1 skyriuje nurodytai pagalbinei medžiagai.</w:t>
      </w:r>
    </w:p>
    <w:p w14:paraId="0D7C51A2" w14:textId="77777777" w:rsidR="00922D8A" w:rsidRPr="008661CD" w:rsidRDefault="00922D8A" w:rsidP="008661CD"/>
    <w:p w14:paraId="75547470" w14:textId="77777777" w:rsidR="00922D8A" w:rsidRPr="008661CD" w:rsidRDefault="00922D8A" w:rsidP="008661CD">
      <w:r w:rsidRPr="008661CD">
        <w:t>Padidėjęs jautrumas cefalosporinų grupės antibiotikams.</w:t>
      </w:r>
    </w:p>
    <w:p w14:paraId="4403DC8E" w14:textId="77777777" w:rsidR="00922D8A" w:rsidRPr="008661CD" w:rsidRDefault="00922D8A" w:rsidP="008661CD"/>
    <w:p w14:paraId="633114C4" w14:textId="77777777" w:rsidR="00922D8A" w:rsidRPr="008661CD" w:rsidRDefault="00922D8A" w:rsidP="008661CD">
      <w:r w:rsidRPr="008661CD">
        <w:t>Buvo pasireiškęs sunkus padidėjęs jautrumas (pvz., anafilaksinė reakcija) bet kokiam kitam beta laktaminiam antibiotikui (penicilinams, monobaktamams, karmapenemams).</w:t>
      </w:r>
    </w:p>
    <w:p w14:paraId="6CF69398" w14:textId="77777777" w:rsidR="00922D8A" w:rsidRPr="008661CD" w:rsidRDefault="00922D8A" w:rsidP="008661CD"/>
    <w:p w14:paraId="4A8919BE" w14:textId="77777777" w:rsidR="00922D8A" w:rsidRPr="008661CD" w:rsidRDefault="00922D8A" w:rsidP="008661CD">
      <w:pPr>
        <w:ind w:left="567" w:hanging="567"/>
        <w:rPr>
          <w:b/>
        </w:rPr>
      </w:pPr>
      <w:r w:rsidRPr="008661CD">
        <w:rPr>
          <w:b/>
        </w:rPr>
        <w:t>4.4</w:t>
      </w:r>
      <w:r w:rsidRPr="008661CD">
        <w:rPr>
          <w:b/>
        </w:rPr>
        <w:tab/>
        <w:t>Specialūs įspėjimai ir atsargumo priemonės</w:t>
      </w:r>
    </w:p>
    <w:p w14:paraId="08AD5AAE" w14:textId="77777777" w:rsidR="00922D8A" w:rsidRPr="008661CD" w:rsidRDefault="00922D8A" w:rsidP="008661CD">
      <w:pPr>
        <w:ind w:left="567" w:hanging="567"/>
        <w:rPr>
          <w:b/>
        </w:rPr>
      </w:pPr>
    </w:p>
    <w:p w14:paraId="7D7C71B7" w14:textId="77777777" w:rsidR="00922D8A" w:rsidRPr="008661CD" w:rsidRDefault="00922D8A" w:rsidP="008661CD">
      <w:pPr>
        <w:rPr>
          <w:u w:val="single"/>
        </w:rPr>
      </w:pPr>
      <w:r w:rsidRPr="008661CD">
        <w:rPr>
          <w:u w:val="single"/>
        </w:rPr>
        <w:t>Padidėjusio jautrumo reakcijos</w:t>
      </w:r>
    </w:p>
    <w:p w14:paraId="2A2375A3" w14:textId="0D24D9B2" w:rsidR="00922D8A" w:rsidRPr="008661CD" w:rsidRDefault="00922D8A" w:rsidP="008661CD">
      <w:r w:rsidRPr="008661CD">
        <w:t xml:space="preserve">Reikia labai atsargiai gydyti pacientus, kuriems pasireiškė alerginė reakcija penicilinams arba kitiems beta laktaminiams antibiotikams, nes yra kryžminio padidėjusio jautrumo rizika. Kaip ir vartojant visus beta laktaminius antibakterinius vaistinius preparatus, buvo pranešta apie sunkias ir kartais mirtinas padidėjusio jautrumo reakcijas. </w:t>
      </w:r>
      <w:r w:rsidR="00122FB5" w:rsidRPr="00122FB5">
        <w:rPr>
          <w:szCs w:val="22"/>
          <w:lang w:eastAsia="lt-LT"/>
        </w:rPr>
        <w:t xml:space="preserve">Gauta pranešimų apie padidėjusio jautrumo reakcijas, kurios progresavo iki </w:t>
      </w:r>
      <w:r w:rsidR="00122FB5" w:rsidRPr="00122FB5">
        <w:rPr>
          <w:i/>
          <w:iCs/>
          <w:szCs w:val="22"/>
          <w:lang w:eastAsia="lt-LT"/>
        </w:rPr>
        <w:t>Kounis</w:t>
      </w:r>
      <w:r w:rsidR="00122FB5" w:rsidRPr="00122FB5">
        <w:rPr>
          <w:szCs w:val="22"/>
          <w:lang w:eastAsia="lt-LT"/>
        </w:rPr>
        <w:t xml:space="preserve"> sindromo (ūminis alerginis vainikinių arterijų spazmas, dėl kurio gali ištikti miokardo infarktas, žr. 4.8 skyrių). </w:t>
      </w:r>
      <w:r w:rsidRPr="008661CD">
        <w:t>Jeigu pasireiškia sunkios padidėjusio jautrumo reakcijos, gydymą cefuroksimu reikia nedelsiant nutraukti ir imtis tinkamų neatidėliotinos pagalbos priemonių.</w:t>
      </w:r>
    </w:p>
    <w:p w14:paraId="2D64C74E" w14:textId="77777777" w:rsidR="00922D8A" w:rsidRPr="008661CD" w:rsidRDefault="00922D8A" w:rsidP="008661CD"/>
    <w:p w14:paraId="0E3ED40E" w14:textId="77777777" w:rsidR="00922D8A" w:rsidRPr="008661CD" w:rsidRDefault="00922D8A" w:rsidP="008661CD">
      <w:r w:rsidRPr="008661CD">
        <w:t>Prieš pradedant gydymą, reikia nustatyti, ar pacientui nebuvo pasireiškę sunkių padidėjusio jautrumo cefuroksimui, kitokiems cefalosporinams arba bet kokiam kitam beta laktaminiam antibiotikui reakcijų. Cefuroksimą skiriant pacientams, kuriems buvo pasireiškęs nesunkus padidėjęs jautrumas kitokiems beta laktaminiams antibiotikams, gydyti reikia atsargiai.</w:t>
      </w:r>
    </w:p>
    <w:p w14:paraId="1B59D2F6" w14:textId="77777777" w:rsidR="00922D8A" w:rsidRDefault="00922D8A" w:rsidP="008661CD"/>
    <w:p w14:paraId="7AF64DCD" w14:textId="77777777" w:rsidR="00B552BC" w:rsidRPr="00B552BC" w:rsidRDefault="00B552BC" w:rsidP="00B552BC">
      <w:pPr>
        <w:rPr>
          <w:szCs w:val="22"/>
          <w:u w:val="single"/>
          <w:lang w:eastAsia="lt-LT"/>
        </w:rPr>
      </w:pPr>
      <w:r w:rsidRPr="00B552BC">
        <w:rPr>
          <w:szCs w:val="22"/>
          <w:u w:val="single"/>
          <w:lang w:eastAsia="lt-LT"/>
        </w:rPr>
        <w:t>Sunkios nepageidaujamos odos reakcijos (SNOR)</w:t>
      </w:r>
    </w:p>
    <w:p w14:paraId="56139B32" w14:textId="33C5FD5C" w:rsidR="00B552BC" w:rsidRPr="00B552BC" w:rsidRDefault="00B552BC" w:rsidP="00B552BC">
      <w:pPr>
        <w:rPr>
          <w:szCs w:val="22"/>
          <w:lang w:eastAsia="lt-LT"/>
        </w:rPr>
      </w:pPr>
      <w:r w:rsidRPr="00B552BC">
        <w:rPr>
          <w:szCs w:val="22"/>
          <w:lang w:eastAsia="lt-LT"/>
        </w:rPr>
        <w:t>Gauta pranešimų apie su gydymu cefuroksimu susijusias sunkias nepageidaujamas odos reakcijas, įskaitant Stivenso-Džonsono (Stevens-Johnson)</w:t>
      </w:r>
      <w:r>
        <w:rPr>
          <w:szCs w:val="22"/>
          <w:lang w:eastAsia="lt-LT"/>
        </w:rPr>
        <w:t xml:space="preserve"> </w:t>
      </w:r>
      <w:r w:rsidRPr="00B552BC">
        <w:rPr>
          <w:szCs w:val="22"/>
          <w:lang w:eastAsia="lt-LT"/>
        </w:rPr>
        <w:t>sindromą</w:t>
      </w:r>
      <w:r w:rsidRPr="00B552BC">
        <w:rPr>
          <w:i/>
          <w:iCs/>
          <w:szCs w:val="22"/>
          <w:lang w:eastAsia="lt-LT"/>
        </w:rPr>
        <w:t xml:space="preserve"> </w:t>
      </w:r>
      <w:r w:rsidRPr="00B552BC">
        <w:rPr>
          <w:szCs w:val="22"/>
          <w:lang w:eastAsia="lt-LT"/>
        </w:rPr>
        <w:t xml:space="preserve">(SJS), toksinę epidermio nekrolizę (TEN) ir vaistinio preparato sukeltą reakciją su eozinofilija ir sisteminiais simptomais (angl. </w:t>
      </w:r>
      <w:r w:rsidRPr="00B552BC">
        <w:rPr>
          <w:i/>
          <w:iCs/>
          <w:szCs w:val="22"/>
          <w:lang w:eastAsia="lt-LT"/>
        </w:rPr>
        <w:t>drug reaction with eosinophilia and systemic symptoms, DRESS</w:t>
      </w:r>
      <w:r w:rsidRPr="00B552BC">
        <w:rPr>
          <w:szCs w:val="22"/>
          <w:lang w:eastAsia="lt-LT"/>
        </w:rPr>
        <w:t>), kuris gali kelti pavojų gyvybei ar būti mirtina (žr. 4.8 skyrių).</w:t>
      </w:r>
    </w:p>
    <w:p w14:paraId="4935B264" w14:textId="77777777" w:rsidR="00B552BC" w:rsidRPr="00B552BC" w:rsidRDefault="00B552BC" w:rsidP="00B552BC">
      <w:pPr>
        <w:rPr>
          <w:szCs w:val="22"/>
          <w:lang w:eastAsia="lt-LT"/>
        </w:rPr>
      </w:pPr>
      <w:r w:rsidRPr="00B552BC">
        <w:rPr>
          <w:szCs w:val="22"/>
          <w:lang w:eastAsia="lt-LT"/>
        </w:rPr>
        <w:t>Skiriant vaistinio preparato pacientui reikia paaiškinti apie požymius ir simptomus bei patarti atidžiai stebėti, ar nepasireiškia odos reakcijos. Jeigu atsiranda tokias reakcijas rodančių požymių ar simptomų, reikia nedelsiant nutraukti cefuroksimo vartojimą ir apsvarstyti kitokio gydymo galimybę. Jeigu cefuroksimo vartojančiam pacientui pasireiškia pavojinga reakcija, pavyzdžiui, SJS, TEN ar DRESS, tokiam pacientui daugiau jokiomis aplinkybėmis negalima atnaujinti gydymo cefuroksimu.</w:t>
      </w:r>
    </w:p>
    <w:p w14:paraId="6CBBCB44" w14:textId="77777777" w:rsidR="000D6689" w:rsidRPr="008661CD" w:rsidRDefault="000D6689" w:rsidP="008661CD"/>
    <w:p w14:paraId="5FFEF1D8" w14:textId="77777777" w:rsidR="00922D8A" w:rsidRPr="008661CD" w:rsidRDefault="00922D8A" w:rsidP="008661CD">
      <w:pPr>
        <w:keepNext/>
        <w:rPr>
          <w:u w:val="single"/>
        </w:rPr>
      </w:pPr>
      <w:r w:rsidRPr="008661CD">
        <w:rPr>
          <w:i/>
          <w:u w:val="single"/>
        </w:rPr>
        <w:t>Jarisch–Herxheimer</w:t>
      </w:r>
      <w:r w:rsidRPr="008661CD">
        <w:rPr>
          <w:u w:val="single"/>
        </w:rPr>
        <w:t xml:space="preserve"> reakcija</w:t>
      </w:r>
    </w:p>
    <w:p w14:paraId="5290DA70" w14:textId="77777777" w:rsidR="00922D8A" w:rsidRPr="008661CD" w:rsidRDefault="00922D8A" w:rsidP="008661CD">
      <w:r w:rsidRPr="008661CD">
        <w:t xml:space="preserve">Cefuroksimo aksetilu gydant Laimo ligą, pasireiškė </w:t>
      </w:r>
      <w:r w:rsidRPr="008661CD">
        <w:rPr>
          <w:i/>
        </w:rPr>
        <w:t>Jarisch–Herxheimer</w:t>
      </w:r>
      <w:r w:rsidRPr="008661CD">
        <w:t xml:space="preserve"> reakcija. Tai tiesiogiai susiję su cefuroksimo aksetilo baktericidiniu poveikiu Laimo ligą sukeliančioms bakterijoms (</w:t>
      </w:r>
      <w:r w:rsidRPr="008661CD">
        <w:rPr>
          <w:i/>
        </w:rPr>
        <w:t>Borrelia burgdorferi</w:t>
      </w:r>
      <w:r w:rsidRPr="008661CD">
        <w:t xml:space="preserve"> spirochetoms). Pacientus reikia perspėti, kad tai yra dažna ir paprastai savaime išnykstanti Laimo ligos gydymo antibiotikais pasekmė (žr. 4.8 skyrių).</w:t>
      </w:r>
    </w:p>
    <w:p w14:paraId="1A18D4E7" w14:textId="77777777" w:rsidR="00922D8A" w:rsidRPr="008661CD" w:rsidRDefault="00922D8A" w:rsidP="008661CD"/>
    <w:p w14:paraId="45AC7011" w14:textId="77777777" w:rsidR="00922D8A" w:rsidRPr="008661CD" w:rsidRDefault="00922D8A" w:rsidP="008661CD">
      <w:pPr>
        <w:rPr>
          <w:u w:val="single"/>
        </w:rPr>
      </w:pPr>
      <w:r w:rsidRPr="008661CD">
        <w:rPr>
          <w:u w:val="single"/>
        </w:rPr>
        <w:t>Pernelyg greitas nejautrių mikroorganizmų dauginimasis</w:t>
      </w:r>
    </w:p>
    <w:p w14:paraId="03542754" w14:textId="7A457207" w:rsidR="00922D8A" w:rsidRPr="008661CD" w:rsidRDefault="00922D8A" w:rsidP="008661CD">
      <w:r w:rsidRPr="008661CD">
        <w:t>Vartojant cefuroksimo aksetilo, kaip ir vartojant kitų antibiotikų, gali pernelyg išvešėti mieliagrybiai (</w:t>
      </w:r>
      <w:r w:rsidRPr="008661CD">
        <w:rPr>
          <w:i/>
        </w:rPr>
        <w:t>Candida</w:t>
      </w:r>
      <w:r w:rsidRPr="008661CD">
        <w:t xml:space="preserve">). Be to, ilgalaikis vartojimas gali skatinti pernelyg greitą nejautrių mikroorganizmų (pvz.: enterokokų ir </w:t>
      </w:r>
      <w:r w:rsidR="00490B45" w:rsidRPr="00490B45">
        <w:rPr>
          <w:i/>
        </w:rPr>
        <w:t>Clostridioides</w:t>
      </w:r>
      <w:r w:rsidRPr="008661CD">
        <w:rPr>
          <w:i/>
        </w:rPr>
        <w:t xml:space="preserve"> difficile</w:t>
      </w:r>
      <w:r w:rsidRPr="008661CD">
        <w:t>) dauginimąsi ir dėl to gali tekti nutraukti gydymą (žr. 4.8 skyrių).</w:t>
      </w:r>
    </w:p>
    <w:p w14:paraId="4E756B40" w14:textId="77777777" w:rsidR="00922D8A" w:rsidRPr="008661CD" w:rsidRDefault="00922D8A" w:rsidP="008661CD"/>
    <w:p w14:paraId="09A056C3" w14:textId="553473E6" w:rsidR="00922D8A" w:rsidRPr="008661CD" w:rsidRDefault="00922D8A" w:rsidP="008661CD">
      <w:r w:rsidRPr="008661CD">
        <w:lastRenderedPageBreak/>
        <w:t xml:space="preserve">Vartojant beveik visus antibakterinius vaistinius preparatus, įskaitant cefuroksimą, buvo pranešta apie su vaistinio preparato vartojimu susijusį pseudomembraninį kolitą, kurio intensyvumas gali būti nuo lengvo iki gyvybei pavojingo. Svarbu numatyti tokią diagnozę pacientams, kuriems pasireiškia viduriavimas cefuroksimo vartojimo metu arba baigus vartoti cefuroksimą (žr. 4.8 skyrių). Reikia apgalvotai nutraukti gydymą cefuroksimu ir skirti specifinį gydymą nuo </w:t>
      </w:r>
      <w:r w:rsidR="00490B45" w:rsidRPr="00490B45">
        <w:rPr>
          <w:i/>
        </w:rPr>
        <w:t>Clostridioides</w:t>
      </w:r>
      <w:r w:rsidRPr="008661CD">
        <w:rPr>
          <w:i/>
        </w:rPr>
        <w:t xml:space="preserve"> difficile</w:t>
      </w:r>
      <w:r w:rsidRPr="008661CD">
        <w:t xml:space="preserve"> sukeltos ligos. Negalima skirti vaistinių preparatų, kurie slopina peristaltiką (žr. 4.8 skyrių).</w:t>
      </w:r>
    </w:p>
    <w:p w14:paraId="672D3F85" w14:textId="77777777" w:rsidR="00922D8A" w:rsidRPr="008661CD" w:rsidRDefault="00922D8A" w:rsidP="008661CD"/>
    <w:p w14:paraId="4DEAB27F" w14:textId="77777777" w:rsidR="00922D8A" w:rsidRPr="008661CD" w:rsidRDefault="00922D8A" w:rsidP="008661CD">
      <w:pPr>
        <w:rPr>
          <w:u w:val="single"/>
        </w:rPr>
      </w:pPr>
      <w:r w:rsidRPr="008661CD">
        <w:rPr>
          <w:u w:val="single"/>
        </w:rPr>
        <w:t>Įtaka diagnostiniams tyrimams</w:t>
      </w:r>
    </w:p>
    <w:p w14:paraId="3FCEA288" w14:textId="77777777" w:rsidR="00922D8A" w:rsidRPr="008661CD" w:rsidRDefault="00922D8A" w:rsidP="008661CD"/>
    <w:p w14:paraId="753E0090" w14:textId="77777777" w:rsidR="00922D8A" w:rsidRPr="008661CD" w:rsidRDefault="00922D8A" w:rsidP="008661CD">
      <w:r w:rsidRPr="008661CD">
        <w:t>Vartojant cefuroksimą, gali būti teigiamas Kumbso mėginys, ir tai gali trukdyti įvertinti donoro ir recipiento kraujo tapatumą (žr. 4.8 skyrių).</w:t>
      </w:r>
    </w:p>
    <w:p w14:paraId="66A88740" w14:textId="77777777" w:rsidR="00922D8A" w:rsidRPr="008661CD" w:rsidRDefault="00922D8A" w:rsidP="008661CD"/>
    <w:p w14:paraId="6A5994AA" w14:textId="77777777" w:rsidR="00922D8A" w:rsidRPr="008661CD" w:rsidRDefault="00922D8A" w:rsidP="008661CD">
      <w:r w:rsidRPr="008661CD">
        <w:t>Gali būti klaidingai neigiami fericianido mėginio duomenys, todėl tiriant gliukozės koncentraciją pacientų, vartojančių cefuroksimo aksetilą, kraujyje ar plazmoje, rekomenduojama taikyti gliukozės oksidazės arba heksokinazės metodus.</w:t>
      </w:r>
    </w:p>
    <w:p w14:paraId="09A9259D" w14:textId="77777777" w:rsidR="00922D8A" w:rsidRPr="008661CD" w:rsidRDefault="00922D8A" w:rsidP="008661CD"/>
    <w:p w14:paraId="3914A212" w14:textId="77777777" w:rsidR="00922D8A" w:rsidRPr="008661CD" w:rsidRDefault="00922D8A" w:rsidP="008661CD">
      <w:pPr>
        <w:keepNext/>
        <w:tabs>
          <w:tab w:val="left" w:pos="567"/>
        </w:tabs>
        <w:rPr>
          <w:u w:val="single"/>
        </w:rPr>
      </w:pPr>
      <w:r w:rsidRPr="008661CD">
        <w:rPr>
          <w:u w:val="single"/>
        </w:rPr>
        <w:t>Svarbi informacija apie pagalbines medžiagas</w:t>
      </w:r>
    </w:p>
    <w:p w14:paraId="679A628E" w14:textId="77777777" w:rsidR="00922D8A" w:rsidRPr="008661CD" w:rsidRDefault="00922D8A" w:rsidP="008661CD">
      <w:pPr>
        <w:keepNext/>
        <w:tabs>
          <w:tab w:val="left" w:pos="567"/>
        </w:tabs>
        <w:rPr>
          <w:u w:val="single"/>
        </w:rPr>
      </w:pPr>
    </w:p>
    <w:p w14:paraId="7AFC739B" w14:textId="2B1D8C84" w:rsidR="00922D8A" w:rsidRPr="00AA08CA" w:rsidRDefault="00922D8A" w:rsidP="00AA08CA">
      <w:pPr>
        <w:tabs>
          <w:tab w:val="left" w:pos="567"/>
        </w:tabs>
      </w:pPr>
      <w:bookmarkStart w:id="11" w:name="_Hlk536116915"/>
      <w:r w:rsidRPr="008661CD">
        <w:rPr>
          <w:highlight w:val="lightGray"/>
          <w:shd w:val="clear" w:color="auto" w:fill="C0C0C0"/>
        </w:rPr>
        <w:t>250 mg, 500 mg plėvele dengtos tabletės</w:t>
      </w:r>
    </w:p>
    <w:p w14:paraId="41EC0927" w14:textId="77777777" w:rsidR="00922D8A" w:rsidRPr="00AA08CA" w:rsidRDefault="00922D8A" w:rsidP="00857812">
      <w:pPr>
        <w:rPr>
          <w:shd w:val="clear" w:color="auto" w:fill="C0C0C0"/>
        </w:rPr>
      </w:pPr>
      <w:r w:rsidRPr="002C4E86">
        <w:rPr>
          <w:highlight w:val="lightGray"/>
        </w:rPr>
        <w:t xml:space="preserve">Vienoje </w:t>
      </w:r>
      <w:r w:rsidRPr="002C4E86">
        <w:rPr>
          <w:highlight w:val="lightGray"/>
          <w:shd w:val="clear" w:color="auto" w:fill="C0C0C0"/>
        </w:rPr>
        <w:t xml:space="preserve">250 mg </w:t>
      </w:r>
      <w:r w:rsidRPr="002C4E86">
        <w:rPr>
          <w:highlight w:val="lightGray"/>
        </w:rPr>
        <w:t xml:space="preserve">tabletėje yra </w:t>
      </w:r>
      <w:r w:rsidRPr="002C4E86">
        <w:rPr>
          <w:highlight w:val="lightGray"/>
          <w:shd w:val="clear" w:color="auto" w:fill="C0C0C0"/>
        </w:rPr>
        <w:t>0,00203 mg</w:t>
      </w:r>
      <w:r w:rsidRPr="00B90A3E">
        <w:rPr>
          <w:highlight w:val="lightGray"/>
          <w:shd w:val="clear" w:color="auto" w:fill="C0C0C0"/>
        </w:rPr>
        <w:t xml:space="preserve"> </w:t>
      </w:r>
      <w:r w:rsidRPr="00B90A3E">
        <w:rPr>
          <w:highlight w:val="lightGray"/>
        </w:rPr>
        <w:t>natrio benzoato.</w:t>
      </w:r>
    </w:p>
    <w:p w14:paraId="750D8472" w14:textId="7F5E937B" w:rsidR="00922D8A" w:rsidRDefault="00922D8A" w:rsidP="008661CD">
      <w:r w:rsidRPr="008661CD">
        <w:rPr>
          <w:highlight w:val="lightGray"/>
        </w:rPr>
        <w:t xml:space="preserve">Vienoje </w:t>
      </w:r>
      <w:r w:rsidRPr="008661CD">
        <w:rPr>
          <w:highlight w:val="lightGray"/>
          <w:shd w:val="clear" w:color="auto" w:fill="C0C0C0"/>
        </w:rPr>
        <w:t xml:space="preserve">500 mg </w:t>
      </w:r>
      <w:r w:rsidRPr="008661CD">
        <w:rPr>
          <w:highlight w:val="lightGray"/>
        </w:rPr>
        <w:t xml:space="preserve">tabletėje yra </w:t>
      </w:r>
      <w:r w:rsidRPr="008661CD">
        <w:rPr>
          <w:highlight w:val="lightGray"/>
          <w:shd w:val="clear" w:color="auto" w:fill="C0C0C0"/>
        </w:rPr>
        <w:t xml:space="preserve">0,00506 mg </w:t>
      </w:r>
      <w:r w:rsidRPr="008661CD">
        <w:rPr>
          <w:highlight w:val="lightGray"/>
        </w:rPr>
        <w:t>natrio benzoato.</w:t>
      </w:r>
      <w:r w:rsidR="00E8291B">
        <w:rPr>
          <w:highlight w:val="lightGray"/>
        </w:rPr>
        <w:t>Šio vaistinio preparato kiekvienoje tabletėje</w:t>
      </w:r>
      <w:r w:rsidRPr="008661CD">
        <w:rPr>
          <w:highlight w:val="lightGray"/>
        </w:rPr>
        <w:t xml:space="preserve"> yra mažiau kaip 1 mmol (23 mg) natrio, t. y. jis beveik neturi reikšmės.</w:t>
      </w:r>
    </w:p>
    <w:p w14:paraId="229EF9BC" w14:textId="77777777" w:rsidR="000B404E" w:rsidRDefault="000B404E" w:rsidP="008661CD"/>
    <w:p w14:paraId="47DF5F90" w14:textId="77777777" w:rsidR="000B404E" w:rsidRPr="00C07A3C" w:rsidRDefault="000B404E" w:rsidP="000B404E">
      <w:pPr>
        <w:rPr>
          <w:rFonts w:eastAsia="Calibri"/>
        </w:rPr>
      </w:pPr>
      <w:r w:rsidRPr="004906D7">
        <w:rPr>
          <w:rFonts w:eastAsia="Calibri"/>
          <w:highlight w:val="lightGray"/>
        </w:rPr>
        <w:t>Zinnat 125 mg/5 ml granulės geriamajai suspensijai</w:t>
      </w:r>
    </w:p>
    <w:p w14:paraId="54E65835" w14:textId="584F140C" w:rsidR="00791249" w:rsidRDefault="00791249" w:rsidP="000B404E">
      <w:pPr>
        <w:tabs>
          <w:tab w:val="left" w:pos="0"/>
        </w:tabs>
        <w:rPr>
          <w:rFonts w:eastAsia="Calibri"/>
          <w:highlight w:val="lightGray"/>
        </w:rPr>
      </w:pPr>
    </w:p>
    <w:p w14:paraId="4B19DA97" w14:textId="6CC0F3DD" w:rsidR="000B404E" w:rsidRPr="00791249" w:rsidRDefault="00791249" w:rsidP="000B404E">
      <w:pPr>
        <w:tabs>
          <w:tab w:val="left" w:pos="0"/>
        </w:tabs>
        <w:rPr>
          <w:rFonts w:eastAsia="Calibri"/>
          <w:highlight w:val="lightGray"/>
        </w:rPr>
      </w:pPr>
      <w:r w:rsidRPr="001D5FF7">
        <w:rPr>
          <w:rFonts w:eastAsia="Calibri"/>
          <w:highlight w:val="lightGray"/>
        </w:rPr>
        <w:t>Vienoje 5 ml dozėje yra 0,021 g aspartamo (E951). Aspartamas yra fenilalanino šaltinis, todėl pacientams, sergantiems fenilketonurija, jį reikia vartoti atsargiai.</w:t>
      </w:r>
    </w:p>
    <w:p w14:paraId="39E3B0AB" w14:textId="7FB26683" w:rsidR="000B404E" w:rsidRPr="00791249" w:rsidRDefault="000B404E" w:rsidP="000B404E">
      <w:pPr>
        <w:tabs>
          <w:tab w:val="left" w:pos="0"/>
        </w:tabs>
        <w:rPr>
          <w:rFonts w:eastAsia="Calibri"/>
          <w:highlight w:val="lightGray"/>
        </w:rPr>
      </w:pPr>
      <w:bookmarkStart w:id="12" w:name="_Hlk813377"/>
      <w:r w:rsidRPr="00791249">
        <w:rPr>
          <w:rFonts w:eastAsia="Calibri"/>
          <w:highlight w:val="lightGray"/>
        </w:rPr>
        <w:t xml:space="preserve">5 ml dozėje yra </w:t>
      </w:r>
      <w:bookmarkEnd w:id="12"/>
      <w:r w:rsidRPr="00791249">
        <w:rPr>
          <w:rFonts w:eastAsia="Calibri"/>
          <w:highlight w:val="lightGray"/>
        </w:rPr>
        <w:t>3</w:t>
      </w:r>
      <w:r w:rsidR="00791249" w:rsidRPr="00791249">
        <w:rPr>
          <w:rFonts w:eastAsia="Calibri"/>
          <w:highlight w:val="lightGray"/>
        </w:rPr>
        <w:t>,1</w:t>
      </w:r>
      <w:r w:rsidRPr="00791249">
        <w:rPr>
          <w:rFonts w:eastAsia="Calibri"/>
          <w:highlight w:val="lightGray"/>
        </w:rPr>
        <w:t> g cukraus (sacharozės).</w:t>
      </w:r>
      <w:r w:rsidR="00791249" w:rsidRPr="001D5FF7">
        <w:rPr>
          <w:highlight w:val="lightGray"/>
        </w:rPr>
        <w:t xml:space="preserve"> </w:t>
      </w:r>
      <w:r w:rsidR="00791249" w:rsidRPr="001D5FF7">
        <w:rPr>
          <w:rFonts w:eastAsia="Calibri"/>
          <w:highlight w:val="lightGray"/>
        </w:rPr>
        <w:t>Pacientams, turintiems retų paveldimų fruktozės netoleravimo, gliukozės ir galaktozės malabsorbcijos ar sukrazės ir izomaltazės nepakankamumo problemų, šio vaisto vartoti negalima.</w:t>
      </w:r>
    </w:p>
    <w:p w14:paraId="6EFD537B" w14:textId="77777777" w:rsidR="000B404E" w:rsidRPr="00791249" w:rsidRDefault="000B404E" w:rsidP="000B404E">
      <w:pPr>
        <w:tabs>
          <w:tab w:val="left" w:pos="0"/>
        </w:tabs>
        <w:rPr>
          <w:rFonts w:eastAsia="Calibri"/>
          <w:highlight w:val="lightGray"/>
        </w:rPr>
      </w:pPr>
      <w:bookmarkStart w:id="13" w:name="_Hlk813615"/>
      <w:r w:rsidRPr="00791249">
        <w:rPr>
          <w:rFonts w:eastAsia="Calibri"/>
          <w:highlight w:val="lightGray"/>
        </w:rPr>
        <w:t>5 ml dozėje yra 6 mg propilenglikolio (E1520).</w:t>
      </w:r>
    </w:p>
    <w:p w14:paraId="07787AD7" w14:textId="77777777" w:rsidR="000B404E" w:rsidRPr="00791249" w:rsidRDefault="000B404E" w:rsidP="000B404E">
      <w:pPr>
        <w:tabs>
          <w:tab w:val="left" w:pos="0"/>
        </w:tabs>
        <w:rPr>
          <w:rFonts w:eastAsia="Calibri"/>
          <w:highlight w:val="lightGray"/>
        </w:rPr>
      </w:pPr>
      <w:r w:rsidRPr="00791249">
        <w:rPr>
          <w:rFonts w:eastAsia="Calibri"/>
          <w:highlight w:val="lightGray"/>
        </w:rPr>
        <w:t>5 ml dozėje yra 4,5 mg benzilo alkoholio (E1519). Benzilo akoholis gali sukelti alergines reakcijas.</w:t>
      </w:r>
    </w:p>
    <w:p w14:paraId="0FA37A4D" w14:textId="667C9EA7" w:rsidR="00791249" w:rsidRPr="00791249" w:rsidRDefault="00791249" w:rsidP="000B404E">
      <w:pPr>
        <w:tabs>
          <w:tab w:val="left" w:pos="0"/>
        </w:tabs>
        <w:rPr>
          <w:rFonts w:eastAsia="Calibri"/>
          <w:highlight w:val="lightGray"/>
        </w:rPr>
      </w:pPr>
      <w:r w:rsidRPr="001D5FF7">
        <w:rPr>
          <w:rFonts w:eastAsia="Calibri"/>
          <w:highlight w:val="lightGray"/>
        </w:rPr>
        <w:t>Benzilo alkoholį reikia atsargiai vartoti pacientams, kurių inkstų ar kepenų veikla sutrikusi, nėščioms ar krūtimi maitinančioms pacientėms, nes gali kauptis ir toksiškai veikti (metabolinė acidozė). Didelius benzilo alkoholio kiekius reikia vartoti atsargiai ir tik esant būtinybei, ypač asmenims, kurių kepenų ar inkstų veikla sutrikusi, dėl kaupimosi rizikos. Be to, dėl kaupimosi rizikos reikėtų vengti vartoti cefuroksimo aksetilo suspensiją ilgiau nei savaitę mažiems vaikams (jaunesniems nei 3 metų), nebent tai būtų kliniškai būtina.</w:t>
      </w:r>
    </w:p>
    <w:bookmarkEnd w:id="11"/>
    <w:bookmarkEnd w:id="13"/>
    <w:p w14:paraId="14AA3B9F" w14:textId="77777777" w:rsidR="00922D8A" w:rsidRPr="008661CD" w:rsidRDefault="00922D8A" w:rsidP="008661CD">
      <w:pPr>
        <w:ind w:left="567" w:hanging="567"/>
      </w:pPr>
    </w:p>
    <w:p w14:paraId="61BDEE4B" w14:textId="77777777" w:rsidR="00922D8A" w:rsidRPr="008661CD" w:rsidRDefault="00922D8A" w:rsidP="008661CD">
      <w:pPr>
        <w:ind w:left="567" w:hanging="567"/>
        <w:rPr>
          <w:b/>
        </w:rPr>
      </w:pPr>
      <w:r w:rsidRPr="0052310E">
        <w:rPr>
          <w:b/>
        </w:rPr>
        <w:t>4.5</w:t>
      </w:r>
      <w:r w:rsidRPr="0052310E">
        <w:rPr>
          <w:b/>
        </w:rPr>
        <w:tab/>
        <w:t>Sąveika su kitais vaistiniais preparatais ir kitokia sąveika</w:t>
      </w:r>
    </w:p>
    <w:p w14:paraId="4E6BA18A" w14:textId="77777777" w:rsidR="00922D8A" w:rsidRPr="008661CD" w:rsidRDefault="00922D8A" w:rsidP="008661CD">
      <w:pPr>
        <w:ind w:left="567" w:hanging="567"/>
        <w:rPr>
          <w:b/>
        </w:rPr>
      </w:pPr>
    </w:p>
    <w:p w14:paraId="1221135C" w14:textId="77777777" w:rsidR="00922D8A" w:rsidRPr="008661CD" w:rsidRDefault="00922D8A" w:rsidP="008661CD">
      <w:r w:rsidRPr="008661CD">
        <w:t>Skrandžio rūgštingumą mažinantys vaistiniai preparatai gali mažinti cefuroksimo aksetilo biologinį prieinamumą, palyginti su vartojamo nevalgius, ir gali panaikinti absorbcijos padidėjimo po valgio poveikį.</w:t>
      </w:r>
    </w:p>
    <w:p w14:paraId="3B2C0365" w14:textId="77777777" w:rsidR="00922D8A" w:rsidRPr="008661CD" w:rsidRDefault="00922D8A" w:rsidP="008661CD"/>
    <w:p w14:paraId="228B13D5" w14:textId="77777777" w:rsidR="00922D8A" w:rsidRPr="008661CD" w:rsidRDefault="00922D8A" w:rsidP="008661CD">
      <w:r w:rsidRPr="008661CD">
        <w:t>Cefuroksimas šalinamas iš organizmo glomerulų filtracijos ir sekrecijos inkstų kanalėliuose būdais. Nerekomenduojama kartu vartoti probenecido. Kartu vartojamas probenecidas reikšmingai didina cefuroksimo didžiausią koncentraciją, plotą po koncentracijų serume laiko atžvilgiu kreive ir ilgina pusinės eliminacijos laiką.</w:t>
      </w:r>
    </w:p>
    <w:p w14:paraId="4C84998F" w14:textId="77777777" w:rsidR="00922D8A" w:rsidRPr="008661CD" w:rsidRDefault="00922D8A" w:rsidP="008661CD"/>
    <w:p w14:paraId="1603F238" w14:textId="77777777" w:rsidR="00922D8A" w:rsidRPr="008661CD" w:rsidRDefault="00922D8A" w:rsidP="008661CD">
      <w:r w:rsidRPr="008661CD">
        <w:t xml:space="preserve">Vartojant kartu su geriamaisiais antikoaguliantais, gali padidėti tarptautinis normalizuotasis santykis (angl. </w:t>
      </w:r>
      <w:r w:rsidRPr="008661CD">
        <w:rPr>
          <w:i/>
        </w:rPr>
        <w:t>International normalized ratio [</w:t>
      </w:r>
      <w:smartTag w:uri="urn:schemas-microsoft-com:office:smarttags" w:element="PlaceName">
        <w:smartTagPr>
          <w:attr w:name="currency_id" w:val="69"/>
          <w:attr w:name="currency_key" w:val="INR"/>
          <w:attr w:name="currency_value" w:val="1"/>
          <w:attr w:name="currency_text" w:val="INR"/>
        </w:smartTagPr>
        <w:r w:rsidRPr="008661CD">
          <w:rPr>
            <w:i/>
          </w:rPr>
          <w:t>INR</w:t>
        </w:r>
      </w:smartTag>
      <w:r w:rsidRPr="008661CD">
        <w:rPr>
          <w:i/>
        </w:rPr>
        <w:t>]</w:t>
      </w:r>
      <w:r w:rsidRPr="008661CD">
        <w:t>).</w:t>
      </w:r>
    </w:p>
    <w:p w14:paraId="30701E12" w14:textId="77777777" w:rsidR="00922D8A" w:rsidRPr="008661CD" w:rsidRDefault="00922D8A" w:rsidP="008661CD">
      <w:pPr>
        <w:ind w:left="567" w:hanging="567"/>
        <w:rPr>
          <w:b/>
        </w:rPr>
      </w:pPr>
    </w:p>
    <w:p w14:paraId="583E5634" w14:textId="77777777" w:rsidR="00922D8A" w:rsidRPr="008661CD" w:rsidRDefault="00922D8A" w:rsidP="008661CD">
      <w:pPr>
        <w:keepNext/>
        <w:ind w:left="567" w:hanging="567"/>
        <w:rPr>
          <w:b/>
        </w:rPr>
      </w:pPr>
      <w:r w:rsidRPr="008661CD">
        <w:rPr>
          <w:b/>
        </w:rPr>
        <w:lastRenderedPageBreak/>
        <w:t>4.6</w:t>
      </w:r>
      <w:r w:rsidRPr="008661CD">
        <w:rPr>
          <w:b/>
        </w:rPr>
        <w:tab/>
        <w:t>Vaisingumas, nėštumo ir žindymo laikotarpis</w:t>
      </w:r>
    </w:p>
    <w:p w14:paraId="6A7DF589" w14:textId="77777777" w:rsidR="00922D8A" w:rsidRPr="008661CD" w:rsidRDefault="00922D8A" w:rsidP="008661CD">
      <w:pPr>
        <w:keepNext/>
      </w:pPr>
    </w:p>
    <w:p w14:paraId="7D417124" w14:textId="77777777" w:rsidR="00922D8A" w:rsidRPr="008661CD" w:rsidRDefault="00922D8A" w:rsidP="008661CD">
      <w:pPr>
        <w:keepNext/>
        <w:rPr>
          <w:u w:val="single"/>
        </w:rPr>
      </w:pPr>
      <w:r w:rsidRPr="008661CD">
        <w:rPr>
          <w:u w:val="single"/>
        </w:rPr>
        <w:t>Nėštumas</w:t>
      </w:r>
    </w:p>
    <w:p w14:paraId="529E7341" w14:textId="77777777" w:rsidR="00922D8A" w:rsidRPr="008661CD" w:rsidRDefault="00922D8A" w:rsidP="008661CD">
      <w:r w:rsidRPr="008661CD">
        <w:t>Duomenys apie cefuroksimo vartojimą moterims nėštumo metu yra riboti. Tyrimai su gyvūnais kenksmingo cefuroksimo poveikio nėštumo eigai, embriono ar vaisiaus vystymuisi, gimdymui ar postnataliniam vystymuisi neparodė. Zinnat skirti moterims nėštumo metu galima tik tada, kai nauda persveria riziką.</w:t>
      </w:r>
    </w:p>
    <w:p w14:paraId="23B86426" w14:textId="77777777" w:rsidR="00922D8A" w:rsidRPr="008661CD" w:rsidRDefault="00922D8A" w:rsidP="008661CD">
      <w:pPr>
        <w:rPr>
          <w:u w:val="single"/>
        </w:rPr>
      </w:pPr>
    </w:p>
    <w:p w14:paraId="73E6CFFB" w14:textId="77777777" w:rsidR="00922D8A" w:rsidRPr="000F3553" w:rsidRDefault="00922D8A" w:rsidP="008661CD">
      <w:pPr>
        <w:autoSpaceDE w:val="0"/>
        <w:autoSpaceDN w:val="0"/>
        <w:adjustRightInd w:val="0"/>
        <w:rPr>
          <w:rFonts w:eastAsia="Calibri"/>
          <w:u w:val="single"/>
        </w:rPr>
      </w:pPr>
      <w:r w:rsidRPr="000F3553">
        <w:rPr>
          <w:rFonts w:eastAsia="Calibri"/>
          <w:u w:val="single"/>
        </w:rPr>
        <w:t>Žindymas</w:t>
      </w:r>
    </w:p>
    <w:p w14:paraId="78C5C9A4" w14:textId="77777777" w:rsidR="00922D8A" w:rsidRPr="008661CD" w:rsidRDefault="00922D8A" w:rsidP="008661CD">
      <w:r w:rsidRPr="008661CD">
        <w:t xml:space="preserve">Mažas cefuroksimo kiekis </w:t>
      </w:r>
      <w:r w:rsidRPr="000F3553">
        <w:rPr>
          <w:rFonts w:eastAsia="SimSun"/>
          <w:color w:val="000000"/>
        </w:rPr>
        <w:t>išsiskiria į motinos pieną</w:t>
      </w:r>
      <w:r w:rsidRPr="008661CD">
        <w:t>. Vartojant gydomąsias dozes, nepageidaujamo poveikio nesitikima, nors viduriavimo ir grybelių sukeltos gleivinių infekcinės ligos rizikos paneigti negalima. Dėl tokio poveikio gali tekti nutraukti žindymą. Reikia atsižvelgti į galimą jautrumo padidėjimą. Cefuroksimą vartoti žindymo laikotarpiu galima tik po to, kai prižiūrintis gydytojas įvertina naudos ir rizikos santykį.</w:t>
      </w:r>
    </w:p>
    <w:p w14:paraId="56D5835A" w14:textId="77777777" w:rsidR="00922D8A" w:rsidRPr="008661CD" w:rsidRDefault="00922D8A" w:rsidP="008661CD">
      <w:pPr>
        <w:rPr>
          <w:u w:val="single"/>
        </w:rPr>
      </w:pPr>
    </w:p>
    <w:p w14:paraId="581CE764" w14:textId="77777777" w:rsidR="00922D8A" w:rsidRPr="008661CD" w:rsidRDefault="00922D8A" w:rsidP="008661CD">
      <w:pPr>
        <w:rPr>
          <w:u w:val="single"/>
        </w:rPr>
      </w:pPr>
      <w:r w:rsidRPr="008661CD">
        <w:rPr>
          <w:u w:val="single"/>
        </w:rPr>
        <w:t>Vaisingumas</w:t>
      </w:r>
    </w:p>
    <w:p w14:paraId="67E5BD0B" w14:textId="77777777" w:rsidR="00922D8A" w:rsidRPr="008661CD" w:rsidRDefault="00922D8A" w:rsidP="008661CD">
      <w:r w:rsidRPr="008661CD">
        <w:t>Duomenų apie cefuroksimo aksetilo poveikį žmogaus vaisingumui nėra. Reprodukcijos tyrimai su gyvūnais poveikio vaisingumui neparodė.</w:t>
      </w:r>
    </w:p>
    <w:p w14:paraId="73924767" w14:textId="77777777" w:rsidR="00922D8A" w:rsidRPr="008661CD" w:rsidRDefault="00922D8A" w:rsidP="008661CD"/>
    <w:p w14:paraId="4DCA36A6" w14:textId="77777777" w:rsidR="00922D8A" w:rsidRPr="008661CD" w:rsidRDefault="00922D8A" w:rsidP="008661CD">
      <w:pPr>
        <w:ind w:left="567" w:hanging="567"/>
        <w:rPr>
          <w:b/>
        </w:rPr>
      </w:pPr>
      <w:r w:rsidRPr="008661CD">
        <w:rPr>
          <w:b/>
        </w:rPr>
        <w:t>4.7</w:t>
      </w:r>
      <w:r w:rsidRPr="008661CD">
        <w:rPr>
          <w:b/>
        </w:rPr>
        <w:tab/>
        <w:t>Poveikis gebėjimui vairuoti ir valdyti mechanizmus</w:t>
      </w:r>
    </w:p>
    <w:p w14:paraId="619F5E70" w14:textId="77777777" w:rsidR="00922D8A" w:rsidRPr="008661CD" w:rsidRDefault="00922D8A" w:rsidP="008661CD">
      <w:pPr>
        <w:ind w:left="567" w:hanging="567"/>
      </w:pPr>
    </w:p>
    <w:p w14:paraId="39F6CA40" w14:textId="6CC3D14C" w:rsidR="00922D8A" w:rsidRPr="008661CD" w:rsidRDefault="00922D8A" w:rsidP="008661CD">
      <w:r w:rsidRPr="008661CD">
        <w:t xml:space="preserve">Poveikio gebėjimui vairuoti ir valdyti mechanizmus tyrimų neatlikta. Vis dėlto šis vaistinis preparatas gali sukelti </w:t>
      </w:r>
      <w:r w:rsidR="0059070D">
        <w:t>svaigulį</w:t>
      </w:r>
      <w:r w:rsidRPr="008661CD">
        <w:t>, todėl pacientus reikia perspėti, kad būtų atsargūs vairuodami ar valdydami mechanizmus.</w:t>
      </w:r>
    </w:p>
    <w:p w14:paraId="4BB9D1BD" w14:textId="77777777" w:rsidR="00922D8A" w:rsidRPr="008661CD" w:rsidRDefault="00922D8A" w:rsidP="008661CD">
      <w:pPr>
        <w:ind w:left="567" w:hanging="567"/>
      </w:pPr>
    </w:p>
    <w:p w14:paraId="32B02D5B" w14:textId="77777777" w:rsidR="00922D8A" w:rsidRPr="008661CD" w:rsidRDefault="00922D8A" w:rsidP="008661CD">
      <w:pPr>
        <w:ind w:left="567" w:hanging="567"/>
        <w:rPr>
          <w:b/>
        </w:rPr>
      </w:pPr>
      <w:r w:rsidRPr="008661CD">
        <w:rPr>
          <w:b/>
        </w:rPr>
        <w:t>4.8</w:t>
      </w:r>
      <w:r w:rsidRPr="008661CD">
        <w:rPr>
          <w:b/>
        </w:rPr>
        <w:tab/>
        <w:t>Nepageidaujamas poveikis</w:t>
      </w:r>
    </w:p>
    <w:p w14:paraId="2BC8D2E7" w14:textId="77777777" w:rsidR="00922D8A" w:rsidRPr="008661CD" w:rsidRDefault="00922D8A" w:rsidP="008661CD">
      <w:pPr>
        <w:ind w:left="567" w:hanging="567"/>
      </w:pPr>
    </w:p>
    <w:p w14:paraId="524FAF66" w14:textId="2F414F04" w:rsidR="00922D8A" w:rsidRPr="008661CD" w:rsidRDefault="00922D8A" w:rsidP="008661CD">
      <w:r w:rsidRPr="008661CD">
        <w:t xml:space="preserve">Dažniausios nepageidaujamos reakcijos yra mieliagrybių išvešėjimas, eozinofilija, galvos skausmas, </w:t>
      </w:r>
      <w:r w:rsidR="0059070D">
        <w:t>svaigulys</w:t>
      </w:r>
      <w:r w:rsidRPr="008661CD">
        <w:t>, virškinimo trakto sutrikimai ir trumpalaikis kepenų fermentų suaktyvėjimas.</w:t>
      </w:r>
    </w:p>
    <w:p w14:paraId="5608C0D5" w14:textId="77777777" w:rsidR="00922D8A" w:rsidRPr="008661CD" w:rsidRDefault="00922D8A" w:rsidP="008661CD"/>
    <w:p w14:paraId="28DA90FC" w14:textId="77777777" w:rsidR="00922D8A" w:rsidRPr="008661CD" w:rsidRDefault="00922D8A" w:rsidP="008661CD">
      <w:r w:rsidRPr="008661CD">
        <w:t>Toliau nurodytas nepageidaujamų reakcijų dažnis yra apytikris, nes apie daugumą reakcijų nėra tinkamų duomenų (pvz., placebu kontroliuojamųjų tyrimų) dažniui apskaičiuoti. Be to, su cefuroksimo aksetilu susijusių nepageidaujamų reakcijų dažnis gali skirtis priklausomai nuo indikacijos.</w:t>
      </w:r>
    </w:p>
    <w:p w14:paraId="63F8D2B6" w14:textId="77777777" w:rsidR="00922D8A" w:rsidRPr="008661CD" w:rsidRDefault="00922D8A" w:rsidP="008661CD"/>
    <w:p w14:paraId="5BB86EAD" w14:textId="77777777" w:rsidR="00922D8A" w:rsidRPr="008661CD" w:rsidRDefault="00922D8A" w:rsidP="008661CD">
      <w:r w:rsidRPr="008661CD">
        <w:t>Nustatant nuo labai dažno iki reto nepageidaujamo poveikio dažnį, buvo naudojami didelių klinikinių tyrimų duomenys. Viso kito nepageidaujamo poveikio (t. y., kuris pasireiškė &lt; 1/10 000) dažnis daugiausiai buvo nustatytas, naudojant duomenis, gautus po vaistinio preparato patekimo į rinką, ir labiau atitinka pranešimų nei tikrąjį dažnį. Placebu kontroliuojamųjų tyrimų duomenų nėra. Tais atvejais, kai dažnis buvo apskaičiuotas pagal klinikinių tyrimų duomenis, jis pagrįstas su vaistiniu preparatu susijusiais (pagal tyrėjo įvertinimą) duomenimis. Kiekvienoje dažnio grupėje nepageidaujamas poveikis pateikiamas mažėjančio sunkumo tvarka.</w:t>
      </w:r>
    </w:p>
    <w:p w14:paraId="4D7AC587" w14:textId="77777777" w:rsidR="00922D8A" w:rsidRPr="008661CD" w:rsidRDefault="00922D8A" w:rsidP="008661CD"/>
    <w:p w14:paraId="79F8AE58" w14:textId="7AC11A27" w:rsidR="00922D8A" w:rsidRPr="008661CD" w:rsidRDefault="00922D8A" w:rsidP="008661CD">
      <w:r w:rsidRPr="008661CD">
        <w:t xml:space="preserve">Su gydymu susijusios nepageidaujamos reakcijos (visų sunkumo laipsnių) yra išvardytos toliau pagal </w:t>
      </w:r>
      <w:r w:rsidRPr="008661CD">
        <w:rPr>
          <w:i/>
        </w:rPr>
        <w:t>MedDRA</w:t>
      </w:r>
      <w:r w:rsidRPr="008661CD">
        <w:t xml:space="preserve"> organų sistemų klases, dažnį ir sunkumo laipsnį. Dažnis apibūdinamas naudojant tokius sutrikimų dažnio apibūdinimus: labai dažnas (</w:t>
      </w:r>
      <w:r w:rsidRPr="008661CD">
        <w:sym w:font="Symbol" w:char="F0B3"/>
      </w:r>
      <w:r w:rsidRPr="008661CD">
        <w:t xml:space="preserve"> 1/10), dažnas (nuo </w:t>
      </w:r>
      <w:r w:rsidRPr="008661CD">
        <w:sym w:font="Symbol" w:char="F0B3"/>
      </w:r>
      <w:r w:rsidRPr="008661CD">
        <w:t xml:space="preserve"> 1/100 iki &lt; 1/10), nedažnas (nuo </w:t>
      </w:r>
      <w:r w:rsidRPr="008661CD">
        <w:sym w:font="Symbol" w:char="F0B3"/>
      </w:r>
      <w:r w:rsidRPr="008661CD">
        <w:t xml:space="preserve"> 1/1 000 iki &lt; 1/100), retas (nuo </w:t>
      </w:r>
      <w:r w:rsidRPr="008661CD">
        <w:sym w:font="Symbol" w:char="F0B3"/>
      </w:r>
      <w:r w:rsidRPr="008661CD">
        <w:t> 1/10 000 iki &lt; 1/1 000), labai retas (&lt; 1/10000) ir dažnis nežinomas (negali būti apskaičiuotas pagal turimus duomenis).</w:t>
      </w:r>
    </w:p>
    <w:p w14:paraId="54457229"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1776"/>
        <w:gridCol w:w="2035"/>
        <w:gridCol w:w="3736"/>
      </w:tblGrid>
      <w:tr w:rsidR="00922D8A" w:rsidRPr="00C510EF" w14:paraId="23D81E3D" w14:textId="77777777" w:rsidTr="00894113">
        <w:tc>
          <w:tcPr>
            <w:tcW w:w="0" w:type="auto"/>
          </w:tcPr>
          <w:p w14:paraId="0739630B" w14:textId="77777777" w:rsidR="00922D8A" w:rsidRPr="008661CD" w:rsidRDefault="00922D8A" w:rsidP="008661CD">
            <w:pPr>
              <w:rPr>
                <w:b/>
              </w:rPr>
            </w:pPr>
            <w:r w:rsidRPr="008661CD">
              <w:rPr>
                <w:b/>
              </w:rPr>
              <w:t>Organų sistemų klasės</w:t>
            </w:r>
          </w:p>
        </w:tc>
        <w:tc>
          <w:tcPr>
            <w:tcW w:w="0" w:type="auto"/>
          </w:tcPr>
          <w:p w14:paraId="3F994FCC" w14:textId="77777777" w:rsidR="00922D8A" w:rsidRPr="008661CD" w:rsidRDefault="00922D8A" w:rsidP="008661CD">
            <w:pPr>
              <w:jc w:val="center"/>
              <w:rPr>
                <w:b/>
              </w:rPr>
            </w:pPr>
            <w:r w:rsidRPr="008661CD">
              <w:rPr>
                <w:b/>
              </w:rPr>
              <w:t>Dažnas</w:t>
            </w:r>
          </w:p>
        </w:tc>
        <w:tc>
          <w:tcPr>
            <w:tcW w:w="0" w:type="auto"/>
          </w:tcPr>
          <w:p w14:paraId="779724CA" w14:textId="77777777" w:rsidR="00922D8A" w:rsidRPr="008661CD" w:rsidRDefault="00922D8A" w:rsidP="008661CD">
            <w:pPr>
              <w:jc w:val="center"/>
              <w:rPr>
                <w:b/>
              </w:rPr>
            </w:pPr>
            <w:r w:rsidRPr="008661CD">
              <w:rPr>
                <w:b/>
              </w:rPr>
              <w:t>Nedažnas</w:t>
            </w:r>
          </w:p>
        </w:tc>
        <w:tc>
          <w:tcPr>
            <w:tcW w:w="0" w:type="auto"/>
          </w:tcPr>
          <w:p w14:paraId="7C6B57DC" w14:textId="77777777" w:rsidR="00922D8A" w:rsidRPr="008661CD" w:rsidRDefault="00922D8A" w:rsidP="008661CD">
            <w:pPr>
              <w:jc w:val="center"/>
              <w:rPr>
                <w:b/>
              </w:rPr>
            </w:pPr>
            <w:r w:rsidRPr="008661CD">
              <w:rPr>
                <w:b/>
              </w:rPr>
              <w:t>Dažnis nežinomas</w:t>
            </w:r>
          </w:p>
          <w:p w14:paraId="3D168424" w14:textId="77777777" w:rsidR="00922D8A" w:rsidRPr="008661CD" w:rsidRDefault="00922D8A" w:rsidP="008661CD">
            <w:pPr>
              <w:jc w:val="center"/>
              <w:rPr>
                <w:b/>
              </w:rPr>
            </w:pPr>
          </w:p>
        </w:tc>
      </w:tr>
      <w:tr w:rsidR="00922D8A" w:rsidRPr="00C510EF" w14:paraId="0A618A64" w14:textId="77777777" w:rsidTr="00894113">
        <w:tc>
          <w:tcPr>
            <w:tcW w:w="0" w:type="auto"/>
          </w:tcPr>
          <w:p w14:paraId="350CD6BD" w14:textId="77777777" w:rsidR="00922D8A" w:rsidRPr="008661CD" w:rsidRDefault="00922D8A" w:rsidP="008661CD">
            <w:pPr>
              <w:rPr>
                <w:u w:val="single"/>
              </w:rPr>
            </w:pPr>
            <w:r w:rsidRPr="008661CD">
              <w:rPr>
                <w:u w:val="single"/>
              </w:rPr>
              <w:t>Infekcijos ir infestacijos</w:t>
            </w:r>
          </w:p>
        </w:tc>
        <w:tc>
          <w:tcPr>
            <w:tcW w:w="0" w:type="auto"/>
          </w:tcPr>
          <w:p w14:paraId="4896DC90" w14:textId="77777777" w:rsidR="00922D8A" w:rsidRPr="008661CD" w:rsidRDefault="00922D8A" w:rsidP="008661CD">
            <w:r w:rsidRPr="008661CD">
              <w:t>Mieliagrybių išvešėjimas</w:t>
            </w:r>
          </w:p>
        </w:tc>
        <w:tc>
          <w:tcPr>
            <w:tcW w:w="0" w:type="auto"/>
          </w:tcPr>
          <w:p w14:paraId="5E985A3A" w14:textId="77777777" w:rsidR="00922D8A" w:rsidRPr="008661CD" w:rsidRDefault="00922D8A" w:rsidP="008661CD"/>
        </w:tc>
        <w:tc>
          <w:tcPr>
            <w:tcW w:w="0" w:type="auto"/>
          </w:tcPr>
          <w:p w14:paraId="15CA3BB7" w14:textId="247FB1A5" w:rsidR="00922D8A" w:rsidRPr="008661CD" w:rsidRDefault="00A632DA" w:rsidP="008661CD">
            <w:r w:rsidRPr="00A632DA">
              <w:rPr>
                <w:i/>
              </w:rPr>
              <w:t>Clostridioides</w:t>
            </w:r>
            <w:r w:rsidR="00922D8A" w:rsidRPr="008661CD">
              <w:rPr>
                <w:i/>
              </w:rPr>
              <w:t xml:space="preserve"> dificille </w:t>
            </w:r>
            <w:r w:rsidR="00922D8A" w:rsidRPr="008661CD">
              <w:t>išvešėjimas</w:t>
            </w:r>
          </w:p>
        </w:tc>
      </w:tr>
      <w:tr w:rsidR="00922D8A" w:rsidRPr="00C510EF" w14:paraId="23D24E32" w14:textId="77777777" w:rsidTr="00894113">
        <w:tc>
          <w:tcPr>
            <w:tcW w:w="0" w:type="auto"/>
          </w:tcPr>
          <w:p w14:paraId="5B06C690" w14:textId="77777777" w:rsidR="00922D8A" w:rsidRPr="008661CD" w:rsidRDefault="00922D8A" w:rsidP="008661CD">
            <w:pPr>
              <w:rPr>
                <w:u w:val="single"/>
              </w:rPr>
            </w:pPr>
            <w:r w:rsidRPr="008661CD">
              <w:rPr>
                <w:u w:val="single"/>
              </w:rPr>
              <w:t>Kraujo ir limfinės sistemos sutrikimai</w:t>
            </w:r>
          </w:p>
        </w:tc>
        <w:tc>
          <w:tcPr>
            <w:tcW w:w="0" w:type="auto"/>
          </w:tcPr>
          <w:p w14:paraId="2DFC70E8" w14:textId="77777777" w:rsidR="00922D8A" w:rsidRPr="008661CD" w:rsidRDefault="00922D8A" w:rsidP="008661CD">
            <w:r w:rsidRPr="008661CD">
              <w:t>Eozinofilija</w:t>
            </w:r>
          </w:p>
        </w:tc>
        <w:tc>
          <w:tcPr>
            <w:tcW w:w="0" w:type="auto"/>
          </w:tcPr>
          <w:p w14:paraId="48845204" w14:textId="77777777" w:rsidR="00922D8A" w:rsidRPr="008661CD" w:rsidRDefault="00922D8A" w:rsidP="008661CD">
            <w:r w:rsidRPr="008661CD">
              <w:t>Teigiamas Kumbso mėginys</w:t>
            </w:r>
          </w:p>
          <w:p w14:paraId="174B4636" w14:textId="77777777" w:rsidR="00922D8A" w:rsidRPr="008661CD" w:rsidRDefault="00922D8A" w:rsidP="008661CD">
            <w:r w:rsidRPr="008661CD">
              <w:lastRenderedPageBreak/>
              <w:t>trombocitopenija, leukopenija (kartais sunki)</w:t>
            </w:r>
          </w:p>
        </w:tc>
        <w:tc>
          <w:tcPr>
            <w:tcW w:w="0" w:type="auto"/>
          </w:tcPr>
          <w:p w14:paraId="3DD14887" w14:textId="77777777" w:rsidR="00922D8A" w:rsidRPr="008661CD" w:rsidRDefault="00922D8A" w:rsidP="008661CD">
            <w:r w:rsidRPr="008661CD">
              <w:lastRenderedPageBreak/>
              <w:t>Hemolizinė anemija</w:t>
            </w:r>
          </w:p>
          <w:p w14:paraId="20D844C0" w14:textId="77777777" w:rsidR="00922D8A" w:rsidRPr="008661CD" w:rsidRDefault="00922D8A" w:rsidP="008661CD"/>
        </w:tc>
      </w:tr>
      <w:tr w:rsidR="00B3511F" w:rsidRPr="00C510EF" w14:paraId="3E418CA9" w14:textId="77777777" w:rsidTr="00894113">
        <w:tc>
          <w:tcPr>
            <w:tcW w:w="0" w:type="auto"/>
          </w:tcPr>
          <w:p w14:paraId="071F92C9" w14:textId="7D2F9957" w:rsidR="00B3511F" w:rsidRPr="008661CD" w:rsidRDefault="00AF0084" w:rsidP="008661CD">
            <w:pPr>
              <w:rPr>
                <w:u w:val="single"/>
              </w:rPr>
            </w:pPr>
            <w:r>
              <w:rPr>
                <w:bCs/>
                <w:szCs w:val="22"/>
                <w:u w:val="single"/>
              </w:rPr>
              <w:t>Širdies sutrikimai</w:t>
            </w:r>
          </w:p>
        </w:tc>
        <w:tc>
          <w:tcPr>
            <w:tcW w:w="0" w:type="auto"/>
          </w:tcPr>
          <w:p w14:paraId="614EEC3A" w14:textId="77777777" w:rsidR="00B3511F" w:rsidRPr="008661CD" w:rsidRDefault="00B3511F" w:rsidP="008661CD"/>
        </w:tc>
        <w:tc>
          <w:tcPr>
            <w:tcW w:w="0" w:type="auto"/>
          </w:tcPr>
          <w:p w14:paraId="2BC96AA7" w14:textId="77777777" w:rsidR="00B3511F" w:rsidRPr="008661CD" w:rsidRDefault="00B3511F" w:rsidP="008661CD"/>
        </w:tc>
        <w:tc>
          <w:tcPr>
            <w:tcW w:w="0" w:type="auto"/>
          </w:tcPr>
          <w:p w14:paraId="690D4CA0" w14:textId="26160C16" w:rsidR="00B3511F" w:rsidRPr="008661CD" w:rsidRDefault="00AF0084" w:rsidP="008661CD">
            <w:r w:rsidRPr="00AA4BD0">
              <w:rPr>
                <w:i/>
                <w:iCs/>
                <w:szCs w:val="22"/>
              </w:rPr>
              <w:t>Kounis</w:t>
            </w:r>
            <w:r w:rsidRPr="001B3C12">
              <w:rPr>
                <w:szCs w:val="22"/>
              </w:rPr>
              <w:t xml:space="preserve"> sindromas</w:t>
            </w:r>
          </w:p>
        </w:tc>
      </w:tr>
      <w:tr w:rsidR="00922D8A" w:rsidRPr="00C510EF" w14:paraId="47556A89" w14:textId="77777777" w:rsidTr="00894113">
        <w:tc>
          <w:tcPr>
            <w:tcW w:w="0" w:type="auto"/>
          </w:tcPr>
          <w:p w14:paraId="560EA2D6" w14:textId="77777777" w:rsidR="00922D8A" w:rsidRPr="008661CD" w:rsidRDefault="00922D8A" w:rsidP="008661CD">
            <w:pPr>
              <w:rPr>
                <w:u w:val="single"/>
              </w:rPr>
            </w:pPr>
            <w:r w:rsidRPr="008661CD">
              <w:rPr>
                <w:u w:val="single"/>
              </w:rPr>
              <w:t>Imuninės sistemos sutrikimai</w:t>
            </w:r>
          </w:p>
        </w:tc>
        <w:tc>
          <w:tcPr>
            <w:tcW w:w="0" w:type="auto"/>
          </w:tcPr>
          <w:p w14:paraId="0A89E14F" w14:textId="77777777" w:rsidR="00922D8A" w:rsidRPr="008661CD" w:rsidRDefault="00922D8A" w:rsidP="008661CD"/>
        </w:tc>
        <w:tc>
          <w:tcPr>
            <w:tcW w:w="0" w:type="auto"/>
          </w:tcPr>
          <w:p w14:paraId="669546F3" w14:textId="77777777" w:rsidR="00922D8A" w:rsidRPr="008661CD" w:rsidRDefault="00922D8A" w:rsidP="008661CD"/>
        </w:tc>
        <w:tc>
          <w:tcPr>
            <w:tcW w:w="0" w:type="auto"/>
          </w:tcPr>
          <w:p w14:paraId="07CFBB69" w14:textId="77777777" w:rsidR="00922D8A" w:rsidRPr="008661CD" w:rsidRDefault="00922D8A" w:rsidP="008661CD">
            <w:r w:rsidRPr="008661CD">
              <w:t xml:space="preserve">Vaistų sukeltas karščiavimas, seruminė liga, anafilaksija, </w:t>
            </w:r>
            <w:r w:rsidRPr="008661CD">
              <w:rPr>
                <w:i/>
              </w:rPr>
              <w:t>Jarisch-Herxheimer</w:t>
            </w:r>
            <w:r w:rsidRPr="008661CD">
              <w:t xml:space="preserve"> reakcija</w:t>
            </w:r>
          </w:p>
        </w:tc>
      </w:tr>
      <w:tr w:rsidR="00922D8A" w:rsidRPr="00C510EF" w14:paraId="3F76E054" w14:textId="77777777" w:rsidTr="00894113">
        <w:tc>
          <w:tcPr>
            <w:tcW w:w="0" w:type="auto"/>
          </w:tcPr>
          <w:p w14:paraId="32E4D6DF" w14:textId="77777777" w:rsidR="00922D8A" w:rsidRPr="008661CD" w:rsidRDefault="00922D8A" w:rsidP="008661CD">
            <w:pPr>
              <w:rPr>
                <w:u w:val="single"/>
              </w:rPr>
            </w:pPr>
            <w:r w:rsidRPr="008661CD">
              <w:rPr>
                <w:u w:val="single"/>
              </w:rPr>
              <w:t>Nervų sistemos sutrikimai</w:t>
            </w:r>
          </w:p>
        </w:tc>
        <w:tc>
          <w:tcPr>
            <w:tcW w:w="0" w:type="auto"/>
          </w:tcPr>
          <w:p w14:paraId="1013FF55" w14:textId="0C4C46DA" w:rsidR="00922D8A" w:rsidRPr="008661CD" w:rsidRDefault="00922D8A" w:rsidP="004674F5">
            <w:r w:rsidRPr="008661CD">
              <w:t xml:space="preserve">Galvos skausmas, </w:t>
            </w:r>
            <w:r w:rsidR="004674F5">
              <w:t>svaigulys</w:t>
            </w:r>
          </w:p>
        </w:tc>
        <w:tc>
          <w:tcPr>
            <w:tcW w:w="0" w:type="auto"/>
          </w:tcPr>
          <w:p w14:paraId="6A371CF1" w14:textId="77777777" w:rsidR="00922D8A" w:rsidRPr="008661CD" w:rsidRDefault="00922D8A" w:rsidP="008661CD"/>
        </w:tc>
        <w:tc>
          <w:tcPr>
            <w:tcW w:w="0" w:type="auto"/>
          </w:tcPr>
          <w:p w14:paraId="5F5E4B2D" w14:textId="77777777" w:rsidR="00922D8A" w:rsidRPr="008661CD" w:rsidRDefault="00922D8A" w:rsidP="008661CD"/>
        </w:tc>
      </w:tr>
      <w:tr w:rsidR="00922D8A" w:rsidRPr="00C510EF" w14:paraId="4F28AD5E" w14:textId="77777777" w:rsidTr="00894113">
        <w:tc>
          <w:tcPr>
            <w:tcW w:w="0" w:type="auto"/>
          </w:tcPr>
          <w:p w14:paraId="4E88CE55" w14:textId="77777777" w:rsidR="00922D8A" w:rsidRPr="008661CD" w:rsidRDefault="00922D8A" w:rsidP="008661CD">
            <w:pPr>
              <w:keepNext/>
              <w:tabs>
                <w:tab w:val="left" w:pos="567"/>
              </w:tabs>
              <w:rPr>
                <w:u w:val="single"/>
              </w:rPr>
            </w:pPr>
            <w:r w:rsidRPr="008661CD">
              <w:rPr>
                <w:u w:val="single"/>
              </w:rPr>
              <w:t>Virškinimo trakto sutrikimai</w:t>
            </w:r>
          </w:p>
        </w:tc>
        <w:tc>
          <w:tcPr>
            <w:tcW w:w="0" w:type="auto"/>
          </w:tcPr>
          <w:p w14:paraId="71606838" w14:textId="77777777" w:rsidR="00922D8A" w:rsidRPr="008661CD" w:rsidRDefault="00922D8A" w:rsidP="008661CD">
            <w:r w:rsidRPr="008661CD">
              <w:t>Viduriavimas,</w:t>
            </w:r>
          </w:p>
          <w:p w14:paraId="1A8B2847" w14:textId="77777777" w:rsidR="00922D8A" w:rsidRPr="008661CD" w:rsidRDefault="00922D8A" w:rsidP="008661CD">
            <w:r w:rsidRPr="008661CD">
              <w:t>pykinimas,</w:t>
            </w:r>
          </w:p>
          <w:p w14:paraId="6794F00D" w14:textId="77777777" w:rsidR="00922D8A" w:rsidRPr="008661CD" w:rsidRDefault="00922D8A" w:rsidP="008661CD">
            <w:r w:rsidRPr="008661CD">
              <w:t>pilvo skausmas</w:t>
            </w:r>
          </w:p>
        </w:tc>
        <w:tc>
          <w:tcPr>
            <w:tcW w:w="0" w:type="auto"/>
          </w:tcPr>
          <w:p w14:paraId="57CA0EC5" w14:textId="77777777" w:rsidR="00922D8A" w:rsidRPr="008661CD" w:rsidRDefault="00922D8A" w:rsidP="008661CD">
            <w:r w:rsidRPr="008661CD">
              <w:t>Vėmimas</w:t>
            </w:r>
          </w:p>
        </w:tc>
        <w:tc>
          <w:tcPr>
            <w:tcW w:w="0" w:type="auto"/>
          </w:tcPr>
          <w:p w14:paraId="7DA5728E" w14:textId="77777777" w:rsidR="00922D8A" w:rsidRPr="008661CD" w:rsidRDefault="00922D8A" w:rsidP="008661CD">
            <w:r w:rsidRPr="008661CD">
              <w:t>Pseudomembraninis kolitas (žr. 4.4 skyrių)</w:t>
            </w:r>
          </w:p>
        </w:tc>
      </w:tr>
      <w:tr w:rsidR="00922D8A" w:rsidRPr="00C510EF" w14:paraId="6F6A3BDB" w14:textId="77777777" w:rsidTr="00894113">
        <w:tc>
          <w:tcPr>
            <w:tcW w:w="0" w:type="auto"/>
          </w:tcPr>
          <w:p w14:paraId="668FCBAF" w14:textId="77777777" w:rsidR="00922D8A" w:rsidRPr="008661CD" w:rsidRDefault="00922D8A" w:rsidP="008661CD">
            <w:pPr>
              <w:rPr>
                <w:u w:val="single"/>
              </w:rPr>
            </w:pPr>
            <w:r w:rsidRPr="008661CD">
              <w:rPr>
                <w:u w:val="single"/>
              </w:rPr>
              <w:t>Kepenų, tulžies pūslės ir latakų sutrikimai</w:t>
            </w:r>
          </w:p>
        </w:tc>
        <w:tc>
          <w:tcPr>
            <w:tcW w:w="0" w:type="auto"/>
          </w:tcPr>
          <w:p w14:paraId="3585DEED" w14:textId="77777777" w:rsidR="00922D8A" w:rsidRPr="008661CD" w:rsidRDefault="00922D8A" w:rsidP="008661CD">
            <w:r w:rsidRPr="008661CD">
              <w:t>Trumpalaikis kepenų fermentų suaktyvėjimas</w:t>
            </w:r>
          </w:p>
        </w:tc>
        <w:tc>
          <w:tcPr>
            <w:tcW w:w="0" w:type="auto"/>
          </w:tcPr>
          <w:p w14:paraId="6BC60894" w14:textId="77777777" w:rsidR="00922D8A" w:rsidRPr="008661CD" w:rsidRDefault="00922D8A" w:rsidP="008661CD"/>
        </w:tc>
        <w:tc>
          <w:tcPr>
            <w:tcW w:w="0" w:type="auto"/>
          </w:tcPr>
          <w:p w14:paraId="274417D8" w14:textId="77777777" w:rsidR="00922D8A" w:rsidRPr="008661CD" w:rsidRDefault="00922D8A" w:rsidP="008661CD">
            <w:r w:rsidRPr="008661CD">
              <w:t>Gelta (daugiausia cholestazinė), hepatitas</w:t>
            </w:r>
          </w:p>
          <w:p w14:paraId="7A537987" w14:textId="77777777" w:rsidR="00922D8A" w:rsidRPr="008661CD" w:rsidRDefault="00922D8A" w:rsidP="008661CD"/>
        </w:tc>
      </w:tr>
      <w:tr w:rsidR="00922D8A" w:rsidRPr="00C510EF" w14:paraId="1C7091A6" w14:textId="77777777" w:rsidTr="00894113">
        <w:tc>
          <w:tcPr>
            <w:tcW w:w="0" w:type="auto"/>
          </w:tcPr>
          <w:p w14:paraId="59873EA9" w14:textId="77777777" w:rsidR="00922D8A" w:rsidRPr="008661CD" w:rsidRDefault="00922D8A" w:rsidP="008661CD">
            <w:pPr>
              <w:keepNext/>
              <w:tabs>
                <w:tab w:val="left" w:pos="567"/>
              </w:tabs>
              <w:rPr>
                <w:u w:val="single"/>
              </w:rPr>
            </w:pPr>
            <w:r w:rsidRPr="008661CD">
              <w:rPr>
                <w:u w:val="single"/>
              </w:rPr>
              <w:t>Odos ir poodinio audinio sutrikimai</w:t>
            </w:r>
          </w:p>
        </w:tc>
        <w:tc>
          <w:tcPr>
            <w:tcW w:w="0" w:type="auto"/>
          </w:tcPr>
          <w:p w14:paraId="347BCE35" w14:textId="77777777" w:rsidR="00922D8A" w:rsidRPr="008661CD" w:rsidRDefault="00922D8A" w:rsidP="008661CD"/>
        </w:tc>
        <w:tc>
          <w:tcPr>
            <w:tcW w:w="0" w:type="auto"/>
          </w:tcPr>
          <w:p w14:paraId="0CA2A7EA" w14:textId="77777777" w:rsidR="00922D8A" w:rsidRPr="008661CD" w:rsidRDefault="00922D8A" w:rsidP="008661CD">
            <w:r w:rsidRPr="008661CD">
              <w:t xml:space="preserve">Odos </w:t>
            </w:r>
            <w:r w:rsidR="004674F5">
              <w:t>iš</w:t>
            </w:r>
            <w:r w:rsidRPr="008661CD">
              <w:t>bėrimas</w:t>
            </w:r>
          </w:p>
        </w:tc>
        <w:tc>
          <w:tcPr>
            <w:tcW w:w="0" w:type="auto"/>
          </w:tcPr>
          <w:p w14:paraId="57107B9F" w14:textId="77777777" w:rsidR="00922D8A" w:rsidRPr="008661CD" w:rsidRDefault="00922D8A" w:rsidP="008661CD">
            <w:r w:rsidRPr="008661CD">
              <w:t>Dilgėlinė,</w:t>
            </w:r>
          </w:p>
          <w:p w14:paraId="2A1709DF" w14:textId="139F5E06" w:rsidR="00922D8A" w:rsidRPr="008661CD" w:rsidRDefault="00922D8A" w:rsidP="008661CD">
            <w:r w:rsidRPr="008661CD">
              <w:t>niež</w:t>
            </w:r>
            <w:r w:rsidR="004674F5">
              <w:t>ėjimas</w:t>
            </w:r>
            <w:r w:rsidRPr="008661CD">
              <w:t>,</w:t>
            </w:r>
            <w:r w:rsidR="00746AD1">
              <w:t xml:space="preserve"> </w:t>
            </w:r>
            <w:r w:rsidRPr="008661CD">
              <w:t>daugiaformė eritema,</w:t>
            </w:r>
            <w:r w:rsidR="00AF0084">
              <w:t xml:space="preserve"> Stivenso</w:t>
            </w:r>
            <w:r w:rsidR="00746AD1">
              <w:t>-Džonsono (</w:t>
            </w:r>
            <w:r w:rsidRPr="00857812">
              <w:t>Stevens-Johnson</w:t>
            </w:r>
            <w:r w:rsidR="00746AD1">
              <w:t>)</w:t>
            </w:r>
            <w:r w:rsidRPr="008661CD">
              <w:t xml:space="preserve"> sindromas,</w:t>
            </w:r>
          </w:p>
          <w:p w14:paraId="50E280B5" w14:textId="63E6D229" w:rsidR="00922D8A" w:rsidRPr="008661CD" w:rsidRDefault="00922D8A" w:rsidP="008661CD">
            <w:r w:rsidRPr="008661CD">
              <w:t>toksinė epidermio nekrolizė (egzanteminė nekrolizė) (</w:t>
            </w:r>
            <w:r w:rsidRPr="00857812">
              <w:t>žr.</w:t>
            </w:r>
            <w:r w:rsidRPr="008661CD">
              <w:rPr>
                <w:i/>
              </w:rPr>
              <w:t xml:space="preserve"> </w:t>
            </w:r>
            <w:r w:rsidRPr="00857812">
              <w:t>,,Imuninės sistemos sutrikimai</w:t>
            </w:r>
            <w:r w:rsidR="008E5985">
              <w:t>“</w:t>
            </w:r>
            <w:r w:rsidRPr="008661CD">
              <w:t>), angioneurozinė edema</w:t>
            </w:r>
            <w:r w:rsidR="008E5985">
              <w:t>,</w:t>
            </w:r>
            <w:r w:rsidR="008E5985" w:rsidRPr="008E5985">
              <w:rPr>
                <w:szCs w:val="20"/>
                <w:lang w:val="cs-CZ" w:eastAsia="lt-LT"/>
              </w:rPr>
              <w:t xml:space="preserve"> vaistinio preparato sukelta reakcija su eozinofilija ir sisteminiais simptomais (DRESS)</w:t>
            </w:r>
          </w:p>
        </w:tc>
      </w:tr>
      <w:tr w:rsidR="00922D8A" w:rsidRPr="00C510EF" w14:paraId="27C1C93E" w14:textId="77777777" w:rsidTr="00894113">
        <w:tc>
          <w:tcPr>
            <w:tcW w:w="0" w:type="auto"/>
            <w:gridSpan w:val="4"/>
          </w:tcPr>
          <w:p w14:paraId="25904461" w14:textId="77777777" w:rsidR="00922D8A" w:rsidRPr="008661CD" w:rsidRDefault="00922D8A" w:rsidP="008661CD">
            <w:r w:rsidRPr="008661CD">
              <w:rPr>
                <w:i/>
              </w:rPr>
              <w:t>Atrinktų nepageidaujamų reakcijų apibūdinimas</w:t>
            </w:r>
          </w:p>
          <w:p w14:paraId="2A9C041F" w14:textId="77777777" w:rsidR="00922D8A" w:rsidRPr="008661CD" w:rsidRDefault="00922D8A" w:rsidP="008661CD">
            <w:r w:rsidRPr="008661CD">
              <w:t>Cefalosporinų grupės antibiotikai yra linkę absorbuotis ant raudonųjų kraujo ląstelių membranų paviršiaus ir reaguoja su antikūnais prieš vaistinį preparatą, sukeldami teigiamą Kumbso reakciją (tai gali turėti įtakos kraujo suderinamumo nustatymo mėginiams) ir labai retais atvejais hemolizinę anemiją.</w:t>
            </w:r>
          </w:p>
          <w:p w14:paraId="3E56ECA8" w14:textId="77777777" w:rsidR="00922D8A" w:rsidRPr="008661CD" w:rsidRDefault="00922D8A" w:rsidP="008661CD">
            <w:r w:rsidRPr="008661CD">
              <w:t>Buvo nustatytas trumpalaikis kepenų fermentų suaktyvėjimas serume, kuris paprastai buvo grįžtamas.</w:t>
            </w:r>
          </w:p>
        </w:tc>
      </w:tr>
    </w:tbl>
    <w:p w14:paraId="50520BB1" w14:textId="77777777" w:rsidR="00922D8A" w:rsidRPr="008661CD" w:rsidRDefault="00922D8A" w:rsidP="008661CD">
      <w:pPr>
        <w:ind w:left="567" w:hanging="567"/>
      </w:pPr>
    </w:p>
    <w:p w14:paraId="769759AB" w14:textId="77777777" w:rsidR="00922D8A" w:rsidRPr="008661CD" w:rsidRDefault="00922D8A" w:rsidP="008661CD">
      <w:pPr>
        <w:ind w:left="567" w:hanging="567"/>
        <w:rPr>
          <w:i/>
        </w:rPr>
      </w:pPr>
      <w:r w:rsidRPr="008661CD">
        <w:rPr>
          <w:i/>
        </w:rPr>
        <w:t>Vaikų populiacija</w:t>
      </w:r>
    </w:p>
    <w:p w14:paraId="2757E331" w14:textId="77777777" w:rsidR="00922D8A" w:rsidRPr="008661CD" w:rsidRDefault="00922D8A" w:rsidP="008661CD">
      <w:pPr>
        <w:ind w:left="567" w:hanging="567"/>
      </w:pPr>
      <w:r w:rsidRPr="008661CD">
        <w:t>Cefuroksimo aksetilo saugumo pobūdis vaikams atitinka saugumo pobūdį suaugusiesiems.</w:t>
      </w:r>
    </w:p>
    <w:p w14:paraId="71B3A231" w14:textId="77777777" w:rsidR="00922D8A" w:rsidRPr="008661CD" w:rsidRDefault="00922D8A" w:rsidP="008661CD">
      <w:pPr>
        <w:ind w:left="567" w:hanging="567"/>
      </w:pPr>
    </w:p>
    <w:p w14:paraId="13623860" w14:textId="77777777" w:rsidR="00922D8A" w:rsidRPr="008661CD" w:rsidRDefault="00922D8A" w:rsidP="008661CD">
      <w:pPr>
        <w:autoSpaceDE w:val="0"/>
        <w:autoSpaceDN w:val="0"/>
        <w:adjustRightInd w:val="0"/>
        <w:rPr>
          <w:u w:val="single"/>
        </w:rPr>
      </w:pPr>
      <w:r w:rsidRPr="008661CD">
        <w:rPr>
          <w:u w:val="single"/>
        </w:rPr>
        <w:t>Pranešimas apie įtariamas nepageidaujamas reakcijas</w:t>
      </w:r>
    </w:p>
    <w:p w14:paraId="551F12E0" w14:textId="7E8851B6" w:rsidR="00FD118E" w:rsidRDefault="00FD118E" w:rsidP="00DB1866">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7DF8B55D" w14:textId="77777777" w:rsidR="00922D8A" w:rsidRPr="00857812" w:rsidRDefault="00922D8A" w:rsidP="00857812"/>
    <w:p w14:paraId="49529EDB" w14:textId="77777777" w:rsidR="00922D8A" w:rsidRPr="008661CD" w:rsidRDefault="00922D8A" w:rsidP="008661CD">
      <w:pPr>
        <w:keepNext/>
        <w:ind w:left="567" w:hanging="567"/>
        <w:rPr>
          <w:b/>
        </w:rPr>
      </w:pPr>
      <w:r w:rsidRPr="008661CD">
        <w:rPr>
          <w:b/>
        </w:rPr>
        <w:t>4.9</w:t>
      </w:r>
      <w:r w:rsidRPr="008661CD">
        <w:rPr>
          <w:b/>
        </w:rPr>
        <w:tab/>
        <w:t>Perdozavimas</w:t>
      </w:r>
    </w:p>
    <w:p w14:paraId="01A50AF5" w14:textId="77777777" w:rsidR="00922D8A" w:rsidRPr="008661CD" w:rsidRDefault="00922D8A" w:rsidP="008661CD">
      <w:pPr>
        <w:keepNext/>
      </w:pPr>
    </w:p>
    <w:p w14:paraId="33A212DA" w14:textId="442534D6" w:rsidR="00922D8A" w:rsidRPr="008661CD" w:rsidRDefault="00922D8A" w:rsidP="008661CD">
      <w:pPr>
        <w:keepNext/>
      </w:pPr>
      <w:r w:rsidRPr="008661CD">
        <w:t xml:space="preserve">Perdozavimas gali sukelti neurologinių pasekmių, įskaitant encefalopatiją, traukulius ir komą. Perdozavimo simptomų gali atsirasti, tinkamai nesumažinus dozės pacientams, </w:t>
      </w:r>
      <w:r w:rsidR="0059070D">
        <w:t>kurių inkstų funkcija sutrikusi</w:t>
      </w:r>
      <w:r w:rsidRPr="008661CD">
        <w:t xml:space="preserve"> (žr. 4.2 ir 4.4 skyrius).</w:t>
      </w:r>
    </w:p>
    <w:p w14:paraId="6BB9F15D" w14:textId="77777777" w:rsidR="00922D8A" w:rsidRPr="008661CD" w:rsidRDefault="00922D8A" w:rsidP="008661CD"/>
    <w:p w14:paraId="576D5CA8" w14:textId="77777777" w:rsidR="00922D8A" w:rsidRPr="008661CD" w:rsidRDefault="00922D8A" w:rsidP="008661CD">
      <w:r w:rsidRPr="008661CD">
        <w:t>Cefuroksimo koncentracijas serume galima sumažinti atliekant hemodializę ar peritoninę dializę.</w:t>
      </w:r>
    </w:p>
    <w:p w14:paraId="19886F6D" w14:textId="77777777" w:rsidR="00922D8A" w:rsidRPr="008661CD" w:rsidRDefault="00922D8A" w:rsidP="008661CD"/>
    <w:p w14:paraId="22276CA2" w14:textId="77777777" w:rsidR="00922D8A" w:rsidRPr="008661CD" w:rsidRDefault="00922D8A" w:rsidP="008661CD"/>
    <w:p w14:paraId="5D7F59FE" w14:textId="77777777" w:rsidR="00922D8A" w:rsidRPr="008661CD" w:rsidRDefault="00922D8A" w:rsidP="008661CD">
      <w:pPr>
        <w:ind w:left="567" w:hanging="567"/>
        <w:rPr>
          <w:b/>
          <w:caps/>
        </w:rPr>
      </w:pPr>
      <w:r w:rsidRPr="008661CD">
        <w:rPr>
          <w:b/>
          <w:caps/>
        </w:rPr>
        <w:t>5.</w:t>
      </w:r>
      <w:r w:rsidRPr="008661CD">
        <w:rPr>
          <w:b/>
          <w:caps/>
        </w:rPr>
        <w:tab/>
      </w:r>
      <w:r w:rsidRPr="008661CD">
        <w:rPr>
          <w:b/>
        </w:rPr>
        <w:t xml:space="preserve">FARMAKOLOGINĖS </w:t>
      </w:r>
      <w:r w:rsidRPr="008661CD">
        <w:rPr>
          <w:b/>
          <w:caps/>
        </w:rPr>
        <w:t>savybės</w:t>
      </w:r>
    </w:p>
    <w:p w14:paraId="79AC48A0" w14:textId="77777777" w:rsidR="00922D8A" w:rsidRPr="008661CD" w:rsidRDefault="00922D8A" w:rsidP="008661CD">
      <w:pPr>
        <w:ind w:left="567" w:hanging="567"/>
      </w:pPr>
    </w:p>
    <w:p w14:paraId="616B1CC8" w14:textId="77777777" w:rsidR="00922D8A" w:rsidRPr="008661CD" w:rsidRDefault="00922D8A" w:rsidP="008661CD">
      <w:pPr>
        <w:ind w:left="567" w:hanging="567"/>
        <w:rPr>
          <w:b/>
        </w:rPr>
      </w:pPr>
      <w:r w:rsidRPr="008661CD">
        <w:rPr>
          <w:b/>
        </w:rPr>
        <w:lastRenderedPageBreak/>
        <w:t>5.1</w:t>
      </w:r>
      <w:r w:rsidRPr="008661CD">
        <w:rPr>
          <w:b/>
        </w:rPr>
        <w:tab/>
        <w:t xml:space="preserve">Farmakodinaminės savybės </w:t>
      </w:r>
    </w:p>
    <w:p w14:paraId="653C0BD5" w14:textId="77777777" w:rsidR="00922D8A" w:rsidRPr="008661CD" w:rsidRDefault="00922D8A" w:rsidP="008661CD">
      <w:pPr>
        <w:ind w:left="567" w:hanging="567"/>
      </w:pPr>
    </w:p>
    <w:p w14:paraId="4B9EC8CA" w14:textId="77777777" w:rsidR="00922D8A" w:rsidRPr="008661CD" w:rsidRDefault="00922D8A" w:rsidP="008661CD">
      <w:r w:rsidRPr="008661CD">
        <w:t>Farmakoterapinė grupė – sisteminio poveikio antibakteriniai vaistiniai preparatai, antros kartos cefalosporinai, ATC kodas – J01DC02.</w:t>
      </w:r>
    </w:p>
    <w:p w14:paraId="2589C221" w14:textId="77777777" w:rsidR="00922D8A" w:rsidRPr="008661CD" w:rsidRDefault="00922D8A" w:rsidP="008661CD"/>
    <w:p w14:paraId="30E9302D" w14:textId="77777777" w:rsidR="00922D8A" w:rsidRPr="000F3553" w:rsidRDefault="00922D8A" w:rsidP="008661CD">
      <w:pPr>
        <w:keepNext/>
        <w:autoSpaceDE w:val="0"/>
        <w:autoSpaceDN w:val="0"/>
        <w:adjustRightInd w:val="0"/>
        <w:rPr>
          <w:rFonts w:eastAsia="Calibri"/>
          <w:u w:val="single"/>
        </w:rPr>
      </w:pPr>
      <w:r w:rsidRPr="000F3553">
        <w:rPr>
          <w:rFonts w:eastAsia="Calibri"/>
          <w:u w:val="single"/>
        </w:rPr>
        <w:t>Veikimo mechanizmas</w:t>
      </w:r>
    </w:p>
    <w:p w14:paraId="7CE9ED0F" w14:textId="77777777" w:rsidR="00922D8A" w:rsidRPr="000F3553" w:rsidRDefault="00922D8A" w:rsidP="008661CD">
      <w:pPr>
        <w:keepNext/>
        <w:autoSpaceDE w:val="0"/>
        <w:autoSpaceDN w:val="0"/>
        <w:adjustRightInd w:val="0"/>
        <w:rPr>
          <w:rFonts w:eastAsia="Calibri"/>
          <w:u w:val="single"/>
        </w:rPr>
      </w:pPr>
    </w:p>
    <w:p w14:paraId="353859ED" w14:textId="77777777" w:rsidR="00922D8A" w:rsidRPr="008661CD" w:rsidRDefault="00922D8A" w:rsidP="008661CD">
      <w:r w:rsidRPr="008661CD">
        <w:t>Veikiant esterazėms, cefuroksimo aksetilas hidrolizės būdu verčiamas į aktyvų antibiotiką cefuroksimą.</w:t>
      </w:r>
    </w:p>
    <w:p w14:paraId="4DDEAE24" w14:textId="77777777" w:rsidR="00922D8A" w:rsidRPr="008661CD" w:rsidRDefault="00922D8A" w:rsidP="008661CD"/>
    <w:p w14:paraId="72CB7B22" w14:textId="77777777" w:rsidR="00922D8A" w:rsidRPr="008661CD" w:rsidRDefault="00922D8A" w:rsidP="008661CD">
      <w:r w:rsidRPr="008661CD">
        <w:t>Cefuroksimas slopina bakterijų ląstelių sienelės sintezę, prisijungdamas prie peniciliną prisijungiančio baltymo (PPB). Dėl to nutrūksta ląstelių sienelės (peptidoglikano) biosintezė, pasireiškia bakterijų ląstelių lizė ir mirtis.</w:t>
      </w:r>
    </w:p>
    <w:p w14:paraId="033FC250" w14:textId="77777777" w:rsidR="00922D8A" w:rsidRPr="009C0DB0" w:rsidRDefault="00922D8A" w:rsidP="008661CD">
      <w:pPr>
        <w:rPr>
          <w:highlight w:val="yellow"/>
        </w:rPr>
      </w:pPr>
    </w:p>
    <w:p w14:paraId="400E2D63" w14:textId="77777777" w:rsidR="00922D8A" w:rsidRPr="008661CD" w:rsidRDefault="00922D8A" w:rsidP="008661CD">
      <w:pPr>
        <w:keepNext/>
        <w:tabs>
          <w:tab w:val="left" w:pos="567"/>
        </w:tabs>
        <w:rPr>
          <w:u w:val="single"/>
        </w:rPr>
      </w:pPr>
      <w:r w:rsidRPr="008661CD">
        <w:rPr>
          <w:u w:val="single"/>
        </w:rPr>
        <w:t>Atsparumo atsiradimo mechanizmas</w:t>
      </w:r>
    </w:p>
    <w:p w14:paraId="7AEFFCE4" w14:textId="77777777" w:rsidR="00922D8A" w:rsidRPr="008661CD" w:rsidRDefault="00922D8A" w:rsidP="008661CD">
      <w:pPr>
        <w:rPr>
          <w:u w:val="single"/>
        </w:rPr>
      </w:pPr>
    </w:p>
    <w:p w14:paraId="63C5A412" w14:textId="77777777" w:rsidR="00922D8A" w:rsidRPr="008661CD" w:rsidRDefault="00922D8A" w:rsidP="008661CD">
      <w:r w:rsidRPr="008661CD">
        <w:t>Bakterijų atsparumas cefuroksimui gali pasireikšti dėl vieno arba daugiau išvardytų mechanizmų:</w:t>
      </w:r>
    </w:p>
    <w:p w14:paraId="30344073" w14:textId="77777777" w:rsidR="00922D8A" w:rsidRPr="008661CD" w:rsidRDefault="00922D8A" w:rsidP="000F3553">
      <w:pPr>
        <w:numPr>
          <w:ilvl w:val="0"/>
          <w:numId w:val="4"/>
        </w:numPr>
        <w:tabs>
          <w:tab w:val="left" w:pos="567"/>
        </w:tabs>
        <w:spacing w:line="260" w:lineRule="exact"/>
        <w:ind w:left="567" w:hanging="567"/>
      </w:pPr>
      <w:r w:rsidRPr="008661CD">
        <w:t>hidrolizė, veikiant beta laktamazėms, įskaitant (bet neapsiribojant vien tik) plataus spektro beta laktamazes (PSBL) ir AmpC fermentus, kurie gali būti sužadinami arba stabiliai slopinami kai kurių rūšių aerobinėse gramneigiamose bakterijose;</w:t>
      </w:r>
    </w:p>
    <w:p w14:paraId="5F99438F" w14:textId="77777777" w:rsidR="00922D8A" w:rsidRPr="008661CD" w:rsidRDefault="00922D8A" w:rsidP="000F3553">
      <w:pPr>
        <w:numPr>
          <w:ilvl w:val="0"/>
          <w:numId w:val="4"/>
        </w:numPr>
        <w:tabs>
          <w:tab w:val="left" w:pos="567"/>
        </w:tabs>
        <w:spacing w:line="260" w:lineRule="exact"/>
        <w:ind w:left="567" w:hanging="567"/>
      </w:pPr>
      <w:r w:rsidRPr="008661CD">
        <w:t>peniciliną prisijungiančio baltymo afiniteto cefuroksimui sumažėjimas;</w:t>
      </w:r>
    </w:p>
    <w:p w14:paraId="15C19F3E" w14:textId="77777777" w:rsidR="00922D8A" w:rsidRPr="008661CD" w:rsidRDefault="00922D8A" w:rsidP="000F3553">
      <w:pPr>
        <w:numPr>
          <w:ilvl w:val="0"/>
          <w:numId w:val="4"/>
        </w:numPr>
        <w:tabs>
          <w:tab w:val="left" w:pos="567"/>
        </w:tabs>
        <w:spacing w:line="260" w:lineRule="exact"/>
        <w:ind w:left="567" w:hanging="567"/>
      </w:pPr>
      <w:r w:rsidRPr="008661CD">
        <w:t>išorinės membranos nepralaidumas, dėl kurio yra ribojamas cefuroksimo prasiskverbimas prie peniciliną prisijungiančio baltymo gramneigiamose bakterijose;</w:t>
      </w:r>
    </w:p>
    <w:p w14:paraId="4006BC47" w14:textId="77777777" w:rsidR="00922D8A" w:rsidRPr="008661CD" w:rsidRDefault="00922D8A" w:rsidP="000F3553">
      <w:pPr>
        <w:numPr>
          <w:ilvl w:val="0"/>
          <w:numId w:val="4"/>
        </w:numPr>
        <w:tabs>
          <w:tab w:val="left" w:pos="567"/>
        </w:tabs>
        <w:ind w:left="567" w:hanging="567"/>
      </w:pPr>
      <w:r w:rsidRPr="008661CD">
        <w:t>bakterijų šalinimo iš ląstelės siurbliai.</w:t>
      </w:r>
    </w:p>
    <w:p w14:paraId="5D71D6D1" w14:textId="77777777" w:rsidR="00922D8A" w:rsidRPr="00AA08CA" w:rsidRDefault="00922D8A" w:rsidP="009C0DB0">
      <w:pPr>
        <w:pStyle w:val="prastasiniatinklio"/>
        <w:spacing w:before="0" w:beforeAutospacing="0" w:after="0" w:afterAutospacing="0"/>
        <w:rPr>
          <w:lang w:val="lt-LT"/>
        </w:rPr>
      </w:pPr>
    </w:p>
    <w:p w14:paraId="734B06C2" w14:textId="77777777" w:rsidR="00922D8A" w:rsidRPr="00AA08CA" w:rsidRDefault="00922D8A" w:rsidP="000F3553">
      <w:pPr>
        <w:pStyle w:val="prastasiniatinklio"/>
        <w:spacing w:before="0" w:beforeAutospacing="0" w:after="0" w:afterAutospacing="0"/>
        <w:rPr>
          <w:lang w:val="lt-LT"/>
        </w:rPr>
      </w:pPr>
      <w:r w:rsidRPr="000F3553">
        <w:rPr>
          <w:sz w:val="22"/>
          <w:lang w:val="lt-LT"/>
        </w:rPr>
        <w:t>Numatyta, kad mikroorganizmai, kuriems būdingas įgytas atsparumas kitiems injekuojamiesiems cefalosporinams, bus atsparūs ir cefuroksimui.</w:t>
      </w:r>
    </w:p>
    <w:p w14:paraId="204F43D4" w14:textId="77777777" w:rsidR="00922D8A" w:rsidRPr="00AA08CA" w:rsidRDefault="00922D8A" w:rsidP="000F3553">
      <w:pPr>
        <w:pStyle w:val="prastasiniatinklio"/>
        <w:spacing w:before="0" w:beforeAutospacing="0" w:after="0" w:afterAutospacing="0"/>
        <w:rPr>
          <w:lang w:val="lt-LT"/>
        </w:rPr>
      </w:pPr>
    </w:p>
    <w:p w14:paraId="1BE9DF87" w14:textId="77777777" w:rsidR="00922D8A" w:rsidRPr="00AA08CA" w:rsidRDefault="00922D8A" w:rsidP="000F3553">
      <w:pPr>
        <w:pStyle w:val="prastasiniatinklio"/>
        <w:spacing w:before="0" w:beforeAutospacing="0" w:after="0" w:afterAutospacing="0"/>
        <w:rPr>
          <w:u w:val="single"/>
          <w:lang w:val="lt-LT"/>
        </w:rPr>
      </w:pPr>
      <w:r w:rsidRPr="000F3553">
        <w:rPr>
          <w:sz w:val="22"/>
          <w:lang w:val="lt-LT"/>
        </w:rPr>
        <w:t>Priklausomai nuo atsparumo atsiradimo mechanizmo, mikroorganizmų, kuriems būdingas įgytas atsparumas penicilinams, jautrumas cefuroksimui gali būti sumažėjęs arba šie mikroorganizmai gali būti atsparūs cefuroksimui.</w:t>
      </w:r>
    </w:p>
    <w:p w14:paraId="76310AC4" w14:textId="77777777" w:rsidR="00922D8A" w:rsidRPr="008661CD" w:rsidRDefault="00922D8A" w:rsidP="008661CD"/>
    <w:p w14:paraId="52770168" w14:textId="77777777" w:rsidR="00922D8A" w:rsidRPr="008661CD" w:rsidRDefault="00922D8A" w:rsidP="008661CD">
      <w:pPr>
        <w:keepNext/>
        <w:rPr>
          <w:u w:val="single"/>
        </w:rPr>
      </w:pPr>
      <w:r w:rsidRPr="008661CD">
        <w:rPr>
          <w:u w:val="single"/>
        </w:rPr>
        <w:t>Jautrumo cefuroksimo aksetilui ribinės vertės</w:t>
      </w:r>
    </w:p>
    <w:p w14:paraId="3A7DC487" w14:textId="77777777" w:rsidR="00922D8A" w:rsidRPr="008661CD" w:rsidRDefault="00922D8A" w:rsidP="008661CD">
      <w:pPr>
        <w:rPr>
          <w:u w:val="single"/>
        </w:rPr>
      </w:pPr>
    </w:p>
    <w:p w14:paraId="05E94F68" w14:textId="68680A81" w:rsidR="00922D8A" w:rsidRPr="008661CD" w:rsidRDefault="00922D8A" w:rsidP="008661CD">
      <w:r w:rsidRPr="008661CD">
        <w:t xml:space="preserve">Europos antimikrobinio jautrumo tyrimų komitetas (angl. </w:t>
      </w:r>
      <w:r w:rsidRPr="008661CD">
        <w:rPr>
          <w:i/>
        </w:rPr>
        <w:t>European Committee on Antimicrobial Susceptibility Testing [EUCAST]</w:t>
      </w:r>
      <w:r w:rsidRPr="008661CD">
        <w:t>)</w:t>
      </w:r>
      <w:r w:rsidR="00A632DA">
        <w:t xml:space="preserve"> </w:t>
      </w:r>
      <w:r w:rsidRPr="008661CD">
        <w:t xml:space="preserve"> </w:t>
      </w:r>
      <w:r w:rsidR="00A632DA" w:rsidRPr="00A632DA">
        <w:t>version 13, valid from 01 January 2023,</w:t>
      </w:r>
      <w:r w:rsidR="00A632DA">
        <w:t xml:space="preserve"> </w:t>
      </w:r>
      <w:r w:rsidRPr="008661CD">
        <w:t>nustatė tokias minimalios slopinamosios koncentracijos (MSK) ribines vertes.</w:t>
      </w:r>
    </w:p>
    <w:p w14:paraId="6297EC85" w14:textId="77777777" w:rsidR="00922D8A" w:rsidRPr="008661CD" w:rsidRDefault="00922D8A" w:rsidP="008661C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922D8A" w:rsidRPr="00C510EF" w14:paraId="4E04EE62" w14:textId="77777777" w:rsidTr="00894113">
        <w:tc>
          <w:tcPr>
            <w:tcW w:w="2840" w:type="dxa"/>
          </w:tcPr>
          <w:p w14:paraId="79599CCE" w14:textId="77777777" w:rsidR="00922D8A" w:rsidRPr="008661CD" w:rsidRDefault="00922D8A" w:rsidP="008661CD">
            <w:pPr>
              <w:tabs>
                <w:tab w:val="left" w:pos="0"/>
              </w:tabs>
              <w:jc w:val="center"/>
              <w:rPr>
                <w:b/>
              </w:rPr>
            </w:pPr>
            <w:r w:rsidRPr="008661CD">
              <w:rPr>
                <w:b/>
              </w:rPr>
              <w:t>Mikroorganizmas</w:t>
            </w:r>
          </w:p>
        </w:tc>
        <w:tc>
          <w:tcPr>
            <w:tcW w:w="5682" w:type="dxa"/>
            <w:gridSpan w:val="2"/>
            <w:vAlign w:val="center"/>
          </w:tcPr>
          <w:p w14:paraId="7DE179A7" w14:textId="77777777" w:rsidR="00922D8A" w:rsidRPr="008661CD" w:rsidRDefault="00922D8A" w:rsidP="008661CD">
            <w:pPr>
              <w:tabs>
                <w:tab w:val="left" w:pos="0"/>
              </w:tabs>
              <w:jc w:val="center"/>
              <w:rPr>
                <w:b/>
              </w:rPr>
            </w:pPr>
            <w:r w:rsidRPr="008661CD">
              <w:rPr>
                <w:b/>
              </w:rPr>
              <w:t>Ribinės vertės (mg/l)</w:t>
            </w:r>
          </w:p>
        </w:tc>
      </w:tr>
      <w:tr w:rsidR="00922D8A" w:rsidRPr="00C510EF" w14:paraId="01518A8C" w14:textId="77777777" w:rsidTr="00894113">
        <w:trPr>
          <w:trHeight w:val="302"/>
        </w:trPr>
        <w:tc>
          <w:tcPr>
            <w:tcW w:w="2840" w:type="dxa"/>
          </w:tcPr>
          <w:p w14:paraId="2E3A030A" w14:textId="77777777" w:rsidR="00922D8A" w:rsidRPr="008661CD" w:rsidRDefault="00922D8A" w:rsidP="008661CD">
            <w:pPr>
              <w:tabs>
                <w:tab w:val="left" w:pos="0"/>
              </w:tabs>
            </w:pPr>
          </w:p>
        </w:tc>
        <w:tc>
          <w:tcPr>
            <w:tcW w:w="2841" w:type="dxa"/>
          </w:tcPr>
          <w:p w14:paraId="02935D85" w14:textId="77777777" w:rsidR="00922D8A" w:rsidRPr="008661CD" w:rsidRDefault="00922D8A" w:rsidP="008661CD">
            <w:pPr>
              <w:tabs>
                <w:tab w:val="left" w:pos="0"/>
              </w:tabs>
              <w:jc w:val="center"/>
              <w:rPr>
                <w:u w:val="single"/>
              </w:rPr>
            </w:pPr>
            <w:r w:rsidRPr="008661CD">
              <w:rPr>
                <w:u w:val="single"/>
              </w:rPr>
              <w:t>J</w:t>
            </w:r>
          </w:p>
        </w:tc>
        <w:tc>
          <w:tcPr>
            <w:tcW w:w="2841" w:type="dxa"/>
          </w:tcPr>
          <w:p w14:paraId="6A776459" w14:textId="77777777" w:rsidR="00922D8A" w:rsidRPr="008661CD" w:rsidRDefault="00922D8A" w:rsidP="008661CD">
            <w:pPr>
              <w:tabs>
                <w:tab w:val="left" w:pos="0"/>
              </w:tabs>
              <w:jc w:val="center"/>
              <w:rPr>
                <w:u w:val="single"/>
              </w:rPr>
            </w:pPr>
            <w:r w:rsidRPr="008661CD">
              <w:rPr>
                <w:u w:val="single"/>
              </w:rPr>
              <w:t>A</w:t>
            </w:r>
          </w:p>
        </w:tc>
      </w:tr>
      <w:tr w:rsidR="00922D8A" w:rsidRPr="00C510EF" w14:paraId="6533D761" w14:textId="77777777" w:rsidTr="00894113">
        <w:tc>
          <w:tcPr>
            <w:tcW w:w="2840" w:type="dxa"/>
          </w:tcPr>
          <w:p w14:paraId="303CC9AB" w14:textId="51CED4CB" w:rsidR="00922D8A" w:rsidRPr="008661CD" w:rsidRDefault="00922D8A" w:rsidP="008661CD">
            <w:pPr>
              <w:tabs>
                <w:tab w:val="left" w:pos="0"/>
              </w:tabs>
            </w:pPr>
            <w:r w:rsidRPr="008661CD">
              <w:rPr>
                <w:i/>
              </w:rPr>
              <w:t>Enterobacter</w:t>
            </w:r>
            <w:r w:rsidR="00A632DA">
              <w:rPr>
                <w:i/>
              </w:rPr>
              <w:t>ales</w:t>
            </w:r>
            <w:r w:rsidRPr="008661CD">
              <w:t xml:space="preserve"> </w:t>
            </w:r>
            <w:r w:rsidRPr="008661CD">
              <w:rPr>
                <w:vertAlign w:val="superscript"/>
              </w:rPr>
              <w:t>1, 2</w:t>
            </w:r>
          </w:p>
        </w:tc>
        <w:tc>
          <w:tcPr>
            <w:tcW w:w="2841" w:type="dxa"/>
          </w:tcPr>
          <w:p w14:paraId="2711706D" w14:textId="06C63F06" w:rsidR="00922D8A" w:rsidRPr="008661CD" w:rsidRDefault="00922D8A" w:rsidP="008661CD">
            <w:pPr>
              <w:tabs>
                <w:tab w:val="left" w:pos="0"/>
              </w:tabs>
              <w:jc w:val="center"/>
            </w:pPr>
            <w:r w:rsidRPr="008661CD">
              <w:t>8</w:t>
            </w:r>
          </w:p>
        </w:tc>
        <w:tc>
          <w:tcPr>
            <w:tcW w:w="2841" w:type="dxa"/>
          </w:tcPr>
          <w:p w14:paraId="6312D9A1" w14:textId="7E6C8365" w:rsidR="00922D8A" w:rsidRPr="008661CD" w:rsidRDefault="00922D8A" w:rsidP="008661CD">
            <w:pPr>
              <w:tabs>
                <w:tab w:val="left" w:pos="0"/>
              </w:tabs>
              <w:jc w:val="center"/>
            </w:pPr>
            <w:r w:rsidRPr="008661CD">
              <w:t>8</w:t>
            </w:r>
          </w:p>
        </w:tc>
      </w:tr>
      <w:tr w:rsidR="00922D8A" w:rsidRPr="00C510EF" w14:paraId="16BBF68C" w14:textId="77777777" w:rsidTr="00894113">
        <w:tc>
          <w:tcPr>
            <w:tcW w:w="2840" w:type="dxa"/>
          </w:tcPr>
          <w:p w14:paraId="10DA9D53" w14:textId="77777777" w:rsidR="00922D8A" w:rsidRPr="008661CD" w:rsidRDefault="00922D8A" w:rsidP="008661CD">
            <w:pPr>
              <w:tabs>
                <w:tab w:val="left" w:pos="0"/>
              </w:tabs>
            </w:pPr>
            <w:r w:rsidRPr="008661CD">
              <w:rPr>
                <w:i/>
              </w:rPr>
              <w:t>Staphylococcus</w:t>
            </w:r>
            <w:r w:rsidRPr="008661CD">
              <w:t xml:space="preserve"> rūšys</w:t>
            </w:r>
          </w:p>
        </w:tc>
        <w:tc>
          <w:tcPr>
            <w:tcW w:w="2841" w:type="dxa"/>
          </w:tcPr>
          <w:p w14:paraId="2DD24103" w14:textId="77777777" w:rsidR="00922D8A" w:rsidRPr="008661CD" w:rsidRDefault="00922D8A" w:rsidP="008661CD">
            <w:pPr>
              <w:tabs>
                <w:tab w:val="left" w:pos="0"/>
              </w:tabs>
              <w:jc w:val="center"/>
            </w:pPr>
            <w:r w:rsidRPr="008661CD">
              <w:t xml:space="preserve">Pastaba </w:t>
            </w:r>
            <w:r w:rsidRPr="008661CD">
              <w:rPr>
                <w:vertAlign w:val="superscript"/>
              </w:rPr>
              <w:t>3</w:t>
            </w:r>
          </w:p>
        </w:tc>
        <w:tc>
          <w:tcPr>
            <w:tcW w:w="2841" w:type="dxa"/>
          </w:tcPr>
          <w:p w14:paraId="7614CAFB" w14:textId="77777777" w:rsidR="00922D8A" w:rsidRPr="008661CD" w:rsidRDefault="00922D8A" w:rsidP="008661CD">
            <w:pPr>
              <w:tabs>
                <w:tab w:val="left" w:pos="0"/>
              </w:tabs>
              <w:jc w:val="center"/>
            </w:pPr>
            <w:r w:rsidRPr="008661CD">
              <w:t>Pastaba</w:t>
            </w:r>
            <w:r w:rsidRPr="008661CD">
              <w:rPr>
                <w:vertAlign w:val="superscript"/>
              </w:rPr>
              <w:t xml:space="preserve"> 3</w:t>
            </w:r>
          </w:p>
        </w:tc>
      </w:tr>
      <w:tr w:rsidR="00922D8A" w:rsidRPr="00C510EF" w14:paraId="2E99AE2F" w14:textId="77777777" w:rsidTr="00894113">
        <w:tc>
          <w:tcPr>
            <w:tcW w:w="2840" w:type="dxa"/>
          </w:tcPr>
          <w:p w14:paraId="43EE19F9" w14:textId="77777777" w:rsidR="00922D8A" w:rsidRPr="008661CD" w:rsidRDefault="00922D8A" w:rsidP="008661CD">
            <w:pPr>
              <w:tabs>
                <w:tab w:val="left" w:pos="0"/>
              </w:tabs>
            </w:pPr>
            <w:r w:rsidRPr="008661CD">
              <w:rPr>
                <w:i/>
              </w:rPr>
              <w:t xml:space="preserve">Streptococcus </w:t>
            </w:r>
            <w:r w:rsidRPr="008661CD">
              <w:t>A, B, C ir G</w:t>
            </w:r>
          </w:p>
        </w:tc>
        <w:tc>
          <w:tcPr>
            <w:tcW w:w="2841" w:type="dxa"/>
          </w:tcPr>
          <w:p w14:paraId="20673961" w14:textId="77777777" w:rsidR="00922D8A" w:rsidRPr="008661CD" w:rsidRDefault="00922D8A" w:rsidP="008661CD">
            <w:pPr>
              <w:tabs>
                <w:tab w:val="left" w:pos="0"/>
              </w:tabs>
              <w:jc w:val="center"/>
            </w:pPr>
            <w:r w:rsidRPr="008661CD">
              <w:t>Pastaba</w:t>
            </w:r>
            <w:r w:rsidRPr="008661CD">
              <w:rPr>
                <w:vertAlign w:val="superscript"/>
              </w:rPr>
              <w:t xml:space="preserve"> 4</w:t>
            </w:r>
          </w:p>
        </w:tc>
        <w:tc>
          <w:tcPr>
            <w:tcW w:w="2841" w:type="dxa"/>
          </w:tcPr>
          <w:p w14:paraId="33110280" w14:textId="77777777" w:rsidR="00922D8A" w:rsidRPr="008661CD" w:rsidRDefault="00922D8A" w:rsidP="008661CD">
            <w:pPr>
              <w:tabs>
                <w:tab w:val="left" w:pos="0"/>
              </w:tabs>
              <w:jc w:val="center"/>
            </w:pPr>
            <w:r w:rsidRPr="008661CD">
              <w:t>Pastaba</w:t>
            </w:r>
            <w:r w:rsidRPr="008661CD">
              <w:rPr>
                <w:vertAlign w:val="superscript"/>
              </w:rPr>
              <w:t xml:space="preserve"> 4</w:t>
            </w:r>
          </w:p>
        </w:tc>
      </w:tr>
      <w:tr w:rsidR="00922D8A" w:rsidRPr="00C510EF" w14:paraId="306AAA77" w14:textId="77777777" w:rsidTr="00894113">
        <w:tc>
          <w:tcPr>
            <w:tcW w:w="2840" w:type="dxa"/>
          </w:tcPr>
          <w:p w14:paraId="58BC1811" w14:textId="77777777" w:rsidR="00922D8A" w:rsidRPr="008661CD" w:rsidRDefault="00922D8A" w:rsidP="008661CD">
            <w:pPr>
              <w:tabs>
                <w:tab w:val="left" w:pos="0"/>
              </w:tabs>
              <w:rPr>
                <w:i/>
              </w:rPr>
            </w:pPr>
            <w:r w:rsidRPr="008661CD">
              <w:rPr>
                <w:i/>
              </w:rPr>
              <w:t>Streptococcus pneumoniae</w:t>
            </w:r>
          </w:p>
        </w:tc>
        <w:tc>
          <w:tcPr>
            <w:tcW w:w="2841" w:type="dxa"/>
          </w:tcPr>
          <w:p w14:paraId="42F41998" w14:textId="23F9BF11" w:rsidR="00922D8A" w:rsidRPr="008661CD" w:rsidRDefault="00922D8A" w:rsidP="008661CD">
            <w:pPr>
              <w:tabs>
                <w:tab w:val="left" w:pos="0"/>
              </w:tabs>
              <w:jc w:val="center"/>
            </w:pPr>
            <w:r w:rsidRPr="008661CD">
              <w:t>0,25</w:t>
            </w:r>
          </w:p>
        </w:tc>
        <w:tc>
          <w:tcPr>
            <w:tcW w:w="2841" w:type="dxa"/>
          </w:tcPr>
          <w:p w14:paraId="2986B8C2" w14:textId="56FB1D21" w:rsidR="00922D8A" w:rsidRPr="008661CD" w:rsidRDefault="00922D8A" w:rsidP="008661CD">
            <w:pPr>
              <w:tabs>
                <w:tab w:val="left" w:pos="0"/>
              </w:tabs>
              <w:jc w:val="center"/>
            </w:pPr>
            <w:r w:rsidRPr="008661CD">
              <w:t>0,</w:t>
            </w:r>
            <w:r w:rsidR="00A632DA">
              <w:t>25</w:t>
            </w:r>
          </w:p>
        </w:tc>
      </w:tr>
      <w:tr w:rsidR="00922D8A" w:rsidRPr="00C510EF" w14:paraId="1F124D02" w14:textId="77777777" w:rsidTr="00894113">
        <w:tc>
          <w:tcPr>
            <w:tcW w:w="2840" w:type="dxa"/>
          </w:tcPr>
          <w:p w14:paraId="069D0546" w14:textId="77777777" w:rsidR="00922D8A" w:rsidRPr="008661CD" w:rsidRDefault="00922D8A" w:rsidP="008661CD">
            <w:pPr>
              <w:tabs>
                <w:tab w:val="left" w:pos="0"/>
              </w:tabs>
            </w:pPr>
            <w:r w:rsidRPr="008661CD">
              <w:rPr>
                <w:i/>
              </w:rPr>
              <w:t>Haemophilus influenzae</w:t>
            </w:r>
          </w:p>
        </w:tc>
        <w:tc>
          <w:tcPr>
            <w:tcW w:w="2841" w:type="dxa"/>
          </w:tcPr>
          <w:p w14:paraId="50E00EF1" w14:textId="697A421D" w:rsidR="00922D8A" w:rsidRPr="008661CD" w:rsidRDefault="00922D8A" w:rsidP="008661CD">
            <w:pPr>
              <w:tabs>
                <w:tab w:val="left" w:pos="0"/>
              </w:tabs>
              <w:jc w:val="center"/>
            </w:pPr>
            <w:r w:rsidRPr="008661CD">
              <w:t>0,</w:t>
            </w:r>
            <w:r w:rsidR="00A632DA">
              <w:t>001</w:t>
            </w:r>
          </w:p>
        </w:tc>
        <w:tc>
          <w:tcPr>
            <w:tcW w:w="2841" w:type="dxa"/>
          </w:tcPr>
          <w:p w14:paraId="3EAA1C73" w14:textId="1247428E" w:rsidR="00922D8A" w:rsidRPr="008661CD" w:rsidRDefault="00922D8A" w:rsidP="008661CD">
            <w:pPr>
              <w:tabs>
                <w:tab w:val="left" w:pos="0"/>
              </w:tabs>
              <w:jc w:val="center"/>
            </w:pPr>
            <w:r w:rsidRPr="008661CD">
              <w:t>1</w:t>
            </w:r>
          </w:p>
        </w:tc>
      </w:tr>
      <w:tr w:rsidR="00A632DA" w:rsidRPr="00C510EF" w14:paraId="1BFA8EEB" w14:textId="77777777" w:rsidTr="00894113">
        <w:tc>
          <w:tcPr>
            <w:tcW w:w="2840" w:type="dxa"/>
          </w:tcPr>
          <w:p w14:paraId="7E98801C" w14:textId="44E66066" w:rsidR="00A632DA" w:rsidRPr="008661CD" w:rsidRDefault="00A632DA" w:rsidP="008661CD">
            <w:pPr>
              <w:tabs>
                <w:tab w:val="left" w:pos="0"/>
              </w:tabs>
              <w:rPr>
                <w:i/>
              </w:rPr>
            </w:pPr>
            <w:r w:rsidRPr="00A632DA">
              <w:rPr>
                <w:i/>
              </w:rPr>
              <w:t>Moraxella catarrhalis</w:t>
            </w:r>
          </w:p>
        </w:tc>
        <w:tc>
          <w:tcPr>
            <w:tcW w:w="2841" w:type="dxa"/>
          </w:tcPr>
          <w:p w14:paraId="3B77B898" w14:textId="6229D9C2" w:rsidR="00A632DA" w:rsidRPr="008661CD" w:rsidRDefault="00A632DA" w:rsidP="008661CD">
            <w:pPr>
              <w:tabs>
                <w:tab w:val="left" w:pos="0"/>
              </w:tabs>
              <w:jc w:val="center"/>
            </w:pPr>
            <w:r>
              <w:t>0,001</w:t>
            </w:r>
          </w:p>
        </w:tc>
        <w:tc>
          <w:tcPr>
            <w:tcW w:w="2841" w:type="dxa"/>
          </w:tcPr>
          <w:p w14:paraId="7AF173F6" w14:textId="3F24160D" w:rsidR="00A632DA" w:rsidRPr="008661CD" w:rsidRDefault="00A632DA" w:rsidP="008661CD">
            <w:pPr>
              <w:tabs>
                <w:tab w:val="left" w:pos="0"/>
              </w:tabs>
              <w:jc w:val="center"/>
            </w:pPr>
            <w:r>
              <w:t>4</w:t>
            </w:r>
          </w:p>
        </w:tc>
      </w:tr>
      <w:tr w:rsidR="00922D8A" w:rsidRPr="00C510EF" w14:paraId="1DB60794" w14:textId="77777777" w:rsidTr="00894113">
        <w:tc>
          <w:tcPr>
            <w:tcW w:w="8522" w:type="dxa"/>
            <w:gridSpan w:val="3"/>
          </w:tcPr>
          <w:p w14:paraId="3D8E760F" w14:textId="26B28B57" w:rsidR="00922D8A" w:rsidRPr="00AA08CA" w:rsidRDefault="00922D8A" w:rsidP="000F3553">
            <w:pPr>
              <w:pStyle w:val="Default"/>
              <w:rPr>
                <w:lang w:val="lt-LT"/>
              </w:rPr>
            </w:pPr>
            <w:r w:rsidRPr="000F3553">
              <w:rPr>
                <w:b/>
                <w:sz w:val="22"/>
                <w:vertAlign w:val="superscript"/>
                <w:lang w:val="lt-LT"/>
              </w:rPr>
              <w:t xml:space="preserve">1 </w:t>
            </w:r>
            <w:r w:rsidRPr="000F3553">
              <w:rPr>
                <w:i/>
                <w:sz w:val="22"/>
                <w:lang w:val="lt-LT"/>
              </w:rPr>
              <w:t>Enterobacter</w:t>
            </w:r>
            <w:r w:rsidR="006951B3">
              <w:rPr>
                <w:i/>
                <w:sz w:val="22"/>
                <w:lang w:val="lt-LT"/>
              </w:rPr>
              <w:t>ales</w:t>
            </w:r>
            <w:r w:rsidRPr="000F3553">
              <w:rPr>
                <w:sz w:val="22"/>
                <w:lang w:val="lt-LT"/>
              </w:rPr>
              <w:t xml:space="preserve"> nustatytos jautrumo cefalosporinams ribinės vertės susijusios su visais kliniškai reikšmingais atsparumo mechanizmais (įskaitant PSBL ir plazmidėmis perduodamą AmpC). Kai kurios padermės, kurios gamina beta laktamazes, yra jautrios trečios ir ketvirtos kartos cefalosporinams esant šioms ribinėms vertėms ir turėtų būti nurodoma, kaip </w:t>
            </w:r>
            <w:r w:rsidR="00CF24B8">
              <w:rPr>
                <w:sz w:val="22"/>
                <w:lang w:val="lt-LT"/>
              </w:rPr>
              <w:t>ištirta</w:t>
            </w:r>
            <w:r w:rsidRPr="000F3553">
              <w:rPr>
                <w:sz w:val="22"/>
                <w:lang w:val="lt-LT"/>
              </w:rPr>
              <w:t xml:space="preserve">, t. y. PSBL buvimas arba nebuvimas neturi įtakos jautrumo apibūdinimui. </w:t>
            </w:r>
            <w:r w:rsidR="00CF24B8">
              <w:rPr>
                <w:sz w:val="22"/>
                <w:lang w:val="lt-LT"/>
              </w:rPr>
              <w:t>R</w:t>
            </w:r>
            <w:r w:rsidRPr="000F3553">
              <w:rPr>
                <w:sz w:val="22"/>
                <w:lang w:val="lt-LT"/>
              </w:rPr>
              <w:t>ekomenduojama nustatyti ir apibūdinti</w:t>
            </w:r>
            <w:r w:rsidR="00CF24B8">
              <w:rPr>
                <w:sz w:val="22"/>
                <w:lang w:val="lt-LT"/>
              </w:rPr>
              <w:t xml:space="preserve"> visuomenės sveikatos ir</w:t>
            </w:r>
            <w:r w:rsidRPr="000F3553">
              <w:rPr>
                <w:sz w:val="22"/>
                <w:lang w:val="lt-LT"/>
              </w:rPr>
              <w:t xml:space="preserve"> PSBL infekcijos kontrolės tikslais.</w:t>
            </w:r>
            <w:r w:rsidR="00CF24B8" w:rsidRPr="001D5FF7">
              <w:rPr>
                <w:lang w:val="lt-LT"/>
              </w:rPr>
              <w:t xml:space="preserve"> </w:t>
            </w:r>
          </w:p>
          <w:p w14:paraId="1D53E828" w14:textId="2A986285" w:rsidR="00922D8A" w:rsidRPr="00AA08CA" w:rsidRDefault="00922D8A" w:rsidP="000F3553">
            <w:pPr>
              <w:pStyle w:val="Default"/>
              <w:rPr>
                <w:lang w:val="lt-LT"/>
              </w:rPr>
            </w:pPr>
            <w:r w:rsidRPr="000F3553">
              <w:rPr>
                <w:sz w:val="22"/>
                <w:vertAlign w:val="superscript"/>
                <w:lang w:val="lt-LT"/>
              </w:rPr>
              <w:t>2</w:t>
            </w:r>
            <w:r w:rsidRPr="000F3553">
              <w:rPr>
                <w:sz w:val="22"/>
                <w:lang w:val="lt-LT"/>
              </w:rPr>
              <w:t xml:space="preserve"> </w:t>
            </w:r>
            <w:r w:rsidR="00BF2DF6" w:rsidRPr="00BF2DF6">
              <w:rPr>
                <w:sz w:val="22"/>
                <w:lang w:val="lt-LT"/>
              </w:rPr>
              <w:t xml:space="preserve">Tik nekomplikuota šlapimo takų infekcija (ŠTI), E. coli, Klebsiella spp. (išskyrus K. </w:t>
            </w:r>
            <w:r w:rsidR="00BF2DF6" w:rsidRPr="001D5FF7">
              <w:rPr>
                <w:i/>
                <w:iCs/>
                <w:sz w:val="22"/>
                <w:lang w:val="lt-LT"/>
              </w:rPr>
              <w:t>aerogenes</w:t>
            </w:r>
            <w:r w:rsidR="00BF2DF6" w:rsidRPr="00BF2DF6">
              <w:rPr>
                <w:sz w:val="22"/>
                <w:lang w:val="lt-LT"/>
              </w:rPr>
              <w:t xml:space="preserve">), </w:t>
            </w:r>
            <w:r w:rsidR="00BF2DF6" w:rsidRPr="001D5FF7">
              <w:rPr>
                <w:i/>
                <w:iCs/>
                <w:sz w:val="22"/>
                <w:lang w:val="lt-LT"/>
              </w:rPr>
              <w:t>Raoultella</w:t>
            </w:r>
            <w:r w:rsidR="00BF2DF6" w:rsidRPr="00BF2DF6">
              <w:rPr>
                <w:sz w:val="22"/>
                <w:lang w:val="lt-LT"/>
              </w:rPr>
              <w:t xml:space="preserve"> spp. ir P. </w:t>
            </w:r>
            <w:r w:rsidR="00BF2DF6" w:rsidRPr="001D5FF7">
              <w:rPr>
                <w:i/>
                <w:iCs/>
                <w:sz w:val="22"/>
                <w:lang w:val="lt-LT"/>
              </w:rPr>
              <w:t>mirabilis</w:t>
            </w:r>
            <w:r w:rsidR="00BF2DF6" w:rsidRPr="00BF2DF6">
              <w:rPr>
                <w:sz w:val="22"/>
                <w:lang w:val="lt-LT"/>
              </w:rPr>
              <w:t>.</w:t>
            </w:r>
          </w:p>
          <w:p w14:paraId="36FDFDAE" w14:textId="1D00059C" w:rsidR="00922D8A" w:rsidRPr="008661CD" w:rsidRDefault="00922D8A" w:rsidP="008661CD">
            <w:pPr>
              <w:tabs>
                <w:tab w:val="left" w:pos="0"/>
              </w:tabs>
            </w:pPr>
            <w:r w:rsidRPr="008661CD">
              <w:rPr>
                <w:vertAlign w:val="superscript"/>
              </w:rPr>
              <w:t>3</w:t>
            </w:r>
            <w:r w:rsidRPr="008661CD">
              <w:t xml:space="preserve"> Stafilokokų jautrumas cefalosporinams yra numatomas pagal jautrumą</w:t>
            </w:r>
            <w:r w:rsidR="00CD750B">
              <w:t>cefaktocinui</w:t>
            </w:r>
            <w:r w:rsidRPr="008661CD">
              <w:t>, išskyrus cefiksimą</w:t>
            </w:r>
            <w:r w:rsidR="00CD750B">
              <w:t xml:space="preserve">, ceftazidmą, </w:t>
            </w:r>
            <w:r w:rsidR="00CD750B" w:rsidRPr="00CD750B">
              <w:t>ceftazidim</w:t>
            </w:r>
            <w:r w:rsidR="00CD750B">
              <w:t>ą</w:t>
            </w:r>
            <w:r w:rsidR="00CD750B" w:rsidRPr="00CD750B">
              <w:t>-avibaktam</w:t>
            </w:r>
            <w:r w:rsidR="00CD750B">
              <w:t>ą,</w:t>
            </w:r>
            <w:r w:rsidRPr="008661CD">
              <w:t>ceftibuteną</w:t>
            </w:r>
            <w:r w:rsidR="00CD750B">
              <w:t xml:space="preserve">  </w:t>
            </w:r>
            <w:r w:rsidR="00CD750B" w:rsidRPr="00CD750B">
              <w:t>ir ceftolozan</w:t>
            </w:r>
            <w:r w:rsidR="00CD750B">
              <w:t>ą</w:t>
            </w:r>
            <w:r w:rsidR="00CD750B" w:rsidRPr="00CD750B">
              <w:t>-tazobaktam</w:t>
            </w:r>
            <w:r w:rsidR="00CD750B">
              <w:t>ą</w:t>
            </w:r>
            <w:r w:rsidR="00CD750B" w:rsidRPr="00CD750B">
              <w:t>,</w:t>
            </w:r>
            <w:r w:rsidRPr="008661CD">
              <w:t xml:space="preserve"> kurie </w:t>
            </w:r>
            <w:r w:rsidRPr="008661CD">
              <w:lastRenderedPageBreak/>
              <w:t>neturi ribinių verčių ir neturėtų būti vartojami stafilokokų sukeltoms infekcinėms ligoms gydyti.</w:t>
            </w:r>
            <w:r w:rsidR="00CD750B">
              <w:t xml:space="preserve"> </w:t>
            </w:r>
            <w:r w:rsidR="00CD750B" w:rsidRPr="00CD750B">
              <w:t>Jei vaistai vartojami per burną, reikia stengtis, kad infekcijos vieta būtų pakankamai paveikta. Jei cefotaksimas ir ceftriaksonas yra skirti meticilinui jautriems stafilokokams, jie turėtų būti nurodomi kaip "Jautrūs, padidėjęs poveikis" (I). Kai kurie meticilinui atsparūs S. aureus yra jautrūs ceftarolinui ir ceftobiprolui.</w:t>
            </w:r>
          </w:p>
          <w:p w14:paraId="48F9CA10" w14:textId="24E3FB8E" w:rsidR="00922D8A" w:rsidRPr="008661CD" w:rsidRDefault="00922D8A" w:rsidP="008661CD">
            <w:pPr>
              <w:tabs>
                <w:tab w:val="left" w:pos="0"/>
              </w:tabs>
            </w:pPr>
            <w:r w:rsidRPr="008661CD">
              <w:rPr>
                <w:vertAlign w:val="superscript"/>
              </w:rPr>
              <w:t>4</w:t>
            </w:r>
            <w:r w:rsidRPr="008661CD">
              <w:t xml:space="preserve"> </w:t>
            </w:r>
            <w:r w:rsidR="0045387E" w:rsidRPr="0045387E">
              <w:t>A, B, C ir G grupių streptokokų jautrumas cefalosporinams nustatomas pagal jautrumą benzilpenicilinui.</w:t>
            </w:r>
          </w:p>
          <w:p w14:paraId="31C99716" w14:textId="1A1A11F9" w:rsidR="00922D8A" w:rsidRPr="008661CD" w:rsidRDefault="00922D8A" w:rsidP="008661CD">
            <w:pPr>
              <w:tabs>
                <w:tab w:val="left" w:pos="0"/>
              </w:tabs>
            </w:pPr>
          </w:p>
        </w:tc>
      </w:tr>
    </w:tbl>
    <w:p w14:paraId="6B4D7169" w14:textId="5833DD16" w:rsidR="00922D8A" w:rsidRPr="008661CD" w:rsidRDefault="00922D8A" w:rsidP="008661CD">
      <w:r w:rsidRPr="008661CD">
        <w:lastRenderedPageBreak/>
        <w:t>J = jautrūs,</w:t>
      </w:r>
      <w:r w:rsidR="00B2116A" w:rsidRPr="00B2116A">
        <w:t xml:space="preserve"> standartinis dozavimo režimas; I = jautrus, padidėjęs poveikis;</w:t>
      </w:r>
      <w:r w:rsidRPr="008661CD">
        <w:t xml:space="preserve"> A = atsparūs</w:t>
      </w:r>
    </w:p>
    <w:p w14:paraId="1504AF46" w14:textId="77777777" w:rsidR="00922D8A" w:rsidRPr="008661CD" w:rsidRDefault="00922D8A" w:rsidP="008661CD"/>
    <w:p w14:paraId="6FC4DA15" w14:textId="77777777" w:rsidR="00922D8A" w:rsidRPr="008661CD" w:rsidRDefault="00922D8A" w:rsidP="008661CD">
      <w:pPr>
        <w:rPr>
          <w:u w:val="single"/>
        </w:rPr>
      </w:pPr>
      <w:r w:rsidRPr="008661CD">
        <w:rPr>
          <w:u w:val="single"/>
        </w:rPr>
        <w:t>Mikrobiologinis jautrumas</w:t>
      </w:r>
    </w:p>
    <w:p w14:paraId="6DEF46AC" w14:textId="77777777" w:rsidR="00922D8A" w:rsidRPr="008661CD" w:rsidRDefault="00922D8A" w:rsidP="008661CD">
      <w:pPr>
        <w:rPr>
          <w:u w:val="single"/>
        </w:rPr>
      </w:pPr>
    </w:p>
    <w:p w14:paraId="0F7715D2" w14:textId="77777777" w:rsidR="00922D8A" w:rsidRPr="008661CD" w:rsidRDefault="00922D8A" w:rsidP="008661CD">
      <w:r w:rsidRPr="008661CD">
        <w:t>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cefuroksimo aksetilo veiksmingumo gydant bent kelių tipų infekcijas, reikia kreiptis konsultacijos į specialistą.</w:t>
      </w:r>
    </w:p>
    <w:p w14:paraId="668CCAF7" w14:textId="77777777" w:rsidR="00922D8A" w:rsidRPr="008661CD" w:rsidRDefault="00922D8A" w:rsidP="008661CD"/>
    <w:p w14:paraId="42534FFB" w14:textId="77777777" w:rsidR="00922D8A" w:rsidRPr="008661CD" w:rsidRDefault="00922D8A" w:rsidP="008661CD">
      <w:pPr>
        <w:keepNext/>
        <w:tabs>
          <w:tab w:val="left" w:pos="567"/>
        </w:tabs>
      </w:pPr>
      <w:r w:rsidRPr="008661CD">
        <w:t xml:space="preserve">Cefuroksimas </w:t>
      </w:r>
      <w:r w:rsidRPr="008661CD">
        <w:rPr>
          <w:i/>
        </w:rPr>
        <w:t>in vitro</w:t>
      </w:r>
      <w:r w:rsidRPr="008661CD">
        <w:t xml:space="preserve"> paprastai yra veiksmingas prieš išvardytus mikroorganizmus</w:t>
      </w:r>
      <w:r w:rsidRPr="008661CD">
        <w:rPr>
          <w:i/>
        </w:rPr>
        <w:t>.</w:t>
      </w:r>
    </w:p>
    <w:p w14:paraId="11301964" w14:textId="77777777" w:rsidR="00922D8A" w:rsidRPr="008661CD" w:rsidRDefault="00922D8A" w:rsidP="008661CD">
      <w:pPr>
        <w:keepNext/>
        <w:tabs>
          <w:tab w:val="left" w:pos="567"/>
        </w:tabs>
        <w:rPr>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922D8A" w:rsidRPr="00C510EF" w14:paraId="3B1625DC" w14:textId="77777777" w:rsidTr="00894113">
        <w:tc>
          <w:tcPr>
            <w:tcW w:w="8522" w:type="dxa"/>
          </w:tcPr>
          <w:p w14:paraId="7D4AD68F" w14:textId="77777777" w:rsidR="00922D8A" w:rsidRPr="008661CD" w:rsidRDefault="00922D8A" w:rsidP="008661CD">
            <w:pPr>
              <w:keepNext/>
              <w:tabs>
                <w:tab w:val="left" w:pos="567"/>
              </w:tabs>
              <w:rPr>
                <w:b/>
              </w:rPr>
            </w:pPr>
            <w:r w:rsidRPr="008661CD">
              <w:rPr>
                <w:b/>
              </w:rPr>
              <w:t>Dažniausiai jautrios rūšys</w:t>
            </w:r>
          </w:p>
        </w:tc>
      </w:tr>
      <w:tr w:rsidR="00922D8A" w:rsidRPr="00C510EF" w14:paraId="5EB73DFC" w14:textId="77777777" w:rsidTr="00894113">
        <w:tc>
          <w:tcPr>
            <w:tcW w:w="8522" w:type="dxa"/>
          </w:tcPr>
          <w:p w14:paraId="5BB730C7" w14:textId="77777777" w:rsidR="00922D8A" w:rsidRPr="008661CD" w:rsidRDefault="00922D8A" w:rsidP="008661CD">
            <w:pPr>
              <w:keepNext/>
              <w:tabs>
                <w:tab w:val="left" w:pos="567"/>
              </w:tabs>
              <w:rPr>
                <w:u w:val="single"/>
              </w:rPr>
            </w:pPr>
            <w:r w:rsidRPr="008661CD">
              <w:rPr>
                <w:u w:val="single"/>
              </w:rPr>
              <w:t>Gramteigiami aerobai</w:t>
            </w:r>
          </w:p>
          <w:p w14:paraId="1DD7238D" w14:textId="77777777" w:rsidR="00922D8A" w:rsidRPr="008661CD" w:rsidRDefault="00922D8A" w:rsidP="008661CD">
            <w:r w:rsidRPr="008661CD">
              <w:rPr>
                <w:i/>
              </w:rPr>
              <w:t>Staphylococcus aureus</w:t>
            </w:r>
            <w:r w:rsidRPr="008661CD">
              <w:t xml:space="preserve"> (meticilinui jautrūs)*</w:t>
            </w:r>
          </w:p>
          <w:p w14:paraId="617BA938" w14:textId="77777777" w:rsidR="00922D8A" w:rsidRPr="008661CD" w:rsidRDefault="00922D8A" w:rsidP="008661CD">
            <w:r w:rsidRPr="008661CD">
              <w:rPr>
                <w:i/>
              </w:rPr>
              <w:t xml:space="preserve">Koaguliazei neigiamas staphylococcus </w:t>
            </w:r>
            <w:r w:rsidRPr="008661CD">
              <w:t>(meticilinui jautrus)</w:t>
            </w:r>
          </w:p>
          <w:p w14:paraId="6017B0BE" w14:textId="77777777" w:rsidR="00922D8A" w:rsidRPr="008661CD" w:rsidRDefault="00922D8A" w:rsidP="008661CD">
            <w:pPr>
              <w:rPr>
                <w:u w:val="single"/>
              </w:rPr>
            </w:pPr>
            <w:r w:rsidRPr="008661CD">
              <w:rPr>
                <w:i/>
              </w:rPr>
              <w:t>Streptococcus pyogenes</w:t>
            </w:r>
          </w:p>
          <w:p w14:paraId="07E45C58" w14:textId="77777777" w:rsidR="00922D8A" w:rsidRPr="008661CD" w:rsidRDefault="00922D8A" w:rsidP="008661CD">
            <w:pPr>
              <w:rPr>
                <w:i/>
              </w:rPr>
            </w:pPr>
            <w:r w:rsidRPr="008661CD">
              <w:rPr>
                <w:i/>
              </w:rPr>
              <w:t>Streptococcus agalactiae</w:t>
            </w:r>
          </w:p>
        </w:tc>
      </w:tr>
      <w:tr w:rsidR="00922D8A" w:rsidRPr="00C510EF" w14:paraId="749D8663" w14:textId="77777777" w:rsidTr="00894113">
        <w:tc>
          <w:tcPr>
            <w:tcW w:w="8522" w:type="dxa"/>
          </w:tcPr>
          <w:p w14:paraId="36D1D838" w14:textId="77777777" w:rsidR="00922D8A" w:rsidRPr="008661CD" w:rsidRDefault="00922D8A" w:rsidP="008661CD">
            <w:pPr>
              <w:rPr>
                <w:u w:val="single"/>
              </w:rPr>
            </w:pPr>
            <w:r w:rsidRPr="008661CD">
              <w:rPr>
                <w:u w:val="single"/>
              </w:rPr>
              <w:t>Gramneigiami aerobai</w:t>
            </w:r>
          </w:p>
          <w:p w14:paraId="2B60B6DC" w14:textId="77777777" w:rsidR="00922D8A" w:rsidRPr="008661CD" w:rsidRDefault="00922D8A" w:rsidP="008661CD">
            <w:r w:rsidRPr="008661CD">
              <w:rPr>
                <w:i/>
              </w:rPr>
              <w:t>Haemophilus influenzae</w:t>
            </w:r>
          </w:p>
          <w:p w14:paraId="3853D995" w14:textId="77777777" w:rsidR="00922D8A" w:rsidRPr="008661CD" w:rsidRDefault="00922D8A" w:rsidP="008661CD">
            <w:pPr>
              <w:rPr>
                <w:i/>
                <w:u w:val="single"/>
              </w:rPr>
            </w:pPr>
            <w:r w:rsidRPr="008661CD">
              <w:rPr>
                <w:i/>
              </w:rPr>
              <w:t>Haemophilus parainfluenzae</w:t>
            </w:r>
          </w:p>
          <w:p w14:paraId="03CF03CC" w14:textId="77777777" w:rsidR="00922D8A" w:rsidRPr="008661CD" w:rsidRDefault="00922D8A" w:rsidP="008661CD">
            <w:pPr>
              <w:rPr>
                <w:u w:val="single"/>
              </w:rPr>
            </w:pPr>
            <w:r w:rsidRPr="008661CD">
              <w:rPr>
                <w:i/>
              </w:rPr>
              <w:t>Moraxella catarrhalis</w:t>
            </w:r>
          </w:p>
          <w:p w14:paraId="37D15458" w14:textId="77777777" w:rsidR="00922D8A" w:rsidRPr="008661CD" w:rsidRDefault="00922D8A" w:rsidP="008661CD"/>
        </w:tc>
      </w:tr>
      <w:tr w:rsidR="00922D8A" w:rsidRPr="00C510EF" w14:paraId="03279472" w14:textId="77777777" w:rsidTr="00894113">
        <w:tc>
          <w:tcPr>
            <w:tcW w:w="8522" w:type="dxa"/>
          </w:tcPr>
          <w:p w14:paraId="5A397CAC" w14:textId="77777777" w:rsidR="00922D8A" w:rsidRPr="008661CD" w:rsidRDefault="00922D8A" w:rsidP="008661CD">
            <w:pPr>
              <w:rPr>
                <w:u w:val="single"/>
              </w:rPr>
            </w:pPr>
            <w:r w:rsidRPr="008661CD">
              <w:rPr>
                <w:u w:val="single"/>
              </w:rPr>
              <w:t>Spirochetos</w:t>
            </w:r>
          </w:p>
          <w:p w14:paraId="6A70C44C" w14:textId="77777777" w:rsidR="00922D8A" w:rsidRPr="008661CD" w:rsidRDefault="00922D8A" w:rsidP="008661CD">
            <w:r w:rsidRPr="008661CD">
              <w:rPr>
                <w:i/>
              </w:rPr>
              <w:t>Borrelia burgdorferi</w:t>
            </w:r>
          </w:p>
        </w:tc>
      </w:tr>
      <w:tr w:rsidR="00922D8A" w:rsidRPr="00C510EF" w14:paraId="7CCEB21B" w14:textId="77777777" w:rsidTr="00894113">
        <w:tc>
          <w:tcPr>
            <w:tcW w:w="8522" w:type="dxa"/>
          </w:tcPr>
          <w:p w14:paraId="20767E0E" w14:textId="77777777" w:rsidR="00922D8A" w:rsidRPr="008661CD" w:rsidRDefault="00922D8A" w:rsidP="008661CD">
            <w:pPr>
              <w:rPr>
                <w:u w:val="single"/>
              </w:rPr>
            </w:pPr>
          </w:p>
        </w:tc>
      </w:tr>
      <w:tr w:rsidR="00922D8A" w:rsidRPr="00C510EF" w14:paraId="5CE88C5A" w14:textId="77777777" w:rsidTr="00894113">
        <w:trPr>
          <w:trHeight w:val="179"/>
        </w:trPr>
        <w:tc>
          <w:tcPr>
            <w:tcW w:w="8522" w:type="dxa"/>
          </w:tcPr>
          <w:p w14:paraId="2093B08B" w14:textId="77777777" w:rsidR="00922D8A" w:rsidRPr="008661CD" w:rsidRDefault="00922D8A" w:rsidP="008661CD">
            <w:pPr>
              <w:keepNext/>
              <w:tabs>
                <w:tab w:val="left" w:pos="567"/>
              </w:tabs>
              <w:rPr>
                <w:b/>
                <w:i/>
              </w:rPr>
            </w:pPr>
            <w:r w:rsidRPr="008661CD">
              <w:rPr>
                <w:b/>
              </w:rPr>
              <w:t>Mikroorganizmai, kurių įgytas atsparumas gali kelti problemų</w:t>
            </w:r>
          </w:p>
        </w:tc>
      </w:tr>
      <w:tr w:rsidR="00922D8A" w:rsidRPr="00C510EF" w14:paraId="53C2529D" w14:textId="77777777" w:rsidTr="00894113">
        <w:tc>
          <w:tcPr>
            <w:tcW w:w="8522" w:type="dxa"/>
          </w:tcPr>
          <w:p w14:paraId="605D39F3" w14:textId="77777777" w:rsidR="00922D8A" w:rsidRPr="008661CD" w:rsidRDefault="00922D8A" w:rsidP="008661CD">
            <w:pPr>
              <w:keepNext/>
              <w:tabs>
                <w:tab w:val="left" w:pos="567"/>
              </w:tabs>
              <w:rPr>
                <w:u w:val="single"/>
              </w:rPr>
            </w:pPr>
            <w:r w:rsidRPr="008661CD">
              <w:rPr>
                <w:u w:val="single"/>
              </w:rPr>
              <w:t>Gramteigiami aerobai</w:t>
            </w:r>
          </w:p>
          <w:p w14:paraId="738516A3" w14:textId="77777777" w:rsidR="00922D8A" w:rsidRPr="008661CD" w:rsidRDefault="00922D8A" w:rsidP="008661CD">
            <w:pPr>
              <w:rPr>
                <w:i/>
              </w:rPr>
            </w:pPr>
            <w:r w:rsidRPr="008661CD">
              <w:rPr>
                <w:i/>
              </w:rPr>
              <w:t>Streptococcus pneumoniae</w:t>
            </w:r>
          </w:p>
        </w:tc>
      </w:tr>
      <w:tr w:rsidR="00922D8A" w:rsidRPr="00C510EF" w14:paraId="587BECB1" w14:textId="77777777" w:rsidTr="00894113">
        <w:tc>
          <w:tcPr>
            <w:tcW w:w="8522" w:type="dxa"/>
          </w:tcPr>
          <w:p w14:paraId="60E84459" w14:textId="77777777" w:rsidR="00922D8A" w:rsidRPr="008661CD" w:rsidRDefault="00922D8A" w:rsidP="008661CD">
            <w:pPr>
              <w:rPr>
                <w:u w:val="single"/>
              </w:rPr>
            </w:pPr>
            <w:r w:rsidRPr="008661CD">
              <w:rPr>
                <w:u w:val="single"/>
              </w:rPr>
              <w:t>Gramneigiami aerobai</w:t>
            </w:r>
          </w:p>
          <w:p w14:paraId="4992F913" w14:textId="77777777" w:rsidR="00922D8A" w:rsidRPr="008661CD" w:rsidRDefault="00922D8A" w:rsidP="008661CD">
            <w:pPr>
              <w:rPr>
                <w:u w:val="single"/>
              </w:rPr>
            </w:pPr>
            <w:r w:rsidRPr="008661CD">
              <w:rPr>
                <w:i/>
              </w:rPr>
              <w:t>Citrobacter freundii</w:t>
            </w:r>
          </w:p>
          <w:p w14:paraId="266A3994" w14:textId="7530380C" w:rsidR="00922D8A" w:rsidRPr="008661CD" w:rsidRDefault="001B2871" w:rsidP="008661CD">
            <w:pPr>
              <w:rPr>
                <w:i/>
              </w:rPr>
            </w:pPr>
            <w:r>
              <w:rPr>
                <w:i/>
              </w:rPr>
              <w:t>Klebsiella</w:t>
            </w:r>
            <w:r w:rsidR="00922D8A" w:rsidRPr="008661CD">
              <w:rPr>
                <w:i/>
              </w:rPr>
              <w:t>aerogenes</w:t>
            </w:r>
          </w:p>
          <w:p w14:paraId="542F96EA" w14:textId="77777777" w:rsidR="00922D8A" w:rsidRPr="008661CD" w:rsidRDefault="00922D8A" w:rsidP="008661CD">
            <w:pPr>
              <w:rPr>
                <w:u w:val="single"/>
              </w:rPr>
            </w:pPr>
            <w:r w:rsidRPr="008661CD">
              <w:rPr>
                <w:i/>
              </w:rPr>
              <w:t>Enterobacter cloacae</w:t>
            </w:r>
          </w:p>
          <w:p w14:paraId="40BD7908" w14:textId="77777777" w:rsidR="00922D8A" w:rsidRPr="008661CD" w:rsidRDefault="00922D8A" w:rsidP="008661CD">
            <w:pPr>
              <w:rPr>
                <w:u w:val="single"/>
              </w:rPr>
            </w:pPr>
            <w:r w:rsidRPr="008661CD">
              <w:rPr>
                <w:i/>
              </w:rPr>
              <w:t>Escherichia coli</w:t>
            </w:r>
          </w:p>
          <w:p w14:paraId="3FD90292" w14:textId="77777777" w:rsidR="00922D8A" w:rsidRPr="008661CD" w:rsidRDefault="00922D8A" w:rsidP="008661CD">
            <w:pPr>
              <w:rPr>
                <w:u w:val="single"/>
              </w:rPr>
            </w:pPr>
            <w:r w:rsidRPr="008661CD">
              <w:rPr>
                <w:i/>
              </w:rPr>
              <w:t>Klebsiella pneumoniae</w:t>
            </w:r>
          </w:p>
          <w:p w14:paraId="03446CA4" w14:textId="77777777" w:rsidR="00922D8A" w:rsidRPr="008661CD" w:rsidRDefault="00922D8A" w:rsidP="008661CD">
            <w:pPr>
              <w:rPr>
                <w:i/>
              </w:rPr>
            </w:pPr>
            <w:r w:rsidRPr="008661CD">
              <w:rPr>
                <w:i/>
              </w:rPr>
              <w:t xml:space="preserve">Proteus mirabilis </w:t>
            </w:r>
          </w:p>
          <w:p w14:paraId="73087BA2" w14:textId="77777777" w:rsidR="00922D8A" w:rsidRPr="008661CD" w:rsidRDefault="00922D8A" w:rsidP="008661CD">
            <w:pPr>
              <w:rPr>
                <w:u w:val="single"/>
              </w:rPr>
            </w:pPr>
            <w:r w:rsidRPr="008661CD">
              <w:rPr>
                <w:i/>
              </w:rPr>
              <w:t xml:space="preserve">Proteus </w:t>
            </w:r>
            <w:r w:rsidRPr="008661CD">
              <w:t>rūšys</w:t>
            </w:r>
            <w:r w:rsidRPr="008661CD">
              <w:rPr>
                <w:i/>
              </w:rPr>
              <w:t xml:space="preserve"> </w:t>
            </w:r>
            <w:r w:rsidRPr="008661CD">
              <w:t xml:space="preserve">(kitokios nei </w:t>
            </w:r>
            <w:r w:rsidRPr="008661CD">
              <w:rPr>
                <w:i/>
              </w:rPr>
              <w:t>P. vulgaris</w:t>
            </w:r>
            <w:r w:rsidRPr="008661CD">
              <w:t>)</w:t>
            </w:r>
          </w:p>
          <w:p w14:paraId="277BEE91" w14:textId="77777777" w:rsidR="00922D8A" w:rsidRPr="008661CD" w:rsidRDefault="00922D8A" w:rsidP="008661CD">
            <w:pPr>
              <w:rPr>
                <w:u w:val="single"/>
              </w:rPr>
            </w:pPr>
            <w:r w:rsidRPr="008661CD">
              <w:rPr>
                <w:i/>
              </w:rPr>
              <w:t>Providencia</w:t>
            </w:r>
            <w:r w:rsidRPr="008661CD">
              <w:t xml:space="preserve"> rūšys</w:t>
            </w:r>
          </w:p>
        </w:tc>
      </w:tr>
      <w:tr w:rsidR="00922D8A" w:rsidRPr="00C510EF" w14:paraId="6A452B9A" w14:textId="77777777" w:rsidTr="00894113">
        <w:tc>
          <w:tcPr>
            <w:tcW w:w="8522" w:type="dxa"/>
          </w:tcPr>
          <w:p w14:paraId="25342F19" w14:textId="77777777" w:rsidR="00922D8A" w:rsidRPr="008661CD" w:rsidRDefault="00922D8A" w:rsidP="008661CD">
            <w:pPr>
              <w:rPr>
                <w:u w:val="single"/>
              </w:rPr>
            </w:pPr>
            <w:r w:rsidRPr="008661CD">
              <w:rPr>
                <w:u w:val="single"/>
              </w:rPr>
              <w:t>Gramteigiami anaerobai</w:t>
            </w:r>
          </w:p>
          <w:p w14:paraId="5DFFA207" w14:textId="77777777" w:rsidR="00922D8A" w:rsidRPr="008661CD" w:rsidRDefault="00922D8A" w:rsidP="008661CD">
            <w:pPr>
              <w:rPr>
                <w:i/>
              </w:rPr>
            </w:pPr>
            <w:r w:rsidRPr="008661CD">
              <w:rPr>
                <w:i/>
              </w:rPr>
              <w:t xml:space="preserve">Peptostreptococcus </w:t>
            </w:r>
            <w:r w:rsidRPr="008661CD">
              <w:t>rūšys</w:t>
            </w:r>
          </w:p>
          <w:p w14:paraId="32F7DF7A" w14:textId="77777777" w:rsidR="00922D8A" w:rsidRPr="008661CD" w:rsidRDefault="00922D8A" w:rsidP="008661CD">
            <w:pPr>
              <w:rPr>
                <w:u w:val="single"/>
              </w:rPr>
            </w:pPr>
            <w:r w:rsidRPr="008661CD">
              <w:rPr>
                <w:i/>
              </w:rPr>
              <w:t xml:space="preserve">Propionibacterium </w:t>
            </w:r>
            <w:r w:rsidRPr="008661CD">
              <w:t>rūšys</w:t>
            </w:r>
          </w:p>
        </w:tc>
      </w:tr>
      <w:tr w:rsidR="00922D8A" w:rsidRPr="00C510EF" w14:paraId="00665DC7" w14:textId="77777777" w:rsidTr="00894113">
        <w:tc>
          <w:tcPr>
            <w:tcW w:w="8522" w:type="dxa"/>
          </w:tcPr>
          <w:p w14:paraId="7AA69C71" w14:textId="77777777" w:rsidR="00922D8A" w:rsidRPr="008661CD" w:rsidRDefault="00922D8A" w:rsidP="008661CD">
            <w:pPr>
              <w:rPr>
                <w:u w:val="single"/>
              </w:rPr>
            </w:pPr>
            <w:r w:rsidRPr="008661CD">
              <w:rPr>
                <w:u w:val="single"/>
              </w:rPr>
              <w:t>Gramneigiami anaerobai</w:t>
            </w:r>
          </w:p>
          <w:p w14:paraId="64CC91A9" w14:textId="77777777" w:rsidR="00922D8A" w:rsidRPr="008661CD" w:rsidRDefault="00922D8A" w:rsidP="008661CD">
            <w:pPr>
              <w:rPr>
                <w:i/>
              </w:rPr>
            </w:pPr>
            <w:r w:rsidRPr="008661CD">
              <w:rPr>
                <w:i/>
              </w:rPr>
              <w:t xml:space="preserve">Fusobacterium </w:t>
            </w:r>
            <w:r w:rsidRPr="008661CD">
              <w:t>rūšys</w:t>
            </w:r>
          </w:p>
          <w:p w14:paraId="16FCEEEB" w14:textId="77777777" w:rsidR="00922D8A" w:rsidRPr="008661CD" w:rsidRDefault="00922D8A" w:rsidP="008661CD">
            <w:pPr>
              <w:rPr>
                <w:u w:val="single"/>
              </w:rPr>
            </w:pPr>
            <w:r w:rsidRPr="008661CD">
              <w:rPr>
                <w:i/>
              </w:rPr>
              <w:t xml:space="preserve">Bacteroides </w:t>
            </w:r>
            <w:r w:rsidRPr="008661CD">
              <w:t>rūšys</w:t>
            </w:r>
          </w:p>
        </w:tc>
      </w:tr>
      <w:tr w:rsidR="00922D8A" w:rsidRPr="00C510EF" w14:paraId="1156D6BD" w14:textId="77777777" w:rsidTr="00894113">
        <w:tc>
          <w:tcPr>
            <w:tcW w:w="8522" w:type="dxa"/>
          </w:tcPr>
          <w:p w14:paraId="72285BCE" w14:textId="77777777" w:rsidR="00922D8A" w:rsidRPr="008661CD" w:rsidRDefault="00922D8A" w:rsidP="00AA08CA">
            <w:pPr>
              <w:keepNext/>
              <w:tabs>
                <w:tab w:val="left" w:pos="567"/>
              </w:tabs>
              <w:rPr>
                <w:b/>
              </w:rPr>
            </w:pPr>
            <w:r w:rsidRPr="008661CD">
              <w:rPr>
                <w:b/>
              </w:rPr>
              <w:t>Iš prigimties atsparūs mikroorganizmai</w:t>
            </w:r>
          </w:p>
        </w:tc>
      </w:tr>
      <w:tr w:rsidR="00922D8A" w:rsidRPr="00C510EF" w14:paraId="64292E1C" w14:textId="77777777" w:rsidTr="00894113">
        <w:tc>
          <w:tcPr>
            <w:tcW w:w="8522" w:type="dxa"/>
          </w:tcPr>
          <w:p w14:paraId="4B78DDE9" w14:textId="77777777" w:rsidR="00922D8A" w:rsidRPr="008661CD" w:rsidRDefault="00922D8A" w:rsidP="008661CD">
            <w:pPr>
              <w:rPr>
                <w:u w:val="single"/>
              </w:rPr>
            </w:pPr>
            <w:r w:rsidRPr="008661CD">
              <w:rPr>
                <w:u w:val="single"/>
              </w:rPr>
              <w:t>Gramteigiami aerobai</w:t>
            </w:r>
          </w:p>
          <w:p w14:paraId="76E617E5" w14:textId="77777777" w:rsidR="00922D8A" w:rsidRPr="008661CD" w:rsidRDefault="00922D8A" w:rsidP="008661CD">
            <w:pPr>
              <w:rPr>
                <w:i/>
                <w:color w:val="000000"/>
              </w:rPr>
            </w:pPr>
            <w:r w:rsidRPr="008661CD">
              <w:rPr>
                <w:i/>
                <w:color w:val="000000"/>
              </w:rPr>
              <w:t>Enterococcus faecalis</w:t>
            </w:r>
          </w:p>
          <w:p w14:paraId="742FADBD" w14:textId="77777777" w:rsidR="00922D8A" w:rsidRPr="008661CD" w:rsidRDefault="00922D8A" w:rsidP="008661CD">
            <w:pPr>
              <w:rPr>
                <w:u w:val="single"/>
              </w:rPr>
            </w:pPr>
            <w:r w:rsidRPr="008661CD">
              <w:rPr>
                <w:i/>
                <w:color w:val="000000"/>
              </w:rPr>
              <w:t>Enterococcus faecium</w:t>
            </w:r>
          </w:p>
        </w:tc>
      </w:tr>
      <w:tr w:rsidR="00922D8A" w:rsidRPr="00C510EF" w14:paraId="51B96D46" w14:textId="77777777" w:rsidTr="00894113">
        <w:tc>
          <w:tcPr>
            <w:tcW w:w="8522" w:type="dxa"/>
          </w:tcPr>
          <w:p w14:paraId="1ADACB28" w14:textId="77777777" w:rsidR="00922D8A" w:rsidRPr="008661CD" w:rsidRDefault="00922D8A" w:rsidP="008661CD">
            <w:pPr>
              <w:rPr>
                <w:color w:val="000000"/>
                <w:u w:val="single"/>
              </w:rPr>
            </w:pPr>
            <w:r w:rsidRPr="008661CD">
              <w:rPr>
                <w:u w:val="single"/>
              </w:rPr>
              <w:lastRenderedPageBreak/>
              <w:t>Gramneigiami</w:t>
            </w:r>
            <w:r w:rsidRPr="008661CD">
              <w:rPr>
                <w:color w:val="000000"/>
                <w:u w:val="single"/>
              </w:rPr>
              <w:t xml:space="preserve"> aerobai</w:t>
            </w:r>
          </w:p>
          <w:p w14:paraId="56B06EFC" w14:textId="77777777" w:rsidR="00922D8A" w:rsidRPr="008661CD" w:rsidRDefault="00922D8A" w:rsidP="008661CD">
            <w:pPr>
              <w:rPr>
                <w:color w:val="000000"/>
              </w:rPr>
            </w:pPr>
            <w:r w:rsidRPr="008661CD">
              <w:rPr>
                <w:i/>
                <w:color w:val="000000"/>
              </w:rPr>
              <w:t xml:space="preserve">Acinetobacter </w:t>
            </w:r>
            <w:r w:rsidRPr="008661CD">
              <w:t>rūšys</w:t>
            </w:r>
          </w:p>
          <w:p w14:paraId="499E8EE4" w14:textId="77777777" w:rsidR="00922D8A" w:rsidRPr="008661CD" w:rsidRDefault="00922D8A" w:rsidP="008661CD">
            <w:pPr>
              <w:rPr>
                <w:i/>
                <w:color w:val="000000"/>
              </w:rPr>
            </w:pPr>
            <w:r w:rsidRPr="008661CD">
              <w:rPr>
                <w:i/>
              </w:rPr>
              <w:t xml:space="preserve">Campylobacter </w:t>
            </w:r>
            <w:r w:rsidRPr="008661CD">
              <w:t>rūšys</w:t>
            </w:r>
            <w:r w:rsidRPr="008661CD">
              <w:rPr>
                <w:i/>
                <w:color w:val="000000"/>
              </w:rPr>
              <w:t xml:space="preserve"> </w:t>
            </w:r>
          </w:p>
          <w:p w14:paraId="62DC9665" w14:textId="77777777" w:rsidR="00922D8A" w:rsidRPr="008661CD" w:rsidRDefault="00922D8A" w:rsidP="008661CD">
            <w:pPr>
              <w:rPr>
                <w:i/>
                <w:color w:val="000000"/>
              </w:rPr>
            </w:pPr>
            <w:r w:rsidRPr="008661CD">
              <w:rPr>
                <w:i/>
              </w:rPr>
              <w:t>Morganella morganii</w:t>
            </w:r>
            <w:r w:rsidRPr="008661CD">
              <w:rPr>
                <w:i/>
                <w:color w:val="000000"/>
              </w:rPr>
              <w:t xml:space="preserve"> </w:t>
            </w:r>
          </w:p>
          <w:p w14:paraId="43828B2A" w14:textId="77777777" w:rsidR="00922D8A" w:rsidRPr="008661CD" w:rsidRDefault="00922D8A" w:rsidP="008661CD">
            <w:pPr>
              <w:rPr>
                <w:i/>
                <w:color w:val="000000"/>
              </w:rPr>
            </w:pPr>
            <w:r w:rsidRPr="008661CD">
              <w:rPr>
                <w:i/>
                <w:color w:val="000000"/>
              </w:rPr>
              <w:t>Proteus vulgaris</w:t>
            </w:r>
          </w:p>
          <w:p w14:paraId="0221A85F" w14:textId="77777777" w:rsidR="00922D8A" w:rsidRPr="008661CD" w:rsidRDefault="00922D8A" w:rsidP="008661CD">
            <w:pPr>
              <w:rPr>
                <w:color w:val="000000"/>
              </w:rPr>
            </w:pPr>
            <w:r w:rsidRPr="008661CD">
              <w:rPr>
                <w:i/>
                <w:color w:val="000000"/>
              </w:rPr>
              <w:t>Pseudomonas aeruginosa</w:t>
            </w:r>
          </w:p>
          <w:p w14:paraId="6044FD61" w14:textId="77777777" w:rsidR="00922D8A" w:rsidRPr="008661CD" w:rsidRDefault="00922D8A" w:rsidP="008661CD">
            <w:pPr>
              <w:rPr>
                <w:color w:val="000000"/>
              </w:rPr>
            </w:pPr>
            <w:r w:rsidRPr="008661CD">
              <w:rPr>
                <w:i/>
                <w:color w:val="000000"/>
              </w:rPr>
              <w:t>Serratia marcescens</w:t>
            </w:r>
          </w:p>
        </w:tc>
      </w:tr>
      <w:tr w:rsidR="00922D8A" w:rsidRPr="00C510EF" w14:paraId="4A371E40" w14:textId="77777777" w:rsidTr="00894113">
        <w:tc>
          <w:tcPr>
            <w:tcW w:w="8522" w:type="dxa"/>
          </w:tcPr>
          <w:p w14:paraId="51A1EAA6" w14:textId="77777777" w:rsidR="00922D8A" w:rsidRPr="008661CD" w:rsidRDefault="00922D8A" w:rsidP="008661CD">
            <w:pPr>
              <w:keepNext/>
              <w:tabs>
                <w:tab w:val="left" w:pos="567"/>
              </w:tabs>
              <w:rPr>
                <w:color w:val="000000"/>
                <w:u w:val="single"/>
              </w:rPr>
            </w:pPr>
            <w:r w:rsidRPr="008661CD">
              <w:rPr>
                <w:color w:val="000000"/>
                <w:u w:val="single"/>
              </w:rPr>
              <w:t>Gramneigiami anaerobai</w:t>
            </w:r>
          </w:p>
          <w:p w14:paraId="4BB3C270" w14:textId="77777777" w:rsidR="00922D8A" w:rsidRPr="008661CD" w:rsidRDefault="00922D8A" w:rsidP="008661CD">
            <w:pPr>
              <w:rPr>
                <w:color w:val="000000"/>
                <w:u w:val="single"/>
              </w:rPr>
            </w:pPr>
            <w:r w:rsidRPr="008661CD">
              <w:rPr>
                <w:i/>
              </w:rPr>
              <w:t>Bacteroides fragilis</w:t>
            </w:r>
            <w:r w:rsidRPr="008661CD">
              <w:t xml:space="preserve"> </w:t>
            </w:r>
          </w:p>
        </w:tc>
      </w:tr>
      <w:tr w:rsidR="00922D8A" w:rsidRPr="00C510EF" w14:paraId="374684FC" w14:textId="77777777" w:rsidTr="00894113">
        <w:tc>
          <w:tcPr>
            <w:tcW w:w="8522" w:type="dxa"/>
          </w:tcPr>
          <w:p w14:paraId="3F9055BE" w14:textId="77777777" w:rsidR="00922D8A" w:rsidRPr="008661CD" w:rsidRDefault="00922D8A" w:rsidP="008661CD">
            <w:pPr>
              <w:rPr>
                <w:color w:val="000000"/>
                <w:u w:val="single"/>
              </w:rPr>
            </w:pPr>
            <w:r w:rsidRPr="008661CD">
              <w:rPr>
                <w:color w:val="000000"/>
                <w:u w:val="single"/>
              </w:rPr>
              <w:t>Kiti</w:t>
            </w:r>
          </w:p>
          <w:p w14:paraId="1F36215C" w14:textId="77777777" w:rsidR="00922D8A" w:rsidRPr="008661CD" w:rsidRDefault="00922D8A" w:rsidP="008661CD">
            <w:pPr>
              <w:rPr>
                <w:color w:val="000000"/>
              </w:rPr>
            </w:pPr>
            <w:r w:rsidRPr="008661CD">
              <w:rPr>
                <w:i/>
                <w:color w:val="000000"/>
              </w:rPr>
              <w:t xml:space="preserve">Chlamydia </w:t>
            </w:r>
            <w:r w:rsidRPr="008661CD">
              <w:t>rūšys</w:t>
            </w:r>
          </w:p>
          <w:p w14:paraId="7AAA76E6" w14:textId="77777777" w:rsidR="00922D8A" w:rsidRPr="008661CD" w:rsidRDefault="00922D8A" w:rsidP="008661CD">
            <w:pPr>
              <w:rPr>
                <w:color w:val="000000"/>
              </w:rPr>
            </w:pPr>
            <w:r w:rsidRPr="008661CD">
              <w:rPr>
                <w:i/>
                <w:color w:val="000000"/>
              </w:rPr>
              <w:t>Mycoplasma</w:t>
            </w:r>
            <w:r w:rsidRPr="008661CD">
              <w:rPr>
                <w:color w:val="000000"/>
              </w:rPr>
              <w:t xml:space="preserve"> </w:t>
            </w:r>
            <w:r w:rsidRPr="008661CD">
              <w:t>rūšys</w:t>
            </w:r>
          </w:p>
          <w:p w14:paraId="78A04365" w14:textId="77777777" w:rsidR="00922D8A" w:rsidRPr="008661CD" w:rsidRDefault="00922D8A" w:rsidP="008661CD">
            <w:pPr>
              <w:rPr>
                <w:color w:val="000000"/>
                <w:u w:val="single"/>
              </w:rPr>
            </w:pPr>
            <w:r w:rsidRPr="008661CD">
              <w:rPr>
                <w:i/>
              </w:rPr>
              <w:t>Legionella</w:t>
            </w:r>
            <w:r w:rsidRPr="008661CD">
              <w:t xml:space="preserve"> rūšys</w:t>
            </w:r>
          </w:p>
        </w:tc>
      </w:tr>
    </w:tbl>
    <w:p w14:paraId="276884CD" w14:textId="77777777" w:rsidR="00922D8A" w:rsidRPr="008661CD" w:rsidRDefault="00922D8A" w:rsidP="008661CD">
      <w:pPr>
        <w:ind w:left="567" w:hanging="567"/>
      </w:pPr>
      <w:r w:rsidRPr="008661CD">
        <w:t xml:space="preserve">* Visi meticilinui atsparūs </w:t>
      </w:r>
      <w:r w:rsidRPr="008661CD">
        <w:rPr>
          <w:i/>
        </w:rPr>
        <w:t xml:space="preserve">S. aureus </w:t>
      </w:r>
      <w:r w:rsidRPr="008661CD">
        <w:t>yra atsparūs cefuroksimui.</w:t>
      </w:r>
    </w:p>
    <w:p w14:paraId="6FBB6A5C" w14:textId="77777777" w:rsidR="00922D8A" w:rsidRPr="008661CD" w:rsidRDefault="00922D8A" w:rsidP="008661CD">
      <w:pPr>
        <w:ind w:left="567" w:hanging="567"/>
      </w:pPr>
    </w:p>
    <w:p w14:paraId="03EC4CFA" w14:textId="77777777" w:rsidR="00922D8A" w:rsidRPr="008661CD" w:rsidRDefault="00922D8A" w:rsidP="008661CD">
      <w:pPr>
        <w:keepNext/>
        <w:ind w:left="567" w:hanging="567"/>
        <w:rPr>
          <w:b/>
        </w:rPr>
      </w:pPr>
      <w:r w:rsidRPr="008661CD">
        <w:rPr>
          <w:b/>
        </w:rPr>
        <w:t>5.2</w:t>
      </w:r>
      <w:r w:rsidRPr="008661CD">
        <w:rPr>
          <w:b/>
        </w:rPr>
        <w:tab/>
        <w:t>Farmakokinetinės savybės</w:t>
      </w:r>
    </w:p>
    <w:p w14:paraId="1B51C88C" w14:textId="77777777" w:rsidR="00922D8A" w:rsidRPr="009C0DB0" w:rsidRDefault="00922D8A" w:rsidP="008661CD">
      <w:pPr>
        <w:keepNext/>
        <w:ind w:left="567" w:hanging="567"/>
      </w:pPr>
    </w:p>
    <w:p w14:paraId="2B875F67" w14:textId="77777777" w:rsidR="00922D8A" w:rsidRPr="000F3553" w:rsidRDefault="00922D8A" w:rsidP="008661CD">
      <w:pPr>
        <w:keepNext/>
        <w:autoSpaceDE w:val="0"/>
        <w:autoSpaceDN w:val="0"/>
        <w:adjustRightInd w:val="0"/>
        <w:rPr>
          <w:rFonts w:eastAsia="Calibri"/>
          <w:u w:val="single"/>
        </w:rPr>
      </w:pPr>
      <w:r w:rsidRPr="000F3553">
        <w:rPr>
          <w:rFonts w:eastAsia="Calibri"/>
          <w:u w:val="single"/>
        </w:rPr>
        <w:t>Absorbcija</w:t>
      </w:r>
    </w:p>
    <w:p w14:paraId="0363C345" w14:textId="77777777" w:rsidR="00922D8A" w:rsidRPr="000F3553" w:rsidRDefault="00922D8A" w:rsidP="008661CD">
      <w:pPr>
        <w:autoSpaceDE w:val="0"/>
        <w:autoSpaceDN w:val="0"/>
        <w:adjustRightInd w:val="0"/>
        <w:rPr>
          <w:rFonts w:eastAsia="Calibri"/>
          <w:u w:val="single"/>
        </w:rPr>
      </w:pPr>
    </w:p>
    <w:p w14:paraId="2546E12B" w14:textId="77777777" w:rsidR="00922D8A" w:rsidRPr="000F3553" w:rsidRDefault="00922D8A" w:rsidP="008661CD">
      <w:pPr>
        <w:rPr>
          <w:rFonts w:eastAsia="Calibri"/>
        </w:rPr>
      </w:pPr>
      <w:r w:rsidRPr="000F3553">
        <w:rPr>
          <w:rFonts w:eastAsia="Calibri"/>
        </w:rPr>
        <w:t>Per burną pavartotas cefuroksimo aksetilas absorbuojamas iš virškinimo trakto, žarnų gleivinėje ir kraujyje greitai hidrolizuojamas ir kraujyje cirkuliuoja cefuroksimo pavidalu. Geriausia absorbcija būna pavartojus tuoj pat po valgio.</w:t>
      </w:r>
    </w:p>
    <w:p w14:paraId="2B3903D1" w14:textId="77777777" w:rsidR="00922D8A" w:rsidRPr="000F3553" w:rsidRDefault="00922D8A" w:rsidP="008661CD">
      <w:pPr>
        <w:rPr>
          <w:rFonts w:eastAsia="Calibri"/>
        </w:rPr>
      </w:pPr>
    </w:p>
    <w:p w14:paraId="4554308F" w14:textId="77777777" w:rsidR="00922D8A" w:rsidRPr="000F3553" w:rsidRDefault="00922D8A" w:rsidP="008661CD">
      <w:pPr>
        <w:autoSpaceDE w:val="0"/>
        <w:autoSpaceDN w:val="0"/>
        <w:adjustRightInd w:val="0"/>
        <w:rPr>
          <w:rFonts w:eastAsia="Calibri"/>
        </w:rPr>
      </w:pPr>
      <w:r w:rsidRPr="000F3553">
        <w:rPr>
          <w:rFonts w:eastAsia="Calibri"/>
        </w:rPr>
        <w:t>Vartojant cefuroksimo aksetilo tabletes, didžiausios koncentracijos serume (2,1 mikrogramų/ml suvartojus 125 mg dozę, 4,1 mikrogramų/ml – 250 mg dozę, 7,0 mikrogramai/ml – 500 mg dozę ir 13,6 mikrogramų/ml – 1 000 mg dozę) atsiranda praėjus maždaug 2 - 3 valandoms po dozės išgėrimo su maistu. Cefuroksimo absorbcijos greitis vartojant suspensiją yra mažesnis, palyginti su tablečių, todėl didžiausios koncentracijos serume atsiranda vėliau ir būna mažesnės bei sumažėja sisteminis biologinis prieinamumas (4</w:t>
      </w:r>
      <w:r w:rsidRPr="000F3553">
        <w:rPr>
          <w:rFonts w:eastAsia="Calibri"/>
        </w:rPr>
        <w:noBreakHyphen/>
        <w:t>17 % mažesnis). Tyrimų su suaugusiaisiais duomenimis, cefuroksimo aksetilo</w:t>
      </w:r>
      <w:r w:rsidRPr="008661CD">
        <w:t xml:space="preserve"> geriamoji suspensija nebuvo bioekvivalentiška </w:t>
      </w:r>
      <w:r w:rsidRPr="000F3553">
        <w:rPr>
          <w:rFonts w:eastAsia="Calibri"/>
        </w:rPr>
        <w:t>cefuroksimo aksetilo tabletėms, todėl</w:t>
      </w:r>
      <w:r w:rsidRPr="008661CD">
        <w:t xml:space="preserve"> </w:t>
      </w:r>
      <w:r w:rsidRPr="000F3553">
        <w:rPr>
          <w:rFonts w:eastAsia="Calibri"/>
        </w:rPr>
        <w:t>jų negalima pakeisti vienų kitomis miligramas į miligramą</w:t>
      </w:r>
      <w:r w:rsidRPr="008661CD">
        <w:t xml:space="preserve"> (žr. 4.2 skyrių). Cefuroksimo f</w:t>
      </w:r>
      <w:r w:rsidRPr="000F3553">
        <w:rPr>
          <w:rFonts w:eastAsia="Calibri"/>
        </w:rPr>
        <w:t>armakokinetika yra tiesinė vartojant per burną plačiose dozių ribose (nuo 125 iki 1 000 mg). Vartojant kartotines nuo 250 iki 500 mg vaistinio preparato dozes, cefuroksimo kaupimosi organizme nebuvo.</w:t>
      </w:r>
    </w:p>
    <w:p w14:paraId="49D7AA4D" w14:textId="77777777" w:rsidR="00922D8A" w:rsidRPr="000F3553" w:rsidRDefault="00922D8A" w:rsidP="008661CD">
      <w:pPr>
        <w:autoSpaceDE w:val="0"/>
        <w:autoSpaceDN w:val="0"/>
        <w:adjustRightInd w:val="0"/>
        <w:rPr>
          <w:rFonts w:eastAsia="Calibri"/>
        </w:rPr>
      </w:pPr>
    </w:p>
    <w:p w14:paraId="71AD2955" w14:textId="77777777" w:rsidR="00922D8A" w:rsidRPr="000F3553" w:rsidRDefault="00922D8A" w:rsidP="008661CD">
      <w:pPr>
        <w:keepNext/>
        <w:rPr>
          <w:rFonts w:eastAsia="Calibri"/>
          <w:u w:val="single"/>
        </w:rPr>
      </w:pPr>
      <w:r w:rsidRPr="000F3553">
        <w:rPr>
          <w:rFonts w:eastAsia="Calibri"/>
          <w:u w:val="single"/>
        </w:rPr>
        <w:t>Pasiskirstymas</w:t>
      </w:r>
    </w:p>
    <w:p w14:paraId="1B178829" w14:textId="77777777" w:rsidR="00922D8A" w:rsidRPr="000F3553" w:rsidRDefault="00922D8A" w:rsidP="008661CD">
      <w:pPr>
        <w:autoSpaceDE w:val="0"/>
        <w:autoSpaceDN w:val="0"/>
        <w:adjustRightInd w:val="0"/>
        <w:rPr>
          <w:rFonts w:eastAsia="Calibri"/>
          <w:u w:val="single"/>
        </w:rPr>
      </w:pPr>
    </w:p>
    <w:p w14:paraId="70CF3E1F" w14:textId="77777777" w:rsidR="00922D8A" w:rsidRPr="008661CD" w:rsidRDefault="00922D8A" w:rsidP="008661CD">
      <w:pPr>
        <w:autoSpaceDE w:val="0"/>
        <w:autoSpaceDN w:val="0"/>
        <w:adjustRightInd w:val="0"/>
      </w:pPr>
      <w:r w:rsidRPr="000F3553">
        <w:rPr>
          <w:rFonts w:eastAsia="Calibri"/>
        </w:rPr>
        <w:t>Priklausomai nuo naudoto metodo, buvo nustatyta, kad nuo 33 iki 50 % medžiagos prisijungia prie baltymų.</w:t>
      </w:r>
      <w:r w:rsidRPr="008661CD">
        <w:t xml:space="preserve"> 12 sveikų savanorių pavartojus vienkartinę 500 mg cefuroksimo aksetilo tablečių dozę, tariamas pasiskirstymo tūris buvo 50 l (CV%=28 %). Koncentracijos, didesnės už minimalią slopinamąją koncentraciją dažniausiems patologiniams mikroorganizmams, gali būti pasiektos migdoluose, prienosinių ančių audiniuose, bronchų gleivinėje, kauluose, pleuros skystyje, sąnarių skystyje, sinovijos skystyje, intersticiniame skystyje, tulžyje, skrepliuose ir akies skystyje. Smegenų dangalų uždegimo atveju cefuroksimas prasiskverbia per kraujo smegenų barjerą.</w:t>
      </w:r>
    </w:p>
    <w:p w14:paraId="598F1210" w14:textId="77777777" w:rsidR="00922D8A" w:rsidRPr="000F3553" w:rsidRDefault="00922D8A" w:rsidP="008661CD">
      <w:pPr>
        <w:autoSpaceDE w:val="0"/>
        <w:autoSpaceDN w:val="0"/>
        <w:adjustRightInd w:val="0"/>
        <w:rPr>
          <w:rFonts w:eastAsia="Calibri"/>
        </w:rPr>
      </w:pPr>
    </w:p>
    <w:p w14:paraId="60B4D1BE" w14:textId="77777777" w:rsidR="00922D8A" w:rsidRPr="000F3553" w:rsidRDefault="00922D8A" w:rsidP="008661CD">
      <w:pPr>
        <w:autoSpaceDE w:val="0"/>
        <w:autoSpaceDN w:val="0"/>
        <w:adjustRightInd w:val="0"/>
        <w:rPr>
          <w:rFonts w:eastAsia="Calibri"/>
          <w:u w:val="single"/>
        </w:rPr>
      </w:pPr>
      <w:r w:rsidRPr="000F3553">
        <w:rPr>
          <w:rFonts w:eastAsia="Calibri"/>
          <w:u w:val="single"/>
        </w:rPr>
        <w:t>Biotransformacija</w:t>
      </w:r>
    </w:p>
    <w:p w14:paraId="13DF4F60" w14:textId="77777777" w:rsidR="00922D8A" w:rsidRPr="000F3553" w:rsidRDefault="00922D8A" w:rsidP="008661CD">
      <w:pPr>
        <w:autoSpaceDE w:val="0"/>
        <w:autoSpaceDN w:val="0"/>
        <w:adjustRightInd w:val="0"/>
        <w:rPr>
          <w:rFonts w:eastAsia="Calibri"/>
          <w:u w:val="single"/>
        </w:rPr>
      </w:pPr>
    </w:p>
    <w:p w14:paraId="78F4D82F" w14:textId="77777777" w:rsidR="00922D8A" w:rsidRPr="000F3553" w:rsidRDefault="00922D8A" w:rsidP="008661CD">
      <w:pPr>
        <w:autoSpaceDE w:val="0"/>
        <w:autoSpaceDN w:val="0"/>
        <w:adjustRightInd w:val="0"/>
        <w:rPr>
          <w:rFonts w:eastAsia="Calibri"/>
        </w:rPr>
      </w:pPr>
      <w:r w:rsidRPr="000F3553">
        <w:rPr>
          <w:rFonts w:eastAsia="Calibri"/>
        </w:rPr>
        <w:t>Cefuroksimas nemetabolizuojamas.</w:t>
      </w:r>
    </w:p>
    <w:p w14:paraId="641679C2" w14:textId="77777777" w:rsidR="00922D8A" w:rsidRPr="000F3553" w:rsidRDefault="00922D8A" w:rsidP="008661CD">
      <w:pPr>
        <w:autoSpaceDE w:val="0"/>
        <w:autoSpaceDN w:val="0"/>
        <w:adjustRightInd w:val="0"/>
        <w:rPr>
          <w:rFonts w:eastAsia="Calibri"/>
        </w:rPr>
      </w:pPr>
    </w:p>
    <w:p w14:paraId="4D49FCE4" w14:textId="77777777" w:rsidR="00922D8A" w:rsidRPr="000F3553" w:rsidRDefault="00922D8A" w:rsidP="008661CD">
      <w:pPr>
        <w:autoSpaceDE w:val="0"/>
        <w:autoSpaceDN w:val="0"/>
        <w:adjustRightInd w:val="0"/>
        <w:rPr>
          <w:rFonts w:eastAsia="Calibri"/>
          <w:u w:val="single"/>
        </w:rPr>
      </w:pPr>
      <w:r w:rsidRPr="000F3553">
        <w:rPr>
          <w:rFonts w:eastAsia="Calibri"/>
          <w:u w:val="single"/>
        </w:rPr>
        <w:t>Eliminacija</w:t>
      </w:r>
    </w:p>
    <w:p w14:paraId="2A778282" w14:textId="77777777" w:rsidR="00922D8A" w:rsidRPr="000F3553" w:rsidRDefault="00922D8A" w:rsidP="008661CD">
      <w:pPr>
        <w:autoSpaceDE w:val="0"/>
        <w:autoSpaceDN w:val="0"/>
        <w:adjustRightInd w:val="0"/>
        <w:rPr>
          <w:rFonts w:eastAsia="Calibri"/>
          <w:u w:val="single"/>
        </w:rPr>
      </w:pPr>
    </w:p>
    <w:p w14:paraId="45D67A3C" w14:textId="77777777" w:rsidR="00922D8A" w:rsidRPr="000F3553" w:rsidRDefault="00922D8A" w:rsidP="008661CD">
      <w:pPr>
        <w:autoSpaceDE w:val="0"/>
        <w:autoSpaceDN w:val="0"/>
        <w:adjustRightInd w:val="0"/>
        <w:rPr>
          <w:rFonts w:eastAsia="Calibri"/>
        </w:rPr>
      </w:pPr>
      <w:r w:rsidRPr="000F3553">
        <w:rPr>
          <w:rFonts w:eastAsia="Calibri"/>
        </w:rPr>
        <w:t>Pusinės eliminacijos iš serumo laikas yra nuo 1 iki 1,5 valandos. Cefuroksimas šalinamas glomerulų filtracijos ir sekrecijos inkstų kanalėliuose būdais. Klirensas per inkstus yra nuo 125 iki 148 ml/min./</w:t>
      </w:r>
      <w:smartTag w:uri="schemas-tilde-lv/tildestengine" w:element="metric2">
        <w:smartTagPr>
          <w:attr w:name="metric_value" w:val="1.73"/>
          <w:attr w:name="metric_text" w:val="m"/>
        </w:smartTagPr>
        <w:r w:rsidRPr="000F3553">
          <w:rPr>
            <w:rFonts w:eastAsia="Calibri"/>
          </w:rPr>
          <w:t>1,73 m</w:t>
        </w:r>
      </w:smartTag>
      <w:r w:rsidRPr="000F3553">
        <w:rPr>
          <w:rFonts w:eastAsia="Calibri"/>
          <w:vertAlign w:val="superscript"/>
        </w:rPr>
        <w:t>2</w:t>
      </w:r>
      <w:r w:rsidRPr="000F3553">
        <w:rPr>
          <w:rFonts w:eastAsia="Calibri"/>
        </w:rPr>
        <w:t>.</w:t>
      </w:r>
    </w:p>
    <w:p w14:paraId="501C34CD" w14:textId="77777777" w:rsidR="00922D8A" w:rsidRPr="000F3553" w:rsidRDefault="00922D8A" w:rsidP="008661CD">
      <w:pPr>
        <w:rPr>
          <w:rFonts w:eastAsia="Calibri"/>
        </w:rPr>
      </w:pPr>
    </w:p>
    <w:p w14:paraId="6522709D" w14:textId="77777777" w:rsidR="00922D8A" w:rsidRPr="000F3553" w:rsidRDefault="00922D8A" w:rsidP="008661CD">
      <w:pPr>
        <w:keepNext/>
        <w:rPr>
          <w:rFonts w:eastAsia="Calibri"/>
          <w:b/>
          <w:i/>
          <w:u w:val="single"/>
        </w:rPr>
      </w:pPr>
      <w:r w:rsidRPr="000F3553">
        <w:rPr>
          <w:rFonts w:eastAsia="Calibri"/>
          <w:b/>
          <w:i/>
          <w:u w:val="single"/>
        </w:rPr>
        <w:lastRenderedPageBreak/>
        <w:t>Specialios pacientų grupės</w:t>
      </w:r>
    </w:p>
    <w:p w14:paraId="7547368F" w14:textId="77777777" w:rsidR="00922D8A" w:rsidRPr="000F3553" w:rsidRDefault="00922D8A" w:rsidP="008661CD">
      <w:pPr>
        <w:keepNext/>
        <w:rPr>
          <w:rFonts w:eastAsia="Calibri"/>
          <w:u w:val="single"/>
        </w:rPr>
      </w:pPr>
    </w:p>
    <w:p w14:paraId="480511FF" w14:textId="77777777" w:rsidR="00922D8A" w:rsidRPr="008661CD" w:rsidRDefault="00922D8A" w:rsidP="008661CD">
      <w:pPr>
        <w:keepNext/>
        <w:rPr>
          <w:u w:val="single"/>
        </w:rPr>
      </w:pPr>
      <w:r w:rsidRPr="008661CD">
        <w:rPr>
          <w:u w:val="single"/>
        </w:rPr>
        <w:t>Lytis</w:t>
      </w:r>
    </w:p>
    <w:p w14:paraId="05903BD5" w14:textId="77777777" w:rsidR="00922D8A" w:rsidRPr="008661CD" w:rsidRDefault="00922D8A" w:rsidP="008661CD">
      <w:pPr>
        <w:keepNext/>
        <w:rPr>
          <w:u w:val="single"/>
        </w:rPr>
      </w:pPr>
    </w:p>
    <w:p w14:paraId="095405D7" w14:textId="77777777" w:rsidR="00922D8A" w:rsidRPr="008661CD" w:rsidRDefault="00922D8A" w:rsidP="008661CD">
      <w:pPr>
        <w:keepNext/>
        <w:rPr>
          <w:u w:val="single"/>
        </w:rPr>
      </w:pPr>
      <w:r w:rsidRPr="000F3553">
        <w:rPr>
          <w:rFonts w:eastAsia="Calibri"/>
        </w:rPr>
        <w:t>Cefuroksimo farmakokinetikos vyrų ar moterų organizme skirtumų nepastebėta</w:t>
      </w:r>
      <w:r w:rsidRPr="008661CD">
        <w:t>.</w:t>
      </w:r>
    </w:p>
    <w:p w14:paraId="7770CA11" w14:textId="77777777" w:rsidR="00922D8A" w:rsidRPr="008661CD" w:rsidRDefault="00922D8A" w:rsidP="008661CD">
      <w:pPr>
        <w:rPr>
          <w:u w:val="single"/>
        </w:rPr>
      </w:pPr>
    </w:p>
    <w:p w14:paraId="3D04DA86" w14:textId="77777777" w:rsidR="00922D8A" w:rsidRPr="008661CD" w:rsidRDefault="00922D8A" w:rsidP="008661CD">
      <w:pPr>
        <w:keepNext/>
        <w:rPr>
          <w:u w:val="single"/>
        </w:rPr>
      </w:pPr>
      <w:r w:rsidRPr="008661CD">
        <w:rPr>
          <w:u w:val="single"/>
        </w:rPr>
        <w:t>Senyvi žmonės</w:t>
      </w:r>
    </w:p>
    <w:p w14:paraId="7E401354" w14:textId="77777777" w:rsidR="00922D8A" w:rsidRPr="008661CD" w:rsidRDefault="00922D8A" w:rsidP="008661CD">
      <w:pPr>
        <w:keepNext/>
        <w:rPr>
          <w:u w:val="single"/>
        </w:rPr>
      </w:pPr>
    </w:p>
    <w:p w14:paraId="7B3276BF" w14:textId="77777777" w:rsidR="00922D8A" w:rsidRPr="008661CD" w:rsidRDefault="00922D8A" w:rsidP="008661CD">
      <w:r w:rsidRPr="008661CD">
        <w:t>Senyviems pacientams, kurių inkstų funkcija yra normali, vartojantiems normalias ne didesnes už didžiausią 1 g paros dozes, specialių atsargumo priemonių nereikia. Senyviems pacientams yra didesnė inkstų funkcijos susilpnėjimo rizika, todėl dozę reikia keisti atsižvelgiant į senyvų žmonių inkstų funkciją (žr. 4.2 skyrių).</w:t>
      </w:r>
    </w:p>
    <w:p w14:paraId="5A0279B1" w14:textId="77777777" w:rsidR="00922D8A" w:rsidRPr="008661CD" w:rsidRDefault="00922D8A" w:rsidP="008661CD">
      <w:pPr>
        <w:rPr>
          <w:u w:val="single"/>
        </w:rPr>
      </w:pPr>
    </w:p>
    <w:p w14:paraId="2C036254" w14:textId="77777777" w:rsidR="00922D8A" w:rsidRPr="008661CD" w:rsidRDefault="00922D8A" w:rsidP="008661CD">
      <w:pPr>
        <w:keepNext/>
        <w:rPr>
          <w:u w:val="single"/>
        </w:rPr>
      </w:pPr>
      <w:r w:rsidRPr="008661CD">
        <w:rPr>
          <w:u w:val="single"/>
        </w:rPr>
        <w:t>Vaikų populiacija</w:t>
      </w:r>
    </w:p>
    <w:p w14:paraId="18E000FE" w14:textId="77777777" w:rsidR="00922D8A" w:rsidRPr="008661CD" w:rsidRDefault="00922D8A" w:rsidP="008661CD">
      <w:pPr>
        <w:keepNext/>
        <w:rPr>
          <w:u w:val="single"/>
        </w:rPr>
      </w:pPr>
    </w:p>
    <w:p w14:paraId="6492C6E5" w14:textId="77777777" w:rsidR="00922D8A" w:rsidRPr="008661CD" w:rsidRDefault="00922D8A" w:rsidP="008661CD">
      <w:pPr>
        <w:keepNext/>
      </w:pPr>
      <w:r w:rsidRPr="008661CD">
        <w:t>Cefuroksimo farmakokinetika vyresnių kūdikių (&gt; 3 mėnesių) ir vaikų organizme yra panaši į suaugusiųjų.</w:t>
      </w:r>
    </w:p>
    <w:p w14:paraId="6DE528FD" w14:textId="77777777" w:rsidR="00922D8A" w:rsidRPr="008661CD" w:rsidRDefault="00922D8A" w:rsidP="008661CD"/>
    <w:p w14:paraId="0B625E09" w14:textId="77777777" w:rsidR="00922D8A" w:rsidRPr="008661CD" w:rsidRDefault="00922D8A" w:rsidP="008661CD">
      <w:r w:rsidRPr="008661CD">
        <w:t>Klinikinių tyrimų duomenų apie cefuroksimo aksetilo vartojimą jaunesniems kaip 3 mėnesių kūdikiams nėra.</w:t>
      </w:r>
    </w:p>
    <w:p w14:paraId="57BE36F1" w14:textId="77777777" w:rsidR="00922D8A" w:rsidRPr="008661CD" w:rsidRDefault="00922D8A" w:rsidP="008661CD">
      <w:pPr>
        <w:rPr>
          <w:u w:val="single"/>
        </w:rPr>
      </w:pPr>
    </w:p>
    <w:p w14:paraId="374E93D1" w14:textId="77777777" w:rsidR="00922D8A" w:rsidRPr="008661CD" w:rsidRDefault="00922D8A" w:rsidP="008661CD">
      <w:r w:rsidRPr="008661CD">
        <w:rPr>
          <w:u w:val="single"/>
        </w:rPr>
        <w:t>Inkstų funkcijos sutrikimas</w:t>
      </w:r>
    </w:p>
    <w:p w14:paraId="5C8991B7" w14:textId="77777777" w:rsidR="00922D8A" w:rsidRPr="008661CD" w:rsidRDefault="00922D8A" w:rsidP="008661CD"/>
    <w:p w14:paraId="24A7FCB0" w14:textId="77777777" w:rsidR="00922D8A" w:rsidRPr="008661CD" w:rsidRDefault="00922D8A" w:rsidP="008661CD">
      <w:r w:rsidRPr="008661CD">
        <w:t>Cefuroksimo aksetilo saugumas ir veiksmingumas pacientams, kuriems yra inkstų funkcijos nepakankamumas, nebuvo nustatytas.</w:t>
      </w:r>
    </w:p>
    <w:p w14:paraId="5B95B24B" w14:textId="77777777" w:rsidR="00922D8A" w:rsidRPr="008661CD" w:rsidRDefault="00922D8A" w:rsidP="008661CD"/>
    <w:p w14:paraId="18E5D698" w14:textId="77777777" w:rsidR="00922D8A" w:rsidRPr="008661CD" w:rsidRDefault="00922D8A" w:rsidP="008661CD">
      <w:r w:rsidRPr="008661CD">
        <w:t>Didžiausia dalis cefuroksimo šalinama per inkstus. Todėl kaip ir vartojant visus tokius antibiotikus, pacientams, kurių inkstų funkcija yra žymiai sutrikusi (t. y., Kl</w:t>
      </w:r>
      <w:r w:rsidRPr="008661CD">
        <w:rPr>
          <w:vertAlign w:val="subscript"/>
        </w:rPr>
        <w:t>kr</w:t>
      </w:r>
      <w:r w:rsidRPr="008661CD">
        <w:t> &lt; 30 ml per minutę), rekomenduojama sumažinti cefuroksimo dozę, kad būtų kompensuojama lėtesnė ekskrecija (žr. 4.2 skyrių). Cefuroksimas veiksmingai šalinamas iš organizme atliekant dializę.</w:t>
      </w:r>
    </w:p>
    <w:p w14:paraId="4466358C" w14:textId="77777777" w:rsidR="00922D8A" w:rsidRPr="009C0DB0" w:rsidRDefault="00922D8A" w:rsidP="008661CD">
      <w:pPr>
        <w:rPr>
          <w:highlight w:val="yellow"/>
        </w:rPr>
      </w:pPr>
    </w:p>
    <w:p w14:paraId="20211BC5" w14:textId="77777777" w:rsidR="00922D8A" w:rsidRPr="008661CD" w:rsidRDefault="00922D8A" w:rsidP="008661CD">
      <w:pPr>
        <w:keepNext/>
        <w:tabs>
          <w:tab w:val="left" w:pos="567"/>
        </w:tabs>
        <w:rPr>
          <w:u w:val="single"/>
        </w:rPr>
      </w:pPr>
      <w:r w:rsidRPr="008661CD">
        <w:rPr>
          <w:u w:val="single"/>
        </w:rPr>
        <w:t>Kepenų funkcijos sutrikimas</w:t>
      </w:r>
    </w:p>
    <w:p w14:paraId="31331B3A" w14:textId="77777777" w:rsidR="00922D8A" w:rsidRPr="008661CD" w:rsidRDefault="00922D8A" w:rsidP="008661CD">
      <w:pPr>
        <w:keepNext/>
        <w:tabs>
          <w:tab w:val="left" w:pos="567"/>
        </w:tabs>
        <w:rPr>
          <w:u w:val="single"/>
        </w:rPr>
      </w:pPr>
    </w:p>
    <w:p w14:paraId="10A83E90" w14:textId="77777777" w:rsidR="00922D8A" w:rsidRPr="008661CD" w:rsidRDefault="00922D8A" w:rsidP="008661CD">
      <w:r w:rsidRPr="008661CD">
        <w:t>Duomenų apie pacientus, kuriems yra kepenų funkcijos sutrikimas, nėra. Kadangi didžiausia dalis cefuroksimo šalinama per inkstus, manoma, kad kepenų funkcijos sutrikimas neveiks cefuroksimo farmakokinetikos.</w:t>
      </w:r>
    </w:p>
    <w:p w14:paraId="2174E086" w14:textId="77777777" w:rsidR="00922D8A" w:rsidRPr="008661CD" w:rsidRDefault="00922D8A" w:rsidP="008661CD">
      <w:pPr>
        <w:rPr>
          <w:u w:val="single"/>
        </w:rPr>
      </w:pPr>
    </w:p>
    <w:p w14:paraId="1BD62FBA" w14:textId="6546E3BF" w:rsidR="00922D8A" w:rsidRPr="008661CD" w:rsidRDefault="00922D8A" w:rsidP="008661CD">
      <w:pPr>
        <w:keepNext/>
        <w:tabs>
          <w:tab w:val="left" w:pos="567"/>
        </w:tabs>
        <w:rPr>
          <w:u w:val="single"/>
        </w:rPr>
      </w:pPr>
      <w:r w:rsidRPr="008661CD">
        <w:rPr>
          <w:u w:val="single"/>
        </w:rPr>
        <w:t>Santykis tarp farmakokinetikos ir farmakodinamikos</w:t>
      </w:r>
    </w:p>
    <w:p w14:paraId="02F1AB25" w14:textId="77777777" w:rsidR="00922D8A" w:rsidRPr="008661CD" w:rsidRDefault="00922D8A" w:rsidP="008661CD">
      <w:pPr>
        <w:rPr>
          <w:u w:val="single"/>
        </w:rPr>
      </w:pPr>
    </w:p>
    <w:p w14:paraId="0C3F633E" w14:textId="77777777" w:rsidR="00922D8A" w:rsidRPr="008661CD" w:rsidRDefault="00922D8A" w:rsidP="008661CD">
      <w:r w:rsidRPr="008661CD">
        <w:t xml:space="preserve">Nustatyta, kad svarbiausias cefalosporinų farmakokinetikos ir farmakodinamikos rodiklis, kuris koreliuoja su veiksmingumu </w:t>
      </w:r>
      <w:r w:rsidRPr="008661CD">
        <w:rPr>
          <w:i/>
        </w:rPr>
        <w:t>in vivo</w:t>
      </w:r>
      <w:r w:rsidRPr="008661CD">
        <w:t>, yra dozavimo intervalo procentinė dalis (%T), kurią neprisijungusio cefuroksimo koncentracija būna didesnė už minimalią slopinamąją koncentraciją (MSK), nustatytą atskiroms tikslinėms rūšims (t. y. %T &gt; MSK).</w:t>
      </w:r>
    </w:p>
    <w:p w14:paraId="76CEE8DC" w14:textId="77777777" w:rsidR="00922D8A" w:rsidRPr="008661CD" w:rsidRDefault="00922D8A" w:rsidP="008661CD">
      <w:pPr>
        <w:ind w:left="567" w:hanging="567"/>
      </w:pPr>
    </w:p>
    <w:p w14:paraId="7AC83E9D" w14:textId="77777777" w:rsidR="00922D8A" w:rsidRPr="008661CD" w:rsidRDefault="00922D8A" w:rsidP="008661CD">
      <w:pPr>
        <w:ind w:left="567" w:hanging="567"/>
        <w:rPr>
          <w:b/>
        </w:rPr>
      </w:pPr>
      <w:r w:rsidRPr="008661CD">
        <w:rPr>
          <w:b/>
        </w:rPr>
        <w:t>5.3</w:t>
      </w:r>
      <w:r w:rsidRPr="008661CD">
        <w:rPr>
          <w:b/>
        </w:rPr>
        <w:tab/>
        <w:t>Ikiklinikinių saugumo tyrimų duomenys</w:t>
      </w:r>
    </w:p>
    <w:p w14:paraId="6F1703F2" w14:textId="77777777" w:rsidR="00922D8A" w:rsidRPr="008661CD" w:rsidRDefault="00922D8A" w:rsidP="008661CD">
      <w:pPr>
        <w:ind w:left="567" w:hanging="567"/>
      </w:pPr>
    </w:p>
    <w:p w14:paraId="60FF3EF1" w14:textId="77777777" w:rsidR="00922D8A" w:rsidRPr="008661CD" w:rsidRDefault="00922D8A" w:rsidP="008661CD">
      <w:r w:rsidRPr="008661CD">
        <w:t>Farmakologinio saugumo, kartotinių dozių toksiškumo, genotoksiškumo ir toksinio poveikio reprodukcijai ir vystymuisi ikiklinikinių tyrimų duomenys specifinio pavojaus žmogui nerodo. Kancerogeniškumo tyrimų neatlikta. Vis dėlto duomenų, kurie rodytų kancerogeninio poveikio tikimybę, nėra.</w:t>
      </w:r>
    </w:p>
    <w:p w14:paraId="3B1E9046" w14:textId="77777777" w:rsidR="00922D8A" w:rsidRPr="008661CD" w:rsidRDefault="00922D8A" w:rsidP="008661CD"/>
    <w:p w14:paraId="1E91966A" w14:textId="77777777" w:rsidR="00922D8A" w:rsidRPr="008661CD" w:rsidRDefault="00922D8A" w:rsidP="008661CD">
      <w:r w:rsidRPr="008661CD">
        <w:t>Įvairūs cefalosporinai slopino gama gliutamiltranspeptidazės aktyvumą žiurkių šlapime, vis dėlto slopinimo lygmuo vartojant cefuroksimą yra mažesnis. Tai gali turėti reikšmės darant įtaką klinikinių laboratorinių tyrimų duomenimis žmogui.</w:t>
      </w:r>
    </w:p>
    <w:p w14:paraId="524410D6" w14:textId="77777777" w:rsidR="00922D8A" w:rsidRPr="008661CD" w:rsidRDefault="00922D8A" w:rsidP="008661CD"/>
    <w:p w14:paraId="1846C1A7" w14:textId="77777777" w:rsidR="00922D8A" w:rsidRPr="008661CD" w:rsidRDefault="00922D8A" w:rsidP="008661CD">
      <w:pPr>
        <w:ind w:left="567" w:hanging="567"/>
      </w:pPr>
    </w:p>
    <w:p w14:paraId="6D7FEA53" w14:textId="77777777" w:rsidR="00922D8A" w:rsidRPr="008661CD" w:rsidRDefault="00922D8A" w:rsidP="008661CD">
      <w:pPr>
        <w:keepNext/>
        <w:ind w:left="567" w:hanging="567"/>
        <w:rPr>
          <w:b/>
          <w:caps/>
        </w:rPr>
      </w:pPr>
      <w:r w:rsidRPr="008661CD">
        <w:rPr>
          <w:b/>
          <w:caps/>
        </w:rPr>
        <w:lastRenderedPageBreak/>
        <w:t>6.</w:t>
      </w:r>
      <w:r w:rsidRPr="008661CD">
        <w:rPr>
          <w:b/>
          <w:caps/>
        </w:rPr>
        <w:tab/>
        <w:t>farmacinė informacija</w:t>
      </w:r>
    </w:p>
    <w:p w14:paraId="5F4D5701" w14:textId="77777777" w:rsidR="00922D8A" w:rsidRPr="008661CD" w:rsidRDefault="00922D8A" w:rsidP="008661CD">
      <w:pPr>
        <w:keepNext/>
        <w:ind w:left="567" w:hanging="567"/>
      </w:pPr>
    </w:p>
    <w:p w14:paraId="350FAE16" w14:textId="77777777" w:rsidR="00922D8A" w:rsidRPr="008661CD" w:rsidRDefault="00922D8A" w:rsidP="008661CD">
      <w:pPr>
        <w:keepNext/>
        <w:ind w:left="567" w:hanging="567"/>
        <w:rPr>
          <w:b/>
        </w:rPr>
      </w:pPr>
      <w:r w:rsidRPr="008661CD">
        <w:rPr>
          <w:b/>
        </w:rPr>
        <w:t>6.1</w:t>
      </w:r>
      <w:r w:rsidRPr="008661CD">
        <w:rPr>
          <w:b/>
        </w:rPr>
        <w:tab/>
        <w:t>Pagalbinių medžiagų sąrašas</w:t>
      </w:r>
    </w:p>
    <w:p w14:paraId="35964AF9" w14:textId="77777777" w:rsidR="00922D8A" w:rsidRPr="008661CD" w:rsidRDefault="00922D8A" w:rsidP="008661CD">
      <w:pPr>
        <w:keepNext/>
      </w:pPr>
    </w:p>
    <w:p w14:paraId="61C70926" w14:textId="77777777" w:rsidR="00FA064A" w:rsidRDefault="00FA064A" w:rsidP="00FA064A">
      <w:pPr>
        <w:keepNext/>
        <w:ind w:left="567" w:hanging="567"/>
        <w:rPr>
          <w:u w:val="single"/>
        </w:rPr>
      </w:pPr>
      <w:r w:rsidRPr="00AA08CA">
        <w:rPr>
          <w:u w:val="single"/>
        </w:rPr>
        <w:t>Zinnat tabletės</w:t>
      </w:r>
      <w:r w:rsidR="001254EF">
        <w:rPr>
          <w:u w:val="single"/>
        </w:rPr>
        <w:t>:</w:t>
      </w:r>
    </w:p>
    <w:p w14:paraId="2BB6D6B7" w14:textId="77777777" w:rsidR="00922D8A" w:rsidRPr="008661CD" w:rsidRDefault="00922D8A" w:rsidP="008661CD">
      <w:pPr>
        <w:keepNext/>
        <w:ind w:left="567" w:hanging="567"/>
      </w:pPr>
      <w:r w:rsidRPr="008661CD">
        <w:t>Mikrokristalinė celiuliozė</w:t>
      </w:r>
    </w:p>
    <w:p w14:paraId="2057F124" w14:textId="77777777" w:rsidR="00922D8A" w:rsidRPr="008661CD" w:rsidRDefault="00922D8A" w:rsidP="008661CD">
      <w:pPr>
        <w:keepNext/>
        <w:ind w:left="567" w:hanging="567"/>
      </w:pPr>
      <w:r w:rsidRPr="008661CD">
        <w:t xml:space="preserve">Natrio laurilsulfatas </w:t>
      </w:r>
    </w:p>
    <w:p w14:paraId="68CAB091" w14:textId="77777777" w:rsidR="00922D8A" w:rsidRPr="008661CD" w:rsidRDefault="00922D8A" w:rsidP="008661CD">
      <w:pPr>
        <w:ind w:left="567" w:hanging="567"/>
      </w:pPr>
      <w:r w:rsidRPr="008661CD">
        <w:t xml:space="preserve">Kroskarmeliozės natrio druska </w:t>
      </w:r>
    </w:p>
    <w:p w14:paraId="42E4973F" w14:textId="77777777" w:rsidR="00922D8A" w:rsidRPr="008661CD" w:rsidRDefault="00922D8A" w:rsidP="008661CD">
      <w:pPr>
        <w:ind w:left="567" w:hanging="567"/>
      </w:pPr>
      <w:r w:rsidRPr="008661CD">
        <w:t>Hidrintas augalinis aliejus</w:t>
      </w:r>
    </w:p>
    <w:p w14:paraId="568B2D4B" w14:textId="77777777" w:rsidR="00922D8A" w:rsidRPr="008661CD" w:rsidRDefault="00922D8A" w:rsidP="008661CD">
      <w:pPr>
        <w:ind w:left="567" w:hanging="567"/>
      </w:pPr>
      <w:bookmarkStart w:id="14" w:name="_Hlk530748225"/>
      <w:r w:rsidRPr="008661CD">
        <w:t>Koloidinis silicio dioksidas, bevandenis</w:t>
      </w:r>
    </w:p>
    <w:p w14:paraId="3455752E" w14:textId="77777777" w:rsidR="00922D8A" w:rsidRPr="008661CD" w:rsidRDefault="00922D8A" w:rsidP="008661CD">
      <w:pPr>
        <w:ind w:left="567" w:hanging="567"/>
        <w:rPr>
          <w:i/>
        </w:rPr>
      </w:pPr>
      <w:r w:rsidRPr="008661CD">
        <w:t xml:space="preserve">Hipromeliozė </w:t>
      </w:r>
    </w:p>
    <w:p w14:paraId="4D7D44DF" w14:textId="77777777" w:rsidR="00922D8A" w:rsidRPr="008661CD" w:rsidRDefault="00922D8A" w:rsidP="008661CD">
      <w:pPr>
        <w:ind w:left="567" w:hanging="567"/>
      </w:pPr>
      <w:r w:rsidRPr="008661CD">
        <w:t xml:space="preserve">Propilenglikolis </w:t>
      </w:r>
    </w:p>
    <w:bookmarkEnd w:id="14"/>
    <w:p w14:paraId="1AA6DFC1" w14:textId="77777777" w:rsidR="00922D8A" w:rsidRDefault="00922D8A" w:rsidP="008661CD">
      <w:r w:rsidRPr="008661CD">
        <w:t xml:space="preserve">Baltas </w:t>
      </w:r>
      <w:r w:rsidRPr="008661CD">
        <w:rPr>
          <w:i/>
        </w:rPr>
        <w:t>Opaspray</w:t>
      </w:r>
      <w:r w:rsidRPr="008661CD">
        <w:t xml:space="preserve"> M–1-7120J </w:t>
      </w:r>
      <w:bookmarkStart w:id="15" w:name="_Hlk517875642"/>
      <w:r w:rsidRPr="008661CD">
        <w:t>[sudėtyje yra titano dioksido (E171) ir natrio benzoato (E211)].</w:t>
      </w:r>
      <w:bookmarkEnd w:id="15"/>
    </w:p>
    <w:p w14:paraId="0EE2A703" w14:textId="77777777" w:rsidR="00FA064A" w:rsidRDefault="00FA064A" w:rsidP="008661CD"/>
    <w:p w14:paraId="282DE4E6" w14:textId="55E32636" w:rsidR="00FA064A" w:rsidRPr="00BE446D" w:rsidRDefault="00FA064A" w:rsidP="00FA064A">
      <w:pPr>
        <w:rPr>
          <w:rFonts w:eastAsia="Calibri"/>
          <w:u w:val="single"/>
        </w:rPr>
      </w:pPr>
      <w:r w:rsidRPr="001B2871">
        <w:rPr>
          <w:rFonts w:eastAsia="Calibri"/>
          <w:highlight w:val="lightGray"/>
          <w:u w:val="single"/>
        </w:rPr>
        <w:t>Zinnat 125 mg/5 ml granulės geriamajai suspensijai</w:t>
      </w:r>
      <w:r w:rsidR="001B2871" w:rsidRPr="001D5FF7">
        <w:rPr>
          <w:rFonts w:eastAsia="Calibri"/>
          <w:highlight w:val="lightGray"/>
          <w:u w:val="single"/>
        </w:rPr>
        <w:t xml:space="preserve">, </w:t>
      </w:r>
    </w:p>
    <w:p w14:paraId="03B317FC" w14:textId="77777777" w:rsidR="00FA064A" w:rsidRPr="00BE446D" w:rsidRDefault="00FA064A" w:rsidP="00FA064A">
      <w:pPr>
        <w:ind w:left="567" w:hanging="567"/>
        <w:rPr>
          <w:rFonts w:eastAsia="Calibri"/>
          <w:highlight w:val="lightGray"/>
        </w:rPr>
      </w:pPr>
      <w:bookmarkStart w:id="16" w:name="_Hlk815677"/>
      <w:r w:rsidRPr="00BE446D">
        <w:rPr>
          <w:rFonts w:eastAsia="Calibri"/>
          <w:highlight w:val="lightGray"/>
        </w:rPr>
        <w:t>Aspartamas (E951)</w:t>
      </w:r>
    </w:p>
    <w:bookmarkEnd w:id="16"/>
    <w:p w14:paraId="08ABDC84" w14:textId="77777777" w:rsidR="00FA064A" w:rsidRPr="00BE446D" w:rsidRDefault="00FA064A" w:rsidP="00FA064A">
      <w:pPr>
        <w:ind w:left="567" w:hanging="567"/>
        <w:rPr>
          <w:rFonts w:eastAsia="Calibri"/>
          <w:highlight w:val="lightGray"/>
        </w:rPr>
      </w:pPr>
      <w:r w:rsidRPr="00BE446D">
        <w:rPr>
          <w:rFonts w:eastAsia="Calibri"/>
          <w:highlight w:val="lightGray"/>
        </w:rPr>
        <w:t>Ksantano lipai</w:t>
      </w:r>
    </w:p>
    <w:p w14:paraId="44376FBF" w14:textId="77777777" w:rsidR="00FA064A" w:rsidRPr="00BE446D" w:rsidRDefault="00FA064A" w:rsidP="00FA064A">
      <w:pPr>
        <w:ind w:left="567" w:hanging="567"/>
        <w:rPr>
          <w:rFonts w:eastAsia="Calibri"/>
          <w:highlight w:val="lightGray"/>
        </w:rPr>
      </w:pPr>
      <w:bookmarkStart w:id="17" w:name="_Hlk815700"/>
      <w:r w:rsidRPr="00BE446D">
        <w:rPr>
          <w:rFonts w:eastAsia="Calibri"/>
          <w:highlight w:val="lightGray"/>
        </w:rPr>
        <w:t>Acesulfamo kalio druska (E950)</w:t>
      </w:r>
    </w:p>
    <w:bookmarkEnd w:id="17"/>
    <w:p w14:paraId="1DC6CA48" w14:textId="77777777" w:rsidR="00FA064A" w:rsidRPr="00BE446D" w:rsidRDefault="00FA064A" w:rsidP="00FA064A">
      <w:pPr>
        <w:ind w:left="567" w:hanging="567"/>
        <w:rPr>
          <w:rFonts w:eastAsia="Calibri"/>
          <w:highlight w:val="lightGray"/>
        </w:rPr>
      </w:pPr>
      <w:r w:rsidRPr="00BE446D">
        <w:rPr>
          <w:rFonts w:eastAsia="Calibri"/>
          <w:highlight w:val="lightGray"/>
        </w:rPr>
        <w:t>Povidonas K30</w:t>
      </w:r>
    </w:p>
    <w:p w14:paraId="6E4AE21A" w14:textId="77777777" w:rsidR="00FA064A" w:rsidRPr="00BE446D" w:rsidRDefault="00FA064A" w:rsidP="00FA064A">
      <w:pPr>
        <w:ind w:left="567" w:hanging="567"/>
        <w:rPr>
          <w:rFonts w:eastAsia="Calibri"/>
          <w:highlight w:val="lightGray"/>
        </w:rPr>
      </w:pPr>
      <w:r w:rsidRPr="00BE446D">
        <w:rPr>
          <w:rFonts w:eastAsia="Calibri"/>
          <w:highlight w:val="lightGray"/>
        </w:rPr>
        <w:t>Stearino rūgštis</w:t>
      </w:r>
    </w:p>
    <w:p w14:paraId="49D0F741" w14:textId="77777777" w:rsidR="00FA064A" w:rsidRPr="00BE446D" w:rsidRDefault="00FA064A" w:rsidP="00FA064A">
      <w:pPr>
        <w:ind w:left="567" w:hanging="567"/>
        <w:rPr>
          <w:rFonts w:eastAsia="Calibri"/>
          <w:highlight w:val="lightGray"/>
        </w:rPr>
      </w:pPr>
      <w:r w:rsidRPr="00BE446D">
        <w:rPr>
          <w:rFonts w:eastAsia="Calibri"/>
          <w:highlight w:val="lightGray"/>
        </w:rPr>
        <w:t>Sacharozė</w:t>
      </w:r>
    </w:p>
    <w:p w14:paraId="70AA6389" w14:textId="40F941A5" w:rsidR="00FA064A" w:rsidRPr="00BE446D" w:rsidRDefault="00FA064A" w:rsidP="00001567">
      <w:pPr>
        <w:ind w:left="567" w:hanging="567"/>
        <w:rPr>
          <w:rFonts w:eastAsia="Calibri"/>
          <w:highlight w:val="lightGray"/>
        </w:rPr>
      </w:pPr>
      <w:bookmarkStart w:id="18" w:name="_Hlk816127"/>
      <w:r w:rsidRPr="00BE446D">
        <w:rPr>
          <w:rFonts w:eastAsia="Calibri"/>
          <w:highlight w:val="lightGray"/>
        </w:rPr>
        <w:t>Vaisių (</w:t>
      </w:r>
      <w:r w:rsidRPr="00BE446D">
        <w:rPr>
          <w:rFonts w:eastAsia="Calibri"/>
          <w:i/>
          <w:highlight w:val="lightGray"/>
        </w:rPr>
        <w:t>tutti frutti</w:t>
      </w:r>
      <w:r w:rsidRPr="00BE446D">
        <w:rPr>
          <w:rFonts w:eastAsia="Calibri"/>
          <w:highlight w:val="lightGray"/>
        </w:rPr>
        <w:t>) skonio medžiaga (sudėtyje yra propilenglikolio (E</w:t>
      </w:r>
      <w:r w:rsidRPr="001B2871">
        <w:rPr>
          <w:rFonts w:eastAsia="Calibri"/>
          <w:highlight w:val="lightGray"/>
        </w:rPr>
        <w:t>1520))</w:t>
      </w:r>
      <w:r w:rsidR="001B2871" w:rsidRPr="001D5FF7">
        <w:rPr>
          <w:highlight w:val="lightGray"/>
        </w:rPr>
        <w:t xml:space="preserve"> </w:t>
      </w:r>
      <w:r w:rsidR="001B2871" w:rsidRPr="001D5FF7">
        <w:rPr>
          <w:rFonts w:eastAsia="Calibri"/>
          <w:highlight w:val="lightGray"/>
        </w:rPr>
        <w:t>ir benzilo alkoholio (E1519))</w:t>
      </w:r>
    </w:p>
    <w:bookmarkEnd w:id="18"/>
    <w:p w14:paraId="09B13D2D" w14:textId="77777777" w:rsidR="00FA064A" w:rsidRPr="008661CD" w:rsidRDefault="00FA064A" w:rsidP="00AA08CA">
      <w:pPr>
        <w:ind w:left="567" w:hanging="567"/>
      </w:pPr>
      <w:r w:rsidRPr="00BE446D">
        <w:rPr>
          <w:rFonts w:eastAsia="Calibri"/>
          <w:highlight w:val="lightGray"/>
        </w:rPr>
        <w:t>Išgrynintas vanduo</w:t>
      </w:r>
    </w:p>
    <w:p w14:paraId="6F84A5D6" w14:textId="77777777" w:rsidR="00922D8A" w:rsidRPr="008661CD" w:rsidRDefault="00922D8A" w:rsidP="008661CD">
      <w:pPr>
        <w:ind w:left="567" w:hanging="567"/>
      </w:pPr>
    </w:p>
    <w:p w14:paraId="4EDAEF50" w14:textId="77777777" w:rsidR="00922D8A" w:rsidRPr="008661CD" w:rsidRDefault="00922D8A" w:rsidP="008661CD">
      <w:pPr>
        <w:keepNext/>
        <w:ind w:left="567" w:hanging="567"/>
        <w:rPr>
          <w:b/>
        </w:rPr>
      </w:pPr>
      <w:r w:rsidRPr="008661CD">
        <w:rPr>
          <w:b/>
        </w:rPr>
        <w:t>6.2</w:t>
      </w:r>
      <w:r w:rsidRPr="008661CD">
        <w:rPr>
          <w:b/>
        </w:rPr>
        <w:tab/>
        <w:t>Nesuderinamumas</w:t>
      </w:r>
    </w:p>
    <w:p w14:paraId="401BB18B" w14:textId="77777777" w:rsidR="00922D8A" w:rsidRPr="008661CD" w:rsidRDefault="00922D8A" w:rsidP="008661CD">
      <w:pPr>
        <w:keepNext/>
      </w:pPr>
    </w:p>
    <w:p w14:paraId="01770767" w14:textId="77777777" w:rsidR="00922D8A" w:rsidRPr="008661CD" w:rsidRDefault="00922D8A" w:rsidP="008661CD">
      <w:r w:rsidRPr="008661CD">
        <w:t>Gydant cefalosporinais, gauta pranešimų apie teigiamą Kumbso mėginį. Šis reiškinys gali trukdyti, nustatant kraujo suderinamumą.</w:t>
      </w:r>
    </w:p>
    <w:p w14:paraId="4E63AF18" w14:textId="77777777" w:rsidR="00922D8A" w:rsidRPr="008661CD" w:rsidRDefault="00922D8A" w:rsidP="008661CD">
      <w:pPr>
        <w:ind w:left="567" w:hanging="567"/>
      </w:pPr>
      <w:r w:rsidRPr="008661CD" w:rsidDel="0029346B">
        <w:t xml:space="preserve"> </w:t>
      </w:r>
    </w:p>
    <w:p w14:paraId="6140F9CB" w14:textId="77777777" w:rsidR="00922D8A" w:rsidRPr="008661CD" w:rsidRDefault="00922D8A" w:rsidP="008661CD">
      <w:pPr>
        <w:ind w:left="567" w:hanging="567"/>
        <w:rPr>
          <w:b/>
        </w:rPr>
      </w:pPr>
      <w:r w:rsidRPr="008661CD">
        <w:rPr>
          <w:b/>
        </w:rPr>
        <w:t>6.3</w:t>
      </w:r>
      <w:r w:rsidRPr="008661CD">
        <w:rPr>
          <w:b/>
        </w:rPr>
        <w:tab/>
        <w:t>Tinkamumo laikas</w:t>
      </w:r>
    </w:p>
    <w:p w14:paraId="14BBD064" w14:textId="77777777" w:rsidR="00922D8A" w:rsidRPr="008661CD" w:rsidRDefault="00922D8A" w:rsidP="008661CD"/>
    <w:p w14:paraId="04365889" w14:textId="77777777" w:rsidR="00990D07" w:rsidRDefault="00990D07" w:rsidP="00990D07">
      <w:pPr>
        <w:rPr>
          <w:u w:val="single"/>
        </w:rPr>
      </w:pPr>
      <w:bookmarkStart w:id="19" w:name="_Hlk517875848"/>
      <w:r w:rsidRPr="00BE446D">
        <w:rPr>
          <w:highlight w:val="lightGray"/>
          <w:u w:val="single"/>
        </w:rPr>
        <w:t>Zinnat tabletės</w:t>
      </w:r>
    </w:p>
    <w:p w14:paraId="33EF28D5" w14:textId="77777777" w:rsidR="00922D8A" w:rsidRDefault="00922D8A" w:rsidP="008661CD">
      <w:pPr>
        <w:ind w:left="567" w:hanging="567"/>
      </w:pPr>
      <w:r w:rsidRPr="008661CD">
        <w:t>36 mėnesiai.</w:t>
      </w:r>
    </w:p>
    <w:p w14:paraId="78FE3B88" w14:textId="77777777" w:rsidR="00990D07" w:rsidRDefault="00990D07" w:rsidP="008661CD">
      <w:pPr>
        <w:ind w:left="567" w:hanging="567"/>
      </w:pPr>
    </w:p>
    <w:p w14:paraId="4C3ECD89" w14:textId="77777777" w:rsidR="00990D07" w:rsidRPr="00BE446D" w:rsidRDefault="00990D07" w:rsidP="00990D07">
      <w:pPr>
        <w:rPr>
          <w:rFonts w:eastAsia="Calibri"/>
          <w:u w:val="single"/>
        </w:rPr>
      </w:pPr>
      <w:r w:rsidRPr="00BE446D">
        <w:rPr>
          <w:rFonts w:eastAsia="Calibri"/>
          <w:highlight w:val="lightGray"/>
          <w:u w:val="single"/>
        </w:rPr>
        <w:t>Zinnat 125 mg/5 ml granulės geriamajai suspensijai</w:t>
      </w:r>
    </w:p>
    <w:p w14:paraId="205FE7CC" w14:textId="77777777" w:rsidR="00990D07" w:rsidRPr="00BE446D" w:rsidRDefault="00990D07" w:rsidP="00990D07">
      <w:pPr>
        <w:rPr>
          <w:rFonts w:eastAsia="Calibri"/>
          <w:highlight w:val="lightGray"/>
        </w:rPr>
      </w:pPr>
      <w:bookmarkStart w:id="20" w:name="_Hlk816480"/>
      <w:bookmarkStart w:id="21" w:name="_Hlk816493"/>
      <w:r w:rsidRPr="00BE446D">
        <w:rPr>
          <w:rFonts w:eastAsia="Calibri"/>
          <w:highlight w:val="lightGray"/>
        </w:rPr>
        <w:t>Neparuoštos Zinnat suspensijos tinkamumo laikas yra 24 mėnesiai po pagaminimo datos.</w:t>
      </w:r>
    </w:p>
    <w:p w14:paraId="1A4C4D96" w14:textId="4ADF7B7F" w:rsidR="00990D07" w:rsidRPr="008661CD" w:rsidRDefault="00990D07" w:rsidP="00AA08CA">
      <w:bookmarkStart w:id="22" w:name="_Hlk818030"/>
      <w:bookmarkEnd w:id="20"/>
      <w:r w:rsidRPr="00BE446D">
        <w:rPr>
          <w:rFonts w:eastAsia="Calibri"/>
          <w:highlight w:val="lightGray"/>
        </w:rPr>
        <w:t xml:space="preserve">Paruoštą suspensiją laikyti </w:t>
      </w:r>
      <w:r w:rsidR="00454A2D">
        <w:rPr>
          <w:rFonts w:eastAsia="Calibri"/>
          <w:highlight w:val="lightGray"/>
        </w:rPr>
        <w:t>šaldytuve (</w:t>
      </w:r>
      <w:r w:rsidR="00454A2D" w:rsidRPr="00AA08CA">
        <w:rPr>
          <w:highlight w:val="lightGray"/>
        </w:rPr>
        <w:t xml:space="preserve">2 </w:t>
      </w:r>
      <w:r w:rsidR="00454A2D" w:rsidRPr="00AA08CA">
        <w:rPr>
          <w:szCs w:val="22"/>
          <w:highlight w:val="lightGray"/>
        </w:rPr>
        <w:sym w:font="Symbol" w:char="F0B0"/>
      </w:r>
      <w:r w:rsidR="00454A2D" w:rsidRPr="00AA08CA">
        <w:rPr>
          <w:highlight w:val="lightGray"/>
        </w:rPr>
        <w:t xml:space="preserve">C – 8 </w:t>
      </w:r>
      <w:r w:rsidR="00454A2D" w:rsidRPr="00AA08CA">
        <w:rPr>
          <w:szCs w:val="22"/>
          <w:highlight w:val="lightGray"/>
        </w:rPr>
        <w:sym w:font="Symbol" w:char="F0B0"/>
      </w:r>
      <w:r w:rsidR="00454A2D" w:rsidRPr="00AA08CA">
        <w:rPr>
          <w:highlight w:val="lightGray"/>
        </w:rPr>
        <w:t>C)</w:t>
      </w:r>
      <w:r w:rsidRPr="00454A2D">
        <w:rPr>
          <w:rFonts w:eastAsia="Calibri"/>
          <w:highlight w:val="lightGray"/>
        </w:rPr>
        <w:t xml:space="preserve"> </w:t>
      </w:r>
      <w:r w:rsidRPr="00BE446D">
        <w:rPr>
          <w:rFonts w:eastAsia="Calibri"/>
          <w:highlight w:val="lightGray"/>
        </w:rPr>
        <w:t>ne ilgiau kaip 10</w:t>
      </w:r>
      <w:r w:rsidR="005076F0">
        <w:rPr>
          <w:rFonts w:eastAsia="Calibri"/>
          <w:highlight w:val="lightGray"/>
        </w:rPr>
        <w:t> </w:t>
      </w:r>
      <w:r w:rsidRPr="00BE446D">
        <w:rPr>
          <w:rFonts w:eastAsia="Calibri"/>
          <w:highlight w:val="lightGray"/>
        </w:rPr>
        <w:t>parų.</w:t>
      </w:r>
      <w:bookmarkEnd w:id="21"/>
      <w:bookmarkEnd w:id="22"/>
    </w:p>
    <w:bookmarkEnd w:id="19"/>
    <w:p w14:paraId="7C492A1D" w14:textId="77777777" w:rsidR="00922D8A" w:rsidRPr="008661CD" w:rsidRDefault="00922D8A" w:rsidP="008661CD">
      <w:pPr>
        <w:ind w:left="567" w:hanging="567"/>
      </w:pPr>
    </w:p>
    <w:p w14:paraId="1DE18456" w14:textId="77777777" w:rsidR="00922D8A" w:rsidRPr="008661CD" w:rsidRDefault="00922D8A" w:rsidP="008661CD">
      <w:pPr>
        <w:ind w:left="567" w:hanging="567"/>
        <w:rPr>
          <w:b/>
        </w:rPr>
      </w:pPr>
      <w:r w:rsidRPr="008661CD">
        <w:rPr>
          <w:b/>
        </w:rPr>
        <w:t>6.4</w:t>
      </w:r>
      <w:r w:rsidRPr="008661CD">
        <w:rPr>
          <w:b/>
        </w:rPr>
        <w:tab/>
        <w:t>Specialios laikymo sąlygos</w:t>
      </w:r>
    </w:p>
    <w:p w14:paraId="6F9E9CFF" w14:textId="77777777" w:rsidR="00922D8A" w:rsidRPr="008661CD" w:rsidRDefault="00922D8A" w:rsidP="008661CD"/>
    <w:p w14:paraId="32F9E6F6" w14:textId="4144391C" w:rsidR="00990D07" w:rsidRDefault="00454A2D" w:rsidP="00990D07">
      <w:pPr>
        <w:rPr>
          <w:u w:val="single"/>
        </w:rPr>
      </w:pPr>
      <w:bookmarkStart w:id="23" w:name="_Hlk49789471"/>
      <w:r>
        <w:rPr>
          <w:highlight w:val="lightGray"/>
          <w:u w:val="single"/>
        </w:rPr>
        <w:t>Cefuroksimo aksetilo</w:t>
      </w:r>
      <w:r w:rsidR="00496485" w:rsidRPr="00BE446D">
        <w:rPr>
          <w:highlight w:val="lightGray"/>
          <w:u w:val="single"/>
        </w:rPr>
        <w:t xml:space="preserve"> </w:t>
      </w:r>
      <w:r w:rsidR="00990D07" w:rsidRPr="00BE446D">
        <w:rPr>
          <w:highlight w:val="lightGray"/>
          <w:u w:val="single"/>
        </w:rPr>
        <w:t>tabletės</w:t>
      </w:r>
      <w:r>
        <w:rPr>
          <w:highlight w:val="lightGray"/>
          <w:u w:val="single"/>
        </w:rPr>
        <w:t>,</w:t>
      </w:r>
      <w:r w:rsidR="00990D07" w:rsidRPr="00BE446D">
        <w:rPr>
          <w:highlight w:val="lightGray"/>
          <w:u w:val="single"/>
        </w:rPr>
        <w:t xml:space="preserve"> lizdin</w:t>
      </w:r>
      <w:r w:rsidR="00990D07">
        <w:rPr>
          <w:highlight w:val="lightGray"/>
          <w:u w:val="single"/>
        </w:rPr>
        <w:t>ėse</w:t>
      </w:r>
      <w:r w:rsidR="00990D07" w:rsidRPr="00BE446D">
        <w:rPr>
          <w:highlight w:val="lightGray"/>
          <w:u w:val="single"/>
        </w:rPr>
        <w:t xml:space="preserve"> plokštelė</w:t>
      </w:r>
      <w:r w:rsidR="00990D07">
        <w:rPr>
          <w:highlight w:val="lightGray"/>
          <w:u w:val="single"/>
        </w:rPr>
        <w:t>s</w:t>
      </w:r>
      <w:r w:rsidR="00990D07" w:rsidRPr="00BE446D">
        <w:rPr>
          <w:highlight w:val="lightGray"/>
          <w:u w:val="single"/>
        </w:rPr>
        <w:t>e</w:t>
      </w:r>
    </w:p>
    <w:bookmarkEnd w:id="23"/>
    <w:p w14:paraId="381E3CD1" w14:textId="1253405E" w:rsidR="00922D8A" w:rsidRDefault="00454A2D" w:rsidP="000F3553">
      <w:pPr>
        <w:pStyle w:val="Pagrindinistekstas"/>
        <w:rPr>
          <w:i w:val="0"/>
          <w:color w:val="auto"/>
          <w:lang w:val="lt-LT"/>
        </w:rPr>
      </w:pPr>
      <w:r w:rsidRPr="00AA08CA">
        <w:rPr>
          <w:i w:val="0"/>
          <w:color w:val="auto"/>
          <w:lang w:val="lt-LT"/>
        </w:rPr>
        <w:t>Laikyti ne aukštesnėje kaip 30 </w:t>
      </w:r>
      <w:r w:rsidRPr="00AA08CA">
        <w:rPr>
          <w:i w:val="0"/>
          <w:color w:val="auto"/>
          <w:szCs w:val="22"/>
          <w:lang w:val="lt-LT"/>
        </w:rPr>
        <w:sym w:font="Symbol" w:char="F0B0"/>
      </w:r>
      <w:r w:rsidRPr="00AA08CA">
        <w:rPr>
          <w:i w:val="0"/>
          <w:color w:val="auto"/>
          <w:lang w:val="lt-LT"/>
        </w:rPr>
        <w:t>C temperatūroje.</w:t>
      </w:r>
    </w:p>
    <w:p w14:paraId="7B0FE268" w14:textId="77777777" w:rsidR="00990D07" w:rsidRDefault="00990D07" w:rsidP="000F3553">
      <w:pPr>
        <w:pStyle w:val="Pagrindinistekstas"/>
        <w:rPr>
          <w:i w:val="0"/>
          <w:color w:val="auto"/>
          <w:lang w:val="lt-LT"/>
        </w:rPr>
      </w:pPr>
      <w:bookmarkStart w:id="24" w:name="_Hlk49789485"/>
    </w:p>
    <w:p w14:paraId="2B6DB0BC" w14:textId="6B9C0C52" w:rsidR="00990D07" w:rsidRPr="00BE446D" w:rsidRDefault="00990D07" w:rsidP="00990D07">
      <w:pPr>
        <w:rPr>
          <w:rFonts w:eastAsia="Calibri"/>
          <w:u w:val="single"/>
        </w:rPr>
      </w:pPr>
      <w:r w:rsidRPr="00BE446D">
        <w:rPr>
          <w:rFonts w:eastAsia="Calibri"/>
          <w:highlight w:val="lightGray"/>
          <w:u w:val="single"/>
        </w:rPr>
        <w:t>Zinnat granulės geriamajai suspensijai</w:t>
      </w:r>
    </w:p>
    <w:p w14:paraId="2A21E701" w14:textId="77777777" w:rsidR="00990D07" w:rsidRPr="00BE446D" w:rsidRDefault="00990D07" w:rsidP="00990D07">
      <w:pPr>
        <w:rPr>
          <w:rFonts w:ascii="Calibri" w:eastAsia="Calibri" w:hAnsi="Calibri"/>
          <w:i/>
          <w:highlight w:val="lightGray"/>
        </w:rPr>
      </w:pPr>
      <w:bookmarkStart w:id="25" w:name="_Hlk517870610"/>
      <w:r w:rsidRPr="00BE446D">
        <w:rPr>
          <w:rFonts w:eastAsia="Calibri"/>
          <w:highlight w:val="lightGray"/>
        </w:rPr>
        <w:t>Laikyti ne aukštesnėje kaip 30 </w:t>
      </w:r>
      <w:r w:rsidRPr="00BE446D">
        <w:rPr>
          <w:rFonts w:eastAsia="Calibri"/>
          <w:highlight w:val="lightGray"/>
        </w:rPr>
        <w:sym w:font="Symbol" w:char="F0B0"/>
      </w:r>
      <w:r w:rsidRPr="00BE446D">
        <w:rPr>
          <w:rFonts w:eastAsia="Calibri"/>
          <w:highlight w:val="lightGray"/>
        </w:rPr>
        <w:t xml:space="preserve">C temperatūroje. </w:t>
      </w:r>
    </w:p>
    <w:p w14:paraId="71A7C882" w14:textId="77777777" w:rsidR="00990D07" w:rsidRPr="00BE446D" w:rsidRDefault="00990D07" w:rsidP="00990D07">
      <w:pPr>
        <w:ind w:left="567" w:hanging="567"/>
        <w:rPr>
          <w:rFonts w:eastAsia="Calibri"/>
          <w:highlight w:val="lightGray"/>
        </w:rPr>
      </w:pPr>
    </w:p>
    <w:p w14:paraId="4CC41771" w14:textId="77777777" w:rsidR="00990D07" w:rsidRPr="00C07A3C" w:rsidRDefault="00990D07" w:rsidP="00990D07">
      <w:pPr>
        <w:rPr>
          <w:rFonts w:eastAsia="Calibri"/>
        </w:rPr>
      </w:pPr>
      <w:bookmarkStart w:id="26" w:name="_Hlk816814"/>
      <w:r w:rsidRPr="00BE446D">
        <w:rPr>
          <w:rFonts w:eastAsia="Calibri"/>
          <w:highlight w:val="lightGray"/>
        </w:rPr>
        <w:t>Paruoštos Zinnat geriamosios suspensijos laikymo sąlygos pateikiamos 6.3 skyriuje.</w:t>
      </w:r>
    </w:p>
    <w:bookmarkEnd w:id="24"/>
    <w:bookmarkEnd w:id="25"/>
    <w:bookmarkEnd w:id="26"/>
    <w:p w14:paraId="130F459C" w14:textId="77777777" w:rsidR="00922D8A" w:rsidRPr="008661CD" w:rsidRDefault="00922D8A" w:rsidP="008661CD">
      <w:pPr>
        <w:ind w:left="567" w:hanging="567"/>
      </w:pPr>
    </w:p>
    <w:p w14:paraId="4BEE2632" w14:textId="77777777" w:rsidR="00922D8A" w:rsidRPr="008661CD" w:rsidRDefault="00922D8A" w:rsidP="008661CD">
      <w:pPr>
        <w:ind w:left="567" w:hanging="567"/>
        <w:rPr>
          <w:b/>
        </w:rPr>
      </w:pPr>
      <w:r w:rsidRPr="008661CD">
        <w:rPr>
          <w:b/>
        </w:rPr>
        <w:t>6.5</w:t>
      </w:r>
      <w:r w:rsidRPr="008661CD">
        <w:rPr>
          <w:b/>
        </w:rPr>
        <w:tab/>
        <w:t>Talpyklės pobūdis ir jos</w:t>
      </w:r>
      <w:r w:rsidRPr="008661CD">
        <w:t xml:space="preserve"> </w:t>
      </w:r>
      <w:r w:rsidRPr="008661CD">
        <w:rPr>
          <w:b/>
        </w:rPr>
        <w:t>turinys</w:t>
      </w:r>
    </w:p>
    <w:p w14:paraId="0A3C32AB" w14:textId="77777777" w:rsidR="00922D8A" w:rsidRPr="008661CD" w:rsidRDefault="00922D8A" w:rsidP="008661CD"/>
    <w:p w14:paraId="4270902E" w14:textId="77777777" w:rsidR="00990D07" w:rsidRDefault="00990D07" w:rsidP="008661CD">
      <w:bookmarkStart w:id="27" w:name="_Hlk49789501"/>
      <w:bookmarkStart w:id="28" w:name="_Hlk517876097"/>
      <w:r>
        <w:rPr>
          <w:highlight w:val="lightGray"/>
          <w:u w:val="single"/>
        </w:rPr>
        <w:t>T</w:t>
      </w:r>
      <w:r w:rsidRPr="00BE446D">
        <w:rPr>
          <w:highlight w:val="lightGray"/>
          <w:u w:val="single"/>
        </w:rPr>
        <w:t>abletės</w:t>
      </w:r>
      <w:r w:rsidRPr="008661CD">
        <w:t xml:space="preserve"> </w:t>
      </w:r>
    </w:p>
    <w:bookmarkEnd w:id="27"/>
    <w:p w14:paraId="7358082E" w14:textId="77777777" w:rsidR="00922D8A" w:rsidRPr="008661CD" w:rsidRDefault="00922D8A" w:rsidP="008661CD">
      <w:r w:rsidRPr="008661CD">
        <w:t>Aliuminio</w:t>
      </w:r>
      <w:r w:rsidRPr="008661CD">
        <w:rPr>
          <w:i/>
        </w:rPr>
        <w:t xml:space="preserve"> </w:t>
      </w:r>
      <w:r w:rsidRPr="008661CD">
        <w:t>folijos lizdinė plokštelė, padengta aliuminio sluoksniu.</w:t>
      </w:r>
    </w:p>
    <w:p w14:paraId="133EB3E4" w14:textId="77777777" w:rsidR="00922D8A" w:rsidRPr="008661CD" w:rsidRDefault="00922D8A" w:rsidP="008661CD">
      <w:r w:rsidRPr="008661CD">
        <w:t>Pakuotėje yra 10 arba 14 tablečių.</w:t>
      </w:r>
    </w:p>
    <w:bookmarkEnd w:id="28"/>
    <w:p w14:paraId="6787E9F3" w14:textId="77777777" w:rsidR="00922D8A" w:rsidRPr="008661CD" w:rsidRDefault="00922D8A" w:rsidP="008661CD"/>
    <w:p w14:paraId="6426EAFD" w14:textId="77777777" w:rsidR="00990D07" w:rsidRDefault="00990D07" w:rsidP="00990D07">
      <w:pPr>
        <w:rPr>
          <w:rFonts w:eastAsia="Calibri"/>
          <w:u w:val="single"/>
        </w:rPr>
      </w:pPr>
      <w:bookmarkStart w:id="29" w:name="_Hlk49789530"/>
      <w:r w:rsidRPr="00BE446D">
        <w:rPr>
          <w:rFonts w:eastAsia="Calibri"/>
          <w:highlight w:val="lightGray"/>
          <w:u w:val="single"/>
        </w:rPr>
        <w:t>Zinnat 125 mg/5 ml granulės geriamajai suspensijai</w:t>
      </w:r>
    </w:p>
    <w:p w14:paraId="4411D256" w14:textId="77777777" w:rsidR="00990D07" w:rsidRDefault="00454A2D" w:rsidP="00990D07">
      <w:pPr>
        <w:rPr>
          <w:rFonts w:eastAsia="Calibri"/>
          <w:u w:val="single"/>
        </w:rPr>
      </w:pPr>
      <w:r w:rsidRPr="00AA08CA">
        <w:rPr>
          <w:rFonts w:eastAsia="Calibri"/>
          <w:highlight w:val="lightGray"/>
          <w:u w:val="single"/>
        </w:rPr>
        <w:t>Daugiadoziai buteliukai:</w:t>
      </w:r>
    </w:p>
    <w:p w14:paraId="7ABF12B1" w14:textId="77777777" w:rsidR="00990D07" w:rsidRPr="00BE446D" w:rsidRDefault="00990D07" w:rsidP="00990D07">
      <w:pPr>
        <w:rPr>
          <w:rFonts w:eastAsia="Calibri"/>
          <w:highlight w:val="lightGray"/>
        </w:rPr>
      </w:pPr>
      <w:r w:rsidRPr="00BE446D">
        <w:rPr>
          <w:rFonts w:eastAsia="Calibri"/>
          <w:highlight w:val="lightGray"/>
        </w:rPr>
        <w:lastRenderedPageBreak/>
        <w:t>Zinnat suspensija yra tiekiama sausų, baltos ar beveik baltos spalvos, įvairių vaisių (</w:t>
      </w:r>
      <w:r w:rsidRPr="00BE446D">
        <w:rPr>
          <w:rFonts w:eastAsia="Calibri"/>
          <w:i/>
          <w:highlight w:val="lightGray"/>
        </w:rPr>
        <w:t>tutti frutti</w:t>
      </w:r>
      <w:r w:rsidRPr="00BE446D">
        <w:rPr>
          <w:rFonts w:eastAsia="Calibri"/>
          <w:highlight w:val="lightGray"/>
        </w:rPr>
        <w:t>) skonio granulių pavidalu. Paruošus suspensiją taip, kaip nurodyta, 5 ml suspensijos yra 125 mg cefuroksimo (cefuroksimo aksetilo pavidalu).</w:t>
      </w:r>
    </w:p>
    <w:p w14:paraId="0F3D0E42" w14:textId="77777777" w:rsidR="00990D07" w:rsidRPr="00BE446D" w:rsidRDefault="00990D07" w:rsidP="00990D07">
      <w:pPr>
        <w:rPr>
          <w:rFonts w:eastAsia="Calibri"/>
          <w:highlight w:val="lightGray"/>
        </w:rPr>
      </w:pPr>
    </w:p>
    <w:p w14:paraId="3458BA7E" w14:textId="77777777" w:rsidR="00990D07" w:rsidRDefault="00990D07" w:rsidP="00990D07">
      <w:pPr>
        <w:rPr>
          <w:rFonts w:eastAsia="Calibri"/>
        </w:rPr>
      </w:pPr>
      <w:r w:rsidRPr="00BE446D">
        <w:rPr>
          <w:rFonts w:eastAsia="Calibri"/>
          <w:highlight w:val="lightGray"/>
        </w:rPr>
        <w:t>125 mg/5 ml granulės geriamajai suspensijai tiekiamos III tipo pagal Europos farmakopėją gintaro spalvos stiklo 50 ml, 70 ml ar 100 ml buteliukuose, sandariai uždarytuose indukcine termoizoliacine membrana.</w:t>
      </w:r>
    </w:p>
    <w:p w14:paraId="0F5DFEF5" w14:textId="77777777" w:rsidR="00E67F20" w:rsidRDefault="00E67F20" w:rsidP="00990D07">
      <w:pPr>
        <w:rPr>
          <w:rFonts w:eastAsia="Calibri"/>
        </w:rPr>
      </w:pPr>
    </w:p>
    <w:p w14:paraId="0DCEF571" w14:textId="626DD47A" w:rsidR="00E67F20" w:rsidRPr="00C07A3C" w:rsidRDefault="00E67F20" w:rsidP="00990D07">
      <w:pPr>
        <w:rPr>
          <w:rFonts w:eastAsia="Calibri"/>
        </w:rPr>
      </w:pPr>
      <w:r>
        <w:rPr>
          <w:rFonts w:eastAsia="Calibri"/>
        </w:rPr>
        <w:t>G</w:t>
      </w:r>
      <w:r w:rsidRPr="00A734A0">
        <w:rPr>
          <w:rFonts w:eastAsia="Calibri"/>
        </w:rPr>
        <w:t>raduotas 5 ml dozavimo švirkštas</w:t>
      </w:r>
      <w:r>
        <w:rPr>
          <w:rFonts w:eastAsia="Calibri"/>
        </w:rPr>
        <w:t xml:space="preserve"> arba matavimo šaukštas.</w:t>
      </w:r>
    </w:p>
    <w:p w14:paraId="4AF7364F" w14:textId="77777777" w:rsidR="00990D07" w:rsidRPr="00BE446D" w:rsidRDefault="00990D07" w:rsidP="00990D07">
      <w:pPr>
        <w:rPr>
          <w:rFonts w:eastAsia="Calibri"/>
          <w:u w:val="single"/>
        </w:rPr>
      </w:pPr>
    </w:p>
    <w:bookmarkEnd w:id="29"/>
    <w:p w14:paraId="08EB59EE" w14:textId="77777777" w:rsidR="00922D8A" w:rsidRPr="008661CD" w:rsidRDefault="00922D8A" w:rsidP="008661CD">
      <w:r w:rsidRPr="008661CD">
        <w:t>Gali būti tiekiamos ne visų dydžių pakuotės.</w:t>
      </w:r>
    </w:p>
    <w:p w14:paraId="47E5C226" w14:textId="77777777" w:rsidR="00922D8A" w:rsidRPr="008661CD" w:rsidRDefault="00922D8A" w:rsidP="008661CD"/>
    <w:p w14:paraId="5455F89B" w14:textId="77777777" w:rsidR="00922D8A" w:rsidRPr="008661CD" w:rsidRDefault="00922D8A" w:rsidP="008661CD">
      <w:pPr>
        <w:ind w:left="567" w:hanging="567"/>
        <w:outlineLvl w:val="0"/>
      </w:pPr>
      <w:r w:rsidRPr="008661CD">
        <w:rPr>
          <w:b/>
        </w:rPr>
        <w:t>6.6</w:t>
      </w:r>
      <w:r w:rsidRPr="008661CD">
        <w:rPr>
          <w:b/>
        </w:rPr>
        <w:tab/>
      </w:r>
      <w:r w:rsidRPr="000F3553">
        <w:rPr>
          <w:rStyle w:val="Grietas"/>
        </w:rPr>
        <w:t>Specialūs reikalavimai atliekoms tvarkyti</w:t>
      </w:r>
      <w:r w:rsidR="00454A2D">
        <w:rPr>
          <w:rStyle w:val="Grietas"/>
        </w:rPr>
        <w:t xml:space="preserve"> </w:t>
      </w:r>
      <w:r w:rsidR="00454A2D" w:rsidRPr="00AA08CA">
        <w:rPr>
          <w:b/>
        </w:rPr>
        <w:t>ir vaistiniam preparatui ruošti</w:t>
      </w:r>
    </w:p>
    <w:p w14:paraId="012F331F" w14:textId="77777777" w:rsidR="00922D8A" w:rsidRPr="009C0DB0" w:rsidRDefault="00922D8A" w:rsidP="008661CD">
      <w:pPr>
        <w:ind w:left="567" w:hanging="567"/>
      </w:pPr>
    </w:p>
    <w:p w14:paraId="0AC8D374" w14:textId="77777777" w:rsidR="00922D8A" w:rsidRPr="008661CD" w:rsidRDefault="00922D8A" w:rsidP="008661CD">
      <w:pPr>
        <w:ind w:left="567" w:hanging="567"/>
      </w:pPr>
      <w:r w:rsidRPr="008661CD">
        <w:t>Nesuvartotą vaistinį preparatą ar atliekas reikia tvarkyti laikantis vietinių reikalavimų.</w:t>
      </w:r>
    </w:p>
    <w:p w14:paraId="5564BC8B" w14:textId="77777777" w:rsidR="00922D8A" w:rsidRDefault="00922D8A" w:rsidP="008661CD"/>
    <w:p w14:paraId="14A1F6B4" w14:textId="77777777" w:rsidR="00990D07" w:rsidRDefault="00990D07" w:rsidP="00990D07">
      <w:pPr>
        <w:rPr>
          <w:rFonts w:eastAsia="Calibri"/>
          <w:u w:val="single"/>
        </w:rPr>
      </w:pPr>
      <w:bookmarkStart w:id="30" w:name="_Hlk49789556"/>
      <w:r w:rsidRPr="00BE446D">
        <w:rPr>
          <w:rFonts w:eastAsia="Calibri"/>
          <w:highlight w:val="lightGray"/>
          <w:u w:val="single"/>
        </w:rPr>
        <w:t>Zinnat 125 mg/5 ml granulės geriamajai suspensijai</w:t>
      </w:r>
    </w:p>
    <w:p w14:paraId="24821D3A" w14:textId="77777777" w:rsidR="00990D07" w:rsidRDefault="00990D07" w:rsidP="008661CD"/>
    <w:p w14:paraId="2EA7F8A3" w14:textId="77777777" w:rsidR="00990D07" w:rsidRPr="009742B0" w:rsidRDefault="00990D07" w:rsidP="00990D07">
      <w:pPr>
        <w:rPr>
          <w:rFonts w:eastAsia="Calibri"/>
          <w:highlight w:val="lightGray"/>
          <w:u w:val="single"/>
        </w:rPr>
      </w:pPr>
      <w:r w:rsidRPr="009742B0">
        <w:rPr>
          <w:rFonts w:eastAsia="Calibri"/>
          <w:highlight w:val="lightGray"/>
          <w:u w:val="single"/>
        </w:rPr>
        <w:t>Paruošimo / vartojimo instrukcijos</w:t>
      </w:r>
    </w:p>
    <w:p w14:paraId="7CFA5263" w14:textId="77777777" w:rsidR="00990D07" w:rsidRPr="009742B0" w:rsidRDefault="00990D07" w:rsidP="00990D07">
      <w:pPr>
        <w:rPr>
          <w:rFonts w:eastAsia="Calibri"/>
          <w:highlight w:val="lightGray"/>
        </w:rPr>
      </w:pPr>
      <w:r w:rsidRPr="009742B0">
        <w:rPr>
          <w:rFonts w:eastAsia="Calibri"/>
          <w:highlight w:val="lightGray"/>
        </w:rPr>
        <w:t>Prieš vartojant vaistinį preparatą, buteliuką reikia gerai pakratyti.</w:t>
      </w:r>
    </w:p>
    <w:p w14:paraId="2A37A39E" w14:textId="77777777" w:rsidR="00990D07" w:rsidRPr="009742B0" w:rsidRDefault="00990D07" w:rsidP="00990D07">
      <w:pPr>
        <w:rPr>
          <w:rFonts w:eastAsia="Calibri"/>
          <w:highlight w:val="lightGray"/>
        </w:rPr>
      </w:pPr>
    </w:p>
    <w:p w14:paraId="338C9D6C" w14:textId="77777777" w:rsidR="00990D07" w:rsidRPr="009742B0" w:rsidRDefault="00990D07" w:rsidP="00990D07">
      <w:pPr>
        <w:rPr>
          <w:rFonts w:eastAsia="Calibri"/>
          <w:highlight w:val="lightGray"/>
        </w:rPr>
      </w:pPr>
      <w:r w:rsidRPr="009742B0">
        <w:rPr>
          <w:rFonts w:eastAsia="Calibri"/>
          <w:highlight w:val="lightGray"/>
        </w:rPr>
        <w:t>Paruoštą suspensiją laikyti šaldytuve (2</w:t>
      </w:r>
      <w:r w:rsidRPr="009742B0">
        <w:rPr>
          <w:rFonts w:eastAsia="Calibri"/>
          <w:highlight w:val="lightGray"/>
        </w:rPr>
        <w:noBreakHyphen/>
        <w:t>8</w:t>
      </w:r>
      <w:r w:rsidRPr="009742B0">
        <w:rPr>
          <w:rFonts w:eastAsia="Calibri"/>
          <w:highlight w:val="lightGray"/>
        </w:rPr>
        <w:fldChar w:fldCharType="begin"/>
      </w:r>
      <w:r w:rsidRPr="009742B0">
        <w:rPr>
          <w:rFonts w:eastAsia="Calibri"/>
          <w:highlight w:val="lightGray"/>
        </w:rPr>
        <w:instrText>SYMBOL 176\u</w:instrText>
      </w:r>
      <w:r w:rsidRPr="009742B0">
        <w:rPr>
          <w:rFonts w:eastAsia="Calibri"/>
          <w:highlight w:val="lightGray"/>
        </w:rPr>
        <w:fldChar w:fldCharType="end"/>
      </w:r>
      <w:r w:rsidRPr="009742B0">
        <w:rPr>
          <w:rFonts w:eastAsia="Calibri"/>
          <w:highlight w:val="lightGray"/>
        </w:rPr>
        <w:t>C) ne ilgiau kaip 10 parų.</w:t>
      </w:r>
    </w:p>
    <w:p w14:paraId="347FF47A" w14:textId="77777777" w:rsidR="00990D07" w:rsidRPr="009742B0" w:rsidRDefault="00990D07" w:rsidP="00990D07">
      <w:pPr>
        <w:rPr>
          <w:rFonts w:eastAsia="Calibri"/>
          <w:highlight w:val="lightGray"/>
        </w:rPr>
      </w:pPr>
    </w:p>
    <w:p w14:paraId="2BD2C7A9" w14:textId="77777777" w:rsidR="00990D07" w:rsidRPr="009742B0" w:rsidRDefault="00990D07" w:rsidP="00990D07">
      <w:pPr>
        <w:rPr>
          <w:rFonts w:eastAsia="Calibri"/>
          <w:highlight w:val="lightGray"/>
        </w:rPr>
      </w:pPr>
      <w:r w:rsidRPr="009742B0">
        <w:rPr>
          <w:rFonts w:eastAsia="Calibri"/>
          <w:highlight w:val="lightGray"/>
        </w:rPr>
        <w:t>Jeigu pageidaujate, paruoštą Zinnat suspensijos vienkartinę dozę galima papildomai praskiesti šaltomis vaisių sultimis arba pienišku gėrimu ir nedelsiant suvartoti.</w:t>
      </w:r>
    </w:p>
    <w:p w14:paraId="504261FB" w14:textId="77777777" w:rsidR="00990D07" w:rsidRPr="009742B0" w:rsidRDefault="00990D07" w:rsidP="00990D07">
      <w:pPr>
        <w:rPr>
          <w:rFonts w:eastAsia="Calibri"/>
          <w:highlight w:val="lightGray"/>
        </w:rPr>
      </w:pPr>
    </w:p>
    <w:p w14:paraId="5DDC6674" w14:textId="011AA227" w:rsidR="00990D07" w:rsidRPr="009742B0" w:rsidRDefault="00001567" w:rsidP="00990D07">
      <w:pPr>
        <w:rPr>
          <w:rFonts w:eastAsia="Calibri"/>
          <w:highlight w:val="lightGray"/>
          <w:u w:val="single"/>
        </w:rPr>
      </w:pPr>
      <w:r w:rsidRPr="001D5FF7">
        <w:rPr>
          <w:rFonts w:eastAsia="Calibri"/>
          <w:b/>
          <w:bCs/>
          <w:u w:val="single"/>
        </w:rPr>
        <w:t>Atkreipkite dėmesį, kad Zinnat suspensijos paruošimas iki pirmosios dozės vartojimo užtruks ilgiau nei vieną valandą. Į šį laiką įeina laikas, skirtas suspensijai "nusistovėti" šaldytuve</w:t>
      </w:r>
      <w:bookmarkStart w:id="31" w:name="_Hlk517871349"/>
      <w:bookmarkStart w:id="32" w:name="_Hlk501648802"/>
    </w:p>
    <w:p w14:paraId="6B53688C" w14:textId="31E7C49E" w:rsidR="00990D07" w:rsidRPr="009742B0" w:rsidRDefault="00990D07" w:rsidP="00990D07">
      <w:pPr>
        <w:numPr>
          <w:ilvl w:val="0"/>
          <w:numId w:val="5"/>
        </w:numPr>
        <w:tabs>
          <w:tab w:val="left" w:pos="567"/>
        </w:tabs>
        <w:spacing w:line="260" w:lineRule="exact"/>
        <w:ind w:left="567" w:hanging="567"/>
        <w:rPr>
          <w:rFonts w:eastAsia="Calibri"/>
          <w:highlight w:val="lightGray"/>
        </w:rPr>
      </w:pPr>
      <w:r w:rsidRPr="009742B0">
        <w:rPr>
          <w:rFonts w:eastAsia="Calibri"/>
          <w:highlight w:val="lightGray"/>
        </w:rPr>
        <w:t>Buteliuko turinį gerai pakratykite</w:t>
      </w:r>
      <w:r w:rsidRPr="009742B0">
        <w:rPr>
          <w:highlight w:val="lightGray"/>
        </w:rPr>
        <w:t>.</w:t>
      </w:r>
      <w:r w:rsidRPr="009742B0">
        <w:rPr>
          <w:rFonts w:eastAsia="Calibri"/>
          <w:highlight w:val="lightGray"/>
        </w:rPr>
        <w:t xml:space="preserve"> Nuimkite </w:t>
      </w:r>
      <w:r w:rsidR="00001567">
        <w:rPr>
          <w:rFonts w:eastAsia="Calibri"/>
          <w:highlight w:val="lightGray"/>
        </w:rPr>
        <w:t xml:space="preserve">buteliuko </w:t>
      </w:r>
      <w:r w:rsidRPr="009742B0">
        <w:rPr>
          <w:rFonts w:eastAsia="Calibri"/>
          <w:highlight w:val="lightGray"/>
        </w:rPr>
        <w:t>dangtelį ir karštu būdu užlietą sandarią membraną. Jeigu membrana yra pažeista arba jos nėra, vaistinį preparatą reikia grąžinti vaistininkui.</w:t>
      </w:r>
    </w:p>
    <w:p w14:paraId="79DEBF16" w14:textId="13CB3C30" w:rsidR="00990D07" w:rsidRPr="009742B0" w:rsidRDefault="00990D07" w:rsidP="00990D07">
      <w:pPr>
        <w:numPr>
          <w:ilvl w:val="0"/>
          <w:numId w:val="5"/>
        </w:numPr>
        <w:tabs>
          <w:tab w:val="left" w:pos="567"/>
        </w:tabs>
        <w:spacing w:line="260" w:lineRule="exact"/>
        <w:ind w:left="567" w:hanging="567"/>
        <w:rPr>
          <w:highlight w:val="lightGray"/>
        </w:rPr>
      </w:pPr>
      <w:r w:rsidRPr="009742B0">
        <w:rPr>
          <w:highlight w:val="lightGray"/>
        </w:rPr>
        <w:t xml:space="preserve">Į kartu tiekiamą </w:t>
      </w:r>
      <w:r w:rsidR="00001567">
        <w:rPr>
          <w:highlight w:val="lightGray"/>
        </w:rPr>
        <w:t xml:space="preserve">matavimo </w:t>
      </w:r>
      <w:r w:rsidRPr="009742B0">
        <w:rPr>
          <w:highlight w:val="lightGray"/>
        </w:rPr>
        <w:t>taurelę (jeigu tiekiama) įpilkite šalto vandens iki ant taurelės nurodytos tūrio linijos. Jeigu prieš tai vanduo buvo užvirintas, prieš supilant į granules, vandenį reikia atvėsinti iki kambario temperatūros. Zinnat granulių geriamajai suspensijai negalima maišyti su karštais ar šiltais skysčiais. Naudojant šaltą vandenį, bus išvengta suspensijos sutirštėjimo.</w:t>
      </w:r>
    </w:p>
    <w:p w14:paraId="7155B57C" w14:textId="1232E407" w:rsidR="00990D07" w:rsidRPr="009742B0" w:rsidRDefault="000750B7" w:rsidP="00990D07">
      <w:pPr>
        <w:numPr>
          <w:ilvl w:val="0"/>
          <w:numId w:val="5"/>
        </w:numPr>
        <w:tabs>
          <w:tab w:val="left" w:pos="567"/>
        </w:tabs>
        <w:spacing w:line="260" w:lineRule="exact"/>
        <w:ind w:left="567" w:hanging="567"/>
        <w:rPr>
          <w:highlight w:val="lightGray"/>
        </w:rPr>
      </w:pPr>
      <w:r w:rsidRPr="001D5FF7">
        <w:rPr>
          <w:highlight w:val="lightGray"/>
        </w:rPr>
        <w:t xml:space="preserve">Į buteliuką įpilkite visą šalto vandens kiekį. </w:t>
      </w:r>
      <w:r w:rsidR="00990D07" w:rsidRPr="000750B7">
        <w:rPr>
          <w:highlight w:val="lightGray"/>
        </w:rPr>
        <w:t>Vėl</w:t>
      </w:r>
      <w:r w:rsidR="00990D07" w:rsidRPr="009742B0">
        <w:rPr>
          <w:highlight w:val="lightGray"/>
        </w:rPr>
        <w:t xml:space="preserve"> uždėkite </w:t>
      </w:r>
      <w:r w:rsidR="00001567">
        <w:rPr>
          <w:highlight w:val="lightGray"/>
        </w:rPr>
        <w:t xml:space="preserve">buteliuko </w:t>
      </w:r>
      <w:r w:rsidR="00990D07" w:rsidRPr="009742B0">
        <w:rPr>
          <w:highlight w:val="lightGray"/>
        </w:rPr>
        <w:t>dangtelį.</w:t>
      </w:r>
      <w:r w:rsidR="00990D07" w:rsidRPr="009742B0">
        <w:rPr>
          <w:rFonts w:ascii="Calibri" w:eastAsia="Calibri" w:hAnsi="Calibri"/>
          <w:highlight w:val="lightGray"/>
        </w:rPr>
        <w:t xml:space="preserve"> </w:t>
      </w:r>
      <w:r w:rsidR="00990D07" w:rsidRPr="009742B0">
        <w:rPr>
          <w:highlight w:val="lightGray"/>
        </w:rPr>
        <w:t>Leiskite buteliukui pastovėti, kad vanduo pilnai prasiskverbtų per granules. Tai užtruks maždaug vieną minutę.</w:t>
      </w:r>
    </w:p>
    <w:p w14:paraId="0020580D" w14:textId="77777777" w:rsidR="00990D07" w:rsidRPr="009742B0" w:rsidRDefault="00990D07" w:rsidP="00990D07">
      <w:pPr>
        <w:numPr>
          <w:ilvl w:val="0"/>
          <w:numId w:val="5"/>
        </w:numPr>
        <w:tabs>
          <w:tab w:val="left" w:pos="567"/>
        </w:tabs>
        <w:spacing w:line="260" w:lineRule="exact"/>
        <w:ind w:left="567" w:hanging="567"/>
        <w:rPr>
          <w:rFonts w:eastAsia="Calibri"/>
          <w:highlight w:val="lightGray"/>
        </w:rPr>
      </w:pPr>
      <w:r w:rsidRPr="009742B0">
        <w:rPr>
          <w:rFonts w:eastAsia="Calibri"/>
          <w:highlight w:val="lightGray"/>
        </w:rPr>
        <w:t xml:space="preserve">Buteliuką apverskite ir </w:t>
      </w:r>
      <w:bookmarkStart w:id="33" w:name="_Hlk501647671"/>
      <w:r w:rsidRPr="009742B0">
        <w:rPr>
          <w:highlight w:val="lightGray"/>
        </w:rPr>
        <w:t>gerai</w:t>
      </w:r>
      <w:bookmarkEnd w:id="33"/>
      <w:r w:rsidRPr="009742B0">
        <w:rPr>
          <w:rFonts w:eastAsia="Calibri"/>
          <w:highlight w:val="lightGray"/>
        </w:rPr>
        <w:t xml:space="preserve"> pakratykite (bent 15 sekundžių</w:t>
      </w:r>
      <w:r w:rsidRPr="009742B0">
        <w:rPr>
          <w:highlight w:val="lightGray"/>
        </w:rPr>
        <w:t>)</w:t>
      </w:r>
      <w:r w:rsidRPr="009742B0">
        <w:rPr>
          <w:rFonts w:ascii="Calibri" w:eastAsia="Calibri" w:hAnsi="Calibri"/>
          <w:highlight w:val="lightGray"/>
        </w:rPr>
        <w:t xml:space="preserve"> </w:t>
      </w:r>
      <w:r w:rsidRPr="009742B0">
        <w:rPr>
          <w:highlight w:val="lightGray"/>
        </w:rPr>
        <w:t>tol, kol visos granulės susimaišys su vandeniu.</w:t>
      </w:r>
    </w:p>
    <w:p w14:paraId="73DEA3E4" w14:textId="77777777" w:rsidR="00990D07" w:rsidRPr="009742B0" w:rsidRDefault="00990D07" w:rsidP="00990D07">
      <w:pPr>
        <w:numPr>
          <w:ilvl w:val="0"/>
          <w:numId w:val="5"/>
        </w:numPr>
        <w:tabs>
          <w:tab w:val="left" w:pos="567"/>
        </w:tabs>
        <w:spacing w:line="260" w:lineRule="exact"/>
        <w:ind w:left="567" w:hanging="567"/>
        <w:rPr>
          <w:rFonts w:eastAsia="Calibri"/>
          <w:highlight w:val="lightGray"/>
        </w:rPr>
      </w:pPr>
      <w:r w:rsidRPr="009742B0">
        <w:rPr>
          <w:rFonts w:eastAsia="Calibri"/>
          <w:highlight w:val="lightGray"/>
        </w:rPr>
        <w:t xml:space="preserve">Atverskite buteliuką į vertikalią padėtį dangteliu į viršų ir </w:t>
      </w:r>
      <w:r w:rsidRPr="009742B0">
        <w:rPr>
          <w:highlight w:val="lightGray"/>
        </w:rPr>
        <w:t>gerai</w:t>
      </w:r>
      <w:r w:rsidRPr="009742B0">
        <w:rPr>
          <w:rFonts w:eastAsia="Calibri"/>
          <w:highlight w:val="lightGray"/>
        </w:rPr>
        <w:t xml:space="preserve"> pakratykite</w:t>
      </w:r>
      <w:r w:rsidRPr="009742B0">
        <w:rPr>
          <w:rFonts w:ascii="Calibri" w:eastAsia="Calibri" w:hAnsi="Calibri"/>
          <w:highlight w:val="lightGray"/>
        </w:rPr>
        <w:t xml:space="preserve"> </w:t>
      </w:r>
      <w:r w:rsidRPr="009742B0">
        <w:rPr>
          <w:highlight w:val="lightGray"/>
        </w:rPr>
        <w:t>bent vieną minutę tol, kol visos granulės ištirps</w:t>
      </w:r>
      <w:r w:rsidRPr="009742B0">
        <w:rPr>
          <w:rFonts w:eastAsia="Calibri"/>
          <w:highlight w:val="lightGray"/>
        </w:rPr>
        <w:t>.</w:t>
      </w:r>
    </w:p>
    <w:bookmarkEnd w:id="31"/>
    <w:p w14:paraId="3F42525F" w14:textId="77777777" w:rsidR="00990D07" w:rsidRPr="009742B0" w:rsidRDefault="00990D07" w:rsidP="00990D07">
      <w:pPr>
        <w:tabs>
          <w:tab w:val="left" w:pos="567"/>
        </w:tabs>
        <w:spacing w:line="260" w:lineRule="exact"/>
        <w:rPr>
          <w:highlight w:val="lightGray"/>
        </w:rPr>
      </w:pPr>
    </w:p>
    <w:p w14:paraId="6E5EE7FE" w14:textId="75CB6D5C" w:rsidR="00990D07" w:rsidRPr="009742B0" w:rsidRDefault="00990D07" w:rsidP="00990D07">
      <w:pPr>
        <w:tabs>
          <w:tab w:val="left" w:pos="0"/>
        </w:tabs>
        <w:spacing w:line="260" w:lineRule="exact"/>
        <w:rPr>
          <w:rFonts w:eastAsia="Calibri"/>
          <w:highlight w:val="lightGray"/>
        </w:rPr>
      </w:pPr>
      <w:r w:rsidRPr="009742B0">
        <w:rPr>
          <w:rFonts w:eastAsia="Calibri"/>
          <w:highlight w:val="lightGray"/>
        </w:rPr>
        <w:t xml:space="preserve">Nedelsdami įdėkite </w:t>
      </w:r>
      <w:r w:rsidRPr="009742B0">
        <w:rPr>
          <w:highlight w:val="lightGray"/>
        </w:rPr>
        <w:t xml:space="preserve">Zinnat suspensiją </w:t>
      </w:r>
      <w:r w:rsidRPr="009742B0">
        <w:rPr>
          <w:rFonts w:eastAsia="Calibri"/>
          <w:highlight w:val="lightGray"/>
        </w:rPr>
        <w:t>į šaldytuvą (2</w:t>
      </w:r>
      <w:r w:rsidRPr="009742B0">
        <w:rPr>
          <w:rFonts w:eastAsia="Calibri"/>
          <w:highlight w:val="lightGray"/>
        </w:rPr>
        <w:noBreakHyphen/>
        <w:t>8</w:t>
      </w:r>
      <w:r w:rsidRPr="009742B0">
        <w:rPr>
          <w:rFonts w:eastAsia="Calibri"/>
          <w:highlight w:val="lightGray"/>
        </w:rPr>
        <w:fldChar w:fldCharType="begin"/>
      </w:r>
      <w:r w:rsidRPr="009742B0">
        <w:rPr>
          <w:rFonts w:eastAsia="Calibri"/>
          <w:highlight w:val="lightGray"/>
        </w:rPr>
        <w:instrText>SYMBOL 176\u</w:instrText>
      </w:r>
      <w:r w:rsidRPr="009742B0">
        <w:rPr>
          <w:rFonts w:eastAsia="Calibri"/>
          <w:highlight w:val="lightGray"/>
        </w:rPr>
        <w:fldChar w:fldCharType="end"/>
      </w:r>
      <w:r w:rsidRPr="009742B0">
        <w:rPr>
          <w:rFonts w:eastAsia="Calibri"/>
          <w:highlight w:val="lightGray"/>
        </w:rPr>
        <w:t>C</w:t>
      </w:r>
      <w:r w:rsidRPr="009742B0">
        <w:rPr>
          <w:highlight w:val="lightGray"/>
        </w:rPr>
        <w:t xml:space="preserve">) (negalima užšaldyti) ir </w:t>
      </w:r>
      <w:r w:rsidRPr="009742B0">
        <w:rPr>
          <w:rFonts w:eastAsia="Calibri"/>
          <w:highlight w:val="lightGray"/>
        </w:rPr>
        <w:t>palaikykite bent vieną valandą prieš vartodami pirmąją dozę.</w:t>
      </w:r>
      <w:r w:rsidRPr="009742B0">
        <w:rPr>
          <w:rFonts w:ascii="Calibri" w:eastAsia="Calibri" w:hAnsi="Calibri"/>
          <w:highlight w:val="lightGray"/>
        </w:rPr>
        <w:t xml:space="preserve"> </w:t>
      </w:r>
      <w:r w:rsidRPr="009742B0">
        <w:rPr>
          <w:highlight w:val="lightGray"/>
        </w:rPr>
        <w:t>Paruoštą suspensiją</w:t>
      </w:r>
      <w:r w:rsidRPr="000750B7">
        <w:rPr>
          <w:highlight w:val="lightGray"/>
        </w:rPr>
        <w:t xml:space="preserve"> </w:t>
      </w:r>
      <w:r w:rsidR="000750B7" w:rsidRPr="001D5FF7">
        <w:rPr>
          <w:highlight w:val="lightGray"/>
        </w:rPr>
        <w:t xml:space="preserve">visada reikia laikyti šaldytuve, </w:t>
      </w:r>
      <w:r w:rsidRPr="000750B7">
        <w:rPr>
          <w:highlight w:val="lightGray"/>
        </w:rPr>
        <w:t>laikyti šaldytuve 2</w:t>
      </w:r>
      <w:r w:rsidRPr="000750B7">
        <w:rPr>
          <w:highlight w:val="lightGray"/>
        </w:rPr>
        <w:noBreakHyphen/>
        <w:t>8 °C temperatūroje ne ilgiau kaip 10 parų.</w:t>
      </w:r>
      <w:r w:rsidR="000750B7" w:rsidRPr="000750B7">
        <w:rPr>
          <w:highlight w:val="lightGray"/>
        </w:rPr>
        <w:t xml:space="preserve"> </w:t>
      </w:r>
      <w:r w:rsidR="000750B7" w:rsidRPr="000750B7">
        <w:t xml:space="preserve"> </w:t>
      </w:r>
    </w:p>
    <w:p w14:paraId="49F6E12D" w14:textId="77777777" w:rsidR="00990D07" w:rsidRPr="009742B0" w:rsidRDefault="00990D07" w:rsidP="00990D07">
      <w:pPr>
        <w:rPr>
          <w:highlight w:val="lightGray"/>
        </w:rPr>
      </w:pPr>
    </w:p>
    <w:p w14:paraId="1F295663" w14:textId="77777777" w:rsidR="00990D07" w:rsidRPr="009742B0" w:rsidRDefault="00990D07" w:rsidP="00990D07">
      <w:pPr>
        <w:rPr>
          <w:highlight w:val="lightGray"/>
        </w:rPr>
      </w:pPr>
      <w:r w:rsidRPr="009742B0">
        <w:rPr>
          <w:highlight w:val="lightGray"/>
        </w:rPr>
        <w:t>Visada, prieš geriant vaistinį preparatą, buteliuką reikia gerai pakratyti. Dozės išgėrimui yra skirtas kartu tiekiamas dozavimo švirkštas arba šaukštas.</w:t>
      </w:r>
    </w:p>
    <w:p w14:paraId="0FE3E20B" w14:textId="77777777" w:rsidR="00990D07" w:rsidRPr="009742B0" w:rsidRDefault="00990D07" w:rsidP="00990D07">
      <w:pPr>
        <w:ind w:left="567"/>
        <w:rPr>
          <w:rFonts w:eastAsia="Calibri"/>
          <w:highlight w:val="lightGray"/>
        </w:rPr>
      </w:pPr>
    </w:p>
    <w:bookmarkEnd w:id="32"/>
    <w:p w14:paraId="34637DD0" w14:textId="77777777" w:rsidR="00990D07" w:rsidRPr="009742B0" w:rsidRDefault="00990D07" w:rsidP="00990D07">
      <w:pPr>
        <w:keepNext/>
        <w:tabs>
          <w:tab w:val="left" w:pos="0"/>
        </w:tabs>
        <w:rPr>
          <w:rFonts w:eastAsia="Calibri"/>
          <w:highlight w:val="lightGray"/>
          <w:u w:val="single"/>
        </w:rPr>
      </w:pPr>
      <w:r w:rsidRPr="009742B0">
        <w:rPr>
          <w:rFonts w:eastAsia="Calibri"/>
          <w:highlight w:val="lightGray"/>
          <w:u w:val="single"/>
        </w:rPr>
        <w:t>Nurodymai, kaip naudoti dozavimo švirkštą (jeigu tiekiami)</w:t>
      </w:r>
    </w:p>
    <w:p w14:paraId="67DE68C8" w14:textId="77777777" w:rsidR="00990D07" w:rsidRPr="009742B0" w:rsidRDefault="00990D07" w:rsidP="00990D07">
      <w:pPr>
        <w:tabs>
          <w:tab w:val="left" w:pos="0"/>
        </w:tabs>
        <w:rPr>
          <w:rFonts w:eastAsia="Calibri"/>
          <w:highlight w:val="lightGray"/>
          <w:u w:val="single"/>
        </w:rPr>
      </w:pPr>
    </w:p>
    <w:p w14:paraId="5A66A0CA"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t>Nuimkite buteliuko dangtelį ir švirkšto sandariklio įtaisą įterpkite į buteliuko kakliuką. Spauskite gilyn tol, kol sandariklis tvirtai įsitvirtins kakliuke. Buteliuką su švirkštu apverskite.</w:t>
      </w:r>
    </w:p>
    <w:p w14:paraId="2E3340F2"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t>Traukite stūmoklį vamzdeliu, kol žiedas ant vamzdelio susilygins su žyme ant stūmoklio, atitinkančia reikiamą dozę.</w:t>
      </w:r>
    </w:p>
    <w:p w14:paraId="7F4F5C67"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lastRenderedPageBreak/>
        <w:t>Buteliuką su švirkštu atverskite į vertikalią padėtį kakliuku į viršų. Laikydami už švirkšto ir stūmoklio, kad stūmoklis nepajudėtų, ištraukite švirkštą iš buteliuko taip, kad plastikinis sandariklis liktų buteliuko kakliuke.</w:t>
      </w:r>
    </w:p>
    <w:p w14:paraId="2298C91D"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t>Pacientui sėdint vertikalioje padėtyje, švirkšto galiuką įkiškite į paciento burną taip, kad galiukas būtų nukreiptas į vidinę skruosto pusę.</w:t>
      </w:r>
    </w:p>
    <w:p w14:paraId="5A683460"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t>Lėtai spausdami švirkšto stūmoklį, sušvirkškite vaistinį preparatą taip, kad nesukeltumėte užspringimo. Vaistinio preparato NEGALIMA sušvirkšti staigiai.</w:t>
      </w:r>
    </w:p>
    <w:p w14:paraId="6AAE34B8" w14:textId="77777777" w:rsidR="00990D07" w:rsidRPr="009742B0" w:rsidRDefault="00990D07" w:rsidP="00990D07">
      <w:pPr>
        <w:numPr>
          <w:ilvl w:val="0"/>
          <w:numId w:val="6"/>
        </w:numPr>
        <w:tabs>
          <w:tab w:val="left" w:pos="567"/>
        </w:tabs>
        <w:spacing w:line="260" w:lineRule="exact"/>
        <w:ind w:left="567" w:hanging="567"/>
        <w:rPr>
          <w:rFonts w:eastAsia="Calibri"/>
          <w:highlight w:val="lightGray"/>
        </w:rPr>
      </w:pPr>
      <w:r w:rsidRPr="009742B0">
        <w:rPr>
          <w:rFonts w:eastAsia="Calibri"/>
          <w:highlight w:val="lightGray"/>
        </w:rPr>
        <w:t xml:space="preserve">Suvartoję dozę, vėl uždėkite dangtelį ant buteliuko neišimdami plastikinio sandariklio. </w:t>
      </w:r>
      <w:bookmarkStart w:id="34" w:name="_Hlk501648877"/>
      <w:r w:rsidRPr="009742B0">
        <w:rPr>
          <w:rFonts w:eastAsia="Calibri"/>
          <w:highlight w:val="lightGray"/>
        </w:rPr>
        <w:t xml:space="preserve">Išardykite švirkštą ir kruopščiai išplaukite </w:t>
      </w:r>
      <w:r w:rsidRPr="009742B0">
        <w:rPr>
          <w:highlight w:val="lightGray"/>
        </w:rPr>
        <w:t>švariu</w:t>
      </w:r>
      <w:r w:rsidRPr="009742B0">
        <w:rPr>
          <w:rFonts w:eastAsia="Calibri"/>
          <w:highlight w:val="lightGray"/>
        </w:rPr>
        <w:t xml:space="preserve"> vandeniu. </w:t>
      </w:r>
      <w:bookmarkEnd w:id="34"/>
      <w:r w:rsidRPr="009742B0">
        <w:rPr>
          <w:rFonts w:eastAsia="Calibri"/>
          <w:highlight w:val="lightGray"/>
        </w:rPr>
        <w:t>Stūmokliui ir vamzdeliui leiskite natūraliai išdžiūti.</w:t>
      </w:r>
    </w:p>
    <w:p w14:paraId="38295BA0" w14:textId="77777777" w:rsidR="00990D07" w:rsidRPr="009742B0" w:rsidRDefault="00990D07" w:rsidP="00990D07">
      <w:pPr>
        <w:rPr>
          <w:rFonts w:eastAsia="Calibri"/>
          <w:highlight w:val="lightGray"/>
        </w:rPr>
      </w:pPr>
    </w:p>
    <w:p w14:paraId="25ACC85E" w14:textId="77777777" w:rsidR="00990D07" w:rsidRPr="00C07A3C" w:rsidRDefault="00990D07" w:rsidP="00990D07">
      <w:pPr>
        <w:rPr>
          <w:rFonts w:eastAsia="Calibri"/>
        </w:rPr>
      </w:pPr>
      <w:r w:rsidRPr="009742B0">
        <w:rPr>
          <w:rFonts w:eastAsia="Calibri"/>
          <w:highlight w:val="lightGray"/>
        </w:rPr>
        <w:t>Paruoštos suspensijos arba granulių negalima maišyti su karštais skysčiais.</w:t>
      </w:r>
    </w:p>
    <w:bookmarkEnd w:id="30"/>
    <w:p w14:paraId="708F7D4F" w14:textId="77777777" w:rsidR="00990D07" w:rsidRPr="008661CD" w:rsidRDefault="00990D07" w:rsidP="008661CD"/>
    <w:p w14:paraId="4BC7449F" w14:textId="77777777" w:rsidR="00922D8A" w:rsidRPr="008661CD" w:rsidRDefault="00922D8A" w:rsidP="008661CD">
      <w:pPr>
        <w:ind w:left="567" w:hanging="567"/>
      </w:pPr>
    </w:p>
    <w:p w14:paraId="36A06A98" w14:textId="77777777" w:rsidR="00922D8A" w:rsidRPr="008661CD" w:rsidRDefault="00922D8A" w:rsidP="008661CD">
      <w:pPr>
        <w:keepNext/>
        <w:tabs>
          <w:tab w:val="left" w:pos="567"/>
        </w:tabs>
        <w:rPr>
          <w:b/>
          <w:caps/>
        </w:rPr>
      </w:pPr>
      <w:r w:rsidRPr="008661CD">
        <w:rPr>
          <w:b/>
          <w:caps/>
        </w:rPr>
        <w:t>7.</w:t>
      </w:r>
      <w:r w:rsidRPr="008661CD">
        <w:rPr>
          <w:b/>
          <w:caps/>
        </w:rPr>
        <w:tab/>
        <w:t>REGISTRUOTOJAS</w:t>
      </w:r>
    </w:p>
    <w:p w14:paraId="43261319" w14:textId="77777777" w:rsidR="00922D8A" w:rsidRPr="008661CD" w:rsidRDefault="00922D8A" w:rsidP="008661CD">
      <w:pPr>
        <w:keepNext/>
        <w:tabs>
          <w:tab w:val="left" w:pos="567"/>
        </w:tabs>
      </w:pPr>
    </w:p>
    <w:p w14:paraId="5894CE25" w14:textId="77777777" w:rsidR="00772556" w:rsidRPr="001514CF" w:rsidRDefault="00772556" w:rsidP="00772556">
      <w:pPr>
        <w:tabs>
          <w:tab w:val="left" w:pos="567"/>
          <w:tab w:val="left" w:pos="3060"/>
        </w:tabs>
        <w:rPr>
          <w:szCs w:val="22"/>
          <w:lang w:eastAsia="zh-TW"/>
        </w:rPr>
      </w:pPr>
      <w:bookmarkStart w:id="35" w:name="_Hlk112943028"/>
      <w:r w:rsidRPr="001514CF">
        <w:rPr>
          <w:szCs w:val="22"/>
          <w:lang w:eastAsia="zh-TW"/>
        </w:rPr>
        <w:t>Sandoz d.d.</w:t>
      </w:r>
    </w:p>
    <w:p w14:paraId="5FB54AA4" w14:textId="77777777" w:rsidR="00772556" w:rsidRPr="001514CF" w:rsidRDefault="00772556" w:rsidP="00772556">
      <w:pPr>
        <w:tabs>
          <w:tab w:val="left" w:pos="567"/>
          <w:tab w:val="left" w:pos="3060"/>
        </w:tabs>
        <w:rPr>
          <w:szCs w:val="22"/>
          <w:lang w:eastAsia="zh-TW"/>
        </w:rPr>
      </w:pPr>
      <w:r w:rsidRPr="001514CF">
        <w:rPr>
          <w:szCs w:val="22"/>
          <w:lang w:eastAsia="zh-TW"/>
        </w:rPr>
        <w:t>Verovškova 57</w:t>
      </w:r>
    </w:p>
    <w:p w14:paraId="48FD5051" w14:textId="77777777" w:rsidR="00772556" w:rsidRPr="001514CF" w:rsidRDefault="00772556" w:rsidP="00772556">
      <w:pPr>
        <w:tabs>
          <w:tab w:val="left" w:pos="567"/>
          <w:tab w:val="left" w:pos="3060"/>
        </w:tabs>
        <w:rPr>
          <w:szCs w:val="22"/>
          <w:lang w:eastAsia="zh-TW"/>
        </w:rPr>
      </w:pPr>
      <w:r w:rsidRPr="001514CF">
        <w:rPr>
          <w:szCs w:val="22"/>
          <w:lang w:eastAsia="zh-TW"/>
        </w:rPr>
        <w:t>SI-1000 Ljubljana</w:t>
      </w:r>
    </w:p>
    <w:p w14:paraId="38FF0BFE" w14:textId="77777777" w:rsidR="00772556" w:rsidRPr="001514CF" w:rsidRDefault="00772556" w:rsidP="00772556">
      <w:pPr>
        <w:tabs>
          <w:tab w:val="left" w:pos="567"/>
          <w:tab w:val="left" w:pos="3060"/>
        </w:tabs>
        <w:autoSpaceDE w:val="0"/>
        <w:autoSpaceDN w:val="0"/>
        <w:adjustRightInd w:val="0"/>
        <w:rPr>
          <w:szCs w:val="22"/>
          <w:lang w:eastAsia="zh-TW"/>
        </w:rPr>
      </w:pPr>
      <w:r w:rsidRPr="001514CF">
        <w:rPr>
          <w:szCs w:val="22"/>
          <w:lang w:eastAsia="zh-TW"/>
        </w:rPr>
        <w:t>Slovėnija</w:t>
      </w:r>
    </w:p>
    <w:bookmarkEnd w:id="35"/>
    <w:p w14:paraId="6F85C2D1" w14:textId="77777777" w:rsidR="00922D8A" w:rsidRPr="008661CD" w:rsidRDefault="00922D8A" w:rsidP="008661CD">
      <w:pPr>
        <w:ind w:left="567" w:hanging="567"/>
      </w:pPr>
    </w:p>
    <w:p w14:paraId="798FC3CF" w14:textId="77777777" w:rsidR="00922D8A" w:rsidRPr="008661CD" w:rsidRDefault="00922D8A" w:rsidP="008661CD">
      <w:pPr>
        <w:ind w:left="567" w:hanging="567"/>
      </w:pPr>
    </w:p>
    <w:p w14:paraId="1B57CE05" w14:textId="77777777" w:rsidR="00922D8A" w:rsidRPr="008661CD" w:rsidRDefault="00922D8A" w:rsidP="008661CD">
      <w:pPr>
        <w:ind w:left="567" w:hanging="567"/>
        <w:rPr>
          <w:b/>
          <w:caps/>
        </w:rPr>
      </w:pPr>
      <w:r w:rsidRPr="008661CD">
        <w:rPr>
          <w:b/>
          <w:caps/>
        </w:rPr>
        <w:t>8.</w:t>
      </w:r>
      <w:r w:rsidRPr="008661CD">
        <w:rPr>
          <w:b/>
          <w:caps/>
        </w:rPr>
        <w:tab/>
        <w:t>REGISTRACIJOS PAŽYMĖJIMO numeris (-IAI)</w:t>
      </w:r>
    </w:p>
    <w:p w14:paraId="627F4DB1" w14:textId="77777777" w:rsidR="00922D8A" w:rsidRPr="008661CD" w:rsidRDefault="00922D8A" w:rsidP="008661CD">
      <w:pPr>
        <w:ind w:left="567" w:hanging="567"/>
      </w:pPr>
    </w:p>
    <w:p w14:paraId="48D4638E" w14:textId="1F6BD455" w:rsidR="00922D8A" w:rsidRPr="00D6299C" w:rsidRDefault="00922D8A" w:rsidP="008661CD">
      <w:pPr>
        <w:keepNext/>
        <w:ind w:left="567" w:hanging="567"/>
      </w:pPr>
      <w:r w:rsidRPr="00AA08CA">
        <w:t xml:space="preserve">250 mg </w:t>
      </w:r>
    </w:p>
    <w:p w14:paraId="4EC07B99" w14:textId="5C6FA8B8" w:rsidR="00EC7E28" w:rsidRDefault="00EC7E28" w:rsidP="00EC7E28">
      <w:pPr>
        <w:rPr>
          <w:bCs/>
        </w:rPr>
      </w:pPr>
      <w:r>
        <w:rPr>
          <w:bCs/>
        </w:rPr>
        <w:t>LT/1/94/0478/003 – N10</w:t>
      </w:r>
    </w:p>
    <w:p w14:paraId="1B12A57E" w14:textId="11DC4036" w:rsidR="00922D8A" w:rsidRDefault="00EC7E28" w:rsidP="00EC7E28">
      <w:pPr>
        <w:ind w:left="567" w:hanging="567"/>
        <w:rPr>
          <w:bCs/>
        </w:rPr>
      </w:pPr>
      <w:r>
        <w:rPr>
          <w:bCs/>
        </w:rPr>
        <w:t>LT/1/94/0478/004 – N14</w:t>
      </w:r>
    </w:p>
    <w:p w14:paraId="49982252" w14:textId="77777777" w:rsidR="00EC7E28" w:rsidRPr="00AA08CA" w:rsidRDefault="00EC7E28" w:rsidP="00EC7E28">
      <w:pPr>
        <w:ind w:left="567" w:hanging="567"/>
        <w:rPr>
          <w:highlight w:val="lightGray"/>
        </w:rPr>
      </w:pPr>
    </w:p>
    <w:p w14:paraId="35638161" w14:textId="7553B151" w:rsidR="00922D8A" w:rsidRPr="00EC7E28" w:rsidRDefault="00922D8A" w:rsidP="008661CD">
      <w:pPr>
        <w:ind w:left="567" w:hanging="567"/>
      </w:pPr>
      <w:r w:rsidRPr="00772556">
        <w:t xml:space="preserve">500 mg </w:t>
      </w:r>
    </w:p>
    <w:p w14:paraId="36E83BBE" w14:textId="48F7BC5F" w:rsidR="00EC7E28" w:rsidRPr="00EC7E28" w:rsidRDefault="00EC7E28" w:rsidP="00EC7E28">
      <w:pPr>
        <w:ind w:left="567" w:hanging="567"/>
        <w:rPr>
          <w:szCs w:val="20"/>
        </w:rPr>
      </w:pPr>
      <w:r w:rsidRPr="00EC7E28">
        <w:rPr>
          <w:szCs w:val="20"/>
        </w:rPr>
        <w:t>LT/1/94/0478/005 – N10</w:t>
      </w:r>
    </w:p>
    <w:p w14:paraId="72607DAB" w14:textId="7CA116E5" w:rsidR="00922D8A" w:rsidRDefault="00EC7E28" w:rsidP="00EC7E28">
      <w:pPr>
        <w:ind w:left="567" w:hanging="567"/>
        <w:rPr>
          <w:szCs w:val="20"/>
        </w:rPr>
      </w:pPr>
      <w:r w:rsidRPr="00EC7E28">
        <w:rPr>
          <w:szCs w:val="20"/>
        </w:rPr>
        <w:t>LT/1/94/0478/006 – N14</w:t>
      </w:r>
    </w:p>
    <w:p w14:paraId="3A98FAE9" w14:textId="77777777" w:rsidR="00EC7E28" w:rsidRDefault="00EC7E28" w:rsidP="00EC7E28">
      <w:pPr>
        <w:ind w:left="567" w:hanging="567"/>
      </w:pPr>
    </w:p>
    <w:p w14:paraId="7AC1F9F6" w14:textId="51517493" w:rsidR="009C2836" w:rsidRPr="00772556" w:rsidRDefault="009C2836" w:rsidP="00EC7E28">
      <w:pPr>
        <w:ind w:left="567" w:hanging="567"/>
      </w:pPr>
      <w:bookmarkStart w:id="36" w:name="_Hlk49789567"/>
      <w:r w:rsidRPr="00772556">
        <w:t xml:space="preserve">125 mg/5 ml </w:t>
      </w:r>
    </w:p>
    <w:p w14:paraId="5CAA24AD" w14:textId="7485C805" w:rsidR="00EC7E28" w:rsidRPr="00772556" w:rsidRDefault="00EC7E28" w:rsidP="00EC7E28">
      <w:pPr>
        <w:ind w:left="567" w:hanging="567"/>
      </w:pPr>
      <w:r w:rsidRPr="00772556">
        <w:t>LT/1/94/0478/007 – 50 ml, N1</w:t>
      </w:r>
    </w:p>
    <w:p w14:paraId="064DDC90" w14:textId="269EB80C" w:rsidR="00EC7E28" w:rsidRPr="00772556" w:rsidRDefault="00EC7E28" w:rsidP="00EC7E28">
      <w:pPr>
        <w:ind w:left="567" w:hanging="567"/>
      </w:pPr>
      <w:r w:rsidRPr="00772556">
        <w:t>LT/1/94/0478/008 – 70 ml, N1</w:t>
      </w:r>
    </w:p>
    <w:p w14:paraId="1F1CBC62" w14:textId="06513AD1" w:rsidR="009C2836" w:rsidRPr="009C0DB0" w:rsidRDefault="00EC7E28" w:rsidP="00EC7E28">
      <w:pPr>
        <w:ind w:left="567" w:hanging="567"/>
        <w:rPr>
          <w:rFonts w:eastAsia="Calibri"/>
          <w:i/>
        </w:rPr>
      </w:pPr>
      <w:r w:rsidRPr="00772556">
        <w:t>LT/1/94/0478/009 – 100 ml, N1</w:t>
      </w:r>
    </w:p>
    <w:bookmarkEnd w:id="36"/>
    <w:p w14:paraId="2C73C3FC" w14:textId="77777777" w:rsidR="009C2836" w:rsidRPr="008661CD" w:rsidRDefault="009C2836" w:rsidP="008661CD">
      <w:pPr>
        <w:ind w:left="567" w:hanging="567"/>
      </w:pPr>
    </w:p>
    <w:p w14:paraId="70325FDA" w14:textId="77777777" w:rsidR="00922D8A" w:rsidRPr="008661CD" w:rsidRDefault="00922D8A" w:rsidP="008661CD">
      <w:pPr>
        <w:ind w:left="567" w:hanging="567"/>
      </w:pPr>
    </w:p>
    <w:p w14:paraId="57942F12" w14:textId="77777777" w:rsidR="00922D8A" w:rsidRPr="008661CD" w:rsidRDefault="00922D8A" w:rsidP="008661CD">
      <w:pPr>
        <w:ind w:left="567" w:hanging="567"/>
        <w:rPr>
          <w:b/>
          <w:caps/>
        </w:rPr>
      </w:pPr>
      <w:r w:rsidRPr="008661CD">
        <w:rPr>
          <w:b/>
          <w:caps/>
        </w:rPr>
        <w:t>9.</w:t>
      </w:r>
      <w:r w:rsidRPr="008661CD">
        <w:rPr>
          <w:b/>
          <w:caps/>
        </w:rPr>
        <w:tab/>
        <w:t>REGISTRAVIMO / PERREGISTRAVIMO data</w:t>
      </w:r>
    </w:p>
    <w:p w14:paraId="6ADEAF8F" w14:textId="77777777" w:rsidR="00922D8A" w:rsidRPr="009C0DB0" w:rsidRDefault="00922D8A" w:rsidP="008661CD">
      <w:pPr>
        <w:ind w:left="567" w:hanging="567"/>
        <w:rPr>
          <w:caps/>
        </w:rPr>
      </w:pPr>
    </w:p>
    <w:p w14:paraId="7C0201F9" w14:textId="77777777" w:rsidR="00922D8A" w:rsidRPr="008661CD" w:rsidRDefault="00922D8A" w:rsidP="008661CD">
      <w:pPr>
        <w:ind w:left="567" w:hanging="567"/>
      </w:pPr>
      <w:r w:rsidRPr="008661CD">
        <w:t>Registravimo data 1994 m. kovo mėn. 31 d.</w:t>
      </w:r>
    </w:p>
    <w:p w14:paraId="7412A590" w14:textId="24F5D12C" w:rsidR="00922D8A" w:rsidRPr="008661CD" w:rsidRDefault="00922D8A" w:rsidP="008661CD">
      <w:pPr>
        <w:ind w:left="567" w:hanging="567"/>
      </w:pPr>
      <w:r w:rsidRPr="008661CD">
        <w:t xml:space="preserve">Paskutinio perregistravimo data </w:t>
      </w:r>
      <w:r w:rsidR="00EC7E28">
        <w:rPr>
          <w:noProof/>
        </w:rPr>
        <w:t>2021 m. balandžio 19</w:t>
      </w:r>
      <w:r w:rsidR="002B44B7" w:rsidRPr="000A79DC">
        <w:rPr>
          <w:noProof/>
        </w:rPr>
        <w:t> d.</w:t>
      </w:r>
    </w:p>
    <w:p w14:paraId="0A668C1D" w14:textId="77777777" w:rsidR="00922D8A" w:rsidRPr="008661CD" w:rsidRDefault="00922D8A" w:rsidP="008661CD">
      <w:pPr>
        <w:ind w:left="567" w:hanging="567"/>
      </w:pPr>
    </w:p>
    <w:p w14:paraId="1B19DF52" w14:textId="77777777" w:rsidR="00922D8A" w:rsidRPr="008661CD" w:rsidRDefault="00922D8A" w:rsidP="008661CD">
      <w:pPr>
        <w:ind w:left="567" w:hanging="567"/>
      </w:pPr>
    </w:p>
    <w:p w14:paraId="4A991BC3" w14:textId="77777777" w:rsidR="00922D8A" w:rsidRPr="008661CD" w:rsidRDefault="00922D8A" w:rsidP="008661CD">
      <w:pPr>
        <w:keepNext/>
        <w:ind w:left="567" w:hanging="567"/>
        <w:rPr>
          <w:b/>
          <w:caps/>
        </w:rPr>
      </w:pPr>
      <w:r w:rsidRPr="008661CD">
        <w:rPr>
          <w:b/>
          <w:caps/>
        </w:rPr>
        <w:t>10.</w:t>
      </w:r>
      <w:r w:rsidRPr="008661CD">
        <w:rPr>
          <w:b/>
          <w:caps/>
        </w:rPr>
        <w:tab/>
        <w:t>teksto peržiūros data</w:t>
      </w:r>
    </w:p>
    <w:p w14:paraId="6ECAF2E9" w14:textId="77777777" w:rsidR="00922D8A" w:rsidRPr="009C0DB0" w:rsidRDefault="00922D8A" w:rsidP="008661CD">
      <w:pPr>
        <w:keepNext/>
        <w:ind w:left="567" w:hanging="567"/>
        <w:rPr>
          <w:caps/>
        </w:rPr>
      </w:pPr>
    </w:p>
    <w:p w14:paraId="770CD50B" w14:textId="39C2BF72" w:rsidR="00EC7E28" w:rsidRDefault="001878E5" w:rsidP="008661CD">
      <w:pPr>
        <w:rPr>
          <w:noProof/>
        </w:rPr>
      </w:pPr>
      <w:r>
        <w:rPr>
          <w:noProof/>
        </w:rPr>
        <w:t>2026 m. sausio 19 d.</w:t>
      </w:r>
    </w:p>
    <w:p w14:paraId="6FF8D004" w14:textId="77777777" w:rsidR="00724236" w:rsidRDefault="00724236" w:rsidP="008661CD">
      <w:pPr>
        <w:rPr>
          <w:noProof/>
        </w:rPr>
      </w:pPr>
    </w:p>
    <w:p w14:paraId="64E79B1A" w14:textId="77777777" w:rsidR="00EC7E28" w:rsidRPr="008661CD" w:rsidRDefault="00EC7E28" w:rsidP="008661CD"/>
    <w:p w14:paraId="216DA2B6" w14:textId="7F374AFB" w:rsidR="00922D8A" w:rsidRPr="008661CD" w:rsidRDefault="00922D8A" w:rsidP="008661CD">
      <w:r w:rsidRPr="008661CD">
        <w:t>Išsami informacija apie šį vaistinį preparatą pateikiama Valstybinės vaistų kontrolės tarnybos prie Lietuvos Respublikos sveikatos apsaugos ministerijos tinklalapyje</w:t>
      </w:r>
      <w:r w:rsidRPr="008661CD">
        <w:rPr>
          <w:i/>
        </w:rPr>
        <w:t xml:space="preserve"> </w:t>
      </w:r>
      <w:r w:rsidR="00FD118E">
        <w:rPr>
          <w:color w:val="0000EE"/>
          <w:szCs w:val="22"/>
          <w:u w:val="single"/>
          <w:lang w:eastAsia="lt-LT"/>
        </w:rPr>
        <w:t>https://vvkt.lrv.lt/lt/.</w:t>
      </w:r>
    </w:p>
    <w:p w14:paraId="0607EE92" w14:textId="77777777" w:rsidR="00922D8A" w:rsidRPr="009C0DB0" w:rsidRDefault="00922D8A" w:rsidP="008661CD">
      <w:pPr>
        <w:ind w:left="567" w:hanging="567"/>
        <w:rPr>
          <w:caps/>
        </w:rPr>
      </w:pPr>
    </w:p>
    <w:p w14:paraId="79581155" w14:textId="77777777" w:rsidR="00922D8A" w:rsidRPr="00AA08CA" w:rsidRDefault="00922D8A" w:rsidP="000F3553">
      <w:pPr>
        <w:pStyle w:val="Paprastasistekstas"/>
        <w:tabs>
          <w:tab w:val="left" w:pos="5954"/>
          <w:tab w:val="left" w:pos="6237"/>
          <w:tab w:val="left" w:pos="6663"/>
          <w:tab w:val="left" w:pos="6946"/>
        </w:tabs>
        <w:ind w:left="5103"/>
        <w:rPr>
          <w:color w:val="000000"/>
          <w:lang w:val="lt-LT"/>
        </w:rPr>
      </w:pPr>
      <w:r w:rsidRPr="000F3553">
        <w:rPr>
          <w:rFonts w:ascii="Times New Roman" w:hAnsi="Times New Roman"/>
          <w:sz w:val="22"/>
          <w:lang w:val="lt-LT"/>
        </w:rPr>
        <w:br w:type="page"/>
      </w:r>
    </w:p>
    <w:p w14:paraId="429DCFDB" w14:textId="77777777" w:rsidR="00922D8A" w:rsidRPr="008661CD" w:rsidRDefault="00922D8A" w:rsidP="008661CD"/>
    <w:p w14:paraId="3B3BE6A4" w14:textId="77777777" w:rsidR="00922D8A" w:rsidRPr="008661CD" w:rsidRDefault="00922D8A" w:rsidP="008661CD"/>
    <w:p w14:paraId="040BF281" w14:textId="77777777" w:rsidR="00922D8A" w:rsidRPr="008661CD" w:rsidRDefault="00922D8A" w:rsidP="008661CD"/>
    <w:p w14:paraId="5962F8EE" w14:textId="77777777" w:rsidR="00922D8A" w:rsidRPr="008661CD" w:rsidRDefault="00922D8A" w:rsidP="008661CD"/>
    <w:p w14:paraId="44F4B9E6" w14:textId="77777777" w:rsidR="00922D8A" w:rsidRPr="008661CD" w:rsidRDefault="00922D8A" w:rsidP="008661CD"/>
    <w:p w14:paraId="7B8C748F" w14:textId="77777777" w:rsidR="00922D8A" w:rsidRPr="008661CD" w:rsidRDefault="00922D8A" w:rsidP="008661CD"/>
    <w:p w14:paraId="56608124" w14:textId="77777777" w:rsidR="00922D8A" w:rsidRPr="008661CD" w:rsidRDefault="00922D8A" w:rsidP="008661CD"/>
    <w:p w14:paraId="4F473132" w14:textId="77777777" w:rsidR="00922D8A" w:rsidRPr="008661CD" w:rsidRDefault="00922D8A" w:rsidP="008661CD"/>
    <w:p w14:paraId="79373350" w14:textId="77777777" w:rsidR="00922D8A" w:rsidRPr="008661CD" w:rsidRDefault="00922D8A" w:rsidP="008661CD"/>
    <w:p w14:paraId="55B87055" w14:textId="77777777" w:rsidR="00922D8A" w:rsidRPr="008661CD" w:rsidRDefault="00922D8A" w:rsidP="008661CD"/>
    <w:p w14:paraId="1FBA58DA" w14:textId="77777777" w:rsidR="00922D8A" w:rsidRPr="008661CD" w:rsidRDefault="00922D8A" w:rsidP="008661CD"/>
    <w:p w14:paraId="4AEF7338" w14:textId="77777777" w:rsidR="00922D8A" w:rsidRPr="008661CD" w:rsidRDefault="00922D8A" w:rsidP="008661CD"/>
    <w:p w14:paraId="5F2404E2" w14:textId="77777777" w:rsidR="00922D8A" w:rsidRPr="008661CD" w:rsidRDefault="00922D8A" w:rsidP="008661CD"/>
    <w:p w14:paraId="03DC2E44" w14:textId="77777777" w:rsidR="00922D8A" w:rsidRPr="008661CD" w:rsidRDefault="00922D8A" w:rsidP="008661CD"/>
    <w:p w14:paraId="30E7AA37" w14:textId="77777777" w:rsidR="00922D8A" w:rsidRPr="008661CD" w:rsidRDefault="00922D8A" w:rsidP="008661CD"/>
    <w:p w14:paraId="4279CCB5" w14:textId="77777777" w:rsidR="00922D8A" w:rsidRPr="008661CD" w:rsidRDefault="00922D8A" w:rsidP="008661CD"/>
    <w:p w14:paraId="55AF1598" w14:textId="77777777" w:rsidR="00922D8A" w:rsidRPr="008661CD" w:rsidRDefault="00922D8A" w:rsidP="008661CD"/>
    <w:p w14:paraId="38DC39E4" w14:textId="77777777" w:rsidR="00922D8A" w:rsidRPr="009C0DB0" w:rsidRDefault="00922D8A" w:rsidP="009C0DB0"/>
    <w:p w14:paraId="73A5B937" w14:textId="77777777" w:rsidR="00922D8A" w:rsidRPr="009C0DB0" w:rsidRDefault="00922D8A" w:rsidP="009C0DB0"/>
    <w:p w14:paraId="37BF6792" w14:textId="77777777" w:rsidR="00922D8A" w:rsidRPr="009C0DB0" w:rsidRDefault="00922D8A" w:rsidP="009C0DB0"/>
    <w:p w14:paraId="44F517CB" w14:textId="77777777" w:rsidR="00922D8A" w:rsidRPr="009C0DB0" w:rsidRDefault="00922D8A" w:rsidP="009C0DB0"/>
    <w:p w14:paraId="099E92BA" w14:textId="77777777" w:rsidR="00922D8A" w:rsidRPr="009C0DB0" w:rsidRDefault="00922D8A" w:rsidP="009C0DB0"/>
    <w:p w14:paraId="236FA417" w14:textId="77777777" w:rsidR="00922D8A" w:rsidRPr="009C0DB0" w:rsidRDefault="00922D8A" w:rsidP="009C0DB0"/>
    <w:p w14:paraId="0CF6DAE1" w14:textId="77777777" w:rsidR="00922D8A" w:rsidRPr="008661CD" w:rsidRDefault="00922D8A" w:rsidP="008661CD">
      <w:pPr>
        <w:jc w:val="center"/>
        <w:rPr>
          <w:b/>
        </w:rPr>
      </w:pPr>
      <w:r w:rsidRPr="008661CD">
        <w:rPr>
          <w:b/>
        </w:rPr>
        <w:t>II PRIEDAS</w:t>
      </w:r>
    </w:p>
    <w:p w14:paraId="75379904" w14:textId="77777777" w:rsidR="00922D8A" w:rsidRPr="008661CD" w:rsidRDefault="00922D8A" w:rsidP="009C0DB0">
      <w:pPr>
        <w:ind w:right="1416"/>
      </w:pPr>
    </w:p>
    <w:p w14:paraId="70F61FE4" w14:textId="77777777" w:rsidR="00922D8A" w:rsidRPr="008661CD" w:rsidRDefault="00922D8A" w:rsidP="008661CD">
      <w:pPr>
        <w:jc w:val="center"/>
        <w:rPr>
          <w:i/>
        </w:rPr>
      </w:pPr>
      <w:r w:rsidRPr="008661CD">
        <w:rPr>
          <w:b/>
        </w:rPr>
        <w:t>REGISTRACIJOS SĄLYGOS</w:t>
      </w:r>
    </w:p>
    <w:p w14:paraId="2D326E55" w14:textId="77777777" w:rsidR="00922D8A" w:rsidRPr="008661CD" w:rsidRDefault="00922D8A" w:rsidP="008661CD"/>
    <w:p w14:paraId="02BF7A24" w14:textId="77777777" w:rsidR="00922D8A" w:rsidRPr="008661CD" w:rsidRDefault="00922D8A" w:rsidP="008661CD">
      <w:pPr>
        <w:tabs>
          <w:tab w:val="left" w:pos="1701"/>
        </w:tabs>
        <w:ind w:left="1701" w:right="567" w:hanging="567"/>
        <w:rPr>
          <w:b/>
        </w:rPr>
      </w:pPr>
      <w:r w:rsidRPr="008661CD">
        <w:rPr>
          <w:b/>
        </w:rPr>
        <w:t>A.</w:t>
      </w:r>
      <w:r w:rsidRPr="008661CD">
        <w:rPr>
          <w:b/>
        </w:rPr>
        <w:tab/>
        <w:t>GAMINTOJAS (-AI), ATSAKINGAS (-I) UŽ SERIJŲ IŠLEIDIMĄ</w:t>
      </w:r>
    </w:p>
    <w:p w14:paraId="06BD6098" w14:textId="77777777" w:rsidR="00922D8A" w:rsidRPr="008661CD" w:rsidRDefault="00922D8A" w:rsidP="008661CD">
      <w:pPr>
        <w:tabs>
          <w:tab w:val="left" w:pos="1701"/>
        </w:tabs>
        <w:ind w:left="567" w:right="567" w:hanging="567"/>
      </w:pPr>
    </w:p>
    <w:p w14:paraId="2A2F4C76" w14:textId="77777777" w:rsidR="00922D8A" w:rsidRPr="008661CD" w:rsidRDefault="00922D8A" w:rsidP="008661CD">
      <w:pPr>
        <w:tabs>
          <w:tab w:val="left" w:pos="1701"/>
        </w:tabs>
        <w:ind w:left="1701" w:right="567" w:hanging="567"/>
        <w:rPr>
          <w:b/>
        </w:rPr>
      </w:pPr>
      <w:r w:rsidRPr="008661CD">
        <w:rPr>
          <w:b/>
        </w:rPr>
        <w:t>B.</w:t>
      </w:r>
      <w:r w:rsidRPr="008661CD">
        <w:rPr>
          <w:b/>
        </w:rPr>
        <w:tab/>
        <w:t>TIEKIMO IR VARTOJIMO SĄLYGOS AR APRIBOJIMAI</w:t>
      </w:r>
    </w:p>
    <w:p w14:paraId="73951FE6" w14:textId="77777777" w:rsidR="00922D8A" w:rsidRPr="008661CD" w:rsidRDefault="00922D8A" w:rsidP="008661CD">
      <w:pPr>
        <w:ind w:left="567" w:hanging="567"/>
        <w:rPr>
          <w:b/>
        </w:rPr>
      </w:pPr>
      <w:r w:rsidRPr="008661CD">
        <w:br w:type="page"/>
      </w:r>
      <w:r w:rsidRPr="008661CD">
        <w:rPr>
          <w:b/>
        </w:rPr>
        <w:lastRenderedPageBreak/>
        <w:t xml:space="preserve">A. </w:t>
      </w:r>
      <w:r w:rsidRPr="008661CD">
        <w:rPr>
          <w:b/>
        </w:rPr>
        <w:tab/>
        <w:t>GAMINTOJAS (-AI), ATSAKINGAS (-I) UŽ SERIJŲ IŠLEIDIMĄ</w:t>
      </w:r>
    </w:p>
    <w:p w14:paraId="3AF5B1BB" w14:textId="77777777" w:rsidR="00922D8A" w:rsidRPr="008661CD" w:rsidRDefault="00922D8A" w:rsidP="008661CD"/>
    <w:p w14:paraId="7EB015D7" w14:textId="77777777" w:rsidR="00922D8A" w:rsidRDefault="00922D8A" w:rsidP="008661CD">
      <w:pPr>
        <w:rPr>
          <w:u w:val="single"/>
        </w:rPr>
      </w:pPr>
      <w:r w:rsidRPr="008661CD">
        <w:rPr>
          <w:u w:val="single"/>
        </w:rPr>
        <w:t>Gamintojo (-ų), atsakingo (-ų) už serijų išleidimą, pavadinimas (-ai) ir adresas (-ai)</w:t>
      </w:r>
    </w:p>
    <w:p w14:paraId="6DD0F136" w14:textId="77777777" w:rsidR="004A5B9D" w:rsidRPr="00AA08CA" w:rsidRDefault="004A5B9D" w:rsidP="004A5B9D">
      <w:r>
        <w:rPr>
          <w:u w:val="single"/>
        </w:rPr>
        <w:t xml:space="preserve">Tik </w:t>
      </w:r>
      <w:r w:rsidRPr="00AA08CA">
        <w:t>Zinnat 250 mg plėvele dengtos tabletės</w:t>
      </w:r>
    </w:p>
    <w:p w14:paraId="03C28940" w14:textId="77777777" w:rsidR="004A5B9D" w:rsidRPr="008661CD" w:rsidRDefault="004A5B9D" w:rsidP="004A5B9D">
      <w:r w:rsidRPr="008661CD">
        <w:rPr>
          <w:highlight w:val="lightGray"/>
        </w:rPr>
        <w:t>Zinnat 500 mg plėvele dengtos tabletės</w:t>
      </w:r>
    </w:p>
    <w:p w14:paraId="2D0B64F9" w14:textId="59180DA0" w:rsidR="004A5B9D" w:rsidRPr="000F3553" w:rsidRDefault="004A5B9D" w:rsidP="008661CD"/>
    <w:p w14:paraId="0CACA570" w14:textId="77777777" w:rsidR="00C04047" w:rsidRPr="00C04047" w:rsidRDefault="00C04047" w:rsidP="00C04047">
      <w:pPr>
        <w:autoSpaceDE w:val="0"/>
        <w:autoSpaceDN w:val="0"/>
        <w:adjustRightInd w:val="0"/>
        <w:rPr>
          <w:rFonts w:eastAsia="Calibri"/>
        </w:rPr>
      </w:pPr>
      <w:r w:rsidRPr="00C04047">
        <w:rPr>
          <w:rFonts w:eastAsia="Calibri"/>
        </w:rPr>
        <w:t>Sandoz GmbH</w:t>
      </w:r>
    </w:p>
    <w:p w14:paraId="565380CB" w14:textId="77777777" w:rsidR="00C04047" w:rsidRPr="00C04047" w:rsidRDefault="00C04047" w:rsidP="00C04047">
      <w:pPr>
        <w:autoSpaceDE w:val="0"/>
        <w:autoSpaceDN w:val="0"/>
        <w:adjustRightInd w:val="0"/>
        <w:rPr>
          <w:rFonts w:eastAsia="Calibri"/>
        </w:rPr>
      </w:pPr>
      <w:r w:rsidRPr="00C04047">
        <w:rPr>
          <w:rFonts w:eastAsia="Calibri"/>
        </w:rPr>
        <w:t>Kundl (AICO FDF Kundl)</w:t>
      </w:r>
    </w:p>
    <w:p w14:paraId="5C80D40B" w14:textId="77777777" w:rsidR="00C04047" w:rsidRPr="00C04047" w:rsidRDefault="00C04047" w:rsidP="00C04047">
      <w:pPr>
        <w:autoSpaceDE w:val="0"/>
        <w:autoSpaceDN w:val="0"/>
        <w:adjustRightInd w:val="0"/>
        <w:rPr>
          <w:rFonts w:eastAsia="Calibri"/>
        </w:rPr>
      </w:pPr>
      <w:r w:rsidRPr="00C04047">
        <w:rPr>
          <w:rFonts w:eastAsia="Calibri"/>
        </w:rPr>
        <w:t>Biochemiestraβe 10</w:t>
      </w:r>
    </w:p>
    <w:p w14:paraId="77531399" w14:textId="17BEDCEC" w:rsidR="00C04047" w:rsidRPr="00242FF6" w:rsidRDefault="00C04047" w:rsidP="00C04047">
      <w:pPr>
        <w:autoSpaceDE w:val="0"/>
        <w:autoSpaceDN w:val="0"/>
        <w:adjustRightInd w:val="0"/>
        <w:rPr>
          <w:rFonts w:eastAsia="Calibri"/>
        </w:rPr>
      </w:pPr>
      <w:r w:rsidRPr="00C04047">
        <w:rPr>
          <w:rFonts w:eastAsia="Calibri"/>
        </w:rPr>
        <w:t>6250 Kundl</w:t>
      </w:r>
    </w:p>
    <w:p w14:paraId="3221DD81" w14:textId="77777777" w:rsidR="00922D8A" w:rsidRDefault="00922D8A" w:rsidP="00922D8A">
      <w:pPr>
        <w:rPr>
          <w:szCs w:val="22"/>
        </w:rPr>
      </w:pPr>
    </w:p>
    <w:p w14:paraId="686605BD" w14:textId="47FA7F2C" w:rsidR="00EC2440" w:rsidRDefault="00EC2440" w:rsidP="00922D8A">
      <w:pPr>
        <w:rPr>
          <w:szCs w:val="22"/>
        </w:rPr>
      </w:pPr>
      <w:r>
        <w:rPr>
          <w:szCs w:val="22"/>
        </w:rPr>
        <w:t>arba</w:t>
      </w:r>
    </w:p>
    <w:p w14:paraId="0DE7F42B" w14:textId="77777777" w:rsidR="00EC2440" w:rsidRPr="00C510EF" w:rsidRDefault="00EC2440" w:rsidP="00922D8A">
      <w:pPr>
        <w:rPr>
          <w:szCs w:val="22"/>
        </w:rPr>
      </w:pPr>
    </w:p>
    <w:p w14:paraId="01596C3C" w14:textId="77777777" w:rsidR="00434A00" w:rsidRDefault="00434A00" w:rsidP="00434A00">
      <w:r>
        <w:t>Lek farmacevtska družba d. d. (Lek Pharmaceuticals d. d.),</w:t>
      </w:r>
    </w:p>
    <w:p w14:paraId="5E99F24B" w14:textId="77777777" w:rsidR="00434A00" w:rsidRDefault="00434A00" w:rsidP="00434A00">
      <w:r>
        <w:t>Verovškova ulica 57</w:t>
      </w:r>
    </w:p>
    <w:p w14:paraId="52F0FF70" w14:textId="77777777" w:rsidR="00434A00" w:rsidRDefault="00434A00" w:rsidP="00434A00">
      <w:r>
        <w:t>Ljubljana, 1526</w:t>
      </w:r>
    </w:p>
    <w:p w14:paraId="576FA76A" w14:textId="0FF69D88" w:rsidR="00922D8A" w:rsidRDefault="00434A00" w:rsidP="00434A00">
      <w:r>
        <w:t>Sloveni</w:t>
      </w:r>
      <w:r w:rsidR="00EC2440">
        <w:t>j</w:t>
      </w:r>
      <w:r>
        <w:t>a</w:t>
      </w:r>
    </w:p>
    <w:p w14:paraId="03062EBF" w14:textId="6A688FE1" w:rsidR="007A66C0" w:rsidRDefault="007A66C0" w:rsidP="00434A00"/>
    <w:p w14:paraId="35F4BC36" w14:textId="77777777" w:rsidR="004A5B9D" w:rsidRDefault="004A5B9D" w:rsidP="004A5B9D">
      <w:pPr>
        <w:rPr>
          <w:u w:val="single"/>
        </w:rPr>
      </w:pPr>
      <w:r w:rsidRPr="008661CD">
        <w:rPr>
          <w:u w:val="single"/>
        </w:rPr>
        <w:t>Gamintojo (-ų), atsakingo (-ų) už serijų išleidimą, pavadinimas (-ai) ir adresas (-ai)</w:t>
      </w:r>
    </w:p>
    <w:p w14:paraId="627C4A98" w14:textId="381F65E0" w:rsidR="004A5B9D" w:rsidRDefault="004A5B9D" w:rsidP="004A5B9D">
      <w:pPr>
        <w:rPr>
          <w:rFonts w:eastAsia="Calibri"/>
        </w:rPr>
      </w:pPr>
      <w:r>
        <w:rPr>
          <w:u w:val="single"/>
        </w:rPr>
        <w:t xml:space="preserve">Tik </w:t>
      </w:r>
      <w:r w:rsidRPr="004906D7">
        <w:rPr>
          <w:rFonts w:eastAsia="Calibri"/>
          <w:highlight w:val="lightGray"/>
        </w:rPr>
        <w:t>Zinnat 125 mg/5 ml granulės geriamajai suspensijai</w:t>
      </w:r>
    </w:p>
    <w:p w14:paraId="3B1551F8" w14:textId="77777777" w:rsidR="00B62E37" w:rsidRDefault="00B62E37" w:rsidP="004A5B9D">
      <w:pPr>
        <w:autoSpaceDE w:val="0"/>
        <w:autoSpaceDN w:val="0"/>
        <w:adjustRightInd w:val="0"/>
        <w:rPr>
          <w:rFonts w:eastAsia="Calibri"/>
        </w:rPr>
      </w:pPr>
    </w:p>
    <w:p w14:paraId="45DB98CD" w14:textId="77777777" w:rsidR="00FD118E" w:rsidRDefault="00FD118E" w:rsidP="00FD118E">
      <w:pPr>
        <w:pStyle w:val="Normln"/>
        <w:jc w:val="both"/>
        <w:rPr>
          <w:sz w:val="22"/>
          <w:szCs w:val="22"/>
        </w:rPr>
      </w:pPr>
      <w:r w:rsidRPr="005E355E">
        <w:rPr>
          <w:sz w:val="22"/>
          <w:szCs w:val="22"/>
        </w:rPr>
        <w:t>Sandoz GmbH</w:t>
      </w:r>
      <w:r>
        <w:rPr>
          <w:sz w:val="22"/>
          <w:szCs w:val="22"/>
        </w:rPr>
        <w:t xml:space="preserve"> </w:t>
      </w:r>
    </w:p>
    <w:p w14:paraId="643A53EB" w14:textId="77777777" w:rsidR="00FD118E" w:rsidRDefault="00FD118E" w:rsidP="00FD118E">
      <w:pPr>
        <w:pStyle w:val="Normln"/>
        <w:jc w:val="both"/>
        <w:rPr>
          <w:sz w:val="22"/>
          <w:szCs w:val="22"/>
        </w:rPr>
      </w:pPr>
      <w:r w:rsidRPr="005E355E">
        <w:rPr>
          <w:sz w:val="22"/>
          <w:szCs w:val="22"/>
        </w:rPr>
        <w:t>Kundl (AICO FDF Kundl)</w:t>
      </w:r>
    </w:p>
    <w:p w14:paraId="1FCC8768" w14:textId="77777777" w:rsidR="00FD118E" w:rsidRDefault="00FD118E" w:rsidP="00FD118E">
      <w:pPr>
        <w:pStyle w:val="Normln"/>
        <w:jc w:val="both"/>
        <w:rPr>
          <w:sz w:val="22"/>
          <w:szCs w:val="22"/>
        </w:rPr>
      </w:pPr>
      <w:r w:rsidRPr="005E355E">
        <w:rPr>
          <w:sz w:val="22"/>
          <w:szCs w:val="22"/>
        </w:rPr>
        <w:t>Biochemiestra</w:t>
      </w:r>
      <w:r>
        <w:rPr>
          <w:sz w:val="22"/>
          <w:szCs w:val="22"/>
        </w:rPr>
        <w:t>ss</w:t>
      </w:r>
      <w:r w:rsidRPr="005E355E">
        <w:rPr>
          <w:sz w:val="22"/>
          <w:szCs w:val="22"/>
        </w:rPr>
        <w:t>e 10</w:t>
      </w:r>
      <w:r>
        <w:rPr>
          <w:sz w:val="22"/>
          <w:szCs w:val="22"/>
        </w:rPr>
        <w:t xml:space="preserve"> </w:t>
      </w:r>
    </w:p>
    <w:p w14:paraId="3C11A808" w14:textId="3F586ECF" w:rsidR="004A5B9D" w:rsidRPr="008661CD" w:rsidRDefault="00FD118E" w:rsidP="00DB1866">
      <w:pPr>
        <w:pStyle w:val="Normln"/>
        <w:jc w:val="both"/>
      </w:pPr>
      <w:r w:rsidRPr="005E355E">
        <w:rPr>
          <w:sz w:val="22"/>
          <w:szCs w:val="22"/>
        </w:rPr>
        <w:t>6250 Kundl</w:t>
      </w:r>
      <w:r>
        <w:rPr>
          <w:sz w:val="22"/>
          <w:szCs w:val="22"/>
        </w:rPr>
        <w:t>, Austrija</w:t>
      </w:r>
    </w:p>
    <w:p w14:paraId="490DE0E6" w14:textId="77777777" w:rsidR="004A5B9D" w:rsidRDefault="004A5B9D" w:rsidP="00434A00"/>
    <w:p w14:paraId="4864AB9D" w14:textId="43AC446C" w:rsidR="007A66C0" w:rsidRDefault="007A66C0" w:rsidP="00434A00">
      <w:r w:rsidRPr="007A66C0">
        <w:t>Su pakuote pateikiamame lapelyje nurodomas gamintojo, atsakingo už konkrečios serijos išleidimą, pavadinimas ir adresas.</w:t>
      </w:r>
    </w:p>
    <w:p w14:paraId="42C9AAA4" w14:textId="77777777" w:rsidR="007A66C0" w:rsidRDefault="007A66C0" w:rsidP="00434A00"/>
    <w:p w14:paraId="6235A7C8" w14:textId="77777777" w:rsidR="00434A00" w:rsidRPr="008661CD" w:rsidRDefault="00434A00" w:rsidP="008661CD"/>
    <w:p w14:paraId="717677D4" w14:textId="77777777" w:rsidR="00922D8A" w:rsidRPr="008661CD" w:rsidRDefault="00922D8A" w:rsidP="008661CD">
      <w:pPr>
        <w:ind w:left="567" w:hanging="567"/>
        <w:rPr>
          <w:b/>
        </w:rPr>
      </w:pPr>
      <w:r w:rsidRPr="008661CD">
        <w:rPr>
          <w:b/>
        </w:rPr>
        <w:t xml:space="preserve">B. </w:t>
      </w:r>
      <w:r w:rsidRPr="008661CD">
        <w:rPr>
          <w:b/>
        </w:rPr>
        <w:tab/>
        <w:t>TIEKIMO IR VARTOJIMO SĄLYGOS AR APRIBOJIMAI</w:t>
      </w:r>
    </w:p>
    <w:p w14:paraId="68DFF68D" w14:textId="77777777" w:rsidR="00922D8A" w:rsidRPr="008661CD" w:rsidRDefault="00922D8A" w:rsidP="008661CD"/>
    <w:p w14:paraId="730266D8" w14:textId="77777777" w:rsidR="00922D8A" w:rsidRPr="008661CD" w:rsidRDefault="00922D8A" w:rsidP="008661CD">
      <w:r w:rsidRPr="008661CD">
        <w:t>Receptinis vaistinis preparatas.</w:t>
      </w:r>
    </w:p>
    <w:p w14:paraId="3E3074B0" w14:textId="77777777" w:rsidR="00922D8A" w:rsidRPr="008661CD" w:rsidRDefault="00922D8A" w:rsidP="008661CD"/>
    <w:p w14:paraId="63F96677" w14:textId="77777777" w:rsidR="00922D8A" w:rsidRPr="00AA08CA" w:rsidRDefault="00922D8A" w:rsidP="000F3553">
      <w:pPr>
        <w:pStyle w:val="Paprastasistekstas"/>
        <w:tabs>
          <w:tab w:val="left" w:pos="5954"/>
          <w:tab w:val="left" w:pos="6237"/>
          <w:tab w:val="left" w:pos="6663"/>
          <w:tab w:val="left" w:pos="6946"/>
        </w:tabs>
        <w:jc w:val="center"/>
        <w:rPr>
          <w:color w:val="000000"/>
          <w:lang w:val="fr-FR"/>
        </w:rPr>
      </w:pPr>
      <w:r w:rsidRPr="00AA08CA">
        <w:rPr>
          <w:rFonts w:ascii="Times New Roman" w:hAnsi="Times New Roman"/>
          <w:sz w:val="22"/>
          <w:lang w:val="fr-FR"/>
        </w:rPr>
        <w:br w:type="page"/>
      </w:r>
    </w:p>
    <w:p w14:paraId="71DCDDF6" w14:textId="77777777" w:rsidR="00922D8A" w:rsidRPr="008661CD" w:rsidRDefault="00922D8A" w:rsidP="008661CD">
      <w:pPr>
        <w:ind w:right="566"/>
      </w:pPr>
    </w:p>
    <w:p w14:paraId="413C1470" w14:textId="77777777" w:rsidR="00922D8A" w:rsidRPr="008661CD" w:rsidRDefault="00922D8A" w:rsidP="008661CD"/>
    <w:p w14:paraId="38E8E015" w14:textId="77777777" w:rsidR="00922D8A" w:rsidRPr="008661CD" w:rsidRDefault="00922D8A" w:rsidP="008661CD"/>
    <w:p w14:paraId="58E965D6" w14:textId="77777777" w:rsidR="00922D8A" w:rsidRPr="008661CD" w:rsidRDefault="00922D8A" w:rsidP="008661CD"/>
    <w:p w14:paraId="0CF4A547" w14:textId="77777777" w:rsidR="00922D8A" w:rsidRPr="008661CD" w:rsidRDefault="00922D8A" w:rsidP="008661CD"/>
    <w:p w14:paraId="207542CD" w14:textId="77777777" w:rsidR="00922D8A" w:rsidRPr="008661CD" w:rsidRDefault="00922D8A" w:rsidP="008661CD"/>
    <w:p w14:paraId="4D907A2E" w14:textId="77777777" w:rsidR="00922D8A" w:rsidRPr="008661CD" w:rsidRDefault="00922D8A" w:rsidP="008661CD"/>
    <w:p w14:paraId="3AAC0A08" w14:textId="77777777" w:rsidR="00922D8A" w:rsidRPr="008661CD" w:rsidRDefault="00922D8A" w:rsidP="008661CD"/>
    <w:p w14:paraId="7509AE25" w14:textId="77777777" w:rsidR="00922D8A" w:rsidRPr="008661CD" w:rsidRDefault="00922D8A" w:rsidP="008661CD"/>
    <w:p w14:paraId="0F6AA819" w14:textId="77777777" w:rsidR="00922D8A" w:rsidRPr="008661CD" w:rsidRDefault="00922D8A" w:rsidP="008661CD"/>
    <w:p w14:paraId="09BF74DE" w14:textId="77777777" w:rsidR="00922D8A" w:rsidRPr="008661CD" w:rsidRDefault="00922D8A" w:rsidP="008661CD"/>
    <w:p w14:paraId="10F31B74" w14:textId="77777777" w:rsidR="00922D8A" w:rsidRPr="008661CD" w:rsidRDefault="00922D8A" w:rsidP="008661CD"/>
    <w:p w14:paraId="5970EA76" w14:textId="77777777" w:rsidR="00922D8A" w:rsidRPr="008661CD" w:rsidRDefault="00922D8A" w:rsidP="008661CD"/>
    <w:p w14:paraId="5BDF88FB" w14:textId="77777777" w:rsidR="00922D8A" w:rsidRPr="008661CD" w:rsidRDefault="00922D8A" w:rsidP="008661CD"/>
    <w:p w14:paraId="2996F667" w14:textId="77777777" w:rsidR="00922D8A" w:rsidRPr="008661CD" w:rsidRDefault="00922D8A" w:rsidP="008661CD"/>
    <w:p w14:paraId="1F779281" w14:textId="77777777" w:rsidR="00922D8A" w:rsidRPr="008661CD" w:rsidRDefault="00922D8A" w:rsidP="008661CD"/>
    <w:p w14:paraId="493C2479" w14:textId="77777777" w:rsidR="00922D8A" w:rsidRPr="008661CD" w:rsidRDefault="00922D8A" w:rsidP="008661CD"/>
    <w:p w14:paraId="235005FC" w14:textId="77777777" w:rsidR="00922D8A" w:rsidRPr="009C0DB0" w:rsidRDefault="00922D8A" w:rsidP="008661CD">
      <w:pPr>
        <w:outlineLvl w:val="0"/>
      </w:pPr>
    </w:p>
    <w:p w14:paraId="500247B9" w14:textId="77777777" w:rsidR="00922D8A" w:rsidRPr="009C0DB0" w:rsidRDefault="00922D8A" w:rsidP="008661CD">
      <w:pPr>
        <w:outlineLvl w:val="0"/>
      </w:pPr>
    </w:p>
    <w:p w14:paraId="0286605F" w14:textId="77777777" w:rsidR="00922D8A" w:rsidRPr="009C0DB0" w:rsidRDefault="00922D8A" w:rsidP="008661CD">
      <w:pPr>
        <w:outlineLvl w:val="0"/>
      </w:pPr>
    </w:p>
    <w:p w14:paraId="782BE005" w14:textId="77777777" w:rsidR="00922D8A" w:rsidRPr="009C0DB0" w:rsidRDefault="00922D8A" w:rsidP="008661CD">
      <w:pPr>
        <w:outlineLvl w:val="0"/>
      </w:pPr>
    </w:p>
    <w:p w14:paraId="463E12E9" w14:textId="77777777" w:rsidR="00922D8A" w:rsidRPr="009C0DB0" w:rsidRDefault="00922D8A" w:rsidP="008661CD">
      <w:pPr>
        <w:outlineLvl w:val="0"/>
      </w:pPr>
    </w:p>
    <w:p w14:paraId="56683F32" w14:textId="77777777" w:rsidR="00922D8A" w:rsidRPr="009C0DB0" w:rsidRDefault="00922D8A" w:rsidP="008661CD">
      <w:pPr>
        <w:outlineLvl w:val="0"/>
      </w:pPr>
    </w:p>
    <w:p w14:paraId="784D5719"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III PRIEDAS</w:t>
      </w:r>
    </w:p>
    <w:p w14:paraId="4A13568A" w14:textId="77777777" w:rsidR="00922D8A" w:rsidRPr="008661CD" w:rsidRDefault="00922D8A" w:rsidP="008661CD"/>
    <w:p w14:paraId="62EBBABB" w14:textId="77777777" w:rsidR="00922D8A" w:rsidRPr="000F3553" w:rsidRDefault="00922D8A" w:rsidP="000F3553">
      <w:pPr>
        <w:pStyle w:val="Antrat2"/>
        <w:spacing w:before="0" w:after="0" w:line="240" w:lineRule="auto"/>
        <w:jc w:val="center"/>
        <w:rPr>
          <w:b w:val="0"/>
        </w:rPr>
      </w:pPr>
      <w:r w:rsidRPr="000F3553">
        <w:rPr>
          <w:rFonts w:ascii="Times New Roman" w:hAnsi="Times New Roman"/>
          <w:i w:val="0"/>
          <w:lang w:val="lt-LT"/>
        </w:rPr>
        <w:t>ŽENKLINIMAS IR PAKUOTĖS LAPELIS</w:t>
      </w:r>
    </w:p>
    <w:p w14:paraId="08678688" w14:textId="77777777" w:rsidR="00922D8A" w:rsidRPr="008661CD" w:rsidRDefault="00922D8A" w:rsidP="008661CD">
      <w:r w:rsidRPr="008661CD">
        <w:br w:type="page"/>
      </w:r>
    </w:p>
    <w:p w14:paraId="06A0C6C8" w14:textId="77777777" w:rsidR="00922D8A" w:rsidRPr="008661CD" w:rsidRDefault="00922D8A" w:rsidP="008661CD">
      <w:pPr>
        <w:jc w:val="center"/>
      </w:pPr>
    </w:p>
    <w:p w14:paraId="60F6A30C" w14:textId="77777777" w:rsidR="00922D8A" w:rsidRPr="008661CD" w:rsidRDefault="00922D8A" w:rsidP="008661CD">
      <w:pPr>
        <w:jc w:val="center"/>
      </w:pPr>
    </w:p>
    <w:p w14:paraId="70D9ECA2" w14:textId="77777777" w:rsidR="00922D8A" w:rsidRPr="008661CD" w:rsidRDefault="00922D8A" w:rsidP="008661CD">
      <w:pPr>
        <w:jc w:val="center"/>
      </w:pPr>
    </w:p>
    <w:p w14:paraId="7357E48E" w14:textId="77777777" w:rsidR="00922D8A" w:rsidRPr="008661CD" w:rsidRDefault="00922D8A" w:rsidP="008661CD">
      <w:pPr>
        <w:jc w:val="center"/>
      </w:pPr>
    </w:p>
    <w:p w14:paraId="0DE81666" w14:textId="77777777" w:rsidR="00922D8A" w:rsidRPr="008661CD" w:rsidRDefault="00922D8A" w:rsidP="008661CD">
      <w:pPr>
        <w:jc w:val="center"/>
      </w:pPr>
    </w:p>
    <w:p w14:paraId="1BAFEF72" w14:textId="77777777" w:rsidR="00922D8A" w:rsidRPr="008661CD" w:rsidRDefault="00922D8A" w:rsidP="008661CD">
      <w:pPr>
        <w:jc w:val="center"/>
      </w:pPr>
    </w:p>
    <w:p w14:paraId="47819838" w14:textId="77777777" w:rsidR="00922D8A" w:rsidRPr="008661CD" w:rsidRDefault="00922D8A" w:rsidP="008661CD">
      <w:pPr>
        <w:jc w:val="center"/>
      </w:pPr>
    </w:p>
    <w:p w14:paraId="51B971D6" w14:textId="77777777" w:rsidR="00922D8A" w:rsidRPr="008661CD" w:rsidRDefault="00922D8A" w:rsidP="008661CD">
      <w:pPr>
        <w:jc w:val="center"/>
      </w:pPr>
    </w:p>
    <w:p w14:paraId="5251023F" w14:textId="77777777" w:rsidR="00922D8A" w:rsidRPr="008661CD" w:rsidRDefault="00922D8A" w:rsidP="008661CD">
      <w:pPr>
        <w:jc w:val="center"/>
      </w:pPr>
    </w:p>
    <w:p w14:paraId="08D00D1F" w14:textId="77777777" w:rsidR="00922D8A" w:rsidRPr="008661CD" w:rsidRDefault="00922D8A" w:rsidP="008661CD">
      <w:pPr>
        <w:jc w:val="center"/>
      </w:pPr>
    </w:p>
    <w:p w14:paraId="309416C2" w14:textId="77777777" w:rsidR="00922D8A" w:rsidRPr="008661CD" w:rsidRDefault="00922D8A" w:rsidP="008661CD">
      <w:pPr>
        <w:jc w:val="center"/>
      </w:pPr>
    </w:p>
    <w:p w14:paraId="3C39E8AB" w14:textId="77777777" w:rsidR="00922D8A" w:rsidRPr="008661CD" w:rsidRDefault="00922D8A" w:rsidP="008661CD">
      <w:pPr>
        <w:jc w:val="center"/>
      </w:pPr>
    </w:p>
    <w:p w14:paraId="149FB9F2" w14:textId="77777777" w:rsidR="00922D8A" w:rsidRPr="008661CD" w:rsidRDefault="00922D8A" w:rsidP="008661CD">
      <w:pPr>
        <w:jc w:val="center"/>
      </w:pPr>
    </w:p>
    <w:p w14:paraId="4EAD39E0" w14:textId="77777777" w:rsidR="00922D8A" w:rsidRPr="008661CD" w:rsidRDefault="00922D8A" w:rsidP="008661CD">
      <w:pPr>
        <w:jc w:val="center"/>
      </w:pPr>
    </w:p>
    <w:p w14:paraId="669232B8" w14:textId="77777777" w:rsidR="00922D8A" w:rsidRPr="008661CD" w:rsidRDefault="00922D8A" w:rsidP="008661CD">
      <w:pPr>
        <w:jc w:val="center"/>
      </w:pPr>
    </w:p>
    <w:p w14:paraId="11B0AFB6" w14:textId="77777777" w:rsidR="00922D8A" w:rsidRPr="008661CD" w:rsidRDefault="00922D8A" w:rsidP="008661CD">
      <w:pPr>
        <w:jc w:val="center"/>
      </w:pPr>
    </w:p>
    <w:p w14:paraId="42519E0D" w14:textId="77777777" w:rsidR="00922D8A" w:rsidRPr="008661CD" w:rsidRDefault="00922D8A" w:rsidP="008661CD">
      <w:pPr>
        <w:jc w:val="center"/>
      </w:pPr>
    </w:p>
    <w:p w14:paraId="502936C2" w14:textId="77777777" w:rsidR="00922D8A" w:rsidRPr="008661CD" w:rsidRDefault="00922D8A" w:rsidP="008661CD">
      <w:pPr>
        <w:jc w:val="center"/>
      </w:pPr>
    </w:p>
    <w:p w14:paraId="582688BE" w14:textId="77777777" w:rsidR="00922D8A" w:rsidRPr="008661CD" w:rsidRDefault="00922D8A" w:rsidP="008661CD">
      <w:pPr>
        <w:jc w:val="center"/>
      </w:pPr>
    </w:p>
    <w:p w14:paraId="5958B9D0" w14:textId="77777777" w:rsidR="00922D8A" w:rsidRPr="008661CD" w:rsidRDefault="00922D8A" w:rsidP="008661CD">
      <w:pPr>
        <w:jc w:val="center"/>
      </w:pPr>
    </w:p>
    <w:p w14:paraId="3BDD43C5" w14:textId="77777777" w:rsidR="00922D8A" w:rsidRPr="008661CD" w:rsidRDefault="00922D8A" w:rsidP="008661CD">
      <w:pPr>
        <w:jc w:val="center"/>
      </w:pPr>
    </w:p>
    <w:p w14:paraId="327DA2ED" w14:textId="77777777" w:rsidR="00922D8A" w:rsidRPr="008661CD" w:rsidRDefault="00922D8A" w:rsidP="008661CD">
      <w:pPr>
        <w:jc w:val="center"/>
      </w:pPr>
    </w:p>
    <w:p w14:paraId="18E02715" w14:textId="77777777" w:rsidR="00922D8A" w:rsidRPr="008661CD" w:rsidRDefault="00922D8A" w:rsidP="008661CD">
      <w:pPr>
        <w:jc w:val="center"/>
        <w:outlineLvl w:val="0"/>
        <w:rPr>
          <w:b/>
        </w:rPr>
      </w:pPr>
    </w:p>
    <w:p w14:paraId="6A4800F5" w14:textId="77777777" w:rsidR="00922D8A" w:rsidRPr="008661CD" w:rsidRDefault="00922D8A" w:rsidP="008661CD">
      <w:pPr>
        <w:jc w:val="center"/>
        <w:outlineLvl w:val="0"/>
      </w:pPr>
      <w:r w:rsidRPr="008661CD">
        <w:rPr>
          <w:b/>
        </w:rPr>
        <w:t>A. ŽENKLINIMAS</w:t>
      </w:r>
    </w:p>
    <w:p w14:paraId="675996E9" w14:textId="77777777" w:rsidR="00922D8A" w:rsidRPr="008661CD" w:rsidRDefault="00922D8A" w:rsidP="008661CD">
      <w:pPr>
        <w:shd w:val="clear" w:color="auto" w:fill="FFFFFF"/>
      </w:pPr>
      <w:r w:rsidRPr="008661CD">
        <w:br w:type="page"/>
      </w:r>
    </w:p>
    <w:p w14:paraId="72FF55AA" w14:textId="77777777" w:rsidR="00922D8A" w:rsidRPr="008661CD" w:rsidRDefault="00922D8A" w:rsidP="008661CD">
      <w:pPr>
        <w:pBdr>
          <w:top w:val="single" w:sz="4" w:space="1" w:color="auto"/>
          <w:left w:val="single" w:sz="4" w:space="4" w:color="auto"/>
          <w:bottom w:val="single" w:sz="4" w:space="1" w:color="auto"/>
          <w:right w:val="single" w:sz="4" w:space="4" w:color="auto"/>
        </w:pBdr>
        <w:rPr>
          <w:b/>
        </w:rPr>
      </w:pPr>
      <w:r w:rsidRPr="008661CD">
        <w:rPr>
          <w:b/>
        </w:rPr>
        <w:lastRenderedPageBreak/>
        <w:t>INFORMACIJA ANT IŠORINĖS PAKUOTĖS</w:t>
      </w:r>
    </w:p>
    <w:p w14:paraId="48863F9C"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pPr>
    </w:p>
    <w:p w14:paraId="61433064" w14:textId="77777777" w:rsidR="00922D8A" w:rsidRPr="008661CD" w:rsidRDefault="00922D8A" w:rsidP="008661CD">
      <w:pPr>
        <w:pBdr>
          <w:top w:val="single" w:sz="4" w:space="1" w:color="auto"/>
          <w:left w:val="single" w:sz="4" w:space="4" w:color="auto"/>
          <w:bottom w:val="single" w:sz="4" w:space="1" w:color="auto"/>
          <w:right w:val="single" w:sz="4" w:space="4" w:color="auto"/>
        </w:pBdr>
      </w:pPr>
      <w:r w:rsidRPr="008661CD">
        <w:rPr>
          <w:b/>
        </w:rPr>
        <w:t>KARTONO DĖŽUTĖ</w:t>
      </w:r>
    </w:p>
    <w:p w14:paraId="69A45BAB" w14:textId="77777777" w:rsidR="00922D8A" w:rsidRPr="008661CD" w:rsidRDefault="00922D8A" w:rsidP="008661CD"/>
    <w:p w14:paraId="615DAC2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pPr>
      <w:r w:rsidRPr="008661CD">
        <w:rPr>
          <w:b/>
        </w:rPr>
        <w:t>1.</w:t>
      </w:r>
      <w:r w:rsidRPr="008661CD">
        <w:rPr>
          <w:b/>
        </w:rPr>
        <w:tab/>
        <w:t>VAISTINIO PREPARATO PAVADINIMAS</w:t>
      </w:r>
    </w:p>
    <w:p w14:paraId="49331CA2" w14:textId="7FAB970C" w:rsidR="00922D8A" w:rsidRPr="008661CD" w:rsidRDefault="00922D8A" w:rsidP="008661CD"/>
    <w:p w14:paraId="48DE57B4" w14:textId="77777777" w:rsidR="00922D8A" w:rsidRPr="00AA08CA" w:rsidRDefault="00922D8A" w:rsidP="008661CD">
      <w:r w:rsidRPr="00AA08CA">
        <w:t>Zinnat 250 mg plėvele dengtos tabletės</w:t>
      </w:r>
    </w:p>
    <w:p w14:paraId="2A7B3EC7" w14:textId="74CEB26C" w:rsidR="00922D8A" w:rsidRPr="008661CD" w:rsidRDefault="00922D8A" w:rsidP="008661CD">
      <w:r w:rsidRPr="008661CD">
        <w:rPr>
          <w:highlight w:val="lightGray"/>
          <w:shd w:val="clear" w:color="auto" w:fill="C0C0C0"/>
        </w:rPr>
        <w:t xml:space="preserve">Zinnat 500 mg </w:t>
      </w:r>
      <w:r w:rsidRPr="008661CD">
        <w:rPr>
          <w:highlight w:val="lightGray"/>
        </w:rPr>
        <w:t>plėvele dengtos</w:t>
      </w:r>
      <w:r w:rsidRPr="008661CD">
        <w:rPr>
          <w:highlight w:val="lightGray"/>
          <w:shd w:val="clear" w:color="auto" w:fill="C0C0C0"/>
        </w:rPr>
        <w:t xml:space="preserve"> ta</w:t>
      </w:r>
      <w:r w:rsidRPr="008661CD">
        <w:rPr>
          <w:shd w:val="clear" w:color="auto" w:fill="C0C0C0"/>
        </w:rPr>
        <w:t>bletės</w:t>
      </w:r>
    </w:p>
    <w:p w14:paraId="552410DD" w14:textId="7B96F29F" w:rsidR="00922D8A" w:rsidRPr="008661CD" w:rsidRDefault="00550DBA" w:rsidP="008661CD">
      <w:r>
        <w:t>c</w:t>
      </w:r>
      <w:r w:rsidRPr="008661CD">
        <w:t>efuroksimas</w:t>
      </w:r>
    </w:p>
    <w:p w14:paraId="63A7CD71" w14:textId="68E6A802" w:rsidR="00922D8A" w:rsidRPr="008661CD" w:rsidRDefault="00550DBA" w:rsidP="008661CD">
      <w:r>
        <w:rPr>
          <w:highlight w:val="lightGray"/>
        </w:rPr>
        <w:t>c</w:t>
      </w:r>
      <w:r w:rsidRPr="008661CD">
        <w:rPr>
          <w:highlight w:val="lightGray"/>
        </w:rPr>
        <w:t>efuroximum</w:t>
      </w:r>
    </w:p>
    <w:p w14:paraId="37815C1E" w14:textId="77777777" w:rsidR="00922D8A" w:rsidRPr="008661CD" w:rsidRDefault="00922D8A" w:rsidP="008661CD"/>
    <w:p w14:paraId="78B7AC3C" w14:textId="77777777" w:rsidR="00922D8A" w:rsidRPr="008661CD" w:rsidRDefault="00922D8A" w:rsidP="008661CD"/>
    <w:p w14:paraId="3957629F"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b/>
        </w:rPr>
      </w:pPr>
      <w:r w:rsidRPr="008661CD">
        <w:rPr>
          <w:b/>
        </w:rPr>
        <w:t>2.</w:t>
      </w:r>
      <w:r w:rsidRPr="008661CD">
        <w:rPr>
          <w:b/>
        </w:rPr>
        <w:tab/>
        <w:t>VEIKLIOJI (-IOS) MEDŽIAGA (-OS) IR JOS (-Ų) KIEKIS (-IAI)</w:t>
      </w:r>
    </w:p>
    <w:p w14:paraId="10C728DC" w14:textId="77777777" w:rsidR="00D6299C" w:rsidRPr="008661CD" w:rsidRDefault="00D6299C" w:rsidP="008661CD"/>
    <w:p w14:paraId="521ABDC6" w14:textId="77777777" w:rsidR="00922D8A" w:rsidRPr="00AA08CA" w:rsidRDefault="00922D8A" w:rsidP="008661CD">
      <w:r w:rsidRPr="00AA08CA">
        <w:t>Kiekvienoje plėvele dengtoje tabletėje yra 250 mg cefuroksimo (cefuroksimo aksetilo pavidalu).</w:t>
      </w:r>
    </w:p>
    <w:p w14:paraId="66EF3390" w14:textId="2EE8B656" w:rsidR="00922D8A" w:rsidRPr="008661CD" w:rsidRDefault="00922D8A" w:rsidP="008661CD">
      <w:r w:rsidRPr="008661CD">
        <w:rPr>
          <w:highlight w:val="lightGray"/>
        </w:rPr>
        <w:t>Kiekvienoje plėvele dengtoje tabletėje yra 500 mg cefuroksimo (cefuroksimo aksetilo pavidalu).</w:t>
      </w:r>
    </w:p>
    <w:p w14:paraId="019A04F7" w14:textId="77777777" w:rsidR="00922D8A" w:rsidRPr="008661CD" w:rsidRDefault="00922D8A" w:rsidP="008661CD"/>
    <w:p w14:paraId="0CBD2F8E" w14:textId="77777777" w:rsidR="00922D8A" w:rsidRPr="008661CD" w:rsidRDefault="00922D8A" w:rsidP="008661CD"/>
    <w:p w14:paraId="50D61A6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3.</w:t>
      </w:r>
      <w:r w:rsidRPr="008661CD">
        <w:rPr>
          <w:b/>
        </w:rPr>
        <w:tab/>
        <w:t>PAGALBINIŲ MEDŽIAGŲ SĄRAŠAS</w:t>
      </w:r>
    </w:p>
    <w:p w14:paraId="40C0A3A6" w14:textId="77777777" w:rsidR="00922D8A" w:rsidRPr="008661CD" w:rsidRDefault="00922D8A" w:rsidP="008661CD"/>
    <w:p w14:paraId="3BF1A186" w14:textId="4E419B7E" w:rsidR="00922D8A" w:rsidRPr="00AA08CA" w:rsidRDefault="00922D8A" w:rsidP="008661CD">
      <w:pPr>
        <w:autoSpaceDE w:val="0"/>
        <w:autoSpaceDN w:val="0"/>
        <w:adjustRightInd w:val="0"/>
        <w:rPr>
          <w:color w:val="000000"/>
        </w:rPr>
      </w:pPr>
      <w:bookmarkStart w:id="37" w:name="_Hlk530748553"/>
      <w:r w:rsidRPr="00AA08CA">
        <w:t>Sudėtyje taip pat yra natrio</w:t>
      </w:r>
      <w:r w:rsidR="00BC289B">
        <w:t xml:space="preserve"> ir</w:t>
      </w:r>
      <w:r w:rsidRPr="00AA08CA">
        <w:t xml:space="preserve"> natrio benzoato (E211</w:t>
      </w:r>
      <w:r w:rsidRPr="00DE2F83">
        <w:t>).</w:t>
      </w:r>
    </w:p>
    <w:p w14:paraId="3FCE55B7" w14:textId="34AF5F23" w:rsidR="00922D8A" w:rsidRPr="008661CD" w:rsidRDefault="00922D8A" w:rsidP="008661CD">
      <w:pPr>
        <w:autoSpaceDE w:val="0"/>
        <w:autoSpaceDN w:val="0"/>
        <w:adjustRightInd w:val="0"/>
        <w:rPr>
          <w:color w:val="000000"/>
        </w:rPr>
      </w:pPr>
      <w:r w:rsidRPr="008661CD">
        <w:rPr>
          <w:highlight w:val="lightGray"/>
        </w:rPr>
        <w:t>Sudėtyje taip pat yra natrio</w:t>
      </w:r>
      <w:r w:rsidR="00BC289B">
        <w:rPr>
          <w:highlight w:val="lightGray"/>
        </w:rPr>
        <w:t xml:space="preserve"> ir</w:t>
      </w:r>
      <w:r w:rsidRPr="008661CD">
        <w:rPr>
          <w:highlight w:val="lightGray"/>
        </w:rPr>
        <w:t xml:space="preserve"> natrio benzoato (E211</w:t>
      </w:r>
      <w:r w:rsidRPr="00DE2F83">
        <w:rPr>
          <w:highlight w:val="lightGray"/>
        </w:rPr>
        <w:t>).</w:t>
      </w:r>
    </w:p>
    <w:p w14:paraId="69BB249F" w14:textId="77777777" w:rsidR="00922D8A" w:rsidRPr="008661CD" w:rsidRDefault="00922D8A" w:rsidP="008661CD">
      <w:pPr>
        <w:autoSpaceDE w:val="0"/>
        <w:autoSpaceDN w:val="0"/>
        <w:adjustRightInd w:val="0"/>
        <w:rPr>
          <w:color w:val="000000"/>
        </w:rPr>
      </w:pPr>
    </w:p>
    <w:p w14:paraId="4B78CB1E" w14:textId="77777777" w:rsidR="00922D8A" w:rsidRPr="008661CD" w:rsidRDefault="00922D8A" w:rsidP="008661CD">
      <w:pPr>
        <w:autoSpaceDE w:val="0"/>
        <w:autoSpaceDN w:val="0"/>
        <w:adjustRightInd w:val="0"/>
        <w:rPr>
          <w:color w:val="000000"/>
        </w:rPr>
      </w:pPr>
      <w:r w:rsidRPr="008661CD">
        <w:t>Daugiau informacijos žr. pakuotės lapelyje.</w:t>
      </w:r>
    </w:p>
    <w:bookmarkEnd w:id="37"/>
    <w:p w14:paraId="74151231" w14:textId="77777777" w:rsidR="00922D8A" w:rsidRPr="008661CD" w:rsidRDefault="00922D8A" w:rsidP="008661CD"/>
    <w:p w14:paraId="6767C8E6" w14:textId="77777777" w:rsidR="00922D8A" w:rsidRPr="008661CD" w:rsidRDefault="00922D8A" w:rsidP="008661CD"/>
    <w:p w14:paraId="13931D5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pPr>
      <w:r w:rsidRPr="008661CD">
        <w:rPr>
          <w:b/>
        </w:rPr>
        <w:t>4.</w:t>
      </w:r>
      <w:r w:rsidRPr="008661CD">
        <w:rPr>
          <w:b/>
        </w:rPr>
        <w:tab/>
        <w:t>FARMACINĖ FORMA IR KIEKIS PAKUOTĖJE</w:t>
      </w:r>
    </w:p>
    <w:p w14:paraId="0DDA2B4A" w14:textId="77777777" w:rsidR="00922D8A" w:rsidRPr="008661CD" w:rsidRDefault="00922D8A" w:rsidP="008661CD"/>
    <w:p w14:paraId="05BB79B2" w14:textId="77777777" w:rsidR="00922D8A" w:rsidRPr="009C0DB0" w:rsidRDefault="00922D8A" w:rsidP="000F3553">
      <w:pPr>
        <w:pStyle w:val="Pagrindinistekstas"/>
        <w:rPr>
          <w:color w:val="000000"/>
          <w:lang w:val="lt-LT"/>
        </w:rPr>
      </w:pPr>
      <w:r w:rsidRPr="000F3553">
        <w:rPr>
          <w:i w:val="0"/>
          <w:color w:val="000000"/>
          <w:highlight w:val="lightGray"/>
          <w:lang w:val="lt-LT"/>
        </w:rPr>
        <w:t>Plėvele dengtos tabletės</w:t>
      </w:r>
    </w:p>
    <w:p w14:paraId="043863E8" w14:textId="77777777" w:rsidR="00922D8A" w:rsidRPr="00772556" w:rsidRDefault="00922D8A" w:rsidP="000F3553">
      <w:pPr>
        <w:pStyle w:val="Pagrindinistekstas"/>
        <w:rPr>
          <w:color w:val="000000"/>
          <w:lang w:val="lt-LT"/>
        </w:rPr>
      </w:pPr>
      <w:r w:rsidRPr="000F3553">
        <w:rPr>
          <w:i w:val="0"/>
          <w:color w:val="000000"/>
          <w:lang w:val="lt-LT"/>
        </w:rPr>
        <w:t xml:space="preserve">10 </w:t>
      </w:r>
      <w:r w:rsidRPr="00857812">
        <w:rPr>
          <w:i w:val="0"/>
          <w:color w:val="000000"/>
          <w:lang w:val="lt-LT"/>
        </w:rPr>
        <w:t>plėvele dengtų</w:t>
      </w:r>
      <w:r w:rsidRPr="000F3553">
        <w:rPr>
          <w:i w:val="0"/>
          <w:color w:val="000000"/>
          <w:lang w:val="lt-LT"/>
        </w:rPr>
        <w:t xml:space="preserve"> tablečių</w:t>
      </w:r>
    </w:p>
    <w:p w14:paraId="025D5E47" w14:textId="77777777" w:rsidR="00922D8A" w:rsidRPr="00772556" w:rsidRDefault="00922D8A" w:rsidP="000F3553">
      <w:pPr>
        <w:pStyle w:val="Pagrindinistekstas"/>
        <w:rPr>
          <w:color w:val="000000"/>
          <w:lang w:val="lt-LT"/>
        </w:rPr>
      </w:pPr>
      <w:r w:rsidRPr="000F3553">
        <w:rPr>
          <w:i w:val="0"/>
          <w:color w:val="000000"/>
          <w:highlight w:val="lightGray"/>
          <w:lang w:val="lt-LT"/>
        </w:rPr>
        <w:t>14 plėvele dengtų tablečių</w:t>
      </w:r>
    </w:p>
    <w:p w14:paraId="52F67699" w14:textId="77777777" w:rsidR="00922D8A" w:rsidRPr="008661CD" w:rsidRDefault="00922D8A" w:rsidP="008661CD"/>
    <w:p w14:paraId="5430BD40" w14:textId="77777777" w:rsidR="00922D8A" w:rsidRPr="008661CD" w:rsidRDefault="00922D8A" w:rsidP="008661CD"/>
    <w:p w14:paraId="6CD91FC8"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5.</w:t>
      </w:r>
      <w:r w:rsidRPr="008661CD">
        <w:rPr>
          <w:b/>
        </w:rPr>
        <w:tab/>
        <w:t>VARTOJIMO METODAS IR BŪDAS (-AI)</w:t>
      </w:r>
    </w:p>
    <w:p w14:paraId="60A52C32" w14:textId="77777777" w:rsidR="00922D8A" w:rsidRPr="008661CD" w:rsidRDefault="00922D8A" w:rsidP="008661CD">
      <w:pPr>
        <w:rPr>
          <w:i/>
        </w:rPr>
      </w:pPr>
    </w:p>
    <w:p w14:paraId="3B9D73C6" w14:textId="77777777" w:rsidR="00922D8A" w:rsidRPr="008661CD" w:rsidRDefault="00922D8A" w:rsidP="008661CD">
      <w:r w:rsidRPr="008661CD">
        <w:t>Vartoti per burną.</w:t>
      </w:r>
    </w:p>
    <w:p w14:paraId="226F4534" w14:textId="77777777" w:rsidR="00922D8A" w:rsidRPr="008661CD" w:rsidRDefault="00922D8A" w:rsidP="008661CD">
      <w:r w:rsidRPr="008661CD">
        <w:t>Prieš vartojimą perskaitykite pakuotės lapelį.</w:t>
      </w:r>
    </w:p>
    <w:p w14:paraId="21BEA04D" w14:textId="77777777" w:rsidR="00922D8A" w:rsidRPr="008661CD" w:rsidRDefault="00922D8A" w:rsidP="008661CD"/>
    <w:p w14:paraId="29187D98" w14:textId="77777777" w:rsidR="00922D8A" w:rsidRPr="008661CD" w:rsidRDefault="00922D8A" w:rsidP="008661CD"/>
    <w:p w14:paraId="2B96FEF8" w14:textId="77777777" w:rsidR="00922D8A" w:rsidRPr="008661CD" w:rsidRDefault="00922D8A" w:rsidP="008661CD">
      <w:pPr>
        <w:pBdr>
          <w:top w:val="single" w:sz="4" w:space="0" w:color="auto"/>
          <w:left w:val="single" w:sz="4" w:space="4" w:color="auto"/>
          <w:bottom w:val="single" w:sz="4" w:space="1" w:color="auto"/>
          <w:right w:val="single" w:sz="4" w:space="4" w:color="auto"/>
        </w:pBdr>
        <w:ind w:left="567" w:hanging="567"/>
        <w:outlineLvl w:val="0"/>
      </w:pPr>
      <w:r w:rsidRPr="008661CD">
        <w:rPr>
          <w:b/>
        </w:rPr>
        <w:t>6.</w:t>
      </w:r>
      <w:r w:rsidRPr="008661CD">
        <w:rPr>
          <w:b/>
        </w:rPr>
        <w:tab/>
        <w:t>SPECIALUS ĮSPĖJIMAS, KAD VAISTINĮ PREPARATĄ BŪTINA LAIKYTI VAIKAMS NEPASTEBIMOJE IR NEPASIEKIAMOJE VIETOJE</w:t>
      </w:r>
    </w:p>
    <w:p w14:paraId="5AC04643" w14:textId="77777777" w:rsidR="00922D8A" w:rsidRPr="008661CD" w:rsidRDefault="00922D8A" w:rsidP="008661CD"/>
    <w:p w14:paraId="1D544DD6" w14:textId="77777777" w:rsidR="00922D8A" w:rsidRPr="00AA08CA" w:rsidRDefault="00922D8A" w:rsidP="000F3553">
      <w:pPr>
        <w:pStyle w:val="Pagrindinistekstas"/>
        <w:rPr>
          <w:lang w:val="lt-LT"/>
        </w:rPr>
      </w:pPr>
      <w:r w:rsidRPr="000F3553">
        <w:rPr>
          <w:i w:val="0"/>
          <w:color w:val="auto"/>
          <w:lang w:val="lt-LT"/>
        </w:rPr>
        <w:t>Laikyti vaikams nepastebimoje ir nepasiekiamoje vietoje.</w:t>
      </w:r>
    </w:p>
    <w:p w14:paraId="463AC7E2" w14:textId="77777777" w:rsidR="00922D8A" w:rsidRPr="008661CD" w:rsidRDefault="00922D8A" w:rsidP="008661CD"/>
    <w:p w14:paraId="58130B55" w14:textId="77777777" w:rsidR="00922D8A" w:rsidRPr="008661CD" w:rsidRDefault="00922D8A" w:rsidP="008661CD"/>
    <w:p w14:paraId="6DA69ABC"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7.</w:t>
      </w:r>
      <w:r w:rsidRPr="008661CD">
        <w:rPr>
          <w:b/>
        </w:rPr>
        <w:tab/>
        <w:t>KITAS (-I) SPECIALUS (-ŪS) ĮSPĖJIMAS (-AI) (JEI REIKIA)</w:t>
      </w:r>
    </w:p>
    <w:p w14:paraId="2B8B1CDA" w14:textId="77777777" w:rsidR="00922D8A" w:rsidRPr="008661CD" w:rsidRDefault="00922D8A" w:rsidP="008661CD"/>
    <w:p w14:paraId="12DEA918" w14:textId="77777777" w:rsidR="00922D8A" w:rsidRPr="008661CD" w:rsidRDefault="00922D8A" w:rsidP="008661CD"/>
    <w:p w14:paraId="0309C5A7"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8661CD">
        <w:rPr>
          <w:b/>
        </w:rPr>
        <w:t>8.</w:t>
      </w:r>
      <w:r w:rsidRPr="008661CD">
        <w:rPr>
          <w:b/>
        </w:rPr>
        <w:tab/>
        <w:t>TINKAMUMO LAIKAS</w:t>
      </w:r>
    </w:p>
    <w:p w14:paraId="28F05988" w14:textId="77777777" w:rsidR="00922D8A" w:rsidRPr="008661CD" w:rsidRDefault="00922D8A" w:rsidP="008661CD"/>
    <w:p w14:paraId="27A78349" w14:textId="77777777" w:rsidR="00922D8A" w:rsidRPr="008661CD" w:rsidRDefault="00922D8A" w:rsidP="008661CD">
      <w:r w:rsidRPr="008661CD">
        <w:t>Tinka iki {mm-MMMM}</w:t>
      </w:r>
    </w:p>
    <w:p w14:paraId="60645FEF" w14:textId="77777777" w:rsidR="00922D8A" w:rsidRPr="008661CD" w:rsidRDefault="00922D8A" w:rsidP="008661CD">
      <w:r w:rsidRPr="008661CD">
        <w:rPr>
          <w:highlight w:val="lightGray"/>
        </w:rPr>
        <w:t>EXP {mm-MMMM}</w:t>
      </w:r>
    </w:p>
    <w:p w14:paraId="05C13A8E" w14:textId="77777777" w:rsidR="00922D8A" w:rsidRPr="008661CD" w:rsidRDefault="00922D8A" w:rsidP="008661CD"/>
    <w:p w14:paraId="60F00E2F" w14:textId="77777777" w:rsidR="00922D8A" w:rsidRPr="008661CD" w:rsidRDefault="00922D8A" w:rsidP="008661CD"/>
    <w:p w14:paraId="745D0E8B" w14:textId="77777777" w:rsidR="00922D8A" w:rsidRPr="008661CD" w:rsidRDefault="00922D8A" w:rsidP="008661CD">
      <w:pPr>
        <w:keepNext/>
        <w:pBdr>
          <w:top w:val="single" w:sz="4" w:space="1" w:color="auto"/>
          <w:left w:val="single" w:sz="4" w:space="4" w:color="auto"/>
          <w:bottom w:val="single" w:sz="4" w:space="1" w:color="auto"/>
          <w:right w:val="single" w:sz="4" w:space="4" w:color="auto"/>
        </w:pBdr>
        <w:tabs>
          <w:tab w:val="left" w:pos="567"/>
        </w:tabs>
      </w:pPr>
      <w:r w:rsidRPr="008661CD">
        <w:rPr>
          <w:b/>
        </w:rPr>
        <w:lastRenderedPageBreak/>
        <w:t>9.</w:t>
      </w:r>
      <w:r w:rsidRPr="008661CD">
        <w:rPr>
          <w:b/>
        </w:rPr>
        <w:tab/>
      </w:r>
      <w:r w:rsidRPr="008661CD">
        <w:rPr>
          <w:b/>
          <w:caps/>
        </w:rPr>
        <w:t>SPECIALIOS laikymo sąlygos</w:t>
      </w:r>
    </w:p>
    <w:p w14:paraId="3103D2CC" w14:textId="77777777" w:rsidR="00922D8A" w:rsidRPr="008661CD" w:rsidRDefault="00922D8A" w:rsidP="008661CD">
      <w:pPr>
        <w:keepNext/>
        <w:tabs>
          <w:tab w:val="left" w:pos="567"/>
        </w:tabs>
      </w:pPr>
    </w:p>
    <w:p w14:paraId="7ABAAFF3" w14:textId="58E090F9" w:rsidR="00922D8A" w:rsidRPr="00AA08CA" w:rsidRDefault="00922D8A" w:rsidP="000F3553">
      <w:pPr>
        <w:pStyle w:val="Pagrindinistekstas"/>
        <w:rPr>
          <w:lang w:val="lt-LT"/>
        </w:rPr>
      </w:pPr>
      <w:r w:rsidRPr="000F3553">
        <w:rPr>
          <w:i w:val="0"/>
          <w:color w:val="auto"/>
          <w:lang w:val="lt-LT"/>
        </w:rPr>
        <w:t>Laikyti ne aukštesnėje kaip 30</w:t>
      </w:r>
      <w:r w:rsidR="00CA3D57">
        <w:rPr>
          <w:i w:val="0"/>
          <w:color w:val="auto"/>
          <w:lang w:val="lt-LT"/>
        </w:rPr>
        <w:t> </w:t>
      </w:r>
      <w:r w:rsidRPr="000F3553">
        <w:rPr>
          <w:i w:val="0"/>
          <w:color w:val="auto"/>
          <w:lang w:val="lt-LT"/>
        </w:rPr>
        <w:sym w:font="Symbol" w:char="F0B0"/>
      </w:r>
      <w:r w:rsidRPr="000F3553">
        <w:rPr>
          <w:i w:val="0"/>
          <w:color w:val="auto"/>
          <w:lang w:val="lt-LT"/>
        </w:rPr>
        <w:t>C temperatūroje.</w:t>
      </w:r>
    </w:p>
    <w:p w14:paraId="66FD074B" w14:textId="77777777" w:rsidR="00922D8A" w:rsidRPr="008661CD" w:rsidRDefault="00922D8A" w:rsidP="008661CD">
      <w:pPr>
        <w:ind w:left="567" w:hanging="567"/>
      </w:pPr>
    </w:p>
    <w:p w14:paraId="140DB891" w14:textId="77777777" w:rsidR="00922D8A" w:rsidRPr="008661CD" w:rsidRDefault="00922D8A" w:rsidP="008661CD">
      <w:pPr>
        <w:ind w:left="567" w:hanging="567"/>
      </w:pPr>
    </w:p>
    <w:p w14:paraId="6D6E50D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67" w:hanging="567"/>
        <w:outlineLvl w:val="0"/>
        <w:rPr>
          <w:b/>
        </w:rPr>
      </w:pPr>
      <w:r w:rsidRPr="008661CD">
        <w:rPr>
          <w:b/>
        </w:rPr>
        <w:t>10.</w:t>
      </w:r>
      <w:r w:rsidRPr="008661CD">
        <w:rPr>
          <w:b/>
        </w:rPr>
        <w:tab/>
      </w:r>
      <w:r w:rsidRPr="008661CD">
        <w:rPr>
          <w:b/>
          <w:caps/>
        </w:rPr>
        <w:t>specialios atsargumo priemonės DĖL NESUVARTOTO</w:t>
      </w:r>
      <w:r w:rsidRPr="008661CD">
        <w:rPr>
          <w:b/>
        </w:rPr>
        <w:t xml:space="preserve"> </w:t>
      </w:r>
      <w:r w:rsidRPr="008661CD">
        <w:rPr>
          <w:b/>
          <w:caps/>
        </w:rPr>
        <w:t>VAISTINIO PREPARATO AR JO ATLIEKŲ</w:t>
      </w:r>
      <w:r w:rsidRPr="008661CD">
        <w:rPr>
          <w:caps/>
        </w:rPr>
        <w:t xml:space="preserve"> </w:t>
      </w:r>
      <w:r w:rsidRPr="008661CD">
        <w:rPr>
          <w:b/>
          <w:caps/>
        </w:rPr>
        <w:t>TVARKYMO (jei reikia)</w:t>
      </w:r>
    </w:p>
    <w:p w14:paraId="3C212559" w14:textId="77777777" w:rsidR="00922D8A" w:rsidRPr="008661CD" w:rsidRDefault="00922D8A" w:rsidP="008661CD"/>
    <w:p w14:paraId="5EA292EF" w14:textId="77777777" w:rsidR="00922D8A" w:rsidRPr="008661CD" w:rsidRDefault="00922D8A" w:rsidP="008661CD"/>
    <w:p w14:paraId="1DEBBF3B"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rPr>
          <w:b/>
        </w:rPr>
      </w:pPr>
      <w:r w:rsidRPr="008661CD">
        <w:rPr>
          <w:b/>
        </w:rPr>
        <w:t>11.</w:t>
      </w:r>
      <w:r w:rsidRPr="008661CD">
        <w:rPr>
          <w:b/>
        </w:rPr>
        <w:tab/>
      </w:r>
      <w:r w:rsidRPr="008661CD">
        <w:rPr>
          <w:b/>
          <w:caps/>
        </w:rPr>
        <w:t>REGISTRUOTOJO pavadinimas ir adresas</w:t>
      </w:r>
    </w:p>
    <w:p w14:paraId="7813FD31" w14:textId="77777777" w:rsidR="00922D8A" w:rsidRPr="008661CD" w:rsidRDefault="00922D8A" w:rsidP="008661CD"/>
    <w:p w14:paraId="31E53AEF" w14:textId="77777777" w:rsidR="00922D8A" w:rsidRPr="008661CD" w:rsidRDefault="00922D8A" w:rsidP="008661CD">
      <w:pPr>
        <w:autoSpaceDE w:val="0"/>
        <w:autoSpaceDN w:val="0"/>
        <w:adjustRightInd w:val="0"/>
      </w:pPr>
      <w:r w:rsidRPr="001D5FF7">
        <w:rPr>
          <w:highlight w:val="lightGray"/>
        </w:rPr>
        <w:t>Registruotojas:</w:t>
      </w:r>
    </w:p>
    <w:p w14:paraId="64597D51" w14:textId="77777777" w:rsidR="007B1B26" w:rsidRPr="001514CF" w:rsidRDefault="007B1B26" w:rsidP="007B1B26">
      <w:pPr>
        <w:tabs>
          <w:tab w:val="left" w:pos="567"/>
          <w:tab w:val="left" w:pos="3060"/>
        </w:tabs>
        <w:rPr>
          <w:szCs w:val="22"/>
          <w:lang w:eastAsia="zh-TW"/>
        </w:rPr>
      </w:pPr>
      <w:r w:rsidRPr="001514CF">
        <w:rPr>
          <w:szCs w:val="22"/>
          <w:lang w:eastAsia="zh-TW"/>
        </w:rPr>
        <w:t>Sandoz d.d.</w:t>
      </w:r>
    </w:p>
    <w:p w14:paraId="58296716" w14:textId="77777777" w:rsidR="007B1B26" w:rsidRPr="001514CF" w:rsidRDefault="007B1B26" w:rsidP="007B1B26">
      <w:pPr>
        <w:tabs>
          <w:tab w:val="left" w:pos="567"/>
          <w:tab w:val="left" w:pos="3060"/>
        </w:tabs>
        <w:rPr>
          <w:szCs w:val="22"/>
          <w:lang w:eastAsia="zh-TW"/>
        </w:rPr>
      </w:pPr>
      <w:r w:rsidRPr="001514CF">
        <w:rPr>
          <w:szCs w:val="22"/>
          <w:lang w:eastAsia="zh-TW"/>
        </w:rPr>
        <w:t>Verovškova 57</w:t>
      </w:r>
    </w:p>
    <w:p w14:paraId="4764AEF4" w14:textId="77777777" w:rsidR="007B1B26" w:rsidRPr="001514CF" w:rsidRDefault="007B1B26" w:rsidP="007B1B26">
      <w:pPr>
        <w:tabs>
          <w:tab w:val="left" w:pos="567"/>
          <w:tab w:val="left" w:pos="3060"/>
        </w:tabs>
        <w:rPr>
          <w:szCs w:val="22"/>
          <w:lang w:eastAsia="zh-TW"/>
        </w:rPr>
      </w:pPr>
      <w:r w:rsidRPr="001514CF">
        <w:rPr>
          <w:szCs w:val="22"/>
          <w:lang w:eastAsia="zh-TW"/>
        </w:rPr>
        <w:t>SI-1000 Ljubljana</w:t>
      </w:r>
    </w:p>
    <w:p w14:paraId="7C98990F" w14:textId="77777777" w:rsidR="007B1B26" w:rsidRPr="001514CF" w:rsidRDefault="007B1B26" w:rsidP="007B1B26">
      <w:pPr>
        <w:tabs>
          <w:tab w:val="left" w:pos="567"/>
          <w:tab w:val="left" w:pos="3060"/>
        </w:tabs>
        <w:autoSpaceDE w:val="0"/>
        <w:autoSpaceDN w:val="0"/>
        <w:adjustRightInd w:val="0"/>
        <w:rPr>
          <w:szCs w:val="22"/>
          <w:lang w:eastAsia="zh-TW"/>
        </w:rPr>
      </w:pPr>
      <w:r w:rsidRPr="001514CF">
        <w:rPr>
          <w:szCs w:val="22"/>
          <w:lang w:eastAsia="zh-TW"/>
        </w:rPr>
        <w:t>Slovėnija</w:t>
      </w:r>
    </w:p>
    <w:p w14:paraId="7EEA623E" w14:textId="77777777" w:rsidR="00922D8A" w:rsidRPr="008661CD" w:rsidRDefault="00922D8A" w:rsidP="008661CD"/>
    <w:p w14:paraId="00C7EAA6" w14:textId="77777777" w:rsidR="00922D8A" w:rsidRPr="008661CD" w:rsidRDefault="00922D8A" w:rsidP="008661CD"/>
    <w:p w14:paraId="10819B2E"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12.</w:t>
      </w:r>
      <w:r w:rsidRPr="008661CD">
        <w:rPr>
          <w:b/>
        </w:rPr>
        <w:tab/>
      </w:r>
      <w:r w:rsidRPr="008661CD">
        <w:rPr>
          <w:b/>
          <w:caps/>
        </w:rPr>
        <w:t>REGISTRACIJOS PAŽYMĖJIMO numeris (-IAI)</w:t>
      </w:r>
    </w:p>
    <w:p w14:paraId="336A9C7F" w14:textId="77777777" w:rsidR="00922D8A" w:rsidRPr="008661CD" w:rsidRDefault="00922D8A" w:rsidP="008661CD">
      <w:pPr>
        <w:ind w:left="567" w:hanging="567"/>
        <w:rPr>
          <w:highlight w:val="lightGray"/>
        </w:rPr>
      </w:pPr>
    </w:p>
    <w:p w14:paraId="539DD6C3" w14:textId="77777777" w:rsidR="00EC7E28" w:rsidRPr="00772556" w:rsidRDefault="00EC7E28" w:rsidP="00EC7E28">
      <w:pPr>
        <w:rPr>
          <w:shd w:val="clear" w:color="auto" w:fill="D9D9D9" w:themeFill="background1" w:themeFillShade="D9"/>
        </w:rPr>
      </w:pPr>
      <w:r w:rsidRPr="00772556">
        <w:rPr>
          <w:shd w:val="clear" w:color="auto" w:fill="D9D9D9" w:themeFill="background1" w:themeFillShade="D9"/>
        </w:rPr>
        <w:t xml:space="preserve">250 mg </w:t>
      </w:r>
    </w:p>
    <w:p w14:paraId="6944CCA1" w14:textId="77777777" w:rsidR="00EC7E28" w:rsidRPr="00772556" w:rsidRDefault="00EC7E28" w:rsidP="00EC7E28">
      <w:pPr>
        <w:rPr>
          <w:shd w:val="clear" w:color="auto" w:fill="D9D9D9" w:themeFill="background1" w:themeFillShade="D9"/>
        </w:rPr>
      </w:pPr>
      <w:r w:rsidRPr="00772556">
        <w:t xml:space="preserve">LT/1/94/0478/003 </w:t>
      </w:r>
      <w:r w:rsidRPr="00772556">
        <w:rPr>
          <w:shd w:val="clear" w:color="auto" w:fill="D9D9D9" w:themeFill="background1" w:themeFillShade="D9"/>
        </w:rPr>
        <w:t>– N10</w:t>
      </w:r>
    </w:p>
    <w:p w14:paraId="0F6B3BDF" w14:textId="77777777" w:rsidR="00EC7E28" w:rsidRPr="00772556" w:rsidRDefault="00EC7E28" w:rsidP="00EC7E28">
      <w:pPr>
        <w:rPr>
          <w:shd w:val="clear" w:color="auto" w:fill="D9D9D9" w:themeFill="background1" w:themeFillShade="D9"/>
        </w:rPr>
      </w:pPr>
      <w:r w:rsidRPr="00772556">
        <w:rPr>
          <w:shd w:val="clear" w:color="auto" w:fill="D9D9D9" w:themeFill="background1" w:themeFillShade="D9"/>
        </w:rPr>
        <w:t>LT/1/94/0478/004 – N14</w:t>
      </w:r>
    </w:p>
    <w:p w14:paraId="1FE48566" w14:textId="77777777" w:rsidR="00EC7E28" w:rsidRPr="00772556" w:rsidRDefault="00EC7E28" w:rsidP="00EC7E28"/>
    <w:p w14:paraId="1CDE540D" w14:textId="77777777" w:rsidR="00EC7E28" w:rsidRPr="00772556" w:rsidRDefault="00EC7E28" w:rsidP="00EC7E28">
      <w:pPr>
        <w:rPr>
          <w:shd w:val="clear" w:color="auto" w:fill="D9D9D9" w:themeFill="background1" w:themeFillShade="D9"/>
        </w:rPr>
      </w:pPr>
      <w:r w:rsidRPr="00772556">
        <w:rPr>
          <w:shd w:val="clear" w:color="auto" w:fill="D9D9D9" w:themeFill="background1" w:themeFillShade="D9"/>
        </w:rPr>
        <w:t xml:space="preserve">500 mg </w:t>
      </w:r>
    </w:p>
    <w:p w14:paraId="184B40D4" w14:textId="77777777" w:rsidR="00EC7E28" w:rsidRPr="00772556" w:rsidRDefault="00EC7E28" w:rsidP="00EC7E28">
      <w:pPr>
        <w:rPr>
          <w:shd w:val="clear" w:color="auto" w:fill="D9D9D9" w:themeFill="background1" w:themeFillShade="D9"/>
        </w:rPr>
      </w:pPr>
      <w:r w:rsidRPr="00772556">
        <w:t xml:space="preserve">LT/1/94/0478/005 </w:t>
      </w:r>
      <w:r w:rsidRPr="00772556">
        <w:rPr>
          <w:shd w:val="clear" w:color="auto" w:fill="D9D9D9" w:themeFill="background1" w:themeFillShade="D9"/>
        </w:rPr>
        <w:t>– N10</w:t>
      </w:r>
    </w:p>
    <w:p w14:paraId="1A02D125" w14:textId="6DE00FAA" w:rsidR="00EC7E28" w:rsidRPr="00D554D4" w:rsidRDefault="00EC7E28" w:rsidP="00EC7E28">
      <w:pPr>
        <w:rPr>
          <w:shd w:val="clear" w:color="auto" w:fill="D9D9D9" w:themeFill="background1" w:themeFillShade="D9"/>
          <w:lang w:val="de-DE"/>
        </w:rPr>
      </w:pPr>
      <w:r w:rsidRPr="00D554D4">
        <w:rPr>
          <w:shd w:val="clear" w:color="auto" w:fill="D9D9D9" w:themeFill="background1" w:themeFillShade="D9"/>
          <w:lang w:val="de-DE"/>
        </w:rPr>
        <w:t>LT/1/94/0478/006 – N14</w:t>
      </w:r>
    </w:p>
    <w:p w14:paraId="47C5D116" w14:textId="77777777" w:rsidR="00EC7E28" w:rsidRPr="00D554D4" w:rsidRDefault="00EC7E28" w:rsidP="00EC7E28">
      <w:pPr>
        <w:rPr>
          <w:lang w:val="de-DE"/>
        </w:rPr>
      </w:pPr>
    </w:p>
    <w:p w14:paraId="791E40E5" w14:textId="77777777" w:rsidR="00EC7E28" w:rsidRPr="00D554D4" w:rsidRDefault="00EC7E28" w:rsidP="00EC7E28">
      <w:pPr>
        <w:rPr>
          <w:lang w:val="de-DE"/>
        </w:rPr>
      </w:pPr>
    </w:p>
    <w:p w14:paraId="62E7F19D"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13.</w:t>
      </w:r>
      <w:r w:rsidRPr="008661CD">
        <w:rPr>
          <w:b/>
        </w:rPr>
        <w:tab/>
        <w:t>SERIJOS NUMERIS</w:t>
      </w:r>
    </w:p>
    <w:p w14:paraId="772CFD28" w14:textId="77777777" w:rsidR="00922D8A" w:rsidRPr="008661CD" w:rsidRDefault="00922D8A" w:rsidP="008661CD"/>
    <w:p w14:paraId="13F8E1AB" w14:textId="77777777" w:rsidR="00922D8A" w:rsidRPr="008661CD" w:rsidRDefault="00922D8A" w:rsidP="008661CD">
      <w:r w:rsidRPr="008661CD">
        <w:t>Serija</w:t>
      </w:r>
    </w:p>
    <w:p w14:paraId="4DF61398" w14:textId="77777777" w:rsidR="00922D8A" w:rsidRPr="008661CD" w:rsidRDefault="00922D8A" w:rsidP="008661CD">
      <w:r w:rsidRPr="008661CD">
        <w:rPr>
          <w:highlight w:val="darkGray"/>
        </w:rPr>
        <w:t>Lot</w:t>
      </w:r>
    </w:p>
    <w:p w14:paraId="745A8A14" w14:textId="77777777" w:rsidR="00922D8A" w:rsidRPr="008661CD" w:rsidRDefault="00922D8A" w:rsidP="008661CD"/>
    <w:p w14:paraId="507015A1" w14:textId="77777777" w:rsidR="00922D8A" w:rsidRPr="008661CD" w:rsidRDefault="00922D8A" w:rsidP="008661CD"/>
    <w:p w14:paraId="76FA9EC5"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14.</w:t>
      </w:r>
      <w:r w:rsidRPr="008661CD">
        <w:rPr>
          <w:b/>
        </w:rPr>
        <w:tab/>
        <w:t>PARDAVIMO (IŠDAVIMO)</w:t>
      </w:r>
      <w:r w:rsidRPr="008661CD">
        <w:rPr>
          <w:b/>
          <w:caps/>
        </w:rPr>
        <w:t xml:space="preserve"> tvarka</w:t>
      </w:r>
    </w:p>
    <w:p w14:paraId="07A9F13E" w14:textId="77777777" w:rsidR="00922D8A" w:rsidRPr="008661CD" w:rsidRDefault="00922D8A" w:rsidP="008661CD"/>
    <w:p w14:paraId="1D988CCD" w14:textId="77777777" w:rsidR="00922D8A" w:rsidRPr="008661CD" w:rsidRDefault="00922D8A" w:rsidP="008661CD">
      <w:r w:rsidRPr="008661CD">
        <w:t>Receptinis vaistas.</w:t>
      </w:r>
    </w:p>
    <w:p w14:paraId="005E4D92" w14:textId="77777777" w:rsidR="00922D8A" w:rsidRPr="008661CD" w:rsidRDefault="00922D8A" w:rsidP="008661CD"/>
    <w:p w14:paraId="3CD29D40" w14:textId="77777777" w:rsidR="00922D8A" w:rsidRPr="008661CD" w:rsidRDefault="00922D8A" w:rsidP="008661CD"/>
    <w:p w14:paraId="76E77777"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15.</w:t>
      </w:r>
      <w:r w:rsidRPr="008661CD">
        <w:rPr>
          <w:b/>
        </w:rPr>
        <w:tab/>
      </w:r>
      <w:r w:rsidRPr="008661CD">
        <w:rPr>
          <w:b/>
          <w:caps/>
        </w:rPr>
        <w:t>vartojimo instrukcijA</w:t>
      </w:r>
    </w:p>
    <w:p w14:paraId="28DF08F1" w14:textId="77777777" w:rsidR="00922D8A" w:rsidRPr="008661CD" w:rsidRDefault="00922D8A" w:rsidP="008661CD"/>
    <w:p w14:paraId="0F66D102" w14:textId="77777777" w:rsidR="00922D8A" w:rsidRPr="00AA08CA" w:rsidRDefault="00922D8A" w:rsidP="000F3553">
      <w:pPr>
        <w:pStyle w:val="Pagrindinistekstas"/>
        <w:rPr>
          <w:lang w:val="lt-LT"/>
        </w:rPr>
      </w:pPr>
      <w:bookmarkStart w:id="38" w:name="_Hlk517876831"/>
      <w:r w:rsidRPr="000F3553">
        <w:rPr>
          <w:i w:val="0"/>
          <w:color w:val="auto"/>
          <w:lang w:val="lt-LT"/>
        </w:rPr>
        <w:t>Vartoti taip, kaip nurodė Jūsų gydytojas.</w:t>
      </w:r>
    </w:p>
    <w:p w14:paraId="766CE9D4" w14:textId="77777777" w:rsidR="00922D8A" w:rsidRPr="009C0DB0" w:rsidRDefault="00922D8A" w:rsidP="000F3553">
      <w:pPr>
        <w:pStyle w:val="Pagrindinistekstas"/>
        <w:rPr>
          <w:i w:val="0"/>
          <w:color w:val="auto"/>
          <w:lang w:val="lt-LT"/>
        </w:rPr>
      </w:pPr>
    </w:p>
    <w:p w14:paraId="4B535B62" w14:textId="77777777" w:rsidR="00922D8A" w:rsidRPr="00772556" w:rsidRDefault="00922D8A" w:rsidP="000F3553">
      <w:pPr>
        <w:pStyle w:val="Pagrindinistekstas"/>
        <w:rPr>
          <w:lang w:val="lt-LT"/>
        </w:rPr>
      </w:pPr>
      <w:r w:rsidRPr="000F3553">
        <w:rPr>
          <w:i w:val="0"/>
          <w:color w:val="auto"/>
          <w:lang w:val="lt-LT"/>
        </w:rPr>
        <w:t>Tablečių negalima smulkinti ar kramtyti. Reikia nuryti visą tabletę, užgeriant stikline vandens.</w:t>
      </w:r>
    </w:p>
    <w:bookmarkEnd w:id="38"/>
    <w:p w14:paraId="57E591B2" w14:textId="77777777" w:rsidR="00922D8A" w:rsidRPr="008661CD" w:rsidRDefault="00922D8A" w:rsidP="008661CD"/>
    <w:p w14:paraId="1D13445D" w14:textId="77777777" w:rsidR="00922D8A" w:rsidRPr="008661CD" w:rsidRDefault="00922D8A" w:rsidP="008661CD"/>
    <w:p w14:paraId="07327071" w14:textId="77777777" w:rsidR="00922D8A" w:rsidRPr="008661CD" w:rsidRDefault="00922D8A" w:rsidP="008661CD">
      <w:pPr>
        <w:pBdr>
          <w:top w:val="single" w:sz="4" w:space="1" w:color="auto"/>
          <w:left w:val="single" w:sz="4" w:space="4" w:color="auto"/>
          <w:bottom w:val="single" w:sz="4" w:space="1" w:color="auto"/>
          <w:right w:val="single" w:sz="4" w:space="4" w:color="auto"/>
        </w:pBdr>
        <w:ind w:left="540" w:hanging="540"/>
        <w:outlineLvl w:val="0"/>
      </w:pPr>
      <w:r w:rsidRPr="008661CD">
        <w:rPr>
          <w:b/>
        </w:rPr>
        <w:t>16.</w:t>
      </w:r>
      <w:r w:rsidRPr="008661CD">
        <w:rPr>
          <w:b/>
        </w:rPr>
        <w:tab/>
        <w:t>INFORMACIJA BRAILIO RAŠTU</w:t>
      </w:r>
    </w:p>
    <w:p w14:paraId="4D2F82BE" w14:textId="4C2D03C5" w:rsidR="00922D8A" w:rsidRPr="008661CD" w:rsidRDefault="00922D8A" w:rsidP="008661CD"/>
    <w:p w14:paraId="32B78C0A" w14:textId="75F673EE" w:rsidR="00922D8A" w:rsidRPr="00AA08CA" w:rsidRDefault="00922D8A" w:rsidP="008661CD">
      <w:r w:rsidRPr="00AA08CA">
        <w:t>zinnat 250</w:t>
      </w:r>
      <w:r w:rsidR="00CA3D57">
        <w:t> </w:t>
      </w:r>
      <w:r w:rsidRPr="00AA08CA">
        <w:t>mg</w:t>
      </w:r>
    </w:p>
    <w:p w14:paraId="46842D61" w14:textId="0ACA69B9" w:rsidR="00922D8A" w:rsidRPr="008661CD" w:rsidRDefault="00922D8A" w:rsidP="008661CD">
      <w:r w:rsidRPr="008661CD">
        <w:rPr>
          <w:highlight w:val="lightGray"/>
        </w:rPr>
        <w:t>zinnat 500</w:t>
      </w:r>
      <w:r w:rsidR="00CA3D57">
        <w:rPr>
          <w:highlight w:val="lightGray"/>
        </w:rPr>
        <w:t> </w:t>
      </w:r>
      <w:r w:rsidRPr="008661CD">
        <w:rPr>
          <w:highlight w:val="lightGray"/>
        </w:rPr>
        <w:t>mg</w:t>
      </w:r>
    </w:p>
    <w:p w14:paraId="57CDC298" w14:textId="77777777" w:rsidR="00922D8A" w:rsidRPr="008661CD" w:rsidRDefault="00922D8A" w:rsidP="008661CD">
      <w:pPr>
        <w:tabs>
          <w:tab w:val="left" w:pos="567"/>
        </w:tabs>
        <w:spacing w:line="260" w:lineRule="exact"/>
      </w:pPr>
    </w:p>
    <w:p w14:paraId="0BAF31B1" w14:textId="77777777" w:rsidR="00922D8A" w:rsidRPr="008661CD" w:rsidRDefault="00922D8A" w:rsidP="008661CD">
      <w:pPr>
        <w:tabs>
          <w:tab w:val="left" w:pos="567"/>
        </w:tabs>
        <w:spacing w:line="260" w:lineRule="exact"/>
        <w:rPr>
          <w:shd w:val="clear" w:color="auto" w:fill="CCCCCC"/>
        </w:rPr>
      </w:pPr>
    </w:p>
    <w:p w14:paraId="5B11F910" w14:textId="77777777" w:rsidR="00922D8A" w:rsidRPr="00AA08CA" w:rsidRDefault="00922D8A" w:rsidP="00866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AA08CA">
        <w:rPr>
          <w:b/>
        </w:rPr>
        <w:t>17.</w:t>
      </w:r>
      <w:r w:rsidRPr="00AA08CA">
        <w:rPr>
          <w:b/>
        </w:rPr>
        <w:tab/>
        <w:t>UNIKALUS IDENTIFIKATORIUS – 2D BRŪKŠNINIS KODAS</w:t>
      </w:r>
    </w:p>
    <w:p w14:paraId="5B8CC9A1" w14:textId="77777777" w:rsidR="00922D8A" w:rsidRPr="00AA08CA" w:rsidRDefault="00922D8A" w:rsidP="008661CD">
      <w:pPr>
        <w:tabs>
          <w:tab w:val="left" w:pos="567"/>
        </w:tabs>
        <w:spacing w:line="260" w:lineRule="exact"/>
      </w:pPr>
    </w:p>
    <w:p w14:paraId="43201821" w14:textId="77777777" w:rsidR="00922D8A" w:rsidRPr="00AA08CA" w:rsidRDefault="00922D8A" w:rsidP="008661CD">
      <w:pPr>
        <w:tabs>
          <w:tab w:val="left" w:pos="567"/>
        </w:tabs>
        <w:spacing w:line="260" w:lineRule="exact"/>
        <w:rPr>
          <w:shd w:val="clear" w:color="auto" w:fill="CCCCCC"/>
        </w:rPr>
      </w:pPr>
      <w:r w:rsidRPr="00AA08CA">
        <w:rPr>
          <w:highlight w:val="lightGray"/>
        </w:rPr>
        <w:lastRenderedPageBreak/>
        <w:t>2D brūkšninis kodas su nurodytu unikaliu identifikatoriumi.</w:t>
      </w:r>
    </w:p>
    <w:p w14:paraId="414A8061" w14:textId="77777777" w:rsidR="00922D8A" w:rsidRPr="00AA08CA" w:rsidRDefault="00922D8A" w:rsidP="008661CD">
      <w:pPr>
        <w:tabs>
          <w:tab w:val="left" w:pos="567"/>
        </w:tabs>
        <w:spacing w:line="260" w:lineRule="exact"/>
      </w:pPr>
    </w:p>
    <w:p w14:paraId="622BF3A2" w14:textId="77777777" w:rsidR="00922D8A" w:rsidRPr="00AA08CA" w:rsidRDefault="00922D8A" w:rsidP="008661CD">
      <w:pPr>
        <w:tabs>
          <w:tab w:val="left" w:pos="567"/>
        </w:tabs>
        <w:spacing w:line="260" w:lineRule="exact"/>
      </w:pPr>
    </w:p>
    <w:p w14:paraId="4B2E8B5B" w14:textId="77777777" w:rsidR="00922D8A" w:rsidRPr="00AA08CA" w:rsidRDefault="00922D8A" w:rsidP="008661C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AA08CA">
        <w:rPr>
          <w:b/>
        </w:rPr>
        <w:t>18.</w:t>
      </w:r>
      <w:r w:rsidRPr="00AA08CA">
        <w:rPr>
          <w:b/>
        </w:rPr>
        <w:tab/>
        <w:t>UNIKALUS IDENTIFIKATORIUS – ŽMONĖMS SUPRANTAMI DUOMENYS</w:t>
      </w:r>
    </w:p>
    <w:p w14:paraId="53A5056A" w14:textId="77777777" w:rsidR="00922D8A" w:rsidRPr="00AA08CA" w:rsidRDefault="00922D8A" w:rsidP="008661CD">
      <w:pPr>
        <w:tabs>
          <w:tab w:val="left" w:pos="567"/>
        </w:tabs>
        <w:spacing w:line="260" w:lineRule="exact"/>
      </w:pPr>
    </w:p>
    <w:p w14:paraId="7CCD87CC" w14:textId="77777777" w:rsidR="00922D8A" w:rsidRPr="009C0DB0" w:rsidRDefault="00922D8A" w:rsidP="008661CD">
      <w:pPr>
        <w:tabs>
          <w:tab w:val="left" w:pos="567"/>
        </w:tabs>
        <w:spacing w:line="260" w:lineRule="exact"/>
        <w:rPr>
          <w:lang w:val="pl-PL"/>
        </w:rPr>
      </w:pPr>
      <w:r w:rsidRPr="009C0DB0">
        <w:rPr>
          <w:lang w:val="pl-PL"/>
        </w:rPr>
        <w:t>PC:</w:t>
      </w:r>
    </w:p>
    <w:p w14:paraId="73DFAA92" w14:textId="77777777" w:rsidR="00922D8A" w:rsidRPr="008661CD" w:rsidRDefault="00922D8A" w:rsidP="008661CD">
      <w:pPr>
        <w:tabs>
          <w:tab w:val="left" w:pos="567"/>
        </w:tabs>
        <w:spacing w:line="260" w:lineRule="exact"/>
        <w:rPr>
          <w:lang w:val="en-GB"/>
        </w:rPr>
      </w:pPr>
      <w:r w:rsidRPr="008661CD">
        <w:rPr>
          <w:lang w:val="en-GB"/>
        </w:rPr>
        <w:t>SN:</w:t>
      </w:r>
    </w:p>
    <w:p w14:paraId="669FA0D7" w14:textId="77777777" w:rsidR="00922D8A" w:rsidRPr="008661CD" w:rsidRDefault="00922D8A" w:rsidP="008661CD">
      <w:pPr>
        <w:tabs>
          <w:tab w:val="left" w:pos="567"/>
        </w:tabs>
        <w:spacing w:line="260" w:lineRule="exact"/>
        <w:rPr>
          <w:lang w:val="en-GB"/>
        </w:rPr>
      </w:pPr>
      <w:r w:rsidRPr="008661CD">
        <w:rPr>
          <w:highlight w:val="lightGray"/>
          <w:lang w:val="en-GB"/>
        </w:rPr>
        <w:t>NN:</w:t>
      </w:r>
    </w:p>
    <w:p w14:paraId="14EA5769" w14:textId="77777777" w:rsidR="00922D8A" w:rsidRPr="008661CD" w:rsidRDefault="00922D8A" w:rsidP="008661CD"/>
    <w:p w14:paraId="7D2821EB" w14:textId="77777777" w:rsidR="00922D8A" w:rsidRPr="008661CD" w:rsidRDefault="00922D8A" w:rsidP="000F3553">
      <w:pPr>
        <w:spacing w:after="160" w:line="259" w:lineRule="auto"/>
      </w:pPr>
      <w:r w:rsidRPr="008661CD">
        <w:br w:type="page"/>
      </w:r>
    </w:p>
    <w:p w14:paraId="07AA3F38" w14:textId="77777777" w:rsidR="00922D8A" w:rsidRPr="008661CD" w:rsidRDefault="00922D8A" w:rsidP="008661CD"/>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31D42650" w14:textId="77777777" w:rsidTr="00894113">
        <w:trPr>
          <w:trHeight w:val="785"/>
        </w:trPr>
        <w:tc>
          <w:tcPr>
            <w:tcW w:w="9287" w:type="dxa"/>
            <w:tcBorders>
              <w:bottom w:val="single" w:sz="4" w:space="0" w:color="auto"/>
            </w:tcBorders>
          </w:tcPr>
          <w:p w14:paraId="2947EAC9" w14:textId="77777777" w:rsidR="00922D8A" w:rsidRPr="008661CD" w:rsidRDefault="00922D8A" w:rsidP="008661CD">
            <w:pPr>
              <w:rPr>
                <w:b/>
              </w:rPr>
            </w:pPr>
            <w:r w:rsidRPr="008661CD">
              <w:rPr>
                <w:b/>
                <w:color w:val="FF0000"/>
              </w:rPr>
              <w:br w:type="page"/>
            </w:r>
            <w:r w:rsidRPr="008661CD">
              <w:rPr>
                <w:b/>
              </w:rPr>
              <w:t xml:space="preserve">MINIMALI </w:t>
            </w:r>
            <w:r w:rsidRPr="008661CD">
              <w:rPr>
                <w:b/>
                <w:caps/>
              </w:rPr>
              <w:t xml:space="preserve">informacija ant </w:t>
            </w:r>
            <w:r w:rsidRPr="008661CD">
              <w:rPr>
                <w:b/>
              </w:rPr>
              <w:t xml:space="preserve">LIZDINIŲ PLOKŠTELIŲ </w:t>
            </w:r>
          </w:p>
          <w:p w14:paraId="4706F7A3" w14:textId="77777777" w:rsidR="00922D8A" w:rsidRPr="009C0DB0" w:rsidRDefault="00922D8A" w:rsidP="008661CD"/>
          <w:p w14:paraId="71570127" w14:textId="77777777" w:rsidR="00922D8A" w:rsidRPr="008661CD" w:rsidRDefault="00922D8A" w:rsidP="008661CD">
            <w:pPr>
              <w:rPr>
                <w:b/>
              </w:rPr>
            </w:pPr>
            <w:r w:rsidRPr="008661CD">
              <w:rPr>
                <w:b/>
              </w:rPr>
              <w:t xml:space="preserve">LIZDINĖS PLOKŠTELĖS </w:t>
            </w:r>
          </w:p>
        </w:tc>
      </w:tr>
    </w:tbl>
    <w:p w14:paraId="32CE8954" w14:textId="77777777" w:rsidR="00922D8A" w:rsidRPr="009C0DB0" w:rsidRDefault="00922D8A" w:rsidP="008661CD"/>
    <w:p w14:paraId="3877332F" w14:textId="77777777" w:rsidR="00922D8A" w:rsidRPr="009C0DB0" w:rsidRDefault="00922D8A" w:rsidP="008661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45BCA17E" w14:textId="77777777" w:rsidTr="00894113">
        <w:tc>
          <w:tcPr>
            <w:tcW w:w="9287" w:type="dxa"/>
          </w:tcPr>
          <w:p w14:paraId="4FF3597B" w14:textId="77777777" w:rsidR="00922D8A" w:rsidRPr="008661CD" w:rsidRDefault="00922D8A" w:rsidP="008661CD">
            <w:pPr>
              <w:tabs>
                <w:tab w:val="left" w:pos="142"/>
              </w:tabs>
              <w:ind w:left="567" w:hanging="567"/>
              <w:rPr>
                <w:b/>
              </w:rPr>
            </w:pPr>
            <w:r w:rsidRPr="008661CD">
              <w:rPr>
                <w:b/>
              </w:rPr>
              <w:t>1.</w:t>
            </w:r>
            <w:r w:rsidRPr="008661CD">
              <w:rPr>
                <w:b/>
              </w:rPr>
              <w:tab/>
            </w:r>
            <w:r w:rsidRPr="008661CD">
              <w:rPr>
                <w:b/>
                <w:caps/>
              </w:rPr>
              <w:t>Vaistinio preparato pavadinimas</w:t>
            </w:r>
          </w:p>
        </w:tc>
      </w:tr>
    </w:tbl>
    <w:p w14:paraId="708C487F" w14:textId="77777777" w:rsidR="00922D8A" w:rsidRPr="008661CD" w:rsidRDefault="00922D8A" w:rsidP="008661CD">
      <w:pPr>
        <w:ind w:left="567" w:hanging="567"/>
      </w:pPr>
    </w:p>
    <w:p w14:paraId="5A2B9A1D" w14:textId="77777777" w:rsidR="00922D8A" w:rsidRPr="00AA08CA" w:rsidRDefault="00922D8A" w:rsidP="008661CD">
      <w:r w:rsidRPr="00AA08CA">
        <w:t>Zinnat 250 mg plėvele dengtos tabletės</w:t>
      </w:r>
    </w:p>
    <w:p w14:paraId="6174DFE1" w14:textId="3B6354D0" w:rsidR="00922D8A" w:rsidRPr="008661CD" w:rsidRDefault="00922D8A" w:rsidP="008661CD">
      <w:r w:rsidRPr="008661CD">
        <w:rPr>
          <w:highlight w:val="lightGray"/>
          <w:shd w:val="clear" w:color="auto" w:fill="C0C0C0"/>
        </w:rPr>
        <w:t xml:space="preserve">Zinnat 500 mg </w:t>
      </w:r>
      <w:r w:rsidRPr="008661CD">
        <w:rPr>
          <w:highlight w:val="lightGray"/>
        </w:rPr>
        <w:t>plėvele dengtos</w:t>
      </w:r>
      <w:r w:rsidRPr="008661CD">
        <w:rPr>
          <w:highlight w:val="lightGray"/>
          <w:shd w:val="clear" w:color="auto" w:fill="C0C0C0"/>
        </w:rPr>
        <w:t xml:space="preserve"> tabletės</w:t>
      </w:r>
    </w:p>
    <w:p w14:paraId="5BBDB2EC" w14:textId="73C84471" w:rsidR="00922D8A" w:rsidRPr="008661CD" w:rsidRDefault="00550DBA" w:rsidP="008661CD">
      <w:r>
        <w:t>c</w:t>
      </w:r>
      <w:r w:rsidRPr="008661CD">
        <w:t>efuroksimas</w:t>
      </w:r>
    </w:p>
    <w:p w14:paraId="1785EF10" w14:textId="64F69C95" w:rsidR="00922D8A" w:rsidRPr="008661CD" w:rsidRDefault="00550DBA" w:rsidP="008661CD">
      <w:pPr>
        <w:rPr>
          <w:highlight w:val="lightGray"/>
        </w:rPr>
      </w:pPr>
      <w:r>
        <w:rPr>
          <w:highlight w:val="lightGray"/>
        </w:rPr>
        <w:t>c</w:t>
      </w:r>
      <w:r w:rsidRPr="008661CD">
        <w:rPr>
          <w:highlight w:val="lightGray"/>
        </w:rPr>
        <w:t>efuroximum</w:t>
      </w:r>
    </w:p>
    <w:p w14:paraId="0830FECD" w14:textId="77777777" w:rsidR="00922D8A" w:rsidRPr="008661CD" w:rsidRDefault="00922D8A" w:rsidP="008661CD"/>
    <w:p w14:paraId="5AABA49C" w14:textId="77777777" w:rsidR="00922D8A" w:rsidRPr="009C0DB0" w:rsidRDefault="00922D8A" w:rsidP="008661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1F5B0B22" w14:textId="77777777" w:rsidTr="00894113">
        <w:tc>
          <w:tcPr>
            <w:tcW w:w="9287" w:type="dxa"/>
          </w:tcPr>
          <w:p w14:paraId="05D6DFF9" w14:textId="77777777" w:rsidR="00922D8A" w:rsidRPr="008661CD" w:rsidRDefault="00922D8A" w:rsidP="008661CD">
            <w:pPr>
              <w:tabs>
                <w:tab w:val="left" w:pos="142"/>
              </w:tabs>
              <w:ind w:left="567" w:hanging="567"/>
              <w:rPr>
                <w:b/>
              </w:rPr>
            </w:pPr>
            <w:r w:rsidRPr="008661CD">
              <w:rPr>
                <w:b/>
              </w:rPr>
              <w:t>2.</w:t>
            </w:r>
            <w:r w:rsidRPr="008661CD">
              <w:rPr>
                <w:b/>
              </w:rPr>
              <w:tab/>
            </w:r>
            <w:r w:rsidRPr="008661CD">
              <w:rPr>
                <w:b/>
                <w:caps/>
              </w:rPr>
              <w:t>REGISTRUOTOJO pavadinimas</w:t>
            </w:r>
          </w:p>
        </w:tc>
      </w:tr>
    </w:tbl>
    <w:p w14:paraId="02C6C942" w14:textId="77777777" w:rsidR="00922D8A" w:rsidRPr="009C0DB0" w:rsidRDefault="00922D8A" w:rsidP="008661CD"/>
    <w:p w14:paraId="09FE547D" w14:textId="7D1B5879" w:rsidR="00922D8A" w:rsidRDefault="007B1B26" w:rsidP="008661CD">
      <w:r>
        <w:t>SANDOZ</w:t>
      </w:r>
    </w:p>
    <w:p w14:paraId="1D1E1032" w14:textId="77777777" w:rsidR="007B1B26" w:rsidRPr="009C0DB0" w:rsidRDefault="007B1B26" w:rsidP="008661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6A7EEAAB" w14:textId="77777777" w:rsidTr="00894113">
        <w:tc>
          <w:tcPr>
            <w:tcW w:w="9287" w:type="dxa"/>
          </w:tcPr>
          <w:p w14:paraId="7CFBFF52" w14:textId="77777777" w:rsidR="00922D8A" w:rsidRPr="008661CD" w:rsidRDefault="00922D8A" w:rsidP="008661CD">
            <w:pPr>
              <w:tabs>
                <w:tab w:val="left" w:pos="142"/>
              </w:tabs>
              <w:ind w:left="567" w:hanging="567"/>
              <w:rPr>
                <w:b/>
              </w:rPr>
            </w:pPr>
            <w:r w:rsidRPr="008661CD">
              <w:rPr>
                <w:b/>
              </w:rPr>
              <w:t>3.</w:t>
            </w:r>
            <w:r w:rsidRPr="008661CD">
              <w:rPr>
                <w:b/>
              </w:rPr>
              <w:tab/>
            </w:r>
            <w:r w:rsidRPr="008661CD">
              <w:rPr>
                <w:b/>
                <w:caps/>
              </w:rPr>
              <w:t>tinkamumo laikas</w:t>
            </w:r>
          </w:p>
        </w:tc>
      </w:tr>
    </w:tbl>
    <w:p w14:paraId="21FD81F5" w14:textId="77777777" w:rsidR="00922D8A" w:rsidRPr="009C0DB0" w:rsidRDefault="00922D8A" w:rsidP="008661CD"/>
    <w:p w14:paraId="156F53B2" w14:textId="77777777" w:rsidR="00922D8A" w:rsidRPr="008661CD" w:rsidRDefault="00922D8A" w:rsidP="008661CD">
      <w:r w:rsidRPr="008661CD">
        <w:t>EXP {mm-MMMM}</w:t>
      </w:r>
    </w:p>
    <w:p w14:paraId="6AEA9646" w14:textId="77777777" w:rsidR="00922D8A" w:rsidRPr="008661CD" w:rsidRDefault="00922D8A" w:rsidP="008661CD"/>
    <w:p w14:paraId="4493E7A0" w14:textId="77777777" w:rsidR="00922D8A" w:rsidRPr="008661CD" w:rsidRDefault="00922D8A" w:rsidP="008661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53394843" w14:textId="77777777" w:rsidTr="00894113">
        <w:tc>
          <w:tcPr>
            <w:tcW w:w="9287" w:type="dxa"/>
          </w:tcPr>
          <w:p w14:paraId="7929CA0D" w14:textId="77777777" w:rsidR="00922D8A" w:rsidRPr="008661CD" w:rsidRDefault="00922D8A" w:rsidP="008661CD">
            <w:pPr>
              <w:tabs>
                <w:tab w:val="left" w:pos="142"/>
              </w:tabs>
              <w:ind w:left="567" w:hanging="567"/>
              <w:rPr>
                <w:b/>
              </w:rPr>
            </w:pPr>
            <w:r w:rsidRPr="008661CD">
              <w:rPr>
                <w:b/>
              </w:rPr>
              <w:t>4.</w:t>
            </w:r>
            <w:r w:rsidRPr="008661CD">
              <w:rPr>
                <w:b/>
              </w:rPr>
              <w:tab/>
            </w:r>
            <w:r w:rsidRPr="008661CD">
              <w:rPr>
                <w:b/>
                <w:caps/>
              </w:rPr>
              <w:t>serijos numeris</w:t>
            </w:r>
          </w:p>
        </w:tc>
      </w:tr>
    </w:tbl>
    <w:p w14:paraId="57960FC6" w14:textId="77777777" w:rsidR="00922D8A" w:rsidRPr="008661CD" w:rsidRDefault="00922D8A" w:rsidP="008661CD">
      <w:pPr>
        <w:ind w:right="113"/>
      </w:pPr>
    </w:p>
    <w:p w14:paraId="32E80C2D" w14:textId="77777777" w:rsidR="00922D8A" w:rsidRPr="008661CD" w:rsidRDefault="00922D8A" w:rsidP="008661CD">
      <w:pPr>
        <w:ind w:right="113"/>
      </w:pPr>
      <w:r w:rsidRPr="008661CD">
        <w:t>Lot</w:t>
      </w:r>
    </w:p>
    <w:p w14:paraId="0B27EDBF" w14:textId="77777777" w:rsidR="00922D8A" w:rsidRPr="008661CD" w:rsidRDefault="00922D8A" w:rsidP="008661CD">
      <w:pPr>
        <w:ind w:right="113"/>
      </w:pPr>
    </w:p>
    <w:p w14:paraId="15D8723C" w14:textId="77777777" w:rsidR="00922D8A" w:rsidRPr="008661CD" w:rsidRDefault="00922D8A" w:rsidP="008661C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2D8A" w:rsidRPr="00C510EF" w14:paraId="2CA78F1A" w14:textId="77777777" w:rsidTr="00894113">
        <w:tc>
          <w:tcPr>
            <w:tcW w:w="9287" w:type="dxa"/>
          </w:tcPr>
          <w:p w14:paraId="2BA323F7" w14:textId="77777777" w:rsidR="00922D8A" w:rsidRPr="008661CD" w:rsidRDefault="00922D8A" w:rsidP="008661CD">
            <w:pPr>
              <w:tabs>
                <w:tab w:val="left" w:pos="142"/>
              </w:tabs>
              <w:ind w:left="567" w:hanging="567"/>
              <w:rPr>
                <w:b/>
              </w:rPr>
            </w:pPr>
            <w:r w:rsidRPr="008661CD">
              <w:rPr>
                <w:b/>
              </w:rPr>
              <w:t>5.</w:t>
            </w:r>
            <w:r w:rsidRPr="008661CD">
              <w:rPr>
                <w:b/>
              </w:rPr>
              <w:tab/>
              <w:t>KITA</w:t>
            </w:r>
          </w:p>
        </w:tc>
      </w:tr>
    </w:tbl>
    <w:p w14:paraId="3329A027" w14:textId="77777777" w:rsidR="00922D8A" w:rsidRPr="008661CD" w:rsidRDefault="00922D8A" w:rsidP="008661CD">
      <w:pPr>
        <w:ind w:right="113"/>
      </w:pPr>
    </w:p>
    <w:p w14:paraId="5EF1CB7D" w14:textId="77777777" w:rsidR="00AA471E" w:rsidRPr="00C07A3C" w:rsidRDefault="00922D8A" w:rsidP="00AA471E">
      <w:pPr>
        <w:shd w:val="clear" w:color="auto" w:fill="FFFFFF"/>
        <w:rPr>
          <w:rFonts w:eastAsia="Calibri"/>
        </w:rPr>
      </w:pPr>
      <w:r w:rsidRPr="008661CD">
        <w:br w:type="page"/>
      </w:r>
    </w:p>
    <w:p w14:paraId="7D1853A5" w14:textId="77777777" w:rsidR="00AA471E" w:rsidRPr="00C07A3C" w:rsidRDefault="00AA471E" w:rsidP="00AA471E">
      <w:pPr>
        <w:pBdr>
          <w:top w:val="single" w:sz="4" w:space="1" w:color="auto"/>
          <w:left w:val="single" w:sz="4" w:space="4" w:color="auto"/>
          <w:bottom w:val="single" w:sz="4" w:space="1" w:color="auto"/>
          <w:right w:val="single" w:sz="4" w:space="4" w:color="auto"/>
        </w:pBdr>
        <w:rPr>
          <w:rFonts w:eastAsia="Calibri"/>
          <w:b/>
        </w:rPr>
      </w:pPr>
      <w:r w:rsidRPr="00C07A3C">
        <w:rPr>
          <w:rFonts w:eastAsia="Calibri"/>
          <w:b/>
        </w:rPr>
        <w:lastRenderedPageBreak/>
        <w:t>INFORMACIJA ANT IŠORINĖS PAKUOTĖS</w:t>
      </w:r>
    </w:p>
    <w:p w14:paraId="294DEDF5"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rPr>
          <w:rFonts w:eastAsia="Calibri"/>
        </w:rPr>
      </w:pPr>
    </w:p>
    <w:p w14:paraId="2DAEA426" w14:textId="77777777" w:rsidR="00AA471E" w:rsidRPr="00C07A3C" w:rsidRDefault="00AA471E" w:rsidP="00AA471E">
      <w:pPr>
        <w:pBdr>
          <w:top w:val="single" w:sz="4" w:space="1" w:color="auto"/>
          <w:left w:val="single" w:sz="4" w:space="4" w:color="auto"/>
          <w:bottom w:val="single" w:sz="4" w:space="1" w:color="auto"/>
          <w:right w:val="single" w:sz="4" w:space="4" w:color="auto"/>
        </w:pBdr>
        <w:rPr>
          <w:rFonts w:eastAsia="Calibri"/>
        </w:rPr>
      </w:pPr>
      <w:r w:rsidRPr="00C07A3C">
        <w:rPr>
          <w:rFonts w:eastAsia="Calibri"/>
          <w:b/>
        </w:rPr>
        <w:t>KARTONO DĖŽUTĖ</w:t>
      </w:r>
    </w:p>
    <w:p w14:paraId="1FDC1EF9" w14:textId="77777777" w:rsidR="00AA471E" w:rsidRPr="00C07A3C" w:rsidRDefault="00AA471E" w:rsidP="00AA471E">
      <w:pPr>
        <w:rPr>
          <w:rFonts w:eastAsia="Calibri"/>
        </w:rPr>
      </w:pPr>
    </w:p>
    <w:p w14:paraId="5A9CEFC7"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t>1.</w:t>
      </w:r>
      <w:r w:rsidRPr="00C07A3C">
        <w:rPr>
          <w:rFonts w:eastAsia="Calibri"/>
          <w:b/>
        </w:rPr>
        <w:tab/>
        <w:t>VAISTINIO PREPARATO PAVADINIMAS</w:t>
      </w:r>
    </w:p>
    <w:p w14:paraId="51A77D68" w14:textId="77777777" w:rsidR="00AA471E" w:rsidRPr="00C07A3C" w:rsidRDefault="00AA471E" w:rsidP="00AA471E">
      <w:pPr>
        <w:rPr>
          <w:rFonts w:eastAsia="Calibri"/>
        </w:rPr>
      </w:pPr>
    </w:p>
    <w:p w14:paraId="373DF516" w14:textId="6CB97851" w:rsidR="00AA471E" w:rsidRPr="00C07A3C" w:rsidRDefault="00AA471E" w:rsidP="00AA471E">
      <w:pPr>
        <w:rPr>
          <w:rFonts w:eastAsia="Calibri"/>
        </w:rPr>
      </w:pPr>
      <w:bookmarkStart w:id="39" w:name="_Hlk817847"/>
      <w:r w:rsidRPr="00C07A3C">
        <w:rPr>
          <w:rFonts w:eastAsia="Calibri"/>
        </w:rPr>
        <w:t>Zinnat 125 mg/5 ml granulės geriamajai suspensijai</w:t>
      </w:r>
    </w:p>
    <w:p w14:paraId="5EF01299" w14:textId="63E1F1F1" w:rsidR="00AA471E" w:rsidRPr="00C07A3C" w:rsidRDefault="00550DBA" w:rsidP="00AA471E">
      <w:pPr>
        <w:rPr>
          <w:rFonts w:eastAsia="Calibri"/>
        </w:rPr>
      </w:pPr>
      <w:r>
        <w:rPr>
          <w:rFonts w:eastAsia="Calibri"/>
        </w:rPr>
        <w:t>c</w:t>
      </w:r>
      <w:r w:rsidRPr="00C07A3C">
        <w:rPr>
          <w:rFonts w:eastAsia="Calibri"/>
        </w:rPr>
        <w:t>efuroksimas</w:t>
      </w:r>
    </w:p>
    <w:bookmarkEnd w:id="39"/>
    <w:p w14:paraId="3B066DF8" w14:textId="77777777" w:rsidR="00AA471E" w:rsidRPr="00C07A3C" w:rsidRDefault="00AA471E" w:rsidP="00AA471E">
      <w:pPr>
        <w:rPr>
          <w:rFonts w:eastAsia="Calibri"/>
        </w:rPr>
      </w:pPr>
    </w:p>
    <w:p w14:paraId="00B59CA3" w14:textId="77777777" w:rsidR="00AA471E" w:rsidRPr="00C07A3C" w:rsidRDefault="00AA471E" w:rsidP="00AA471E">
      <w:pPr>
        <w:rPr>
          <w:rFonts w:eastAsia="Calibri"/>
        </w:rPr>
      </w:pPr>
    </w:p>
    <w:p w14:paraId="5246CF03"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b/>
        </w:rPr>
      </w:pPr>
      <w:r w:rsidRPr="00C07A3C">
        <w:rPr>
          <w:rFonts w:eastAsia="Calibri"/>
          <w:b/>
        </w:rPr>
        <w:t>2.</w:t>
      </w:r>
      <w:r w:rsidRPr="00C07A3C">
        <w:rPr>
          <w:rFonts w:eastAsia="Calibri"/>
          <w:b/>
        </w:rPr>
        <w:tab/>
        <w:t>VEIKLIOJI (-IOS) MEDŽIAGA (-OS) IR JOS (-Ų) KIEKIS (-IAI)</w:t>
      </w:r>
    </w:p>
    <w:p w14:paraId="01808FF8" w14:textId="77777777" w:rsidR="00AA471E" w:rsidRPr="00C07A3C" w:rsidRDefault="00AA471E" w:rsidP="00AA471E">
      <w:pPr>
        <w:rPr>
          <w:rFonts w:eastAsia="Calibri"/>
        </w:rPr>
      </w:pPr>
    </w:p>
    <w:p w14:paraId="3C1FCEEC" w14:textId="0D18B420" w:rsidR="00AA471E" w:rsidRPr="00C07A3C" w:rsidRDefault="00AA471E" w:rsidP="00AA471E">
      <w:pPr>
        <w:rPr>
          <w:rFonts w:eastAsia="Calibri"/>
        </w:rPr>
      </w:pPr>
      <w:bookmarkStart w:id="40" w:name="_Hlk817830"/>
      <w:r w:rsidRPr="00C07A3C">
        <w:rPr>
          <w:rFonts w:eastAsia="Calibri"/>
        </w:rPr>
        <w:t xml:space="preserve">5 ml dozėje yra </w:t>
      </w:r>
      <w:bookmarkStart w:id="41" w:name="_Hlk517863256"/>
      <w:r w:rsidRPr="00C07A3C">
        <w:rPr>
          <w:rFonts w:eastAsia="Calibri"/>
        </w:rPr>
        <w:t xml:space="preserve">125 mg </w:t>
      </w:r>
      <w:bookmarkEnd w:id="41"/>
      <w:r w:rsidRPr="00C07A3C">
        <w:rPr>
          <w:rFonts w:eastAsia="Calibri"/>
        </w:rPr>
        <w:t xml:space="preserve">cefuroksimo (cefuroksimo aksetilo pavidalu). </w:t>
      </w:r>
    </w:p>
    <w:bookmarkEnd w:id="40"/>
    <w:p w14:paraId="2B52058F" w14:textId="77777777" w:rsidR="00AA471E" w:rsidRPr="00C07A3C" w:rsidRDefault="00AA471E" w:rsidP="00AA471E">
      <w:pPr>
        <w:rPr>
          <w:rFonts w:eastAsia="Calibri"/>
        </w:rPr>
      </w:pPr>
    </w:p>
    <w:p w14:paraId="04AC0B61" w14:textId="77777777" w:rsidR="00AA471E" w:rsidRPr="00C07A3C" w:rsidRDefault="00AA471E" w:rsidP="00AA471E">
      <w:pPr>
        <w:rPr>
          <w:rFonts w:eastAsia="Calibri"/>
        </w:rPr>
      </w:pPr>
    </w:p>
    <w:p w14:paraId="573D4634"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highlight w:val="lightGray"/>
        </w:rPr>
      </w:pPr>
      <w:r w:rsidRPr="00C07A3C">
        <w:rPr>
          <w:rFonts w:eastAsia="Calibri"/>
          <w:b/>
        </w:rPr>
        <w:t>3.</w:t>
      </w:r>
      <w:r w:rsidRPr="00C07A3C">
        <w:rPr>
          <w:rFonts w:eastAsia="Calibri"/>
          <w:b/>
        </w:rPr>
        <w:tab/>
        <w:t>PAGALBINIŲ MEDŽIAGŲ SĄRAŠAS</w:t>
      </w:r>
    </w:p>
    <w:p w14:paraId="64BB1B0B" w14:textId="77777777" w:rsidR="00AA471E" w:rsidRPr="00C07A3C" w:rsidRDefault="00AA471E" w:rsidP="00AA471E">
      <w:pPr>
        <w:rPr>
          <w:rFonts w:eastAsia="Calibri"/>
        </w:rPr>
      </w:pPr>
    </w:p>
    <w:p w14:paraId="7909733F" w14:textId="77777777" w:rsidR="00AA471E" w:rsidRPr="00C07A3C" w:rsidRDefault="00AA471E" w:rsidP="00AA471E">
      <w:pPr>
        <w:rPr>
          <w:rFonts w:eastAsia="Calibri"/>
        </w:rPr>
      </w:pPr>
      <w:bookmarkStart w:id="42" w:name="_Hlk817798"/>
      <w:bookmarkStart w:id="43" w:name="_Hlk517870849"/>
      <w:r w:rsidRPr="00C07A3C">
        <w:rPr>
          <w:rFonts w:eastAsia="Calibri"/>
        </w:rPr>
        <w:t>Sudėtyje taip pat yra sacharozės (cukraus), aspartamo (E951), benzilo alkoholio (E1519) ir propilenglikolio (E1520).</w:t>
      </w:r>
    </w:p>
    <w:p w14:paraId="7A973A8F" w14:textId="77777777" w:rsidR="00AA471E" w:rsidRPr="00C07A3C" w:rsidRDefault="00AA471E" w:rsidP="00AA471E">
      <w:pPr>
        <w:rPr>
          <w:rFonts w:eastAsia="Calibri"/>
          <w:i/>
        </w:rPr>
      </w:pPr>
    </w:p>
    <w:bookmarkEnd w:id="42"/>
    <w:p w14:paraId="16AE77C3" w14:textId="77777777" w:rsidR="00AA471E" w:rsidRPr="00C07A3C" w:rsidRDefault="00AA471E" w:rsidP="00AA471E">
      <w:pPr>
        <w:rPr>
          <w:rFonts w:eastAsia="Calibri"/>
        </w:rPr>
      </w:pPr>
      <w:r w:rsidRPr="00C07A3C">
        <w:rPr>
          <w:rFonts w:eastAsia="Calibri"/>
          <w:highlight w:val="lightGray"/>
        </w:rPr>
        <w:t>Daugiau informacijos žr. pakuotės lapelyje.</w:t>
      </w:r>
    </w:p>
    <w:bookmarkEnd w:id="43"/>
    <w:p w14:paraId="3E353866" w14:textId="77777777" w:rsidR="00AA471E" w:rsidRPr="00C07A3C" w:rsidRDefault="00AA471E" w:rsidP="00AA471E">
      <w:pPr>
        <w:rPr>
          <w:rFonts w:eastAsia="Calibri"/>
        </w:rPr>
      </w:pPr>
    </w:p>
    <w:p w14:paraId="1AC1829D" w14:textId="77777777" w:rsidR="00AA471E" w:rsidRPr="00C07A3C" w:rsidRDefault="00AA471E" w:rsidP="00AA471E">
      <w:pPr>
        <w:rPr>
          <w:rFonts w:eastAsia="Calibri"/>
        </w:rPr>
      </w:pPr>
    </w:p>
    <w:p w14:paraId="0CBC878C"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t>4.</w:t>
      </w:r>
      <w:r w:rsidRPr="00C07A3C">
        <w:rPr>
          <w:rFonts w:eastAsia="Calibri"/>
          <w:b/>
        </w:rPr>
        <w:tab/>
        <w:t>FARMACINĖ FORMA IR KIEKIS PAKUOTĖJE</w:t>
      </w:r>
    </w:p>
    <w:p w14:paraId="37A8B66A" w14:textId="77777777" w:rsidR="00AA471E" w:rsidRPr="00C07A3C" w:rsidRDefault="00AA471E" w:rsidP="00AA471E">
      <w:pPr>
        <w:rPr>
          <w:rFonts w:eastAsia="Calibri"/>
        </w:rPr>
      </w:pPr>
    </w:p>
    <w:p w14:paraId="5E6ACEF5" w14:textId="77777777" w:rsidR="00AA471E" w:rsidRPr="00C07A3C" w:rsidRDefault="00AA471E" w:rsidP="00AA471E">
      <w:r w:rsidRPr="00C07A3C">
        <w:rPr>
          <w:rFonts w:eastAsia="Calibri"/>
        </w:rPr>
        <w:t>Granulės geriamajai suspensijai</w:t>
      </w:r>
    </w:p>
    <w:p w14:paraId="42926DA9" w14:textId="77777777" w:rsidR="00AA471E" w:rsidRPr="00C07A3C" w:rsidRDefault="00AA471E" w:rsidP="00AA471E">
      <w:pPr>
        <w:rPr>
          <w:rFonts w:eastAsia="Calibri"/>
        </w:rPr>
      </w:pPr>
    </w:p>
    <w:p w14:paraId="0685D260" w14:textId="77777777" w:rsidR="00AA471E" w:rsidRPr="00C07A3C" w:rsidRDefault="00AA471E" w:rsidP="00AA471E">
      <w:pPr>
        <w:rPr>
          <w:rFonts w:eastAsia="Calibri"/>
        </w:rPr>
      </w:pPr>
      <w:bookmarkStart w:id="44" w:name="_Hlk517870905"/>
      <w:r w:rsidRPr="00C07A3C">
        <w:rPr>
          <w:rFonts w:eastAsia="Calibri"/>
        </w:rPr>
        <w:t>125 mg/5 ml</w:t>
      </w:r>
    </w:p>
    <w:p w14:paraId="56E46884" w14:textId="77777777" w:rsidR="00AA471E" w:rsidRPr="00C07A3C" w:rsidRDefault="00AA471E" w:rsidP="00AA471E">
      <w:pPr>
        <w:rPr>
          <w:rFonts w:eastAsia="Calibri"/>
        </w:rPr>
      </w:pPr>
    </w:p>
    <w:p w14:paraId="138A8046" w14:textId="77777777" w:rsidR="00AA471E" w:rsidRPr="00C07A3C" w:rsidRDefault="00AA471E" w:rsidP="00AA471E">
      <w:pPr>
        <w:rPr>
          <w:rFonts w:eastAsia="Calibri"/>
        </w:rPr>
      </w:pPr>
      <w:r w:rsidRPr="00C07A3C">
        <w:rPr>
          <w:rFonts w:eastAsia="Calibri"/>
        </w:rPr>
        <w:t xml:space="preserve">50 ml, </w:t>
      </w:r>
      <w:r w:rsidRPr="00C07A3C">
        <w:rPr>
          <w:rFonts w:eastAsia="Calibri"/>
          <w:highlight w:val="lightGray"/>
        </w:rPr>
        <w:t>70 ml, 100 ml</w:t>
      </w:r>
    </w:p>
    <w:bookmarkEnd w:id="44"/>
    <w:p w14:paraId="4367BB9F" w14:textId="77777777" w:rsidR="00AA471E" w:rsidRDefault="00AA471E" w:rsidP="00AA471E">
      <w:pPr>
        <w:rPr>
          <w:rFonts w:eastAsia="Calibri"/>
        </w:rPr>
      </w:pPr>
    </w:p>
    <w:p w14:paraId="741CB36B" w14:textId="47085F8E" w:rsidR="007F7FA1" w:rsidRPr="001D5FF7" w:rsidRDefault="007F7FA1" w:rsidP="00AA471E">
      <w:pPr>
        <w:rPr>
          <w:rFonts w:eastAsia="Calibri"/>
          <w:highlight w:val="lightGray"/>
        </w:rPr>
      </w:pPr>
      <w:r w:rsidRPr="001D5FF7">
        <w:rPr>
          <w:rFonts w:eastAsia="Calibri"/>
          <w:highlight w:val="lightGray"/>
        </w:rPr>
        <w:t>Dozavimo šaukštas</w:t>
      </w:r>
    </w:p>
    <w:p w14:paraId="1451ABF5" w14:textId="0EF62358" w:rsidR="007F7FA1" w:rsidRDefault="007F7FA1" w:rsidP="00AA471E">
      <w:pPr>
        <w:rPr>
          <w:rFonts w:eastAsia="Calibri"/>
        </w:rPr>
      </w:pPr>
      <w:r w:rsidRPr="001D5FF7">
        <w:rPr>
          <w:rFonts w:eastAsia="Calibri"/>
          <w:highlight w:val="lightGray"/>
        </w:rPr>
        <w:t>Dozavimo švirkštas</w:t>
      </w:r>
    </w:p>
    <w:p w14:paraId="6841861C" w14:textId="77777777" w:rsidR="007F7FA1" w:rsidRPr="00C07A3C" w:rsidRDefault="007F7FA1" w:rsidP="00AA471E">
      <w:pPr>
        <w:rPr>
          <w:rFonts w:eastAsia="Calibri"/>
        </w:rPr>
      </w:pPr>
    </w:p>
    <w:p w14:paraId="7D959375" w14:textId="77777777" w:rsidR="00AA471E" w:rsidRPr="00C07A3C" w:rsidRDefault="00AA471E" w:rsidP="00AA471E">
      <w:pPr>
        <w:rPr>
          <w:rFonts w:eastAsia="Calibri"/>
        </w:rPr>
      </w:pPr>
    </w:p>
    <w:p w14:paraId="6E46E164"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highlight w:val="lightGray"/>
        </w:rPr>
      </w:pPr>
      <w:r w:rsidRPr="00C07A3C">
        <w:rPr>
          <w:rFonts w:eastAsia="Calibri"/>
          <w:b/>
        </w:rPr>
        <w:t>5.</w:t>
      </w:r>
      <w:r w:rsidRPr="00C07A3C">
        <w:rPr>
          <w:rFonts w:eastAsia="Calibri"/>
          <w:b/>
        </w:rPr>
        <w:tab/>
        <w:t>VARTOJIMO METODAS IR BŪDAS (-AI)</w:t>
      </w:r>
    </w:p>
    <w:p w14:paraId="3041BD21" w14:textId="77777777" w:rsidR="00AA471E" w:rsidRPr="00C07A3C" w:rsidRDefault="00AA471E" w:rsidP="00AA471E">
      <w:pPr>
        <w:rPr>
          <w:rFonts w:eastAsia="Calibri"/>
          <w:i/>
        </w:rPr>
      </w:pPr>
    </w:p>
    <w:p w14:paraId="650161F2" w14:textId="77777777" w:rsidR="00AA471E" w:rsidRPr="00C07A3C" w:rsidRDefault="00AA471E" w:rsidP="00AA471E">
      <w:pPr>
        <w:rPr>
          <w:rFonts w:eastAsia="Calibri"/>
        </w:rPr>
      </w:pPr>
      <w:r w:rsidRPr="00C07A3C">
        <w:rPr>
          <w:rFonts w:eastAsia="Calibri"/>
        </w:rPr>
        <w:t>Vartoti per burną.</w:t>
      </w:r>
    </w:p>
    <w:p w14:paraId="01175B48" w14:textId="77777777" w:rsidR="00AA471E" w:rsidRPr="00C07A3C" w:rsidRDefault="00AA471E" w:rsidP="00AA471E">
      <w:pPr>
        <w:rPr>
          <w:rFonts w:eastAsia="Calibri"/>
        </w:rPr>
      </w:pPr>
      <w:r w:rsidRPr="00C07A3C">
        <w:rPr>
          <w:rFonts w:eastAsia="Calibri"/>
        </w:rPr>
        <w:t>Prieš vartojimą perskaitykite pakuotės lapelį.</w:t>
      </w:r>
    </w:p>
    <w:p w14:paraId="78158EE0" w14:textId="77777777" w:rsidR="00AA471E" w:rsidRPr="00C07A3C" w:rsidRDefault="00AA471E" w:rsidP="00AA471E">
      <w:pPr>
        <w:rPr>
          <w:rFonts w:eastAsia="Calibri"/>
        </w:rPr>
      </w:pPr>
    </w:p>
    <w:p w14:paraId="6E1730A4" w14:textId="77777777" w:rsidR="00AA471E" w:rsidRPr="00C07A3C" w:rsidRDefault="00AA471E" w:rsidP="00AA471E">
      <w:pPr>
        <w:rPr>
          <w:rFonts w:eastAsia="Calibri"/>
        </w:rPr>
      </w:pPr>
    </w:p>
    <w:p w14:paraId="0AB20655" w14:textId="77777777" w:rsidR="00AA471E" w:rsidRPr="00C07A3C" w:rsidRDefault="00AA471E" w:rsidP="00AA471E">
      <w:pPr>
        <w:pBdr>
          <w:top w:val="single" w:sz="4" w:space="0"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t>6.</w:t>
      </w:r>
      <w:r w:rsidRPr="00C07A3C">
        <w:rPr>
          <w:rFonts w:eastAsia="Calibri"/>
          <w:b/>
        </w:rPr>
        <w:tab/>
        <w:t>SPECIALUS ĮSPĖJIMAS, KAD VAISTINĮ PREPARATĄ BŪTINA LAIKYTI VAIKAMS NEPASTEBIMOJE IR NEPASIEKIAMOJE VIETOJE</w:t>
      </w:r>
    </w:p>
    <w:p w14:paraId="6AA99D01" w14:textId="77777777" w:rsidR="00AA471E" w:rsidRPr="00C07A3C" w:rsidRDefault="00AA471E" w:rsidP="00AA471E">
      <w:pPr>
        <w:rPr>
          <w:rFonts w:eastAsia="Calibri"/>
        </w:rPr>
      </w:pPr>
    </w:p>
    <w:p w14:paraId="07F91D10" w14:textId="77777777" w:rsidR="00AA471E" w:rsidRPr="00C07A3C" w:rsidRDefault="00AA471E" w:rsidP="00AA471E">
      <w:pPr>
        <w:rPr>
          <w:rFonts w:ascii="Calibri" w:eastAsia="Calibri" w:hAnsi="Calibri"/>
          <w:i/>
        </w:rPr>
      </w:pPr>
      <w:r w:rsidRPr="00C07A3C">
        <w:rPr>
          <w:rFonts w:eastAsia="Calibri"/>
        </w:rPr>
        <w:t>Laikyti vaikams nepastebimoje ir nepasiekiamoje vietoje.</w:t>
      </w:r>
    </w:p>
    <w:p w14:paraId="7ADC9F4A" w14:textId="77777777" w:rsidR="00AA471E" w:rsidRPr="00C07A3C" w:rsidRDefault="00AA471E" w:rsidP="00AA471E">
      <w:pPr>
        <w:rPr>
          <w:rFonts w:eastAsia="Calibri"/>
        </w:rPr>
      </w:pPr>
    </w:p>
    <w:p w14:paraId="7CD7C7B9" w14:textId="77777777" w:rsidR="00AA471E" w:rsidRPr="00C07A3C" w:rsidRDefault="00AA471E" w:rsidP="00AA471E">
      <w:pPr>
        <w:rPr>
          <w:rFonts w:eastAsia="Calibri"/>
        </w:rPr>
      </w:pPr>
    </w:p>
    <w:p w14:paraId="7D160F7F"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highlight w:val="lightGray"/>
        </w:rPr>
      </w:pPr>
      <w:r w:rsidRPr="00C07A3C">
        <w:rPr>
          <w:rFonts w:eastAsia="Calibri"/>
          <w:b/>
        </w:rPr>
        <w:t>7.</w:t>
      </w:r>
      <w:r w:rsidRPr="00C07A3C">
        <w:rPr>
          <w:rFonts w:eastAsia="Calibri"/>
          <w:b/>
        </w:rPr>
        <w:tab/>
        <w:t>KITAS (-I) SPECIALUS (-ŪS) ĮSPĖJIMAS (-AI) (JEI REIKIA)</w:t>
      </w:r>
    </w:p>
    <w:p w14:paraId="525D6EC0" w14:textId="77777777" w:rsidR="00AA471E" w:rsidRPr="00C07A3C" w:rsidRDefault="00AA471E" w:rsidP="00AA471E">
      <w:pPr>
        <w:rPr>
          <w:rFonts w:eastAsia="Calibri"/>
        </w:rPr>
      </w:pPr>
    </w:p>
    <w:p w14:paraId="656EA014" w14:textId="77777777" w:rsidR="00AA471E" w:rsidRPr="00C07A3C" w:rsidRDefault="00AA471E" w:rsidP="00AA471E">
      <w:pPr>
        <w:rPr>
          <w:rFonts w:eastAsia="Calibri"/>
        </w:rPr>
      </w:pPr>
    </w:p>
    <w:p w14:paraId="6000016C" w14:textId="77777777" w:rsidR="00AA471E" w:rsidRPr="00C07A3C" w:rsidRDefault="00AA471E" w:rsidP="00AA471E">
      <w:pPr>
        <w:keepNext/>
        <w:pBdr>
          <w:top w:val="single" w:sz="4" w:space="1" w:color="auto"/>
          <w:left w:val="single" w:sz="4" w:space="4" w:color="auto"/>
          <w:bottom w:val="single" w:sz="4" w:space="1" w:color="auto"/>
          <w:right w:val="single" w:sz="4" w:space="4" w:color="auto"/>
        </w:pBdr>
        <w:ind w:left="567" w:hanging="567"/>
        <w:outlineLvl w:val="0"/>
        <w:rPr>
          <w:rFonts w:eastAsia="Calibri"/>
          <w:highlight w:val="lightGray"/>
        </w:rPr>
      </w:pPr>
      <w:r w:rsidRPr="00C07A3C">
        <w:rPr>
          <w:rFonts w:eastAsia="Calibri"/>
          <w:b/>
        </w:rPr>
        <w:t>8.</w:t>
      </w:r>
      <w:r w:rsidRPr="00C07A3C">
        <w:rPr>
          <w:rFonts w:eastAsia="Calibri"/>
          <w:b/>
        </w:rPr>
        <w:tab/>
        <w:t>TINKAMUMO LAIKAS</w:t>
      </w:r>
    </w:p>
    <w:p w14:paraId="7B43641F" w14:textId="77777777" w:rsidR="00AA471E" w:rsidRPr="00C07A3C" w:rsidRDefault="00AA471E" w:rsidP="00AA471E">
      <w:pPr>
        <w:keepNext/>
        <w:rPr>
          <w:rFonts w:eastAsia="Calibri"/>
        </w:rPr>
      </w:pPr>
    </w:p>
    <w:p w14:paraId="6364FBEF" w14:textId="77777777" w:rsidR="00AA471E" w:rsidRPr="00C07A3C" w:rsidRDefault="00AA471E" w:rsidP="00AA471E">
      <w:pPr>
        <w:rPr>
          <w:rFonts w:eastAsia="Calibri"/>
        </w:rPr>
      </w:pPr>
      <w:bookmarkStart w:id="45" w:name="_Hlk818045"/>
      <w:r w:rsidRPr="00C07A3C">
        <w:rPr>
          <w:rFonts w:eastAsia="Calibri"/>
        </w:rPr>
        <w:t>Tinka iki {mm-MMMM}</w:t>
      </w:r>
    </w:p>
    <w:p w14:paraId="3421F7A3" w14:textId="77777777" w:rsidR="00AA471E" w:rsidRPr="00C07A3C" w:rsidRDefault="00AA471E" w:rsidP="00AA471E">
      <w:pPr>
        <w:rPr>
          <w:rFonts w:eastAsia="Calibri"/>
        </w:rPr>
      </w:pPr>
      <w:r w:rsidRPr="00C07A3C">
        <w:rPr>
          <w:rFonts w:eastAsia="Calibri"/>
          <w:highlight w:val="lightGray"/>
        </w:rPr>
        <w:t>EXP {mm-MMMM}</w:t>
      </w:r>
    </w:p>
    <w:p w14:paraId="1625ECB4" w14:textId="77777777" w:rsidR="00AA471E" w:rsidRPr="00C07A3C" w:rsidRDefault="00AA471E" w:rsidP="00AA471E">
      <w:pPr>
        <w:rPr>
          <w:rFonts w:eastAsia="Calibri"/>
        </w:rPr>
      </w:pPr>
    </w:p>
    <w:p w14:paraId="47F6699E" w14:textId="7244C13D" w:rsidR="00AA471E" w:rsidRPr="00C07A3C" w:rsidRDefault="00AA471E" w:rsidP="00AA471E">
      <w:pPr>
        <w:rPr>
          <w:rFonts w:ascii="Calibri" w:eastAsia="Calibri" w:hAnsi="Calibri"/>
        </w:rPr>
      </w:pPr>
      <w:r w:rsidRPr="00C07A3C">
        <w:rPr>
          <w:rFonts w:eastAsia="Calibri"/>
        </w:rPr>
        <w:lastRenderedPageBreak/>
        <w:t xml:space="preserve">Paruoštą suspensiją laikyti </w:t>
      </w:r>
      <w:r w:rsidR="00CA3D57" w:rsidRPr="00153901">
        <w:t xml:space="preserve">šaldytuve (2 </w:t>
      </w:r>
      <w:r w:rsidR="00CA3D57" w:rsidRPr="00153901">
        <w:rPr>
          <w:szCs w:val="22"/>
        </w:rPr>
        <w:sym w:font="Symbol" w:char="F0B0"/>
      </w:r>
      <w:r w:rsidR="00CA3D57" w:rsidRPr="00153901">
        <w:t xml:space="preserve">C – 8 </w:t>
      </w:r>
      <w:r w:rsidR="00CA3D57" w:rsidRPr="00153901">
        <w:rPr>
          <w:szCs w:val="22"/>
        </w:rPr>
        <w:sym w:font="Symbol" w:char="F0B0"/>
      </w:r>
      <w:r w:rsidR="00CA3D57" w:rsidRPr="00153901">
        <w:t>C)</w:t>
      </w:r>
      <w:r w:rsidRPr="00C07A3C">
        <w:rPr>
          <w:rFonts w:eastAsia="Calibri"/>
        </w:rPr>
        <w:t xml:space="preserve"> ne ilgiau kaip 10 parų.</w:t>
      </w:r>
    </w:p>
    <w:p w14:paraId="533E9D07" w14:textId="77777777" w:rsidR="00AA471E" w:rsidRPr="00C07A3C" w:rsidRDefault="00AA471E" w:rsidP="00AA471E">
      <w:pPr>
        <w:rPr>
          <w:rFonts w:eastAsia="Calibri"/>
        </w:rPr>
      </w:pPr>
    </w:p>
    <w:bookmarkEnd w:id="45"/>
    <w:p w14:paraId="241AEC16" w14:textId="77777777" w:rsidR="00AA471E" w:rsidRPr="00C07A3C" w:rsidRDefault="00AA471E" w:rsidP="00AA471E">
      <w:pPr>
        <w:rPr>
          <w:rFonts w:eastAsia="Calibri"/>
        </w:rPr>
      </w:pPr>
    </w:p>
    <w:p w14:paraId="37DFD9F7"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t>9.</w:t>
      </w:r>
      <w:r w:rsidRPr="00C07A3C">
        <w:rPr>
          <w:rFonts w:eastAsia="Calibri"/>
          <w:b/>
        </w:rPr>
        <w:tab/>
      </w:r>
      <w:r w:rsidRPr="00C07A3C">
        <w:rPr>
          <w:rFonts w:eastAsia="Calibri"/>
          <w:b/>
          <w:caps/>
        </w:rPr>
        <w:t>SPECIALIOS laikymo sąlygos</w:t>
      </w:r>
    </w:p>
    <w:p w14:paraId="21B9A7A2" w14:textId="77777777" w:rsidR="00AA471E" w:rsidRPr="00C07A3C" w:rsidRDefault="00AA471E" w:rsidP="00AA471E">
      <w:pPr>
        <w:rPr>
          <w:rFonts w:eastAsia="Calibri"/>
        </w:rPr>
      </w:pPr>
    </w:p>
    <w:p w14:paraId="6A60AF97" w14:textId="453B577B" w:rsidR="00AA471E" w:rsidRPr="00C07A3C" w:rsidRDefault="00CA3D57" w:rsidP="00AA471E">
      <w:pPr>
        <w:rPr>
          <w:rFonts w:eastAsia="Calibri"/>
        </w:rPr>
      </w:pPr>
      <w:bookmarkStart w:id="46" w:name="_Hlk517870951"/>
      <w:r>
        <w:rPr>
          <w:rFonts w:eastAsia="Calibri"/>
        </w:rPr>
        <w:t>Granules l</w:t>
      </w:r>
      <w:r w:rsidR="00AA471E" w:rsidRPr="00C07A3C">
        <w:rPr>
          <w:rFonts w:eastAsia="Calibri"/>
        </w:rPr>
        <w:t>aikyti ne aukštesnėje kaip 30 </w:t>
      </w:r>
      <w:r w:rsidR="00AA471E" w:rsidRPr="00C07A3C">
        <w:rPr>
          <w:rFonts w:eastAsia="Calibri"/>
        </w:rPr>
        <w:sym w:font="Symbol" w:char="F0B0"/>
      </w:r>
      <w:r w:rsidR="00AA471E" w:rsidRPr="00C07A3C">
        <w:rPr>
          <w:rFonts w:eastAsia="Calibri"/>
        </w:rPr>
        <w:t>C temperatūroje.</w:t>
      </w:r>
    </w:p>
    <w:p w14:paraId="1A3D2779" w14:textId="77777777" w:rsidR="00AA471E" w:rsidRPr="00C07A3C" w:rsidRDefault="00AA471E" w:rsidP="00AA471E">
      <w:pPr>
        <w:rPr>
          <w:rFonts w:eastAsia="Calibri"/>
        </w:rPr>
      </w:pPr>
      <w:r w:rsidRPr="00C07A3C">
        <w:rPr>
          <w:rFonts w:eastAsia="Calibri"/>
        </w:rPr>
        <w:t>Paruošta suspensija</w:t>
      </w:r>
    </w:p>
    <w:p w14:paraId="37200AD9" w14:textId="77777777" w:rsidR="00AA471E" w:rsidRPr="00C07A3C" w:rsidRDefault="00AA471E" w:rsidP="00AA471E">
      <w:pPr>
        <w:rPr>
          <w:rFonts w:eastAsia="Calibri"/>
        </w:rPr>
      </w:pPr>
      <w:bookmarkStart w:id="47" w:name="_Hlk818174"/>
      <w:r w:rsidRPr="00C07A3C">
        <w:rPr>
          <w:rFonts w:eastAsia="Calibri"/>
        </w:rPr>
        <w:t>Tuo metu, kai suspensija nevartojama, laikyti šaldytuve. Negalima užšaldyti.</w:t>
      </w:r>
    </w:p>
    <w:bookmarkEnd w:id="46"/>
    <w:bookmarkEnd w:id="47"/>
    <w:p w14:paraId="634D0205" w14:textId="77777777" w:rsidR="00AA471E" w:rsidRPr="00C07A3C" w:rsidRDefault="00AA471E" w:rsidP="00AA471E">
      <w:pPr>
        <w:ind w:left="567" w:hanging="567"/>
        <w:rPr>
          <w:rFonts w:eastAsia="Calibri"/>
        </w:rPr>
      </w:pPr>
    </w:p>
    <w:p w14:paraId="1C5355D5" w14:textId="77777777" w:rsidR="00AA471E" w:rsidRPr="00C07A3C" w:rsidRDefault="00AA471E" w:rsidP="00AA471E">
      <w:pPr>
        <w:ind w:left="567" w:hanging="567"/>
        <w:rPr>
          <w:rFonts w:eastAsia="Calibri"/>
        </w:rPr>
      </w:pPr>
    </w:p>
    <w:p w14:paraId="441081F4"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b/>
        </w:rPr>
      </w:pPr>
      <w:r w:rsidRPr="00C07A3C">
        <w:rPr>
          <w:rFonts w:eastAsia="Calibri"/>
          <w:b/>
        </w:rPr>
        <w:t>10.</w:t>
      </w:r>
      <w:r w:rsidRPr="00C07A3C">
        <w:rPr>
          <w:rFonts w:eastAsia="Calibri"/>
          <w:b/>
        </w:rPr>
        <w:tab/>
      </w:r>
      <w:r w:rsidRPr="00C07A3C">
        <w:rPr>
          <w:rFonts w:eastAsia="Calibri"/>
          <w:b/>
          <w:caps/>
        </w:rPr>
        <w:t>specialios atsargumo priemonės DĖL NESUVARTOTO</w:t>
      </w:r>
      <w:r w:rsidRPr="00C07A3C">
        <w:rPr>
          <w:rFonts w:eastAsia="Calibri"/>
          <w:b/>
        </w:rPr>
        <w:t xml:space="preserve"> </w:t>
      </w:r>
      <w:r w:rsidRPr="00C07A3C">
        <w:rPr>
          <w:rFonts w:eastAsia="Calibri"/>
          <w:b/>
          <w:caps/>
        </w:rPr>
        <w:t>VAISTINIO PREPARATO AR JO ATLIEKŲ</w:t>
      </w:r>
      <w:r w:rsidRPr="00C07A3C">
        <w:rPr>
          <w:rFonts w:eastAsia="Calibri"/>
          <w:caps/>
        </w:rPr>
        <w:t xml:space="preserve"> </w:t>
      </w:r>
      <w:r w:rsidRPr="00C07A3C">
        <w:rPr>
          <w:rFonts w:eastAsia="Calibri"/>
          <w:b/>
          <w:caps/>
        </w:rPr>
        <w:t>TVARKYMO (jei reikia)</w:t>
      </w:r>
    </w:p>
    <w:p w14:paraId="4856429C" w14:textId="77777777" w:rsidR="00AA471E" w:rsidRPr="00C07A3C" w:rsidRDefault="00AA471E" w:rsidP="00AA471E">
      <w:pPr>
        <w:rPr>
          <w:rFonts w:eastAsia="Calibri"/>
        </w:rPr>
      </w:pPr>
    </w:p>
    <w:p w14:paraId="304633C3" w14:textId="77777777" w:rsidR="00AA471E" w:rsidRPr="00C07A3C" w:rsidRDefault="00AA471E" w:rsidP="00AA471E">
      <w:pPr>
        <w:rPr>
          <w:rFonts w:eastAsia="Calibri"/>
        </w:rPr>
      </w:pPr>
    </w:p>
    <w:p w14:paraId="103C988F"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b/>
        </w:rPr>
      </w:pPr>
      <w:r w:rsidRPr="00C07A3C">
        <w:rPr>
          <w:rFonts w:eastAsia="Calibri"/>
          <w:b/>
        </w:rPr>
        <w:t>11.</w:t>
      </w:r>
      <w:r w:rsidRPr="00C07A3C">
        <w:rPr>
          <w:rFonts w:eastAsia="Calibri"/>
          <w:b/>
        </w:rPr>
        <w:tab/>
      </w:r>
      <w:r w:rsidRPr="00C07A3C">
        <w:rPr>
          <w:rFonts w:eastAsia="Calibri"/>
          <w:b/>
          <w:caps/>
        </w:rPr>
        <w:t>REGISTRUOTOJO pavadinimas ir adresas</w:t>
      </w:r>
    </w:p>
    <w:p w14:paraId="7FB55BD2" w14:textId="77777777" w:rsidR="00AA471E" w:rsidRPr="00C07A3C" w:rsidRDefault="00AA471E" w:rsidP="00AA471E">
      <w:pPr>
        <w:rPr>
          <w:rFonts w:eastAsia="Calibri"/>
        </w:rPr>
      </w:pPr>
    </w:p>
    <w:p w14:paraId="6B907821" w14:textId="77777777" w:rsidR="00AA471E" w:rsidRPr="00C07A3C" w:rsidRDefault="00AA471E" w:rsidP="00AA471E">
      <w:pPr>
        <w:rPr>
          <w:rFonts w:eastAsia="Calibri"/>
        </w:rPr>
      </w:pPr>
      <w:r w:rsidRPr="001D5FF7">
        <w:rPr>
          <w:rFonts w:eastAsia="Calibri"/>
          <w:highlight w:val="lightGray"/>
        </w:rPr>
        <w:t>Registruotojas:</w:t>
      </w:r>
    </w:p>
    <w:p w14:paraId="2BF992CE" w14:textId="77777777" w:rsidR="00772556" w:rsidRPr="001514CF" w:rsidRDefault="00772556" w:rsidP="00772556">
      <w:pPr>
        <w:tabs>
          <w:tab w:val="left" w:pos="567"/>
          <w:tab w:val="left" w:pos="3060"/>
        </w:tabs>
        <w:rPr>
          <w:szCs w:val="22"/>
          <w:lang w:eastAsia="zh-TW"/>
        </w:rPr>
      </w:pPr>
      <w:r w:rsidRPr="001514CF">
        <w:rPr>
          <w:szCs w:val="22"/>
          <w:lang w:eastAsia="zh-TW"/>
        </w:rPr>
        <w:t>Sandoz d.d.</w:t>
      </w:r>
    </w:p>
    <w:p w14:paraId="2081B2A4" w14:textId="77777777" w:rsidR="00772556" w:rsidRPr="001514CF" w:rsidRDefault="00772556" w:rsidP="00772556">
      <w:pPr>
        <w:tabs>
          <w:tab w:val="left" w:pos="567"/>
          <w:tab w:val="left" w:pos="3060"/>
        </w:tabs>
        <w:rPr>
          <w:szCs w:val="22"/>
          <w:lang w:eastAsia="zh-TW"/>
        </w:rPr>
      </w:pPr>
      <w:r w:rsidRPr="001514CF">
        <w:rPr>
          <w:szCs w:val="22"/>
          <w:lang w:eastAsia="zh-TW"/>
        </w:rPr>
        <w:t>Verovškova 57</w:t>
      </w:r>
    </w:p>
    <w:p w14:paraId="2AAF1432" w14:textId="77777777" w:rsidR="00772556" w:rsidRPr="001514CF" w:rsidRDefault="00772556" w:rsidP="00772556">
      <w:pPr>
        <w:tabs>
          <w:tab w:val="left" w:pos="567"/>
          <w:tab w:val="left" w:pos="3060"/>
        </w:tabs>
        <w:rPr>
          <w:szCs w:val="22"/>
          <w:lang w:eastAsia="zh-TW"/>
        </w:rPr>
      </w:pPr>
      <w:r w:rsidRPr="001514CF">
        <w:rPr>
          <w:szCs w:val="22"/>
          <w:lang w:eastAsia="zh-TW"/>
        </w:rPr>
        <w:t>SI-1000 Ljubljana</w:t>
      </w:r>
    </w:p>
    <w:p w14:paraId="19A69B1B" w14:textId="77777777" w:rsidR="00772556" w:rsidRPr="001514CF" w:rsidRDefault="00772556" w:rsidP="00772556">
      <w:pPr>
        <w:tabs>
          <w:tab w:val="left" w:pos="567"/>
          <w:tab w:val="left" w:pos="3060"/>
        </w:tabs>
        <w:autoSpaceDE w:val="0"/>
        <w:autoSpaceDN w:val="0"/>
        <w:adjustRightInd w:val="0"/>
        <w:rPr>
          <w:szCs w:val="22"/>
          <w:lang w:eastAsia="zh-TW"/>
        </w:rPr>
      </w:pPr>
      <w:r w:rsidRPr="001514CF">
        <w:rPr>
          <w:szCs w:val="22"/>
          <w:lang w:eastAsia="zh-TW"/>
        </w:rPr>
        <w:t>Slovėnija</w:t>
      </w:r>
    </w:p>
    <w:p w14:paraId="41F857C6" w14:textId="77777777" w:rsidR="00AA471E" w:rsidRPr="00C07A3C" w:rsidRDefault="00AA471E" w:rsidP="00AA471E">
      <w:pPr>
        <w:rPr>
          <w:rFonts w:eastAsia="Calibri"/>
        </w:rPr>
      </w:pPr>
    </w:p>
    <w:p w14:paraId="6F4C2111" w14:textId="77777777" w:rsidR="00AA471E" w:rsidRPr="00C07A3C" w:rsidRDefault="00AA471E" w:rsidP="00AA471E">
      <w:pPr>
        <w:rPr>
          <w:rFonts w:eastAsia="Calibri"/>
        </w:rPr>
      </w:pPr>
    </w:p>
    <w:p w14:paraId="569D76B8"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12.</w:t>
      </w:r>
      <w:r w:rsidRPr="00C07A3C">
        <w:rPr>
          <w:rFonts w:eastAsia="Calibri"/>
          <w:b/>
        </w:rPr>
        <w:tab/>
      </w:r>
      <w:r w:rsidRPr="00C07A3C">
        <w:rPr>
          <w:rFonts w:eastAsia="Calibri"/>
          <w:b/>
          <w:caps/>
        </w:rPr>
        <w:t>REGISTRACIJOS PAŽYMĖJIMO numeris (-IAI)</w:t>
      </w:r>
    </w:p>
    <w:p w14:paraId="71E06042" w14:textId="77777777" w:rsidR="00AA471E" w:rsidRPr="00C07A3C" w:rsidRDefault="00AA471E" w:rsidP="00AA471E">
      <w:pPr>
        <w:rPr>
          <w:rFonts w:eastAsia="Calibri"/>
        </w:rPr>
      </w:pPr>
    </w:p>
    <w:p w14:paraId="5B073369" w14:textId="77777777" w:rsidR="00EC7E28" w:rsidRPr="001D5FF7" w:rsidRDefault="00EC7E28" w:rsidP="00EC7E28">
      <w:pPr>
        <w:rPr>
          <w:rFonts w:eastAsia="Calibri"/>
          <w:shd w:val="clear" w:color="auto" w:fill="D9D9D9" w:themeFill="background1" w:themeFillShade="D9"/>
        </w:rPr>
      </w:pPr>
      <w:r w:rsidRPr="001D5FF7">
        <w:rPr>
          <w:rFonts w:eastAsia="Calibri"/>
        </w:rPr>
        <w:t xml:space="preserve">LT/1/94/0478/007 </w:t>
      </w:r>
      <w:r w:rsidRPr="001D5FF7">
        <w:rPr>
          <w:rFonts w:eastAsia="Calibri"/>
          <w:shd w:val="clear" w:color="auto" w:fill="D9D9D9" w:themeFill="background1" w:themeFillShade="D9"/>
        </w:rPr>
        <w:t>– 50 ml, N1</w:t>
      </w:r>
    </w:p>
    <w:p w14:paraId="3E4C218E" w14:textId="77777777" w:rsidR="00EC7E28" w:rsidRPr="001D5FF7" w:rsidRDefault="00EC7E28" w:rsidP="00EC7E28">
      <w:pPr>
        <w:rPr>
          <w:rFonts w:eastAsia="Calibri"/>
          <w:shd w:val="clear" w:color="auto" w:fill="D9D9D9" w:themeFill="background1" w:themeFillShade="D9"/>
        </w:rPr>
      </w:pPr>
      <w:r w:rsidRPr="001D5FF7">
        <w:rPr>
          <w:rFonts w:eastAsia="Calibri"/>
          <w:shd w:val="clear" w:color="auto" w:fill="D9D9D9" w:themeFill="background1" w:themeFillShade="D9"/>
        </w:rPr>
        <w:t>LT/1/94/0478/008 – 70 ml, N1</w:t>
      </w:r>
    </w:p>
    <w:p w14:paraId="3D5CCE9F" w14:textId="4359F220" w:rsidR="00AA471E" w:rsidRPr="001D5FF7" w:rsidRDefault="00EC7E28" w:rsidP="00EC7E28">
      <w:pPr>
        <w:rPr>
          <w:rFonts w:eastAsia="Calibri"/>
          <w:shd w:val="clear" w:color="auto" w:fill="D9D9D9" w:themeFill="background1" w:themeFillShade="D9"/>
        </w:rPr>
      </w:pPr>
      <w:r w:rsidRPr="001D5FF7">
        <w:rPr>
          <w:rFonts w:eastAsia="Calibri"/>
          <w:shd w:val="clear" w:color="auto" w:fill="D9D9D9" w:themeFill="background1" w:themeFillShade="D9"/>
        </w:rPr>
        <w:t>LT/1/94/0478/009 – 100 ml, N1</w:t>
      </w:r>
    </w:p>
    <w:p w14:paraId="6CAA7DC7" w14:textId="77777777" w:rsidR="00EC7E28" w:rsidRPr="00C07A3C" w:rsidRDefault="00EC7E28" w:rsidP="00EC7E28">
      <w:pPr>
        <w:rPr>
          <w:rFonts w:eastAsia="Calibri"/>
        </w:rPr>
      </w:pPr>
    </w:p>
    <w:p w14:paraId="2C6F827A" w14:textId="77777777" w:rsidR="00AA471E" w:rsidRPr="00C07A3C" w:rsidRDefault="00AA471E" w:rsidP="00AA471E">
      <w:pPr>
        <w:rPr>
          <w:rFonts w:eastAsia="Calibri"/>
        </w:rPr>
      </w:pPr>
    </w:p>
    <w:p w14:paraId="4CED5E8E"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13.</w:t>
      </w:r>
      <w:r w:rsidRPr="00C07A3C">
        <w:rPr>
          <w:rFonts w:eastAsia="Calibri"/>
          <w:b/>
        </w:rPr>
        <w:tab/>
        <w:t>SERIJOS NUMERIS</w:t>
      </w:r>
    </w:p>
    <w:p w14:paraId="49515E6D" w14:textId="77777777" w:rsidR="00AA471E" w:rsidRPr="00C07A3C" w:rsidRDefault="00AA471E" w:rsidP="00AA471E">
      <w:pPr>
        <w:rPr>
          <w:rFonts w:eastAsia="Calibri"/>
        </w:rPr>
      </w:pPr>
    </w:p>
    <w:p w14:paraId="51A06A91" w14:textId="77777777" w:rsidR="00AA471E" w:rsidRPr="00C07A3C" w:rsidRDefault="00AA471E" w:rsidP="00AA471E">
      <w:pPr>
        <w:rPr>
          <w:rFonts w:eastAsia="Calibri"/>
        </w:rPr>
      </w:pPr>
      <w:r w:rsidRPr="00C07A3C">
        <w:rPr>
          <w:rFonts w:eastAsia="Calibri"/>
        </w:rPr>
        <w:t>Serija</w:t>
      </w:r>
    </w:p>
    <w:p w14:paraId="122516E4" w14:textId="77777777" w:rsidR="00AA471E" w:rsidRPr="00C07A3C" w:rsidRDefault="00AA471E" w:rsidP="00AA471E">
      <w:pPr>
        <w:rPr>
          <w:rFonts w:eastAsia="Calibri"/>
        </w:rPr>
      </w:pPr>
      <w:r w:rsidRPr="00C07A3C">
        <w:rPr>
          <w:rFonts w:eastAsia="Calibri"/>
          <w:highlight w:val="lightGray"/>
        </w:rPr>
        <w:t>Lot</w:t>
      </w:r>
    </w:p>
    <w:p w14:paraId="33EBF6FB" w14:textId="77777777" w:rsidR="00AA471E" w:rsidRPr="00C07A3C" w:rsidRDefault="00AA471E" w:rsidP="00AA471E">
      <w:pPr>
        <w:rPr>
          <w:rFonts w:eastAsia="Calibri"/>
        </w:rPr>
      </w:pPr>
    </w:p>
    <w:p w14:paraId="7E6EBFF7" w14:textId="77777777" w:rsidR="00AA471E" w:rsidRPr="00C07A3C" w:rsidRDefault="00AA471E" w:rsidP="00AA471E">
      <w:pPr>
        <w:rPr>
          <w:rFonts w:eastAsia="Calibri"/>
        </w:rPr>
      </w:pPr>
    </w:p>
    <w:p w14:paraId="79C75D30"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14.</w:t>
      </w:r>
      <w:r w:rsidRPr="00C07A3C">
        <w:rPr>
          <w:rFonts w:eastAsia="Calibri"/>
          <w:b/>
        </w:rPr>
        <w:tab/>
        <w:t>PARDAVIMO (IŠDAVIMO)</w:t>
      </w:r>
      <w:r w:rsidRPr="00C07A3C">
        <w:rPr>
          <w:rFonts w:eastAsia="Calibri"/>
          <w:b/>
          <w:caps/>
        </w:rPr>
        <w:t xml:space="preserve"> tvarka</w:t>
      </w:r>
    </w:p>
    <w:p w14:paraId="704F0161" w14:textId="77777777" w:rsidR="00AA471E" w:rsidRPr="00C07A3C" w:rsidRDefault="00AA471E" w:rsidP="00AA471E">
      <w:pPr>
        <w:rPr>
          <w:rFonts w:eastAsia="Calibri"/>
        </w:rPr>
      </w:pPr>
    </w:p>
    <w:p w14:paraId="21F4EBB0" w14:textId="77777777" w:rsidR="00AA471E" w:rsidRPr="009C0DB0" w:rsidRDefault="00AA471E" w:rsidP="00AA471E">
      <w:pPr>
        <w:rPr>
          <w:rFonts w:eastAsia="Calibri"/>
          <w:i/>
          <w:lang w:val="fi-FI"/>
        </w:rPr>
      </w:pPr>
      <w:r w:rsidRPr="00C07A3C">
        <w:rPr>
          <w:rFonts w:eastAsia="Calibri"/>
          <w:lang w:val="fi-FI"/>
        </w:rPr>
        <w:t>Receptinis vaistas.</w:t>
      </w:r>
    </w:p>
    <w:p w14:paraId="4C0285BF" w14:textId="77777777" w:rsidR="00AA471E" w:rsidRPr="00C07A3C" w:rsidRDefault="00AA471E" w:rsidP="00AA471E">
      <w:pPr>
        <w:rPr>
          <w:rFonts w:eastAsia="Calibri"/>
        </w:rPr>
      </w:pPr>
    </w:p>
    <w:p w14:paraId="17D1BCD1" w14:textId="77777777" w:rsidR="00AA471E" w:rsidRPr="00C07A3C" w:rsidRDefault="00AA471E" w:rsidP="00AA471E">
      <w:pPr>
        <w:rPr>
          <w:rFonts w:eastAsia="Calibri"/>
        </w:rPr>
      </w:pPr>
    </w:p>
    <w:p w14:paraId="64455BE4"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15.</w:t>
      </w:r>
      <w:r w:rsidRPr="00C07A3C">
        <w:rPr>
          <w:rFonts w:eastAsia="Calibri"/>
          <w:b/>
        </w:rPr>
        <w:tab/>
      </w:r>
      <w:r w:rsidRPr="00C07A3C">
        <w:rPr>
          <w:rFonts w:eastAsia="Calibri"/>
          <w:b/>
          <w:caps/>
        </w:rPr>
        <w:t>vartojimo instrukcijA</w:t>
      </w:r>
    </w:p>
    <w:p w14:paraId="53E31BFC" w14:textId="77777777" w:rsidR="00AA471E" w:rsidRPr="00C07A3C" w:rsidRDefault="00AA471E" w:rsidP="00AA471E">
      <w:pPr>
        <w:rPr>
          <w:rFonts w:eastAsia="Calibri"/>
        </w:rPr>
      </w:pPr>
    </w:p>
    <w:p w14:paraId="6B70BD55" w14:textId="10B68486" w:rsidR="008C5EB7" w:rsidRPr="001D5FF7" w:rsidRDefault="008C5EB7" w:rsidP="00AA471E">
      <w:pPr>
        <w:rPr>
          <w:rFonts w:eastAsia="Calibri"/>
        </w:rPr>
      </w:pPr>
      <w:r w:rsidRPr="008C5EB7">
        <w:rPr>
          <w:rFonts w:eastAsia="Calibri"/>
        </w:rPr>
        <w:t>Ruošiant suspensiją reikia vadovautis pakuotės lapelyje pateikta suspensijos paruošimo instrukcija.</w:t>
      </w:r>
    </w:p>
    <w:p w14:paraId="119E41C5" w14:textId="77777777" w:rsidR="00AA471E" w:rsidRPr="00C07A3C" w:rsidRDefault="00AA471E" w:rsidP="00AA471E">
      <w:pPr>
        <w:rPr>
          <w:rFonts w:eastAsia="Calibri"/>
        </w:rPr>
      </w:pPr>
      <w:bookmarkStart w:id="48" w:name="_Hlk819040"/>
    </w:p>
    <w:bookmarkEnd w:id="48"/>
    <w:p w14:paraId="7F4DD12B" w14:textId="77777777" w:rsidR="00AA471E" w:rsidRPr="00C07A3C" w:rsidRDefault="00AA471E" w:rsidP="00AA471E">
      <w:pPr>
        <w:rPr>
          <w:rFonts w:eastAsia="Calibri"/>
        </w:rPr>
      </w:pPr>
    </w:p>
    <w:p w14:paraId="675E5E12"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16.</w:t>
      </w:r>
      <w:r w:rsidRPr="00C07A3C">
        <w:rPr>
          <w:rFonts w:eastAsia="Calibri"/>
          <w:b/>
        </w:rPr>
        <w:tab/>
        <w:t>INFORMACIJA BRAILIO RAŠTU</w:t>
      </w:r>
    </w:p>
    <w:p w14:paraId="2A4BD7B2" w14:textId="77777777" w:rsidR="00AA471E" w:rsidRPr="00C07A3C" w:rsidRDefault="00AA471E" w:rsidP="00AA471E">
      <w:pPr>
        <w:rPr>
          <w:rFonts w:eastAsia="Calibri"/>
        </w:rPr>
      </w:pPr>
    </w:p>
    <w:p w14:paraId="3A9E8482" w14:textId="77777777" w:rsidR="00AA471E" w:rsidRPr="00C07A3C" w:rsidRDefault="00AA471E" w:rsidP="00AA471E">
      <w:pPr>
        <w:rPr>
          <w:rFonts w:eastAsia="Calibri"/>
        </w:rPr>
      </w:pPr>
      <w:bookmarkStart w:id="49" w:name="_Hlk517871753"/>
      <w:r w:rsidRPr="00C07A3C">
        <w:rPr>
          <w:rFonts w:eastAsia="Calibri"/>
        </w:rPr>
        <w:t>Zinnat 125 mg/5 ml</w:t>
      </w:r>
    </w:p>
    <w:bookmarkEnd w:id="49"/>
    <w:p w14:paraId="6E4E3595" w14:textId="77777777" w:rsidR="00AA471E" w:rsidRPr="00C07A3C" w:rsidRDefault="00AA471E" w:rsidP="00AA471E">
      <w:pPr>
        <w:rPr>
          <w:rFonts w:eastAsia="Calibri"/>
        </w:rPr>
      </w:pPr>
    </w:p>
    <w:p w14:paraId="496A8479" w14:textId="77777777" w:rsidR="00AA471E" w:rsidRPr="00C07A3C" w:rsidRDefault="00AA471E" w:rsidP="00AA471E">
      <w:pPr>
        <w:tabs>
          <w:tab w:val="left" w:pos="567"/>
        </w:tabs>
        <w:spacing w:line="260" w:lineRule="exact"/>
        <w:rPr>
          <w:rFonts w:eastAsia="Calibri"/>
          <w:shd w:val="clear" w:color="auto" w:fill="CCCCCC"/>
        </w:rPr>
      </w:pPr>
    </w:p>
    <w:p w14:paraId="1668ECCD" w14:textId="77777777" w:rsidR="00AA471E" w:rsidRPr="00AA08CA" w:rsidRDefault="00AA471E" w:rsidP="00AA47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AA08CA">
        <w:rPr>
          <w:b/>
          <w:noProof/>
          <w:snapToGrid w:val="0"/>
          <w:szCs w:val="20"/>
        </w:rPr>
        <w:t>17.</w:t>
      </w:r>
      <w:r w:rsidRPr="00AA08CA">
        <w:rPr>
          <w:b/>
          <w:noProof/>
          <w:snapToGrid w:val="0"/>
          <w:szCs w:val="20"/>
        </w:rPr>
        <w:tab/>
        <w:t>UNIKALUS IDENTIFIKATORIUS – 2D BRŪKŠNINIS KODAS</w:t>
      </w:r>
    </w:p>
    <w:p w14:paraId="52513BF4" w14:textId="77777777" w:rsidR="00AA471E" w:rsidRPr="00AA08CA" w:rsidRDefault="00AA471E" w:rsidP="00AA471E">
      <w:pPr>
        <w:tabs>
          <w:tab w:val="left" w:pos="567"/>
        </w:tabs>
        <w:spacing w:line="260" w:lineRule="exact"/>
        <w:rPr>
          <w:noProof/>
          <w:snapToGrid w:val="0"/>
          <w:szCs w:val="20"/>
        </w:rPr>
      </w:pPr>
    </w:p>
    <w:p w14:paraId="1175E46C" w14:textId="77777777" w:rsidR="00AA471E" w:rsidRPr="00AA08CA" w:rsidRDefault="00AA471E" w:rsidP="00AA471E">
      <w:pPr>
        <w:tabs>
          <w:tab w:val="left" w:pos="567"/>
        </w:tabs>
        <w:spacing w:line="260" w:lineRule="exact"/>
        <w:rPr>
          <w:noProof/>
          <w:snapToGrid w:val="0"/>
          <w:shd w:val="clear" w:color="auto" w:fill="CCCCCC"/>
        </w:rPr>
      </w:pPr>
      <w:r w:rsidRPr="00AA08CA">
        <w:rPr>
          <w:rFonts w:eastAsia="Calibri"/>
          <w:highlight w:val="lightGray"/>
        </w:rPr>
        <w:t>2D brūkšninis kodas su nurodytu unikaliu identifikatoriumi.</w:t>
      </w:r>
    </w:p>
    <w:p w14:paraId="72C8C279" w14:textId="77777777" w:rsidR="00AA471E" w:rsidRPr="00AA08CA" w:rsidRDefault="00AA471E" w:rsidP="00AA471E">
      <w:pPr>
        <w:tabs>
          <w:tab w:val="left" w:pos="567"/>
        </w:tabs>
        <w:spacing w:line="260" w:lineRule="exact"/>
        <w:rPr>
          <w:noProof/>
          <w:snapToGrid w:val="0"/>
          <w:szCs w:val="20"/>
        </w:rPr>
      </w:pPr>
    </w:p>
    <w:p w14:paraId="1AD9817D" w14:textId="77777777" w:rsidR="00AA471E" w:rsidRPr="00AA08CA" w:rsidRDefault="00AA471E" w:rsidP="00AA471E">
      <w:pPr>
        <w:tabs>
          <w:tab w:val="left" w:pos="567"/>
        </w:tabs>
        <w:spacing w:line="260" w:lineRule="exact"/>
        <w:rPr>
          <w:noProof/>
          <w:snapToGrid w:val="0"/>
          <w:szCs w:val="20"/>
        </w:rPr>
      </w:pPr>
    </w:p>
    <w:p w14:paraId="254950AF" w14:textId="77777777" w:rsidR="00AA471E" w:rsidRPr="00AA08CA" w:rsidRDefault="00AA471E" w:rsidP="00AA47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rPr>
      </w:pPr>
      <w:r w:rsidRPr="00AA08CA">
        <w:rPr>
          <w:b/>
          <w:noProof/>
          <w:snapToGrid w:val="0"/>
          <w:szCs w:val="20"/>
        </w:rPr>
        <w:t>18.</w:t>
      </w:r>
      <w:r w:rsidRPr="00AA08CA">
        <w:rPr>
          <w:b/>
          <w:noProof/>
          <w:snapToGrid w:val="0"/>
          <w:szCs w:val="20"/>
        </w:rPr>
        <w:tab/>
        <w:t>UNIKALUS IDENTIFIKATORIUS – ŽMONĖMS SUPRANTAMI DUOMENYS</w:t>
      </w:r>
    </w:p>
    <w:p w14:paraId="08A90CDD" w14:textId="77777777" w:rsidR="00AA471E" w:rsidRPr="00AA08CA" w:rsidRDefault="00AA471E" w:rsidP="00AA471E">
      <w:pPr>
        <w:keepNext/>
        <w:tabs>
          <w:tab w:val="left" w:pos="567"/>
        </w:tabs>
        <w:spacing w:line="260" w:lineRule="exact"/>
        <w:rPr>
          <w:noProof/>
          <w:snapToGrid w:val="0"/>
          <w:szCs w:val="20"/>
        </w:rPr>
      </w:pPr>
    </w:p>
    <w:p w14:paraId="585F321B" w14:textId="77777777" w:rsidR="00AA471E" w:rsidRPr="009C0DB0" w:rsidRDefault="00AA471E" w:rsidP="00AA471E">
      <w:pPr>
        <w:keepNext/>
        <w:tabs>
          <w:tab w:val="left" w:pos="567"/>
        </w:tabs>
        <w:spacing w:line="260" w:lineRule="exact"/>
      </w:pPr>
      <w:r w:rsidRPr="00AA08CA">
        <w:rPr>
          <w:snapToGrid w:val="0"/>
          <w:szCs w:val="20"/>
        </w:rPr>
        <w:t>PC:</w:t>
      </w:r>
    </w:p>
    <w:p w14:paraId="57121C02" w14:textId="77777777" w:rsidR="00AA471E" w:rsidRPr="00AA08CA" w:rsidRDefault="00AA471E" w:rsidP="00AA471E">
      <w:pPr>
        <w:keepNext/>
        <w:tabs>
          <w:tab w:val="left" w:pos="567"/>
        </w:tabs>
        <w:spacing w:line="260" w:lineRule="exact"/>
        <w:rPr>
          <w:snapToGrid w:val="0"/>
        </w:rPr>
      </w:pPr>
      <w:r w:rsidRPr="00AA08CA">
        <w:rPr>
          <w:snapToGrid w:val="0"/>
          <w:szCs w:val="20"/>
        </w:rPr>
        <w:t>SN:</w:t>
      </w:r>
    </w:p>
    <w:p w14:paraId="6CC96FA3" w14:textId="77777777" w:rsidR="00AA471E" w:rsidRPr="00AA08CA" w:rsidRDefault="00AA471E" w:rsidP="00AA471E">
      <w:pPr>
        <w:keepNext/>
        <w:tabs>
          <w:tab w:val="left" w:pos="567"/>
        </w:tabs>
        <w:spacing w:line="260" w:lineRule="exact"/>
        <w:rPr>
          <w:snapToGrid w:val="0"/>
        </w:rPr>
      </w:pPr>
      <w:r w:rsidRPr="00AA08CA">
        <w:rPr>
          <w:rFonts w:eastAsia="Calibri"/>
          <w:highlight w:val="lightGray"/>
        </w:rPr>
        <w:t>NN:</w:t>
      </w:r>
    </w:p>
    <w:p w14:paraId="06CCA42C" w14:textId="77777777" w:rsidR="00AA471E" w:rsidRPr="00C07A3C" w:rsidRDefault="00AA471E" w:rsidP="00AA471E">
      <w:pPr>
        <w:rPr>
          <w:rFonts w:eastAsia="Calibri"/>
        </w:rPr>
      </w:pPr>
    </w:p>
    <w:p w14:paraId="73C2EB72" w14:textId="77777777" w:rsidR="00AA471E" w:rsidRPr="00C07A3C" w:rsidRDefault="00AA471E" w:rsidP="00AA471E">
      <w:pPr>
        <w:rPr>
          <w:rFonts w:eastAsia="Calibri"/>
        </w:rPr>
      </w:pPr>
    </w:p>
    <w:p w14:paraId="17CF6EDA" w14:textId="77777777" w:rsidR="00AA471E" w:rsidRPr="00C07A3C" w:rsidRDefault="00AA471E" w:rsidP="00AA471E">
      <w:pPr>
        <w:rPr>
          <w:rFonts w:eastAsia="Calibri"/>
        </w:rPr>
      </w:pPr>
      <w:r w:rsidRPr="00C07A3C">
        <w:rPr>
          <w:rFonts w:eastAsia="Calibri"/>
          <w:b/>
          <w:color w:val="FF0000"/>
        </w:rPr>
        <w:br w:type="page"/>
      </w:r>
    </w:p>
    <w:p w14:paraId="0BDC4D2F" w14:textId="77777777" w:rsidR="00AA471E" w:rsidRPr="00C07A3C" w:rsidRDefault="00AA471E" w:rsidP="00AA471E">
      <w:pPr>
        <w:pBdr>
          <w:top w:val="single" w:sz="4" w:space="1" w:color="auto"/>
          <w:left w:val="single" w:sz="4" w:space="4" w:color="auto"/>
          <w:bottom w:val="single" w:sz="4" w:space="1" w:color="auto"/>
          <w:right w:val="single" w:sz="4" w:space="4" w:color="auto"/>
        </w:pBdr>
        <w:rPr>
          <w:rFonts w:eastAsia="Calibri"/>
          <w:b/>
        </w:rPr>
      </w:pPr>
      <w:r w:rsidRPr="00C07A3C">
        <w:rPr>
          <w:rFonts w:eastAsia="Calibri"/>
          <w:b/>
        </w:rPr>
        <w:lastRenderedPageBreak/>
        <w:t>INFORMACIJA ANT VIDINĖS PAKUOTĖS</w:t>
      </w:r>
    </w:p>
    <w:p w14:paraId="1D89A917"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rPr>
          <w:rFonts w:eastAsia="Calibri"/>
        </w:rPr>
      </w:pPr>
    </w:p>
    <w:p w14:paraId="4528A6DB" w14:textId="77777777" w:rsidR="00AA471E" w:rsidRPr="00C07A3C" w:rsidRDefault="00AA471E" w:rsidP="00AA471E">
      <w:pPr>
        <w:pBdr>
          <w:top w:val="single" w:sz="4" w:space="1" w:color="auto"/>
          <w:left w:val="single" w:sz="4" w:space="4" w:color="auto"/>
          <w:bottom w:val="single" w:sz="4" w:space="1" w:color="auto"/>
          <w:right w:val="single" w:sz="4" w:space="4" w:color="auto"/>
        </w:pBdr>
        <w:rPr>
          <w:rFonts w:eastAsia="Calibri"/>
        </w:rPr>
      </w:pPr>
      <w:r w:rsidRPr="00C07A3C">
        <w:rPr>
          <w:rFonts w:eastAsia="Calibri"/>
          <w:b/>
        </w:rPr>
        <w:t>BUTELIUKO ETIKETĖ</w:t>
      </w:r>
    </w:p>
    <w:p w14:paraId="4395EEAF" w14:textId="77777777" w:rsidR="00AA471E" w:rsidRPr="00C07A3C" w:rsidRDefault="00AA471E" w:rsidP="00AA471E">
      <w:pPr>
        <w:rPr>
          <w:rFonts w:eastAsia="Calibri"/>
        </w:rPr>
      </w:pPr>
    </w:p>
    <w:p w14:paraId="69F28238" w14:textId="4287D4AA" w:rsidR="00AA471E" w:rsidRPr="008C5EB7" w:rsidRDefault="00AA471E" w:rsidP="00DE2F83">
      <w:pPr>
        <w:pStyle w:val="Sraopastraipa"/>
        <w:numPr>
          <w:ilvl w:val="0"/>
          <w:numId w:val="36"/>
        </w:numPr>
        <w:pBdr>
          <w:top w:val="single" w:sz="4" w:space="1" w:color="auto"/>
          <w:left w:val="single" w:sz="4" w:space="4" w:color="auto"/>
          <w:bottom w:val="single" w:sz="4" w:space="1" w:color="auto"/>
          <w:right w:val="single" w:sz="4" w:space="4" w:color="auto"/>
        </w:pBdr>
        <w:outlineLvl w:val="0"/>
        <w:rPr>
          <w:rFonts w:eastAsia="Calibri"/>
        </w:rPr>
      </w:pPr>
      <w:r w:rsidRPr="001D5FF7">
        <w:rPr>
          <w:rFonts w:eastAsia="Calibri"/>
          <w:b/>
        </w:rPr>
        <w:t>VAISTINIO PREPARATO PAVADINIMAS</w:t>
      </w:r>
    </w:p>
    <w:p w14:paraId="177A8599" w14:textId="77777777" w:rsidR="00AA471E" w:rsidRPr="00C07A3C" w:rsidRDefault="00AA471E" w:rsidP="00AA471E">
      <w:pPr>
        <w:rPr>
          <w:rFonts w:eastAsia="Calibri"/>
        </w:rPr>
      </w:pPr>
    </w:p>
    <w:p w14:paraId="6104A734" w14:textId="45933CCB" w:rsidR="00AA471E" w:rsidRPr="00C07A3C" w:rsidRDefault="00AA471E" w:rsidP="00AA471E">
      <w:pPr>
        <w:rPr>
          <w:rFonts w:eastAsia="Calibri"/>
        </w:rPr>
      </w:pPr>
      <w:r w:rsidRPr="00C07A3C">
        <w:rPr>
          <w:rFonts w:eastAsia="Calibri"/>
        </w:rPr>
        <w:t>Zinnat 125 mg/5 ml granulės geriamajai suspensijai</w:t>
      </w:r>
    </w:p>
    <w:p w14:paraId="0A8F60D1" w14:textId="6E0BA761" w:rsidR="00AA471E" w:rsidRPr="00C07A3C" w:rsidRDefault="00550DBA" w:rsidP="00AA471E">
      <w:pPr>
        <w:rPr>
          <w:rFonts w:eastAsia="Calibri"/>
        </w:rPr>
      </w:pPr>
      <w:r>
        <w:rPr>
          <w:rFonts w:eastAsia="Calibri"/>
        </w:rPr>
        <w:t>c</w:t>
      </w:r>
      <w:r w:rsidRPr="00C07A3C">
        <w:rPr>
          <w:rFonts w:eastAsia="Calibri"/>
        </w:rPr>
        <w:t>efuroksimas</w:t>
      </w:r>
    </w:p>
    <w:p w14:paraId="3981ED1F" w14:textId="77777777" w:rsidR="00AA471E" w:rsidRPr="00C07A3C" w:rsidRDefault="00AA471E" w:rsidP="00AA471E">
      <w:pPr>
        <w:rPr>
          <w:rFonts w:eastAsia="Calibri"/>
        </w:rPr>
      </w:pPr>
    </w:p>
    <w:p w14:paraId="487284C5" w14:textId="77777777" w:rsidR="00AA471E" w:rsidRPr="00C07A3C" w:rsidRDefault="00AA471E" w:rsidP="00AA471E">
      <w:pPr>
        <w:rPr>
          <w:rFonts w:eastAsia="Calibri"/>
        </w:rPr>
      </w:pPr>
    </w:p>
    <w:p w14:paraId="6C5C507B"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b/>
        </w:rPr>
      </w:pPr>
      <w:r w:rsidRPr="00C07A3C">
        <w:rPr>
          <w:rFonts w:eastAsia="Calibri"/>
          <w:b/>
        </w:rPr>
        <w:t>2.</w:t>
      </w:r>
      <w:r w:rsidRPr="00C07A3C">
        <w:rPr>
          <w:rFonts w:eastAsia="Calibri"/>
          <w:b/>
        </w:rPr>
        <w:tab/>
        <w:t>VEIKLIOJI (-IOS) MEDŽIAGA (-OS) IR JOS (-Ų) KIEKIS (-IAI)</w:t>
      </w:r>
    </w:p>
    <w:p w14:paraId="2C887380" w14:textId="77777777" w:rsidR="00AA471E" w:rsidRPr="00C07A3C" w:rsidRDefault="00AA471E" w:rsidP="00AA471E">
      <w:pPr>
        <w:rPr>
          <w:rFonts w:eastAsia="Calibri"/>
        </w:rPr>
      </w:pPr>
    </w:p>
    <w:p w14:paraId="09C3AFDF" w14:textId="77777777" w:rsidR="00AA471E" w:rsidRPr="00C07A3C" w:rsidRDefault="00AA471E" w:rsidP="00AA471E">
      <w:pPr>
        <w:rPr>
          <w:rFonts w:eastAsia="Calibri"/>
        </w:rPr>
      </w:pPr>
      <w:bookmarkStart w:id="50" w:name="_Hlk517871975"/>
      <w:r w:rsidRPr="00C07A3C">
        <w:rPr>
          <w:rFonts w:eastAsia="Calibri"/>
        </w:rPr>
        <w:t>5 ml dozėje yra 125 mg cefuroksimo (cefuroksimo aksetilo pavidalu).</w:t>
      </w:r>
    </w:p>
    <w:bookmarkEnd w:id="50"/>
    <w:p w14:paraId="333EC498" w14:textId="77777777" w:rsidR="00AA471E" w:rsidRPr="00C07A3C" w:rsidRDefault="00AA471E" w:rsidP="00AA471E">
      <w:pPr>
        <w:rPr>
          <w:rFonts w:eastAsia="Calibri"/>
        </w:rPr>
      </w:pPr>
    </w:p>
    <w:p w14:paraId="0A08D91C" w14:textId="77777777" w:rsidR="00AA471E" w:rsidRPr="00C07A3C" w:rsidRDefault="00AA471E" w:rsidP="00AA471E">
      <w:pPr>
        <w:rPr>
          <w:rFonts w:eastAsia="Calibri"/>
        </w:rPr>
      </w:pPr>
    </w:p>
    <w:p w14:paraId="107DAB24"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highlight w:val="lightGray"/>
        </w:rPr>
      </w:pPr>
      <w:r w:rsidRPr="00C07A3C">
        <w:rPr>
          <w:rFonts w:eastAsia="Calibri"/>
          <w:b/>
        </w:rPr>
        <w:t>3.</w:t>
      </w:r>
      <w:r w:rsidRPr="00C07A3C">
        <w:rPr>
          <w:rFonts w:eastAsia="Calibri"/>
          <w:b/>
        </w:rPr>
        <w:tab/>
        <w:t>PAGALBINIŲ MEDŽIAGŲ SĄRAŠAS</w:t>
      </w:r>
    </w:p>
    <w:p w14:paraId="401B3EBF" w14:textId="77777777" w:rsidR="00AA471E" w:rsidRPr="00C07A3C" w:rsidRDefault="00AA471E" w:rsidP="00AA471E">
      <w:pPr>
        <w:rPr>
          <w:rFonts w:eastAsia="Calibri"/>
        </w:rPr>
      </w:pPr>
    </w:p>
    <w:p w14:paraId="704307D7" w14:textId="77777777" w:rsidR="00AA471E" w:rsidRPr="00C07A3C" w:rsidRDefault="00AA471E" w:rsidP="00AA471E">
      <w:pPr>
        <w:rPr>
          <w:rFonts w:eastAsia="Calibri"/>
        </w:rPr>
      </w:pPr>
      <w:bookmarkStart w:id="51" w:name="_Hlk818707"/>
      <w:r w:rsidRPr="00C07A3C">
        <w:rPr>
          <w:rFonts w:eastAsia="Calibri"/>
        </w:rPr>
        <w:t>Sudėtyje taip pat yra sacharozės (cukraus), aspartamo (E951), benzilo alkoholio (E1519) ir propilenglikolio (E1520).</w:t>
      </w:r>
    </w:p>
    <w:p w14:paraId="5690B6DE" w14:textId="77777777" w:rsidR="00AA471E" w:rsidRPr="00C07A3C" w:rsidRDefault="00AA471E" w:rsidP="00AA471E">
      <w:pPr>
        <w:rPr>
          <w:rFonts w:eastAsia="Calibri"/>
        </w:rPr>
      </w:pPr>
    </w:p>
    <w:p w14:paraId="08C454EB" w14:textId="36D57B7C" w:rsidR="00AA471E" w:rsidRPr="00C07A3C" w:rsidRDefault="00AA471E" w:rsidP="00AA471E">
      <w:pPr>
        <w:rPr>
          <w:rFonts w:eastAsia="Calibri"/>
        </w:rPr>
      </w:pPr>
      <w:r w:rsidRPr="00C07A3C">
        <w:rPr>
          <w:rFonts w:eastAsia="Calibri"/>
          <w:highlight w:val="lightGray"/>
        </w:rPr>
        <w:t xml:space="preserve">Daugiau informacijos žr. </w:t>
      </w:r>
      <w:r w:rsidR="008C5EB7" w:rsidRPr="00C07A3C">
        <w:rPr>
          <w:rFonts w:eastAsia="Calibri"/>
          <w:highlight w:val="lightGray"/>
        </w:rPr>
        <w:t>P</w:t>
      </w:r>
      <w:r w:rsidRPr="00C07A3C">
        <w:rPr>
          <w:rFonts w:eastAsia="Calibri"/>
          <w:highlight w:val="lightGray"/>
        </w:rPr>
        <w:t>akuotės lapelyje.</w:t>
      </w:r>
    </w:p>
    <w:p w14:paraId="6EFA6EEB" w14:textId="77777777" w:rsidR="00AA471E" w:rsidRPr="00C07A3C" w:rsidRDefault="00AA471E" w:rsidP="00AA471E">
      <w:pPr>
        <w:rPr>
          <w:rFonts w:eastAsia="Calibri"/>
        </w:rPr>
      </w:pPr>
    </w:p>
    <w:bookmarkEnd w:id="51"/>
    <w:p w14:paraId="187E2C61" w14:textId="77777777" w:rsidR="00AA471E" w:rsidRPr="00C07A3C" w:rsidRDefault="00AA471E" w:rsidP="00AA471E">
      <w:pPr>
        <w:rPr>
          <w:rFonts w:eastAsia="Calibri"/>
        </w:rPr>
      </w:pPr>
    </w:p>
    <w:p w14:paraId="3B793438"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t>4.</w:t>
      </w:r>
      <w:r w:rsidRPr="00C07A3C">
        <w:rPr>
          <w:rFonts w:eastAsia="Calibri"/>
          <w:b/>
        </w:rPr>
        <w:tab/>
        <w:t>FARMACINĖ FORMA IR KIEKIS PAKUOTĖJE</w:t>
      </w:r>
    </w:p>
    <w:p w14:paraId="33D51DEA" w14:textId="77777777" w:rsidR="00AA471E" w:rsidRPr="00C07A3C" w:rsidRDefault="00AA471E" w:rsidP="00AA471E">
      <w:pPr>
        <w:rPr>
          <w:rFonts w:eastAsia="Calibri"/>
        </w:rPr>
      </w:pPr>
    </w:p>
    <w:p w14:paraId="11E95E1F" w14:textId="77777777" w:rsidR="00AA471E" w:rsidRPr="00C07A3C" w:rsidRDefault="00AA471E" w:rsidP="00AA471E">
      <w:pPr>
        <w:rPr>
          <w:rFonts w:eastAsia="Calibri"/>
        </w:rPr>
      </w:pPr>
      <w:bookmarkStart w:id="52" w:name="_Hlk818731"/>
      <w:r w:rsidRPr="00C07A3C">
        <w:rPr>
          <w:rFonts w:eastAsia="Calibri"/>
        </w:rPr>
        <w:t>Granulės geriamajai suspensijai.</w:t>
      </w:r>
    </w:p>
    <w:p w14:paraId="40CC8302" w14:textId="77777777" w:rsidR="00AA471E" w:rsidRPr="00C07A3C" w:rsidRDefault="00AA471E" w:rsidP="00AA471E">
      <w:pPr>
        <w:rPr>
          <w:rFonts w:eastAsia="Calibri"/>
        </w:rPr>
      </w:pPr>
    </w:p>
    <w:p w14:paraId="00CAC2F7" w14:textId="77777777" w:rsidR="00AA471E" w:rsidRPr="00C07A3C" w:rsidRDefault="00AA471E" w:rsidP="00AA471E">
      <w:pPr>
        <w:rPr>
          <w:rFonts w:eastAsia="Calibri"/>
        </w:rPr>
      </w:pPr>
      <w:r w:rsidRPr="00C07A3C">
        <w:rPr>
          <w:rFonts w:eastAsia="Calibri"/>
        </w:rPr>
        <w:t>125 mg/5 ml</w:t>
      </w:r>
    </w:p>
    <w:p w14:paraId="7DA62C08" w14:textId="77777777" w:rsidR="00AA471E" w:rsidRPr="00C07A3C" w:rsidRDefault="00AA471E" w:rsidP="00AA471E">
      <w:pPr>
        <w:rPr>
          <w:rFonts w:eastAsia="Calibri"/>
        </w:rPr>
      </w:pPr>
    </w:p>
    <w:p w14:paraId="6AF438D9" w14:textId="77777777" w:rsidR="00AA471E" w:rsidRPr="00C07A3C" w:rsidRDefault="00AA471E" w:rsidP="00AA471E">
      <w:pPr>
        <w:rPr>
          <w:rFonts w:eastAsia="Calibri"/>
          <w:i/>
        </w:rPr>
      </w:pPr>
      <w:r w:rsidRPr="00C07A3C">
        <w:rPr>
          <w:rFonts w:eastAsia="Calibri"/>
        </w:rPr>
        <w:t xml:space="preserve">50 ml, </w:t>
      </w:r>
      <w:r w:rsidRPr="00C07A3C">
        <w:rPr>
          <w:rFonts w:eastAsia="Calibri"/>
          <w:highlight w:val="lightGray"/>
        </w:rPr>
        <w:t>70 ml, 100 ml</w:t>
      </w:r>
    </w:p>
    <w:bookmarkEnd w:id="52"/>
    <w:p w14:paraId="3635D1A5" w14:textId="77777777" w:rsidR="00AA471E" w:rsidRPr="00C07A3C" w:rsidRDefault="00AA471E" w:rsidP="00AA471E">
      <w:pPr>
        <w:rPr>
          <w:rFonts w:eastAsia="Calibri"/>
        </w:rPr>
      </w:pPr>
    </w:p>
    <w:p w14:paraId="4739BE6E" w14:textId="3D731718" w:rsidR="00AA471E" w:rsidRPr="00DE2F83" w:rsidRDefault="00391777" w:rsidP="00DE2F83">
      <w:pPr>
        <w:pBdr>
          <w:top w:val="single" w:sz="4" w:space="1" w:color="auto"/>
          <w:left w:val="single" w:sz="4" w:space="4" w:color="auto"/>
          <w:bottom w:val="single" w:sz="4" w:space="1" w:color="auto"/>
          <w:right w:val="single" w:sz="4" w:space="4" w:color="auto"/>
        </w:pBdr>
        <w:outlineLvl w:val="0"/>
        <w:rPr>
          <w:rFonts w:eastAsia="Calibri"/>
        </w:rPr>
      </w:pPr>
      <w:r>
        <w:rPr>
          <w:rFonts w:eastAsia="Calibri"/>
          <w:b/>
        </w:rPr>
        <w:t>5</w:t>
      </w:r>
      <w:r w:rsidRPr="00C07A3C">
        <w:rPr>
          <w:rFonts w:eastAsia="Calibri"/>
          <w:b/>
        </w:rPr>
        <w:t>.</w:t>
      </w:r>
      <w:r w:rsidRPr="00C07A3C">
        <w:rPr>
          <w:rFonts w:eastAsia="Calibri"/>
          <w:b/>
        </w:rPr>
        <w:tab/>
      </w:r>
      <w:r w:rsidR="00AA471E" w:rsidRPr="001D5FF7">
        <w:rPr>
          <w:rFonts w:eastAsia="Calibri"/>
          <w:b/>
        </w:rPr>
        <w:t>VARTOJIMO METODAS IR BŪDAS (-AI)</w:t>
      </w:r>
    </w:p>
    <w:p w14:paraId="0D4B5FD9" w14:textId="77777777" w:rsidR="00AA471E" w:rsidRPr="00DE2F83" w:rsidRDefault="00AA471E" w:rsidP="00AA471E">
      <w:pPr>
        <w:rPr>
          <w:rFonts w:eastAsia="Calibri"/>
        </w:rPr>
      </w:pPr>
    </w:p>
    <w:p w14:paraId="1FA8D22A" w14:textId="77777777" w:rsidR="00AA471E" w:rsidRPr="00C07A3C" w:rsidRDefault="00AA471E" w:rsidP="00AA471E">
      <w:pPr>
        <w:rPr>
          <w:rFonts w:eastAsia="Calibri"/>
        </w:rPr>
      </w:pPr>
      <w:r w:rsidRPr="00C07A3C">
        <w:rPr>
          <w:rFonts w:eastAsia="Calibri"/>
        </w:rPr>
        <w:t>Vartoti per burną.</w:t>
      </w:r>
    </w:p>
    <w:p w14:paraId="2A934FEE" w14:textId="77777777" w:rsidR="00AA471E" w:rsidRPr="00C07A3C" w:rsidRDefault="00AA471E" w:rsidP="00AA471E">
      <w:pPr>
        <w:rPr>
          <w:rFonts w:eastAsia="Calibri"/>
        </w:rPr>
      </w:pPr>
      <w:r w:rsidRPr="00C07A3C">
        <w:rPr>
          <w:rFonts w:eastAsia="Calibri"/>
        </w:rPr>
        <w:t>Prieš vartojimą perskaitykite pakuotės lapelį.</w:t>
      </w:r>
    </w:p>
    <w:p w14:paraId="706E198D" w14:textId="77777777" w:rsidR="00AA471E" w:rsidRPr="00C07A3C" w:rsidRDefault="00AA471E" w:rsidP="00AA471E">
      <w:pPr>
        <w:rPr>
          <w:rFonts w:eastAsia="Calibri"/>
        </w:rPr>
      </w:pPr>
    </w:p>
    <w:p w14:paraId="4AD729FD" w14:textId="77777777" w:rsidR="00AA471E" w:rsidRPr="00C07A3C" w:rsidRDefault="00AA471E" w:rsidP="00AA471E">
      <w:pPr>
        <w:rPr>
          <w:rFonts w:eastAsia="Calibri"/>
        </w:rPr>
      </w:pPr>
    </w:p>
    <w:p w14:paraId="3B729AD0" w14:textId="740B22D9" w:rsidR="00AA471E" w:rsidRPr="008C5EB7" w:rsidRDefault="00391777" w:rsidP="00DE2F83">
      <w:pPr>
        <w:pBdr>
          <w:top w:val="single" w:sz="4" w:space="0" w:color="auto"/>
          <w:left w:val="single" w:sz="4" w:space="4" w:color="auto"/>
          <w:bottom w:val="single" w:sz="4" w:space="1" w:color="auto"/>
          <w:right w:val="single" w:sz="4" w:space="4" w:color="auto"/>
        </w:pBdr>
        <w:outlineLvl w:val="0"/>
        <w:rPr>
          <w:rFonts w:eastAsia="Calibri"/>
        </w:rPr>
      </w:pPr>
      <w:r>
        <w:rPr>
          <w:rFonts w:eastAsia="Calibri"/>
          <w:b/>
        </w:rPr>
        <w:t xml:space="preserve">6.   </w:t>
      </w:r>
      <w:r w:rsidR="00AA471E" w:rsidRPr="001D5FF7">
        <w:rPr>
          <w:rFonts w:eastAsia="Calibri"/>
          <w:b/>
        </w:rPr>
        <w:t>SPECIALUS ĮSPĖJIMAS, KAD VAISTINĮ PREPARATĄ BŪTINA LAIKYTI VAIKAMS NEPASTEBIMOJE IR NEPASIEKIAMOJE VIETOJE</w:t>
      </w:r>
    </w:p>
    <w:p w14:paraId="36A9F77A" w14:textId="77777777" w:rsidR="00AA471E" w:rsidRPr="00C07A3C" w:rsidRDefault="00AA471E" w:rsidP="00AA471E">
      <w:pPr>
        <w:rPr>
          <w:rFonts w:eastAsia="Calibri"/>
        </w:rPr>
      </w:pPr>
    </w:p>
    <w:p w14:paraId="3187DBF6" w14:textId="77777777" w:rsidR="00AA471E" w:rsidRPr="00C07A3C" w:rsidRDefault="00AA471E" w:rsidP="00AA471E">
      <w:pPr>
        <w:rPr>
          <w:rFonts w:eastAsia="Calibri"/>
        </w:rPr>
      </w:pPr>
      <w:r w:rsidRPr="00C07A3C">
        <w:rPr>
          <w:rFonts w:eastAsia="Calibri"/>
        </w:rPr>
        <w:t>Laikyti vaikams nepastebimoje ir nepasiekiamoje vietoje.</w:t>
      </w:r>
    </w:p>
    <w:p w14:paraId="440E41A3" w14:textId="77777777" w:rsidR="00AA471E" w:rsidRPr="00C07A3C" w:rsidRDefault="00AA471E" w:rsidP="00AA471E">
      <w:pPr>
        <w:rPr>
          <w:rFonts w:eastAsia="Calibri"/>
        </w:rPr>
      </w:pPr>
    </w:p>
    <w:p w14:paraId="71F8D8D0" w14:textId="77777777" w:rsidR="00AA471E" w:rsidRPr="00C07A3C" w:rsidRDefault="00AA471E" w:rsidP="00AA471E">
      <w:pPr>
        <w:rPr>
          <w:rFonts w:eastAsia="Calibri"/>
        </w:rPr>
      </w:pPr>
    </w:p>
    <w:p w14:paraId="72A29227" w14:textId="6A44C734" w:rsidR="00AA471E" w:rsidRPr="008C5EB7" w:rsidRDefault="00391777" w:rsidP="00DE2F83">
      <w:pPr>
        <w:pBdr>
          <w:top w:val="single" w:sz="4" w:space="1" w:color="auto"/>
          <w:left w:val="single" w:sz="4" w:space="4" w:color="auto"/>
          <w:bottom w:val="single" w:sz="4" w:space="1" w:color="auto"/>
          <w:right w:val="single" w:sz="4" w:space="4" w:color="auto"/>
        </w:pBdr>
        <w:outlineLvl w:val="0"/>
        <w:rPr>
          <w:rFonts w:eastAsia="Calibri"/>
          <w:highlight w:val="lightGray"/>
        </w:rPr>
      </w:pPr>
      <w:r>
        <w:rPr>
          <w:rFonts w:eastAsia="Calibri"/>
          <w:b/>
        </w:rPr>
        <w:t xml:space="preserve">7.    </w:t>
      </w:r>
      <w:r w:rsidR="00AA471E" w:rsidRPr="001D5FF7">
        <w:rPr>
          <w:rFonts w:eastAsia="Calibri"/>
          <w:b/>
        </w:rPr>
        <w:t>KITAS (-I) SPECIALUS (-ŪS) ĮSPĖJIMAS (-AI) (JEI REIKIA)</w:t>
      </w:r>
    </w:p>
    <w:p w14:paraId="61CDE644" w14:textId="77777777" w:rsidR="00AA471E" w:rsidRPr="00C07A3C" w:rsidRDefault="00AA471E" w:rsidP="00AA471E">
      <w:pPr>
        <w:rPr>
          <w:rFonts w:eastAsia="Calibri"/>
        </w:rPr>
      </w:pPr>
    </w:p>
    <w:p w14:paraId="3307A189" w14:textId="77777777" w:rsidR="00AA471E" w:rsidRPr="00C07A3C" w:rsidRDefault="00AA471E" w:rsidP="00AA471E">
      <w:pPr>
        <w:rPr>
          <w:rFonts w:eastAsia="Calibri"/>
        </w:rPr>
      </w:pPr>
    </w:p>
    <w:p w14:paraId="46CCCEA6" w14:textId="6B9B1724" w:rsidR="00AA471E" w:rsidRPr="008C5EB7" w:rsidRDefault="00391777" w:rsidP="00DE2F83">
      <w:pPr>
        <w:pBdr>
          <w:top w:val="single" w:sz="4" w:space="1" w:color="auto"/>
          <w:left w:val="single" w:sz="4" w:space="4" w:color="auto"/>
          <w:bottom w:val="single" w:sz="4" w:space="1" w:color="auto"/>
          <w:right w:val="single" w:sz="4" w:space="4" w:color="auto"/>
        </w:pBdr>
        <w:outlineLvl w:val="0"/>
        <w:rPr>
          <w:rFonts w:eastAsia="Calibri"/>
          <w:highlight w:val="lightGray"/>
        </w:rPr>
      </w:pPr>
      <w:r>
        <w:rPr>
          <w:rFonts w:eastAsia="Calibri"/>
          <w:b/>
        </w:rPr>
        <w:t xml:space="preserve">8.    </w:t>
      </w:r>
      <w:r w:rsidR="00AA471E" w:rsidRPr="001D5FF7">
        <w:rPr>
          <w:rFonts w:eastAsia="Calibri"/>
          <w:b/>
        </w:rPr>
        <w:t>TINKAMUMO LAIKAS</w:t>
      </w:r>
    </w:p>
    <w:p w14:paraId="3A2093E4" w14:textId="77777777" w:rsidR="00AA471E" w:rsidRPr="00C07A3C" w:rsidRDefault="00AA471E" w:rsidP="00AA471E">
      <w:pPr>
        <w:rPr>
          <w:rFonts w:eastAsia="Calibri"/>
        </w:rPr>
      </w:pPr>
    </w:p>
    <w:p w14:paraId="0ED666A6" w14:textId="77777777" w:rsidR="00AA471E" w:rsidRPr="00C07A3C" w:rsidRDefault="00AA471E" w:rsidP="00AA471E">
      <w:pPr>
        <w:rPr>
          <w:rFonts w:eastAsia="Calibri"/>
        </w:rPr>
      </w:pPr>
      <w:r w:rsidRPr="00C07A3C">
        <w:rPr>
          <w:rFonts w:eastAsia="Calibri"/>
        </w:rPr>
        <w:t>Tinka iki {mm-MMMM}</w:t>
      </w:r>
    </w:p>
    <w:p w14:paraId="522CB975" w14:textId="77777777" w:rsidR="00AA471E" w:rsidRPr="00C07A3C" w:rsidRDefault="00AA471E" w:rsidP="00AA471E">
      <w:pPr>
        <w:rPr>
          <w:rFonts w:eastAsia="Calibri"/>
        </w:rPr>
      </w:pPr>
      <w:r w:rsidRPr="00C07A3C">
        <w:rPr>
          <w:rFonts w:eastAsia="Calibri"/>
          <w:highlight w:val="lightGray"/>
        </w:rPr>
        <w:t>EXP {mm-MMMM}</w:t>
      </w:r>
    </w:p>
    <w:p w14:paraId="18D39E77" w14:textId="77777777" w:rsidR="00AA471E" w:rsidRPr="00C07A3C" w:rsidRDefault="00AA471E" w:rsidP="00AA471E">
      <w:pPr>
        <w:rPr>
          <w:rFonts w:eastAsia="Calibri"/>
        </w:rPr>
      </w:pPr>
    </w:p>
    <w:p w14:paraId="0972F05C" w14:textId="0F568F19" w:rsidR="00AA471E" w:rsidRPr="00C07A3C" w:rsidRDefault="00AA471E" w:rsidP="00AA471E">
      <w:pPr>
        <w:rPr>
          <w:rFonts w:ascii="Calibri" w:eastAsia="Calibri" w:hAnsi="Calibri"/>
        </w:rPr>
      </w:pPr>
      <w:r w:rsidRPr="00C07A3C">
        <w:rPr>
          <w:rFonts w:eastAsia="Calibri"/>
        </w:rPr>
        <w:t xml:space="preserve">Paruoštą suspensiją laikyti </w:t>
      </w:r>
      <w:r w:rsidR="00FD17EA" w:rsidRPr="00153901">
        <w:t xml:space="preserve">šaldytuve (2 </w:t>
      </w:r>
      <w:r w:rsidR="00FD17EA" w:rsidRPr="00153901">
        <w:rPr>
          <w:szCs w:val="22"/>
        </w:rPr>
        <w:sym w:font="Symbol" w:char="F0B0"/>
      </w:r>
      <w:r w:rsidR="00FD17EA" w:rsidRPr="00153901">
        <w:t xml:space="preserve">C – 8 </w:t>
      </w:r>
      <w:r w:rsidR="00FD17EA" w:rsidRPr="00153901">
        <w:rPr>
          <w:szCs w:val="22"/>
        </w:rPr>
        <w:sym w:font="Symbol" w:char="F0B0"/>
      </w:r>
      <w:r w:rsidR="00FD17EA" w:rsidRPr="00153901">
        <w:t>C)</w:t>
      </w:r>
      <w:r w:rsidRPr="00C07A3C">
        <w:rPr>
          <w:rFonts w:eastAsia="Calibri"/>
        </w:rPr>
        <w:t xml:space="preserve"> ne ilgiau kaip 10 parų.</w:t>
      </w:r>
    </w:p>
    <w:p w14:paraId="197BA495" w14:textId="77777777" w:rsidR="00AA471E" w:rsidRPr="00C07A3C" w:rsidRDefault="00AA471E" w:rsidP="00AA471E">
      <w:pPr>
        <w:rPr>
          <w:rFonts w:eastAsia="Calibri"/>
        </w:rPr>
      </w:pPr>
    </w:p>
    <w:p w14:paraId="3765B395" w14:textId="77777777" w:rsidR="00AA471E" w:rsidRPr="00C07A3C" w:rsidRDefault="00AA471E" w:rsidP="00AA471E">
      <w:pPr>
        <w:rPr>
          <w:rFonts w:eastAsia="Calibri"/>
        </w:rPr>
      </w:pPr>
    </w:p>
    <w:p w14:paraId="53A73198" w14:textId="77777777" w:rsidR="00AA471E" w:rsidRPr="00C07A3C" w:rsidRDefault="00AA471E" w:rsidP="00AA471E">
      <w:pPr>
        <w:keepNext/>
        <w:pBdr>
          <w:top w:val="single" w:sz="4" w:space="1" w:color="auto"/>
          <w:left w:val="single" w:sz="4" w:space="4" w:color="auto"/>
          <w:bottom w:val="single" w:sz="4" w:space="1" w:color="auto"/>
          <w:right w:val="single" w:sz="4" w:space="4" w:color="auto"/>
        </w:pBdr>
        <w:ind w:left="567" w:hanging="567"/>
        <w:outlineLvl w:val="0"/>
        <w:rPr>
          <w:rFonts w:eastAsia="Calibri"/>
        </w:rPr>
      </w:pPr>
      <w:r w:rsidRPr="00C07A3C">
        <w:rPr>
          <w:rFonts w:eastAsia="Calibri"/>
          <w:b/>
        </w:rPr>
        <w:lastRenderedPageBreak/>
        <w:t>9.</w:t>
      </w:r>
      <w:r w:rsidRPr="00C07A3C">
        <w:rPr>
          <w:rFonts w:eastAsia="Calibri"/>
          <w:b/>
        </w:rPr>
        <w:tab/>
      </w:r>
      <w:r w:rsidRPr="00C07A3C">
        <w:rPr>
          <w:rFonts w:eastAsia="Calibri"/>
          <w:b/>
          <w:caps/>
        </w:rPr>
        <w:t>SPECIALIOS laikymo sąlygos</w:t>
      </w:r>
    </w:p>
    <w:p w14:paraId="50268596" w14:textId="77777777" w:rsidR="00AA471E" w:rsidRPr="00C07A3C" w:rsidRDefault="00AA471E" w:rsidP="00AA471E">
      <w:pPr>
        <w:keepNext/>
        <w:ind w:left="567" w:hanging="567"/>
        <w:rPr>
          <w:rFonts w:eastAsia="Calibri"/>
        </w:rPr>
      </w:pPr>
      <w:bookmarkStart w:id="53" w:name="_Hlk517872329"/>
    </w:p>
    <w:p w14:paraId="70DF9E83" w14:textId="77777777" w:rsidR="00AA471E" w:rsidRPr="00C07A3C" w:rsidRDefault="00AA471E" w:rsidP="00AA471E">
      <w:pPr>
        <w:keepNext/>
        <w:ind w:left="567" w:hanging="567"/>
        <w:rPr>
          <w:rFonts w:eastAsia="Calibri"/>
          <w:b/>
        </w:rPr>
      </w:pPr>
      <w:bookmarkStart w:id="54" w:name="_Hlk818914"/>
      <w:r w:rsidRPr="00C07A3C">
        <w:rPr>
          <w:rFonts w:eastAsia="Calibri"/>
        </w:rPr>
        <w:t>Granules laikyti ne aukštesnėje kaip 30 °C temperatūroje.</w:t>
      </w:r>
    </w:p>
    <w:p w14:paraId="4DD0EB52" w14:textId="77777777" w:rsidR="00AA471E" w:rsidRPr="00C07A3C" w:rsidRDefault="00AA471E" w:rsidP="00AA471E">
      <w:pPr>
        <w:rPr>
          <w:rFonts w:eastAsia="Calibri"/>
        </w:rPr>
      </w:pPr>
    </w:p>
    <w:p w14:paraId="59B3A287" w14:textId="61D56946" w:rsidR="003E360A" w:rsidRDefault="003E360A" w:rsidP="00AA471E">
      <w:pPr>
        <w:rPr>
          <w:rFonts w:eastAsia="Calibri"/>
        </w:rPr>
      </w:pPr>
      <w:r>
        <w:rPr>
          <w:rFonts w:eastAsia="Calibri"/>
        </w:rPr>
        <w:t>Paruošta suspensija</w:t>
      </w:r>
    </w:p>
    <w:p w14:paraId="62E079A3" w14:textId="33763A9F" w:rsidR="00AA471E" w:rsidRPr="00C07A3C" w:rsidRDefault="00AA471E" w:rsidP="00AA471E">
      <w:pPr>
        <w:rPr>
          <w:rFonts w:eastAsia="Calibri"/>
        </w:rPr>
      </w:pPr>
      <w:r w:rsidRPr="00C07A3C">
        <w:rPr>
          <w:rFonts w:eastAsia="Calibri"/>
        </w:rPr>
        <w:t xml:space="preserve">Visą laiką, kol nevartojate vaisto, </w:t>
      </w:r>
      <w:r w:rsidRPr="00C07A3C">
        <w:rPr>
          <w:rFonts w:eastAsia="Calibri"/>
          <w:b/>
        </w:rPr>
        <w:t>laikyti šaldytuve</w:t>
      </w:r>
      <w:r w:rsidRPr="00C07A3C">
        <w:rPr>
          <w:rFonts w:eastAsia="Calibri"/>
        </w:rPr>
        <w:t>. Negalima užšaldyti.</w:t>
      </w:r>
    </w:p>
    <w:p w14:paraId="58A73BAE" w14:textId="77777777" w:rsidR="00AA471E" w:rsidRPr="00C07A3C" w:rsidRDefault="00AA471E" w:rsidP="00AA471E">
      <w:pPr>
        <w:rPr>
          <w:rFonts w:eastAsia="Calibri"/>
        </w:rPr>
      </w:pPr>
    </w:p>
    <w:bookmarkEnd w:id="54"/>
    <w:p w14:paraId="22A95768" w14:textId="77777777" w:rsidR="00AA471E" w:rsidRPr="00C07A3C" w:rsidRDefault="00AA471E" w:rsidP="00AA471E">
      <w:pPr>
        <w:ind w:left="567" w:hanging="567"/>
        <w:rPr>
          <w:rFonts w:eastAsia="Calibri"/>
        </w:rPr>
      </w:pPr>
    </w:p>
    <w:bookmarkEnd w:id="53"/>
    <w:p w14:paraId="558AF869"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67" w:hanging="567"/>
        <w:outlineLvl w:val="0"/>
        <w:rPr>
          <w:rFonts w:eastAsia="Calibri"/>
          <w:b/>
        </w:rPr>
      </w:pPr>
      <w:r w:rsidRPr="00C07A3C">
        <w:rPr>
          <w:rFonts w:eastAsia="Calibri"/>
          <w:b/>
        </w:rPr>
        <w:t>10.</w:t>
      </w:r>
      <w:r w:rsidRPr="00C07A3C">
        <w:rPr>
          <w:rFonts w:eastAsia="Calibri"/>
          <w:b/>
        </w:rPr>
        <w:tab/>
      </w:r>
      <w:r w:rsidRPr="00C07A3C">
        <w:rPr>
          <w:rFonts w:eastAsia="Calibri"/>
          <w:b/>
          <w:caps/>
        </w:rPr>
        <w:t>specialios atsargumo priemonės DĖL NESUVARTOTO</w:t>
      </w:r>
      <w:r w:rsidRPr="00C07A3C">
        <w:rPr>
          <w:rFonts w:eastAsia="Calibri"/>
          <w:b/>
        </w:rPr>
        <w:t xml:space="preserve"> </w:t>
      </w:r>
      <w:r w:rsidRPr="00C07A3C">
        <w:rPr>
          <w:rFonts w:eastAsia="Calibri"/>
          <w:b/>
          <w:caps/>
        </w:rPr>
        <w:t>VAISTINIO PREPARATO AR JO ATLIEKŲ</w:t>
      </w:r>
      <w:r w:rsidRPr="00C07A3C">
        <w:rPr>
          <w:rFonts w:eastAsia="Calibri"/>
          <w:caps/>
        </w:rPr>
        <w:t xml:space="preserve"> </w:t>
      </w:r>
      <w:r w:rsidRPr="00C07A3C">
        <w:rPr>
          <w:rFonts w:eastAsia="Calibri"/>
          <w:b/>
          <w:caps/>
        </w:rPr>
        <w:t>TVARKYMO (jei reikia)</w:t>
      </w:r>
    </w:p>
    <w:p w14:paraId="4F68C6DC" w14:textId="77777777" w:rsidR="00AA471E" w:rsidRPr="00C07A3C" w:rsidRDefault="00AA471E" w:rsidP="00AA471E">
      <w:pPr>
        <w:rPr>
          <w:rFonts w:eastAsia="Calibri"/>
        </w:rPr>
      </w:pPr>
    </w:p>
    <w:p w14:paraId="01A1C349" w14:textId="77777777" w:rsidR="00AA471E" w:rsidRPr="00C07A3C" w:rsidRDefault="00AA471E" w:rsidP="00AA471E">
      <w:pPr>
        <w:rPr>
          <w:rFonts w:eastAsia="Calibri"/>
        </w:rPr>
      </w:pPr>
    </w:p>
    <w:p w14:paraId="35CD876F"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b/>
        </w:rPr>
      </w:pPr>
      <w:r w:rsidRPr="00C07A3C">
        <w:rPr>
          <w:rFonts w:eastAsia="Calibri"/>
          <w:b/>
        </w:rPr>
        <w:t>11.</w:t>
      </w:r>
      <w:r w:rsidRPr="00C07A3C">
        <w:rPr>
          <w:rFonts w:eastAsia="Calibri"/>
          <w:b/>
        </w:rPr>
        <w:tab/>
      </w:r>
      <w:r w:rsidRPr="00C07A3C">
        <w:rPr>
          <w:rFonts w:eastAsia="Calibri"/>
          <w:b/>
          <w:caps/>
        </w:rPr>
        <w:t>REGISTRUOTOJO pavadinimas ir adresas</w:t>
      </w:r>
    </w:p>
    <w:p w14:paraId="28D184D8" w14:textId="77777777" w:rsidR="00AA471E" w:rsidRPr="00C07A3C" w:rsidRDefault="00AA471E" w:rsidP="00AA471E">
      <w:pPr>
        <w:rPr>
          <w:rFonts w:eastAsia="Calibri"/>
        </w:rPr>
      </w:pPr>
    </w:p>
    <w:p w14:paraId="35534268" w14:textId="24C1F57F" w:rsidR="00AA471E" w:rsidRDefault="00772556" w:rsidP="00AA471E">
      <w:pPr>
        <w:rPr>
          <w:rFonts w:eastAsia="Calibri"/>
        </w:rPr>
      </w:pPr>
      <w:r>
        <w:rPr>
          <w:rFonts w:eastAsia="Calibri"/>
        </w:rPr>
        <w:t>SANDOZ</w:t>
      </w:r>
    </w:p>
    <w:p w14:paraId="3FF3D87C" w14:textId="77777777" w:rsidR="00772556" w:rsidRPr="00C07A3C" w:rsidRDefault="00772556" w:rsidP="00AA471E">
      <w:pPr>
        <w:rPr>
          <w:rFonts w:eastAsia="Calibri"/>
        </w:rPr>
      </w:pPr>
    </w:p>
    <w:p w14:paraId="56276892"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12.</w:t>
      </w:r>
      <w:r w:rsidRPr="00C07A3C">
        <w:rPr>
          <w:rFonts w:eastAsia="Calibri"/>
          <w:b/>
        </w:rPr>
        <w:tab/>
      </w:r>
      <w:r w:rsidRPr="00C07A3C">
        <w:rPr>
          <w:rFonts w:eastAsia="Calibri"/>
          <w:b/>
          <w:caps/>
        </w:rPr>
        <w:t>REGISTRACIJOS PAŽYMĖJIMO numeris (-IAI)</w:t>
      </w:r>
    </w:p>
    <w:p w14:paraId="40E38C3F" w14:textId="77777777" w:rsidR="00AA471E" w:rsidRPr="00C07A3C" w:rsidRDefault="00AA471E" w:rsidP="00AA471E">
      <w:pPr>
        <w:rPr>
          <w:rFonts w:eastAsia="Calibri"/>
        </w:rPr>
      </w:pPr>
    </w:p>
    <w:p w14:paraId="604FE932" w14:textId="77777777" w:rsidR="00EC7E28" w:rsidRPr="00AE79A1" w:rsidRDefault="00EC7E28" w:rsidP="00EC7E28">
      <w:pPr>
        <w:rPr>
          <w:shd w:val="clear" w:color="auto" w:fill="D9D9D9" w:themeFill="background1" w:themeFillShade="D9"/>
        </w:rPr>
      </w:pPr>
      <w:r w:rsidRPr="00AE79A1">
        <w:t xml:space="preserve">LT/1/94/0478/007 </w:t>
      </w:r>
      <w:r w:rsidRPr="00AE79A1">
        <w:rPr>
          <w:shd w:val="clear" w:color="auto" w:fill="D9D9D9" w:themeFill="background1" w:themeFillShade="D9"/>
        </w:rPr>
        <w:t>– 50 ml, N1</w:t>
      </w:r>
    </w:p>
    <w:p w14:paraId="74B2088A" w14:textId="77777777" w:rsidR="00EC7E28" w:rsidRPr="00AE79A1" w:rsidRDefault="00EC7E28" w:rsidP="00EC7E28">
      <w:pPr>
        <w:rPr>
          <w:shd w:val="clear" w:color="auto" w:fill="D9D9D9" w:themeFill="background1" w:themeFillShade="D9"/>
        </w:rPr>
      </w:pPr>
      <w:r w:rsidRPr="00AE79A1">
        <w:rPr>
          <w:shd w:val="clear" w:color="auto" w:fill="D9D9D9" w:themeFill="background1" w:themeFillShade="D9"/>
        </w:rPr>
        <w:t>LT/1/94/0478/008 – 70 ml, N1</w:t>
      </w:r>
    </w:p>
    <w:p w14:paraId="6CFE8D1E" w14:textId="77777777" w:rsidR="00EC7E28" w:rsidRPr="00AE79A1" w:rsidRDefault="00EC7E28" w:rsidP="00EC7E28">
      <w:pPr>
        <w:rPr>
          <w:shd w:val="clear" w:color="auto" w:fill="D9D9D9" w:themeFill="background1" w:themeFillShade="D9"/>
        </w:rPr>
      </w:pPr>
      <w:r w:rsidRPr="00AE79A1">
        <w:rPr>
          <w:shd w:val="clear" w:color="auto" w:fill="D9D9D9" w:themeFill="background1" w:themeFillShade="D9"/>
        </w:rPr>
        <w:t>LT/1/94/0478/009 – 100 ml, N1</w:t>
      </w:r>
    </w:p>
    <w:p w14:paraId="7488133E" w14:textId="6F7A2754" w:rsidR="00AA471E" w:rsidRDefault="00AA471E" w:rsidP="00AA471E">
      <w:pPr>
        <w:rPr>
          <w:rFonts w:eastAsia="Calibri"/>
        </w:rPr>
      </w:pPr>
    </w:p>
    <w:p w14:paraId="3C43B08F" w14:textId="77777777" w:rsidR="00EC7E28" w:rsidRPr="00C07A3C" w:rsidRDefault="00EC7E28" w:rsidP="00AA471E">
      <w:pPr>
        <w:rPr>
          <w:rFonts w:eastAsia="Calibri"/>
        </w:rPr>
      </w:pPr>
    </w:p>
    <w:p w14:paraId="235720DE"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13.</w:t>
      </w:r>
      <w:r w:rsidRPr="00C07A3C">
        <w:rPr>
          <w:rFonts w:eastAsia="Calibri"/>
          <w:b/>
        </w:rPr>
        <w:tab/>
        <w:t>SERIJOS NUMERIS</w:t>
      </w:r>
    </w:p>
    <w:p w14:paraId="6094BB7D" w14:textId="77777777" w:rsidR="00AA471E" w:rsidRPr="00C07A3C" w:rsidRDefault="00AA471E" w:rsidP="00AA471E">
      <w:pPr>
        <w:rPr>
          <w:rFonts w:eastAsia="Calibri"/>
        </w:rPr>
      </w:pPr>
    </w:p>
    <w:p w14:paraId="44E99841" w14:textId="77777777" w:rsidR="00AA471E" w:rsidRPr="00C07A3C" w:rsidRDefault="00AA471E" w:rsidP="00AA471E">
      <w:pPr>
        <w:rPr>
          <w:rFonts w:eastAsia="Calibri"/>
        </w:rPr>
      </w:pPr>
      <w:r w:rsidRPr="00C07A3C">
        <w:rPr>
          <w:rFonts w:eastAsia="Calibri"/>
        </w:rPr>
        <w:t>Serija</w:t>
      </w:r>
    </w:p>
    <w:p w14:paraId="5082DA64" w14:textId="77777777" w:rsidR="00AA471E" w:rsidRPr="00C07A3C" w:rsidRDefault="00AA471E" w:rsidP="00AA471E">
      <w:pPr>
        <w:rPr>
          <w:rFonts w:eastAsia="Calibri"/>
        </w:rPr>
      </w:pPr>
      <w:r w:rsidRPr="00C07A3C">
        <w:rPr>
          <w:rFonts w:eastAsia="Calibri"/>
          <w:highlight w:val="lightGray"/>
        </w:rPr>
        <w:t>Lot</w:t>
      </w:r>
    </w:p>
    <w:p w14:paraId="470113EE" w14:textId="77777777" w:rsidR="00AA471E" w:rsidRPr="00C07A3C" w:rsidRDefault="00AA471E" w:rsidP="00AA471E">
      <w:pPr>
        <w:rPr>
          <w:rFonts w:eastAsia="Calibri"/>
        </w:rPr>
      </w:pPr>
    </w:p>
    <w:p w14:paraId="0F6676FE" w14:textId="77777777" w:rsidR="00AA471E" w:rsidRPr="00C07A3C" w:rsidRDefault="00AA471E" w:rsidP="00AA471E">
      <w:pPr>
        <w:rPr>
          <w:rFonts w:eastAsia="Calibri"/>
        </w:rPr>
      </w:pPr>
    </w:p>
    <w:p w14:paraId="68EFA678"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14.</w:t>
      </w:r>
      <w:r w:rsidRPr="00C07A3C">
        <w:rPr>
          <w:rFonts w:eastAsia="Calibri"/>
          <w:b/>
        </w:rPr>
        <w:tab/>
        <w:t>PARDAVIMO (IŠDAVIMO)</w:t>
      </w:r>
      <w:r w:rsidRPr="00C07A3C">
        <w:rPr>
          <w:rFonts w:eastAsia="Calibri"/>
          <w:b/>
          <w:caps/>
        </w:rPr>
        <w:t xml:space="preserve"> tvarka</w:t>
      </w:r>
    </w:p>
    <w:p w14:paraId="4CD22C46" w14:textId="77777777" w:rsidR="00AA471E" w:rsidRPr="00C07A3C" w:rsidRDefault="00AA471E" w:rsidP="00AA471E">
      <w:pPr>
        <w:rPr>
          <w:rFonts w:eastAsia="Calibri"/>
        </w:rPr>
      </w:pPr>
    </w:p>
    <w:p w14:paraId="35F95BBD" w14:textId="77777777" w:rsidR="00AA471E" w:rsidRPr="00C07A3C" w:rsidRDefault="00AA471E" w:rsidP="00AA471E">
      <w:pPr>
        <w:rPr>
          <w:rFonts w:eastAsia="Calibri"/>
        </w:rPr>
      </w:pPr>
    </w:p>
    <w:p w14:paraId="3A412120"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0B6AE0">
        <w:rPr>
          <w:rFonts w:eastAsia="Calibri"/>
          <w:b/>
        </w:rPr>
        <w:t>15.</w:t>
      </w:r>
      <w:r w:rsidRPr="000B6AE0">
        <w:rPr>
          <w:rFonts w:eastAsia="Calibri"/>
          <w:b/>
        </w:rPr>
        <w:tab/>
      </w:r>
      <w:r w:rsidRPr="000B6AE0">
        <w:rPr>
          <w:rFonts w:eastAsia="Calibri"/>
          <w:b/>
          <w:caps/>
        </w:rPr>
        <w:t>vartojimo instrukcijA</w:t>
      </w:r>
    </w:p>
    <w:p w14:paraId="6FA09CB1" w14:textId="77777777" w:rsidR="00AA471E" w:rsidRDefault="00AA471E" w:rsidP="00AA471E">
      <w:pPr>
        <w:rPr>
          <w:rFonts w:eastAsia="Calibri"/>
        </w:rPr>
      </w:pPr>
    </w:p>
    <w:p w14:paraId="32E351C5" w14:textId="4ABAE5DB" w:rsidR="00D178B3" w:rsidRDefault="008C5EB7" w:rsidP="00AA471E">
      <w:pPr>
        <w:rPr>
          <w:rFonts w:eastAsia="Calibri"/>
        </w:rPr>
      </w:pPr>
      <w:r w:rsidRPr="008C5EB7">
        <w:rPr>
          <w:rFonts w:eastAsia="Calibri"/>
        </w:rPr>
        <w:t>Ruošiant suspensiją reikia vadovautis pakuotės lapelyje pateikta suspensijos paruošimo instrukcija.</w:t>
      </w:r>
    </w:p>
    <w:p w14:paraId="3484BCE0" w14:textId="77777777" w:rsidR="008C5EB7" w:rsidRDefault="008C5EB7" w:rsidP="00AA471E">
      <w:pPr>
        <w:rPr>
          <w:rFonts w:eastAsia="Calibri"/>
        </w:rPr>
      </w:pPr>
    </w:p>
    <w:p w14:paraId="16386814" w14:textId="77777777" w:rsidR="008C5EB7" w:rsidRPr="00C07A3C" w:rsidRDefault="008C5EB7" w:rsidP="00AA471E">
      <w:pPr>
        <w:rPr>
          <w:rFonts w:eastAsia="Calibri"/>
        </w:rPr>
      </w:pPr>
    </w:p>
    <w:p w14:paraId="541A5FD6" w14:textId="77777777" w:rsidR="00AA471E" w:rsidRPr="00C07A3C" w:rsidRDefault="00AA471E" w:rsidP="00AA471E">
      <w:pPr>
        <w:pBdr>
          <w:top w:val="single" w:sz="4" w:space="1" w:color="auto"/>
          <w:left w:val="single" w:sz="4" w:space="4" w:color="auto"/>
          <w:bottom w:val="single" w:sz="4" w:space="1" w:color="auto"/>
          <w:right w:val="single" w:sz="4" w:space="4" w:color="auto"/>
        </w:pBdr>
        <w:ind w:left="540" w:hanging="540"/>
        <w:outlineLvl w:val="0"/>
        <w:rPr>
          <w:rFonts w:eastAsia="Calibri"/>
        </w:rPr>
      </w:pPr>
      <w:r w:rsidRPr="00C07A3C">
        <w:rPr>
          <w:rFonts w:eastAsia="Calibri"/>
          <w:b/>
        </w:rPr>
        <w:t>16.</w:t>
      </w:r>
      <w:r w:rsidRPr="00C07A3C">
        <w:rPr>
          <w:rFonts w:eastAsia="Calibri"/>
          <w:b/>
        </w:rPr>
        <w:tab/>
        <w:t>INFORMACIJA BRAILIO RAŠTU</w:t>
      </w:r>
    </w:p>
    <w:p w14:paraId="12DB867D" w14:textId="77777777" w:rsidR="00AA471E" w:rsidRPr="00C07A3C" w:rsidRDefault="00AA471E" w:rsidP="00AA471E">
      <w:pPr>
        <w:rPr>
          <w:rFonts w:eastAsia="Calibri"/>
        </w:rPr>
      </w:pPr>
    </w:p>
    <w:p w14:paraId="0AC3298D" w14:textId="77777777" w:rsidR="00AA471E" w:rsidRPr="00C07A3C" w:rsidRDefault="00AA471E" w:rsidP="00AA471E">
      <w:pPr>
        <w:rPr>
          <w:rFonts w:eastAsia="Calibri"/>
        </w:rPr>
      </w:pPr>
      <w:r w:rsidRPr="00C07A3C">
        <w:rPr>
          <w:rFonts w:eastAsia="Calibri"/>
          <w:highlight w:val="lightGray"/>
        </w:rPr>
        <w:t>Zinnat 125 mg/5 ml</w:t>
      </w:r>
    </w:p>
    <w:p w14:paraId="7C1DCC47" w14:textId="77777777" w:rsidR="00AA471E" w:rsidRPr="00C07A3C" w:rsidRDefault="00AA471E" w:rsidP="00AA471E">
      <w:pPr>
        <w:tabs>
          <w:tab w:val="left" w:pos="567"/>
        </w:tabs>
        <w:spacing w:line="260" w:lineRule="exact"/>
        <w:rPr>
          <w:noProof/>
          <w:shd w:val="clear" w:color="auto" w:fill="CCCCCC"/>
        </w:rPr>
      </w:pPr>
    </w:p>
    <w:p w14:paraId="1E32B9A1" w14:textId="77777777" w:rsidR="00AA471E" w:rsidRPr="00C07A3C" w:rsidRDefault="00AA471E" w:rsidP="00AA471E">
      <w:pPr>
        <w:tabs>
          <w:tab w:val="left" w:pos="567"/>
        </w:tabs>
        <w:spacing w:line="260" w:lineRule="exact"/>
        <w:rPr>
          <w:noProof/>
          <w:shd w:val="clear" w:color="auto" w:fill="CCCCCC"/>
        </w:rPr>
      </w:pPr>
    </w:p>
    <w:p w14:paraId="1B081674" w14:textId="77777777" w:rsidR="00AA471E" w:rsidRPr="00AA08CA" w:rsidRDefault="00AA471E" w:rsidP="00AA47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rPr>
      </w:pPr>
      <w:r w:rsidRPr="00AA08CA">
        <w:rPr>
          <w:b/>
          <w:noProof/>
          <w:snapToGrid w:val="0"/>
          <w:szCs w:val="20"/>
        </w:rPr>
        <w:t>17.</w:t>
      </w:r>
      <w:r w:rsidRPr="00AA08CA">
        <w:rPr>
          <w:b/>
          <w:noProof/>
          <w:snapToGrid w:val="0"/>
          <w:szCs w:val="20"/>
        </w:rPr>
        <w:tab/>
        <w:t>UNIKALUS IDENTIFIKATORIUS – 2D BRŪKŠNINIS KODAS</w:t>
      </w:r>
    </w:p>
    <w:p w14:paraId="20522620" w14:textId="77777777" w:rsidR="00AA471E" w:rsidRPr="00AA08CA" w:rsidRDefault="00AA471E" w:rsidP="00AA471E">
      <w:pPr>
        <w:tabs>
          <w:tab w:val="left" w:pos="567"/>
        </w:tabs>
        <w:spacing w:line="260" w:lineRule="exact"/>
        <w:rPr>
          <w:noProof/>
          <w:snapToGrid w:val="0"/>
          <w:szCs w:val="20"/>
        </w:rPr>
      </w:pPr>
    </w:p>
    <w:p w14:paraId="0A8D6621" w14:textId="77777777" w:rsidR="00AA471E" w:rsidRPr="00AA08CA" w:rsidRDefault="00AA471E" w:rsidP="00AA471E">
      <w:pPr>
        <w:tabs>
          <w:tab w:val="left" w:pos="567"/>
        </w:tabs>
        <w:spacing w:line="260" w:lineRule="exact"/>
        <w:rPr>
          <w:noProof/>
          <w:snapToGrid w:val="0"/>
          <w:szCs w:val="20"/>
        </w:rPr>
      </w:pPr>
    </w:p>
    <w:p w14:paraId="6D93C4EB" w14:textId="77777777" w:rsidR="00AA471E" w:rsidRPr="00AA08CA" w:rsidRDefault="00AA471E" w:rsidP="00AA47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rPr>
      </w:pPr>
      <w:r w:rsidRPr="00AA08CA">
        <w:rPr>
          <w:b/>
          <w:noProof/>
          <w:snapToGrid w:val="0"/>
          <w:szCs w:val="20"/>
        </w:rPr>
        <w:t>18.</w:t>
      </w:r>
      <w:r w:rsidRPr="00AA08CA">
        <w:rPr>
          <w:b/>
          <w:noProof/>
          <w:snapToGrid w:val="0"/>
          <w:szCs w:val="20"/>
        </w:rPr>
        <w:tab/>
        <w:t>UNIKALUS IDENTIFIKATORIUS – ŽMONĖMS SUPRANTAMI DUOMENYS</w:t>
      </w:r>
    </w:p>
    <w:p w14:paraId="58F66FC5" w14:textId="77777777" w:rsidR="00AA471E" w:rsidRPr="00C07A3C" w:rsidRDefault="00AA471E" w:rsidP="00AA471E">
      <w:pPr>
        <w:rPr>
          <w:rFonts w:eastAsia="Calibri"/>
        </w:rPr>
      </w:pPr>
      <w:r w:rsidRPr="00C07A3C">
        <w:rPr>
          <w:rFonts w:eastAsia="Calibri"/>
        </w:rPr>
        <w:br w:type="page"/>
      </w:r>
    </w:p>
    <w:p w14:paraId="012AB0E9" w14:textId="77777777" w:rsidR="00922D8A" w:rsidRPr="008661CD" w:rsidRDefault="00922D8A" w:rsidP="009C0DB0">
      <w:pPr>
        <w:shd w:val="clear" w:color="auto" w:fill="FFFFFF"/>
        <w:jc w:val="center"/>
      </w:pPr>
    </w:p>
    <w:p w14:paraId="5DD1940A" w14:textId="77777777" w:rsidR="00922D8A" w:rsidRPr="008661CD" w:rsidRDefault="00922D8A" w:rsidP="008661CD">
      <w:pPr>
        <w:jc w:val="center"/>
      </w:pPr>
    </w:p>
    <w:p w14:paraId="4C2922B8" w14:textId="77777777" w:rsidR="00922D8A" w:rsidRPr="008661CD" w:rsidRDefault="00922D8A" w:rsidP="008661CD">
      <w:pPr>
        <w:jc w:val="center"/>
      </w:pPr>
    </w:p>
    <w:p w14:paraId="6125BF0A" w14:textId="77777777" w:rsidR="00922D8A" w:rsidRPr="008661CD" w:rsidRDefault="00922D8A" w:rsidP="008661CD">
      <w:pPr>
        <w:jc w:val="center"/>
      </w:pPr>
    </w:p>
    <w:p w14:paraId="001EC671" w14:textId="77777777" w:rsidR="00922D8A" w:rsidRPr="008661CD" w:rsidRDefault="00922D8A" w:rsidP="008661CD">
      <w:pPr>
        <w:jc w:val="center"/>
      </w:pPr>
    </w:p>
    <w:p w14:paraId="37AF8E6E" w14:textId="77777777" w:rsidR="00922D8A" w:rsidRPr="008661CD" w:rsidRDefault="00922D8A" w:rsidP="008661CD">
      <w:pPr>
        <w:jc w:val="center"/>
      </w:pPr>
    </w:p>
    <w:p w14:paraId="64F7E056" w14:textId="77777777" w:rsidR="00922D8A" w:rsidRPr="008661CD" w:rsidRDefault="00922D8A" w:rsidP="008661CD">
      <w:pPr>
        <w:jc w:val="center"/>
      </w:pPr>
    </w:p>
    <w:p w14:paraId="14662B52" w14:textId="77777777" w:rsidR="00922D8A" w:rsidRPr="008661CD" w:rsidRDefault="00922D8A" w:rsidP="008661CD">
      <w:pPr>
        <w:jc w:val="center"/>
      </w:pPr>
    </w:p>
    <w:p w14:paraId="2E98A7BB" w14:textId="77777777" w:rsidR="00922D8A" w:rsidRPr="008661CD" w:rsidRDefault="00922D8A" w:rsidP="008661CD">
      <w:pPr>
        <w:jc w:val="center"/>
      </w:pPr>
    </w:p>
    <w:p w14:paraId="31677A97" w14:textId="77777777" w:rsidR="00922D8A" w:rsidRPr="008661CD" w:rsidRDefault="00922D8A" w:rsidP="008661CD">
      <w:pPr>
        <w:jc w:val="center"/>
      </w:pPr>
    </w:p>
    <w:p w14:paraId="69D6BB89" w14:textId="77777777" w:rsidR="00922D8A" w:rsidRPr="008661CD" w:rsidRDefault="00922D8A" w:rsidP="008661CD">
      <w:pPr>
        <w:jc w:val="center"/>
      </w:pPr>
    </w:p>
    <w:p w14:paraId="6DE557F3" w14:textId="77777777" w:rsidR="00922D8A" w:rsidRPr="008661CD" w:rsidRDefault="00922D8A" w:rsidP="008661CD">
      <w:pPr>
        <w:jc w:val="center"/>
      </w:pPr>
    </w:p>
    <w:p w14:paraId="126BF5AC" w14:textId="77777777" w:rsidR="00922D8A" w:rsidRPr="008661CD" w:rsidRDefault="00922D8A" w:rsidP="008661CD">
      <w:pPr>
        <w:jc w:val="center"/>
      </w:pPr>
    </w:p>
    <w:p w14:paraId="52BC8CA4" w14:textId="77777777" w:rsidR="00922D8A" w:rsidRPr="008661CD" w:rsidRDefault="00922D8A" w:rsidP="008661CD">
      <w:pPr>
        <w:jc w:val="center"/>
      </w:pPr>
    </w:p>
    <w:p w14:paraId="266C6285" w14:textId="77777777" w:rsidR="00922D8A" w:rsidRPr="008661CD" w:rsidRDefault="00922D8A" w:rsidP="008661CD">
      <w:pPr>
        <w:jc w:val="center"/>
      </w:pPr>
    </w:p>
    <w:p w14:paraId="270C5438" w14:textId="77777777" w:rsidR="00922D8A" w:rsidRPr="008661CD" w:rsidRDefault="00922D8A" w:rsidP="008661CD">
      <w:pPr>
        <w:jc w:val="center"/>
      </w:pPr>
    </w:p>
    <w:p w14:paraId="1F07C243" w14:textId="77777777" w:rsidR="00922D8A" w:rsidRPr="008661CD" w:rsidRDefault="00922D8A" w:rsidP="008661CD">
      <w:pPr>
        <w:jc w:val="center"/>
      </w:pPr>
    </w:p>
    <w:p w14:paraId="07B4369F" w14:textId="77777777" w:rsidR="00922D8A" w:rsidRPr="008661CD" w:rsidRDefault="00922D8A" w:rsidP="008661CD">
      <w:pPr>
        <w:jc w:val="center"/>
      </w:pPr>
    </w:p>
    <w:p w14:paraId="27A020AB" w14:textId="77777777" w:rsidR="00922D8A" w:rsidRPr="008661CD" w:rsidRDefault="00922D8A" w:rsidP="008661CD">
      <w:pPr>
        <w:jc w:val="center"/>
      </w:pPr>
    </w:p>
    <w:p w14:paraId="45120EB9" w14:textId="77777777" w:rsidR="00922D8A" w:rsidRPr="008661CD" w:rsidRDefault="00922D8A" w:rsidP="008661CD">
      <w:pPr>
        <w:jc w:val="center"/>
      </w:pPr>
    </w:p>
    <w:p w14:paraId="60CB9770" w14:textId="77777777" w:rsidR="00922D8A" w:rsidRPr="008661CD" w:rsidRDefault="00922D8A" w:rsidP="008661CD">
      <w:pPr>
        <w:jc w:val="center"/>
      </w:pPr>
    </w:p>
    <w:p w14:paraId="7D7D816B" w14:textId="77777777" w:rsidR="00922D8A" w:rsidRPr="008661CD" w:rsidRDefault="00922D8A" w:rsidP="008661CD">
      <w:pPr>
        <w:jc w:val="center"/>
      </w:pPr>
    </w:p>
    <w:p w14:paraId="52DAEEFD" w14:textId="77777777" w:rsidR="00922D8A" w:rsidRPr="008661CD" w:rsidRDefault="00922D8A" w:rsidP="008661CD">
      <w:pPr>
        <w:jc w:val="center"/>
      </w:pPr>
    </w:p>
    <w:p w14:paraId="497D3186" w14:textId="77777777" w:rsidR="00922D8A" w:rsidRPr="008661CD" w:rsidRDefault="00922D8A" w:rsidP="008661CD">
      <w:pPr>
        <w:jc w:val="center"/>
        <w:outlineLvl w:val="0"/>
      </w:pPr>
      <w:r w:rsidRPr="008661CD">
        <w:rPr>
          <w:b/>
        </w:rPr>
        <w:t>B. PAKUOTĖS LAPELIS</w:t>
      </w:r>
    </w:p>
    <w:p w14:paraId="62E1ADE1" w14:textId="77777777" w:rsidR="00922D8A" w:rsidRPr="008661CD" w:rsidRDefault="00922D8A" w:rsidP="008661CD">
      <w:pPr>
        <w:jc w:val="center"/>
        <w:outlineLvl w:val="0"/>
        <w:rPr>
          <w:b/>
        </w:rPr>
      </w:pPr>
      <w:r w:rsidRPr="008661CD">
        <w:rPr>
          <w:b/>
        </w:rPr>
        <w:br w:type="page"/>
      </w:r>
      <w:r w:rsidRPr="008661CD">
        <w:rPr>
          <w:b/>
        </w:rPr>
        <w:lastRenderedPageBreak/>
        <w:t>Pakuotės lapelis: informacija vartotojui</w:t>
      </w:r>
    </w:p>
    <w:p w14:paraId="1173C84C" w14:textId="77777777" w:rsidR="00D6429C" w:rsidRPr="009C0DB0" w:rsidRDefault="00D6429C" w:rsidP="008661CD">
      <w:pPr>
        <w:jc w:val="center"/>
      </w:pPr>
    </w:p>
    <w:p w14:paraId="21D7CC20" w14:textId="77777777" w:rsidR="00922D8A" w:rsidRPr="00AA08CA" w:rsidRDefault="00922D8A" w:rsidP="008661CD">
      <w:pPr>
        <w:jc w:val="center"/>
        <w:rPr>
          <w:b/>
        </w:rPr>
      </w:pPr>
      <w:r w:rsidRPr="00AA08CA">
        <w:rPr>
          <w:b/>
        </w:rPr>
        <w:t>Zinnat 250 mg plėvele dengtos tabletės</w:t>
      </w:r>
    </w:p>
    <w:p w14:paraId="2392CC20" w14:textId="5A09D00F" w:rsidR="00922D8A" w:rsidRPr="008661CD" w:rsidRDefault="00922D8A" w:rsidP="00AA08CA">
      <w:pPr>
        <w:jc w:val="center"/>
      </w:pPr>
      <w:r w:rsidRPr="008661CD">
        <w:rPr>
          <w:b/>
          <w:highlight w:val="lightGray"/>
          <w:shd w:val="clear" w:color="auto" w:fill="C0C0C0"/>
        </w:rPr>
        <w:t xml:space="preserve">Zinnat 500 mg </w:t>
      </w:r>
      <w:r w:rsidRPr="008661CD">
        <w:rPr>
          <w:b/>
          <w:highlight w:val="lightGray"/>
        </w:rPr>
        <w:t>plėvele dengtos</w:t>
      </w:r>
      <w:r w:rsidRPr="008661CD">
        <w:rPr>
          <w:b/>
          <w:highlight w:val="lightGray"/>
          <w:shd w:val="clear" w:color="auto" w:fill="C0C0C0"/>
        </w:rPr>
        <w:t> </w:t>
      </w:r>
      <w:r w:rsidRPr="00AA08CA">
        <w:rPr>
          <w:b/>
          <w:highlight w:val="lightGray"/>
        </w:rPr>
        <w:t>tabletės</w:t>
      </w:r>
    </w:p>
    <w:p w14:paraId="51ADAA63" w14:textId="5021259B" w:rsidR="00922D8A" w:rsidRPr="008661CD" w:rsidRDefault="00550DBA" w:rsidP="008661CD">
      <w:pPr>
        <w:numPr>
          <w:ilvl w:val="12"/>
          <w:numId w:val="0"/>
        </w:numPr>
        <w:jc w:val="center"/>
      </w:pPr>
      <w:r>
        <w:t>c</w:t>
      </w:r>
      <w:r w:rsidRPr="008661CD">
        <w:t>efuroksimas</w:t>
      </w:r>
    </w:p>
    <w:p w14:paraId="0E6E6BBD" w14:textId="77777777" w:rsidR="00922D8A" w:rsidRPr="008661CD" w:rsidRDefault="00922D8A" w:rsidP="008661CD">
      <w:pPr>
        <w:jc w:val="center"/>
      </w:pPr>
    </w:p>
    <w:p w14:paraId="3D27E7FC" w14:textId="77777777" w:rsidR="00922D8A" w:rsidRPr="008661CD" w:rsidRDefault="00922D8A" w:rsidP="008661CD">
      <w:pPr>
        <w:rPr>
          <w:b/>
        </w:rPr>
      </w:pPr>
      <w:r w:rsidRPr="008661CD">
        <w:rPr>
          <w:b/>
        </w:rPr>
        <w:t>Atidžiai perskaitykite visą šį lapelį, prieš pradėdami vartoti vaistą, nes jame pateikiama Jums svarbi informacija.</w:t>
      </w:r>
    </w:p>
    <w:p w14:paraId="3EFB7C79" w14:textId="77777777" w:rsidR="00922D8A" w:rsidRPr="008661CD" w:rsidRDefault="00922D8A" w:rsidP="008661CD">
      <w:pPr>
        <w:ind w:left="567" w:hanging="567"/>
      </w:pPr>
      <w:r w:rsidRPr="008661CD">
        <w:t>-</w:t>
      </w:r>
      <w:r w:rsidRPr="008661CD">
        <w:tab/>
        <w:t>Neišmeskite šio lapelio, nes vėl gali prireikti jį perskaityti.</w:t>
      </w:r>
    </w:p>
    <w:p w14:paraId="50E30433" w14:textId="77777777" w:rsidR="00922D8A" w:rsidRPr="008661CD" w:rsidRDefault="00922D8A" w:rsidP="008661CD">
      <w:pPr>
        <w:ind w:left="567" w:hanging="567"/>
      </w:pPr>
      <w:r w:rsidRPr="008661CD">
        <w:t>-</w:t>
      </w:r>
      <w:r w:rsidRPr="008661CD">
        <w:tab/>
        <w:t>Jeigu kiltų daugiau klausimų, kreipkitės į gydytoją, vaistininką arba slaugytoją.</w:t>
      </w:r>
    </w:p>
    <w:p w14:paraId="3024F4FD" w14:textId="77777777" w:rsidR="00922D8A" w:rsidRPr="008661CD" w:rsidRDefault="00922D8A" w:rsidP="000F3553">
      <w:pPr>
        <w:numPr>
          <w:ilvl w:val="0"/>
          <w:numId w:val="1"/>
        </w:numPr>
        <w:ind w:left="567" w:hanging="567"/>
      </w:pPr>
      <w:r w:rsidRPr="008661CD">
        <w:t>Šis vaistas skirtas tik Jums, todėl kitiems žmonėms jo duoti negalima. Vaistas gali jiems pakenkti (net tiems, kurių ligos požymiai yra tokie patys kaip Jūsų).</w:t>
      </w:r>
    </w:p>
    <w:p w14:paraId="14D76D4C" w14:textId="77777777" w:rsidR="00922D8A" w:rsidRPr="008661CD" w:rsidRDefault="00922D8A" w:rsidP="000F3553">
      <w:pPr>
        <w:numPr>
          <w:ilvl w:val="0"/>
          <w:numId w:val="1"/>
        </w:numPr>
        <w:ind w:left="567" w:hanging="567"/>
      </w:pPr>
      <w:r w:rsidRPr="008661CD">
        <w:t>Jeigu pasireiškė šalutinis poveikis (net jeigu jis šiame lapelyje nenurodytas), kreipkitės į gydytoją, vaistininką arba slaugytoją. Žr. 4 skyrių.</w:t>
      </w:r>
    </w:p>
    <w:p w14:paraId="2788B8DB" w14:textId="77777777" w:rsidR="00922D8A" w:rsidRPr="008661CD" w:rsidRDefault="00922D8A" w:rsidP="008661CD">
      <w:pPr>
        <w:ind w:right="-2"/>
      </w:pPr>
    </w:p>
    <w:p w14:paraId="43285E88" w14:textId="77777777" w:rsidR="00922D8A" w:rsidRPr="008661CD" w:rsidRDefault="00922D8A" w:rsidP="008661CD">
      <w:pPr>
        <w:ind w:left="567" w:hanging="567"/>
        <w:rPr>
          <w:b/>
        </w:rPr>
      </w:pPr>
      <w:r w:rsidRPr="008661CD">
        <w:rPr>
          <w:b/>
        </w:rPr>
        <w:t>Apie ką rašoma šiame lapelyje?</w:t>
      </w:r>
    </w:p>
    <w:p w14:paraId="7EBF715A" w14:textId="77777777" w:rsidR="00922D8A" w:rsidRPr="009C0DB0" w:rsidRDefault="00922D8A" w:rsidP="008661CD">
      <w:pPr>
        <w:ind w:left="567" w:hanging="567"/>
      </w:pPr>
    </w:p>
    <w:p w14:paraId="116C83C2" w14:textId="77777777" w:rsidR="00922D8A" w:rsidRPr="008661CD" w:rsidRDefault="00922D8A" w:rsidP="008661CD">
      <w:pPr>
        <w:ind w:left="567" w:hanging="567"/>
      </w:pPr>
      <w:r w:rsidRPr="008661CD">
        <w:t>1.</w:t>
      </w:r>
      <w:r w:rsidRPr="008661CD">
        <w:tab/>
        <w:t>Kas yra Zinnat ir kam jis vartojamas</w:t>
      </w:r>
    </w:p>
    <w:p w14:paraId="0B0758E9" w14:textId="77777777" w:rsidR="00922D8A" w:rsidRPr="008661CD" w:rsidRDefault="00922D8A" w:rsidP="008661CD">
      <w:pPr>
        <w:ind w:left="567" w:hanging="567"/>
      </w:pPr>
      <w:r w:rsidRPr="008661CD">
        <w:t>2.</w:t>
      </w:r>
      <w:r w:rsidRPr="008661CD">
        <w:tab/>
        <w:t>Kas žinotina prieš vartojant Zinnat</w:t>
      </w:r>
    </w:p>
    <w:p w14:paraId="33EA954C" w14:textId="77777777" w:rsidR="00922D8A" w:rsidRPr="008661CD" w:rsidRDefault="00922D8A" w:rsidP="008661CD">
      <w:pPr>
        <w:ind w:left="567" w:hanging="567"/>
      </w:pPr>
      <w:r w:rsidRPr="008661CD">
        <w:t>3.</w:t>
      </w:r>
      <w:r w:rsidRPr="008661CD">
        <w:tab/>
        <w:t>Kaip vartoti Zinnat</w:t>
      </w:r>
    </w:p>
    <w:p w14:paraId="496E565B" w14:textId="77777777" w:rsidR="00922D8A" w:rsidRPr="008661CD" w:rsidRDefault="00922D8A" w:rsidP="008661CD">
      <w:pPr>
        <w:ind w:left="567" w:hanging="567"/>
      </w:pPr>
      <w:r w:rsidRPr="008661CD">
        <w:t>4.</w:t>
      </w:r>
      <w:r w:rsidRPr="008661CD">
        <w:tab/>
        <w:t>Galimas šalutinis poveikis</w:t>
      </w:r>
    </w:p>
    <w:p w14:paraId="28F3C16B" w14:textId="77777777" w:rsidR="00922D8A" w:rsidRPr="008661CD" w:rsidRDefault="00922D8A" w:rsidP="008661CD">
      <w:pPr>
        <w:ind w:left="567" w:hanging="567"/>
      </w:pPr>
      <w:r w:rsidRPr="008661CD">
        <w:t>5.</w:t>
      </w:r>
      <w:r w:rsidRPr="008661CD">
        <w:tab/>
        <w:t>Kaip laikyti Zinnat</w:t>
      </w:r>
    </w:p>
    <w:p w14:paraId="2A4FEFFA" w14:textId="77777777" w:rsidR="00922D8A" w:rsidRPr="008661CD" w:rsidRDefault="00922D8A" w:rsidP="008661CD">
      <w:pPr>
        <w:ind w:left="567" w:hanging="567"/>
      </w:pPr>
      <w:r w:rsidRPr="008661CD">
        <w:t>6.</w:t>
      </w:r>
      <w:r w:rsidRPr="008661CD">
        <w:tab/>
        <w:t>Pakuotės turinys ir kita informacija</w:t>
      </w:r>
    </w:p>
    <w:p w14:paraId="57B615F2" w14:textId="77777777" w:rsidR="00922D8A" w:rsidRPr="008661CD" w:rsidRDefault="00922D8A" w:rsidP="008661CD">
      <w:pPr>
        <w:numPr>
          <w:ilvl w:val="12"/>
          <w:numId w:val="0"/>
        </w:numPr>
      </w:pPr>
    </w:p>
    <w:p w14:paraId="7F74D3BB" w14:textId="77777777" w:rsidR="00922D8A" w:rsidRPr="008661CD" w:rsidRDefault="00922D8A" w:rsidP="008661CD">
      <w:pPr>
        <w:numPr>
          <w:ilvl w:val="12"/>
          <w:numId w:val="0"/>
        </w:numPr>
      </w:pPr>
    </w:p>
    <w:p w14:paraId="3FEB9F93" w14:textId="77777777" w:rsidR="00922D8A" w:rsidRPr="008661CD" w:rsidRDefault="00922D8A" w:rsidP="000F3553">
      <w:pPr>
        <w:numPr>
          <w:ilvl w:val="12"/>
          <w:numId w:val="0"/>
        </w:numPr>
        <w:ind w:left="567" w:hanging="567"/>
        <w:outlineLvl w:val="0"/>
        <w:rPr>
          <w:b/>
          <w:caps/>
        </w:rPr>
      </w:pPr>
      <w:r w:rsidRPr="008661CD">
        <w:rPr>
          <w:b/>
        </w:rPr>
        <w:t>1.</w:t>
      </w:r>
      <w:r w:rsidRPr="008661CD">
        <w:rPr>
          <w:b/>
        </w:rPr>
        <w:tab/>
        <w:t>Kas yra Zinnat ir kam jis vartojamas</w:t>
      </w:r>
    </w:p>
    <w:p w14:paraId="4D55A0F2" w14:textId="77777777" w:rsidR="00922D8A" w:rsidRPr="008661CD" w:rsidRDefault="00922D8A" w:rsidP="008661CD">
      <w:pPr>
        <w:numPr>
          <w:ilvl w:val="12"/>
          <w:numId w:val="0"/>
        </w:numPr>
      </w:pPr>
    </w:p>
    <w:p w14:paraId="690C35E2" w14:textId="77777777" w:rsidR="00922D8A" w:rsidRPr="008661CD" w:rsidRDefault="00922D8A" w:rsidP="008661CD">
      <w:pPr>
        <w:numPr>
          <w:ilvl w:val="12"/>
          <w:numId w:val="0"/>
        </w:numPr>
        <w:ind w:right="-2"/>
      </w:pPr>
      <w:r w:rsidRPr="008661CD">
        <w:t xml:space="preserve">Zinnat yra antibiotikas, kuriuo gydomi suaugusieji ir vaikai. Jis naikina infekcines ligas sukeliančias bakterijas. Jis priklauso vaistų, vadinamų </w:t>
      </w:r>
      <w:r w:rsidRPr="008661CD">
        <w:rPr>
          <w:i/>
        </w:rPr>
        <w:t>cefalosporinais</w:t>
      </w:r>
      <w:r w:rsidRPr="008661CD">
        <w:t>, grupei.</w:t>
      </w:r>
    </w:p>
    <w:p w14:paraId="147C145E" w14:textId="77777777" w:rsidR="00922D8A" w:rsidRPr="009C0DB0" w:rsidRDefault="00922D8A" w:rsidP="008661CD">
      <w:pPr>
        <w:numPr>
          <w:ilvl w:val="12"/>
          <w:numId w:val="0"/>
        </w:numPr>
        <w:ind w:right="-2"/>
      </w:pPr>
    </w:p>
    <w:p w14:paraId="772617E3" w14:textId="77777777" w:rsidR="00922D8A" w:rsidRPr="008661CD" w:rsidRDefault="00922D8A" w:rsidP="008661CD">
      <w:pPr>
        <w:numPr>
          <w:ilvl w:val="12"/>
          <w:numId w:val="0"/>
        </w:numPr>
        <w:ind w:right="-2"/>
      </w:pPr>
      <w:r w:rsidRPr="008661CD">
        <w:t>Zinnat gydomos sunkios infekcinės ligos:</w:t>
      </w:r>
    </w:p>
    <w:p w14:paraId="0B6F5315" w14:textId="77777777" w:rsidR="00922D8A" w:rsidRPr="008661CD" w:rsidRDefault="0082231F" w:rsidP="000F3553">
      <w:pPr>
        <w:numPr>
          <w:ilvl w:val="0"/>
          <w:numId w:val="8"/>
        </w:numPr>
        <w:ind w:left="567" w:right="-2" w:hanging="567"/>
      </w:pPr>
      <w:r w:rsidRPr="008661CD">
        <w:t>G</w:t>
      </w:r>
      <w:r w:rsidR="00922D8A" w:rsidRPr="008661CD">
        <w:t>erklės</w:t>
      </w:r>
      <w:r>
        <w:t xml:space="preserve"> (ryklės)</w:t>
      </w:r>
      <w:r w:rsidR="00922D8A" w:rsidRPr="008661CD">
        <w:t>;</w:t>
      </w:r>
    </w:p>
    <w:p w14:paraId="48D30A98" w14:textId="77777777" w:rsidR="00922D8A" w:rsidRPr="008661CD" w:rsidRDefault="00922D8A" w:rsidP="000F3553">
      <w:pPr>
        <w:numPr>
          <w:ilvl w:val="0"/>
          <w:numId w:val="8"/>
        </w:numPr>
        <w:ind w:left="567" w:right="-2" w:hanging="567"/>
      </w:pPr>
      <w:r w:rsidRPr="008661CD">
        <w:t>nosies ančių;</w:t>
      </w:r>
    </w:p>
    <w:p w14:paraId="634A4B5F" w14:textId="77777777" w:rsidR="00922D8A" w:rsidRPr="008661CD" w:rsidRDefault="00922D8A" w:rsidP="000F3553">
      <w:pPr>
        <w:numPr>
          <w:ilvl w:val="0"/>
          <w:numId w:val="8"/>
        </w:numPr>
        <w:ind w:left="567" w:right="-2" w:hanging="567"/>
      </w:pPr>
      <w:r w:rsidRPr="008661CD">
        <w:t>vidurinės ausies;</w:t>
      </w:r>
    </w:p>
    <w:p w14:paraId="343A79C4" w14:textId="77777777" w:rsidR="00922D8A" w:rsidRPr="008661CD" w:rsidRDefault="00922D8A" w:rsidP="000F3553">
      <w:pPr>
        <w:numPr>
          <w:ilvl w:val="0"/>
          <w:numId w:val="8"/>
        </w:numPr>
        <w:ind w:left="567" w:right="-2" w:hanging="567"/>
      </w:pPr>
      <w:r w:rsidRPr="008661CD">
        <w:t>plaučių ar krūtinės ląstos;</w:t>
      </w:r>
    </w:p>
    <w:p w14:paraId="425E3084" w14:textId="77777777" w:rsidR="00922D8A" w:rsidRPr="008661CD" w:rsidRDefault="00922D8A" w:rsidP="000F3553">
      <w:pPr>
        <w:numPr>
          <w:ilvl w:val="0"/>
          <w:numId w:val="8"/>
        </w:numPr>
        <w:ind w:left="567" w:right="-2" w:hanging="567"/>
      </w:pPr>
      <w:r w:rsidRPr="008661CD">
        <w:t>šlapimo takų;</w:t>
      </w:r>
    </w:p>
    <w:p w14:paraId="32780967" w14:textId="77777777" w:rsidR="00922D8A" w:rsidRPr="008661CD" w:rsidRDefault="00922D8A" w:rsidP="000F3553">
      <w:pPr>
        <w:numPr>
          <w:ilvl w:val="0"/>
          <w:numId w:val="8"/>
        </w:numPr>
        <w:ind w:left="567" w:right="-2" w:hanging="567"/>
      </w:pPr>
      <w:r w:rsidRPr="008661CD">
        <w:t>odos ir poodinio audinio.</w:t>
      </w:r>
    </w:p>
    <w:p w14:paraId="420D78E7" w14:textId="77777777" w:rsidR="00922D8A" w:rsidRPr="008661CD" w:rsidRDefault="00922D8A" w:rsidP="009C0DB0">
      <w:pPr>
        <w:ind w:right="-2"/>
      </w:pPr>
    </w:p>
    <w:p w14:paraId="19E41082" w14:textId="77777777" w:rsidR="00922D8A" w:rsidRPr="008661CD" w:rsidRDefault="00922D8A" w:rsidP="008661CD">
      <w:pPr>
        <w:numPr>
          <w:ilvl w:val="12"/>
          <w:numId w:val="0"/>
        </w:numPr>
        <w:ind w:right="-2"/>
      </w:pPr>
      <w:r w:rsidRPr="008661CD">
        <w:t>Be to, Zinnat galima vartoti:</w:t>
      </w:r>
    </w:p>
    <w:p w14:paraId="5D5A15DB" w14:textId="77777777" w:rsidR="00922D8A" w:rsidRPr="008661CD" w:rsidRDefault="00922D8A" w:rsidP="000F3553">
      <w:pPr>
        <w:numPr>
          <w:ilvl w:val="0"/>
          <w:numId w:val="8"/>
        </w:numPr>
        <w:ind w:left="567" w:right="-2" w:hanging="567"/>
      </w:pPr>
      <w:r w:rsidRPr="008661CD">
        <w:t>Laimo ligai gydyti (tai yra infekcinė liga, kurią perneša parazitai, vadinami erkėmis).</w:t>
      </w:r>
    </w:p>
    <w:p w14:paraId="64054919" w14:textId="77777777" w:rsidR="00922D8A" w:rsidRPr="008661CD" w:rsidRDefault="00922D8A" w:rsidP="008661CD">
      <w:pPr>
        <w:numPr>
          <w:ilvl w:val="12"/>
          <w:numId w:val="0"/>
        </w:numPr>
      </w:pPr>
    </w:p>
    <w:p w14:paraId="39D23C6B" w14:textId="77777777" w:rsidR="00922D8A" w:rsidRPr="008661CD" w:rsidRDefault="00922D8A" w:rsidP="008661CD">
      <w:pPr>
        <w:numPr>
          <w:ilvl w:val="12"/>
          <w:numId w:val="0"/>
        </w:numPr>
      </w:pPr>
      <w:r w:rsidRPr="008661CD">
        <w:t>Jūsų gydytojas gali ištirti, kokia bakterija sukėlė infekcinę ligą, ir stebėti, ar bakterijos yra jautrios Zinnat gydymo metu.</w:t>
      </w:r>
    </w:p>
    <w:p w14:paraId="5164A3C5" w14:textId="77777777" w:rsidR="00922D8A" w:rsidRPr="008661CD" w:rsidRDefault="00922D8A" w:rsidP="008661CD">
      <w:pPr>
        <w:numPr>
          <w:ilvl w:val="12"/>
          <w:numId w:val="0"/>
        </w:numPr>
      </w:pPr>
    </w:p>
    <w:p w14:paraId="1CEBA0AC" w14:textId="77777777" w:rsidR="00922D8A" w:rsidRPr="008661CD" w:rsidRDefault="00922D8A" w:rsidP="008661CD">
      <w:pPr>
        <w:numPr>
          <w:ilvl w:val="12"/>
          <w:numId w:val="0"/>
        </w:numPr>
      </w:pPr>
    </w:p>
    <w:p w14:paraId="167FB3BD" w14:textId="77777777" w:rsidR="00922D8A" w:rsidRPr="008661CD" w:rsidRDefault="00922D8A" w:rsidP="000F3553">
      <w:pPr>
        <w:numPr>
          <w:ilvl w:val="12"/>
          <w:numId w:val="0"/>
        </w:numPr>
        <w:ind w:left="567" w:hanging="567"/>
        <w:outlineLvl w:val="0"/>
        <w:rPr>
          <w:b/>
          <w:caps/>
        </w:rPr>
      </w:pPr>
      <w:r w:rsidRPr="008661CD">
        <w:rPr>
          <w:b/>
        </w:rPr>
        <w:t>2.</w:t>
      </w:r>
      <w:r w:rsidRPr="008661CD">
        <w:rPr>
          <w:b/>
        </w:rPr>
        <w:tab/>
        <w:t>Kas žinotina prieš vartojant Zinnat</w:t>
      </w:r>
    </w:p>
    <w:p w14:paraId="3C1F178D" w14:textId="77777777" w:rsidR="00922D8A" w:rsidRPr="008661CD" w:rsidRDefault="00922D8A" w:rsidP="008661CD">
      <w:pPr>
        <w:ind w:left="567" w:hanging="567"/>
      </w:pPr>
    </w:p>
    <w:p w14:paraId="0FD7576A" w14:textId="22AC7E68" w:rsidR="00922D8A" w:rsidRPr="008661CD" w:rsidRDefault="00922D8A" w:rsidP="008661CD">
      <w:pPr>
        <w:ind w:left="567" w:hanging="567"/>
        <w:rPr>
          <w:b/>
          <w:caps/>
        </w:rPr>
      </w:pPr>
      <w:r w:rsidRPr="008661CD">
        <w:rPr>
          <w:b/>
        </w:rPr>
        <w:t xml:space="preserve">Zinnat vartoti </w:t>
      </w:r>
      <w:r w:rsidR="006D0F52">
        <w:rPr>
          <w:b/>
        </w:rPr>
        <w:t>draudžiama</w:t>
      </w:r>
    </w:p>
    <w:p w14:paraId="53413328" w14:textId="77777777" w:rsidR="00922D8A" w:rsidRPr="008661CD" w:rsidRDefault="00922D8A" w:rsidP="008661CD">
      <w:pPr>
        <w:numPr>
          <w:ilvl w:val="12"/>
          <w:numId w:val="0"/>
        </w:numPr>
        <w:outlineLvl w:val="0"/>
      </w:pPr>
    </w:p>
    <w:p w14:paraId="07546179" w14:textId="77777777" w:rsidR="00922D8A" w:rsidRPr="008661CD" w:rsidRDefault="00922D8A" w:rsidP="000F3553">
      <w:pPr>
        <w:numPr>
          <w:ilvl w:val="0"/>
          <w:numId w:val="8"/>
        </w:numPr>
        <w:ind w:left="567" w:right="-2" w:hanging="567"/>
      </w:pPr>
      <w:r w:rsidRPr="008661CD">
        <w:rPr>
          <w:b/>
        </w:rPr>
        <w:t>jeigu yra alergija</w:t>
      </w:r>
      <w:r w:rsidRPr="008661CD">
        <w:t xml:space="preserve"> cefuroksimo aksetilui arba </w:t>
      </w:r>
      <w:r w:rsidRPr="008661CD">
        <w:rPr>
          <w:b/>
        </w:rPr>
        <w:t>kuriam nors cefalosporinų grupės antibiotikui,</w:t>
      </w:r>
      <w:r w:rsidRPr="008661CD">
        <w:t xml:space="preserve"> arba bet kuriai pagalbinei šio vaisto medžiagai (jos išvardytos 6 skyriuje);</w:t>
      </w:r>
    </w:p>
    <w:p w14:paraId="075793CE" w14:textId="77FFCBBD" w:rsidR="00773389" w:rsidRDefault="00922D8A" w:rsidP="000F3553">
      <w:pPr>
        <w:numPr>
          <w:ilvl w:val="0"/>
          <w:numId w:val="8"/>
        </w:numPr>
        <w:ind w:left="567" w:right="-2" w:hanging="567"/>
      </w:pPr>
      <w:r w:rsidRPr="008661CD">
        <w:t>jeigu yra sunki alergija (</w:t>
      </w:r>
      <w:r w:rsidRPr="008661CD">
        <w:rPr>
          <w:i/>
        </w:rPr>
        <w:t>padidėjęs jautrumas</w:t>
      </w:r>
      <w:r w:rsidRPr="008661CD">
        <w:t>) kuriam nors kitokiam beta laktaminiam antibiotikui (penicilinams, monobaktamams, karbapenemams)</w:t>
      </w:r>
      <w:r w:rsidR="00773389">
        <w:t>;</w:t>
      </w:r>
    </w:p>
    <w:p w14:paraId="7269BFBC" w14:textId="77777777" w:rsidR="00773389" w:rsidRPr="00773389" w:rsidRDefault="00773389" w:rsidP="00AE79A1">
      <w:pPr>
        <w:pStyle w:val="Sraopastraipa"/>
        <w:numPr>
          <w:ilvl w:val="0"/>
          <w:numId w:val="8"/>
        </w:numPr>
        <w:ind w:left="567" w:hanging="567"/>
      </w:pPr>
      <w:r w:rsidRPr="00773389">
        <w:t xml:space="preserve">jeigu po gydymo cefuroksimu arba bet kuriuo kitu cefalosporinų grupės antibiotiku pasireiškė sunkus odos išbėrimas arba odos lupimasis, pūslės ir (arba) burnos opos. </w:t>
      </w:r>
    </w:p>
    <w:p w14:paraId="74112666" w14:textId="2B380666" w:rsidR="00922D8A" w:rsidRPr="008661CD" w:rsidRDefault="00922D8A" w:rsidP="00857812">
      <w:pPr>
        <w:numPr>
          <w:ilvl w:val="0"/>
          <w:numId w:val="9"/>
        </w:numPr>
        <w:tabs>
          <w:tab w:val="clear" w:pos="720"/>
        </w:tabs>
        <w:spacing w:before="120"/>
        <w:ind w:left="567" w:hanging="567"/>
      </w:pPr>
      <w:r w:rsidRPr="00773389">
        <w:rPr>
          <w:color w:val="000000"/>
        </w:rPr>
        <w:t xml:space="preserve">Jeigu </w:t>
      </w:r>
      <w:r w:rsidR="00550DBA" w:rsidRPr="00773389">
        <w:rPr>
          <w:color w:val="000000"/>
        </w:rPr>
        <w:t>manote</w:t>
      </w:r>
      <w:r w:rsidRPr="00773389">
        <w:rPr>
          <w:color w:val="000000"/>
        </w:rPr>
        <w:t xml:space="preserve">, kad yra tokių aplinkybių, </w:t>
      </w:r>
      <w:r w:rsidRPr="00773389">
        <w:rPr>
          <w:b/>
          <w:color w:val="000000"/>
        </w:rPr>
        <w:t xml:space="preserve">Zinnat nevartokite </w:t>
      </w:r>
      <w:r w:rsidRPr="00773389">
        <w:rPr>
          <w:color w:val="000000"/>
        </w:rPr>
        <w:t>tol, kol Jūsų neištirs gydytojas.</w:t>
      </w:r>
    </w:p>
    <w:p w14:paraId="4B86EC23" w14:textId="77777777" w:rsidR="00435006" w:rsidRDefault="00435006" w:rsidP="00435006">
      <w:pPr>
        <w:ind w:left="567" w:hanging="567"/>
      </w:pPr>
    </w:p>
    <w:p w14:paraId="121DD741" w14:textId="63603C02" w:rsidR="00435006" w:rsidRPr="00AE79A1" w:rsidRDefault="00435006" w:rsidP="00435006">
      <w:pPr>
        <w:ind w:left="567" w:hanging="567"/>
        <w:rPr>
          <w:u w:val="single"/>
        </w:rPr>
      </w:pPr>
      <w:r w:rsidRPr="00AE79A1">
        <w:rPr>
          <w:u w:val="single"/>
        </w:rPr>
        <w:t xml:space="preserve">Vartojant </w:t>
      </w:r>
      <w:r w:rsidR="00AB6F54" w:rsidRPr="00AE79A1">
        <w:rPr>
          <w:u w:val="single"/>
        </w:rPr>
        <w:t>Zinnat</w:t>
      </w:r>
      <w:r w:rsidRPr="00AE79A1">
        <w:rPr>
          <w:u w:val="single"/>
        </w:rPr>
        <w:t>, reikia imtis specialių atsargumo priemonių</w:t>
      </w:r>
    </w:p>
    <w:p w14:paraId="1DD7989B" w14:textId="77777777" w:rsidR="00435006" w:rsidRDefault="00435006" w:rsidP="00435006">
      <w:pPr>
        <w:ind w:left="567" w:hanging="567"/>
      </w:pPr>
    </w:p>
    <w:p w14:paraId="50FB1622" w14:textId="73062A6D" w:rsidR="00922D8A" w:rsidRPr="004707B7" w:rsidRDefault="00435006" w:rsidP="00AE79A1">
      <w:r>
        <w:t>Gauta pranešimų apie su gydymu cefuroksimu susijusias pavojingas odos reakcijas, įskaitant Stivenso-Džonsono (Stevens-Johnson)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7495F461" w14:textId="77777777" w:rsidR="004707B7" w:rsidRPr="004707B7" w:rsidRDefault="004707B7" w:rsidP="008661CD">
      <w:pPr>
        <w:ind w:left="567" w:hanging="567"/>
      </w:pPr>
    </w:p>
    <w:p w14:paraId="4B8CF297" w14:textId="77777777" w:rsidR="00922D8A" w:rsidRPr="008661CD" w:rsidRDefault="00922D8A" w:rsidP="008661CD">
      <w:pPr>
        <w:keepNext/>
        <w:tabs>
          <w:tab w:val="left" w:pos="567"/>
        </w:tabs>
        <w:rPr>
          <w:b/>
        </w:rPr>
      </w:pPr>
      <w:r w:rsidRPr="008661CD">
        <w:rPr>
          <w:b/>
        </w:rPr>
        <w:t>Įspėjimai ir atsargumo priemonės</w:t>
      </w:r>
    </w:p>
    <w:p w14:paraId="79435555" w14:textId="77777777" w:rsidR="00922D8A" w:rsidRPr="009C0DB0" w:rsidRDefault="00922D8A" w:rsidP="008661CD">
      <w:pPr>
        <w:keepNext/>
        <w:tabs>
          <w:tab w:val="left" w:pos="567"/>
        </w:tabs>
      </w:pPr>
    </w:p>
    <w:p w14:paraId="272D8CD9" w14:textId="77777777" w:rsidR="00922D8A" w:rsidRPr="008661CD" w:rsidRDefault="00922D8A" w:rsidP="008661CD">
      <w:pPr>
        <w:keepNext/>
        <w:tabs>
          <w:tab w:val="left" w:pos="567"/>
        </w:tabs>
      </w:pPr>
      <w:r w:rsidRPr="008661CD">
        <w:t>Pasitarkite su gydytoju arba vaistininku, prieš pradėdami vartoti Zinnat.</w:t>
      </w:r>
    </w:p>
    <w:p w14:paraId="19813B20" w14:textId="77777777" w:rsidR="00922D8A" w:rsidRPr="008661CD" w:rsidRDefault="00922D8A" w:rsidP="008661CD">
      <w:pPr>
        <w:keepNext/>
        <w:tabs>
          <w:tab w:val="left" w:pos="567"/>
        </w:tabs>
      </w:pPr>
    </w:p>
    <w:p w14:paraId="0DC5E962" w14:textId="77777777" w:rsidR="00922D8A" w:rsidRPr="008661CD" w:rsidRDefault="00922D8A" w:rsidP="008661CD">
      <w:pPr>
        <w:keepNext/>
        <w:tabs>
          <w:tab w:val="left" w:pos="567"/>
        </w:tabs>
        <w:rPr>
          <w:b/>
        </w:rPr>
      </w:pPr>
      <w:r w:rsidRPr="008661CD">
        <w:rPr>
          <w:b/>
        </w:rPr>
        <w:t>Vaikams</w:t>
      </w:r>
    </w:p>
    <w:p w14:paraId="7C971543" w14:textId="77777777" w:rsidR="00922D8A" w:rsidRPr="009C0DB0" w:rsidRDefault="00922D8A" w:rsidP="008661CD">
      <w:pPr>
        <w:keepNext/>
        <w:tabs>
          <w:tab w:val="left" w:pos="567"/>
        </w:tabs>
      </w:pPr>
    </w:p>
    <w:p w14:paraId="4B17A22D" w14:textId="77777777" w:rsidR="00922D8A" w:rsidRPr="008661CD" w:rsidRDefault="00922D8A" w:rsidP="008661CD">
      <w:pPr>
        <w:numPr>
          <w:ilvl w:val="12"/>
          <w:numId w:val="0"/>
        </w:numPr>
      </w:pPr>
      <w:r w:rsidRPr="008661CD">
        <w:rPr>
          <w:b/>
        </w:rPr>
        <w:t>Zinnat nerekomenduojama vartoti jaunesniems kaip 3 mėnesių kūdikiams</w:t>
      </w:r>
      <w:r w:rsidRPr="008661CD">
        <w:t>, nes saugumas ir veiksmingumas šios grupės pacientams nežinomas.</w:t>
      </w:r>
    </w:p>
    <w:p w14:paraId="64B5757B" w14:textId="77777777" w:rsidR="00922D8A" w:rsidRPr="009C0DB0" w:rsidRDefault="00922D8A" w:rsidP="008661CD">
      <w:pPr>
        <w:numPr>
          <w:ilvl w:val="12"/>
          <w:numId w:val="0"/>
        </w:numPr>
      </w:pPr>
    </w:p>
    <w:p w14:paraId="2068E76C" w14:textId="77777777" w:rsidR="00922D8A" w:rsidRPr="008661CD" w:rsidRDefault="00922D8A" w:rsidP="008661CD">
      <w:pPr>
        <w:numPr>
          <w:ilvl w:val="12"/>
          <w:numId w:val="0"/>
        </w:numPr>
      </w:pPr>
      <w:r w:rsidRPr="008661CD">
        <w:t xml:space="preserve">Turite stebėti, ar vartojant Zinnat, neatsiranda tam tikrų simptomų, pavyzdžiui: alerginės reakcijos, grybelių (pvz., </w:t>
      </w:r>
      <w:r w:rsidRPr="008661CD">
        <w:rPr>
          <w:i/>
        </w:rPr>
        <w:t>mieliagrybių</w:t>
      </w:r>
      <w:r w:rsidRPr="008661CD">
        <w:t>) sukeltos infekcinės ligos, sunkaus viduriavimo (</w:t>
      </w:r>
      <w:r w:rsidRPr="008661CD">
        <w:rPr>
          <w:i/>
        </w:rPr>
        <w:t>pseudomembraninio kolito</w:t>
      </w:r>
      <w:r w:rsidRPr="008661CD">
        <w:t>). Taip galima sumažinti bet kurių sutrikimų riziką. Žr. 4 skyriuje skyrelį ,,</w:t>
      </w:r>
      <w:r w:rsidRPr="008661CD">
        <w:rPr>
          <w:i/>
        </w:rPr>
        <w:t>Būklės, į kurias reikia atkreipti dėmes</w:t>
      </w:r>
      <w:r w:rsidRPr="008661CD">
        <w:t>į“.</w:t>
      </w:r>
    </w:p>
    <w:p w14:paraId="7382D7BF" w14:textId="77777777" w:rsidR="00922D8A" w:rsidRPr="008661CD" w:rsidRDefault="00922D8A" w:rsidP="008661CD">
      <w:pPr>
        <w:numPr>
          <w:ilvl w:val="12"/>
          <w:numId w:val="0"/>
        </w:numPr>
      </w:pPr>
    </w:p>
    <w:p w14:paraId="7D9BBF75" w14:textId="77777777" w:rsidR="00922D8A" w:rsidRPr="008661CD" w:rsidRDefault="00922D8A" w:rsidP="008661CD">
      <w:pPr>
        <w:numPr>
          <w:ilvl w:val="12"/>
          <w:numId w:val="0"/>
        </w:numPr>
        <w:rPr>
          <w:b/>
        </w:rPr>
      </w:pPr>
      <w:r w:rsidRPr="008661CD">
        <w:rPr>
          <w:b/>
        </w:rPr>
        <w:t>Jeigu reikia atlikti kraujo tyrimą</w:t>
      </w:r>
    </w:p>
    <w:p w14:paraId="5B0CDC1F" w14:textId="77777777" w:rsidR="00922D8A" w:rsidRPr="009C0DB0" w:rsidRDefault="00922D8A" w:rsidP="008661CD">
      <w:pPr>
        <w:numPr>
          <w:ilvl w:val="12"/>
          <w:numId w:val="0"/>
        </w:numPr>
      </w:pPr>
    </w:p>
    <w:p w14:paraId="17656B67" w14:textId="77777777" w:rsidR="00922D8A" w:rsidRPr="008661CD" w:rsidRDefault="00922D8A" w:rsidP="008661CD">
      <w:pPr>
        <w:numPr>
          <w:ilvl w:val="12"/>
          <w:numId w:val="0"/>
        </w:numPr>
        <w:rPr>
          <w:b/>
        </w:rPr>
      </w:pPr>
      <w:r w:rsidRPr="008661CD">
        <w:t xml:space="preserve">Zinnat gali veikti kraujo tyrimo gliukozei nustatyti arba kraujo tyrimo, kuris vadinamas </w:t>
      </w:r>
      <w:r w:rsidRPr="008661CD">
        <w:rPr>
          <w:i/>
        </w:rPr>
        <w:t>Kumbso mėginiu</w:t>
      </w:r>
      <w:r w:rsidRPr="008661CD">
        <w:t>, rezultatus. Jeigu reikia atlikti kraujo tyrimą:</w:t>
      </w:r>
    </w:p>
    <w:p w14:paraId="28D6159A" w14:textId="77777777" w:rsidR="00922D8A" w:rsidRPr="008661CD" w:rsidRDefault="00922D8A" w:rsidP="000F3553">
      <w:pPr>
        <w:numPr>
          <w:ilvl w:val="0"/>
          <w:numId w:val="9"/>
        </w:numPr>
        <w:tabs>
          <w:tab w:val="clear" w:pos="720"/>
        </w:tabs>
        <w:ind w:left="567" w:hanging="567"/>
        <w:rPr>
          <w:b/>
        </w:rPr>
      </w:pPr>
      <w:r w:rsidRPr="008661CD">
        <w:rPr>
          <w:b/>
        </w:rPr>
        <w:t xml:space="preserve">mėginį imančiam asmeniui pasakykite, </w:t>
      </w:r>
      <w:r w:rsidRPr="008661CD">
        <w:t>kad vartojate Zinnat.</w:t>
      </w:r>
    </w:p>
    <w:p w14:paraId="38077DDA" w14:textId="77777777" w:rsidR="00922D8A" w:rsidRPr="008661CD" w:rsidRDefault="00922D8A" w:rsidP="008661CD">
      <w:pPr>
        <w:numPr>
          <w:ilvl w:val="12"/>
          <w:numId w:val="0"/>
        </w:numPr>
      </w:pPr>
    </w:p>
    <w:p w14:paraId="1273E3EC" w14:textId="77777777" w:rsidR="00922D8A" w:rsidRPr="008661CD" w:rsidRDefault="00922D8A" w:rsidP="008661CD">
      <w:pPr>
        <w:ind w:left="567" w:hanging="567"/>
        <w:rPr>
          <w:b/>
        </w:rPr>
      </w:pPr>
      <w:r w:rsidRPr="008661CD">
        <w:rPr>
          <w:b/>
        </w:rPr>
        <w:t>Kiti vaistai ir Zinnat</w:t>
      </w:r>
    </w:p>
    <w:p w14:paraId="02FB9268" w14:textId="77777777" w:rsidR="00922D8A" w:rsidRPr="008661CD" w:rsidRDefault="00922D8A" w:rsidP="008661CD"/>
    <w:p w14:paraId="082C3FB4" w14:textId="77777777" w:rsidR="00922D8A" w:rsidRPr="008661CD" w:rsidRDefault="00922D8A" w:rsidP="008661CD">
      <w:r w:rsidRPr="008661CD">
        <w:t xml:space="preserve">Jeigu vartojate, neseniai vartojote kitų vaistų arba dėl to nesate tikri, apie tai pasakykite gydytojui arba vaistininkui. </w:t>
      </w:r>
    </w:p>
    <w:p w14:paraId="24949E68" w14:textId="77777777" w:rsidR="00922D8A" w:rsidRPr="008661CD" w:rsidRDefault="00922D8A" w:rsidP="008661CD">
      <w:pPr>
        <w:numPr>
          <w:ilvl w:val="12"/>
          <w:numId w:val="0"/>
        </w:numPr>
        <w:ind w:right="-2"/>
      </w:pPr>
    </w:p>
    <w:p w14:paraId="748DC739" w14:textId="77777777" w:rsidR="00922D8A" w:rsidRPr="008661CD" w:rsidRDefault="00922D8A" w:rsidP="008661CD">
      <w:pPr>
        <w:keepNext/>
        <w:rPr>
          <w:color w:val="000000"/>
        </w:rPr>
      </w:pPr>
      <w:r w:rsidRPr="008661CD">
        <w:t>Vaistai, kurie vartojami</w:t>
      </w:r>
      <w:r w:rsidRPr="008661CD">
        <w:rPr>
          <w:color w:val="000000"/>
        </w:rPr>
        <w:t xml:space="preserve"> </w:t>
      </w:r>
      <w:r w:rsidRPr="008661CD">
        <w:rPr>
          <w:b/>
          <w:color w:val="000000"/>
        </w:rPr>
        <w:t xml:space="preserve">skrandžio rūgštingumui mažinti </w:t>
      </w:r>
      <w:r w:rsidRPr="008661CD">
        <w:rPr>
          <w:color w:val="000000"/>
        </w:rPr>
        <w:t xml:space="preserve">(pvz., </w:t>
      </w:r>
      <w:r w:rsidRPr="008661CD">
        <w:rPr>
          <w:i/>
          <w:color w:val="000000"/>
        </w:rPr>
        <w:t>antacidiniai vaistai</w:t>
      </w:r>
      <w:r w:rsidRPr="008661CD">
        <w:rPr>
          <w:color w:val="000000"/>
        </w:rPr>
        <w:t xml:space="preserve">, kuriais gydomas </w:t>
      </w:r>
      <w:r w:rsidRPr="008661CD">
        <w:rPr>
          <w:b/>
          <w:color w:val="000000"/>
        </w:rPr>
        <w:t>rėmuo</w:t>
      </w:r>
      <w:r w:rsidRPr="008661CD">
        <w:rPr>
          <w:color w:val="000000"/>
        </w:rPr>
        <w:t xml:space="preserve">), gali keisti Zinnat veikimą. </w:t>
      </w:r>
    </w:p>
    <w:p w14:paraId="7E20C349" w14:textId="77777777" w:rsidR="00922D8A" w:rsidRPr="008661CD" w:rsidRDefault="00922D8A" w:rsidP="008661CD">
      <w:pPr>
        <w:keepNext/>
        <w:rPr>
          <w:color w:val="000000"/>
        </w:rPr>
      </w:pPr>
      <w:r w:rsidRPr="008661CD">
        <w:rPr>
          <w:color w:val="000000"/>
        </w:rPr>
        <w:t>Probenecidas.</w:t>
      </w:r>
    </w:p>
    <w:p w14:paraId="49F0CD91" w14:textId="77777777" w:rsidR="00922D8A" w:rsidRPr="008661CD" w:rsidRDefault="00922D8A" w:rsidP="008661CD">
      <w:pPr>
        <w:keepNext/>
        <w:rPr>
          <w:color w:val="000000"/>
        </w:rPr>
      </w:pPr>
      <w:r w:rsidRPr="008661CD">
        <w:rPr>
          <w:color w:val="000000"/>
        </w:rPr>
        <w:t>Geriamieji antikoaguliantai.</w:t>
      </w:r>
    </w:p>
    <w:p w14:paraId="360B0BDE" w14:textId="77777777" w:rsidR="00922D8A" w:rsidRPr="008661CD" w:rsidRDefault="00922D8A" w:rsidP="000F3553">
      <w:pPr>
        <w:numPr>
          <w:ilvl w:val="0"/>
          <w:numId w:val="9"/>
        </w:numPr>
        <w:tabs>
          <w:tab w:val="clear" w:pos="720"/>
        </w:tabs>
        <w:ind w:left="567" w:hanging="567"/>
      </w:pPr>
      <w:r w:rsidRPr="008661CD">
        <w:t xml:space="preserve">Jeigu vartojate kokių nors panašių vaistų, </w:t>
      </w:r>
      <w:r w:rsidRPr="008661CD">
        <w:rPr>
          <w:b/>
        </w:rPr>
        <w:t>pasakykite gydytojui arba vaistininkui.</w:t>
      </w:r>
    </w:p>
    <w:p w14:paraId="60D31578" w14:textId="77777777" w:rsidR="00922D8A" w:rsidRPr="008661CD" w:rsidRDefault="00922D8A" w:rsidP="008661CD">
      <w:pPr>
        <w:tabs>
          <w:tab w:val="left" w:pos="0"/>
          <w:tab w:val="left" w:pos="540"/>
          <w:tab w:val="left" w:pos="1440"/>
          <w:tab w:val="left" w:pos="2160"/>
          <w:tab w:val="left" w:pos="2880"/>
          <w:tab w:val="left" w:pos="3600"/>
          <w:tab w:val="left" w:pos="4320"/>
        </w:tabs>
        <w:autoSpaceDE w:val="0"/>
        <w:autoSpaceDN w:val="0"/>
        <w:adjustRightInd w:val="0"/>
        <w:rPr>
          <w:color w:val="000000"/>
        </w:rPr>
      </w:pPr>
    </w:p>
    <w:p w14:paraId="7E72A843" w14:textId="77777777" w:rsidR="00922D8A" w:rsidRPr="008661CD" w:rsidRDefault="00922D8A" w:rsidP="008661CD">
      <w:pPr>
        <w:numPr>
          <w:ilvl w:val="12"/>
          <w:numId w:val="0"/>
        </w:numPr>
        <w:tabs>
          <w:tab w:val="left" w:pos="1290"/>
        </w:tabs>
        <w:ind w:right="-2"/>
      </w:pPr>
    </w:p>
    <w:p w14:paraId="0FAE16BE" w14:textId="77777777" w:rsidR="00922D8A" w:rsidRPr="008661CD" w:rsidRDefault="00922D8A" w:rsidP="008661CD">
      <w:pPr>
        <w:rPr>
          <w:b/>
        </w:rPr>
      </w:pPr>
      <w:r w:rsidRPr="008661CD">
        <w:rPr>
          <w:b/>
        </w:rPr>
        <w:t>Nėštumas, žindymo laikotarpis ir</w:t>
      </w:r>
      <w:r w:rsidRPr="008661CD">
        <w:t xml:space="preserve"> </w:t>
      </w:r>
      <w:r w:rsidRPr="008661CD">
        <w:rPr>
          <w:b/>
        </w:rPr>
        <w:t>vaisingumas</w:t>
      </w:r>
    </w:p>
    <w:p w14:paraId="24AB2901" w14:textId="77777777" w:rsidR="00922D8A" w:rsidRPr="009C0DB0" w:rsidRDefault="00922D8A" w:rsidP="008661CD">
      <w:pPr>
        <w:numPr>
          <w:ilvl w:val="12"/>
          <w:numId w:val="0"/>
        </w:numPr>
        <w:ind w:right="-2"/>
        <w:outlineLvl w:val="0"/>
      </w:pPr>
    </w:p>
    <w:p w14:paraId="5550C4C2" w14:textId="457FC683" w:rsidR="00922D8A" w:rsidRPr="008661CD" w:rsidRDefault="00922D8A" w:rsidP="008661CD">
      <w:pPr>
        <w:numPr>
          <w:ilvl w:val="12"/>
          <w:numId w:val="0"/>
        </w:numPr>
      </w:pPr>
      <w:r w:rsidRPr="008661CD">
        <w:t xml:space="preserve">Jeigu esate nėščia, žindote kūdikį, manote, kad galbūt esate nėščia, arba planuojate pastoti, tai prieš vartodama šį vaistą, pasitarkite su gydytoju arba vaistininku. </w:t>
      </w:r>
    </w:p>
    <w:p w14:paraId="16992590" w14:textId="77777777" w:rsidR="00922D8A" w:rsidRPr="009C0DB0" w:rsidRDefault="00922D8A" w:rsidP="008661CD">
      <w:pPr>
        <w:numPr>
          <w:ilvl w:val="12"/>
          <w:numId w:val="0"/>
        </w:numPr>
        <w:ind w:right="-2"/>
        <w:outlineLvl w:val="0"/>
      </w:pPr>
    </w:p>
    <w:p w14:paraId="0C42CC0C" w14:textId="77777777" w:rsidR="00922D8A" w:rsidRPr="008661CD" w:rsidRDefault="00922D8A" w:rsidP="008661CD">
      <w:pPr>
        <w:rPr>
          <w:b/>
        </w:rPr>
      </w:pPr>
      <w:r w:rsidRPr="008661CD">
        <w:rPr>
          <w:b/>
        </w:rPr>
        <w:t>Vairavimas ir mechanizmų valdymas</w:t>
      </w:r>
    </w:p>
    <w:p w14:paraId="799AADD1" w14:textId="77777777" w:rsidR="00922D8A" w:rsidRPr="008661CD" w:rsidRDefault="00922D8A" w:rsidP="008661CD">
      <w:pPr>
        <w:numPr>
          <w:ilvl w:val="12"/>
          <w:numId w:val="0"/>
        </w:numPr>
        <w:ind w:right="-2"/>
        <w:outlineLvl w:val="0"/>
      </w:pPr>
    </w:p>
    <w:p w14:paraId="3E0B1360" w14:textId="0614FC28"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Zinnat</w:t>
      </w:r>
      <w:r w:rsidRPr="008661CD">
        <w:rPr>
          <w:b/>
          <w:color w:val="000000"/>
        </w:rPr>
        <w:t xml:space="preserve"> gali sukelti </w:t>
      </w:r>
      <w:r w:rsidR="0059070D">
        <w:rPr>
          <w:b/>
          <w:color w:val="000000"/>
        </w:rPr>
        <w:t>svaigulį</w:t>
      </w:r>
      <w:r w:rsidRPr="008661CD">
        <w:rPr>
          <w:color w:val="000000"/>
        </w:rPr>
        <w:t xml:space="preserve"> ir kitą šalutinį poveikį, dėl kurio gali sumažėti Jūsų budrumas.</w:t>
      </w:r>
    </w:p>
    <w:p w14:paraId="49F32BCE" w14:textId="77777777" w:rsidR="00922D8A" w:rsidRPr="008661CD" w:rsidRDefault="00922D8A" w:rsidP="000F3553">
      <w:pPr>
        <w:numPr>
          <w:ilvl w:val="0"/>
          <w:numId w:val="9"/>
        </w:numPr>
        <w:tabs>
          <w:tab w:val="clear" w:pos="720"/>
          <w:tab w:val="left" w:pos="-720"/>
          <w:tab w:val="left" w:pos="0"/>
        </w:tabs>
        <w:autoSpaceDE w:val="0"/>
        <w:autoSpaceDN w:val="0"/>
        <w:adjustRightInd w:val="0"/>
        <w:ind w:left="567" w:hanging="567"/>
        <w:rPr>
          <w:color w:val="000000"/>
        </w:rPr>
      </w:pPr>
      <w:r w:rsidRPr="008661CD">
        <w:rPr>
          <w:color w:val="000000"/>
        </w:rPr>
        <w:t xml:space="preserve">jeigu jaučiatės blogai, </w:t>
      </w:r>
      <w:r w:rsidRPr="008661CD">
        <w:rPr>
          <w:b/>
          <w:color w:val="000000"/>
        </w:rPr>
        <w:t>negalima vairuoti ir valdyti mechanizmų</w:t>
      </w:r>
      <w:r w:rsidRPr="008661CD">
        <w:rPr>
          <w:color w:val="000000"/>
        </w:rPr>
        <w:t>.</w:t>
      </w:r>
    </w:p>
    <w:p w14:paraId="10E46730" w14:textId="77777777" w:rsidR="00922D8A" w:rsidRPr="009C0DB0" w:rsidRDefault="00922D8A" w:rsidP="008661CD">
      <w:pPr>
        <w:keepNext/>
        <w:rPr>
          <w:highlight w:val="lightGray"/>
        </w:rPr>
      </w:pPr>
      <w:bookmarkStart w:id="55" w:name="_Hlk530749976"/>
    </w:p>
    <w:p w14:paraId="25575EC0" w14:textId="77777777" w:rsidR="00922D8A" w:rsidRPr="008661CD" w:rsidRDefault="00922D8A" w:rsidP="008661CD">
      <w:pPr>
        <w:keepNext/>
        <w:rPr>
          <w:b/>
          <w:highlight w:val="lightGray"/>
        </w:rPr>
      </w:pPr>
      <w:r w:rsidRPr="008661CD">
        <w:rPr>
          <w:b/>
          <w:highlight w:val="lightGray"/>
        </w:rPr>
        <w:t>Svarbi informacija apie kai kurias Zinnat sudėtyje esančias medžiagas</w:t>
      </w:r>
    </w:p>
    <w:p w14:paraId="23DABC13" w14:textId="77777777" w:rsidR="00922D8A" w:rsidRPr="008661CD" w:rsidRDefault="00922D8A" w:rsidP="008661CD">
      <w:pPr>
        <w:numPr>
          <w:ilvl w:val="12"/>
          <w:numId w:val="0"/>
        </w:numPr>
        <w:ind w:right="-2"/>
      </w:pPr>
    </w:p>
    <w:p w14:paraId="406A45CC" w14:textId="77777777" w:rsidR="00922D8A" w:rsidRPr="00AA08CA" w:rsidRDefault="00922D8A" w:rsidP="008661CD">
      <w:pPr>
        <w:numPr>
          <w:ilvl w:val="12"/>
          <w:numId w:val="0"/>
        </w:numPr>
        <w:ind w:right="-2"/>
      </w:pPr>
      <w:bookmarkStart w:id="56" w:name="_Hlk536117510"/>
      <w:r w:rsidRPr="00AA08CA">
        <w:t>Kiekvienoje 250 mg tabletėje yra 0,00203 mg natrio benzoato.</w:t>
      </w:r>
    </w:p>
    <w:p w14:paraId="4804881D" w14:textId="77777777" w:rsidR="00922D8A" w:rsidRPr="008661CD" w:rsidRDefault="00922D8A" w:rsidP="008661CD">
      <w:pPr>
        <w:numPr>
          <w:ilvl w:val="12"/>
          <w:numId w:val="0"/>
        </w:numPr>
        <w:ind w:right="-2"/>
        <w:rPr>
          <w:highlight w:val="lightGray"/>
        </w:rPr>
      </w:pPr>
      <w:r w:rsidRPr="008661CD">
        <w:rPr>
          <w:highlight w:val="lightGray"/>
        </w:rPr>
        <w:t xml:space="preserve">Kiekvienoje </w:t>
      </w:r>
      <w:r w:rsidRPr="00AA08CA">
        <w:rPr>
          <w:highlight w:val="lightGray"/>
        </w:rPr>
        <w:t>500</w:t>
      </w:r>
      <w:r w:rsidRPr="008661CD">
        <w:rPr>
          <w:highlight w:val="lightGray"/>
        </w:rPr>
        <w:t> mg tabletėje yra 0,00506 mg natrio benzoato.</w:t>
      </w:r>
    </w:p>
    <w:p w14:paraId="70E694AD" w14:textId="5FE34E39" w:rsidR="00922D8A" w:rsidRPr="008661CD" w:rsidRDefault="00922D8A" w:rsidP="008661CD">
      <w:pPr>
        <w:numPr>
          <w:ilvl w:val="12"/>
          <w:numId w:val="0"/>
        </w:numPr>
        <w:ind w:right="-2"/>
      </w:pPr>
      <w:r w:rsidRPr="008661CD">
        <w:t>Šiame vaiste yra mažiau kaip 1 mmol (23 mg) natrio</w:t>
      </w:r>
      <w:r w:rsidR="00096E1B">
        <w:t xml:space="preserve"> vienoje tabletėje</w:t>
      </w:r>
      <w:r w:rsidRPr="008661CD">
        <w:t>, t. y. jis beveik neturi reikšmės.</w:t>
      </w:r>
    </w:p>
    <w:bookmarkEnd w:id="56"/>
    <w:p w14:paraId="58E2B060" w14:textId="77777777" w:rsidR="00922D8A" w:rsidRPr="008661CD" w:rsidRDefault="00922D8A" w:rsidP="008661CD">
      <w:pPr>
        <w:numPr>
          <w:ilvl w:val="12"/>
          <w:numId w:val="0"/>
        </w:numPr>
        <w:ind w:right="-2"/>
      </w:pPr>
    </w:p>
    <w:p w14:paraId="0B9532B6" w14:textId="77777777" w:rsidR="00922D8A" w:rsidRPr="008661CD" w:rsidRDefault="00922D8A" w:rsidP="000F3553">
      <w:pPr>
        <w:numPr>
          <w:ilvl w:val="0"/>
          <w:numId w:val="9"/>
        </w:numPr>
        <w:tabs>
          <w:tab w:val="clear" w:pos="720"/>
          <w:tab w:val="left" w:pos="-720"/>
          <w:tab w:val="left" w:pos="0"/>
        </w:tabs>
        <w:autoSpaceDE w:val="0"/>
        <w:autoSpaceDN w:val="0"/>
        <w:adjustRightInd w:val="0"/>
        <w:ind w:left="567" w:hanging="567"/>
        <w:rPr>
          <w:color w:val="000000"/>
          <w:highlight w:val="lightGray"/>
        </w:rPr>
      </w:pPr>
      <w:r w:rsidRPr="008661CD">
        <w:rPr>
          <w:color w:val="000000"/>
          <w:highlight w:val="lightGray"/>
        </w:rPr>
        <w:t xml:space="preserve">Ar Jums tinka vartoti Zinnat, </w:t>
      </w:r>
      <w:r w:rsidRPr="008661CD">
        <w:rPr>
          <w:b/>
          <w:color w:val="000000"/>
          <w:highlight w:val="lightGray"/>
        </w:rPr>
        <w:t>klauskite savo gydytojo.</w:t>
      </w:r>
    </w:p>
    <w:p w14:paraId="75C72FCE" w14:textId="77777777" w:rsidR="00922D8A" w:rsidRPr="008661CD" w:rsidRDefault="00922D8A" w:rsidP="008661CD">
      <w:pPr>
        <w:numPr>
          <w:ilvl w:val="12"/>
          <w:numId w:val="0"/>
        </w:numPr>
        <w:ind w:right="-2"/>
      </w:pPr>
    </w:p>
    <w:bookmarkEnd w:id="55"/>
    <w:p w14:paraId="7581DACF" w14:textId="77777777" w:rsidR="00922D8A" w:rsidRPr="008661CD" w:rsidRDefault="00922D8A" w:rsidP="008661CD">
      <w:pPr>
        <w:numPr>
          <w:ilvl w:val="12"/>
          <w:numId w:val="0"/>
        </w:numPr>
        <w:ind w:right="-2"/>
      </w:pPr>
    </w:p>
    <w:p w14:paraId="11B42379" w14:textId="77777777" w:rsidR="00922D8A" w:rsidRPr="008661CD" w:rsidRDefault="00922D8A" w:rsidP="008661CD">
      <w:pPr>
        <w:keepNext/>
        <w:ind w:left="540" w:hanging="540"/>
        <w:rPr>
          <w:b/>
          <w:caps/>
        </w:rPr>
      </w:pPr>
      <w:r w:rsidRPr="008661CD">
        <w:rPr>
          <w:b/>
        </w:rPr>
        <w:t>3.</w:t>
      </w:r>
      <w:r w:rsidRPr="008661CD">
        <w:rPr>
          <w:b/>
        </w:rPr>
        <w:tab/>
        <w:t>Kaip vartoti Zinnat</w:t>
      </w:r>
    </w:p>
    <w:p w14:paraId="46C19E91" w14:textId="77777777" w:rsidR="00922D8A" w:rsidRPr="008661CD" w:rsidRDefault="00922D8A" w:rsidP="008661CD">
      <w:pPr>
        <w:keepNext/>
      </w:pPr>
    </w:p>
    <w:p w14:paraId="0CECF0B4" w14:textId="77777777" w:rsidR="00922D8A" w:rsidRPr="008661CD" w:rsidRDefault="00922D8A" w:rsidP="008661CD">
      <w:pPr>
        <w:numPr>
          <w:ilvl w:val="12"/>
          <w:numId w:val="0"/>
        </w:numPr>
        <w:ind w:right="-2"/>
      </w:pPr>
      <w:r w:rsidRPr="008661CD">
        <w:rPr>
          <w:b/>
        </w:rPr>
        <w:t>Šį vaistą visada vartokite tiksliai, kaip nurodė gydytojas arba vaistininkas</w:t>
      </w:r>
      <w:r w:rsidRPr="008661CD">
        <w:t>. Jeigu abejojate, kreipkitės į gydytoją arba vaistininką.</w:t>
      </w:r>
    </w:p>
    <w:p w14:paraId="78DADC90" w14:textId="77777777" w:rsidR="00922D8A" w:rsidRPr="008661CD" w:rsidRDefault="00922D8A" w:rsidP="008661CD">
      <w:pPr>
        <w:numPr>
          <w:ilvl w:val="12"/>
          <w:numId w:val="0"/>
        </w:numPr>
        <w:ind w:right="-2"/>
      </w:pPr>
    </w:p>
    <w:p w14:paraId="7F4C82D6" w14:textId="77777777" w:rsidR="00922D8A" w:rsidRPr="008661CD" w:rsidRDefault="00922D8A" w:rsidP="008661CD">
      <w:pPr>
        <w:keepNext/>
        <w:autoSpaceDE w:val="0"/>
        <w:autoSpaceDN w:val="0"/>
        <w:adjustRightInd w:val="0"/>
      </w:pPr>
      <w:r w:rsidRPr="008661CD">
        <w:rPr>
          <w:b/>
        </w:rPr>
        <w:t xml:space="preserve">Zinnat vartokite po valgio. </w:t>
      </w:r>
      <w:r w:rsidRPr="008661CD">
        <w:t>Tai padės padidinti gydymo veiksmingumą.</w:t>
      </w:r>
    </w:p>
    <w:p w14:paraId="354435C4" w14:textId="77777777" w:rsidR="00922D8A" w:rsidRPr="008661CD" w:rsidRDefault="00922D8A" w:rsidP="008661CD">
      <w:pPr>
        <w:keepNext/>
        <w:autoSpaceDE w:val="0"/>
        <w:autoSpaceDN w:val="0"/>
        <w:adjustRightInd w:val="0"/>
      </w:pPr>
    </w:p>
    <w:p w14:paraId="14CF7AF2" w14:textId="77777777" w:rsidR="00922D8A" w:rsidRPr="008661CD" w:rsidRDefault="00922D8A" w:rsidP="008661CD">
      <w:pPr>
        <w:keepNext/>
        <w:autoSpaceDE w:val="0"/>
        <w:autoSpaceDN w:val="0"/>
        <w:adjustRightInd w:val="0"/>
      </w:pPr>
      <w:r w:rsidRPr="008661CD">
        <w:t>Nurykite visą Zinnat tabletę užsigerdami nedideliu vandens kiekiu.</w:t>
      </w:r>
    </w:p>
    <w:p w14:paraId="76AC481D" w14:textId="77777777" w:rsidR="00922D8A" w:rsidRPr="008661CD" w:rsidRDefault="00922D8A" w:rsidP="008661CD">
      <w:pPr>
        <w:keepNext/>
        <w:autoSpaceDE w:val="0"/>
        <w:autoSpaceDN w:val="0"/>
        <w:adjustRightInd w:val="0"/>
      </w:pPr>
    </w:p>
    <w:p w14:paraId="4A577533" w14:textId="77777777" w:rsidR="00922D8A" w:rsidRPr="008661CD" w:rsidRDefault="00922D8A" w:rsidP="008661CD">
      <w:pPr>
        <w:autoSpaceDE w:val="0"/>
        <w:autoSpaceDN w:val="0"/>
        <w:adjustRightInd w:val="0"/>
      </w:pPr>
      <w:r w:rsidRPr="008661CD">
        <w:rPr>
          <w:b/>
        </w:rPr>
        <w:t xml:space="preserve">Tablečių negalima kramtyti, traiškyti arba dalyti </w:t>
      </w:r>
      <w:r w:rsidRPr="008661CD">
        <w:t>— tai gali sumažinti gydymo veiksmingumą.</w:t>
      </w:r>
    </w:p>
    <w:p w14:paraId="1837F853" w14:textId="77777777" w:rsidR="00922D8A" w:rsidRPr="008661CD" w:rsidRDefault="00922D8A" w:rsidP="008661CD">
      <w:pPr>
        <w:tabs>
          <w:tab w:val="left" w:pos="-720"/>
          <w:tab w:val="left" w:pos="0"/>
          <w:tab w:val="left" w:pos="2160"/>
          <w:tab w:val="left" w:pos="2880"/>
          <w:tab w:val="left" w:pos="3600"/>
          <w:tab w:val="left" w:pos="4320"/>
        </w:tabs>
        <w:autoSpaceDE w:val="0"/>
        <w:autoSpaceDN w:val="0"/>
        <w:adjustRightInd w:val="0"/>
      </w:pPr>
    </w:p>
    <w:p w14:paraId="363E56FA" w14:textId="77777777" w:rsidR="00922D8A" w:rsidRPr="008661CD" w:rsidRDefault="00922D8A" w:rsidP="008661CD">
      <w:pPr>
        <w:keepNext/>
        <w:numPr>
          <w:ilvl w:val="12"/>
          <w:numId w:val="0"/>
        </w:numPr>
        <w:rPr>
          <w:b/>
        </w:rPr>
      </w:pPr>
      <w:r w:rsidRPr="008661CD">
        <w:rPr>
          <w:b/>
        </w:rPr>
        <w:t>Rekomenduojama dozė</w:t>
      </w:r>
    </w:p>
    <w:p w14:paraId="109B91F6" w14:textId="77777777" w:rsidR="00922D8A" w:rsidRPr="009C0DB0" w:rsidRDefault="00922D8A" w:rsidP="008661CD">
      <w:pPr>
        <w:keepNext/>
        <w:numPr>
          <w:ilvl w:val="12"/>
          <w:numId w:val="0"/>
        </w:numPr>
      </w:pPr>
    </w:p>
    <w:p w14:paraId="3B3B3560" w14:textId="1C659D15" w:rsidR="00922D8A" w:rsidRPr="008661CD" w:rsidRDefault="00922D8A" w:rsidP="008661CD">
      <w:pPr>
        <w:keepNext/>
        <w:numPr>
          <w:ilvl w:val="12"/>
          <w:numId w:val="0"/>
        </w:numPr>
        <w:rPr>
          <w:b/>
        </w:rPr>
      </w:pPr>
      <w:r w:rsidRPr="008661CD">
        <w:rPr>
          <w:b/>
        </w:rPr>
        <w:t>Suaugusiesiems</w:t>
      </w:r>
      <w:r w:rsidR="002E78FA">
        <w:rPr>
          <w:b/>
        </w:rPr>
        <w:t xml:space="preserve"> </w:t>
      </w:r>
      <w:r w:rsidR="002E78FA" w:rsidRPr="002E78FA">
        <w:rPr>
          <w:b/>
        </w:rPr>
        <w:t>ir vaikams, sveriantiems 40 kg ir daugiau.</w:t>
      </w:r>
    </w:p>
    <w:p w14:paraId="697B87C1" w14:textId="77777777" w:rsidR="00922D8A" w:rsidRPr="008661CD" w:rsidRDefault="00922D8A" w:rsidP="008661CD">
      <w:pPr>
        <w:keepNext/>
        <w:numPr>
          <w:ilvl w:val="12"/>
          <w:numId w:val="0"/>
        </w:numPr>
      </w:pPr>
      <w:r w:rsidRPr="008661CD">
        <w:t>Rekomenduojama Zinnat dozė yra nuo 250 mg iki 500 mg du kartus per parą, priklausomai nuo infekcinės ligos sunkumo ir tipo.</w:t>
      </w:r>
    </w:p>
    <w:p w14:paraId="4313D5D3" w14:textId="77777777" w:rsidR="00922D8A" w:rsidRPr="008661CD" w:rsidRDefault="00922D8A" w:rsidP="008661CD">
      <w:pPr>
        <w:keepNext/>
        <w:numPr>
          <w:ilvl w:val="12"/>
          <w:numId w:val="0"/>
        </w:numPr>
      </w:pPr>
    </w:p>
    <w:p w14:paraId="6AFEC9E7" w14:textId="3FB2475F" w:rsidR="00922D8A" w:rsidRPr="008661CD" w:rsidRDefault="00922D8A" w:rsidP="008661CD">
      <w:pPr>
        <w:keepNext/>
        <w:numPr>
          <w:ilvl w:val="12"/>
          <w:numId w:val="0"/>
        </w:numPr>
        <w:rPr>
          <w:b/>
        </w:rPr>
      </w:pPr>
      <w:r w:rsidRPr="008661CD">
        <w:rPr>
          <w:b/>
        </w:rPr>
        <w:t>Vaikams</w:t>
      </w:r>
      <w:r w:rsidR="002E78FA">
        <w:rPr>
          <w:b/>
        </w:rPr>
        <w:t xml:space="preserve">, </w:t>
      </w:r>
      <w:r w:rsidR="002E78FA" w:rsidRPr="002E78FA">
        <w:rPr>
          <w:b/>
        </w:rPr>
        <w:t>sveria</w:t>
      </w:r>
      <w:r w:rsidR="002E78FA">
        <w:rPr>
          <w:b/>
        </w:rPr>
        <w:t>ntiems</w:t>
      </w:r>
      <w:r w:rsidR="002E78FA" w:rsidRPr="002E78FA">
        <w:rPr>
          <w:b/>
        </w:rPr>
        <w:t xml:space="preserve"> mažiau kaip 40 kg.</w:t>
      </w:r>
    </w:p>
    <w:p w14:paraId="39A94F35" w14:textId="5A60B771" w:rsidR="002E78FA" w:rsidRDefault="002E78FA" w:rsidP="008661CD">
      <w:pPr>
        <w:keepNext/>
        <w:numPr>
          <w:ilvl w:val="12"/>
          <w:numId w:val="0"/>
        </w:numPr>
      </w:pPr>
      <w:r w:rsidRPr="002E78FA">
        <w:t xml:space="preserve">Vaikus, sveriančius mažiau kaip 40 kg, geriausia gydyti Zinnat geriamąja suspensija </w:t>
      </w:r>
      <w:r w:rsidRPr="000B6AE0">
        <w:t>arba paketėliai</w:t>
      </w:r>
      <w:r w:rsidR="007E3AE0" w:rsidRPr="000B6AE0">
        <w:t>s</w:t>
      </w:r>
      <w:r w:rsidRPr="000B6AE0">
        <w:t>.</w:t>
      </w:r>
    </w:p>
    <w:p w14:paraId="4B94A358" w14:textId="1E618ED6" w:rsidR="00922D8A" w:rsidRPr="008661CD" w:rsidRDefault="00922D8A" w:rsidP="008661CD">
      <w:pPr>
        <w:keepNext/>
        <w:numPr>
          <w:ilvl w:val="12"/>
          <w:numId w:val="0"/>
        </w:numPr>
      </w:pPr>
      <w:r w:rsidRPr="008661CD">
        <w:t xml:space="preserve">Rekomenduojama Zinnat dozė yra nuo 10 mg/kg (daugiausiai iki </w:t>
      </w:r>
      <w:r w:rsidR="002E78FA">
        <w:t>250</w:t>
      </w:r>
      <w:r w:rsidR="002E78FA" w:rsidRPr="008661CD">
        <w:t> </w:t>
      </w:r>
      <w:r w:rsidRPr="008661CD">
        <w:t>mg) iki 15mg/kg (daugiausiai iki 250 mg) du kartus per parą, priklausomai nuo:</w:t>
      </w:r>
    </w:p>
    <w:p w14:paraId="204B4DB3" w14:textId="77777777" w:rsidR="00922D8A" w:rsidRPr="008661CD" w:rsidRDefault="00922D8A" w:rsidP="000F3553">
      <w:pPr>
        <w:keepNext/>
        <w:numPr>
          <w:ilvl w:val="0"/>
          <w:numId w:val="10"/>
        </w:numPr>
        <w:tabs>
          <w:tab w:val="left" w:pos="567"/>
        </w:tabs>
        <w:ind w:left="765" w:hanging="765"/>
      </w:pPr>
      <w:r w:rsidRPr="008661CD">
        <w:t>infekcinės ligos sunkumo ir infekcijos rūšies.</w:t>
      </w:r>
    </w:p>
    <w:p w14:paraId="03F080A2" w14:textId="77777777" w:rsidR="00922D8A" w:rsidRPr="008661CD" w:rsidRDefault="00922D8A" w:rsidP="008661CD">
      <w:pPr>
        <w:keepNext/>
      </w:pPr>
    </w:p>
    <w:p w14:paraId="3C836799" w14:textId="77777777" w:rsidR="00922D8A" w:rsidRPr="008661CD" w:rsidRDefault="00922D8A" w:rsidP="008661CD">
      <w:pPr>
        <w:autoSpaceDE w:val="0"/>
        <w:autoSpaceDN w:val="0"/>
        <w:adjustRightInd w:val="0"/>
      </w:pPr>
      <w:r w:rsidRPr="008661CD">
        <w:rPr>
          <w:b/>
        </w:rPr>
        <w:t>Zinnat nerekomenduojama vartoti jaunesniems kaip 3 mėnesių kūdikiams</w:t>
      </w:r>
      <w:r w:rsidRPr="008661CD">
        <w:t>, nes saugumas ir veiksmingumas šio amžiaus grupės pacientams nežinomas.</w:t>
      </w:r>
    </w:p>
    <w:p w14:paraId="182A1A86" w14:textId="77777777" w:rsidR="00922D8A" w:rsidRPr="008661CD" w:rsidRDefault="00922D8A" w:rsidP="008661CD">
      <w:pPr>
        <w:autoSpaceDE w:val="0"/>
        <w:autoSpaceDN w:val="0"/>
        <w:adjustRightInd w:val="0"/>
      </w:pPr>
    </w:p>
    <w:p w14:paraId="2248342A"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t>Atsižvelgiant į ligą ir kaip Jūs arba Jūsų vaikas reaguoja į gydymą, pradinė dozė gali būti keičiama arba gali prireikti daugiau nei vieno gydymo kurso.</w:t>
      </w:r>
    </w:p>
    <w:p w14:paraId="4705EC8D"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p>
    <w:p w14:paraId="4950A707" w14:textId="73868B41" w:rsidR="00922D8A" w:rsidRPr="008661CD" w:rsidRDefault="00922D8A" w:rsidP="008661CD">
      <w:pPr>
        <w:keepNext/>
        <w:numPr>
          <w:ilvl w:val="12"/>
          <w:numId w:val="0"/>
        </w:numPr>
        <w:rPr>
          <w:b/>
        </w:rPr>
      </w:pPr>
      <w:r w:rsidRPr="008661CD">
        <w:rPr>
          <w:b/>
        </w:rPr>
        <w:t xml:space="preserve">Pacientams, </w:t>
      </w:r>
      <w:r w:rsidR="0059070D">
        <w:rPr>
          <w:b/>
        </w:rPr>
        <w:t>kurių inkstų funkcija sutrikusi</w:t>
      </w:r>
    </w:p>
    <w:p w14:paraId="36248E29"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p>
    <w:p w14:paraId="336E93D6" w14:textId="77777777"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Jeigu Jums yra inkstų funkcijos sutrikimas, Jūsų gydytojas gali keisti Jums skirtą dozę.</w:t>
      </w:r>
    </w:p>
    <w:p w14:paraId="342A4386" w14:textId="77777777" w:rsidR="00922D8A" w:rsidRPr="008661CD" w:rsidRDefault="00922D8A" w:rsidP="000F3553">
      <w:pPr>
        <w:numPr>
          <w:ilvl w:val="0"/>
          <w:numId w:val="9"/>
        </w:numPr>
        <w:tabs>
          <w:tab w:val="clear" w:pos="720"/>
          <w:tab w:val="left" w:pos="-720"/>
          <w:tab w:val="left" w:pos="0"/>
          <w:tab w:val="left" w:pos="540"/>
          <w:tab w:val="num" w:pos="567"/>
          <w:tab w:val="left" w:pos="1440"/>
          <w:tab w:val="left" w:pos="2160"/>
          <w:tab w:val="left" w:pos="2880"/>
          <w:tab w:val="left" w:pos="3600"/>
          <w:tab w:val="left" w:pos="4320"/>
        </w:tabs>
        <w:autoSpaceDE w:val="0"/>
        <w:autoSpaceDN w:val="0"/>
        <w:adjustRightInd w:val="0"/>
        <w:ind w:hanging="720"/>
        <w:rPr>
          <w:color w:val="000000"/>
        </w:rPr>
      </w:pPr>
      <w:r w:rsidRPr="008661CD">
        <w:rPr>
          <w:b/>
          <w:color w:val="000000"/>
        </w:rPr>
        <w:t xml:space="preserve">Pasakykite gydytojui, </w:t>
      </w:r>
      <w:r w:rsidRPr="008661CD">
        <w:rPr>
          <w:color w:val="000000"/>
        </w:rPr>
        <w:t>jeigu yra tokia aplinkybė.</w:t>
      </w:r>
    </w:p>
    <w:p w14:paraId="546D29CB" w14:textId="77777777" w:rsidR="00922D8A" w:rsidRPr="009C0DB0" w:rsidRDefault="00922D8A" w:rsidP="008661CD">
      <w:pPr>
        <w:ind w:left="567" w:hanging="567"/>
      </w:pPr>
    </w:p>
    <w:p w14:paraId="7AE940D6" w14:textId="1F5A50E5" w:rsidR="00922D8A" w:rsidRPr="008661CD"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rPr>
          <w:b/>
        </w:rPr>
      </w:pPr>
      <w:r w:rsidRPr="008661CD">
        <w:rPr>
          <w:b/>
        </w:rPr>
        <w:t>Ką daryti pavartojus per didelę Zinnat dozę</w:t>
      </w:r>
    </w:p>
    <w:p w14:paraId="616947C1" w14:textId="77777777" w:rsidR="00922D8A" w:rsidRPr="009C0DB0" w:rsidRDefault="00922D8A" w:rsidP="008661CD">
      <w:pPr>
        <w:keepNext/>
        <w:tabs>
          <w:tab w:val="left" w:pos="-720"/>
          <w:tab w:val="left" w:pos="0"/>
          <w:tab w:val="left" w:pos="720"/>
          <w:tab w:val="left" w:pos="1440"/>
          <w:tab w:val="left" w:pos="2160"/>
          <w:tab w:val="left" w:pos="2880"/>
          <w:tab w:val="left" w:pos="3600"/>
          <w:tab w:val="left" w:pos="4320"/>
        </w:tabs>
        <w:autoSpaceDE w:val="0"/>
        <w:autoSpaceDN w:val="0"/>
        <w:adjustRightInd w:val="0"/>
      </w:pPr>
    </w:p>
    <w:p w14:paraId="1EF29440" w14:textId="77777777" w:rsidR="00922D8A" w:rsidRPr="008661CD" w:rsidRDefault="00922D8A" w:rsidP="008661CD">
      <w:pPr>
        <w:keepNext/>
        <w:autoSpaceDE w:val="0"/>
        <w:autoSpaceDN w:val="0"/>
        <w:adjustRightInd w:val="0"/>
        <w:rPr>
          <w:color w:val="000000"/>
        </w:rPr>
      </w:pPr>
      <w:r w:rsidRPr="008661CD">
        <w:rPr>
          <w:color w:val="000000"/>
        </w:rPr>
        <w:t xml:space="preserve">Jeigu išgėrėte per daug Zinnat, Jums gali atsirasti neurologinių sutrikimų, ypač gali </w:t>
      </w:r>
      <w:r w:rsidRPr="008661CD">
        <w:rPr>
          <w:b/>
          <w:color w:val="000000"/>
        </w:rPr>
        <w:t xml:space="preserve">padidėti traukulių </w:t>
      </w:r>
      <w:r w:rsidRPr="008661CD">
        <w:rPr>
          <w:i/>
          <w:color w:val="000000"/>
        </w:rPr>
        <w:t xml:space="preserve">(priepuolių) </w:t>
      </w:r>
      <w:r w:rsidRPr="008661CD">
        <w:rPr>
          <w:b/>
          <w:color w:val="000000"/>
        </w:rPr>
        <w:t>atsiradimo tikimybė</w:t>
      </w:r>
      <w:r w:rsidRPr="008661CD">
        <w:rPr>
          <w:b/>
          <w:i/>
          <w:color w:val="000000"/>
        </w:rPr>
        <w:t>.</w:t>
      </w:r>
    </w:p>
    <w:p w14:paraId="5B2E2C9F" w14:textId="77777777" w:rsidR="00922D8A" w:rsidRPr="008661CD" w:rsidRDefault="00922D8A" w:rsidP="000F3553">
      <w:pPr>
        <w:numPr>
          <w:ilvl w:val="0"/>
          <w:numId w:val="9"/>
        </w:numPr>
        <w:tabs>
          <w:tab w:val="clear" w:pos="720"/>
        </w:tabs>
        <w:autoSpaceDE w:val="0"/>
        <w:autoSpaceDN w:val="0"/>
        <w:adjustRightInd w:val="0"/>
        <w:ind w:left="567" w:hanging="567"/>
        <w:rPr>
          <w:color w:val="000000"/>
        </w:rPr>
      </w:pPr>
      <w:r w:rsidRPr="008661CD">
        <w:rPr>
          <w:b/>
          <w:color w:val="000000"/>
        </w:rPr>
        <w:t>Nedelskite.</w:t>
      </w:r>
      <w:r w:rsidRPr="008661CD">
        <w:rPr>
          <w:color w:val="000000"/>
        </w:rPr>
        <w:t xml:space="preserve"> </w:t>
      </w:r>
      <w:r w:rsidRPr="008661CD">
        <w:rPr>
          <w:b/>
          <w:color w:val="000000"/>
        </w:rPr>
        <w:t>Nedelsdami kreipkitės į gydytoją arba vykite į artimiausios ligoninės priėmimo skyrių</w:t>
      </w:r>
      <w:r w:rsidRPr="008661CD">
        <w:rPr>
          <w:color w:val="000000"/>
        </w:rPr>
        <w:t>. Jeigu įmanoma, parodykite gydytojui Zinnat pakuotę.</w:t>
      </w:r>
    </w:p>
    <w:p w14:paraId="1572B3A5" w14:textId="77777777" w:rsidR="00922D8A" w:rsidRPr="009C0DB0" w:rsidRDefault="00922D8A" w:rsidP="008661CD">
      <w:pPr>
        <w:ind w:left="567" w:hanging="567"/>
      </w:pPr>
    </w:p>
    <w:p w14:paraId="6C627949" w14:textId="77777777" w:rsidR="00922D8A" w:rsidRPr="008661CD" w:rsidRDefault="00922D8A" w:rsidP="008661CD">
      <w:pPr>
        <w:ind w:left="567" w:hanging="567"/>
        <w:rPr>
          <w:b/>
        </w:rPr>
      </w:pPr>
      <w:r w:rsidRPr="008661CD">
        <w:rPr>
          <w:b/>
        </w:rPr>
        <w:t>Pamiršus pavartoti Zinnat</w:t>
      </w:r>
    </w:p>
    <w:p w14:paraId="18D3D624" w14:textId="77777777" w:rsidR="00922D8A" w:rsidRPr="008661CD" w:rsidRDefault="00922D8A" w:rsidP="008661CD">
      <w:pPr>
        <w:ind w:left="567" w:hanging="567"/>
      </w:pPr>
    </w:p>
    <w:p w14:paraId="11CAD6DB" w14:textId="77777777" w:rsidR="00922D8A" w:rsidRPr="008661CD" w:rsidRDefault="00922D8A" w:rsidP="008661CD">
      <w:r w:rsidRPr="008661CD">
        <w:rPr>
          <w:b/>
        </w:rPr>
        <w:t>Negalima vartoti dvigubos dozės norint kompensuoti praleistą dozę</w:t>
      </w:r>
      <w:r w:rsidRPr="008661CD">
        <w:t>. Tik išgerkite kitą dozę įprastu laiku.</w:t>
      </w:r>
    </w:p>
    <w:p w14:paraId="2DA156BE" w14:textId="77777777" w:rsidR="00922D8A" w:rsidRPr="008661CD" w:rsidRDefault="00922D8A" w:rsidP="008661CD">
      <w:pPr>
        <w:ind w:left="567" w:hanging="567"/>
      </w:pPr>
    </w:p>
    <w:p w14:paraId="21897FEE" w14:textId="77777777" w:rsidR="00922D8A" w:rsidRPr="008661CD" w:rsidRDefault="00922D8A" w:rsidP="008661CD">
      <w:pPr>
        <w:numPr>
          <w:ilvl w:val="12"/>
          <w:numId w:val="0"/>
        </w:numPr>
        <w:ind w:right="-2"/>
        <w:outlineLvl w:val="0"/>
        <w:rPr>
          <w:b/>
        </w:rPr>
      </w:pPr>
      <w:r w:rsidRPr="008661CD">
        <w:rPr>
          <w:b/>
        </w:rPr>
        <w:t>Nustojus vartoti Zinnat</w:t>
      </w:r>
    </w:p>
    <w:p w14:paraId="32FD9D30" w14:textId="77777777" w:rsidR="00922D8A" w:rsidRPr="009C0DB0" w:rsidRDefault="00922D8A" w:rsidP="008661CD">
      <w:pPr>
        <w:numPr>
          <w:ilvl w:val="12"/>
          <w:numId w:val="0"/>
        </w:numPr>
        <w:ind w:right="-2"/>
        <w:outlineLvl w:val="0"/>
      </w:pPr>
    </w:p>
    <w:p w14:paraId="4683F81A" w14:textId="77777777" w:rsidR="00922D8A" w:rsidRPr="008661CD" w:rsidRDefault="00922D8A" w:rsidP="008661CD">
      <w:pPr>
        <w:numPr>
          <w:ilvl w:val="12"/>
          <w:numId w:val="0"/>
        </w:numPr>
        <w:ind w:right="-2"/>
        <w:outlineLvl w:val="0"/>
        <w:rPr>
          <w:b/>
        </w:rPr>
      </w:pPr>
      <w:r w:rsidRPr="008661CD">
        <w:rPr>
          <w:b/>
        </w:rPr>
        <w:t>Nenutraukite Zinnat vartojimo be nurodymo.</w:t>
      </w:r>
    </w:p>
    <w:p w14:paraId="4FD1EA17" w14:textId="77777777" w:rsidR="00922D8A" w:rsidRPr="009C0DB0" w:rsidRDefault="00922D8A" w:rsidP="008661CD">
      <w:pPr>
        <w:numPr>
          <w:ilvl w:val="12"/>
          <w:numId w:val="0"/>
        </w:numPr>
        <w:ind w:right="-2"/>
        <w:outlineLvl w:val="0"/>
      </w:pPr>
    </w:p>
    <w:p w14:paraId="430E5CBB" w14:textId="77777777" w:rsidR="00922D8A" w:rsidRPr="008661CD" w:rsidRDefault="00922D8A" w:rsidP="008661CD">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rPr>
          <w:b/>
        </w:rPr>
        <w:t>Svarbu, kad užbaigtumėte visą Zinnat kursą.</w:t>
      </w:r>
      <w:r w:rsidRPr="008661CD">
        <w:t xml:space="preserve"> Nenutraukite vaisto vartojimo be gydytojo nurodymo, net jeigu geriau jaučiatės. Nebaigus viso gydymo kurso, infekcinė liga gali atsinaujinti.</w:t>
      </w:r>
    </w:p>
    <w:p w14:paraId="19084CC0" w14:textId="77777777" w:rsidR="00922D8A" w:rsidRPr="008661CD" w:rsidRDefault="00922D8A" w:rsidP="008661CD">
      <w:pPr>
        <w:numPr>
          <w:ilvl w:val="12"/>
          <w:numId w:val="0"/>
        </w:numPr>
        <w:ind w:right="-2"/>
      </w:pPr>
    </w:p>
    <w:p w14:paraId="6E751AEB" w14:textId="77777777" w:rsidR="00922D8A" w:rsidRPr="008661CD" w:rsidRDefault="00922D8A" w:rsidP="008661CD">
      <w:pPr>
        <w:numPr>
          <w:ilvl w:val="12"/>
          <w:numId w:val="0"/>
        </w:numPr>
        <w:ind w:right="-2"/>
      </w:pPr>
      <w:r w:rsidRPr="008661CD">
        <w:t>Jei kiltų daugiau klausimų dėl šio vaisto vartojimo, kreipkitės į gydytoją ar vaistininką.</w:t>
      </w:r>
    </w:p>
    <w:p w14:paraId="1D9699EA" w14:textId="77777777" w:rsidR="00922D8A" w:rsidRPr="008661CD" w:rsidRDefault="00922D8A" w:rsidP="008661CD">
      <w:pPr>
        <w:numPr>
          <w:ilvl w:val="12"/>
          <w:numId w:val="0"/>
        </w:numPr>
        <w:ind w:right="-2"/>
      </w:pPr>
    </w:p>
    <w:p w14:paraId="359B7941" w14:textId="77777777" w:rsidR="00922D8A" w:rsidRPr="008661CD" w:rsidRDefault="00922D8A" w:rsidP="008661CD">
      <w:pPr>
        <w:numPr>
          <w:ilvl w:val="12"/>
          <w:numId w:val="0"/>
        </w:numPr>
        <w:ind w:right="-2"/>
      </w:pPr>
    </w:p>
    <w:p w14:paraId="288784E3" w14:textId="77777777" w:rsidR="00922D8A" w:rsidRPr="008661CD" w:rsidRDefault="00922D8A" w:rsidP="000F3553">
      <w:pPr>
        <w:keepNext/>
        <w:numPr>
          <w:ilvl w:val="12"/>
          <w:numId w:val="0"/>
        </w:numPr>
        <w:ind w:left="567" w:hanging="567"/>
        <w:outlineLvl w:val="0"/>
        <w:rPr>
          <w:b/>
          <w:caps/>
        </w:rPr>
      </w:pPr>
      <w:r w:rsidRPr="008661CD">
        <w:rPr>
          <w:b/>
          <w:caps/>
        </w:rPr>
        <w:t>4.</w:t>
      </w:r>
      <w:r w:rsidRPr="008661CD">
        <w:rPr>
          <w:b/>
          <w:caps/>
        </w:rPr>
        <w:tab/>
      </w:r>
      <w:r w:rsidRPr="008661CD">
        <w:rPr>
          <w:b/>
        </w:rPr>
        <w:t>Galimas šalutinis poveikis</w:t>
      </w:r>
    </w:p>
    <w:p w14:paraId="7201BCDF" w14:textId="77777777" w:rsidR="00922D8A" w:rsidRPr="008661CD" w:rsidRDefault="00922D8A" w:rsidP="008661CD">
      <w:pPr>
        <w:keepNext/>
        <w:ind w:left="567" w:hanging="567"/>
      </w:pPr>
    </w:p>
    <w:p w14:paraId="47B7B0FF" w14:textId="77777777" w:rsidR="00922D8A" w:rsidRPr="008661CD" w:rsidRDefault="00922D8A" w:rsidP="008661CD">
      <w:pPr>
        <w:ind w:left="567" w:hanging="567"/>
      </w:pPr>
      <w:r w:rsidRPr="008661CD">
        <w:t>Šis vaistas, kaip ir visi kiti, gali sukelti šalutinį poveikį, nors jis pasireiškia ne visiems žmonėms.</w:t>
      </w:r>
    </w:p>
    <w:p w14:paraId="6D0DF562" w14:textId="77777777" w:rsidR="00922D8A" w:rsidRPr="008661CD" w:rsidRDefault="00922D8A" w:rsidP="008661CD">
      <w:pPr>
        <w:numPr>
          <w:ilvl w:val="12"/>
          <w:numId w:val="0"/>
        </w:numPr>
        <w:ind w:right="-2"/>
      </w:pPr>
    </w:p>
    <w:p w14:paraId="4B8BAD22" w14:textId="77777777" w:rsidR="00922D8A" w:rsidRPr="008661CD" w:rsidRDefault="00922D8A" w:rsidP="008661CD">
      <w:pPr>
        <w:keepNext/>
        <w:outlineLvl w:val="0"/>
        <w:rPr>
          <w:b/>
          <w:color w:val="000000"/>
        </w:rPr>
      </w:pPr>
      <w:r w:rsidRPr="008661CD">
        <w:rPr>
          <w:b/>
          <w:color w:val="000000"/>
        </w:rPr>
        <w:t>Būklės, į kurias reikia atkreipti dėmesį</w:t>
      </w:r>
    </w:p>
    <w:p w14:paraId="487DC6FF" w14:textId="77777777" w:rsidR="00922D8A" w:rsidRPr="009C0DB0" w:rsidRDefault="00922D8A" w:rsidP="008661CD">
      <w:pPr>
        <w:keepNext/>
        <w:outlineLvl w:val="0"/>
        <w:rPr>
          <w:color w:val="000000"/>
        </w:rPr>
      </w:pPr>
    </w:p>
    <w:p w14:paraId="1C47EFB8" w14:textId="77777777" w:rsidR="00922D8A" w:rsidRPr="008661CD" w:rsidRDefault="00922D8A" w:rsidP="008661CD">
      <w:pPr>
        <w:keepNext/>
        <w:outlineLvl w:val="0"/>
      </w:pPr>
      <w:r w:rsidRPr="008661CD">
        <w:t>Mažai daliai Zinnat vartojančių žmonių pasireiškė alerginė reakcija arba galinti būti sunki odos reakcija. Tokių reakcijų simptomai yra:</w:t>
      </w:r>
    </w:p>
    <w:p w14:paraId="0EC41979" w14:textId="77777777" w:rsidR="00922D8A" w:rsidRPr="008661CD" w:rsidRDefault="00922D8A" w:rsidP="005F27A0">
      <w:pPr>
        <w:keepNext/>
        <w:outlineLvl w:val="0"/>
      </w:pPr>
    </w:p>
    <w:p w14:paraId="1411F035" w14:textId="77777777" w:rsidR="00922D8A" w:rsidRDefault="00922D8A" w:rsidP="00857812">
      <w:pPr>
        <w:pStyle w:val="Bullet"/>
        <w:numPr>
          <w:ilvl w:val="0"/>
          <w:numId w:val="30"/>
        </w:numPr>
        <w:tabs>
          <w:tab w:val="left" w:pos="567"/>
        </w:tabs>
        <w:spacing w:before="0"/>
        <w:ind w:left="567" w:hanging="567"/>
        <w:rPr>
          <w:lang w:val="lt-LT"/>
        </w:rPr>
      </w:pPr>
      <w:r w:rsidRPr="000F3553">
        <w:rPr>
          <w:b/>
          <w:lang w:val="lt-LT"/>
        </w:rPr>
        <w:t>sunki alerginė reakcija</w:t>
      </w:r>
      <w:r w:rsidRPr="000F3553">
        <w:rPr>
          <w:lang w:val="lt-LT"/>
        </w:rPr>
        <w:t xml:space="preserve">. Požymiai gali būti </w:t>
      </w:r>
      <w:r w:rsidRPr="000F3553">
        <w:rPr>
          <w:b/>
          <w:lang w:val="lt-LT"/>
        </w:rPr>
        <w:t xml:space="preserve">iškilusis niežtintysis </w:t>
      </w:r>
      <w:r w:rsidR="0059070D">
        <w:rPr>
          <w:b/>
          <w:lang w:val="lt-LT"/>
        </w:rPr>
        <w:t>iš</w:t>
      </w:r>
      <w:r w:rsidRPr="000F3553">
        <w:rPr>
          <w:b/>
          <w:lang w:val="lt-LT"/>
        </w:rPr>
        <w:t>bėrimas, patinimas</w:t>
      </w:r>
      <w:r w:rsidRPr="000F3553">
        <w:rPr>
          <w:lang w:val="lt-LT"/>
        </w:rPr>
        <w:t xml:space="preserve">, kartais veido ar burnos, dėl kurio </w:t>
      </w:r>
      <w:r w:rsidRPr="000F3553">
        <w:rPr>
          <w:b/>
          <w:lang w:val="lt-LT"/>
        </w:rPr>
        <w:t>pasunkėja kvėpavimas</w:t>
      </w:r>
      <w:r w:rsidRPr="000F3553">
        <w:rPr>
          <w:lang w:val="lt-LT"/>
        </w:rPr>
        <w:t>;</w:t>
      </w:r>
    </w:p>
    <w:p w14:paraId="22C39F25" w14:textId="77777777" w:rsidR="005F27A0" w:rsidRPr="002F41B1" w:rsidRDefault="005F27A0" w:rsidP="00AE79A1">
      <w:pPr>
        <w:numPr>
          <w:ilvl w:val="0"/>
          <w:numId w:val="30"/>
        </w:numPr>
        <w:tabs>
          <w:tab w:val="left" w:pos="567"/>
        </w:tabs>
        <w:ind w:left="567" w:hanging="567"/>
        <w:rPr>
          <w:noProof/>
          <w:szCs w:val="22"/>
        </w:rPr>
      </w:pPr>
      <w:r w:rsidRPr="00AE79A1">
        <w:rPr>
          <w:b/>
          <w:bCs/>
          <w:noProof/>
          <w:szCs w:val="22"/>
        </w:rPr>
        <w:t>išplitęs bėrimas, aukšta kūno temperatūra</w:t>
      </w:r>
      <w:r w:rsidRPr="002F41B1">
        <w:rPr>
          <w:noProof/>
          <w:szCs w:val="22"/>
        </w:rPr>
        <w:t xml:space="preserve"> ir </w:t>
      </w:r>
      <w:r w:rsidRPr="00AE79A1">
        <w:rPr>
          <w:b/>
          <w:bCs/>
          <w:noProof/>
          <w:szCs w:val="22"/>
        </w:rPr>
        <w:t>padidėję limfmazgiai</w:t>
      </w:r>
      <w:r w:rsidRPr="002F41B1">
        <w:rPr>
          <w:noProof/>
          <w:szCs w:val="22"/>
        </w:rPr>
        <w:t xml:space="preserve"> (DRESS</w:t>
      </w:r>
      <w:r>
        <w:rPr>
          <w:noProof/>
          <w:szCs w:val="22"/>
        </w:rPr>
        <w:t xml:space="preserve"> </w:t>
      </w:r>
      <w:r w:rsidRPr="002F41B1">
        <w:rPr>
          <w:noProof/>
          <w:szCs w:val="22"/>
        </w:rPr>
        <w:t>sindromas ar padidėjusio jautrumo vaistui sindromas).</w:t>
      </w:r>
    </w:p>
    <w:p w14:paraId="45BD2176" w14:textId="77777777" w:rsidR="005F27A0" w:rsidRPr="002F41B1" w:rsidRDefault="005F27A0" w:rsidP="00AE79A1">
      <w:pPr>
        <w:numPr>
          <w:ilvl w:val="0"/>
          <w:numId w:val="30"/>
        </w:numPr>
        <w:tabs>
          <w:tab w:val="left" w:pos="567"/>
        </w:tabs>
        <w:ind w:left="567" w:hanging="567"/>
        <w:rPr>
          <w:noProof/>
          <w:szCs w:val="22"/>
        </w:rPr>
      </w:pPr>
      <w:r w:rsidRPr="00AE79A1">
        <w:rPr>
          <w:b/>
          <w:bCs/>
          <w:noProof/>
          <w:szCs w:val="22"/>
        </w:rPr>
        <w:t>krūtinės skausmas pasireiškus alerginėms reakcijoms</w:t>
      </w:r>
      <w:r w:rsidRPr="002F41B1">
        <w:rPr>
          <w:noProof/>
          <w:szCs w:val="22"/>
        </w:rPr>
        <w:t xml:space="preserve"> – tai gali būti </w:t>
      </w:r>
      <w:r w:rsidRPr="00AE79A1">
        <w:rPr>
          <w:b/>
          <w:bCs/>
          <w:noProof/>
          <w:szCs w:val="22"/>
        </w:rPr>
        <w:t>alergijos sukelto širdies infarkto</w:t>
      </w:r>
      <w:r w:rsidRPr="002F41B1">
        <w:rPr>
          <w:noProof/>
          <w:szCs w:val="22"/>
        </w:rPr>
        <w:t xml:space="preserve"> simptomas (</w:t>
      </w:r>
      <w:r w:rsidRPr="00AA4BD0">
        <w:rPr>
          <w:i/>
          <w:iCs/>
          <w:noProof/>
          <w:szCs w:val="22"/>
        </w:rPr>
        <w:t>Kounis</w:t>
      </w:r>
      <w:r w:rsidRPr="002F41B1">
        <w:rPr>
          <w:noProof/>
          <w:szCs w:val="22"/>
        </w:rPr>
        <w:t xml:space="preserve"> sindromas).</w:t>
      </w:r>
    </w:p>
    <w:p w14:paraId="0F38CC0B" w14:textId="77777777" w:rsidR="00922D8A" w:rsidRPr="00AA08CA" w:rsidRDefault="00922D8A" w:rsidP="00857812">
      <w:pPr>
        <w:pStyle w:val="Bullet"/>
        <w:numPr>
          <w:ilvl w:val="0"/>
          <w:numId w:val="30"/>
        </w:numPr>
        <w:tabs>
          <w:tab w:val="left" w:pos="567"/>
        </w:tabs>
        <w:spacing w:before="0"/>
        <w:ind w:left="567" w:hanging="567"/>
        <w:rPr>
          <w:lang w:val="lt-LT"/>
        </w:rPr>
      </w:pPr>
      <w:r w:rsidRPr="000F3553">
        <w:rPr>
          <w:b/>
          <w:lang w:val="lt-LT"/>
        </w:rPr>
        <w:t xml:space="preserve">odos </w:t>
      </w:r>
      <w:r w:rsidR="0059070D">
        <w:rPr>
          <w:b/>
          <w:lang w:val="lt-LT"/>
        </w:rPr>
        <w:t>iš</w:t>
      </w:r>
      <w:r w:rsidRPr="000F3553">
        <w:rPr>
          <w:b/>
          <w:lang w:val="lt-LT"/>
        </w:rPr>
        <w:t>bėrimas</w:t>
      </w:r>
      <w:r w:rsidRPr="000F3553">
        <w:rPr>
          <w:lang w:val="lt-LT"/>
        </w:rPr>
        <w:t xml:space="preserve">, kuris gali apsitraukti </w:t>
      </w:r>
      <w:r w:rsidRPr="000F3553">
        <w:rPr>
          <w:b/>
          <w:lang w:val="lt-LT"/>
        </w:rPr>
        <w:t>pūslėmis</w:t>
      </w:r>
      <w:r w:rsidRPr="000F3553">
        <w:rPr>
          <w:lang w:val="lt-LT"/>
        </w:rPr>
        <w:t xml:space="preserve"> ar atrodyti kaip </w:t>
      </w:r>
      <w:r w:rsidRPr="000F3553">
        <w:rPr>
          <w:b/>
          <w:lang w:val="lt-LT"/>
        </w:rPr>
        <w:t>maži taikiniai</w:t>
      </w:r>
      <w:r w:rsidRPr="000F3553">
        <w:rPr>
          <w:lang w:val="lt-LT"/>
        </w:rPr>
        <w:t xml:space="preserve"> (centre tamsus taškas, apsuptas blyškesnės srities, o iš krašto apjuostas tamsaus žiedo);</w:t>
      </w:r>
    </w:p>
    <w:p w14:paraId="10F86A9C" w14:textId="04AC188A" w:rsidR="00922D8A" w:rsidRPr="0063352A" w:rsidRDefault="00922D8A" w:rsidP="00857812">
      <w:pPr>
        <w:pStyle w:val="Bullet"/>
        <w:numPr>
          <w:ilvl w:val="0"/>
          <w:numId w:val="30"/>
        </w:numPr>
        <w:tabs>
          <w:tab w:val="left" w:pos="567"/>
        </w:tabs>
        <w:spacing w:before="0"/>
        <w:ind w:left="567" w:hanging="567"/>
        <w:rPr>
          <w:lang w:val="lt-LT"/>
        </w:rPr>
      </w:pPr>
      <w:r w:rsidRPr="000F3553">
        <w:rPr>
          <w:b/>
          <w:lang w:val="lt-LT"/>
        </w:rPr>
        <w:t xml:space="preserve">išplitęs </w:t>
      </w:r>
      <w:r w:rsidR="0059070D">
        <w:rPr>
          <w:b/>
          <w:lang w:val="lt-LT"/>
        </w:rPr>
        <w:t>iš</w:t>
      </w:r>
      <w:r w:rsidRPr="000F3553">
        <w:rPr>
          <w:b/>
          <w:lang w:val="lt-LT"/>
        </w:rPr>
        <w:t>bėrimas</w:t>
      </w:r>
      <w:r w:rsidRPr="000F3553">
        <w:rPr>
          <w:lang w:val="lt-LT"/>
        </w:rPr>
        <w:t xml:space="preserve"> su </w:t>
      </w:r>
      <w:r w:rsidRPr="000F3553">
        <w:rPr>
          <w:b/>
          <w:lang w:val="lt-LT"/>
        </w:rPr>
        <w:t>pūslėmis</w:t>
      </w:r>
      <w:r w:rsidRPr="000F3553">
        <w:rPr>
          <w:lang w:val="lt-LT"/>
        </w:rPr>
        <w:t xml:space="preserve"> ir </w:t>
      </w:r>
      <w:r w:rsidRPr="000F3553">
        <w:rPr>
          <w:b/>
          <w:lang w:val="lt-LT"/>
        </w:rPr>
        <w:t>odos lupimusi</w:t>
      </w:r>
      <w:r w:rsidRPr="000F3553">
        <w:rPr>
          <w:lang w:val="lt-LT"/>
        </w:rPr>
        <w:t xml:space="preserve"> (tai gali būti </w:t>
      </w:r>
      <w:r w:rsidR="0063352A">
        <w:rPr>
          <w:lang w:val="lt-LT"/>
        </w:rPr>
        <w:t xml:space="preserve">Stivenso-Džonsono </w:t>
      </w:r>
      <w:r w:rsidR="0063352A" w:rsidRPr="0063352A">
        <w:rPr>
          <w:lang w:val="lt-LT"/>
        </w:rPr>
        <w:t>(</w:t>
      </w:r>
      <w:r w:rsidRPr="00857812">
        <w:rPr>
          <w:lang w:val="lt-LT"/>
        </w:rPr>
        <w:t>Stevens-Johnson</w:t>
      </w:r>
      <w:r w:rsidR="0063352A" w:rsidRPr="00AE79A1">
        <w:rPr>
          <w:lang w:val="lt-LT"/>
        </w:rPr>
        <w:t>)</w:t>
      </w:r>
      <w:r w:rsidRPr="00857812">
        <w:rPr>
          <w:lang w:val="lt-LT"/>
        </w:rPr>
        <w:t xml:space="preserve"> sindromo</w:t>
      </w:r>
      <w:r w:rsidRPr="0063352A">
        <w:rPr>
          <w:lang w:val="lt-LT"/>
        </w:rPr>
        <w:t xml:space="preserve"> arba </w:t>
      </w:r>
      <w:r w:rsidRPr="00857812">
        <w:rPr>
          <w:lang w:val="lt-LT"/>
        </w:rPr>
        <w:t xml:space="preserve">toksinės epidermio nekrolizės </w:t>
      </w:r>
      <w:r w:rsidRPr="0063352A">
        <w:rPr>
          <w:lang w:val="lt-LT"/>
        </w:rPr>
        <w:t>požymiai).</w:t>
      </w:r>
    </w:p>
    <w:p w14:paraId="251EA762" w14:textId="77777777" w:rsidR="00922D8A" w:rsidRPr="001D5FF7" w:rsidRDefault="00922D8A" w:rsidP="00857812">
      <w:pPr>
        <w:pStyle w:val="Bullet"/>
        <w:numPr>
          <w:ilvl w:val="0"/>
          <w:numId w:val="0"/>
        </w:numPr>
        <w:tabs>
          <w:tab w:val="left" w:pos="0"/>
        </w:tabs>
        <w:spacing w:before="0"/>
        <w:jc w:val="both"/>
        <w:rPr>
          <w:lang w:val="lt-LT"/>
        </w:rPr>
      </w:pPr>
    </w:p>
    <w:p w14:paraId="240823BC" w14:textId="77777777" w:rsidR="00922D8A" w:rsidRPr="001D5FF7" w:rsidRDefault="00922D8A" w:rsidP="00857812">
      <w:pPr>
        <w:pStyle w:val="Bullet"/>
        <w:numPr>
          <w:ilvl w:val="0"/>
          <w:numId w:val="0"/>
        </w:numPr>
        <w:tabs>
          <w:tab w:val="left" w:pos="0"/>
        </w:tabs>
        <w:spacing w:before="0"/>
        <w:jc w:val="both"/>
        <w:rPr>
          <w:b/>
          <w:lang w:val="fi-FI"/>
        </w:rPr>
      </w:pPr>
      <w:r w:rsidRPr="00857812">
        <w:rPr>
          <w:b/>
          <w:lang w:val="lt-LT"/>
        </w:rPr>
        <w:t>Kitos būklės, į kurias reikia atkreipti dėmesį vartojant Zinnat, yra</w:t>
      </w:r>
    </w:p>
    <w:p w14:paraId="674FA18F" w14:textId="77777777" w:rsidR="00922D8A" w:rsidRPr="001D5FF7" w:rsidRDefault="00922D8A" w:rsidP="00857812">
      <w:pPr>
        <w:pStyle w:val="Bullet"/>
        <w:numPr>
          <w:ilvl w:val="0"/>
          <w:numId w:val="18"/>
        </w:numPr>
        <w:tabs>
          <w:tab w:val="clear" w:pos="284"/>
          <w:tab w:val="num" w:pos="561"/>
        </w:tabs>
        <w:spacing w:before="0"/>
        <w:ind w:left="561" w:hanging="561"/>
        <w:rPr>
          <w:lang w:val="lt-LT"/>
        </w:rPr>
      </w:pPr>
      <w:r w:rsidRPr="00857812">
        <w:rPr>
          <w:b/>
          <w:color w:val="000000"/>
          <w:lang w:val="lt-LT"/>
        </w:rPr>
        <w:t xml:space="preserve">grybelių sukelta infekcinė liga. </w:t>
      </w:r>
      <w:r w:rsidRPr="00857812">
        <w:rPr>
          <w:lang w:val="lt-LT"/>
        </w:rPr>
        <w:t>Į Zinnat panašūs vaistai gali sukelti pernelyg didelį mieliagrybių (</w:t>
      </w:r>
      <w:r w:rsidRPr="00857812">
        <w:rPr>
          <w:i/>
          <w:lang w:val="lt-LT"/>
        </w:rPr>
        <w:t>Candida</w:t>
      </w:r>
      <w:r w:rsidRPr="00857812">
        <w:rPr>
          <w:lang w:val="lt-LT"/>
        </w:rPr>
        <w:t>) dauginimąsi organizme ir sukelti grybelinę infekcinę ligą (pvz., pienligę). Toks šalutinis poveikis labiau tikėtinas, jeigu Zinnat vartojate ilgą laiką;</w:t>
      </w:r>
    </w:p>
    <w:p w14:paraId="74F5E8FA" w14:textId="77777777" w:rsidR="00922D8A" w:rsidRPr="001D5FF7" w:rsidRDefault="00922D8A" w:rsidP="00857812">
      <w:pPr>
        <w:pStyle w:val="Bullet"/>
        <w:numPr>
          <w:ilvl w:val="0"/>
          <w:numId w:val="18"/>
        </w:numPr>
        <w:tabs>
          <w:tab w:val="clear" w:pos="284"/>
          <w:tab w:val="num" w:pos="561"/>
        </w:tabs>
        <w:spacing w:before="0"/>
        <w:ind w:left="561" w:hanging="561"/>
        <w:rPr>
          <w:lang w:val="lt-LT"/>
        </w:rPr>
      </w:pPr>
      <w:r w:rsidRPr="00857812">
        <w:rPr>
          <w:b/>
          <w:lang w:val="lt-LT"/>
        </w:rPr>
        <w:t>sunkus viduriavimas (</w:t>
      </w:r>
      <w:r w:rsidRPr="00857812">
        <w:rPr>
          <w:b/>
          <w:i/>
          <w:lang w:val="lt-LT"/>
        </w:rPr>
        <w:t>pseudomembraninis kolitas</w:t>
      </w:r>
      <w:r w:rsidRPr="00857812">
        <w:rPr>
          <w:b/>
          <w:lang w:val="lt-LT"/>
        </w:rPr>
        <w:t xml:space="preserve">). </w:t>
      </w:r>
      <w:r w:rsidRPr="00857812">
        <w:rPr>
          <w:lang w:val="lt-LT"/>
        </w:rPr>
        <w:t>Į Zinnat panašūs vaistai gali sukelti gaubtinės (storosios) žarnos uždegimą, sukeldami sunkų viduriavimą, paprastai su krauju ir gleivėmis, pilvo skausmu, karščiavimu;</w:t>
      </w:r>
    </w:p>
    <w:p w14:paraId="18F7AC98" w14:textId="77777777" w:rsidR="00922D8A" w:rsidRPr="001D5FF7" w:rsidRDefault="00922D8A" w:rsidP="00857812">
      <w:pPr>
        <w:pStyle w:val="Bullet"/>
        <w:numPr>
          <w:ilvl w:val="0"/>
          <w:numId w:val="18"/>
        </w:numPr>
        <w:tabs>
          <w:tab w:val="clear" w:pos="284"/>
          <w:tab w:val="num" w:pos="561"/>
        </w:tabs>
        <w:spacing w:before="0"/>
        <w:ind w:left="561" w:hanging="561"/>
        <w:rPr>
          <w:lang w:val="lt-LT"/>
        </w:rPr>
      </w:pPr>
      <w:r w:rsidRPr="00857812">
        <w:rPr>
          <w:b/>
          <w:i/>
          <w:lang w:val="lt-LT"/>
        </w:rPr>
        <w:t>Jarisch-Herxheimer</w:t>
      </w:r>
      <w:r w:rsidRPr="00857812">
        <w:rPr>
          <w:b/>
          <w:lang w:val="lt-LT"/>
        </w:rPr>
        <w:t xml:space="preserve"> reakcija. </w:t>
      </w:r>
      <w:r w:rsidRPr="00857812">
        <w:rPr>
          <w:lang w:val="lt-LT"/>
        </w:rPr>
        <w:t xml:space="preserve">Kai kuriems Zinnat gydytiems Laimo liga sergantiems pacientams labai padidėjo kūno temperatūra (pasireiškė karščiavimas), pasireiškė šaltkrėtis, galvos skausmas, raumenų skausmas ir odos </w:t>
      </w:r>
      <w:r w:rsidR="0059070D" w:rsidRPr="00857812">
        <w:rPr>
          <w:lang w:val="lt-LT"/>
        </w:rPr>
        <w:t>iš</w:t>
      </w:r>
      <w:r w:rsidRPr="00857812">
        <w:rPr>
          <w:lang w:val="lt-LT"/>
        </w:rPr>
        <w:t xml:space="preserve">bėrimas. Tai vadinamoji </w:t>
      </w:r>
      <w:r w:rsidRPr="00857812">
        <w:rPr>
          <w:i/>
          <w:lang w:val="lt-LT"/>
        </w:rPr>
        <w:t>Jarisch-Herxheimer reakcija.</w:t>
      </w:r>
      <w:r w:rsidRPr="00857812">
        <w:rPr>
          <w:lang w:val="lt-LT"/>
        </w:rPr>
        <w:t xml:space="preserve"> Simptomų paprastai būna keletą valandų ar ne ilgiau kaip vieną parą.</w:t>
      </w:r>
    </w:p>
    <w:p w14:paraId="70A4FABD" w14:textId="77777777" w:rsidR="00922D8A" w:rsidRPr="008661CD" w:rsidRDefault="00922D8A" w:rsidP="00857812">
      <w:pPr>
        <w:numPr>
          <w:ilvl w:val="0"/>
          <w:numId w:val="16"/>
        </w:numPr>
        <w:jc w:val="both"/>
        <w:rPr>
          <w:b/>
        </w:rPr>
      </w:pPr>
      <w:r w:rsidRPr="008661CD">
        <w:rPr>
          <w:b/>
          <w:color w:val="000000"/>
        </w:rPr>
        <w:t>Jeigu pasireiškė kuris nors iš šių simptomų, apie tai nedelsdami pasakykite gydytojui arba slaugytojai</w:t>
      </w:r>
      <w:r w:rsidRPr="008661CD">
        <w:t>.</w:t>
      </w:r>
    </w:p>
    <w:p w14:paraId="0434155B" w14:textId="77777777" w:rsidR="00922D8A" w:rsidRPr="009C0DB0" w:rsidRDefault="00922D8A" w:rsidP="009C0DB0">
      <w:pPr>
        <w:tabs>
          <w:tab w:val="left" w:pos="-720"/>
          <w:tab w:val="left" w:pos="0"/>
          <w:tab w:val="left" w:pos="540"/>
          <w:tab w:val="left" w:pos="2160"/>
          <w:tab w:val="left" w:pos="2880"/>
          <w:tab w:val="left" w:pos="3600"/>
          <w:tab w:val="left" w:pos="4320"/>
        </w:tabs>
        <w:autoSpaceDE w:val="0"/>
        <w:autoSpaceDN w:val="0"/>
        <w:adjustRightInd w:val="0"/>
      </w:pPr>
    </w:p>
    <w:p w14:paraId="5D23FEBA" w14:textId="38022CA6" w:rsidR="00922D8A" w:rsidRPr="001D5FF7" w:rsidRDefault="00922D8A" w:rsidP="00857812">
      <w:pPr>
        <w:pStyle w:val="NoNumHead2"/>
        <w:rPr>
          <w:lang w:val="lt-LT"/>
        </w:rPr>
      </w:pPr>
      <w:r w:rsidRPr="00AE79A1">
        <w:rPr>
          <w:lang w:val="lt-LT"/>
        </w:rPr>
        <w:t>Dažn</w:t>
      </w:r>
      <w:r w:rsidR="00620876" w:rsidRPr="00AE79A1">
        <w:rPr>
          <w:lang w:val="lt-LT"/>
        </w:rPr>
        <w:t>i</w:t>
      </w:r>
      <w:r w:rsidRPr="00AE79A1">
        <w:rPr>
          <w:lang w:val="lt-LT"/>
        </w:rPr>
        <w:t xml:space="preserve"> šalutini</w:t>
      </w:r>
      <w:r w:rsidR="00620876" w:rsidRPr="00AE79A1">
        <w:rPr>
          <w:lang w:val="lt-LT"/>
        </w:rPr>
        <w:t>o</w:t>
      </w:r>
      <w:r w:rsidRPr="00AE79A1">
        <w:rPr>
          <w:lang w:val="lt-LT"/>
        </w:rPr>
        <w:t xml:space="preserve"> poveiki</w:t>
      </w:r>
      <w:r w:rsidR="00620876" w:rsidRPr="00AE79A1">
        <w:rPr>
          <w:lang w:val="lt-LT"/>
        </w:rPr>
        <w:t>o reiškiniai</w:t>
      </w:r>
      <w:r w:rsidR="003E09E0" w:rsidRPr="00857812">
        <w:rPr>
          <w:lang w:val="lt-LT"/>
        </w:rPr>
        <w:t xml:space="preserve"> (gali pasireikšti</w:t>
      </w:r>
      <w:r w:rsidR="00A6367E" w:rsidRPr="00857812">
        <w:rPr>
          <w:lang w:val="lt-LT"/>
        </w:rPr>
        <w:t xml:space="preserve"> rečiau kaip 1 iš 10 asmenų):</w:t>
      </w:r>
    </w:p>
    <w:p w14:paraId="2D3A47F8" w14:textId="77777777" w:rsidR="00922D8A" w:rsidRPr="00772556" w:rsidRDefault="00922D8A" w:rsidP="000F3553">
      <w:pPr>
        <w:pStyle w:val="centhead12"/>
        <w:keepNext w:val="0"/>
        <w:numPr>
          <w:ilvl w:val="0"/>
          <w:numId w:val="11"/>
        </w:numPr>
        <w:tabs>
          <w:tab w:val="clear" w:pos="907"/>
          <w:tab w:val="num" w:pos="561"/>
        </w:tabs>
        <w:spacing w:after="0"/>
        <w:ind w:left="714" w:hanging="714"/>
        <w:jc w:val="left"/>
        <w:rPr>
          <w:rFonts w:ascii="Times New Roman" w:hAnsi="Times New Roman"/>
          <w:b w:val="0"/>
          <w:color w:val="000000"/>
          <w:sz w:val="22"/>
          <w:lang w:val="lt-LT"/>
        </w:rPr>
      </w:pPr>
      <w:r w:rsidRPr="000F3553">
        <w:rPr>
          <w:rFonts w:ascii="Times New Roman" w:hAnsi="Times New Roman"/>
          <w:b w:val="0"/>
          <w:color w:val="000000"/>
          <w:sz w:val="22"/>
          <w:lang w:val="lt-LT"/>
        </w:rPr>
        <w:t xml:space="preserve">grybelių (pvz., </w:t>
      </w:r>
      <w:r w:rsidRPr="000F3553">
        <w:rPr>
          <w:rFonts w:ascii="Times New Roman" w:hAnsi="Times New Roman"/>
          <w:b w:val="0"/>
          <w:i/>
          <w:color w:val="000000"/>
          <w:sz w:val="22"/>
          <w:lang w:val="lt-LT"/>
        </w:rPr>
        <w:t>Candida</w:t>
      </w:r>
      <w:r w:rsidRPr="000F3553">
        <w:rPr>
          <w:rFonts w:ascii="Times New Roman" w:hAnsi="Times New Roman"/>
          <w:b w:val="0"/>
          <w:color w:val="000000"/>
          <w:sz w:val="22"/>
          <w:lang w:val="lt-LT"/>
        </w:rPr>
        <w:t>) sukeltos infekcinės ligos;</w:t>
      </w:r>
    </w:p>
    <w:p w14:paraId="2FE7D1EE" w14:textId="77777777" w:rsidR="00922D8A" w:rsidRPr="009C0DB0" w:rsidRDefault="00922D8A" w:rsidP="000F3553">
      <w:pPr>
        <w:pStyle w:val="centhead12"/>
        <w:keepNext w:val="0"/>
        <w:numPr>
          <w:ilvl w:val="0"/>
          <w:numId w:val="11"/>
        </w:numPr>
        <w:tabs>
          <w:tab w:val="clear" w:pos="907"/>
          <w:tab w:val="num" w:pos="561"/>
        </w:tabs>
        <w:spacing w:after="0"/>
        <w:ind w:left="714" w:hanging="714"/>
        <w:jc w:val="left"/>
        <w:rPr>
          <w:rFonts w:ascii="Times New Roman" w:hAnsi="Times New Roman"/>
          <w:b w:val="0"/>
          <w:sz w:val="22"/>
        </w:rPr>
      </w:pPr>
      <w:r w:rsidRPr="00114810">
        <w:rPr>
          <w:rFonts w:ascii="Times New Roman" w:hAnsi="Times New Roman"/>
          <w:b w:val="0"/>
          <w:sz w:val="22"/>
          <w:szCs w:val="22"/>
          <w:lang w:val="lt-LT"/>
        </w:rPr>
        <w:t>galvos skausmas;</w:t>
      </w:r>
    </w:p>
    <w:p w14:paraId="6B6D7352" w14:textId="0CD3BCE3" w:rsidR="00922D8A" w:rsidRPr="009C0DB0" w:rsidRDefault="00B90A3E" w:rsidP="000F3553">
      <w:pPr>
        <w:pStyle w:val="centhead12"/>
        <w:keepNext w:val="0"/>
        <w:numPr>
          <w:ilvl w:val="0"/>
          <w:numId w:val="11"/>
        </w:numPr>
        <w:tabs>
          <w:tab w:val="clear" w:pos="907"/>
          <w:tab w:val="num" w:pos="561"/>
        </w:tabs>
        <w:spacing w:after="0"/>
        <w:ind w:left="714" w:hanging="714"/>
        <w:jc w:val="left"/>
        <w:rPr>
          <w:rFonts w:ascii="Times New Roman" w:hAnsi="Times New Roman"/>
          <w:b w:val="0"/>
          <w:sz w:val="22"/>
        </w:rPr>
      </w:pPr>
      <w:r w:rsidRPr="00114810">
        <w:rPr>
          <w:rFonts w:ascii="Times New Roman" w:hAnsi="Times New Roman"/>
          <w:b w:val="0"/>
          <w:sz w:val="22"/>
          <w:szCs w:val="22"/>
          <w:lang w:val="lt-LT"/>
        </w:rPr>
        <w:t>svaigulys</w:t>
      </w:r>
      <w:r w:rsidR="00922D8A" w:rsidRPr="00114810">
        <w:rPr>
          <w:rFonts w:ascii="Times New Roman" w:hAnsi="Times New Roman"/>
          <w:b w:val="0"/>
          <w:sz w:val="22"/>
          <w:szCs w:val="22"/>
          <w:lang w:val="lt-LT"/>
        </w:rPr>
        <w:t>;</w:t>
      </w:r>
    </w:p>
    <w:p w14:paraId="60EE0527" w14:textId="77777777" w:rsidR="00922D8A" w:rsidRPr="009C0DB0" w:rsidRDefault="00922D8A" w:rsidP="000F3553">
      <w:pPr>
        <w:pStyle w:val="centhead12"/>
        <w:keepNext w:val="0"/>
        <w:numPr>
          <w:ilvl w:val="0"/>
          <w:numId w:val="11"/>
        </w:numPr>
        <w:tabs>
          <w:tab w:val="clear" w:pos="907"/>
          <w:tab w:val="num" w:pos="561"/>
        </w:tabs>
        <w:spacing w:after="0"/>
        <w:ind w:left="714" w:hanging="714"/>
        <w:jc w:val="left"/>
        <w:rPr>
          <w:rFonts w:ascii="Times New Roman" w:hAnsi="Times New Roman"/>
          <w:b w:val="0"/>
          <w:sz w:val="22"/>
        </w:rPr>
      </w:pPr>
      <w:r w:rsidRPr="00114810">
        <w:rPr>
          <w:rFonts w:ascii="Times New Roman" w:hAnsi="Times New Roman"/>
          <w:b w:val="0"/>
          <w:sz w:val="22"/>
          <w:szCs w:val="22"/>
          <w:lang w:val="lt-LT"/>
        </w:rPr>
        <w:t>viduriavimas;</w:t>
      </w:r>
    </w:p>
    <w:p w14:paraId="26488675" w14:textId="77777777" w:rsidR="00922D8A" w:rsidRPr="009C0DB0" w:rsidRDefault="00922D8A" w:rsidP="000F3553">
      <w:pPr>
        <w:pStyle w:val="centhead12"/>
        <w:keepNext w:val="0"/>
        <w:numPr>
          <w:ilvl w:val="0"/>
          <w:numId w:val="11"/>
        </w:numPr>
        <w:tabs>
          <w:tab w:val="clear" w:pos="907"/>
          <w:tab w:val="num" w:pos="561"/>
        </w:tabs>
        <w:spacing w:after="0"/>
        <w:ind w:left="714" w:hanging="714"/>
        <w:jc w:val="left"/>
        <w:rPr>
          <w:rFonts w:ascii="Times New Roman" w:hAnsi="Times New Roman"/>
          <w:b w:val="0"/>
          <w:sz w:val="22"/>
        </w:rPr>
      </w:pPr>
      <w:r w:rsidRPr="00114810">
        <w:rPr>
          <w:rFonts w:ascii="Times New Roman" w:hAnsi="Times New Roman"/>
          <w:b w:val="0"/>
          <w:sz w:val="22"/>
          <w:szCs w:val="22"/>
          <w:lang w:val="lt-LT"/>
        </w:rPr>
        <w:t>pykinimas;</w:t>
      </w:r>
    </w:p>
    <w:p w14:paraId="475AEF73" w14:textId="77777777" w:rsidR="00922D8A" w:rsidRPr="009C0DB0" w:rsidRDefault="00922D8A" w:rsidP="000F3553">
      <w:pPr>
        <w:pStyle w:val="centhead12"/>
        <w:keepNext w:val="0"/>
        <w:numPr>
          <w:ilvl w:val="0"/>
          <w:numId w:val="11"/>
        </w:numPr>
        <w:tabs>
          <w:tab w:val="clear" w:pos="907"/>
          <w:tab w:val="num" w:pos="561"/>
        </w:tabs>
        <w:spacing w:after="0"/>
        <w:ind w:left="714" w:hanging="714"/>
        <w:jc w:val="left"/>
        <w:rPr>
          <w:rFonts w:ascii="Times New Roman" w:hAnsi="Times New Roman"/>
          <w:b w:val="0"/>
          <w:sz w:val="22"/>
        </w:rPr>
      </w:pPr>
      <w:r w:rsidRPr="00114810">
        <w:rPr>
          <w:rFonts w:ascii="Times New Roman" w:hAnsi="Times New Roman"/>
          <w:b w:val="0"/>
          <w:sz w:val="22"/>
          <w:szCs w:val="22"/>
          <w:lang w:val="lt-LT"/>
        </w:rPr>
        <w:t>pilvo skausmas.</w:t>
      </w:r>
    </w:p>
    <w:p w14:paraId="06A0EA6B" w14:textId="77777777" w:rsidR="00922D8A" w:rsidRPr="008661CD" w:rsidRDefault="00922D8A" w:rsidP="008661CD"/>
    <w:p w14:paraId="664DC3F7" w14:textId="22400C60" w:rsidR="00922D8A" w:rsidRPr="008661CD" w:rsidRDefault="00A6367E" w:rsidP="008661CD">
      <w:pPr>
        <w:keepNext/>
        <w:autoSpaceDE w:val="0"/>
        <w:autoSpaceDN w:val="0"/>
        <w:adjustRightInd w:val="0"/>
      </w:pPr>
      <w:r w:rsidRPr="008661CD">
        <w:t>Dažn</w:t>
      </w:r>
      <w:r>
        <w:t>i</w:t>
      </w:r>
      <w:r w:rsidRPr="008661CD">
        <w:t xml:space="preserve"> </w:t>
      </w:r>
      <w:r w:rsidR="00922D8A" w:rsidRPr="008661CD">
        <w:t>šalutini</w:t>
      </w:r>
      <w:r>
        <w:t>o</w:t>
      </w:r>
      <w:r w:rsidRPr="00857812">
        <w:t xml:space="preserve"> poveikio reiškiniai</w:t>
      </w:r>
      <w:r w:rsidR="00922D8A" w:rsidRPr="00857812">
        <w:t xml:space="preserve">, </w:t>
      </w:r>
      <w:r w:rsidR="00922D8A" w:rsidRPr="008661CD">
        <w:t>kur</w:t>
      </w:r>
      <w:r w:rsidR="00D17021">
        <w:t>uos</w:t>
      </w:r>
      <w:r w:rsidR="00922D8A" w:rsidRPr="00857812">
        <w:t xml:space="preserve"> gali rodyti kraujo tyrimai:</w:t>
      </w:r>
    </w:p>
    <w:p w14:paraId="5063C44E" w14:textId="77777777" w:rsidR="00922D8A" w:rsidRPr="008661CD" w:rsidRDefault="00922D8A" w:rsidP="008661CD">
      <w:pPr>
        <w:keepNext/>
        <w:autoSpaceDE w:val="0"/>
        <w:autoSpaceDN w:val="0"/>
        <w:adjustRightInd w:val="0"/>
      </w:pPr>
    </w:p>
    <w:p w14:paraId="1E6EBB8E" w14:textId="77777777" w:rsidR="00922D8A" w:rsidRPr="009C0DB0" w:rsidRDefault="00922D8A" w:rsidP="000F3553">
      <w:pPr>
        <w:pStyle w:val="centhead12"/>
        <w:keepNext w:val="0"/>
        <w:numPr>
          <w:ilvl w:val="0"/>
          <w:numId w:val="11"/>
        </w:numPr>
        <w:tabs>
          <w:tab w:val="clear" w:pos="907"/>
          <w:tab w:val="num" w:pos="561"/>
        </w:tabs>
        <w:spacing w:after="0"/>
        <w:ind w:left="720" w:hanging="720"/>
        <w:jc w:val="left"/>
        <w:rPr>
          <w:rFonts w:ascii="Times New Roman" w:hAnsi="Times New Roman"/>
          <w:b w:val="0"/>
          <w:sz w:val="22"/>
          <w:lang w:val="lt-LT"/>
        </w:rPr>
      </w:pPr>
      <w:r w:rsidRPr="000F3553">
        <w:rPr>
          <w:rFonts w:ascii="Times New Roman" w:hAnsi="Times New Roman"/>
          <w:b w:val="0"/>
          <w:sz w:val="22"/>
          <w:lang w:val="lt-LT"/>
        </w:rPr>
        <w:t xml:space="preserve">tam tikros rūšies baltųjų </w:t>
      </w:r>
      <w:r w:rsidRPr="00114810">
        <w:rPr>
          <w:rFonts w:ascii="Times New Roman" w:hAnsi="Times New Roman"/>
          <w:b w:val="0"/>
          <w:sz w:val="22"/>
          <w:szCs w:val="22"/>
          <w:lang w:val="lt-LT"/>
        </w:rPr>
        <w:t>kraujo ląstelių kiekio padidėjimas (</w:t>
      </w:r>
      <w:r w:rsidRPr="00114810">
        <w:rPr>
          <w:rFonts w:ascii="Times New Roman" w:hAnsi="Times New Roman"/>
          <w:b w:val="0"/>
          <w:i/>
          <w:sz w:val="22"/>
          <w:szCs w:val="22"/>
          <w:lang w:val="lt-LT"/>
        </w:rPr>
        <w:t>eozinofilija</w:t>
      </w:r>
      <w:r w:rsidRPr="00114810">
        <w:rPr>
          <w:rFonts w:ascii="Times New Roman" w:hAnsi="Times New Roman"/>
          <w:b w:val="0"/>
          <w:sz w:val="22"/>
          <w:szCs w:val="22"/>
          <w:lang w:val="lt-LT"/>
        </w:rPr>
        <w:t>);</w:t>
      </w:r>
    </w:p>
    <w:p w14:paraId="191DFA8C" w14:textId="77777777" w:rsidR="00922D8A" w:rsidRPr="009C0DB0" w:rsidRDefault="00922D8A" w:rsidP="000F3553">
      <w:pPr>
        <w:pStyle w:val="centhead12"/>
        <w:keepNext w:val="0"/>
        <w:numPr>
          <w:ilvl w:val="0"/>
          <w:numId w:val="11"/>
        </w:numPr>
        <w:tabs>
          <w:tab w:val="clear" w:pos="907"/>
          <w:tab w:val="num" w:pos="561"/>
        </w:tabs>
        <w:spacing w:after="0"/>
        <w:ind w:left="720" w:hanging="720"/>
        <w:jc w:val="left"/>
        <w:rPr>
          <w:rFonts w:ascii="Times New Roman" w:hAnsi="Times New Roman"/>
          <w:b w:val="0"/>
          <w:color w:val="000000"/>
          <w:sz w:val="22"/>
        </w:rPr>
      </w:pPr>
      <w:r w:rsidRPr="00114810">
        <w:rPr>
          <w:rFonts w:ascii="Times New Roman" w:hAnsi="Times New Roman"/>
          <w:b w:val="0"/>
          <w:color w:val="000000"/>
          <w:sz w:val="22"/>
          <w:szCs w:val="22"/>
          <w:lang w:val="lt-LT"/>
        </w:rPr>
        <w:t>kepenų fermentų suaktyvėjimas.</w:t>
      </w:r>
    </w:p>
    <w:p w14:paraId="2E219D09" w14:textId="77777777" w:rsidR="00922D8A" w:rsidRPr="00114810" w:rsidRDefault="00922D8A" w:rsidP="008661CD">
      <w:pPr>
        <w:rPr>
          <w:szCs w:val="22"/>
        </w:rPr>
      </w:pPr>
    </w:p>
    <w:p w14:paraId="08E81DDB" w14:textId="4ED0D7E9" w:rsidR="00A6367E" w:rsidRPr="001D5FF7" w:rsidRDefault="00A21353" w:rsidP="00857812">
      <w:pPr>
        <w:pStyle w:val="NoNumHead2"/>
        <w:rPr>
          <w:lang w:val="lt-LT"/>
        </w:rPr>
      </w:pPr>
      <w:r w:rsidRPr="001D5FF7">
        <w:rPr>
          <w:lang w:val="lt-LT"/>
        </w:rPr>
        <w:t>Nedažni šalutino poveikio reiškiniai</w:t>
      </w:r>
      <w:r w:rsidRPr="00857812">
        <w:rPr>
          <w:lang w:val="lt-LT"/>
        </w:rPr>
        <w:t xml:space="preserve"> (</w:t>
      </w:r>
      <w:r w:rsidR="00A6367E" w:rsidRPr="00857812">
        <w:rPr>
          <w:lang w:val="lt-LT"/>
        </w:rPr>
        <w:t>gali pasireikšti rečiau kaip 1 iš 100 asmenų):</w:t>
      </w:r>
    </w:p>
    <w:p w14:paraId="0E1105CB" w14:textId="77777777" w:rsidR="00922D8A" w:rsidRPr="008661CD" w:rsidRDefault="00922D8A" w:rsidP="000F3553">
      <w:pPr>
        <w:numPr>
          <w:ilvl w:val="0"/>
          <w:numId w:val="13"/>
        </w:numPr>
        <w:tabs>
          <w:tab w:val="clear" w:pos="720"/>
          <w:tab w:val="num" w:pos="561"/>
        </w:tabs>
        <w:ind w:hanging="720"/>
      </w:pPr>
      <w:r w:rsidRPr="008661CD">
        <w:t>vėmimas;</w:t>
      </w:r>
    </w:p>
    <w:p w14:paraId="3E17EBE0" w14:textId="77777777" w:rsidR="00922D8A" w:rsidRPr="008661CD" w:rsidRDefault="00922D8A" w:rsidP="000F3553">
      <w:pPr>
        <w:numPr>
          <w:ilvl w:val="0"/>
          <w:numId w:val="13"/>
        </w:numPr>
        <w:tabs>
          <w:tab w:val="clear" w:pos="720"/>
          <w:tab w:val="num" w:pos="561"/>
        </w:tabs>
        <w:ind w:hanging="720"/>
      </w:pPr>
      <w:r w:rsidRPr="008661CD">
        <w:t xml:space="preserve">odos </w:t>
      </w:r>
      <w:r w:rsidR="0059070D">
        <w:t>iš</w:t>
      </w:r>
      <w:r w:rsidRPr="008661CD">
        <w:t>bėrimai.</w:t>
      </w:r>
    </w:p>
    <w:p w14:paraId="36C0D3E1" w14:textId="77777777" w:rsidR="00922D8A" w:rsidRPr="008661CD" w:rsidRDefault="00922D8A" w:rsidP="009C0DB0"/>
    <w:p w14:paraId="1E8D40F9" w14:textId="68BFDC23" w:rsidR="00922D8A" w:rsidRPr="008661CD" w:rsidRDefault="00D17021" w:rsidP="008661CD">
      <w:pPr>
        <w:keepNext/>
        <w:autoSpaceDE w:val="0"/>
        <w:autoSpaceDN w:val="0"/>
        <w:adjustRightInd w:val="0"/>
      </w:pPr>
      <w:r w:rsidRPr="008661CD">
        <w:t>Nedažn</w:t>
      </w:r>
      <w:r>
        <w:t>i</w:t>
      </w:r>
      <w:r w:rsidRPr="008661CD">
        <w:t xml:space="preserve"> šalutini</w:t>
      </w:r>
      <w:r>
        <w:t>o</w:t>
      </w:r>
      <w:r w:rsidRPr="008661CD">
        <w:t xml:space="preserve"> poveiki</w:t>
      </w:r>
      <w:r>
        <w:t xml:space="preserve">o </w:t>
      </w:r>
      <w:r w:rsidRPr="00857812">
        <w:t>reiškiniai</w:t>
      </w:r>
      <w:r w:rsidR="00922D8A" w:rsidRPr="008661CD">
        <w:t>, kur</w:t>
      </w:r>
      <w:r>
        <w:t>iuos</w:t>
      </w:r>
      <w:r w:rsidR="00922D8A" w:rsidRPr="008661CD">
        <w:t xml:space="preserve"> gali rodyti kraujo tyrimai:</w:t>
      </w:r>
    </w:p>
    <w:p w14:paraId="2C0248F4" w14:textId="77777777" w:rsidR="00922D8A" w:rsidRPr="008661CD" w:rsidRDefault="00922D8A" w:rsidP="008661CD">
      <w:pPr>
        <w:keepNext/>
        <w:autoSpaceDE w:val="0"/>
        <w:autoSpaceDN w:val="0"/>
        <w:adjustRightInd w:val="0"/>
      </w:pPr>
    </w:p>
    <w:p w14:paraId="6EB590D4" w14:textId="77777777" w:rsidR="00922D8A" w:rsidRPr="008661CD" w:rsidRDefault="00922D8A" w:rsidP="000F3553">
      <w:pPr>
        <w:numPr>
          <w:ilvl w:val="0"/>
          <w:numId w:val="13"/>
        </w:numPr>
        <w:tabs>
          <w:tab w:val="clear" w:pos="720"/>
          <w:tab w:val="num" w:pos="561"/>
        </w:tabs>
        <w:ind w:hanging="720"/>
        <w:rPr>
          <w:i/>
        </w:rPr>
      </w:pPr>
      <w:r w:rsidRPr="008661CD">
        <w:t>kraujo plokštelių kiekio sumažėjimas (ląstelių, kurios padeda kraujui krešėti)</w:t>
      </w:r>
    </w:p>
    <w:p w14:paraId="46820D33" w14:textId="77777777" w:rsidR="00922D8A" w:rsidRPr="008661CD" w:rsidRDefault="00922D8A" w:rsidP="000F3553">
      <w:pPr>
        <w:numPr>
          <w:ilvl w:val="0"/>
          <w:numId w:val="13"/>
        </w:numPr>
        <w:tabs>
          <w:tab w:val="clear" w:pos="720"/>
          <w:tab w:val="num" w:pos="561"/>
        </w:tabs>
        <w:ind w:hanging="720"/>
      </w:pPr>
      <w:r w:rsidRPr="008661CD">
        <w:t>baltųjų kraujo ląstelių kiekio sumažėjimas;</w:t>
      </w:r>
    </w:p>
    <w:p w14:paraId="064144DB" w14:textId="77777777" w:rsidR="00922D8A" w:rsidRPr="008661CD" w:rsidRDefault="00922D8A" w:rsidP="000F3553">
      <w:pPr>
        <w:numPr>
          <w:ilvl w:val="0"/>
          <w:numId w:val="13"/>
        </w:numPr>
        <w:tabs>
          <w:tab w:val="clear" w:pos="720"/>
          <w:tab w:val="num" w:pos="561"/>
        </w:tabs>
        <w:ind w:hanging="720"/>
      </w:pPr>
      <w:r w:rsidRPr="008661CD">
        <w:lastRenderedPageBreak/>
        <w:t>teigiamas Kumbso mėginys.</w:t>
      </w:r>
    </w:p>
    <w:p w14:paraId="10FB4B8B" w14:textId="77777777" w:rsidR="00922D8A" w:rsidRPr="008661CD" w:rsidRDefault="00922D8A" w:rsidP="009C0DB0"/>
    <w:p w14:paraId="44D724EF" w14:textId="6B09F1CE" w:rsidR="00922D8A" w:rsidRPr="008661CD" w:rsidRDefault="004E4257" w:rsidP="008661CD">
      <w:pPr>
        <w:autoSpaceDE w:val="0"/>
        <w:autoSpaceDN w:val="0"/>
        <w:adjustRightInd w:val="0"/>
        <w:spacing w:after="120"/>
      </w:pPr>
      <w:r w:rsidRPr="00857812">
        <w:rPr>
          <w:b/>
        </w:rPr>
        <w:t>Šalutinio poveikio reiškiniai</w:t>
      </w:r>
      <w:r w:rsidRPr="00AA4BD0">
        <w:rPr>
          <w:b/>
          <w:bCs/>
          <w:noProof/>
          <w:snapToGrid w:val="0"/>
          <w:szCs w:val="22"/>
        </w:rPr>
        <w:t>, kurių dažnis nežinomas (negali būti apskaičiuotas pagal turimus duomenis):</w:t>
      </w:r>
    </w:p>
    <w:p w14:paraId="0CB0C2DD" w14:textId="77777777" w:rsidR="00922D8A" w:rsidRPr="008661CD" w:rsidRDefault="00922D8A" w:rsidP="00857812">
      <w:pPr>
        <w:numPr>
          <w:ilvl w:val="0"/>
          <w:numId w:val="15"/>
        </w:numPr>
        <w:tabs>
          <w:tab w:val="clear" w:pos="720"/>
          <w:tab w:val="num" w:pos="561"/>
        </w:tabs>
        <w:ind w:left="561" w:hanging="561"/>
      </w:pPr>
      <w:r w:rsidRPr="008661CD">
        <w:t>sunkus viduriavimas (</w:t>
      </w:r>
      <w:r w:rsidRPr="008661CD">
        <w:rPr>
          <w:i/>
        </w:rPr>
        <w:t>pseudomembraninis kolitas</w:t>
      </w:r>
      <w:r w:rsidRPr="008661CD">
        <w:t>);</w:t>
      </w:r>
    </w:p>
    <w:p w14:paraId="74304A2F" w14:textId="77777777" w:rsidR="00922D8A" w:rsidRPr="008661CD" w:rsidRDefault="00922D8A" w:rsidP="00857812">
      <w:pPr>
        <w:numPr>
          <w:ilvl w:val="0"/>
          <w:numId w:val="15"/>
        </w:numPr>
        <w:tabs>
          <w:tab w:val="clear" w:pos="720"/>
          <w:tab w:val="num" w:pos="561"/>
        </w:tabs>
        <w:ind w:left="561" w:hanging="561"/>
      </w:pPr>
      <w:r w:rsidRPr="008661CD">
        <w:t>alerginės reakcijos;</w:t>
      </w:r>
    </w:p>
    <w:p w14:paraId="7B9AEC39" w14:textId="77777777" w:rsidR="00922D8A" w:rsidRPr="008661CD" w:rsidRDefault="00922D8A" w:rsidP="00857812">
      <w:pPr>
        <w:numPr>
          <w:ilvl w:val="0"/>
          <w:numId w:val="15"/>
        </w:numPr>
        <w:tabs>
          <w:tab w:val="clear" w:pos="720"/>
          <w:tab w:val="num" w:pos="561"/>
        </w:tabs>
        <w:ind w:left="561" w:hanging="561"/>
      </w:pPr>
      <w:r w:rsidRPr="008661CD">
        <w:t>odos reakcijos (įskaitant sunkias);</w:t>
      </w:r>
    </w:p>
    <w:p w14:paraId="0165505B" w14:textId="77777777" w:rsidR="00922D8A" w:rsidRPr="008661CD" w:rsidRDefault="00922D8A" w:rsidP="00857812">
      <w:pPr>
        <w:numPr>
          <w:ilvl w:val="0"/>
          <w:numId w:val="15"/>
        </w:numPr>
        <w:tabs>
          <w:tab w:val="clear" w:pos="720"/>
          <w:tab w:val="num" w:pos="561"/>
        </w:tabs>
        <w:ind w:left="561" w:hanging="561"/>
      </w:pPr>
      <w:r w:rsidRPr="008661CD">
        <w:t>kūno temperatūros padidėjimas (</w:t>
      </w:r>
      <w:r w:rsidRPr="008661CD">
        <w:rPr>
          <w:i/>
        </w:rPr>
        <w:t>karščiavimas</w:t>
      </w:r>
      <w:r w:rsidRPr="008661CD">
        <w:t>);</w:t>
      </w:r>
    </w:p>
    <w:p w14:paraId="26C85A19" w14:textId="77777777" w:rsidR="00922D8A" w:rsidRPr="008661CD" w:rsidRDefault="00922D8A" w:rsidP="00857812">
      <w:pPr>
        <w:numPr>
          <w:ilvl w:val="0"/>
          <w:numId w:val="15"/>
        </w:numPr>
        <w:tabs>
          <w:tab w:val="clear" w:pos="720"/>
          <w:tab w:val="num" w:pos="561"/>
        </w:tabs>
        <w:ind w:left="561" w:hanging="561"/>
      </w:pPr>
      <w:r w:rsidRPr="008661CD">
        <w:t>akies baltymo ar odos pageltimas;</w:t>
      </w:r>
    </w:p>
    <w:p w14:paraId="6F353CE8" w14:textId="77777777" w:rsidR="00922D8A" w:rsidRPr="008661CD" w:rsidRDefault="00922D8A" w:rsidP="00857812">
      <w:pPr>
        <w:numPr>
          <w:ilvl w:val="0"/>
          <w:numId w:val="15"/>
        </w:numPr>
        <w:tabs>
          <w:tab w:val="clear" w:pos="720"/>
          <w:tab w:val="num" w:pos="561"/>
        </w:tabs>
        <w:ind w:left="561" w:hanging="561"/>
      </w:pPr>
      <w:r w:rsidRPr="008661CD">
        <w:t>kepenų uždegimas (</w:t>
      </w:r>
      <w:r w:rsidRPr="008661CD">
        <w:rPr>
          <w:i/>
        </w:rPr>
        <w:t>hepatitas</w:t>
      </w:r>
      <w:r w:rsidRPr="008661CD">
        <w:t>).</w:t>
      </w:r>
    </w:p>
    <w:p w14:paraId="686E9517" w14:textId="77777777" w:rsidR="00922D8A" w:rsidRPr="008661CD" w:rsidRDefault="00922D8A" w:rsidP="009C0DB0"/>
    <w:p w14:paraId="755A7EE0" w14:textId="54B98A3F" w:rsidR="00922D8A" w:rsidRPr="008661CD" w:rsidRDefault="00194D19" w:rsidP="008661CD">
      <w:pPr>
        <w:keepNext/>
        <w:autoSpaceDE w:val="0"/>
        <w:autoSpaceDN w:val="0"/>
        <w:adjustRightInd w:val="0"/>
      </w:pPr>
      <w:r w:rsidRPr="008661CD">
        <w:t>Šalutini</w:t>
      </w:r>
      <w:r>
        <w:t>o</w:t>
      </w:r>
      <w:r w:rsidRPr="008661CD">
        <w:t xml:space="preserve"> poveiki</w:t>
      </w:r>
      <w:r>
        <w:t>o rei</w:t>
      </w:r>
      <w:r w:rsidR="004E4257">
        <w:t>š</w:t>
      </w:r>
      <w:r>
        <w:t>kiniai</w:t>
      </w:r>
      <w:r w:rsidR="00922D8A" w:rsidRPr="008661CD">
        <w:t xml:space="preserve">, </w:t>
      </w:r>
      <w:r w:rsidRPr="008661CD">
        <w:t>kur</w:t>
      </w:r>
      <w:r>
        <w:t>iuos</w:t>
      </w:r>
      <w:r w:rsidRPr="008661CD">
        <w:t xml:space="preserve"> </w:t>
      </w:r>
      <w:r w:rsidR="00922D8A" w:rsidRPr="008661CD">
        <w:t>gali rodyti kraujo tyrimai:</w:t>
      </w:r>
    </w:p>
    <w:p w14:paraId="2BC24A51" w14:textId="77777777" w:rsidR="00922D8A" w:rsidRPr="008661CD" w:rsidRDefault="00922D8A" w:rsidP="008661CD">
      <w:pPr>
        <w:keepNext/>
        <w:autoSpaceDE w:val="0"/>
        <w:autoSpaceDN w:val="0"/>
        <w:adjustRightInd w:val="0"/>
      </w:pPr>
    </w:p>
    <w:p w14:paraId="57A9D17A" w14:textId="77777777" w:rsidR="00922D8A" w:rsidRPr="008661CD" w:rsidRDefault="00922D8A" w:rsidP="000F3553">
      <w:pPr>
        <w:numPr>
          <w:ilvl w:val="0"/>
          <w:numId w:val="14"/>
        </w:numPr>
        <w:tabs>
          <w:tab w:val="clear" w:pos="720"/>
          <w:tab w:val="num" w:pos="561"/>
        </w:tabs>
        <w:autoSpaceDE w:val="0"/>
        <w:autoSpaceDN w:val="0"/>
        <w:adjustRightInd w:val="0"/>
        <w:ind w:left="714" w:hanging="714"/>
      </w:pPr>
      <w:r w:rsidRPr="008661CD">
        <w:t>pernelyg greitas raudonųjų kraujo ląstelių suirimas (</w:t>
      </w:r>
      <w:r w:rsidRPr="008661CD">
        <w:rPr>
          <w:i/>
        </w:rPr>
        <w:t>hemolizinė anemija</w:t>
      </w:r>
      <w:r w:rsidRPr="008661CD">
        <w:t>).</w:t>
      </w:r>
    </w:p>
    <w:p w14:paraId="28D61D2C" w14:textId="77777777" w:rsidR="00922D8A" w:rsidRPr="008661CD" w:rsidRDefault="00922D8A" w:rsidP="008661CD">
      <w:pPr>
        <w:numPr>
          <w:ilvl w:val="12"/>
          <w:numId w:val="0"/>
        </w:numPr>
        <w:ind w:right="-2"/>
      </w:pPr>
    </w:p>
    <w:p w14:paraId="3929F162" w14:textId="77777777" w:rsidR="00922D8A" w:rsidRPr="008661CD" w:rsidRDefault="00922D8A" w:rsidP="008661CD">
      <w:pPr>
        <w:rPr>
          <w:b/>
        </w:rPr>
      </w:pPr>
      <w:r w:rsidRPr="008661CD">
        <w:rPr>
          <w:b/>
        </w:rPr>
        <w:t>Pranešimas apie šalutinį poveikį</w:t>
      </w:r>
    </w:p>
    <w:p w14:paraId="191E129F" w14:textId="575487C9" w:rsidR="00922D8A" w:rsidRPr="008661CD" w:rsidRDefault="00922D8A" w:rsidP="008661CD">
      <w:pPr>
        <w:ind w:right="-449"/>
      </w:pPr>
      <w:r w:rsidRPr="008661CD">
        <w:t>Jeigu pasireiškė šalutinis poveikis, įskaitant šiame lapelyje nenurodytą, pasakykite gydytojui arba vaistininkui</w:t>
      </w:r>
      <w:r w:rsidRPr="00441205">
        <w:t xml:space="preserve">. </w:t>
      </w:r>
      <w:r w:rsidR="00441205" w:rsidRPr="00AE79A1">
        <w:rPr>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441205" w:rsidRPr="00AE79A1">
          <w:rPr>
            <w:snapToGrid w:val="0"/>
            <w:color w:val="0000FF"/>
            <w:szCs w:val="20"/>
            <w:u w:val="single"/>
          </w:rPr>
          <w:t>https://vapris.vvkt.lt/vvkt-web/public/nrv</w:t>
        </w:r>
      </w:hyperlink>
      <w:r w:rsidR="00441205" w:rsidRPr="00AE79A1">
        <w:rPr>
          <w:snapToGrid w:val="0"/>
          <w:szCs w:val="20"/>
        </w:rPr>
        <w:t xml:space="preserve"> arba užpildant Sveikatos priežiūros ar farmacijos specialisto pranešimo apie įtariamą nepageidaujamą reakciją formą, kuri skelbiama </w:t>
      </w:r>
      <w:hyperlink r:id="rId12" w:history="1">
        <w:r w:rsidR="00441205" w:rsidRPr="00AE79A1">
          <w:rPr>
            <w:snapToGrid w:val="0"/>
            <w:color w:val="0000FF"/>
            <w:szCs w:val="20"/>
            <w:u w:val="single"/>
          </w:rPr>
          <w:t>https://www.vvkt.lt/index.php?4004286486</w:t>
        </w:r>
      </w:hyperlink>
      <w:r w:rsidR="00441205" w:rsidRPr="00AE79A1">
        <w:rPr>
          <w:snapToGrid w:val="0"/>
          <w:szCs w:val="20"/>
        </w:rPr>
        <w:t xml:space="preserve">, ir atsiunčiant elektroniniu paštu (adresu </w:t>
      </w:r>
      <w:hyperlink r:id="rId13" w:history="1">
        <w:r w:rsidR="00441205" w:rsidRPr="00AE79A1">
          <w:rPr>
            <w:snapToGrid w:val="0"/>
            <w:color w:val="0000FF"/>
            <w:szCs w:val="20"/>
            <w:u w:val="single"/>
          </w:rPr>
          <w:t>NepageidaujamaR@vvkt.lt</w:t>
        </w:r>
      </w:hyperlink>
      <w:r w:rsidR="00441205" w:rsidRPr="00AE79A1">
        <w:rPr>
          <w:snapToGrid w:val="0"/>
          <w:szCs w:val="20"/>
        </w:rPr>
        <w:t>) arba nemokamu telefonu 8 800 73 568.</w:t>
      </w:r>
      <w:r w:rsidR="00441205" w:rsidRPr="00441205">
        <w:rPr>
          <w:snapToGrid w:val="0"/>
          <w:szCs w:val="20"/>
        </w:rPr>
        <w:t xml:space="preserve"> </w:t>
      </w:r>
      <w:r w:rsidRPr="008661CD">
        <w:t>Pranešdami apie šalutinį poveikį galite mums padėti gauti daugiau informacijos apie šio vaisto saugumą.</w:t>
      </w:r>
    </w:p>
    <w:p w14:paraId="31BD2552" w14:textId="77777777" w:rsidR="00922D8A" w:rsidRPr="008661CD" w:rsidRDefault="00922D8A" w:rsidP="008661CD">
      <w:pPr>
        <w:ind w:right="-449"/>
      </w:pPr>
    </w:p>
    <w:p w14:paraId="404D802C" w14:textId="77777777" w:rsidR="00922D8A" w:rsidRPr="008661CD" w:rsidRDefault="00922D8A" w:rsidP="008661CD">
      <w:pPr>
        <w:numPr>
          <w:ilvl w:val="12"/>
          <w:numId w:val="0"/>
        </w:numPr>
        <w:ind w:right="-2"/>
      </w:pPr>
    </w:p>
    <w:p w14:paraId="783AF977" w14:textId="77777777" w:rsidR="00922D8A" w:rsidRPr="008661CD" w:rsidRDefault="00922D8A" w:rsidP="000F3553">
      <w:pPr>
        <w:numPr>
          <w:ilvl w:val="12"/>
          <w:numId w:val="0"/>
        </w:numPr>
        <w:ind w:left="567" w:right="-2" w:hanging="567"/>
      </w:pPr>
      <w:r w:rsidRPr="008661CD">
        <w:rPr>
          <w:b/>
        </w:rPr>
        <w:t>5.</w:t>
      </w:r>
      <w:r w:rsidRPr="008661CD">
        <w:rPr>
          <w:b/>
        </w:rPr>
        <w:tab/>
        <w:t>Kaip laikyti Zinnat</w:t>
      </w:r>
    </w:p>
    <w:p w14:paraId="09813023" w14:textId="77777777" w:rsidR="00922D8A" w:rsidRPr="008661CD" w:rsidRDefault="00922D8A" w:rsidP="008661CD"/>
    <w:p w14:paraId="3C206364" w14:textId="77777777" w:rsidR="00922D8A" w:rsidRPr="008661CD" w:rsidRDefault="00922D8A" w:rsidP="008661CD">
      <w:pPr>
        <w:numPr>
          <w:ilvl w:val="12"/>
          <w:numId w:val="0"/>
        </w:numPr>
        <w:ind w:right="-2"/>
      </w:pPr>
      <w:r w:rsidRPr="008661CD">
        <w:t>Šį vaistą laikykite vaikams nepastebimoje ir nepasiekiamoje vietoje.</w:t>
      </w:r>
    </w:p>
    <w:p w14:paraId="4191C167" w14:textId="77777777" w:rsidR="00922D8A" w:rsidRPr="008661CD" w:rsidRDefault="00922D8A" w:rsidP="008661CD">
      <w:pPr>
        <w:numPr>
          <w:ilvl w:val="12"/>
          <w:numId w:val="0"/>
        </w:numPr>
        <w:ind w:right="-2"/>
      </w:pPr>
    </w:p>
    <w:p w14:paraId="0FB5709A" w14:textId="77777777" w:rsidR="00922D8A" w:rsidRPr="008661CD" w:rsidRDefault="00922D8A" w:rsidP="008661CD">
      <w:bookmarkStart w:id="57" w:name="_Hlk536117555"/>
      <w:bookmarkStart w:id="58" w:name="_Hlk517877045"/>
      <w:r w:rsidRPr="008661CD">
        <w:t>Laikyti gamintojo pakuotėje ne aukštesnėje kaip 30 ºC temperatūroje.</w:t>
      </w:r>
    </w:p>
    <w:bookmarkEnd w:id="57"/>
    <w:p w14:paraId="3EAD71CD" w14:textId="77777777" w:rsidR="00922D8A" w:rsidRPr="008661CD" w:rsidRDefault="00922D8A" w:rsidP="008661CD">
      <w:pPr>
        <w:numPr>
          <w:ilvl w:val="12"/>
          <w:numId w:val="0"/>
        </w:numPr>
        <w:ind w:right="-2"/>
      </w:pPr>
    </w:p>
    <w:p w14:paraId="1EF3A59C" w14:textId="77777777" w:rsidR="00922D8A" w:rsidRPr="009C0DB0" w:rsidRDefault="00922D8A" w:rsidP="000F3553">
      <w:pPr>
        <w:pStyle w:val="Pagrindinistekstas"/>
        <w:rPr>
          <w:color w:val="auto"/>
          <w:lang w:val="lt-LT"/>
        </w:rPr>
      </w:pPr>
      <w:r w:rsidRPr="000F3553">
        <w:rPr>
          <w:i w:val="0"/>
          <w:color w:val="auto"/>
          <w:lang w:val="lt-LT"/>
        </w:rPr>
        <w:t>Jei tabletės yra susmulkintos arba yra kitų matomų sugedimo požymių, Zinnat vartoti negalima.</w:t>
      </w:r>
    </w:p>
    <w:p w14:paraId="042506E0" w14:textId="77777777" w:rsidR="00922D8A" w:rsidRPr="009C0DB0" w:rsidRDefault="00922D8A" w:rsidP="000F3553">
      <w:pPr>
        <w:pStyle w:val="Pagrindinistekstas"/>
        <w:rPr>
          <w:i w:val="0"/>
          <w:color w:val="auto"/>
          <w:lang w:val="lt-LT"/>
        </w:rPr>
      </w:pPr>
    </w:p>
    <w:bookmarkEnd w:id="58"/>
    <w:p w14:paraId="1B857181" w14:textId="77777777" w:rsidR="00922D8A" w:rsidRPr="009C0DB0" w:rsidRDefault="00922D8A" w:rsidP="000F3553">
      <w:pPr>
        <w:pStyle w:val="Pagrindinistekstas"/>
        <w:rPr>
          <w:color w:val="auto"/>
          <w:lang w:val="lt-LT"/>
        </w:rPr>
      </w:pPr>
      <w:r w:rsidRPr="000F3553">
        <w:rPr>
          <w:i w:val="0"/>
          <w:color w:val="auto"/>
          <w:lang w:val="lt-LT"/>
        </w:rPr>
        <w:t>Ant dėžutės po ,,Tinka iki“ arba „</w:t>
      </w:r>
      <w:r w:rsidRPr="000F3553">
        <w:rPr>
          <w:color w:val="auto"/>
          <w:lang w:val="lt-LT"/>
        </w:rPr>
        <w:t>EXP</w:t>
      </w:r>
      <w:r w:rsidRPr="000F3553">
        <w:rPr>
          <w:i w:val="0"/>
          <w:color w:val="auto"/>
          <w:lang w:val="lt-LT"/>
        </w:rPr>
        <w:t>“ ir lizdinės plokštelės po ,,</w:t>
      </w:r>
      <w:r w:rsidRPr="000F3553">
        <w:rPr>
          <w:color w:val="auto"/>
          <w:lang w:val="lt-LT"/>
        </w:rPr>
        <w:t>EXP</w:t>
      </w:r>
      <w:r w:rsidRPr="000F3553">
        <w:rPr>
          <w:i w:val="0"/>
          <w:color w:val="auto"/>
          <w:lang w:val="lt-LT"/>
        </w:rPr>
        <w:t>“ nurodytam tinkamumo laikui pasibaigus, šio vaisto vartoti negalima. Vaistas tinkamas vartoti iki paskutinės nurodyto mėnesio dienos.</w:t>
      </w:r>
    </w:p>
    <w:p w14:paraId="69602931" w14:textId="77777777" w:rsidR="00922D8A" w:rsidRPr="008661CD" w:rsidRDefault="00922D8A" w:rsidP="008661CD">
      <w:pPr>
        <w:numPr>
          <w:ilvl w:val="12"/>
          <w:numId w:val="0"/>
        </w:numPr>
        <w:ind w:right="-2"/>
      </w:pPr>
    </w:p>
    <w:p w14:paraId="29193A02" w14:textId="77777777" w:rsidR="00922D8A" w:rsidRPr="008661CD" w:rsidRDefault="00922D8A" w:rsidP="008661CD">
      <w:pPr>
        <w:numPr>
          <w:ilvl w:val="12"/>
          <w:numId w:val="0"/>
        </w:numPr>
        <w:ind w:right="-2"/>
      </w:pPr>
      <w:r w:rsidRPr="008661CD">
        <w:t>Vaistų negalima išmesti į kanalizaciją arba su buitinėmis</w:t>
      </w:r>
      <w:r w:rsidRPr="008661CD">
        <w:rPr>
          <w:color w:val="993366"/>
        </w:rPr>
        <w:t xml:space="preserve"> </w:t>
      </w:r>
      <w:r w:rsidRPr="008661CD">
        <w:t>atliekomis. Kaip išmesti nereikalingus vaistus, klauskite vaistininko. Šios priemonės padės apsaugoti aplinką.</w:t>
      </w:r>
    </w:p>
    <w:p w14:paraId="47D32635" w14:textId="77777777" w:rsidR="00922D8A" w:rsidRPr="008661CD" w:rsidRDefault="00922D8A" w:rsidP="008661CD">
      <w:pPr>
        <w:numPr>
          <w:ilvl w:val="12"/>
          <w:numId w:val="0"/>
        </w:numPr>
        <w:ind w:right="-2"/>
      </w:pPr>
    </w:p>
    <w:p w14:paraId="0A6DA409" w14:textId="77777777" w:rsidR="00922D8A" w:rsidRPr="008661CD" w:rsidRDefault="00922D8A" w:rsidP="008661CD">
      <w:pPr>
        <w:numPr>
          <w:ilvl w:val="12"/>
          <w:numId w:val="0"/>
        </w:numPr>
        <w:ind w:right="-2"/>
      </w:pPr>
    </w:p>
    <w:p w14:paraId="2B3AAC83" w14:textId="77777777" w:rsidR="00922D8A" w:rsidRPr="008661CD" w:rsidRDefault="00922D8A" w:rsidP="000F3553">
      <w:pPr>
        <w:numPr>
          <w:ilvl w:val="12"/>
          <w:numId w:val="0"/>
        </w:numPr>
        <w:ind w:left="540" w:right="-2" w:hanging="540"/>
        <w:rPr>
          <w:b/>
        </w:rPr>
      </w:pPr>
      <w:r w:rsidRPr="008661CD">
        <w:rPr>
          <w:b/>
        </w:rPr>
        <w:t>6.</w:t>
      </w:r>
      <w:r w:rsidRPr="008661CD">
        <w:rPr>
          <w:b/>
        </w:rPr>
        <w:tab/>
        <w:t>Pakuotės turinys ir kita informacija</w:t>
      </w:r>
    </w:p>
    <w:p w14:paraId="04F8DCC2" w14:textId="77777777" w:rsidR="00922D8A" w:rsidRPr="008661CD" w:rsidRDefault="00922D8A" w:rsidP="008661CD">
      <w:pPr>
        <w:numPr>
          <w:ilvl w:val="12"/>
          <w:numId w:val="0"/>
        </w:numPr>
        <w:ind w:right="-2"/>
      </w:pPr>
    </w:p>
    <w:p w14:paraId="5A39B6AC" w14:textId="77777777" w:rsidR="00922D8A" w:rsidRPr="008661CD" w:rsidRDefault="00922D8A" w:rsidP="008661CD">
      <w:pPr>
        <w:numPr>
          <w:ilvl w:val="12"/>
          <w:numId w:val="0"/>
        </w:numPr>
        <w:ind w:right="-2"/>
        <w:rPr>
          <w:b/>
        </w:rPr>
      </w:pPr>
      <w:r w:rsidRPr="008661CD">
        <w:rPr>
          <w:b/>
        </w:rPr>
        <w:t>Zinnat sudėtis</w:t>
      </w:r>
    </w:p>
    <w:p w14:paraId="7321C72A" w14:textId="77777777" w:rsidR="00922D8A" w:rsidRPr="009C0DB0" w:rsidRDefault="00922D8A" w:rsidP="008661CD">
      <w:pPr>
        <w:numPr>
          <w:ilvl w:val="12"/>
          <w:numId w:val="0"/>
        </w:numPr>
        <w:ind w:right="-2"/>
      </w:pPr>
    </w:p>
    <w:p w14:paraId="71E27890" w14:textId="77777777" w:rsidR="00922D8A" w:rsidRPr="008661CD" w:rsidRDefault="00922D8A" w:rsidP="008661CD">
      <w:pPr>
        <w:numPr>
          <w:ilvl w:val="12"/>
          <w:numId w:val="0"/>
        </w:numPr>
        <w:ind w:right="-2"/>
        <w:rPr>
          <w:u w:val="single"/>
        </w:rPr>
      </w:pPr>
      <w:r w:rsidRPr="008661CD">
        <w:rPr>
          <w:u w:val="single"/>
        </w:rPr>
        <w:t xml:space="preserve">Veiklioji medžiaga </w:t>
      </w:r>
    </w:p>
    <w:p w14:paraId="18381225" w14:textId="77777777" w:rsidR="00922D8A" w:rsidRPr="008661CD" w:rsidRDefault="00922D8A" w:rsidP="008661CD">
      <w:pPr>
        <w:numPr>
          <w:ilvl w:val="12"/>
          <w:numId w:val="0"/>
        </w:numPr>
        <w:ind w:right="-2"/>
        <w:rPr>
          <w:u w:val="single"/>
        </w:rPr>
      </w:pPr>
    </w:p>
    <w:p w14:paraId="7C7A3ADE" w14:textId="394B5890" w:rsidR="00922D8A" w:rsidRPr="00AA08CA" w:rsidRDefault="00FD17EA" w:rsidP="008661CD">
      <w:r>
        <w:t>Kiekv</w:t>
      </w:r>
      <w:r w:rsidR="00922D8A" w:rsidRPr="00AA08CA">
        <w:t>ienoje tabletėje yra 250 mg cefuroksimo (cefuroksimo aksetilo pavidalu).</w:t>
      </w:r>
    </w:p>
    <w:p w14:paraId="78315CB1" w14:textId="1A916BB3" w:rsidR="00922D8A" w:rsidRPr="008661CD" w:rsidRDefault="00FD17EA" w:rsidP="008661CD">
      <w:r>
        <w:rPr>
          <w:highlight w:val="lightGray"/>
        </w:rPr>
        <w:t>Kiekv</w:t>
      </w:r>
      <w:r w:rsidR="00922D8A" w:rsidRPr="008661CD">
        <w:rPr>
          <w:highlight w:val="lightGray"/>
        </w:rPr>
        <w:t>ienoje tabletėje yra 500 mg cefuroksimo (cefuroksimo aksetilo pavidalu).</w:t>
      </w:r>
    </w:p>
    <w:p w14:paraId="18BDF0DB" w14:textId="77777777" w:rsidR="00922D8A" w:rsidRPr="008661CD" w:rsidRDefault="00922D8A" w:rsidP="008661CD"/>
    <w:p w14:paraId="49CDD374" w14:textId="77777777" w:rsidR="00922D8A" w:rsidRPr="009C0DB0" w:rsidRDefault="00922D8A" w:rsidP="008661CD">
      <w:pPr>
        <w:keepNext/>
        <w:ind w:left="567" w:hanging="567"/>
      </w:pPr>
      <w:r w:rsidRPr="008661CD">
        <w:rPr>
          <w:u w:val="single"/>
        </w:rPr>
        <w:t>Pagalbinės medžiagos yra</w:t>
      </w:r>
    </w:p>
    <w:p w14:paraId="7835F76F" w14:textId="77777777" w:rsidR="00922D8A" w:rsidRPr="008661CD" w:rsidRDefault="00922D8A" w:rsidP="008661CD">
      <w:pPr>
        <w:keepNext/>
      </w:pPr>
    </w:p>
    <w:p w14:paraId="4962458D" w14:textId="7B2622C6" w:rsidR="00922D8A" w:rsidRPr="008661CD" w:rsidRDefault="00922D8A" w:rsidP="008661CD">
      <w:bookmarkStart w:id="59" w:name="_Hlk536117621"/>
      <w:r w:rsidRPr="008661CD">
        <w:t xml:space="preserve">Mikrokristalinė celiuliozė, kroskarmeliozės natrio A tipo druska, natrio laurilsulfatas, hidrintas augalinis aliejus, bevandenis koloidinis silicio dioksidas, hipromeliozė, propilenglikolis, baltasis </w:t>
      </w:r>
      <w:r w:rsidRPr="008661CD">
        <w:rPr>
          <w:i/>
        </w:rPr>
        <w:t>Opaspray</w:t>
      </w:r>
      <w:r w:rsidRPr="008661CD">
        <w:t xml:space="preserve"> M–1-7120J [sudėtyje yra titano dioksido (E171) ir natrio benzoato (E211)].</w:t>
      </w:r>
    </w:p>
    <w:bookmarkEnd w:id="59"/>
    <w:p w14:paraId="5A12FF2C" w14:textId="77777777" w:rsidR="00922D8A" w:rsidRPr="008661CD" w:rsidRDefault="00922D8A" w:rsidP="008661CD">
      <w:pPr>
        <w:ind w:right="-2"/>
      </w:pPr>
    </w:p>
    <w:p w14:paraId="25D429BB" w14:textId="77777777" w:rsidR="00922D8A" w:rsidRPr="008661CD" w:rsidRDefault="00922D8A" w:rsidP="008661CD">
      <w:pPr>
        <w:keepNext/>
        <w:tabs>
          <w:tab w:val="left" w:pos="0"/>
        </w:tabs>
        <w:outlineLvl w:val="0"/>
        <w:rPr>
          <w:b/>
        </w:rPr>
      </w:pPr>
      <w:r w:rsidRPr="008661CD">
        <w:rPr>
          <w:b/>
        </w:rPr>
        <w:t>Zinnat išvaizda ir kiekis pakuotėje</w:t>
      </w:r>
    </w:p>
    <w:p w14:paraId="5751B03E" w14:textId="77777777" w:rsidR="00922D8A" w:rsidRPr="008661CD" w:rsidRDefault="00922D8A" w:rsidP="008661CD"/>
    <w:p w14:paraId="69AAE44A" w14:textId="77777777" w:rsidR="00922D8A" w:rsidRPr="008661CD" w:rsidRDefault="00922D8A" w:rsidP="008661CD">
      <w:bookmarkStart w:id="60" w:name="_Hlk517877812"/>
      <w:r w:rsidRPr="008661CD">
        <w:t>Zinnat 250 mg tabletės yra baltos spalvos, dengtos plėvele, kapsulės formos tabletės, kurių viena pusė yra lygi, o kitoje tabletės pusėje yra įspaustas užrašas „GX ES7“. Jos tiekiamos aliuminio folijos lizdinių plokštelių, supakuotų į kartono dėžutes, pakuotėse. Kiekvienoje pakuotėje yra 10 arba 14 tablečių.</w:t>
      </w:r>
    </w:p>
    <w:p w14:paraId="5C04EBFC" w14:textId="77777777" w:rsidR="00922D8A" w:rsidRPr="008661CD" w:rsidRDefault="00922D8A" w:rsidP="008661CD">
      <w:r w:rsidRPr="008661CD">
        <w:t>Zinnat 500 mg tabletės yra baltos spalvos, dengtos plėvele, kapsulės formos tabletės, kurių viena pusė yra lygi, o kitoje tabletės pusėje yra įspaustas užrašas „GX EG2“. Jos tiekiamos aliuminio folijos lizdinių plokštelių, supakuotų kartono dėžutėje, pakuotėse. Kiekvienoje pakuotėje yra 10 arba 14 tablečių.</w:t>
      </w:r>
    </w:p>
    <w:bookmarkEnd w:id="60"/>
    <w:p w14:paraId="43DDFB1D" w14:textId="77777777" w:rsidR="00922D8A" w:rsidRPr="008661CD" w:rsidRDefault="00922D8A" w:rsidP="008661CD">
      <w:pPr>
        <w:numPr>
          <w:ilvl w:val="12"/>
          <w:numId w:val="0"/>
        </w:numPr>
        <w:ind w:right="-2"/>
      </w:pPr>
    </w:p>
    <w:p w14:paraId="35F755D6" w14:textId="77777777" w:rsidR="00922D8A" w:rsidRPr="008661CD" w:rsidRDefault="00922D8A" w:rsidP="008661CD">
      <w:pPr>
        <w:numPr>
          <w:ilvl w:val="12"/>
          <w:numId w:val="0"/>
        </w:numPr>
        <w:ind w:right="-2"/>
        <w:rPr>
          <w:b/>
        </w:rPr>
      </w:pPr>
      <w:r w:rsidRPr="008661CD">
        <w:rPr>
          <w:b/>
        </w:rPr>
        <w:t>Registruotojas ir gamintojas</w:t>
      </w:r>
    </w:p>
    <w:p w14:paraId="6CA4C576" w14:textId="77777777" w:rsidR="00922D8A" w:rsidRPr="008661CD" w:rsidRDefault="00922D8A" w:rsidP="008661CD">
      <w:pPr>
        <w:numPr>
          <w:ilvl w:val="12"/>
          <w:numId w:val="0"/>
        </w:numPr>
        <w:ind w:right="-2"/>
      </w:pPr>
    </w:p>
    <w:p w14:paraId="08382E17" w14:textId="77777777" w:rsidR="00922D8A" w:rsidRPr="008661CD" w:rsidRDefault="00922D8A" w:rsidP="008661CD">
      <w:pPr>
        <w:rPr>
          <w:u w:val="single"/>
        </w:rPr>
      </w:pPr>
      <w:r w:rsidRPr="008661CD">
        <w:rPr>
          <w:u w:val="single"/>
        </w:rPr>
        <w:t>Registruotojas</w:t>
      </w:r>
    </w:p>
    <w:p w14:paraId="3E0C1711" w14:textId="77777777" w:rsidR="00772556" w:rsidRPr="001514CF" w:rsidRDefault="00772556" w:rsidP="00772556">
      <w:pPr>
        <w:tabs>
          <w:tab w:val="left" w:pos="567"/>
          <w:tab w:val="left" w:pos="3060"/>
        </w:tabs>
        <w:rPr>
          <w:szCs w:val="22"/>
          <w:lang w:eastAsia="zh-TW"/>
        </w:rPr>
      </w:pPr>
      <w:r w:rsidRPr="001514CF">
        <w:rPr>
          <w:szCs w:val="22"/>
          <w:lang w:eastAsia="zh-TW"/>
        </w:rPr>
        <w:t>Sandoz d.d.</w:t>
      </w:r>
    </w:p>
    <w:p w14:paraId="70DDBC37" w14:textId="77777777" w:rsidR="00772556" w:rsidRPr="001514CF" w:rsidRDefault="00772556" w:rsidP="00772556">
      <w:pPr>
        <w:tabs>
          <w:tab w:val="left" w:pos="567"/>
          <w:tab w:val="left" w:pos="3060"/>
        </w:tabs>
        <w:rPr>
          <w:szCs w:val="22"/>
          <w:lang w:eastAsia="zh-TW"/>
        </w:rPr>
      </w:pPr>
      <w:r w:rsidRPr="001514CF">
        <w:rPr>
          <w:szCs w:val="22"/>
          <w:lang w:eastAsia="zh-TW"/>
        </w:rPr>
        <w:t>Verovškova 57</w:t>
      </w:r>
    </w:p>
    <w:p w14:paraId="058A9068" w14:textId="77777777" w:rsidR="00772556" w:rsidRPr="001514CF" w:rsidRDefault="00772556" w:rsidP="00772556">
      <w:pPr>
        <w:tabs>
          <w:tab w:val="left" w:pos="567"/>
          <w:tab w:val="left" w:pos="3060"/>
        </w:tabs>
        <w:rPr>
          <w:szCs w:val="22"/>
          <w:lang w:eastAsia="zh-TW"/>
        </w:rPr>
      </w:pPr>
      <w:r w:rsidRPr="001514CF">
        <w:rPr>
          <w:szCs w:val="22"/>
          <w:lang w:eastAsia="zh-TW"/>
        </w:rPr>
        <w:t>SI-1000 Ljubljana</w:t>
      </w:r>
    </w:p>
    <w:p w14:paraId="2FD2942A" w14:textId="77777777" w:rsidR="00772556" w:rsidRPr="001514CF" w:rsidRDefault="00772556" w:rsidP="00772556">
      <w:pPr>
        <w:tabs>
          <w:tab w:val="left" w:pos="567"/>
          <w:tab w:val="left" w:pos="3060"/>
        </w:tabs>
        <w:autoSpaceDE w:val="0"/>
        <w:autoSpaceDN w:val="0"/>
        <w:adjustRightInd w:val="0"/>
        <w:rPr>
          <w:szCs w:val="22"/>
          <w:lang w:eastAsia="zh-TW"/>
        </w:rPr>
      </w:pPr>
      <w:r w:rsidRPr="001514CF">
        <w:rPr>
          <w:szCs w:val="22"/>
          <w:lang w:eastAsia="zh-TW"/>
        </w:rPr>
        <w:t>Slovėnija</w:t>
      </w:r>
    </w:p>
    <w:p w14:paraId="6A076F6C" w14:textId="77777777" w:rsidR="00922D8A" w:rsidRPr="008661CD" w:rsidRDefault="00922D8A" w:rsidP="008661CD">
      <w:pPr>
        <w:rPr>
          <w:u w:val="single"/>
        </w:rPr>
      </w:pPr>
    </w:p>
    <w:p w14:paraId="3A4A6810" w14:textId="77777777" w:rsidR="00922D8A" w:rsidRPr="008661CD" w:rsidRDefault="00922D8A" w:rsidP="008661CD">
      <w:pPr>
        <w:rPr>
          <w:u w:val="single"/>
        </w:rPr>
      </w:pPr>
      <w:r w:rsidRPr="008661CD">
        <w:rPr>
          <w:u w:val="single"/>
        </w:rPr>
        <w:t>Gamintojas</w:t>
      </w:r>
    </w:p>
    <w:p w14:paraId="3220DBF8" w14:textId="77777777" w:rsidR="00E05E57" w:rsidRPr="00C04047" w:rsidRDefault="00E05E57" w:rsidP="00E05E57">
      <w:pPr>
        <w:autoSpaceDE w:val="0"/>
        <w:autoSpaceDN w:val="0"/>
        <w:adjustRightInd w:val="0"/>
        <w:rPr>
          <w:rFonts w:eastAsia="Calibri"/>
        </w:rPr>
      </w:pPr>
      <w:r w:rsidRPr="00C04047">
        <w:rPr>
          <w:rFonts w:eastAsia="Calibri"/>
        </w:rPr>
        <w:t>Sandoz GmbH</w:t>
      </w:r>
    </w:p>
    <w:p w14:paraId="31A3927C" w14:textId="77777777" w:rsidR="00E05E57" w:rsidRPr="00C04047" w:rsidRDefault="00E05E57" w:rsidP="00E05E57">
      <w:pPr>
        <w:autoSpaceDE w:val="0"/>
        <w:autoSpaceDN w:val="0"/>
        <w:adjustRightInd w:val="0"/>
        <w:rPr>
          <w:rFonts w:eastAsia="Calibri"/>
        </w:rPr>
      </w:pPr>
      <w:r w:rsidRPr="00C04047">
        <w:rPr>
          <w:rFonts w:eastAsia="Calibri"/>
        </w:rPr>
        <w:t>Kundl (AICO FDF Kundl)</w:t>
      </w:r>
    </w:p>
    <w:p w14:paraId="6B376D45" w14:textId="77777777" w:rsidR="00E05E57" w:rsidRPr="00C04047" w:rsidRDefault="00E05E57" w:rsidP="00E05E57">
      <w:pPr>
        <w:autoSpaceDE w:val="0"/>
        <w:autoSpaceDN w:val="0"/>
        <w:adjustRightInd w:val="0"/>
        <w:rPr>
          <w:rFonts w:eastAsia="Calibri"/>
        </w:rPr>
      </w:pPr>
      <w:r w:rsidRPr="00C04047">
        <w:rPr>
          <w:rFonts w:eastAsia="Calibri"/>
        </w:rPr>
        <w:t>Biochemiestraβe 10</w:t>
      </w:r>
    </w:p>
    <w:p w14:paraId="097FFF93" w14:textId="5456B438" w:rsidR="00922D8A" w:rsidRDefault="00922D8A" w:rsidP="00922D8A">
      <w:pPr>
        <w:numPr>
          <w:ilvl w:val="12"/>
          <w:numId w:val="0"/>
        </w:numPr>
        <w:ind w:right="-2"/>
        <w:rPr>
          <w:szCs w:val="22"/>
        </w:rPr>
      </w:pPr>
    </w:p>
    <w:p w14:paraId="2BD08D01" w14:textId="054FB46A" w:rsidR="003820B3" w:rsidRDefault="003820B3" w:rsidP="00922D8A">
      <w:pPr>
        <w:numPr>
          <w:ilvl w:val="12"/>
          <w:numId w:val="0"/>
        </w:numPr>
        <w:ind w:right="-2"/>
        <w:rPr>
          <w:szCs w:val="22"/>
        </w:rPr>
      </w:pPr>
      <w:r>
        <w:rPr>
          <w:szCs w:val="22"/>
        </w:rPr>
        <w:t>arba</w:t>
      </w:r>
    </w:p>
    <w:p w14:paraId="71B50346" w14:textId="77777777" w:rsidR="003820B3" w:rsidRDefault="003820B3" w:rsidP="00922D8A">
      <w:pPr>
        <w:numPr>
          <w:ilvl w:val="12"/>
          <w:numId w:val="0"/>
        </w:numPr>
        <w:ind w:right="-2"/>
        <w:rPr>
          <w:szCs w:val="22"/>
        </w:rPr>
      </w:pPr>
    </w:p>
    <w:p w14:paraId="595D0F15" w14:textId="77777777" w:rsidR="007A66C0" w:rsidRPr="007A66C0" w:rsidRDefault="007A66C0" w:rsidP="007A66C0">
      <w:pPr>
        <w:numPr>
          <w:ilvl w:val="12"/>
          <w:numId w:val="0"/>
        </w:numPr>
        <w:ind w:right="-2"/>
        <w:rPr>
          <w:szCs w:val="22"/>
        </w:rPr>
      </w:pPr>
      <w:r w:rsidRPr="007A66C0">
        <w:rPr>
          <w:szCs w:val="22"/>
        </w:rPr>
        <w:t>Lek farmacevtska družba d. d. (Lek Pharmaceuticals d. d.),</w:t>
      </w:r>
    </w:p>
    <w:p w14:paraId="62187E74" w14:textId="77777777" w:rsidR="007A66C0" w:rsidRPr="007A66C0" w:rsidRDefault="007A66C0" w:rsidP="007A66C0">
      <w:pPr>
        <w:numPr>
          <w:ilvl w:val="12"/>
          <w:numId w:val="0"/>
        </w:numPr>
        <w:ind w:right="-2"/>
        <w:rPr>
          <w:szCs w:val="22"/>
        </w:rPr>
      </w:pPr>
      <w:r w:rsidRPr="007A66C0">
        <w:rPr>
          <w:szCs w:val="22"/>
        </w:rPr>
        <w:t>Verovškova ulica 57</w:t>
      </w:r>
    </w:p>
    <w:p w14:paraId="60B82292" w14:textId="77777777" w:rsidR="007A66C0" w:rsidRPr="007A66C0" w:rsidRDefault="007A66C0" w:rsidP="007A66C0">
      <w:pPr>
        <w:numPr>
          <w:ilvl w:val="12"/>
          <w:numId w:val="0"/>
        </w:numPr>
        <w:ind w:right="-2"/>
        <w:rPr>
          <w:szCs w:val="22"/>
        </w:rPr>
      </w:pPr>
      <w:r w:rsidRPr="007A66C0">
        <w:rPr>
          <w:szCs w:val="22"/>
        </w:rPr>
        <w:t>Ljubljana, 1526</w:t>
      </w:r>
    </w:p>
    <w:p w14:paraId="1D4CA5EE" w14:textId="43620EC0" w:rsidR="007A66C0" w:rsidRDefault="00F83F1A" w:rsidP="007A66C0">
      <w:pPr>
        <w:numPr>
          <w:ilvl w:val="12"/>
          <w:numId w:val="0"/>
        </w:numPr>
        <w:ind w:right="-2"/>
        <w:rPr>
          <w:szCs w:val="22"/>
        </w:rPr>
      </w:pPr>
      <w:r w:rsidRPr="007A66C0">
        <w:rPr>
          <w:szCs w:val="22"/>
        </w:rPr>
        <w:t>Slov</w:t>
      </w:r>
      <w:r>
        <w:rPr>
          <w:szCs w:val="22"/>
        </w:rPr>
        <w:t>ė</w:t>
      </w:r>
      <w:r w:rsidRPr="007A66C0">
        <w:rPr>
          <w:szCs w:val="22"/>
        </w:rPr>
        <w:t>nija</w:t>
      </w:r>
    </w:p>
    <w:p w14:paraId="20CC2764" w14:textId="77777777" w:rsidR="008006A4" w:rsidRPr="008006A4" w:rsidRDefault="008006A4" w:rsidP="008006A4">
      <w:pPr>
        <w:rPr>
          <w:szCs w:val="22"/>
          <w:lang w:eastAsia="lt-LT"/>
        </w:rPr>
      </w:pPr>
    </w:p>
    <w:p w14:paraId="530FEA77" w14:textId="77777777" w:rsidR="008006A4" w:rsidRPr="008006A4" w:rsidRDefault="008006A4" w:rsidP="00857812">
      <w:pPr>
        <w:rPr>
          <w:szCs w:val="22"/>
          <w:lang w:eastAsia="lt-LT"/>
        </w:rPr>
      </w:pPr>
      <w:r w:rsidRPr="008006A4">
        <w:rPr>
          <w:szCs w:val="22"/>
          <w:lang w:eastAsia="lt-LT"/>
        </w:rPr>
        <w:t>Jeigu apie šį vaistą norite sužinoti daugiau, kreipkitės į vietinį registruotojo atstovą:</w:t>
      </w:r>
    </w:p>
    <w:p w14:paraId="24A2A77B" w14:textId="77777777" w:rsidR="008006A4" w:rsidRPr="008006A4" w:rsidRDefault="008006A4" w:rsidP="008006A4">
      <w:pPr>
        <w:spacing w:before="120"/>
        <w:jc w:val="both"/>
        <w:rPr>
          <w:szCs w:val="22"/>
          <w:lang w:eastAsia="lt-LT"/>
        </w:rPr>
      </w:pPr>
      <w:r w:rsidRPr="008006A4">
        <w:rPr>
          <w:szCs w:val="22"/>
          <w:lang w:eastAsia="lt-LT"/>
        </w:rPr>
        <w:t>Sandoz Pharmaceuticals d.d. filialas</w:t>
      </w:r>
    </w:p>
    <w:p w14:paraId="4B5EA6FF" w14:textId="77777777" w:rsidR="008006A4" w:rsidRPr="008006A4" w:rsidRDefault="008006A4" w:rsidP="008006A4">
      <w:pPr>
        <w:jc w:val="both"/>
        <w:rPr>
          <w:szCs w:val="22"/>
          <w:lang w:eastAsia="lt-LT"/>
        </w:rPr>
      </w:pPr>
      <w:r w:rsidRPr="008006A4">
        <w:rPr>
          <w:szCs w:val="22"/>
          <w:lang w:eastAsia="lt-LT"/>
        </w:rPr>
        <w:t>Tel. +370 5 2636 037</w:t>
      </w:r>
    </w:p>
    <w:p w14:paraId="1CDE218B" w14:textId="77777777" w:rsidR="008006A4" w:rsidRPr="00C510EF" w:rsidRDefault="008006A4" w:rsidP="007A66C0">
      <w:pPr>
        <w:numPr>
          <w:ilvl w:val="12"/>
          <w:numId w:val="0"/>
        </w:numPr>
        <w:ind w:right="-2"/>
        <w:rPr>
          <w:szCs w:val="22"/>
        </w:rPr>
      </w:pPr>
    </w:p>
    <w:p w14:paraId="0E7C5916" w14:textId="0B8EED03" w:rsidR="00922D8A" w:rsidRPr="008661CD" w:rsidRDefault="00922D8A" w:rsidP="000F3553">
      <w:pPr>
        <w:keepNext/>
        <w:numPr>
          <w:ilvl w:val="12"/>
          <w:numId w:val="0"/>
        </w:numPr>
        <w:ind w:right="-2"/>
        <w:rPr>
          <w:b/>
        </w:rPr>
      </w:pPr>
      <w:r w:rsidRPr="00F83F1A">
        <w:rPr>
          <w:b/>
        </w:rPr>
        <w:t xml:space="preserve">Šis vaistas </w:t>
      </w:r>
      <w:r w:rsidR="00F83F1A" w:rsidRPr="00AE79A1">
        <w:rPr>
          <w:b/>
          <w:snapToGrid w:val="0"/>
          <w:szCs w:val="20"/>
        </w:rPr>
        <w:t>Europos ekonominės erdvės</w:t>
      </w:r>
      <w:r w:rsidR="00F83F1A" w:rsidRPr="00F83F1A">
        <w:rPr>
          <w:b/>
          <w:snapToGrid w:val="0"/>
          <w:szCs w:val="20"/>
        </w:rPr>
        <w:t xml:space="preserve"> valstybėse narėse </w:t>
      </w:r>
      <w:r w:rsidR="00F83F1A" w:rsidRPr="00AE79A1">
        <w:rPr>
          <w:b/>
          <w:snapToGrid w:val="0"/>
          <w:szCs w:val="20"/>
        </w:rPr>
        <w:t>ir Jungtinėje Karalystėje (Šiaurės Airijoje)</w:t>
      </w:r>
      <w:r w:rsidRPr="00F83F1A">
        <w:rPr>
          <w:b/>
        </w:rPr>
        <w:t>registruotas tokiais pavadinimais:</w:t>
      </w:r>
    </w:p>
    <w:p w14:paraId="71CD604A" w14:textId="77777777" w:rsidR="00922D8A" w:rsidRPr="008661CD" w:rsidRDefault="00922D8A" w:rsidP="00AA08CA"/>
    <w:p w14:paraId="6EF3F955" w14:textId="77777777" w:rsidR="00922D8A" w:rsidRPr="00AA08CA" w:rsidRDefault="00922D8A" w:rsidP="00AA08CA">
      <w:r w:rsidRPr="00AA08CA">
        <w:rPr>
          <w:highlight w:val="lightGray"/>
        </w:rPr>
        <w:t>250 mg plėvele dengtos tabletės</w:t>
      </w:r>
    </w:p>
    <w:p w14:paraId="20B114DD" w14:textId="6ACD5C61" w:rsidR="00922D8A" w:rsidRPr="00AA08CA" w:rsidRDefault="00922D8A" w:rsidP="008661CD">
      <w:r w:rsidRPr="00AA08CA">
        <w:t xml:space="preserve">Austrija, Belgija, Bulgarija, Kipras, Čekija, Danija, Estija, Suomija, Prancūzija, Vengrija, Islandija, Airija, Italija, Latvija, Lietuva, Liuksemburgas, Malta, Nyderlandai, Lenkija, Rumunija, Slovakija, Slovėnija, Ispanija, Švedija, Jungtinė Karalystė </w:t>
      </w:r>
      <w:r w:rsidR="0083336E">
        <w:t xml:space="preserve">(Šiaurės Airija) </w:t>
      </w:r>
      <w:r w:rsidRPr="00AA08CA">
        <w:t>– Zinnat</w:t>
      </w:r>
    </w:p>
    <w:p w14:paraId="447A13D0" w14:textId="77777777" w:rsidR="00922D8A" w:rsidRPr="00AA08CA" w:rsidRDefault="00922D8A" w:rsidP="008661CD">
      <w:pPr>
        <w:ind w:left="567" w:hanging="567"/>
      </w:pPr>
      <w:r w:rsidRPr="00AA08CA">
        <w:t>Vokietija – Elobact</w:t>
      </w:r>
    </w:p>
    <w:p w14:paraId="1A56EEE0" w14:textId="77777777" w:rsidR="00922D8A" w:rsidRPr="00AA08CA" w:rsidRDefault="00922D8A" w:rsidP="008661CD">
      <w:pPr>
        <w:ind w:left="567" w:hanging="567"/>
      </w:pPr>
      <w:r w:rsidRPr="00AA08CA">
        <w:t>Graikija – Zinadol</w:t>
      </w:r>
    </w:p>
    <w:p w14:paraId="1416D8D3" w14:textId="77777777" w:rsidR="00922D8A" w:rsidRPr="00AA08CA" w:rsidRDefault="00922D8A" w:rsidP="008661CD">
      <w:pPr>
        <w:ind w:left="567" w:hanging="567"/>
      </w:pPr>
      <w:r w:rsidRPr="00AA08CA">
        <w:t>Italija – Oraxim</w:t>
      </w:r>
    </w:p>
    <w:p w14:paraId="4B88DB23" w14:textId="77777777" w:rsidR="00922D8A" w:rsidRPr="00AA08CA" w:rsidRDefault="00922D8A" w:rsidP="008661CD">
      <w:pPr>
        <w:ind w:left="567" w:hanging="567"/>
      </w:pPr>
      <w:r w:rsidRPr="00AA08CA">
        <w:t>Portugalija – Zipos</w:t>
      </w:r>
    </w:p>
    <w:p w14:paraId="5C4BA84D" w14:textId="77777777" w:rsidR="00922D8A" w:rsidRPr="00AA08CA" w:rsidRDefault="00922D8A" w:rsidP="008661CD">
      <w:pPr>
        <w:ind w:left="567" w:hanging="567"/>
      </w:pPr>
      <w:r w:rsidRPr="00AA08CA">
        <w:t>Portugalija – Zoref</w:t>
      </w:r>
    </w:p>
    <w:p w14:paraId="5D8482F7" w14:textId="77777777" w:rsidR="00922D8A" w:rsidRPr="008661CD" w:rsidRDefault="00922D8A" w:rsidP="008661CD"/>
    <w:p w14:paraId="3FA11446" w14:textId="77777777" w:rsidR="00922D8A" w:rsidRPr="008661CD" w:rsidRDefault="00922D8A" w:rsidP="008661CD">
      <w:pPr>
        <w:keepNext/>
        <w:tabs>
          <w:tab w:val="left" w:pos="0"/>
        </w:tabs>
        <w:outlineLvl w:val="0"/>
        <w:rPr>
          <w:shd w:val="clear" w:color="auto" w:fill="C0C0C0"/>
        </w:rPr>
      </w:pPr>
      <w:r w:rsidRPr="008661CD">
        <w:rPr>
          <w:shd w:val="clear" w:color="auto" w:fill="C0C0C0"/>
        </w:rPr>
        <w:t>500 mg plėvele dengtos tabletės</w:t>
      </w:r>
    </w:p>
    <w:p w14:paraId="21939367" w14:textId="4C13E000" w:rsidR="00922D8A" w:rsidRPr="008661CD" w:rsidRDefault="00922D8A" w:rsidP="008661CD">
      <w:pPr>
        <w:rPr>
          <w:highlight w:val="lightGray"/>
        </w:rPr>
      </w:pPr>
      <w:r w:rsidRPr="008661CD">
        <w:rPr>
          <w:highlight w:val="lightGray"/>
        </w:rPr>
        <w:t xml:space="preserve">Austrija, Belgija, Bulgarija, Kipras, Čekija, Danija, Estija, </w:t>
      </w:r>
      <w:r w:rsidR="007E3AE0">
        <w:rPr>
          <w:highlight w:val="lightGray"/>
        </w:rPr>
        <w:t xml:space="preserve">Prancūzija, </w:t>
      </w:r>
      <w:r w:rsidRPr="008661CD">
        <w:rPr>
          <w:highlight w:val="lightGray"/>
        </w:rPr>
        <w:t xml:space="preserve">Vengrija, Airija, Italija, Latvija, Lietuva, Liuksemburgas, Malta, Nyderlandai, Lenkija, Rumunija, Slovakija, Slovėnija, Ispanija, Jungtinė Karalystė </w:t>
      </w:r>
      <w:r w:rsidR="0083336E">
        <w:rPr>
          <w:highlight w:val="lightGray"/>
        </w:rPr>
        <w:t xml:space="preserve">(Šiaurės Airija) </w:t>
      </w:r>
      <w:r w:rsidRPr="008661CD">
        <w:rPr>
          <w:highlight w:val="lightGray"/>
        </w:rPr>
        <w:t>– Zinnat</w:t>
      </w:r>
    </w:p>
    <w:p w14:paraId="358AA552" w14:textId="77777777" w:rsidR="00922D8A" w:rsidRPr="008661CD" w:rsidRDefault="00922D8A" w:rsidP="008661CD">
      <w:pPr>
        <w:ind w:left="567" w:hanging="567"/>
        <w:rPr>
          <w:highlight w:val="lightGray"/>
        </w:rPr>
      </w:pPr>
      <w:r w:rsidRPr="008661CD">
        <w:rPr>
          <w:highlight w:val="lightGray"/>
        </w:rPr>
        <w:t>Vokietija – Elobact</w:t>
      </w:r>
    </w:p>
    <w:p w14:paraId="22F4F888" w14:textId="77777777" w:rsidR="00922D8A" w:rsidRPr="008661CD" w:rsidRDefault="00922D8A" w:rsidP="008661CD">
      <w:pPr>
        <w:ind w:left="567" w:hanging="567"/>
        <w:rPr>
          <w:highlight w:val="lightGray"/>
        </w:rPr>
      </w:pPr>
      <w:r w:rsidRPr="008661CD">
        <w:rPr>
          <w:highlight w:val="lightGray"/>
        </w:rPr>
        <w:t>Graikija – Zinadol</w:t>
      </w:r>
    </w:p>
    <w:p w14:paraId="2AEF46A9" w14:textId="77777777" w:rsidR="00922D8A" w:rsidRPr="008661CD" w:rsidRDefault="00922D8A" w:rsidP="008661CD">
      <w:pPr>
        <w:ind w:left="567" w:hanging="567"/>
        <w:rPr>
          <w:highlight w:val="lightGray"/>
        </w:rPr>
      </w:pPr>
      <w:r w:rsidRPr="008661CD">
        <w:rPr>
          <w:highlight w:val="lightGray"/>
        </w:rPr>
        <w:t>Italija – Oraxim</w:t>
      </w:r>
    </w:p>
    <w:p w14:paraId="38767F49" w14:textId="77777777" w:rsidR="00922D8A" w:rsidRPr="008661CD" w:rsidRDefault="00922D8A" w:rsidP="008661CD">
      <w:pPr>
        <w:ind w:left="567" w:hanging="567"/>
        <w:rPr>
          <w:highlight w:val="lightGray"/>
        </w:rPr>
      </w:pPr>
      <w:r w:rsidRPr="008661CD">
        <w:rPr>
          <w:highlight w:val="lightGray"/>
        </w:rPr>
        <w:t>Portugalija – Zipos</w:t>
      </w:r>
    </w:p>
    <w:p w14:paraId="34FDEEB5" w14:textId="77777777" w:rsidR="00922D8A" w:rsidRPr="008661CD" w:rsidRDefault="00922D8A" w:rsidP="008661CD">
      <w:pPr>
        <w:ind w:left="567" w:hanging="567"/>
        <w:rPr>
          <w:highlight w:val="lightGray"/>
          <w:lang w:val="pt-PT"/>
        </w:rPr>
      </w:pPr>
      <w:r w:rsidRPr="008661CD">
        <w:rPr>
          <w:highlight w:val="lightGray"/>
          <w:lang w:val="pt-PT"/>
        </w:rPr>
        <w:lastRenderedPageBreak/>
        <w:t>Portugalija – Zoref</w:t>
      </w:r>
    </w:p>
    <w:p w14:paraId="645B55F4" w14:textId="77777777" w:rsidR="00922D8A" w:rsidRPr="008661CD" w:rsidRDefault="00922D8A" w:rsidP="00857812">
      <w:pPr>
        <w:numPr>
          <w:ilvl w:val="12"/>
          <w:numId w:val="0"/>
        </w:numPr>
        <w:ind w:right="-2"/>
      </w:pPr>
    </w:p>
    <w:p w14:paraId="1EFD706C" w14:textId="580BD9A6" w:rsidR="00922D8A" w:rsidRPr="008661CD" w:rsidRDefault="00922D8A" w:rsidP="008661CD">
      <w:pPr>
        <w:numPr>
          <w:ilvl w:val="12"/>
          <w:numId w:val="0"/>
        </w:numPr>
        <w:ind w:right="-2"/>
        <w:outlineLvl w:val="0"/>
      </w:pPr>
      <w:r w:rsidRPr="008661CD">
        <w:rPr>
          <w:b/>
        </w:rPr>
        <w:t xml:space="preserve">Šis pakuotės lapelis paskutinį kartą peržiūrėtas </w:t>
      </w:r>
      <w:r w:rsidR="00DE2F83">
        <w:rPr>
          <w:b/>
        </w:rPr>
        <w:t>2024-04-23.</w:t>
      </w:r>
    </w:p>
    <w:p w14:paraId="40CD8B8C" w14:textId="77777777" w:rsidR="00922D8A" w:rsidRPr="009C0DB0" w:rsidRDefault="00922D8A" w:rsidP="008661CD">
      <w:pPr>
        <w:numPr>
          <w:ilvl w:val="12"/>
          <w:numId w:val="0"/>
        </w:numPr>
        <w:ind w:right="-2"/>
      </w:pPr>
    </w:p>
    <w:p w14:paraId="286F411E" w14:textId="77777777" w:rsidR="00922D8A" w:rsidRPr="008661CD" w:rsidRDefault="00922D8A" w:rsidP="008661CD">
      <w:pPr>
        <w:numPr>
          <w:ilvl w:val="12"/>
          <w:numId w:val="0"/>
        </w:numPr>
        <w:ind w:right="-2"/>
      </w:pPr>
      <w:r w:rsidRPr="008661CD">
        <w:t>Išsami informacija apie šį vaistą pateikiama Valstybinės vaistų kontrolės tarnybos prie Lietuvos Respublikos sveikatos apsaugos ministerijos tinklalapyje</w:t>
      </w:r>
      <w:r w:rsidRPr="008661CD">
        <w:rPr>
          <w:i/>
        </w:rPr>
        <w:t xml:space="preserve"> </w:t>
      </w:r>
      <w:hyperlink r:id="rId14" w:history="1">
        <w:r w:rsidRPr="000F3553">
          <w:rPr>
            <w:rStyle w:val="Hipersaitas"/>
            <w:rFonts w:eastAsia="SimSun"/>
          </w:rPr>
          <w:t>http://www.vvkt.lt/</w:t>
        </w:r>
      </w:hyperlink>
      <w:r w:rsidRPr="008661CD">
        <w:t>.</w:t>
      </w:r>
    </w:p>
    <w:p w14:paraId="4F21EBC5" w14:textId="77777777" w:rsidR="00922D8A" w:rsidRPr="008661CD" w:rsidRDefault="00922D8A" w:rsidP="008661CD"/>
    <w:p w14:paraId="635ED688" w14:textId="77777777" w:rsidR="00AA471E" w:rsidRDefault="00AA471E">
      <w:pPr>
        <w:spacing w:after="160" w:line="259" w:lineRule="auto"/>
      </w:pPr>
      <w:r>
        <w:br w:type="page"/>
      </w:r>
    </w:p>
    <w:p w14:paraId="485903CF" w14:textId="77777777" w:rsidR="00AA471E" w:rsidRPr="00C07A3C" w:rsidRDefault="00AA471E" w:rsidP="00AA471E">
      <w:pPr>
        <w:jc w:val="center"/>
        <w:outlineLvl w:val="0"/>
        <w:rPr>
          <w:rFonts w:eastAsia="Calibri"/>
          <w:b/>
        </w:rPr>
      </w:pPr>
      <w:r w:rsidRPr="00C07A3C">
        <w:rPr>
          <w:rFonts w:eastAsia="Calibri"/>
          <w:b/>
        </w:rPr>
        <w:lastRenderedPageBreak/>
        <w:t>Pakuotės lapelis: informacija vartotojui</w:t>
      </w:r>
    </w:p>
    <w:p w14:paraId="19F40554" w14:textId="77777777" w:rsidR="00AA471E" w:rsidRPr="009C0DB0" w:rsidRDefault="00AA471E" w:rsidP="00AA471E">
      <w:pPr>
        <w:jc w:val="center"/>
        <w:outlineLvl w:val="0"/>
        <w:rPr>
          <w:rFonts w:eastAsia="Calibri"/>
        </w:rPr>
      </w:pPr>
    </w:p>
    <w:p w14:paraId="417D14EC" w14:textId="77777777" w:rsidR="00AA471E" w:rsidRPr="00C07A3C" w:rsidRDefault="00AA471E" w:rsidP="00AA471E">
      <w:pPr>
        <w:numPr>
          <w:ilvl w:val="12"/>
          <w:numId w:val="0"/>
        </w:numPr>
        <w:jc w:val="center"/>
        <w:rPr>
          <w:rFonts w:eastAsia="Calibri"/>
          <w:b/>
        </w:rPr>
      </w:pPr>
      <w:bookmarkStart w:id="61" w:name="_Hlk819300"/>
      <w:r w:rsidRPr="00C07A3C">
        <w:rPr>
          <w:rFonts w:eastAsia="Calibri"/>
          <w:b/>
        </w:rPr>
        <w:t>Zinnat 125</w:t>
      </w:r>
      <w:r>
        <w:rPr>
          <w:rFonts w:eastAsia="Calibri"/>
          <w:b/>
        </w:rPr>
        <w:t> </w:t>
      </w:r>
      <w:r w:rsidRPr="00C07A3C">
        <w:rPr>
          <w:rFonts w:eastAsia="Calibri"/>
          <w:b/>
        </w:rPr>
        <w:t>mg/5</w:t>
      </w:r>
      <w:r>
        <w:rPr>
          <w:rFonts w:eastAsia="Calibri"/>
          <w:b/>
        </w:rPr>
        <w:t> </w:t>
      </w:r>
      <w:r w:rsidRPr="00C07A3C">
        <w:rPr>
          <w:rFonts w:eastAsia="Calibri"/>
          <w:b/>
        </w:rPr>
        <w:t>ml granulės geriamajai suspensijai</w:t>
      </w:r>
    </w:p>
    <w:p w14:paraId="76987E6B" w14:textId="63A386C9" w:rsidR="00AA471E" w:rsidRPr="00C07A3C" w:rsidRDefault="00316243" w:rsidP="00AA471E">
      <w:pPr>
        <w:numPr>
          <w:ilvl w:val="12"/>
          <w:numId w:val="0"/>
        </w:numPr>
        <w:jc w:val="center"/>
        <w:rPr>
          <w:rFonts w:eastAsia="Calibri"/>
        </w:rPr>
      </w:pPr>
      <w:r>
        <w:rPr>
          <w:rFonts w:eastAsia="Calibri"/>
        </w:rPr>
        <w:t>c</w:t>
      </w:r>
      <w:r w:rsidRPr="00C07A3C">
        <w:rPr>
          <w:rFonts w:eastAsia="Calibri"/>
        </w:rPr>
        <w:t>efuroksimas</w:t>
      </w:r>
    </w:p>
    <w:bookmarkEnd w:id="61"/>
    <w:p w14:paraId="5336C329" w14:textId="77777777" w:rsidR="00AA471E" w:rsidRPr="00C07A3C" w:rsidRDefault="00AA471E" w:rsidP="00AA471E">
      <w:pPr>
        <w:jc w:val="center"/>
        <w:rPr>
          <w:rFonts w:eastAsia="Calibri"/>
        </w:rPr>
      </w:pPr>
    </w:p>
    <w:p w14:paraId="76E9D222" w14:textId="77777777" w:rsidR="00AA471E" w:rsidRPr="00C07A3C" w:rsidRDefault="00AA471E" w:rsidP="00AA471E">
      <w:pPr>
        <w:rPr>
          <w:rFonts w:eastAsia="Calibri"/>
          <w:b/>
        </w:rPr>
      </w:pPr>
      <w:r w:rsidRPr="00C07A3C">
        <w:rPr>
          <w:rFonts w:eastAsia="Calibri"/>
          <w:b/>
        </w:rPr>
        <w:t>Atidžiai perskaitykite visą šį lapelį, prieš pradėdami vartoti vaistą, nes jame pateikiama Jums svarbi informacija.</w:t>
      </w:r>
    </w:p>
    <w:p w14:paraId="032F652E" w14:textId="77777777" w:rsidR="00AA471E" w:rsidRPr="00C07A3C" w:rsidRDefault="00AA471E" w:rsidP="00AA471E">
      <w:pPr>
        <w:ind w:left="567" w:hanging="567"/>
        <w:rPr>
          <w:rFonts w:eastAsia="Calibri"/>
        </w:rPr>
      </w:pPr>
      <w:r w:rsidRPr="00C07A3C">
        <w:rPr>
          <w:rFonts w:eastAsia="Calibri"/>
        </w:rPr>
        <w:t>-</w:t>
      </w:r>
      <w:r w:rsidRPr="00C07A3C">
        <w:rPr>
          <w:rFonts w:eastAsia="Calibri"/>
        </w:rPr>
        <w:tab/>
        <w:t>Neišmeskite šio lapelio, nes vėl gali prireikti jį perskaityti.</w:t>
      </w:r>
    </w:p>
    <w:p w14:paraId="4C494EE1" w14:textId="77777777" w:rsidR="00AA471E" w:rsidRPr="00C07A3C" w:rsidRDefault="00AA471E" w:rsidP="00AA471E">
      <w:pPr>
        <w:ind w:left="567" w:hanging="567"/>
        <w:rPr>
          <w:rFonts w:eastAsia="Calibri"/>
        </w:rPr>
      </w:pPr>
      <w:r w:rsidRPr="00C07A3C">
        <w:rPr>
          <w:rFonts w:eastAsia="Calibri"/>
        </w:rPr>
        <w:t>-</w:t>
      </w:r>
      <w:r w:rsidRPr="00C07A3C">
        <w:rPr>
          <w:rFonts w:eastAsia="Calibri"/>
        </w:rPr>
        <w:tab/>
        <w:t>Jeigu kiltų daugiau klausimų, kreipkitės į gydytoją, vaistininką arba slaugytoją.</w:t>
      </w:r>
    </w:p>
    <w:p w14:paraId="3363FE49" w14:textId="77777777" w:rsidR="00AA471E" w:rsidRPr="00C07A3C" w:rsidRDefault="00AA471E" w:rsidP="00AA471E">
      <w:pPr>
        <w:numPr>
          <w:ilvl w:val="0"/>
          <w:numId w:val="1"/>
        </w:numPr>
        <w:ind w:left="567" w:hanging="567"/>
        <w:rPr>
          <w:rFonts w:eastAsia="Calibri"/>
        </w:rPr>
      </w:pPr>
      <w:r w:rsidRPr="00C07A3C">
        <w:rPr>
          <w:rFonts w:eastAsia="Calibri"/>
        </w:rPr>
        <w:t>Šis vaistas skirtas tik Jums, todėl kitiems žmonėms jo duoti negalima. Vaistas gali jiems pakenkti (net tiems, kurių ligos požymiai yra tokie patys kaip Jūsų).</w:t>
      </w:r>
    </w:p>
    <w:p w14:paraId="1E1EFA42" w14:textId="77777777" w:rsidR="00AA471E" w:rsidRPr="00C07A3C" w:rsidRDefault="00AA471E" w:rsidP="00AA471E">
      <w:pPr>
        <w:numPr>
          <w:ilvl w:val="0"/>
          <w:numId w:val="1"/>
        </w:numPr>
        <w:ind w:left="567" w:hanging="567"/>
        <w:rPr>
          <w:rFonts w:eastAsia="Calibri"/>
        </w:rPr>
      </w:pPr>
      <w:r w:rsidRPr="00C07A3C">
        <w:rPr>
          <w:rFonts w:eastAsia="Calibri"/>
        </w:rPr>
        <w:t>Jeigu pasireiškė šalutinis poveikis (net jeigu jis šiame lapelyje nenurodytas), kreipkitės į gydytoją, vaistininką arba slaugytoją. Žr. 4 skyrių.</w:t>
      </w:r>
    </w:p>
    <w:p w14:paraId="2573713F" w14:textId="77777777" w:rsidR="00AA471E" w:rsidRPr="00C07A3C" w:rsidRDefault="00AA471E" w:rsidP="00AA471E">
      <w:pPr>
        <w:ind w:right="-2"/>
        <w:rPr>
          <w:rFonts w:eastAsia="Calibri"/>
        </w:rPr>
      </w:pPr>
    </w:p>
    <w:p w14:paraId="58CC4B5D" w14:textId="77777777" w:rsidR="00AA471E" w:rsidRPr="00C07A3C" w:rsidRDefault="00AA471E" w:rsidP="00AA471E">
      <w:pPr>
        <w:ind w:left="567" w:hanging="567"/>
        <w:rPr>
          <w:rFonts w:eastAsia="Calibri"/>
          <w:b/>
        </w:rPr>
      </w:pPr>
      <w:r w:rsidRPr="00C07A3C">
        <w:rPr>
          <w:rFonts w:eastAsia="Calibri"/>
          <w:b/>
        </w:rPr>
        <w:t>Apie ką rašoma šiame lapelyje?</w:t>
      </w:r>
    </w:p>
    <w:p w14:paraId="30740195" w14:textId="77777777" w:rsidR="00AA471E" w:rsidRPr="009C0DB0" w:rsidRDefault="00AA471E" w:rsidP="00AA471E">
      <w:pPr>
        <w:ind w:left="567" w:hanging="567"/>
        <w:rPr>
          <w:rFonts w:eastAsia="Calibri"/>
        </w:rPr>
      </w:pPr>
    </w:p>
    <w:p w14:paraId="6D6D7FF3" w14:textId="77777777" w:rsidR="00AA471E" w:rsidRPr="00C07A3C" w:rsidRDefault="00AA471E" w:rsidP="00AA471E">
      <w:pPr>
        <w:ind w:left="567" w:hanging="567"/>
        <w:rPr>
          <w:rFonts w:eastAsia="Calibri"/>
        </w:rPr>
      </w:pPr>
      <w:r w:rsidRPr="00C07A3C">
        <w:rPr>
          <w:rFonts w:eastAsia="Calibri"/>
        </w:rPr>
        <w:t>1.</w:t>
      </w:r>
      <w:r w:rsidRPr="00C07A3C">
        <w:rPr>
          <w:rFonts w:eastAsia="Calibri"/>
        </w:rPr>
        <w:tab/>
        <w:t>Kas yra Zinnat ir kam jis vartojamas</w:t>
      </w:r>
    </w:p>
    <w:p w14:paraId="1CD290C7" w14:textId="77777777" w:rsidR="00AA471E" w:rsidRPr="00C07A3C" w:rsidRDefault="00AA471E" w:rsidP="00AA471E">
      <w:pPr>
        <w:ind w:left="567" w:hanging="567"/>
        <w:rPr>
          <w:rFonts w:eastAsia="Calibri"/>
        </w:rPr>
      </w:pPr>
      <w:r w:rsidRPr="00C07A3C">
        <w:rPr>
          <w:rFonts w:eastAsia="Calibri"/>
        </w:rPr>
        <w:t>2.</w:t>
      </w:r>
      <w:r w:rsidRPr="00C07A3C">
        <w:rPr>
          <w:rFonts w:eastAsia="Calibri"/>
        </w:rPr>
        <w:tab/>
        <w:t>Kas žinotina prieš vartojant Zinnat</w:t>
      </w:r>
    </w:p>
    <w:p w14:paraId="5508F3BD" w14:textId="77777777" w:rsidR="00AA471E" w:rsidRPr="00C07A3C" w:rsidRDefault="00AA471E" w:rsidP="00AA471E">
      <w:pPr>
        <w:ind w:left="567" w:hanging="567"/>
        <w:rPr>
          <w:rFonts w:eastAsia="Calibri"/>
        </w:rPr>
      </w:pPr>
      <w:r w:rsidRPr="00C07A3C">
        <w:rPr>
          <w:rFonts w:eastAsia="Calibri"/>
        </w:rPr>
        <w:t>3.</w:t>
      </w:r>
      <w:r w:rsidRPr="00C07A3C">
        <w:rPr>
          <w:rFonts w:eastAsia="Calibri"/>
        </w:rPr>
        <w:tab/>
        <w:t>Kaip vartoti Zinnat</w:t>
      </w:r>
    </w:p>
    <w:p w14:paraId="537B8482" w14:textId="77777777" w:rsidR="00AA471E" w:rsidRPr="00C07A3C" w:rsidRDefault="00AA471E" w:rsidP="00AA471E">
      <w:pPr>
        <w:ind w:left="567" w:hanging="567"/>
        <w:rPr>
          <w:rFonts w:eastAsia="Calibri"/>
        </w:rPr>
      </w:pPr>
      <w:r w:rsidRPr="00C07A3C">
        <w:rPr>
          <w:rFonts w:eastAsia="Calibri"/>
        </w:rPr>
        <w:t>4.</w:t>
      </w:r>
      <w:r w:rsidRPr="00C07A3C">
        <w:rPr>
          <w:rFonts w:eastAsia="Calibri"/>
        </w:rPr>
        <w:tab/>
        <w:t>Galimas šalutinis poveikis</w:t>
      </w:r>
    </w:p>
    <w:p w14:paraId="449749D1" w14:textId="77777777" w:rsidR="00AA471E" w:rsidRPr="00C07A3C" w:rsidRDefault="00AA471E" w:rsidP="00AA471E">
      <w:pPr>
        <w:ind w:left="567" w:hanging="567"/>
        <w:rPr>
          <w:rFonts w:eastAsia="Calibri"/>
        </w:rPr>
      </w:pPr>
      <w:r w:rsidRPr="00C07A3C">
        <w:rPr>
          <w:rFonts w:eastAsia="Calibri"/>
        </w:rPr>
        <w:t>5.</w:t>
      </w:r>
      <w:r w:rsidRPr="00C07A3C">
        <w:rPr>
          <w:rFonts w:eastAsia="Calibri"/>
        </w:rPr>
        <w:tab/>
        <w:t>Kaip laikyti Zinnat</w:t>
      </w:r>
    </w:p>
    <w:p w14:paraId="7AF7A18D" w14:textId="77777777" w:rsidR="00AA471E" w:rsidRPr="00C07A3C" w:rsidRDefault="00AA471E" w:rsidP="00AA471E">
      <w:pPr>
        <w:ind w:left="567" w:hanging="567"/>
        <w:rPr>
          <w:rFonts w:eastAsia="Calibri"/>
        </w:rPr>
      </w:pPr>
      <w:r w:rsidRPr="00C07A3C">
        <w:rPr>
          <w:rFonts w:eastAsia="Calibri"/>
        </w:rPr>
        <w:t>6.</w:t>
      </w:r>
      <w:r w:rsidRPr="00C07A3C">
        <w:rPr>
          <w:rFonts w:eastAsia="Calibri"/>
        </w:rPr>
        <w:tab/>
        <w:t>Pakuotės turinys ir kita informacija</w:t>
      </w:r>
    </w:p>
    <w:p w14:paraId="08FD9B22" w14:textId="77777777" w:rsidR="00AA471E" w:rsidRPr="00C07A3C" w:rsidRDefault="00AA471E" w:rsidP="00AA471E">
      <w:pPr>
        <w:numPr>
          <w:ilvl w:val="12"/>
          <w:numId w:val="0"/>
        </w:numPr>
        <w:rPr>
          <w:rFonts w:eastAsia="Calibri"/>
        </w:rPr>
      </w:pPr>
    </w:p>
    <w:p w14:paraId="0435130A" w14:textId="77777777" w:rsidR="00AA471E" w:rsidRPr="00C07A3C" w:rsidRDefault="00AA471E" w:rsidP="00AA471E">
      <w:pPr>
        <w:numPr>
          <w:ilvl w:val="12"/>
          <w:numId w:val="0"/>
        </w:numPr>
        <w:rPr>
          <w:rFonts w:eastAsia="Calibri"/>
        </w:rPr>
      </w:pPr>
    </w:p>
    <w:p w14:paraId="03281624" w14:textId="77777777" w:rsidR="00AA471E" w:rsidRPr="00C07A3C" w:rsidRDefault="00AA471E" w:rsidP="00AA471E">
      <w:pPr>
        <w:numPr>
          <w:ilvl w:val="12"/>
          <w:numId w:val="0"/>
        </w:numPr>
        <w:ind w:left="567" w:hanging="567"/>
        <w:outlineLvl w:val="0"/>
        <w:rPr>
          <w:rFonts w:eastAsia="Calibri"/>
          <w:b/>
          <w:caps/>
        </w:rPr>
      </w:pPr>
      <w:r w:rsidRPr="00C07A3C">
        <w:rPr>
          <w:rFonts w:eastAsia="Calibri"/>
          <w:b/>
        </w:rPr>
        <w:t>1.</w:t>
      </w:r>
      <w:r w:rsidRPr="00C07A3C">
        <w:rPr>
          <w:rFonts w:eastAsia="Calibri"/>
          <w:b/>
        </w:rPr>
        <w:tab/>
        <w:t>Kas yra Zinnat ir kam jis vartojamas</w:t>
      </w:r>
    </w:p>
    <w:p w14:paraId="33E61CB3" w14:textId="77777777" w:rsidR="00AA471E" w:rsidRPr="00C07A3C" w:rsidRDefault="00AA471E" w:rsidP="00AA471E">
      <w:pPr>
        <w:numPr>
          <w:ilvl w:val="12"/>
          <w:numId w:val="0"/>
        </w:numPr>
        <w:rPr>
          <w:rFonts w:eastAsia="Calibri"/>
        </w:rPr>
      </w:pPr>
    </w:p>
    <w:p w14:paraId="1DE7CCA8" w14:textId="77777777" w:rsidR="00AA471E" w:rsidRPr="00C07A3C" w:rsidRDefault="00AA471E" w:rsidP="00AA471E">
      <w:pPr>
        <w:numPr>
          <w:ilvl w:val="12"/>
          <w:numId w:val="0"/>
        </w:numPr>
        <w:ind w:right="-2"/>
        <w:rPr>
          <w:rFonts w:eastAsia="Calibri"/>
        </w:rPr>
      </w:pPr>
      <w:r w:rsidRPr="00C07A3C">
        <w:rPr>
          <w:rFonts w:eastAsia="Calibri"/>
        </w:rPr>
        <w:t xml:space="preserve">Zinnat yra antibiotikas, kuriuo gydomi suaugusieji ir vaikai. Jis naikina infekcines ligas sukeliančias bakterijas. Jis priklauso vaistų, vadinamų </w:t>
      </w:r>
      <w:r w:rsidRPr="00C07A3C">
        <w:rPr>
          <w:rFonts w:eastAsia="Calibri"/>
          <w:i/>
        </w:rPr>
        <w:t>cefalosporinais</w:t>
      </w:r>
      <w:r w:rsidRPr="00C07A3C">
        <w:rPr>
          <w:rFonts w:eastAsia="Calibri"/>
        </w:rPr>
        <w:t>, grupei.</w:t>
      </w:r>
    </w:p>
    <w:p w14:paraId="60A31A67" w14:textId="77777777" w:rsidR="00AA471E" w:rsidRPr="009C0DB0" w:rsidRDefault="00AA471E" w:rsidP="00AA471E">
      <w:pPr>
        <w:numPr>
          <w:ilvl w:val="12"/>
          <w:numId w:val="0"/>
        </w:numPr>
        <w:ind w:right="-2"/>
        <w:rPr>
          <w:rFonts w:eastAsia="Calibri"/>
        </w:rPr>
      </w:pPr>
    </w:p>
    <w:p w14:paraId="6C38C54C" w14:textId="77777777" w:rsidR="00AA471E" w:rsidRPr="00C07A3C" w:rsidRDefault="00AA471E" w:rsidP="00AA471E">
      <w:pPr>
        <w:numPr>
          <w:ilvl w:val="12"/>
          <w:numId w:val="0"/>
        </w:numPr>
        <w:ind w:right="-2"/>
        <w:rPr>
          <w:rFonts w:eastAsia="Calibri"/>
        </w:rPr>
      </w:pPr>
      <w:r w:rsidRPr="00C07A3C">
        <w:rPr>
          <w:rFonts w:eastAsia="Calibri"/>
        </w:rPr>
        <w:t>Zinnat gydomos sunkios infekcinės ligos:</w:t>
      </w:r>
    </w:p>
    <w:p w14:paraId="58F5D351" w14:textId="7ECD17AF" w:rsidR="00AA471E" w:rsidRPr="00C07A3C" w:rsidRDefault="00B90A3E" w:rsidP="00AA471E">
      <w:pPr>
        <w:numPr>
          <w:ilvl w:val="0"/>
          <w:numId w:val="8"/>
        </w:numPr>
        <w:ind w:left="567" w:right="-2" w:hanging="567"/>
        <w:rPr>
          <w:rFonts w:eastAsia="Calibri"/>
        </w:rPr>
      </w:pPr>
      <w:r w:rsidRPr="00C07A3C">
        <w:rPr>
          <w:rFonts w:eastAsia="Calibri"/>
        </w:rPr>
        <w:t>G</w:t>
      </w:r>
      <w:r w:rsidR="00AA471E" w:rsidRPr="00C07A3C">
        <w:rPr>
          <w:rFonts w:eastAsia="Calibri"/>
        </w:rPr>
        <w:t>erklės</w:t>
      </w:r>
      <w:r>
        <w:rPr>
          <w:rFonts w:eastAsia="Calibri"/>
        </w:rPr>
        <w:t xml:space="preserve"> (ryklės)</w:t>
      </w:r>
      <w:r w:rsidR="00AA471E" w:rsidRPr="00C07A3C">
        <w:rPr>
          <w:rFonts w:eastAsia="Calibri"/>
        </w:rPr>
        <w:t>;</w:t>
      </w:r>
    </w:p>
    <w:p w14:paraId="69B8BB0A" w14:textId="77777777" w:rsidR="00AA471E" w:rsidRPr="00C07A3C" w:rsidRDefault="00AA471E" w:rsidP="00AA471E">
      <w:pPr>
        <w:numPr>
          <w:ilvl w:val="0"/>
          <w:numId w:val="8"/>
        </w:numPr>
        <w:ind w:left="567" w:right="-2" w:hanging="567"/>
        <w:rPr>
          <w:rFonts w:eastAsia="Calibri"/>
        </w:rPr>
      </w:pPr>
      <w:r w:rsidRPr="00C07A3C">
        <w:rPr>
          <w:rFonts w:eastAsia="Calibri"/>
        </w:rPr>
        <w:t>nosies ančių;</w:t>
      </w:r>
    </w:p>
    <w:p w14:paraId="6EEC6F0F" w14:textId="77777777" w:rsidR="00AA471E" w:rsidRPr="00C07A3C" w:rsidRDefault="00AA471E" w:rsidP="00AA471E">
      <w:pPr>
        <w:numPr>
          <w:ilvl w:val="0"/>
          <w:numId w:val="8"/>
        </w:numPr>
        <w:ind w:left="567" w:right="-2" w:hanging="567"/>
        <w:rPr>
          <w:rFonts w:eastAsia="Calibri"/>
        </w:rPr>
      </w:pPr>
      <w:r w:rsidRPr="00C07A3C">
        <w:rPr>
          <w:rFonts w:eastAsia="Calibri"/>
        </w:rPr>
        <w:t>vidurinės ausies;</w:t>
      </w:r>
    </w:p>
    <w:p w14:paraId="7F6D7906" w14:textId="77777777" w:rsidR="00AA471E" w:rsidRPr="00C07A3C" w:rsidRDefault="00AA471E" w:rsidP="00AA471E">
      <w:pPr>
        <w:numPr>
          <w:ilvl w:val="0"/>
          <w:numId w:val="8"/>
        </w:numPr>
        <w:ind w:left="567" w:right="-2" w:hanging="567"/>
        <w:rPr>
          <w:rFonts w:eastAsia="Calibri"/>
        </w:rPr>
      </w:pPr>
      <w:r w:rsidRPr="00C07A3C">
        <w:rPr>
          <w:rFonts w:eastAsia="Calibri"/>
        </w:rPr>
        <w:t>plaučių ar krūtinės ląstos;</w:t>
      </w:r>
    </w:p>
    <w:p w14:paraId="25C8CEA5" w14:textId="77777777" w:rsidR="00AA471E" w:rsidRPr="00C07A3C" w:rsidRDefault="00AA471E" w:rsidP="00AA471E">
      <w:pPr>
        <w:numPr>
          <w:ilvl w:val="0"/>
          <w:numId w:val="8"/>
        </w:numPr>
        <w:ind w:left="567" w:right="-2" w:hanging="567"/>
        <w:rPr>
          <w:rFonts w:eastAsia="Calibri"/>
        </w:rPr>
      </w:pPr>
      <w:r w:rsidRPr="00C07A3C">
        <w:rPr>
          <w:rFonts w:eastAsia="Calibri"/>
        </w:rPr>
        <w:t>šlapimo takų;</w:t>
      </w:r>
    </w:p>
    <w:p w14:paraId="23AC6656" w14:textId="77777777" w:rsidR="00AA471E" w:rsidRPr="00C07A3C" w:rsidRDefault="00AA471E" w:rsidP="00AA471E">
      <w:pPr>
        <w:numPr>
          <w:ilvl w:val="0"/>
          <w:numId w:val="8"/>
        </w:numPr>
        <w:ind w:left="567" w:right="-2" w:hanging="567"/>
        <w:rPr>
          <w:rFonts w:eastAsia="Calibri"/>
        </w:rPr>
      </w:pPr>
      <w:r w:rsidRPr="00C07A3C">
        <w:rPr>
          <w:rFonts w:eastAsia="Calibri"/>
        </w:rPr>
        <w:t>odos ir poodinio audinio.</w:t>
      </w:r>
    </w:p>
    <w:p w14:paraId="27DEB547" w14:textId="77777777" w:rsidR="00AA471E" w:rsidRPr="00C07A3C" w:rsidRDefault="00AA471E" w:rsidP="009C0DB0">
      <w:pPr>
        <w:ind w:right="-2"/>
        <w:rPr>
          <w:rFonts w:eastAsia="Calibri"/>
        </w:rPr>
      </w:pPr>
    </w:p>
    <w:p w14:paraId="25DD3BF0" w14:textId="77777777" w:rsidR="00AA471E" w:rsidRPr="00C07A3C" w:rsidRDefault="00AA471E" w:rsidP="00AA471E">
      <w:pPr>
        <w:numPr>
          <w:ilvl w:val="12"/>
          <w:numId w:val="0"/>
        </w:numPr>
        <w:ind w:right="-2"/>
        <w:rPr>
          <w:rFonts w:eastAsia="Calibri"/>
        </w:rPr>
      </w:pPr>
      <w:r w:rsidRPr="00C07A3C">
        <w:rPr>
          <w:rFonts w:eastAsia="Calibri"/>
        </w:rPr>
        <w:t>Be to, Zinnat galima vartoti:</w:t>
      </w:r>
    </w:p>
    <w:p w14:paraId="3351232E" w14:textId="77777777" w:rsidR="00AA471E" w:rsidRPr="00C07A3C" w:rsidRDefault="00AA471E" w:rsidP="00AA471E">
      <w:pPr>
        <w:numPr>
          <w:ilvl w:val="0"/>
          <w:numId w:val="8"/>
        </w:numPr>
        <w:ind w:left="567" w:right="-2" w:hanging="567"/>
        <w:rPr>
          <w:rFonts w:eastAsia="Calibri"/>
        </w:rPr>
      </w:pPr>
      <w:r w:rsidRPr="00C07A3C">
        <w:rPr>
          <w:rFonts w:eastAsia="Calibri"/>
        </w:rPr>
        <w:t>Laimo ligai gydyti (tai yra infekcinė liga, kurią perneša parazitai, vadinami erkėmis).</w:t>
      </w:r>
    </w:p>
    <w:p w14:paraId="4ABF7001" w14:textId="77777777" w:rsidR="00AA471E" w:rsidRPr="00C07A3C" w:rsidRDefault="00AA471E" w:rsidP="00AA471E">
      <w:pPr>
        <w:numPr>
          <w:ilvl w:val="12"/>
          <w:numId w:val="0"/>
        </w:numPr>
        <w:rPr>
          <w:rFonts w:eastAsia="Calibri"/>
        </w:rPr>
      </w:pPr>
    </w:p>
    <w:p w14:paraId="2D38BD77" w14:textId="77777777" w:rsidR="00AA471E" w:rsidRPr="00C07A3C" w:rsidRDefault="00AA471E" w:rsidP="00AA471E">
      <w:pPr>
        <w:numPr>
          <w:ilvl w:val="12"/>
          <w:numId w:val="0"/>
        </w:numPr>
        <w:rPr>
          <w:rFonts w:eastAsia="Calibri"/>
        </w:rPr>
      </w:pPr>
      <w:r w:rsidRPr="00C07A3C">
        <w:rPr>
          <w:rFonts w:eastAsia="Calibri"/>
        </w:rPr>
        <w:t>Jūsų gydytojas gali ištirti, kokia bakterija sukėlė infekcinę ligą, ir stebėti, ar bakterijos yra jautrios Zinnat gydymo metu.</w:t>
      </w:r>
    </w:p>
    <w:p w14:paraId="74C955AB" w14:textId="77777777" w:rsidR="00AA471E" w:rsidRPr="00C07A3C" w:rsidRDefault="00AA471E" w:rsidP="00AA471E">
      <w:pPr>
        <w:numPr>
          <w:ilvl w:val="12"/>
          <w:numId w:val="0"/>
        </w:numPr>
        <w:rPr>
          <w:rFonts w:eastAsia="Calibri"/>
        </w:rPr>
      </w:pPr>
    </w:p>
    <w:p w14:paraId="6AE88059" w14:textId="77777777" w:rsidR="00AA471E" w:rsidRPr="00C07A3C" w:rsidRDefault="00AA471E" w:rsidP="00AA471E">
      <w:pPr>
        <w:numPr>
          <w:ilvl w:val="12"/>
          <w:numId w:val="0"/>
        </w:numPr>
        <w:rPr>
          <w:rFonts w:eastAsia="Calibri"/>
        </w:rPr>
      </w:pPr>
    </w:p>
    <w:p w14:paraId="7490C0A7" w14:textId="77777777" w:rsidR="00AA471E" w:rsidRPr="00C07A3C" w:rsidRDefault="00AA471E" w:rsidP="00AA471E">
      <w:pPr>
        <w:numPr>
          <w:ilvl w:val="12"/>
          <w:numId w:val="0"/>
        </w:numPr>
        <w:ind w:left="567" w:hanging="567"/>
        <w:outlineLvl w:val="0"/>
        <w:rPr>
          <w:rFonts w:eastAsia="Calibri"/>
          <w:b/>
          <w:caps/>
        </w:rPr>
      </w:pPr>
      <w:r w:rsidRPr="00C07A3C">
        <w:rPr>
          <w:rFonts w:eastAsia="Calibri"/>
          <w:b/>
        </w:rPr>
        <w:t>2.</w:t>
      </w:r>
      <w:r w:rsidRPr="00C07A3C">
        <w:rPr>
          <w:rFonts w:eastAsia="Calibri"/>
          <w:b/>
        </w:rPr>
        <w:tab/>
        <w:t>Kas žinotina prieš vartojant Zinnat</w:t>
      </w:r>
    </w:p>
    <w:p w14:paraId="703BBD47" w14:textId="77777777" w:rsidR="00AA471E" w:rsidRPr="00C07A3C" w:rsidRDefault="00AA471E" w:rsidP="00AA471E">
      <w:pPr>
        <w:ind w:left="567" w:hanging="567"/>
        <w:rPr>
          <w:rFonts w:eastAsia="Calibri"/>
        </w:rPr>
      </w:pPr>
    </w:p>
    <w:p w14:paraId="3ED93B50" w14:textId="08784994" w:rsidR="00AA471E" w:rsidRPr="00C07A3C" w:rsidRDefault="00AA471E" w:rsidP="00AA471E">
      <w:pPr>
        <w:ind w:left="567" w:hanging="567"/>
        <w:rPr>
          <w:rFonts w:eastAsia="Calibri"/>
          <w:b/>
          <w:caps/>
        </w:rPr>
      </w:pPr>
      <w:r w:rsidRPr="00C07A3C">
        <w:rPr>
          <w:rFonts w:eastAsia="Calibri"/>
          <w:b/>
        </w:rPr>
        <w:t xml:space="preserve">Zinnat vartoti </w:t>
      </w:r>
      <w:r w:rsidR="007906B1">
        <w:rPr>
          <w:rFonts w:eastAsia="Calibri"/>
          <w:b/>
        </w:rPr>
        <w:t>draudžiama</w:t>
      </w:r>
    </w:p>
    <w:p w14:paraId="2EC542E8" w14:textId="77777777" w:rsidR="00AA471E" w:rsidRPr="00C07A3C" w:rsidRDefault="00AA471E" w:rsidP="00AA471E">
      <w:pPr>
        <w:numPr>
          <w:ilvl w:val="12"/>
          <w:numId w:val="0"/>
        </w:numPr>
        <w:outlineLvl w:val="0"/>
        <w:rPr>
          <w:rFonts w:eastAsia="Calibri"/>
        </w:rPr>
      </w:pPr>
    </w:p>
    <w:p w14:paraId="60A485C3" w14:textId="77777777" w:rsidR="00AA471E" w:rsidRPr="00C07A3C" w:rsidRDefault="00AA471E" w:rsidP="00AA471E">
      <w:pPr>
        <w:numPr>
          <w:ilvl w:val="0"/>
          <w:numId w:val="8"/>
        </w:numPr>
        <w:ind w:left="567" w:right="-2" w:hanging="567"/>
        <w:rPr>
          <w:rFonts w:eastAsia="Calibri"/>
        </w:rPr>
      </w:pPr>
      <w:r w:rsidRPr="00C07A3C">
        <w:rPr>
          <w:rFonts w:eastAsia="Calibri"/>
          <w:b/>
        </w:rPr>
        <w:t>jeigu yra alergija</w:t>
      </w:r>
      <w:r w:rsidRPr="00C07A3C">
        <w:rPr>
          <w:rFonts w:eastAsia="Calibri"/>
        </w:rPr>
        <w:t xml:space="preserve"> cefuroksimo aksetilui arba </w:t>
      </w:r>
      <w:r w:rsidRPr="00C07A3C">
        <w:rPr>
          <w:rFonts w:eastAsia="Calibri"/>
          <w:b/>
        </w:rPr>
        <w:t>kuriam nors cefalosporinų grupės antibiotikui,</w:t>
      </w:r>
      <w:r w:rsidRPr="00C07A3C">
        <w:rPr>
          <w:rFonts w:eastAsia="Calibri"/>
        </w:rPr>
        <w:t xml:space="preserve"> arba bet kuriai pagalbinei šio vaisto medžiagai (jos išvardytos 6 skyriuje);</w:t>
      </w:r>
    </w:p>
    <w:p w14:paraId="2BF7E5D4" w14:textId="09AB7920" w:rsidR="00316243" w:rsidRDefault="00AA471E" w:rsidP="00AA471E">
      <w:pPr>
        <w:numPr>
          <w:ilvl w:val="0"/>
          <w:numId w:val="8"/>
        </w:numPr>
        <w:ind w:left="567" w:right="-2" w:hanging="567"/>
        <w:rPr>
          <w:rFonts w:eastAsia="Calibri"/>
        </w:rPr>
      </w:pPr>
      <w:r w:rsidRPr="00C07A3C">
        <w:rPr>
          <w:rFonts w:eastAsia="Calibri"/>
        </w:rPr>
        <w:t>jeigu Jums buvo pasireiškusi sunki alergija (</w:t>
      </w:r>
      <w:r w:rsidRPr="00C07A3C">
        <w:rPr>
          <w:rFonts w:eastAsia="Calibri"/>
          <w:i/>
        </w:rPr>
        <w:t>padidėjęs jautrumas</w:t>
      </w:r>
      <w:r w:rsidRPr="00C07A3C">
        <w:rPr>
          <w:rFonts w:eastAsia="Calibri"/>
        </w:rPr>
        <w:t>) kuriam nors kitokiam beta laktaminiam antibiotikui (penicilinams, monobaktamams, karbapenemams)</w:t>
      </w:r>
      <w:r w:rsidR="00316243">
        <w:rPr>
          <w:rFonts w:eastAsia="Calibri"/>
        </w:rPr>
        <w:t>;</w:t>
      </w:r>
    </w:p>
    <w:p w14:paraId="1770BBFA" w14:textId="77777777" w:rsidR="00316243" w:rsidRPr="00773389" w:rsidRDefault="00316243" w:rsidP="00316243">
      <w:pPr>
        <w:pStyle w:val="Sraopastraipa"/>
        <w:numPr>
          <w:ilvl w:val="0"/>
          <w:numId w:val="8"/>
        </w:numPr>
        <w:ind w:left="567" w:hanging="567"/>
      </w:pPr>
      <w:r w:rsidRPr="00773389">
        <w:t xml:space="preserve">jeigu po gydymo cefuroksimu arba bet kuriuo kitu cefalosporinų grupės antibiotiku pasireiškė sunkus odos išbėrimas arba odos lupimasis, pūslės ir (arba) burnos opos. </w:t>
      </w:r>
    </w:p>
    <w:p w14:paraId="4C1C8900" w14:textId="1252899C" w:rsidR="00AA471E" w:rsidRPr="00316243" w:rsidRDefault="00AA471E" w:rsidP="00857812">
      <w:pPr>
        <w:numPr>
          <w:ilvl w:val="0"/>
          <w:numId w:val="9"/>
        </w:numPr>
        <w:spacing w:before="120"/>
        <w:ind w:hanging="720"/>
        <w:rPr>
          <w:rFonts w:eastAsia="Calibri"/>
        </w:rPr>
      </w:pPr>
      <w:r w:rsidRPr="00316243">
        <w:rPr>
          <w:rFonts w:eastAsia="Calibri"/>
          <w:color w:val="000000"/>
        </w:rPr>
        <w:t xml:space="preserve">Jeigu </w:t>
      </w:r>
      <w:r w:rsidR="00316243">
        <w:rPr>
          <w:rFonts w:eastAsia="Calibri"/>
          <w:color w:val="000000"/>
        </w:rPr>
        <w:t>manote</w:t>
      </w:r>
      <w:r w:rsidRPr="00316243">
        <w:rPr>
          <w:rFonts w:eastAsia="Calibri"/>
          <w:color w:val="000000"/>
        </w:rPr>
        <w:t xml:space="preserve">, kad yra tokių aplinkybių, </w:t>
      </w:r>
      <w:r w:rsidRPr="00316243">
        <w:rPr>
          <w:rFonts w:eastAsia="Calibri"/>
          <w:b/>
          <w:color w:val="000000"/>
        </w:rPr>
        <w:t xml:space="preserve">Zinnat nevartokite </w:t>
      </w:r>
      <w:r w:rsidRPr="00316243">
        <w:rPr>
          <w:rFonts w:eastAsia="Calibri"/>
          <w:color w:val="000000"/>
        </w:rPr>
        <w:t>tol, kol Jūsų neištirs gydytojas.</w:t>
      </w:r>
    </w:p>
    <w:p w14:paraId="3CCD90D7" w14:textId="77777777" w:rsidR="00316243" w:rsidRDefault="00316243" w:rsidP="00316243">
      <w:pPr>
        <w:ind w:left="567" w:hanging="567"/>
      </w:pPr>
    </w:p>
    <w:p w14:paraId="353A4E3D" w14:textId="77777777" w:rsidR="00316243" w:rsidRDefault="00316243" w:rsidP="00316243">
      <w:pPr>
        <w:ind w:left="567" w:hanging="567"/>
      </w:pPr>
      <w:r>
        <w:lastRenderedPageBreak/>
        <w:t>Vartojant Zinnat, reikia imtis specialių atsargumo priemonių</w:t>
      </w:r>
    </w:p>
    <w:p w14:paraId="18D8549A" w14:textId="77777777" w:rsidR="00316243" w:rsidRDefault="00316243" w:rsidP="00316243">
      <w:pPr>
        <w:ind w:left="567" w:hanging="567"/>
      </w:pPr>
    </w:p>
    <w:p w14:paraId="3E3254A3" w14:textId="77777777" w:rsidR="00316243" w:rsidRPr="004707B7" w:rsidRDefault="00316243" w:rsidP="00316243">
      <w:r>
        <w:t>Gauta pranešimų apie su gydymu cefuroksimu susijusias pavojingas odos reakcijas, įskaitant Stivenso-Džonsono (Stevens-Johnson)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35D329BA" w14:textId="77777777" w:rsidR="00316243" w:rsidRPr="00C07A3C" w:rsidRDefault="00316243" w:rsidP="00AA471E">
      <w:pPr>
        <w:ind w:left="567" w:hanging="567"/>
        <w:rPr>
          <w:rFonts w:eastAsia="Calibri"/>
        </w:rPr>
      </w:pPr>
    </w:p>
    <w:p w14:paraId="635ADB9A" w14:textId="77777777" w:rsidR="00AA471E" w:rsidRPr="00C07A3C" w:rsidRDefault="00AA471E" w:rsidP="00AA471E">
      <w:pPr>
        <w:keepNext/>
        <w:tabs>
          <w:tab w:val="left" w:pos="567"/>
        </w:tabs>
        <w:rPr>
          <w:rFonts w:eastAsia="Calibri"/>
          <w:b/>
        </w:rPr>
      </w:pPr>
      <w:r w:rsidRPr="00C07A3C">
        <w:rPr>
          <w:rFonts w:eastAsia="Calibri"/>
          <w:b/>
        </w:rPr>
        <w:t>Įspėjimai ir atsargumo priemonės</w:t>
      </w:r>
    </w:p>
    <w:p w14:paraId="2FA785C7" w14:textId="77777777" w:rsidR="00AA471E" w:rsidRPr="009C0DB0" w:rsidRDefault="00AA471E" w:rsidP="00AA471E">
      <w:pPr>
        <w:keepNext/>
        <w:tabs>
          <w:tab w:val="left" w:pos="567"/>
        </w:tabs>
        <w:rPr>
          <w:rFonts w:eastAsia="Calibri"/>
        </w:rPr>
      </w:pPr>
    </w:p>
    <w:p w14:paraId="48C3ED2C" w14:textId="77777777" w:rsidR="00AA471E" w:rsidRPr="00C07A3C" w:rsidRDefault="00AA471E" w:rsidP="00AA471E">
      <w:pPr>
        <w:keepNext/>
        <w:tabs>
          <w:tab w:val="left" w:pos="567"/>
        </w:tabs>
        <w:rPr>
          <w:rFonts w:eastAsia="Calibri"/>
        </w:rPr>
      </w:pPr>
      <w:r w:rsidRPr="00C07A3C">
        <w:rPr>
          <w:rFonts w:eastAsia="Calibri"/>
        </w:rPr>
        <w:t>Pasitarkite su gydytoju arba vaistininku, prieš pradėdami vartoti Zinnat.</w:t>
      </w:r>
    </w:p>
    <w:p w14:paraId="1F6E8E92" w14:textId="77777777" w:rsidR="00AA471E" w:rsidRPr="009C0DB0" w:rsidRDefault="00AA471E" w:rsidP="00AA471E">
      <w:pPr>
        <w:keepNext/>
        <w:tabs>
          <w:tab w:val="left" w:pos="567"/>
        </w:tabs>
        <w:rPr>
          <w:rFonts w:eastAsia="Calibri"/>
        </w:rPr>
      </w:pPr>
    </w:p>
    <w:p w14:paraId="6F604BDB" w14:textId="77777777" w:rsidR="00AA471E" w:rsidRPr="00C07A3C" w:rsidRDefault="00AA471E" w:rsidP="00AA471E">
      <w:pPr>
        <w:keepNext/>
        <w:tabs>
          <w:tab w:val="left" w:pos="567"/>
        </w:tabs>
        <w:rPr>
          <w:rFonts w:eastAsia="Calibri"/>
          <w:b/>
        </w:rPr>
      </w:pPr>
      <w:r w:rsidRPr="00C07A3C">
        <w:rPr>
          <w:rFonts w:eastAsia="Calibri"/>
          <w:b/>
        </w:rPr>
        <w:t>Vaikams</w:t>
      </w:r>
    </w:p>
    <w:p w14:paraId="5C4B0213" w14:textId="77777777" w:rsidR="00AA471E" w:rsidRPr="009C0DB0" w:rsidRDefault="00AA471E" w:rsidP="00AA471E">
      <w:pPr>
        <w:keepNext/>
        <w:tabs>
          <w:tab w:val="left" w:pos="567"/>
        </w:tabs>
        <w:rPr>
          <w:rFonts w:eastAsia="Calibri"/>
        </w:rPr>
      </w:pPr>
    </w:p>
    <w:p w14:paraId="449B73EF" w14:textId="77777777" w:rsidR="00AA471E" w:rsidRPr="00C07A3C" w:rsidRDefault="00AA471E" w:rsidP="00AA471E">
      <w:pPr>
        <w:numPr>
          <w:ilvl w:val="12"/>
          <w:numId w:val="0"/>
        </w:numPr>
        <w:rPr>
          <w:rFonts w:eastAsia="Calibri"/>
        </w:rPr>
      </w:pPr>
      <w:r w:rsidRPr="00C07A3C">
        <w:rPr>
          <w:rFonts w:eastAsia="Calibri"/>
          <w:b/>
        </w:rPr>
        <w:t>Zinnat nerekomenduojama vartoti jaunesniems kaip 3 mėnesių kūdikiams</w:t>
      </w:r>
      <w:r w:rsidRPr="00C07A3C">
        <w:rPr>
          <w:rFonts w:eastAsia="Calibri"/>
        </w:rPr>
        <w:t>, nes saugumas ir veiksmingumas šios grupės pacientams nežinomas.</w:t>
      </w:r>
    </w:p>
    <w:p w14:paraId="1ABB7A48" w14:textId="77777777" w:rsidR="00AA471E" w:rsidRPr="009C0DB0" w:rsidRDefault="00AA471E" w:rsidP="00AA471E">
      <w:pPr>
        <w:numPr>
          <w:ilvl w:val="12"/>
          <w:numId w:val="0"/>
        </w:numPr>
        <w:rPr>
          <w:rFonts w:eastAsia="Calibri"/>
        </w:rPr>
      </w:pPr>
    </w:p>
    <w:p w14:paraId="254EE98F" w14:textId="77777777" w:rsidR="00AA471E" w:rsidRPr="00C07A3C" w:rsidRDefault="00AA471E" w:rsidP="00AA471E">
      <w:pPr>
        <w:numPr>
          <w:ilvl w:val="12"/>
          <w:numId w:val="0"/>
        </w:numPr>
        <w:rPr>
          <w:rFonts w:eastAsia="Calibri"/>
        </w:rPr>
      </w:pPr>
      <w:r w:rsidRPr="00C07A3C">
        <w:rPr>
          <w:rFonts w:eastAsia="Calibri"/>
        </w:rPr>
        <w:t xml:space="preserve">Turite stebėti, ar vartojant Zinnat, neatsiranda tam tikrų simptomų, pavyzdžiui: alerginės reakcijos, grybelių (pvz., </w:t>
      </w:r>
      <w:r w:rsidRPr="00C07A3C">
        <w:rPr>
          <w:rFonts w:eastAsia="Calibri"/>
          <w:i/>
        </w:rPr>
        <w:t>mieliagrybių</w:t>
      </w:r>
      <w:r w:rsidRPr="00C07A3C">
        <w:rPr>
          <w:rFonts w:eastAsia="Calibri"/>
        </w:rPr>
        <w:t>) sukeltos infekcinės ligos, sunkaus viduriavimo (</w:t>
      </w:r>
      <w:r w:rsidRPr="00C07A3C">
        <w:rPr>
          <w:rFonts w:eastAsia="Calibri"/>
          <w:i/>
        </w:rPr>
        <w:t>pseudomembraninio kolito</w:t>
      </w:r>
      <w:r w:rsidRPr="00C07A3C">
        <w:rPr>
          <w:rFonts w:eastAsia="Calibri"/>
        </w:rPr>
        <w:t>). Taip galima sumažinti bet kurių sutrikimų riziką. Žr. 4 skyriuje skyrelį ,,</w:t>
      </w:r>
      <w:r w:rsidRPr="00C07A3C">
        <w:rPr>
          <w:rFonts w:eastAsia="Calibri"/>
          <w:i/>
        </w:rPr>
        <w:t>Būklės, į kurias reikia atkreipti dėmes</w:t>
      </w:r>
      <w:r w:rsidRPr="00C07A3C">
        <w:rPr>
          <w:rFonts w:eastAsia="Calibri"/>
        </w:rPr>
        <w:t>į“.</w:t>
      </w:r>
    </w:p>
    <w:p w14:paraId="5F62DEC6" w14:textId="77777777" w:rsidR="00AA471E" w:rsidRPr="00C07A3C" w:rsidRDefault="00AA471E" w:rsidP="00AA471E">
      <w:pPr>
        <w:numPr>
          <w:ilvl w:val="12"/>
          <w:numId w:val="0"/>
        </w:numPr>
        <w:rPr>
          <w:rFonts w:eastAsia="Calibri"/>
        </w:rPr>
      </w:pPr>
    </w:p>
    <w:p w14:paraId="6F094B3C" w14:textId="77777777" w:rsidR="00AA471E" w:rsidRPr="00C07A3C" w:rsidRDefault="00AA471E" w:rsidP="00AA471E">
      <w:pPr>
        <w:numPr>
          <w:ilvl w:val="12"/>
          <w:numId w:val="0"/>
        </w:numPr>
        <w:rPr>
          <w:rFonts w:eastAsia="Calibri"/>
          <w:b/>
        </w:rPr>
      </w:pPr>
      <w:r w:rsidRPr="00C07A3C">
        <w:rPr>
          <w:rFonts w:eastAsia="Calibri"/>
          <w:b/>
        </w:rPr>
        <w:t>Jeigu reikia atlikti kraujo tyrimą</w:t>
      </w:r>
    </w:p>
    <w:p w14:paraId="52983FEC" w14:textId="77777777" w:rsidR="00AA471E" w:rsidRPr="009C0DB0" w:rsidRDefault="00AA471E" w:rsidP="00AA471E">
      <w:pPr>
        <w:numPr>
          <w:ilvl w:val="12"/>
          <w:numId w:val="0"/>
        </w:numPr>
        <w:rPr>
          <w:rFonts w:eastAsia="Calibri"/>
        </w:rPr>
      </w:pPr>
    </w:p>
    <w:p w14:paraId="35D915C7" w14:textId="77777777" w:rsidR="00AA471E" w:rsidRPr="009C0DB0" w:rsidRDefault="00AA471E" w:rsidP="00AA471E">
      <w:pPr>
        <w:numPr>
          <w:ilvl w:val="12"/>
          <w:numId w:val="0"/>
        </w:numPr>
        <w:rPr>
          <w:rFonts w:eastAsia="Calibri"/>
        </w:rPr>
      </w:pPr>
      <w:r w:rsidRPr="00C07A3C">
        <w:rPr>
          <w:rFonts w:eastAsia="Calibri"/>
        </w:rPr>
        <w:t xml:space="preserve">Zinnat gali veikti kraujo tyrimo gliukozei nustatyti arba kraujo tyrimo, kuris vadinamas </w:t>
      </w:r>
      <w:r w:rsidRPr="00C07A3C">
        <w:rPr>
          <w:rFonts w:eastAsia="Calibri"/>
          <w:i/>
        </w:rPr>
        <w:t>Kumbso mėginiu</w:t>
      </w:r>
      <w:r w:rsidRPr="00C07A3C">
        <w:rPr>
          <w:rFonts w:eastAsia="Calibri"/>
        </w:rPr>
        <w:t xml:space="preserve">, rezultatus. Jeigu reikia atlikti kraujo </w:t>
      </w:r>
      <w:r w:rsidRPr="00114810">
        <w:rPr>
          <w:rFonts w:eastAsia="Calibri"/>
        </w:rPr>
        <w:t>tyrimą:</w:t>
      </w:r>
    </w:p>
    <w:p w14:paraId="64255359" w14:textId="77777777" w:rsidR="00AA471E" w:rsidRPr="009C0DB0" w:rsidRDefault="00AA471E" w:rsidP="00AA471E">
      <w:pPr>
        <w:numPr>
          <w:ilvl w:val="0"/>
          <w:numId w:val="9"/>
        </w:numPr>
        <w:ind w:left="567" w:hanging="567"/>
        <w:rPr>
          <w:rFonts w:eastAsia="Calibri"/>
        </w:rPr>
      </w:pPr>
      <w:r w:rsidRPr="00C07A3C">
        <w:rPr>
          <w:rFonts w:eastAsia="Calibri"/>
          <w:b/>
        </w:rPr>
        <w:t xml:space="preserve">mėginį imančiam asmeniui pasakykite, </w:t>
      </w:r>
      <w:r w:rsidRPr="00C07A3C">
        <w:rPr>
          <w:rFonts w:eastAsia="Calibri"/>
        </w:rPr>
        <w:t>kad vartojate Zinnat.</w:t>
      </w:r>
    </w:p>
    <w:p w14:paraId="06FB784B" w14:textId="77777777" w:rsidR="00AA471E" w:rsidRPr="00C07A3C" w:rsidRDefault="00AA471E" w:rsidP="00AA471E">
      <w:pPr>
        <w:numPr>
          <w:ilvl w:val="12"/>
          <w:numId w:val="0"/>
        </w:numPr>
        <w:rPr>
          <w:rFonts w:eastAsia="Calibri"/>
        </w:rPr>
      </w:pPr>
    </w:p>
    <w:p w14:paraId="78428B7E" w14:textId="77777777" w:rsidR="00AA471E" w:rsidRPr="00C07A3C" w:rsidRDefault="00AA471E" w:rsidP="00AA471E">
      <w:pPr>
        <w:ind w:left="567" w:hanging="567"/>
        <w:rPr>
          <w:rFonts w:eastAsia="Calibri"/>
          <w:b/>
        </w:rPr>
      </w:pPr>
      <w:r w:rsidRPr="00C07A3C">
        <w:rPr>
          <w:rFonts w:eastAsia="Calibri"/>
          <w:b/>
        </w:rPr>
        <w:t>Kiti vaistai ir Zinnat</w:t>
      </w:r>
    </w:p>
    <w:p w14:paraId="2BEE4E18" w14:textId="77777777" w:rsidR="00AA471E" w:rsidRPr="00C07A3C" w:rsidRDefault="00AA471E" w:rsidP="00AA471E">
      <w:pPr>
        <w:rPr>
          <w:rFonts w:eastAsia="Calibri"/>
        </w:rPr>
      </w:pPr>
    </w:p>
    <w:p w14:paraId="7036C928" w14:textId="77777777" w:rsidR="00AA471E" w:rsidRPr="00C07A3C" w:rsidRDefault="00AA471E" w:rsidP="00AA471E">
      <w:pPr>
        <w:rPr>
          <w:rFonts w:eastAsia="Calibri"/>
        </w:rPr>
      </w:pPr>
      <w:r w:rsidRPr="00C07A3C">
        <w:rPr>
          <w:rFonts w:eastAsia="Calibri"/>
        </w:rPr>
        <w:t>Jeigu vartojate, neseniai vartojote kitų vaistų arba dėl to nesate tikri, apie tai pasakykite gydytojui arba vaistininkui.</w:t>
      </w:r>
    </w:p>
    <w:p w14:paraId="00CFE697" w14:textId="77777777" w:rsidR="00AA471E" w:rsidRPr="00C07A3C" w:rsidRDefault="00AA471E" w:rsidP="00AA471E">
      <w:pPr>
        <w:numPr>
          <w:ilvl w:val="12"/>
          <w:numId w:val="0"/>
        </w:numPr>
        <w:ind w:right="-2"/>
        <w:rPr>
          <w:rFonts w:eastAsia="Calibri"/>
        </w:rPr>
      </w:pPr>
    </w:p>
    <w:p w14:paraId="42CDE76D" w14:textId="77777777" w:rsidR="00AA471E" w:rsidRPr="00C07A3C" w:rsidRDefault="00AA471E" w:rsidP="00AA471E">
      <w:pPr>
        <w:keepNext/>
        <w:rPr>
          <w:rFonts w:eastAsia="Calibri"/>
          <w:color w:val="000000"/>
        </w:rPr>
      </w:pPr>
      <w:r w:rsidRPr="00C07A3C">
        <w:rPr>
          <w:rFonts w:eastAsia="Calibri"/>
        </w:rPr>
        <w:t>Vaistai, kurie vartojami</w:t>
      </w:r>
      <w:r w:rsidRPr="00C07A3C">
        <w:rPr>
          <w:rFonts w:eastAsia="Calibri"/>
          <w:color w:val="000000"/>
        </w:rPr>
        <w:t xml:space="preserve"> </w:t>
      </w:r>
      <w:r w:rsidRPr="00C07A3C">
        <w:rPr>
          <w:rFonts w:eastAsia="Calibri"/>
          <w:b/>
          <w:color w:val="000000"/>
        </w:rPr>
        <w:t xml:space="preserve">skrandžio rūgštingumui mažinti </w:t>
      </w:r>
      <w:r w:rsidRPr="00C07A3C">
        <w:rPr>
          <w:rFonts w:eastAsia="Calibri"/>
          <w:color w:val="000000"/>
        </w:rPr>
        <w:t xml:space="preserve">(pvz., </w:t>
      </w:r>
      <w:r w:rsidRPr="00C07A3C">
        <w:rPr>
          <w:rFonts w:eastAsia="Calibri"/>
          <w:i/>
          <w:color w:val="000000"/>
        </w:rPr>
        <w:t>antacidiniai vaistai</w:t>
      </w:r>
      <w:r w:rsidRPr="00C07A3C">
        <w:rPr>
          <w:rFonts w:eastAsia="Calibri"/>
          <w:color w:val="000000"/>
        </w:rPr>
        <w:t xml:space="preserve">, kuriais gydomas </w:t>
      </w:r>
      <w:r w:rsidRPr="00C07A3C">
        <w:rPr>
          <w:rFonts w:eastAsia="Calibri"/>
          <w:b/>
          <w:color w:val="000000"/>
        </w:rPr>
        <w:t>rėmuo</w:t>
      </w:r>
      <w:r w:rsidRPr="00C07A3C">
        <w:rPr>
          <w:rFonts w:eastAsia="Calibri"/>
          <w:color w:val="000000"/>
        </w:rPr>
        <w:t xml:space="preserve">), gali keisti Zinnat veikimą. </w:t>
      </w:r>
    </w:p>
    <w:p w14:paraId="70341FC1" w14:textId="77777777" w:rsidR="00AA471E" w:rsidRPr="00C07A3C" w:rsidRDefault="00AA471E" w:rsidP="00AA471E">
      <w:pPr>
        <w:keepNext/>
        <w:rPr>
          <w:rFonts w:eastAsia="Calibri"/>
          <w:color w:val="000000"/>
        </w:rPr>
      </w:pPr>
      <w:r w:rsidRPr="00C07A3C">
        <w:rPr>
          <w:rFonts w:eastAsia="Calibri"/>
          <w:color w:val="000000"/>
        </w:rPr>
        <w:t>Probenecidas.</w:t>
      </w:r>
    </w:p>
    <w:p w14:paraId="1AB32EA5" w14:textId="77777777" w:rsidR="00AA471E" w:rsidRPr="00C07A3C" w:rsidRDefault="00AA471E" w:rsidP="00AA471E">
      <w:pPr>
        <w:keepNext/>
        <w:rPr>
          <w:rFonts w:eastAsia="Calibri"/>
          <w:color w:val="000000"/>
        </w:rPr>
      </w:pPr>
      <w:r w:rsidRPr="00C07A3C">
        <w:rPr>
          <w:rFonts w:eastAsia="Calibri"/>
          <w:color w:val="000000"/>
        </w:rPr>
        <w:t>Geriamieji antikoaguliantai.</w:t>
      </w:r>
    </w:p>
    <w:p w14:paraId="67112969" w14:textId="77777777" w:rsidR="00AA471E" w:rsidRPr="00C07A3C" w:rsidRDefault="00AA471E" w:rsidP="00AA471E">
      <w:pPr>
        <w:numPr>
          <w:ilvl w:val="0"/>
          <w:numId w:val="9"/>
        </w:numPr>
        <w:tabs>
          <w:tab w:val="left" w:pos="0"/>
          <w:tab w:val="num" w:pos="142"/>
          <w:tab w:val="left" w:pos="567"/>
          <w:tab w:val="left" w:pos="2977"/>
          <w:tab w:val="left" w:pos="3600"/>
          <w:tab w:val="left" w:pos="4320"/>
        </w:tabs>
        <w:autoSpaceDE w:val="0"/>
        <w:autoSpaceDN w:val="0"/>
        <w:adjustRightInd w:val="0"/>
        <w:ind w:hanging="720"/>
        <w:rPr>
          <w:rFonts w:eastAsia="Calibri"/>
          <w:color w:val="000000"/>
        </w:rPr>
      </w:pPr>
      <w:r w:rsidRPr="00C07A3C">
        <w:rPr>
          <w:rFonts w:eastAsia="Calibri"/>
          <w:color w:val="000000"/>
        </w:rPr>
        <w:t xml:space="preserve">Jeigu vartojate kokių nors panašių vaistų, </w:t>
      </w:r>
      <w:r w:rsidRPr="00C07A3C">
        <w:rPr>
          <w:rFonts w:eastAsia="Calibri"/>
          <w:b/>
          <w:color w:val="000000"/>
        </w:rPr>
        <w:t>pasakykite gydytojui arba vaistininkui</w:t>
      </w:r>
      <w:r w:rsidRPr="00C07A3C">
        <w:rPr>
          <w:rFonts w:eastAsia="Calibri"/>
          <w:color w:val="000000"/>
        </w:rPr>
        <w:t>.</w:t>
      </w:r>
    </w:p>
    <w:p w14:paraId="67B59392" w14:textId="58E28265" w:rsidR="00AA471E" w:rsidRPr="00C07A3C" w:rsidRDefault="00AA471E" w:rsidP="00AA471E">
      <w:pPr>
        <w:tabs>
          <w:tab w:val="left" w:pos="0"/>
          <w:tab w:val="left" w:pos="540"/>
          <w:tab w:val="left" w:pos="1440"/>
          <w:tab w:val="left" w:pos="2160"/>
          <w:tab w:val="left" w:pos="2880"/>
          <w:tab w:val="left" w:pos="3600"/>
          <w:tab w:val="left" w:pos="4320"/>
        </w:tabs>
        <w:autoSpaceDE w:val="0"/>
        <w:autoSpaceDN w:val="0"/>
        <w:adjustRightInd w:val="0"/>
        <w:rPr>
          <w:rFonts w:eastAsia="Calibri"/>
          <w:color w:val="000000"/>
        </w:rPr>
      </w:pPr>
    </w:p>
    <w:p w14:paraId="3BEB3BA7" w14:textId="77777777" w:rsidR="00AA471E" w:rsidRPr="00C07A3C" w:rsidRDefault="00AA471E" w:rsidP="00AA471E">
      <w:pPr>
        <w:numPr>
          <w:ilvl w:val="12"/>
          <w:numId w:val="0"/>
        </w:numPr>
        <w:tabs>
          <w:tab w:val="left" w:pos="1290"/>
        </w:tabs>
        <w:ind w:right="-2"/>
        <w:rPr>
          <w:rFonts w:eastAsia="Calibri"/>
        </w:rPr>
      </w:pPr>
    </w:p>
    <w:p w14:paraId="4A5C59EC" w14:textId="77777777" w:rsidR="00AA471E" w:rsidRPr="00C07A3C" w:rsidRDefault="00AA471E" w:rsidP="00AA471E">
      <w:pPr>
        <w:rPr>
          <w:rFonts w:eastAsia="Calibri"/>
          <w:b/>
        </w:rPr>
      </w:pPr>
      <w:r w:rsidRPr="00C07A3C">
        <w:rPr>
          <w:rFonts w:eastAsia="Calibri"/>
          <w:b/>
        </w:rPr>
        <w:t>Nėštumas, žindymo laikotarpis ir</w:t>
      </w:r>
      <w:r w:rsidRPr="00C07A3C">
        <w:rPr>
          <w:rFonts w:eastAsia="Calibri"/>
        </w:rPr>
        <w:t xml:space="preserve"> </w:t>
      </w:r>
      <w:r w:rsidRPr="00C07A3C">
        <w:rPr>
          <w:rFonts w:eastAsia="Calibri"/>
          <w:b/>
        </w:rPr>
        <w:t>vaisingumas</w:t>
      </w:r>
    </w:p>
    <w:p w14:paraId="53F28DEC" w14:textId="77777777" w:rsidR="00AA471E" w:rsidRPr="009C0DB0" w:rsidRDefault="00AA471E" w:rsidP="00AA471E">
      <w:pPr>
        <w:numPr>
          <w:ilvl w:val="12"/>
          <w:numId w:val="0"/>
        </w:numPr>
        <w:ind w:right="-2"/>
        <w:outlineLvl w:val="0"/>
        <w:rPr>
          <w:rFonts w:eastAsia="Calibri"/>
        </w:rPr>
      </w:pPr>
    </w:p>
    <w:p w14:paraId="1B3B72C0" w14:textId="08E48811" w:rsidR="00AA471E" w:rsidRPr="00C07A3C" w:rsidRDefault="00AA471E" w:rsidP="00AA471E">
      <w:pPr>
        <w:numPr>
          <w:ilvl w:val="12"/>
          <w:numId w:val="0"/>
        </w:numPr>
        <w:ind w:right="-2"/>
        <w:outlineLvl w:val="0"/>
        <w:rPr>
          <w:rFonts w:eastAsia="Calibri"/>
        </w:rPr>
      </w:pPr>
      <w:r w:rsidRPr="00C07A3C">
        <w:rPr>
          <w:rFonts w:eastAsia="Calibri"/>
        </w:rPr>
        <w:t>Jeigu esate nėščia, žindote kūdikį, manote, kad galbūt esate nėščia, arba planuojate pastoti, tai prieš vartodama šį vaistą, pasitarkite su gydytoju arba vaistininku.</w:t>
      </w:r>
    </w:p>
    <w:p w14:paraId="52ADE553" w14:textId="77777777" w:rsidR="00AA471E" w:rsidRPr="009C0DB0" w:rsidRDefault="00AA471E" w:rsidP="00AA471E">
      <w:pPr>
        <w:numPr>
          <w:ilvl w:val="12"/>
          <w:numId w:val="0"/>
        </w:numPr>
        <w:ind w:right="-2"/>
        <w:outlineLvl w:val="0"/>
        <w:rPr>
          <w:rFonts w:eastAsia="Calibri"/>
        </w:rPr>
      </w:pPr>
    </w:p>
    <w:p w14:paraId="7443761E" w14:textId="77777777" w:rsidR="00AA471E" w:rsidRPr="00C07A3C" w:rsidRDefault="00AA471E" w:rsidP="00AA471E">
      <w:pPr>
        <w:rPr>
          <w:rFonts w:eastAsia="Calibri"/>
          <w:b/>
        </w:rPr>
      </w:pPr>
      <w:r w:rsidRPr="00C07A3C">
        <w:rPr>
          <w:rFonts w:eastAsia="Calibri"/>
          <w:b/>
        </w:rPr>
        <w:t>Vairavimas ir mechanizmų valdymas</w:t>
      </w:r>
    </w:p>
    <w:p w14:paraId="5B175C5A" w14:textId="77777777" w:rsidR="00AA471E" w:rsidRPr="00C07A3C" w:rsidRDefault="00AA471E" w:rsidP="00AA471E">
      <w:pPr>
        <w:numPr>
          <w:ilvl w:val="12"/>
          <w:numId w:val="0"/>
        </w:numPr>
        <w:ind w:right="-2"/>
        <w:outlineLvl w:val="0"/>
        <w:rPr>
          <w:rFonts w:eastAsia="Calibri"/>
        </w:rPr>
      </w:pPr>
    </w:p>
    <w:p w14:paraId="2A3EC17D" w14:textId="77777777" w:rsidR="00AA471E" w:rsidRPr="00C07A3C" w:rsidRDefault="00AA471E" w:rsidP="00AA471E">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color w:val="000000"/>
        </w:rPr>
      </w:pPr>
      <w:r w:rsidRPr="00C07A3C">
        <w:rPr>
          <w:rFonts w:eastAsia="Calibri"/>
        </w:rPr>
        <w:t>Zinnat</w:t>
      </w:r>
      <w:r w:rsidRPr="00C07A3C">
        <w:rPr>
          <w:rFonts w:eastAsia="Calibri"/>
          <w:b/>
          <w:color w:val="000000"/>
        </w:rPr>
        <w:t xml:space="preserve"> gali sukelti galvos svaigimą</w:t>
      </w:r>
      <w:r w:rsidRPr="00C07A3C">
        <w:rPr>
          <w:rFonts w:eastAsia="Calibri"/>
          <w:color w:val="000000"/>
        </w:rPr>
        <w:t xml:space="preserve"> ir kitą šalutinį poveikį, dėl kurio gali sumažėti Jūsų budrumas.</w:t>
      </w:r>
    </w:p>
    <w:p w14:paraId="44919541" w14:textId="77777777" w:rsidR="00AA471E" w:rsidRPr="00C07A3C" w:rsidRDefault="00AA471E" w:rsidP="00AA471E">
      <w:pPr>
        <w:numPr>
          <w:ilvl w:val="0"/>
          <w:numId w:val="9"/>
        </w:numPr>
        <w:tabs>
          <w:tab w:val="left" w:pos="-720"/>
          <w:tab w:val="left" w:pos="0"/>
          <w:tab w:val="left" w:pos="567"/>
          <w:tab w:val="left" w:pos="2160"/>
          <w:tab w:val="left" w:pos="2880"/>
          <w:tab w:val="left" w:pos="3600"/>
          <w:tab w:val="left" w:pos="4320"/>
        </w:tabs>
        <w:autoSpaceDE w:val="0"/>
        <w:autoSpaceDN w:val="0"/>
        <w:adjustRightInd w:val="0"/>
        <w:ind w:hanging="720"/>
        <w:rPr>
          <w:rFonts w:eastAsia="Calibri"/>
          <w:color w:val="000000"/>
        </w:rPr>
      </w:pPr>
      <w:r w:rsidRPr="00C07A3C">
        <w:rPr>
          <w:rFonts w:eastAsia="Calibri"/>
          <w:color w:val="000000"/>
        </w:rPr>
        <w:t xml:space="preserve">jeigu jaučiatės blogai, </w:t>
      </w:r>
      <w:r w:rsidRPr="00C07A3C">
        <w:rPr>
          <w:rFonts w:eastAsia="Calibri"/>
          <w:b/>
          <w:color w:val="000000"/>
        </w:rPr>
        <w:t>negalima vairuoti ir valdyti mechanizmų</w:t>
      </w:r>
      <w:r w:rsidRPr="00C07A3C">
        <w:rPr>
          <w:rFonts w:eastAsia="Calibri"/>
          <w:color w:val="000000"/>
        </w:rPr>
        <w:t>.</w:t>
      </w:r>
    </w:p>
    <w:p w14:paraId="2017A4F9" w14:textId="77777777" w:rsidR="00AA471E" w:rsidRPr="00C07A3C" w:rsidRDefault="00AA471E" w:rsidP="00AA471E">
      <w:pPr>
        <w:tabs>
          <w:tab w:val="left" w:pos="-720"/>
          <w:tab w:val="left" w:pos="0"/>
          <w:tab w:val="left" w:pos="1418"/>
          <w:tab w:val="left" w:pos="2160"/>
          <w:tab w:val="left" w:pos="2880"/>
          <w:tab w:val="left" w:pos="3600"/>
          <w:tab w:val="left" w:pos="4320"/>
        </w:tabs>
        <w:autoSpaceDE w:val="0"/>
        <w:autoSpaceDN w:val="0"/>
        <w:adjustRightInd w:val="0"/>
        <w:rPr>
          <w:rFonts w:eastAsia="Calibri"/>
          <w:color w:val="000000"/>
        </w:rPr>
      </w:pPr>
    </w:p>
    <w:p w14:paraId="4620AD70" w14:textId="77777777" w:rsidR="00AA471E" w:rsidRPr="00C07A3C" w:rsidRDefault="00AA471E" w:rsidP="00AA471E">
      <w:pPr>
        <w:numPr>
          <w:ilvl w:val="12"/>
          <w:numId w:val="0"/>
        </w:numPr>
        <w:ind w:right="-2"/>
        <w:outlineLvl w:val="0"/>
        <w:rPr>
          <w:rFonts w:eastAsia="Calibri"/>
          <w:b/>
        </w:rPr>
      </w:pPr>
      <w:r w:rsidRPr="00C07A3C">
        <w:rPr>
          <w:rFonts w:eastAsia="Calibri"/>
          <w:b/>
        </w:rPr>
        <w:t>Svarbi informacija apie kai kurias pagalbines Zinnat medžiagas</w:t>
      </w:r>
    </w:p>
    <w:p w14:paraId="6EAA7861" w14:textId="77777777" w:rsidR="00AA471E" w:rsidRPr="009C0DB0" w:rsidRDefault="00AA471E" w:rsidP="00AA471E">
      <w:pPr>
        <w:numPr>
          <w:ilvl w:val="12"/>
          <w:numId w:val="0"/>
        </w:numPr>
        <w:ind w:right="-2"/>
        <w:outlineLvl w:val="0"/>
        <w:rPr>
          <w:rFonts w:eastAsia="Calibri"/>
        </w:rPr>
      </w:pPr>
    </w:p>
    <w:p w14:paraId="1CD90126" w14:textId="24352D54" w:rsidR="00AA471E" w:rsidRPr="00C07A3C" w:rsidRDefault="00AA471E" w:rsidP="00AA471E">
      <w:pPr>
        <w:numPr>
          <w:ilvl w:val="12"/>
          <w:numId w:val="0"/>
        </w:numPr>
        <w:ind w:right="-2"/>
        <w:outlineLvl w:val="0"/>
        <w:rPr>
          <w:rFonts w:eastAsia="Calibri"/>
        </w:rPr>
      </w:pPr>
      <w:r w:rsidRPr="00C07A3C">
        <w:rPr>
          <w:rFonts w:eastAsia="Calibri"/>
        </w:rPr>
        <w:t>Zinnat suspensijos sudėtyje yra cukraus (sacharozės). Jeigu sergate diabetu, turite į tai atsižvelgti.</w:t>
      </w:r>
      <w:r w:rsidR="002B35AB">
        <w:rPr>
          <w:rFonts w:eastAsia="Calibri"/>
        </w:rPr>
        <w:t xml:space="preserve"> </w:t>
      </w:r>
      <w:r w:rsidR="002B35AB" w:rsidRPr="002B35AB">
        <w:rPr>
          <w:rFonts w:eastAsia="Calibri"/>
        </w:rPr>
        <w:t>Jeigu gydytojas Jums yra sakęs, kad netoleruojate kai kurių cukrų, kreipkitės į gydytoją prieš pradėdami vartoti šį vaistą.</w:t>
      </w:r>
    </w:p>
    <w:p w14:paraId="4C0DD576" w14:textId="77777777" w:rsidR="00AA471E" w:rsidRPr="00C07A3C" w:rsidRDefault="00AA471E" w:rsidP="00AA471E">
      <w:pPr>
        <w:numPr>
          <w:ilvl w:val="12"/>
          <w:numId w:val="0"/>
        </w:numPr>
        <w:ind w:right="-2"/>
        <w:outlineLvl w:val="0"/>
        <w:rPr>
          <w:rFonts w:eastAsia="Calibri"/>
        </w:rPr>
      </w:pPr>
    </w:p>
    <w:p w14:paraId="49C2F4B8" w14:textId="517E4848" w:rsidR="00AA471E" w:rsidRPr="00AA08CA" w:rsidRDefault="00AA471E" w:rsidP="00AA08CA">
      <w:pPr>
        <w:autoSpaceDE w:val="0"/>
        <w:autoSpaceDN w:val="0"/>
        <w:adjustRightInd w:val="0"/>
        <w:rPr>
          <w:rFonts w:ascii="Verdana" w:eastAsiaTheme="minorHAnsi" w:hAnsi="Verdana" w:cs="Verdana"/>
          <w:sz w:val="16"/>
          <w:szCs w:val="16"/>
        </w:rPr>
      </w:pPr>
      <w:r w:rsidRPr="00C07A3C">
        <w:rPr>
          <w:rFonts w:eastAsia="Calibri"/>
        </w:rPr>
        <w:lastRenderedPageBreak/>
        <w:t>Be to, Zinnat suspensijos sudėtyje yra</w:t>
      </w:r>
      <w:r w:rsidRPr="00C07A3C">
        <w:rPr>
          <w:rFonts w:eastAsia="Calibri"/>
          <w:b/>
        </w:rPr>
        <w:t xml:space="preserve"> aspartamo</w:t>
      </w:r>
      <w:r w:rsidRPr="00C07A3C">
        <w:rPr>
          <w:rFonts w:eastAsia="Calibri"/>
        </w:rPr>
        <w:t xml:space="preserve">, </w:t>
      </w:r>
      <w:r w:rsidR="00E657AC">
        <w:rPr>
          <w:rFonts w:eastAsia="Calibri"/>
        </w:rPr>
        <w:t>kuris yra fenilalanino šaltinis</w:t>
      </w:r>
      <w:r w:rsidRPr="00C07A3C">
        <w:rPr>
          <w:rFonts w:eastAsia="Calibri"/>
        </w:rPr>
        <w:t>. Jis gali būti Jums kenksmingas, jeigu yra būklė, vadinama fenilketonurija (FKU). Tai yra retas genetinis sutrikimas, kuriam esant, organizme kaupiasi fenilalaninas, nes organizmas negali jo tinkamai pašalinti</w:t>
      </w:r>
    </w:p>
    <w:p w14:paraId="5733236A" w14:textId="77777777" w:rsidR="00AA471E" w:rsidRPr="00C07A3C" w:rsidRDefault="00AA471E" w:rsidP="00AA471E">
      <w:pPr>
        <w:numPr>
          <w:ilvl w:val="12"/>
          <w:numId w:val="0"/>
        </w:numPr>
        <w:ind w:right="-2"/>
        <w:outlineLvl w:val="0"/>
        <w:rPr>
          <w:rFonts w:eastAsia="Calibri"/>
        </w:rPr>
      </w:pPr>
    </w:p>
    <w:p w14:paraId="5FE27AEA" w14:textId="74A7DE33" w:rsidR="00AA471E" w:rsidRDefault="00AA471E" w:rsidP="00AA471E">
      <w:pPr>
        <w:numPr>
          <w:ilvl w:val="12"/>
          <w:numId w:val="0"/>
        </w:numPr>
        <w:ind w:right="-2"/>
        <w:outlineLvl w:val="0"/>
        <w:rPr>
          <w:rFonts w:eastAsia="Calibri"/>
        </w:rPr>
      </w:pPr>
      <w:r w:rsidRPr="00C07A3C">
        <w:rPr>
          <w:rFonts w:eastAsia="Calibri"/>
        </w:rPr>
        <w:t>Zinnat suspensijos sudėtyje</w:t>
      </w:r>
      <w:r w:rsidR="00E657AC">
        <w:rPr>
          <w:rFonts w:eastAsia="Calibri"/>
        </w:rPr>
        <w:t xml:space="preserve"> taip pat</w:t>
      </w:r>
      <w:r w:rsidRPr="00C07A3C">
        <w:rPr>
          <w:rFonts w:eastAsia="Calibri"/>
        </w:rPr>
        <w:t xml:space="preserve"> yra benzilo alkoholio (E1519), kuris gali sukelti alergines reakcijas.</w:t>
      </w:r>
      <w:r w:rsidR="00980C0D" w:rsidRPr="00980C0D">
        <w:rPr>
          <w:rFonts w:eastAsia="Calibri"/>
        </w:rPr>
        <w:t xml:space="preserve"> </w:t>
      </w:r>
      <w:r w:rsidR="00980C0D" w:rsidRPr="00C07A3C">
        <w:rPr>
          <w:rFonts w:eastAsia="Calibri"/>
        </w:rPr>
        <w:t>.</w:t>
      </w:r>
      <w:r w:rsidR="00980C0D" w:rsidRPr="002B35AB">
        <w:rPr>
          <w:rFonts w:eastAsia="Calibri"/>
        </w:rPr>
        <w:t>Jeigu sergate kepenų ar inkstų ligomis, esate nėščia arba maitinate krūtimi, kreipkitės į gydytoją arba vaistininką patarimo (taip pat žr. aukščiau esantį skyrių "Nėštumas, maitinimas krūtimi ir vaisingumas"). Taip yra todėl, kad didelis benzilo alkoholio kiekis gali kauptis Jūsų organizme ir sukelti šalutinį poveikį (vadinamą metaboline acidoze). Mažiems vaikams (jaunesniems nei 3 metų amžiaus) nenaudokite ilgiau nei savaitę, nebent taip pataria gydytojas arba vaistininkas.</w:t>
      </w:r>
    </w:p>
    <w:p w14:paraId="29D96763" w14:textId="71B4875C" w:rsidR="00231F1F" w:rsidRDefault="00231F1F" w:rsidP="00AA471E">
      <w:pPr>
        <w:numPr>
          <w:ilvl w:val="12"/>
          <w:numId w:val="0"/>
        </w:numPr>
        <w:ind w:right="-2"/>
        <w:outlineLvl w:val="0"/>
        <w:rPr>
          <w:rFonts w:eastAsia="Calibri"/>
        </w:rPr>
      </w:pPr>
    </w:p>
    <w:p w14:paraId="35B9B65B" w14:textId="5104FE5E" w:rsidR="00231F1F" w:rsidRPr="00231F1F" w:rsidRDefault="00231F1F" w:rsidP="001D5FF7">
      <w:pPr>
        <w:numPr>
          <w:ilvl w:val="12"/>
          <w:numId w:val="0"/>
        </w:numPr>
        <w:rPr>
          <w:rFonts w:eastAsia="Calibri"/>
        </w:rPr>
      </w:pPr>
      <w:r w:rsidRPr="001D5FF7">
        <w:rPr>
          <w:rFonts w:eastAsia="Calibri"/>
        </w:rPr>
        <w:t>Zinnat 125 mg/5 ml granulės geriamajai suspensijai</w:t>
      </w:r>
    </w:p>
    <w:p w14:paraId="0E9241F2" w14:textId="77777777" w:rsidR="00AA471E" w:rsidRPr="00C07A3C" w:rsidRDefault="00AA471E" w:rsidP="00AA471E">
      <w:pPr>
        <w:numPr>
          <w:ilvl w:val="12"/>
          <w:numId w:val="0"/>
        </w:numPr>
        <w:ind w:right="-2"/>
        <w:outlineLvl w:val="0"/>
        <w:rPr>
          <w:rFonts w:eastAsia="Calibri"/>
        </w:rPr>
      </w:pPr>
      <w:r w:rsidRPr="00C07A3C">
        <w:rPr>
          <w:rFonts w:eastAsia="Calibri"/>
        </w:rPr>
        <w:t>Šio vaisto 5 ml dozėje yra 0,021 g aspartamo.</w:t>
      </w:r>
    </w:p>
    <w:p w14:paraId="1BF899B6" w14:textId="11732310" w:rsidR="00AA471E" w:rsidRPr="00C07A3C" w:rsidRDefault="00AA471E" w:rsidP="00AA471E">
      <w:pPr>
        <w:numPr>
          <w:ilvl w:val="12"/>
          <w:numId w:val="0"/>
        </w:numPr>
        <w:ind w:right="-2"/>
        <w:outlineLvl w:val="0"/>
        <w:rPr>
          <w:rFonts w:eastAsia="Calibri"/>
        </w:rPr>
      </w:pPr>
      <w:r w:rsidRPr="00C07A3C">
        <w:rPr>
          <w:rFonts w:eastAsia="Calibri"/>
        </w:rPr>
        <w:t>Šio vaisto 5 ml dozėje yra 3</w:t>
      </w:r>
      <w:r w:rsidR="002B35AB">
        <w:rPr>
          <w:rFonts w:eastAsia="Calibri"/>
        </w:rPr>
        <w:t>,1</w:t>
      </w:r>
      <w:r w:rsidRPr="00C07A3C">
        <w:rPr>
          <w:rFonts w:eastAsia="Calibri"/>
        </w:rPr>
        <w:t> g sacharozės (cukraus).</w:t>
      </w:r>
    </w:p>
    <w:p w14:paraId="2B2DA8D2" w14:textId="77777777" w:rsidR="00AA471E" w:rsidRPr="00C07A3C" w:rsidRDefault="00AA471E" w:rsidP="00AA471E">
      <w:pPr>
        <w:numPr>
          <w:ilvl w:val="12"/>
          <w:numId w:val="0"/>
        </w:numPr>
        <w:ind w:right="-2"/>
        <w:outlineLvl w:val="0"/>
        <w:rPr>
          <w:rFonts w:eastAsia="Calibri"/>
        </w:rPr>
      </w:pPr>
      <w:r w:rsidRPr="00C07A3C">
        <w:rPr>
          <w:rFonts w:eastAsia="Calibri"/>
        </w:rPr>
        <w:t>Šio vaisto 5 ml dozėje yra 6 mg propilenglikolio (E1520).</w:t>
      </w:r>
    </w:p>
    <w:p w14:paraId="11B241A1" w14:textId="77777777" w:rsidR="00AA471E" w:rsidRPr="00C07A3C" w:rsidRDefault="00AA471E" w:rsidP="00AA471E">
      <w:pPr>
        <w:numPr>
          <w:ilvl w:val="12"/>
          <w:numId w:val="0"/>
        </w:numPr>
        <w:ind w:right="-2"/>
        <w:outlineLvl w:val="0"/>
        <w:rPr>
          <w:rFonts w:eastAsia="Calibri"/>
        </w:rPr>
      </w:pPr>
      <w:r w:rsidRPr="00C07A3C">
        <w:rPr>
          <w:rFonts w:eastAsia="Calibri"/>
        </w:rPr>
        <w:t>Šio vaisto 5 ml dozėje yra 4,5 mg benzilo alkoholio.</w:t>
      </w:r>
    </w:p>
    <w:p w14:paraId="7E8C7FF2" w14:textId="77777777" w:rsidR="00AA471E" w:rsidRPr="009C0DB0" w:rsidRDefault="00AA471E" w:rsidP="00AA471E">
      <w:pPr>
        <w:keepNext/>
        <w:rPr>
          <w:rFonts w:eastAsia="Calibri"/>
        </w:rPr>
      </w:pPr>
      <w:bookmarkStart w:id="62" w:name="_Hlk820253"/>
    </w:p>
    <w:p w14:paraId="6F156B89" w14:textId="77777777" w:rsidR="00AA471E" w:rsidRPr="00C07A3C" w:rsidRDefault="00AA471E" w:rsidP="00AA471E">
      <w:pPr>
        <w:numPr>
          <w:ilvl w:val="0"/>
          <w:numId w:val="9"/>
        </w:numPr>
        <w:tabs>
          <w:tab w:val="left" w:pos="284"/>
        </w:tabs>
        <w:autoSpaceDE w:val="0"/>
        <w:autoSpaceDN w:val="0"/>
        <w:adjustRightInd w:val="0"/>
        <w:ind w:hanging="720"/>
        <w:rPr>
          <w:rFonts w:eastAsia="Calibri"/>
        </w:rPr>
      </w:pPr>
      <w:r w:rsidRPr="00C07A3C">
        <w:rPr>
          <w:rFonts w:eastAsia="Calibri"/>
          <w:b/>
        </w:rPr>
        <w:t xml:space="preserve">         Pasitarkite su gydytoju, </w:t>
      </w:r>
      <w:r w:rsidRPr="00C07A3C">
        <w:rPr>
          <w:rFonts w:eastAsia="Calibri"/>
        </w:rPr>
        <w:t>ar Jums tinka vartoti Zinnat.</w:t>
      </w:r>
    </w:p>
    <w:p w14:paraId="23CB5418" w14:textId="77777777" w:rsidR="00AA471E" w:rsidRPr="00C07A3C" w:rsidRDefault="00AA471E" w:rsidP="00AA471E">
      <w:pPr>
        <w:numPr>
          <w:ilvl w:val="12"/>
          <w:numId w:val="0"/>
        </w:numPr>
        <w:ind w:right="-2"/>
        <w:rPr>
          <w:rFonts w:eastAsia="Calibri"/>
        </w:rPr>
      </w:pPr>
    </w:p>
    <w:bookmarkEnd w:id="62"/>
    <w:p w14:paraId="4A65D0CB" w14:textId="77777777" w:rsidR="00AA471E" w:rsidRPr="00C07A3C" w:rsidRDefault="00AA471E" w:rsidP="00AA471E">
      <w:pPr>
        <w:numPr>
          <w:ilvl w:val="12"/>
          <w:numId w:val="0"/>
        </w:numPr>
        <w:ind w:right="-2"/>
        <w:rPr>
          <w:rFonts w:eastAsia="Calibri"/>
        </w:rPr>
      </w:pPr>
    </w:p>
    <w:p w14:paraId="3F07DECD" w14:textId="77777777" w:rsidR="00AA471E" w:rsidRPr="00C07A3C" w:rsidRDefault="00AA471E" w:rsidP="00AA471E">
      <w:pPr>
        <w:keepNext/>
        <w:ind w:left="540" w:hanging="540"/>
        <w:rPr>
          <w:rFonts w:eastAsia="Calibri"/>
          <w:b/>
          <w:caps/>
        </w:rPr>
      </w:pPr>
      <w:r w:rsidRPr="00C07A3C">
        <w:rPr>
          <w:rFonts w:eastAsia="Calibri"/>
          <w:b/>
        </w:rPr>
        <w:t>3.</w:t>
      </w:r>
      <w:r w:rsidRPr="00C07A3C">
        <w:rPr>
          <w:rFonts w:eastAsia="Calibri"/>
          <w:b/>
        </w:rPr>
        <w:tab/>
        <w:t>Kaip vartoti Zinnat</w:t>
      </w:r>
    </w:p>
    <w:p w14:paraId="2BFB3D42" w14:textId="77777777" w:rsidR="00AA471E" w:rsidRPr="00C07A3C" w:rsidRDefault="00AA471E" w:rsidP="00AA471E">
      <w:pPr>
        <w:keepNext/>
        <w:rPr>
          <w:rFonts w:eastAsia="Calibri"/>
        </w:rPr>
      </w:pPr>
    </w:p>
    <w:p w14:paraId="6069DE32" w14:textId="77E0B307" w:rsidR="00AA471E" w:rsidRPr="00C07A3C" w:rsidRDefault="00AA471E" w:rsidP="00AA471E">
      <w:pPr>
        <w:numPr>
          <w:ilvl w:val="12"/>
          <w:numId w:val="0"/>
        </w:numPr>
        <w:ind w:right="-2"/>
        <w:rPr>
          <w:rFonts w:eastAsia="Calibri"/>
        </w:rPr>
      </w:pPr>
      <w:r w:rsidRPr="00C07A3C">
        <w:rPr>
          <w:rFonts w:eastAsia="Calibri"/>
          <w:b/>
        </w:rPr>
        <w:t>Visada vartokite šį vaistą tiksliai</w:t>
      </w:r>
      <w:r w:rsidR="003403BF">
        <w:rPr>
          <w:rFonts w:eastAsia="Calibri"/>
          <w:b/>
        </w:rPr>
        <w:t>,</w:t>
      </w:r>
      <w:r w:rsidRPr="00C07A3C">
        <w:rPr>
          <w:rFonts w:eastAsia="Calibri"/>
          <w:b/>
        </w:rPr>
        <w:t xml:space="preserve"> kaip nurodė gydytojas arba vaistininkas</w:t>
      </w:r>
      <w:r w:rsidRPr="00C07A3C">
        <w:rPr>
          <w:rFonts w:eastAsia="Calibri"/>
        </w:rPr>
        <w:t>. Jeigu abejojate, kreipkitės į gydytoją arba vaistininką.</w:t>
      </w:r>
    </w:p>
    <w:p w14:paraId="587E2078" w14:textId="77777777" w:rsidR="00AA471E" w:rsidRPr="00C07A3C" w:rsidRDefault="00AA471E" w:rsidP="00AA471E">
      <w:pPr>
        <w:numPr>
          <w:ilvl w:val="12"/>
          <w:numId w:val="0"/>
        </w:numPr>
        <w:ind w:right="-2"/>
        <w:rPr>
          <w:rFonts w:eastAsia="Calibri"/>
        </w:rPr>
      </w:pPr>
    </w:p>
    <w:p w14:paraId="79B0828B" w14:textId="77777777" w:rsidR="00AA471E" w:rsidRPr="00C07A3C" w:rsidRDefault="00AA471E" w:rsidP="00AA471E">
      <w:pPr>
        <w:keepNext/>
        <w:autoSpaceDE w:val="0"/>
        <w:autoSpaceDN w:val="0"/>
        <w:adjustRightInd w:val="0"/>
        <w:rPr>
          <w:rFonts w:eastAsia="Calibri"/>
        </w:rPr>
      </w:pPr>
      <w:r w:rsidRPr="00C07A3C">
        <w:rPr>
          <w:rFonts w:eastAsia="Calibri"/>
          <w:b/>
        </w:rPr>
        <w:t xml:space="preserve">Zinnat vartokite po valgio. </w:t>
      </w:r>
      <w:r w:rsidRPr="00C07A3C">
        <w:rPr>
          <w:rFonts w:eastAsia="Calibri"/>
        </w:rPr>
        <w:t>Tai padės padidinti gydymo veiksmingumą.</w:t>
      </w:r>
    </w:p>
    <w:p w14:paraId="038CFE5E" w14:textId="77777777" w:rsidR="00AA471E" w:rsidRPr="00C07A3C" w:rsidRDefault="00AA471E" w:rsidP="00AA471E">
      <w:pPr>
        <w:autoSpaceDE w:val="0"/>
        <w:autoSpaceDN w:val="0"/>
        <w:adjustRightInd w:val="0"/>
        <w:rPr>
          <w:rFonts w:eastAsia="Calibri"/>
        </w:rPr>
      </w:pPr>
    </w:p>
    <w:p w14:paraId="530716F7" w14:textId="77777777" w:rsidR="00AA471E" w:rsidRPr="00C07A3C" w:rsidRDefault="00AA471E" w:rsidP="00AA471E">
      <w:pPr>
        <w:keepNext/>
        <w:autoSpaceDE w:val="0"/>
        <w:autoSpaceDN w:val="0"/>
        <w:adjustRightInd w:val="0"/>
        <w:rPr>
          <w:rFonts w:eastAsia="Calibri"/>
        </w:rPr>
      </w:pPr>
      <w:r w:rsidRPr="00C07A3C">
        <w:rPr>
          <w:rFonts w:eastAsia="Calibri"/>
        </w:rPr>
        <w:t>Prieš vartojimą buteliuką pakratykite.</w:t>
      </w:r>
    </w:p>
    <w:p w14:paraId="5208F21F" w14:textId="77777777" w:rsidR="00AA471E" w:rsidRPr="00C07A3C" w:rsidRDefault="00AA471E" w:rsidP="00AA471E">
      <w:pPr>
        <w:keepNext/>
        <w:autoSpaceDE w:val="0"/>
        <w:autoSpaceDN w:val="0"/>
        <w:adjustRightInd w:val="0"/>
        <w:rPr>
          <w:rFonts w:eastAsia="Calibri"/>
        </w:rPr>
      </w:pPr>
    </w:p>
    <w:p w14:paraId="3C3D7AC9" w14:textId="393BFAF2" w:rsidR="00AA471E" w:rsidRPr="00C07A3C" w:rsidRDefault="00AA471E" w:rsidP="00AA471E">
      <w:pPr>
        <w:keepNext/>
        <w:rPr>
          <w:rFonts w:eastAsia="Calibri"/>
        </w:rPr>
      </w:pPr>
      <w:r w:rsidRPr="00C07A3C">
        <w:rPr>
          <w:rFonts w:eastAsia="Calibri"/>
        </w:rPr>
        <w:t>Zinnat suspensijos vienkartinę dozę galima praskiesti šaltomis vaisių sultimis arba pieno gėrimu, bet po to reikia nedelsiant išgerti.</w:t>
      </w:r>
    </w:p>
    <w:p w14:paraId="1D9C3D99" w14:textId="77777777" w:rsidR="00AA471E" w:rsidRPr="00C07A3C" w:rsidRDefault="00AA471E" w:rsidP="00AA471E">
      <w:pPr>
        <w:keepNext/>
        <w:rPr>
          <w:rFonts w:eastAsia="Calibri"/>
        </w:rPr>
      </w:pPr>
    </w:p>
    <w:p w14:paraId="0DF3E27D" w14:textId="77777777" w:rsidR="00AA471E" w:rsidRPr="00C07A3C" w:rsidRDefault="00AA471E" w:rsidP="00AA471E">
      <w:pPr>
        <w:keepNext/>
        <w:rPr>
          <w:rFonts w:eastAsia="Calibri"/>
        </w:rPr>
      </w:pPr>
      <w:r w:rsidRPr="00C07A3C">
        <w:rPr>
          <w:rFonts w:eastAsia="Calibri"/>
        </w:rPr>
        <w:t>Zinnat negalima maišyti su karštais skysčiais.</w:t>
      </w:r>
    </w:p>
    <w:p w14:paraId="604488F6" w14:textId="77777777" w:rsidR="00AA471E" w:rsidRPr="00C07A3C" w:rsidRDefault="00AA471E" w:rsidP="009C0DB0">
      <w:pPr>
        <w:keepNext/>
        <w:rPr>
          <w:rFonts w:eastAsia="Calibri"/>
        </w:rPr>
      </w:pPr>
    </w:p>
    <w:p w14:paraId="40471E02" w14:textId="77777777" w:rsidR="00AA471E" w:rsidRPr="00C07A3C" w:rsidRDefault="00AA471E" w:rsidP="00AA471E">
      <w:pPr>
        <w:tabs>
          <w:tab w:val="left" w:pos="-720"/>
          <w:tab w:val="left" w:pos="0"/>
          <w:tab w:val="left" w:pos="2160"/>
          <w:tab w:val="left" w:pos="2880"/>
          <w:tab w:val="left" w:pos="3600"/>
          <w:tab w:val="left" w:pos="4320"/>
        </w:tabs>
        <w:autoSpaceDE w:val="0"/>
        <w:autoSpaceDN w:val="0"/>
        <w:adjustRightInd w:val="0"/>
        <w:rPr>
          <w:rFonts w:eastAsia="Calibri"/>
        </w:rPr>
      </w:pPr>
      <w:r w:rsidRPr="00C07A3C">
        <w:rPr>
          <w:rFonts w:eastAsia="Calibri"/>
        </w:rPr>
        <w:t>Nuoseklias instrukcijas, kaip paruošti Zinnat suspensiją, žr. ,,</w:t>
      </w:r>
      <w:r w:rsidRPr="00C07A3C">
        <w:rPr>
          <w:rFonts w:eastAsia="Calibri"/>
          <w:b/>
          <w:i/>
        </w:rPr>
        <w:t>Paruošimo instrukcijos</w:t>
      </w:r>
      <w:r w:rsidRPr="00C07A3C">
        <w:rPr>
          <w:rFonts w:eastAsia="Calibri"/>
        </w:rPr>
        <w:t>“ šio pakuotės lapelio pabaigoje.</w:t>
      </w:r>
    </w:p>
    <w:p w14:paraId="03570800" w14:textId="77777777" w:rsidR="00AA471E" w:rsidRPr="00C07A3C" w:rsidRDefault="00AA471E" w:rsidP="00AA471E">
      <w:pPr>
        <w:tabs>
          <w:tab w:val="left" w:pos="-720"/>
          <w:tab w:val="left" w:pos="0"/>
          <w:tab w:val="left" w:pos="2160"/>
          <w:tab w:val="left" w:pos="2880"/>
          <w:tab w:val="left" w:pos="3600"/>
          <w:tab w:val="left" w:pos="4320"/>
        </w:tabs>
        <w:autoSpaceDE w:val="0"/>
        <w:autoSpaceDN w:val="0"/>
        <w:adjustRightInd w:val="0"/>
        <w:rPr>
          <w:rFonts w:eastAsia="Calibri"/>
        </w:rPr>
      </w:pPr>
    </w:p>
    <w:p w14:paraId="3CDA903D" w14:textId="77777777" w:rsidR="00AA471E" w:rsidRPr="00C07A3C" w:rsidRDefault="00AA471E" w:rsidP="00AA471E">
      <w:pPr>
        <w:keepNext/>
        <w:numPr>
          <w:ilvl w:val="12"/>
          <w:numId w:val="0"/>
        </w:numPr>
        <w:rPr>
          <w:rFonts w:eastAsia="Calibri"/>
          <w:b/>
        </w:rPr>
      </w:pPr>
      <w:r w:rsidRPr="00C07A3C">
        <w:rPr>
          <w:rFonts w:eastAsia="Calibri"/>
          <w:b/>
        </w:rPr>
        <w:t>Rekomenduojama dozė</w:t>
      </w:r>
    </w:p>
    <w:p w14:paraId="27DC3C65" w14:textId="77777777" w:rsidR="00AA471E" w:rsidRPr="009C0DB0" w:rsidRDefault="00AA471E" w:rsidP="00AA471E">
      <w:pPr>
        <w:keepNext/>
        <w:numPr>
          <w:ilvl w:val="12"/>
          <w:numId w:val="0"/>
        </w:numPr>
        <w:rPr>
          <w:rFonts w:eastAsia="Calibri"/>
        </w:rPr>
      </w:pPr>
    </w:p>
    <w:p w14:paraId="4705A610" w14:textId="445F32B5" w:rsidR="00AA471E" w:rsidRPr="00C07A3C" w:rsidRDefault="00AA471E" w:rsidP="00AA471E">
      <w:pPr>
        <w:keepNext/>
        <w:numPr>
          <w:ilvl w:val="12"/>
          <w:numId w:val="0"/>
        </w:numPr>
        <w:rPr>
          <w:rFonts w:eastAsia="Calibri"/>
          <w:b/>
        </w:rPr>
      </w:pPr>
      <w:r w:rsidRPr="00C07A3C">
        <w:rPr>
          <w:rFonts w:eastAsia="Calibri"/>
          <w:b/>
        </w:rPr>
        <w:t>Suaugusiesiems</w:t>
      </w:r>
      <w:r w:rsidR="002B35AB" w:rsidRPr="002B35AB">
        <w:t xml:space="preserve"> </w:t>
      </w:r>
      <w:r w:rsidR="002B35AB" w:rsidRPr="002B35AB">
        <w:rPr>
          <w:rFonts w:eastAsia="Calibri"/>
          <w:b/>
        </w:rPr>
        <w:t>ir vaikams, sveriantiems 40 kg ir daugiau.</w:t>
      </w:r>
    </w:p>
    <w:p w14:paraId="3EC09692" w14:textId="35D5BA80" w:rsidR="00AA471E" w:rsidRPr="00C07A3C" w:rsidRDefault="00AA471E" w:rsidP="00AA471E">
      <w:pPr>
        <w:keepNext/>
        <w:numPr>
          <w:ilvl w:val="12"/>
          <w:numId w:val="0"/>
        </w:numPr>
        <w:rPr>
          <w:rFonts w:eastAsia="Calibri"/>
        </w:rPr>
      </w:pPr>
      <w:r w:rsidRPr="00C07A3C">
        <w:rPr>
          <w:rFonts w:eastAsia="Calibri"/>
        </w:rPr>
        <w:t>Rekomenduojama Zinnat dozė yra nuo 250 mg iki 500</w:t>
      </w:r>
      <w:r>
        <w:rPr>
          <w:rFonts w:eastAsia="Calibri"/>
        </w:rPr>
        <w:t> </w:t>
      </w:r>
      <w:r w:rsidRPr="00C07A3C">
        <w:rPr>
          <w:rFonts w:eastAsia="Calibri"/>
        </w:rPr>
        <w:t>mg du kartus per parą, priklausomai nuo infekcinės ligos sunkumo ir tipo.</w:t>
      </w:r>
      <w:r w:rsidR="00312527">
        <w:rPr>
          <w:rFonts w:eastAsia="Calibri"/>
        </w:rPr>
        <w:t xml:space="preserve"> </w:t>
      </w:r>
    </w:p>
    <w:p w14:paraId="7D5D21F2" w14:textId="77777777" w:rsidR="00AA471E" w:rsidRPr="00C07A3C" w:rsidRDefault="00AA471E" w:rsidP="00AA471E">
      <w:pPr>
        <w:keepNext/>
        <w:numPr>
          <w:ilvl w:val="12"/>
          <w:numId w:val="0"/>
        </w:numPr>
        <w:rPr>
          <w:rFonts w:eastAsia="Calibri"/>
        </w:rPr>
      </w:pPr>
    </w:p>
    <w:p w14:paraId="49ED3D80" w14:textId="3E8AC7BD" w:rsidR="002B35AB" w:rsidRPr="002B35AB" w:rsidRDefault="00AA471E" w:rsidP="002B35AB">
      <w:pPr>
        <w:keepNext/>
        <w:numPr>
          <w:ilvl w:val="12"/>
          <w:numId w:val="0"/>
        </w:numPr>
        <w:rPr>
          <w:rFonts w:eastAsia="Calibri"/>
          <w:b/>
        </w:rPr>
      </w:pPr>
      <w:r w:rsidRPr="00C07A3C">
        <w:rPr>
          <w:rFonts w:eastAsia="Calibri"/>
          <w:b/>
        </w:rPr>
        <w:t>Vaikams</w:t>
      </w:r>
      <w:r w:rsidR="002B35AB">
        <w:t xml:space="preserve">, </w:t>
      </w:r>
      <w:r w:rsidR="002B35AB" w:rsidRPr="002B35AB">
        <w:rPr>
          <w:rFonts w:eastAsia="Calibri"/>
          <w:b/>
        </w:rPr>
        <w:t>sveria</w:t>
      </w:r>
      <w:r w:rsidR="002B35AB">
        <w:rPr>
          <w:rFonts w:eastAsia="Calibri"/>
          <w:b/>
        </w:rPr>
        <w:t>ntiems</w:t>
      </w:r>
      <w:r w:rsidR="002B35AB" w:rsidRPr="002B35AB">
        <w:rPr>
          <w:rFonts w:eastAsia="Calibri"/>
          <w:b/>
        </w:rPr>
        <w:t xml:space="preserve"> mažiau kaip 40 kg. </w:t>
      </w:r>
    </w:p>
    <w:p w14:paraId="78EC48FB" w14:textId="2C07A05B" w:rsidR="00AA471E" w:rsidRPr="001D5FF7" w:rsidRDefault="002B35AB" w:rsidP="002B35AB">
      <w:pPr>
        <w:keepNext/>
        <w:numPr>
          <w:ilvl w:val="12"/>
          <w:numId w:val="0"/>
        </w:numPr>
        <w:rPr>
          <w:rFonts w:eastAsia="Calibri"/>
          <w:bCs/>
        </w:rPr>
      </w:pPr>
      <w:r w:rsidRPr="001D5FF7">
        <w:rPr>
          <w:rFonts w:eastAsia="Calibri"/>
          <w:bCs/>
        </w:rPr>
        <w:t xml:space="preserve">Vaikus, sveriančius mažiau kaip 40 kg, geriausia gydyti Zinnat geriamąja suspensija </w:t>
      </w:r>
      <w:r w:rsidRPr="00FE5B44">
        <w:rPr>
          <w:rFonts w:eastAsia="Calibri"/>
          <w:b/>
        </w:rPr>
        <w:t>arba paketėliais</w:t>
      </w:r>
      <w:r w:rsidRPr="001D5FF7">
        <w:rPr>
          <w:rFonts w:eastAsia="Calibri"/>
          <w:bCs/>
        </w:rPr>
        <w:t>.</w:t>
      </w:r>
    </w:p>
    <w:p w14:paraId="1BB8BFFE" w14:textId="70C640EB" w:rsidR="00AA471E" w:rsidRPr="00C07A3C" w:rsidRDefault="00AA471E" w:rsidP="00AA471E">
      <w:pPr>
        <w:keepNext/>
        <w:numPr>
          <w:ilvl w:val="12"/>
          <w:numId w:val="0"/>
        </w:numPr>
        <w:rPr>
          <w:rFonts w:eastAsia="Calibri"/>
        </w:rPr>
      </w:pPr>
      <w:r w:rsidRPr="002B35AB">
        <w:rPr>
          <w:rFonts w:eastAsia="Calibri"/>
          <w:bCs/>
        </w:rPr>
        <w:t>Rekomenduo</w:t>
      </w:r>
      <w:r w:rsidRPr="00C07A3C">
        <w:rPr>
          <w:rFonts w:eastAsia="Calibri"/>
        </w:rPr>
        <w:t>jama Zinnat dozė yra nuo 10</w:t>
      </w:r>
      <w:r>
        <w:rPr>
          <w:rFonts w:eastAsia="Calibri"/>
        </w:rPr>
        <w:t> </w:t>
      </w:r>
      <w:r w:rsidRPr="00C07A3C">
        <w:rPr>
          <w:rFonts w:eastAsia="Calibri"/>
        </w:rPr>
        <w:t xml:space="preserve">mg/kg (daugiausiai iki </w:t>
      </w:r>
      <w:r w:rsidR="002B35AB">
        <w:rPr>
          <w:rFonts w:eastAsia="Calibri"/>
        </w:rPr>
        <w:t>250</w:t>
      </w:r>
      <w:r w:rsidR="002B35AB" w:rsidRPr="00C07A3C">
        <w:rPr>
          <w:rFonts w:eastAsia="Calibri"/>
        </w:rPr>
        <w:t> </w:t>
      </w:r>
      <w:r w:rsidRPr="00C07A3C">
        <w:rPr>
          <w:rFonts w:eastAsia="Calibri"/>
        </w:rPr>
        <w:t>mg) iki 15</w:t>
      </w:r>
      <w:r>
        <w:rPr>
          <w:rFonts w:eastAsia="Calibri"/>
        </w:rPr>
        <w:t> </w:t>
      </w:r>
      <w:r w:rsidRPr="00C07A3C">
        <w:rPr>
          <w:rFonts w:eastAsia="Calibri"/>
        </w:rPr>
        <w:t>mg/kg (daugiausiai iki 250 mg) du kartus per parą, priklausomai nuo:</w:t>
      </w:r>
    </w:p>
    <w:p w14:paraId="33B3B659" w14:textId="1430BA32" w:rsidR="00AA471E" w:rsidRPr="0078026E" w:rsidRDefault="00AA471E" w:rsidP="00AA08CA">
      <w:pPr>
        <w:keepNext/>
        <w:numPr>
          <w:ilvl w:val="0"/>
          <w:numId w:val="10"/>
        </w:numPr>
        <w:tabs>
          <w:tab w:val="left" w:pos="567"/>
        </w:tabs>
        <w:ind w:left="765" w:hanging="765"/>
        <w:rPr>
          <w:rFonts w:eastAsia="Calibri"/>
        </w:rPr>
      </w:pPr>
      <w:r w:rsidRPr="00C07A3C">
        <w:rPr>
          <w:rFonts w:eastAsia="Calibri"/>
        </w:rPr>
        <w:t>infekcinės ligos sunkumo ir infekcijos rūšies.</w:t>
      </w:r>
    </w:p>
    <w:p w14:paraId="106749D4" w14:textId="77777777" w:rsidR="00AA471E" w:rsidRPr="00C07A3C" w:rsidRDefault="00AA471E" w:rsidP="00AA471E">
      <w:pPr>
        <w:keepNext/>
        <w:numPr>
          <w:ilvl w:val="0"/>
          <w:numId w:val="10"/>
        </w:numPr>
        <w:ind w:left="567" w:hanging="567"/>
        <w:rPr>
          <w:rFonts w:eastAsia="Calibri"/>
        </w:rPr>
      </w:pPr>
      <w:r w:rsidRPr="00C07A3C">
        <w:rPr>
          <w:rFonts w:eastAsia="Calibri"/>
        </w:rPr>
        <w:t>vaiko kūno masės ir amžiaus, didžiausia dozė – 500 mg per parą.</w:t>
      </w:r>
    </w:p>
    <w:p w14:paraId="65880728" w14:textId="77777777" w:rsidR="00AA471E" w:rsidRPr="00C07A3C" w:rsidRDefault="00AA471E" w:rsidP="00AA471E">
      <w:pPr>
        <w:rPr>
          <w:rFonts w:eastAsia="Calibri"/>
        </w:rPr>
      </w:pPr>
    </w:p>
    <w:p w14:paraId="2E876BC3" w14:textId="77777777" w:rsidR="00AA471E" w:rsidRPr="00C07A3C" w:rsidRDefault="00AA471E" w:rsidP="00AA471E">
      <w:pPr>
        <w:autoSpaceDE w:val="0"/>
        <w:autoSpaceDN w:val="0"/>
        <w:adjustRightInd w:val="0"/>
        <w:rPr>
          <w:rFonts w:eastAsia="Calibri"/>
        </w:rPr>
      </w:pPr>
      <w:r w:rsidRPr="00C07A3C">
        <w:rPr>
          <w:rFonts w:eastAsia="Calibri"/>
          <w:b/>
        </w:rPr>
        <w:t>Zinnat nerekomenduojama vartoti jaunesniems kaip 3 mėnesių kūdikiams</w:t>
      </w:r>
      <w:r w:rsidRPr="00C07A3C">
        <w:rPr>
          <w:rFonts w:eastAsia="Calibri"/>
        </w:rPr>
        <w:t>, nes saugumas ir veiksmingumas šio amžiaus grupės pacientams nežinomas.</w:t>
      </w:r>
    </w:p>
    <w:p w14:paraId="1C3DF6B4" w14:textId="77777777" w:rsidR="00AA471E" w:rsidRPr="00C07A3C" w:rsidRDefault="00AA471E" w:rsidP="00AA471E">
      <w:pPr>
        <w:autoSpaceDE w:val="0"/>
        <w:autoSpaceDN w:val="0"/>
        <w:adjustRightInd w:val="0"/>
        <w:rPr>
          <w:rFonts w:eastAsia="Calibri"/>
        </w:rPr>
      </w:pPr>
    </w:p>
    <w:p w14:paraId="102E0939" w14:textId="77777777" w:rsidR="00AA471E" w:rsidRPr="00C07A3C" w:rsidRDefault="00AA471E" w:rsidP="00AA471E">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rPr>
      </w:pPr>
      <w:r w:rsidRPr="00C07A3C">
        <w:rPr>
          <w:rFonts w:eastAsia="Calibri"/>
        </w:rPr>
        <w:t>Atsižvelgiant į ligą ir kaip Jūs arba Jūsų vaikas reaguoja į gydymą, pradinė dozė gali būti keičiama arba gali prireikti daugiau nei vieno gydymo kurso.</w:t>
      </w:r>
    </w:p>
    <w:p w14:paraId="51247B2A" w14:textId="77777777" w:rsidR="00AA471E" w:rsidRPr="00C07A3C" w:rsidRDefault="00AA471E" w:rsidP="00AA471E">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rPr>
      </w:pPr>
    </w:p>
    <w:p w14:paraId="7F95E195" w14:textId="2C63C357" w:rsidR="00AA471E" w:rsidRPr="00C07A3C" w:rsidRDefault="00AA471E" w:rsidP="00AA471E">
      <w:pPr>
        <w:keepNext/>
        <w:numPr>
          <w:ilvl w:val="12"/>
          <w:numId w:val="0"/>
        </w:numPr>
        <w:rPr>
          <w:rFonts w:eastAsia="Calibri"/>
          <w:b/>
        </w:rPr>
      </w:pPr>
      <w:r w:rsidRPr="00C07A3C">
        <w:rPr>
          <w:rFonts w:eastAsia="Calibri"/>
          <w:b/>
        </w:rPr>
        <w:lastRenderedPageBreak/>
        <w:t xml:space="preserve">Pacientams, </w:t>
      </w:r>
      <w:r w:rsidR="0059070D">
        <w:rPr>
          <w:rFonts w:eastAsia="Calibri"/>
          <w:b/>
        </w:rPr>
        <w:t>kurių inkstų funkcija sutrikusi</w:t>
      </w:r>
    </w:p>
    <w:p w14:paraId="33FBFD7A" w14:textId="77777777" w:rsidR="00AA471E" w:rsidRPr="00C07A3C" w:rsidRDefault="00AA471E" w:rsidP="00AA471E">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rPr>
      </w:pPr>
    </w:p>
    <w:p w14:paraId="6537FDF8" w14:textId="77777777" w:rsidR="00AA471E" w:rsidRPr="00C07A3C" w:rsidRDefault="00AA471E" w:rsidP="00AA471E">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color w:val="000000"/>
        </w:rPr>
      </w:pPr>
      <w:r w:rsidRPr="00C07A3C">
        <w:rPr>
          <w:rFonts w:eastAsia="Calibri"/>
        </w:rPr>
        <w:t>Jeigu Jums yra inkstų funkcijos sutrikimas, Jūsų gydytojas gali keisti Jums skirtą dozę.</w:t>
      </w:r>
    </w:p>
    <w:p w14:paraId="30170C54" w14:textId="77777777" w:rsidR="00AA471E" w:rsidRPr="00C07A3C" w:rsidRDefault="00AA471E" w:rsidP="00AA471E">
      <w:pPr>
        <w:numPr>
          <w:ilvl w:val="0"/>
          <w:numId w:val="9"/>
        </w:numPr>
        <w:tabs>
          <w:tab w:val="left" w:pos="-720"/>
          <w:tab w:val="left" w:pos="0"/>
          <w:tab w:val="left" w:pos="540"/>
          <w:tab w:val="left" w:pos="1440"/>
          <w:tab w:val="left" w:pos="2160"/>
          <w:tab w:val="left" w:pos="2880"/>
          <w:tab w:val="left" w:pos="3600"/>
          <w:tab w:val="left" w:pos="4320"/>
        </w:tabs>
        <w:autoSpaceDE w:val="0"/>
        <w:autoSpaceDN w:val="0"/>
        <w:adjustRightInd w:val="0"/>
        <w:ind w:hanging="720"/>
        <w:rPr>
          <w:rFonts w:eastAsia="Calibri"/>
          <w:color w:val="000000"/>
        </w:rPr>
      </w:pPr>
      <w:r w:rsidRPr="00C07A3C">
        <w:rPr>
          <w:rFonts w:eastAsia="Calibri"/>
          <w:b/>
          <w:color w:val="000000"/>
        </w:rPr>
        <w:t xml:space="preserve">Pasakykite gydytojui, </w:t>
      </w:r>
      <w:r w:rsidRPr="00C07A3C">
        <w:rPr>
          <w:rFonts w:eastAsia="Calibri"/>
          <w:color w:val="000000"/>
        </w:rPr>
        <w:t>jeigu yra tokia aplinkybė.</w:t>
      </w:r>
    </w:p>
    <w:p w14:paraId="7F40C84E" w14:textId="77777777" w:rsidR="00AA471E" w:rsidRPr="009C0DB0" w:rsidRDefault="00AA471E" w:rsidP="00AA471E">
      <w:pPr>
        <w:ind w:left="567" w:hanging="567"/>
        <w:rPr>
          <w:rFonts w:eastAsia="Calibri"/>
        </w:rPr>
      </w:pPr>
    </w:p>
    <w:p w14:paraId="735157B6" w14:textId="0375D601" w:rsidR="00AA471E" w:rsidRPr="00C07A3C" w:rsidRDefault="00AA471E" w:rsidP="00AA471E">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b/>
        </w:rPr>
      </w:pPr>
      <w:r w:rsidRPr="00C07A3C">
        <w:rPr>
          <w:rFonts w:eastAsia="Calibri"/>
          <w:b/>
        </w:rPr>
        <w:t>Ką daryti pavartojus per didelę Zinnat dozę</w:t>
      </w:r>
    </w:p>
    <w:p w14:paraId="129ED93B" w14:textId="77777777" w:rsidR="00AA471E" w:rsidRPr="009C0DB0" w:rsidRDefault="00AA471E" w:rsidP="00AA471E">
      <w:pPr>
        <w:keepNext/>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rPr>
      </w:pPr>
    </w:p>
    <w:p w14:paraId="73006680" w14:textId="77777777" w:rsidR="00AA471E" w:rsidRPr="00C07A3C" w:rsidRDefault="00AA471E" w:rsidP="00AA471E">
      <w:pPr>
        <w:keepNext/>
        <w:autoSpaceDE w:val="0"/>
        <w:autoSpaceDN w:val="0"/>
        <w:adjustRightInd w:val="0"/>
        <w:rPr>
          <w:rFonts w:eastAsia="Calibri"/>
          <w:color w:val="000000"/>
        </w:rPr>
      </w:pPr>
      <w:r w:rsidRPr="00C07A3C">
        <w:rPr>
          <w:rFonts w:eastAsia="Calibri"/>
          <w:color w:val="000000"/>
        </w:rPr>
        <w:t xml:space="preserve">Jeigu išgėrėte per daug Zinnat, Jums gali atsirasti neurologinių sutrikimų, ypač gali </w:t>
      </w:r>
      <w:r w:rsidRPr="00C07A3C">
        <w:rPr>
          <w:rFonts w:eastAsia="Calibri"/>
          <w:b/>
          <w:color w:val="000000"/>
        </w:rPr>
        <w:t xml:space="preserve">padidėti traukulių </w:t>
      </w:r>
      <w:r w:rsidRPr="00C07A3C">
        <w:rPr>
          <w:rFonts w:eastAsia="Calibri"/>
          <w:i/>
          <w:color w:val="000000"/>
        </w:rPr>
        <w:t xml:space="preserve">(priepuolių) </w:t>
      </w:r>
      <w:r w:rsidRPr="00C07A3C">
        <w:rPr>
          <w:rFonts w:eastAsia="Calibri"/>
          <w:b/>
          <w:color w:val="000000"/>
        </w:rPr>
        <w:t>atsiradimo tikimybė</w:t>
      </w:r>
      <w:r w:rsidRPr="00C07A3C">
        <w:rPr>
          <w:rFonts w:eastAsia="Calibri"/>
          <w:b/>
          <w:i/>
          <w:color w:val="000000"/>
        </w:rPr>
        <w:t>.</w:t>
      </w:r>
    </w:p>
    <w:p w14:paraId="716933EF" w14:textId="77777777" w:rsidR="00AA471E" w:rsidRPr="00C07A3C" w:rsidRDefault="00AA471E" w:rsidP="00AA471E">
      <w:pPr>
        <w:numPr>
          <w:ilvl w:val="0"/>
          <w:numId w:val="9"/>
        </w:numPr>
        <w:tabs>
          <w:tab w:val="left" w:pos="540"/>
        </w:tabs>
        <w:autoSpaceDE w:val="0"/>
        <w:autoSpaceDN w:val="0"/>
        <w:adjustRightInd w:val="0"/>
        <w:ind w:hanging="720"/>
        <w:rPr>
          <w:rFonts w:eastAsia="Calibri"/>
          <w:color w:val="000000"/>
        </w:rPr>
      </w:pPr>
      <w:r w:rsidRPr="00C07A3C">
        <w:rPr>
          <w:rFonts w:eastAsia="Calibri"/>
          <w:b/>
          <w:color w:val="000000"/>
        </w:rPr>
        <w:t>Nedelskite.</w:t>
      </w:r>
      <w:r w:rsidRPr="00C07A3C">
        <w:rPr>
          <w:rFonts w:eastAsia="Calibri"/>
          <w:color w:val="000000"/>
        </w:rPr>
        <w:t xml:space="preserve"> </w:t>
      </w:r>
      <w:r w:rsidRPr="00C07A3C">
        <w:rPr>
          <w:rFonts w:eastAsia="Calibri"/>
          <w:b/>
          <w:color w:val="000000"/>
        </w:rPr>
        <w:t>Nedelsdami kreipkitės į gydytoją arba vykite į artimiausios ligoninės priėmimo skyrių</w:t>
      </w:r>
      <w:r w:rsidRPr="00C07A3C">
        <w:rPr>
          <w:rFonts w:eastAsia="Calibri"/>
          <w:color w:val="000000"/>
        </w:rPr>
        <w:t>. Jeigu įmanoma, parodykite gydytojui Zinnat pakuotę.</w:t>
      </w:r>
    </w:p>
    <w:p w14:paraId="6BFA4657" w14:textId="77777777" w:rsidR="00AA471E" w:rsidRPr="009C0DB0" w:rsidRDefault="00AA471E" w:rsidP="00AA471E">
      <w:pPr>
        <w:ind w:left="567" w:hanging="567"/>
        <w:rPr>
          <w:rFonts w:eastAsia="Calibri"/>
        </w:rPr>
      </w:pPr>
    </w:p>
    <w:p w14:paraId="7B6974CF" w14:textId="77777777" w:rsidR="00AA471E" w:rsidRPr="00C07A3C" w:rsidRDefault="00AA471E" w:rsidP="00AA471E">
      <w:pPr>
        <w:keepNext/>
        <w:ind w:left="567" w:hanging="567"/>
        <w:rPr>
          <w:rFonts w:eastAsia="Calibri"/>
          <w:b/>
        </w:rPr>
      </w:pPr>
      <w:r w:rsidRPr="00C07A3C">
        <w:rPr>
          <w:rFonts w:eastAsia="Calibri"/>
          <w:b/>
        </w:rPr>
        <w:t>Pamiršus pavartoti Zinnat</w:t>
      </w:r>
    </w:p>
    <w:p w14:paraId="17B3171F" w14:textId="77777777" w:rsidR="00AA471E" w:rsidRPr="00C07A3C" w:rsidRDefault="00AA471E" w:rsidP="00AA471E">
      <w:pPr>
        <w:keepNext/>
        <w:ind w:left="567" w:hanging="567"/>
        <w:rPr>
          <w:rFonts w:eastAsia="Calibri"/>
        </w:rPr>
      </w:pPr>
    </w:p>
    <w:p w14:paraId="4C8AC5B8" w14:textId="77777777" w:rsidR="00AA471E" w:rsidRPr="00C07A3C" w:rsidRDefault="00AA471E" w:rsidP="00AA471E">
      <w:pPr>
        <w:keepNext/>
        <w:rPr>
          <w:rFonts w:eastAsia="Calibri"/>
        </w:rPr>
      </w:pPr>
      <w:r w:rsidRPr="00C07A3C">
        <w:rPr>
          <w:rFonts w:eastAsia="Calibri"/>
          <w:b/>
        </w:rPr>
        <w:t>Negalima vartoti dvigubos dozės norint kompensuoti praleistą dozę</w:t>
      </w:r>
      <w:r w:rsidRPr="00C07A3C">
        <w:rPr>
          <w:rFonts w:eastAsia="Calibri"/>
        </w:rPr>
        <w:t>. Tik išgerkite kitą dozę įprastu laiku.</w:t>
      </w:r>
    </w:p>
    <w:p w14:paraId="02D00C4C" w14:textId="77777777" w:rsidR="00AA471E" w:rsidRPr="00C07A3C" w:rsidRDefault="00AA471E" w:rsidP="00AA471E">
      <w:pPr>
        <w:ind w:left="567" w:hanging="567"/>
        <w:rPr>
          <w:rFonts w:eastAsia="Calibri"/>
        </w:rPr>
      </w:pPr>
    </w:p>
    <w:p w14:paraId="02747B08" w14:textId="77777777" w:rsidR="00AA471E" w:rsidRPr="00C07A3C" w:rsidRDefault="00AA471E" w:rsidP="00AA471E">
      <w:pPr>
        <w:numPr>
          <w:ilvl w:val="12"/>
          <w:numId w:val="0"/>
        </w:numPr>
        <w:ind w:right="-2"/>
        <w:outlineLvl w:val="0"/>
        <w:rPr>
          <w:rFonts w:eastAsia="Calibri"/>
          <w:b/>
        </w:rPr>
      </w:pPr>
      <w:r w:rsidRPr="00C07A3C">
        <w:rPr>
          <w:rFonts w:eastAsia="Calibri"/>
          <w:b/>
        </w:rPr>
        <w:t>Nustojus vartoti Zinnat</w:t>
      </w:r>
    </w:p>
    <w:p w14:paraId="49A096F5" w14:textId="77777777" w:rsidR="00AA471E" w:rsidRPr="00C07A3C" w:rsidRDefault="00AA471E" w:rsidP="00AA471E">
      <w:pPr>
        <w:numPr>
          <w:ilvl w:val="12"/>
          <w:numId w:val="0"/>
        </w:numPr>
        <w:ind w:right="-2"/>
        <w:outlineLvl w:val="0"/>
        <w:rPr>
          <w:rFonts w:eastAsia="Calibri"/>
        </w:rPr>
      </w:pPr>
      <w:r w:rsidRPr="00C07A3C">
        <w:rPr>
          <w:rFonts w:eastAsia="Calibri"/>
        </w:rPr>
        <w:t>Nenutraukite Zinnat vartojimo be nurodymo.</w:t>
      </w:r>
    </w:p>
    <w:p w14:paraId="30CC168F" w14:textId="77777777" w:rsidR="00AA471E" w:rsidRPr="009C0DB0" w:rsidRDefault="00AA471E" w:rsidP="00AA471E">
      <w:pPr>
        <w:numPr>
          <w:ilvl w:val="12"/>
          <w:numId w:val="0"/>
        </w:numPr>
        <w:ind w:right="-2"/>
        <w:outlineLvl w:val="0"/>
        <w:rPr>
          <w:rFonts w:eastAsia="Calibri"/>
        </w:rPr>
      </w:pPr>
    </w:p>
    <w:p w14:paraId="208A2AD1" w14:textId="77777777" w:rsidR="00AA471E" w:rsidRPr="00C07A3C" w:rsidRDefault="00AA471E" w:rsidP="00AA471E">
      <w:pPr>
        <w:tabs>
          <w:tab w:val="left" w:pos="-720"/>
          <w:tab w:val="left" w:pos="0"/>
          <w:tab w:val="left" w:pos="720"/>
          <w:tab w:val="left" w:pos="1440"/>
          <w:tab w:val="left" w:pos="2160"/>
          <w:tab w:val="left" w:pos="2880"/>
          <w:tab w:val="left" w:pos="3600"/>
          <w:tab w:val="left" w:pos="4320"/>
        </w:tabs>
        <w:autoSpaceDE w:val="0"/>
        <w:autoSpaceDN w:val="0"/>
        <w:adjustRightInd w:val="0"/>
        <w:rPr>
          <w:rFonts w:eastAsia="Calibri"/>
        </w:rPr>
      </w:pPr>
      <w:r w:rsidRPr="00C07A3C">
        <w:rPr>
          <w:rFonts w:eastAsia="Calibri"/>
        </w:rPr>
        <w:t>Svarbu, kad užbaigtumėte visą Zinnat kursą. Nenutraukite vaisto vartojimo be gydytojo nurodymo, net jeigu geriau jaučiatės. Nebaigus viso gydymo kurso, infekcinė liga gali atsinaujinti.</w:t>
      </w:r>
    </w:p>
    <w:p w14:paraId="6F99569C" w14:textId="77777777" w:rsidR="00AA471E" w:rsidRPr="00C07A3C" w:rsidRDefault="00AA471E" w:rsidP="00AA471E">
      <w:pPr>
        <w:numPr>
          <w:ilvl w:val="12"/>
          <w:numId w:val="0"/>
        </w:numPr>
        <w:ind w:right="-2"/>
        <w:rPr>
          <w:rFonts w:eastAsia="Calibri"/>
        </w:rPr>
      </w:pPr>
    </w:p>
    <w:p w14:paraId="689C91D6" w14:textId="77777777" w:rsidR="00AA471E" w:rsidRPr="00C07A3C" w:rsidRDefault="00AA471E" w:rsidP="00AA471E">
      <w:pPr>
        <w:numPr>
          <w:ilvl w:val="12"/>
          <w:numId w:val="0"/>
        </w:numPr>
        <w:ind w:right="-2"/>
        <w:rPr>
          <w:rFonts w:eastAsia="Calibri"/>
        </w:rPr>
      </w:pPr>
      <w:r w:rsidRPr="00C07A3C">
        <w:rPr>
          <w:rFonts w:eastAsia="Calibri"/>
        </w:rPr>
        <w:t>Jeigu kiltų daugiau klausimų dėl šio vaisto vartojimo, kreipkitės į gydytoją ar vaistininką.</w:t>
      </w:r>
    </w:p>
    <w:p w14:paraId="59939FA0" w14:textId="77777777" w:rsidR="00AA471E" w:rsidRPr="00C07A3C" w:rsidRDefault="00AA471E" w:rsidP="00AA471E">
      <w:pPr>
        <w:numPr>
          <w:ilvl w:val="12"/>
          <w:numId w:val="0"/>
        </w:numPr>
        <w:ind w:right="-2"/>
        <w:rPr>
          <w:rFonts w:eastAsia="Calibri"/>
        </w:rPr>
      </w:pPr>
    </w:p>
    <w:p w14:paraId="0F5F91A6" w14:textId="77777777" w:rsidR="00AA471E" w:rsidRPr="00C07A3C" w:rsidRDefault="00AA471E" w:rsidP="00AA471E">
      <w:pPr>
        <w:numPr>
          <w:ilvl w:val="12"/>
          <w:numId w:val="0"/>
        </w:numPr>
        <w:ind w:right="-2"/>
        <w:rPr>
          <w:rFonts w:eastAsia="Calibri"/>
        </w:rPr>
      </w:pPr>
    </w:p>
    <w:p w14:paraId="60633C95" w14:textId="77777777" w:rsidR="00AA471E" w:rsidRPr="00C07A3C" w:rsidRDefault="00AA471E" w:rsidP="00AA471E">
      <w:pPr>
        <w:numPr>
          <w:ilvl w:val="12"/>
          <w:numId w:val="0"/>
        </w:numPr>
        <w:ind w:left="567" w:hanging="567"/>
        <w:outlineLvl w:val="0"/>
        <w:rPr>
          <w:rFonts w:eastAsia="Calibri"/>
          <w:b/>
          <w:caps/>
        </w:rPr>
      </w:pPr>
      <w:r w:rsidRPr="00C07A3C">
        <w:rPr>
          <w:rFonts w:eastAsia="Calibri"/>
          <w:b/>
          <w:caps/>
        </w:rPr>
        <w:t>4.</w:t>
      </w:r>
      <w:r w:rsidRPr="00C07A3C">
        <w:rPr>
          <w:rFonts w:eastAsia="Calibri"/>
          <w:b/>
          <w:caps/>
        </w:rPr>
        <w:tab/>
      </w:r>
      <w:r w:rsidRPr="00C07A3C">
        <w:rPr>
          <w:rFonts w:eastAsia="Calibri"/>
          <w:b/>
        </w:rPr>
        <w:t>Galimas šalutinis poveikis</w:t>
      </w:r>
    </w:p>
    <w:p w14:paraId="5A181192" w14:textId="77777777" w:rsidR="00AA471E" w:rsidRPr="00C07A3C" w:rsidRDefault="00AA471E" w:rsidP="00AA471E">
      <w:pPr>
        <w:ind w:left="567" w:hanging="567"/>
        <w:rPr>
          <w:rFonts w:eastAsia="Calibri"/>
        </w:rPr>
      </w:pPr>
    </w:p>
    <w:p w14:paraId="6866E807" w14:textId="77777777" w:rsidR="00AA471E" w:rsidRPr="00C07A3C" w:rsidRDefault="00AA471E" w:rsidP="00AA471E">
      <w:pPr>
        <w:ind w:left="567" w:hanging="567"/>
        <w:rPr>
          <w:rFonts w:eastAsia="Calibri"/>
        </w:rPr>
      </w:pPr>
      <w:r w:rsidRPr="00C07A3C">
        <w:rPr>
          <w:rFonts w:eastAsia="Calibri"/>
        </w:rPr>
        <w:t>Šis vaistas, kaip ir visi kiti, gali sukelti šalutinį poveikį, nors jis pasireiškia ne visiems žmonėms.</w:t>
      </w:r>
    </w:p>
    <w:p w14:paraId="4EE03427" w14:textId="77777777" w:rsidR="00AA471E" w:rsidRPr="00C07A3C" w:rsidRDefault="00AA471E" w:rsidP="00AA471E">
      <w:pPr>
        <w:numPr>
          <w:ilvl w:val="12"/>
          <w:numId w:val="0"/>
        </w:numPr>
        <w:ind w:right="-2"/>
        <w:rPr>
          <w:rFonts w:eastAsia="Calibri"/>
        </w:rPr>
      </w:pPr>
    </w:p>
    <w:p w14:paraId="0A3D8D52" w14:textId="77777777" w:rsidR="00AA471E" w:rsidRPr="00C07A3C" w:rsidRDefault="00AA471E" w:rsidP="00AA471E">
      <w:pPr>
        <w:keepNext/>
        <w:outlineLvl w:val="0"/>
        <w:rPr>
          <w:rFonts w:eastAsia="Calibri"/>
          <w:b/>
          <w:color w:val="000000"/>
        </w:rPr>
      </w:pPr>
      <w:r w:rsidRPr="00C07A3C">
        <w:rPr>
          <w:rFonts w:eastAsia="Calibri"/>
          <w:b/>
          <w:color w:val="000000"/>
        </w:rPr>
        <w:t>Būklės, į kurias reikia atkreipti dėmesį</w:t>
      </w:r>
    </w:p>
    <w:p w14:paraId="76632B66" w14:textId="77777777" w:rsidR="00AA471E" w:rsidRPr="009C0DB0" w:rsidRDefault="00AA471E" w:rsidP="00AA471E">
      <w:pPr>
        <w:keepNext/>
        <w:outlineLvl w:val="0"/>
        <w:rPr>
          <w:rFonts w:eastAsia="Calibri"/>
          <w:color w:val="000000"/>
        </w:rPr>
      </w:pPr>
    </w:p>
    <w:p w14:paraId="5584D320" w14:textId="77777777" w:rsidR="00AA471E" w:rsidRPr="00C07A3C" w:rsidRDefault="00AA471E" w:rsidP="00AA471E">
      <w:pPr>
        <w:keepNext/>
        <w:outlineLvl w:val="0"/>
        <w:rPr>
          <w:rFonts w:eastAsia="Calibri"/>
        </w:rPr>
      </w:pPr>
      <w:r w:rsidRPr="00C07A3C">
        <w:rPr>
          <w:rFonts w:eastAsia="Calibri"/>
        </w:rPr>
        <w:t>Mažai daliai Zinnat vartojančių žmonių pasireiškė alerginė reakcija arba galinti būti sunki odos reakcija. Tokių reakcijų simptomai yra:</w:t>
      </w:r>
    </w:p>
    <w:p w14:paraId="63A46231" w14:textId="77777777" w:rsidR="00AA471E" w:rsidRPr="00C07A3C" w:rsidRDefault="00AA471E" w:rsidP="00AA471E">
      <w:pPr>
        <w:keepNext/>
        <w:outlineLvl w:val="0"/>
        <w:rPr>
          <w:rFonts w:eastAsia="Calibri"/>
        </w:rPr>
      </w:pPr>
    </w:p>
    <w:p w14:paraId="3457DD66" w14:textId="2864CD4A" w:rsidR="00AA471E" w:rsidRPr="00DA19AC" w:rsidRDefault="00AA471E" w:rsidP="00AA471E">
      <w:pPr>
        <w:numPr>
          <w:ilvl w:val="0"/>
          <w:numId w:val="27"/>
        </w:numPr>
        <w:spacing w:before="120"/>
        <w:ind w:left="567" w:hanging="567"/>
        <w:rPr>
          <w:rFonts w:eastAsia="Calibri"/>
        </w:rPr>
      </w:pPr>
      <w:r w:rsidRPr="00C07A3C">
        <w:rPr>
          <w:rFonts w:eastAsia="Calibri"/>
          <w:b/>
        </w:rPr>
        <w:t>sunki alerginė reakcija</w:t>
      </w:r>
      <w:r w:rsidRPr="00C07A3C">
        <w:rPr>
          <w:rFonts w:eastAsia="Calibri"/>
        </w:rPr>
        <w:t xml:space="preserve">. Požymiai </w:t>
      </w:r>
      <w:r w:rsidRPr="00114810">
        <w:rPr>
          <w:rFonts w:eastAsia="Calibri"/>
          <w:szCs w:val="22"/>
        </w:rPr>
        <w:t xml:space="preserve">gali būti </w:t>
      </w:r>
      <w:r w:rsidRPr="00114810">
        <w:rPr>
          <w:rFonts w:eastAsia="Calibri"/>
          <w:b/>
          <w:szCs w:val="22"/>
        </w:rPr>
        <w:t xml:space="preserve">iškilusis niežtintysis </w:t>
      </w:r>
      <w:r w:rsidR="00312E9B" w:rsidRPr="00114810">
        <w:rPr>
          <w:rFonts w:eastAsia="Calibri"/>
          <w:b/>
          <w:szCs w:val="22"/>
        </w:rPr>
        <w:t>iš</w:t>
      </w:r>
      <w:r w:rsidRPr="00114810">
        <w:rPr>
          <w:rFonts w:eastAsia="Calibri"/>
          <w:b/>
          <w:szCs w:val="22"/>
        </w:rPr>
        <w:t>bėrimas, patinimas</w:t>
      </w:r>
      <w:r w:rsidRPr="00114810">
        <w:rPr>
          <w:rFonts w:eastAsia="Calibri"/>
          <w:szCs w:val="22"/>
        </w:rPr>
        <w:t xml:space="preserve">, kartais veido ar burnos, dėl kurio </w:t>
      </w:r>
      <w:r w:rsidRPr="00114810">
        <w:rPr>
          <w:rFonts w:eastAsia="Calibri"/>
          <w:b/>
          <w:szCs w:val="22"/>
        </w:rPr>
        <w:t>pasunkėja kvėpavimas</w:t>
      </w:r>
      <w:r w:rsidRPr="00114810">
        <w:rPr>
          <w:rFonts w:eastAsia="Calibri"/>
          <w:szCs w:val="22"/>
        </w:rPr>
        <w:t>;</w:t>
      </w:r>
    </w:p>
    <w:p w14:paraId="192025AA" w14:textId="77777777" w:rsidR="00DA19AC" w:rsidRPr="002F41B1" w:rsidRDefault="00DA19AC" w:rsidP="00AE79A1">
      <w:pPr>
        <w:numPr>
          <w:ilvl w:val="0"/>
          <w:numId w:val="27"/>
        </w:numPr>
        <w:tabs>
          <w:tab w:val="left" w:pos="567"/>
        </w:tabs>
        <w:ind w:left="567" w:hanging="567"/>
        <w:rPr>
          <w:noProof/>
          <w:szCs w:val="22"/>
        </w:rPr>
      </w:pPr>
      <w:r w:rsidRPr="00AA4BD0">
        <w:rPr>
          <w:b/>
          <w:bCs/>
          <w:noProof/>
          <w:szCs w:val="22"/>
        </w:rPr>
        <w:t>išplitęs bėrimas, aukšta kūno temperatūra</w:t>
      </w:r>
      <w:r w:rsidRPr="002F41B1">
        <w:rPr>
          <w:noProof/>
          <w:szCs w:val="22"/>
        </w:rPr>
        <w:t xml:space="preserve"> ir </w:t>
      </w:r>
      <w:r w:rsidRPr="00AA4BD0">
        <w:rPr>
          <w:b/>
          <w:bCs/>
          <w:noProof/>
          <w:szCs w:val="22"/>
        </w:rPr>
        <w:t>padidėję limfmazgiai</w:t>
      </w:r>
      <w:r w:rsidRPr="002F41B1">
        <w:rPr>
          <w:noProof/>
          <w:szCs w:val="22"/>
        </w:rPr>
        <w:t xml:space="preserve"> (DRESS</w:t>
      </w:r>
      <w:r>
        <w:rPr>
          <w:noProof/>
          <w:szCs w:val="22"/>
        </w:rPr>
        <w:t xml:space="preserve"> </w:t>
      </w:r>
      <w:r w:rsidRPr="002F41B1">
        <w:rPr>
          <w:noProof/>
          <w:szCs w:val="22"/>
        </w:rPr>
        <w:t>sindromas ar padidėjusio jautrumo vaistui sindromas).</w:t>
      </w:r>
    </w:p>
    <w:p w14:paraId="01519F23" w14:textId="77777777" w:rsidR="00DA19AC" w:rsidRPr="002F41B1" w:rsidRDefault="00DA19AC" w:rsidP="00AE79A1">
      <w:pPr>
        <w:numPr>
          <w:ilvl w:val="0"/>
          <w:numId w:val="27"/>
        </w:numPr>
        <w:tabs>
          <w:tab w:val="left" w:pos="567"/>
        </w:tabs>
        <w:ind w:left="567" w:hanging="567"/>
        <w:rPr>
          <w:noProof/>
          <w:szCs w:val="22"/>
        </w:rPr>
      </w:pPr>
      <w:r w:rsidRPr="00AA4BD0">
        <w:rPr>
          <w:b/>
          <w:bCs/>
          <w:noProof/>
          <w:szCs w:val="22"/>
        </w:rPr>
        <w:t>krūtinės skausmas pasireiškus alerginėms reakcijoms</w:t>
      </w:r>
      <w:r w:rsidRPr="002F41B1">
        <w:rPr>
          <w:noProof/>
          <w:szCs w:val="22"/>
        </w:rPr>
        <w:t xml:space="preserve"> – tai gali būti </w:t>
      </w:r>
      <w:r w:rsidRPr="00AA4BD0">
        <w:rPr>
          <w:b/>
          <w:bCs/>
          <w:noProof/>
          <w:szCs w:val="22"/>
        </w:rPr>
        <w:t>alergijos sukelto širdies infarkto</w:t>
      </w:r>
      <w:r w:rsidRPr="002F41B1">
        <w:rPr>
          <w:noProof/>
          <w:szCs w:val="22"/>
        </w:rPr>
        <w:t xml:space="preserve"> simptomas (</w:t>
      </w:r>
      <w:r w:rsidRPr="00AA4BD0">
        <w:rPr>
          <w:i/>
          <w:iCs/>
          <w:noProof/>
          <w:szCs w:val="22"/>
        </w:rPr>
        <w:t>Kounis</w:t>
      </w:r>
      <w:r w:rsidRPr="002F41B1">
        <w:rPr>
          <w:noProof/>
          <w:szCs w:val="22"/>
        </w:rPr>
        <w:t xml:space="preserve"> sindromas).</w:t>
      </w:r>
    </w:p>
    <w:p w14:paraId="29D5659A" w14:textId="77777777" w:rsidR="00AA471E" w:rsidRPr="009C0DB0" w:rsidRDefault="00AA471E" w:rsidP="00857812">
      <w:pPr>
        <w:numPr>
          <w:ilvl w:val="0"/>
          <w:numId w:val="18"/>
        </w:numPr>
        <w:tabs>
          <w:tab w:val="clear" w:pos="284"/>
          <w:tab w:val="num" w:pos="561"/>
        </w:tabs>
        <w:ind w:left="567" w:hanging="567"/>
        <w:rPr>
          <w:rFonts w:eastAsia="Calibri"/>
        </w:rPr>
      </w:pPr>
      <w:r w:rsidRPr="00114810">
        <w:rPr>
          <w:rFonts w:eastAsia="Calibri"/>
          <w:b/>
          <w:szCs w:val="22"/>
        </w:rPr>
        <w:t xml:space="preserve">odos </w:t>
      </w:r>
      <w:r w:rsidR="0059070D" w:rsidRPr="00114810">
        <w:rPr>
          <w:rFonts w:eastAsia="Calibri"/>
          <w:b/>
          <w:szCs w:val="22"/>
        </w:rPr>
        <w:t>iš</w:t>
      </w:r>
      <w:r w:rsidRPr="00114810">
        <w:rPr>
          <w:rFonts w:eastAsia="Calibri"/>
          <w:b/>
          <w:szCs w:val="22"/>
        </w:rPr>
        <w:t>bėrimas</w:t>
      </w:r>
      <w:r w:rsidRPr="00114810">
        <w:rPr>
          <w:rFonts w:eastAsia="Calibri"/>
          <w:szCs w:val="22"/>
        </w:rPr>
        <w:t xml:space="preserve">, kuris gali apsitraukti </w:t>
      </w:r>
      <w:r w:rsidRPr="00114810">
        <w:rPr>
          <w:rFonts w:eastAsia="Calibri"/>
          <w:b/>
          <w:szCs w:val="22"/>
        </w:rPr>
        <w:t>pūslėmis</w:t>
      </w:r>
      <w:r w:rsidRPr="00114810">
        <w:rPr>
          <w:rFonts w:eastAsia="Calibri"/>
          <w:szCs w:val="22"/>
        </w:rPr>
        <w:t xml:space="preserve"> ar atrodyti kaip </w:t>
      </w:r>
      <w:r w:rsidRPr="00114810">
        <w:rPr>
          <w:rFonts w:eastAsia="Calibri"/>
          <w:b/>
          <w:szCs w:val="22"/>
        </w:rPr>
        <w:t>maži taikiniai</w:t>
      </w:r>
      <w:r w:rsidRPr="00114810">
        <w:rPr>
          <w:rFonts w:eastAsia="Calibri"/>
          <w:szCs w:val="22"/>
        </w:rPr>
        <w:t xml:space="preserve"> (centre tamsus taškas, apsuptas blyškesnės srities, o iš krašto apjuostas tamsaus žiedo);</w:t>
      </w:r>
    </w:p>
    <w:p w14:paraId="7AA78CB9" w14:textId="3E6ABC2F" w:rsidR="00AA471E" w:rsidRPr="009C0DB0" w:rsidRDefault="00AA471E" w:rsidP="00857812">
      <w:pPr>
        <w:numPr>
          <w:ilvl w:val="0"/>
          <w:numId w:val="18"/>
        </w:numPr>
        <w:tabs>
          <w:tab w:val="clear" w:pos="284"/>
          <w:tab w:val="num" w:pos="561"/>
        </w:tabs>
        <w:ind w:left="567" w:hanging="567"/>
        <w:rPr>
          <w:rFonts w:eastAsia="Calibri"/>
        </w:rPr>
      </w:pPr>
      <w:r w:rsidRPr="00114810">
        <w:rPr>
          <w:rFonts w:eastAsia="Calibri"/>
          <w:b/>
          <w:szCs w:val="22"/>
        </w:rPr>
        <w:t xml:space="preserve">išplitęs </w:t>
      </w:r>
      <w:r w:rsidR="0059070D" w:rsidRPr="00114810">
        <w:rPr>
          <w:rFonts w:eastAsia="Calibri"/>
          <w:b/>
          <w:szCs w:val="22"/>
        </w:rPr>
        <w:t>iš</w:t>
      </w:r>
      <w:r w:rsidRPr="00114810">
        <w:rPr>
          <w:rFonts w:eastAsia="Calibri"/>
          <w:b/>
          <w:szCs w:val="22"/>
        </w:rPr>
        <w:t>bėrimas</w:t>
      </w:r>
      <w:r w:rsidRPr="00114810">
        <w:rPr>
          <w:rFonts w:eastAsia="Calibri"/>
          <w:szCs w:val="22"/>
        </w:rPr>
        <w:t xml:space="preserve"> su </w:t>
      </w:r>
      <w:r w:rsidRPr="00114810">
        <w:rPr>
          <w:rFonts w:eastAsia="Calibri"/>
          <w:b/>
          <w:szCs w:val="22"/>
        </w:rPr>
        <w:t>pūslėmis</w:t>
      </w:r>
      <w:r w:rsidRPr="00114810">
        <w:rPr>
          <w:rFonts w:eastAsia="Calibri"/>
          <w:szCs w:val="22"/>
        </w:rPr>
        <w:t xml:space="preserve"> ir </w:t>
      </w:r>
      <w:r w:rsidRPr="00114810">
        <w:rPr>
          <w:rFonts w:eastAsia="Calibri"/>
          <w:b/>
          <w:szCs w:val="22"/>
        </w:rPr>
        <w:t>odos lupimusi</w:t>
      </w:r>
      <w:r w:rsidRPr="00114810">
        <w:rPr>
          <w:rFonts w:eastAsia="Calibri"/>
          <w:szCs w:val="22"/>
        </w:rPr>
        <w:t xml:space="preserve"> (tai gali būti</w:t>
      </w:r>
      <w:r w:rsidR="00DA19AC">
        <w:rPr>
          <w:rFonts w:eastAsia="Calibri"/>
          <w:szCs w:val="22"/>
        </w:rPr>
        <w:t xml:space="preserve"> Stivenso</w:t>
      </w:r>
      <w:r w:rsidR="00C5051E">
        <w:rPr>
          <w:rFonts w:eastAsia="Calibri"/>
          <w:szCs w:val="22"/>
        </w:rPr>
        <w:t xml:space="preserve">-Džonsono </w:t>
      </w:r>
      <w:r w:rsidR="00C5051E" w:rsidRPr="00C5051E">
        <w:rPr>
          <w:rFonts w:eastAsia="Calibri"/>
          <w:szCs w:val="22"/>
        </w:rPr>
        <w:t>(</w:t>
      </w:r>
      <w:r w:rsidRPr="00857812">
        <w:rPr>
          <w:rFonts w:eastAsia="Calibri"/>
        </w:rPr>
        <w:t>Stevens-Johnson</w:t>
      </w:r>
      <w:r w:rsidR="00C5051E" w:rsidRPr="00AE79A1">
        <w:rPr>
          <w:rFonts w:eastAsia="Calibri"/>
          <w:szCs w:val="22"/>
        </w:rPr>
        <w:t>)</w:t>
      </w:r>
      <w:r w:rsidRPr="00857812">
        <w:rPr>
          <w:rFonts w:eastAsia="Calibri"/>
        </w:rPr>
        <w:t xml:space="preserve"> sindromo</w:t>
      </w:r>
      <w:r w:rsidRPr="00C5051E">
        <w:rPr>
          <w:rFonts w:eastAsia="Calibri"/>
          <w:szCs w:val="22"/>
        </w:rPr>
        <w:t xml:space="preserve"> arba </w:t>
      </w:r>
      <w:r w:rsidRPr="00857812">
        <w:rPr>
          <w:rFonts w:eastAsia="Calibri"/>
        </w:rPr>
        <w:t>toksinės epidermio nekrolizės</w:t>
      </w:r>
      <w:r w:rsidRPr="00114810">
        <w:rPr>
          <w:rFonts w:eastAsia="Calibri"/>
          <w:i/>
          <w:szCs w:val="22"/>
        </w:rPr>
        <w:t xml:space="preserve"> </w:t>
      </w:r>
      <w:r w:rsidRPr="00114810">
        <w:rPr>
          <w:rFonts w:eastAsia="Calibri"/>
          <w:szCs w:val="22"/>
        </w:rPr>
        <w:t>požymiai).</w:t>
      </w:r>
    </w:p>
    <w:p w14:paraId="08CE95DD" w14:textId="77777777" w:rsidR="00AA471E" w:rsidRPr="00AE79A1" w:rsidRDefault="00AA471E" w:rsidP="00857812">
      <w:pPr>
        <w:rPr>
          <w:rFonts w:eastAsia="Calibri"/>
        </w:rPr>
      </w:pPr>
    </w:p>
    <w:p w14:paraId="7857EE1D" w14:textId="77777777" w:rsidR="00AA471E" w:rsidRPr="00857812" w:rsidRDefault="00AA471E" w:rsidP="00857812">
      <w:pPr>
        <w:tabs>
          <w:tab w:val="left" w:pos="0"/>
        </w:tabs>
        <w:rPr>
          <w:rFonts w:eastAsia="Calibri"/>
        </w:rPr>
      </w:pPr>
      <w:r w:rsidRPr="00AE79A1">
        <w:rPr>
          <w:rFonts w:eastAsia="Calibri"/>
          <w:b/>
        </w:rPr>
        <w:t>Kitos būklės, į kurias reikia atkreipti dėmesį vartojant Zinnat, yra</w:t>
      </w:r>
    </w:p>
    <w:p w14:paraId="6056BC87" w14:textId="77777777" w:rsidR="00AA471E" w:rsidRPr="00AE79A1" w:rsidRDefault="00AA471E" w:rsidP="00857812">
      <w:pPr>
        <w:numPr>
          <w:ilvl w:val="0"/>
          <w:numId w:val="18"/>
        </w:numPr>
        <w:tabs>
          <w:tab w:val="clear" w:pos="284"/>
          <w:tab w:val="num" w:pos="561"/>
        </w:tabs>
        <w:ind w:left="561" w:hanging="561"/>
        <w:rPr>
          <w:rFonts w:eastAsia="Calibri"/>
        </w:rPr>
      </w:pPr>
      <w:r w:rsidRPr="00AE79A1">
        <w:rPr>
          <w:rFonts w:eastAsia="Calibri"/>
          <w:b/>
          <w:color w:val="000000"/>
        </w:rPr>
        <w:t xml:space="preserve">grybelių sukelta infekcinė liga. </w:t>
      </w:r>
      <w:r w:rsidRPr="00AE79A1">
        <w:rPr>
          <w:rFonts w:eastAsia="Calibri"/>
        </w:rPr>
        <w:t>Į Zinnat panašūs vaistai gali sukelti pernelyg didelį mieliagrybių (</w:t>
      </w:r>
      <w:r w:rsidRPr="00AE79A1">
        <w:rPr>
          <w:rFonts w:eastAsia="Calibri"/>
          <w:i/>
        </w:rPr>
        <w:t>Candida</w:t>
      </w:r>
      <w:r w:rsidRPr="00AE79A1">
        <w:rPr>
          <w:rFonts w:eastAsia="Calibri"/>
        </w:rPr>
        <w:t>) dauginimąsi organizme ir sukelti grybelinę infekcinę ligą (pvz., pienligę). Toks šalutinis poveikis labiau tikėtinas, jeigu Zinnat vartojate ilgą laiką;</w:t>
      </w:r>
    </w:p>
    <w:p w14:paraId="7A8B79C1" w14:textId="77777777" w:rsidR="00AA471E" w:rsidRPr="00AE79A1" w:rsidRDefault="00AA471E" w:rsidP="00857812">
      <w:pPr>
        <w:keepNext/>
        <w:numPr>
          <w:ilvl w:val="0"/>
          <w:numId w:val="18"/>
        </w:numPr>
        <w:tabs>
          <w:tab w:val="clear" w:pos="284"/>
          <w:tab w:val="num" w:pos="567"/>
        </w:tabs>
        <w:ind w:left="567" w:hanging="567"/>
        <w:contextualSpacing/>
        <w:rPr>
          <w:rFonts w:eastAsia="Calibri"/>
        </w:rPr>
      </w:pPr>
      <w:r w:rsidRPr="00AE79A1">
        <w:rPr>
          <w:rFonts w:eastAsia="Calibri"/>
          <w:b/>
        </w:rPr>
        <w:t>sunkus viduriavimas (</w:t>
      </w:r>
      <w:r w:rsidRPr="00AE79A1">
        <w:rPr>
          <w:rFonts w:eastAsia="Calibri"/>
          <w:b/>
          <w:i/>
        </w:rPr>
        <w:t>pseudomembraninis kolitas</w:t>
      </w:r>
      <w:r w:rsidRPr="00AE79A1">
        <w:rPr>
          <w:rFonts w:eastAsia="Calibri"/>
          <w:b/>
        </w:rPr>
        <w:t xml:space="preserve">). </w:t>
      </w:r>
      <w:r w:rsidRPr="00AE79A1">
        <w:rPr>
          <w:rFonts w:eastAsia="Calibri"/>
        </w:rPr>
        <w:t>Į Zinnat panašūs vaistai gali sukelti gaubtinės (storosios) žarnos uždegimą, sukeldami sunkų viduriavimą, paprastai su krauju ir gleivėmis, pilvo skausmu, karščiavimu;</w:t>
      </w:r>
    </w:p>
    <w:p w14:paraId="53CAE4D6" w14:textId="77777777" w:rsidR="00AA471E" w:rsidRPr="00AE79A1" w:rsidRDefault="00AA471E" w:rsidP="00857812">
      <w:pPr>
        <w:keepNext/>
        <w:numPr>
          <w:ilvl w:val="0"/>
          <w:numId w:val="18"/>
        </w:numPr>
        <w:tabs>
          <w:tab w:val="clear" w:pos="284"/>
          <w:tab w:val="num" w:pos="567"/>
        </w:tabs>
        <w:ind w:left="567" w:hanging="567"/>
        <w:contextualSpacing/>
        <w:rPr>
          <w:rFonts w:eastAsia="Calibri"/>
        </w:rPr>
      </w:pPr>
      <w:r w:rsidRPr="00AE79A1">
        <w:rPr>
          <w:rFonts w:eastAsia="Calibri"/>
          <w:b/>
          <w:i/>
        </w:rPr>
        <w:t>Jarisch-Herxheimer</w:t>
      </w:r>
      <w:r w:rsidRPr="00AE79A1">
        <w:rPr>
          <w:rFonts w:eastAsia="Calibri"/>
          <w:b/>
        </w:rPr>
        <w:t xml:space="preserve"> reakcija. </w:t>
      </w:r>
      <w:r w:rsidRPr="00AE79A1">
        <w:rPr>
          <w:rFonts w:eastAsia="Calibri"/>
        </w:rPr>
        <w:t xml:space="preserve">Kai kuriems Zinnat gydytiems Laimo liga sergantiems pacientams labai padidėjo kūno temperatūra (pasireiškė karščiavimas), pasireiškė šaltkrėtis, </w:t>
      </w:r>
      <w:r w:rsidRPr="00AE79A1">
        <w:rPr>
          <w:rFonts w:eastAsia="Calibri"/>
        </w:rPr>
        <w:lastRenderedPageBreak/>
        <w:t xml:space="preserve">galvos skausmas, raumenų skausmas ir odos </w:t>
      </w:r>
      <w:r w:rsidR="0059070D" w:rsidRPr="00AE79A1">
        <w:rPr>
          <w:rFonts w:eastAsia="Calibri"/>
        </w:rPr>
        <w:t>iš</w:t>
      </w:r>
      <w:r w:rsidRPr="00AE79A1">
        <w:rPr>
          <w:rFonts w:eastAsia="Calibri"/>
        </w:rPr>
        <w:t xml:space="preserve">bėrimas. Tai vadinamoji </w:t>
      </w:r>
      <w:r w:rsidRPr="00AE79A1">
        <w:rPr>
          <w:rFonts w:eastAsia="Calibri"/>
          <w:i/>
        </w:rPr>
        <w:t>Jarisch-Herxheimer reakcija.</w:t>
      </w:r>
      <w:r w:rsidRPr="00AE79A1">
        <w:rPr>
          <w:rFonts w:eastAsia="Calibri"/>
        </w:rPr>
        <w:t xml:space="preserve"> Simptomų paprastai būna keletą valandų ar ne ilgiau kaip vieną parą.</w:t>
      </w:r>
    </w:p>
    <w:p w14:paraId="29B9CC2C" w14:textId="77777777" w:rsidR="00AA471E" w:rsidRPr="00114810" w:rsidRDefault="00AA471E" w:rsidP="00857812">
      <w:pPr>
        <w:numPr>
          <w:ilvl w:val="0"/>
          <w:numId w:val="16"/>
        </w:numPr>
        <w:rPr>
          <w:rFonts w:eastAsia="Calibri"/>
          <w:b/>
          <w:szCs w:val="22"/>
        </w:rPr>
      </w:pPr>
      <w:r w:rsidRPr="00114810">
        <w:rPr>
          <w:rFonts w:eastAsia="Calibri"/>
          <w:b/>
          <w:color w:val="000000"/>
          <w:szCs w:val="22"/>
        </w:rPr>
        <w:t>Jeigu pasireiškė kuris nors iš šių simptomų, apie tai nedelsdami pasakykite gydytojui arba slaugytojai</w:t>
      </w:r>
      <w:r w:rsidRPr="00114810">
        <w:rPr>
          <w:rFonts w:eastAsia="Calibri"/>
          <w:szCs w:val="22"/>
        </w:rPr>
        <w:t>.</w:t>
      </w:r>
    </w:p>
    <w:p w14:paraId="57DA7313" w14:textId="77777777" w:rsidR="00AA471E" w:rsidRPr="009C0DB0" w:rsidRDefault="00AA471E" w:rsidP="009C0DB0">
      <w:pPr>
        <w:tabs>
          <w:tab w:val="left" w:pos="-720"/>
          <w:tab w:val="left" w:pos="0"/>
          <w:tab w:val="left" w:pos="540"/>
          <w:tab w:val="left" w:pos="2160"/>
          <w:tab w:val="left" w:pos="2880"/>
          <w:tab w:val="left" w:pos="3600"/>
          <w:tab w:val="left" w:pos="4320"/>
        </w:tabs>
        <w:autoSpaceDE w:val="0"/>
        <w:autoSpaceDN w:val="0"/>
        <w:adjustRightInd w:val="0"/>
        <w:rPr>
          <w:rFonts w:eastAsia="Calibri"/>
        </w:rPr>
      </w:pPr>
    </w:p>
    <w:p w14:paraId="34A6E7E5" w14:textId="590B58D4" w:rsidR="00AA471E" w:rsidRPr="00C07A3C" w:rsidRDefault="00C5051E" w:rsidP="00AA471E">
      <w:pPr>
        <w:numPr>
          <w:ilvl w:val="0"/>
          <w:numId w:val="11"/>
        </w:numPr>
        <w:tabs>
          <w:tab w:val="num" w:pos="561"/>
        </w:tabs>
        <w:ind w:left="714" w:hanging="714"/>
        <w:rPr>
          <w:rFonts w:eastAsia="Calibri"/>
          <w:color w:val="000000"/>
        </w:rPr>
      </w:pPr>
      <w:r w:rsidRPr="00AE79A1">
        <w:rPr>
          <w:b/>
          <w:bCs/>
        </w:rPr>
        <w:t>Dažni šalutinio poveikio reiškiniai (</w:t>
      </w:r>
      <w:r w:rsidRPr="00857812">
        <w:rPr>
          <w:b/>
        </w:rPr>
        <w:t xml:space="preserve">gali pasireikšti </w:t>
      </w:r>
      <w:r w:rsidRPr="00AE79A1">
        <w:rPr>
          <w:b/>
          <w:bCs/>
        </w:rPr>
        <w:t xml:space="preserve">rečiau kaip 1 iš 10 </w:t>
      </w:r>
      <w:r w:rsidRPr="00857812">
        <w:rPr>
          <w:b/>
        </w:rPr>
        <w:t>asmenų</w:t>
      </w:r>
      <w:r w:rsidRPr="00AE79A1">
        <w:rPr>
          <w:b/>
          <w:bCs/>
        </w:rPr>
        <w:t>):</w:t>
      </w:r>
      <w:r w:rsidR="00AA471E" w:rsidRPr="00C07A3C">
        <w:rPr>
          <w:rFonts w:eastAsia="Calibri"/>
          <w:color w:val="000000"/>
        </w:rPr>
        <w:t xml:space="preserve">grybelių (pvz., </w:t>
      </w:r>
      <w:r w:rsidR="00AA471E" w:rsidRPr="00C07A3C">
        <w:rPr>
          <w:rFonts w:eastAsia="Calibri"/>
          <w:i/>
          <w:color w:val="000000"/>
        </w:rPr>
        <w:t>Candida</w:t>
      </w:r>
      <w:r w:rsidR="00AA471E" w:rsidRPr="00C07A3C">
        <w:rPr>
          <w:rFonts w:eastAsia="Calibri"/>
          <w:color w:val="000000"/>
        </w:rPr>
        <w:t>) sukeltos infekcinės ligos;</w:t>
      </w:r>
    </w:p>
    <w:p w14:paraId="021B1A88" w14:textId="77777777" w:rsidR="00AA471E" w:rsidRPr="00C07A3C" w:rsidRDefault="00AA471E" w:rsidP="00AA471E">
      <w:pPr>
        <w:numPr>
          <w:ilvl w:val="0"/>
          <w:numId w:val="11"/>
        </w:numPr>
        <w:tabs>
          <w:tab w:val="num" w:pos="561"/>
        </w:tabs>
        <w:ind w:left="714" w:hanging="714"/>
        <w:rPr>
          <w:rFonts w:eastAsia="Calibri"/>
          <w:b/>
        </w:rPr>
      </w:pPr>
      <w:r w:rsidRPr="00C07A3C">
        <w:rPr>
          <w:rFonts w:eastAsia="Calibri"/>
        </w:rPr>
        <w:t>galvos skausmas;</w:t>
      </w:r>
    </w:p>
    <w:p w14:paraId="64D57AD1" w14:textId="07F2ECFF" w:rsidR="00AA471E" w:rsidRPr="00C07A3C" w:rsidRDefault="0059070D" w:rsidP="00AA471E">
      <w:pPr>
        <w:numPr>
          <w:ilvl w:val="0"/>
          <w:numId w:val="11"/>
        </w:numPr>
        <w:tabs>
          <w:tab w:val="num" w:pos="561"/>
        </w:tabs>
        <w:ind w:left="714" w:hanging="714"/>
        <w:rPr>
          <w:rFonts w:eastAsia="Calibri"/>
          <w:b/>
        </w:rPr>
      </w:pPr>
      <w:r>
        <w:rPr>
          <w:rFonts w:eastAsia="Calibri"/>
        </w:rPr>
        <w:t>svaigulys</w:t>
      </w:r>
      <w:r w:rsidR="00AA471E" w:rsidRPr="00C07A3C">
        <w:rPr>
          <w:rFonts w:eastAsia="Calibri"/>
        </w:rPr>
        <w:t>;</w:t>
      </w:r>
    </w:p>
    <w:p w14:paraId="6CD59298" w14:textId="77777777" w:rsidR="00AA471E" w:rsidRPr="00C07A3C" w:rsidRDefault="00AA471E" w:rsidP="00AA471E">
      <w:pPr>
        <w:numPr>
          <w:ilvl w:val="0"/>
          <w:numId w:val="11"/>
        </w:numPr>
        <w:tabs>
          <w:tab w:val="num" w:pos="561"/>
        </w:tabs>
        <w:ind w:left="714" w:hanging="714"/>
        <w:rPr>
          <w:rFonts w:eastAsia="Calibri"/>
          <w:b/>
        </w:rPr>
      </w:pPr>
      <w:r w:rsidRPr="00C07A3C">
        <w:rPr>
          <w:rFonts w:eastAsia="Calibri"/>
        </w:rPr>
        <w:t>viduriavimas;</w:t>
      </w:r>
    </w:p>
    <w:p w14:paraId="5865CCED" w14:textId="77777777" w:rsidR="00AA471E" w:rsidRPr="00C07A3C" w:rsidRDefault="00AA471E" w:rsidP="00AA471E">
      <w:pPr>
        <w:numPr>
          <w:ilvl w:val="0"/>
          <w:numId w:val="11"/>
        </w:numPr>
        <w:tabs>
          <w:tab w:val="num" w:pos="561"/>
        </w:tabs>
        <w:ind w:left="714" w:hanging="714"/>
        <w:rPr>
          <w:rFonts w:eastAsia="Calibri"/>
          <w:b/>
        </w:rPr>
      </w:pPr>
      <w:r w:rsidRPr="00C07A3C">
        <w:rPr>
          <w:rFonts w:eastAsia="Calibri"/>
        </w:rPr>
        <w:t>pykinimas;</w:t>
      </w:r>
    </w:p>
    <w:p w14:paraId="547375BD" w14:textId="77777777" w:rsidR="00AA471E" w:rsidRPr="00C07A3C" w:rsidRDefault="00AA471E" w:rsidP="00AA471E">
      <w:pPr>
        <w:numPr>
          <w:ilvl w:val="0"/>
          <w:numId w:val="11"/>
        </w:numPr>
        <w:tabs>
          <w:tab w:val="num" w:pos="561"/>
        </w:tabs>
        <w:ind w:left="714" w:hanging="714"/>
        <w:rPr>
          <w:rFonts w:eastAsia="Calibri"/>
          <w:b/>
        </w:rPr>
      </w:pPr>
      <w:r w:rsidRPr="00C07A3C">
        <w:rPr>
          <w:rFonts w:eastAsia="Calibri"/>
        </w:rPr>
        <w:t>pilvo skausmas.</w:t>
      </w:r>
    </w:p>
    <w:p w14:paraId="6C78C519" w14:textId="77777777" w:rsidR="00AA471E" w:rsidRPr="00C07A3C" w:rsidRDefault="00AA471E" w:rsidP="00AA471E">
      <w:pPr>
        <w:rPr>
          <w:rFonts w:eastAsia="Calibri"/>
        </w:rPr>
      </w:pPr>
    </w:p>
    <w:p w14:paraId="702E506E" w14:textId="5288235E" w:rsidR="00AA471E" w:rsidRPr="00C07A3C" w:rsidRDefault="00AA471E" w:rsidP="00AA471E">
      <w:pPr>
        <w:keepNext/>
        <w:autoSpaceDE w:val="0"/>
        <w:autoSpaceDN w:val="0"/>
        <w:adjustRightInd w:val="0"/>
        <w:rPr>
          <w:rFonts w:eastAsia="Calibri"/>
        </w:rPr>
      </w:pPr>
      <w:r w:rsidRPr="00C07A3C">
        <w:rPr>
          <w:rFonts w:eastAsia="Calibri"/>
        </w:rPr>
        <w:t>Dažn</w:t>
      </w:r>
      <w:r w:rsidR="00D3069A">
        <w:rPr>
          <w:rFonts w:eastAsia="Calibri"/>
        </w:rPr>
        <w:t>i</w:t>
      </w:r>
      <w:r w:rsidRPr="00C07A3C">
        <w:rPr>
          <w:rFonts w:eastAsia="Calibri"/>
        </w:rPr>
        <w:t xml:space="preserve"> šalutini</w:t>
      </w:r>
      <w:r w:rsidR="00D3069A">
        <w:rPr>
          <w:rFonts w:eastAsia="Calibri"/>
        </w:rPr>
        <w:t xml:space="preserve">o </w:t>
      </w:r>
      <w:r w:rsidR="00D3069A" w:rsidRPr="00C07A3C">
        <w:rPr>
          <w:rFonts w:eastAsia="Calibri"/>
        </w:rPr>
        <w:t>poveiki</w:t>
      </w:r>
      <w:r w:rsidR="00D3069A">
        <w:rPr>
          <w:rFonts w:eastAsia="Calibri"/>
        </w:rPr>
        <w:t>o reiškiniai</w:t>
      </w:r>
      <w:r w:rsidRPr="00C07A3C">
        <w:rPr>
          <w:rFonts w:eastAsia="Calibri"/>
        </w:rPr>
        <w:t xml:space="preserve">, </w:t>
      </w:r>
      <w:r w:rsidR="00D3069A" w:rsidRPr="00C07A3C">
        <w:rPr>
          <w:rFonts w:eastAsia="Calibri"/>
        </w:rPr>
        <w:t>kur</w:t>
      </w:r>
      <w:r w:rsidR="00D3069A">
        <w:rPr>
          <w:rFonts w:eastAsia="Calibri"/>
        </w:rPr>
        <w:t>iuos</w:t>
      </w:r>
      <w:r w:rsidR="00D3069A" w:rsidRPr="00C07A3C">
        <w:rPr>
          <w:rFonts w:eastAsia="Calibri"/>
        </w:rPr>
        <w:t xml:space="preserve"> </w:t>
      </w:r>
      <w:r w:rsidRPr="00C07A3C">
        <w:rPr>
          <w:rFonts w:eastAsia="Calibri"/>
        </w:rPr>
        <w:t>gali rodyti kraujo tyrimai:</w:t>
      </w:r>
    </w:p>
    <w:p w14:paraId="3BD09202" w14:textId="77777777" w:rsidR="00AA471E" w:rsidRPr="00C07A3C" w:rsidRDefault="00AA471E" w:rsidP="00AA471E">
      <w:pPr>
        <w:keepNext/>
        <w:autoSpaceDE w:val="0"/>
        <w:autoSpaceDN w:val="0"/>
        <w:adjustRightInd w:val="0"/>
        <w:rPr>
          <w:rFonts w:eastAsia="Calibri"/>
        </w:rPr>
      </w:pPr>
    </w:p>
    <w:p w14:paraId="4B7E2EEB" w14:textId="77777777" w:rsidR="00AA471E" w:rsidRPr="00C07A3C" w:rsidRDefault="00AA471E" w:rsidP="00AA471E">
      <w:pPr>
        <w:numPr>
          <w:ilvl w:val="0"/>
          <w:numId w:val="11"/>
        </w:numPr>
        <w:tabs>
          <w:tab w:val="num" w:pos="561"/>
        </w:tabs>
        <w:ind w:left="720" w:hanging="720"/>
        <w:rPr>
          <w:rFonts w:eastAsia="Calibri"/>
        </w:rPr>
      </w:pPr>
      <w:r w:rsidRPr="00C07A3C">
        <w:rPr>
          <w:rFonts w:eastAsia="Calibri"/>
        </w:rPr>
        <w:t>tam tikros rūšies baltųjų kraujo ląstelių kiekio padidėjimas (</w:t>
      </w:r>
      <w:r w:rsidRPr="00C07A3C">
        <w:rPr>
          <w:rFonts w:eastAsia="Calibri"/>
          <w:i/>
        </w:rPr>
        <w:t>eozinofilija</w:t>
      </w:r>
      <w:r w:rsidRPr="00C07A3C">
        <w:rPr>
          <w:rFonts w:eastAsia="Calibri"/>
        </w:rPr>
        <w:t>);</w:t>
      </w:r>
    </w:p>
    <w:p w14:paraId="42DABF31" w14:textId="77777777" w:rsidR="00AA471E" w:rsidRPr="009C0DB0" w:rsidRDefault="00AA471E" w:rsidP="00AA471E">
      <w:pPr>
        <w:numPr>
          <w:ilvl w:val="0"/>
          <w:numId w:val="11"/>
        </w:numPr>
        <w:tabs>
          <w:tab w:val="num" w:pos="561"/>
        </w:tabs>
        <w:ind w:left="720" w:hanging="720"/>
        <w:rPr>
          <w:rFonts w:eastAsia="Calibri"/>
          <w:color w:val="000000"/>
        </w:rPr>
      </w:pPr>
      <w:r w:rsidRPr="00C07A3C">
        <w:rPr>
          <w:rFonts w:eastAsia="Calibri"/>
          <w:color w:val="000000"/>
        </w:rPr>
        <w:t>kepenų fermentų suaktyvėjimas.</w:t>
      </w:r>
    </w:p>
    <w:p w14:paraId="5CE5A220" w14:textId="77777777" w:rsidR="00AA471E" w:rsidRPr="00C07A3C" w:rsidRDefault="00AA471E" w:rsidP="00AA471E">
      <w:pPr>
        <w:rPr>
          <w:rFonts w:eastAsia="Calibri"/>
        </w:rPr>
      </w:pPr>
    </w:p>
    <w:p w14:paraId="708991F8" w14:textId="0BD3E8CF" w:rsidR="00AA471E" w:rsidRPr="00857812" w:rsidRDefault="00AA471E" w:rsidP="00857812">
      <w:pPr>
        <w:keepNext/>
        <w:outlineLvl w:val="0"/>
        <w:rPr>
          <w:rFonts w:ascii="Calibri" w:eastAsia="Calibri" w:hAnsi="Calibri"/>
        </w:rPr>
      </w:pPr>
      <w:r w:rsidRPr="00C07A3C">
        <w:rPr>
          <w:rFonts w:eastAsia="Calibri"/>
          <w:b/>
        </w:rPr>
        <w:t xml:space="preserve">Nedažnas </w:t>
      </w:r>
      <w:r w:rsidR="00D3069A" w:rsidRPr="00D3069A">
        <w:rPr>
          <w:rFonts w:eastAsia="Calibri"/>
          <w:b/>
        </w:rPr>
        <w:t xml:space="preserve">šalutinio poveikio </w:t>
      </w:r>
      <w:r w:rsidR="00D3069A" w:rsidRPr="00857812">
        <w:rPr>
          <w:rFonts w:eastAsia="Calibri"/>
          <w:b/>
        </w:rPr>
        <w:t>reiškiniai</w:t>
      </w:r>
      <w:r w:rsidR="00D3069A" w:rsidRPr="00D3069A">
        <w:rPr>
          <w:rFonts w:eastAsia="Calibri"/>
          <w:b/>
        </w:rPr>
        <w:t xml:space="preserve"> (</w:t>
      </w:r>
      <w:r w:rsidR="00D3069A" w:rsidRPr="00857812">
        <w:rPr>
          <w:rFonts w:eastAsia="Calibri"/>
          <w:b/>
        </w:rPr>
        <w:t xml:space="preserve">gali pasireikšti </w:t>
      </w:r>
      <w:r w:rsidR="00D3069A" w:rsidRPr="00D3069A">
        <w:rPr>
          <w:rFonts w:eastAsia="Calibri"/>
          <w:b/>
        </w:rPr>
        <w:t>rečiau kaip 1 iš 10</w:t>
      </w:r>
      <w:r w:rsidR="00D3069A">
        <w:rPr>
          <w:rFonts w:eastAsia="Calibri"/>
          <w:b/>
        </w:rPr>
        <w:t>0</w:t>
      </w:r>
      <w:r w:rsidR="00D3069A" w:rsidRPr="00857812">
        <w:rPr>
          <w:rFonts w:eastAsia="Calibri"/>
          <w:b/>
        </w:rPr>
        <w:t xml:space="preserve"> asmenų</w:t>
      </w:r>
      <w:r w:rsidR="00D3069A" w:rsidRPr="00D3069A">
        <w:rPr>
          <w:rFonts w:eastAsia="Calibri"/>
          <w:b/>
        </w:rPr>
        <w:t>):</w:t>
      </w:r>
    </w:p>
    <w:p w14:paraId="78B475E1" w14:textId="77777777" w:rsidR="00AA471E" w:rsidRPr="00C07A3C" w:rsidRDefault="00AA471E" w:rsidP="00AA471E">
      <w:pPr>
        <w:numPr>
          <w:ilvl w:val="0"/>
          <w:numId w:val="13"/>
        </w:numPr>
        <w:tabs>
          <w:tab w:val="num" w:pos="561"/>
        </w:tabs>
        <w:ind w:hanging="720"/>
        <w:rPr>
          <w:rFonts w:eastAsia="Calibri"/>
        </w:rPr>
      </w:pPr>
      <w:r w:rsidRPr="00C07A3C">
        <w:rPr>
          <w:rFonts w:eastAsia="Calibri"/>
        </w:rPr>
        <w:t>vėmimas;</w:t>
      </w:r>
    </w:p>
    <w:p w14:paraId="3E1B3844" w14:textId="77777777" w:rsidR="00AA471E" w:rsidRPr="00C07A3C" w:rsidRDefault="00AA471E" w:rsidP="00AA471E">
      <w:pPr>
        <w:numPr>
          <w:ilvl w:val="0"/>
          <w:numId w:val="13"/>
        </w:numPr>
        <w:tabs>
          <w:tab w:val="num" w:pos="561"/>
        </w:tabs>
        <w:ind w:hanging="720"/>
        <w:rPr>
          <w:rFonts w:eastAsia="Calibri"/>
        </w:rPr>
      </w:pPr>
      <w:r w:rsidRPr="00C07A3C">
        <w:rPr>
          <w:rFonts w:eastAsia="Calibri"/>
        </w:rPr>
        <w:t xml:space="preserve">odos </w:t>
      </w:r>
      <w:r w:rsidR="0059070D">
        <w:rPr>
          <w:rFonts w:eastAsia="Calibri"/>
        </w:rPr>
        <w:t>iš</w:t>
      </w:r>
      <w:r w:rsidRPr="00C07A3C">
        <w:rPr>
          <w:rFonts w:eastAsia="Calibri"/>
        </w:rPr>
        <w:t>bėrimai.</w:t>
      </w:r>
    </w:p>
    <w:p w14:paraId="354A688A" w14:textId="77777777" w:rsidR="00AA471E" w:rsidRPr="00C07A3C" w:rsidRDefault="00AA471E" w:rsidP="009C0DB0">
      <w:pPr>
        <w:rPr>
          <w:rFonts w:eastAsia="Calibri"/>
        </w:rPr>
      </w:pPr>
    </w:p>
    <w:p w14:paraId="029935D3" w14:textId="14BFABEB" w:rsidR="00AA471E" w:rsidRPr="00C07A3C" w:rsidRDefault="00D3069A" w:rsidP="00AA471E">
      <w:pPr>
        <w:keepNext/>
        <w:autoSpaceDE w:val="0"/>
        <w:autoSpaceDN w:val="0"/>
        <w:adjustRightInd w:val="0"/>
        <w:rPr>
          <w:rFonts w:eastAsia="Calibri"/>
        </w:rPr>
      </w:pPr>
      <w:r w:rsidRPr="00C07A3C">
        <w:rPr>
          <w:rFonts w:eastAsia="Calibri"/>
        </w:rPr>
        <w:t>Nedažn</w:t>
      </w:r>
      <w:r>
        <w:rPr>
          <w:rFonts w:eastAsia="Calibri"/>
        </w:rPr>
        <w:t>i</w:t>
      </w:r>
      <w:r w:rsidRPr="00857812">
        <w:rPr>
          <w:rFonts w:eastAsia="Calibri"/>
        </w:rPr>
        <w:t xml:space="preserve"> šalutinio poveikio </w:t>
      </w:r>
      <w:r>
        <w:rPr>
          <w:rFonts w:eastAsia="Calibri"/>
        </w:rPr>
        <w:t>reiškiniai</w:t>
      </w:r>
      <w:r w:rsidR="00AA471E" w:rsidRPr="00C07A3C">
        <w:rPr>
          <w:rFonts w:eastAsia="Calibri"/>
        </w:rPr>
        <w:t>,</w:t>
      </w:r>
      <w:r w:rsidR="00AA471E" w:rsidRPr="00857812">
        <w:rPr>
          <w:rFonts w:eastAsia="Calibri"/>
        </w:rPr>
        <w:t xml:space="preserve"> </w:t>
      </w:r>
      <w:r w:rsidRPr="00C07A3C">
        <w:rPr>
          <w:rFonts w:eastAsia="Calibri"/>
        </w:rPr>
        <w:t>kur</w:t>
      </w:r>
      <w:r>
        <w:rPr>
          <w:rFonts w:eastAsia="Calibri"/>
        </w:rPr>
        <w:t>iuos</w:t>
      </w:r>
      <w:r w:rsidRPr="00C07A3C">
        <w:rPr>
          <w:rFonts w:eastAsia="Calibri"/>
        </w:rPr>
        <w:t xml:space="preserve"> </w:t>
      </w:r>
      <w:r w:rsidR="00AA471E" w:rsidRPr="00C07A3C">
        <w:rPr>
          <w:rFonts w:eastAsia="Calibri"/>
        </w:rPr>
        <w:t>gali rodyti kraujo tyrimai:</w:t>
      </w:r>
    </w:p>
    <w:p w14:paraId="4AB2A243" w14:textId="77777777" w:rsidR="00AA471E" w:rsidRPr="00C07A3C" w:rsidRDefault="00AA471E" w:rsidP="00AA471E">
      <w:pPr>
        <w:keepNext/>
        <w:autoSpaceDE w:val="0"/>
        <w:autoSpaceDN w:val="0"/>
        <w:adjustRightInd w:val="0"/>
        <w:rPr>
          <w:rFonts w:eastAsia="Calibri"/>
        </w:rPr>
      </w:pPr>
    </w:p>
    <w:p w14:paraId="4207D08A" w14:textId="77777777" w:rsidR="00AA471E" w:rsidRPr="00C07A3C" w:rsidRDefault="00AA471E" w:rsidP="00AA471E">
      <w:pPr>
        <w:numPr>
          <w:ilvl w:val="0"/>
          <w:numId w:val="13"/>
        </w:numPr>
        <w:tabs>
          <w:tab w:val="num" w:pos="561"/>
        </w:tabs>
        <w:ind w:hanging="720"/>
        <w:rPr>
          <w:rFonts w:eastAsia="Calibri"/>
          <w:i/>
        </w:rPr>
      </w:pPr>
      <w:r w:rsidRPr="00C07A3C">
        <w:rPr>
          <w:rFonts w:eastAsia="Calibri"/>
        </w:rPr>
        <w:t>kraujo plokštelių kiekio sumažėjimas (ląstelių, kurios padeda kraujui krešėti)</w:t>
      </w:r>
    </w:p>
    <w:p w14:paraId="40D813B4" w14:textId="77777777" w:rsidR="00AA471E" w:rsidRPr="00C07A3C" w:rsidRDefault="00AA471E" w:rsidP="00AA471E">
      <w:pPr>
        <w:numPr>
          <w:ilvl w:val="0"/>
          <w:numId w:val="13"/>
        </w:numPr>
        <w:tabs>
          <w:tab w:val="num" w:pos="561"/>
        </w:tabs>
        <w:ind w:hanging="720"/>
        <w:rPr>
          <w:rFonts w:eastAsia="Calibri"/>
        </w:rPr>
      </w:pPr>
      <w:r w:rsidRPr="00C07A3C">
        <w:rPr>
          <w:rFonts w:eastAsia="Calibri"/>
        </w:rPr>
        <w:t>baltųjų kraujo ląstelių kiekio sumažėjimas;</w:t>
      </w:r>
    </w:p>
    <w:p w14:paraId="3C78A480" w14:textId="77777777" w:rsidR="00AA471E" w:rsidRPr="00C07A3C" w:rsidRDefault="00AA471E" w:rsidP="00AA471E">
      <w:pPr>
        <w:numPr>
          <w:ilvl w:val="0"/>
          <w:numId w:val="13"/>
        </w:numPr>
        <w:tabs>
          <w:tab w:val="num" w:pos="561"/>
        </w:tabs>
        <w:ind w:hanging="720"/>
        <w:rPr>
          <w:rFonts w:eastAsia="Calibri"/>
        </w:rPr>
      </w:pPr>
      <w:r w:rsidRPr="00C07A3C">
        <w:rPr>
          <w:rFonts w:eastAsia="Calibri"/>
        </w:rPr>
        <w:t>teigiamas Kumbso mėginys.</w:t>
      </w:r>
    </w:p>
    <w:p w14:paraId="7B4BA09B" w14:textId="77777777" w:rsidR="00AA471E" w:rsidRPr="00C07A3C" w:rsidRDefault="00AA471E" w:rsidP="009C0DB0">
      <w:pPr>
        <w:rPr>
          <w:rFonts w:eastAsia="Calibri"/>
        </w:rPr>
      </w:pPr>
    </w:p>
    <w:p w14:paraId="5C351C06" w14:textId="1F89EF3C" w:rsidR="00AA471E" w:rsidRPr="00C07A3C" w:rsidRDefault="004E4257" w:rsidP="00AA471E">
      <w:pPr>
        <w:autoSpaceDE w:val="0"/>
        <w:autoSpaceDN w:val="0"/>
        <w:adjustRightInd w:val="0"/>
        <w:spacing w:after="120"/>
        <w:rPr>
          <w:rFonts w:eastAsia="Calibri"/>
        </w:rPr>
      </w:pPr>
      <w:r w:rsidRPr="00AE79A1">
        <w:rPr>
          <w:b/>
          <w:bCs/>
          <w:noProof/>
          <w:snapToGrid w:val="0"/>
          <w:szCs w:val="22"/>
        </w:rPr>
        <w:t>Šalutinio poveikio reiškiniai, kurių</w:t>
      </w:r>
      <w:r w:rsidRPr="00857812">
        <w:rPr>
          <w:b/>
        </w:rPr>
        <w:t xml:space="preserve"> dažnis nežinomas</w:t>
      </w:r>
      <w:r w:rsidRPr="00AE79A1">
        <w:rPr>
          <w:b/>
          <w:bCs/>
          <w:noProof/>
          <w:snapToGrid w:val="0"/>
          <w:szCs w:val="22"/>
        </w:rPr>
        <w:t xml:space="preserve"> (negali būti apskaičiuotas pagal turimus duomenis):</w:t>
      </w:r>
    </w:p>
    <w:p w14:paraId="7C80FCB9" w14:textId="77777777" w:rsidR="00AA471E" w:rsidRPr="00C07A3C" w:rsidRDefault="00AA471E">
      <w:pPr>
        <w:numPr>
          <w:ilvl w:val="0"/>
          <w:numId w:val="15"/>
        </w:numPr>
        <w:tabs>
          <w:tab w:val="num" w:pos="561"/>
        </w:tabs>
        <w:ind w:left="561" w:hanging="561"/>
        <w:rPr>
          <w:rFonts w:eastAsia="Calibri"/>
        </w:rPr>
      </w:pPr>
      <w:r w:rsidRPr="00C07A3C">
        <w:rPr>
          <w:rFonts w:eastAsia="Calibri"/>
        </w:rPr>
        <w:t>sunkus viduriavimas (</w:t>
      </w:r>
      <w:r w:rsidRPr="00C07A3C">
        <w:rPr>
          <w:rFonts w:eastAsia="Calibri"/>
          <w:i/>
        </w:rPr>
        <w:t>pseudomembraninis kolitas</w:t>
      </w:r>
      <w:r w:rsidRPr="00C07A3C">
        <w:rPr>
          <w:rFonts w:eastAsia="Calibri"/>
        </w:rPr>
        <w:t>);</w:t>
      </w:r>
    </w:p>
    <w:p w14:paraId="7B6C50A5" w14:textId="77777777" w:rsidR="00AA471E" w:rsidRPr="00C07A3C" w:rsidRDefault="00AA471E">
      <w:pPr>
        <w:numPr>
          <w:ilvl w:val="0"/>
          <w:numId w:val="15"/>
        </w:numPr>
        <w:tabs>
          <w:tab w:val="num" w:pos="561"/>
        </w:tabs>
        <w:ind w:left="561" w:hanging="561"/>
        <w:rPr>
          <w:rFonts w:eastAsia="Calibri"/>
        </w:rPr>
      </w:pPr>
      <w:r w:rsidRPr="00C07A3C">
        <w:rPr>
          <w:rFonts w:eastAsia="Calibri"/>
        </w:rPr>
        <w:t>alerginės reakcijos;</w:t>
      </w:r>
    </w:p>
    <w:p w14:paraId="055ECB7F" w14:textId="77777777" w:rsidR="00AA471E" w:rsidRPr="00C07A3C" w:rsidRDefault="00AA471E">
      <w:pPr>
        <w:numPr>
          <w:ilvl w:val="0"/>
          <w:numId w:val="15"/>
        </w:numPr>
        <w:tabs>
          <w:tab w:val="num" w:pos="561"/>
        </w:tabs>
        <w:ind w:left="561" w:hanging="561"/>
        <w:rPr>
          <w:rFonts w:eastAsia="Calibri"/>
        </w:rPr>
      </w:pPr>
      <w:r w:rsidRPr="00C07A3C">
        <w:rPr>
          <w:rFonts w:eastAsia="Calibri"/>
        </w:rPr>
        <w:t>odos reakcijos (įskaitant sunkias);</w:t>
      </w:r>
    </w:p>
    <w:p w14:paraId="20B17CDD" w14:textId="77777777" w:rsidR="00AA471E" w:rsidRPr="00C07A3C" w:rsidRDefault="00AA471E">
      <w:pPr>
        <w:numPr>
          <w:ilvl w:val="0"/>
          <w:numId w:val="15"/>
        </w:numPr>
        <w:tabs>
          <w:tab w:val="num" w:pos="561"/>
        </w:tabs>
        <w:ind w:left="561" w:hanging="561"/>
        <w:rPr>
          <w:rFonts w:eastAsia="Calibri"/>
        </w:rPr>
      </w:pPr>
      <w:r w:rsidRPr="00C07A3C">
        <w:rPr>
          <w:rFonts w:eastAsia="Calibri"/>
        </w:rPr>
        <w:t>kūno temperatūros padidėjimas (</w:t>
      </w:r>
      <w:r w:rsidRPr="00C07A3C">
        <w:rPr>
          <w:rFonts w:eastAsia="Calibri"/>
          <w:i/>
        </w:rPr>
        <w:t>karščiavimas</w:t>
      </w:r>
      <w:r w:rsidRPr="00C07A3C">
        <w:rPr>
          <w:rFonts w:eastAsia="Calibri"/>
        </w:rPr>
        <w:t>);</w:t>
      </w:r>
    </w:p>
    <w:p w14:paraId="540FE6D4" w14:textId="77777777" w:rsidR="00AA471E" w:rsidRPr="00C07A3C" w:rsidRDefault="00AA471E">
      <w:pPr>
        <w:numPr>
          <w:ilvl w:val="0"/>
          <w:numId w:val="15"/>
        </w:numPr>
        <w:tabs>
          <w:tab w:val="num" w:pos="561"/>
        </w:tabs>
        <w:ind w:left="561" w:hanging="561"/>
        <w:rPr>
          <w:rFonts w:eastAsia="Calibri"/>
        </w:rPr>
      </w:pPr>
      <w:r w:rsidRPr="00C07A3C">
        <w:rPr>
          <w:rFonts w:eastAsia="Calibri"/>
        </w:rPr>
        <w:t>akies baltymo ar odos pageltimas;</w:t>
      </w:r>
    </w:p>
    <w:p w14:paraId="011723DE" w14:textId="77777777" w:rsidR="00AA471E" w:rsidRPr="00C07A3C" w:rsidRDefault="00AA471E">
      <w:pPr>
        <w:numPr>
          <w:ilvl w:val="0"/>
          <w:numId w:val="15"/>
        </w:numPr>
        <w:tabs>
          <w:tab w:val="num" w:pos="561"/>
        </w:tabs>
        <w:ind w:left="561" w:hanging="561"/>
        <w:rPr>
          <w:rFonts w:eastAsia="Calibri"/>
        </w:rPr>
      </w:pPr>
      <w:r w:rsidRPr="00C07A3C">
        <w:rPr>
          <w:rFonts w:eastAsia="Calibri"/>
        </w:rPr>
        <w:t>kepenų uždegimas (</w:t>
      </w:r>
      <w:r w:rsidRPr="00C07A3C">
        <w:rPr>
          <w:rFonts w:eastAsia="Calibri"/>
          <w:i/>
        </w:rPr>
        <w:t>hepatitas</w:t>
      </w:r>
      <w:r w:rsidRPr="00C07A3C">
        <w:rPr>
          <w:rFonts w:eastAsia="Calibri"/>
        </w:rPr>
        <w:t>).</w:t>
      </w:r>
    </w:p>
    <w:p w14:paraId="6FC7AEBF" w14:textId="77777777" w:rsidR="00AA471E" w:rsidRPr="00C07A3C" w:rsidRDefault="00AA471E" w:rsidP="009C0DB0">
      <w:pPr>
        <w:rPr>
          <w:rFonts w:eastAsia="Calibri"/>
        </w:rPr>
      </w:pPr>
    </w:p>
    <w:p w14:paraId="5A87D0F1" w14:textId="7B234366" w:rsidR="00AA471E" w:rsidRPr="00C07A3C" w:rsidRDefault="00AA471E" w:rsidP="00AA471E">
      <w:pPr>
        <w:keepNext/>
        <w:autoSpaceDE w:val="0"/>
        <w:autoSpaceDN w:val="0"/>
        <w:adjustRightInd w:val="0"/>
        <w:rPr>
          <w:rFonts w:eastAsia="Calibri"/>
        </w:rPr>
      </w:pPr>
      <w:r w:rsidRPr="00C07A3C">
        <w:rPr>
          <w:rFonts w:eastAsia="Calibri"/>
        </w:rPr>
        <w:t>Šalutini</w:t>
      </w:r>
      <w:r w:rsidR="004E4257">
        <w:rPr>
          <w:rFonts w:eastAsia="Calibri"/>
        </w:rPr>
        <w:t>o</w:t>
      </w:r>
      <w:r w:rsidRPr="00C07A3C">
        <w:rPr>
          <w:rFonts w:eastAsia="Calibri"/>
        </w:rPr>
        <w:t xml:space="preserve"> poveiki</w:t>
      </w:r>
      <w:r w:rsidR="004E4257">
        <w:rPr>
          <w:rFonts w:eastAsia="Calibri"/>
        </w:rPr>
        <w:t>o reiškiniai</w:t>
      </w:r>
      <w:r w:rsidRPr="00C07A3C">
        <w:rPr>
          <w:rFonts w:eastAsia="Calibri"/>
        </w:rPr>
        <w:t>, kur</w:t>
      </w:r>
      <w:r w:rsidR="0026042C">
        <w:rPr>
          <w:rFonts w:eastAsia="Calibri"/>
        </w:rPr>
        <w:t>iuos</w:t>
      </w:r>
      <w:r w:rsidRPr="00C07A3C">
        <w:rPr>
          <w:rFonts w:eastAsia="Calibri"/>
        </w:rPr>
        <w:t xml:space="preserve"> gali rodyti kraujo tyrimai:</w:t>
      </w:r>
    </w:p>
    <w:p w14:paraId="2767A729" w14:textId="77777777" w:rsidR="00AA471E" w:rsidRPr="00C07A3C" w:rsidRDefault="00AA471E" w:rsidP="00AA471E">
      <w:pPr>
        <w:keepNext/>
        <w:autoSpaceDE w:val="0"/>
        <w:autoSpaceDN w:val="0"/>
        <w:adjustRightInd w:val="0"/>
        <w:rPr>
          <w:rFonts w:eastAsia="Calibri"/>
        </w:rPr>
      </w:pPr>
    </w:p>
    <w:p w14:paraId="4E84A22A" w14:textId="77777777" w:rsidR="00AA471E" w:rsidRPr="00C07A3C" w:rsidRDefault="00AA471E" w:rsidP="00AA471E">
      <w:pPr>
        <w:numPr>
          <w:ilvl w:val="0"/>
          <w:numId w:val="14"/>
        </w:numPr>
        <w:tabs>
          <w:tab w:val="num" w:pos="561"/>
        </w:tabs>
        <w:autoSpaceDE w:val="0"/>
        <w:autoSpaceDN w:val="0"/>
        <w:adjustRightInd w:val="0"/>
        <w:ind w:left="714" w:hanging="714"/>
        <w:rPr>
          <w:rFonts w:eastAsia="Calibri"/>
        </w:rPr>
      </w:pPr>
      <w:r w:rsidRPr="00C07A3C">
        <w:rPr>
          <w:rFonts w:eastAsia="Calibri"/>
        </w:rPr>
        <w:t>pernelyg greitas raudonųjų kraujo ląstelių suirimas (</w:t>
      </w:r>
      <w:r w:rsidRPr="00C07A3C">
        <w:rPr>
          <w:rFonts w:eastAsia="Calibri"/>
          <w:i/>
        </w:rPr>
        <w:t>hemolizinė anemija</w:t>
      </w:r>
      <w:r w:rsidRPr="00C07A3C">
        <w:rPr>
          <w:rFonts w:eastAsia="Calibri"/>
        </w:rPr>
        <w:t>).</w:t>
      </w:r>
    </w:p>
    <w:p w14:paraId="514E1008" w14:textId="77777777" w:rsidR="00AA471E" w:rsidRPr="00C07A3C" w:rsidRDefault="00AA471E" w:rsidP="00AA471E">
      <w:pPr>
        <w:ind w:right="-449"/>
        <w:rPr>
          <w:rFonts w:eastAsia="Calibri"/>
        </w:rPr>
      </w:pPr>
    </w:p>
    <w:p w14:paraId="3AC9D687" w14:textId="77777777" w:rsidR="00AA471E" w:rsidRPr="00C07A3C" w:rsidRDefault="00AA471E" w:rsidP="00AA471E">
      <w:pPr>
        <w:rPr>
          <w:rFonts w:eastAsia="Calibri"/>
          <w:b/>
        </w:rPr>
      </w:pPr>
      <w:r w:rsidRPr="00C07A3C">
        <w:rPr>
          <w:rFonts w:eastAsia="Calibri"/>
          <w:b/>
        </w:rPr>
        <w:t>Pranešimas apie šalutinį poveikį</w:t>
      </w:r>
    </w:p>
    <w:p w14:paraId="6C37C7CA" w14:textId="5FFC5139" w:rsidR="00AA471E" w:rsidRPr="00C07A3C" w:rsidRDefault="00AA471E" w:rsidP="00AA471E">
      <w:pPr>
        <w:ind w:right="-449"/>
        <w:rPr>
          <w:rFonts w:eastAsia="Calibri"/>
        </w:rPr>
      </w:pPr>
      <w:r w:rsidRPr="00C07A3C">
        <w:rPr>
          <w:rFonts w:eastAsia="Calibri"/>
        </w:rPr>
        <w:t xml:space="preserve">Jeigu pasireiškė šalutinis poveikis, įskaitant šiame lapelyje nenurodytą, pasakykite gydytojui arba vaistininkui. </w:t>
      </w:r>
      <w:r w:rsidR="003403BF">
        <w:rPr>
          <w:szCs w:val="22"/>
          <w:lang w:eastAsia="lt-LT"/>
        </w:rPr>
        <w:t xml:space="preserve">Pranešimą apie šalutinį poveikį galite užpildyti ir pateikti Valstybinės vaistų kontrolės tarnybos prie Lietuvos Respublikos sveikatos apsaugos ministerijos tinklalapyje </w:t>
      </w:r>
      <w:r w:rsidR="003403BF">
        <w:rPr>
          <w:color w:val="0000EE"/>
          <w:szCs w:val="22"/>
          <w:u w:val="single"/>
          <w:lang w:eastAsia="lt-LT"/>
        </w:rPr>
        <w:t>https://vvkt.lrv.lt/lt/</w:t>
      </w:r>
      <w:r w:rsidR="003403BF">
        <w:rPr>
          <w:szCs w:val="22"/>
          <w:lang w:eastAsia="lt-LT"/>
        </w:rPr>
        <w:t xml:space="preserve"> nurodytais būdais arba paskambinti nemokamu telefonu 8 800 73 568. Pranešdami apie šalutinį poveikį galite mums padėti gauti daugiau informacijos apie šio vaisto saugumą</w:t>
      </w:r>
      <w:r w:rsidR="003403BF">
        <w:t>.</w:t>
      </w:r>
    </w:p>
    <w:p w14:paraId="32F88CEA" w14:textId="77777777" w:rsidR="00AA471E" w:rsidRPr="00C07A3C" w:rsidRDefault="00AA471E" w:rsidP="00857812">
      <w:pPr>
        <w:numPr>
          <w:ilvl w:val="12"/>
          <w:numId w:val="0"/>
        </w:numPr>
        <w:ind w:right="-2"/>
        <w:rPr>
          <w:rFonts w:eastAsia="Calibri"/>
        </w:rPr>
      </w:pPr>
    </w:p>
    <w:p w14:paraId="0442C2A8" w14:textId="77777777" w:rsidR="00AA471E" w:rsidRPr="00C07A3C" w:rsidRDefault="00AA471E" w:rsidP="00AA471E">
      <w:pPr>
        <w:numPr>
          <w:ilvl w:val="12"/>
          <w:numId w:val="0"/>
        </w:numPr>
        <w:ind w:right="-2"/>
        <w:rPr>
          <w:rFonts w:eastAsia="Calibri"/>
        </w:rPr>
      </w:pPr>
    </w:p>
    <w:p w14:paraId="10324BC0" w14:textId="77777777" w:rsidR="00AA471E" w:rsidRPr="00C07A3C" w:rsidRDefault="00AA471E" w:rsidP="00AA471E">
      <w:pPr>
        <w:numPr>
          <w:ilvl w:val="12"/>
          <w:numId w:val="0"/>
        </w:numPr>
        <w:ind w:left="567" w:right="-2" w:hanging="567"/>
        <w:rPr>
          <w:rFonts w:eastAsia="Calibri"/>
        </w:rPr>
      </w:pPr>
      <w:r w:rsidRPr="00C07A3C">
        <w:rPr>
          <w:rFonts w:eastAsia="Calibri"/>
          <w:b/>
        </w:rPr>
        <w:t>5.</w:t>
      </w:r>
      <w:r w:rsidRPr="00C07A3C">
        <w:rPr>
          <w:rFonts w:eastAsia="Calibri"/>
          <w:b/>
        </w:rPr>
        <w:tab/>
        <w:t>Kaip laikyti Zinnat</w:t>
      </w:r>
    </w:p>
    <w:p w14:paraId="7490B85F" w14:textId="77777777" w:rsidR="00AA471E" w:rsidRPr="00C07A3C" w:rsidRDefault="00AA471E" w:rsidP="00AA471E">
      <w:pPr>
        <w:rPr>
          <w:rFonts w:eastAsia="Calibri"/>
        </w:rPr>
      </w:pPr>
    </w:p>
    <w:p w14:paraId="6EFE1A7B" w14:textId="77777777" w:rsidR="00AA471E" w:rsidRDefault="00AA471E" w:rsidP="00AA471E">
      <w:pPr>
        <w:numPr>
          <w:ilvl w:val="12"/>
          <w:numId w:val="0"/>
        </w:numPr>
        <w:ind w:right="-2"/>
        <w:rPr>
          <w:rFonts w:eastAsia="Calibri"/>
        </w:rPr>
      </w:pPr>
      <w:r w:rsidRPr="00C07A3C">
        <w:rPr>
          <w:rFonts w:eastAsia="Calibri"/>
        </w:rPr>
        <w:t>Šį vaistą laikykite vaikams nepastebimoje ir nepasiekiamoje vietoje.</w:t>
      </w:r>
    </w:p>
    <w:p w14:paraId="57E1EF12" w14:textId="77777777" w:rsidR="002B35AB" w:rsidRDefault="002B35AB" w:rsidP="00AA471E">
      <w:pPr>
        <w:numPr>
          <w:ilvl w:val="12"/>
          <w:numId w:val="0"/>
        </w:numPr>
        <w:ind w:right="-2"/>
        <w:rPr>
          <w:rFonts w:eastAsia="Calibri"/>
        </w:rPr>
      </w:pPr>
    </w:p>
    <w:p w14:paraId="3100A3E2" w14:textId="40397EE5" w:rsidR="002B35AB" w:rsidRPr="00C07A3C" w:rsidRDefault="002B35AB" w:rsidP="00AA471E">
      <w:pPr>
        <w:numPr>
          <w:ilvl w:val="12"/>
          <w:numId w:val="0"/>
        </w:numPr>
        <w:ind w:right="-2"/>
        <w:rPr>
          <w:rFonts w:eastAsia="Calibri"/>
        </w:rPr>
      </w:pPr>
      <w:r w:rsidRPr="002B35AB">
        <w:rPr>
          <w:rFonts w:eastAsia="Calibri"/>
        </w:rPr>
        <w:t>Laikykite originalioje pakuotėje 30 °C arba žemesnėje temperatūroje.</w:t>
      </w:r>
    </w:p>
    <w:p w14:paraId="254AD832" w14:textId="77777777" w:rsidR="00AA471E" w:rsidRPr="00C07A3C" w:rsidRDefault="00AA471E" w:rsidP="00AA471E">
      <w:pPr>
        <w:numPr>
          <w:ilvl w:val="12"/>
          <w:numId w:val="0"/>
        </w:numPr>
        <w:ind w:right="-2"/>
        <w:rPr>
          <w:rFonts w:eastAsia="Calibri"/>
        </w:rPr>
      </w:pPr>
    </w:p>
    <w:p w14:paraId="4354C537" w14:textId="77777777" w:rsidR="00AA471E" w:rsidRPr="00C07A3C" w:rsidRDefault="00AA471E" w:rsidP="00AA471E">
      <w:pPr>
        <w:rPr>
          <w:rFonts w:eastAsia="Calibri"/>
        </w:rPr>
      </w:pPr>
      <w:bookmarkStart w:id="63" w:name="_Hlk517872839"/>
      <w:r w:rsidRPr="00C07A3C">
        <w:rPr>
          <w:rFonts w:eastAsia="Calibri"/>
        </w:rPr>
        <w:lastRenderedPageBreak/>
        <w:t xml:space="preserve">Visą laiką, kol nevartojate vaisto, suspensiją laikyti šaldytuve. </w:t>
      </w:r>
    </w:p>
    <w:p w14:paraId="261E9AA9" w14:textId="77777777" w:rsidR="00AA471E" w:rsidRPr="00C07A3C" w:rsidRDefault="00AA471E" w:rsidP="00AA471E">
      <w:pPr>
        <w:rPr>
          <w:rFonts w:eastAsia="Calibri"/>
        </w:rPr>
      </w:pPr>
    </w:p>
    <w:p w14:paraId="7F200A66" w14:textId="77777777" w:rsidR="00AA471E" w:rsidRPr="00C07A3C" w:rsidRDefault="00AA471E" w:rsidP="00AA471E">
      <w:pPr>
        <w:rPr>
          <w:rFonts w:eastAsia="Calibri"/>
        </w:rPr>
      </w:pPr>
      <w:r w:rsidRPr="00C07A3C">
        <w:rPr>
          <w:rFonts w:eastAsia="Calibri"/>
        </w:rPr>
        <w:t>Negalima užšaldyti. Laikyti šaldytuve ne ilgiau kaip 10 parų.</w:t>
      </w:r>
    </w:p>
    <w:p w14:paraId="0B3BF66D" w14:textId="77777777" w:rsidR="00AA471E" w:rsidRPr="00C07A3C" w:rsidRDefault="00AA471E" w:rsidP="00AA471E">
      <w:pPr>
        <w:rPr>
          <w:rFonts w:eastAsia="Calibri"/>
        </w:rPr>
      </w:pPr>
    </w:p>
    <w:p w14:paraId="16696162" w14:textId="77777777" w:rsidR="00AA471E" w:rsidRPr="00C07A3C" w:rsidRDefault="00AA471E" w:rsidP="00AA471E">
      <w:pPr>
        <w:rPr>
          <w:rFonts w:eastAsia="Calibri"/>
        </w:rPr>
      </w:pPr>
      <w:r w:rsidRPr="00C07A3C">
        <w:rPr>
          <w:rFonts w:eastAsia="Calibri"/>
        </w:rPr>
        <w:t>Jeigu yra kokių nors sugedimo požymių, Zinnat vartoti negalima.</w:t>
      </w:r>
    </w:p>
    <w:p w14:paraId="63C99F67" w14:textId="77777777" w:rsidR="00AA471E" w:rsidRPr="00C07A3C" w:rsidRDefault="00AA471E" w:rsidP="00AA471E">
      <w:pPr>
        <w:numPr>
          <w:ilvl w:val="12"/>
          <w:numId w:val="0"/>
        </w:numPr>
        <w:ind w:right="-2"/>
        <w:rPr>
          <w:rFonts w:eastAsia="Calibri"/>
        </w:rPr>
      </w:pPr>
    </w:p>
    <w:p w14:paraId="48F5121A" w14:textId="77777777" w:rsidR="00AA471E" w:rsidRPr="009C0DB0" w:rsidRDefault="00AA471E" w:rsidP="00AA471E">
      <w:pPr>
        <w:rPr>
          <w:rFonts w:eastAsia="Calibri"/>
          <w:i/>
        </w:rPr>
      </w:pPr>
      <w:r w:rsidRPr="00C07A3C">
        <w:rPr>
          <w:rFonts w:eastAsia="Calibri"/>
        </w:rPr>
        <w:t>Ant dėžutės ir buteliuko po ,,Tinka iki“ arba „</w:t>
      </w:r>
      <w:r w:rsidRPr="00C07A3C">
        <w:rPr>
          <w:rFonts w:eastAsia="Calibri"/>
          <w:i/>
        </w:rPr>
        <w:t>EXP</w:t>
      </w:r>
      <w:r w:rsidRPr="00C07A3C">
        <w:rPr>
          <w:rFonts w:eastAsia="Calibri"/>
        </w:rPr>
        <w:t xml:space="preserve">“ nurodytam tinkamumo laikui </w:t>
      </w:r>
      <w:bookmarkEnd w:id="63"/>
      <w:r w:rsidRPr="002262B1">
        <w:rPr>
          <w:rFonts w:eastAsia="Calibri"/>
        </w:rPr>
        <w:t>pasibaigus, šio vaisto vartoti negalima. Vaistas tinkamas vartoti iki paskutinės nurodyto mėnesio dienos.</w:t>
      </w:r>
    </w:p>
    <w:p w14:paraId="7CC4478F" w14:textId="77777777" w:rsidR="00AA471E" w:rsidRPr="002262B1" w:rsidRDefault="00AA471E" w:rsidP="00AA471E">
      <w:pPr>
        <w:numPr>
          <w:ilvl w:val="12"/>
          <w:numId w:val="0"/>
        </w:numPr>
        <w:ind w:right="-2"/>
        <w:rPr>
          <w:rFonts w:eastAsia="Calibri"/>
        </w:rPr>
      </w:pPr>
    </w:p>
    <w:p w14:paraId="10FA2A2B" w14:textId="77777777" w:rsidR="00AA471E" w:rsidRPr="00C07A3C" w:rsidRDefault="00AA471E" w:rsidP="00AA471E">
      <w:pPr>
        <w:numPr>
          <w:ilvl w:val="12"/>
          <w:numId w:val="0"/>
        </w:numPr>
        <w:ind w:right="-2"/>
        <w:rPr>
          <w:rFonts w:eastAsia="Calibri"/>
        </w:rPr>
      </w:pPr>
      <w:r w:rsidRPr="00C07A3C">
        <w:rPr>
          <w:rFonts w:eastAsia="Calibri"/>
        </w:rPr>
        <w:t>Vaistų negalima išmesti į kanalizaciją arba su buitinėmis</w:t>
      </w:r>
      <w:r w:rsidRPr="00C07A3C">
        <w:rPr>
          <w:rFonts w:eastAsia="Calibri"/>
          <w:color w:val="993366"/>
        </w:rPr>
        <w:t xml:space="preserve"> </w:t>
      </w:r>
      <w:r w:rsidRPr="00C07A3C">
        <w:rPr>
          <w:rFonts w:eastAsia="Calibri"/>
        </w:rPr>
        <w:t>atliekomis. Kaip išmesti nereikalingus vaistus, klauskite vaistininko. Šios priemonės padės apsaugoti aplinką.</w:t>
      </w:r>
    </w:p>
    <w:p w14:paraId="683078C7" w14:textId="77777777" w:rsidR="00AA471E" w:rsidRPr="00C07A3C" w:rsidRDefault="00AA471E" w:rsidP="00AA471E">
      <w:pPr>
        <w:numPr>
          <w:ilvl w:val="12"/>
          <w:numId w:val="0"/>
        </w:numPr>
        <w:ind w:right="-2"/>
        <w:rPr>
          <w:rFonts w:eastAsia="Calibri"/>
        </w:rPr>
      </w:pPr>
    </w:p>
    <w:p w14:paraId="26965D3C" w14:textId="77777777" w:rsidR="00AA471E" w:rsidRPr="00C07A3C" w:rsidRDefault="00AA471E" w:rsidP="00AA471E">
      <w:pPr>
        <w:numPr>
          <w:ilvl w:val="12"/>
          <w:numId w:val="0"/>
        </w:numPr>
        <w:ind w:right="-2"/>
        <w:rPr>
          <w:rFonts w:eastAsia="Calibri"/>
        </w:rPr>
      </w:pPr>
    </w:p>
    <w:p w14:paraId="718392B2" w14:textId="77777777" w:rsidR="00AA471E" w:rsidRPr="00C07A3C" w:rsidRDefault="00AA471E" w:rsidP="00AA471E">
      <w:pPr>
        <w:keepNext/>
        <w:numPr>
          <w:ilvl w:val="12"/>
          <w:numId w:val="0"/>
        </w:numPr>
        <w:ind w:left="540" w:hanging="540"/>
        <w:rPr>
          <w:rFonts w:eastAsia="Calibri"/>
          <w:b/>
        </w:rPr>
      </w:pPr>
      <w:r w:rsidRPr="00C07A3C">
        <w:rPr>
          <w:rFonts w:eastAsia="Calibri"/>
          <w:b/>
        </w:rPr>
        <w:t>6.</w:t>
      </w:r>
      <w:r w:rsidRPr="00C07A3C">
        <w:rPr>
          <w:rFonts w:eastAsia="Calibri"/>
          <w:b/>
        </w:rPr>
        <w:tab/>
        <w:t>Pakuotės turinys ir kita informacija</w:t>
      </w:r>
    </w:p>
    <w:p w14:paraId="5F9FB6F1" w14:textId="77777777" w:rsidR="00AA471E" w:rsidRPr="00C07A3C" w:rsidRDefault="00AA471E" w:rsidP="00AA471E">
      <w:pPr>
        <w:keepNext/>
        <w:numPr>
          <w:ilvl w:val="12"/>
          <w:numId w:val="0"/>
        </w:numPr>
        <w:rPr>
          <w:rFonts w:eastAsia="Calibri"/>
        </w:rPr>
      </w:pPr>
    </w:p>
    <w:p w14:paraId="0D3A1432" w14:textId="28319C4D" w:rsidR="00AA471E" w:rsidRDefault="00AA471E" w:rsidP="00AA471E">
      <w:pPr>
        <w:keepNext/>
        <w:numPr>
          <w:ilvl w:val="12"/>
          <w:numId w:val="0"/>
        </w:numPr>
        <w:rPr>
          <w:rFonts w:eastAsia="Calibri"/>
          <w:b/>
        </w:rPr>
      </w:pPr>
      <w:bookmarkStart w:id="64" w:name="_Hlk821211"/>
      <w:r w:rsidRPr="00C07A3C">
        <w:rPr>
          <w:rFonts w:eastAsia="Calibri"/>
          <w:b/>
        </w:rPr>
        <w:t>Zinnat sudėtis</w:t>
      </w:r>
    </w:p>
    <w:p w14:paraId="1245ED7F" w14:textId="77777777" w:rsidR="005615B5" w:rsidRDefault="005615B5" w:rsidP="00AA471E">
      <w:pPr>
        <w:keepNext/>
        <w:numPr>
          <w:ilvl w:val="12"/>
          <w:numId w:val="0"/>
        </w:numPr>
        <w:rPr>
          <w:rFonts w:eastAsia="Calibri"/>
          <w:b/>
        </w:rPr>
      </w:pPr>
    </w:p>
    <w:p w14:paraId="08257113" w14:textId="00B576E7" w:rsidR="00AA471E" w:rsidRPr="00C07A3C" w:rsidRDefault="005615B5" w:rsidP="001D5FF7">
      <w:pPr>
        <w:numPr>
          <w:ilvl w:val="12"/>
          <w:numId w:val="0"/>
        </w:numPr>
        <w:rPr>
          <w:rFonts w:eastAsia="Calibri"/>
          <w:u w:val="single"/>
        </w:rPr>
      </w:pPr>
      <w:r w:rsidRPr="001D5FF7">
        <w:rPr>
          <w:rFonts w:eastAsia="Calibri"/>
        </w:rPr>
        <w:t>Zinnat 125 mg/5 ml granulės geriamajai suspensijai</w:t>
      </w:r>
    </w:p>
    <w:p w14:paraId="1F6F8E24" w14:textId="77777777" w:rsidR="00AA471E" w:rsidRPr="00C07A3C" w:rsidRDefault="00AA471E" w:rsidP="00AA471E">
      <w:pPr>
        <w:keepNext/>
        <w:tabs>
          <w:tab w:val="left" w:pos="567"/>
        </w:tabs>
        <w:ind w:left="567" w:hanging="567"/>
        <w:rPr>
          <w:rFonts w:eastAsia="Calibri"/>
          <w:color w:val="000000"/>
        </w:rPr>
      </w:pPr>
      <w:r w:rsidRPr="00C07A3C">
        <w:rPr>
          <w:rFonts w:eastAsia="Calibri"/>
          <w:color w:val="000000"/>
        </w:rPr>
        <w:t>-</w:t>
      </w:r>
      <w:r w:rsidRPr="00C07A3C">
        <w:rPr>
          <w:rFonts w:eastAsia="Calibri"/>
          <w:color w:val="000000"/>
        </w:rPr>
        <w:tab/>
      </w:r>
      <w:bookmarkStart w:id="65" w:name="_Hlk517872915"/>
      <w:r w:rsidRPr="00C07A3C">
        <w:rPr>
          <w:rFonts w:eastAsia="Calibri"/>
        </w:rPr>
        <w:t xml:space="preserve">Veiklioji medžiaga: 5 ml yra 125 mg cefuroksimo (cefuroksimo aksetilo pavidalu). </w:t>
      </w:r>
    </w:p>
    <w:bookmarkEnd w:id="65"/>
    <w:p w14:paraId="15ACC350" w14:textId="2E9B09DB" w:rsidR="00AA471E" w:rsidRPr="00C07A3C" w:rsidRDefault="00AA471E" w:rsidP="00AA471E">
      <w:pPr>
        <w:ind w:left="567" w:hanging="567"/>
        <w:rPr>
          <w:rFonts w:eastAsia="Calibri"/>
        </w:rPr>
      </w:pPr>
      <w:r w:rsidRPr="00C07A3C">
        <w:rPr>
          <w:rFonts w:eastAsia="Calibri"/>
          <w:b/>
          <w:color w:val="000000"/>
        </w:rPr>
        <w:t>-</w:t>
      </w:r>
      <w:r w:rsidRPr="00C07A3C">
        <w:rPr>
          <w:rFonts w:eastAsia="Calibri"/>
          <w:b/>
          <w:color w:val="000000"/>
        </w:rPr>
        <w:tab/>
      </w:r>
      <w:bookmarkStart w:id="66" w:name="_Hlk821158"/>
      <w:r w:rsidRPr="00C07A3C">
        <w:rPr>
          <w:rFonts w:eastAsia="Calibri"/>
        </w:rPr>
        <w:t>Pagalbinės medžiagos yra aspartamas (E951), ksantano lipai, acesulfamo kalio druska (E950), povidonas K30, stearino rūgštis, sacharozė, vaisių (</w:t>
      </w:r>
      <w:r w:rsidRPr="00C07A3C">
        <w:rPr>
          <w:rFonts w:eastAsia="Calibri"/>
          <w:i/>
        </w:rPr>
        <w:t>tutti frutti</w:t>
      </w:r>
      <w:r w:rsidRPr="00C07A3C">
        <w:rPr>
          <w:rFonts w:eastAsia="Calibri"/>
        </w:rPr>
        <w:t>) skonio medžiaga (sudėtyje yra propilenglikolio (E1520), benzilo alkoholis (E1519) ir išgrynintas vanduo.</w:t>
      </w:r>
    </w:p>
    <w:p w14:paraId="1FCD8B70" w14:textId="77777777" w:rsidR="00AA471E" w:rsidRPr="00C07A3C" w:rsidRDefault="00AA471E" w:rsidP="00AA471E">
      <w:pPr>
        <w:ind w:left="567" w:hanging="567"/>
        <w:rPr>
          <w:rFonts w:eastAsia="Calibri"/>
          <w:color w:val="000000"/>
        </w:rPr>
      </w:pPr>
    </w:p>
    <w:p w14:paraId="2B6B0415" w14:textId="77777777" w:rsidR="00AA471E" w:rsidRPr="00C07A3C" w:rsidRDefault="00AA471E" w:rsidP="00AA471E">
      <w:pPr>
        <w:ind w:right="-2"/>
        <w:rPr>
          <w:noProof/>
          <w:szCs w:val="20"/>
        </w:rPr>
      </w:pPr>
      <w:r w:rsidRPr="00C07A3C">
        <w:rPr>
          <w:noProof/>
          <w:szCs w:val="20"/>
        </w:rPr>
        <w:t xml:space="preserve">Daugiau informacijos apie kai kurias </w:t>
      </w:r>
      <w:r w:rsidRPr="00C07A3C">
        <w:rPr>
          <w:szCs w:val="20"/>
        </w:rPr>
        <w:t>Zinnat</w:t>
      </w:r>
      <w:r w:rsidRPr="00C07A3C">
        <w:rPr>
          <w:noProof/>
          <w:szCs w:val="20"/>
        </w:rPr>
        <w:t xml:space="preserve"> sudėtyje esančias medžiagas žr. 2 skyriuje.</w:t>
      </w:r>
    </w:p>
    <w:bookmarkEnd w:id="66"/>
    <w:p w14:paraId="43885C8A" w14:textId="77777777" w:rsidR="00AA471E" w:rsidRPr="00C07A3C" w:rsidRDefault="00AA471E" w:rsidP="009C0DB0">
      <w:pPr>
        <w:ind w:right="-2"/>
        <w:rPr>
          <w:rFonts w:eastAsia="Calibri"/>
        </w:rPr>
      </w:pPr>
    </w:p>
    <w:p w14:paraId="6152FBD6" w14:textId="77777777" w:rsidR="00AA471E" w:rsidRPr="00C07A3C" w:rsidRDefault="00AA471E" w:rsidP="00AA471E">
      <w:pPr>
        <w:numPr>
          <w:ilvl w:val="12"/>
          <w:numId w:val="0"/>
        </w:numPr>
        <w:ind w:right="-2"/>
        <w:rPr>
          <w:rFonts w:eastAsia="Calibri"/>
          <w:b/>
        </w:rPr>
      </w:pPr>
      <w:r w:rsidRPr="00C07A3C">
        <w:rPr>
          <w:rFonts w:eastAsia="Calibri"/>
          <w:b/>
        </w:rPr>
        <w:t>Zinnat išvaizda ir kiekis pakuotėje</w:t>
      </w:r>
    </w:p>
    <w:p w14:paraId="47943B8D" w14:textId="77777777" w:rsidR="00AA471E" w:rsidRPr="00C07A3C" w:rsidRDefault="00AA471E" w:rsidP="00AA471E">
      <w:pPr>
        <w:numPr>
          <w:ilvl w:val="12"/>
          <w:numId w:val="0"/>
        </w:numPr>
        <w:ind w:right="-2"/>
        <w:rPr>
          <w:rFonts w:eastAsia="Calibri"/>
          <w:u w:val="single"/>
        </w:rPr>
      </w:pPr>
    </w:p>
    <w:p w14:paraId="1CBD5EE6" w14:textId="01C2C0CA" w:rsidR="00AA471E" w:rsidRPr="00ED5971" w:rsidRDefault="00AA471E" w:rsidP="00AA471E">
      <w:pPr>
        <w:tabs>
          <w:tab w:val="left" w:pos="567"/>
        </w:tabs>
        <w:rPr>
          <w:rFonts w:eastAsia="Calibri"/>
        </w:rPr>
      </w:pPr>
      <w:bookmarkStart w:id="67" w:name="_Hlk517873177"/>
      <w:r w:rsidRPr="00C07A3C">
        <w:rPr>
          <w:rFonts w:eastAsia="Calibri"/>
        </w:rPr>
        <w:t xml:space="preserve">Zinnat 125 mg/5 ml granulės geriamajai suspensijai tiekiamos 50 ml, 70 ml arba 100 ml gintaro spalvos stiklo </w:t>
      </w:r>
      <w:r w:rsidRPr="00ED5971">
        <w:rPr>
          <w:rFonts w:eastAsia="Calibri"/>
        </w:rPr>
        <w:t xml:space="preserve">daugiadoziuose buteliukuose. </w:t>
      </w:r>
      <w:r w:rsidR="0078026E" w:rsidRPr="00ED5971">
        <w:rPr>
          <w:rFonts w:eastAsia="Calibri"/>
        </w:rPr>
        <w:t>Suspensija turi būti paruošiama</w:t>
      </w:r>
      <w:r w:rsidRPr="00ED5971">
        <w:rPr>
          <w:rFonts w:eastAsia="Calibri"/>
        </w:rPr>
        <w:t>, ant buteliuke esančių granulių</w:t>
      </w:r>
      <w:r w:rsidR="0078026E" w:rsidRPr="00ED5971">
        <w:rPr>
          <w:rFonts w:eastAsia="Calibri"/>
        </w:rPr>
        <w:t xml:space="preserve"> užpilant</w:t>
      </w:r>
      <w:r w:rsidRPr="00ED5971">
        <w:rPr>
          <w:rFonts w:eastAsia="Calibri"/>
        </w:rPr>
        <w:t xml:space="preserve"> vandens. Buteliukas yra tiekiamas kartono dėžutėje.</w:t>
      </w:r>
    </w:p>
    <w:p w14:paraId="69EE233C" w14:textId="77777777" w:rsidR="007F7FA1" w:rsidRDefault="007F7FA1" w:rsidP="007F7FA1">
      <w:pPr>
        <w:rPr>
          <w:highlight w:val="lightGray"/>
        </w:rPr>
      </w:pPr>
    </w:p>
    <w:p w14:paraId="730FD52A" w14:textId="781C1F6A" w:rsidR="007F7FA1" w:rsidRPr="009742B0" w:rsidRDefault="007F7FA1" w:rsidP="007F7FA1">
      <w:pPr>
        <w:rPr>
          <w:highlight w:val="lightGray"/>
        </w:rPr>
      </w:pPr>
      <w:r w:rsidRPr="009742B0">
        <w:rPr>
          <w:highlight w:val="lightGray"/>
        </w:rPr>
        <w:t>Visada, prieš geriant vaistinį preparatą, buteliuką reikia gerai pakratyti. Dozės išgėrimui yra skirtas kartu tiekiamas dozavimo švirkštas arba šaukštas.</w:t>
      </w:r>
    </w:p>
    <w:p w14:paraId="27EE6CC1" w14:textId="77777777" w:rsidR="00AA471E" w:rsidRPr="00ED5971" w:rsidRDefault="00AA471E" w:rsidP="00AA471E">
      <w:pPr>
        <w:tabs>
          <w:tab w:val="left" w:pos="567"/>
        </w:tabs>
        <w:rPr>
          <w:rFonts w:eastAsia="Calibri"/>
        </w:rPr>
      </w:pPr>
    </w:p>
    <w:p w14:paraId="00CF01BB" w14:textId="77777777" w:rsidR="00AA471E" w:rsidRPr="009C0DB0" w:rsidRDefault="00AA471E" w:rsidP="00AA471E">
      <w:pPr>
        <w:rPr>
          <w:rFonts w:eastAsia="Calibri"/>
          <w:i/>
        </w:rPr>
      </w:pPr>
      <w:r w:rsidRPr="00ED5971">
        <w:rPr>
          <w:rFonts w:eastAsia="Calibri"/>
        </w:rPr>
        <w:t>Gali būti tiekiamos ne visų dydžių pakuotės.</w:t>
      </w:r>
    </w:p>
    <w:bookmarkEnd w:id="67"/>
    <w:p w14:paraId="20821FB4" w14:textId="77777777" w:rsidR="00AA471E" w:rsidRPr="00C07A3C" w:rsidRDefault="00AA471E" w:rsidP="00AA471E">
      <w:pPr>
        <w:numPr>
          <w:ilvl w:val="12"/>
          <w:numId w:val="0"/>
        </w:numPr>
        <w:ind w:right="-2"/>
        <w:rPr>
          <w:rFonts w:eastAsia="Calibri"/>
        </w:rPr>
      </w:pPr>
    </w:p>
    <w:p w14:paraId="3B06FBC8" w14:textId="77777777" w:rsidR="00AA471E" w:rsidRPr="00C07A3C" w:rsidRDefault="00AA471E" w:rsidP="00AA471E">
      <w:pPr>
        <w:numPr>
          <w:ilvl w:val="12"/>
          <w:numId w:val="0"/>
        </w:numPr>
        <w:ind w:right="-2"/>
        <w:rPr>
          <w:rFonts w:eastAsia="Calibri"/>
          <w:b/>
        </w:rPr>
      </w:pPr>
      <w:r w:rsidRPr="00C07A3C">
        <w:rPr>
          <w:rFonts w:eastAsia="Calibri"/>
          <w:b/>
        </w:rPr>
        <w:t>Registruotojas ir gamintojas</w:t>
      </w:r>
    </w:p>
    <w:p w14:paraId="15F60043" w14:textId="77777777" w:rsidR="00AA471E" w:rsidRPr="00C07A3C" w:rsidRDefault="00AA471E" w:rsidP="00AA471E">
      <w:pPr>
        <w:numPr>
          <w:ilvl w:val="12"/>
          <w:numId w:val="0"/>
        </w:numPr>
        <w:ind w:right="-2"/>
        <w:rPr>
          <w:rFonts w:eastAsia="Calibri"/>
        </w:rPr>
      </w:pPr>
    </w:p>
    <w:p w14:paraId="1974C8FC" w14:textId="77777777" w:rsidR="00AA471E" w:rsidRPr="00C07A3C" w:rsidRDefault="00AA471E" w:rsidP="00AA471E">
      <w:pPr>
        <w:autoSpaceDE w:val="0"/>
        <w:autoSpaceDN w:val="0"/>
        <w:adjustRightInd w:val="0"/>
        <w:rPr>
          <w:rFonts w:eastAsia="Calibri"/>
          <w:b/>
        </w:rPr>
      </w:pPr>
      <w:r w:rsidRPr="00C07A3C">
        <w:rPr>
          <w:rFonts w:eastAsia="Calibri"/>
          <w:b/>
        </w:rPr>
        <w:t>Registruotojas</w:t>
      </w:r>
    </w:p>
    <w:p w14:paraId="474A781B" w14:textId="77777777" w:rsidR="00C45D46" w:rsidRPr="00C45D46" w:rsidRDefault="00C45D46" w:rsidP="00C45D46">
      <w:pPr>
        <w:rPr>
          <w:szCs w:val="22"/>
        </w:rPr>
      </w:pPr>
      <w:r w:rsidRPr="00C45D46">
        <w:rPr>
          <w:szCs w:val="22"/>
        </w:rPr>
        <w:t>Sandoz d.d.</w:t>
      </w:r>
    </w:p>
    <w:p w14:paraId="0EEE8093" w14:textId="77777777" w:rsidR="00C45D46" w:rsidRPr="00C45D46" w:rsidRDefault="00C45D46" w:rsidP="00C45D46">
      <w:pPr>
        <w:rPr>
          <w:szCs w:val="22"/>
        </w:rPr>
      </w:pPr>
      <w:r w:rsidRPr="00C45D46">
        <w:rPr>
          <w:szCs w:val="22"/>
        </w:rPr>
        <w:t>Verovškova 57</w:t>
      </w:r>
    </w:p>
    <w:p w14:paraId="6EC74CEF" w14:textId="77777777" w:rsidR="00C45D46" w:rsidRPr="00C45D46" w:rsidRDefault="00C45D46" w:rsidP="00C45D46">
      <w:pPr>
        <w:rPr>
          <w:szCs w:val="22"/>
        </w:rPr>
      </w:pPr>
      <w:r w:rsidRPr="00C45D46">
        <w:rPr>
          <w:szCs w:val="22"/>
        </w:rPr>
        <w:t>SI-1000 Ljubljana</w:t>
      </w:r>
    </w:p>
    <w:p w14:paraId="78B7378C" w14:textId="6EDF5C3D" w:rsidR="002A4076" w:rsidRPr="00190F40" w:rsidRDefault="00C45D46" w:rsidP="00C45D46">
      <w:pPr>
        <w:rPr>
          <w:szCs w:val="22"/>
        </w:rPr>
      </w:pPr>
      <w:r w:rsidRPr="00C45D46">
        <w:rPr>
          <w:szCs w:val="22"/>
        </w:rPr>
        <w:t>Slovėnija</w:t>
      </w:r>
    </w:p>
    <w:p w14:paraId="62681C8D" w14:textId="77777777" w:rsidR="00AA471E" w:rsidRPr="00C07A3C" w:rsidRDefault="00AA471E" w:rsidP="00AA471E">
      <w:pPr>
        <w:autoSpaceDE w:val="0"/>
        <w:autoSpaceDN w:val="0"/>
        <w:adjustRightInd w:val="0"/>
        <w:rPr>
          <w:rFonts w:eastAsia="Calibri"/>
        </w:rPr>
      </w:pPr>
    </w:p>
    <w:p w14:paraId="3F45F818" w14:textId="4F5940F1" w:rsidR="00B62E37" w:rsidRPr="00DB1866" w:rsidRDefault="00AA471E" w:rsidP="00DB1866">
      <w:pPr>
        <w:autoSpaceDE w:val="0"/>
        <w:autoSpaceDN w:val="0"/>
        <w:adjustRightInd w:val="0"/>
        <w:rPr>
          <w:szCs w:val="22"/>
          <w:highlight w:val="lightGray"/>
          <w:lang w:eastAsia="zh-TW"/>
        </w:rPr>
      </w:pPr>
      <w:r w:rsidRPr="00C07A3C">
        <w:rPr>
          <w:rFonts w:eastAsia="Calibri"/>
          <w:b/>
        </w:rPr>
        <w:t>Gamintojas</w:t>
      </w:r>
    </w:p>
    <w:p w14:paraId="159322F2" w14:textId="77777777" w:rsidR="003403BF" w:rsidRPr="00255E66" w:rsidRDefault="003403BF" w:rsidP="00DB1866">
      <w:pPr>
        <w:pStyle w:val="Normln"/>
        <w:keepNext/>
        <w:keepLines/>
        <w:jc w:val="both"/>
        <w:rPr>
          <w:sz w:val="22"/>
          <w:szCs w:val="22"/>
        </w:rPr>
      </w:pPr>
      <w:r w:rsidRPr="00255E66">
        <w:rPr>
          <w:sz w:val="22"/>
          <w:szCs w:val="22"/>
        </w:rPr>
        <w:t xml:space="preserve">Sandoz GmbH </w:t>
      </w:r>
    </w:p>
    <w:p w14:paraId="48B068D8" w14:textId="77777777" w:rsidR="003403BF" w:rsidRPr="00255E66" w:rsidRDefault="003403BF" w:rsidP="00DB1866">
      <w:pPr>
        <w:pStyle w:val="Normln"/>
        <w:keepNext/>
        <w:keepLines/>
        <w:jc w:val="both"/>
        <w:rPr>
          <w:sz w:val="22"/>
          <w:szCs w:val="22"/>
        </w:rPr>
      </w:pPr>
      <w:r w:rsidRPr="00255E66">
        <w:rPr>
          <w:sz w:val="22"/>
          <w:szCs w:val="22"/>
        </w:rPr>
        <w:t>Kundl (AICO FDF Kundl)</w:t>
      </w:r>
    </w:p>
    <w:p w14:paraId="32B2F286" w14:textId="77777777" w:rsidR="003403BF" w:rsidRPr="00255E66" w:rsidRDefault="003403BF" w:rsidP="00DB1866">
      <w:pPr>
        <w:pStyle w:val="Normln"/>
        <w:keepNext/>
        <w:keepLines/>
        <w:jc w:val="both"/>
        <w:rPr>
          <w:sz w:val="22"/>
          <w:szCs w:val="22"/>
        </w:rPr>
      </w:pPr>
      <w:r w:rsidRPr="00255E66">
        <w:rPr>
          <w:sz w:val="22"/>
          <w:szCs w:val="22"/>
        </w:rPr>
        <w:t xml:space="preserve">Biochemiestrasse 10 </w:t>
      </w:r>
    </w:p>
    <w:p w14:paraId="160EC02B" w14:textId="77777777" w:rsidR="003403BF" w:rsidRPr="00255E66" w:rsidRDefault="003403BF" w:rsidP="00DB1866">
      <w:pPr>
        <w:pStyle w:val="Normln"/>
        <w:keepNext/>
        <w:keepLines/>
        <w:jc w:val="both"/>
        <w:rPr>
          <w:sz w:val="22"/>
          <w:szCs w:val="22"/>
        </w:rPr>
      </w:pPr>
      <w:r w:rsidRPr="00255E66">
        <w:rPr>
          <w:sz w:val="22"/>
          <w:szCs w:val="22"/>
        </w:rPr>
        <w:t>6250 Kundl, Austrija</w:t>
      </w:r>
    </w:p>
    <w:p w14:paraId="20A76843" w14:textId="77777777" w:rsidR="00AA471E" w:rsidRPr="00C07A3C" w:rsidRDefault="00AA471E" w:rsidP="00AA471E">
      <w:pPr>
        <w:autoSpaceDE w:val="0"/>
        <w:autoSpaceDN w:val="0"/>
        <w:adjustRightInd w:val="0"/>
        <w:rPr>
          <w:rFonts w:eastAsia="Calibri"/>
        </w:rPr>
      </w:pPr>
    </w:p>
    <w:p w14:paraId="51579F71" w14:textId="264DBE9D" w:rsidR="00AA471E" w:rsidRDefault="00AA471E" w:rsidP="00AA471E">
      <w:pPr>
        <w:autoSpaceDE w:val="0"/>
        <w:autoSpaceDN w:val="0"/>
        <w:adjustRightInd w:val="0"/>
        <w:rPr>
          <w:rFonts w:eastAsia="Calibri"/>
        </w:rPr>
      </w:pPr>
      <w:r w:rsidRPr="00C07A3C">
        <w:rPr>
          <w:rFonts w:eastAsia="Calibri"/>
        </w:rPr>
        <w:t>Jeigu apie šį vaistą norite sužinoti daugiau, kreipkitės į vietinį registruotojo atstovą:</w:t>
      </w:r>
    </w:p>
    <w:p w14:paraId="0F965E30" w14:textId="77777777" w:rsidR="00E54916" w:rsidRDefault="00E54916" w:rsidP="00AA471E">
      <w:pPr>
        <w:autoSpaceDE w:val="0"/>
        <w:autoSpaceDN w:val="0"/>
        <w:adjustRightInd w:val="0"/>
        <w:rPr>
          <w:rFonts w:eastAsia="Calibri"/>
        </w:rPr>
      </w:pPr>
    </w:p>
    <w:p w14:paraId="08DFB1DB" w14:textId="77777777" w:rsidR="00E54916" w:rsidRPr="001514CF" w:rsidRDefault="00E54916" w:rsidP="00E54916">
      <w:pPr>
        <w:tabs>
          <w:tab w:val="left" w:pos="567"/>
        </w:tabs>
        <w:jc w:val="both"/>
        <w:rPr>
          <w:szCs w:val="22"/>
          <w:lang w:eastAsia="zh-TW"/>
        </w:rPr>
      </w:pPr>
      <w:r w:rsidRPr="001514CF">
        <w:rPr>
          <w:szCs w:val="22"/>
          <w:lang w:eastAsia="zh-TW"/>
        </w:rPr>
        <w:t>Sandoz Pharmaceuticals d.d. filialas</w:t>
      </w:r>
    </w:p>
    <w:p w14:paraId="79DDF5A2" w14:textId="77777777" w:rsidR="00E54916" w:rsidRPr="001514CF" w:rsidRDefault="00E54916" w:rsidP="00E54916">
      <w:pPr>
        <w:tabs>
          <w:tab w:val="left" w:pos="567"/>
        </w:tabs>
        <w:jc w:val="both"/>
        <w:rPr>
          <w:szCs w:val="22"/>
          <w:lang w:eastAsia="zh-TW"/>
        </w:rPr>
      </w:pPr>
      <w:r w:rsidRPr="001514CF">
        <w:rPr>
          <w:szCs w:val="22"/>
          <w:lang w:eastAsia="zh-TW"/>
        </w:rPr>
        <w:t>Tel. +370 5 2636 037</w:t>
      </w:r>
    </w:p>
    <w:bookmarkEnd w:id="64"/>
    <w:p w14:paraId="4FC243B9" w14:textId="77777777" w:rsidR="00AA471E" w:rsidRPr="00C07A3C" w:rsidRDefault="00AA471E" w:rsidP="00AA471E">
      <w:pPr>
        <w:numPr>
          <w:ilvl w:val="12"/>
          <w:numId w:val="0"/>
        </w:numPr>
        <w:ind w:right="-2"/>
        <w:rPr>
          <w:rFonts w:eastAsia="Calibri"/>
        </w:rPr>
      </w:pPr>
    </w:p>
    <w:p w14:paraId="6AACEE51" w14:textId="19F55395" w:rsidR="00AA471E" w:rsidRPr="00C07A3C" w:rsidRDefault="00AA471E" w:rsidP="00AA471E">
      <w:pPr>
        <w:keepNext/>
        <w:numPr>
          <w:ilvl w:val="12"/>
          <w:numId w:val="0"/>
        </w:numPr>
        <w:ind w:right="-2"/>
        <w:rPr>
          <w:rFonts w:eastAsia="Calibri"/>
          <w:b/>
        </w:rPr>
      </w:pPr>
      <w:r w:rsidRPr="00C07A3C">
        <w:rPr>
          <w:rFonts w:eastAsia="Calibri"/>
          <w:b/>
        </w:rPr>
        <w:lastRenderedPageBreak/>
        <w:t xml:space="preserve">Šis vaistas </w:t>
      </w:r>
      <w:r w:rsidR="0026042C" w:rsidRPr="00AA4BD0">
        <w:rPr>
          <w:b/>
          <w:snapToGrid w:val="0"/>
          <w:szCs w:val="20"/>
        </w:rPr>
        <w:t>Europos ekonominės erdvės</w:t>
      </w:r>
      <w:r w:rsidR="0026042C" w:rsidRPr="00F83F1A">
        <w:rPr>
          <w:b/>
          <w:snapToGrid w:val="0"/>
          <w:szCs w:val="20"/>
        </w:rPr>
        <w:t xml:space="preserve"> valstybėse narėse </w:t>
      </w:r>
      <w:r w:rsidR="0026042C" w:rsidRPr="00AA4BD0">
        <w:rPr>
          <w:b/>
          <w:snapToGrid w:val="0"/>
          <w:szCs w:val="20"/>
        </w:rPr>
        <w:t>ir Jungtinėje Karalystėje (Šiaurės Airijoje)</w:t>
      </w:r>
      <w:r w:rsidRPr="00C07A3C">
        <w:rPr>
          <w:rFonts w:eastAsia="Calibri"/>
          <w:b/>
        </w:rPr>
        <w:t>registruotas tokiais pavadinimais:</w:t>
      </w:r>
    </w:p>
    <w:p w14:paraId="073F78AA" w14:textId="77777777" w:rsidR="00AA471E" w:rsidRPr="00C07A3C" w:rsidRDefault="00AA471E" w:rsidP="00AA471E">
      <w:pPr>
        <w:keepNext/>
        <w:ind w:left="567" w:hanging="567"/>
        <w:rPr>
          <w:rFonts w:eastAsia="Calibri"/>
        </w:rPr>
      </w:pPr>
    </w:p>
    <w:p w14:paraId="2904C011" w14:textId="7BD639BE" w:rsidR="00AA471E" w:rsidRPr="00C07A3C" w:rsidRDefault="00AA471E" w:rsidP="00AA471E">
      <w:pPr>
        <w:rPr>
          <w:rFonts w:eastAsia="Calibri"/>
        </w:rPr>
      </w:pPr>
      <w:bookmarkStart w:id="68" w:name="_Hlk517873234"/>
      <w:r w:rsidRPr="00C07A3C">
        <w:rPr>
          <w:rFonts w:eastAsia="Calibri"/>
        </w:rPr>
        <w:t>Bulgarija, Čekija, Estija, Prancūzija, Vengrija, Airija, Italija, Latvija, Lietuva, Malta, Nyderlandai, Lenkija, Rumunija, Slovakija, Slovėnija, Jungtinė Karalystė</w:t>
      </w:r>
      <w:r w:rsidR="00C914AC">
        <w:rPr>
          <w:rFonts w:eastAsia="Calibri"/>
        </w:rPr>
        <w:t xml:space="preserve"> (Šiaurėęs Airija)</w:t>
      </w:r>
      <w:r w:rsidRPr="00C07A3C">
        <w:rPr>
          <w:rFonts w:eastAsia="Calibri"/>
        </w:rPr>
        <w:t xml:space="preserve"> </w:t>
      </w:r>
      <w:bookmarkEnd w:id="68"/>
      <w:r w:rsidRPr="00C07A3C">
        <w:rPr>
          <w:rFonts w:eastAsia="Calibri"/>
        </w:rPr>
        <w:t>– Zinnat</w:t>
      </w:r>
    </w:p>
    <w:p w14:paraId="36490965" w14:textId="73943B1D" w:rsidR="00AA471E" w:rsidRPr="00857812" w:rsidRDefault="00AA471E" w:rsidP="00AA471E">
      <w:pPr>
        <w:ind w:left="567" w:hanging="567"/>
        <w:rPr>
          <w:rFonts w:eastAsia="Calibri"/>
        </w:rPr>
      </w:pPr>
      <w:r w:rsidRPr="00C07A3C">
        <w:rPr>
          <w:rFonts w:eastAsia="Calibri"/>
        </w:rPr>
        <w:t xml:space="preserve">Vokietija – </w:t>
      </w:r>
      <w:r w:rsidR="008D2B47" w:rsidRPr="008D2B47">
        <w:rPr>
          <w:rFonts w:eastAsia="Calibri"/>
        </w:rPr>
        <w:t xml:space="preserve">Cefuroxim </w:t>
      </w:r>
      <w:r w:rsidR="00F32848">
        <w:rPr>
          <w:rFonts w:eastAsia="Calibri"/>
        </w:rPr>
        <w:t xml:space="preserve">125 mg/5 ml </w:t>
      </w:r>
      <w:r w:rsidR="00F32848" w:rsidRPr="00857812">
        <w:rPr>
          <w:highlight w:val="lightGray"/>
          <w:lang w:val="de-DE"/>
        </w:rPr>
        <w:t>1 A Pharma Granulat zur Herstellung einer Suspension zum Einnehmen</w:t>
      </w:r>
      <w:r w:rsidR="00F32848">
        <w:rPr>
          <w:rFonts w:eastAsia="Calibri"/>
        </w:rPr>
        <w:t xml:space="preserve">  </w:t>
      </w:r>
    </w:p>
    <w:p w14:paraId="2AFA2A87" w14:textId="77777777" w:rsidR="00AA471E" w:rsidRPr="00C07A3C" w:rsidRDefault="00AA471E" w:rsidP="00AA471E">
      <w:pPr>
        <w:ind w:left="567" w:hanging="567"/>
        <w:rPr>
          <w:rFonts w:eastAsia="Calibri"/>
        </w:rPr>
      </w:pPr>
      <w:r w:rsidRPr="00C07A3C">
        <w:rPr>
          <w:rFonts w:eastAsia="Calibri"/>
        </w:rPr>
        <w:t>Italija – Oraxim</w:t>
      </w:r>
    </w:p>
    <w:p w14:paraId="5A3E57C8" w14:textId="77777777" w:rsidR="00AA471E" w:rsidRPr="00C07A3C" w:rsidRDefault="00AA471E" w:rsidP="00AA471E">
      <w:pPr>
        <w:ind w:left="567" w:hanging="567"/>
        <w:rPr>
          <w:rFonts w:eastAsia="Calibri"/>
        </w:rPr>
      </w:pPr>
      <w:r w:rsidRPr="00C07A3C">
        <w:rPr>
          <w:rFonts w:eastAsia="Calibri"/>
        </w:rPr>
        <w:t>Portugalija – Zipos</w:t>
      </w:r>
    </w:p>
    <w:p w14:paraId="24BA6C39" w14:textId="77777777" w:rsidR="00AA471E" w:rsidRPr="00C07A3C" w:rsidRDefault="00AA471E" w:rsidP="00AA471E">
      <w:pPr>
        <w:ind w:left="567" w:hanging="567"/>
        <w:rPr>
          <w:rFonts w:eastAsia="Calibri"/>
        </w:rPr>
      </w:pPr>
      <w:r w:rsidRPr="00C07A3C">
        <w:rPr>
          <w:rFonts w:eastAsia="Calibri"/>
        </w:rPr>
        <w:t>Portugalija – Zoref</w:t>
      </w:r>
    </w:p>
    <w:p w14:paraId="291F4073" w14:textId="77777777" w:rsidR="00AA471E" w:rsidRPr="00C07A3C" w:rsidRDefault="00AA471E" w:rsidP="00AA471E">
      <w:pPr>
        <w:ind w:left="567" w:hanging="567"/>
        <w:rPr>
          <w:rFonts w:eastAsia="Calibri"/>
        </w:rPr>
      </w:pPr>
    </w:p>
    <w:p w14:paraId="2EF843A3" w14:textId="687F8A70" w:rsidR="00AA471E" w:rsidRPr="00C07A3C" w:rsidRDefault="00AA471E" w:rsidP="00AA471E">
      <w:pPr>
        <w:numPr>
          <w:ilvl w:val="12"/>
          <w:numId w:val="0"/>
        </w:numPr>
        <w:ind w:right="-2"/>
        <w:outlineLvl w:val="0"/>
        <w:rPr>
          <w:rFonts w:eastAsia="Calibri"/>
        </w:rPr>
      </w:pPr>
      <w:r w:rsidRPr="00C07A3C">
        <w:rPr>
          <w:rFonts w:eastAsia="Calibri"/>
          <w:b/>
        </w:rPr>
        <w:t>Šis pakuotės lapelis paskutinį kartą peržiūrėtas</w:t>
      </w:r>
      <w:r w:rsidR="0078026E" w:rsidRPr="0078026E">
        <w:rPr>
          <w:b/>
        </w:rPr>
        <w:t xml:space="preserve"> </w:t>
      </w:r>
      <w:r w:rsidR="00955336">
        <w:rPr>
          <w:b/>
        </w:rPr>
        <w:t>2026-01-19.</w:t>
      </w:r>
    </w:p>
    <w:p w14:paraId="22E4262C" w14:textId="77777777" w:rsidR="00AA471E" w:rsidRPr="00C07A3C" w:rsidRDefault="00AA471E" w:rsidP="00AA471E">
      <w:pPr>
        <w:numPr>
          <w:ilvl w:val="12"/>
          <w:numId w:val="0"/>
        </w:numPr>
        <w:ind w:right="-2"/>
        <w:rPr>
          <w:rFonts w:eastAsia="Calibri"/>
          <w:i/>
        </w:rPr>
      </w:pPr>
    </w:p>
    <w:p w14:paraId="25992706" w14:textId="0896E275" w:rsidR="00AA471E" w:rsidRPr="00C07A3C" w:rsidRDefault="00AA471E" w:rsidP="00AA471E">
      <w:pPr>
        <w:numPr>
          <w:ilvl w:val="12"/>
          <w:numId w:val="0"/>
        </w:numPr>
        <w:ind w:right="-2"/>
        <w:rPr>
          <w:rFonts w:eastAsia="Calibri"/>
        </w:rPr>
      </w:pPr>
      <w:r w:rsidRPr="00C07A3C">
        <w:rPr>
          <w:rFonts w:eastAsia="Calibri"/>
        </w:rPr>
        <w:t>Išsami informacija apie šį vaistą pateikiama Valstybinės vaistų kontrolės tarnybos prie Lietuvos Respublikos sveikatos apsaugos ministerijos tinklalapyje</w:t>
      </w:r>
      <w:r w:rsidRPr="00C07A3C">
        <w:rPr>
          <w:rFonts w:eastAsia="Calibri"/>
          <w:i/>
        </w:rPr>
        <w:t xml:space="preserve"> </w:t>
      </w:r>
      <w:r w:rsidR="003403BF">
        <w:rPr>
          <w:color w:val="0000EE"/>
          <w:szCs w:val="22"/>
          <w:u w:val="single"/>
          <w:lang w:eastAsia="lt-LT"/>
        </w:rPr>
        <w:t>https://vvkt.lrv.lt/lt/</w:t>
      </w:r>
      <w:r w:rsidR="003403BF">
        <w:rPr>
          <w:szCs w:val="22"/>
          <w:lang w:eastAsia="lt-LT"/>
        </w:rPr>
        <w:t>.</w:t>
      </w:r>
    </w:p>
    <w:p w14:paraId="7F7ADE21" w14:textId="77777777" w:rsidR="00AA471E" w:rsidRPr="00C07A3C" w:rsidRDefault="00AA471E" w:rsidP="00AA471E">
      <w:pPr>
        <w:numPr>
          <w:ilvl w:val="12"/>
          <w:numId w:val="0"/>
        </w:numPr>
        <w:ind w:right="-2"/>
        <w:rPr>
          <w:rFonts w:eastAsia="Calibri"/>
        </w:rPr>
      </w:pPr>
      <w:r w:rsidRPr="00C07A3C">
        <w:rPr>
          <w:rFonts w:eastAsia="Calibri"/>
        </w:rPr>
        <w:t>---------------------------------------------------------------------------------------------------------------------------</w:t>
      </w:r>
    </w:p>
    <w:p w14:paraId="27A886BC" w14:textId="77777777" w:rsidR="00AA471E" w:rsidRPr="00C07A3C" w:rsidRDefault="00AA471E" w:rsidP="00AA471E">
      <w:pPr>
        <w:numPr>
          <w:ilvl w:val="12"/>
          <w:numId w:val="0"/>
        </w:numPr>
        <w:ind w:right="-2"/>
        <w:rPr>
          <w:rFonts w:eastAsia="Calibri"/>
        </w:rPr>
      </w:pPr>
    </w:p>
    <w:p w14:paraId="07459FC2" w14:textId="77777777" w:rsidR="00AA471E" w:rsidRPr="00C07A3C" w:rsidRDefault="00AA471E" w:rsidP="00AA471E">
      <w:pPr>
        <w:numPr>
          <w:ilvl w:val="12"/>
          <w:numId w:val="0"/>
        </w:numPr>
        <w:ind w:right="-2"/>
        <w:rPr>
          <w:rFonts w:eastAsia="Calibri"/>
          <w:b/>
        </w:rPr>
      </w:pPr>
      <w:r w:rsidRPr="00C07A3C">
        <w:rPr>
          <w:rFonts w:eastAsia="Calibri"/>
          <w:b/>
        </w:rPr>
        <w:t>Paruošimo instrukcijos</w:t>
      </w:r>
    </w:p>
    <w:p w14:paraId="150E9791" w14:textId="77777777" w:rsidR="00AA471E" w:rsidRPr="009C0DB0" w:rsidRDefault="00AA471E" w:rsidP="00AA471E">
      <w:pPr>
        <w:numPr>
          <w:ilvl w:val="12"/>
          <w:numId w:val="0"/>
        </w:numPr>
        <w:ind w:right="-2"/>
        <w:rPr>
          <w:rFonts w:eastAsia="Calibri"/>
        </w:rPr>
      </w:pPr>
    </w:p>
    <w:p w14:paraId="6BD95117" w14:textId="77777777" w:rsidR="00AA471E" w:rsidRDefault="00AA471E" w:rsidP="00AA471E">
      <w:pPr>
        <w:rPr>
          <w:rFonts w:eastAsia="Calibri"/>
          <w:u w:val="single"/>
        </w:rPr>
      </w:pPr>
      <w:r w:rsidRPr="00C07A3C">
        <w:rPr>
          <w:rFonts w:eastAsia="Calibri"/>
          <w:u w:val="single"/>
        </w:rPr>
        <w:t>Nurodymai, kaip paruošti suspensiją</w:t>
      </w:r>
    </w:p>
    <w:p w14:paraId="7D6B55C5" w14:textId="77777777" w:rsidR="00C914AC" w:rsidRDefault="00C914AC" w:rsidP="00AA471E">
      <w:pPr>
        <w:rPr>
          <w:rFonts w:eastAsia="Calibri"/>
          <w:u w:val="single"/>
        </w:rPr>
      </w:pPr>
    </w:p>
    <w:p w14:paraId="1542B166" w14:textId="547FED15" w:rsidR="00C914AC" w:rsidRDefault="00C914AC" w:rsidP="00AA471E">
      <w:pPr>
        <w:rPr>
          <w:rFonts w:eastAsia="Calibri"/>
          <w:b/>
          <w:bCs/>
          <w:u w:val="single"/>
        </w:rPr>
      </w:pPr>
      <w:r w:rsidRPr="00041EAF">
        <w:rPr>
          <w:rFonts w:eastAsia="Calibri"/>
          <w:b/>
          <w:bCs/>
          <w:u w:val="single"/>
        </w:rPr>
        <w:t>Atkreipkite dėmesį, kad Zinnat suspensijos paruošimas iki pirmosios dozės vartojimo užtruks ilgiau nei vieną valandą. Į šį laiką įeina laikas, skirtas suspensijai "nusistovėti" šaldytuve</w:t>
      </w:r>
      <w:r>
        <w:rPr>
          <w:rFonts w:eastAsia="Calibri"/>
          <w:b/>
          <w:bCs/>
          <w:u w:val="single"/>
        </w:rPr>
        <w:t>.</w:t>
      </w:r>
    </w:p>
    <w:p w14:paraId="42869D8A" w14:textId="6AD25DB8" w:rsidR="00C914AC" w:rsidRPr="00C07A3C" w:rsidRDefault="00C914AC" w:rsidP="00AA471E">
      <w:pPr>
        <w:rPr>
          <w:rFonts w:eastAsia="Calibri"/>
          <w:u w:val="single"/>
        </w:rPr>
      </w:pPr>
      <w:r>
        <w:rPr>
          <w:rFonts w:eastAsia="Calibri"/>
          <w:b/>
          <w:bCs/>
          <w:u w:val="single"/>
        </w:rPr>
        <w:t>Prašome laikytis toliau pateikiamų instrukcijų ruošiant Zinnat suspensiją savo vaikui bei laikant suspensiją.</w:t>
      </w:r>
    </w:p>
    <w:p w14:paraId="0B08E123" w14:textId="77777777" w:rsidR="00AA471E" w:rsidRPr="00AA08CA" w:rsidRDefault="00AA471E" w:rsidP="00AA471E">
      <w:pPr>
        <w:rPr>
          <w:rFonts w:eastAsia="Calibri"/>
          <w:u w:val="single"/>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5526"/>
      </w:tblGrid>
      <w:tr w:rsidR="00AA471E" w:rsidRPr="00C07A3C" w14:paraId="2F5056DB" w14:textId="77777777" w:rsidTr="00D6299C">
        <w:tc>
          <w:tcPr>
            <w:tcW w:w="8568" w:type="dxa"/>
            <w:gridSpan w:val="2"/>
            <w:tcBorders>
              <w:top w:val="nil"/>
              <w:left w:val="nil"/>
              <w:bottom w:val="nil"/>
              <w:right w:val="nil"/>
            </w:tcBorders>
          </w:tcPr>
          <w:p w14:paraId="6EB19FE7" w14:textId="77777777" w:rsidR="00AA471E" w:rsidRPr="00AA08CA" w:rsidRDefault="00AA471E" w:rsidP="00D6299C">
            <w:pPr>
              <w:rPr>
                <w:b/>
                <w:i/>
                <w:u w:val="single"/>
              </w:rPr>
            </w:pPr>
          </w:p>
        </w:tc>
      </w:tr>
      <w:tr w:rsidR="00AA471E" w:rsidRPr="00C07A3C" w14:paraId="27E24136" w14:textId="77777777" w:rsidTr="00D6299C">
        <w:tc>
          <w:tcPr>
            <w:tcW w:w="3042" w:type="dxa"/>
            <w:tcBorders>
              <w:top w:val="nil"/>
              <w:left w:val="nil"/>
              <w:bottom w:val="nil"/>
              <w:right w:val="nil"/>
            </w:tcBorders>
          </w:tcPr>
          <w:p w14:paraId="3820E5CD" w14:textId="77777777" w:rsidR="00AA471E" w:rsidRPr="00C07A3C" w:rsidRDefault="00AA471E" w:rsidP="00D6299C">
            <w:pPr>
              <w:rPr>
                <w:rFonts w:eastAsia="Calibri"/>
                <w:b/>
                <w:i/>
                <w:u w:val="single"/>
                <w:lang w:val="en-GB"/>
              </w:rPr>
            </w:pPr>
            <w:r w:rsidRPr="00C07A3C">
              <w:rPr>
                <w:b/>
                <w:i/>
                <w:u w:val="single"/>
                <w:lang w:val="en-GB"/>
              </w:rPr>
              <w:object w:dxaOrig="4020" w:dyaOrig="4050" w14:anchorId="5965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2.5pt" o:ole="">
                  <v:imagedata r:id="rId15" o:title=""/>
                </v:shape>
                <o:OLEObject Type="Embed" ProgID="PBrush" ShapeID="_x0000_i1025" DrawAspect="Content" ObjectID="_1832131027" r:id="rId16"/>
              </w:object>
            </w:r>
          </w:p>
        </w:tc>
        <w:tc>
          <w:tcPr>
            <w:tcW w:w="5526" w:type="dxa"/>
            <w:tcBorders>
              <w:top w:val="nil"/>
              <w:left w:val="nil"/>
              <w:bottom w:val="nil"/>
              <w:right w:val="nil"/>
            </w:tcBorders>
          </w:tcPr>
          <w:p w14:paraId="611CC5EF" w14:textId="1F7A504A" w:rsidR="00AA471E" w:rsidRPr="00C07A3C" w:rsidRDefault="00AA471E" w:rsidP="0078026E">
            <w:pPr>
              <w:rPr>
                <w:rFonts w:eastAsia="Calibri"/>
              </w:rPr>
            </w:pPr>
            <w:r w:rsidRPr="00C07A3C">
              <w:t xml:space="preserve">Buteliuko turinį gerai pakratykite. Nuimkite dangtelį ir karštu būdu užlietą sandarią membraną. Jeigu membrana yra pažeista arba jos nėra, </w:t>
            </w:r>
            <w:r w:rsidR="0078026E">
              <w:t>vaistą</w:t>
            </w:r>
            <w:r w:rsidRPr="00C07A3C">
              <w:t xml:space="preserve"> reikia grąžinti į vaistinę.</w:t>
            </w:r>
          </w:p>
        </w:tc>
      </w:tr>
      <w:tr w:rsidR="00AA471E" w:rsidRPr="00C07A3C" w14:paraId="756264EC" w14:textId="77777777" w:rsidTr="00D6299C">
        <w:tc>
          <w:tcPr>
            <w:tcW w:w="3042" w:type="dxa"/>
            <w:tcBorders>
              <w:top w:val="nil"/>
              <w:left w:val="nil"/>
              <w:bottom w:val="nil"/>
              <w:right w:val="nil"/>
            </w:tcBorders>
          </w:tcPr>
          <w:p w14:paraId="2DEC70DC" w14:textId="77777777" w:rsidR="00AA471E" w:rsidRPr="00C07A3C" w:rsidRDefault="00AA471E" w:rsidP="00D6299C">
            <w:pPr>
              <w:rPr>
                <w:rFonts w:eastAsia="Calibri"/>
                <w:b/>
                <w:i/>
                <w:u w:val="single"/>
                <w:lang w:val="en-GB"/>
              </w:rPr>
            </w:pPr>
            <w:r w:rsidRPr="00C07A3C">
              <w:rPr>
                <w:b/>
                <w:i/>
                <w:u w:val="single"/>
                <w:lang w:val="en-GB"/>
              </w:rPr>
              <w:object w:dxaOrig="4005" w:dyaOrig="4035" w14:anchorId="1E645D40">
                <v:shape id="_x0000_i1026" type="#_x0000_t75" style="width:84pt;height:84pt" o:ole="">
                  <v:imagedata r:id="rId17" o:title=""/>
                </v:shape>
                <o:OLEObject Type="Embed" ProgID="PBrush" ShapeID="_x0000_i1026" DrawAspect="Content" ObjectID="_1832131028" r:id="rId18"/>
              </w:object>
            </w:r>
          </w:p>
        </w:tc>
        <w:tc>
          <w:tcPr>
            <w:tcW w:w="5526" w:type="dxa"/>
            <w:tcBorders>
              <w:top w:val="nil"/>
              <w:left w:val="nil"/>
              <w:bottom w:val="nil"/>
              <w:right w:val="nil"/>
            </w:tcBorders>
          </w:tcPr>
          <w:p w14:paraId="62B28342" w14:textId="6B37544F" w:rsidR="00AA471E" w:rsidRPr="00C07A3C" w:rsidRDefault="00AA471E" w:rsidP="00D6299C">
            <w:pPr>
              <w:rPr>
                <w:rFonts w:eastAsia="Calibri"/>
              </w:rPr>
            </w:pPr>
            <w:r w:rsidRPr="00C07A3C">
              <w:t xml:space="preserve">Į kartu tiekiamą </w:t>
            </w:r>
            <w:r w:rsidR="00AA518E">
              <w:t xml:space="preserve">matavimo </w:t>
            </w:r>
            <w:r w:rsidRPr="00C07A3C">
              <w:t>taurelę įpilkite šalto vandens iki ant taurelės nurodytos tūrio linijos. Jeigu prieš tai vanduo buvo užvirintas, prieš supilant į granules, vandenį reikia atvėsinti iki kambario temperatūros. Zinnat granulių geriamajai suspensijai negalima maišyti su karštais ar šiltais skysčiais. Naudojant šaltą vandenį, bus išvengta suspensijos sutirštėjimo.</w:t>
            </w:r>
          </w:p>
        </w:tc>
      </w:tr>
      <w:tr w:rsidR="00AA471E" w:rsidRPr="00C07A3C" w14:paraId="1FB6EE8E" w14:textId="77777777" w:rsidTr="00D6299C">
        <w:tc>
          <w:tcPr>
            <w:tcW w:w="3042" w:type="dxa"/>
            <w:tcBorders>
              <w:top w:val="nil"/>
              <w:left w:val="nil"/>
              <w:bottom w:val="nil"/>
              <w:right w:val="nil"/>
            </w:tcBorders>
          </w:tcPr>
          <w:p w14:paraId="5AC6ABCB" w14:textId="0A73C1D3" w:rsidR="00AA471E" w:rsidRPr="00C07A3C" w:rsidRDefault="008E5CB1" w:rsidP="00D6299C">
            <w:pPr>
              <w:rPr>
                <w:rFonts w:eastAsia="Calibri"/>
                <w:b/>
                <w:i/>
                <w:u w:val="single"/>
                <w:lang w:val="en-GB"/>
              </w:rPr>
            </w:pPr>
            <w:r w:rsidRPr="00DC1F69">
              <w:object w:dxaOrig="2650" w:dyaOrig="2760" w14:anchorId="72164830">
                <v:shape id="_x0000_i1027" type="#_x0000_t75" style="width:79.5pt;height:81.75pt" o:ole="">
                  <v:imagedata r:id="rId19" o:title=""/>
                </v:shape>
                <o:OLEObject Type="Embed" ProgID="PBrush" ShapeID="_x0000_i1027" DrawAspect="Content" ObjectID="_1832131029" r:id="rId20"/>
              </w:object>
            </w:r>
          </w:p>
        </w:tc>
        <w:tc>
          <w:tcPr>
            <w:tcW w:w="5526" w:type="dxa"/>
            <w:tcBorders>
              <w:top w:val="nil"/>
              <w:left w:val="nil"/>
              <w:bottom w:val="nil"/>
              <w:right w:val="nil"/>
            </w:tcBorders>
          </w:tcPr>
          <w:p w14:paraId="12B9608B" w14:textId="77777777" w:rsidR="00AA471E" w:rsidRPr="00C07A3C" w:rsidRDefault="00AA471E" w:rsidP="00D6299C">
            <w:r w:rsidRPr="00C07A3C">
              <w:t>Visą šalto</w:t>
            </w:r>
            <w:r w:rsidRPr="00C07A3C">
              <w:rPr>
                <w:rFonts w:eastAsia="Calibri"/>
              </w:rPr>
              <w:t xml:space="preserve"> vandens kiekį </w:t>
            </w:r>
            <w:r w:rsidRPr="00C07A3C">
              <w:t>supilkite į buteliuką. Vėl</w:t>
            </w:r>
            <w:r w:rsidRPr="00C07A3C">
              <w:rPr>
                <w:rFonts w:eastAsia="Calibri"/>
              </w:rPr>
              <w:t xml:space="preserve"> uždėkite dangtelį.</w:t>
            </w:r>
            <w:r w:rsidRPr="00C07A3C">
              <w:t xml:space="preserve"> Leiskite buteliukui pastovėti, kad vanduo pilnai prasiskverbtų per granules. Tai užtruks maždaug 1 minutę.</w:t>
            </w:r>
          </w:p>
          <w:p w14:paraId="6CB96725" w14:textId="77777777" w:rsidR="00AA471E" w:rsidRPr="00C07A3C" w:rsidRDefault="00AA471E" w:rsidP="00D6299C">
            <w:pPr>
              <w:rPr>
                <w:rFonts w:eastAsia="Calibri"/>
                <w:lang w:val="en-GB"/>
              </w:rPr>
            </w:pPr>
          </w:p>
        </w:tc>
      </w:tr>
      <w:tr w:rsidR="00AA471E" w:rsidRPr="00C07A3C" w14:paraId="758488D0" w14:textId="77777777" w:rsidTr="00D6299C">
        <w:tc>
          <w:tcPr>
            <w:tcW w:w="3042" w:type="dxa"/>
            <w:tcBorders>
              <w:top w:val="nil"/>
              <w:left w:val="nil"/>
              <w:bottom w:val="nil"/>
              <w:right w:val="nil"/>
            </w:tcBorders>
          </w:tcPr>
          <w:p w14:paraId="47EA77A8" w14:textId="15DF7A12" w:rsidR="00AA471E" w:rsidRPr="00C07A3C" w:rsidRDefault="004B0A59" w:rsidP="00D6299C">
            <w:pPr>
              <w:rPr>
                <w:rFonts w:eastAsia="Calibri"/>
                <w:b/>
                <w:i/>
                <w:u w:val="single"/>
                <w:lang w:val="en-GB"/>
              </w:rPr>
            </w:pPr>
            <w:r w:rsidRPr="008753FC">
              <w:rPr>
                <w:b/>
                <w:i/>
                <w:color w:val="FF0000"/>
              </w:rPr>
              <w:object w:dxaOrig="2650" w:dyaOrig="2640" w14:anchorId="43134F2C">
                <v:shape id="_x0000_i1028" type="#_x0000_t75" style="width:82.5pt;height:84.75pt" o:ole="" o:bordertopcolor="this">
                  <v:imagedata r:id="rId21" o:title=""/>
                  <w10:bordertop type="single" width="4"/>
                </v:shape>
                <o:OLEObject Type="Embed" ProgID="PBrush" ShapeID="_x0000_i1028" DrawAspect="Content" ObjectID="_1832131030" r:id="rId22"/>
              </w:object>
            </w:r>
          </w:p>
        </w:tc>
        <w:tc>
          <w:tcPr>
            <w:tcW w:w="5526" w:type="dxa"/>
            <w:tcBorders>
              <w:top w:val="nil"/>
              <w:left w:val="nil"/>
              <w:bottom w:val="nil"/>
              <w:right w:val="nil"/>
            </w:tcBorders>
            <w:vAlign w:val="center"/>
          </w:tcPr>
          <w:p w14:paraId="08FD391B" w14:textId="77777777" w:rsidR="00AA471E" w:rsidRPr="00C07A3C" w:rsidRDefault="00AA471E" w:rsidP="00D6299C">
            <w:pPr>
              <w:rPr>
                <w:rFonts w:eastAsia="Calibri"/>
              </w:rPr>
            </w:pPr>
            <w:r w:rsidRPr="00C07A3C">
              <w:rPr>
                <w:rFonts w:eastAsia="Calibri"/>
              </w:rPr>
              <w:t xml:space="preserve">Buteliuką apverskite ir </w:t>
            </w:r>
            <w:r w:rsidRPr="00C07A3C">
              <w:t>gerai</w:t>
            </w:r>
            <w:r w:rsidRPr="00C07A3C">
              <w:rPr>
                <w:rFonts w:eastAsia="Calibri"/>
              </w:rPr>
              <w:t xml:space="preserve"> pakratykite </w:t>
            </w:r>
            <w:r w:rsidRPr="00C07A3C">
              <w:t>(</w:t>
            </w:r>
            <w:r w:rsidRPr="00C07A3C">
              <w:rPr>
                <w:rFonts w:eastAsia="Calibri"/>
              </w:rPr>
              <w:t>bent 15 sekundžių</w:t>
            </w:r>
            <w:r w:rsidRPr="00C07A3C">
              <w:t>) tol, kol visos granulės susimaišys su vandeniu.</w:t>
            </w:r>
          </w:p>
        </w:tc>
      </w:tr>
      <w:tr w:rsidR="00AA471E" w:rsidRPr="00C07A3C" w14:paraId="7A0A0045" w14:textId="77777777" w:rsidTr="00D6299C">
        <w:trPr>
          <w:trHeight w:val="1691"/>
        </w:trPr>
        <w:tc>
          <w:tcPr>
            <w:tcW w:w="3042" w:type="dxa"/>
            <w:tcBorders>
              <w:top w:val="nil"/>
              <w:left w:val="nil"/>
              <w:bottom w:val="nil"/>
              <w:right w:val="nil"/>
            </w:tcBorders>
          </w:tcPr>
          <w:p w14:paraId="788182C1" w14:textId="395AC3C7" w:rsidR="00AA471E" w:rsidRPr="00C07A3C" w:rsidRDefault="004B0A59" w:rsidP="00D6299C">
            <w:pPr>
              <w:rPr>
                <w:rFonts w:eastAsia="Calibri"/>
                <w:b/>
                <w:i/>
                <w:u w:val="single"/>
                <w:lang w:val="en-GB"/>
              </w:rPr>
            </w:pPr>
            <w:r w:rsidRPr="008753FC">
              <w:rPr>
                <w:b/>
                <w:i/>
                <w:color w:val="FF0000"/>
              </w:rPr>
              <w:object w:dxaOrig="2700" w:dyaOrig="2740" w14:anchorId="13219EC4">
                <v:shape id="_x0000_i1029" type="#_x0000_t75" style="width:79.5pt;height:88.5pt" o:ole="">
                  <v:imagedata r:id="rId23" o:title=""/>
                </v:shape>
                <o:OLEObject Type="Embed" ProgID="PBrush" ShapeID="_x0000_i1029" DrawAspect="Content" ObjectID="_1832131031" r:id="rId24"/>
              </w:object>
            </w:r>
          </w:p>
        </w:tc>
        <w:tc>
          <w:tcPr>
            <w:tcW w:w="5526" w:type="dxa"/>
            <w:tcBorders>
              <w:top w:val="nil"/>
              <w:left w:val="nil"/>
              <w:bottom w:val="nil"/>
              <w:right w:val="nil"/>
            </w:tcBorders>
            <w:vAlign w:val="center"/>
          </w:tcPr>
          <w:p w14:paraId="1B82153C" w14:textId="77777777" w:rsidR="00AA471E" w:rsidRPr="00C07A3C" w:rsidRDefault="00AA471E" w:rsidP="00D6299C">
            <w:pPr>
              <w:rPr>
                <w:rFonts w:eastAsia="Calibri"/>
              </w:rPr>
            </w:pPr>
            <w:r w:rsidRPr="00C07A3C">
              <w:rPr>
                <w:rFonts w:eastAsia="Calibri"/>
              </w:rPr>
              <w:t xml:space="preserve">Atverskite buteliuką į vertikalią padėtį dangteliu į viršų ir </w:t>
            </w:r>
            <w:r w:rsidRPr="00C07A3C">
              <w:t>gerai</w:t>
            </w:r>
            <w:r w:rsidRPr="00C07A3C">
              <w:rPr>
                <w:rFonts w:eastAsia="Calibri"/>
              </w:rPr>
              <w:t xml:space="preserve"> pakratykite</w:t>
            </w:r>
            <w:r w:rsidRPr="00C07A3C">
              <w:t xml:space="preserve"> bent 1 minutę tol, kol visos granulės ištirps.</w:t>
            </w:r>
            <w:r w:rsidRPr="00C07A3C">
              <w:rPr>
                <w:rFonts w:ascii="Calibri" w:eastAsia="Calibri" w:hAnsi="Calibri"/>
              </w:rPr>
              <w:t xml:space="preserve"> </w:t>
            </w:r>
            <w:r w:rsidRPr="00C07A3C">
              <w:t>Nedelsdami įdėkite Zinnat suspensiją į šaldytuvą (2</w:t>
            </w:r>
            <w:r w:rsidRPr="00C07A3C">
              <w:noBreakHyphen/>
              <w:t>8°C) (negalima užšaldyti) ir palaikykite bent vieną valandą prieš išgerdami pirmąją dozę</w:t>
            </w:r>
            <w:r w:rsidRPr="00C07A3C">
              <w:rPr>
                <w:rFonts w:eastAsia="Calibri"/>
              </w:rPr>
              <w:t>.</w:t>
            </w:r>
          </w:p>
          <w:p w14:paraId="687560A8" w14:textId="77777777" w:rsidR="00AA471E" w:rsidRPr="00C07A3C" w:rsidRDefault="00AA471E" w:rsidP="00D6299C">
            <w:pPr>
              <w:rPr>
                <w:rFonts w:eastAsia="Calibri"/>
              </w:rPr>
            </w:pPr>
          </w:p>
        </w:tc>
      </w:tr>
    </w:tbl>
    <w:p w14:paraId="6CB93ED7" w14:textId="77777777" w:rsidR="00AA471E" w:rsidRDefault="00AA471E" w:rsidP="00AA471E">
      <w:pPr>
        <w:rPr>
          <w:rFonts w:eastAsia="Calibri"/>
          <w:u w:val="single"/>
        </w:rPr>
      </w:pPr>
    </w:p>
    <w:p w14:paraId="20C46A37" w14:textId="74A8322C" w:rsidR="00C8379A" w:rsidRPr="00C8379A" w:rsidRDefault="00C8379A" w:rsidP="00C8379A">
      <w:pPr>
        <w:rPr>
          <w:rFonts w:eastAsia="Calibri"/>
          <w:u w:val="single"/>
        </w:rPr>
      </w:pPr>
      <w:r>
        <w:rPr>
          <w:rFonts w:eastAsia="Calibri"/>
          <w:u w:val="single"/>
        </w:rPr>
        <w:t xml:space="preserve">Paruošta </w:t>
      </w:r>
      <w:r w:rsidRPr="00C8379A">
        <w:rPr>
          <w:rFonts w:eastAsia="Calibri"/>
          <w:u w:val="single"/>
        </w:rPr>
        <w:t xml:space="preserve">suspensiją visada reikia laikyti šaldytuve; laikant šaldytuve nuo 2 iki 8 °C temperatūroje, </w:t>
      </w:r>
      <w:r>
        <w:rPr>
          <w:rFonts w:eastAsia="Calibri"/>
          <w:u w:val="single"/>
        </w:rPr>
        <w:t>paruošta</w:t>
      </w:r>
      <w:r w:rsidRPr="00C8379A">
        <w:rPr>
          <w:rFonts w:eastAsia="Calibri"/>
          <w:u w:val="single"/>
        </w:rPr>
        <w:t xml:space="preserve"> suspensiją galima laikyti iki 10 dienų.</w:t>
      </w:r>
    </w:p>
    <w:p w14:paraId="2A2B8883" w14:textId="77777777" w:rsidR="00C8379A" w:rsidRPr="00C8379A" w:rsidRDefault="00C8379A" w:rsidP="00C8379A">
      <w:pPr>
        <w:rPr>
          <w:rFonts w:eastAsia="Calibri"/>
          <w:u w:val="single"/>
        </w:rPr>
      </w:pPr>
    </w:p>
    <w:p w14:paraId="5D522E42" w14:textId="6320DCD5" w:rsidR="00C8379A" w:rsidRDefault="00C8379A" w:rsidP="00C8379A">
      <w:pPr>
        <w:rPr>
          <w:rFonts w:eastAsia="Calibri"/>
          <w:u w:val="single"/>
        </w:rPr>
      </w:pPr>
      <w:r w:rsidRPr="00C8379A">
        <w:rPr>
          <w:rFonts w:eastAsia="Calibri"/>
          <w:u w:val="single"/>
        </w:rPr>
        <w:t>Prieš pradėdami vartoti vaistą, visada gerai suplakite buteliuką.</w:t>
      </w:r>
    </w:p>
    <w:p w14:paraId="07BF936F" w14:textId="77777777" w:rsidR="00C8379A" w:rsidRPr="00C07A3C" w:rsidRDefault="00C8379A" w:rsidP="00AA471E">
      <w:pPr>
        <w:rPr>
          <w:rFonts w:eastAsia="Calibri"/>
          <w:u w:val="single"/>
        </w:rPr>
      </w:pPr>
    </w:p>
    <w:p w14:paraId="19ACADFA" w14:textId="77777777" w:rsidR="00AA471E" w:rsidRPr="001D5FF7" w:rsidRDefault="00AA471E" w:rsidP="00AA471E">
      <w:pPr>
        <w:tabs>
          <w:tab w:val="left" w:pos="567"/>
        </w:tabs>
        <w:spacing w:line="260" w:lineRule="exact"/>
        <w:rPr>
          <w:rFonts w:eastAsia="Calibri"/>
        </w:rPr>
      </w:pPr>
      <w:r w:rsidRPr="001D5FF7">
        <w:rPr>
          <w:rFonts w:eastAsia="Calibri"/>
        </w:rPr>
        <w:t>Vaikams, kurie negali gerti Zinnat iš šaukšto, pakuotėje gali būti tiekiamas graduotas 5 ml dozavimo švirkštas. Kad tiksliai išmatuotumėte dozę, naudokite dozavimo švirkštą (jei tiekiamas).</w:t>
      </w:r>
    </w:p>
    <w:p w14:paraId="109B0AA4" w14:textId="77777777" w:rsidR="00AA471E" w:rsidRPr="001D5FF7" w:rsidRDefault="00AA471E" w:rsidP="00AA471E">
      <w:pPr>
        <w:tabs>
          <w:tab w:val="left" w:pos="567"/>
        </w:tabs>
        <w:spacing w:line="260" w:lineRule="exact"/>
        <w:rPr>
          <w:rFonts w:eastAsia="Calibri"/>
        </w:rPr>
      </w:pPr>
    </w:p>
    <w:p w14:paraId="26F3FF9C" w14:textId="77777777" w:rsidR="00AA471E" w:rsidRPr="001D5FF7" w:rsidRDefault="00AA471E" w:rsidP="00AA471E">
      <w:pPr>
        <w:ind w:left="540" w:hanging="540"/>
        <w:rPr>
          <w:rFonts w:eastAsia="Calibri"/>
        </w:rPr>
      </w:pPr>
      <w:r w:rsidRPr="001D5FF7">
        <w:rPr>
          <w:rFonts w:eastAsia="Calibri"/>
        </w:rPr>
        <w:t>1.</w:t>
      </w:r>
      <w:r w:rsidRPr="001D5FF7">
        <w:rPr>
          <w:rFonts w:eastAsia="Calibri"/>
        </w:rPr>
        <w:tab/>
      </w:r>
      <w:r w:rsidRPr="001D5FF7">
        <w:rPr>
          <w:rFonts w:eastAsia="Calibri"/>
          <w:b/>
        </w:rPr>
        <w:t>Nuimkite buteliuko dangtelį</w:t>
      </w:r>
      <w:r w:rsidRPr="001D5FF7">
        <w:rPr>
          <w:rFonts w:eastAsia="Calibri"/>
        </w:rPr>
        <w:t>. Laikykite jį saugioje vietoje.</w:t>
      </w:r>
    </w:p>
    <w:p w14:paraId="79A1C8D4" w14:textId="77777777" w:rsidR="00AA471E" w:rsidRPr="001D5FF7" w:rsidRDefault="00AA471E" w:rsidP="00AA471E">
      <w:pPr>
        <w:ind w:left="540" w:hanging="540"/>
        <w:rPr>
          <w:rFonts w:eastAsia="Calibri"/>
        </w:rPr>
      </w:pPr>
      <w:r w:rsidRPr="001D5FF7">
        <w:rPr>
          <w:rFonts w:eastAsia="Calibri"/>
        </w:rPr>
        <w:t>2.</w:t>
      </w:r>
      <w:r w:rsidRPr="001D5FF7">
        <w:rPr>
          <w:rFonts w:eastAsia="Calibri"/>
        </w:rPr>
        <w:tab/>
        <w:t xml:space="preserve">Tvirtai laikydami buteliuką, </w:t>
      </w:r>
      <w:r w:rsidRPr="001D5FF7">
        <w:rPr>
          <w:rFonts w:eastAsia="Calibri"/>
          <w:b/>
        </w:rPr>
        <w:t>plastiko adapterį įterpkite į buteliuko kakliuką</w:t>
      </w:r>
      <w:r w:rsidRPr="001D5FF7">
        <w:rPr>
          <w:rFonts w:eastAsia="Calibri"/>
        </w:rPr>
        <w:t>.</w:t>
      </w:r>
    </w:p>
    <w:p w14:paraId="4EA25FF4" w14:textId="77777777" w:rsidR="00AA471E" w:rsidRPr="001D5FF7" w:rsidRDefault="00AA471E" w:rsidP="00AA471E">
      <w:pPr>
        <w:ind w:left="540" w:hanging="540"/>
        <w:rPr>
          <w:rFonts w:eastAsia="Calibri"/>
        </w:rPr>
      </w:pPr>
      <w:r w:rsidRPr="001D5FF7">
        <w:rPr>
          <w:rFonts w:eastAsia="Calibri"/>
        </w:rPr>
        <w:t>3.</w:t>
      </w:r>
      <w:r w:rsidRPr="001D5FF7">
        <w:rPr>
          <w:rFonts w:eastAsia="Calibri"/>
        </w:rPr>
        <w:tab/>
      </w:r>
      <w:r w:rsidRPr="001D5FF7">
        <w:rPr>
          <w:rFonts w:eastAsia="Calibri"/>
          <w:b/>
        </w:rPr>
        <w:t>Švirkštą</w:t>
      </w:r>
      <w:r w:rsidRPr="001D5FF7">
        <w:rPr>
          <w:rFonts w:eastAsia="Calibri"/>
        </w:rPr>
        <w:t xml:space="preserve"> tvirtai </w:t>
      </w:r>
      <w:r w:rsidRPr="001D5FF7">
        <w:rPr>
          <w:rFonts w:eastAsia="Calibri"/>
          <w:b/>
        </w:rPr>
        <w:t>įstatykite</w:t>
      </w:r>
      <w:r w:rsidRPr="001D5FF7">
        <w:rPr>
          <w:rFonts w:eastAsia="Calibri"/>
        </w:rPr>
        <w:t xml:space="preserve"> į adapterį.</w:t>
      </w:r>
    </w:p>
    <w:p w14:paraId="4648060E" w14:textId="77777777" w:rsidR="00AA471E" w:rsidRPr="001D5FF7" w:rsidRDefault="00AA471E" w:rsidP="00AA471E">
      <w:pPr>
        <w:ind w:left="540" w:hanging="540"/>
        <w:rPr>
          <w:rFonts w:eastAsia="Calibri"/>
        </w:rPr>
      </w:pPr>
      <w:r w:rsidRPr="001D5FF7">
        <w:rPr>
          <w:rFonts w:eastAsia="Calibri"/>
        </w:rPr>
        <w:t>4.</w:t>
      </w:r>
      <w:r w:rsidRPr="001D5FF7">
        <w:rPr>
          <w:rFonts w:eastAsia="Calibri"/>
        </w:rPr>
        <w:tab/>
        <w:t>Buteliuką apverskite.</w:t>
      </w:r>
    </w:p>
    <w:p w14:paraId="541D2EF0" w14:textId="77777777" w:rsidR="00AA471E" w:rsidRPr="001D5FF7" w:rsidRDefault="00AA471E" w:rsidP="00AA471E">
      <w:pPr>
        <w:ind w:left="540" w:hanging="540"/>
        <w:rPr>
          <w:rFonts w:eastAsia="Calibri"/>
        </w:rPr>
      </w:pPr>
      <w:r w:rsidRPr="001D5FF7">
        <w:rPr>
          <w:rFonts w:eastAsia="Calibri"/>
        </w:rPr>
        <w:t>5.</w:t>
      </w:r>
      <w:r w:rsidRPr="001D5FF7">
        <w:rPr>
          <w:rFonts w:eastAsia="Calibri"/>
        </w:rPr>
        <w:tab/>
      </w:r>
      <w:r w:rsidRPr="001D5FF7">
        <w:rPr>
          <w:rFonts w:eastAsia="Calibri"/>
          <w:b/>
        </w:rPr>
        <w:t>Traukite švirkšto stūmoklį</w:t>
      </w:r>
      <w:r w:rsidRPr="001D5FF7">
        <w:rPr>
          <w:rFonts w:eastAsia="Calibri"/>
        </w:rPr>
        <w:t>, kol į švirkštą įtrauksite pirmą dalį visos Jūsų dozės.</w:t>
      </w:r>
    </w:p>
    <w:p w14:paraId="7E9E7D95" w14:textId="77777777" w:rsidR="00AA471E" w:rsidRPr="001D5FF7" w:rsidRDefault="00AA471E" w:rsidP="00AA471E">
      <w:pPr>
        <w:ind w:left="540" w:hanging="540"/>
        <w:rPr>
          <w:rFonts w:eastAsia="Calibri"/>
        </w:rPr>
      </w:pPr>
      <w:r w:rsidRPr="001D5FF7">
        <w:rPr>
          <w:rFonts w:eastAsia="Calibri"/>
        </w:rPr>
        <w:t>6.</w:t>
      </w:r>
      <w:r w:rsidRPr="001D5FF7">
        <w:rPr>
          <w:rFonts w:eastAsia="Calibri"/>
        </w:rPr>
        <w:tab/>
        <w:t xml:space="preserve">Buteliuką su švirkštu atverskite į įprastinę padėtį. </w:t>
      </w:r>
      <w:r w:rsidRPr="001D5FF7">
        <w:rPr>
          <w:rFonts w:eastAsia="Calibri"/>
          <w:b/>
        </w:rPr>
        <w:t>Ištraukite švirkštą</w:t>
      </w:r>
      <w:r w:rsidRPr="001D5FF7">
        <w:rPr>
          <w:rFonts w:eastAsia="Calibri"/>
        </w:rPr>
        <w:t xml:space="preserve"> iš adapterio.</w:t>
      </w:r>
    </w:p>
    <w:p w14:paraId="2144B983" w14:textId="77777777" w:rsidR="00AA471E" w:rsidRPr="001D5FF7" w:rsidRDefault="00AA471E" w:rsidP="00AA471E">
      <w:pPr>
        <w:ind w:left="540" w:hanging="540"/>
        <w:rPr>
          <w:rFonts w:eastAsia="Calibri"/>
        </w:rPr>
      </w:pPr>
      <w:r w:rsidRPr="001D5FF7">
        <w:rPr>
          <w:rFonts w:eastAsia="Calibri"/>
        </w:rPr>
        <w:t>7.</w:t>
      </w:r>
      <w:r w:rsidRPr="001D5FF7">
        <w:rPr>
          <w:rFonts w:eastAsia="Calibri"/>
        </w:rPr>
        <w:tab/>
      </w:r>
      <w:bookmarkStart w:id="69" w:name="_Hlk501649972"/>
      <w:r w:rsidRPr="001D5FF7">
        <w:rPr>
          <w:rFonts w:eastAsia="Calibri"/>
          <w:b/>
        </w:rPr>
        <w:t>Švirkštą įkiškite į vaiko burną</w:t>
      </w:r>
      <w:r w:rsidRPr="001D5FF7">
        <w:rPr>
          <w:rFonts w:eastAsia="Calibri"/>
        </w:rPr>
        <w:t xml:space="preserve"> taip, kad galiukas būtų nukreiptas į vidinę vaiko skruosto pusę. </w:t>
      </w:r>
      <w:r w:rsidRPr="001D5FF7">
        <w:rPr>
          <w:rFonts w:eastAsia="Calibri"/>
          <w:b/>
        </w:rPr>
        <w:t>Lėtai spauskite švirkšto stūmoklį</w:t>
      </w:r>
      <w:r w:rsidRPr="001D5FF7">
        <w:rPr>
          <w:rFonts w:eastAsia="Calibri"/>
        </w:rPr>
        <w:t xml:space="preserve">, kad vaikas spėtų nuryti. </w:t>
      </w:r>
      <w:r w:rsidRPr="001D5FF7">
        <w:rPr>
          <w:rFonts w:eastAsia="Calibri"/>
          <w:b/>
        </w:rPr>
        <w:t>Negalima</w:t>
      </w:r>
      <w:r w:rsidRPr="001D5FF7">
        <w:rPr>
          <w:rFonts w:eastAsia="Calibri"/>
        </w:rPr>
        <w:t xml:space="preserve"> spausti per stipriai ir sušvirkšti skysčio čiurkšle į vaiko gerklę, nes jis gali užspringti.</w:t>
      </w:r>
    </w:p>
    <w:p w14:paraId="648D9E25" w14:textId="77777777" w:rsidR="00AA471E" w:rsidRPr="001D5FF7" w:rsidRDefault="00AA471E" w:rsidP="00AA471E">
      <w:pPr>
        <w:ind w:left="540" w:hanging="540"/>
        <w:rPr>
          <w:rFonts w:eastAsia="Calibri"/>
        </w:rPr>
      </w:pPr>
      <w:r w:rsidRPr="001D5FF7">
        <w:rPr>
          <w:rFonts w:eastAsia="Calibri"/>
        </w:rPr>
        <w:t>8.</w:t>
      </w:r>
      <w:r w:rsidRPr="001D5FF7">
        <w:rPr>
          <w:rFonts w:eastAsia="Calibri"/>
        </w:rPr>
        <w:tab/>
      </w:r>
      <w:r w:rsidRPr="001D5FF7">
        <w:rPr>
          <w:rFonts w:eastAsia="Calibri"/>
          <w:b/>
        </w:rPr>
        <w:t>Kartokite 3</w:t>
      </w:r>
      <w:r w:rsidRPr="001D5FF7">
        <w:rPr>
          <w:rFonts w:eastAsia="Calibri"/>
          <w:b/>
        </w:rPr>
        <w:noBreakHyphen/>
        <w:t>7 veiksmus</w:t>
      </w:r>
      <w:r w:rsidRPr="001D5FF7">
        <w:rPr>
          <w:rFonts w:eastAsia="Calibri"/>
        </w:rPr>
        <w:t xml:space="preserve"> tuo pačiu būdu, kol suvartosite visą vaikui skirtą dozę. </w:t>
      </w:r>
      <w:bookmarkEnd w:id="69"/>
      <w:r w:rsidRPr="001D5FF7">
        <w:rPr>
          <w:rFonts w:eastAsia="Calibri"/>
        </w:rPr>
        <w:t>Pavyzdžiui, jeigu reikia suvartoti 15 ml dozę, Jums prireiks vieno pilno ir pusės švirkšto vaisto.</w:t>
      </w:r>
    </w:p>
    <w:p w14:paraId="27F8DD31" w14:textId="77777777" w:rsidR="00AA471E" w:rsidRPr="001D5FF7" w:rsidRDefault="00AA471E" w:rsidP="00AA471E">
      <w:pPr>
        <w:ind w:left="540" w:hanging="540"/>
        <w:rPr>
          <w:rFonts w:eastAsia="Calibri"/>
        </w:rPr>
      </w:pPr>
      <w:r w:rsidRPr="001D5FF7">
        <w:rPr>
          <w:rFonts w:eastAsia="Calibri"/>
        </w:rPr>
        <w:t>9.</w:t>
      </w:r>
      <w:r w:rsidRPr="001D5FF7">
        <w:rPr>
          <w:rFonts w:eastAsia="Calibri"/>
        </w:rPr>
        <w:tab/>
      </w:r>
      <w:r w:rsidRPr="001D5FF7">
        <w:rPr>
          <w:rFonts w:eastAsia="Calibri"/>
          <w:b/>
        </w:rPr>
        <w:t>Ištraukite švirkštą iš buteliuko</w:t>
      </w:r>
      <w:r w:rsidRPr="001D5FF7">
        <w:rPr>
          <w:rFonts w:eastAsia="Calibri"/>
        </w:rPr>
        <w:t xml:space="preserve"> ir kruopščiai </w:t>
      </w:r>
      <w:r w:rsidRPr="001D5FF7">
        <w:rPr>
          <w:rFonts w:eastAsia="Calibri"/>
          <w:b/>
        </w:rPr>
        <w:t>išplaukite</w:t>
      </w:r>
      <w:r w:rsidRPr="001D5FF7">
        <w:rPr>
          <w:rFonts w:eastAsia="Calibri"/>
        </w:rPr>
        <w:t xml:space="preserve"> švariu vandeniu. Leiskite pilnai išdžiūti prieš kartotinai vartojant.</w:t>
      </w:r>
    </w:p>
    <w:p w14:paraId="114A5BEC" w14:textId="77777777" w:rsidR="00AA471E" w:rsidRPr="00C07A3C" w:rsidRDefault="00AA471E" w:rsidP="00AA471E">
      <w:pPr>
        <w:ind w:left="540" w:hanging="540"/>
        <w:rPr>
          <w:rFonts w:eastAsia="Calibri"/>
        </w:rPr>
      </w:pPr>
      <w:r w:rsidRPr="001D5FF7">
        <w:rPr>
          <w:rFonts w:eastAsia="Calibri"/>
        </w:rPr>
        <w:t>10.</w:t>
      </w:r>
      <w:r w:rsidRPr="001D5FF7">
        <w:rPr>
          <w:rFonts w:eastAsia="Calibri"/>
        </w:rPr>
        <w:tab/>
      </w:r>
      <w:r w:rsidRPr="001D5FF7">
        <w:rPr>
          <w:rFonts w:eastAsia="Calibri"/>
          <w:b/>
        </w:rPr>
        <w:t>Buteliuką sandariai uždarykite</w:t>
      </w:r>
      <w:r w:rsidRPr="001D5FF7">
        <w:rPr>
          <w:rFonts w:eastAsia="Calibri"/>
        </w:rPr>
        <w:t xml:space="preserve"> dangteliu neišimdami adapterio.</w:t>
      </w:r>
    </w:p>
    <w:p w14:paraId="7D705477" w14:textId="7BE70A87" w:rsidR="00137990" w:rsidRDefault="00137990"/>
    <w:p w14:paraId="698BCEB5" w14:textId="77777777" w:rsidR="00DE18D8" w:rsidRDefault="00DE18D8"/>
    <w:sectPr w:rsidR="00DE18D8" w:rsidSect="00894113">
      <w:headerReference w:type="default" r:id="rId25"/>
      <w:footerReference w:type="even" r:id="rId26"/>
      <w:footerReference w:type="default" r:id="rId2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6DE5" w14:textId="77777777" w:rsidR="00AB3BEA" w:rsidRDefault="00AB3BEA" w:rsidP="008661CD">
      <w:r>
        <w:separator/>
      </w:r>
    </w:p>
  </w:endnote>
  <w:endnote w:type="continuationSeparator" w:id="0">
    <w:p w14:paraId="57713250" w14:textId="77777777" w:rsidR="00AB3BEA" w:rsidRDefault="00AB3BEA" w:rsidP="008661CD">
      <w:r>
        <w:continuationSeparator/>
      </w:r>
    </w:p>
  </w:endnote>
  <w:endnote w:type="continuationNotice" w:id="1">
    <w:p w14:paraId="2CDCF768" w14:textId="77777777" w:rsidR="00AB3BEA" w:rsidRDefault="00AB3BEA" w:rsidP="0086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3077" w14:textId="77777777" w:rsidR="00B850DA" w:rsidRDefault="00B850DA" w:rsidP="00894113">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6</w:t>
    </w:r>
    <w:r>
      <w:rPr>
        <w:rStyle w:val="Puslapionumeris"/>
      </w:rPr>
      <w:fldChar w:fldCharType="end"/>
    </w:r>
  </w:p>
  <w:p w14:paraId="5C951913" w14:textId="77777777" w:rsidR="00B850DA" w:rsidRDefault="00B850D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24C1" w14:textId="5EA97DCF" w:rsidR="00B850DA" w:rsidRDefault="00B850DA" w:rsidP="0089411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597E">
      <w:rPr>
        <w:rStyle w:val="Puslapionumeris"/>
        <w:noProof/>
      </w:rPr>
      <w:t>4</w:t>
    </w:r>
    <w:r w:rsidR="00B2597E">
      <w:rPr>
        <w:rStyle w:val="Puslapionumeris"/>
        <w:noProof/>
      </w:rPr>
      <w:t>4</w:t>
    </w:r>
    <w:r>
      <w:rPr>
        <w:rStyle w:val="Puslapionumeris"/>
      </w:rPr>
      <w:fldChar w:fldCharType="end"/>
    </w:r>
  </w:p>
  <w:p w14:paraId="1159D6BC" w14:textId="77777777" w:rsidR="00B850DA" w:rsidRDefault="00B850DA">
    <w:pPr>
      <w:pStyle w:val="Porat"/>
      <w:framePr w:wrap="around" w:vAnchor="text" w:hAnchor="margin" w:xAlign="right" w:y="1"/>
      <w:rPr>
        <w:rStyle w:val="Puslapionumeris"/>
        <w:lang w:val="lt-LT"/>
      </w:rPr>
    </w:pPr>
  </w:p>
  <w:p w14:paraId="3E8F9CE0" w14:textId="77777777" w:rsidR="00B850DA" w:rsidRDefault="00B850DA">
    <w:pPr>
      <w:pStyle w:val="Porat"/>
      <w:ind w:right="360"/>
      <w:jc w:val="center"/>
      <w:rPr>
        <w:rStyle w:val="Puslapionumeris"/>
        <w:rFonts w:ascii="Arial" w:hAnsi="Arial" w:cs="Arial"/>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A71F" w14:textId="77777777" w:rsidR="00AB3BEA" w:rsidRDefault="00AB3BEA" w:rsidP="008661CD">
      <w:r>
        <w:separator/>
      </w:r>
    </w:p>
  </w:footnote>
  <w:footnote w:type="continuationSeparator" w:id="0">
    <w:p w14:paraId="4E9D9277" w14:textId="77777777" w:rsidR="00AB3BEA" w:rsidRDefault="00AB3BEA" w:rsidP="008661CD">
      <w:r>
        <w:continuationSeparator/>
      </w:r>
    </w:p>
  </w:footnote>
  <w:footnote w:type="continuationNotice" w:id="1">
    <w:p w14:paraId="7FF5B61A" w14:textId="77777777" w:rsidR="00AB3BEA" w:rsidRDefault="00AB3BEA" w:rsidP="00866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55E7" w14:textId="77777777" w:rsidR="00DE2F83" w:rsidRDefault="00DE2F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580F"/>
    <w:multiLevelType w:val="hybridMultilevel"/>
    <w:tmpl w:val="EA2E8EB2"/>
    <w:lvl w:ilvl="0" w:tplc="D6448604">
      <w:start w:val="1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12C80"/>
    <w:multiLevelType w:val="hybridMultilevel"/>
    <w:tmpl w:val="AF0C1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41A2443"/>
    <w:multiLevelType w:val="hybridMultilevel"/>
    <w:tmpl w:val="5FFCBB86"/>
    <w:lvl w:ilvl="0" w:tplc="D84EB634">
      <w:start w:val="1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05ACF"/>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86B529D"/>
    <w:multiLevelType w:val="hybridMultilevel"/>
    <w:tmpl w:val="0E9242DA"/>
    <w:lvl w:ilvl="0" w:tplc="B04AB52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F5873"/>
    <w:multiLevelType w:val="hybridMultilevel"/>
    <w:tmpl w:val="28F22C70"/>
    <w:lvl w:ilvl="0" w:tplc="E4448262">
      <w:start w:val="1"/>
      <w:numFmt w:val="bullet"/>
      <w:lvlText w:val="-"/>
      <w:lvlJc w:val="left"/>
      <w:pPr>
        <w:tabs>
          <w:tab w:val="num" w:pos="624"/>
        </w:tabs>
        <w:ind w:left="624" w:hanging="567"/>
      </w:pPr>
      <w:rPr>
        <w:rFonts w:ascii="Times New Roman" w:hAnsi="Times New Roman" w:cs="Times New Roman" w:hint="default"/>
      </w:rPr>
    </w:lvl>
    <w:lvl w:ilvl="1" w:tplc="04270003" w:tentative="1">
      <w:start w:val="1"/>
      <w:numFmt w:val="bullet"/>
      <w:lvlText w:val="o"/>
      <w:lvlJc w:val="left"/>
      <w:pPr>
        <w:tabs>
          <w:tab w:val="num" w:pos="1497"/>
        </w:tabs>
        <w:ind w:left="1497" w:hanging="360"/>
      </w:pPr>
      <w:rPr>
        <w:rFonts w:ascii="Courier New" w:hAnsi="Courier New" w:cs="Courier New" w:hint="default"/>
      </w:rPr>
    </w:lvl>
    <w:lvl w:ilvl="2" w:tplc="04270005" w:tentative="1">
      <w:start w:val="1"/>
      <w:numFmt w:val="bullet"/>
      <w:lvlText w:val=""/>
      <w:lvlJc w:val="left"/>
      <w:pPr>
        <w:tabs>
          <w:tab w:val="num" w:pos="2217"/>
        </w:tabs>
        <w:ind w:left="2217" w:hanging="360"/>
      </w:pPr>
      <w:rPr>
        <w:rFonts w:ascii="Wingdings" w:hAnsi="Wingdings" w:hint="default"/>
      </w:rPr>
    </w:lvl>
    <w:lvl w:ilvl="3" w:tplc="04270001" w:tentative="1">
      <w:start w:val="1"/>
      <w:numFmt w:val="bullet"/>
      <w:lvlText w:val=""/>
      <w:lvlJc w:val="left"/>
      <w:pPr>
        <w:tabs>
          <w:tab w:val="num" w:pos="2937"/>
        </w:tabs>
        <w:ind w:left="2937" w:hanging="360"/>
      </w:pPr>
      <w:rPr>
        <w:rFonts w:ascii="Symbol" w:hAnsi="Symbol" w:hint="default"/>
      </w:rPr>
    </w:lvl>
    <w:lvl w:ilvl="4" w:tplc="04270003" w:tentative="1">
      <w:start w:val="1"/>
      <w:numFmt w:val="bullet"/>
      <w:lvlText w:val="o"/>
      <w:lvlJc w:val="left"/>
      <w:pPr>
        <w:tabs>
          <w:tab w:val="num" w:pos="3657"/>
        </w:tabs>
        <w:ind w:left="3657" w:hanging="360"/>
      </w:pPr>
      <w:rPr>
        <w:rFonts w:ascii="Courier New" w:hAnsi="Courier New" w:cs="Courier New" w:hint="default"/>
      </w:rPr>
    </w:lvl>
    <w:lvl w:ilvl="5" w:tplc="04270005" w:tentative="1">
      <w:start w:val="1"/>
      <w:numFmt w:val="bullet"/>
      <w:lvlText w:val=""/>
      <w:lvlJc w:val="left"/>
      <w:pPr>
        <w:tabs>
          <w:tab w:val="num" w:pos="4377"/>
        </w:tabs>
        <w:ind w:left="4377" w:hanging="360"/>
      </w:pPr>
      <w:rPr>
        <w:rFonts w:ascii="Wingdings" w:hAnsi="Wingdings" w:hint="default"/>
      </w:rPr>
    </w:lvl>
    <w:lvl w:ilvl="6" w:tplc="04270001" w:tentative="1">
      <w:start w:val="1"/>
      <w:numFmt w:val="bullet"/>
      <w:lvlText w:val=""/>
      <w:lvlJc w:val="left"/>
      <w:pPr>
        <w:tabs>
          <w:tab w:val="num" w:pos="5097"/>
        </w:tabs>
        <w:ind w:left="5097" w:hanging="360"/>
      </w:pPr>
      <w:rPr>
        <w:rFonts w:ascii="Symbol" w:hAnsi="Symbol" w:hint="default"/>
      </w:rPr>
    </w:lvl>
    <w:lvl w:ilvl="7" w:tplc="04270003" w:tentative="1">
      <w:start w:val="1"/>
      <w:numFmt w:val="bullet"/>
      <w:lvlText w:val="o"/>
      <w:lvlJc w:val="left"/>
      <w:pPr>
        <w:tabs>
          <w:tab w:val="num" w:pos="5817"/>
        </w:tabs>
        <w:ind w:left="5817" w:hanging="360"/>
      </w:pPr>
      <w:rPr>
        <w:rFonts w:ascii="Courier New" w:hAnsi="Courier New" w:cs="Courier New" w:hint="default"/>
      </w:rPr>
    </w:lvl>
    <w:lvl w:ilvl="8" w:tplc="0427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B172B"/>
    <w:multiLevelType w:val="hybridMultilevel"/>
    <w:tmpl w:val="B3EA927E"/>
    <w:lvl w:ilvl="0" w:tplc="866A0322">
      <w:numFmt w:val="bullet"/>
      <w:lvlText w:val=""/>
      <w:lvlJc w:val="left"/>
      <w:pPr>
        <w:tabs>
          <w:tab w:val="num" w:pos="357"/>
        </w:tabs>
        <w:ind w:left="357" w:hanging="357"/>
      </w:pPr>
      <w:rPr>
        <w:rFonts w:ascii="Wingdings" w:hAnsi="Wingdings" w:cs="Wingdings" w:hint="default"/>
        <w:b/>
        <w:bCs/>
        <w:i w:val="0"/>
        <w:iCs w:val="0"/>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02E1E"/>
    <w:multiLevelType w:val="hybridMultilevel"/>
    <w:tmpl w:val="9EC44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03EE6"/>
    <w:multiLevelType w:val="hybridMultilevel"/>
    <w:tmpl w:val="F1DC30B4"/>
    <w:lvl w:ilvl="0" w:tplc="D23CEA2A">
      <w:start w:val="1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A23F0"/>
    <w:multiLevelType w:val="hybridMultilevel"/>
    <w:tmpl w:val="EA566F16"/>
    <w:lvl w:ilvl="0" w:tplc="C038A71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225D6"/>
    <w:multiLevelType w:val="hybridMultilevel"/>
    <w:tmpl w:val="685CE77E"/>
    <w:lvl w:ilvl="0" w:tplc="7750C47E">
      <w:start w:val="1"/>
      <w:numFmt w:val="bullet"/>
      <w:lvlText w:val=""/>
      <w:lvlJc w:val="left"/>
      <w:pPr>
        <w:tabs>
          <w:tab w:val="num" w:pos="921"/>
        </w:tabs>
        <w:ind w:left="921"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20EBD"/>
    <w:multiLevelType w:val="hybridMultilevel"/>
    <w:tmpl w:val="5C3CEC40"/>
    <w:lvl w:ilvl="0" w:tplc="C4E2847A">
      <w:start w:val="1"/>
      <w:numFmt w:val="decimal"/>
      <w:lvlText w:val="%1."/>
      <w:lvlJc w:val="left"/>
      <w:pPr>
        <w:ind w:left="720" w:hanging="360"/>
      </w:pPr>
      <w:rPr>
        <w:rFonts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72425"/>
    <w:multiLevelType w:val="hybridMultilevel"/>
    <w:tmpl w:val="BA4EE5A2"/>
    <w:lvl w:ilvl="0" w:tplc="04270001">
      <w:start w:val="1"/>
      <w:numFmt w:val="bullet"/>
      <w:lvlText w:val=""/>
      <w:lvlJc w:val="left"/>
      <w:pPr>
        <w:ind w:left="1281" w:hanging="360"/>
      </w:pPr>
      <w:rPr>
        <w:rFonts w:ascii="Symbol" w:hAnsi="Symbol" w:hint="default"/>
      </w:rPr>
    </w:lvl>
    <w:lvl w:ilvl="1" w:tplc="04270003" w:tentative="1">
      <w:start w:val="1"/>
      <w:numFmt w:val="bullet"/>
      <w:lvlText w:val="o"/>
      <w:lvlJc w:val="left"/>
      <w:pPr>
        <w:ind w:left="2001" w:hanging="360"/>
      </w:pPr>
      <w:rPr>
        <w:rFonts w:ascii="Courier New" w:hAnsi="Courier New" w:cs="Courier New" w:hint="default"/>
      </w:rPr>
    </w:lvl>
    <w:lvl w:ilvl="2" w:tplc="04270005" w:tentative="1">
      <w:start w:val="1"/>
      <w:numFmt w:val="bullet"/>
      <w:lvlText w:val=""/>
      <w:lvlJc w:val="left"/>
      <w:pPr>
        <w:ind w:left="2721" w:hanging="360"/>
      </w:pPr>
      <w:rPr>
        <w:rFonts w:ascii="Wingdings" w:hAnsi="Wingdings" w:hint="default"/>
      </w:rPr>
    </w:lvl>
    <w:lvl w:ilvl="3" w:tplc="04270001" w:tentative="1">
      <w:start w:val="1"/>
      <w:numFmt w:val="bullet"/>
      <w:lvlText w:val=""/>
      <w:lvlJc w:val="left"/>
      <w:pPr>
        <w:ind w:left="3441" w:hanging="360"/>
      </w:pPr>
      <w:rPr>
        <w:rFonts w:ascii="Symbol" w:hAnsi="Symbol" w:hint="default"/>
      </w:rPr>
    </w:lvl>
    <w:lvl w:ilvl="4" w:tplc="04270003" w:tentative="1">
      <w:start w:val="1"/>
      <w:numFmt w:val="bullet"/>
      <w:lvlText w:val="o"/>
      <w:lvlJc w:val="left"/>
      <w:pPr>
        <w:ind w:left="4161" w:hanging="360"/>
      </w:pPr>
      <w:rPr>
        <w:rFonts w:ascii="Courier New" w:hAnsi="Courier New" w:cs="Courier New" w:hint="default"/>
      </w:rPr>
    </w:lvl>
    <w:lvl w:ilvl="5" w:tplc="04270005" w:tentative="1">
      <w:start w:val="1"/>
      <w:numFmt w:val="bullet"/>
      <w:lvlText w:val=""/>
      <w:lvlJc w:val="left"/>
      <w:pPr>
        <w:ind w:left="4881" w:hanging="360"/>
      </w:pPr>
      <w:rPr>
        <w:rFonts w:ascii="Wingdings" w:hAnsi="Wingdings" w:hint="default"/>
      </w:rPr>
    </w:lvl>
    <w:lvl w:ilvl="6" w:tplc="04270001" w:tentative="1">
      <w:start w:val="1"/>
      <w:numFmt w:val="bullet"/>
      <w:lvlText w:val=""/>
      <w:lvlJc w:val="left"/>
      <w:pPr>
        <w:ind w:left="5601" w:hanging="360"/>
      </w:pPr>
      <w:rPr>
        <w:rFonts w:ascii="Symbol" w:hAnsi="Symbol" w:hint="default"/>
      </w:rPr>
    </w:lvl>
    <w:lvl w:ilvl="7" w:tplc="04270003" w:tentative="1">
      <w:start w:val="1"/>
      <w:numFmt w:val="bullet"/>
      <w:lvlText w:val="o"/>
      <w:lvlJc w:val="left"/>
      <w:pPr>
        <w:ind w:left="6321" w:hanging="360"/>
      </w:pPr>
      <w:rPr>
        <w:rFonts w:ascii="Courier New" w:hAnsi="Courier New" w:cs="Courier New" w:hint="default"/>
      </w:rPr>
    </w:lvl>
    <w:lvl w:ilvl="8" w:tplc="04270005" w:tentative="1">
      <w:start w:val="1"/>
      <w:numFmt w:val="bullet"/>
      <w:lvlText w:val=""/>
      <w:lvlJc w:val="left"/>
      <w:pPr>
        <w:ind w:left="7041" w:hanging="360"/>
      </w:pPr>
      <w:rPr>
        <w:rFonts w:ascii="Wingdings" w:hAnsi="Wingdings" w:hint="default"/>
      </w:rPr>
    </w:lvl>
  </w:abstractNum>
  <w:abstractNum w:abstractNumId="23" w15:restartNumberingAfterBreak="0">
    <w:nsid w:val="600C717E"/>
    <w:multiLevelType w:val="hybridMultilevel"/>
    <w:tmpl w:val="F17226F8"/>
    <w:lvl w:ilvl="0" w:tplc="5A6A07EA">
      <w:start w:val="1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9C7D4A"/>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26"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CE43134"/>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E3076EC"/>
    <w:multiLevelType w:val="hybridMultilevel"/>
    <w:tmpl w:val="437A2886"/>
    <w:lvl w:ilvl="0" w:tplc="1A266460">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317ECE"/>
    <w:multiLevelType w:val="hybridMultilevel"/>
    <w:tmpl w:val="CC046914"/>
    <w:lvl w:ilvl="0" w:tplc="C4E2847A">
      <w:start w:val="1"/>
      <w:numFmt w:val="decimal"/>
      <w:lvlText w:val="%1."/>
      <w:lvlJc w:val="left"/>
      <w:pPr>
        <w:ind w:left="644"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E1550E"/>
    <w:multiLevelType w:val="hybridMultilevel"/>
    <w:tmpl w:val="50309A2A"/>
    <w:lvl w:ilvl="0" w:tplc="04270001">
      <w:start w:val="1"/>
      <w:numFmt w:val="bullet"/>
      <w:lvlText w:val=""/>
      <w:lvlJc w:val="left"/>
      <w:pPr>
        <w:tabs>
          <w:tab w:val="num" w:pos="624"/>
        </w:tabs>
        <w:ind w:left="624" w:hanging="567"/>
      </w:pPr>
      <w:rPr>
        <w:rFonts w:ascii="Symbol" w:hAnsi="Symbol" w:hint="default"/>
      </w:rPr>
    </w:lvl>
    <w:lvl w:ilvl="1" w:tplc="FFFFFFFF" w:tentative="1">
      <w:start w:val="1"/>
      <w:numFmt w:val="bullet"/>
      <w:lvlText w:val="o"/>
      <w:lvlJc w:val="left"/>
      <w:pPr>
        <w:tabs>
          <w:tab w:val="num" w:pos="1497"/>
        </w:tabs>
        <w:ind w:left="1497" w:hanging="360"/>
      </w:pPr>
      <w:rPr>
        <w:rFonts w:ascii="Courier New" w:hAnsi="Courier New" w:cs="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cs="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cs="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32" w15:restartNumberingAfterBreak="0">
    <w:nsid w:val="79923B43"/>
    <w:multiLevelType w:val="hybridMultilevel"/>
    <w:tmpl w:val="BACEEEFA"/>
    <w:lvl w:ilvl="0" w:tplc="FEA2497E">
      <w:start w:val="1"/>
      <w:numFmt w:val="bullet"/>
      <w:lvlText w:val=""/>
      <w:lvlJc w:val="left"/>
      <w:pPr>
        <w:tabs>
          <w:tab w:val="num" w:pos="567"/>
        </w:tabs>
        <w:ind w:left="567" w:hanging="567"/>
      </w:pPr>
      <w:rPr>
        <w:rFonts w:ascii="Wingdings" w:hAnsi="Wingdings" w:cs="Wingdings" w:hint="default"/>
        <w:b/>
        <w:bCs/>
        <w:i w:val="0"/>
        <w:iCs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4263CB"/>
    <w:multiLevelType w:val="hybridMultilevel"/>
    <w:tmpl w:val="B038F006"/>
    <w:lvl w:ilvl="0" w:tplc="7F58D7A6">
      <w:start w:val="15"/>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5"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9438277">
    <w:abstractNumId w:val="0"/>
    <w:lvlOverride w:ilvl="0">
      <w:lvl w:ilvl="0">
        <w:start w:val="1"/>
        <w:numFmt w:val="bullet"/>
        <w:lvlText w:val="-"/>
        <w:legacy w:legacy="1" w:legacySpace="0" w:legacyIndent="360"/>
        <w:lvlJc w:val="left"/>
        <w:pPr>
          <w:ind w:left="360" w:hanging="360"/>
        </w:pPr>
      </w:lvl>
    </w:lvlOverride>
  </w:num>
  <w:num w:numId="2" w16cid:durableId="216748839">
    <w:abstractNumId w:val="5"/>
  </w:num>
  <w:num w:numId="3" w16cid:durableId="1241715349">
    <w:abstractNumId w:val="16"/>
  </w:num>
  <w:num w:numId="4" w16cid:durableId="706223966">
    <w:abstractNumId w:val="11"/>
  </w:num>
  <w:num w:numId="5" w16cid:durableId="1880194856">
    <w:abstractNumId w:val="8"/>
  </w:num>
  <w:num w:numId="6" w16cid:durableId="1671106468">
    <w:abstractNumId w:val="28"/>
  </w:num>
  <w:num w:numId="7" w16cid:durableId="1398089860">
    <w:abstractNumId w:val="24"/>
  </w:num>
  <w:num w:numId="8" w16cid:durableId="1356081107">
    <w:abstractNumId w:val="26"/>
  </w:num>
  <w:num w:numId="9" w16cid:durableId="1061444553">
    <w:abstractNumId w:val="35"/>
  </w:num>
  <w:num w:numId="10" w16cid:durableId="2089450761">
    <w:abstractNumId w:val="4"/>
  </w:num>
  <w:num w:numId="11" w16cid:durableId="1825468400">
    <w:abstractNumId w:val="25"/>
  </w:num>
  <w:num w:numId="12" w16cid:durableId="1338382027">
    <w:abstractNumId w:val="19"/>
  </w:num>
  <w:num w:numId="13" w16cid:durableId="1894002219">
    <w:abstractNumId w:val="15"/>
  </w:num>
  <w:num w:numId="14" w16cid:durableId="1735622652">
    <w:abstractNumId w:val="13"/>
  </w:num>
  <w:num w:numId="15" w16cid:durableId="418521070">
    <w:abstractNumId w:val="7"/>
  </w:num>
  <w:num w:numId="16" w16cid:durableId="1407727489">
    <w:abstractNumId w:val="3"/>
  </w:num>
  <w:num w:numId="17" w16cid:durableId="1803419851">
    <w:abstractNumId w:val="21"/>
  </w:num>
  <w:num w:numId="18" w16cid:durableId="1597785636">
    <w:abstractNumId w:val="34"/>
  </w:num>
  <w:num w:numId="19" w16cid:durableId="414742500">
    <w:abstractNumId w:val="12"/>
  </w:num>
  <w:num w:numId="20" w16cid:durableId="202716720">
    <w:abstractNumId w:val="32"/>
  </w:num>
  <w:num w:numId="21" w16cid:durableId="2071922358">
    <w:abstractNumId w:val="14"/>
  </w:num>
  <w:num w:numId="22" w16cid:durableId="128667583">
    <w:abstractNumId w:val="27"/>
  </w:num>
  <w:num w:numId="23" w16cid:durableId="449057069">
    <w:abstractNumId w:val="18"/>
  </w:num>
  <w:num w:numId="24" w16cid:durableId="1058748779">
    <w:abstractNumId w:val="29"/>
  </w:num>
  <w:num w:numId="25" w16cid:durableId="1633437897">
    <w:abstractNumId w:val="20"/>
  </w:num>
  <w:num w:numId="26" w16cid:durableId="99448224">
    <w:abstractNumId w:val="30"/>
  </w:num>
  <w:num w:numId="27" w16cid:durableId="1594822649">
    <w:abstractNumId w:val="22"/>
  </w:num>
  <w:num w:numId="28" w16cid:durableId="1027103295">
    <w:abstractNumId w:val="10"/>
  </w:num>
  <w:num w:numId="29" w16cid:durableId="1230309091">
    <w:abstractNumId w:val="31"/>
  </w:num>
  <w:num w:numId="30" w16cid:durableId="458452365">
    <w:abstractNumId w:val="2"/>
  </w:num>
  <w:num w:numId="31" w16cid:durableId="317463004">
    <w:abstractNumId w:val="33"/>
  </w:num>
  <w:num w:numId="32" w16cid:durableId="150484526">
    <w:abstractNumId w:val="6"/>
  </w:num>
  <w:num w:numId="33" w16cid:durableId="1930237772">
    <w:abstractNumId w:val="23"/>
  </w:num>
  <w:num w:numId="34" w16cid:durableId="1645087365">
    <w:abstractNumId w:val="1"/>
  </w:num>
  <w:num w:numId="35" w16cid:durableId="106127361">
    <w:abstractNumId w:val="17"/>
  </w:num>
  <w:num w:numId="36" w16cid:durableId="1764258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8A"/>
    <w:rsid w:val="00001567"/>
    <w:rsid w:val="00007F6A"/>
    <w:rsid w:val="000159C7"/>
    <w:rsid w:val="00020E68"/>
    <w:rsid w:val="000445F5"/>
    <w:rsid w:val="00051BB3"/>
    <w:rsid w:val="00051F3A"/>
    <w:rsid w:val="000540F9"/>
    <w:rsid w:val="000609A6"/>
    <w:rsid w:val="0006264A"/>
    <w:rsid w:val="000750B7"/>
    <w:rsid w:val="00084D7C"/>
    <w:rsid w:val="00090104"/>
    <w:rsid w:val="000909C4"/>
    <w:rsid w:val="00091C34"/>
    <w:rsid w:val="00096E1B"/>
    <w:rsid w:val="000A5C30"/>
    <w:rsid w:val="000B404E"/>
    <w:rsid w:val="000B6AE0"/>
    <w:rsid w:val="000D6620"/>
    <w:rsid w:val="000D6689"/>
    <w:rsid w:val="000E2855"/>
    <w:rsid w:val="000F30A6"/>
    <w:rsid w:val="000F3553"/>
    <w:rsid w:val="000F4C41"/>
    <w:rsid w:val="000F6DE4"/>
    <w:rsid w:val="00114810"/>
    <w:rsid w:val="00115D5F"/>
    <w:rsid w:val="00122FB5"/>
    <w:rsid w:val="001254EF"/>
    <w:rsid w:val="0012689E"/>
    <w:rsid w:val="00137990"/>
    <w:rsid w:val="0015205C"/>
    <w:rsid w:val="0016206C"/>
    <w:rsid w:val="00180413"/>
    <w:rsid w:val="001878E5"/>
    <w:rsid w:val="00192335"/>
    <w:rsid w:val="00194D19"/>
    <w:rsid w:val="00196850"/>
    <w:rsid w:val="001A39BE"/>
    <w:rsid w:val="001B2871"/>
    <w:rsid w:val="001D14F8"/>
    <w:rsid w:val="001D5FF7"/>
    <w:rsid w:val="001E1A22"/>
    <w:rsid w:val="001E3979"/>
    <w:rsid w:val="002010B3"/>
    <w:rsid w:val="002136EB"/>
    <w:rsid w:val="002153AB"/>
    <w:rsid w:val="00215DA7"/>
    <w:rsid w:val="002231B0"/>
    <w:rsid w:val="002262B1"/>
    <w:rsid w:val="00231F1F"/>
    <w:rsid w:val="00232D85"/>
    <w:rsid w:val="0023469A"/>
    <w:rsid w:val="002368BE"/>
    <w:rsid w:val="0024567F"/>
    <w:rsid w:val="00246E3C"/>
    <w:rsid w:val="00255E66"/>
    <w:rsid w:val="0025636F"/>
    <w:rsid w:val="002563D5"/>
    <w:rsid w:val="0026042C"/>
    <w:rsid w:val="0027019D"/>
    <w:rsid w:val="00275DDF"/>
    <w:rsid w:val="002A3720"/>
    <w:rsid w:val="002A4076"/>
    <w:rsid w:val="002A5D82"/>
    <w:rsid w:val="002B330B"/>
    <w:rsid w:val="002B35AB"/>
    <w:rsid w:val="002B44B7"/>
    <w:rsid w:val="002B7E4B"/>
    <w:rsid w:val="002C14F2"/>
    <w:rsid w:val="002C4E86"/>
    <w:rsid w:val="002C5B54"/>
    <w:rsid w:val="002D0BEA"/>
    <w:rsid w:val="002E78FA"/>
    <w:rsid w:val="00312527"/>
    <w:rsid w:val="00312E6D"/>
    <w:rsid w:val="00312E9B"/>
    <w:rsid w:val="00316243"/>
    <w:rsid w:val="003403BF"/>
    <w:rsid w:val="00362B92"/>
    <w:rsid w:val="00370761"/>
    <w:rsid w:val="00370C01"/>
    <w:rsid w:val="003820B3"/>
    <w:rsid w:val="0038275E"/>
    <w:rsid w:val="00390F94"/>
    <w:rsid w:val="00391777"/>
    <w:rsid w:val="003B4ADE"/>
    <w:rsid w:val="003B611D"/>
    <w:rsid w:val="003C4157"/>
    <w:rsid w:val="003E09E0"/>
    <w:rsid w:val="003E360A"/>
    <w:rsid w:val="003F2972"/>
    <w:rsid w:val="003F2CC8"/>
    <w:rsid w:val="0040039C"/>
    <w:rsid w:val="0043226E"/>
    <w:rsid w:val="00434A00"/>
    <w:rsid w:val="00435006"/>
    <w:rsid w:val="00441205"/>
    <w:rsid w:val="00443984"/>
    <w:rsid w:val="004452F0"/>
    <w:rsid w:val="004468C8"/>
    <w:rsid w:val="00447637"/>
    <w:rsid w:val="0045387E"/>
    <w:rsid w:val="00454A2D"/>
    <w:rsid w:val="0045789A"/>
    <w:rsid w:val="004674F5"/>
    <w:rsid w:val="004707B7"/>
    <w:rsid w:val="004802E3"/>
    <w:rsid w:val="004822DD"/>
    <w:rsid w:val="004906D7"/>
    <w:rsid w:val="00490B45"/>
    <w:rsid w:val="00494B84"/>
    <w:rsid w:val="00496485"/>
    <w:rsid w:val="004A5B9D"/>
    <w:rsid w:val="004B00A8"/>
    <w:rsid w:val="004B0A59"/>
    <w:rsid w:val="004D00AD"/>
    <w:rsid w:val="004E4257"/>
    <w:rsid w:val="004E79C7"/>
    <w:rsid w:val="005005A6"/>
    <w:rsid w:val="005076F0"/>
    <w:rsid w:val="0052310E"/>
    <w:rsid w:val="0053019C"/>
    <w:rsid w:val="00535996"/>
    <w:rsid w:val="00537E8B"/>
    <w:rsid w:val="00550DBA"/>
    <w:rsid w:val="00551829"/>
    <w:rsid w:val="005615B5"/>
    <w:rsid w:val="005713B5"/>
    <w:rsid w:val="00572457"/>
    <w:rsid w:val="0059070D"/>
    <w:rsid w:val="005C5EC2"/>
    <w:rsid w:val="005D0E75"/>
    <w:rsid w:val="005E59F8"/>
    <w:rsid w:val="005E76FC"/>
    <w:rsid w:val="005F27A0"/>
    <w:rsid w:val="005F7490"/>
    <w:rsid w:val="00600A40"/>
    <w:rsid w:val="006023F8"/>
    <w:rsid w:val="00620876"/>
    <w:rsid w:val="00620AF9"/>
    <w:rsid w:val="00626BDC"/>
    <w:rsid w:val="00627BA5"/>
    <w:rsid w:val="0063352A"/>
    <w:rsid w:val="00633D65"/>
    <w:rsid w:val="00665806"/>
    <w:rsid w:val="00682427"/>
    <w:rsid w:val="006951B3"/>
    <w:rsid w:val="006B5F08"/>
    <w:rsid w:val="006D0F52"/>
    <w:rsid w:val="006D5BAE"/>
    <w:rsid w:val="006F379A"/>
    <w:rsid w:val="00712B15"/>
    <w:rsid w:val="00720FF6"/>
    <w:rsid w:val="00724236"/>
    <w:rsid w:val="00742A9B"/>
    <w:rsid w:val="00746AD1"/>
    <w:rsid w:val="00772556"/>
    <w:rsid w:val="00773389"/>
    <w:rsid w:val="0077774F"/>
    <w:rsid w:val="0078026E"/>
    <w:rsid w:val="007871A7"/>
    <w:rsid w:val="007906B1"/>
    <w:rsid w:val="00791249"/>
    <w:rsid w:val="00797166"/>
    <w:rsid w:val="007A14E7"/>
    <w:rsid w:val="007A66C0"/>
    <w:rsid w:val="007B1B26"/>
    <w:rsid w:val="007C7FF6"/>
    <w:rsid w:val="007D56B2"/>
    <w:rsid w:val="007E3AE0"/>
    <w:rsid w:val="007F0825"/>
    <w:rsid w:val="007F7FA1"/>
    <w:rsid w:val="008006A4"/>
    <w:rsid w:val="0080565C"/>
    <w:rsid w:val="0082231F"/>
    <w:rsid w:val="0083336E"/>
    <w:rsid w:val="00834057"/>
    <w:rsid w:val="00843E1A"/>
    <w:rsid w:val="0085312C"/>
    <w:rsid w:val="00855DEE"/>
    <w:rsid w:val="00857812"/>
    <w:rsid w:val="008661CD"/>
    <w:rsid w:val="008669A6"/>
    <w:rsid w:val="0087135F"/>
    <w:rsid w:val="00883879"/>
    <w:rsid w:val="00894113"/>
    <w:rsid w:val="008A084A"/>
    <w:rsid w:val="008A1C72"/>
    <w:rsid w:val="008A42FF"/>
    <w:rsid w:val="008B58A7"/>
    <w:rsid w:val="008C5EB7"/>
    <w:rsid w:val="008D2B47"/>
    <w:rsid w:val="008D37A1"/>
    <w:rsid w:val="008D432F"/>
    <w:rsid w:val="008E31F8"/>
    <w:rsid w:val="008E5985"/>
    <w:rsid w:val="008E5CB1"/>
    <w:rsid w:val="008F46C5"/>
    <w:rsid w:val="00902B56"/>
    <w:rsid w:val="009048DD"/>
    <w:rsid w:val="00906C09"/>
    <w:rsid w:val="00913990"/>
    <w:rsid w:val="0091424E"/>
    <w:rsid w:val="00915D52"/>
    <w:rsid w:val="00922D8A"/>
    <w:rsid w:val="00927012"/>
    <w:rsid w:val="0095414C"/>
    <w:rsid w:val="00955336"/>
    <w:rsid w:val="00980C0D"/>
    <w:rsid w:val="00990D07"/>
    <w:rsid w:val="00992BEC"/>
    <w:rsid w:val="009C0DB0"/>
    <w:rsid w:val="009C2836"/>
    <w:rsid w:val="009C690B"/>
    <w:rsid w:val="009C76D5"/>
    <w:rsid w:val="009D476A"/>
    <w:rsid w:val="009F2518"/>
    <w:rsid w:val="009F4E08"/>
    <w:rsid w:val="009F553D"/>
    <w:rsid w:val="00A065F2"/>
    <w:rsid w:val="00A1255B"/>
    <w:rsid w:val="00A14D63"/>
    <w:rsid w:val="00A21353"/>
    <w:rsid w:val="00A235CF"/>
    <w:rsid w:val="00A27C36"/>
    <w:rsid w:val="00A27FE7"/>
    <w:rsid w:val="00A36B6C"/>
    <w:rsid w:val="00A4029E"/>
    <w:rsid w:val="00A46785"/>
    <w:rsid w:val="00A5578D"/>
    <w:rsid w:val="00A632DA"/>
    <w:rsid w:val="00A6367E"/>
    <w:rsid w:val="00A73F7D"/>
    <w:rsid w:val="00A90235"/>
    <w:rsid w:val="00AA08CA"/>
    <w:rsid w:val="00AA471E"/>
    <w:rsid w:val="00AA518E"/>
    <w:rsid w:val="00AB159E"/>
    <w:rsid w:val="00AB3BEA"/>
    <w:rsid w:val="00AB6F54"/>
    <w:rsid w:val="00AB7FAE"/>
    <w:rsid w:val="00AC48F2"/>
    <w:rsid w:val="00AD66A8"/>
    <w:rsid w:val="00AE434E"/>
    <w:rsid w:val="00AE79A1"/>
    <w:rsid w:val="00AF0084"/>
    <w:rsid w:val="00B118B5"/>
    <w:rsid w:val="00B2116A"/>
    <w:rsid w:val="00B2597E"/>
    <w:rsid w:val="00B25D18"/>
    <w:rsid w:val="00B3511F"/>
    <w:rsid w:val="00B357BA"/>
    <w:rsid w:val="00B552BC"/>
    <w:rsid w:val="00B61765"/>
    <w:rsid w:val="00B62E37"/>
    <w:rsid w:val="00B70391"/>
    <w:rsid w:val="00B833F4"/>
    <w:rsid w:val="00B850DA"/>
    <w:rsid w:val="00B90A3E"/>
    <w:rsid w:val="00BA0137"/>
    <w:rsid w:val="00BC289B"/>
    <w:rsid w:val="00BF2DF6"/>
    <w:rsid w:val="00BF77A7"/>
    <w:rsid w:val="00BF7F89"/>
    <w:rsid w:val="00C04047"/>
    <w:rsid w:val="00C17EB3"/>
    <w:rsid w:val="00C21803"/>
    <w:rsid w:val="00C414FF"/>
    <w:rsid w:val="00C45D46"/>
    <w:rsid w:val="00C5051E"/>
    <w:rsid w:val="00C54742"/>
    <w:rsid w:val="00C6070D"/>
    <w:rsid w:val="00C77D95"/>
    <w:rsid w:val="00C8379A"/>
    <w:rsid w:val="00C914AC"/>
    <w:rsid w:val="00C964E0"/>
    <w:rsid w:val="00CA3D57"/>
    <w:rsid w:val="00CA72F8"/>
    <w:rsid w:val="00CB2F82"/>
    <w:rsid w:val="00CB4DA3"/>
    <w:rsid w:val="00CC5332"/>
    <w:rsid w:val="00CD0ED2"/>
    <w:rsid w:val="00CD3F19"/>
    <w:rsid w:val="00CD750B"/>
    <w:rsid w:val="00CF24B8"/>
    <w:rsid w:val="00CF729E"/>
    <w:rsid w:val="00D000FD"/>
    <w:rsid w:val="00D17021"/>
    <w:rsid w:val="00D178B3"/>
    <w:rsid w:val="00D25608"/>
    <w:rsid w:val="00D2748B"/>
    <w:rsid w:val="00D3069A"/>
    <w:rsid w:val="00D36315"/>
    <w:rsid w:val="00D47584"/>
    <w:rsid w:val="00D554D4"/>
    <w:rsid w:val="00D6299C"/>
    <w:rsid w:val="00D6429C"/>
    <w:rsid w:val="00D645DE"/>
    <w:rsid w:val="00D703A6"/>
    <w:rsid w:val="00D75713"/>
    <w:rsid w:val="00D9714F"/>
    <w:rsid w:val="00D9725E"/>
    <w:rsid w:val="00DA046F"/>
    <w:rsid w:val="00DA19AC"/>
    <w:rsid w:val="00DB1866"/>
    <w:rsid w:val="00DB5559"/>
    <w:rsid w:val="00DB69D3"/>
    <w:rsid w:val="00DE18D8"/>
    <w:rsid w:val="00DE2F83"/>
    <w:rsid w:val="00E0266F"/>
    <w:rsid w:val="00E05E57"/>
    <w:rsid w:val="00E25089"/>
    <w:rsid w:val="00E32E7D"/>
    <w:rsid w:val="00E365F2"/>
    <w:rsid w:val="00E406EB"/>
    <w:rsid w:val="00E51F9D"/>
    <w:rsid w:val="00E54916"/>
    <w:rsid w:val="00E62286"/>
    <w:rsid w:val="00E657AC"/>
    <w:rsid w:val="00E67F20"/>
    <w:rsid w:val="00E8291B"/>
    <w:rsid w:val="00E84CBB"/>
    <w:rsid w:val="00EC00FB"/>
    <w:rsid w:val="00EC2440"/>
    <w:rsid w:val="00EC5180"/>
    <w:rsid w:val="00EC7E28"/>
    <w:rsid w:val="00ED5971"/>
    <w:rsid w:val="00EF7E49"/>
    <w:rsid w:val="00F32848"/>
    <w:rsid w:val="00F42392"/>
    <w:rsid w:val="00F428FD"/>
    <w:rsid w:val="00F43431"/>
    <w:rsid w:val="00F54DCD"/>
    <w:rsid w:val="00F80C52"/>
    <w:rsid w:val="00F83F1A"/>
    <w:rsid w:val="00F86BC6"/>
    <w:rsid w:val="00F93DE1"/>
    <w:rsid w:val="00F94DDF"/>
    <w:rsid w:val="00F97F7F"/>
    <w:rsid w:val="00FA064A"/>
    <w:rsid w:val="00FB485E"/>
    <w:rsid w:val="00FB6EA8"/>
    <w:rsid w:val="00FC67A5"/>
    <w:rsid w:val="00FD118E"/>
    <w:rsid w:val="00FD17EA"/>
    <w:rsid w:val="00FD1D97"/>
    <w:rsid w:val="00FD26B3"/>
    <w:rsid w:val="00FD48B7"/>
    <w:rsid w:val="00FD574D"/>
    <w:rsid w:val="00FE27B3"/>
    <w:rsid w:val="00FE5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schemas-tilde-lv/tildestengine" w:name="metric2"/>
  <w:shapeDefaults>
    <o:shapedefaults v:ext="edit" spidmax="2050"/>
    <o:shapelayout v:ext="edit">
      <o:idmap v:ext="edit" data="2"/>
    </o:shapelayout>
  </w:shapeDefaults>
  <w:decimalSymbol w:val=","/>
  <w:listSeparator w:val=";"/>
  <w14:docId w14:val="6ECD9F36"/>
  <w15:chartTrackingRefBased/>
  <w15:docId w15:val="{B16174BB-2298-4E30-A0EB-0FB260E9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61CD"/>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8661CD"/>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22D8A"/>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8661CD"/>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8661CD"/>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8661CD"/>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8661CD"/>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8661CD"/>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8661CD"/>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8661CD"/>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22D8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22D8A"/>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22D8A"/>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922D8A"/>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922D8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922D8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922D8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922D8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922D8A"/>
    <w:rPr>
      <w:rFonts w:ascii="Times New Roman" w:eastAsia="Times New Roman" w:hAnsi="Times New Roman" w:cs="Times New Roman"/>
      <w:b/>
      <w:i/>
      <w:szCs w:val="20"/>
      <w:lang w:val="cs-CZ"/>
    </w:rPr>
  </w:style>
  <w:style w:type="paragraph" w:styleId="Porat">
    <w:name w:val="footer"/>
    <w:basedOn w:val="prastasis"/>
    <w:link w:val="PoratDiagrama"/>
    <w:rsid w:val="008661C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22D8A"/>
    <w:rPr>
      <w:rFonts w:ascii="Helvetica" w:eastAsia="Times New Roman" w:hAnsi="Helvetica" w:cs="Times New Roman"/>
      <w:sz w:val="16"/>
      <w:szCs w:val="20"/>
      <w:lang w:val="cs-CZ"/>
    </w:rPr>
  </w:style>
  <w:style w:type="character" w:styleId="Puslapionumeris">
    <w:name w:val="page number"/>
    <w:basedOn w:val="Numatytasispastraiposriftas"/>
    <w:rsid w:val="00922D8A"/>
  </w:style>
  <w:style w:type="paragraph" w:styleId="Antrats">
    <w:name w:val="header"/>
    <w:basedOn w:val="prastasis"/>
    <w:link w:val="AntratsDiagrama"/>
    <w:rsid w:val="008661C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22D8A"/>
    <w:rPr>
      <w:rFonts w:ascii="Helvetica" w:eastAsia="Times New Roman" w:hAnsi="Helvetica" w:cs="Times New Roman"/>
      <w:sz w:val="20"/>
      <w:szCs w:val="20"/>
      <w:lang w:val="cs-CZ"/>
    </w:rPr>
  </w:style>
  <w:style w:type="paragraph" w:customStyle="1" w:styleId="EMEAEnBodyText">
    <w:name w:val="EMEA En Body Text"/>
    <w:basedOn w:val="prastasis"/>
    <w:rsid w:val="008661CD"/>
    <w:pPr>
      <w:spacing w:before="120" w:after="120"/>
      <w:jc w:val="both"/>
    </w:pPr>
    <w:rPr>
      <w:szCs w:val="20"/>
      <w:lang w:val="en-US"/>
    </w:rPr>
  </w:style>
  <w:style w:type="paragraph" w:customStyle="1" w:styleId="AHeader1">
    <w:name w:val="AHeader 1"/>
    <w:basedOn w:val="prastasis"/>
    <w:rsid w:val="00E32E7D"/>
    <w:pPr>
      <w:numPr>
        <w:numId w:val="2"/>
      </w:numPr>
      <w:spacing w:after="120"/>
    </w:pPr>
    <w:rPr>
      <w:rFonts w:ascii="Arial" w:hAnsi="Arial" w:cs="Arial"/>
      <w:b/>
      <w:bCs/>
      <w:sz w:val="24"/>
      <w:szCs w:val="20"/>
      <w:lang w:val="en-GB"/>
    </w:rPr>
  </w:style>
  <w:style w:type="paragraph" w:customStyle="1" w:styleId="AHeader2">
    <w:name w:val="AHeader 2"/>
    <w:basedOn w:val="AHeader1"/>
    <w:rsid w:val="00E32E7D"/>
    <w:pPr>
      <w:numPr>
        <w:ilvl w:val="1"/>
      </w:numPr>
      <w:tabs>
        <w:tab w:val="clear" w:pos="709"/>
        <w:tab w:val="num" w:pos="360"/>
      </w:tabs>
      <w:ind w:left="360" w:hanging="360"/>
    </w:pPr>
    <w:rPr>
      <w:sz w:val="22"/>
    </w:rPr>
  </w:style>
  <w:style w:type="paragraph" w:customStyle="1" w:styleId="AHeader3">
    <w:name w:val="AHeader 3"/>
    <w:basedOn w:val="AHeader2"/>
    <w:rsid w:val="00E32E7D"/>
    <w:pPr>
      <w:numPr>
        <w:ilvl w:val="2"/>
      </w:numPr>
      <w:tabs>
        <w:tab w:val="clear" w:pos="1276"/>
        <w:tab w:val="num" w:pos="360"/>
      </w:tabs>
      <w:ind w:left="360" w:hanging="360"/>
    </w:pPr>
  </w:style>
  <w:style w:type="paragraph" w:customStyle="1" w:styleId="AHeader2abc">
    <w:name w:val="AHeader 2 abc"/>
    <w:basedOn w:val="AHeader3"/>
    <w:rsid w:val="00E32E7D"/>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E32E7D"/>
    <w:pPr>
      <w:numPr>
        <w:ilvl w:val="4"/>
      </w:numPr>
      <w:tabs>
        <w:tab w:val="clear" w:pos="1701"/>
        <w:tab w:val="num" w:pos="360"/>
      </w:tabs>
      <w:ind w:left="360" w:hanging="360"/>
    </w:pPr>
  </w:style>
  <w:style w:type="paragraph" w:styleId="Pagrindinistekstas2">
    <w:name w:val="Body Text 2"/>
    <w:basedOn w:val="prastasis"/>
    <w:link w:val="Pagrindinistekstas2Diagrama"/>
    <w:rsid w:val="008661CD"/>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22D8A"/>
    <w:rPr>
      <w:rFonts w:ascii="Times New Roman" w:eastAsia="Times New Roman" w:hAnsi="Times New Roman" w:cs="Times New Roman"/>
      <w:b/>
      <w:bCs/>
      <w:szCs w:val="20"/>
    </w:rPr>
  </w:style>
  <w:style w:type="paragraph" w:styleId="Pagrindinistekstas">
    <w:name w:val="Body Text"/>
    <w:basedOn w:val="prastasis"/>
    <w:link w:val="PagrindinistekstasDiagrama"/>
    <w:rsid w:val="008661CD"/>
    <w:rPr>
      <w:i/>
      <w:color w:val="008000"/>
      <w:szCs w:val="20"/>
      <w:lang w:val="en-GB"/>
    </w:rPr>
  </w:style>
  <w:style w:type="character" w:customStyle="1" w:styleId="PagrindinistekstasDiagrama">
    <w:name w:val="Pagrindinis tekstas Diagrama"/>
    <w:basedOn w:val="Numatytasispastraiposriftas"/>
    <w:link w:val="Pagrindinistekstas"/>
    <w:rsid w:val="00922D8A"/>
    <w:rPr>
      <w:rFonts w:ascii="Times New Roman" w:eastAsia="Times New Roman" w:hAnsi="Times New Roman" w:cs="Times New Roman"/>
      <w:i/>
      <w:color w:val="008000"/>
      <w:szCs w:val="20"/>
      <w:lang w:val="en-GB"/>
    </w:rPr>
  </w:style>
  <w:style w:type="character" w:styleId="Hipersaitas">
    <w:name w:val="Hyperlink"/>
    <w:uiPriority w:val="99"/>
    <w:rsid w:val="00922D8A"/>
    <w:rPr>
      <w:color w:val="0000FF"/>
      <w:u w:val="single"/>
    </w:rPr>
  </w:style>
  <w:style w:type="character" w:styleId="Grietas">
    <w:name w:val="Strong"/>
    <w:qFormat/>
    <w:rsid w:val="00922D8A"/>
    <w:rPr>
      <w:b/>
      <w:bCs/>
    </w:rPr>
  </w:style>
  <w:style w:type="paragraph" w:styleId="Debesliotekstas">
    <w:name w:val="Balloon Text"/>
    <w:basedOn w:val="prastasis"/>
    <w:link w:val="DebesliotekstasDiagrama"/>
    <w:semiHidden/>
    <w:rsid w:val="008661C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22D8A"/>
    <w:rPr>
      <w:rFonts w:ascii="Tahoma" w:eastAsia="Times New Roman" w:hAnsi="Tahoma" w:cs="Tahoma"/>
      <w:sz w:val="16"/>
      <w:szCs w:val="16"/>
    </w:rPr>
  </w:style>
  <w:style w:type="character" w:styleId="Perirtashipersaitas">
    <w:name w:val="FollowedHyperlink"/>
    <w:rsid w:val="00922D8A"/>
    <w:rPr>
      <w:color w:val="800080"/>
      <w:u w:val="single"/>
    </w:rPr>
  </w:style>
  <w:style w:type="paragraph" w:customStyle="1" w:styleId="Postspace">
    <w:name w:val="Postspace"/>
    <w:basedOn w:val="prastasis"/>
    <w:autoRedefine/>
    <w:rsid w:val="008661CD"/>
    <w:rPr>
      <w:sz w:val="24"/>
      <w:szCs w:val="20"/>
      <w:lang w:val="en-GB"/>
    </w:rPr>
  </w:style>
  <w:style w:type="paragraph" w:customStyle="1" w:styleId="TableCell">
    <w:name w:val="TableCell"/>
    <w:basedOn w:val="prastasis"/>
    <w:rsid w:val="008661CD"/>
    <w:rPr>
      <w:sz w:val="24"/>
      <w:szCs w:val="20"/>
      <w:lang w:val="en-GB"/>
    </w:rPr>
  </w:style>
  <w:style w:type="paragraph" w:customStyle="1" w:styleId="anchor">
    <w:name w:val="anchor"/>
    <w:basedOn w:val="prastasis"/>
    <w:autoRedefine/>
    <w:rsid w:val="008661CD"/>
    <w:rPr>
      <w:sz w:val="24"/>
      <w:szCs w:val="20"/>
      <w:lang w:val="en-GB"/>
    </w:rPr>
  </w:style>
  <w:style w:type="paragraph" w:customStyle="1" w:styleId="NoNumHead2">
    <w:name w:val="NoNum:Head2"/>
    <w:basedOn w:val="prastasis"/>
    <w:next w:val="prastasis"/>
    <w:autoRedefine/>
    <w:rsid w:val="00A6367E"/>
    <w:pPr>
      <w:keepNext/>
      <w:outlineLvl w:val="0"/>
    </w:pPr>
    <w:rPr>
      <w:b/>
      <w:szCs w:val="22"/>
      <w:lang w:val="en-GB"/>
    </w:rPr>
  </w:style>
  <w:style w:type="paragraph" w:customStyle="1" w:styleId="centhead12">
    <w:name w:val="centhead12"/>
    <w:basedOn w:val="prastasis"/>
    <w:next w:val="prastasis"/>
    <w:rsid w:val="008661CD"/>
    <w:pPr>
      <w:keepNext/>
      <w:spacing w:after="240"/>
      <w:jc w:val="center"/>
    </w:pPr>
    <w:rPr>
      <w:rFonts w:ascii="Arial" w:hAnsi="Arial"/>
      <w:b/>
      <w:sz w:val="24"/>
      <w:szCs w:val="20"/>
      <w:lang w:val="en-GB"/>
    </w:rPr>
  </w:style>
  <w:style w:type="paragraph" w:styleId="prastasiniatinklio">
    <w:name w:val="Normal (Web)"/>
    <w:basedOn w:val="prastasis"/>
    <w:rsid w:val="008661CD"/>
    <w:pPr>
      <w:spacing w:before="100" w:beforeAutospacing="1" w:after="100" w:afterAutospacing="1"/>
    </w:pPr>
    <w:rPr>
      <w:sz w:val="24"/>
      <w:lang w:val="en-GB" w:eastAsia="en-GB"/>
    </w:rPr>
  </w:style>
  <w:style w:type="paragraph" w:customStyle="1" w:styleId="Bullet">
    <w:name w:val="Bullet"/>
    <w:basedOn w:val="prastasis"/>
    <w:rsid w:val="00E32E7D"/>
    <w:pPr>
      <w:numPr>
        <w:numId w:val="17"/>
      </w:numPr>
      <w:spacing w:before="120"/>
    </w:pPr>
    <w:rPr>
      <w:lang w:val="en-GB" w:eastAsia="en-GB"/>
    </w:rPr>
  </w:style>
  <w:style w:type="paragraph" w:styleId="Pagrindinistekstas3">
    <w:name w:val="Body Text 3"/>
    <w:basedOn w:val="prastasis"/>
    <w:link w:val="Pagrindinistekstas3Diagrama"/>
    <w:rsid w:val="008661CD"/>
    <w:pPr>
      <w:spacing w:after="120"/>
    </w:pPr>
    <w:rPr>
      <w:sz w:val="16"/>
      <w:szCs w:val="16"/>
    </w:rPr>
  </w:style>
  <w:style w:type="character" w:customStyle="1" w:styleId="Pagrindinistekstas3Diagrama">
    <w:name w:val="Pagrindinis tekstas 3 Diagrama"/>
    <w:basedOn w:val="Numatytasispastraiposriftas"/>
    <w:link w:val="Pagrindinistekstas3"/>
    <w:rsid w:val="00922D8A"/>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661CD"/>
    <w:pPr>
      <w:spacing w:after="120"/>
      <w:ind w:left="283"/>
    </w:pPr>
  </w:style>
  <w:style w:type="character" w:customStyle="1" w:styleId="PagrindiniotekstotraukaDiagrama">
    <w:name w:val="Pagrindinio teksto įtrauka Diagrama"/>
    <w:basedOn w:val="Numatytasispastraiposriftas"/>
    <w:link w:val="Pagrindiniotekstotrauka"/>
    <w:rsid w:val="00922D8A"/>
    <w:rPr>
      <w:rFonts w:ascii="Times New Roman" w:eastAsia="Times New Roman" w:hAnsi="Times New Roman" w:cs="Times New Roman"/>
      <w:szCs w:val="24"/>
    </w:rPr>
  </w:style>
  <w:style w:type="paragraph" w:customStyle="1" w:styleId="Default">
    <w:name w:val="Default"/>
    <w:rsid w:val="00922D8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CharChar1CharCharCharCharCharChar1CharCharCharCharCharChar">
    <w:name w:val="Char Char1 Char Char Char Char Char Char1 Char Char Char Char Char Char"/>
    <w:basedOn w:val="prastasis"/>
    <w:rsid w:val="008661CD"/>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Header1">
    <w:name w:val="Header1"/>
    <w:rsid w:val="00922D8A"/>
    <w:pPr>
      <w:suppressAutoHyphens/>
      <w:spacing w:after="0" w:line="260" w:lineRule="exact"/>
    </w:pPr>
    <w:rPr>
      <w:rFonts w:ascii="Arial" w:eastAsia="Times New Roman" w:hAnsi="Arial" w:cs="Times New Roman"/>
      <w:b/>
      <w:sz w:val="20"/>
      <w:szCs w:val="20"/>
      <w:u w:val="single"/>
      <w:lang w:val="en-GB"/>
    </w:rPr>
  </w:style>
  <w:style w:type="paragraph" w:customStyle="1" w:styleId="Footer1">
    <w:name w:val="Footer1"/>
    <w:rsid w:val="00922D8A"/>
    <w:pPr>
      <w:spacing w:after="0" w:line="240" w:lineRule="auto"/>
    </w:pPr>
    <w:rPr>
      <w:rFonts w:ascii="Arial" w:eastAsia="Times New Roman" w:hAnsi="Arial" w:cs="Times New Roman"/>
      <w:sz w:val="16"/>
      <w:szCs w:val="20"/>
      <w:lang w:val="en-GB"/>
    </w:rPr>
  </w:style>
  <w:style w:type="character" w:customStyle="1" w:styleId="PuslapioinaostekstasDiagrama">
    <w:name w:val="Puslapio išnašos tekstas Diagrama"/>
    <w:link w:val="Puslapioinaostekstas"/>
    <w:rsid w:val="00922D8A"/>
    <w:rPr>
      <w:lang w:val="en-GB"/>
    </w:rPr>
  </w:style>
  <w:style w:type="paragraph" w:styleId="Puslapioinaostekstas">
    <w:name w:val="footnote text"/>
    <w:basedOn w:val="prastasis"/>
    <w:link w:val="PuslapioinaostekstasDiagrama"/>
    <w:rsid w:val="008661CD"/>
    <w:pPr>
      <w:tabs>
        <w:tab w:val="left" w:pos="567"/>
      </w:tabs>
      <w:spacing w:line="260" w:lineRule="exact"/>
    </w:pPr>
    <w:rPr>
      <w:rFonts w:asciiTheme="minorHAnsi" w:eastAsiaTheme="minorHAnsi" w:hAnsiTheme="minorHAnsi" w:cstheme="minorBidi"/>
      <w:szCs w:val="22"/>
      <w:lang w:val="en-GB"/>
    </w:rPr>
  </w:style>
  <w:style w:type="character" w:customStyle="1" w:styleId="FootnoteTextChar1">
    <w:name w:val="Footnote Text Char1"/>
    <w:basedOn w:val="Numatytasispastraiposriftas"/>
    <w:uiPriority w:val="99"/>
    <w:semiHidden/>
    <w:rsid w:val="00922D8A"/>
    <w:rPr>
      <w:rFonts w:ascii="Times New Roman" w:eastAsia="Times New Roman" w:hAnsi="Times New Roman" w:cs="Times New Roman"/>
      <w:sz w:val="20"/>
      <w:szCs w:val="20"/>
    </w:rPr>
  </w:style>
  <w:style w:type="character" w:styleId="Puslapioinaosnuoroda">
    <w:name w:val="footnote reference"/>
    <w:rsid w:val="00922D8A"/>
    <w:rPr>
      <w:vertAlign w:val="superscript"/>
    </w:rPr>
  </w:style>
  <w:style w:type="character" w:styleId="Komentaronuoroda">
    <w:name w:val="annotation reference"/>
    <w:rsid w:val="00922D8A"/>
    <w:rPr>
      <w:sz w:val="16"/>
      <w:szCs w:val="16"/>
    </w:rPr>
  </w:style>
  <w:style w:type="character" w:customStyle="1" w:styleId="KomentarotekstasDiagrama">
    <w:name w:val="Komentaro tekstas Diagrama"/>
    <w:link w:val="Komentarotekstas"/>
    <w:rsid w:val="00922D8A"/>
    <w:rPr>
      <w:lang w:val="en-GB"/>
    </w:rPr>
  </w:style>
  <w:style w:type="paragraph" w:styleId="Komentarotekstas">
    <w:name w:val="annotation text"/>
    <w:basedOn w:val="prastasis"/>
    <w:link w:val="KomentarotekstasDiagrama"/>
    <w:rsid w:val="008661CD"/>
    <w:pPr>
      <w:tabs>
        <w:tab w:val="left" w:pos="567"/>
      </w:tabs>
      <w:spacing w:line="260" w:lineRule="exact"/>
    </w:pPr>
    <w:rPr>
      <w:rFonts w:asciiTheme="minorHAnsi" w:eastAsiaTheme="minorHAnsi" w:hAnsiTheme="minorHAnsi" w:cstheme="minorBidi"/>
      <w:szCs w:val="22"/>
      <w:lang w:val="en-GB"/>
    </w:rPr>
  </w:style>
  <w:style w:type="character" w:customStyle="1" w:styleId="CommentTextChar1">
    <w:name w:val="Comment Text Char1"/>
    <w:basedOn w:val="Numatytasispastraiposriftas"/>
    <w:uiPriority w:val="99"/>
    <w:semiHidden/>
    <w:rsid w:val="00922D8A"/>
    <w:rPr>
      <w:rFonts w:ascii="Times New Roman" w:eastAsia="Times New Roman" w:hAnsi="Times New Roman" w:cs="Times New Roman"/>
      <w:sz w:val="20"/>
      <w:szCs w:val="20"/>
    </w:rPr>
  </w:style>
  <w:style w:type="character" w:customStyle="1" w:styleId="KomentarotemaDiagrama">
    <w:name w:val="Komentaro tema Diagrama"/>
    <w:link w:val="Komentarotema"/>
    <w:rsid w:val="00922D8A"/>
    <w:rPr>
      <w:b/>
      <w:bCs/>
      <w:lang w:val="en-GB"/>
    </w:rPr>
  </w:style>
  <w:style w:type="paragraph" w:styleId="Komentarotema">
    <w:name w:val="annotation subject"/>
    <w:basedOn w:val="Komentarotekstas"/>
    <w:next w:val="Komentarotekstas"/>
    <w:link w:val="KomentarotemaDiagrama"/>
    <w:rsid w:val="00922D8A"/>
    <w:rPr>
      <w:b/>
      <w:bCs/>
    </w:rPr>
  </w:style>
  <w:style w:type="character" w:customStyle="1" w:styleId="CommentSubjectChar1">
    <w:name w:val="Comment Subject Char1"/>
    <w:basedOn w:val="CommentTextChar1"/>
    <w:uiPriority w:val="99"/>
    <w:semiHidden/>
    <w:rsid w:val="00922D8A"/>
    <w:rPr>
      <w:rFonts w:ascii="Times New Roman" w:eastAsia="Times New Roman" w:hAnsi="Times New Roman" w:cs="Times New Roman"/>
      <w:b/>
      <w:bCs/>
      <w:sz w:val="20"/>
      <w:szCs w:val="20"/>
    </w:rPr>
  </w:style>
  <w:style w:type="paragraph" w:customStyle="1" w:styleId="BodytextAgency">
    <w:name w:val="Body text (Agency)"/>
    <w:basedOn w:val="prastasis"/>
    <w:link w:val="BodytextAgencyChar"/>
    <w:rsid w:val="00922D8A"/>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22D8A"/>
    <w:rPr>
      <w:rFonts w:ascii="Verdana" w:eastAsia="Verdana" w:hAnsi="Verdana" w:cs="Times New Roman"/>
      <w:sz w:val="18"/>
      <w:szCs w:val="18"/>
      <w:lang w:val="en-GB" w:eastAsia="en-GB"/>
    </w:rPr>
  </w:style>
  <w:style w:type="paragraph" w:customStyle="1" w:styleId="No-numheading1Agency">
    <w:name w:val="No-num heading 1 (Agency)"/>
    <w:basedOn w:val="prastasis"/>
    <w:next w:val="BodytextAgency"/>
    <w:link w:val="No-numheading1AgencyChar"/>
    <w:rsid w:val="008661CD"/>
    <w:pPr>
      <w:keepNext/>
      <w:spacing w:before="280" w:after="220"/>
      <w:outlineLvl w:val="0"/>
    </w:pPr>
    <w:rPr>
      <w:rFonts w:ascii="Verdana" w:eastAsia="Verdana" w:hAnsi="Verdana"/>
      <w:b/>
      <w:bCs/>
      <w:kern w:val="32"/>
      <w:sz w:val="27"/>
      <w:szCs w:val="27"/>
      <w:lang w:val="en-GB" w:eastAsia="en-GB"/>
    </w:rPr>
  </w:style>
  <w:style w:type="character" w:customStyle="1" w:styleId="No-numheading1AgencyChar">
    <w:name w:val="No-num heading 1 (Agency) Char"/>
    <w:link w:val="No-numheading1Agency"/>
    <w:rsid w:val="00922D8A"/>
    <w:rPr>
      <w:rFonts w:ascii="Verdana" w:eastAsia="Verdana" w:hAnsi="Verdana" w:cs="Times New Roman"/>
      <w:b/>
      <w:bCs/>
      <w:kern w:val="32"/>
      <w:sz w:val="27"/>
      <w:szCs w:val="27"/>
      <w:lang w:val="en-GB" w:eastAsia="en-GB"/>
    </w:rPr>
  </w:style>
  <w:style w:type="paragraph" w:customStyle="1" w:styleId="No-numheading2Agency">
    <w:name w:val="No-num heading 2 (Agency)"/>
    <w:basedOn w:val="prastasis"/>
    <w:next w:val="BodytextAgency"/>
    <w:link w:val="No-numheading2AgencyChar"/>
    <w:rsid w:val="008661CD"/>
    <w:pPr>
      <w:keepNext/>
      <w:spacing w:before="280" w:after="220"/>
      <w:outlineLvl w:val="1"/>
    </w:pPr>
    <w:rPr>
      <w:rFonts w:ascii="Verdana" w:eastAsia="Verdana" w:hAnsi="Verdana"/>
      <w:b/>
      <w:bCs/>
      <w:i/>
      <w:kern w:val="32"/>
      <w:sz w:val="20"/>
      <w:szCs w:val="20"/>
      <w:lang w:val="en-GB" w:eastAsia="en-GB"/>
    </w:rPr>
  </w:style>
  <w:style w:type="character" w:customStyle="1" w:styleId="No-numheading2AgencyChar">
    <w:name w:val="No-num heading 2 (Agency) Char"/>
    <w:link w:val="No-numheading2Agency"/>
    <w:rsid w:val="00922D8A"/>
    <w:rPr>
      <w:rFonts w:ascii="Verdana" w:eastAsia="Verdana" w:hAnsi="Verdana" w:cs="Times New Roman"/>
      <w:b/>
      <w:bCs/>
      <w:i/>
      <w:kern w:val="32"/>
      <w:sz w:val="20"/>
      <w:szCs w:val="20"/>
      <w:lang w:val="en-GB" w:eastAsia="en-GB"/>
    </w:rPr>
  </w:style>
  <w:style w:type="character" w:customStyle="1" w:styleId="LaikoantratDiagrama">
    <w:name w:val="Laiško antraštė Diagrama"/>
    <w:link w:val="Laikoantrat"/>
    <w:rsid w:val="00922D8A"/>
    <w:rPr>
      <w:rFonts w:ascii="Arial" w:hAnsi="Arial" w:cs="Arial"/>
      <w:sz w:val="24"/>
      <w:szCs w:val="24"/>
      <w:shd w:val="pct20" w:color="auto" w:fill="auto"/>
      <w:lang w:val="en-GB"/>
    </w:rPr>
  </w:style>
  <w:style w:type="paragraph" w:styleId="Laikoantrat">
    <w:name w:val="Message Header"/>
    <w:basedOn w:val="prastasis"/>
    <w:link w:val="LaikoantratDiagrama"/>
    <w:rsid w:val="008661CD"/>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eastAsiaTheme="minorHAnsi" w:hAnsi="Arial" w:cs="Arial"/>
      <w:sz w:val="24"/>
      <w:lang w:val="en-GB"/>
    </w:rPr>
  </w:style>
  <w:style w:type="character" w:customStyle="1" w:styleId="MessageHeaderChar1">
    <w:name w:val="Message Header Char1"/>
    <w:basedOn w:val="Numatytasispastraiposriftas"/>
    <w:uiPriority w:val="99"/>
    <w:semiHidden/>
    <w:rsid w:val="00922D8A"/>
    <w:rPr>
      <w:rFonts w:asciiTheme="majorHAnsi" w:eastAsiaTheme="majorEastAsia" w:hAnsiTheme="majorHAnsi" w:cstheme="majorBidi"/>
      <w:sz w:val="24"/>
      <w:szCs w:val="24"/>
      <w:shd w:val="pct20" w:color="auto" w:fill="auto"/>
    </w:rPr>
  </w:style>
  <w:style w:type="paragraph" w:styleId="Pavadinimas">
    <w:name w:val="Title"/>
    <w:basedOn w:val="prastasis"/>
    <w:link w:val="PavadinimasDiagrama"/>
    <w:autoRedefine/>
    <w:qFormat/>
    <w:rsid w:val="008661CD"/>
    <w:pPr>
      <w:jc w:val="center"/>
      <w:outlineLvl w:val="0"/>
    </w:pPr>
    <w:rPr>
      <w:b/>
      <w:kern w:val="28"/>
      <w:szCs w:val="20"/>
    </w:rPr>
  </w:style>
  <w:style w:type="character" w:customStyle="1" w:styleId="PavadinimasDiagrama">
    <w:name w:val="Pavadinimas Diagrama"/>
    <w:basedOn w:val="Numatytasispastraiposriftas"/>
    <w:link w:val="Pavadinimas"/>
    <w:rsid w:val="00922D8A"/>
    <w:rPr>
      <w:rFonts w:ascii="Times New Roman" w:eastAsia="Times New Roman" w:hAnsi="Times New Roman" w:cs="Times New Roman"/>
      <w:b/>
      <w:kern w:val="28"/>
      <w:szCs w:val="20"/>
    </w:rPr>
  </w:style>
  <w:style w:type="paragraph" w:styleId="Paprastasistekstas">
    <w:name w:val="Plain Text"/>
    <w:basedOn w:val="prastasis"/>
    <w:link w:val="PaprastasistekstasDiagrama"/>
    <w:uiPriority w:val="99"/>
    <w:rsid w:val="008661C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22D8A"/>
    <w:rPr>
      <w:rFonts w:ascii="Courier New" w:eastAsia="SimSun" w:hAnsi="Courier New" w:cs="Times New Roman"/>
      <w:sz w:val="20"/>
      <w:szCs w:val="20"/>
      <w:lang w:val="en-US"/>
    </w:rPr>
  </w:style>
  <w:style w:type="paragraph" w:styleId="Sraopastraipa">
    <w:name w:val="List Paragraph"/>
    <w:basedOn w:val="prastasis"/>
    <w:uiPriority w:val="34"/>
    <w:qFormat/>
    <w:rsid w:val="008661CD"/>
    <w:pPr>
      <w:ind w:left="720"/>
      <w:contextualSpacing/>
    </w:pPr>
  </w:style>
  <w:style w:type="paragraph" w:styleId="Pataisymai">
    <w:name w:val="Revision"/>
    <w:hidden/>
    <w:uiPriority w:val="99"/>
    <w:semiHidden/>
    <w:rsid w:val="00922D8A"/>
    <w:pPr>
      <w:spacing w:after="0" w:line="240" w:lineRule="auto"/>
    </w:pPr>
    <w:rPr>
      <w:rFonts w:ascii="Times New Roman" w:eastAsia="Times New Roman" w:hAnsi="Times New Roman" w:cs="Times New Roman"/>
      <w:szCs w:val="20"/>
      <w:lang w:val="en-GB"/>
    </w:rPr>
  </w:style>
  <w:style w:type="numbering" w:customStyle="1" w:styleId="NoList1">
    <w:name w:val="No List1"/>
    <w:next w:val="Sraonra"/>
    <w:uiPriority w:val="99"/>
    <w:semiHidden/>
    <w:unhideWhenUsed/>
    <w:rsid w:val="007A66C0"/>
  </w:style>
  <w:style w:type="paragraph" w:customStyle="1" w:styleId="Normln">
    <w:name w:val="Norm‡ln’"/>
    <w:rsid w:val="00FD118E"/>
    <w:pPr>
      <w:spacing w:after="0" w:line="240" w:lineRule="auto"/>
    </w:pPr>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4487">
      <w:bodyDiv w:val="1"/>
      <w:marLeft w:val="0"/>
      <w:marRight w:val="0"/>
      <w:marTop w:val="0"/>
      <w:marBottom w:val="0"/>
      <w:divBdr>
        <w:top w:val="none" w:sz="0" w:space="0" w:color="auto"/>
        <w:left w:val="none" w:sz="0" w:space="0" w:color="auto"/>
        <w:bottom w:val="none" w:sz="0" w:space="0" w:color="auto"/>
        <w:right w:val="none" w:sz="0" w:space="0" w:color="auto"/>
      </w:divBdr>
    </w:div>
    <w:div w:id="876087564">
      <w:bodyDiv w:val="1"/>
      <w:marLeft w:val="0"/>
      <w:marRight w:val="0"/>
      <w:marTop w:val="0"/>
      <w:marBottom w:val="0"/>
      <w:divBdr>
        <w:top w:val="none" w:sz="0" w:space="0" w:color="auto"/>
        <w:left w:val="none" w:sz="0" w:space="0" w:color="auto"/>
        <w:bottom w:val="none" w:sz="0" w:space="0" w:color="auto"/>
        <w:right w:val="none" w:sz="0" w:space="0" w:color="auto"/>
      </w:divBdr>
    </w:div>
    <w:div w:id="1032462159">
      <w:bodyDiv w:val="1"/>
      <w:marLeft w:val="0"/>
      <w:marRight w:val="0"/>
      <w:marTop w:val="0"/>
      <w:marBottom w:val="0"/>
      <w:divBdr>
        <w:top w:val="none" w:sz="0" w:space="0" w:color="auto"/>
        <w:left w:val="none" w:sz="0" w:space="0" w:color="auto"/>
        <w:bottom w:val="none" w:sz="0" w:space="0" w:color="auto"/>
        <w:right w:val="none" w:sz="0" w:space="0" w:color="auto"/>
      </w:divBdr>
    </w:div>
    <w:div w:id="1271666745">
      <w:bodyDiv w:val="1"/>
      <w:marLeft w:val="0"/>
      <w:marRight w:val="0"/>
      <w:marTop w:val="0"/>
      <w:marBottom w:val="0"/>
      <w:divBdr>
        <w:top w:val="none" w:sz="0" w:space="0" w:color="auto"/>
        <w:left w:val="none" w:sz="0" w:space="0" w:color="auto"/>
        <w:bottom w:val="none" w:sz="0" w:space="0" w:color="auto"/>
        <w:right w:val="none" w:sz="0" w:space="0" w:color="auto"/>
      </w:divBdr>
    </w:div>
    <w:div w:id="15657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oleObject" Target="embeddings/oleObject4.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9C96-6ABC-4C51-A2DD-BF1C9036BB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EC4B5C-90A2-4FD5-97A3-8924B6785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E55FB-BFAF-476A-B154-568187274B3B}">
  <ds:schemaRefs>
    <ds:schemaRef ds:uri="http://schemas.microsoft.com/sharepoint/v3/contenttype/forms"/>
  </ds:schemaRefs>
</ds:datastoreItem>
</file>

<file path=customXml/itemProps4.xml><?xml version="1.0" encoding="utf-8"?>
<ds:datastoreItem xmlns:ds="http://schemas.openxmlformats.org/officeDocument/2006/customXml" ds:itemID="{C3C7118D-7ABD-4B63-8778-86C05988E3D2}">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48709</Words>
  <Characters>27765</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Cizaite</dc:creator>
  <cp:keywords/>
  <dc:description/>
  <cp:lastModifiedBy>Albina Burkauskaitė</cp:lastModifiedBy>
  <cp:revision>2</cp:revision>
  <dcterms:created xsi:type="dcterms:W3CDTF">2026-02-09T06:31:00Z</dcterms:created>
  <dcterms:modified xsi:type="dcterms:W3CDTF">2026-02-09T06:31:00Z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y fmtid="{D5CDD505-2E9C-101B-9397-08002B2CF9AE}" pid="3" name="MSIP_Label_3c9bec58-8084-492e-8360-0e1cfe36408c_Enabled">
    <vt:lpwstr>true</vt:lpwstr>
  </property>
  <property fmtid="{D5CDD505-2E9C-101B-9397-08002B2CF9AE}" pid="4" name="MSIP_Label_3c9bec58-8084-492e-8360-0e1cfe36408c_SetDate">
    <vt:lpwstr>2022-09-01T13:28:04Z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9490dcba-704a-43c5-b743-164ebf9ab20b</vt:lpwstr>
  </property>
  <property fmtid="{D5CDD505-2E9C-101B-9397-08002B2CF9AE}" pid="9" name="MSIP_Label_3c9bec58-8084-492e-8360-0e1cfe36408c_ContentBits">
    <vt:lpwstr>0</vt:lpwstr>
  </property>
</Properties>
</file>