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A7" w:rsidRPr="00707199" w:rsidRDefault="00AF2EA7" w:rsidP="00AF2EA7">
      <w:pPr>
        <w:tabs>
          <w:tab w:val="left" w:pos="56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Toc129243138"/>
      <w:bookmarkStart w:id="1" w:name="_Toc129243263"/>
      <w:r w:rsidRPr="00707199">
        <w:rPr>
          <w:rFonts w:ascii="Times New Roman" w:hAnsi="Times New Roman"/>
          <w:b/>
          <w:sz w:val="22"/>
          <w:szCs w:val="22"/>
        </w:rPr>
        <w:t>Pakuotės lapelis: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Pr="00707199">
        <w:rPr>
          <w:rFonts w:ascii="Times New Roman" w:hAnsi="Times New Roman"/>
          <w:b/>
          <w:sz w:val="22"/>
          <w:szCs w:val="22"/>
        </w:rPr>
        <w:t>informacija vartotojui</w:t>
      </w:r>
      <w:bookmarkEnd w:id="0"/>
      <w:bookmarkEnd w:id="1"/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4 mg/25 mg/g tepalas</w:t>
      </w:r>
    </w:p>
    <w:p w:rsidR="00AF2EA7" w:rsidRPr="00707199" w:rsidRDefault="00AF2EA7" w:rsidP="00AF2EA7">
      <w:pPr>
        <w:tabs>
          <w:tab w:val="left" w:pos="567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jc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n</w:t>
      </w:r>
      <w:r w:rsidRPr="00707199">
        <w:rPr>
          <w:rFonts w:ascii="Times New Roman" w:hAnsi="Times New Roman"/>
          <w:sz w:val="22"/>
          <w:szCs w:val="22"/>
        </w:rPr>
        <w:t>onivamidas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nikoboksilas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Visada vartokite šį vaistą tiksliai kaip aprašyta šiame lapelyje arba kaip nurodė gydytojas arba vaistininkas.</w:t>
      </w:r>
    </w:p>
    <w:p w:rsidR="00AF2EA7" w:rsidRPr="00707199" w:rsidRDefault="00AF2EA7" w:rsidP="00AF2EA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Neišmeskite šio lapelio, nes vėl gali prireikti jį perskaityti.</w:t>
      </w:r>
    </w:p>
    <w:p w:rsidR="00AF2EA7" w:rsidRPr="00707199" w:rsidRDefault="00AF2EA7" w:rsidP="00AF2EA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Jeigu norite sužinoti daugiau arba pasitarti, kreipkitės į vaistininką.</w:t>
      </w:r>
    </w:p>
    <w:p w:rsidR="00AF2EA7" w:rsidRPr="00707199" w:rsidRDefault="00AF2EA7" w:rsidP="00AF2EA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Jeigu pasireiškė šalutinis poveikis (net jeigu jis šiame lapelyje nenurodytas)  kreipkitės į gydytoją arba vaistininką. Žr. 4 skyrių. </w:t>
      </w:r>
    </w:p>
    <w:p w:rsidR="00AF2EA7" w:rsidRPr="00707199" w:rsidRDefault="00AF2EA7" w:rsidP="00AF2EA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Jeigu per 3 dienas Jūsų savijauta nepagerėjo arba net pablogėjo, kreipkitės į gydytoją.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Apie ką rašoma šiame lapelyje?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1.</w:t>
      </w:r>
      <w:r w:rsidRPr="00707199">
        <w:rPr>
          <w:rFonts w:ascii="Times New Roman" w:hAnsi="Times New Roman"/>
          <w:sz w:val="22"/>
          <w:szCs w:val="22"/>
        </w:rPr>
        <w:tab/>
        <w:t xml:space="preserve">Kas yra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kam jis vartojamas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2.</w:t>
      </w:r>
      <w:r w:rsidRPr="00707199">
        <w:rPr>
          <w:rFonts w:ascii="Times New Roman" w:hAnsi="Times New Roman"/>
          <w:sz w:val="22"/>
          <w:szCs w:val="22"/>
        </w:rPr>
        <w:tab/>
        <w:t xml:space="preserve">Kas žinotina prieš vartojant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3.</w:t>
      </w:r>
      <w:r w:rsidRPr="00707199">
        <w:rPr>
          <w:rFonts w:ascii="Times New Roman" w:hAnsi="Times New Roman"/>
          <w:sz w:val="22"/>
          <w:szCs w:val="22"/>
        </w:rPr>
        <w:tab/>
        <w:t xml:space="preserve">Kaip vartoti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4.</w:t>
      </w:r>
      <w:r w:rsidRPr="00707199">
        <w:rPr>
          <w:rFonts w:ascii="Times New Roman" w:hAnsi="Times New Roman"/>
          <w:sz w:val="22"/>
          <w:szCs w:val="22"/>
        </w:rPr>
        <w:tab/>
        <w:t>Galimas šalutinis poveikis</w:t>
      </w:r>
    </w:p>
    <w:p w:rsidR="00AF2EA7" w:rsidRPr="00707199" w:rsidRDefault="00AF2EA7" w:rsidP="00AF2EA7">
      <w:pPr>
        <w:tabs>
          <w:tab w:val="left" w:pos="567"/>
        </w:tabs>
        <w:ind w:left="540" w:hanging="540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5.</w:t>
      </w:r>
      <w:r w:rsidRPr="00707199">
        <w:rPr>
          <w:rFonts w:ascii="Times New Roman" w:hAnsi="Times New Roman"/>
          <w:sz w:val="22"/>
          <w:szCs w:val="22"/>
        </w:rPr>
        <w:tab/>
        <w:t xml:space="preserve">Kaip laikyti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</w:t>
      </w:r>
    </w:p>
    <w:p w:rsidR="00AF2EA7" w:rsidRPr="00707199" w:rsidRDefault="00AF2EA7" w:rsidP="00AF2EA7">
      <w:pPr>
        <w:tabs>
          <w:tab w:val="left" w:pos="567"/>
        </w:tabs>
        <w:ind w:left="540" w:hanging="540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6.</w:t>
      </w:r>
      <w:r w:rsidRPr="00707199">
        <w:rPr>
          <w:rFonts w:ascii="Times New Roman" w:hAnsi="Times New Roman"/>
          <w:sz w:val="22"/>
          <w:szCs w:val="22"/>
        </w:rPr>
        <w:tab/>
        <w:t>Pakuotės turinys ir kita informacija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ind w:left="540" w:hanging="540"/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ind w:left="540" w:hanging="540"/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1.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Pr="00707199">
        <w:rPr>
          <w:rFonts w:ascii="Times New Roman" w:hAnsi="Times New Roman"/>
          <w:b/>
          <w:sz w:val="22"/>
          <w:szCs w:val="22"/>
        </w:rPr>
        <w:t xml:space="preserve">Kas yra </w:t>
      </w:r>
      <w:proofErr w:type="spellStart"/>
      <w:r w:rsidRPr="00707199">
        <w:rPr>
          <w:rFonts w:ascii="Times New Roman" w:hAnsi="Times New Roman"/>
          <w:b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sz w:val="22"/>
          <w:szCs w:val="22"/>
        </w:rPr>
        <w:t xml:space="preserve"> ir kam jis vartojamas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Nonivamidas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nikoboksilas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– tai medžiagos, kurios sukelia papildantį viena kitos efektą. Pavartojus, sustiprėja lokali odos kraujotaka, todėl atsiranda ilgai išliekantis stiprus šilumos pojūtis.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 </w:t>
      </w:r>
    </w:p>
    <w:p w:rsidR="00AF2EA7" w:rsidRPr="00707199" w:rsidRDefault="00AF2EA7" w:rsidP="00AF2EA7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Lokalus raumenų ar sąnarių uždegimo ar traumos sukelto skausmo malšinimas.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ind w:left="540" w:hanging="540"/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ind w:left="540" w:hanging="540"/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2.</w:t>
      </w:r>
      <w:r w:rsidRPr="00707199">
        <w:rPr>
          <w:rFonts w:ascii="Times New Roman" w:hAnsi="Times New Roman"/>
          <w:b/>
          <w:sz w:val="22"/>
          <w:szCs w:val="22"/>
        </w:rPr>
        <w:tab/>
        <w:t>Kas žinotina prieš vartojant</w:t>
      </w:r>
      <w:r w:rsidRPr="00707199" w:rsidDel="00CD105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proofErr w:type="spellStart"/>
      <w:r w:rsidRPr="00707199">
        <w:rPr>
          <w:rFonts w:ascii="Times New Roman" w:hAnsi="Times New Roman"/>
          <w:b/>
          <w:bCs/>
          <w:i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iCs/>
          <w:sz w:val="22"/>
          <w:szCs w:val="22"/>
        </w:rPr>
        <w:t xml:space="preserve"> vartoti </w:t>
      </w:r>
      <w:r>
        <w:rPr>
          <w:rFonts w:ascii="Times New Roman" w:hAnsi="Times New Roman"/>
          <w:b/>
          <w:bCs/>
          <w:iCs/>
          <w:sz w:val="22"/>
          <w:szCs w:val="22"/>
        </w:rPr>
        <w:t>draudžiama</w:t>
      </w:r>
      <w:r w:rsidRPr="00707199">
        <w:rPr>
          <w:rFonts w:ascii="Times New Roman" w:hAnsi="Times New Roman"/>
          <w:b/>
          <w:bCs/>
          <w:iCs/>
          <w:sz w:val="22"/>
          <w:szCs w:val="22"/>
        </w:rPr>
        <w:t>:</w:t>
      </w:r>
    </w:p>
    <w:p w:rsidR="00AF2EA7" w:rsidRPr="00707199" w:rsidRDefault="00AF2EA7" w:rsidP="00AF2EA7">
      <w:pPr>
        <w:tabs>
          <w:tab w:val="left" w:pos="567"/>
        </w:tabs>
        <w:ind w:left="600" w:hanging="600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 xml:space="preserve">jeigu yra alergija </w:t>
      </w:r>
      <w:proofErr w:type="spellStart"/>
      <w:r w:rsidRPr="00707199">
        <w:rPr>
          <w:rFonts w:ascii="Times New Roman" w:hAnsi="Times New Roman"/>
          <w:sz w:val="22"/>
          <w:szCs w:val="22"/>
        </w:rPr>
        <w:t>nonivamidui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nikoboksilui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 arba bet kuriai pagalbinei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medžiagai (jos išvardytos 6 skyriuje); </w:t>
      </w:r>
    </w:p>
    <w:p w:rsidR="00AF2EA7" w:rsidRPr="00707199" w:rsidRDefault="00AF2EA7" w:rsidP="00AF2EA7">
      <w:pPr>
        <w:tabs>
          <w:tab w:val="left" w:pos="567"/>
          <w:tab w:val="left" w:pos="600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>negalima tepti arti veido, apie akis, nosį ir burną;</w:t>
      </w:r>
    </w:p>
    <w:p w:rsidR="00AF2EA7" w:rsidRPr="00707199" w:rsidRDefault="00AF2EA7" w:rsidP="00AF2EA7">
      <w:pPr>
        <w:tabs>
          <w:tab w:val="left" w:pos="567"/>
          <w:tab w:val="left" w:pos="600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>jeigu pažeistoje vietoje yra žaizdų arba jos oda yra apimta uždegimo arba ligos.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Įspėjimai ir atsargumo priemonės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Pasitarkite su gydytoju arba vaistininku, prieš pradėdami vartoti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>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Dėl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sukeliamo lokalaus kraujo priplūdimo į odą, tikėtinas pateptos vietos paraudimas, šilimas, niežulys ir deginimas. Patepus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 arba jį stipriai įtrynus į odą, šie simptomai gali būti itin stiprūs. Tepant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 arba jį įtrinant į odą, gali atsirasti odos pūslių.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patepus, nepažeistos odos ir kitų žmonių rankomis liesti negalima, jas būtina tuoj pat nusiplauti. 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Veidą, akis ir burną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jokiomis aplinkybėmis tepti negalima, kadangi gali pasireikšti laikinas veido patinimas, veido skausmas, akių junginės dirginimas, akių paraudimas, akių deginimas, regos sutrikimas, nemalonus pojūtis burnoje ar stomatitas (burnos gleivinės uždegimas).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lastRenderedPageBreak/>
        <w:t xml:space="preserve">Prieš odą tepant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ir ją patepus, negalima maudytis karštoje vonioje ar karštame duše. Net kelias valandas po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pavartojimo prakaitavimas arba šildymas gali sukelti odos paraudimą ir stiprios šilumos pojūtį.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iCs/>
          <w:sz w:val="22"/>
          <w:szCs w:val="22"/>
        </w:rPr>
      </w:pPr>
      <w:r w:rsidRPr="00707199">
        <w:rPr>
          <w:rFonts w:ascii="Times New Roman" w:hAnsi="Times New Roman"/>
          <w:b/>
          <w:bCs/>
          <w:iCs/>
          <w:sz w:val="22"/>
          <w:szCs w:val="22"/>
        </w:rPr>
        <w:t xml:space="preserve">Kiti vaistai ir </w:t>
      </w:r>
      <w:proofErr w:type="spellStart"/>
      <w:r w:rsidRPr="00707199">
        <w:rPr>
          <w:rFonts w:ascii="Times New Roman" w:hAnsi="Times New Roman"/>
          <w:b/>
          <w:bCs/>
          <w:iCs/>
          <w:sz w:val="22"/>
          <w:szCs w:val="22"/>
        </w:rPr>
        <w:t>Finalgon</w:t>
      </w:r>
      <w:proofErr w:type="spellEnd"/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Jeigu vartojate arba neseniai vartojote kitų vaistų arba dėl to nesate tikri, apie tai  pasakykite gydytojui arba vaistininkui.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sąveikos tyrimų su kitais vaistais neatlikta.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Nėštumas, žindymo laikotarpis ir vaisingumas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Jeigu esate nėščia, žindote kūdikį, manote, kad gal </w:t>
      </w:r>
      <w:proofErr w:type="spellStart"/>
      <w:r w:rsidRPr="00707199">
        <w:rPr>
          <w:rFonts w:ascii="Times New Roman" w:hAnsi="Times New Roman"/>
          <w:sz w:val="22"/>
          <w:szCs w:val="22"/>
        </w:rPr>
        <w:t>būt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esate nėščia, arba planuojate pastoti, tai prieš vartodama šį vaistą, pasitarkite su gydytoju arba vaistininku.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nėštumo metu ir žindymo laikotarpiu vartoti nerekomenduojama, kadangi nėra klinikinių duomenų.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Vairavimas ir mechanizmų valdymas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Poveikio gebėjimui vairuoti ir valdyti mechanizmus tyrimų neatlikta.</w:t>
      </w:r>
    </w:p>
    <w:p w:rsidR="00AF2EA7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</w:p>
    <w:p w:rsidR="00AF2EA7" w:rsidRPr="003D1703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B62425">
        <w:rPr>
          <w:rFonts w:ascii="Times New Roman" w:hAnsi="Times New Roman"/>
          <w:b/>
          <w:sz w:val="22"/>
          <w:szCs w:val="22"/>
        </w:rPr>
        <w:t>Finalgon</w:t>
      </w:r>
      <w:proofErr w:type="spellEnd"/>
      <w:r w:rsidRPr="00B62425">
        <w:rPr>
          <w:rFonts w:ascii="Times New Roman" w:hAnsi="Times New Roman"/>
          <w:b/>
          <w:sz w:val="22"/>
          <w:szCs w:val="22"/>
        </w:rPr>
        <w:t xml:space="preserve"> sudėtyje yra sorbo rūgšties</w:t>
      </w:r>
      <w:r w:rsidRPr="003D1703">
        <w:rPr>
          <w:rFonts w:ascii="Times New Roman" w:hAnsi="Times New Roman"/>
          <w:b/>
          <w:sz w:val="22"/>
          <w:szCs w:val="22"/>
        </w:rPr>
        <w:t>, kvapiosios medžiagos, kurios sud</w:t>
      </w:r>
      <w:r w:rsidRPr="003D1703">
        <w:rPr>
          <w:rFonts w:ascii="Times New Roman" w:hAnsi="Times New Roman" w:hint="eastAsia"/>
          <w:b/>
          <w:sz w:val="22"/>
          <w:szCs w:val="22"/>
        </w:rPr>
        <w:t>ė</w:t>
      </w:r>
      <w:r w:rsidRPr="003D1703">
        <w:rPr>
          <w:rFonts w:ascii="Times New Roman" w:hAnsi="Times New Roman"/>
          <w:b/>
          <w:sz w:val="22"/>
          <w:szCs w:val="22"/>
        </w:rPr>
        <w:t>tyje yra alergen</w:t>
      </w:r>
      <w:r w:rsidRPr="003D1703">
        <w:rPr>
          <w:rFonts w:ascii="Times New Roman" w:hAnsi="Times New Roman" w:hint="eastAsia"/>
          <w:b/>
          <w:sz w:val="22"/>
          <w:szCs w:val="22"/>
        </w:rPr>
        <w:t>ų</w:t>
      </w:r>
      <w:r w:rsidRPr="003D1703">
        <w:rPr>
          <w:rFonts w:ascii="Times New Roman" w:hAnsi="Times New Roman"/>
          <w:b/>
          <w:sz w:val="22"/>
          <w:szCs w:val="22"/>
        </w:rPr>
        <w:t xml:space="preserve">, ir </w:t>
      </w:r>
      <w:proofErr w:type="spellStart"/>
      <w:r w:rsidRPr="003D1703">
        <w:rPr>
          <w:rFonts w:ascii="Times New Roman" w:hAnsi="Times New Roman"/>
          <w:b/>
          <w:sz w:val="22"/>
          <w:szCs w:val="22"/>
        </w:rPr>
        <w:t>benzilo</w:t>
      </w:r>
      <w:proofErr w:type="spellEnd"/>
      <w:r w:rsidRPr="003D1703">
        <w:rPr>
          <w:rFonts w:ascii="Times New Roman" w:hAnsi="Times New Roman"/>
          <w:b/>
          <w:sz w:val="22"/>
          <w:szCs w:val="22"/>
        </w:rPr>
        <w:t xml:space="preserve"> alkoholio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8F4483">
        <w:rPr>
          <w:rFonts w:ascii="Times New Roman" w:hAnsi="Times New Roman"/>
          <w:bCs/>
          <w:sz w:val="22"/>
          <w:szCs w:val="22"/>
        </w:rPr>
        <w:t>Finalgon</w:t>
      </w:r>
      <w:proofErr w:type="spellEnd"/>
      <w:r w:rsidRPr="008F4483">
        <w:rPr>
          <w:rFonts w:ascii="Times New Roman" w:hAnsi="Times New Roman"/>
          <w:bCs/>
          <w:sz w:val="22"/>
          <w:szCs w:val="22"/>
        </w:rPr>
        <w:t xml:space="preserve"> sudėtyje yra sorbo rūgšties</w:t>
      </w:r>
      <w:r w:rsidRPr="00AD2CEF">
        <w:rPr>
          <w:rFonts w:ascii="Times New Roman" w:hAnsi="Times New Roman"/>
          <w:bCs/>
          <w:sz w:val="22"/>
          <w:szCs w:val="22"/>
        </w:rPr>
        <w:t>, galinčios</w:t>
      </w:r>
      <w:r w:rsidRPr="00707199">
        <w:rPr>
          <w:rFonts w:ascii="Times New Roman" w:hAnsi="Times New Roman"/>
          <w:sz w:val="22"/>
          <w:szCs w:val="22"/>
        </w:rPr>
        <w:t xml:space="preserve"> sukelti lokalių odos reakcijų (pvz., kontaktinį dermatitą).</w:t>
      </w:r>
    </w:p>
    <w:p w:rsidR="00AF2EA7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AF2EA7" w:rsidRPr="0070386B" w:rsidRDefault="00AF2EA7" w:rsidP="00AF2EA7">
      <w:pPr>
        <w:keepNext/>
        <w:keepLines/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Šio vaisto </w:t>
      </w:r>
      <w:r w:rsidRPr="003D1703">
        <w:rPr>
          <w:rFonts w:ascii="Times New Roman" w:hAnsi="Times New Roman"/>
          <w:sz w:val="22"/>
          <w:szCs w:val="22"/>
        </w:rPr>
        <w:t>kvapiosios medžiagos sudė</w:t>
      </w:r>
      <w:r w:rsidRPr="0070386B">
        <w:rPr>
          <w:rFonts w:ascii="Times New Roman" w:hAnsi="Times New Roman"/>
          <w:sz w:val="22"/>
          <w:szCs w:val="22"/>
        </w:rPr>
        <w:t>tyje yra</w:t>
      </w:r>
      <w:r w:rsidRPr="003D1703">
        <w:rPr>
          <w:rFonts w:ascii="Times New Roman" w:hAnsi="Times New Roman"/>
          <w:sz w:val="22"/>
          <w:szCs w:val="22"/>
        </w:rPr>
        <w:t xml:space="preserve"> 3-metil-4-(2,6,6-trimetil-2-cikloheksen-1-il)-3-buten-2-ono, 2-benzilidenheptanalio, </w:t>
      </w:r>
      <w:r w:rsidRPr="0070386B">
        <w:rPr>
          <w:rFonts w:ascii="Times New Roman" w:hAnsi="Times New Roman"/>
          <w:sz w:val="22"/>
          <w:szCs w:val="22"/>
        </w:rPr>
        <w:t>2-benzil</w:t>
      </w:r>
      <w:r w:rsidRPr="003D1703">
        <w:rPr>
          <w:rFonts w:ascii="Times New Roman" w:hAnsi="Times New Roman"/>
          <w:sz w:val="22"/>
          <w:szCs w:val="22"/>
        </w:rPr>
        <w:t xml:space="preserve">idenheptan-1-olio, 4-metoksibenzilo alkoholio, </w:t>
      </w:r>
      <w:proofErr w:type="spellStart"/>
      <w:r w:rsidRPr="003D1703">
        <w:rPr>
          <w:rFonts w:ascii="Times New Roman" w:hAnsi="Times New Roman"/>
          <w:sz w:val="22"/>
          <w:szCs w:val="22"/>
        </w:rPr>
        <w:t>sė</w:t>
      </w:r>
      <w:r w:rsidRPr="0070386B">
        <w:rPr>
          <w:rFonts w:ascii="Times New Roman" w:hAnsi="Times New Roman"/>
          <w:sz w:val="22"/>
          <w:szCs w:val="22"/>
        </w:rPr>
        <w:t>lenin</w:t>
      </w:r>
      <w:r w:rsidRPr="003D1703">
        <w:rPr>
          <w:rFonts w:ascii="Times New Roman" w:hAnsi="Times New Roman"/>
          <w:sz w:val="22"/>
          <w:szCs w:val="22"/>
        </w:rPr>
        <w:t>ė</w:t>
      </w:r>
      <w:r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D1703">
        <w:rPr>
          <w:rFonts w:ascii="Times New Roman" w:hAnsi="Times New Roman"/>
          <w:sz w:val="22"/>
          <w:szCs w:val="22"/>
        </w:rPr>
        <w:t>briedragė</w:t>
      </w:r>
      <w:r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(angl.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Tree</w:t>
      </w:r>
      <w:proofErr w:type="spellEnd"/>
      <w:r w:rsidRPr="003D17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moss</w:t>
      </w:r>
      <w:proofErr w:type="spellEnd"/>
      <w:r w:rsidRPr="0070386B">
        <w:rPr>
          <w:rFonts w:ascii="Times New Roman" w:hAnsi="Times New Roman"/>
          <w:sz w:val="22"/>
          <w:szCs w:val="22"/>
        </w:rPr>
        <w:t>)</w:t>
      </w:r>
      <w:r w:rsidRPr="003D1703">
        <w:rPr>
          <w:rFonts w:ascii="Times New Roman" w:hAnsi="Times New Roman"/>
          <w:sz w:val="22"/>
          <w:szCs w:val="22"/>
        </w:rPr>
        <w:t xml:space="preserve"> ekstrakto, </w:t>
      </w:r>
      <w:proofErr w:type="spellStart"/>
      <w:r w:rsidRPr="003D1703">
        <w:rPr>
          <w:rFonts w:ascii="Times New Roman" w:hAnsi="Times New Roman"/>
          <w:sz w:val="22"/>
          <w:szCs w:val="22"/>
        </w:rPr>
        <w:t>benzilo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alkoholio, </w:t>
      </w:r>
      <w:proofErr w:type="spellStart"/>
      <w:r w:rsidRPr="003D1703">
        <w:rPr>
          <w:rFonts w:ascii="Times New Roman" w:hAnsi="Times New Roman"/>
          <w:sz w:val="22"/>
          <w:szCs w:val="22"/>
        </w:rPr>
        <w:t>benzilbenzoato</w:t>
      </w:r>
      <w:proofErr w:type="spellEnd"/>
      <w:r w:rsidRPr="003D1703">
        <w:rPr>
          <w:rFonts w:ascii="Times New Roman" w:hAnsi="Times New Roman"/>
          <w:sz w:val="22"/>
          <w:szCs w:val="22"/>
        </w:rPr>
        <w:t>, (E)-</w:t>
      </w:r>
      <w:proofErr w:type="spellStart"/>
      <w:r w:rsidRPr="003D1703">
        <w:rPr>
          <w:rFonts w:ascii="Times New Roman" w:hAnsi="Times New Roman"/>
          <w:sz w:val="22"/>
          <w:szCs w:val="22"/>
        </w:rPr>
        <w:t>benzilcinamato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benzil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 2-hidroksibenzoato, </w:t>
      </w:r>
      <w:proofErr w:type="spellStart"/>
      <w:r w:rsidRPr="003D1703">
        <w:rPr>
          <w:rFonts w:ascii="Times New Roman" w:hAnsi="Times New Roman"/>
          <w:sz w:val="22"/>
          <w:szCs w:val="22"/>
        </w:rPr>
        <w:t>citralio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citronelolio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r w:rsidRPr="0070386B">
        <w:rPr>
          <w:rFonts w:ascii="Times New Roman" w:hAnsi="Times New Roman"/>
          <w:sz w:val="22"/>
          <w:szCs w:val="22"/>
        </w:rPr>
        <w:t>kumarino, sodin</w:t>
      </w:r>
      <w:r w:rsidRPr="003D1703">
        <w:rPr>
          <w:rFonts w:ascii="Times New Roman" w:hAnsi="Times New Roman"/>
          <w:sz w:val="22"/>
          <w:szCs w:val="22"/>
        </w:rPr>
        <w:t>ė</w:t>
      </w:r>
      <w:r w:rsidRPr="0070386B">
        <w:rPr>
          <w:rFonts w:ascii="Times New Roman" w:hAnsi="Times New Roman"/>
          <w:sz w:val="22"/>
          <w:szCs w:val="22"/>
        </w:rPr>
        <w:t xml:space="preserve">s </w:t>
      </w:r>
      <w:proofErr w:type="spellStart"/>
      <w:r w:rsidRPr="0070386B">
        <w:rPr>
          <w:rFonts w:ascii="Times New Roman" w:hAnsi="Times New Roman"/>
          <w:sz w:val="22"/>
          <w:szCs w:val="22"/>
        </w:rPr>
        <w:t>briedrag</w:t>
      </w:r>
      <w:r w:rsidRPr="003D1703">
        <w:rPr>
          <w:rFonts w:ascii="Times New Roman" w:hAnsi="Times New Roman"/>
          <w:sz w:val="22"/>
          <w:szCs w:val="22"/>
        </w:rPr>
        <w:t>ė</w:t>
      </w:r>
      <w:r w:rsidRPr="0070386B">
        <w:rPr>
          <w:rFonts w:ascii="Times New Roman" w:hAnsi="Times New Roman"/>
          <w:sz w:val="22"/>
          <w:szCs w:val="22"/>
        </w:rPr>
        <w:t>s</w:t>
      </w:r>
      <w:proofErr w:type="spellEnd"/>
      <w:r w:rsidRPr="0070386B">
        <w:rPr>
          <w:rFonts w:ascii="Times New Roman" w:hAnsi="Times New Roman"/>
          <w:sz w:val="22"/>
          <w:szCs w:val="22"/>
        </w:rPr>
        <w:t xml:space="preserve"> (angl.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Oak</w:t>
      </w:r>
      <w:proofErr w:type="spellEnd"/>
      <w:r w:rsidRPr="003D1703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3D1703">
        <w:rPr>
          <w:rFonts w:ascii="Times New Roman" w:hAnsi="Times New Roman"/>
          <w:i/>
          <w:iCs/>
          <w:sz w:val="22"/>
          <w:szCs w:val="22"/>
        </w:rPr>
        <w:t>moss</w:t>
      </w:r>
      <w:proofErr w:type="spellEnd"/>
      <w:r w:rsidRPr="0070386B">
        <w:rPr>
          <w:rFonts w:ascii="Times New Roman" w:hAnsi="Times New Roman"/>
          <w:sz w:val="22"/>
          <w:szCs w:val="22"/>
        </w:rPr>
        <w:t>)</w:t>
      </w:r>
      <w:r w:rsidRPr="003D1703">
        <w:rPr>
          <w:rFonts w:ascii="Times New Roman" w:hAnsi="Times New Roman"/>
          <w:sz w:val="22"/>
          <w:szCs w:val="22"/>
        </w:rPr>
        <w:t xml:space="preserve"> ekstrakto, </w:t>
      </w:r>
      <w:proofErr w:type="spellStart"/>
      <w:r w:rsidRPr="003D1703">
        <w:rPr>
          <w:rFonts w:ascii="Times New Roman" w:hAnsi="Times New Roman"/>
          <w:sz w:val="22"/>
          <w:szCs w:val="22"/>
        </w:rPr>
        <w:t>eugenolio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farnezolio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D1703">
        <w:rPr>
          <w:rFonts w:ascii="Times New Roman" w:hAnsi="Times New Roman"/>
          <w:sz w:val="22"/>
          <w:szCs w:val="22"/>
        </w:rPr>
        <w:t>geraniolio</w:t>
      </w:r>
      <w:r w:rsidRPr="0070386B">
        <w:rPr>
          <w:rFonts w:ascii="Times New Roman" w:hAnsi="Times New Roman"/>
          <w:sz w:val="22"/>
          <w:szCs w:val="22"/>
        </w:rPr>
        <w:t>-</w:t>
      </w:r>
      <w:r w:rsidRPr="003D1703">
        <w:rPr>
          <w:rFonts w:ascii="Times New Roman" w:hAnsi="Times New Roman"/>
          <w:sz w:val="22"/>
          <w:szCs w:val="22"/>
        </w:rPr>
        <w:t>benzilideneoktanalio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7-hidroksi-3,7-dimetiloktanalio, </w:t>
      </w:r>
      <w:proofErr w:type="spellStart"/>
      <w:r w:rsidRPr="0070386B">
        <w:rPr>
          <w:rFonts w:ascii="Times New Roman" w:hAnsi="Times New Roman"/>
          <w:sz w:val="22"/>
          <w:szCs w:val="22"/>
        </w:rPr>
        <w:t>i</w:t>
      </w:r>
      <w:r w:rsidRPr="003D1703">
        <w:rPr>
          <w:rFonts w:ascii="Times New Roman" w:hAnsi="Times New Roman"/>
          <w:sz w:val="22"/>
          <w:szCs w:val="22"/>
        </w:rPr>
        <w:t>zoeugenolio</w:t>
      </w:r>
      <w:proofErr w:type="spellEnd"/>
      <w:r w:rsidRPr="003D1703">
        <w:rPr>
          <w:rFonts w:ascii="Times New Roman" w:hAnsi="Times New Roman"/>
          <w:sz w:val="22"/>
          <w:szCs w:val="22"/>
        </w:rPr>
        <w:t>, 2-(4-tret-butilbenzil)</w:t>
      </w:r>
      <w:proofErr w:type="spellStart"/>
      <w:r w:rsidRPr="003D1703">
        <w:rPr>
          <w:rFonts w:ascii="Times New Roman" w:hAnsi="Times New Roman"/>
          <w:sz w:val="22"/>
          <w:szCs w:val="22"/>
        </w:rPr>
        <w:t>pro</w:t>
      </w:r>
      <w:r w:rsidRPr="0070386B">
        <w:rPr>
          <w:rFonts w:ascii="Times New Roman" w:hAnsi="Times New Roman"/>
          <w:sz w:val="22"/>
          <w:szCs w:val="22"/>
        </w:rPr>
        <w:t>pa</w:t>
      </w:r>
      <w:r w:rsidRPr="003D1703">
        <w:rPr>
          <w:rFonts w:ascii="Times New Roman" w:hAnsi="Times New Roman"/>
          <w:sz w:val="22"/>
          <w:szCs w:val="22"/>
        </w:rPr>
        <w:t>nalio</w:t>
      </w:r>
      <w:proofErr w:type="spellEnd"/>
      <w:r w:rsidRPr="003D1703">
        <w:rPr>
          <w:rFonts w:ascii="Times New Roman" w:hAnsi="Times New Roman"/>
          <w:sz w:val="22"/>
          <w:szCs w:val="22"/>
        </w:rPr>
        <w:t>, d-</w:t>
      </w:r>
      <w:proofErr w:type="spellStart"/>
      <w:r w:rsidRPr="003D1703">
        <w:rPr>
          <w:rFonts w:ascii="Times New Roman" w:hAnsi="Times New Roman"/>
          <w:sz w:val="22"/>
          <w:szCs w:val="22"/>
        </w:rPr>
        <w:t>limoneno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0386B">
        <w:rPr>
          <w:rFonts w:ascii="Times New Roman" w:hAnsi="Times New Roman"/>
          <w:sz w:val="22"/>
          <w:szCs w:val="22"/>
        </w:rPr>
        <w:t>l</w:t>
      </w:r>
      <w:r w:rsidRPr="003D1703">
        <w:rPr>
          <w:rFonts w:ascii="Times New Roman" w:hAnsi="Times New Roman"/>
          <w:sz w:val="22"/>
          <w:szCs w:val="22"/>
        </w:rPr>
        <w:t>inalolio</w:t>
      </w:r>
      <w:proofErr w:type="spellEnd"/>
      <w:r w:rsidRPr="003D1703">
        <w:rPr>
          <w:rFonts w:ascii="Times New Roman" w:hAnsi="Times New Roman"/>
          <w:sz w:val="22"/>
          <w:szCs w:val="22"/>
        </w:rPr>
        <w:t xml:space="preserve">, rac-(1R)-(4-hidroksi-4-metilpentil)cikloheks-3-en-1-karbaldehido, metilokt-2-inoato, </w:t>
      </w:r>
      <w:proofErr w:type="spellStart"/>
      <w:r w:rsidRPr="003D1703">
        <w:rPr>
          <w:rFonts w:ascii="Times New Roman" w:hAnsi="Times New Roman"/>
          <w:sz w:val="22"/>
          <w:szCs w:val="22"/>
        </w:rPr>
        <w:t>cinamaldehido</w:t>
      </w:r>
      <w:proofErr w:type="spellEnd"/>
      <w:r w:rsidRPr="003D1703">
        <w:rPr>
          <w:rFonts w:ascii="Times New Roman" w:hAnsi="Times New Roman"/>
          <w:sz w:val="22"/>
          <w:szCs w:val="22"/>
        </w:rPr>
        <w:t>, 3-fenilprop-2-en-1-olio</w:t>
      </w:r>
      <w:r>
        <w:rPr>
          <w:rFonts w:ascii="Times New Roman" w:hAnsi="Times New Roman"/>
          <w:sz w:val="22"/>
          <w:szCs w:val="22"/>
        </w:rPr>
        <w:t xml:space="preserve">, kurie </w:t>
      </w:r>
      <w:r w:rsidRPr="0070386B">
        <w:rPr>
          <w:rFonts w:ascii="Times New Roman" w:hAnsi="Times New Roman"/>
          <w:sz w:val="22"/>
          <w:szCs w:val="22"/>
        </w:rPr>
        <w:t>gali sukelti alergini</w:t>
      </w:r>
      <w:r w:rsidRPr="0070386B">
        <w:rPr>
          <w:rFonts w:ascii="Times New Roman" w:hAnsi="Times New Roman" w:hint="eastAsia"/>
          <w:sz w:val="22"/>
          <w:szCs w:val="22"/>
        </w:rPr>
        <w:t>ų</w:t>
      </w:r>
      <w:r w:rsidRPr="0070386B">
        <w:rPr>
          <w:rFonts w:ascii="Times New Roman" w:hAnsi="Times New Roman"/>
          <w:sz w:val="22"/>
          <w:szCs w:val="22"/>
        </w:rPr>
        <w:t xml:space="preserve"> reakcij</w:t>
      </w:r>
      <w:r w:rsidRPr="0070386B">
        <w:rPr>
          <w:rFonts w:ascii="Times New Roman" w:hAnsi="Times New Roman" w:hint="eastAsia"/>
          <w:sz w:val="22"/>
          <w:szCs w:val="22"/>
        </w:rPr>
        <w:t>ų</w:t>
      </w:r>
      <w:r w:rsidRPr="0070386B">
        <w:rPr>
          <w:rFonts w:ascii="Times New Roman" w:hAnsi="Times New Roman"/>
          <w:sz w:val="22"/>
          <w:szCs w:val="22"/>
        </w:rPr>
        <w:t>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AF2EA7" w:rsidRDefault="00AF2EA7" w:rsidP="00AF2EA7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r w:rsidRPr="00F9662C">
        <w:rPr>
          <w:rFonts w:ascii="Times New Roman" w:hAnsi="Times New Roman"/>
          <w:bCs/>
          <w:sz w:val="22"/>
          <w:szCs w:val="22"/>
        </w:rPr>
        <w:t>Kiekviename šio vaisto grame yra 0,00002</w:t>
      </w:r>
      <w:r>
        <w:rPr>
          <w:rFonts w:ascii="Times New Roman" w:hAnsi="Times New Roman"/>
          <w:bCs/>
          <w:sz w:val="22"/>
          <w:szCs w:val="22"/>
        </w:rPr>
        <w:t> </w:t>
      </w:r>
      <w:r w:rsidRPr="00F9662C">
        <w:rPr>
          <w:rFonts w:ascii="Times New Roman" w:hAnsi="Times New Roman"/>
          <w:bCs/>
          <w:sz w:val="22"/>
          <w:szCs w:val="22"/>
        </w:rPr>
        <w:t xml:space="preserve">mg </w:t>
      </w:r>
      <w:proofErr w:type="spellStart"/>
      <w:r w:rsidRPr="00F9662C">
        <w:rPr>
          <w:rFonts w:ascii="Times New Roman" w:hAnsi="Times New Roman"/>
          <w:bCs/>
          <w:sz w:val="22"/>
          <w:szCs w:val="22"/>
        </w:rPr>
        <w:t>benzilo</w:t>
      </w:r>
      <w:proofErr w:type="spellEnd"/>
      <w:r w:rsidRPr="00F9662C">
        <w:rPr>
          <w:rFonts w:ascii="Times New Roman" w:hAnsi="Times New Roman"/>
          <w:bCs/>
          <w:sz w:val="22"/>
          <w:szCs w:val="22"/>
        </w:rPr>
        <w:t xml:space="preserve"> alkoholio, tai atitinka 0,0004</w:t>
      </w:r>
      <w:r>
        <w:rPr>
          <w:rFonts w:ascii="Times New Roman" w:hAnsi="Times New Roman"/>
          <w:bCs/>
          <w:sz w:val="22"/>
          <w:szCs w:val="22"/>
        </w:rPr>
        <w:t> </w:t>
      </w:r>
      <w:r w:rsidRPr="00F9662C">
        <w:rPr>
          <w:rFonts w:ascii="Times New Roman" w:hAnsi="Times New Roman"/>
          <w:bCs/>
          <w:sz w:val="22"/>
          <w:szCs w:val="22"/>
        </w:rPr>
        <w:t xml:space="preserve">mg </w:t>
      </w:r>
      <w:proofErr w:type="spellStart"/>
      <w:r w:rsidRPr="00F9662C">
        <w:rPr>
          <w:rFonts w:ascii="Times New Roman" w:hAnsi="Times New Roman"/>
          <w:bCs/>
          <w:sz w:val="22"/>
          <w:szCs w:val="22"/>
        </w:rPr>
        <w:t>benzilo</w:t>
      </w:r>
      <w:proofErr w:type="spellEnd"/>
      <w:r w:rsidRPr="00F9662C">
        <w:rPr>
          <w:rFonts w:ascii="Times New Roman" w:hAnsi="Times New Roman"/>
          <w:bCs/>
          <w:sz w:val="22"/>
          <w:szCs w:val="22"/>
        </w:rPr>
        <w:t xml:space="preserve"> alkoholio 20</w:t>
      </w:r>
      <w:r>
        <w:rPr>
          <w:rFonts w:ascii="Times New Roman" w:hAnsi="Times New Roman"/>
          <w:bCs/>
          <w:sz w:val="22"/>
          <w:szCs w:val="22"/>
        </w:rPr>
        <w:t> </w:t>
      </w:r>
      <w:r w:rsidRPr="00F9662C">
        <w:rPr>
          <w:rFonts w:ascii="Times New Roman" w:hAnsi="Times New Roman"/>
          <w:bCs/>
          <w:sz w:val="22"/>
          <w:szCs w:val="22"/>
        </w:rPr>
        <w:t>g t</w:t>
      </w:r>
      <w:r w:rsidRPr="00F9662C">
        <w:rPr>
          <w:rFonts w:ascii="Times New Roman" w:hAnsi="Times New Roman" w:hint="eastAsia"/>
          <w:bCs/>
          <w:sz w:val="22"/>
          <w:szCs w:val="22"/>
        </w:rPr>
        <w:t>ū</w:t>
      </w:r>
      <w:r w:rsidRPr="00F9662C">
        <w:rPr>
          <w:rFonts w:ascii="Times New Roman" w:hAnsi="Times New Roman"/>
          <w:bCs/>
          <w:sz w:val="22"/>
          <w:szCs w:val="22"/>
        </w:rPr>
        <w:t>bel</w:t>
      </w:r>
      <w:r w:rsidRPr="00F9662C">
        <w:rPr>
          <w:rFonts w:ascii="Times New Roman" w:hAnsi="Times New Roman" w:hint="eastAsia"/>
          <w:bCs/>
          <w:sz w:val="22"/>
          <w:szCs w:val="22"/>
        </w:rPr>
        <w:t>ė</w:t>
      </w:r>
      <w:r w:rsidRPr="00F9662C">
        <w:rPr>
          <w:rFonts w:ascii="Times New Roman" w:hAnsi="Times New Roman"/>
          <w:bCs/>
          <w:sz w:val="22"/>
          <w:szCs w:val="22"/>
        </w:rPr>
        <w:t>je</w:t>
      </w:r>
      <w:r w:rsidRPr="005A1F08">
        <w:rPr>
          <w:rFonts w:ascii="Times New Roman" w:hAnsi="Times New Roman"/>
          <w:bCs/>
          <w:sz w:val="22"/>
          <w:szCs w:val="22"/>
        </w:rPr>
        <w:t xml:space="preserve">. </w:t>
      </w:r>
      <w:proofErr w:type="spellStart"/>
      <w:r w:rsidRPr="005A1F08">
        <w:rPr>
          <w:rFonts w:ascii="Times New Roman" w:hAnsi="Times New Roman"/>
          <w:bCs/>
          <w:sz w:val="22"/>
          <w:szCs w:val="22"/>
        </w:rPr>
        <w:t>Benzilo</w:t>
      </w:r>
      <w:proofErr w:type="spellEnd"/>
      <w:r w:rsidRPr="005A1F08">
        <w:rPr>
          <w:rFonts w:ascii="Times New Roman" w:hAnsi="Times New Roman"/>
          <w:bCs/>
          <w:sz w:val="22"/>
          <w:szCs w:val="22"/>
        </w:rPr>
        <w:t xml:space="preserve"> alkoholis gali sukelti </w:t>
      </w:r>
      <w:r>
        <w:rPr>
          <w:rFonts w:ascii="Times New Roman" w:hAnsi="Times New Roman"/>
          <w:bCs/>
          <w:sz w:val="22"/>
          <w:szCs w:val="22"/>
        </w:rPr>
        <w:t xml:space="preserve">alerginių reakcijų ir </w:t>
      </w:r>
      <w:r w:rsidRPr="005A1F08">
        <w:rPr>
          <w:rFonts w:ascii="Times New Roman" w:hAnsi="Times New Roman"/>
          <w:bCs/>
          <w:sz w:val="22"/>
          <w:szCs w:val="22"/>
        </w:rPr>
        <w:t>lengv</w:t>
      </w:r>
      <w:r w:rsidRPr="005A1F08">
        <w:rPr>
          <w:rFonts w:ascii="Times New Roman" w:hAnsi="Times New Roman" w:hint="eastAsia"/>
          <w:bCs/>
          <w:sz w:val="22"/>
          <w:szCs w:val="22"/>
        </w:rPr>
        <w:t>ą</w:t>
      </w:r>
      <w:r w:rsidRPr="005A1F08">
        <w:rPr>
          <w:rFonts w:ascii="Times New Roman" w:hAnsi="Times New Roman"/>
          <w:bCs/>
          <w:sz w:val="22"/>
          <w:szCs w:val="22"/>
        </w:rPr>
        <w:t xml:space="preserve"> vietin</w:t>
      </w:r>
      <w:r w:rsidRPr="005A1F08">
        <w:rPr>
          <w:rFonts w:ascii="Times New Roman" w:hAnsi="Times New Roman" w:hint="eastAsia"/>
          <w:bCs/>
          <w:sz w:val="22"/>
          <w:szCs w:val="22"/>
        </w:rPr>
        <w:t>į</w:t>
      </w:r>
      <w:r w:rsidRPr="005A1F08">
        <w:rPr>
          <w:rFonts w:ascii="Times New Roman" w:hAnsi="Times New Roman"/>
          <w:bCs/>
          <w:sz w:val="22"/>
          <w:szCs w:val="22"/>
        </w:rPr>
        <w:t xml:space="preserve"> sudirginim</w:t>
      </w:r>
      <w:r w:rsidRPr="005A1F08">
        <w:rPr>
          <w:rFonts w:ascii="Times New Roman" w:hAnsi="Times New Roman" w:hint="eastAsia"/>
          <w:bCs/>
          <w:sz w:val="22"/>
          <w:szCs w:val="22"/>
        </w:rPr>
        <w:t>ą</w:t>
      </w:r>
      <w:r w:rsidRPr="005A1F08">
        <w:rPr>
          <w:rFonts w:ascii="Times New Roman" w:hAnsi="Times New Roman"/>
          <w:bCs/>
          <w:sz w:val="22"/>
          <w:szCs w:val="22"/>
        </w:rPr>
        <w:t>.</w:t>
      </w:r>
    </w:p>
    <w:p w:rsidR="00AF2EA7" w:rsidRPr="005A1F08" w:rsidRDefault="00AF2EA7" w:rsidP="00AF2EA7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3.</w:t>
      </w:r>
      <w:r w:rsidRPr="00707199">
        <w:rPr>
          <w:rFonts w:ascii="Times New Roman" w:hAnsi="Times New Roman"/>
          <w:b/>
          <w:sz w:val="22"/>
          <w:szCs w:val="22"/>
        </w:rPr>
        <w:tab/>
        <w:t>Kaip vartoti</w:t>
      </w:r>
      <w:r w:rsidRPr="007071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199">
        <w:rPr>
          <w:rFonts w:ascii="Times New Roman" w:hAnsi="Times New Roman"/>
          <w:b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sz w:val="22"/>
          <w:szCs w:val="22"/>
        </w:rPr>
        <w:t xml:space="preserve">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Visada vartokite šį vaistą tiksliai kaip nurodė gydytojas arba vaistininkas. Jeigu abejojate, kreipkitės į gydytoją arba vaistininką.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AF2EA7" w:rsidRPr="00707199" w:rsidRDefault="00AF2EA7" w:rsidP="00AF2EA7">
      <w:pPr>
        <w:tabs>
          <w:tab w:val="left" w:pos="0"/>
          <w:tab w:val="left" w:pos="567"/>
        </w:tabs>
        <w:ind w:right="-331"/>
        <w:jc w:val="both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Įprastinė dozė delno dydžio odos plotui patepti </w:t>
      </w:r>
      <w:r w:rsidRPr="00707199">
        <w:rPr>
          <w:rFonts w:ascii="Times New Roman" w:hAnsi="Times New Roman"/>
          <w:sz w:val="22"/>
          <w:szCs w:val="22"/>
        </w:rPr>
        <w:sym w:font="Symbol" w:char="F02D"/>
      </w:r>
      <w:r w:rsidRPr="00707199">
        <w:rPr>
          <w:rFonts w:ascii="Times New Roman" w:hAnsi="Times New Roman"/>
          <w:sz w:val="22"/>
          <w:szCs w:val="22"/>
        </w:rPr>
        <w:t xml:space="preserve"> ne daugiau kaip 0,5 cm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(žirnio dydžio gumulėlis).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Cs/>
          <w:sz w:val="22"/>
          <w:szCs w:val="22"/>
        </w:rPr>
        <w:t xml:space="preserve"> tepalu reikia tepti tada, kada reikia, ne daugiau kaip 3 kartus per parą.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  <w:tab w:val="left" w:pos="3840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Kad galėtumėte patikrinti savo reakciją į vaistą, iš pradžių labai mažu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 patepkite labai mažą odos plotelį. Reakcija į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tepalą labai skiriasi ir kai kuriems žmonėms reikia tik labai menko kiekio reikiamam karščiui sukelti, kiti žmonės pajunta labai menką šilumos pojūtį arba visai jo nepajunta.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0"/>
          <w:tab w:val="left" w:pos="567"/>
        </w:tabs>
        <w:ind w:right="-331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Iš tūbelės ant pažeistos vietos išspaustą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tepalą švelniai išsklaidykite pakuotėje esančiu </w:t>
      </w:r>
      <w:proofErr w:type="spellStart"/>
      <w:r w:rsidRPr="00707199">
        <w:rPr>
          <w:rFonts w:ascii="Times New Roman" w:hAnsi="Times New Roman"/>
          <w:sz w:val="22"/>
          <w:szCs w:val="22"/>
        </w:rPr>
        <w:t>aplikatoriumi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tepalu patepę, rankas gerai nusiplaukite muilu ir vandeniu.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Vartojimas vaikams ir paaugliams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Cs/>
          <w:sz w:val="22"/>
          <w:szCs w:val="22"/>
        </w:rPr>
        <w:t xml:space="preserve"> nerekomenduojama vartoti jaunesniems kaip 18 metų vaikams, nes duomenų apie saugumą ir veiksmingumą nepakanka.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 xml:space="preserve">Ką daryti pavartojus per didelę </w:t>
      </w: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dozę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Patepę odą didesniu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 negu reikia, kreipkitės į gydytoją arba vaistininką patarimo.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Patepus odą per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kiekiu, vaisto poveikį galima </w:t>
      </w:r>
      <w:proofErr w:type="spellStart"/>
      <w:r w:rsidRPr="00707199">
        <w:rPr>
          <w:rFonts w:ascii="Times New Roman" w:hAnsi="Times New Roman"/>
          <w:sz w:val="22"/>
          <w:szCs w:val="22"/>
        </w:rPr>
        <w:t>susilpninti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odą nušluosčius aliejumi (pvz., augaliniu) arba pagerintu kremu (tirštu, aliejiniu, klampiu kremu)  sudrėkintu tamponu.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Odą tepant dideliu </w:t>
      </w: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tepalo kiekiu, kraujo į ją gali priplūsti daugiau, todėl gali sustiprėti šalutinis poveikis, dažniausiai pateptoje vietoje gali atsirasti pūslelių.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Vaisto perdozavus, gali parausti viršutinė kūno dalis, padidėti kūno temperatūra, pilti karštis, pasireikšti skausmingas kraujotakos sustiprėjimas, sumažėti kraujospūdis.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 xml:space="preserve">Pamiršus pavartoti </w:t>
      </w: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Jeigu įprastiniu laiku dozę pavartoti pamiršite, pavartokite ją tuoj pat, kai tik prisiminsite, o toliau vaistu gydykitės įprastine tvarka. Negalima vartoti dvigubos dozės norint kompensuoti praleistą dozę.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 xml:space="preserve">Nustojus vartoti </w:t>
      </w:r>
      <w:proofErr w:type="spellStart"/>
      <w:r w:rsidRPr="00707199">
        <w:rPr>
          <w:rFonts w:ascii="Times New Roman" w:hAnsi="Times New Roman"/>
          <w:b/>
          <w:sz w:val="22"/>
          <w:szCs w:val="22"/>
        </w:rPr>
        <w:t>Finalgon</w:t>
      </w:r>
      <w:proofErr w:type="spellEnd"/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707199">
        <w:rPr>
          <w:rFonts w:ascii="Times New Roman" w:hAnsi="Times New Roman"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Cs/>
          <w:sz w:val="22"/>
          <w:szCs w:val="22"/>
        </w:rPr>
        <w:t xml:space="preserve"> tepalu reikia tepti tik tada, kai reikia, ir nutraukti, kai būklė pagerėja.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Jeigu kiltų daugiau klausimų dėl šio vaisto vartojimo, kreipkitės į gydytoją arba vaistininką.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  <w:tab w:val="left" w:pos="600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sz w:val="22"/>
          <w:szCs w:val="22"/>
        </w:rPr>
        <w:t>4.</w:t>
      </w:r>
      <w:r w:rsidRPr="00707199">
        <w:rPr>
          <w:rFonts w:ascii="Times New Roman" w:hAnsi="Times New Roman"/>
          <w:b/>
          <w:sz w:val="22"/>
          <w:szCs w:val="22"/>
        </w:rPr>
        <w:tab/>
        <w:t>Galimas šalutinis poveikis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bCs/>
          <w:sz w:val="22"/>
          <w:szCs w:val="22"/>
        </w:rPr>
        <w:t>Šis vaistas</w:t>
      </w:r>
      <w:r w:rsidRPr="00707199">
        <w:rPr>
          <w:rFonts w:ascii="Times New Roman" w:hAnsi="Times New Roman"/>
          <w:sz w:val="22"/>
          <w:szCs w:val="22"/>
        </w:rPr>
        <w:t>, kaip ir visi kiti, gali sukelti šalutinį poveikį, nors jis pasireiškia ne visiems žmonėms.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 xml:space="preserve">Žemiau išvardyto šalutinio poveikio dažnis apibūdinamas taip: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 xml:space="preserve">labai dažnas (pasireiškia </w:t>
      </w:r>
      <w:r>
        <w:rPr>
          <w:rFonts w:ascii="Times New Roman" w:hAnsi="Times New Roman"/>
          <w:sz w:val="22"/>
          <w:szCs w:val="22"/>
        </w:rPr>
        <w:t>ne rečiau</w:t>
      </w:r>
      <w:r w:rsidRPr="00707199">
        <w:rPr>
          <w:rFonts w:ascii="Times New Roman" w:hAnsi="Times New Roman"/>
          <w:sz w:val="22"/>
          <w:szCs w:val="22"/>
        </w:rPr>
        <w:t xml:space="preserve"> 1 pacientui iš 10);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>dažnas (pasireiškia 1 – 10 pacientų iš 100);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>nedažnas (pasireiškia 1 – 10 pacientų iš 1 000);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>retas (pasireiškia 1 – 10 pacientų iš 10 000):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 xml:space="preserve">labai retas (pasireiškia </w:t>
      </w:r>
      <w:r>
        <w:rPr>
          <w:rFonts w:ascii="Times New Roman" w:hAnsi="Times New Roman"/>
          <w:sz w:val="22"/>
          <w:szCs w:val="22"/>
        </w:rPr>
        <w:t>rečiau kaip</w:t>
      </w:r>
      <w:r w:rsidRPr="00707199">
        <w:rPr>
          <w:rFonts w:ascii="Times New Roman" w:hAnsi="Times New Roman"/>
          <w:sz w:val="22"/>
          <w:szCs w:val="22"/>
        </w:rPr>
        <w:t xml:space="preserve"> 1 pacientui iš 10 000);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 xml:space="preserve">dažnis nežinomas (negali būti </w:t>
      </w:r>
      <w:r>
        <w:rPr>
          <w:rFonts w:ascii="Times New Roman" w:hAnsi="Times New Roman"/>
          <w:sz w:val="22"/>
          <w:szCs w:val="22"/>
        </w:rPr>
        <w:t>apskaičiuotas</w:t>
      </w:r>
      <w:r w:rsidRPr="00707199">
        <w:rPr>
          <w:rFonts w:ascii="Times New Roman" w:hAnsi="Times New Roman"/>
          <w:sz w:val="22"/>
          <w:szCs w:val="22"/>
        </w:rPr>
        <w:t xml:space="preserve"> pagal turimus duomenis).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8F4483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F4483">
        <w:rPr>
          <w:rFonts w:ascii="Times New Roman" w:hAnsi="Times New Roman"/>
          <w:b/>
          <w:bCs/>
          <w:i/>
          <w:sz w:val="22"/>
          <w:szCs w:val="22"/>
        </w:rPr>
        <w:t>Dažnas (gali pasireikšti ne rečiau kaip 1 iš 10 asmenų)</w:t>
      </w:r>
    </w:p>
    <w:p w:rsidR="00AF2EA7" w:rsidRPr="00707199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deginimo pojūtis;</w:t>
      </w:r>
    </w:p>
    <w:p w:rsidR="00AF2EA7" w:rsidRPr="00707199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odos paraudimas (</w:t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eritema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>);</w:t>
      </w:r>
    </w:p>
    <w:p w:rsidR="00AF2EA7" w:rsidRPr="00707199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niež</w:t>
      </w:r>
      <w:r>
        <w:rPr>
          <w:rFonts w:ascii="Times New Roman" w:hAnsi="Times New Roman"/>
          <w:iCs/>
          <w:sz w:val="22"/>
          <w:szCs w:val="22"/>
        </w:rPr>
        <w:t>ėjimas</w:t>
      </w:r>
      <w:r w:rsidRPr="00707199">
        <w:rPr>
          <w:rFonts w:ascii="Times New Roman" w:hAnsi="Times New Roman"/>
          <w:iCs/>
          <w:sz w:val="22"/>
          <w:szCs w:val="22"/>
        </w:rPr>
        <w:t>;</w:t>
      </w:r>
    </w:p>
    <w:p w:rsidR="00AF2EA7" w:rsidRPr="00707199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karščio pojūtis.</w:t>
      </w:r>
    </w:p>
    <w:p w:rsidR="00AF2EA7" w:rsidRPr="00707199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</w:p>
    <w:p w:rsidR="00AF2EA7" w:rsidRPr="008F4483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F4483">
        <w:rPr>
          <w:rFonts w:ascii="Times New Roman" w:hAnsi="Times New Roman"/>
          <w:b/>
          <w:bCs/>
          <w:i/>
          <w:iCs/>
          <w:sz w:val="22"/>
          <w:szCs w:val="22"/>
        </w:rPr>
        <w:t>Nedažnas (gali pasireikšti ne rečiau kaip 1 iš 100 asmenų)</w:t>
      </w:r>
    </w:p>
    <w:p w:rsidR="00AF2EA7" w:rsidRPr="00707199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išbėrimas.</w:t>
      </w:r>
    </w:p>
    <w:p w:rsidR="00AF2EA7" w:rsidRPr="00707199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</w:p>
    <w:p w:rsidR="00AF2EA7" w:rsidRPr="008F4483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8F4483">
        <w:rPr>
          <w:rFonts w:ascii="Times New Roman" w:hAnsi="Times New Roman"/>
          <w:b/>
          <w:bCs/>
          <w:i/>
          <w:iCs/>
          <w:sz w:val="22"/>
          <w:szCs w:val="22"/>
        </w:rPr>
        <w:t>Dažnis nežinomas (negali būti apskaičiuotas pagal turimus duomenis)</w:t>
      </w:r>
    </w:p>
    <w:p w:rsidR="00AF2EA7" w:rsidRPr="00707199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greitai sunkėjanti gyvybei pavojinga alerginė (anafilaksinė) reakcija;</w:t>
      </w:r>
    </w:p>
    <w:p w:rsidR="00AF2EA7" w:rsidRPr="00707199" w:rsidRDefault="00AF2EA7" w:rsidP="00AF2EA7">
      <w:pPr>
        <w:tabs>
          <w:tab w:val="left" w:pos="567"/>
        </w:tabs>
        <w:ind w:left="2265" w:hanging="2265"/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jautrumo padidėjimas;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dilgsėjimo pojūtis (</w:t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parestezija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>);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kosulys;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kvėpavimo pasunkėjimas (dusulys);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 xml:space="preserve">vartojimo vietoje </w:t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pustulės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>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lokali odos reakcija;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</w:r>
      <w:proofErr w:type="spellStart"/>
      <w:r w:rsidRPr="00707199">
        <w:rPr>
          <w:rFonts w:ascii="Times New Roman" w:hAnsi="Times New Roman"/>
          <w:iCs/>
          <w:sz w:val="22"/>
          <w:szCs w:val="22"/>
        </w:rPr>
        <w:t>pūslėtumas</w:t>
      </w:r>
      <w:proofErr w:type="spellEnd"/>
      <w:r w:rsidRPr="00707199">
        <w:rPr>
          <w:rFonts w:ascii="Times New Roman" w:hAnsi="Times New Roman"/>
          <w:iCs/>
          <w:sz w:val="22"/>
          <w:szCs w:val="22"/>
        </w:rPr>
        <w:t>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veido paburkimas;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Cs/>
          <w:sz w:val="22"/>
          <w:szCs w:val="22"/>
        </w:rPr>
      </w:pPr>
      <w:r w:rsidRPr="00707199">
        <w:rPr>
          <w:rFonts w:ascii="Times New Roman" w:hAnsi="Times New Roman"/>
          <w:iCs/>
          <w:sz w:val="22"/>
          <w:szCs w:val="22"/>
        </w:rPr>
        <w:t>●</w:t>
      </w:r>
      <w:r w:rsidRPr="00707199">
        <w:rPr>
          <w:rFonts w:ascii="Times New Roman" w:hAnsi="Times New Roman"/>
          <w:iCs/>
          <w:sz w:val="22"/>
          <w:szCs w:val="22"/>
        </w:rPr>
        <w:tab/>
        <w:t>dilgėlinė.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noProof/>
          <w:sz w:val="22"/>
          <w:szCs w:val="22"/>
        </w:rPr>
        <w:t>Pranešimas apie šalutinį poveikį</w:t>
      </w:r>
    </w:p>
    <w:p w:rsidR="00AF2EA7" w:rsidRPr="003805E7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noProof/>
          <w:sz w:val="22"/>
          <w:szCs w:val="22"/>
        </w:rPr>
        <w:lastRenderedPageBreak/>
        <w:t>Jeigu pasireiškė šalutinis poveikis, įskaitant šiame lapelyje nenurodytą, pasakykite gydytojui arba vaistininkui</w:t>
      </w:r>
      <w:r w:rsidRPr="003805E7">
        <w:rPr>
          <w:rFonts w:ascii="Times New Roman" w:hAnsi="Times New Roman"/>
          <w:sz w:val="22"/>
          <w:szCs w:val="22"/>
        </w:rPr>
        <w:t>.</w:t>
      </w:r>
      <w:r w:rsidRPr="003805E7">
        <w:rPr>
          <w:rFonts w:ascii="Times New Roman" w:hAnsi="Times New Roman"/>
          <w:noProof/>
          <w:sz w:val="22"/>
          <w:szCs w:val="22"/>
        </w:rPr>
        <w:t xml:space="preserve"> </w:t>
      </w:r>
      <w:r w:rsidRPr="00775673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775673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775673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775673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775673">
        <w:rPr>
          <w:snapToGrid w:val="0"/>
          <w:sz w:val="22"/>
        </w:rPr>
        <w:t xml:space="preserve">, ir atsiunčiant elektroniniu paštu (adresu </w:t>
      </w:r>
      <w:hyperlink r:id="rId7" w:history="1">
        <w:r w:rsidRPr="00775673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775673">
        <w:rPr>
          <w:snapToGrid w:val="0"/>
          <w:sz w:val="22"/>
        </w:rPr>
        <w:t xml:space="preserve">) arba nemokamu telefonu 8 800 73 568. </w:t>
      </w:r>
      <w:r w:rsidRPr="003805E7">
        <w:rPr>
          <w:rFonts w:ascii="Times New Roman" w:hAnsi="Times New Roman"/>
          <w:sz w:val="22"/>
          <w:szCs w:val="22"/>
        </w:rPr>
        <w:t>Pranešdami apie šalutinį poveikį galite mums padėti gauti daugiau informacijos apie šio vaisto saugumą.</w:t>
      </w:r>
      <w:r w:rsidRPr="003805E7">
        <w:rPr>
          <w:rFonts w:ascii="Times New Roman" w:hAnsi="Times New Roman"/>
          <w:noProof/>
          <w:sz w:val="22"/>
          <w:szCs w:val="22"/>
        </w:rPr>
        <w:t>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  <w:tab w:val="left" w:pos="600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5.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</w:r>
      <w:r w:rsidRPr="00707199">
        <w:rPr>
          <w:rFonts w:ascii="Times New Roman" w:hAnsi="Times New Roman"/>
          <w:b/>
          <w:sz w:val="22"/>
          <w:szCs w:val="22"/>
        </w:rPr>
        <w:t>Kaip laikyti</w:t>
      </w:r>
      <w:r w:rsidRPr="007071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Šį vaistą laikykite vaikams nepastebimoje ir nepasiekiamoje vietoje.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Laikyti žemesnėje kaip 25 </w:t>
      </w:r>
      <w:proofErr w:type="spellStart"/>
      <w:r w:rsidRPr="00707199">
        <w:rPr>
          <w:rFonts w:ascii="Times New Roman" w:hAnsi="Times New Roman"/>
          <w:sz w:val="22"/>
          <w:szCs w:val="22"/>
          <w:vertAlign w:val="superscript"/>
        </w:rPr>
        <w:t>o</w:t>
      </w:r>
      <w:r w:rsidRPr="00707199">
        <w:rPr>
          <w:rFonts w:ascii="Times New Roman" w:hAnsi="Times New Roman"/>
          <w:sz w:val="22"/>
          <w:szCs w:val="22"/>
        </w:rPr>
        <w:t>C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temperatūroje.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Tūbelę pirmą kartą atidarius, tep</w:t>
      </w:r>
      <w:r>
        <w:rPr>
          <w:rFonts w:ascii="Times New Roman" w:hAnsi="Times New Roman"/>
          <w:sz w:val="22"/>
          <w:szCs w:val="22"/>
        </w:rPr>
        <w:t>alas tinkamas vartoti 6 mėnesius</w:t>
      </w:r>
      <w:r w:rsidRPr="00707199">
        <w:rPr>
          <w:rFonts w:ascii="Times New Roman" w:hAnsi="Times New Roman"/>
          <w:sz w:val="22"/>
          <w:szCs w:val="22"/>
        </w:rPr>
        <w:t>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Ant kartoninės dėžutės po  “Tinka iki“ ir ant tūbelės po „</w:t>
      </w:r>
      <w:proofErr w:type="spellStart"/>
      <w:r w:rsidRPr="00707199">
        <w:rPr>
          <w:rFonts w:ascii="Times New Roman" w:hAnsi="Times New Roman"/>
          <w:sz w:val="22"/>
          <w:szCs w:val="22"/>
        </w:rPr>
        <w:t>EXP“nurodytam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tinkamumo laikui pasibaigus, šio vaisto vartoti negalima. Vaistas tinkamas vartoti iki paskutinės nurodyto mėnesio dienos.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noProof/>
          <w:sz w:val="22"/>
          <w:szCs w:val="22"/>
        </w:rPr>
      </w:pPr>
      <w:r w:rsidRPr="00707199">
        <w:rPr>
          <w:rFonts w:ascii="Times New Roman" w:hAnsi="Times New Roman"/>
          <w:noProof/>
          <w:sz w:val="22"/>
          <w:szCs w:val="22"/>
        </w:rPr>
        <w:t>Vaistų negalima išmesti į kanalizaciją arba su buitinėmis</w:t>
      </w:r>
      <w:r w:rsidRPr="00707199">
        <w:rPr>
          <w:rFonts w:ascii="Times New Roman" w:hAnsi="Times New Roman"/>
          <w:noProof/>
          <w:color w:val="993366"/>
          <w:sz w:val="22"/>
          <w:szCs w:val="22"/>
        </w:rPr>
        <w:t xml:space="preserve"> </w:t>
      </w:r>
      <w:r w:rsidRPr="00707199">
        <w:rPr>
          <w:rFonts w:ascii="Times New Roman" w:hAnsi="Times New Roman"/>
          <w:noProof/>
          <w:sz w:val="22"/>
          <w:szCs w:val="22"/>
        </w:rPr>
        <w:t>atliekomis. Kaip išmesti nereikalingus vaistus, klauskite vaistininko. Šios priemonės padės apsaugoti aplinką.</w:t>
      </w:r>
    </w:p>
    <w:p w:rsidR="00AF2EA7" w:rsidRPr="00707199" w:rsidRDefault="00AF2EA7" w:rsidP="00AF2EA7">
      <w:pPr>
        <w:tabs>
          <w:tab w:val="left" w:pos="567"/>
          <w:tab w:val="left" w:pos="600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  <w:tab w:val="left" w:pos="600"/>
        </w:tabs>
        <w:rPr>
          <w:rFonts w:ascii="Times New Roman" w:hAnsi="Times New Roman"/>
          <w:b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  <w:tab w:val="left" w:pos="600"/>
        </w:tabs>
        <w:rPr>
          <w:rFonts w:ascii="Times New Roman" w:hAnsi="Times New Roman"/>
          <w:b/>
          <w:bCs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6.</w:t>
      </w:r>
      <w:r w:rsidRPr="00707199">
        <w:rPr>
          <w:rFonts w:ascii="Times New Roman" w:hAnsi="Times New Roman"/>
          <w:b/>
          <w:bCs/>
          <w:sz w:val="22"/>
          <w:szCs w:val="22"/>
        </w:rPr>
        <w:tab/>
        <w:t xml:space="preserve">Pakuotės turinys ir kita informacija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ind w:left="720" w:hanging="720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b/>
          <w:bCs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bCs/>
          <w:sz w:val="22"/>
          <w:szCs w:val="22"/>
        </w:rPr>
        <w:t xml:space="preserve"> sudėtis</w:t>
      </w:r>
    </w:p>
    <w:p w:rsidR="00AF2EA7" w:rsidRPr="00707199" w:rsidRDefault="00AF2EA7" w:rsidP="00AF2EA7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bookmarkStart w:id="2" w:name="OLE_LINK4"/>
      <w:r w:rsidRPr="00707199">
        <w:rPr>
          <w:rFonts w:ascii="Times New Roman" w:hAnsi="Times New Roman"/>
          <w:bCs/>
          <w:sz w:val="22"/>
          <w:szCs w:val="22"/>
        </w:rPr>
        <w:t>-</w:t>
      </w:r>
      <w:r w:rsidRPr="00707199">
        <w:rPr>
          <w:rFonts w:ascii="Times New Roman" w:hAnsi="Times New Roman"/>
          <w:bCs/>
          <w:sz w:val="22"/>
          <w:szCs w:val="22"/>
        </w:rPr>
        <w:tab/>
        <w:t xml:space="preserve">Veikliosios medžiagos: </w:t>
      </w:r>
      <w:r w:rsidRPr="00707199">
        <w:rPr>
          <w:rFonts w:ascii="Times New Roman" w:hAnsi="Times New Roman"/>
          <w:sz w:val="22"/>
          <w:szCs w:val="22"/>
        </w:rPr>
        <w:t xml:space="preserve">1 g tepalo yra 4 mg </w:t>
      </w:r>
      <w:proofErr w:type="spellStart"/>
      <w:r w:rsidRPr="00707199">
        <w:rPr>
          <w:rFonts w:ascii="Times New Roman" w:hAnsi="Times New Roman"/>
          <w:sz w:val="22"/>
          <w:szCs w:val="22"/>
        </w:rPr>
        <w:t>nonivamido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ir 25 mg </w:t>
      </w:r>
      <w:proofErr w:type="spellStart"/>
      <w:r w:rsidRPr="00707199">
        <w:rPr>
          <w:rFonts w:ascii="Times New Roman" w:hAnsi="Times New Roman"/>
          <w:sz w:val="22"/>
          <w:szCs w:val="22"/>
        </w:rPr>
        <w:t>nikoboksilo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. </w:t>
      </w:r>
    </w:p>
    <w:p w:rsidR="00AF2EA7" w:rsidRPr="00707199" w:rsidRDefault="00AF2EA7" w:rsidP="00AF2EA7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-</w:t>
      </w:r>
      <w:r w:rsidRPr="00707199">
        <w:rPr>
          <w:rFonts w:ascii="Times New Roman" w:hAnsi="Times New Roman"/>
          <w:sz w:val="22"/>
          <w:szCs w:val="22"/>
        </w:rPr>
        <w:tab/>
        <w:t xml:space="preserve">Pagalbinės medžiagos: </w:t>
      </w:r>
      <w:proofErr w:type="spellStart"/>
      <w:r w:rsidRPr="00707199">
        <w:rPr>
          <w:rFonts w:ascii="Times New Roman" w:hAnsi="Times New Roman"/>
          <w:sz w:val="22"/>
          <w:szCs w:val="22"/>
        </w:rPr>
        <w:t>diizopropiladipatas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, bevandenis koloidinis silicio dioksidas, minkštasis baltas parafinas, sorbo rūgštis, </w:t>
      </w:r>
      <w:proofErr w:type="spellStart"/>
      <w:r w:rsidRPr="00707199">
        <w:rPr>
          <w:rFonts w:ascii="Times New Roman" w:hAnsi="Times New Roman"/>
          <w:sz w:val="22"/>
          <w:szCs w:val="22"/>
        </w:rPr>
        <w:t>citrinžolių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eterinis aliejus ir išgrynintas vanduo.</w:t>
      </w:r>
      <w:bookmarkEnd w:id="2"/>
    </w:p>
    <w:p w:rsidR="00AF2EA7" w:rsidRPr="00707199" w:rsidRDefault="00AF2EA7" w:rsidP="00AF2EA7">
      <w:pPr>
        <w:tabs>
          <w:tab w:val="left" w:pos="567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ind w:left="720" w:hanging="720"/>
        <w:rPr>
          <w:rFonts w:ascii="Times New Roman" w:hAnsi="Times New Roman"/>
          <w:b/>
          <w:sz w:val="22"/>
          <w:szCs w:val="22"/>
        </w:rPr>
      </w:pPr>
      <w:proofErr w:type="spellStart"/>
      <w:r w:rsidRPr="00707199">
        <w:rPr>
          <w:rFonts w:ascii="Times New Roman" w:hAnsi="Times New Roman"/>
          <w:b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b/>
          <w:sz w:val="22"/>
          <w:szCs w:val="22"/>
        </w:rPr>
        <w:t xml:space="preserve"> išvaizda ir kiekis pakuotėje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707199">
        <w:rPr>
          <w:rFonts w:ascii="Times New Roman" w:hAnsi="Times New Roman"/>
          <w:sz w:val="22"/>
          <w:szCs w:val="22"/>
        </w:rPr>
        <w:t>Finalgon</w:t>
      </w:r>
      <w:proofErr w:type="spellEnd"/>
      <w:r w:rsidRPr="00707199">
        <w:rPr>
          <w:rFonts w:ascii="Times New Roman" w:hAnsi="Times New Roman"/>
          <w:sz w:val="22"/>
          <w:szCs w:val="22"/>
        </w:rPr>
        <w:t xml:space="preserve"> tepalas yra bespalvis, skaidrus, vienalytis, homogeniškas. Jis </w:t>
      </w:r>
      <w:r w:rsidRPr="00707199">
        <w:rPr>
          <w:rFonts w:ascii="Times New Roman" w:hAnsi="Times New Roman"/>
          <w:bCs/>
          <w:sz w:val="22"/>
          <w:szCs w:val="22"/>
        </w:rPr>
        <w:t xml:space="preserve">tiekiamas aliumininėmis tūbelėmis. 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r w:rsidRPr="00707199">
        <w:rPr>
          <w:rFonts w:ascii="Times New Roman" w:hAnsi="Times New Roman"/>
          <w:bCs/>
          <w:sz w:val="22"/>
          <w:szCs w:val="22"/>
        </w:rPr>
        <w:t>Pakuotės dydis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Cs/>
          <w:sz w:val="22"/>
          <w:szCs w:val="22"/>
        </w:rPr>
      </w:pPr>
      <w:r w:rsidRPr="00707199">
        <w:rPr>
          <w:rFonts w:ascii="Times New Roman" w:hAnsi="Times New Roman"/>
          <w:bCs/>
          <w:sz w:val="22"/>
          <w:szCs w:val="22"/>
        </w:rPr>
        <w:t>Viena tūbelė, kurioje yra 20 g tepalo.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i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Registruotojas</w:t>
      </w:r>
      <w:r w:rsidRPr="00707199">
        <w:rPr>
          <w:rFonts w:ascii="Times New Roman" w:hAnsi="Times New Roman"/>
          <w:b/>
          <w:sz w:val="22"/>
          <w:szCs w:val="22"/>
        </w:rPr>
        <w:t xml:space="preserve"> ir gamintoja</w:t>
      </w:r>
      <w:r>
        <w:rPr>
          <w:rFonts w:ascii="Times New Roman" w:hAnsi="Times New Roman"/>
          <w:b/>
          <w:sz w:val="22"/>
          <w:szCs w:val="22"/>
        </w:rPr>
        <w:t>s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iCs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Registruotojas</w:t>
      </w:r>
      <w:r w:rsidRPr="00707199">
        <w:rPr>
          <w:rFonts w:ascii="Times New Roman" w:hAnsi="Times New Roman"/>
          <w:i/>
          <w:sz w:val="22"/>
          <w:szCs w:val="22"/>
        </w:rPr>
        <w:t xml:space="preserve"> </w:t>
      </w:r>
    </w:p>
    <w:p w:rsidR="00AF2EA7" w:rsidRPr="004D313A" w:rsidRDefault="00AF2EA7" w:rsidP="00AF2EA7">
      <w:pPr>
        <w:rPr>
          <w:rFonts w:ascii="Times New Roman" w:hAnsi="Times New Roman"/>
          <w:sz w:val="22"/>
          <w:szCs w:val="22"/>
        </w:rPr>
      </w:pPr>
      <w:proofErr w:type="spellStart"/>
      <w:r w:rsidRPr="004D313A">
        <w:rPr>
          <w:rFonts w:ascii="Times New Roman" w:hAnsi="Times New Roman"/>
          <w:sz w:val="22"/>
          <w:szCs w:val="22"/>
        </w:rPr>
        <w:t>Opella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313A">
        <w:rPr>
          <w:rFonts w:ascii="Times New Roman" w:hAnsi="Times New Roman"/>
          <w:sz w:val="22"/>
          <w:szCs w:val="22"/>
        </w:rPr>
        <w:t>Healthcare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France SAS</w:t>
      </w:r>
    </w:p>
    <w:p w:rsidR="00AF2EA7" w:rsidRPr="004D313A" w:rsidRDefault="00AF2EA7" w:rsidP="00AF2EA7">
      <w:pPr>
        <w:rPr>
          <w:rFonts w:ascii="Times New Roman" w:hAnsi="Times New Roman"/>
          <w:sz w:val="22"/>
          <w:szCs w:val="22"/>
        </w:rPr>
      </w:pPr>
      <w:r w:rsidRPr="004D313A">
        <w:rPr>
          <w:rFonts w:ascii="Times New Roman" w:hAnsi="Times New Roman"/>
          <w:sz w:val="22"/>
          <w:szCs w:val="22"/>
        </w:rPr>
        <w:t xml:space="preserve">82 </w:t>
      </w:r>
      <w:proofErr w:type="spellStart"/>
      <w:r w:rsidRPr="004D313A">
        <w:rPr>
          <w:rFonts w:ascii="Times New Roman" w:hAnsi="Times New Roman"/>
          <w:sz w:val="22"/>
          <w:szCs w:val="22"/>
        </w:rPr>
        <w:t>Avenue</w:t>
      </w:r>
      <w:proofErr w:type="spellEnd"/>
      <w:r w:rsidRPr="004D313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313A">
        <w:rPr>
          <w:rFonts w:ascii="Times New Roman" w:hAnsi="Times New Roman"/>
          <w:sz w:val="22"/>
          <w:szCs w:val="22"/>
        </w:rPr>
        <w:t>Raspail</w:t>
      </w:r>
      <w:proofErr w:type="spellEnd"/>
    </w:p>
    <w:p w:rsidR="00AF2EA7" w:rsidRPr="004D313A" w:rsidRDefault="00AF2EA7" w:rsidP="00AF2EA7">
      <w:pPr>
        <w:rPr>
          <w:rFonts w:ascii="Times New Roman" w:hAnsi="Times New Roman"/>
          <w:sz w:val="22"/>
          <w:szCs w:val="22"/>
        </w:rPr>
      </w:pPr>
      <w:r w:rsidRPr="004D313A">
        <w:rPr>
          <w:rFonts w:ascii="Times New Roman" w:hAnsi="Times New Roman"/>
          <w:sz w:val="22"/>
          <w:szCs w:val="22"/>
        </w:rPr>
        <w:t xml:space="preserve">94250 </w:t>
      </w:r>
      <w:proofErr w:type="spellStart"/>
      <w:r w:rsidRPr="004D313A">
        <w:rPr>
          <w:rFonts w:ascii="Times New Roman" w:hAnsi="Times New Roman"/>
          <w:sz w:val="22"/>
          <w:szCs w:val="22"/>
        </w:rPr>
        <w:t>Gentilly</w:t>
      </w:r>
      <w:proofErr w:type="spellEnd"/>
    </w:p>
    <w:p w:rsidR="00AF2EA7" w:rsidRDefault="00AF2EA7" w:rsidP="00AF2EA7">
      <w:pPr>
        <w:rPr>
          <w:rFonts w:ascii="Times New Roman" w:hAnsi="Times New Roman"/>
        </w:rPr>
      </w:pPr>
      <w:r w:rsidRPr="004D313A">
        <w:rPr>
          <w:rFonts w:ascii="Times New Roman" w:hAnsi="Times New Roman"/>
          <w:sz w:val="22"/>
          <w:szCs w:val="22"/>
        </w:rPr>
        <w:t>Prancūzija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i/>
          <w:sz w:val="22"/>
          <w:szCs w:val="22"/>
        </w:rPr>
      </w:pPr>
      <w:r w:rsidRPr="00707199">
        <w:rPr>
          <w:rFonts w:ascii="Times New Roman" w:hAnsi="Times New Roman"/>
          <w:i/>
          <w:sz w:val="22"/>
          <w:szCs w:val="22"/>
        </w:rPr>
        <w:t>Gamintojas</w:t>
      </w:r>
    </w:p>
    <w:p w:rsidR="00AF2EA7" w:rsidRPr="00C9353D" w:rsidRDefault="00AF2EA7" w:rsidP="00AF2EA7">
      <w:pPr>
        <w:tabs>
          <w:tab w:val="left" w:pos="567"/>
        </w:tabs>
        <w:jc w:val="both"/>
        <w:rPr>
          <w:rFonts w:ascii="Times New Roman" w:eastAsia="Arial Unicode MS" w:hAnsi="Times New Roman"/>
          <w:noProof/>
          <w:sz w:val="22"/>
          <w:szCs w:val="22"/>
        </w:rPr>
      </w:pPr>
      <w:r w:rsidRPr="00C9353D">
        <w:rPr>
          <w:rFonts w:ascii="Times New Roman" w:eastAsia="Arial Unicode MS" w:hAnsi="Times New Roman"/>
          <w:noProof/>
          <w:sz w:val="22"/>
          <w:szCs w:val="22"/>
        </w:rPr>
        <w:t xml:space="preserve">Globopharm Pharmazeutische Produktions und </w:t>
      </w:r>
    </w:p>
    <w:p w:rsidR="00AF2EA7" w:rsidRPr="00C9353D" w:rsidRDefault="00AF2EA7" w:rsidP="00AF2EA7">
      <w:pPr>
        <w:tabs>
          <w:tab w:val="left" w:pos="567"/>
        </w:tabs>
        <w:jc w:val="both"/>
        <w:rPr>
          <w:rFonts w:ascii="Times New Roman" w:eastAsia="Arial Unicode MS" w:hAnsi="Times New Roman"/>
          <w:noProof/>
          <w:sz w:val="22"/>
          <w:szCs w:val="22"/>
        </w:rPr>
      </w:pPr>
      <w:r w:rsidRPr="00C9353D">
        <w:rPr>
          <w:rFonts w:ascii="Times New Roman" w:eastAsia="Arial Unicode MS" w:hAnsi="Times New Roman"/>
          <w:noProof/>
          <w:sz w:val="22"/>
          <w:szCs w:val="22"/>
        </w:rPr>
        <w:t xml:space="preserve">Handelsgesellschaft m.b.H. </w:t>
      </w:r>
    </w:p>
    <w:p w:rsidR="00AF2EA7" w:rsidRPr="00C9353D" w:rsidRDefault="00AF2EA7" w:rsidP="00AF2EA7">
      <w:pPr>
        <w:tabs>
          <w:tab w:val="left" w:pos="567"/>
        </w:tabs>
        <w:jc w:val="both"/>
        <w:rPr>
          <w:rFonts w:ascii="Times New Roman" w:eastAsia="Arial Unicode MS" w:hAnsi="Times New Roman"/>
          <w:noProof/>
          <w:sz w:val="22"/>
          <w:szCs w:val="22"/>
        </w:rPr>
      </w:pPr>
      <w:r w:rsidRPr="00C9353D">
        <w:rPr>
          <w:rFonts w:ascii="Times New Roman" w:eastAsia="Arial Unicode MS" w:hAnsi="Times New Roman"/>
          <w:noProof/>
          <w:sz w:val="22"/>
          <w:szCs w:val="22"/>
        </w:rPr>
        <w:t>Breitenfurter Strasse 251</w:t>
      </w:r>
    </w:p>
    <w:p w:rsidR="00AF2EA7" w:rsidRPr="00C9353D" w:rsidRDefault="00AF2EA7" w:rsidP="00AF2EA7">
      <w:pPr>
        <w:tabs>
          <w:tab w:val="left" w:pos="567"/>
        </w:tabs>
        <w:jc w:val="both"/>
        <w:rPr>
          <w:rFonts w:ascii="Times New Roman" w:eastAsia="Arial Unicode MS" w:hAnsi="Times New Roman"/>
          <w:noProof/>
          <w:sz w:val="22"/>
          <w:szCs w:val="22"/>
        </w:rPr>
      </w:pPr>
      <w:r w:rsidRPr="00C9353D">
        <w:rPr>
          <w:rFonts w:ascii="Times New Roman" w:eastAsia="Arial Unicode MS" w:hAnsi="Times New Roman"/>
          <w:noProof/>
          <w:sz w:val="22"/>
          <w:szCs w:val="22"/>
        </w:rPr>
        <w:t>1230 Wien</w:t>
      </w:r>
    </w:p>
    <w:p w:rsidR="00AF2EA7" w:rsidRPr="00707199" w:rsidRDefault="00AF2EA7" w:rsidP="00AF2EA7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C9353D">
        <w:rPr>
          <w:rFonts w:ascii="Times New Roman" w:eastAsia="Arial Unicode MS" w:hAnsi="Times New Roman"/>
          <w:noProof/>
          <w:sz w:val="22"/>
          <w:szCs w:val="22"/>
        </w:rPr>
        <w:t>Austrija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91248B" w:rsidRDefault="00AF2EA7" w:rsidP="00AF2EA7">
      <w:pPr>
        <w:rPr>
          <w:sz w:val="22"/>
          <w:szCs w:val="22"/>
        </w:rPr>
      </w:pPr>
      <w:r w:rsidRPr="0091248B">
        <w:rPr>
          <w:sz w:val="22"/>
          <w:szCs w:val="22"/>
        </w:rPr>
        <w:t>Jeigu apie šį vaistą norite sužinoti daugiau, kreipkitės į</w:t>
      </w:r>
      <w:r>
        <w:rPr>
          <w:sz w:val="22"/>
          <w:szCs w:val="22"/>
        </w:rPr>
        <w:t xml:space="preserve"> vietinį registruotojo atstovą:</w:t>
      </w:r>
    </w:p>
    <w:p w:rsidR="00AF2EA7" w:rsidRDefault="00AF2EA7" w:rsidP="00AF2EA7">
      <w:pPr>
        <w:rPr>
          <w:sz w:val="22"/>
          <w:szCs w:val="22"/>
        </w:rPr>
      </w:pPr>
    </w:p>
    <w:p w:rsidR="00AF2EA7" w:rsidRPr="0091248B" w:rsidRDefault="00AF2EA7" w:rsidP="00AF2EA7">
      <w:pPr>
        <w:rPr>
          <w:sz w:val="22"/>
          <w:szCs w:val="22"/>
        </w:rPr>
      </w:pPr>
      <w:r w:rsidRPr="0091248B">
        <w:rPr>
          <w:sz w:val="22"/>
          <w:szCs w:val="22"/>
        </w:rPr>
        <w:t>UAB „STADA Baltics“</w:t>
      </w:r>
    </w:p>
    <w:p w:rsidR="00AF2EA7" w:rsidRPr="0091248B" w:rsidRDefault="00AF2EA7" w:rsidP="00AF2EA7">
      <w:pPr>
        <w:rPr>
          <w:sz w:val="22"/>
          <w:szCs w:val="22"/>
        </w:rPr>
      </w:pPr>
      <w:r w:rsidRPr="0091248B">
        <w:rPr>
          <w:sz w:val="22"/>
          <w:szCs w:val="22"/>
        </w:rPr>
        <w:lastRenderedPageBreak/>
        <w:t>A. Goštauto g. 40A</w:t>
      </w:r>
    </w:p>
    <w:p w:rsidR="00AF2EA7" w:rsidRPr="0091248B" w:rsidRDefault="00AF2EA7" w:rsidP="00AF2EA7">
      <w:pPr>
        <w:rPr>
          <w:sz w:val="22"/>
          <w:szCs w:val="22"/>
        </w:rPr>
      </w:pPr>
      <w:r w:rsidRPr="0091248B">
        <w:rPr>
          <w:sz w:val="22"/>
          <w:szCs w:val="22"/>
        </w:rPr>
        <w:t>03163 Vilnius, Lietuva</w:t>
      </w:r>
    </w:p>
    <w:p w:rsidR="00AF2EA7" w:rsidRPr="0091248B" w:rsidRDefault="00AF2EA7" w:rsidP="00AF2EA7">
      <w:pPr>
        <w:rPr>
          <w:sz w:val="22"/>
          <w:szCs w:val="22"/>
        </w:rPr>
      </w:pPr>
      <w:r w:rsidRPr="0091248B">
        <w:rPr>
          <w:sz w:val="22"/>
          <w:szCs w:val="22"/>
        </w:rPr>
        <w:t>Tel. +370 52603926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707199">
        <w:rPr>
          <w:rFonts w:ascii="Times New Roman" w:hAnsi="Times New Roman"/>
          <w:b/>
          <w:bCs/>
          <w:sz w:val="22"/>
          <w:szCs w:val="22"/>
        </w:rPr>
        <w:t>Šis pakuotės lapelis</w:t>
      </w:r>
      <w:r w:rsidRPr="00707199">
        <w:rPr>
          <w:rFonts w:ascii="Times New Roman" w:hAnsi="Times New Roman"/>
          <w:b/>
          <w:sz w:val="22"/>
          <w:szCs w:val="22"/>
        </w:rPr>
        <w:t xml:space="preserve"> paskutinį kartą peržiūrėtas </w:t>
      </w:r>
      <w:r>
        <w:rPr>
          <w:rFonts w:ascii="Times New Roman" w:hAnsi="Times New Roman"/>
          <w:b/>
          <w:sz w:val="22"/>
          <w:szCs w:val="22"/>
        </w:rPr>
        <w:t>2022-01-01.</w:t>
      </w: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AF2EA7" w:rsidRPr="00707199" w:rsidRDefault="00AF2EA7" w:rsidP="00AF2EA7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:rsidR="00AF2EA7" w:rsidRDefault="00AF2EA7" w:rsidP="00AF2EA7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07199">
        <w:rPr>
          <w:rFonts w:ascii="Times New Roman" w:hAnsi="Times New Roman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707199">
        <w:rPr>
          <w:rFonts w:ascii="Times New Roman" w:hAnsi="Times New Roman"/>
          <w:i/>
          <w:sz w:val="22"/>
          <w:szCs w:val="22"/>
        </w:rPr>
        <w:t xml:space="preserve"> </w:t>
      </w:r>
      <w:hyperlink r:id="rId8" w:history="1">
        <w:r w:rsidRPr="00707199">
          <w:rPr>
            <w:rStyle w:val="Hipersaitas"/>
            <w:rFonts w:ascii="Times New Roman" w:eastAsia="SimSun" w:hAnsi="Times New Roman"/>
            <w:sz w:val="22"/>
            <w:szCs w:val="22"/>
          </w:rPr>
          <w:t>http://www.vvkt.lt/</w:t>
        </w:r>
      </w:hyperlink>
      <w:r w:rsidRPr="00707199">
        <w:rPr>
          <w:rFonts w:ascii="Times New Roman" w:hAnsi="Times New Roman"/>
          <w:sz w:val="22"/>
          <w:szCs w:val="22"/>
        </w:rPr>
        <w:t>.</w:t>
      </w:r>
    </w:p>
    <w:p w:rsidR="009041DB" w:rsidRDefault="009041DB">
      <w:bookmarkStart w:id="3" w:name="_GoBack"/>
      <w:bookmarkEnd w:id="3"/>
    </w:p>
    <w:sectPr w:rsidR="009041DB" w:rsidSect="00D95EFF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7074"/>
    <w:multiLevelType w:val="hybridMultilevel"/>
    <w:tmpl w:val="982C74FA"/>
    <w:lvl w:ilvl="0" w:tplc="57A0032C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A7"/>
    <w:rsid w:val="009041DB"/>
    <w:rsid w:val="00AF2EA7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D90A1-899B-4CE2-A549-AE72379A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2EA7"/>
    <w:pPr>
      <w:spacing w:after="0" w:line="240" w:lineRule="auto"/>
    </w:pPr>
    <w:rPr>
      <w:rFonts w:ascii="TimesLT" w:hAnsi="TimesLT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AF2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6669</Words>
  <Characters>3802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2021-12-30T11:56:00Z</dcterms:created>
  <dcterms:modified xsi:type="dcterms:W3CDTF">2021-12-30T11:56:00Z</dcterms:modified>
</cp:coreProperties>
</file>