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F4E3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A17DA6F"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1023C159"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6BD31D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632D31DC"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57DEA654"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139FC374"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319F1EF"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56351E3"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0E49593E"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EF168F4"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E5432C7"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F2CE9D6"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913A628"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01DA50A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F54135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775FAAC"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141E66B6"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6D571FDE"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26E79FD"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34ABFF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05B26303"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78D1121"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69D6EAD0"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4FB26DE" w14:textId="77777777" w:rsidR="007E07AA" w:rsidRPr="00D7375B" w:rsidRDefault="007E07AA" w:rsidP="007E07AA">
      <w:pPr>
        <w:spacing w:after="0" w:line="240" w:lineRule="auto"/>
        <w:ind w:left="567" w:hanging="567"/>
        <w:jc w:val="center"/>
        <w:rPr>
          <w:rFonts w:ascii="Times New Roman" w:eastAsia="Calibri" w:hAnsi="Times New Roman" w:cs="Times New Roman"/>
          <w:lang w:val="en-US"/>
        </w:rPr>
      </w:pPr>
      <w:r w:rsidRPr="00D7375B">
        <w:rPr>
          <w:rFonts w:ascii="Times New Roman" w:eastAsia="Calibri" w:hAnsi="Times New Roman" w:cs="Times New Roman"/>
          <w:b/>
          <w:lang w:val="en-US"/>
        </w:rPr>
        <w:t>I PRIEDAS</w:t>
      </w:r>
    </w:p>
    <w:p w14:paraId="620F15C5" w14:textId="77777777" w:rsidR="007E07AA" w:rsidRPr="00D7375B" w:rsidRDefault="007E07AA" w:rsidP="007E07AA">
      <w:pPr>
        <w:spacing w:after="0" w:line="240" w:lineRule="auto"/>
        <w:ind w:left="567" w:hanging="567"/>
        <w:jc w:val="center"/>
        <w:rPr>
          <w:rFonts w:ascii="Times New Roman" w:eastAsia="Calibri" w:hAnsi="Times New Roman" w:cs="Times New Roman"/>
          <w:b/>
          <w:lang w:val="en-US"/>
        </w:rPr>
      </w:pPr>
    </w:p>
    <w:p w14:paraId="77C321F8" w14:textId="77777777" w:rsidR="007E07AA" w:rsidRPr="00D7375B" w:rsidRDefault="007E07AA" w:rsidP="007E07AA">
      <w:pPr>
        <w:spacing w:after="0" w:line="240" w:lineRule="auto"/>
        <w:ind w:left="567" w:hanging="567"/>
        <w:jc w:val="center"/>
        <w:rPr>
          <w:rFonts w:ascii="Times New Roman" w:eastAsia="Calibri" w:hAnsi="Times New Roman" w:cs="Times New Roman"/>
          <w:b/>
          <w:lang w:val="en-US"/>
        </w:rPr>
      </w:pPr>
      <w:r w:rsidRPr="00D7375B">
        <w:rPr>
          <w:rFonts w:ascii="Times New Roman" w:eastAsia="Calibri" w:hAnsi="Times New Roman" w:cs="Times New Roman"/>
          <w:b/>
          <w:lang w:val="en-US"/>
        </w:rPr>
        <w:t>PREPARATO CHARAKTERISTIKŲ SANTRAUKA</w:t>
      </w:r>
    </w:p>
    <w:p w14:paraId="00979837" w14:textId="0DA47622"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rPr>
        <w:br w:type="page"/>
      </w:r>
      <w:r w:rsidRPr="00D7375B">
        <w:rPr>
          <w:rFonts w:ascii="Times New Roman" w:eastAsia="Calibri" w:hAnsi="Times New Roman" w:cs="Times New Roman"/>
          <w:b/>
          <w:lang w:eastAsia="lt-LT"/>
        </w:rPr>
        <w:lastRenderedPageBreak/>
        <w:t>1.</w:t>
      </w:r>
      <w:r w:rsidRPr="00D7375B">
        <w:rPr>
          <w:rFonts w:ascii="Times New Roman" w:eastAsia="Calibri" w:hAnsi="Times New Roman" w:cs="Times New Roman"/>
          <w:b/>
          <w:lang w:eastAsia="lt-LT"/>
        </w:rPr>
        <w:tab/>
        <w:t>VAISTINIO PREPARATO PAVADINIMAS</w:t>
      </w:r>
    </w:p>
    <w:p w14:paraId="52B734B2" w14:textId="77777777" w:rsidR="007E07AA" w:rsidRPr="00D7375B" w:rsidRDefault="007E07AA" w:rsidP="007E07AA">
      <w:pPr>
        <w:tabs>
          <w:tab w:val="left" w:pos="5790"/>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ab/>
      </w:r>
    </w:p>
    <w:p w14:paraId="596D6BC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Roaccutane 10 mg minkštosios kapsulės</w:t>
      </w:r>
    </w:p>
    <w:p w14:paraId="55CC91CD" w14:textId="77777777" w:rsidR="007E07AA" w:rsidRPr="00D7375B" w:rsidRDefault="007E07AA" w:rsidP="007E07AA">
      <w:pPr>
        <w:spacing w:after="0" w:line="240" w:lineRule="auto"/>
        <w:rPr>
          <w:rFonts w:ascii="Times New Roman" w:eastAsia="Calibri" w:hAnsi="Times New Roman" w:cs="Times New Roman"/>
          <w:b/>
          <w:lang w:eastAsia="lt-LT"/>
        </w:rPr>
      </w:pPr>
    </w:p>
    <w:p w14:paraId="24023D84" w14:textId="77777777" w:rsidR="007E07AA" w:rsidRPr="00D7375B" w:rsidRDefault="007E07AA" w:rsidP="007E07AA">
      <w:pPr>
        <w:spacing w:after="0" w:line="240" w:lineRule="auto"/>
        <w:rPr>
          <w:rFonts w:ascii="Times New Roman" w:eastAsia="Calibri" w:hAnsi="Times New Roman" w:cs="Times New Roman"/>
          <w:b/>
          <w:lang w:eastAsia="lt-LT"/>
        </w:rPr>
      </w:pPr>
    </w:p>
    <w:p w14:paraId="04FEB4D8"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2.</w:t>
      </w:r>
      <w:r w:rsidRPr="00D7375B">
        <w:rPr>
          <w:rFonts w:ascii="Times New Roman" w:eastAsia="Calibri" w:hAnsi="Times New Roman" w:cs="Times New Roman"/>
          <w:b/>
          <w:lang w:eastAsia="lt-LT"/>
        </w:rPr>
        <w:tab/>
        <w:t>KOKYBINĖ IR KIEKYBINĖ SUDĖTIS</w:t>
      </w:r>
    </w:p>
    <w:p w14:paraId="3A6C6550" w14:textId="77777777" w:rsidR="007E07AA" w:rsidRPr="00D7375B" w:rsidRDefault="007E07AA" w:rsidP="007E07AA">
      <w:pPr>
        <w:spacing w:after="0" w:line="240" w:lineRule="auto"/>
        <w:rPr>
          <w:rFonts w:ascii="Times New Roman" w:eastAsia="Calibri" w:hAnsi="Times New Roman" w:cs="Times New Roman"/>
          <w:lang w:eastAsia="lt-LT"/>
        </w:rPr>
      </w:pPr>
    </w:p>
    <w:p w14:paraId="6B77734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Kiekvienoje minkštojoje kapsulėje yra 10 mg izotretinoino.</w:t>
      </w:r>
    </w:p>
    <w:p w14:paraId="608EFE27" w14:textId="77777777" w:rsidR="007E07AA" w:rsidRPr="00D7375B" w:rsidRDefault="007E07AA" w:rsidP="007E07AA">
      <w:pPr>
        <w:spacing w:after="0" w:line="240" w:lineRule="auto"/>
        <w:rPr>
          <w:rFonts w:ascii="Times New Roman" w:eastAsia="Calibri" w:hAnsi="Times New Roman" w:cs="Times New Roman"/>
          <w:lang w:eastAsia="lt-LT"/>
        </w:rPr>
      </w:pPr>
    </w:p>
    <w:p w14:paraId="68B90C6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Pagalbinės medžiagos, kurių poveikis žinomas</w:t>
      </w:r>
    </w:p>
    <w:p w14:paraId="1E1D1339" w14:textId="06BD2413"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Sojų aliejus (rafinuotas, hidrintas, dalinai hidrintas) ir sorbitolis.</w:t>
      </w:r>
    </w:p>
    <w:p w14:paraId="5C7742B4" w14:textId="77777777" w:rsidR="007E07AA" w:rsidRPr="00D7375B" w:rsidRDefault="007E07AA" w:rsidP="007E07AA">
      <w:pPr>
        <w:spacing w:after="0" w:line="240" w:lineRule="auto"/>
        <w:rPr>
          <w:rFonts w:ascii="Times New Roman" w:eastAsia="Calibri" w:hAnsi="Times New Roman" w:cs="Times New Roman"/>
          <w:lang w:eastAsia="lt-LT"/>
        </w:rPr>
      </w:pPr>
    </w:p>
    <w:p w14:paraId="6646DACA"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Visos pagalbinės medžiagos išvardytos 6.1 skyriuje.</w:t>
      </w:r>
    </w:p>
    <w:p w14:paraId="47446AB3" w14:textId="77777777" w:rsidR="007E07AA" w:rsidRPr="00D7375B" w:rsidRDefault="007E07AA" w:rsidP="007E07AA">
      <w:pPr>
        <w:spacing w:after="0" w:line="240" w:lineRule="auto"/>
        <w:rPr>
          <w:rFonts w:ascii="Times New Roman" w:eastAsia="Calibri" w:hAnsi="Times New Roman" w:cs="Times New Roman"/>
          <w:b/>
          <w:lang w:eastAsia="lt-LT"/>
        </w:rPr>
      </w:pPr>
    </w:p>
    <w:p w14:paraId="26BE1D69" w14:textId="77777777" w:rsidR="007E07AA" w:rsidRPr="00D7375B" w:rsidRDefault="007E07AA" w:rsidP="007E07AA">
      <w:pPr>
        <w:spacing w:after="0" w:line="240" w:lineRule="auto"/>
        <w:rPr>
          <w:rFonts w:ascii="Times New Roman" w:eastAsia="Calibri" w:hAnsi="Times New Roman" w:cs="Times New Roman"/>
          <w:b/>
          <w:lang w:eastAsia="lt-LT"/>
        </w:rPr>
      </w:pPr>
    </w:p>
    <w:p w14:paraId="667B0A74"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3.</w:t>
      </w:r>
      <w:r w:rsidRPr="00D7375B">
        <w:rPr>
          <w:rFonts w:ascii="Times New Roman" w:eastAsia="Calibri" w:hAnsi="Times New Roman" w:cs="Times New Roman"/>
          <w:b/>
          <w:lang w:eastAsia="lt-LT"/>
        </w:rPr>
        <w:tab/>
        <w:t>FARMACINĖ FORMA</w:t>
      </w:r>
    </w:p>
    <w:p w14:paraId="194CDEA8" w14:textId="77777777" w:rsidR="007E07AA" w:rsidRPr="00D7375B" w:rsidRDefault="007E07AA" w:rsidP="007E07AA">
      <w:pPr>
        <w:spacing w:after="0" w:line="240" w:lineRule="auto"/>
        <w:rPr>
          <w:rFonts w:ascii="Times New Roman" w:eastAsia="Calibri" w:hAnsi="Times New Roman" w:cs="Times New Roman"/>
          <w:lang w:eastAsia="lt-LT"/>
        </w:rPr>
      </w:pPr>
    </w:p>
    <w:p w14:paraId="350696B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Minkštoji kapsulė.</w:t>
      </w:r>
    </w:p>
    <w:p w14:paraId="58CFDEF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10 mg kapsulė yra ovali, nepermatoma, rudai raudonos spalvos, ant jos juodu rašalu užrašyta „ROA10“.</w:t>
      </w:r>
    </w:p>
    <w:p w14:paraId="39A97B54" w14:textId="77777777" w:rsidR="007E07AA" w:rsidRPr="00D7375B" w:rsidRDefault="007E07AA" w:rsidP="007E07AA">
      <w:pPr>
        <w:spacing w:after="0" w:line="240" w:lineRule="auto"/>
        <w:rPr>
          <w:rFonts w:ascii="Times New Roman" w:eastAsia="Calibri" w:hAnsi="Times New Roman" w:cs="Times New Roman"/>
          <w:lang w:eastAsia="lt-LT"/>
        </w:rPr>
      </w:pPr>
    </w:p>
    <w:p w14:paraId="35ED17F0" w14:textId="77777777" w:rsidR="007E07AA" w:rsidRPr="00D7375B" w:rsidRDefault="007E07AA" w:rsidP="007E07AA">
      <w:pPr>
        <w:spacing w:after="0" w:line="240" w:lineRule="auto"/>
        <w:rPr>
          <w:rFonts w:ascii="Times New Roman" w:eastAsia="Calibri" w:hAnsi="Times New Roman" w:cs="Times New Roman"/>
          <w:lang w:eastAsia="lt-LT"/>
        </w:rPr>
      </w:pPr>
    </w:p>
    <w:p w14:paraId="63BC2488"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w:t>
      </w:r>
      <w:r w:rsidRPr="00D7375B">
        <w:rPr>
          <w:rFonts w:ascii="Times New Roman" w:eastAsia="Calibri" w:hAnsi="Times New Roman" w:cs="Times New Roman"/>
          <w:b/>
          <w:lang w:eastAsia="lt-LT"/>
        </w:rPr>
        <w:tab/>
        <w:t>KLINIKINĖ INFORMACIJA</w:t>
      </w:r>
    </w:p>
    <w:p w14:paraId="43D26726" w14:textId="77777777" w:rsidR="007E07AA" w:rsidRPr="00D7375B" w:rsidRDefault="007E07AA" w:rsidP="007E07AA">
      <w:pPr>
        <w:spacing w:after="0" w:line="240" w:lineRule="auto"/>
        <w:rPr>
          <w:rFonts w:ascii="Times New Roman" w:eastAsia="Calibri" w:hAnsi="Times New Roman" w:cs="Times New Roman"/>
          <w:b/>
          <w:lang w:eastAsia="lt-LT"/>
        </w:rPr>
      </w:pPr>
    </w:p>
    <w:p w14:paraId="79CBEC4D"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4.1</w:t>
      </w:r>
      <w:r w:rsidRPr="00D7375B">
        <w:rPr>
          <w:rFonts w:ascii="Times New Roman" w:eastAsia="Calibri" w:hAnsi="Times New Roman" w:cs="Times New Roman"/>
          <w:b/>
          <w:lang w:eastAsia="lt-LT"/>
        </w:rPr>
        <w:tab/>
        <w:t>Terapinės indikacijos</w:t>
      </w:r>
    </w:p>
    <w:p w14:paraId="1F353B76" w14:textId="77777777" w:rsidR="007E07AA" w:rsidRPr="00D7375B" w:rsidRDefault="007E07AA" w:rsidP="007E07AA">
      <w:pPr>
        <w:spacing w:after="0" w:line="240" w:lineRule="auto"/>
        <w:rPr>
          <w:rFonts w:ascii="Times New Roman" w:eastAsia="Calibri" w:hAnsi="Times New Roman" w:cs="Times New Roman"/>
          <w:lang w:eastAsia="lt-LT"/>
        </w:rPr>
      </w:pPr>
    </w:p>
    <w:p w14:paraId="5836F08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Sunkios formos spuogai (pvz., mazginiai, susiliejantys arba galintys palikti neišnykstančių randų), kurių gydymas tinkamais įprasto sisteminio poveikio antibakterinių vaistinių preparatų kursais ir lokalus gydymas buvo neveiksmingi.</w:t>
      </w:r>
    </w:p>
    <w:p w14:paraId="4EB5B8D7" w14:textId="77777777" w:rsidR="007E07AA" w:rsidRPr="00D7375B" w:rsidRDefault="007E07AA" w:rsidP="007E07AA">
      <w:pPr>
        <w:spacing w:after="0" w:line="240" w:lineRule="auto"/>
        <w:rPr>
          <w:rFonts w:ascii="Times New Roman" w:eastAsia="Calibri" w:hAnsi="Times New Roman" w:cs="Times New Roman"/>
          <w:b/>
          <w:lang w:eastAsia="lt-LT"/>
        </w:rPr>
      </w:pPr>
    </w:p>
    <w:p w14:paraId="2C80F57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4.2</w:t>
      </w:r>
      <w:r w:rsidRPr="00D7375B">
        <w:rPr>
          <w:rFonts w:ascii="Times New Roman" w:eastAsia="Calibri" w:hAnsi="Times New Roman" w:cs="Times New Roman"/>
          <w:b/>
          <w:lang w:eastAsia="lt-LT"/>
        </w:rPr>
        <w:tab/>
        <w:t>Dozavimas ir vartojimo metodas</w:t>
      </w:r>
    </w:p>
    <w:p w14:paraId="6A5666AB" w14:textId="77777777" w:rsidR="007E07AA" w:rsidRPr="00D7375B" w:rsidRDefault="007E07AA" w:rsidP="007E07AA">
      <w:pPr>
        <w:spacing w:after="0" w:line="240" w:lineRule="auto"/>
        <w:rPr>
          <w:rFonts w:ascii="Times New Roman" w:eastAsia="Calibri" w:hAnsi="Times New Roman" w:cs="Times New Roman"/>
          <w:lang w:eastAsia="lt-LT"/>
        </w:rPr>
      </w:pPr>
    </w:p>
    <w:p w14:paraId="0FAD990C"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Dozavimas</w:t>
      </w:r>
    </w:p>
    <w:p w14:paraId="11D51C8E"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Izotretinoiną skirti arba jo skyrimą prižiūrėti gali tik gydytojas, turintis sunkių spuogų gydymo sisteminio poveikio retinoidais patirties ir gerai suprantantis gydymo šiuo vaistiniu preparatu riziką ir nuolatinės kontrolės reikalavimus.</w:t>
      </w:r>
    </w:p>
    <w:p w14:paraId="37B53A18" w14:textId="77777777" w:rsidR="007E07AA" w:rsidRPr="00D7375B" w:rsidRDefault="007E07AA" w:rsidP="007E07AA">
      <w:pPr>
        <w:spacing w:after="0" w:line="240" w:lineRule="auto"/>
        <w:rPr>
          <w:rFonts w:ascii="Times New Roman" w:eastAsia="Calibri" w:hAnsi="Times New Roman" w:cs="Times New Roman"/>
          <w:lang w:eastAsia="lt-LT"/>
        </w:rPr>
      </w:pPr>
    </w:p>
    <w:p w14:paraId="3E8281A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Kapsulės geriamos vieną arba du kartus per parą valgio metu.</w:t>
      </w:r>
    </w:p>
    <w:p w14:paraId="2FB418AB" w14:textId="77777777" w:rsidR="007E07AA" w:rsidRPr="00D7375B" w:rsidRDefault="007E07AA" w:rsidP="007E07AA">
      <w:pPr>
        <w:spacing w:after="0" w:line="240" w:lineRule="auto"/>
        <w:rPr>
          <w:rFonts w:ascii="Times New Roman" w:eastAsia="Calibri" w:hAnsi="Times New Roman" w:cs="Times New Roman"/>
          <w:u w:val="single"/>
          <w:lang w:eastAsia="lt-LT"/>
        </w:rPr>
      </w:pPr>
    </w:p>
    <w:p w14:paraId="2B23126B"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Vaikų populiacija</w:t>
      </w:r>
    </w:p>
    <w:p w14:paraId="7B86527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Roaccutane negalima gydyti prieš lytinę brandą atsirandančių spuogų, taip pat nerekomenduojama juo gydyti jaunesnių kaip 12 metų vaikų, nes duomenų apie saugumą ir veiksmingumą nepakanka.</w:t>
      </w:r>
    </w:p>
    <w:p w14:paraId="6B17410D" w14:textId="77777777" w:rsidR="007E07AA" w:rsidRPr="00D7375B" w:rsidRDefault="007E07AA" w:rsidP="007E07AA">
      <w:pPr>
        <w:spacing w:after="0" w:line="240" w:lineRule="auto"/>
        <w:rPr>
          <w:rFonts w:ascii="Times New Roman" w:eastAsia="Calibri" w:hAnsi="Times New Roman" w:cs="Times New Roman"/>
          <w:lang w:eastAsia="lt-LT"/>
        </w:rPr>
      </w:pPr>
    </w:p>
    <w:p w14:paraId="7627800A"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Suaugusiems žmonėms, įskaitant senyvus, ir paaugliams</w:t>
      </w:r>
    </w:p>
    <w:p w14:paraId="6467E44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Pradinė paros dozė yra 0,5 mg/kg kūno svorio. Terapinis ir kai kuris nepageidaujamas izotretinoino poveikis priklauso nuo dozės dydžio ir atskiriems žmonėms skiriasi, todėl gydymo metu dozę reikia nustatyti kiekvienam pacientui. Dažniausiai užtenka 0,5 – 1 mg/kg kūno svorio paros dozės.</w:t>
      </w:r>
    </w:p>
    <w:p w14:paraId="00ACB616" w14:textId="77777777" w:rsidR="007E07AA" w:rsidRPr="00D7375B" w:rsidRDefault="007E07AA" w:rsidP="007E07AA">
      <w:pPr>
        <w:spacing w:after="0" w:line="240" w:lineRule="auto"/>
        <w:rPr>
          <w:rFonts w:ascii="Times New Roman" w:eastAsia="Calibri" w:hAnsi="Times New Roman" w:cs="Times New Roman"/>
          <w:lang w:eastAsia="lt-LT"/>
        </w:rPr>
      </w:pPr>
    </w:p>
    <w:p w14:paraId="7CD2120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Ilgalaikė remisija ir atsinaujinimo dažnis labiau priklauso ne nuo gydymo trukmės ar paros dozės, bet nuo bendros suvartotos dozės. Įrodyta, jog išgėrus didesnę negu 120 – 150 mg/kg kūno svorio bendrą dozę pastebimos papildomos naudos tikėtis negalima. Gydymo trukmė priklauso nuo vartojamos paros dozės dydžio. Remisijai sukelti paprastai pakanka 16 – 24 gydymo savaičių.</w:t>
      </w:r>
    </w:p>
    <w:p w14:paraId="22098A0E" w14:textId="77777777" w:rsidR="007E07AA" w:rsidRPr="00D7375B" w:rsidRDefault="007E07AA" w:rsidP="007E07AA">
      <w:pPr>
        <w:spacing w:after="0" w:line="240" w:lineRule="auto"/>
        <w:rPr>
          <w:rFonts w:ascii="Times New Roman" w:eastAsia="Calibri" w:hAnsi="Times New Roman" w:cs="Times New Roman"/>
          <w:lang w:eastAsia="lt-LT"/>
        </w:rPr>
      </w:pPr>
    </w:p>
    <w:p w14:paraId="63020A6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Daugumai pacientų spuogai visiškai išnyksta po vieno gydymo kurso. Jeigu jie atsinaujina, galima taikyti tokios pačios paros ir bendros dozės vartojimo kursą. Kadangi spuogai gali lengvėti dar 8 savaites po gydymo kurso, kitą gydymo kursą reikėtų pradėti ne anksčiau kaip po 8 savaičių.</w:t>
      </w:r>
    </w:p>
    <w:p w14:paraId="60572BE0" w14:textId="77777777" w:rsidR="007E07AA" w:rsidRPr="00D7375B" w:rsidRDefault="007E07AA" w:rsidP="007E07AA">
      <w:pPr>
        <w:spacing w:after="0" w:line="240" w:lineRule="auto"/>
        <w:rPr>
          <w:rFonts w:ascii="Times New Roman" w:eastAsia="Calibri" w:hAnsi="Times New Roman" w:cs="Times New Roman"/>
          <w:u w:val="single"/>
          <w:lang w:eastAsia="lt-LT"/>
        </w:rPr>
      </w:pPr>
    </w:p>
    <w:p w14:paraId="0B3B0B44"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lastRenderedPageBreak/>
        <w:t>Pacientams, kurių inkstų funkcija sutrikusi</w:t>
      </w:r>
    </w:p>
    <w:p w14:paraId="732BEFD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Sunkiu inkstų nepakankamumu sergančius pacientus reikia pradėti gydyti mažesne, pvz., 10 mg, paros doze. Vėliau ją reikia padidinti iki 1 mg/kg kūno svorio arba iki didžiausios toleruojamos dozės (žr. 4.4 skyrių).</w:t>
      </w:r>
    </w:p>
    <w:p w14:paraId="779CF786" w14:textId="77777777" w:rsidR="007E07AA" w:rsidRPr="00D7375B" w:rsidRDefault="007E07AA" w:rsidP="007E07AA">
      <w:pPr>
        <w:spacing w:after="0" w:line="240" w:lineRule="auto"/>
        <w:rPr>
          <w:rFonts w:ascii="Times New Roman" w:eastAsia="Calibri" w:hAnsi="Times New Roman" w:cs="Times New Roman"/>
          <w:i/>
          <w:lang w:eastAsia="lt-LT"/>
        </w:rPr>
      </w:pPr>
    </w:p>
    <w:p w14:paraId="5BD0C996"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Vaistinio preparato netoleruojantys pacientai</w:t>
      </w:r>
    </w:p>
    <w:p w14:paraId="73D26DB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atsiranda sunkių rekomenduojamos dozės netoleravimo simptomų, gydymą galima tęsti mažesne doze, tačiau tokiu atveju preparatu tenka gydyti ilgiau ir didėja spuogų atsinaujinimo rizika. Norint pasiekti didžiausią galimą veiksmingumą, tokių žmonių gydymą paprastai reikia tęsti didžiausia toleruojama paros doze.</w:t>
      </w:r>
    </w:p>
    <w:p w14:paraId="6AC7C05F" w14:textId="77777777" w:rsidR="007E07AA" w:rsidRPr="00D7375B" w:rsidRDefault="007E07AA" w:rsidP="007E07AA">
      <w:pPr>
        <w:spacing w:after="0" w:line="240" w:lineRule="auto"/>
        <w:rPr>
          <w:rFonts w:ascii="Times New Roman" w:eastAsia="Calibri" w:hAnsi="Times New Roman" w:cs="Times New Roman"/>
          <w:b/>
          <w:lang w:eastAsia="lt-LT"/>
        </w:rPr>
      </w:pPr>
    </w:p>
    <w:p w14:paraId="0C2BF407"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4.3</w:t>
      </w:r>
      <w:r w:rsidRPr="00D7375B">
        <w:rPr>
          <w:rFonts w:ascii="Times New Roman" w:eastAsia="Calibri" w:hAnsi="Times New Roman" w:cs="Times New Roman"/>
          <w:b/>
          <w:lang w:eastAsia="lt-LT"/>
        </w:rPr>
        <w:tab/>
        <w:t>Kontraindikacijos</w:t>
      </w:r>
    </w:p>
    <w:p w14:paraId="0D3D593C"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p>
    <w:p w14:paraId="0594F81D"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Izotretinoiną vartoti draudžiama nėščioms ir žindančioms moterims  (žr. 4.6 skyrių).</w:t>
      </w:r>
    </w:p>
    <w:p w14:paraId="3EFF358B" w14:textId="77777777" w:rsidR="007E07AA" w:rsidRPr="00D7375B" w:rsidRDefault="007E07AA" w:rsidP="007E07AA">
      <w:pP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lang w:eastAsia="lt-LT"/>
        </w:rPr>
        <w:t>Izotretinoiną vartoti draudžiama,</w:t>
      </w:r>
      <w:r w:rsidRPr="00D7375B" w:rsidDel="00C56A78">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jei moteris planuoja pastoti,  išskyrus tuos atvejus, kai moteris vykdo apsaugos nuo nėštumo programą (žr. 4.4 skyrių).</w:t>
      </w:r>
    </w:p>
    <w:p w14:paraId="5FB5FA7F" w14:textId="77777777" w:rsidR="007E07AA" w:rsidRPr="00D7375B" w:rsidRDefault="007E07AA" w:rsidP="007E07AA">
      <w:pPr>
        <w:spacing w:after="0" w:line="240" w:lineRule="auto"/>
        <w:rPr>
          <w:rFonts w:ascii="Times New Roman" w:eastAsia="Calibri" w:hAnsi="Times New Roman" w:cs="Times New Roman"/>
          <w:lang w:eastAsia="lt-LT"/>
        </w:rPr>
      </w:pPr>
    </w:p>
    <w:p w14:paraId="6357D4A5" w14:textId="3674F642"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Izotretinoiną taip pat vartoti draudžiama, jeigu yra  padidėjęs jautrumas izotretinoinui arba bet kuriai 6.1 skyriuje nurodytai pagalbinei medžiagai. Roaccutane 10 mg kapsulėse yra </w:t>
      </w:r>
      <w:r w:rsidR="003C7E78">
        <w:rPr>
          <w:rFonts w:ascii="Times New Roman" w:eastAsia="Calibri" w:hAnsi="Times New Roman" w:cs="Times New Roman"/>
          <w:lang w:eastAsia="lt-LT"/>
        </w:rPr>
        <w:t>rafinuoto</w:t>
      </w:r>
      <w:r w:rsidR="003C7E78" w:rsidRPr="00D7375B">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sojų aliejaus, iš dalies hidrinto sojų aliejaus ir hidrinto sojų aliejaus, todėl Roaccutane 10 mg kapsules draudžiama vartoti žmonėms, kurie yra alergiški žemės riešutams arba sojai.</w:t>
      </w:r>
    </w:p>
    <w:p w14:paraId="3B85971B" w14:textId="77777777" w:rsidR="007E07AA" w:rsidRPr="00D7375B" w:rsidRDefault="007E07AA" w:rsidP="007E07AA">
      <w:pPr>
        <w:spacing w:after="0" w:line="240" w:lineRule="auto"/>
        <w:rPr>
          <w:rFonts w:ascii="Times New Roman" w:eastAsia="Calibri" w:hAnsi="Times New Roman" w:cs="Times New Roman"/>
          <w:b/>
          <w:lang w:eastAsia="lt-LT"/>
        </w:rPr>
      </w:pPr>
    </w:p>
    <w:p w14:paraId="0F02C67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Izotertinoiną vartoti taip pat draudžiama pacientams, turintiems:</w:t>
      </w:r>
    </w:p>
    <w:p w14:paraId="7885A7E3"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Kepenų veiklos nepakankamumą.</w:t>
      </w:r>
    </w:p>
    <w:p w14:paraId="3A86A0AF"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Per didelį lipidų kiekį kraujyje.</w:t>
      </w:r>
    </w:p>
    <w:p w14:paraId="59CF1EBB"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Vitamino A hipervitaminozę.</w:t>
      </w:r>
    </w:p>
    <w:p w14:paraId="79DADEDF"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Gydomiems tetraciklinais (žr. 4.5 skyrių).</w:t>
      </w:r>
    </w:p>
    <w:p w14:paraId="5CA50347" w14:textId="77777777" w:rsidR="007E07AA" w:rsidRPr="00D7375B" w:rsidRDefault="007E07AA" w:rsidP="007E07AA">
      <w:pPr>
        <w:spacing w:after="0" w:line="240" w:lineRule="auto"/>
        <w:rPr>
          <w:rFonts w:ascii="Times New Roman" w:eastAsia="Calibri" w:hAnsi="Times New Roman" w:cs="Times New Roman"/>
          <w:b/>
          <w:lang w:eastAsia="lt-LT"/>
        </w:rPr>
      </w:pPr>
    </w:p>
    <w:p w14:paraId="417B94C8"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4.4</w:t>
      </w:r>
      <w:r w:rsidRPr="00D7375B">
        <w:rPr>
          <w:rFonts w:ascii="Times New Roman" w:eastAsia="Calibri" w:hAnsi="Times New Roman" w:cs="Times New Roman"/>
          <w:b/>
          <w:lang w:eastAsia="lt-LT"/>
        </w:rPr>
        <w:tab/>
        <w:t>Specialūs įspėjimai ir atsargumo priemonės</w:t>
      </w:r>
    </w:p>
    <w:p w14:paraId="3D079C44" w14:textId="77777777" w:rsidR="007E07AA" w:rsidRPr="00D7375B" w:rsidRDefault="007E07AA" w:rsidP="007E07AA">
      <w:pPr>
        <w:spacing w:after="0" w:line="240" w:lineRule="auto"/>
        <w:rPr>
          <w:rFonts w:ascii="Times New Roman" w:eastAsia="Calibri" w:hAnsi="Times New Roman" w:cs="Times New Roman"/>
          <w:b/>
          <w:i/>
          <w:lang w:eastAsia="lt-LT"/>
        </w:rPr>
      </w:pPr>
    </w:p>
    <w:p w14:paraId="6802ADD9"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r w:rsidRPr="00D7375B">
        <w:rPr>
          <w:rFonts w:ascii="Times New Roman" w:eastAsia="Calibri" w:hAnsi="Times New Roman" w:cs="Times New Roman"/>
          <w:b/>
          <w:iCs/>
          <w:szCs w:val="18"/>
          <w:lang w:eastAsia="lt-LT"/>
        </w:rPr>
        <w:t>Teratogeninis poveikis</w:t>
      </w:r>
    </w:p>
    <w:p w14:paraId="49D4532B"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D7375B">
        <w:rPr>
          <w:rFonts w:ascii="Times New Roman" w:eastAsia="Calibri" w:hAnsi="Times New Roman" w:cs="Times New Roman"/>
          <w:lang w:eastAsia="lt-LT"/>
        </w:rPr>
        <w:t>Roaccutane</w:t>
      </w:r>
      <w:r w:rsidRPr="00D7375B">
        <w:rPr>
          <w:rFonts w:ascii="Times New Roman" w:eastAsia="Calibri" w:hAnsi="Times New Roman" w:cs="Times New Roman"/>
          <w:iCs/>
          <w:szCs w:val="18"/>
          <w:lang w:eastAsia="lt-LT"/>
        </w:rPr>
        <w:t xml:space="preserve"> žmogui yra stiprus teratogenas, labai dažnai sukeliantis sunkius ir gyvybei pavojingus apsigimimus.</w:t>
      </w:r>
    </w:p>
    <w:p w14:paraId="718783B1"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p>
    <w:p w14:paraId="76D40CCB"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r w:rsidRPr="00D7375B">
        <w:rPr>
          <w:rFonts w:ascii="Times New Roman" w:eastAsia="Calibri" w:hAnsi="Times New Roman" w:cs="Times New Roman"/>
          <w:b/>
          <w:iCs/>
          <w:szCs w:val="18"/>
          <w:lang w:eastAsia="lt-LT"/>
        </w:rPr>
        <w:t>Roaccutane griežtai draudžiama skirti:</w:t>
      </w:r>
    </w:p>
    <w:p w14:paraId="3FFBAC60"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D7375B">
        <w:rPr>
          <w:rFonts w:ascii="Times New Roman" w:eastAsia="Calibri" w:hAnsi="Times New Roman" w:cs="Times New Roman"/>
          <w:iCs/>
          <w:szCs w:val="18"/>
          <w:lang w:eastAsia="lt-LT"/>
        </w:rPr>
        <w:t>- Nėščioms moterims</w:t>
      </w:r>
    </w:p>
    <w:p w14:paraId="3510B69E"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D7375B">
        <w:rPr>
          <w:rFonts w:ascii="Times New Roman" w:eastAsia="Calibri" w:hAnsi="Times New Roman" w:cs="Times New Roman"/>
          <w:iCs/>
          <w:szCs w:val="18"/>
          <w:lang w:eastAsia="lt-LT"/>
        </w:rPr>
        <w:t xml:space="preserve">- </w:t>
      </w:r>
      <w:r w:rsidRPr="00D7375B">
        <w:rPr>
          <w:rFonts w:ascii="Times New Roman" w:eastAsia="Calibri" w:hAnsi="Times New Roman" w:cs="Times New Roman"/>
          <w:szCs w:val="18"/>
          <w:lang w:eastAsia="zh-CN"/>
        </w:rPr>
        <w:t>Vaisingoms moterims, išskyrus atvejus, kai moteris atitinka visas Apsaugos nuo nėštumo programos sąlygas</w:t>
      </w:r>
    </w:p>
    <w:p w14:paraId="5D3A99C6" w14:textId="77777777" w:rsidR="007E07AA" w:rsidRPr="00D7375B" w:rsidRDefault="007E07AA" w:rsidP="007E07AA">
      <w:pPr>
        <w:spacing w:after="0" w:line="240" w:lineRule="auto"/>
        <w:rPr>
          <w:rFonts w:ascii="Times New Roman" w:eastAsia="Calibri" w:hAnsi="Times New Roman" w:cs="Times New Roman"/>
          <w:lang w:eastAsia="lt-LT"/>
        </w:rPr>
      </w:pPr>
    </w:p>
    <w:p w14:paraId="2C2A1A9F" w14:textId="77777777" w:rsidR="007E07AA" w:rsidRPr="00D7375B" w:rsidRDefault="007E07AA" w:rsidP="007E07AA">
      <w:pPr>
        <w:spacing w:after="0" w:line="240" w:lineRule="auto"/>
        <w:rPr>
          <w:rFonts w:ascii="Times New Roman" w:eastAsia="Calibri" w:hAnsi="Times New Roman" w:cs="Times New Roman"/>
          <w:b/>
          <w:i/>
          <w:lang w:eastAsia="lt-LT"/>
        </w:rPr>
      </w:pPr>
      <w:r w:rsidRPr="00D7375B">
        <w:rPr>
          <w:rFonts w:ascii="Times New Roman" w:eastAsia="Calibri" w:hAnsi="Times New Roman" w:cs="Times New Roman"/>
          <w:b/>
          <w:i/>
          <w:lang w:eastAsia="lt-LT"/>
        </w:rPr>
        <w:t>Apsaugos nuo nėštumo programa</w:t>
      </w:r>
    </w:p>
    <w:p w14:paraId="664C097F" w14:textId="77777777" w:rsidR="007E07AA" w:rsidRPr="00D7375B" w:rsidRDefault="007E07AA" w:rsidP="007E07AA">
      <w:pPr>
        <w:spacing w:after="0" w:line="240" w:lineRule="auto"/>
        <w:rPr>
          <w:rFonts w:ascii="Times New Roman" w:eastAsia="Calibri" w:hAnsi="Times New Roman" w:cs="Times New Roman"/>
          <w:lang w:eastAsia="lt-LT"/>
        </w:rPr>
      </w:pPr>
    </w:p>
    <w:p w14:paraId="0E152EC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Šiam vaistiniam preparatui būdingas TERATOGENINIS POVEIKIS.</w:t>
      </w:r>
    </w:p>
    <w:p w14:paraId="5DB0090A" w14:textId="77777777" w:rsidR="007E07AA" w:rsidRPr="00D7375B" w:rsidRDefault="007E07AA" w:rsidP="007E07AA">
      <w:pPr>
        <w:spacing w:after="0" w:line="240" w:lineRule="auto"/>
        <w:rPr>
          <w:rFonts w:ascii="Times New Roman" w:eastAsia="Calibri" w:hAnsi="Times New Roman" w:cs="Times New Roman"/>
          <w:lang w:eastAsia="lt-LT"/>
        </w:rPr>
      </w:pPr>
    </w:p>
    <w:p w14:paraId="4557BDC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Vaisingoms moterims izotretinoino vartoti draudžiama, išskyrus atvejus, kai visiškai įvykdomos visos žemiau išvardytos</w:t>
      </w:r>
      <w:r w:rsidRPr="00D7375B">
        <w:rPr>
          <w:rFonts w:ascii="Times New Roman" w:eastAsia="Calibri" w:hAnsi="Times New Roman" w:cs="Times New Roman"/>
          <w:b/>
          <w:i/>
          <w:lang w:eastAsia="lt-LT"/>
        </w:rPr>
        <w:t xml:space="preserve"> </w:t>
      </w:r>
      <w:r w:rsidRPr="00D7375B">
        <w:rPr>
          <w:rFonts w:ascii="Times New Roman" w:eastAsia="Calibri" w:hAnsi="Times New Roman" w:cs="Times New Roman"/>
          <w:lang w:eastAsia="lt-LT"/>
        </w:rPr>
        <w:t>apsaugos nuo nėštumo programos sąlygos.</w:t>
      </w:r>
    </w:p>
    <w:p w14:paraId="5218E392" w14:textId="77777777" w:rsidR="007E07AA" w:rsidRPr="00D7375B" w:rsidRDefault="007E07AA" w:rsidP="007E07AA">
      <w:pPr>
        <w:spacing w:after="0" w:line="240" w:lineRule="auto"/>
        <w:rPr>
          <w:rFonts w:ascii="Times New Roman" w:eastAsia="Calibri" w:hAnsi="Times New Roman" w:cs="Times New Roman"/>
          <w:lang w:eastAsia="lt-LT"/>
        </w:rPr>
      </w:pPr>
    </w:p>
    <w:p w14:paraId="1FDF352D"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Spuogai yra sunkios formos (pvz., mazginiai, susiliejantys arba galintys palikti neišnykstančių randų) ir jų gydymas tinkamais įprastų sisteminio poveikio antibakterinių vaistinių preparatų kursais ir lokalus gydymas buvo neveiksmingi (žr. 4.1 skyrių „Terapinės indikacijos“).</w:t>
      </w:r>
    </w:p>
    <w:p w14:paraId="5107D0B8" w14:textId="77777777" w:rsidR="007E07AA" w:rsidRPr="00D7375B" w:rsidRDefault="007E07AA" w:rsidP="007E07AA">
      <w:pPr>
        <w:numPr>
          <w:ilvl w:val="0"/>
          <w:numId w:val="3"/>
        </w:numPr>
        <w:tabs>
          <w:tab w:val="left" w:pos="567"/>
        </w:tabs>
        <w:spacing w:after="0" w:line="240" w:lineRule="auto"/>
        <w:ind w:left="567" w:hanging="567"/>
        <w:rPr>
          <w:rFonts w:ascii="Times New Roman" w:eastAsia="Calibri" w:hAnsi="Times New Roman" w:cs="Times New Roman"/>
          <w:b/>
          <w:lang w:eastAsia="lt-LT"/>
        </w:rPr>
      </w:pPr>
      <w:r w:rsidRPr="00D7375B">
        <w:rPr>
          <w:rFonts w:ascii="Times New Roman" w:eastAsia="Calibri" w:hAnsi="Times New Roman" w:cs="Times New Roman"/>
          <w:lang w:eastAsia="lt-LT"/>
        </w:rPr>
        <w:t>Privaloma įvertinti visų pacienčių moterų tikimybę pastoti.</w:t>
      </w:r>
    </w:p>
    <w:p w14:paraId="33DF06B9"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p>
    <w:p w14:paraId="0E11C5EB"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supranta teratogeninio poveikio riziką.</w:t>
      </w:r>
    </w:p>
    <w:p w14:paraId="5AE292A0"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suvokia tikslaus kasmėnesinio ištyrimo būtinumą.</w:t>
      </w:r>
    </w:p>
    <w:p w14:paraId="411FDE30"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 xml:space="preserve">Pacientė supranta veiksmingų kontracepcijos priemonių būtinumą ir sutinka nepertraukiamai jomis naudotis mėnesį prieš gydymą, viso gydymo metu ir vieną mėnesį po jo. Reikia naudotis </w:t>
      </w:r>
      <w:r w:rsidRPr="00D7375B">
        <w:rPr>
          <w:rFonts w:ascii="Times New Roman" w:eastAsia="Calibri" w:hAnsi="Times New Roman" w:cs="Times New Roman"/>
          <w:lang w:eastAsia="lt-LT"/>
        </w:rPr>
        <w:lastRenderedPageBreak/>
        <w:t>bent vienu (pvz., nuo vartotojos nepriklausomos formos) bet geriau  dviem, vienas kitą papildančiais, nuo vartotojų priklausomais kontracepcijos metodais.</w:t>
      </w:r>
    </w:p>
    <w:p w14:paraId="7E9BBE03" w14:textId="77777777" w:rsidR="007E07AA" w:rsidRPr="00D7375B" w:rsidRDefault="007E07AA" w:rsidP="007E07AA">
      <w:pPr>
        <w:numPr>
          <w:ilvl w:val="0"/>
          <w:numId w:val="3"/>
        </w:num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Parenkant kontracepcijos metodą, kiekvienu atveju turi būti vertinamos individualios aplinkybės, į diskusiją įtraukiant ir pacientę, kad būtų  užtikrintas pacientės dalyvavimas  ir parinkto kontracepcijos metodo laikymasis.</w:t>
      </w:r>
    </w:p>
    <w:p w14:paraId="37D56C7B" w14:textId="77777777" w:rsidR="007E07AA" w:rsidRPr="00D7375B" w:rsidRDefault="007E07AA" w:rsidP="007E07AA">
      <w:pPr>
        <w:tabs>
          <w:tab w:val="left" w:pos="567"/>
        </w:tabs>
        <w:spacing w:after="0" w:line="240" w:lineRule="auto"/>
        <w:ind w:left="720" w:hanging="720"/>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visų veiksmingos kontracepcijos patarimų laikysis net ir amenorėjos atveju.</w:t>
      </w:r>
    </w:p>
    <w:p w14:paraId="11AF7A09"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informuota ir supranta galimas nėštumo komplikacijas bei greito kreipimosi į gydytoją atsiradus įtarimui, jog ji gali būti pastojusi, arba kai galbūt jau yra pastojusi, būtinumą.</w:t>
      </w:r>
    </w:p>
    <w:p w14:paraId="13E96C76"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supranta būtinumą ir sutinka reguliariai atlikti nėštumo testą prieš pradedant gydymą, idealiu atveju gydymo metu kas mėnesį ir po vieno mėnesio baigus gydymą.</w:t>
      </w:r>
    </w:p>
    <w:p w14:paraId="7CF29F63"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patvirtina, jog ji supranta izotretinoino vartojimo metu kylantį pavojų ir atsargumo priemonių svarbą.</w:t>
      </w:r>
    </w:p>
    <w:p w14:paraId="02D9A5D6" w14:textId="77777777" w:rsidR="007E07AA" w:rsidRPr="00D7375B" w:rsidRDefault="007E07AA" w:rsidP="007E07AA">
      <w:pPr>
        <w:spacing w:after="0" w:line="240" w:lineRule="auto"/>
        <w:rPr>
          <w:rFonts w:ascii="Times New Roman" w:eastAsia="Calibri" w:hAnsi="Times New Roman" w:cs="Times New Roman"/>
          <w:lang w:eastAsia="lt-LT"/>
        </w:rPr>
      </w:pPr>
    </w:p>
    <w:p w14:paraId="72BBA26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Šios sąlygos taikomos ir toms moterims, kurios lytinių santykių gydymo laikotarpiu neturi, išskyrus kai gydytojas nustato įtikinamas priežastis, jog tikimybės pastoti nėra.</w:t>
      </w:r>
    </w:p>
    <w:p w14:paraId="23537629" w14:textId="77777777" w:rsidR="007E07AA" w:rsidRPr="00D7375B" w:rsidRDefault="007E07AA" w:rsidP="007E07AA">
      <w:pPr>
        <w:spacing w:after="0" w:line="240" w:lineRule="auto"/>
        <w:rPr>
          <w:rFonts w:ascii="Times New Roman" w:eastAsia="Calibri" w:hAnsi="Times New Roman" w:cs="Times New Roman"/>
          <w:lang w:eastAsia="lt-LT"/>
        </w:rPr>
      </w:pPr>
    </w:p>
    <w:p w14:paraId="53E8DAC9" w14:textId="77777777" w:rsidR="007E07AA" w:rsidRPr="00D7375B" w:rsidRDefault="007E07AA" w:rsidP="007E07AA">
      <w:pPr>
        <w:keepNext/>
        <w:keepLine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Vaistinį preparatą išrašantis gydytojas turi būti tikras, kad:</w:t>
      </w:r>
    </w:p>
    <w:p w14:paraId="271E2D55"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laikosi aukščiau išvardytų apsaugos nuo nėštumo sąlygų ir patvirtina, kad tai pakankamai supranta;</w:t>
      </w:r>
    </w:p>
    <w:p w14:paraId="4BBDE753"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pripažįsta aukščiau minėtas sąlygas;</w:t>
      </w:r>
    </w:p>
    <w:p w14:paraId="4F604600"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supranta, kad ji privalo nuolat ir tinkamai naudotis vienu labai veiksmingu kontracepcijos metodu (pvz., nuo vartotojos nepriklausomos formos) arba dviem vienas kitą papildančiais nuo vartotojų priklausomais kontracepcijos metodais bent vieną mėnesį prieš pradedant gydymą, visu gydymo laikotarpiu ir ne trumpiau kaip vieną mėnesį po gydymo pabaigos;</w:t>
      </w:r>
    </w:p>
    <w:p w14:paraId="3B6A4897"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prieš gydymą, jo metu ir 1 mėnesį po gydymo nėštumo testo rezultatai buvo neigiami (testų datą ir gautus rezultatus reikia dokumentuoti).</w:t>
      </w:r>
    </w:p>
    <w:p w14:paraId="776F937B" w14:textId="77777777" w:rsidR="007E07AA" w:rsidRPr="00D7375B" w:rsidRDefault="007E07AA" w:rsidP="007E07AA">
      <w:pPr>
        <w:spacing w:after="0" w:line="240" w:lineRule="auto"/>
        <w:rPr>
          <w:rFonts w:ascii="Times New Roman" w:eastAsia="Calibri" w:hAnsi="Times New Roman" w:cs="Times New Roman"/>
          <w:lang w:eastAsia="lt-LT"/>
        </w:rPr>
      </w:pPr>
    </w:p>
    <w:p w14:paraId="0E79D29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izotretinoinu gydoma moteris pastoja, gydymas privalo būti nutrauktas, o pacientė nukreipta pas gydytoją, kuris specializuojasi arba turi teratologijos patirties, kad jis galėtų tai įvertinti ir patarti.</w:t>
      </w:r>
    </w:p>
    <w:p w14:paraId="7290BCE6" w14:textId="77777777" w:rsidR="007E07AA" w:rsidRPr="00D7375B" w:rsidRDefault="007E07AA" w:rsidP="007E07AA">
      <w:pPr>
        <w:spacing w:after="0" w:line="240" w:lineRule="auto"/>
        <w:rPr>
          <w:rFonts w:ascii="Times New Roman" w:eastAsia="Calibri" w:hAnsi="Times New Roman" w:cs="Times New Roman"/>
          <w:lang w:eastAsia="lt-LT"/>
        </w:rPr>
      </w:pPr>
    </w:p>
    <w:p w14:paraId="35ABBFC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pacientė pastoja po gydymo nutraukimo, sunkių apsigimimų pavojus išlieka. Ši rizika išlieka kol vaistinis preparatas bus visiškai pašalintas iš organizmo, tai yra, vieną mėnesį po gydymo pabaigos.</w:t>
      </w:r>
    </w:p>
    <w:p w14:paraId="18E96228" w14:textId="77777777" w:rsidR="007E07AA" w:rsidRPr="00D7375B" w:rsidRDefault="007E07AA" w:rsidP="007E07AA">
      <w:pPr>
        <w:spacing w:after="0" w:line="240" w:lineRule="auto"/>
        <w:rPr>
          <w:rFonts w:ascii="Times New Roman" w:eastAsia="Calibri" w:hAnsi="Times New Roman" w:cs="Times New Roman"/>
          <w:lang w:eastAsia="lt-LT"/>
        </w:rPr>
      </w:pPr>
    </w:p>
    <w:p w14:paraId="4C674DBB"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Kontracepcija</w:t>
      </w:r>
    </w:p>
    <w:p w14:paraId="321DD76D"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Moteris būtina išsamiai informuoti apie apsaugą nuo nėštumo ir toms, kurios veiksmingomis kontraceptinėmis priemonėmis nesinaudoja, nukreipti konsultacijai dėl kontracepcijos. Jeigu vaistinį preparatą skiriantis gydytojas negali tokios informacijos suteikti, jis turi nukreipti pacientę specialisto konsultacijai.</w:t>
      </w:r>
    </w:p>
    <w:p w14:paraId="3DDE37EE" w14:textId="77777777" w:rsidR="007E07AA" w:rsidRPr="00D7375B" w:rsidRDefault="007E07AA" w:rsidP="007E07AA">
      <w:pPr>
        <w:spacing w:after="0" w:line="240" w:lineRule="auto"/>
        <w:rPr>
          <w:rFonts w:ascii="Times New Roman" w:eastAsia="Calibri" w:hAnsi="Times New Roman" w:cs="Times New Roman"/>
          <w:lang w:eastAsia="lt-LT"/>
        </w:rPr>
      </w:pPr>
    </w:p>
    <w:p w14:paraId="11147C4E" w14:textId="77777777" w:rsidR="007E07AA" w:rsidRPr="00D7375B" w:rsidRDefault="007E07AA" w:rsidP="007E07AA">
      <w:pPr>
        <w:autoSpaceDE w:val="0"/>
        <w:autoSpaceDN w:val="0"/>
        <w:adjustRightInd w:val="0"/>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Minimalus reikalavimas yra toks, kad vaisinga pacientė moteris privalo naudotis </w:t>
      </w:r>
      <w:r w:rsidRPr="00D7375B">
        <w:rPr>
          <w:rFonts w:ascii="Times New Roman" w:eastAsia="Calibri" w:hAnsi="Times New Roman" w:cs="Times New Roman"/>
          <w:lang w:eastAsia="lt-LT" w:bidi="en-US"/>
        </w:rPr>
        <w:t xml:space="preserve">vienu </w:t>
      </w:r>
      <w:r w:rsidRPr="00D7375B">
        <w:rPr>
          <w:rFonts w:ascii="Times New Roman" w:eastAsia="Calibri" w:hAnsi="Times New Roman" w:cs="Times New Roman"/>
          <w:lang w:eastAsia="lt-LT"/>
        </w:rPr>
        <w:t>labai</w:t>
      </w:r>
      <w:r w:rsidRPr="00D7375B">
        <w:rPr>
          <w:rFonts w:ascii="Times New Roman" w:eastAsia="Calibri" w:hAnsi="Times New Roman" w:cs="Times New Roman"/>
          <w:lang w:eastAsia="lt-LT" w:bidi="en-US"/>
        </w:rPr>
        <w:t xml:space="preserve"> veiksming</w:t>
      </w:r>
      <w:r w:rsidRPr="00D7375B">
        <w:rPr>
          <w:rFonts w:ascii="Times New Roman" w:eastAsia="Calibri" w:hAnsi="Times New Roman" w:cs="Times New Roman"/>
          <w:lang w:eastAsia="lt-LT"/>
        </w:rPr>
        <w:t>u</w:t>
      </w:r>
      <w:r w:rsidRPr="00D7375B">
        <w:rPr>
          <w:rFonts w:ascii="Times New Roman" w:eastAsia="Calibri" w:hAnsi="Times New Roman" w:cs="Times New Roman"/>
          <w:lang w:eastAsia="lt-LT" w:bidi="en-US"/>
        </w:rPr>
        <w:t xml:space="preserve"> kontracepcijos </w:t>
      </w:r>
      <w:r w:rsidRPr="00D7375B">
        <w:rPr>
          <w:rFonts w:ascii="Times New Roman" w:eastAsia="Calibri" w:hAnsi="Times New Roman" w:cs="Times New Roman"/>
          <w:lang w:eastAsia="lt-LT"/>
        </w:rPr>
        <w:t xml:space="preserve">metodu (pvz., nuo vartotojos nepriklausomos formos) arba dviem vienas kitą papildančiais nuo vartotojų  priklausomais kontracepcijos metodais. Kontracepcija turi būti naudojama bent vieną </w:t>
      </w:r>
      <w:r w:rsidRPr="00D7375B">
        <w:rPr>
          <w:rFonts w:ascii="Times New Roman" w:eastAsia="Calibri" w:hAnsi="Times New Roman" w:cs="Times New Roman"/>
          <w:lang w:eastAsia="lt-LT" w:bidi="en-US"/>
        </w:rPr>
        <w:t xml:space="preserve">mėnesį prieš </w:t>
      </w:r>
      <w:r w:rsidRPr="00D7375B">
        <w:rPr>
          <w:rFonts w:ascii="Times New Roman" w:eastAsia="Calibri" w:hAnsi="Times New Roman" w:cs="Times New Roman"/>
          <w:lang w:eastAsia="lt-LT"/>
        </w:rPr>
        <w:t xml:space="preserve">pradedant </w:t>
      </w:r>
      <w:r w:rsidRPr="00D7375B">
        <w:rPr>
          <w:rFonts w:ascii="Times New Roman" w:eastAsia="Calibri" w:hAnsi="Times New Roman" w:cs="Times New Roman"/>
          <w:lang w:eastAsia="lt-LT" w:bidi="en-US"/>
        </w:rPr>
        <w:t xml:space="preserve">gydymą, visu gydymo laikotarpiu ir tęsiama ne trumpiau kaip </w:t>
      </w:r>
      <w:r w:rsidRPr="00D7375B">
        <w:rPr>
          <w:rFonts w:ascii="Times New Roman" w:eastAsia="Calibri" w:hAnsi="Times New Roman" w:cs="Times New Roman"/>
          <w:lang w:eastAsia="lt-LT"/>
        </w:rPr>
        <w:t xml:space="preserve">vieną </w:t>
      </w:r>
      <w:r w:rsidRPr="00D7375B">
        <w:rPr>
          <w:rFonts w:ascii="Times New Roman" w:eastAsia="Calibri" w:hAnsi="Times New Roman" w:cs="Times New Roman"/>
          <w:lang w:eastAsia="lt-LT" w:bidi="en-US"/>
        </w:rPr>
        <w:t xml:space="preserve">mėnesį po </w:t>
      </w:r>
      <w:r w:rsidRPr="00D7375B">
        <w:rPr>
          <w:rFonts w:ascii="Times New Roman" w:eastAsia="Calibri" w:hAnsi="Times New Roman" w:cs="Times New Roman"/>
          <w:lang w:eastAsia="lt-LT"/>
        </w:rPr>
        <w:t>gydymo izotretinoinu pabaigos net ir tuo atveju, kai pacientei yra amenorėja.</w:t>
      </w:r>
    </w:p>
    <w:p w14:paraId="59F183D1" w14:textId="77777777" w:rsidR="007E07AA" w:rsidRPr="00D7375B" w:rsidRDefault="007E07AA" w:rsidP="007E07AA">
      <w:pPr>
        <w:autoSpaceDE w:val="0"/>
        <w:autoSpaceDN w:val="0"/>
        <w:adjustRightInd w:val="0"/>
        <w:spacing w:after="0" w:line="240" w:lineRule="auto"/>
        <w:rPr>
          <w:rFonts w:ascii="Times New Roman" w:eastAsia="Calibri" w:hAnsi="Times New Roman" w:cs="Times New Roman"/>
          <w:lang w:eastAsia="lt-LT"/>
        </w:rPr>
      </w:pPr>
    </w:p>
    <w:p w14:paraId="215ACDB5" w14:textId="77777777" w:rsidR="007E07AA" w:rsidRPr="00D7375B" w:rsidRDefault="007E07AA" w:rsidP="007E07AA">
      <w:pPr>
        <w:autoSpaceDE w:val="0"/>
        <w:autoSpaceDN w:val="0"/>
        <w:adjustRightInd w:val="0"/>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Parenkant kontracepcijos metodą, kiekvienu atveju turi būti vertinamos individualios aplinkybės, į diskusiją įtraukiant ir pacientę, kad būtų  užtikrintas pacientės dalyvavimas  ir parinkto kontracepcijos metodo laikymasis.</w:t>
      </w:r>
    </w:p>
    <w:p w14:paraId="339257FF" w14:textId="77777777" w:rsidR="007E07AA" w:rsidRPr="00D7375B" w:rsidRDefault="007E07AA" w:rsidP="007E07AA">
      <w:pPr>
        <w:spacing w:after="0" w:line="240" w:lineRule="auto"/>
        <w:rPr>
          <w:rFonts w:ascii="Times New Roman" w:eastAsia="Calibri" w:hAnsi="Times New Roman" w:cs="Times New Roman"/>
          <w:b/>
          <w:lang w:eastAsia="lt-LT"/>
        </w:rPr>
      </w:pPr>
    </w:p>
    <w:p w14:paraId="104690CE" w14:textId="77777777" w:rsidR="007E07AA" w:rsidRPr="00D7375B" w:rsidRDefault="007E07AA" w:rsidP="007E07AA">
      <w:pPr>
        <w:keepNext/>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Nėštumo testai</w:t>
      </w:r>
    </w:p>
    <w:p w14:paraId="7E2DE70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Laikantis vietinės praktikos reikalavimų, gydytojo prižiūrimą nėštumo testą, kurio jautrumas yra ne mažesnis kaip 25 mTV/ml, rekomenduojama atlikti kaip nurodyta toliau.</w:t>
      </w:r>
    </w:p>
    <w:p w14:paraId="42050096" w14:textId="77777777" w:rsidR="007E07AA" w:rsidRPr="00D7375B" w:rsidRDefault="007E07AA" w:rsidP="007E07AA">
      <w:pPr>
        <w:spacing w:after="0" w:line="240" w:lineRule="auto"/>
        <w:rPr>
          <w:rFonts w:ascii="Times New Roman" w:eastAsia="Calibri" w:hAnsi="Times New Roman" w:cs="Times New Roman"/>
          <w:i/>
          <w:u w:val="single"/>
          <w:lang w:eastAsia="lt-LT"/>
        </w:rPr>
      </w:pPr>
    </w:p>
    <w:p w14:paraId="54F45CDF"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Prieš pradedant gydymą</w:t>
      </w:r>
    </w:p>
    <w:p w14:paraId="3D9BC3C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lastRenderedPageBreak/>
        <w:t>Mažiausiai mėnesį pacientei vartojus kontracepciją ir nedaug likus (geriausia, keletui dienų) iki pirmojo paskyrimo, pacientė turi atlikti nėštumo testą medikui prižiūrint. Šis testas turi užtikrinti, kad gydytis izotretinoinu pradėsianti pacientė nėra nėščia.</w:t>
      </w:r>
    </w:p>
    <w:p w14:paraId="1BB3AC26" w14:textId="77777777" w:rsidR="007E07AA" w:rsidRPr="00D7375B" w:rsidRDefault="007E07AA" w:rsidP="007E07AA">
      <w:pPr>
        <w:spacing w:after="0" w:line="240" w:lineRule="auto"/>
        <w:rPr>
          <w:rFonts w:ascii="Times New Roman" w:eastAsia="Calibri" w:hAnsi="Times New Roman" w:cs="Times New Roman"/>
          <w:i/>
          <w:u w:val="single"/>
          <w:lang w:eastAsia="lt-LT"/>
        </w:rPr>
      </w:pPr>
    </w:p>
    <w:p w14:paraId="56E00060"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Stebėsenos apsilankymai</w:t>
      </w:r>
    </w:p>
    <w:p w14:paraId="6A7B4328" w14:textId="77777777" w:rsidR="007E07AA" w:rsidRPr="00D7375B" w:rsidRDefault="007E07AA" w:rsidP="007E07AA">
      <w:pPr>
        <w:spacing w:after="0" w:line="240" w:lineRule="auto"/>
        <w:rPr>
          <w:rFonts w:ascii="Times New Roman" w:eastAsia="Calibri" w:hAnsi="Times New Roman" w:cs="Times New Roman"/>
          <w:i/>
          <w:lang w:eastAsia="lt-LT"/>
        </w:rPr>
      </w:pPr>
    </w:p>
    <w:p w14:paraId="15CC3F0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Pacientė pas gydytoją turi lankytis reguliariai, idealiu atveju  kas mėnesį. Ar būtina kas mėnesį atlikti gydytojo prižiūrimą nėštumo testą, reikia nustatyti atsižvelgiant į vietinės praktikos reikalavimus ir seksualinį pacientės aktyvumą, neseniai buvusių mėnesinių pobūdį (nenormalios mėnesinės, laiku neatsiradusios mėnesinės ar amenorėja) ir kontracepcijos metodą. Prireikus nėštumo testą reikia atlikti apsilankymo pas receptą rašantį gydytoją metu arba per 3 dienas prieš apsilankymą.</w:t>
      </w:r>
    </w:p>
    <w:p w14:paraId="579AE627" w14:textId="77777777" w:rsidR="007E07AA" w:rsidRPr="00D7375B" w:rsidRDefault="007E07AA" w:rsidP="007E07AA">
      <w:pPr>
        <w:spacing w:after="0" w:line="240" w:lineRule="auto"/>
        <w:rPr>
          <w:rFonts w:ascii="Times New Roman" w:eastAsia="Calibri" w:hAnsi="Times New Roman" w:cs="Times New Roman"/>
          <w:i/>
          <w:u w:val="single"/>
          <w:lang w:eastAsia="lt-LT"/>
        </w:rPr>
      </w:pPr>
    </w:p>
    <w:p w14:paraId="6C7C549C"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 xml:space="preserve">Baigus gydymą </w:t>
      </w:r>
    </w:p>
    <w:p w14:paraId="78C6DAD5" w14:textId="77777777" w:rsidR="007E07AA" w:rsidRPr="00D7375B" w:rsidRDefault="007E07AA" w:rsidP="007E07AA">
      <w:pPr>
        <w:spacing w:after="0" w:line="240" w:lineRule="auto"/>
        <w:rPr>
          <w:rFonts w:ascii="Times New Roman" w:eastAsia="Calibri" w:hAnsi="Times New Roman" w:cs="Times New Roman"/>
          <w:b/>
          <w:i/>
          <w:lang w:eastAsia="lt-LT"/>
        </w:rPr>
      </w:pPr>
      <w:r w:rsidRPr="00D7375B">
        <w:rPr>
          <w:rFonts w:ascii="Times New Roman" w:eastAsia="Calibri" w:hAnsi="Times New Roman" w:cs="Times New Roman"/>
          <w:lang w:eastAsia="lt-LT"/>
        </w:rPr>
        <w:t>Paskutinį nėštumo testą reikia atlikti po gydymo praėjus vienam mėnesiui</w:t>
      </w:r>
      <w:r w:rsidRPr="00D7375B">
        <w:rPr>
          <w:rFonts w:ascii="Times New Roman" w:eastAsia="Calibri" w:hAnsi="Times New Roman" w:cs="Times New Roman"/>
          <w:b/>
          <w:i/>
          <w:lang w:eastAsia="lt-LT"/>
        </w:rPr>
        <w:t>.</w:t>
      </w:r>
    </w:p>
    <w:p w14:paraId="7FC60873" w14:textId="77777777" w:rsidR="007E07AA" w:rsidRPr="00D7375B" w:rsidRDefault="007E07AA" w:rsidP="007E07AA">
      <w:pPr>
        <w:spacing w:after="0" w:line="240" w:lineRule="auto"/>
        <w:rPr>
          <w:rFonts w:ascii="Times New Roman" w:eastAsia="Calibri" w:hAnsi="Times New Roman" w:cs="Times New Roman"/>
          <w:b/>
          <w:i/>
          <w:lang w:eastAsia="lt-LT"/>
        </w:rPr>
      </w:pPr>
    </w:p>
    <w:p w14:paraId="6B3F1358"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Išrašymo ir įsigijimo apribojimai</w:t>
      </w:r>
    </w:p>
    <w:p w14:paraId="6DD602A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Norint užtikrinti reguliarų apsilankymą pas gydytoją, įskaitant nėštumo testų atlikimą ir stebėseną, idealiu atveju vaisingoms moterims Roaccutane galima išrašyti ne ilgiau kaip </w:t>
      </w:r>
      <w:r w:rsidRPr="00D7375B">
        <w:rPr>
          <w:rFonts w:ascii="Times New Roman" w:eastAsia="Calibri" w:hAnsi="Times New Roman" w:cs="Times New Roman"/>
          <w:u w:val="single"/>
          <w:lang w:eastAsia="lt-LT"/>
        </w:rPr>
        <w:t>trisdešimčiai parų</w:t>
      </w:r>
      <w:r w:rsidRPr="00D7375B">
        <w:rPr>
          <w:rFonts w:ascii="Times New Roman" w:eastAsia="Calibri" w:hAnsi="Times New Roman" w:cs="Times New Roman"/>
          <w:lang w:eastAsia="lt-LT"/>
        </w:rPr>
        <w:t xml:space="preserve">. Idealiu atveju tą pačią dieną turi būti atliktas nėštumo testas, išrašytas receptas ir įsigytas  Roaccutane.  </w:t>
      </w:r>
    </w:p>
    <w:p w14:paraId="4630282B" w14:textId="77777777" w:rsidR="007E07AA" w:rsidRPr="00D7375B" w:rsidRDefault="007E07AA" w:rsidP="007E07AA">
      <w:pPr>
        <w:spacing w:after="0" w:line="240" w:lineRule="auto"/>
        <w:rPr>
          <w:rFonts w:ascii="Times New Roman" w:eastAsia="Calibri" w:hAnsi="Times New Roman" w:cs="Times New Roman"/>
          <w:lang w:eastAsia="lt-LT"/>
        </w:rPr>
      </w:pPr>
    </w:p>
    <w:p w14:paraId="4081C45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Ši kasmėnesinė stebėsena leis užtikrinti, kad būtų reguliariai atliekami nėštumo testai, stebima pacientės būklė ir kad pacientė prieš kitą gydymo ciklą nėra nėščia.</w:t>
      </w:r>
    </w:p>
    <w:p w14:paraId="4D5581AA" w14:textId="77777777" w:rsidR="007E07AA" w:rsidRPr="00D7375B" w:rsidRDefault="007E07AA" w:rsidP="007E07AA">
      <w:pPr>
        <w:spacing w:after="0" w:line="240" w:lineRule="auto"/>
        <w:rPr>
          <w:rFonts w:ascii="Times New Roman" w:eastAsia="Calibri" w:hAnsi="Times New Roman" w:cs="Times New Roman"/>
          <w:b/>
          <w:i/>
          <w:lang w:eastAsia="lt-LT"/>
        </w:rPr>
      </w:pPr>
    </w:p>
    <w:p w14:paraId="645C249B"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Vyrai pacientai</w:t>
      </w:r>
    </w:p>
    <w:p w14:paraId="3DF543F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Turimi duomenys rodo, jog  poveikis moteriai patiriamas per paciento, vartojančio Roaccutane spermą yra nepakankamas,  kad būtų susijęs su  teratogeniniu Roaccutane poveikiu. Vyrus reikia įspėti, kad jiems išrašyto vaistinio preparato kitiems žmonėms, ypač moterims, duoti draudžiama.</w:t>
      </w:r>
    </w:p>
    <w:p w14:paraId="053C7B80" w14:textId="77777777" w:rsidR="007E07AA" w:rsidRPr="00D7375B" w:rsidRDefault="007E07AA" w:rsidP="007E07AA">
      <w:pPr>
        <w:spacing w:after="0" w:line="240" w:lineRule="auto"/>
        <w:rPr>
          <w:rFonts w:ascii="Times New Roman" w:eastAsia="Calibri" w:hAnsi="Times New Roman" w:cs="Times New Roman"/>
          <w:b/>
          <w:i/>
          <w:lang w:eastAsia="lt-LT"/>
        </w:rPr>
      </w:pPr>
    </w:p>
    <w:p w14:paraId="7C5A9624"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Kitos atsargumo priemonės</w:t>
      </w:r>
    </w:p>
    <w:p w14:paraId="3A3EEF9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Pacientams reikia paaiškinti, kad šio vaistinio preparato kitiems žmonėms niekada neduotų, o baigus gydymą visas nesuvartotas kapsules grąžintų vaistininkui.</w:t>
      </w:r>
    </w:p>
    <w:p w14:paraId="1B797DB2" w14:textId="77777777" w:rsidR="007E07AA" w:rsidRPr="00D7375B" w:rsidRDefault="007E07AA" w:rsidP="007E07AA">
      <w:pPr>
        <w:spacing w:after="0" w:line="240" w:lineRule="auto"/>
        <w:rPr>
          <w:rFonts w:ascii="Times New Roman" w:eastAsia="Calibri" w:hAnsi="Times New Roman" w:cs="Times New Roman"/>
          <w:lang w:eastAsia="lt-LT"/>
        </w:rPr>
      </w:pPr>
    </w:p>
    <w:p w14:paraId="1ED7DE5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Gydymo izotretinoinu metu ir vieną mėnesį po jo pacientas negali būti kraujo donoru, kadangi jo kraujo perpylus nėščiai moteriai galimas žalingas poveikis vaisiui.</w:t>
      </w:r>
    </w:p>
    <w:p w14:paraId="5A79B726" w14:textId="77777777" w:rsidR="007E07AA" w:rsidRPr="00D7375B" w:rsidRDefault="007E07AA" w:rsidP="007E07AA">
      <w:pPr>
        <w:spacing w:after="0" w:line="240" w:lineRule="auto"/>
        <w:rPr>
          <w:rFonts w:ascii="Times New Roman" w:eastAsia="Calibri" w:hAnsi="Times New Roman" w:cs="Times New Roman"/>
          <w:b/>
          <w:i/>
          <w:lang w:eastAsia="lt-LT"/>
        </w:rPr>
      </w:pPr>
    </w:p>
    <w:p w14:paraId="0A741D33"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Mokomoji medžiaga</w:t>
      </w:r>
    </w:p>
    <w:p w14:paraId="2390F2B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Norėdamas vaistinio preparato skiriančiam gydytojui, vaistininkui ir pacientui padėti išvengti izotretinoino poveikio vaisiui, šio vaistinio preparato registruotojas pateiks mokomosios medžiagos, kurioje bus informacijos apie įspėjimus dėl teratogeninio izotretinoino poveikio, patarimų dėl kontracepcijos, kuri yra būtina prieš gydymo pradžią, ir nėštumo testų atlikimo nuorodų.</w:t>
      </w:r>
    </w:p>
    <w:p w14:paraId="0ABB1685" w14:textId="77777777" w:rsidR="007E07AA" w:rsidRPr="00D7375B" w:rsidRDefault="007E07AA" w:rsidP="007E07AA">
      <w:pPr>
        <w:spacing w:after="0" w:line="240" w:lineRule="auto"/>
        <w:rPr>
          <w:rFonts w:ascii="Times New Roman" w:eastAsia="Calibri" w:hAnsi="Times New Roman" w:cs="Times New Roman"/>
          <w:lang w:eastAsia="lt-LT"/>
        </w:rPr>
      </w:pPr>
    </w:p>
    <w:p w14:paraId="465B91D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Gydytojas tiek vyrams, tiek moterims turi pateikti visą informaciją apie teratogeninio poveikio riziką ir griežtas apsaugos nuo pastojimo priemones, nurodytas Apsaugos nuo nėštumo programoje.</w:t>
      </w:r>
    </w:p>
    <w:p w14:paraId="41F75879" w14:textId="77777777" w:rsidR="007E07AA" w:rsidRPr="00D7375B" w:rsidRDefault="007E07AA" w:rsidP="007E07AA">
      <w:pPr>
        <w:spacing w:after="0" w:line="240" w:lineRule="auto"/>
        <w:rPr>
          <w:rFonts w:ascii="Times New Roman" w:eastAsia="Calibri" w:hAnsi="Times New Roman" w:cs="Times New Roman"/>
          <w:b/>
          <w:i/>
          <w:lang w:eastAsia="lt-LT"/>
        </w:rPr>
      </w:pPr>
    </w:p>
    <w:p w14:paraId="4909F299"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Psichikos sutrikimai</w:t>
      </w:r>
    </w:p>
    <w:p w14:paraId="1DACACDA"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Izotretinoinu gydomiems pacientams buvo depresijos atsiradimo bei pasunkėjimo, nerimo, polinkio į agresyvumą, nuotaikos pokyčio, psichozės simptomų, labai retai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savižudybės ideacijos, bandymo žudytis ir savižudybės atvejų (žr. 4.8 skyrių). Žmones, sirgusius depresija, izotretinoinu reikia gydyti itin atsargiai. Gydant bet kokį ligonį, būtina sekti, ar neatsiranda depresijos simptomų, o atsiradus šiam sutrikimui-tinkamai jį gydyti. Jeigu izotretinoino vartojimą nutraukus simptomai nepalengvėja, gali prireikti psichiatro ir psichologo pagalbos.</w:t>
      </w:r>
    </w:p>
    <w:p w14:paraId="046FF5CD" w14:textId="77777777" w:rsidR="007E07AA" w:rsidRPr="00D7375B" w:rsidRDefault="007E07AA" w:rsidP="007E07AA">
      <w:pPr>
        <w:spacing w:after="0" w:line="240" w:lineRule="auto"/>
        <w:rPr>
          <w:rFonts w:ascii="Times New Roman" w:eastAsia="Calibri" w:hAnsi="Times New Roman" w:cs="Times New Roman"/>
          <w:lang w:eastAsia="lt-LT"/>
        </w:rPr>
      </w:pPr>
    </w:p>
    <w:p w14:paraId="56355B5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Šeimos ar draugų informavimas gali būti naudingas norint pastebėti psichinės sveikatos pablogėjimą.</w:t>
      </w:r>
    </w:p>
    <w:p w14:paraId="57FDF657" w14:textId="77777777" w:rsidR="007E07AA" w:rsidRPr="00D7375B" w:rsidRDefault="007E07AA" w:rsidP="007E07AA">
      <w:pPr>
        <w:spacing w:after="0" w:line="240" w:lineRule="auto"/>
        <w:rPr>
          <w:rFonts w:ascii="Times New Roman" w:eastAsia="Calibri" w:hAnsi="Times New Roman" w:cs="Times New Roman"/>
          <w:b/>
          <w:i/>
          <w:lang w:eastAsia="lt-LT"/>
        </w:rPr>
      </w:pPr>
    </w:p>
    <w:p w14:paraId="44E04A5C" w14:textId="77777777" w:rsidR="007E07AA" w:rsidRPr="00D7375B" w:rsidRDefault="007E07AA" w:rsidP="007E07AA">
      <w:pPr>
        <w:keepNext/>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Odos ir poodinio audinio sutrikimai</w:t>
      </w:r>
    </w:p>
    <w:p w14:paraId="6B9194B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Gydymo pradžioje kartais galimas ūminis spuogų pablogėjimas, tačiau gydant toliau jis paprastai per 7 – 10 parų praeina. Dozės keisti dėl jo dažniausiai nereikia.</w:t>
      </w:r>
    </w:p>
    <w:p w14:paraId="4B02525F" w14:textId="77777777" w:rsidR="007E07AA" w:rsidRPr="00D7375B" w:rsidRDefault="007E07AA" w:rsidP="007E07AA">
      <w:pPr>
        <w:spacing w:after="0" w:line="240" w:lineRule="auto"/>
        <w:rPr>
          <w:rFonts w:ascii="Times New Roman" w:eastAsia="Calibri" w:hAnsi="Times New Roman" w:cs="Times New Roman"/>
          <w:lang w:eastAsia="lt-LT"/>
        </w:rPr>
      </w:pPr>
    </w:p>
    <w:p w14:paraId="331EDAF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Būtina vengti stiprios saulės šviesos ir kitokių ultravioletinių spindulių poveikio. Prireikus galima vartoti nuo saulės saugančių preparatų, kurių apsaugos nuo jos koeficientas yra ne mažesnis kaip SPF 15.</w:t>
      </w:r>
    </w:p>
    <w:p w14:paraId="41C2B7AE" w14:textId="77777777" w:rsidR="007E07AA" w:rsidRPr="00D7375B" w:rsidRDefault="007E07AA" w:rsidP="007E07AA">
      <w:pPr>
        <w:spacing w:after="0" w:line="240" w:lineRule="auto"/>
        <w:rPr>
          <w:rFonts w:ascii="Times New Roman" w:eastAsia="Calibri" w:hAnsi="Times New Roman" w:cs="Times New Roman"/>
          <w:lang w:eastAsia="lt-LT"/>
        </w:rPr>
      </w:pPr>
    </w:p>
    <w:p w14:paraId="660D5D6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Izotretinoino vartojimo metu ir 5 – 6 mėnesius po jo negalima naudoti cheminių odos šveitimo priemonių ar gydyti ją lazeriu, kadangi pažeistose vietose gali atsirasti hipertrofinių randų, rečiau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použdegiminė gydytų vietų hiperpigmentacija arba hipopigmentacija. Izotretinoino vartojimo metu ir mažiausiai 6 mėn. po jo negalima daryti depiliacijos vašku, kadangi yra epidermio lupimosi rizika.</w:t>
      </w:r>
    </w:p>
    <w:p w14:paraId="29C55EC3" w14:textId="77777777" w:rsidR="007E07AA" w:rsidRPr="00D7375B" w:rsidRDefault="007E07AA" w:rsidP="007E07AA">
      <w:pPr>
        <w:spacing w:after="0" w:line="240" w:lineRule="auto"/>
        <w:rPr>
          <w:rFonts w:ascii="Times New Roman" w:eastAsia="Calibri" w:hAnsi="Times New Roman" w:cs="Times New Roman"/>
          <w:lang w:eastAsia="lt-LT"/>
        </w:rPr>
      </w:pPr>
    </w:p>
    <w:p w14:paraId="13D11B9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Lokalaus poveikio keratolizinių ir eksfoliacinių preparatų nuo spuogų kartu su izotretinoinu vartoti negalima, nes gali sustiprėti lokalus dirginimas (žr. 4.5 skyrių).</w:t>
      </w:r>
    </w:p>
    <w:p w14:paraId="581CEF0F" w14:textId="77777777" w:rsidR="007E07AA" w:rsidRPr="00D7375B" w:rsidRDefault="007E07AA" w:rsidP="007E07AA">
      <w:pPr>
        <w:spacing w:after="0" w:line="240" w:lineRule="auto"/>
        <w:rPr>
          <w:rFonts w:ascii="Times New Roman" w:eastAsia="Calibri" w:hAnsi="Times New Roman" w:cs="Times New Roman"/>
          <w:lang w:eastAsia="lt-LT"/>
        </w:rPr>
      </w:pPr>
    </w:p>
    <w:p w14:paraId="690C05E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Nuo pirmųjų gydymo dienų pacientui reikia patarti vartoti odos drėkinamojo tepalo arba kremo ir lūpų balzamo, kadangi dėl izotretinoino poveikio oda ir lūpos gali džiūti.</w:t>
      </w:r>
    </w:p>
    <w:p w14:paraId="0D4BB854" w14:textId="77777777" w:rsidR="007E07AA" w:rsidRPr="00D7375B" w:rsidRDefault="007E07AA" w:rsidP="007E07AA">
      <w:pPr>
        <w:spacing w:after="0" w:line="240" w:lineRule="auto"/>
        <w:rPr>
          <w:rFonts w:ascii="Times New Roman" w:eastAsia="Calibri" w:hAnsi="Times New Roman" w:cs="Times New Roman"/>
          <w:lang w:eastAsia="lt-LT"/>
        </w:rPr>
      </w:pPr>
    </w:p>
    <w:p w14:paraId="2CEB2B9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Po vaistinio preparato pateikimo į rinką yra gauta pranešimų apie su izotretinoino vartojimu susijusias sunkias odos reakcijas (pvz., daugiaformę eritemą (DE), </w:t>
      </w:r>
      <w:r w:rsidRPr="00D7375B">
        <w:rPr>
          <w:rFonts w:ascii="Times New Roman" w:eastAsia="Calibri" w:hAnsi="Times New Roman" w:cs="Times New Roman"/>
          <w:i/>
          <w:lang w:eastAsia="lt-LT"/>
        </w:rPr>
        <w:t>Stevens-Johnson</w:t>
      </w:r>
      <w:r w:rsidRPr="00D7375B">
        <w:rPr>
          <w:rFonts w:ascii="Times New Roman" w:eastAsia="Calibri" w:hAnsi="Times New Roman" w:cs="Times New Roman"/>
          <w:lang w:eastAsia="lt-LT"/>
        </w:rPr>
        <w:t xml:space="preserve"> sindromą (SJS) ir toksinę epidermio nekrolizę (TEN)). Kadangi šiuos reiškinius gali būti sunku atskirti nuo kitų odos reakcijų, kurios gali pasireikšti vaisto vartojimo metu (žr. 4.8 skyrių), pacientus reikia informuoti apie sunkių odos reakcijų požymius ir simptomus bei jų būklę atidžiai stebėti. Jeigu įtariama sunki odos reakcija, izotretinoino vartojimą reikia nutraukti.</w:t>
      </w:r>
    </w:p>
    <w:p w14:paraId="54F3CE64" w14:textId="77777777" w:rsidR="007E07AA" w:rsidRPr="00D7375B" w:rsidRDefault="007E07AA" w:rsidP="007E07AA">
      <w:pPr>
        <w:spacing w:after="0" w:line="240" w:lineRule="auto"/>
        <w:rPr>
          <w:rFonts w:ascii="Times New Roman" w:eastAsia="Calibri" w:hAnsi="Times New Roman" w:cs="Times New Roman"/>
          <w:lang w:eastAsia="lt-LT"/>
        </w:rPr>
      </w:pPr>
    </w:p>
    <w:p w14:paraId="2841B54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Alerginės reakcijos</w:t>
      </w:r>
    </w:p>
    <w:p w14:paraId="7BD56F8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Gauta pranešimų apie retai pasireiškusias anafilaksines reakcijas, kartais žmonėms, kurie anksčiau jau buvo gydyti lokalaus poveikio retinoidais. Pranešta apie nedažnai pasireiškusias alergines odos reakcijas. Gauta pranešimų apie pasireiškusius sunkius alerginio angito, dažnai kartu su galūnių purpura (kraujosruvomis ir raudonomis dėmėmis) bei ekstrakutanine pažaida, atvejus. Jeigu prasideda sunki alerginė reakcija, izotretinoino vartojimą būtina nutraukti ir paciento būklę atidžiai stebėti.</w:t>
      </w:r>
    </w:p>
    <w:p w14:paraId="4623F04C" w14:textId="77777777" w:rsidR="007E07AA" w:rsidRPr="00D7375B" w:rsidRDefault="007E07AA" w:rsidP="007E07AA">
      <w:pPr>
        <w:spacing w:after="0" w:line="240" w:lineRule="auto"/>
        <w:rPr>
          <w:rFonts w:ascii="Times New Roman" w:eastAsia="Calibri" w:hAnsi="Times New Roman" w:cs="Times New Roman"/>
          <w:lang w:eastAsia="lt-LT"/>
        </w:rPr>
      </w:pPr>
    </w:p>
    <w:p w14:paraId="6BC66940"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Akių sutrikimai</w:t>
      </w:r>
    </w:p>
    <w:p w14:paraId="35C0ADB1" w14:textId="131076C0"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Gydymo metu atsiradęs nepageidaujamas poveikis: akių sausmė, ragenos drumstis, matymo naktį pablogėjimas bei keratitas, paprastai išnyksta nutraukus gydymą. </w:t>
      </w:r>
      <w:r w:rsidR="000A25F0">
        <w:rPr>
          <w:rFonts w:ascii="Times New Roman" w:eastAsia="Calibri" w:hAnsi="Times New Roman" w:cs="Times New Roman"/>
          <w:lang w:eastAsia="lt-LT"/>
        </w:rPr>
        <w:t>Buvo pranešta apie akių sausmės</w:t>
      </w:r>
      <w:r w:rsidR="00F05457" w:rsidRPr="00F05457">
        <w:rPr>
          <w:rFonts w:ascii="Times New Roman" w:eastAsia="Calibri" w:hAnsi="Times New Roman" w:cs="Times New Roman"/>
          <w:lang w:eastAsia="lt-LT"/>
        </w:rPr>
        <w:t xml:space="preserve"> atvejus, kurie neišnyksta nutraukus gydymą</w:t>
      </w:r>
      <w:r w:rsidR="00F05457">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Akių sausmę galima mažinti slidinamuoju akių tepalu arba ašarų pakaitalais. Galimas kontaktinių lęšių netoleravimas, dėl kurio gydymo metu pacientui gali tekti nešioti akinius.</w:t>
      </w:r>
    </w:p>
    <w:p w14:paraId="3BD43971" w14:textId="77777777" w:rsidR="007E07AA" w:rsidRPr="00D7375B" w:rsidRDefault="007E07AA" w:rsidP="007E07AA">
      <w:pPr>
        <w:spacing w:after="0" w:line="240" w:lineRule="auto"/>
        <w:rPr>
          <w:rFonts w:ascii="Times New Roman" w:eastAsia="Calibri" w:hAnsi="Times New Roman" w:cs="Times New Roman"/>
          <w:lang w:eastAsia="lt-LT"/>
        </w:rPr>
      </w:pPr>
    </w:p>
    <w:p w14:paraId="57AC6B3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Buvo matymo naktį pablogėjimo, kartais staigaus, atvejų (žr. 4.7 skyrių). Sutrikus regai, pacientui būtina akių gydytojo konsultacija. Izotretinoino vartojimą tokiu atveju gali reikėti nutraukti.</w:t>
      </w:r>
    </w:p>
    <w:p w14:paraId="0C9AA5B5" w14:textId="77777777" w:rsidR="007E07AA" w:rsidRPr="00D7375B" w:rsidRDefault="007E07AA" w:rsidP="007E07AA">
      <w:pPr>
        <w:spacing w:after="0" w:line="240" w:lineRule="auto"/>
        <w:rPr>
          <w:rFonts w:ascii="Times New Roman" w:eastAsia="Calibri" w:hAnsi="Times New Roman" w:cs="Times New Roman"/>
          <w:b/>
          <w:i/>
          <w:lang w:eastAsia="lt-LT"/>
        </w:rPr>
      </w:pPr>
    </w:p>
    <w:p w14:paraId="23D3BA1E"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Raumenų, kaulų ir jungiamojo audinio sutrikimai</w:t>
      </w:r>
    </w:p>
    <w:p w14:paraId="0C97CE9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Kai kuriems izotretinoino vartojantiems žmonėms, ypač tiems, kurių fizinis aktyvumas didelis, atsirado mialgija, artralgija, kraujo serume padaugėjo kreatinfosfokinazės (žr. 4.8 skyrių). Kai kuriais atvejais tai gali progresuoti iki gyvybei pavojų keliančios rabdomiolizės.</w:t>
      </w:r>
    </w:p>
    <w:p w14:paraId="36DC56F6" w14:textId="77777777" w:rsidR="007E07AA" w:rsidRPr="00D7375B" w:rsidRDefault="007E07AA" w:rsidP="007E07AA">
      <w:pPr>
        <w:spacing w:after="0" w:line="240" w:lineRule="auto"/>
        <w:rPr>
          <w:rFonts w:ascii="Times New Roman" w:eastAsia="Calibri" w:hAnsi="Times New Roman" w:cs="Times New Roman"/>
          <w:lang w:eastAsia="lt-LT"/>
        </w:rPr>
      </w:pPr>
    </w:p>
    <w:p w14:paraId="3E00DD61" w14:textId="0F7146F1" w:rsidR="007E07AA"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Kelerius metus labai didele doze gydant keratinizacijos sutrikimą, atsirado kaulų pokyčių, įskaitant priešlaikinį epifizių užakimą, hiperostozę ir sausgyslių bei raiščių kalcifikaciją. Tokių pacientų paros ir kumuliacinė dozė bei gydymo trukmė buvo gerokai didesnės nei rekomenduojamos spuogams gydyti.</w:t>
      </w:r>
    </w:p>
    <w:p w14:paraId="07BB43AD" w14:textId="361FF933" w:rsidR="000A25F0" w:rsidRDefault="000A25F0" w:rsidP="007E07AA">
      <w:pPr>
        <w:spacing w:after="0" w:line="240" w:lineRule="auto"/>
        <w:rPr>
          <w:rFonts w:ascii="Times New Roman" w:eastAsia="Calibri" w:hAnsi="Times New Roman" w:cs="Times New Roman"/>
          <w:lang w:eastAsia="lt-LT"/>
        </w:rPr>
      </w:pPr>
    </w:p>
    <w:p w14:paraId="03A7D998" w14:textId="18664D77" w:rsidR="000A25F0" w:rsidRPr="00D7375B" w:rsidRDefault="000A25F0" w:rsidP="007E07AA">
      <w:pPr>
        <w:spacing w:after="0" w:line="240" w:lineRule="auto"/>
        <w:rPr>
          <w:rFonts w:ascii="Times New Roman" w:eastAsia="Calibri" w:hAnsi="Times New Roman" w:cs="Times New Roman"/>
          <w:lang w:eastAsia="lt-LT"/>
        </w:rPr>
      </w:pPr>
      <w:r w:rsidRPr="000A25F0">
        <w:rPr>
          <w:rFonts w:ascii="Times New Roman" w:eastAsia="Calibri" w:hAnsi="Times New Roman" w:cs="Times New Roman"/>
          <w:lang w:eastAsia="lt-LT"/>
        </w:rPr>
        <w:t>Gauta pranešimų apie sakroilitą pacientams, vartojusiems izotretinoiną. Norint atskirti sakroilitą nuo kitų nugaros skausmo priežasčių, pacientams, kuriems yra klinikinių sakroilito požymių, gali prireikti tolesnio įvertinimo, įskaitant tokius</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kaip </w:t>
      </w:r>
      <w:r>
        <w:rPr>
          <w:rFonts w:ascii="Times New Roman" w:eastAsia="Calibri" w:hAnsi="Times New Roman" w:cs="Times New Roman"/>
          <w:lang w:eastAsia="lt-LT"/>
        </w:rPr>
        <w:t>magnetinio rezonanso tyrimas (</w:t>
      </w:r>
      <w:r w:rsidRPr="000A25F0">
        <w:rPr>
          <w:rFonts w:ascii="Times New Roman" w:eastAsia="Calibri" w:hAnsi="Times New Roman" w:cs="Times New Roman"/>
          <w:lang w:eastAsia="lt-LT"/>
        </w:rPr>
        <w:t>MRT</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Tais atvejais, apie kuriuos pranešta </w:t>
      </w:r>
      <w:r>
        <w:rPr>
          <w:rFonts w:ascii="Times New Roman" w:eastAsia="Calibri" w:hAnsi="Times New Roman" w:cs="Times New Roman"/>
          <w:lang w:eastAsia="lt-LT"/>
        </w:rPr>
        <w:t>vaistiniam preparatui  patekus</w:t>
      </w:r>
      <w:r w:rsidRPr="000A25F0">
        <w:rPr>
          <w:rFonts w:ascii="Times New Roman" w:eastAsia="Calibri" w:hAnsi="Times New Roman" w:cs="Times New Roman"/>
          <w:lang w:eastAsia="lt-LT"/>
        </w:rPr>
        <w:t xml:space="preserve"> į rinką, nutraukus Roaccutane vartojimą</w:t>
      </w:r>
      <w:r>
        <w:rPr>
          <w:rFonts w:ascii="Times New Roman" w:eastAsia="Calibri" w:hAnsi="Times New Roman" w:cs="Times New Roman"/>
          <w:lang w:eastAsia="lt-LT"/>
        </w:rPr>
        <w:t xml:space="preserve"> ir tinkamai gydant, būklė dėl sakroilito</w:t>
      </w:r>
      <w:r w:rsidRPr="000A25F0">
        <w:rPr>
          <w:rFonts w:ascii="Times New Roman" w:eastAsia="Calibri" w:hAnsi="Times New Roman" w:cs="Times New Roman"/>
          <w:lang w:eastAsia="lt-LT"/>
        </w:rPr>
        <w:t xml:space="preserve"> pagerėjo.</w:t>
      </w:r>
    </w:p>
    <w:p w14:paraId="4239AD0D" w14:textId="77777777" w:rsidR="007E07AA" w:rsidRPr="00D7375B" w:rsidRDefault="007E07AA" w:rsidP="007E07AA">
      <w:pPr>
        <w:spacing w:after="0" w:line="240" w:lineRule="auto"/>
        <w:rPr>
          <w:rFonts w:ascii="Times New Roman" w:eastAsia="Calibri" w:hAnsi="Times New Roman" w:cs="Times New Roman"/>
          <w:b/>
          <w:i/>
          <w:lang w:eastAsia="lt-LT"/>
        </w:rPr>
      </w:pPr>
    </w:p>
    <w:p w14:paraId="39B0AB42"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Gerybinė intrakranialinė hipertenzija</w:t>
      </w:r>
    </w:p>
    <w:p w14:paraId="49A6CD2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lastRenderedPageBreak/>
        <w:t>Gauta pranešimų apie gerybinės intrakranialinės hipertenzijos atvejus, kai kurie šių pacientų kartu su izotretinoinu vartojo tetraciklinų (žr. 4.3 ir 4.5 skyrius). Gerybinės intrakranialinės hipertenzijos simptomai ir požymiai yra galvos skausmas, pykinimas, vėmimas, regos sutrikimas ir regimojo nervo disko edema. Minėtai hipertenzijai pasireiškus, izotretinoino vartojimą būtina nedelsiant nutraukti.</w:t>
      </w:r>
    </w:p>
    <w:p w14:paraId="1F194AA1" w14:textId="77777777" w:rsidR="007E07AA" w:rsidRPr="00D7375B" w:rsidRDefault="007E07AA" w:rsidP="007E07AA">
      <w:pPr>
        <w:spacing w:after="0" w:line="240" w:lineRule="auto"/>
        <w:rPr>
          <w:rFonts w:ascii="Times New Roman" w:eastAsia="Calibri" w:hAnsi="Times New Roman" w:cs="Times New Roman"/>
          <w:b/>
          <w:i/>
          <w:lang w:eastAsia="lt-LT"/>
        </w:rPr>
      </w:pPr>
    </w:p>
    <w:p w14:paraId="2850C6D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Kepenų ir tulžies sistemos sutrikimai</w:t>
      </w:r>
    </w:p>
    <w:p w14:paraId="3DE8594E"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Kepenų fermentų kiekį reikia matuoti prieš gydymą izotretinoinu, praėjus mėnesiui nuo gydymo pradžios ir kas 3 mėnesiai po to, išskyrus tuos atvejus, kai dažnesnis matavimas būtinas dėl klinikos. Buvo trumpalaikio praeinančio kepenų transaminazių padaugėjimo atvejų. Dažniausiai jų kiekis normos ribų neperžengdavo ir tolesnio gydymo metu tapdavo toks, koks buvo prieš medikamento vartojimą. Jeigu klinikai reikšmingas transaminazių padaugėjimas išsilaiko, reikia mažinti dozę arba nutraukti preparato vartojimą.</w:t>
      </w:r>
    </w:p>
    <w:p w14:paraId="15B6D836" w14:textId="77777777" w:rsidR="007E07AA" w:rsidRPr="00D7375B" w:rsidRDefault="007E07AA" w:rsidP="007E07AA">
      <w:pPr>
        <w:spacing w:after="0" w:line="240" w:lineRule="auto"/>
        <w:rPr>
          <w:rFonts w:ascii="Times New Roman" w:eastAsia="Calibri" w:hAnsi="Times New Roman" w:cs="Times New Roman"/>
          <w:b/>
          <w:i/>
          <w:lang w:eastAsia="lt-LT"/>
        </w:rPr>
      </w:pPr>
    </w:p>
    <w:p w14:paraId="22913F0D"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Inkstų funkcijos nepakankamumas</w:t>
      </w:r>
    </w:p>
    <w:p w14:paraId="392C886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Inkstų funkcijos sutrikimas ar nepakankamumas izotretinoino farmakokinetikai įtakos nedaro, vadinasi, pacientams, kurių inkstų funkcija nepakankama, šio medikamento vartoti galima. Vis dėlto juos rekomenduojama pradėti gydyti maža doze, kurią reikia didinti iki didžiausios toleruojamos (žr. 4.2 skyrių).</w:t>
      </w:r>
    </w:p>
    <w:p w14:paraId="7C789C9E" w14:textId="77777777" w:rsidR="007E07AA" w:rsidRPr="00D7375B" w:rsidRDefault="007E07AA" w:rsidP="007E07AA">
      <w:pPr>
        <w:spacing w:after="0" w:line="240" w:lineRule="auto"/>
        <w:rPr>
          <w:rFonts w:ascii="Times New Roman" w:eastAsia="Calibri" w:hAnsi="Times New Roman" w:cs="Times New Roman"/>
          <w:lang w:eastAsia="lt-LT"/>
        </w:rPr>
      </w:pPr>
    </w:p>
    <w:p w14:paraId="3A1D601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Lipidų metabolizmas</w:t>
      </w:r>
    </w:p>
    <w:p w14:paraId="13FD4F8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Lipidų kiekį  kraujo serume reikia matuoti (nevalgius) prieš gydymą izotretinoinu, praėjus mėnesiui nuo gydymo pradžios ir kas 3 mėnesiai po to, išskyrus tuos atvejus, kai dažnesnis matavimas būtinas dėl klinikos. Sumažinus dozę arba nutraukus medikamento vartojimą, lipidų kiekis dažniausiai sunormalėja, be to, įtakos jam gali turėti ir dieta.</w:t>
      </w:r>
    </w:p>
    <w:p w14:paraId="77E05504" w14:textId="77777777" w:rsidR="007E07AA" w:rsidRPr="00D7375B" w:rsidRDefault="007E07AA" w:rsidP="007E07AA">
      <w:pPr>
        <w:spacing w:after="0" w:line="240" w:lineRule="auto"/>
        <w:rPr>
          <w:rFonts w:ascii="Times New Roman" w:eastAsia="Calibri" w:hAnsi="Times New Roman" w:cs="Times New Roman"/>
          <w:lang w:eastAsia="lt-LT"/>
        </w:rPr>
      </w:pPr>
    </w:p>
    <w:p w14:paraId="742A610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Izotretinoino vartojimas siejamas su trigliceridų padaugėjimu kraujo plazmoje. Jeigu jų kiekio iki reikiamo sumažinti nepavyksta arba atsiranda hepatito simptomų, izotretinoino vartojimą būtina nutraukti (žr. 4.8 skyrių). Jeigu trigliceridų koncentracija tampa didesnė negu 800 mg/dl, t. y., 9 mmol/l, kartais tai susiję su ūminiu pankreatitu, kuris gali būti mirtinas.</w:t>
      </w:r>
    </w:p>
    <w:p w14:paraId="18D93D03" w14:textId="77777777" w:rsidR="007E07AA" w:rsidRPr="00D7375B" w:rsidRDefault="007E07AA" w:rsidP="007E07AA">
      <w:pPr>
        <w:spacing w:after="0" w:line="240" w:lineRule="auto"/>
        <w:rPr>
          <w:rFonts w:ascii="Times New Roman" w:eastAsia="Calibri" w:hAnsi="Times New Roman" w:cs="Times New Roman"/>
          <w:b/>
          <w:i/>
          <w:lang w:eastAsia="lt-LT"/>
        </w:rPr>
      </w:pPr>
    </w:p>
    <w:p w14:paraId="61064C1E"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Virškinimo trakto sutrikimai</w:t>
      </w:r>
    </w:p>
    <w:p w14:paraId="49A3054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Žmonėms, kuriems žarnų sutrikimų anksčiau nebuvo, su gydymu izotretinoinu siejama su uždegiminė žarnų liga, įskaitant regioninį ileitą. Jeigu pasireiškia sunkus viduriavimas (išmatose yra kraujo), izotretinoino vartojimą būtina nedelsiant nutraukti.</w:t>
      </w:r>
    </w:p>
    <w:p w14:paraId="0E0F0BC1" w14:textId="77777777" w:rsidR="007E07AA" w:rsidRPr="00D7375B" w:rsidRDefault="007E07AA" w:rsidP="007E07AA">
      <w:pPr>
        <w:spacing w:after="0" w:line="240" w:lineRule="auto"/>
        <w:rPr>
          <w:rFonts w:ascii="Times New Roman" w:eastAsia="Calibri" w:hAnsi="Times New Roman" w:cs="Times New Roman"/>
          <w:b/>
          <w:i/>
          <w:lang w:eastAsia="lt-LT"/>
        </w:rPr>
      </w:pPr>
    </w:p>
    <w:p w14:paraId="0AB3F62D"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Didelės rizikos ligoniai</w:t>
      </w:r>
    </w:p>
    <w:p w14:paraId="34F7E1BB" w14:textId="77777777" w:rsidR="007E07AA"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izotretinoinu gydomas pacientas serga diabetu ar alkoholizmu, yra nutukęs arba jo lipidų metabolizmas sutrikęs, gali reikėti dažniau matuoti lipidų kiekį kraujo serume ir (arba) gliukozės kiekį kraujyje. Kai kuriems izotretinoinu gydomiems pacientams prasidėjo cukrinis diabetas arba padidėjo cukraus kiekis kraujyje nevalgius.</w:t>
      </w:r>
    </w:p>
    <w:p w14:paraId="249BA46B" w14:textId="77777777" w:rsidR="003C7E78" w:rsidRDefault="003C7E78" w:rsidP="007E07AA">
      <w:pPr>
        <w:spacing w:after="0" w:line="240" w:lineRule="auto"/>
        <w:rPr>
          <w:rFonts w:ascii="Times New Roman" w:eastAsia="Calibri" w:hAnsi="Times New Roman" w:cs="Times New Roman"/>
          <w:lang w:eastAsia="lt-LT"/>
        </w:rPr>
      </w:pPr>
    </w:p>
    <w:p w14:paraId="01FF5C6A" w14:textId="77777777" w:rsidR="003C7E78" w:rsidRPr="003C7E78" w:rsidRDefault="003C7E78" w:rsidP="003C7E78">
      <w:pPr>
        <w:spacing w:after="0" w:line="240" w:lineRule="auto"/>
        <w:rPr>
          <w:rFonts w:ascii="Times New Roman" w:eastAsia="Calibri" w:hAnsi="Times New Roman" w:cs="Times New Roman"/>
          <w:lang w:eastAsia="lt-LT"/>
        </w:rPr>
      </w:pPr>
      <w:r w:rsidRPr="003C7E78">
        <w:rPr>
          <w:rFonts w:ascii="Times New Roman" w:eastAsia="Calibri" w:hAnsi="Times New Roman" w:cs="Times New Roman"/>
          <w:lang w:eastAsia="lt-LT"/>
        </w:rPr>
        <w:t>Pagalbinės medžiagos</w:t>
      </w:r>
    </w:p>
    <w:p w14:paraId="3C89032F" w14:textId="039E56AC" w:rsidR="003C7E78" w:rsidRPr="003C7E78" w:rsidRDefault="003C7E78" w:rsidP="003C7E78">
      <w:pPr>
        <w:spacing w:after="0" w:line="240" w:lineRule="auto"/>
        <w:rPr>
          <w:rFonts w:ascii="Times New Roman" w:eastAsia="Calibri" w:hAnsi="Times New Roman" w:cs="Times New Roman"/>
          <w:lang w:eastAsia="lt-LT"/>
        </w:rPr>
      </w:pPr>
      <w:r w:rsidRPr="003C7E78">
        <w:rPr>
          <w:rFonts w:ascii="Times New Roman" w:eastAsia="Calibri" w:hAnsi="Times New Roman" w:cs="Times New Roman"/>
          <w:lang w:eastAsia="lt-LT"/>
        </w:rPr>
        <w:t xml:space="preserve">Kiekvienoje </w:t>
      </w:r>
      <w:r w:rsidR="00960B50">
        <w:rPr>
          <w:rFonts w:ascii="Times New Roman" w:eastAsia="Calibri" w:hAnsi="Times New Roman" w:cs="Times New Roman"/>
          <w:lang w:eastAsia="lt-LT"/>
        </w:rPr>
        <w:t xml:space="preserve">šio vaistinio preparato </w:t>
      </w:r>
      <w:r w:rsidR="00E23476">
        <w:rPr>
          <w:rFonts w:ascii="Times New Roman" w:eastAsia="Calibri" w:hAnsi="Times New Roman" w:cs="Times New Roman"/>
          <w:lang w:eastAsia="lt-LT"/>
        </w:rPr>
        <w:t>10 mg kapsulėje yra 2,00 </w:t>
      </w:r>
      <w:r>
        <w:rPr>
          <w:rFonts w:ascii="Times New Roman" w:eastAsia="Calibri" w:hAnsi="Times New Roman" w:cs="Times New Roman"/>
          <w:lang w:eastAsia="lt-LT"/>
        </w:rPr>
        <w:t>mg – 3,05 </w:t>
      </w:r>
      <w:r w:rsidRPr="003C7E78">
        <w:rPr>
          <w:rFonts w:ascii="Times New Roman" w:eastAsia="Calibri" w:hAnsi="Times New Roman" w:cs="Times New Roman"/>
          <w:lang w:eastAsia="lt-LT"/>
        </w:rPr>
        <w:t>mg sorbitolio.</w:t>
      </w:r>
    </w:p>
    <w:p w14:paraId="6F4BF026" w14:textId="61662A3D" w:rsidR="003C7E78" w:rsidRPr="003C7E78" w:rsidRDefault="003C7E78" w:rsidP="003C7E78">
      <w:pPr>
        <w:spacing w:after="0" w:line="240" w:lineRule="auto"/>
        <w:rPr>
          <w:rFonts w:ascii="Times New Roman" w:eastAsia="Calibri" w:hAnsi="Times New Roman" w:cs="Times New Roman"/>
          <w:lang w:eastAsia="lt-LT"/>
        </w:rPr>
      </w:pPr>
      <w:r w:rsidRPr="003C7E78">
        <w:rPr>
          <w:rFonts w:ascii="Times New Roman" w:eastAsia="Calibri" w:hAnsi="Times New Roman" w:cs="Times New Roman"/>
          <w:lang w:eastAsia="lt-LT"/>
        </w:rPr>
        <w:t xml:space="preserve">Reikia atsižvelgti į </w:t>
      </w:r>
      <w:r w:rsidR="00237E83">
        <w:rPr>
          <w:rFonts w:ascii="Times New Roman" w:eastAsia="Calibri" w:hAnsi="Times New Roman" w:cs="Times New Roman"/>
          <w:lang w:eastAsia="lt-LT"/>
        </w:rPr>
        <w:t>adityvų</w:t>
      </w:r>
      <w:r w:rsidRPr="003C7E78">
        <w:rPr>
          <w:rFonts w:ascii="Times New Roman" w:eastAsia="Calibri" w:hAnsi="Times New Roman" w:cs="Times New Roman"/>
          <w:lang w:eastAsia="lt-LT"/>
        </w:rPr>
        <w:t xml:space="preserve"> kartu vartojamų produktų, kurių sudėtyje yra sorbitolio (arba fruktozės), ir su maistu suvartojamo sorbitolio (arba fruktozės) poveikį.</w:t>
      </w:r>
    </w:p>
    <w:p w14:paraId="4F48DCFC" w14:textId="234E3A2A" w:rsidR="003C7E78" w:rsidRPr="00D7375B" w:rsidRDefault="00237E83" w:rsidP="003C7E78">
      <w:pPr>
        <w:spacing w:after="0" w:line="240" w:lineRule="auto"/>
        <w:rPr>
          <w:rFonts w:ascii="Times New Roman" w:eastAsia="Calibri" w:hAnsi="Times New Roman" w:cs="Times New Roman"/>
          <w:lang w:eastAsia="lt-LT"/>
        </w:rPr>
      </w:pPr>
      <w:r w:rsidRPr="00CB6599">
        <w:rPr>
          <w:rFonts w:ascii="Times New Roman" w:eastAsia="Calibri" w:hAnsi="Times New Roman" w:cs="Times New Roman"/>
          <w:lang w:eastAsia="lt-LT"/>
        </w:rPr>
        <w:t>Geriamojo vaistinio preparato sudėtyje esantis sorbitolis</w:t>
      </w:r>
      <w:r>
        <w:rPr>
          <w:rFonts w:ascii="Times New Roman" w:eastAsia="Calibri" w:hAnsi="Times New Roman" w:cs="Times New Roman"/>
          <w:lang w:eastAsia="lt-LT"/>
        </w:rPr>
        <w:t xml:space="preserve"> </w:t>
      </w:r>
      <w:r w:rsidRPr="00CB6599">
        <w:rPr>
          <w:rFonts w:ascii="Times New Roman" w:eastAsia="Calibri" w:hAnsi="Times New Roman" w:cs="Times New Roman"/>
          <w:lang w:eastAsia="lt-LT"/>
        </w:rPr>
        <w:t>gali paveikti kitų kartu vartojamų geriamųjų vaistinių</w:t>
      </w:r>
      <w:r>
        <w:rPr>
          <w:rFonts w:ascii="Times New Roman" w:eastAsia="Calibri" w:hAnsi="Times New Roman" w:cs="Times New Roman"/>
          <w:lang w:eastAsia="lt-LT"/>
        </w:rPr>
        <w:t xml:space="preserve"> </w:t>
      </w:r>
      <w:r w:rsidRPr="00CB6599">
        <w:rPr>
          <w:rFonts w:ascii="Times New Roman" w:eastAsia="Calibri" w:hAnsi="Times New Roman" w:cs="Times New Roman"/>
          <w:lang w:eastAsia="lt-LT"/>
        </w:rPr>
        <w:t>preparatų biologinį prieinamumą</w:t>
      </w:r>
      <w:r w:rsidR="003C7E78" w:rsidRPr="003C7E78">
        <w:rPr>
          <w:rFonts w:ascii="Times New Roman" w:eastAsia="Calibri" w:hAnsi="Times New Roman" w:cs="Times New Roman"/>
          <w:lang w:eastAsia="lt-LT"/>
        </w:rPr>
        <w:t>.</w:t>
      </w:r>
    </w:p>
    <w:p w14:paraId="3952A110" w14:textId="77777777" w:rsidR="007E07AA" w:rsidRPr="00D7375B" w:rsidRDefault="007E07AA" w:rsidP="007E07AA">
      <w:pPr>
        <w:spacing w:after="0" w:line="240" w:lineRule="auto"/>
        <w:rPr>
          <w:rFonts w:ascii="Times New Roman" w:eastAsia="Calibri" w:hAnsi="Times New Roman" w:cs="Times New Roman"/>
          <w:lang w:eastAsia="lt-LT"/>
        </w:rPr>
      </w:pPr>
    </w:p>
    <w:p w14:paraId="31F9C3C5"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4.5</w:t>
      </w:r>
      <w:r w:rsidRPr="00D7375B">
        <w:rPr>
          <w:rFonts w:ascii="Times New Roman" w:eastAsia="Calibri" w:hAnsi="Times New Roman" w:cs="Times New Roman"/>
          <w:b/>
          <w:lang w:eastAsia="lt-LT"/>
        </w:rPr>
        <w:tab/>
        <w:t>Sąveika su kitais vaistiniais preparatais ir kitokia sąveika</w:t>
      </w:r>
    </w:p>
    <w:p w14:paraId="55D8380E" w14:textId="77777777" w:rsidR="007E07AA" w:rsidRPr="00D7375B" w:rsidRDefault="007E07AA" w:rsidP="007E07AA">
      <w:pPr>
        <w:spacing w:after="0" w:line="240" w:lineRule="auto"/>
        <w:rPr>
          <w:rFonts w:ascii="Times New Roman" w:eastAsia="Calibri" w:hAnsi="Times New Roman" w:cs="Times New Roman"/>
          <w:lang w:eastAsia="lt-LT"/>
        </w:rPr>
      </w:pPr>
    </w:p>
    <w:p w14:paraId="62EB429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Kartu su izotretinoinu draudžiama vartoti vitamino A preparatų, kadangi galima vitamino A hipervitaminozės rizika.</w:t>
      </w:r>
    </w:p>
    <w:p w14:paraId="7667261F" w14:textId="77777777" w:rsidR="007E07AA" w:rsidRPr="00D7375B" w:rsidRDefault="007E07AA" w:rsidP="007E07AA">
      <w:pPr>
        <w:spacing w:after="0" w:line="240" w:lineRule="auto"/>
        <w:rPr>
          <w:rFonts w:ascii="Times New Roman" w:eastAsia="Calibri" w:hAnsi="Times New Roman" w:cs="Times New Roman"/>
          <w:lang w:eastAsia="lt-LT"/>
        </w:rPr>
      </w:pPr>
    </w:p>
    <w:p w14:paraId="6E2E701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Vartojant izotretinoino ir tetraciklinų, buvo gerybinės intrakranialinės hipertenzijos (tariamojo smegenų auglio) atvejų, vadinasi, kartu šių vaistinių preparatų vartoti draudžiama (žr. 4.3 ir 4.4 skyrius).</w:t>
      </w:r>
    </w:p>
    <w:p w14:paraId="068F13E0" w14:textId="77777777" w:rsidR="007E07AA" w:rsidRPr="00D7375B" w:rsidRDefault="007E07AA" w:rsidP="007E07AA">
      <w:pPr>
        <w:spacing w:after="0" w:line="240" w:lineRule="auto"/>
        <w:rPr>
          <w:rFonts w:ascii="Times New Roman" w:eastAsia="Calibri" w:hAnsi="Times New Roman" w:cs="Times New Roman"/>
          <w:lang w:eastAsia="lt-LT"/>
        </w:rPr>
      </w:pPr>
    </w:p>
    <w:p w14:paraId="39FA330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lastRenderedPageBreak/>
        <w:t>Lokalaus poveikio keratolizinių ir eksfoliacinių preparatų nuo spuogų kartu su izotretinoinu vartoti negalima, nes gali sustiprėti lokalus dirginimas (žr. 4.4 skyrių).</w:t>
      </w:r>
    </w:p>
    <w:p w14:paraId="4E850F74" w14:textId="77777777" w:rsidR="007E07AA" w:rsidRPr="00D7375B" w:rsidRDefault="007E07AA" w:rsidP="007E07AA">
      <w:pPr>
        <w:spacing w:after="0" w:line="240" w:lineRule="auto"/>
        <w:rPr>
          <w:rFonts w:ascii="Times New Roman" w:eastAsia="Calibri" w:hAnsi="Times New Roman" w:cs="Times New Roman"/>
          <w:lang w:eastAsia="lt-LT"/>
        </w:rPr>
      </w:pPr>
    </w:p>
    <w:p w14:paraId="61AEA28A" w14:textId="77777777" w:rsidR="007E07AA" w:rsidRPr="00D7375B" w:rsidRDefault="007E07AA" w:rsidP="007E07AA">
      <w:pPr>
        <w:keepNext/>
        <w:keepLines/>
        <w:numPr>
          <w:ilvl w:val="1"/>
          <w:numId w:val="1"/>
        </w:numP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Vaisingumas, nėštumo ir žindymo laikotarpis</w:t>
      </w:r>
    </w:p>
    <w:p w14:paraId="039E7A54" w14:textId="77777777" w:rsidR="007E07AA" w:rsidRPr="00D7375B" w:rsidRDefault="007E07AA" w:rsidP="007E07AA">
      <w:pPr>
        <w:keepNext/>
        <w:keepLines/>
        <w:spacing w:after="0" w:line="240" w:lineRule="auto"/>
        <w:rPr>
          <w:rFonts w:ascii="Times New Roman" w:eastAsia="Calibri" w:hAnsi="Times New Roman" w:cs="Times New Roman"/>
          <w:b/>
          <w:lang w:eastAsia="lt-LT"/>
        </w:rPr>
      </w:pPr>
    </w:p>
    <w:p w14:paraId="71C79518" w14:textId="77777777" w:rsidR="007E07AA" w:rsidRPr="00D7375B" w:rsidRDefault="007E07AA" w:rsidP="007E07AA">
      <w:pPr>
        <w:keepNext/>
        <w:keepLines/>
        <w:tabs>
          <w:tab w:val="left" w:pos="567"/>
        </w:tabs>
        <w:spacing w:after="0" w:line="240" w:lineRule="auto"/>
        <w:rPr>
          <w:rFonts w:ascii="Times New Roman" w:eastAsia="Calibri" w:hAnsi="Times New Roman" w:cs="Times New Roman"/>
          <w:u w:val="single"/>
          <w:lang w:eastAsia="lt-LT"/>
        </w:rPr>
      </w:pPr>
    </w:p>
    <w:p w14:paraId="10AFBCD9" w14:textId="77777777" w:rsidR="007E07AA" w:rsidRPr="00D7375B" w:rsidRDefault="007E07AA" w:rsidP="007E07AA">
      <w:pPr>
        <w:keepNext/>
        <w:keepLines/>
        <w:tabs>
          <w:tab w:val="left" w:pos="567"/>
        </w:tabs>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Nėštumas</w:t>
      </w:r>
    </w:p>
    <w:p w14:paraId="40EC7F83" w14:textId="77777777" w:rsidR="007E07AA" w:rsidRPr="00D7375B" w:rsidRDefault="007E07AA" w:rsidP="007E07AA">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 xml:space="preserve">Nėštumas yra </w:t>
      </w:r>
      <w:r w:rsidRPr="00D7375B">
        <w:rPr>
          <w:rFonts w:ascii="Times New Roman" w:eastAsia="Calibri" w:hAnsi="Times New Roman" w:cs="Times New Roman"/>
          <w:b/>
          <w:u w:val="single"/>
          <w:lang w:eastAsia="lt-LT"/>
        </w:rPr>
        <w:t>absoliuti</w:t>
      </w:r>
      <w:r w:rsidRPr="00D7375B">
        <w:rPr>
          <w:rFonts w:ascii="Times New Roman" w:eastAsia="Calibri" w:hAnsi="Times New Roman" w:cs="Times New Roman"/>
          <w:b/>
          <w:lang w:eastAsia="lt-LT"/>
        </w:rPr>
        <w:t xml:space="preserve"> kontraindikacija gydyti izotretinoinu (žr. 4.3 skyrių). Vaisinga moteris gydymo metu ir dar vieną mėnesį po jo turi naudoti veiksmingą kontracepciją. Jeigu moteris gydymo metu arba per mėnesį po jo pastoja, nepaisant naudotų rekomenduojamų apsaugos priemonių, yra didelė labai sunkių ir pavojingų vaisiaus sklaidos trūkumų rizika.</w:t>
      </w:r>
    </w:p>
    <w:p w14:paraId="4BE4A4A6" w14:textId="77777777" w:rsidR="007E07AA" w:rsidRPr="00D7375B" w:rsidRDefault="007E07AA" w:rsidP="007E07AA">
      <w:pPr>
        <w:spacing w:after="0" w:line="240" w:lineRule="auto"/>
        <w:rPr>
          <w:rFonts w:ascii="Times New Roman" w:eastAsia="Calibri" w:hAnsi="Times New Roman" w:cs="Times New Roman"/>
          <w:lang w:eastAsia="lt-LT"/>
        </w:rPr>
      </w:pPr>
    </w:p>
    <w:p w14:paraId="1D8D48E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Su izotretinoino poveikiu siejami vaisiaus sklaidos trūkumai yra centrinės nervų sistemos pažaida (hidrocefalija, nenormalios smegenėlės, mikrocefalija), veido deformuotumas, gomurio plyšys, išorinės ausies anomalija (nebuvimas, mažas išorinis klausos kanalas arba jo nebuvimas), akių anomalija (mikrooftalmija), širdies ir kraujagyslių anomalija (kamieno nenormalumas, pvz., Falo tetrada, stambiųjų kraujagyslių transpozicija, širdies pertvarų defektai), užkrūčio ir prieskydinių liaukų nenormalumas. Be to, gali dažniau įvykti spontaninis abortas.</w:t>
      </w:r>
    </w:p>
    <w:p w14:paraId="50327C2A" w14:textId="77777777" w:rsidR="007E07AA" w:rsidRPr="00D7375B" w:rsidRDefault="007E07AA" w:rsidP="007E07AA">
      <w:pPr>
        <w:spacing w:after="0" w:line="240" w:lineRule="auto"/>
        <w:rPr>
          <w:rFonts w:ascii="Times New Roman" w:eastAsia="Calibri" w:hAnsi="Times New Roman" w:cs="Times New Roman"/>
          <w:lang w:eastAsia="lt-LT"/>
        </w:rPr>
      </w:pPr>
    </w:p>
    <w:p w14:paraId="3BD24494"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vaistinis preparatas vartojamas nėštumo metu arba jeigu pacientė pastoja vartodama šį vaistinį preparatą, gydymą reikia nutraukti.</w:t>
      </w:r>
      <w:r w:rsidRPr="00D7375B" w:rsidDel="00825E07">
        <w:rPr>
          <w:rFonts w:ascii="Times New Roman" w:eastAsia="Calibri" w:hAnsi="Times New Roman" w:cs="Times New Roman"/>
          <w:lang w:eastAsia="lt-LT"/>
        </w:rPr>
        <w:t xml:space="preserve"> </w:t>
      </w:r>
    </w:p>
    <w:p w14:paraId="0C9DBC22" w14:textId="77777777" w:rsidR="007E07AA" w:rsidRPr="00D7375B" w:rsidRDefault="007E07AA" w:rsidP="007E07AA">
      <w:pPr>
        <w:spacing w:after="0" w:line="240" w:lineRule="auto"/>
        <w:rPr>
          <w:rFonts w:ascii="Times New Roman" w:eastAsia="Calibri" w:hAnsi="Times New Roman" w:cs="Times New Roman"/>
          <w:u w:val="single"/>
          <w:lang w:eastAsia="lt-LT"/>
        </w:rPr>
      </w:pPr>
    </w:p>
    <w:p w14:paraId="1A471A14"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Žindymas</w:t>
      </w:r>
    </w:p>
    <w:p w14:paraId="34C02DC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Izotretinoinas yra labai lipofilinis, todėl tikriausiai jo pateks į motinos pieną. Žindymo laikotarpiu Roaccutane vartoti draudžiama, kadangi per motinos pieną galimas nepageidaujamas poveikis kūdikiui (žr. 4.3 skyrių).</w:t>
      </w:r>
    </w:p>
    <w:p w14:paraId="4BAA2F0C" w14:textId="77777777" w:rsidR="007E07AA" w:rsidRPr="00D7375B" w:rsidRDefault="007E07AA" w:rsidP="007E07AA">
      <w:pPr>
        <w:spacing w:after="0" w:line="240" w:lineRule="auto"/>
        <w:rPr>
          <w:rFonts w:ascii="Times New Roman" w:eastAsia="Calibri" w:hAnsi="Times New Roman" w:cs="Times New Roman"/>
          <w:lang w:eastAsia="lt-LT"/>
        </w:rPr>
      </w:pPr>
    </w:p>
    <w:p w14:paraId="5ADBB8D3" w14:textId="77777777" w:rsidR="007E07AA" w:rsidRPr="00D7375B" w:rsidRDefault="007E07AA" w:rsidP="007E07AA">
      <w:pPr>
        <w:tabs>
          <w:tab w:val="left" w:pos="567"/>
        </w:tabs>
        <w:spacing w:after="0" w:line="260" w:lineRule="exact"/>
        <w:rPr>
          <w:rFonts w:ascii="Times New Roman" w:eastAsia="Times New Roman" w:hAnsi="Times New Roman" w:cs="Times New Roman"/>
          <w:snapToGrid w:val="0"/>
          <w:szCs w:val="24"/>
          <w:lang w:eastAsia="lt-LT"/>
        </w:rPr>
      </w:pPr>
      <w:r w:rsidRPr="00D7375B">
        <w:rPr>
          <w:rFonts w:ascii="Times New Roman" w:eastAsia="Times New Roman" w:hAnsi="Times New Roman" w:cs="Times New Roman"/>
          <w:noProof/>
          <w:snapToGrid w:val="0"/>
          <w:szCs w:val="24"/>
          <w:u w:val="single"/>
          <w:lang w:eastAsia="lt-LT"/>
        </w:rPr>
        <w:t>Vaisingumas</w:t>
      </w:r>
    </w:p>
    <w:p w14:paraId="3A4E4BD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Terapinėmis dozėmis vartojamas izotretinoinas spermatozoidų skaičiui, judrumui ir morfologijai įtakos neturi bei izotretinoino vartojančio vyro pradėto embriono formavimuisi ir vystymuisi pavojaus nekelia.</w:t>
      </w:r>
    </w:p>
    <w:p w14:paraId="68C08B76" w14:textId="77777777" w:rsidR="007E07AA" w:rsidRPr="00D7375B" w:rsidRDefault="007E07AA" w:rsidP="007E07AA">
      <w:pPr>
        <w:spacing w:after="0" w:line="240" w:lineRule="auto"/>
        <w:rPr>
          <w:rFonts w:ascii="Times New Roman" w:eastAsia="Calibri" w:hAnsi="Times New Roman" w:cs="Times New Roman"/>
          <w:b/>
          <w:lang w:eastAsia="lt-LT"/>
        </w:rPr>
      </w:pPr>
    </w:p>
    <w:p w14:paraId="3DB32095"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4.7</w:t>
      </w:r>
      <w:r w:rsidRPr="00D7375B">
        <w:rPr>
          <w:rFonts w:ascii="Times New Roman" w:eastAsia="Calibri" w:hAnsi="Times New Roman" w:cs="Times New Roman"/>
          <w:b/>
          <w:lang w:eastAsia="lt-LT"/>
        </w:rPr>
        <w:tab/>
        <w:t>Poveikis gebėjimui vairuoti ir valdyti mechanizmus</w:t>
      </w:r>
    </w:p>
    <w:p w14:paraId="1BF5D17E" w14:textId="77777777" w:rsidR="007E07AA" w:rsidRPr="00D7375B" w:rsidRDefault="007E07AA" w:rsidP="007E07AA">
      <w:pPr>
        <w:spacing w:after="0" w:line="240" w:lineRule="auto"/>
        <w:rPr>
          <w:rFonts w:ascii="Times New Roman" w:eastAsia="Calibri" w:hAnsi="Times New Roman" w:cs="Times New Roman"/>
          <w:lang w:eastAsia="lt-LT"/>
        </w:rPr>
      </w:pPr>
    </w:p>
    <w:p w14:paraId="40728EB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Roaccutane galėtų paveikti gebėjimą vairuoti ir valdyti mechanizmus.</w:t>
      </w:r>
    </w:p>
    <w:p w14:paraId="05D8CD75" w14:textId="77777777" w:rsidR="007E07AA" w:rsidRPr="00D7375B" w:rsidRDefault="007E07AA" w:rsidP="007E07AA">
      <w:pPr>
        <w:spacing w:after="0" w:line="240" w:lineRule="auto"/>
        <w:rPr>
          <w:rFonts w:ascii="Times New Roman" w:eastAsia="Calibri" w:hAnsi="Times New Roman" w:cs="Times New Roman"/>
          <w:lang w:eastAsia="lt-LT"/>
        </w:rPr>
      </w:pPr>
    </w:p>
    <w:p w14:paraId="694EBAF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Gydant izotretinoinu, buvo matymo naktį susilpnėjimo, kuris retais atvejais nepraeidavo ir po gydymo, atvejų (žr. 4.4 ir 4.8 skyrius). Kadangi kai kuriems žmonėms šis sutrikimas prasidėdavo staigiai, pacientą būtina informuoti apie jo galimybę ir įspėti, kad atsargiai vairuotų ir valdytų mechanizmus.</w:t>
      </w:r>
    </w:p>
    <w:p w14:paraId="0C67C883" w14:textId="77777777" w:rsidR="007E07AA" w:rsidRPr="00D7375B" w:rsidRDefault="007E07AA" w:rsidP="007E07AA">
      <w:pPr>
        <w:spacing w:after="0" w:line="240" w:lineRule="auto"/>
        <w:rPr>
          <w:rFonts w:ascii="Times New Roman" w:eastAsia="Calibri" w:hAnsi="Times New Roman" w:cs="Times New Roman"/>
          <w:lang w:eastAsia="lt-LT"/>
        </w:rPr>
      </w:pPr>
    </w:p>
    <w:p w14:paraId="04840C34"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Labai retai buvo pranešama apie mieguistumą, svaigulį ir regėjimo sutrikimus. Pacientus reikia įspėti, kad pajutus šiuos reiškinius jiems negalima vairuoti, valdyti mechanizmų ar dalyvauti bet kurioje kitoje veikloje, kurios metu dėl šių simptomų gali kilti pavojus jiems arba kitiems žmonėms.</w:t>
      </w:r>
    </w:p>
    <w:p w14:paraId="58D4ECB9" w14:textId="77777777" w:rsidR="007E07AA" w:rsidRPr="00D7375B" w:rsidRDefault="007E07AA" w:rsidP="007E07AA">
      <w:pPr>
        <w:spacing w:after="0" w:line="240" w:lineRule="auto"/>
        <w:rPr>
          <w:rFonts w:ascii="Times New Roman" w:eastAsia="Calibri" w:hAnsi="Times New Roman" w:cs="Times New Roman"/>
          <w:b/>
          <w:lang w:eastAsia="lt-LT"/>
        </w:rPr>
      </w:pPr>
    </w:p>
    <w:p w14:paraId="7B8A5A22"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b/>
          <w:lang w:eastAsia="lt-LT"/>
        </w:rPr>
        <w:t>4.8</w:t>
      </w:r>
      <w:r w:rsidRPr="00D7375B">
        <w:rPr>
          <w:rFonts w:ascii="Times New Roman" w:eastAsia="Calibri" w:hAnsi="Times New Roman" w:cs="Times New Roman"/>
          <w:b/>
          <w:lang w:eastAsia="lt-LT"/>
        </w:rPr>
        <w:tab/>
        <w:t>Nepageidaujamas poveikis</w:t>
      </w:r>
    </w:p>
    <w:p w14:paraId="05B0BDE5" w14:textId="77777777" w:rsidR="007E07AA" w:rsidRPr="00D7375B" w:rsidRDefault="007E07AA" w:rsidP="007E07AA">
      <w:pPr>
        <w:spacing w:after="0" w:line="240" w:lineRule="auto"/>
        <w:rPr>
          <w:rFonts w:ascii="Times New Roman" w:eastAsia="Calibri" w:hAnsi="Times New Roman" w:cs="Times New Roman"/>
          <w:lang w:eastAsia="lt-LT"/>
        </w:rPr>
      </w:pPr>
    </w:p>
    <w:p w14:paraId="6871B14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Saugumo duomenų santrauka</w:t>
      </w:r>
    </w:p>
    <w:p w14:paraId="6CAA449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Kai kurie iš nepageidaujamų simptomų, susijusių su izotretinoino vartojimu, priklauso nuo vaistinio preparato dozės dydžio. Sumažinus dozę arba nutraukus vaistinio preparato vartojimą, nepageidaujamas poveikis paprastai išnyksta, tačiau kai kurie jo simptomai gali išlikti ir po gydymo. Dažniausias nepageidaujamas izotretinoino poveikis yra gleivinės džiūvimas, pvz., lūpų (cheilitas), nosies (epistaksė), akių (konjunktyvitas) ir odos sausmė.</w:t>
      </w:r>
    </w:p>
    <w:p w14:paraId="5B1601E3" w14:textId="77777777" w:rsidR="007E07AA" w:rsidRPr="00D7375B" w:rsidRDefault="007E07AA" w:rsidP="007E07AA">
      <w:pPr>
        <w:spacing w:after="0" w:line="240" w:lineRule="auto"/>
        <w:rPr>
          <w:rFonts w:ascii="Times New Roman" w:eastAsia="Calibri" w:hAnsi="Times New Roman" w:cs="Times New Roman"/>
          <w:lang w:eastAsia="lt-LT"/>
        </w:rPr>
      </w:pPr>
    </w:p>
    <w:p w14:paraId="765341BF" w14:textId="77777777" w:rsidR="007E07AA" w:rsidRPr="00D7375B" w:rsidRDefault="007E07AA" w:rsidP="007E07AA">
      <w:pPr>
        <w:tabs>
          <w:tab w:val="left" w:pos="567"/>
        </w:tabs>
        <w:spacing w:after="0" w:line="260" w:lineRule="exact"/>
        <w:rPr>
          <w:rFonts w:ascii="Times New Roman" w:eastAsia="SimSun" w:hAnsi="Times New Roman" w:cs="Times New Roman"/>
          <w:szCs w:val="20"/>
          <w:lang w:eastAsia="zh-CN"/>
        </w:rPr>
      </w:pPr>
      <w:r w:rsidRPr="00D7375B">
        <w:rPr>
          <w:rFonts w:ascii="TimesNewRoman,Italic Baltic" w:eastAsia="SimSun" w:hAnsi="TimesNewRoman,Italic Baltic" w:cs="TimesNewRoman,Italic Baltic"/>
          <w:iCs/>
          <w:u w:val="single"/>
          <w:lang w:eastAsia="lt-LT"/>
        </w:rPr>
        <w:t>Nepageidaujamų reakcijų santrauka lentelėje</w:t>
      </w:r>
    </w:p>
    <w:p w14:paraId="730E25E2" w14:textId="77777777" w:rsidR="007E07AA" w:rsidRPr="00D7375B" w:rsidRDefault="007E07AA" w:rsidP="007E07AA">
      <w:pPr>
        <w:autoSpaceDE w:val="0"/>
        <w:spacing w:after="0" w:line="240" w:lineRule="auto"/>
        <w:contextualSpacing/>
        <w:rPr>
          <w:rFonts w:ascii="Times New Roman" w:eastAsia="SimSun" w:hAnsi="Times New Roman" w:cs="Times New Roman"/>
          <w:szCs w:val="20"/>
          <w:lang w:eastAsia="zh-CN"/>
        </w:rPr>
      </w:pPr>
      <w:r w:rsidRPr="00D7375B">
        <w:rPr>
          <w:rFonts w:ascii="Times New Roman" w:eastAsia="SimSun" w:hAnsi="Times New Roman" w:cs="Times New Roman"/>
          <w:lang w:eastAsia="zh-CN"/>
        </w:rPr>
        <w:t xml:space="preserve">Žemiau pateiktoje lentelėje išdėstytų nepageidaujamų reakcijų dažnis yra apskaičiuotas pagal klinikinių tyrimų, kuriuose dalyvavo 824 pacientai, bei poregistracinės patirties duomenis. Šios nepageidaujamos reakcijos yra išvardintos pagal MedDRA organų sistemų klases (OSK) ir dažnio </w:t>
      </w:r>
      <w:r w:rsidRPr="00D7375B">
        <w:rPr>
          <w:rFonts w:ascii="Times New Roman" w:eastAsia="SimSun" w:hAnsi="Times New Roman" w:cs="Times New Roman"/>
          <w:lang w:eastAsia="zh-CN"/>
        </w:rPr>
        <w:lastRenderedPageBreak/>
        <w:t xml:space="preserve">kategorijas. Nepageidaujamo poveikio </w:t>
      </w:r>
      <w:r w:rsidRPr="00D7375B">
        <w:rPr>
          <w:rFonts w:ascii="Times New Roman" w:eastAsia="SimSun" w:hAnsi="Times New Roman" w:cs="Times New Roman"/>
          <w:szCs w:val="20"/>
          <w:lang w:eastAsia="zh-CN"/>
        </w:rPr>
        <w:t>dažnis apibūdinamas taip: labai dažnas (≥ 1/10), dažnas (nuo ≥ 1/100 iki &lt; 1/10), nedažnas (nuo ≥ 1/1000 iki &lt; 1/100), retas (nuo ≥ 1/10000 iki &lt; 1/1000), labai retas (&lt; 1/10000) ir nežinomas (negali būti apskaičiuotas pagal turimus duomenis). Kiekvienoje dažnio grupėje ir OSK nepageidaujamos reakcijos yra išvardintos mažėjančio sunkumo tvarka.</w:t>
      </w:r>
    </w:p>
    <w:p w14:paraId="00D045B8" w14:textId="77777777" w:rsidR="007E07AA" w:rsidRPr="00D7375B" w:rsidRDefault="007E07AA" w:rsidP="007E07AA">
      <w:pPr>
        <w:spacing w:after="0" w:line="240" w:lineRule="auto"/>
        <w:rPr>
          <w:rFonts w:ascii="Times New Roman" w:eastAsia="Calibri" w:hAnsi="Times New Roman" w:cs="Times New Roman"/>
          <w:lang w:eastAsia="lt-LT"/>
        </w:rPr>
      </w:pPr>
    </w:p>
    <w:p w14:paraId="510F45A3" w14:textId="77777777" w:rsidR="007E07AA" w:rsidRPr="00D7375B" w:rsidRDefault="007E07AA" w:rsidP="007E07AA">
      <w:pP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1 lentelė. Izotretinoinu gydytiems pacientams pasireiškusių nepageidaujamų reakcijų santrauka lentelėje</w:t>
      </w:r>
    </w:p>
    <w:tbl>
      <w:tblPr>
        <w:tblW w:w="0" w:type="auto"/>
        <w:tblLook w:val="01E0" w:firstRow="1" w:lastRow="1" w:firstColumn="1" w:lastColumn="1" w:noHBand="0" w:noVBand="0"/>
      </w:tblPr>
      <w:tblGrid>
        <w:gridCol w:w="1385"/>
        <w:gridCol w:w="1551"/>
        <w:gridCol w:w="1321"/>
        <w:gridCol w:w="1484"/>
        <w:gridCol w:w="1987"/>
        <w:gridCol w:w="1332"/>
      </w:tblGrid>
      <w:tr w:rsidR="007E07AA" w:rsidRPr="00D7375B" w14:paraId="19CF37F8" w14:textId="77777777" w:rsidTr="003C7E78">
        <w:trPr>
          <w:tblHeader/>
        </w:trPr>
        <w:tc>
          <w:tcPr>
            <w:tcW w:w="1627" w:type="dxa"/>
            <w:tcBorders>
              <w:top w:val="single" w:sz="4" w:space="0" w:color="auto"/>
              <w:left w:val="single" w:sz="4" w:space="0" w:color="auto"/>
              <w:bottom w:val="single" w:sz="4" w:space="0" w:color="auto"/>
              <w:right w:val="single" w:sz="4" w:space="0" w:color="auto"/>
            </w:tcBorders>
          </w:tcPr>
          <w:p w14:paraId="51EF54FB"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Organų sistemų klasė</w:t>
            </w:r>
          </w:p>
        </w:tc>
        <w:tc>
          <w:tcPr>
            <w:tcW w:w="944" w:type="dxa"/>
            <w:tcBorders>
              <w:top w:val="single" w:sz="4" w:space="0" w:color="auto"/>
              <w:left w:val="single" w:sz="4" w:space="0" w:color="auto"/>
              <w:bottom w:val="single" w:sz="4" w:space="0" w:color="auto"/>
              <w:right w:val="single" w:sz="4" w:space="0" w:color="auto"/>
            </w:tcBorders>
          </w:tcPr>
          <w:p w14:paraId="659C138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Labai dažnas</w:t>
            </w:r>
          </w:p>
        </w:tc>
        <w:tc>
          <w:tcPr>
            <w:tcW w:w="944" w:type="dxa"/>
            <w:tcBorders>
              <w:top w:val="single" w:sz="4" w:space="0" w:color="auto"/>
              <w:left w:val="single" w:sz="4" w:space="0" w:color="auto"/>
              <w:bottom w:val="single" w:sz="4" w:space="0" w:color="auto"/>
              <w:right w:val="single" w:sz="4" w:space="0" w:color="auto"/>
            </w:tcBorders>
          </w:tcPr>
          <w:p w14:paraId="2FA5DC9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Dažnas</w:t>
            </w:r>
          </w:p>
        </w:tc>
        <w:tc>
          <w:tcPr>
            <w:tcW w:w="1860" w:type="dxa"/>
            <w:tcBorders>
              <w:top w:val="single" w:sz="4" w:space="0" w:color="auto"/>
              <w:left w:val="single" w:sz="4" w:space="0" w:color="auto"/>
              <w:bottom w:val="single" w:sz="4" w:space="0" w:color="auto"/>
              <w:right w:val="single" w:sz="4" w:space="0" w:color="auto"/>
            </w:tcBorders>
          </w:tcPr>
          <w:p w14:paraId="090B54D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Retas</w:t>
            </w:r>
          </w:p>
        </w:tc>
        <w:tc>
          <w:tcPr>
            <w:tcW w:w="2484" w:type="dxa"/>
            <w:tcBorders>
              <w:top w:val="single" w:sz="4" w:space="0" w:color="auto"/>
              <w:left w:val="single" w:sz="4" w:space="0" w:color="auto"/>
              <w:bottom w:val="single" w:sz="4" w:space="0" w:color="auto"/>
              <w:right w:val="single" w:sz="4" w:space="0" w:color="auto"/>
            </w:tcBorders>
          </w:tcPr>
          <w:p w14:paraId="12C2450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Labai retas</w:t>
            </w:r>
          </w:p>
        </w:tc>
        <w:tc>
          <w:tcPr>
            <w:tcW w:w="1427" w:type="dxa"/>
            <w:tcBorders>
              <w:top w:val="single" w:sz="4" w:space="0" w:color="auto"/>
              <w:left w:val="single" w:sz="4" w:space="0" w:color="auto"/>
              <w:bottom w:val="single" w:sz="4" w:space="0" w:color="auto"/>
              <w:right w:val="single" w:sz="4" w:space="0" w:color="auto"/>
            </w:tcBorders>
          </w:tcPr>
          <w:p w14:paraId="41DEC242"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Dažnis nežinomas*</w:t>
            </w:r>
          </w:p>
        </w:tc>
      </w:tr>
      <w:tr w:rsidR="007E07AA" w:rsidRPr="00D7375B" w14:paraId="61C89A65" w14:textId="77777777" w:rsidTr="003C7E78">
        <w:tc>
          <w:tcPr>
            <w:tcW w:w="1627" w:type="dxa"/>
            <w:tcBorders>
              <w:top w:val="single" w:sz="4" w:space="0" w:color="auto"/>
              <w:left w:val="single" w:sz="4" w:space="0" w:color="auto"/>
              <w:bottom w:val="single" w:sz="4" w:space="0" w:color="auto"/>
              <w:right w:val="single" w:sz="4" w:space="0" w:color="auto"/>
            </w:tcBorders>
          </w:tcPr>
          <w:p w14:paraId="3DA2DE57"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Infekcijos ir infestacijos</w:t>
            </w:r>
          </w:p>
        </w:tc>
        <w:tc>
          <w:tcPr>
            <w:tcW w:w="944" w:type="dxa"/>
            <w:tcBorders>
              <w:top w:val="single" w:sz="4" w:space="0" w:color="auto"/>
              <w:left w:val="single" w:sz="4" w:space="0" w:color="auto"/>
              <w:bottom w:val="single" w:sz="4" w:space="0" w:color="auto"/>
              <w:right w:val="single" w:sz="4" w:space="0" w:color="auto"/>
            </w:tcBorders>
          </w:tcPr>
          <w:p w14:paraId="2C3880C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0EB03B17"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9D7A61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10AA34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Gramteigiamų bakterijų odoje ir gleivinėje infekcija </w:t>
            </w:r>
          </w:p>
        </w:tc>
        <w:tc>
          <w:tcPr>
            <w:tcW w:w="1427" w:type="dxa"/>
            <w:tcBorders>
              <w:top w:val="single" w:sz="4" w:space="0" w:color="auto"/>
              <w:left w:val="single" w:sz="4" w:space="0" w:color="auto"/>
              <w:bottom w:val="single" w:sz="4" w:space="0" w:color="auto"/>
              <w:right w:val="single" w:sz="4" w:space="0" w:color="auto"/>
            </w:tcBorders>
          </w:tcPr>
          <w:p w14:paraId="1027CBF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6313D5C6" w14:textId="77777777" w:rsidTr="003C7E78">
        <w:tc>
          <w:tcPr>
            <w:tcW w:w="1627" w:type="dxa"/>
            <w:tcBorders>
              <w:top w:val="single" w:sz="4" w:space="0" w:color="auto"/>
              <w:left w:val="single" w:sz="4" w:space="0" w:color="auto"/>
              <w:bottom w:val="single" w:sz="4" w:space="0" w:color="auto"/>
              <w:right w:val="single" w:sz="4" w:space="0" w:color="auto"/>
            </w:tcBorders>
          </w:tcPr>
          <w:p w14:paraId="67D80DF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Kraujo ir limfinės sistemos sutrikimai</w:t>
            </w:r>
          </w:p>
        </w:tc>
        <w:tc>
          <w:tcPr>
            <w:tcW w:w="944" w:type="dxa"/>
            <w:tcBorders>
              <w:top w:val="single" w:sz="4" w:space="0" w:color="auto"/>
              <w:left w:val="single" w:sz="4" w:space="0" w:color="auto"/>
              <w:bottom w:val="single" w:sz="4" w:space="0" w:color="auto"/>
              <w:right w:val="single" w:sz="4" w:space="0" w:color="auto"/>
            </w:tcBorders>
          </w:tcPr>
          <w:p w14:paraId="669C82D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Trombocitopenija, anemija, trombocitozė, padidėjęs eritrocitų nusėdimo greitis</w:t>
            </w:r>
          </w:p>
        </w:tc>
        <w:tc>
          <w:tcPr>
            <w:tcW w:w="944" w:type="dxa"/>
            <w:tcBorders>
              <w:top w:val="single" w:sz="4" w:space="0" w:color="auto"/>
              <w:left w:val="single" w:sz="4" w:space="0" w:color="auto"/>
              <w:bottom w:val="single" w:sz="4" w:space="0" w:color="auto"/>
              <w:right w:val="single" w:sz="4" w:space="0" w:color="auto"/>
            </w:tcBorders>
          </w:tcPr>
          <w:p w14:paraId="1D5532B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Neutropenija</w:t>
            </w:r>
          </w:p>
        </w:tc>
        <w:tc>
          <w:tcPr>
            <w:tcW w:w="1860" w:type="dxa"/>
            <w:tcBorders>
              <w:top w:val="single" w:sz="4" w:space="0" w:color="auto"/>
              <w:left w:val="single" w:sz="4" w:space="0" w:color="auto"/>
              <w:bottom w:val="single" w:sz="4" w:space="0" w:color="auto"/>
              <w:right w:val="single" w:sz="4" w:space="0" w:color="auto"/>
            </w:tcBorders>
          </w:tcPr>
          <w:p w14:paraId="6887C64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3BCDD72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Limfadenopatija</w:t>
            </w:r>
          </w:p>
        </w:tc>
        <w:tc>
          <w:tcPr>
            <w:tcW w:w="1427" w:type="dxa"/>
            <w:tcBorders>
              <w:top w:val="single" w:sz="4" w:space="0" w:color="auto"/>
              <w:left w:val="single" w:sz="4" w:space="0" w:color="auto"/>
              <w:bottom w:val="single" w:sz="4" w:space="0" w:color="auto"/>
              <w:right w:val="single" w:sz="4" w:space="0" w:color="auto"/>
            </w:tcBorders>
          </w:tcPr>
          <w:p w14:paraId="62C2B7D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D8DFC84" w14:textId="77777777" w:rsidTr="003C7E78">
        <w:tc>
          <w:tcPr>
            <w:tcW w:w="1627" w:type="dxa"/>
            <w:tcBorders>
              <w:top w:val="single" w:sz="4" w:space="0" w:color="auto"/>
              <w:left w:val="single" w:sz="4" w:space="0" w:color="auto"/>
              <w:bottom w:val="single" w:sz="4" w:space="0" w:color="auto"/>
              <w:right w:val="single" w:sz="4" w:space="0" w:color="auto"/>
            </w:tcBorders>
          </w:tcPr>
          <w:p w14:paraId="0AFCF3E2"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Imuninės sistemos sutrikimai</w:t>
            </w:r>
          </w:p>
        </w:tc>
        <w:tc>
          <w:tcPr>
            <w:tcW w:w="944" w:type="dxa"/>
            <w:tcBorders>
              <w:top w:val="single" w:sz="4" w:space="0" w:color="auto"/>
              <w:left w:val="single" w:sz="4" w:space="0" w:color="auto"/>
              <w:bottom w:val="single" w:sz="4" w:space="0" w:color="auto"/>
              <w:right w:val="single" w:sz="4" w:space="0" w:color="auto"/>
            </w:tcBorders>
          </w:tcPr>
          <w:p w14:paraId="2524EE9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14E2916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52F178E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Anafilaksinės reakcijos, padidėjęs jautrumas, alerginė odos reakcija</w:t>
            </w:r>
          </w:p>
        </w:tc>
        <w:tc>
          <w:tcPr>
            <w:tcW w:w="2484" w:type="dxa"/>
            <w:tcBorders>
              <w:top w:val="single" w:sz="4" w:space="0" w:color="auto"/>
              <w:left w:val="single" w:sz="4" w:space="0" w:color="auto"/>
              <w:bottom w:val="single" w:sz="4" w:space="0" w:color="auto"/>
              <w:right w:val="single" w:sz="4" w:space="0" w:color="auto"/>
            </w:tcBorders>
          </w:tcPr>
          <w:p w14:paraId="14B9321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427" w:type="dxa"/>
            <w:tcBorders>
              <w:top w:val="single" w:sz="4" w:space="0" w:color="auto"/>
              <w:left w:val="single" w:sz="4" w:space="0" w:color="auto"/>
              <w:bottom w:val="single" w:sz="4" w:space="0" w:color="auto"/>
              <w:right w:val="single" w:sz="4" w:space="0" w:color="auto"/>
            </w:tcBorders>
          </w:tcPr>
          <w:p w14:paraId="1FC4020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11839CE6" w14:textId="77777777" w:rsidTr="003C7E78">
        <w:tc>
          <w:tcPr>
            <w:tcW w:w="1627" w:type="dxa"/>
            <w:tcBorders>
              <w:top w:val="single" w:sz="4" w:space="0" w:color="auto"/>
              <w:left w:val="single" w:sz="4" w:space="0" w:color="auto"/>
              <w:bottom w:val="single" w:sz="4" w:space="0" w:color="auto"/>
              <w:right w:val="single" w:sz="4" w:space="0" w:color="auto"/>
            </w:tcBorders>
          </w:tcPr>
          <w:p w14:paraId="0B1D1C1D"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Metabolizmo ir mitybos sutrikimai</w:t>
            </w:r>
          </w:p>
        </w:tc>
        <w:tc>
          <w:tcPr>
            <w:tcW w:w="944" w:type="dxa"/>
            <w:tcBorders>
              <w:top w:val="single" w:sz="4" w:space="0" w:color="auto"/>
              <w:left w:val="single" w:sz="4" w:space="0" w:color="auto"/>
              <w:bottom w:val="single" w:sz="4" w:space="0" w:color="auto"/>
              <w:right w:val="single" w:sz="4" w:space="0" w:color="auto"/>
            </w:tcBorders>
          </w:tcPr>
          <w:p w14:paraId="76CC34F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1317C21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17CC8C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B2FB33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Cukrinis diabetas, hiperurikemija</w:t>
            </w:r>
          </w:p>
        </w:tc>
        <w:tc>
          <w:tcPr>
            <w:tcW w:w="1427" w:type="dxa"/>
            <w:tcBorders>
              <w:top w:val="single" w:sz="4" w:space="0" w:color="auto"/>
              <w:left w:val="single" w:sz="4" w:space="0" w:color="auto"/>
              <w:bottom w:val="single" w:sz="4" w:space="0" w:color="auto"/>
              <w:right w:val="single" w:sz="4" w:space="0" w:color="auto"/>
            </w:tcBorders>
          </w:tcPr>
          <w:p w14:paraId="6FFB29E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6718CC0" w14:textId="77777777" w:rsidTr="003C7E78">
        <w:tc>
          <w:tcPr>
            <w:tcW w:w="1627" w:type="dxa"/>
            <w:tcBorders>
              <w:top w:val="single" w:sz="4" w:space="0" w:color="auto"/>
              <w:left w:val="single" w:sz="4" w:space="0" w:color="auto"/>
              <w:bottom w:val="single" w:sz="4" w:space="0" w:color="auto"/>
              <w:right w:val="single" w:sz="4" w:space="0" w:color="auto"/>
            </w:tcBorders>
          </w:tcPr>
          <w:p w14:paraId="0126E18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Psichikos sutrikimai</w:t>
            </w:r>
          </w:p>
        </w:tc>
        <w:tc>
          <w:tcPr>
            <w:tcW w:w="944" w:type="dxa"/>
            <w:tcBorders>
              <w:top w:val="single" w:sz="4" w:space="0" w:color="auto"/>
              <w:left w:val="single" w:sz="4" w:space="0" w:color="auto"/>
              <w:bottom w:val="single" w:sz="4" w:space="0" w:color="auto"/>
              <w:right w:val="single" w:sz="4" w:space="0" w:color="auto"/>
            </w:tcBorders>
          </w:tcPr>
          <w:p w14:paraId="4BA68D7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F8E32D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D41969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Depresija, depresijos pasunkėjimas, polinkis į agresiją, nerimas, nuotaikos pokyčiai</w:t>
            </w:r>
          </w:p>
        </w:tc>
        <w:tc>
          <w:tcPr>
            <w:tcW w:w="2484" w:type="dxa"/>
            <w:tcBorders>
              <w:top w:val="single" w:sz="4" w:space="0" w:color="auto"/>
              <w:left w:val="single" w:sz="4" w:space="0" w:color="auto"/>
              <w:bottom w:val="single" w:sz="4" w:space="0" w:color="auto"/>
              <w:right w:val="single" w:sz="4" w:space="0" w:color="auto"/>
            </w:tcBorders>
          </w:tcPr>
          <w:p w14:paraId="783BA81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Savižudybė, bandymas žudytis, savižudybės ideacija, psichozinis sutrikimas, nenormalus elgesys</w:t>
            </w:r>
          </w:p>
        </w:tc>
        <w:tc>
          <w:tcPr>
            <w:tcW w:w="1427" w:type="dxa"/>
            <w:tcBorders>
              <w:top w:val="single" w:sz="4" w:space="0" w:color="auto"/>
              <w:left w:val="single" w:sz="4" w:space="0" w:color="auto"/>
              <w:bottom w:val="single" w:sz="4" w:space="0" w:color="auto"/>
              <w:right w:val="single" w:sz="4" w:space="0" w:color="auto"/>
            </w:tcBorders>
          </w:tcPr>
          <w:p w14:paraId="23ACC79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71C3B543" w14:textId="77777777" w:rsidTr="003C7E78">
        <w:tc>
          <w:tcPr>
            <w:tcW w:w="1627" w:type="dxa"/>
            <w:tcBorders>
              <w:top w:val="single" w:sz="4" w:space="0" w:color="auto"/>
              <w:left w:val="single" w:sz="4" w:space="0" w:color="auto"/>
              <w:bottom w:val="single" w:sz="4" w:space="0" w:color="auto"/>
              <w:right w:val="single" w:sz="4" w:space="0" w:color="auto"/>
            </w:tcBorders>
          </w:tcPr>
          <w:p w14:paraId="3D3171A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Nervų sistemos sutrikimai</w:t>
            </w:r>
          </w:p>
        </w:tc>
        <w:tc>
          <w:tcPr>
            <w:tcW w:w="944" w:type="dxa"/>
            <w:tcBorders>
              <w:top w:val="single" w:sz="4" w:space="0" w:color="auto"/>
              <w:left w:val="single" w:sz="4" w:space="0" w:color="auto"/>
              <w:bottom w:val="single" w:sz="4" w:space="0" w:color="auto"/>
              <w:right w:val="single" w:sz="4" w:space="0" w:color="auto"/>
            </w:tcBorders>
          </w:tcPr>
          <w:p w14:paraId="2CE0D2B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8010DF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Galvos skausmas</w:t>
            </w:r>
          </w:p>
        </w:tc>
        <w:tc>
          <w:tcPr>
            <w:tcW w:w="1860" w:type="dxa"/>
            <w:tcBorders>
              <w:top w:val="single" w:sz="4" w:space="0" w:color="auto"/>
              <w:left w:val="single" w:sz="4" w:space="0" w:color="auto"/>
              <w:bottom w:val="single" w:sz="4" w:space="0" w:color="auto"/>
              <w:right w:val="single" w:sz="4" w:space="0" w:color="auto"/>
            </w:tcBorders>
          </w:tcPr>
          <w:p w14:paraId="6B81F29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34411E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Gerybinė intrakranialinė hipertenzija, konvulsijos, mieguistumas, svaigulys</w:t>
            </w:r>
          </w:p>
        </w:tc>
        <w:tc>
          <w:tcPr>
            <w:tcW w:w="1427" w:type="dxa"/>
            <w:tcBorders>
              <w:top w:val="single" w:sz="4" w:space="0" w:color="auto"/>
              <w:left w:val="single" w:sz="4" w:space="0" w:color="auto"/>
              <w:bottom w:val="single" w:sz="4" w:space="0" w:color="auto"/>
              <w:right w:val="single" w:sz="4" w:space="0" w:color="auto"/>
            </w:tcBorders>
          </w:tcPr>
          <w:p w14:paraId="156F816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5793FE5" w14:textId="77777777" w:rsidTr="003C7E78">
        <w:tc>
          <w:tcPr>
            <w:tcW w:w="1627" w:type="dxa"/>
            <w:tcBorders>
              <w:top w:val="single" w:sz="4" w:space="0" w:color="auto"/>
              <w:left w:val="single" w:sz="4" w:space="0" w:color="auto"/>
              <w:bottom w:val="single" w:sz="4" w:space="0" w:color="auto"/>
              <w:right w:val="single" w:sz="4" w:space="0" w:color="auto"/>
            </w:tcBorders>
          </w:tcPr>
          <w:p w14:paraId="7C0DC6AB"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Akių sutrikimai</w:t>
            </w:r>
          </w:p>
        </w:tc>
        <w:tc>
          <w:tcPr>
            <w:tcW w:w="944" w:type="dxa"/>
            <w:tcBorders>
              <w:top w:val="single" w:sz="4" w:space="0" w:color="auto"/>
              <w:left w:val="single" w:sz="4" w:space="0" w:color="auto"/>
              <w:bottom w:val="single" w:sz="4" w:space="0" w:color="auto"/>
              <w:right w:val="single" w:sz="4" w:space="0" w:color="auto"/>
            </w:tcBorders>
          </w:tcPr>
          <w:p w14:paraId="378B8DB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Blefaritas, konjunktyvitas, akių sausmė ir dirginimas</w:t>
            </w:r>
          </w:p>
        </w:tc>
        <w:tc>
          <w:tcPr>
            <w:tcW w:w="944" w:type="dxa"/>
            <w:tcBorders>
              <w:top w:val="single" w:sz="4" w:space="0" w:color="auto"/>
              <w:left w:val="single" w:sz="4" w:space="0" w:color="auto"/>
              <w:bottom w:val="single" w:sz="4" w:space="0" w:color="auto"/>
              <w:right w:val="single" w:sz="4" w:space="0" w:color="auto"/>
            </w:tcBorders>
          </w:tcPr>
          <w:p w14:paraId="7FC8D8E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573723C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964C3A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Regos nervo edema (gerybinės intrakranialinės hipertenzijos požymis), katarakta, aklumas spalvoms (spalvų nejutimas), kontaktinių lęšių netoleravimas, ragenos drumstis, matymo naktį susilpnėjimas, keratitas, fotofobija, regėjimo sutrikimai, daiktų matymas lyg per miglą</w:t>
            </w:r>
          </w:p>
        </w:tc>
        <w:tc>
          <w:tcPr>
            <w:tcW w:w="1427" w:type="dxa"/>
            <w:tcBorders>
              <w:top w:val="single" w:sz="4" w:space="0" w:color="auto"/>
              <w:left w:val="single" w:sz="4" w:space="0" w:color="auto"/>
              <w:bottom w:val="single" w:sz="4" w:space="0" w:color="auto"/>
              <w:right w:val="single" w:sz="4" w:space="0" w:color="auto"/>
            </w:tcBorders>
          </w:tcPr>
          <w:p w14:paraId="29B23A7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CF6CA32" w14:textId="77777777" w:rsidTr="003C7E78">
        <w:tc>
          <w:tcPr>
            <w:tcW w:w="1627" w:type="dxa"/>
            <w:tcBorders>
              <w:top w:val="single" w:sz="4" w:space="0" w:color="auto"/>
              <w:left w:val="single" w:sz="4" w:space="0" w:color="auto"/>
              <w:bottom w:val="single" w:sz="4" w:space="0" w:color="auto"/>
              <w:right w:val="single" w:sz="4" w:space="0" w:color="auto"/>
            </w:tcBorders>
          </w:tcPr>
          <w:p w14:paraId="0795002C"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Ausų ir labirintų sutrikimai</w:t>
            </w:r>
          </w:p>
        </w:tc>
        <w:tc>
          <w:tcPr>
            <w:tcW w:w="944" w:type="dxa"/>
            <w:tcBorders>
              <w:top w:val="single" w:sz="4" w:space="0" w:color="auto"/>
              <w:left w:val="single" w:sz="4" w:space="0" w:color="auto"/>
              <w:bottom w:val="single" w:sz="4" w:space="0" w:color="auto"/>
              <w:right w:val="single" w:sz="4" w:space="0" w:color="auto"/>
            </w:tcBorders>
          </w:tcPr>
          <w:p w14:paraId="7A34528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44DF362"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7D7ECC3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46E57F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Klausos sutrikimas</w:t>
            </w:r>
          </w:p>
        </w:tc>
        <w:tc>
          <w:tcPr>
            <w:tcW w:w="1427" w:type="dxa"/>
            <w:tcBorders>
              <w:top w:val="single" w:sz="4" w:space="0" w:color="auto"/>
              <w:left w:val="single" w:sz="4" w:space="0" w:color="auto"/>
              <w:bottom w:val="single" w:sz="4" w:space="0" w:color="auto"/>
              <w:right w:val="single" w:sz="4" w:space="0" w:color="auto"/>
            </w:tcBorders>
          </w:tcPr>
          <w:p w14:paraId="183178D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9A53338" w14:textId="77777777" w:rsidTr="003C7E78">
        <w:tc>
          <w:tcPr>
            <w:tcW w:w="1627" w:type="dxa"/>
            <w:tcBorders>
              <w:top w:val="single" w:sz="4" w:space="0" w:color="auto"/>
              <w:left w:val="single" w:sz="4" w:space="0" w:color="auto"/>
              <w:bottom w:val="single" w:sz="4" w:space="0" w:color="auto"/>
              <w:right w:val="single" w:sz="4" w:space="0" w:color="auto"/>
            </w:tcBorders>
          </w:tcPr>
          <w:p w14:paraId="62B7A911"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Kraujagyslių sutrikimai</w:t>
            </w:r>
          </w:p>
        </w:tc>
        <w:tc>
          <w:tcPr>
            <w:tcW w:w="944" w:type="dxa"/>
            <w:tcBorders>
              <w:top w:val="single" w:sz="4" w:space="0" w:color="auto"/>
              <w:left w:val="single" w:sz="4" w:space="0" w:color="auto"/>
              <w:bottom w:val="single" w:sz="4" w:space="0" w:color="auto"/>
              <w:right w:val="single" w:sz="4" w:space="0" w:color="auto"/>
            </w:tcBorders>
          </w:tcPr>
          <w:p w14:paraId="3ADDE74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6DFDD95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3E88D7C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22CB6F4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Vaskulitas (pvz., Wegener‘io granulomatozė, alerginis angitas)</w:t>
            </w:r>
          </w:p>
        </w:tc>
        <w:tc>
          <w:tcPr>
            <w:tcW w:w="1427" w:type="dxa"/>
            <w:tcBorders>
              <w:top w:val="single" w:sz="4" w:space="0" w:color="auto"/>
              <w:left w:val="single" w:sz="4" w:space="0" w:color="auto"/>
              <w:bottom w:val="single" w:sz="4" w:space="0" w:color="auto"/>
              <w:right w:val="single" w:sz="4" w:space="0" w:color="auto"/>
            </w:tcBorders>
          </w:tcPr>
          <w:p w14:paraId="717892D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5914DB40" w14:textId="77777777" w:rsidTr="003C7E78">
        <w:tc>
          <w:tcPr>
            <w:tcW w:w="1627" w:type="dxa"/>
            <w:tcBorders>
              <w:top w:val="single" w:sz="4" w:space="0" w:color="auto"/>
              <w:left w:val="single" w:sz="4" w:space="0" w:color="auto"/>
              <w:bottom w:val="single" w:sz="4" w:space="0" w:color="auto"/>
              <w:right w:val="single" w:sz="4" w:space="0" w:color="auto"/>
            </w:tcBorders>
          </w:tcPr>
          <w:p w14:paraId="11AAB65A"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Kvėpavimo sistemos, krūtinės ląstos ir tarpuplaučio sutrikimai</w:t>
            </w:r>
          </w:p>
        </w:tc>
        <w:tc>
          <w:tcPr>
            <w:tcW w:w="944" w:type="dxa"/>
            <w:tcBorders>
              <w:top w:val="single" w:sz="4" w:space="0" w:color="auto"/>
              <w:left w:val="single" w:sz="4" w:space="0" w:color="auto"/>
              <w:bottom w:val="single" w:sz="4" w:space="0" w:color="auto"/>
              <w:right w:val="single" w:sz="4" w:space="0" w:color="auto"/>
            </w:tcBorders>
          </w:tcPr>
          <w:p w14:paraId="5D22475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07182B6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Nazofaringitas, kraujavimas iš nosies, nosies gleivinės sausmė</w:t>
            </w:r>
          </w:p>
        </w:tc>
        <w:tc>
          <w:tcPr>
            <w:tcW w:w="1860" w:type="dxa"/>
            <w:tcBorders>
              <w:top w:val="single" w:sz="4" w:space="0" w:color="auto"/>
              <w:left w:val="single" w:sz="4" w:space="0" w:color="auto"/>
              <w:bottom w:val="single" w:sz="4" w:space="0" w:color="auto"/>
              <w:right w:val="single" w:sz="4" w:space="0" w:color="auto"/>
            </w:tcBorders>
          </w:tcPr>
          <w:p w14:paraId="4546C55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470EA002"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Bronchų spazmas (ypač bronchine astma sergantiems ligoniams), prikimimas</w:t>
            </w:r>
          </w:p>
        </w:tc>
        <w:tc>
          <w:tcPr>
            <w:tcW w:w="1427" w:type="dxa"/>
            <w:tcBorders>
              <w:top w:val="single" w:sz="4" w:space="0" w:color="auto"/>
              <w:left w:val="single" w:sz="4" w:space="0" w:color="auto"/>
              <w:bottom w:val="single" w:sz="4" w:space="0" w:color="auto"/>
              <w:right w:val="single" w:sz="4" w:space="0" w:color="auto"/>
            </w:tcBorders>
          </w:tcPr>
          <w:p w14:paraId="171D460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17DD3509" w14:textId="77777777" w:rsidTr="003C7E78">
        <w:tc>
          <w:tcPr>
            <w:tcW w:w="1627" w:type="dxa"/>
            <w:tcBorders>
              <w:top w:val="single" w:sz="4" w:space="0" w:color="auto"/>
              <w:left w:val="single" w:sz="4" w:space="0" w:color="auto"/>
              <w:bottom w:val="single" w:sz="4" w:space="0" w:color="auto"/>
              <w:right w:val="single" w:sz="4" w:space="0" w:color="auto"/>
            </w:tcBorders>
          </w:tcPr>
          <w:p w14:paraId="102C1C7D" w14:textId="77777777" w:rsidR="007E07AA" w:rsidRPr="00D7375B" w:rsidRDefault="007E07AA" w:rsidP="003C7E78">
            <w:pPr>
              <w:spacing w:after="0" w:line="240" w:lineRule="auto"/>
              <w:rPr>
                <w:rFonts w:ascii="Times New Roman" w:eastAsia="Calibri" w:hAnsi="Times New Roman" w:cs="Times New Roman"/>
                <w:b/>
                <w:sz w:val="18"/>
                <w:szCs w:val="18"/>
                <w:highlight w:val="yellow"/>
                <w:lang w:eastAsia="lt-LT"/>
              </w:rPr>
            </w:pPr>
            <w:r w:rsidRPr="00D7375B">
              <w:rPr>
                <w:rFonts w:ascii="Times New Roman" w:eastAsia="Calibri" w:hAnsi="Times New Roman" w:cs="Times New Roman"/>
                <w:b/>
                <w:sz w:val="18"/>
                <w:szCs w:val="18"/>
                <w:lang w:eastAsia="lt-LT"/>
              </w:rPr>
              <w:t>Virškinimo trakto sutrikimai</w:t>
            </w:r>
          </w:p>
        </w:tc>
        <w:tc>
          <w:tcPr>
            <w:tcW w:w="944" w:type="dxa"/>
            <w:tcBorders>
              <w:top w:val="single" w:sz="4" w:space="0" w:color="auto"/>
              <w:left w:val="single" w:sz="4" w:space="0" w:color="auto"/>
              <w:bottom w:val="single" w:sz="4" w:space="0" w:color="auto"/>
              <w:right w:val="single" w:sz="4" w:space="0" w:color="auto"/>
            </w:tcBorders>
          </w:tcPr>
          <w:p w14:paraId="074DB30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AD95E7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00AF0E7"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EC87B5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Uždegiminė žarnų liga, kolitas, ileitas, pankreatitas, kraujavimas iš </w:t>
            </w:r>
            <w:r w:rsidRPr="00D7375B">
              <w:rPr>
                <w:rFonts w:ascii="Times New Roman" w:eastAsia="Calibri" w:hAnsi="Times New Roman" w:cs="Times New Roman"/>
                <w:sz w:val="18"/>
                <w:szCs w:val="18"/>
                <w:lang w:eastAsia="lt-LT"/>
              </w:rPr>
              <w:lastRenderedPageBreak/>
              <w:t>virškinimo trakto, viduriavimas kraujingomis išmatomis, pykinimas, gerklės džiūvimas</w:t>
            </w:r>
            <w:r w:rsidRPr="00D7375B" w:rsidDel="008219E3">
              <w:rPr>
                <w:rFonts w:ascii="Times New Roman" w:eastAsia="Calibri" w:hAnsi="Times New Roman" w:cs="Times New Roman"/>
                <w:sz w:val="18"/>
                <w:szCs w:val="18"/>
                <w:lang w:eastAsia="lt-LT"/>
              </w:rPr>
              <w:t xml:space="preserve"> </w:t>
            </w:r>
            <w:r w:rsidRPr="00D7375B">
              <w:rPr>
                <w:rFonts w:ascii="Times New Roman" w:eastAsia="Calibri" w:hAnsi="Times New Roman" w:cs="Times New Roman"/>
                <w:sz w:val="18"/>
                <w:szCs w:val="18"/>
                <w:lang w:eastAsia="lt-LT"/>
              </w:rPr>
              <w:t>(žr. 4.4 skyrių)</w:t>
            </w:r>
          </w:p>
        </w:tc>
        <w:tc>
          <w:tcPr>
            <w:tcW w:w="1427" w:type="dxa"/>
            <w:tcBorders>
              <w:top w:val="single" w:sz="4" w:space="0" w:color="auto"/>
              <w:left w:val="single" w:sz="4" w:space="0" w:color="auto"/>
              <w:bottom w:val="single" w:sz="4" w:space="0" w:color="auto"/>
              <w:right w:val="single" w:sz="4" w:space="0" w:color="auto"/>
            </w:tcBorders>
          </w:tcPr>
          <w:p w14:paraId="3C2FFBD7"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264C87C" w14:textId="77777777" w:rsidTr="003C7E78">
        <w:tc>
          <w:tcPr>
            <w:tcW w:w="1627" w:type="dxa"/>
            <w:tcBorders>
              <w:top w:val="single" w:sz="4" w:space="0" w:color="auto"/>
              <w:left w:val="single" w:sz="4" w:space="0" w:color="auto"/>
              <w:bottom w:val="single" w:sz="4" w:space="0" w:color="auto"/>
              <w:right w:val="single" w:sz="4" w:space="0" w:color="auto"/>
            </w:tcBorders>
          </w:tcPr>
          <w:p w14:paraId="1C484A27"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Kepenų, tulžies pūslės ir latakų sutrikimai</w:t>
            </w:r>
          </w:p>
        </w:tc>
        <w:tc>
          <w:tcPr>
            <w:tcW w:w="944" w:type="dxa"/>
            <w:tcBorders>
              <w:top w:val="single" w:sz="4" w:space="0" w:color="auto"/>
              <w:left w:val="single" w:sz="4" w:space="0" w:color="auto"/>
              <w:bottom w:val="single" w:sz="4" w:space="0" w:color="auto"/>
              <w:right w:val="single" w:sz="4" w:space="0" w:color="auto"/>
            </w:tcBorders>
          </w:tcPr>
          <w:p w14:paraId="1C51704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Transaminazių aktyvumo padidėjimas (žr. 4.4 skyrių)</w:t>
            </w:r>
          </w:p>
        </w:tc>
        <w:tc>
          <w:tcPr>
            <w:tcW w:w="944" w:type="dxa"/>
            <w:tcBorders>
              <w:top w:val="single" w:sz="4" w:space="0" w:color="auto"/>
              <w:left w:val="single" w:sz="4" w:space="0" w:color="auto"/>
              <w:bottom w:val="single" w:sz="4" w:space="0" w:color="auto"/>
              <w:right w:val="single" w:sz="4" w:space="0" w:color="auto"/>
            </w:tcBorders>
          </w:tcPr>
          <w:p w14:paraId="7B4CC01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4A71EE9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FDB3EE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Hepatitas</w:t>
            </w:r>
          </w:p>
        </w:tc>
        <w:tc>
          <w:tcPr>
            <w:tcW w:w="1427" w:type="dxa"/>
            <w:tcBorders>
              <w:top w:val="single" w:sz="4" w:space="0" w:color="auto"/>
              <w:left w:val="single" w:sz="4" w:space="0" w:color="auto"/>
              <w:bottom w:val="single" w:sz="4" w:space="0" w:color="auto"/>
              <w:right w:val="single" w:sz="4" w:space="0" w:color="auto"/>
            </w:tcBorders>
          </w:tcPr>
          <w:p w14:paraId="6909A75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26736BEC" w14:textId="77777777" w:rsidTr="003C7E78">
        <w:tc>
          <w:tcPr>
            <w:tcW w:w="1627" w:type="dxa"/>
            <w:tcBorders>
              <w:top w:val="single" w:sz="4" w:space="0" w:color="auto"/>
              <w:left w:val="single" w:sz="4" w:space="0" w:color="auto"/>
              <w:bottom w:val="single" w:sz="4" w:space="0" w:color="auto"/>
              <w:right w:val="single" w:sz="4" w:space="0" w:color="auto"/>
            </w:tcBorders>
          </w:tcPr>
          <w:p w14:paraId="5F6C12C3" w14:textId="77777777" w:rsidR="007E07AA" w:rsidRPr="00D7375B" w:rsidRDefault="007E07AA" w:rsidP="003C7E78">
            <w:pPr>
              <w:spacing w:after="0" w:line="240" w:lineRule="auto"/>
              <w:rPr>
                <w:rFonts w:ascii="Times New Roman" w:eastAsia="Calibri" w:hAnsi="Times New Roman" w:cs="Times New Roman"/>
                <w:b/>
                <w:sz w:val="18"/>
                <w:szCs w:val="18"/>
                <w:highlight w:val="yellow"/>
                <w:lang w:eastAsia="lt-LT"/>
              </w:rPr>
            </w:pPr>
            <w:r w:rsidRPr="00D7375B">
              <w:rPr>
                <w:rFonts w:ascii="Times New Roman" w:eastAsia="Calibri" w:hAnsi="Times New Roman" w:cs="Times New Roman"/>
                <w:b/>
                <w:sz w:val="18"/>
                <w:szCs w:val="18"/>
                <w:lang w:eastAsia="lt-LT"/>
              </w:rPr>
              <w:t>Odos ir poodinio audinio sutrikimai</w:t>
            </w:r>
          </w:p>
        </w:tc>
        <w:tc>
          <w:tcPr>
            <w:tcW w:w="944" w:type="dxa"/>
            <w:tcBorders>
              <w:top w:val="single" w:sz="4" w:space="0" w:color="auto"/>
              <w:left w:val="single" w:sz="4" w:space="0" w:color="auto"/>
              <w:bottom w:val="single" w:sz="4" w:space="0" w:color="auto"/>
              <w:right w:val="single" w:sz="4" w:space="0" w:color="auto"/>
            </w:tcBorders>
          </w:tcPr>
          <w:p w14:paraId="5018BB4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Niežulys, eriteminis bėrimas, dermatitas, cheilitas, odos sausmė, lokalizuota eksfoliacija, odos trapumas (trinties traumos rizika)</w:t>
            </w:r>
          </w:p>
        </w:tc>
        <w:tc>
          <w:tcPr>
            <w:tcW w:w="944" w:type="dxa"/>
            <w:tcBorders>
              <w:top w:val="single" w:sz="4" w:space="0" w:color="auto"/>
              <w:left w:val="single" w:sz="4" w:space="0" w:color="auto"/>
              <w:bottom w:val="single" w:sz="4" w:space="0" w:color="auto"/>
              <w:right w:val="single" w:sz="4" w:space="0" w:color="auto"/>
            </w:tcBorders>
          </w:tcPr>
          <w:p w14:paraId="5FD45C1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70DECAE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Alopecija</w:t>
            </w:r>
          </w:p>
        </w:tc>
        <w:tc>
          <w:tcPr>
            <w:tcW w:w="2484" w:type="dxa"/>
            <w:tcBorders>
              <w:top w:val="single" w:sz="4" w:space="0" w:color="auto"/>
              <w:left w:val="single" w:sz="4" w:space="0" w:color="auto"/>
              <w:bottom w:val="single" w:sz="4" w:space="0" w:color="auto"/>
              <w:right w:val="single" w:sz="4" w:space="0" w:color="auto"/>
            </w:tcBorders>
          </w:tcPr>
          <w:p w14:paraId="2E1A0DB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Žaibiški spuogai, spuogų pasunkėjimas (suaktyvėjimas), veido eritema, egzantema, plaukų sutrikimas, hirsutizmas, nagų distrofija, paronichija, padidėjusio jautrumo šviesai reakcija, piogeninė granuloma, odos hiperpigmentacija, padidėjęs prakaitavimas</w:t>
            </w:r>
          </w:p>
        </w:tc>
        <w:tc>
          <w:tcPr>
            <w:tcW w:w="1427" w:type="dxa"/>
            <w:tcBorders>
              <w:top w:val="single" w:sz="4" w:space="0" w:color="auto"/>
              <w:left w:val="single" w:sz="4" w:space="0" w:color="auto"/>
              <w:bottom w:val="single" w:sz="4" w:space="0" w:color="auto"/>
              <w:right w:val="single" w:sz="4" w:space="0" w:color="auto"/>
            </w:tcBorders>
          </w:tcPr>
          <w:p w14:paraId="388D794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Daugiaformė eritema, </w:t>
            </w:r>
            <w:r w:rsidRPr="00D7375B">
              <w:rPr>
                <w:rFonts w:ascii="Times New Roman" w:eastAsia="Calibri" w:hAnsi="Times New Roman" w:cs="Times New Roman"/>
                <w:i/>
                <w:sz w:val="18"/>
                <w:szCs w:val="18"/>
                <w:lang w:eastAsia="lt-LT"/>
              </w:rPr>
              <w:t>Stevens-Johnson</w:t>
            </w:r>
            <w:r w:rsidRPr="00D7375B">
              <w:rPr>
                <w:rFonts w:ascii="Times New Roman" w:eastAsia="Calibri" w:hAnsi="Times New Roman" w:cs="Times New Roman"/>
                <w:sz w:val="18"/>
                <w:szCs w:val="18"/>
                <w:lang w:eastAsia="lt-LT"/>
              </w:rPr>
              <w:t xml:space="preserve"> sindromas, toksinė epidermio nekrolizė</w:t>
            </w:r>
          </w:p>
        </w:tc>
      </w:tr>
      <w:tr w:rsidR="007E07AA" w:rsidRPr="00D7375B" w14:paraId="72F8B9CA" w14:textId="77777777" w:rsidTr="003C7E78">
        <w:tc>
          <w:tcPr>
            <w:tcW w:w="1627" w:type="dxa"/>
            <w:tcBorders>
              <w:top w:val="single" w:sz="4" w:space="0" w:color="auto"/>
              <w:left w:val="single" w:sz="4" w:space="0" w:color="auto"/>
              <w:bottom w:val="single" w:sz="4" w:space="0" w:color="auto"/>
              <w:right w:val="single" w:sz="4" w:space="0" w:color="auto"/>
            </w:tcBorders>
          </w:tcPr>
          <w:p w14:paraId="34FFF442"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Skeleto, raumenų ir jungiamojo audinio sutrikimai</w:t>
            </w:r>
          </w:p>
        </w:tc>
        <w:tc>
          <w:tcPr>
            <w:tcW w:w="944" w:type="dxa"/>
            <w:tcBorders>
              <w:top w:val="single" w:sz="4" w:space="0" w:color="auto"/>
              <w:left w:val="single" w:sz="4" w:space="0" w:color="auto"/>
              <w:bottom w:val="single" w:sz="4" w:space="0" w:color="auto"/>
              <w:right w:val="single" w:sz="4" w:space="0" w:color="auto"/>
            </w:tcBorders>
          </w:tcPr>
          <w:p w14:paraId="5A4A524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Sąnarių skausmas, raumenų skaismas, nugaros skausmas (ypač vaikams ir paaugliams)</w:t>
            </w:r>
          </w:p>
        </w:tc>
        <w:tc>
          <w:tcPr>
            <w:tcW w:w="944" w:type="dxa"/>
            <w:tcBorders>
              <w:top w:val="single" w:sz="4" w:space="0" w:color="auto"/>
              <w:left w:val="single" w:sz="4" w:space="0" w:color="auto"/>
              <w:bottom w:val="single" w:sz="4" w:space="0" w:color="auto"/>
              <w:right w:val="single" w:sz="4" w:space="0" w:color="auto"/>
            </w:tcBorders>
          </w:tcPr>
          <w:p w14:paraId="70445B5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0972079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69A92D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Artritas, kalcinozė (raiščių ir sausgyslių kalcifikacija), priešlaikinis epifizių užakimas, egzostozė (hiperostozė), kaulų tankio sumažėjimas, tendinitas</w:t>
            </w:r>
            <w:r w:rsidRPr="00D7375B">
              <w:rPr>
                <w:rFonts w:ascii="Times New Roman" w:eastAsia="Times New Roman" w:hAnsi="Times New Roman" w:cs="Times New Roman"/>
                <w:noProof/>
                <w:color w:val="FF0000"/>
                <w:sz w:val="18"/>
                <w:szCs w:val="18"/>
                <w:lang w:eastAsia="lt-LT"/>
              </w:rPr>
              <w:t xml:space="preserve"> </w:t>
            </w:r>
          </w:p>
        </w:tc>
        <w:tc>
          <w:tcPr>
            <w:tcW w:w="1427" w:type="dxa"/>
            <w:tcBorders>
              <w:top w:val="single" w:sz="4" w:space="0" w:color="auto"/>
              <w:left w:val="single" w:sz="4" w:space="0" w:color="auto"/>
              <w:bottom w:val="single" w:sz="4" w:space="0" w:color="auto"/>
              <w:right w:val="single" w:sz="4" w:space="0" w:color="auto"/>
            </w:tcBorders>
          </w:tcPr>
          <w:p w14:paraId="2BD2565D" w14:textId="77777777" w:rsidR="007E07AA" w:rsidRDefault="007E07AA" w:rsidP="003C7E78">
            <w:pPr>
              <w:spacing w:after="0" w:line="240" w:lineRule="auto"/>
              <w:rPr>
                <w:rFonts w:ascii="Times New Roman" w:eastAsia="Times New Roman" w:hAnsi="Times New Roman" w:cs="Times New Roman"/>
                <w:noProof/>
                <w:sz w:val="18"/>
                <w:szCs w:val="18"/>
                <w:lang w:eastAsia="lt-LT"/>
              </w:rPr>
            </w:pPr>
            <w:r w:rsidRPr="00D7375B">
              <w:rPr>
                <w:rFonts w:ascii="Times New Roman" w:eastAsia="Times New Roman" w:hAnsi="Times New Roman" w:cs="Times New Roman"/>
                <w:noProof/>
                <w:sz w:val="18"/>
                <w:szCs w:val="18"/>
                <w:lang w:eastAsia="lt-LT"/>
              </w:rPr>
              <w:t>Rabdomiolizė</w:t>
            </w:r>
            <w:r w:rsidR="007118A6">
              <w:rPr>
                <w:rFonts w:ascii="Times New Roman" w:eastAsia="Times New Roman" w:hAnsi="Times New Roman" w:cs="Times New Roman"/>
                <w:noProof/>
                <w:sz w:val="18"/>
                <w:szCs w:val="18"/>
                <w:lang w:eastAsia="lt-LT"/>
              </w:rPr>
              <w:t>,</w:t>
            </w:r>
          </w:p>
          <w:p w14:paraId="2300DBB0" w14:textId="76D4F4D2" w:rsidR="007118A6" w:rsidRPr="00D7375B" w:rsidRDefault="007118A6" w:rsidP="003C7E78">
            <w:pPr>
              <w:spacing w:after="0" w:line="240" w:lineRule="auto"/>
              <w:rPr>
                <w:rFonts w:ascii="Times New Roman" w:eastAsia="Calibri" w:hAnsi="Times New Roman" w:cs="Times New Roman"/>
                <w:sz w:val="18"/>
                <w:szCs w:val="18"/>
                <w:lang w:eastAsia="lt-LT"/>
              </w:rPr>
            </w:pPr>
            <w:r>
              <w:rPr>
                <w:rFonts w:ascii="Times New Roman" w:eastAsia="Times New Roman" w:hAnsi="Times New Roman" w:cs="Times New Roman"/>
                <w:noProof/>
                <w:sz w:val="18"/>
                <w:szCs w:val="18"/>
                <w:lang w:eastAsia="lt-LT"/>
              </w:rPr>
              <w:t>sakroilitas</w:t>
            </w:r>
          </w:p>
        </w:tc>
      </w:tr>
      <w:tr w:rsidR="007E07AA" w:rsidRPr="00D7375B" w14:paraId="3D5B7BFF" w14:textId="77777777" w:rsidTr="003C7E78">
        <w:tc>
          <w:tcPr>
            <w:tcW w:w="1627" w:type="dxa"/>
            <w:tcBorders>
              <w:top w:val="single" w:sz="4" w:space="0" w:color="auto"/>
              <w:left w:val="single" w:sz="4" w:space="0" w:color="auto"/>
              <w:bottom w:val="single" w:sz="4" w:space="0" w:color="auto"/>
              <w:right w:val="single" w:sz="4" w:space="0" w:color="auto"/>
            </w:tcBorders>
          </w:tcPr>
          <w:p w14:paraId="4AFC65D4"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Inkstų ir šlapimo takų sutrikimai</w:t>
            </w:r>
          </w:p>
        </w:tc>
        <w:tc>
          <w:tcPr>
            <w:tcW w:w="944" w:type="dxa"/>
            <w:tcBorders>
              <w:top w:val="single" w:sz="4" w:space="0" w:color="auto"/>
              <w:left w:val="single" w:sz="4" w:space="0" w:color="auto"/>
              <w:bottom w:val="single" w:sz="4" w:space="0" w:color="auto"/>
              <w:right w:val="single" w:sz="4" w:space="0" w:color="auto"/>
            </w:tcBorders>
          </w:tcPr>
          <w:p w14:paraId="4FDB622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2E50B6AD"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697CDC2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616545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Glomerulonefritas</w:t>
            </w:r>
          </w:p>
        </w:tc>
        <w:tc>
          <w:tcPr>
            <w:tcW w:w="1427" w:type="dxa"/>
            <w:tcBorders>
              <w:top w:val="single" w:sz="4" w:space="0" w:color="auto"/>
              <w:left w:val="single" w:sz="4" w:space="0" w:color="auto"/>
              <w:bottom w:val="single" w:sz="4" w:space="0" w:color="auto"/>
              <w:right w:val="single" w:sz="4" w:space="0" w:color="auto"/>
            </w:tcBorders>
          </w:tcPr>
          <w:p w14:paraId="51AEE386" w14:textId="06EE11BC" w:rsidR="007E07AA" w:rsidRPr="00D7375B" w:rsidRDefault="007118A6" w:rsidP="003C7E78">
            <w:pPr>
              <w:spacing w:after="0" w:line="240" w:lineRule="auto"/>
              <w:rPr>
                <w:rFonts w:ascii="Times New Roman" w:eastAsia="Calibri" w:hAnsi="Times New Roman" w:cs="Times New Roman"/>
                <w:sz w:val="18"/>
                <w:szCs w:val="18"/>
                <w:lang w:eastAsia="lt-LT"/>
              </w:rPr>
            </w:pPr>
            <w:r>
              <w:rPr>
                <w:rFonts w:ascii="Times New Roman" w:eastAsia="Calibri" w:hAnsi="Times New Roman" w:cs="Times New Roman"/>
                <w:sz w:val="18"/>
                <w:szCs w:val="18"/>
                <w:lang w:eastAsia="lt-LT"/>
              </w:rPr>
              <w:t>Uretritas</w:t>
            </w:r>
          </w:p>
        </w:tc>
      </w:tr>
      <w:tr w:rsidR="007E07AA" w:rsidRPr="00D7375B" w14:paraId="06253D66" w14:textId="77777777" w:rsidTr="003C7E78">
        <w:tc>
          <w:tcPr>
            <w:tcW w:w="1627" w:type="dxa"/>
            <w:tcBorders>
              <w:top w:val="single" w:sz="4" w:space="0" w:color="auto"/>
              <w:left w:val="single" w:sz="4" w:space="0" w:color="auto"/>
              <w:bottom w:val="single" w:sz="4" w:space="0" w:color="auto"/>
              <w:right w:val="single" w:sz="4" w:space="0" w:color="auto"/>
            </w:tcBorders>
          </w:tcPr>
          <w:p w14:paraId="79B0CA3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Lytinės sistemos ir krūties sutrikimai</w:t>
            </w:r>
          </w:p>
        </w:tc>
        <w:tc>
          <w:tcPr>
            <w:tcW w:w="944" w:type="dxa"/>
            <w:tcBorders>
              <w:top w:val="single" w:sz="4" w:space="0" w:color="auto"/>
              <w:left w:val="single" w:sz="4" w:space="0" w:color="auto"/>
              <w:bottom w:val="single" w:sz="4" w:space="0" w:color="auto"/>
              <w:right w:val="single" w:sz="4" w:space="0" w:color="auto"/>
            </w:tcBorders>
          </w:tcPr>
          <w:p w14:paraId="0E498A8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36531C1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2D69F5D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55096EF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427" w:type="dxa"/>
            <w:tcBorders>
              <w:top w:val="single" w:sz="4" w:space="0" w:color="auto"/>
              <w:left w:val="single" w:sz="4" w:space="0" w:color="auto"/>
              <w:bottom w:val="single" w:sz="4" w:space="0" w:color="auto"/>
              <w:right w:val="single" w:sz="4" w:space="0" w:color="auto"/>
            </w:tcBorders>
          </w:tcPr>
          <w:p w14:paraId="65F280C6" w14:textId="77777777" w:rsidR="007E07AA" w:rsidRPr="008E3ED3"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Seksualinis sutrikimas, apimantis erekcijos sutrikimą ir lytinio potraukio </w:t>
            </w:r>
            <w:r w:rsidRPr="008E3ED3">
              <w:rPr>
                <w:rFonts w:ascii="Times New Roman" w:eastAsia="Calibri" w:hAnsi="Times New Roman" w:cs="Times New Roman"/>
                <w:sz w:val="18"/>
                <w:szCs w:val="18"/>
                <w:lang w:eastAsia="lt-LT"/>
              </w:rPr>
              <w:t xml:space="preserve">sumažėjimą, </w:t>
            </w:r>
          </w:p>
          <w:p w14:paraId="2343089E" w14:textId="77777777" w:rsidR="007E07AA" w:rsidRPr="008E3ED3" w:rsidRDefault="007E07AA" w:rsidP="003C7E78">
            <w:pPr>
              <w:spacing w:after="0" w:line="240" w:lineRule="auto"/>
              <w:rPr>
                <w:rFonts w:ascii="Times New Roman" w:eastAsia="Calibri" w:hAnsi="Times New Roman" w:cs="Times New Roman"/>
                <w:sz w:val="18"/>
                <w:szCs w:val="18"/>
                <w:lang w:eastAsia="lt-LT"/>
              </w:rPr>
            </w:pPr>
            <w:r w:rsidRPr="008E3ED3">
              <w:rPr>
                <w:rFonts w:ascii="Times New Roman" w:eastAsia="Calibri" w:hAnsi="Times New Roman" w:cs="Times New Roman"/>
                <w:sz w:val="18"/>
                <w:szCs w:val="18"/>
                <w:lang w:eastAsia="lt-LT"/>
              </w:rPr>
              <w:t>ginekomastija,</w:t>
            </w:r>
          </w:p>
          <w:p w14:paraId="5DAE635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8E3ED3">
              <w:rPr>
                <w:rFonts w:ascii="Times New Roman" w:hAnsi="Times New Roman"/>
                <w:sz w:val="18"/>
                <w:szCs w:val="18"/>
              </w:rPr>
              <w:t>ė vulvos ir makšties sausmė</w:t>
            </w:r>
          </w:p>
        </w:tc>
      </w:tr>
      <w:tr w:rsidR="007E07AA" w:rsidRPr="00D7375B" w14:paraId="741C77EE" w14:textId="77777777" w:rsidTr="003C7E78">
        <w:tc>
          <w:tcPr>
            <w:tcW w:w="1627" w:type="dxa"/>
            <w:tcBorders>
              <w:top w:val="single" w:sz="4" w:space="0" w:color="auto"/>
              <w:left w:val="single" w:sz="4" w:space="0" w:color="auto"/>
              <w:bottom w:val="single" w:sz="4" w:space="0" w:color="auto"/>
              <w:right w:val="single" w:sz="4" w:space="0" w:color="auto"/>
            </w:tcBorders>
          </w:tcPr>
          <w:p w14:paraId="5DB12827"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Bendrieji sutrikimai ir vartojimo vietos pažeidimai</w:t>
            </w:r>
          </w:p>
        </w:tc>
        <w:tc>
          <w:tcPr>
            <w:tcW w:w="944" w:type="dxa"/>
            <w:tcBorders>
              <w:top w:val="single" w:sz="4" w:space="0" w:color="auto"/>
              <w:left w:val="single" w:sz="4" w:space="0" w:color="auto"/>
              <w:bottom w:val="single" w:sz="4" w:space="0" w:color="auto"/>
              <w:right w:val="single" w:sz="4" w:space="0" w:color="auto"/>
            </w:tcBorders>
          </w:tcPr>
          <w:p w14:paraId="705E3F8D"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6AB8E6D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527C2E5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10B1CA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Audinių granuliacija (greitesnis formavimasis), negalavimas</w:t>
            </w:r>
          </w:p>
        </w:tc>
        <w:tc>
          <w:tcPr>
            <w:tcW w:w="1427" w:type="dxa"/>
            <w:tcBorders>
              <w:top w:val="single" w:sz="4" w:space="0" w:color="auto"/>
              <w:left w:val="single" w:sz="4" w:space="0" w:color="auto"/>
              <w:bottom w:val="single" w:sz="4" w:space="0" w:color="auto"/>
              <w:right w:val="single" w:sz="4" w:space="0" w:color="auto"/>
            </w:tcBorders>
          </w:tcPr>
          <w:p w14:paraId="2256B9A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7D3F5019" w14:textId="77777777" w:rsidTr="003C7E78">
        <w:tc>
          <w:tcPr>
            <w:tcW w:w="1627" w:type="dxa"/>
            <w:tcBorders>
              <w:top w:val="single" w:sz="4" w:space="0" w:color="auto"/>
              <w:left w:val="single" w:sz="4" w:space="0" w:color="auto"/>
              <w:bottom w:val="single" w:sz="4" w:space="0" w:color="auto"/>
              <w:right w:val="single" w:sz="4" w:space="0" w:color="auto"/>
            </w:tcBorders>
          </w:tcPr>
          <w:p w14:paraId="0331E96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 xml:space="preserve">Tyrimai </w:t>
            </w:r>
          </w:p>
        </w:tc>
        <w:tc>
          <w:tcPr>
            <w:tcW w:w="944" w:type="dxa"/>
            <w:tcBorders>
              <w:top w:val="single" w:sz="4" w:space="0" w:color="auto"/>
              <w:left w:val="single" w:sz="4" w:space="0" w:color="auto"/>
              <w:bottom w:val="single" w:sz="4" w:space="0" w:color="auto"/>
              <w:right w:val="single" w:sz="4" w:space="0" w:color="auto"/>
            </w:tcBorders>
          </w:tcPr>
          <w:p w14:paraId="2CD2C62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Trigliceridų kiekio kraujyje padidėjimas, didelio tankio lipoproteinų kiekio kraujyje sumažėjimas</w:t>
            </w:r>
          </w:p>
        </w:tc>
        <w:tc>
          <w:tcPr>
            <w:tcW w:w="944" w:type="dxa"/>
            <w:tcBorders>
              <w:top w:val="single" w:sz="4" w:space="0" w:color="auto"/>
              <w:left w:val="single" w:sz="4" w:space="0" w:color="auto"/>
              <w:bottom w:val="single" w:sz="4" w:space="0" w:color="auto"/>
              <w:right w:val="single" w:sz="4" w:space="0" w:color="auto"/>
            </w:tcBorders>
          </w:tcPr>
          <w:p w14:paraId="2D082AC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Cholesterolio ir gliukozės kiekio kraujyje padidėjimas, hematurija, proteinurija</w:t>
            </w:r>
          </w:p>
        </w:tc>
        <w:tc>
          <w:tcPr>
            <w:tcW w:w="1860" w:type="dxa"/>
            <w:tcBorders>
              <w:top w:val="single" w:sz="4" w:space="0" w:color="auto"/>
              <w:left w:val="single" w:sz="4" w:space="0" w:color="auto"/>
              <w:bottom w:val="single" w:sz="4" w:space="0" w:color="auto"/>
              <w:right w:val="single" w:sz="4" w:space="0" w:color="auto"/>
            </w:tcBorders>
          </w:tcPr>
          <w:p w14:paraId="2D5CBFC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5A36C9D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Kreatinfosfokinazės aktyvumo kraujyje padidėjimas </w:t>
            </w:r>
          </w:p>
        </w:tc>
        <w:tc>
          <w:tcPr>
            <w:tcW w:w="1427" w:type="dxa"/>
            <w:tcBorders>
              <w:top w:val="single" w:sz="4" w:space="0" w:color="auto"/>
              <w:left w:val="single" w:sz="4" w:space="0" w:color="auto"/>
              <w:bottom w:val="single" w:sz="4" w:space="0" w:color="auto"/>
              <w:right w:val="single" w:sz="4" w:space="0" w:color="auto"/>
            </w:tcBorders>
          </w:tcPr>
          <w:p w14:paraId="02EA9AB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bl>
    <w:p w14:paraId="00F0D091"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 - negali būti apskaičiuotas pagal turimus duomenis</w:t>
      </w:r>
    </w:p>
    <w:p w14:paraId="317DEA12" w14:textId="77777777" w:rsidR="007E07AA" w:rsidRPr="00D7375B" w:rsidRDefault="007E07AA" w:rsidP="007E07AA">
      <w:pPr>
        <w:spacing w:after="0" w:line="240" w:lineRule="auto"/>
        <w:rPr>
          <w:rFonts w:ascii="Times New Roman" w:eastAsia="Calibri" w:hAnsi="Times New Roman" w:cs="Times New Roman"/>
          <w:i/>
          <w:lang w:eastAsia="lt-LT"/>
        </w:rPr>
      </w:pPr>
    </w:p>
    <w:p w14:paraId="46899280" w14:textId="77777777" w:rsidR="007E07AA" w:rsidRPr="00D7375B" w:rsidRDefault="007E07AA" w:rsidP="007E07AA">
      <w:pPr>
        <w:keepNext/>
        <w:keepLines/>
        <w:tabs>
          <w:tab w:val="left" w:pos="567"/>
        </w:tabs>
        <w:autoSpaceDE w:val="0"/>
        <w:autoSpaceDN w:val="0"/>
        <w:adjustRightInd w:val="0"/>
        <w:spacing w:after="0" w:line="240" w:lineRule="auto"/>
        <w:rPr>
          <w:rFonts w:ascii="Times New Roman" w:eastAsia="Times New Roman" w:hAnsi="Times New Roman" w:cs="Times New Roman"/>
          <w:noProof/>
          <w:snapToGrid w:val="0"/>
          <w:szCs w:val="24"/>
          <w:u w:val="single"/>
          <w:lang w:eastAsia="lt-LT"/>
        </w:rPr>
      </w:pPr>
      <w:r w:rsidRPr="00D7375B">
        <w:rPr>
          <w:rFonts w:ascii="Times New Roman" w:eastAsia="Times New Roman" w:hAnsi="Times New Roman" w:cs="Times New Roman"/>
          <w:noProof/>
          <w:snapToGrid w:val="0"/>
          <w:szCs w:val="24"/>
          <w:u w:val="single"/>
          <w:lang w:eastAsia="lt-LT"/>
        </w:rPr>
        <w:lastRenderedPageBreak/>
        <w:t>Pranešimas apie įtariamas nepageidaujamas reakcijas</w:t>
      </w:r>
    </w:p>
    <w:p w14:paraId="26C6154D" w14:textId="1AECA640" w:rsidR="007E07AA" w:rsidRPr="00D7375B" w:rsidRDefault="007E07AA" w:rsidP="007E07AA">
      <w:pPr>
        <w:keepNext/>
        <w:keepLines/>
        <w:tabs>
          <w:tab w:val="left" w:pos="567"/>
        </w:tabs>
        <w:autoSpaceDE w:val="0"/>
        <w:autoSpaceDN w:val="0"/>
        <w:adjustRightInd w:val="0"/>
        <w:spacing w:after="0" w:line="240" w:lineRule="auto"/>
        <w:rPr>
          <w:rFonts w:ascii="Times New Roman" w:eastAsia="Times New Roman" w:hAnsi="Times New Roman" w:cs="Times New Roman"/>
          <w:noProof/>
          <w:snapToGrid w:val="0"/>
          <w:szCs w:val="24"/>
          <w:lang w:eastAsia="lt-LT"/>
        </w:rPr>
      </w:pPr>
      <w:r w:rsidRPr="00D7375B">
        <w:rPr>
          <w:rFonts w:ascii="Times New Roman" w:eastAsia="Times New Roman" w:hAnsi="Times New Roman" w:cs="Times New Roman"/>
          <w:noProof/>
          <w:snapToGrid w:val="0"/>
          <w:szCs w:val="24"/>
          <w:lang w:eastAsia="lt-LT"/>
        </w:rPr>
        <w:t xml:space="preserve">Svarbu pranešti apie įtariamas nepageidaujamas reakcijas, pastebėtas po vaistinio preparato registracijos, nes tai leidžia nuolat stebėti vaistinio preparato naudos ir rizikos santykį. </w:t>
      </w:r>
      <w:r w:rsidR="007E33B2" w:rsidRPr="00F12599">
        <w:rPr>
          <w:rFonts w:ascii="Times New Roman" w:eastAsia="Times New Roman" w:hAnsi="Times New Roman" w:cs="Times New Roman"/>
          <w:noProof/>
          <w:snapToGrid w:val="0"/>
          <w:szCs w:val="24"/>
          <w:lang w:eastAsia="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82BF036" w14:textId="77777777" w:rsidR="007E07AA" w:rsidRPr="00D7375B" w:rsidRDefault="007E07AA" w:rsidP="007E07AA">
      <w:pPr>
        <w:spacing w:after="0" w:line="240" w:lineRule="auto"/>
        <w:rPr>
          <w:rFonts w:ascii="Times New Roman" w:eastAsia="Calibri" w:hAnsi="Times New Roman" w:cs="Times New Roman"/>
          <w:b/>
          <w:lang w:eastAsia="lt-LT"/>
        </w:rPr>
      </w:pPr>
    </w:p>
    <w:p w14:paraId="68AAF4C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4.9</w:t>
      </w:r>
      <w:r w:rsidRPr="00D7375B">
        <w:rPr>
          <w:rFonts w:ascii="Times New Roman" w:eastAsia="Calibri" w:hAnsi="Times New Roman" w:cs="Times New Roman"/>
          <w:b/>
          <w:lang w:eastAsia="lt-LT"/>
        </w:rPr>
        <w:tab/>
        <w:t>Perdozavimas</w:t>
      </w:r>
    </w:p>
    <w:p w14:paraId="017E2442" w14:textId="77777777" w:rsidR="007E07AA" w:rsidRPr="00D7375B" w:rsidRDefault="007E07AA" w:rsidP="007E07AA">
      <w:pPr>
        <w:spacing w:after="0" w:line="240" w:lineRule="auto"/>
        <w:rPr>
          <w:rFonts w:ascii="Times New Roman" w:eastAsia="Calibri" w:hAnsi="Times New Roman" w:cs="Times New Roman"/>
          <w:lang w:eastAsia="lt-LT"/>
        </w:rPr>
      </w:pPr>
    </w:p>
    <w:p w14:paraId="5F41ABE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Izotretinoinas yra vitamino A darinys. Nors ūminis toksinis poveikis yra silpnas, tačiau vaistinio preparato perdozavus gali atsirasti vitamino A hipervitaminozės simptomų. Ūminis toksinis vitamino A poveikis pasireiškia stipriu galvos skausmu, pykinimu, vėmimu, mieguistumu, dirglumu ir niežuliu. Atsitiktinio arba tyčinio izotretinoino perdozavimo simptomai ir požymiai turėtų būti tokie patys. Manoma, jog jie yra laikini ir išnyksta negydant.</w:t>
      </w:r>
    </w:p>
    <w:p w14:paraId="756C9209" w14:textId="77777777" w:rsidR="007E07AA" w:rsidRPr="00D7375B" w:rsidRDefault="007E07AA" w:rsidP="007E07AA">
      <w:pPr>
        <w:spacing w:after="0" w:line="240" w:lineRule="auto"/>
        <w:rPr>
          <w:rFonts w:ascii="Times New Roman" w:eastAsia="Calibri" w:hAnsi="Times New Roman" w:cs="Times New Roman"/>
          <w:b/>
          <w:lang w:eastAsia="lt-LT"/>
        </w:rPr>
      </w:pPr>
    </w:p>
    <w:p w14:paraId="612B55C2" w14:textId="77777777" w:rsidR="007E07AA" w:rsidRPr="00D7375B" w:rsidRDefault="007E07AA" w:rsidP="007E07AA">
      <w:pPr>
        <w:spacing w:after="0" w:line="240" w:lineRule="auto"/>
        <w:rPr>
          <w:rFonts w:ascii="Times New Roman" w:eastAsia="Calibri" w:hAnsi="Times New Roman" w:cs="Times New Roman"/>
          <w:b/>
          <w:lang w:eastAsia="lt-LT"/>
        </w:rPr>
      </w:pPr>
    </w:p>
    <w:p w14:paraId="5685E24B"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w:t>
      </w:r>
      <w:r w:rsidRPr="00D7375B">
        <w:rPr>
          <w:rFonts w:ascii="Times New Roman" w:eastAsia="Calibri" w:hAnsi="Times New Roman" w:cs="Times New Roman"/>
          <w:b/>
          <w:lang w:eastAsia="lt-LT"/>
        </w:rPr>
        <w:tab/>
        <w:t>FARMAKOLOGINĖS SAVYBĖS</w:t>
      </w:r>
    </w:p>
    <w:p w14:paraId="694749E2"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p>
    <w:p w14:paraId="6EEA5FDB"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5.1</w:t>
      </w:r>
      <w:r w:rsidRPr="00D7375B">
        <w:rPr>
          <w:rFonts w:ascii="Times New Roman" w:eastAsia="Calibri" w:hAnsi="Times New Roman" w:cs="Times New Roman"/>
          <w:b/>
          <w:lang w:eastAsia="lt-LT"/>
        </w:rPr>
        <w:tab/>
        <w:t>Farmakodinaminės savybės</w:t>
      </w:r>
    </w:p>
    <w:p w14:paraId="306C3EF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Farmakoterapinė grupė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retinoidas spuogams gydyti, ATC kodas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D10B A01.</w:t>
      </w:r>
    </w:p>
    <w:p w14:paraId="43B81425" w14:textId="77777777" w:rsidR="007E07AA" w:rsidRPr="00D7375B" w:rsidRDefault="007E07AA" w:rsidP="007E07AA">
      <w:pPr>
        <w:spacing w:after="0" w:line="240" w:lineRule="auto"/>
        <w:rPr>
          <w:rFonts w:ascii="Times New Roman" w:eastAsia="Calibri" w:hAnsi="Times New Roman" w:cs="Times New Roman"/>
          <w:b/>
          <w:i/>
          <w:lang w:eastAsia="lt-LT"/>
        </w:rPr>
      </w:pPr>
    </w:p>
    <w:p w14:paraId="07E9B2CD"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Veikimo mechanizmas</w:t>
      </w:r>
    </w:p>
    <w:p w14:paraId="2B7D106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Izotretinoinas yra erdvinis all-</w:t>
      </w:r>
      <w:r w:rsidRPr="00D7375B">
        <w:rPr>
          <w:rFonts w:ascii="Times New Roman" w:eastAsia="Calibri" w:hAnsi="Times New Roman" w:cs="Times New Roman"/>
          <w:i/>
          <w:lang w:eastAsia="lt-LT"/>
        </w:rPr>
        <w:t>trans</w:t>
      </w:r>
      <w:r w:rsidRPr="00D7375B">
        <w:rPr>
          <w:rFonts w:ascii="Times New Roman" w:eastAsia="Calibri" w:hAnsi="Times New Roman" w:cs="Times New Roman"/>
          <w:lang w:eastAsia="lt-LT"/>
        </w:rPr>
        <w:t xml:space="preserve"> retinoinės rūgšties (tretinoino) izomeras. Tikslus izotretinoino veikimo būdas dar neištirtas, tačiau nustatyta, jog gydymo metu sunkių spuogų palengvėjimas yra susijęs su riebalų liaukų aktyvumo slopinimu ir jų dydžio sumažėjimu (pastarasis pokytis nustatytas histologiniu tyrimu). Be to, nustatytas izotretinoino priešuždegiminis poveikis odai.</w:t>
      </w:r>
    </w:p>
    <w:p w14:paraId="77EB2684" w14:textId="77777777" w:rsidR="007E07AA" w:rsidRPr="00D7375B" w:rsidRDefault="007E07AA" w:rsidP="007E07AA">
      <w:pPr>
        <w:spacing w:after="0" w:line="240" w:lineRule="auto"/>
        <w:rPr>
          <w:rFonts w:ascii="Times New Roman" w:eastAsia="Calibri" w:hAnsi="Times New Roman" w:cs="Times New Roman"/>
          <w:b/>
          <w:i/>
          <w:lang w:eastAsia="lt-LT"/>
        </w:rPr>
      </w:pPr>
    </w:p>
    <w:p w14:paraId="133193C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Klinikinis veiksmingumas ir saugumas</w:t>
      </w:r>
    </w:p>
    <w:p w14:paraId="6FFE526A"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Dėl plaukų folikulų ir riebalų liaukų epitelio ragėjimo atsilupusios suragėjusios ląstelės, keratinas ir riebalai užkemša liaukų lataką Dėl to formuojasi komedonas ir, galiausiai, prasideda uždegimas. Izotretinoinas slopina riebalų liaukos ląstelių proliferaciją ir atgaivina tvarkingą jų diferenciaciją. Riebalai yra svarbiausias </w:t>
      </w:r>
      <w:r w:rsidRPr="00D7375B">
        <w:rPr>
          <w:rFonts w:ascii="Times New Roman" w:eastAsia="Calibri" w:hAnsi="Times New Roman" w:cs="Times New Roman"/>
          <w:i/>
          <w:lang w:eastAsia="lt-LT"/>
        </w:rPr>
        <w:t>Propionibacterium acnes</w:t>
      </w:r>
      <w:r w:rsidRPr="00D7375B">
        <w:rPr>
          <w:rFonts w:ascii="Times New Roman" w:eastAsia="Calibri" w:hAnsi="Times New Roman" w:cs="Times New Roman"/>
          <w:lang w:eastAsia="lt-LT"/>
        </w:rPr>
        <w:t xml:space="preserve"> augimo substratas, todėl sumažėjus jų gamybai latake slopinama bakterijų kolonizacija.</w:t>
      </w:r>
    </w:p>
    <w:p w14:paraId="0AAC9DA7" w14:textId="77777777" w:rsidR="007E07AA" w:rsidRPr="00D7375B" w:rsidRDefault="007E07AA" w:rsidP="007E07AA">
      <w:pPr>
        <w:tabs>
          <w:tab w:val="num" w:pos="720"/>
        </w:tabs>
        <w:spacing w:after="0" w:line="240" w:lineRule="auto"/>
        <w:rPr>
          <w:rFonts w:ascii="Times New Roman" w:eastAsia="Calibri" w:hAnsi="Times New Roman" w:cs="Times New Roman"/>
          <w:b/>
          <w:lang w:eastAsia="lt-LT"/>
        </w:rPr>
      </w:pPr>
    </w:p>
    <w:p w14:paraId="1B28CDF0" w14:textId="77777777" w:rsidR="007E07AA" w:rsidRPr="00D7375B" w:rsidRDefault="007E07AA" w:rsidP="007E07AA">
      <w:pPr>
        <w:tabs>
          <w:tab w:val="num" w:pos="567"/>
          <w:tab w:val="num" w:pos="720"/>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5.2</w:t>
      </w:r>
      <w:r w:rsidRPr="00D7375B">
        <w:rPr>
          <w:rFonts w:ascii="Times New Roman" w:eastAsia="Calibri" w:hAnsi="Times New Roman" w:cs="Times New Roman"/>
          <w:b/>
          <w:lang w:eastAsia="lt-LT"/>
        </w:rPr>
        <w:tab/>
        <w:t>Farmakokinetinės savybės</w:t>
      </w:r>
    </w:p>
    <w:p w14:paraId="0771217E" w14:textId="77777777" w:rsidR="007E07AA" w:rsidRPr="00D7375B" w:rsidRDefault="007E07AA" w:rsidP="007E07AA">
      <w:pPr>
        <w:spacing w:after="0" w:line="240" w:lineRule="auto"/>
        <w:rPr>
          <w:rFonts w:ascii="Times New Roman" w:eastAsia="Calibri" w:hAnsi="Times New Roman" w:cs="Times New Roman"/>
          <w:b/>
          <w:i/>
          <w:lang w:eastAsia="lt-LT"/>
        </w:rPr>
      </w:pPr>
    </w:p>
    <w:p w14:paraId="1A1EA62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Absorbcija</w:t>
      </w:r>
    </w:p>
    <w:p w14:paraId="24DA108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Izotretinoino absorbcija virškinimo trakte yra nepastovi. Esant terapinėms dozėms absorbcijos priklausomumas nuo dozės dydžio yra tiesinis. Absoliutus biologinis vaistinio preparato prieinamumas nenustatytas, kadangi žmogui į veną leidžiamų vaistinių preparatų nėra, bet tyrimai su šunimis leidžia manyti, kad į sisteminę kraujotaką patenka nevienodas ir gana mažas jo kiekis. Valgio metu pavartoto izotretinoino biologinis prieinamumas yra du kartus didesnis negu išgerto nevalgius.</w:t>
      </w:r>
    </w:p>
    <w:p w14:paraId="5CB8A80A" w14:textId="77777777" w:rsidR="007E07AA" w:rsidRPr="00D7375B" w:rsidRDefault="007E07AA" w:rsidP="007E07AA">
      <w:pPr>
        <w:spacing w:after="0" w:line="240" w:lineRule="auto"/>
        <w:rPr>
          <w:rFonts w:ascii="Times New Roman" w:eastAsia="Calibri" w:hAnsi="Times New Roman" w:cs="Times New Roman"/>
          <w:b/>
          <w:i/>
          <w:lang w:eastAsia="lt-LT"/>
        </w:rPr>
      </w:pPr>
    </w:p>
    <w:p w14:paraId="33136CCA"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Pasiskirstymas</w:t>
      </w:r>
    </w:p>
    <w:p w14:paraId="0B413D1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99,9 </w:t>
      </w:r>
      <w:r w:rsidRPr="00D7375B">
        <w:rPr>
          <w:rFonts w:ascii="Times New Roman" w:eastAsia="Calibri" w:hAnsi="Times New Roman" w:cs="Times New Roman"/>
          <w:lang w:eastAsia="lt-LT"/>
        </w:rPr>
        <w:sym w:font="Symbol" w:char="0025"/>
      </w:r>
      <w:r w:rsidRPr="00D7375B">
        <w:rPr>
          <w:rFonts w:ascii="Times New Roman" w:eastAsia="Calibri" w:hAnsi="Times New Roman" w:cs="Times New Roman"/>
          <w:lang w:eastAsia="lt-LT"/>
        </w:rPr>
        <w:t xml:space="preserve"> kraujyje esančio izotretinoino prisijungia prie plazmos baltymų, daugiausiai albuminų. Žmogaus organizme vaistinio preparato pasiskirstymo tūris nenustatytas, kadangi nėra žmogui į veną leidžiamo vaistinio preparato. Apie izotretinoino pasiskirstymą žmogaus audiniuose informacijos yra mažai. Epidermyje jo koncentracija būna perpus mažesnė už esančią kraujo serume. Kraujo plazmoje izotretinoino koncentracija būna maždaug 1,7 karto didesnė už esančią visame kraujyje, kadangi medikamentas sunkiai prasiskverbia į eritrocitus.</w:t>
      </w:r>
    </w:p>
    <w:p w14:paraId="60D1DF5E" w14:textId="77777777" w:rsidR="007E07AA" w:rsidRPr="00D7375B" w:rsidRDefault="007E07AA" w:rsidP="007E07AA">
      <w:pPr>
        <w:spacing w:after="0" w:line="240" w:lineRule="auto"/>
        <w:rPr>
          <w:rFonts w:ascii="Times New Roman" w:eastAsia="Calibri" w:hAnsi="Times New Roman" w:cs="Times New Roman"/>
          <w:b/>
          <w:i/>
          <w:lang w:eastAsia="lt-LT"/>
        </w:rPr>
      </w:pPr>
    </w:p>
    <w:p w14:paraId="6E72F994"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Biotransformacija</w:t>
      </w:r>
    </w:p>
    <w:p w14:paraId="4BDD9A3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Išgėrus izotretinoino, kraujo plazmoje nustatyti 3 svarbiausi metabolitai: 4-oksoizotretinoinas, tretinoinas (all-</w:t>
      </w:r>
      <w:r w:rsidRPr="00D7375B">
        <w:rPr>
          <w:rFonts w:ascii="Times New Roman" w:eastAsia="Calibri" w:hAnsi="Times New Roman" w:cs="Times New Roman"/>
          <w:i/>
          <w:lang w:eastAsia="lt-LT"/>
        </w:rPr>
        <w:t>trans</w:t>
      </w:r>
      <w:r w:rsidRPr="00D7375B">
        <w:rPr>
          <w:rFonts w:ascii="Times New Roman" w:eastAsia="Calibri" w:hAnsi="Times New Roman" w:cs="Times New Roman"/>
          <w:lang w:eastAsia="lt-LT"/>
        </w:rPr>
        <w:t xml:space="preserve"> tretinoinė rūgštis) ir 4-oksotretinoinas. Kelių testų </w:t>
      </w:r>
      <w:r w:rsidRPr="00D7375B">
        <w:rPr>
          <w:rFonts w:ascii="Times New Roman" w:eastAsia="Calibri" w:hAnsi="Times New Roman" w:cs="Times New Roman"/>
          <w:i/>
          <w:lang w:eastAsia="lt-LT"/>
        </w:rPr>
        <w:t xml:space="preserve">in vitro </w:t>
      </w:r>
      <w:r w:rsidRPr="00D7375B">
        <w:rPr>
          <w:rFonts w:ascii="Times New Roman" w:eastAsia="Calibri" w:hAnsi="Times New Roman" w:cs="Times New Roman"/>
          <w:lang w:eastAsia="lt-LT"/>
        </w:rPr>
        <w:t xml:space="preserve">metu šie metabolitai buvo biologiškai aktyvūs. Klinikiniu tyrimu įrodyta, jog 4-oksoizotretinoinas reikšmingai prisideda prie izotretinoino aktyvumo (riebalų išsiskyrimas lėtėja nepaisant, kad poveikio izotretinoino ir tretinoino kiekiui kraujo plazmoje nėra). Kiti mažiau svarbūs metabolitai yra poriniai junginiai su </w:t>
      </w:r>
      <w:r w:rsidRPr="00D7375B">
        <w:rPr>
          <w:rFonts w:ascii="Times New Roman" w:eastAsia="Calibri" w:hAnsi="Times New Roman" w:cs="Times New Roman"/>
          <w:lang w:eastAsia="lt-LT"/>
        </w:rPr>
        <w:lastRenderedPageBreak/>
        <w:t>gliukurono rūgštimi. Pusiausvyrinės koncentracijos metu svarbiausio metabolito 4-oksoizotretinoino koncentracija kraujo plazmoje būna 2,5 karto didesnė negu pirminio junginio izotretinoino.</w:t>
      </w:r>
    </w:p>
    <w:p w14:paraId="0F71850D" w14:textId="77777777" w:rsidR="007E07AA" w:rsidRPr="00D7375B" w:rsidRDefault="007E07AA" w:rsidP="007E07AA">
      <w:pPr>
        <w:spacing w:after="0" w:line="240" w:lineRule="auto"/>
        <w:rPr>
          <w:rFonts w:ascii="Times New Roman" w:eastAsia="Calibri" w:hAnsi="Times New Roman" w:cs="Times New Roman"/>
          <w:lang w:eastAsia="lt-LT"/>
        </w:rPr>
      </w:pPr>
    </w:p>
    <w:p w14:paraId="1109F42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Metabolitai izotretinoinas ir tretinoinas (all-</w:t>
      </w:r>
      <w:r w:rsidRPr="00D7375B">
        <w:rPr>
          <w:rFonts w:ascii="Times New Roman" w:eastAsia="Calibri" w:hAnsi="Times New Roman" w:cs="Times New Roman"/>
          <w:i/>
          <w:lang w:eastAsia="lt-LT"/>
        </w:rPr>
        <w:t>trans</w:t>
      </w:r>
      <w:r w:rsidRPr="00D7375B">
        <w:rPr>
          <w:rFonts w:ascii="Times New Roman" w:eastAsia="Calibri" w:hAnsi="Times New Roman" w:cs="Times New Roman"/>
          <w:lang w:eastAsia="lt-LT"/>
        </w:rPr>
        <w:t xml:space="preserve"> retinoinė rūgštis) gali virsti vienas kitu ir tretinoino bei izotretinoino metabolizmas yra susiję. Nustatyta, jog 20 – 30 </w:t>
      </w:r>
      <w:r w:rsidRPr="00D7375B">
        <w:rPr>
          <w:rFonts w:ascii="Times New Roman" w:eastAsia="Calibri" w:hAnsi="Times New Roman" w:cs="Times New Roman"/>
          <w:lang w:eastAsia="lt-LT"/>
        </w:rPr>
        <w:sym w:font="Symbol" w:char="0025"/>
      </w:r>
      <w:r w:rsidRPr="00D7375B">
        <w:rPr>
          <w:rFonts w:ascii="Times New Roman" w:eastAsia="Calibri" w:hAnsi="Times New Roman" w:cs="Times New Roman"/>
          <w:lang w:eastAsia="lt-LT"/>
        </w:rPr>
        <w:t xml:space="preserve"> izotretinoino dozės metabolizuojama izomerizacijos būdu.</w:t>
      </w:r>
    </w:p>
    <w:p w14:paraId="45E75680" w14:textId="77777777" w:rsidR="007E07AA" w:rsidRPr="00D7375B" w:rsidRDefault="007E07AA" w:rsidP="007E07AA">
      <w:pPr>
        <w:spacing w:after="0" w:line="240" w:lineRule="auto"/>
        <w:rPr>
          <w:rFonts w:ascii="Times New Roman" w:eastAsia="Calibri" w:hAnsi="Times New Roman" w:cs="Times New Roman"/>
          <w:lang w:eastAsia="lt-LT"/>
        </w:rPr>
      </w:pPr>
    </w:p>
    <w:p w14:paraId="56EE556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Žmogaus organizme izotretinoino farmakokinetikai gali būti svarbi enterohepatinė apytaka. Tyrimais </w:t>
      </w:r>
      <w:r w:rsidRPr="00D7375B">
        <w:rPr>
          <w:rFonts w:ascii="Times New Roman" w:eastAsia="Calibri" w:hAnsi="Times New Roman" w:cs="Times New Roman"/>
          <w:i/>
          <w:lang w:eastAsia="lt-LT"/>
        </w:rPr>
        <w:t xml:space="preserve">in vitro </w:t>
      </w:r>
      <w:r w:rsidRPr="00D7375B">
        <w:rPr>
          <w:rFonts w:ascii="Times New Roman" w:eastAsia="Calibri" w:hAnsi="Times New Roman" w:cs="Times New Roman"/>
          <w:lang w:eastAsia="lt-LT"/>
        </w:rPr>
        <w:t>nustatyta, kad izotretinoinas į 4-oksoizotretinoiną ir tretinoiną metabolizuojamas veikiant keliems CYP fermentams. Visi jie yra vienodai svarbūs. Izotretinoinas ir jo metabolitai reikšmingos įtakos CYP fermentų aktyvumui nedaro.</w:t>
      </w:r>
    </w:p>
    <w:p w14:paraId="104F0F49" w14:textId="77777777" w:rsidR="007E07AA" w:rsidRPr="00D7375B" w:rsidRDefault="007E07AA" w:rsidP="007E07AA">
      <w:pPr>
        <w:spacing w:after="0" w:line="240" w:lineRule="auto"/>
        <w:rPr>
          <w:rFonts w:ascii="Times New Roman" w:eastAsia="Calibri" w:hAnsi="Times New Roman" w:cs="Times New Roman"/>
          <w:b/>
          <w:i/>
          <w:lang w:eastAsia="lt-LT"/>
        </w:rPr>
      </w:pPr>
    </w:p>
    <w:p w14:paraId="440A2635"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Eliminacija</w:t>
      </w:r>
    </w:p>
    <w:p w14:paraId="54688C0E"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Maždaug vienodas kiekis išgertos radioaktyviaisiais izotopais žymėtos izotretinoino dozės išsiskyrė su šlapimu ir išmatomis. Išgėrus izotretinoino, nepakitusio izotretinoino galutinės pusinės eliminacijos periodas spuogais sergančių žmonių organizme buvo 19 valandų, 4-oksoizotretinoino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ilgesnis, t. y., vidutiniškai 29 valandos.</w:t>
      </w:r>
    </w:p>
    <w:p w14:paraId="49D1D5E5" w14:textId="77777777" w:rsidR="007E07AA" w:rsidRPr="00D7375B" w:rsidRDefault="007E07AA" w:rsidP="007E07AA">
      <w:pPr>
        <w:spacing w:after="0" w:line="240" w:lineRule="auto"/>
        <w:rPr>
          <w:rFonts w:ascii="Times New Roman" w:eastAsia="Calibri" w:hAnsi="Times New Roman" w:cs="Times New Roman"/>
          <w:lang w:eastAsia="lt-LT"/>
        </w:rPr>
      </w:pPr>
    </w:p>
    <w:p w14:paraId="12077FB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Izotretinoinas yra fiziologinis retinoidas. Baigus juo gydyti, endogeninių retinoidų kiekis sunormalėja maždaug per 2 savaites.</w:t>
      </w:r>
    </w:p>
    <w:p w14:paraId="44BC75CA" w14:textId="77777777" w:rsidR="007E07AA" w:rsidRPr="00D7375B" w:rsidRDefault="007E07AA" w:rsidP="007E07AA">
      <w:pPr>
        <w:spacing w:after="0" w:line="240" w:lineRule="auto"/>
        <w:rPr>
          <w:rFonts w:ascii="Times New Roman" w:eastAsia="Calibri" w:hAnsi="Times New Roman" w:cs="Times New Roman"/>
          <w:b/>
          <w:i/>
          <w:lang w:eastAsia="lt-LT"/>
        </w:rPr>
      </w:pPr>
    </w:p>
    <w:p w14:paraId="0CFF9117"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Sutrikusi kepenų funkcija</w:t>
      </w:r>
    </w:p>
    <w:p w14:paraId="436DD68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Apie izotretinoino farmakokinetiką žmonių, kurių kepenų funkcija sutrikusi, organizme duomenų yra mažai, kadangi tokiems pacientams šio vaistinio preparato vartoti draudžiama.</w:t>
      </w:r>
    </w:p>
    <w:p w14:paraId="67CAE0B6" w14:textId="77777777" w:rsidR="007E07AA" w:rsidRPr="00D7375B" w:rsidRDefault="007E07AA" w:rsidP="007E07AA">
      <w:pPr>
        <w:spacing w:after="0" w:line="240" w:lineRule="auto"/>
        <w:rPr>
          <w:rFonts w:ascii="Times New Roman" w:eastAsia="Calibri" w:hAnsi="Times New Roman" w:cs="Times New Roman"/>
          <w:lang w:eastAsia="lt-LT"/>
        </w:rPr>
      </w:pPr>
    </w:p>
    <w:p w14:paraId="6D1B9BC1"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Sutrikusi inkstų funkcija</w:t>
      </w:r>
    </w:p>
    <w:p w14:paraId="57331BB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Inkstų nepakankamumas izotretinoino ir 4-oksoizotretinoino kraujo plazmos klirenso pastebimai nemažina.</w:t>
      </w:r>
    </w:p>
    <w:p w14:paraId="5EBA5ABF" w14:textId="77777777" w:rsidR="007E07AA" w:rsidRPr="00D7375B" w:rsidRDefault="007E07AA" w:rsidP="007E07AA">
      <w:pPr>
        <w:spacing w:after="0" w:line="240" w:lineRule="auto"/>
        <w:rPr>
          <w:rFonts w:ascii="Times New Roman" w:eastAsia="Calibri" w:hAnsi="Times New Roman" w:cs="Times New Roman"/>
          <w:b/>
          <w:lang w:eastAsia="lt-LT"/>
        </w:rPr>
      </w:pPr>
    </w:p>
    <w:p w14:paraId="2E383E7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5.3</w:t>
      </w:r>
      <w:r w:rsidRPr="00D7375B">
        <w:rPr>
          <w:rFonts w:ascii="Times New Roman" w:eastAsia="Calibri" w:hAnsi="Times New Roman" w:cs="Times New Roman"/>
          <w:b/>
          <w:lang w:eastAsia="lt-LT"/>
        </w:rPr>
        <w:tab/>
        <w:t>Ikiklinikinių saugumo tyrimų duomenys</w:t>
      </w:r>
    </w:p>
    <w:p w14:paraId="3EC1E081" w14:textId="77777777" w:rsidR="007E07AA" w:rsidRPr="00D7375B" w:rsidRDefault="007E07AA" w:rsidP="007E07AA">
      <w:pPr>
        <w:spacing w:after="0" w:line="240" w:lineRule="auto"/>
        <w:rPr>
          <w:rFonts w:ascii="Times New Roman" w:eastAsia="Calibri" w:hAnsi="Times New Roman" w:cs="Times New Roman"/>
          <w:b/>
          <w:i/>
          <w:lang w:eastAsia="lt-LT"/>
        </w:rPr>
      </w:pPr>
    </w:p>
    <w:p w14:paraId="2ECE9D51"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Ūminis toksinis poveikis</w:t>
      </w:r>
    </w:p>
    <w:p w14:paraId="4775E7D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Ūminis toksinis enteriniu būdu pavartoto izotretinoino poveikis nustatinėtas tyrimais su įvairių rūšių gyvūnais. Triušiams LD50 yra maždaug 2000 mg/kg kūno svorio, pelėms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apie 3000 mg/kg kūno svorio, žiurkėms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didesnė negu 4000 mg/kg kūno svorio.</w:t>
      </w:r>
    </w:p>
    <w:p w14:paraId="114C24E2" w14:textId="77777777" w:rsidR="007E07AA" w:rsidRPr="00D7375B" w:rsidRDefault="007E07AA" w:rsidP="007E07AA">
      <w:pPr>
        <w:spacing w:after="0" w:line="240" w:lineRule="auto"/>
        <w:rPr>
          <w:rFonts w:ascii="Times New Roman" w:eastAsia="Calibri" w:hAnsi="Times New Roman" w:cs="Times New Roman"/>
          <w:b/>
          <w:i/>
          <w:lang w:eastAsia="lt-LT"/>
        </w:rPr>
      </w:pPr>
    </w:p>
    <w:p w14:paraId="312FBCA8"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Lėtinis toksinis poveikis</w:t>
      </w:r>
    </w:p>
    <w:p w14:paraId="0F65489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Tyrimu, kurio metu žiurkėms ilgiau negu 2 metus duota po 2,8 mg/kg kūno svorio arba 32 mg/kg kūno svorio paros dozė, nustatyta, jog didesnioji dozė sukėlė dalinį plikimą, padidino trigliceridų kiekį kraujo plazmoje. Graužikams pasireiškęs nepageidaujamas izotretinoino poveikis buvo labai panašus į sukeliamą vitamino A, tačiau šio vitamino sukeliamos didelės audinių ir organų kalcifikacijos žiurkėms nepastebėta, kepenų ląstelių pokyčių neatsirado.</w:t>
      </w:r>
    </w:p>
    <w:p w14:paraId="3B9F3867" w14:textId="77777777" w:rsidR="007E07AA" w:rsidRPr="00D7375B" w:rsidRDefault="007E07AA" w:rsidP="007E07AA">
      <w:pPr>
        <w:spacing w:after="0" w:line="240" w:lineRule="auto"/>
        <w:rPr>
          <w:rFonts w:ascii="Times New Roman" w:eastAsia="Calibri" w:hAnsi="Times New Roman" w:cs="Times New Roman"/>
          <w:lang w:eastAsia="lt-LT"/>
        </w:rPr>
      </w:pPr>
    </w:p>
    <w:p w14:paraId="664395F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Nustojus duoti izotretinoino, visi vitamino A hipervitaminozės sindromui būdingi pokyčiai išnyko savaime. Net tie gyvūnai, kurių būklė buvo sunkoka, beveik pasveiko per 1 – 2 savaites.</w:t>
      </w:r>
    </w:p>
    <w:p w14:paraId="49DC262D" w14:textId="77777777" w:rsidR="007E07AA" w:rsidRPr="00D7375B" w:rsidRDefault="007E07AA" w:rsidP="007E07AA">
      <w:pPr>
        <w:spacing w:after="0" w:line="240" w:lineRule="auto"/>
        <w:rPr>
          <w:rFonts w:ascii="Times New Roman" w:eastAsia="Calibri" w:hAnsi="Times New Roman" w:cs="Times New Roman"/>
          <w:b/>
          <w:i/>
          <w:lang w:eastAsia="lt-LT"/>
        </w:rPr>
      </w:pPr>
    </w:p>
    <w:p w14:paraId="1DB16E35"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Teratogeninis poveikis</w:t>
      </w:r>
    </w:p>
    <w:p w14:paraId="3ADDA34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Tyrimų metu izotretinoinas, kaip ir kiti vitamino A dariniai, gyvūnams sukėlė embriotoksinį ir teratogeninį poveikį.</w:t>
      </w:r>
    </w:p>
    <w:p w14:paraId="63CD7ADC" w14:textId="77777777" w:rsidR="007E07AA" w:rsidRPr="00D7375B" w:rsidRDefault="007E07AA" w:rsidP="007E07AA">
      <w:pPr>
        <w:spacing w:after="0" w:line="240" w:lineRule="auto"/>
        <w:rPr>
          <w:rFonts w:ascii="Times New Roman" w:eastAsia="Calibri" w:hAnsi="Times New Roman" w:cs="Times New Roman"/>
          <w:lang w:eastAsia="lt-LT"/>
        </w:rPr>
      </w:pPr>
    </w:p>
    <w:p w14:paraId="5CEF403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Dėl galimo teratogeninio poveikio, vaisingo amžiaus moteris izotretinoinu galima gydyti tik tam tikromis sąlygomis (žr. 4.3, 4.4 ir 4.6 skyrius).</w:t>
      </w:r>
    </w:p>
    <w:p w14:paraId="6180105E" w14:textId="77777777" w:rsidR="007E07AA" w:rsidRPr="00D7375B" w:rsidRDefault="007E07AA" w:rsidP="007E07AA">
      <w:pPr>
        <w:spacing w:after="0" w:line="240" w:lineRule="auto"/>
        <w:rPr>
          <w:rFonts w:ascii="Times New Roman" w:eastAsia="Calibri" w:hAnsi="Times New Roman" w:cs="Times New Roman"/>
          <w:b/>
          <w:i/>
          <w:lang w:eastAsia="lt-LT"/>
        </w:rPr>
      </w:pPr>
    </w:p>
    <w:p w14:paraId="0900C66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Mutageninis poveikis</w:t>
      </w:r>
    </w:p>
    <w:p w14:paraId="7DC9537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Tyrimų </w:t>
      </w:r>
      <w:r w:rsidRPr="00D7375B">
        <w:rPr>
          <w:rFonts w:ascii="Times New Roman" w:eastAsia="Calibri" w:hAnsi="Times New Roman" w:cs="Times New Roman"/>
          <w:i/>
          <w:lang w:eastAsia="lt-LT"/>
        </w:rPr>
        <w:t>in vivo</w:t>
      </w:r>
      <w:r w:rsidRPr="00D7375B">
        <w:rPr>
          <w:rFonts w:ascii="Times New Roman" w:eastAsia="Calibri" w:hAnsi="Times New Roman" w:cs="Times New Roman"/>
          <w:lang w:eastAsia="lt-LT"/>
        </w:rPr>
        <w:t xml:space="preserve"> ir </w:t>
      </w:r>
      <w:r w:rsidRPr="00D7375B">
        <w:rPr>
          <w:rFonts w:ascii="Times New Roman" w:eastAsia="Calibri" w:hAnsi="Times New Roman" w:cs="Times New Roman"/>
          <w:i/>
          <w:lang w:eastAsia="lt-LT"/>
        </w:rPr>
        <w:t>in vitro</w:t>
      </w:r>
      <w:r w:rsidRPr="00D7375B">
        <w:rPr>
          <w:rFonts w:ascii="Times New Roman" w:eastAsia="Calibri" w:hAnsi="Times New Roman" w:cs="Times New Roman"/>
          <w:lang w:eastAsia="lt-LT"/>
        </w:rPr>
        <w:t xml:space="preserve"> metu mutageninio ir kancerogeninio izotretinoino poveikio gyvūnams nepastebėta.</w:t>
      </w:r>
    </w:p>
    <w:p w14:paraId="2F93A61E" w14:textId="77777777" w:rsidR="007E07AA" w:rsidRPr="00D7375B" w:rsidRDefault="007E07AA" w:rsidP="007E07AA">
      <w:pPr>
        <w:spacing w:after="0" w:line="240" w:lineRule="auto"/>
        <w:rPr>
          <w:rFonts w:ascii="Times New Roman" w:eastAsia="Calibri" w:hAnsi="Times New Roman" w:cs="Times New Roman"/>
          <w:lang w:eastAsia="lt-LT"/>
        </w:rPr>
      </w:pPr>
    </w:p>
    <w:p w14:paraId="4E58950E" w14:textId="77777777" w:rsidR="007E07AA" w:rsidRPr="00D7375B" w:rsidRDefault="007E07AA" w:rsidP="007E07AA">
      <w:pPr>
        <w:spacing w:after="0" w:line="240" w:lineRule="auto"/>
        <w:rPr>
          <w:rFonts w:ascii="Times New Roman" w:eastAsia="Calibri" w:hAnsi="Times New Roman" w:cs="Times New Roman"/>
          <w:lang w:eastAsia="lt-LT"/>
        </w:rPr>
      </w:pPr>
    </w:p>
    <w:p w14:paraId="375B10DB"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w:t>
      </w:r>
      <w:r w:rsidRPr="00D7375B">
        <w:rPr>
          <w:rFonts w:ascii="Times New Roman" w:eastAsia="Calibri" w:hAnsi="Times New Roman" w:cs="Times New Roman"/>
          <w:b/>
          <w:lang w:eastAsia="lt-LT"/>
        </w:rPr>
        <w:tab/>
        <w:t>FARMACINĖ INFORMACIJA</w:t>
      </w:r>
    </w:p>
    <w:p w14:paraId="3BA26213"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p>
    <w:p w14:paraId="5F993570"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6.1</w:t>
      </w:r>
      <w:r w:rsidRPr="00D7375B">
        <w:rPr>
          <w:rFonts w:ascii="Times New Roman" w:eastAsia="Calibri" w:hAnsi="Times New Roman" w:cs="Times New Roman"/>
          <w:b/>
          <w:lang w:eastAsia="lt-LT"/>
        </w:rPr>
        <w:tab/>
        <w:t>Pagalbinių medžiagų sąrašas</w:t>
      </w:r>
    </w:p>
    <w:p w14:paraId="13A3EEEB" w14:textId="77777777" w:rsidR="007E07AA" w:rsidRPr="00D7375B" w:rsidRDefault="007E07AA" w:rsidP="007E07AA">
      <w:pPr>
        <w:spacing w:after="0" w:line="240" w:lineRule="auto"/>
        <w:rPr>
          <w:rFonts w:ascii="Times New Roman" w:eastAsia="Calibri" w:hAnsi="Times New Roman" w:cs="Times New Roman"/>
          <w:i/>
          <w:lang w:eastAsia="lt-LT"/>
        </w:rPr>
      </w:pPr>
    </w:p>
    <w:p w14:paraId="1311700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Kapsulės turinys</w:t>
      </w:r>
    </w:p>
    <w:p w14:paraId="1F04BC4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Geltonasis vaškas</w:t>
      </w:r>
    </w:p>
    <w:p w14:paraId="13B6C40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Rafinuotas sojų aliejus</w:t>
      </w:r>
    </w:p>
    <w:p w14:paraId="658C40F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Hidrintas sojų aliejus</w:t>
      </w:r>
    </w:p>
    <w:p w14:paraId="50A676C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Dalinai hidrintas sojų aliejus</w:t>
      </w:r>
    </w:p>
    <w:p w14:paraId="1D2707E9" w14:textId="77777777" w:rsidR="007E07AA" w:rsidRPr="00D7375B" w:rsidRDefault="007E07AA" w:rsidP="007E07AA">
      <w:pPr>
        <w:spacing w:after="0" w:line="240" w:lineRule="auto"/>
        <w:rPr>
          <w:rFonts w:ascii="Times New Roman" w:eastAsia="Calibri" w:hAnsi="Times New Roman" w:cs="Times New Roman"/>
          <w:lang w:eastAsia="lt-LT"/>
        </w:rPr>
      </w:pPr>
    </w:p>
    <w:p w14:paraId="7D672CCA"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Kapsulės apvalkalas</w:t>
      </w:r>
    </w:p>
    <w:p w14:paraId="7A2E359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Želatina</w:t>
      </w:r>
    </w:p>
    <w:p w14:paraId="59CAFDEE"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Glicerolis 85 %</w:t>
      </w:r>
    </w:p>
    <w:p w14:paraId="5B7C7B1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Karion 83 (sorbitolis</w:t>
      </w:r>
      <w:r w:rsidR="003C7E78">
        <w:rPr>
          <w:rFonts w:ascii="Times New Roman" w:eastAsia="Calibri" w:hAnsi="Times New Roman" w:cs="Times New Roman"/>
          <w:lang w:eastAsia="lt-LT"/>
        </w:rPr>
        <w:t xml:space="preserve"> (E420)</w:t>
      </w:r>
      <w:r w:rsidRPr="00D7375B">
        <w:rPr>
          <w:rFonts w:ascii="Times New Roman" w:eastAsia="Calibri" w:hAnsi="Times New Roman" w:cs="Times New Roman"/>
          <w:lang w:eastAsia="lt-LT"/>
        </w:rPr>
        <w:t>, manitolis, hidrintas hidrolizuotas krakmolas)</w:t>
      </w:r>
    </w:p>
    <w:p w14:paraId="518ADCD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Titano dioksidas (E 171)</w:t>
      </w:r>
    </w:p>
    <w:p w14:paraId="5747533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Raudonasis geležies oksidas (E 172)</w:t>
      </w:r>
    </w:p>
    <w:p w14:paraId="66502B69" w14:textId="77777777" w:rsidR="007E07AA" w:rsidRPr="00D7375B" w:rsidRDefault="007E07AA" w:rsidP="007E07AA">
      <w:pPr>
        <w:spacing w:after="0" w:line="240" w:lineRule="auto"/>
        <w:rPr>
          <w:rFonts w:ascii="Times New Roman" w:eastAsia="Calibri" w:hAnsi="Times New Roman" w:cs="Times New Roman"/>
          <w:lang w:eastAsia="lt-LT"/>
        </w:rPr>
      </w:pPr>
    </w:p>
    <w:p w14:paraId="2C9E5175"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Sausi spaustuviniai dažai</w:t>
      </w:r>
    </w:p>
    <w:p w14:paraId="50A7C81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Modifikuotas šelakas</w:t>
      </w:r>
    </w:p>
    <w:p w14:paraId="4FB3612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Juodasis geležies oksidas (E 172)</w:t>
      </w:r>
    </w:p>
    <w:p w14:paraId="2FA4319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Propilenglikolis</w:t>
      </w:r>
    </w:p>
    <w:p w14:paraId="490EA4A6" w14:textId="77777777" w:rsidR="007E07AA" w:rsidRPr="00D7375B" w:rsidRDefault="007E07AA" w:rsidP="007E07AA">
      <w:pPr>
        <w:spacing w:after="0" w:line="240" w:lineRule="auto"/>
        <w:rPr>
          <w:rFonts w:ascii="Times New Roman" w:eastAsia="Calibri" w:hAnsi="Times New Roman" w:cs="Times New Roman"/>
          <w:b/>
          <w:lang w:eastAsia="lt-LT"/>
        </w:rPr>
      </w:pPr>
    </w:p>
    <w:p w14:paraId="51CF62C0"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6.2</w:t>
      </w:r>
      <w:r w:rsidRPr="00D7375B">
        <w:rPr>
          <w:rFonts w:ascii="Times New Roman" w:eastAsia="Calibri" w:hAnsi="Times New Roman" w:cs="Times New Roman"/>
          <w:b/>
          <w:lang w:eastAsia="lt-LT"/>
        </w:rPr>
        <w:tab/>
        <w:t>Nesuderinamumas</w:t>
      </w:r>
    </w:p>
    <w:p w14:paraId="1C0C2F8D" w14:textId="77777777" w:rsidR="007E07AA" w:rsidRPr="00D7375B" w:rsidRDefault="007E07AA" w:rsidP="007E07AA">
      <w:pPr>
        <w:spacing w:after="0" w:line="240" w:lineRule="auto"/>
        <w:rPr>
          <w:rFonts w:ascii="Times New Roman" w:eastAsia="Calibri" w:hAnsi="Times New Roman" w:cs="Times New Roman"/>
          <w:lang w:eastAsia="lt-LT"/>
        </w:rPr>
      </w:pPr>
    </w:p>
    <w:p w14:paraId="1A88F8D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Duomenys nebūtini.</w:t>
      </w:r>
    </w:p>
    <w:p w14:paraId="13BFD216" w14:textId="77777777" w:rsidR="007E07AA" w:rsidRPr="00D7375B" w:rsidRDefault="007E07AA" w:rsidP="007E07AA">
      <w:pPr>
        <w:spacing w:after="0" w:line="240" w:lineRule="auto"/>
        <w:rPr>
          <w:rFonts w:ascii="Times New Roman" w:eastAsia="Calibri" w:hAnsi="Times New Roman" w:cs="Times New Roman"/>
          <w:b/>
          <w:lang w:eastAsia="lt-LT"/>
        </w:rPr>
      </w:pPr>
    </w:p>
    <w:p w14:paraId="40EB5861"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6.3</w:t>
      </w:r>
      <w:r w:rsidRPr="00D7375B">
        <w:rPr>
          <w:rFonts w:ascii="Times New Roman" w:eastAsia="Calibri" w:hAnsi="Times New Roman" w:cs="Times New Roman"/>
          <w:b/>
          <w:lang w:eastAsia="lt-LT"/>
        </w:rPr>
        <w:tab/>
        <w:t>Tinkamumo laikas</w:t>
      </w:r>
    </w:p>
    <w:p w14:paraId="1FAA5888" w14:textId="77777777" w:rsidR="007E07AA" w:rsidRPr="00D7375B" w:rsidRDefault="007E07AA" w:rsidP="007E07AA">
      <w:pPr>
        <w:spacing w:after="0" w:line="240" w:lineRule="auto"/>
        <w:rPr>
          <w:rFonts w:ascii="Times New Roman" w:eastAsia="Calibri" w:hAnsi="Times New Roman" w:cs="Times New Roman"/>
          <w:lang w:eastAsia="lt-LT"/>
        </w:rPr>
      </w:pPr>
    </w:p>
    <w:p w14:paraId="6513245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3 metai</w:t>
      </w:r>
    </w:p>
    <w:p w14:paraId="2A65C34C" w14:textId="77777777" w:rsidR="007E07AA" w:rsidRPr="00D7375B" w:rsidRDefault="007E07AA" w:rsidP="007E07AA">
      <w:pPr>
        <w:spacing w:after="0" w:line="240" w:lineRule="auto"/>
        <w:rPr>
          <w:rFonts w:ascii="Times New Roman" w:eastAsia="Calibri" w:hAnsi="Times New Roman" w:cs="Times New Roman"/>
          <w:b/>
          <w:lang w:eastAsia="lt-LT"/>
        </w:rPr>
      </w:pPr>
    </w:p>
    <w:p w14:paraId="1D01FC19"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6.4</w:t>
      </w:r>
      <w:r w:rsidRPr="00D7375B">
        <w:rPr>
          <w:rFonts w:ascii="Times New Roman" w:eastAsia="Calibri" w:hAnsi="Times New Roman" w:cs="Times New Roman"/>
          <w:b/>
          <w:lang w:eastAsia="lt-LT"/>
        </w:rPr>
        <w:tab/>
        <w:t>Specialios laikymo sąlygos</w:t>
      </w:r>
    </w:p>
    <w:p w14:paraId="70311B7A" w14:textId="77777777" w:rsidR="007E07AA" w:rsidRPr="00D7375B" w:rsidRDefault="007E07AA" w:rsidP="007E07AA">
      <w:pPr>
        <w:spacing w:after="0" w:line="240" w:lineRule="auto"/>
        <w:rPr>
          <w:rFonts w:ascii="Times New Roman" w:eastAsia="Calibri" w:hAnsi="Times New Roman" w:cs="Times New Roman"/>
          <w:i/>
          <w:lang w:eastAsia="lt-LT"/>
        </w:rPr>
      </w:pPr>
    </w:p>
    <w:p w14:paraId="26F813B4"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Laikyti ne aukštesnėje kaip 25 </w:t>
      </w:r>
      <w:r w:rsidRPr="00D7375B">
        <w:rPr>
          <w:rFonts w:ascii="Times New Roman" w:eastAsia="Calibri" w:hAnsi="Times New Roman" w:cs="Times New Roman"/>
          <w:lang w:eastAsia="lt-LT"/>
        </w:rPr>
        <w:sym w:font="Symbol" w:char="00B0"/>
      </w:r>
      <w:r w:rsidRPr="00D7375B">
        <w:rPr>
          <w:rFonts w:ascii="Times New Roman" w:eastAsia="Calibri" w:hAnsi="Times New Roman" w:cs="Times New Roman"/>
          <w:lang w:eastAsia="lt-LT"/>
        </w:rPr>
        <w:t>C temperatūroje.</w:t>
      </w:r>
    </w:p>
    <w:p w14:paraId="1618A7F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Laikyti gamintojo pakuotėje.</w:t>
      </w:r>
    </w:p>
    <w:p w14:paraId="4AEFDAA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Lizdines plokšteles laikyti išorinėje dėžutėje, kad vaistinis preparatas būtų apsaugotas nuo drėgmės ir šviesos.</w:t>
      </w:r>
    </w:p>
    <w:p w14:paraId="6EA466E0" w14:textId="77777777" w:rsidR="007E07AA" w:rsidRPr="00D7375B" w:rsidRDefault="007E07AA" w:rsidP="007E07AA">
      <w:pPr>
        <w:spacing w:after="0" w:line="240" w:lineRule="auto"/>
        <w:rPr>
          <w:rFonts w:ascii="Times New Roman" w:eastAsia="Calibri" w:hAnsi="Times New Roman" w:cs="Times New Roman"/>
          <w:b/>
          <w:lang w:eastAsia="lt-LT"/>
        </w:rPr>
      </w:pPr>
    </w:p>
    <w:p w14:paraId="340B8547"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6.5</w:t>
      </w:r>
      <w:r w:rsidRPr="00D7375B">
        <w:rPr>
          <w:rFonts w:ascii="Times New Roman" w:eastAsia="Calibri" w:hAnsi="Times New Roman" w:cs="Times New Roman"/>
          <w:b/>
          <w:lang w:eastAsia="lt-LT"/>
        </w:rPr>
        <w:tab/>
        <w:t>Talpyklės pobūdis ir jos turinys</w:t>
      </w:r>
    </w:p>
    <w:p w14:paraId="3904CFD5" w14:textId="77777777" w:rsidR="007E07AA" w:rsidRPr="00D7375B" w:rsidRDefault="007E07AA" w:rsidP="007E07AA">
      <w:pPr>
        <w:spacing w:after="0" w:line="240" w:lineRule="auto"/>
        <w:rPr>
          <w:rFonts w:ascii="Times New Roman" w:eastAsia="Calibri" w:hAnsi="Times New Roman" w:cs="Times New Roman"/>
          <w:lang w:eastAsia="lt-LT"/>
        </w:rPr>
      </w:pPr>
    </w:p>
    <w:p w14:paraId="08A5EC75" w14:textId="0D3129AF"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Dėžutė, kurio</w:t>
      </w:r>
      <w:r w:rsidR="008B1337">
        <w:rPr>
          <w:rFonts w:ascii="Times New Roman" w:eastAsia="Calibri" w:hAnsi="Times New Roman" w:cs="Times New Roman"/>
          <w:lang w:eastAsia="lt-LT"/>
        </w:rPr>
        <w:t>j</w:t>
      </w:r>
      <w:r w:rsidRPr="00D7375B">
        <w:rPr>
          <w:rFonts w:ascii="Times New Roman" w:eastAsia="Calibri" w:hAnsi="Times New Roman" w:cs="Times New Roman"/>
          <w:lang w:eastAsia="lt-LT"/>
        </w:rPr>
        <w:t>e yra 30 kapsulių, supakuotų PVC/</w:t>
      </w:r>
      <w:r w:rsidRPr="00D7375B" w:rsidDel="000509E3">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PVDC/Al lizdinėse plokštelėse.</w:t>
      </w:r>
    </w:p>
    <w:p w14:paraId="606D0251" w14:textId="7C0E5C1A" w:rsidR="007E07AA" w:rsidRPr="00D7375B" w:rsidRDefault="007E07AA" w:rsidP="007E07AA">
      <w:pPr>
        <w:spacing w:after="0" w:line="240" w:lineRule="auto"/>
        <w:rPr>
          <w:rFonts w:ascii="Times New Roman" w:eastAsia="Calibri" w:hAnsi="Times New Roman" w:cs="Times New Roman"/>
          <w:lang w:eastAsia="lt-LT"/>
        </w:rPr>
      </w:pPr>
    </w:p>
    <w:p w14:paraId="5BB1A4DC" w14:textId="77777777" w:rsidR="007E07AA" w:rsidRPr="00D7375B" w:rsidRDefault="007E07AA" w:rsidP="007E07AA">
      <w:pPr>
        <w:spacing w:after="0" w:line="240" w:lineRule="auto"/>
        <w:rPr>
          <w:rFonts w:ascii="Times New Roman" w:eastAsia="Calibri" w:hAnsi="Times New Roman" w:cs="Times New Roman"/>
          <w:lang w:eastAsia="lt-LT"/>
        </w:rPr>
      </w:pPr>
    </w:p>
    <w:p w14:paraId="490E677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6.6</w:t>
      </w:r>
      <w:r w:rsidRPr="00D7375B">
        <w:rPr>
          <w:rFonts w:ascii="Times New Roman" w:eastAsia="Calibri" w:hAnsi="Times New Roman" w:cs="Times New Roman"/>
          <w:b/>
          <w:lang w:eastAsia="lt-LT"/>
        </w:rPr>
        <w:tab/>
        <w:t>Specialūs reikalavimai atliekoms tvarkyti</w:t>
      </w:r>
    </w:p>
    <w:p w14:paraId="48A4D889" w14:textId="77777777" w:rsidR="007E07AA" w:rsidRPr="00D7375B" w:rsidRDefault="007E07AA" w:rsidP="007E07AA">
      <w:pPr>
        <w:spacing w:after="0" w:line="240" w:lineRule="auto"/>
        <w:rPr>
          <w:rFonts w:ascii="Times New Roman" w:eastAsia="Calibri" w:hAnsi="Times New Roman" w:cs="Times New Roman"/>
          <w:lang w:eastAsia="lt-LT"/>
        </w:rPr>
      </w:pPr>
    </w:p>
    <w:p w14:paraId="7713ED7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Nesuvartotą vaistinį preparatą ar atliekas reikia tvarkyti laikantis vietinių reikalavimų.</w:t>
      </w:r>
    </w:p>
    <w:p w14:paraId="5289C512" w14:textId="77777777" w:rsidR="007E07AA" w:rsidRPr="00D7375B" w:rsidRDefault="007E07AA" w:rsidP="007E07AA">
      <w:pPr>
        <w:spacing w:after="0" w:line="240" w:lineRule="auto"/>
        <w:rPr>
          <w:rFonts w:ascii="Times New Roman" w:eastAsia="Calibri" w:hAnsi="Times New Roman" w:cs="Times New Roman"/>
          <w:lang w:eastAsia="lt-LT"/>
        </w:rPr>
      </w:pPr>
    </w:p>
    <w:p w14:paraId="0A5A3176" w14:textId="77777777" w:rsidR="007E07AA" w:rsidRPr="00D7375B" w:rsidRDefault="007E07AA" w:rsidP="007E07AA">
      <w:pPr>
        <w:spacing w:after="0" w:line="240" w:lineRule="auto"/>
        <w:rPr>
          <w:rFonts w:ascii="Times New Roman" w:eastAsia="Calibri" w:hAnsi="Times New Roman" w:cs="Times New Roman"/>
          <w:lang w:eastAsia="lt-LT"/>
        </w:rPr>
      </w:pPr>
    </w:p>
    <w:p w14:paraId="41284140"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7.</w:t>
      </w:r>
      <w:r w:rsidRPr="00D7375B">
        <w:rPr>
          <w:rFonts w:ascii="Times New Roman" w:eastAsia="Calibri" w:hAnsi="Times New Roman" w:cs="Times New Roman"/>
          <w:b/>
          <w:lang w:eastAsia="lt-LT"/>
        </w:rPr>
        <w:tab/>
        <w:t>REGISTRUOTOJAS</w:t>
      </w:r>
    </w:p>
    <w:p w14:paraId="405C15BB" w14:textId="77777777" w:rsidR="007E07AA" w:rsidRPr="00D7375B" w:rsidRDefault="007E07AA" w:rsidP="007E07AA">
      <w:pPr>
        <w:spacing w:after="0" w:line="240" w:lineRule="auto"/>
        <w:rPr>
          <w:rFonts w:ascii="Times New Roman" w:eastAsia="Calibri" w:hAnsi="Times New Roman" w:cs="Times New Roman"/>
          <w:b/>
          <w:lang w:eastAsia="lt-LT"/>
        </w:rPr>
      </w:pPr>
    </w:p>
    <w:p w14:paraId="30CF3A13" w14:textId="77777777" w:rsidR="007E33B2" w:rsidRDefault="007E33B2" w:rsidP="007E33B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CHEPLAPHARM Registration GmbH</w:t>
      </w:r>
    </w:p>
    <w:p w14:paraId="18F3A533" w14:textId="77777777" w:rsidR="007E33B2" w:rsidRDefault="007E33B2" w:rsidP="007E33B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Weiler Straße 5e</w:t>
      </w:r>
    </w:p>
    <w:p w14:paraId="56155524" w14:textId="77777777" w:rsidR="007E33B2" w:rsidRDefault="007E33B2" w:rsidP="007E33B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79540 Lörrach</w:t>
      </w:r>
    </w:p>
    <w:p w14:paraId="0B702816" w14:textId="77777777" w:rsidR="007E33B2" w:rsidRPr="00900701" w:rsidRDefault="007E33B2" w:rsidP="007E33B2">
      <w:pPr>
        <w:spacing w:after="0" w:line="240" w:lineRule="auto"/>
        <w:rPr>
          <w:rFonts w:ascii="Times New Roman" w:eastAsia="Calibri" w:hAnsi="Times New Roman" w:cs="Times New Roman"/>
          <w:lang w:val="en-GB" w:eastAsia="lt-LT"/>
        </w:rPr>
      </w:pPr>
      <w:r w:rsidRPr="00752BDC">
        <w:rPr>
          <w:rFonts w:ascii="Times New Roman" w:eastAsia="Calibri" w:hAnsi="Times New Roman" w:cs="Times New Roman"/>
          <w:lang w:eastAsia="lt-LT"/>
        </w:rPr>
        <w:t>Vokietija</w:t>
      </w:r>
    </w:p>
    <w:p w14:paraId="504E8CC1" w14:textId="77777777" w:rsidR="007E07AA" w:rsidRPr="00D7375B" w:rsidRDefault="007E07AA" w:rsidP="007E07AA">
      <w:pPr>
        <w:spacing w:after="0" w:line="240" w:lineRule="auto"/>
        <w:rPr>
          <w:rFonts w:ascii="Times New Roman" w:eastAsia="Calibri" w:hAnsi="Times New Roman" w:cs="Times New Roman"/>
          <w:lang w:eastAsia="lt-LT"/>
        </w:rPr>
      </w:pPr>
    </w:p>
    <w:p w14:paraId="707AA83E" w14:textId="77777777" w:rsidR="007E07AA" w:rsidRPr="00D7375B" w:rsidRDefault="007E07AA" w:rsidP="007E07AA">
      <w:pPr>
        <w:spacing w:after="0" w:line="240" w:lineRule="auto"/>
        <w:rPr>
          <w:rFonts w:ascii="Times New Roman" w:eastAsia="Calibri" w:hAnsi="Times New Roman" w:cs="Times New Roman"/>
          <w:lang w:eastAsia="lt-LT"/>
        </w:rPr>
      </w:pPr>
    </w:p>
    <w:p w14:paraId="2C955473" w14:textId="77777777" w:rsidR="007E07AA" w:rsidRPr="00D7375B" w:rsidRDefault="007E07AA" w:rsidP="007E07AA">
      <w:pPr>
        <w:keepNext/>
        <w:keepLines/>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lastRenderedPageBreak/>
        <w:t>8.</w:t>
      </w:r>
      <w:r w:rsidRPr="00D7375B">
        <w:rPr>
          <w:rFonts w:ascii="Times New Roman" w:eastAsia="Calibri" w:hAnsi="Times New Roman" w:cs="Times New Roman"/>
          <w:b/>
          <w:lang w:eastAsia="lt-LT"/>
        </w:rPr>
        <w:tab/>
        <w:t>REGISTRACIJOS PAŽYMĖJIMO NUMERIAI</w:t>
      </w:r>
    </w:p>
    <w:p w14:paraId="77D5986A" w14:textId="77777777" w:rsidR="007E07AA" w:rsidRPr="00D7375B" w:rsidRDefault="007E07AA" w:rsidP="007E07AA">
      <w:pPr>
        <w:keepNext/>
        <w:keepLines/>
        <w:spacing w:after="0" w:line="240" w:lineRule="auto"/>
        <w:rPr>
          <w:rFonts w:ascii="Times New Roman" w:eastAsia="Calibri" w:hAnsi="Times New Roman" w:cs="Times New Roman"/>
          <w:b/>
          <w:lang w:eastAsia="lt-LT"/>
        </w:rPr>
      </w:pPr>
    </w:p>
    <w:p w14:paraId="6D6F31D3" w14:textId="13E14870" w:rsidR="007E07AA" w:rsidRPr="00D7375B" w:rsidRDefault="007E07AA" w:rsidP="007E07AA">
      <w:pPr>
        <w:spacing w:after="0" w:line="240" w:lineRule="auto"/>
        <w:rPr>
          <w:rFonts w:ascii="Times New Roman" w:eastAsia="Calibri" w:hAnsi="Times New Roman" w:cs="Times New Roman"/>
          <w:lang w:eastAsia="lt-LT"/>
        </w:rPr>
      </w:pPr>
      <w:bookmarkStart w:id="0" w:name="_Hlk162273672"/>
      <w:r w:rsidRPr="00D7375B">
        <w:rPr>
          <w:rFonts w:ascii="Times New Roman" w:eastAsia="Calibri" w:hAnsi="Times New Roman" w:cs="Times New Roman"/>
          <w:lang w:eastAsia="lt-LT"/>
        </w:rPr>
        <w:t>LT/1/05/0406/002</w:t>
      </w:r>
    </w:p>
    <w:bookmarkEnd w:id="0"/>
    <w:p w14:paraId="328965EC" w14:textId="77777777" w:rsidR="007E07AA" w:rsidRPr="00D7375B" w:rsidRDefault="007E07AA" w:rsidP="007E07AA">
      <w:pPr>
        <w:spacing w:after="0" w:line="240" w:lineRule="auto"/>
        <w:rPr>
          <w:rFonts w:ascii="Times New Roman" w:eastAsia="Calibri" w:hAnsi="Times New Roman" w:cs="Times New Roman"/>
          <w:lang w:eastAsia="lt-LT"/>
        </w:rPr>
      </w:pPr>
    </w:p>
    <w:p w14:paraId="5C17E8B9" w14:textId="77777777" w:rsidR="007E07AA" w:rsidRPr="00D7375B" w:rsidRDefault="007E07AA" w:rsidP="007E07AA">
      <w:pPr>
        <w:spacing w:after="0" w:line="240" w:lineRule="auto"/>
        <w:rPr>
          <w:rFonts w:ascii="Times New Roman" w:eastAsia="Calibri" w:hAnsi="Times New Roman" w:cs="Times New Roman"/>
          <w:b/>
          <w:lang w:eastAsia="lt-LT"/>
        </w:rPr>
      </w:pPr>
    </w:p>
    <w:p w14:paraId="1C47E0D1"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9.</w:t>
      </w:r>
      <w:r w:rsidRPr="00D7375B">
        <w:rPr>
          <w:rFonts w:ascii="Times New Roman" w:eastAsia="Calibri" w:hAnsi="Times New Roman" w:cs="Times New Roman"/>
          <w:b/>
          <w:lang w:eastAsia="lt-LT"/>
        </w:rPr>
        <w:tab/>
        <w:t>REGISTRAVIMO / PERREGISTRAVIMO DATA</w:t>
      </w:r>
    </w:p>
    <w:p w14:paraId="0C888314" w14:textId="77777777" w:rsidR="007E07AA" w:rsidRPr="00D7375B" w:rsidRDefault="007E07AA" w:rsidP="007E07AA">
      <w:pPr>
        <w:spacing w:after="0" w:line="240" w:lineRule="auto"/>
        <w:rPr>
          <w:rFonts w:ascii="Times New Roman" w:eastAsia="Calibri" w:hAnsi="Times New Roman" w:cs="Times New Roman"/>
          <w:b/>
          <w:lang w:eastAsia="lt-LT"/>
        </w:rPr>
      </w:pPr>
    </w:p>
    <w:p w14:paraId="6C193EE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Registravimo data 2006 m. balandžio 14 d.</w:t>
      </w:r>
    </w:p>
    <w:p w14:paraId="1F8E027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Paskutinio perregistravimo data 2010 m. kovo 31 d.</w:t>
      </w:r>
    </w:p>
    <w:p w14:paraId="2600BEFC" w14:textId="77777777" w:rsidR="007E07AA" w:rsidRPr="00D7375B" w:rsidRDefault="007E07AA" w:rsidP="007E07AA">
      <w:pPr>
        <w:spacing w:after="0" w:line="240" w:lineRule="auto"/>
        <w:rPr>
          <w:rFonts w:ascii="Times New Roman" w:eastAsia="Calibri" w:hAnsi="Times New Roman" w:cs="Times New Roman"/>
          <w:b/>
          <w:lang w:eastAsia="lt-LT"/>
        </w:rPr>
      </w:pPr>
    </w:p>
    <w:p w14:paraId="05AB8EC9" w14:textId="77777777" w:rsidR="007E07AA" w:rsidRPr="00D7375B" w:rsidRDefault="007E07AA" w:rsidP="007E07AA">
      <w:pPr>
        <w:spacing w:after="0" w:line="240" w:lineRule="auto"/>
        <w:rPr>
          <w:rFonts w:ascii="Times New Roman" w:eastAsia="Calibri" w:hAnsi="Times New Roman" w:cs="Times New Roman"/>
          <w:b/>
          <w:lang w:eastAsia="lt-LT"/>
        </w:rPr>
      </w:pPr>
    </w:p>
    <w:p w14:paraId="21916234"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10.</w:t>
      </w:r>
      <w:r w:rsidRPr="00D7375B">
        <w:rPr>
          <w:rFonts w:ascii="Times New Roman" w:eastAsia="Calibri" w:hAnsi="Times New Roman" w:cs="Times New Roman"/>
          <w:b/>
          <w:lang w:eastAsia="lt-LT"/>
        </w:rPr>
        <w:tab/>
        <w:t>TEKSTO PERŽIŪROS DATA</w:t>
      </w:r>
    </w:p>
    <w:p w14:paraId="61712CAC" w14:textId="77777777" w:rsidR="007E07AA" w:rsidRPr="00D7375B" w:rsidRDefault="007E07AA" w:rsidP="007E07AA">
      <w:pPr>
        <w:spacing w:after="0" w:line="240" w:lineRule="auto"/>
        <w:rPr>
          <w:rFonts w:ascii="Times New Roman" w:eastAsia="Calibri" w:hAnsi="Times New Roman" w:cs="Times New Roman"/>
          <w:b/>
          <w:lang w:eastAsia="lt-LT"/>
        </w:rPr>
      </w:pPr>
    </w:p>
    <w:p w14:paraId="6716D663" w14:textId="191A3D01" w:rsidR="00C73014" w:rsidRDefault="00C73014" w:rsidP="007E07AA">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202</w:t>
      </w:r>
      <w:r w:rsidR="003B0370">
        <w:rPr>
          <w:rFonts w:ascii="Times New Roman" w:eastAsia="Calibri" w:hAnsi="Times New Roman" w:cs="Times New Roman"/>
          <w:lang w:eastAsia="lt-LT"/>
        </w:rPr>
        <w:t>5</w:t>
      </w:r>
      <w:r>
        <w:rPr>
          <w:rFonts w:ascii="Times New Roman" w:eastAsia="Calibri" w:hAnsi="Times New Roman" w:cs="Times New Roman"/>
          <w:lang w:eastAsia="lt-LT"/>
        </w:rPr>
        <w:t xml:space="preserve"> m. </w:t>
      </w:r>
      <w:r w:rsidR="003B0370">
        <w:rPr>
          <w:rFonts w:ascii="Times New Roman" w:eastAsia="Calibri" w:hAnsi="Times New Roman" w:cs="Times New Roman"/>
          <w:lang w:eastAsia="lt-LT"/>
        </w:rPr>
        <w:t>gruo</w:t>
      </w:r>
      <w:r w:rsidR="00D94062">
        <w:rPr>
          <w:rFonts w:ascii="Times New Roman" w:eastAsia="Calibri" w:hAnsi="Times New Roman" w:cs="Times New Roman"/>
          <w:lang w:eastAsia="lt-LT"/>
        </w:rPr>
        <w:t xml:space="preserve">džio </w:t>
      </w:r>
      <w:r w:rsidR="003B0370">
        <w:rPr>
          <w:rFonts w:ascii="Times New Roman" w:eastAsia="Calibri" w:hAnsi="Times New Roman" w:cs="Times New Roman"/>
          <w:lang w:eastAsia="lt-LT"/>
        </w:rPr>
        <w:t>15</w:t>
      </w:r>
      <w:r w:rsidR="00D94062">
        <w:rPr>
          <w:rFonts w:ascii="Times New Roman" w:eastAsia="Calibri" w:hAnsi="Times New Roman" w:cs="Times New Roman"/>
          <w:lang w:eastAsia="lt-LT"/>
        </w:rPr>
        <w:t xml:space="preserve"> d.</w:t>
      </w:r>
    </w:p>
    <w:p w14:paraId="527E68A3" w14:textId="77777777" w:rsidR="002422B9" w:rsidRPr="00D7375B" w:rsidRDefault="002422B9" w:rsidP="007E07AA">
      <w:pPr>
        <w:spacing w:after="0" w:line="240" w:lineRule="auto"/>
        <w:rPr>
          <w:rFonts w:ascii="Times New Roman" w:eastAsia="Calibri" w:hAnsi="Times New Roman" w:cs="Times New Roman"/>
          <w:lang w:eastAsia="lt-LT"/>
        </w:rPr>
      </w:pPr>
    </w:p>
    <w:p w14:paraId="13AF0C64" w14:textId="1879C1A9" w:rsidR="007E07AA" w:rsidRPr="00D7375B" w:rsidRDefault="003B0370" w:rsidP="007E07AA">
      <w:pPr>
        <w:spacing w:after="0" w:line="240" w:lineRule="auto"/>
        <w:rPr>
          <w:rFonts w:ascii="Times New Roman" w:eastAsia="Calibri" w:hAnsi="Times New Roman" w:cs="Times New Roman"/>
          <w:b/>
          <w:lang w:eastAsia="lt-LT"/>
        </w:rPr>
      </w:pPr>
      <w:r w:rsidRPr="003B0370">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r w:rsidRPr="003B0370">
        <w:rPr>
          <w:rFonts w:ascii="Times New Roman" w:eastAsia="Times New Roman" w:hAnsi="Times New Roman" w:cs="Times New Roman"/>
          <w:color w:val="0000EE"/>
          <w:u w:val="single"/>
          <w:lang w:eastAsia="lt-LT"/>
        </w:rPr>
        <w:t>https://vvkt.lrv.lt/lt/.</w:t>
      </w:r>
    </w:p>
    <w:p w14:paraId="3D7B0270" w14:textId="77777777" w:rsidR="007E07AA" w:rsidRPr="00D7375B" w:rsidRDefault="007E07AA" w:rsidP="007E07AA">
      <w:pPr>
        <w:spacing w:after="0" w:line="240" w:lineRule="auto"/>
        <w:rPr>
          <w:rFonts w:ascii="Times New Roman" w:eastAsia="Calibri" w:hAnsi="Times New Roman" w:cs="Times New Roman"/>
          <w:lang w:eastAsia="lt-LT"/>
        </w:rPr>
      </w:pPr>
    </w:p>
    <w:p w14:paraId="33195FAD" w14:textId="2764A5C3" w:rsidR="008B1337" w:rsidRDefault="008B1337">
      <w:pPr>
        <w:rPr>
          <w:rFonts w:ascii="Times New Roman" w:eastAsia="Calibri" w:hAnsi="Times New Roman" w:cs="Times New Roman"/>
          <w:b/>
        </w:rPr>
      </w:pPr>
      <w:r>
        <w:rPr>
          <w:rFonts w:ascii="Times New Roman" w:eastAsia="Calibri" w:hAnsi="Times New Roman" w:cs="Times New Roman"/>
          <w:b/>
        </w:rPr>
        <w:br w:type="page"/>
      </w:r>
    </w:p>
    <w:p w14:paraId="7BA310FB"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bookmarkStart w:id="1" w:name="_Toc129243128"/>
      <w:bookmarkStart w:id="2" w:name="_Toc129243253"/>
      <w:r w:rsidRPr="000A6DE2">
        <w:rPr>
          <w:rFonts w:ascii="Times New Roman" w:eastAsia="Calibri" w:hAnsi="Times New Roman" w:cs="Times New Roman"/>
          <w:b/>
          <w:lang w:eastAsia="lt-LT"/>
        </w:rPr>
        <w:lastRenderedPageBreak/>
        <w:t>1.</w:t>
      </w:r>
      <w:r w:rsidRPr="000A6DE2">
        <w:rPr>
          <w:rFonts w:ascii="Times New Roman" w:eastAsia="Calibri" w:hAnsi="Times New Roman" w:cs="Times New Roman"/>
          <w:b/>
          <w:lang w:eastAsia="lt-LT"/>
        </w:rPr>
        <w:tab/>
        <w:t>VAISTINIO PREPARATO PAVADINIMAS</w:t>
      </w:r>
    </w:p>
    <w:p w14:paraId="39CF61EC" w14:textId="77777777" w:rsidR="000A6DE2" w:rsidRPr="000A6DE2" w:rsidRDefault="000A6DE2" w:rsidP="000A6DE2">
      <w:pPr>
        <w:spacing w:after="0" w:line="240" w:lineRule="auto"/>
        <w:rPr>
          <w:rFonts w:ascii="Times New Roman" w:eastAsia="Calibri" w:hAnsi="Times New Roman" w:cs="Times New Roman"/>
          <w:lang w:eastAsia="lt-LT"/>
        </w:rPr>
      </w:pPr>
    </w:p>
    <w:p w14:paraId="63EC749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Roaccutane 20 mg minkštosios kapsulės</w:t>
      </w:r>
    </w:p>
    <w:p w14:paraId="0140FD14" w14:textId="77777777" w:rsidR="000A6DE2" w:rsidRPr="000A6DE2" w:rsidRDefault="000A6DE2" w:rsidP="000A6DE2">
      <w:pPr>
        <w:spacing w:after="0" w:line="240" w:lineRule="auto"/>
        <w:rPr>
          <w:rFonts w:ascii="Times New Roman" w:eastAsia="Calibri" w:hAnsi="Times New Roman" w:cs="Times New Roman"/>
          <w:b/>
          <w:lang w:eastAsia="lt-LT"/>
        </w:rPr>
      </w:pPr>
    </w:p>
    <w:p w14:paraId="35399B4B" w14:textId="77777777" w:rsidR="000A6DE2" w:rsidRPr="000A6DE2" w:rsidRDefault="000A6DE2" w:rsidP="000A6DE2">
      <w:pPr>
        <w:spacing w:after="0" w:line="240" w:lineRule="auto"/>
        <w:rPr>
          <w:rFonts w:ascii="Times New Roman" w:eastAsia="Calibri" w:hAnsi="Times New Roman" w:cs="Times New Roman"/>
          <w:b/>
          <w:lang w:eastAsia="lt-LT"/>
        </w:rPr>
      </w:pPr>
    </w:p>
    <w:p w14:paraId="7E075A78"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2.</w:t>
      </w:r>
      <w:r w:rsidRPr="000A6DE2">
        <w:rPr>
          <w:rFonts w:ascii="Times New Roman" w:eastAsia="Calibri" w:hAnsi="Times New Roman" w:cs="Times New Roman"/>
          <w:b/>
          <w:lang w:eastAsia="lt-LT"/>
        </w:rPr>
        <w:tab/>
        <w:t>KOKYBINĖ IR KIEKYBINĖ SUDĖTIS</w:t>
      </w:r>
    </w:p>
    <w:p w14:paraId="7B26AB35" w14:textId="77777777" w:rsidR="000A6DE2" w:rsidRPr="000A6DE2" w:rsidRDefault="000A6DE2" w:rsidP="000A6DE2">
      <w:pPr>
        <w:spacing w:after="0" w:line="240" w:lineRule="auto"/>
        <w:rPr>
          <w:rFonts w:ascii="Times New Roman" w:eastAsia="Calibri" w:hAnsi="Times New Roman" w:cs="Times New Roman"/>
          <w:lang w:eastAsia="lt-LT"/>
        </w:rPr>
      </w:pPr>
    </w:p>
    <w:p w14:paraId="1583115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Kiekvienoje minkštojoje kapsulėje yra 20 mg izotretinoino.</w:t>
      </w:r>
    </w:p>
    <w:p w14:paraId="603DA8B2" w14:textId="77777777" w:rsidR="000A6DE2" w:rsidRPr="000A6DE2" w:rsidRDefault="000A6DE2" w:rsidP="000A6DE2">
      <w:pPr>
        <w:spacing w:after="0" w:line="240" w:lineRule="auto"/>
        <w:rPr>
          <w:rFonts w:ascii="Times New Roman" w:eastAsia="Calibri" w:hAnsi="Times New Roman" w:cs="Times New Roman"/>
          <w:lang w:eastAsia="lt-LT"/>
        </w:rPr>
      </w:pPr>
    </w:p>
    <w:p w14:paraId="387DB04C"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Pagalbinės medžiagos, kurių poveikis žinomas</w:t>
      </w:r>
    </w:p>
    <w:p w14:paraId="48E1223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Sojų aliejus (rafinuotas, hidrintas, dalinai hidrintas) ir sorbitolis.</w:t>
      </w:r>
    </w:p>
    <w:p w14:paraId="7FEA39D8" w14:textId="77777777" w:rsidR="000A6DE2" w:rsidRPr="000A6DE2" w:rsidRDefault="000A6DE2" w:rsidP="000A6DE2">
      <w:pPr>
        <w:spacing w:after="0" w:line="240" w:lineRule="auto"/>
        <w:rPr>
          <w:rFonts w:ascii="Times New Roman" w:eastAsia="Calibri" w:hAnsi="Times New Roman" w:cs="Times New Roman"/>
          <w:lang w:eastAsia="lt-LT"/>
        </w:rPr>
      </w:pPr>
    </w:p>
    <w:p w14:paraId="57BA179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Visos pagalbinės medžiagos išvardytos 6.1 skyriuje.</w:t>
      </w:r>
    </w:p>
    <w:p w14:paraId="1926F882" w14:textId="77777777" w:rsidR="000A6DE2" w:rsidRPr="000A6DE2" w:rsidRDefault="000A6DE2" w:rsidP="000A6DE2">
      <w:pPr>
        <w:spacing w:after="0" w:line="240" w:lineRule="auto"/>
        <w:rPr>
          <w:rFonts w:ascii="Times New Roman" w:eastAsia="Calibri" w:hAnsi="Times New Roman" w:cs="Times New Roman"/>
          <w:b/>
          <w:lang w:eastAsia="lt-LT"/>
        </w:rPr>
      </w:pPr>
    </w:p>
    <w:p w14:paraId="07185D1C" w14:textId="77777777" w:rsidR="000A6DE2" w:rsidRPr="000A6DE2" w:rsidRDefault="000A6DE2" w:rsidP="000A6DE2">
      <w:pPr>
        <w:spacing w:after="0" w:line="240" w:lineRule="auto"/>
        <w:rPr>
          <w:rFonts w:ascii="Times New Roman" w:eastAsia="Calibri" w:hAnsi="Times New Roman" w:cs="Times New Roman"/>
          <w:b/>
          <w:lang w:eastAsia="lt-LT"/>
        </w:rPr>
      </w:pPr>
    </w:p>
    <w:p w14:paraId="4CB8B26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3.</w:t>
      </w:r>
      <w:r w:rsidRPr="000A6DE2">
        <w:rPr>
          <w:rFonts w:ascii="Times New Roman" w:eastAsia="Calibri" w:hAnsi="Times New Roman" w:cs="Times New Roman"/>
          <w:b/>
          <w:lang w:eastAsia="lt-LT"/>
        </w:rPr>
        <w:tab/>
        <w:t>FARMACINĖ FORMA</w:t>
      </w:r>
    </w:p>
    <w:p w14:paraId="64A0A182" w14:textId="77777777" w:rsidR="000A6DE2" w:rsidRPr="000A6DE2" w:rsidRDefault="000A6DE2" w:rsidP="000A6DE2">
      <w:pPr>
        <w:spacing w:after="0" w:line="240" w:lineRule="auto"/>
        <w:rPr>
          <w:rFonts w:ascii="Times New Roman" w:eastAsia="Calibri" w:hAnsi="Times New Roman" w:cs="Times New Roman"/>
          <w:lang w:eastAsia="lt-LT"/>
        </w:rPr>
      </w:pPr>
    </w:p>
    <w:p w14:paraId="0160E9B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Minkšta kapsulė.</w:t>
      </w:r>
    </w:p>
    <w:p w14:paraId="7DF3FEFA"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lang w:eastAsia="lt-LT"/>
        </w:rPr>
        <w:t>Kapsulės yra ovalios, nepermatomos, rudai raudonos ir baltos spalvų, ant jų juodu rašalu užrašyta „ROA20“.</w:t>
      </w:r>
    </w:p>
    <w:p w14:paraId="1489BEAD" w14:textId="77777777" w:rsidR="000A6DE2" w:rsidRPr="000A6DE2" w:rsidRDefault="000A6DE2" w:rsidP="000A6DE2">
      <w:pPr>
        <w:spacing w:after="0" w:line="240" w:lineRule="auto"/>
        <w:rPr>
          <w:rFonts w:ascii="Times New Roman" w:eastAsia="Calibri" w:hAnsi="Times New Roman" w:cs="Times New Roman"/>
          <w:b/>
          <w:lang w:eastAsia="lt-LT"/>
        </w:rPr>
      </w:pPr>
    </w:p>
    <w:p w14:paraId="0364A9A0" w14:textId="77777777" w:rsidR="000A6DE2" w:rsidRPr="000A6DE2" w:rsidRDefault="000A6DE2" w:rsidP="000A6DE2">
      <w:pPr>
        <w:spacing w:after="0" w:line="240" w:lineRule="auto"/>
        <w:rPr>
          <w:rFonts w:ascii="Times New Roman" w:eastAsia="Calibri" w:hAnsi="Times New Roman" w:cs="Times New Roman"/>
          <w:b/>
          <w:lang w:eastAsia="lt-LT"/>
        </w:rPr>
      </w:pPr>
    </w:p>
    <w:p w14:paraId="47CC0A22"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w:t>
      </w:r>
      <w:r w:rsidRPr="000A6DE2">
        <w:rPr>
          <w:rFonts w:ascii="Times New Roman" w:eastAsia="Calibri" w:hAnsi="Times New Roman" w:cs="Times New Roman"/>
          <w:b/>
          <w:lang w:eastAsia="lt-LT"/>
        </w:rPr>
        <w:tab/>
        <w:t>KLINIKINĖ INFORMACIJA</w:t>
      </w:r>
    </w:p>
    <w:p w14:paraId="79AD9E3A" w14:textId="77777777" w:rsidR="000A6DE2" w:rsidRPr="000A6DE2" w:rsidRDefault="000A6DE2" w:rsidP="000A6DE2">
      <w:pPr>
        <w:spacing w:after="0" w:line="240" w:lineRule="auto"/>
        <w:rPr>
          <w:rFonts w:ascii="Times New Roman" w:eastAsia="Calibri" w:hAnsi="Times New Roman" w:cs="Times New Roman"/>
          <w:b/>
          <w:lang w:eastAsia="lt-LT"/>
        </w:rPr>
      </w:pPr>
    </w:p>
    <w:p w14:paraId="149C1C2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4.1</w:t>
      </w:r>
      <w:r w:rsidRPr="000A6DE2">
        <w:rPr>
          <w:rFonts w:ascii="Times New Roman" w:eastAsia="Calibri" w:hAnsi="Times New Roman" w:cs="Times New Roman"/>
          <w:b/>
          <w:lang w:eastAsia="lt-LT"/>
        </w:rPr>
        <w:tab/>
        <w:t>Terapinės indikacijos</w:t>
      </w:r>
    </w:p>
    <w:p w14:paraId="43F081B2" w14:textId="77777777" w:rsidR="000A6DE2" w:rsidRPr="000A6DE2" w:rsidRDefault="000A6DE2" w:rsidP="000A6DE2">
      <w:pPr>
        <w:spacing w:after="0" w:line="240" w:lineRule="auto"/>
        <w:rPr>
          <w:rFonts w:ascii="Times New Roman" w:eastAsia="Calibri" w:hAnsi="Times New Roman" w:cs="Times New Roman"/>
          <w:lang w:eastAsia="lt-LT"/>
        </w:rPr>
      </w:pPr>
    </w:p>
    <w:p w14:paraId="7CAC63B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Sunkios formos spuogai (pvz., mazginiai, susiliejantys arba galintys palikti neišnykstančių randų), kurių gydymas tinkamais įprasto sisteminio poveikio antibakterinių vaistinių preparatų kursais ir lokalus gydymas buvo neveiksmingi.</w:t>
      </w:r>
    </w:p>
    <w:p w14:paraId="7C7ABD25" w14:textId="77777777" w:rsidR="000A6DE2" w:rsidRPr="000A6DE2" w:rsidRDefault="000A6DE2" w:rsidP="000A6DE2">
      <w:pPr>
        <w:spacing w:after="0" w:line="240" w:lineRule="auto"/>
        <w:rPr>
          <w:rFonts w:ascii="Times New Roman" w:eastAsia="Calibri" w:hAnsi="Times New Roman" w:cs="Times New Roman"/>
          <w:b/>
          <w:lang w:eastAsia="lt-LT"/>
        </w:rPr>
      </w:pPr>
    </w:p>
    <w:p w14:paraId="0BB727E9"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4.2</w:t>
      </w:r>
      <w:r w:rsidRPr="000A6DE2">
        <w:rPr>
          <w:rFonts w:ascii="Times New Roman" w:eastAsia="Calibri" w:hAnsi="Times New Roman" w:cs="Times New Roman"/>
          <w:b/>
          <w:lang w:eastAsia="lt-LT"/>
        </w:rPr>
        <w:tab/>
        <w:t>Dozavimas ir vartojimo metodas</w:t>
      </w:r>
    </w:p>
    <w:p w14:paraId="0C82C5AD" w14:textId="77777777" w:rsidR="000A6DE2" w:rsidRPr="000A6DE2" w:rsidRDefault="000A6DE2" w:rsidP="000A6DE2">
      <w:pPr>
        <w:spacing w:after="0" w:line="240" w:lineRule="auto"/>
        <w:rPr>
          <w:rFonts w:ascii="Times New Roman" w:eastAsia="Calibri" w:hAnsi="Times New Roman" w:cs="Times New Roman"/>
          <w:lang w:eastAsia="lt-LT"/>
        </w:rPr>
      </w:pPr>
    </w:p>
    <w:p w14:paraId="0FE641E3"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Dozavimas</w:t>
      </w:r>
    </w:p>
    <w:p w14:paraId="0F7A523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Izotretinoiną skirti arba jo skyrimą prižiūrėti gali tik gydytojas, turintis sunkių spuogų gydymo sisteminio poveikio retinoidais patirties ir gerai suprantantis gydymo šiuo vaistiniu preparatu riziką ir nuolatinės kontrolės reikalavimus.</w:t>
      </w:r>
    </w:p>
    <w:p w14:paraId="62B1F7E0" w14:textId="77777777" w:rsidR="000A6DE2" w:rsidRPr="000A6DE2" w:rsidRDefault="000A6DE2" w:rsidP="000A6DE2">
      <w:pPr>
        <w:spacing w:after="0" w:line="240" w:lineRule="auto"/>
        <w:rPr>
          <w:rFonts w:ascii="Times New Roman" w:eastAsia="Calibri" w:hAnsi="Times New Roman" w:cs="Times New Roman"/>
          <w:lang w:eastAsia="lt-LT"/>
        </w:rPr>
      </w:pPr>
    </w:p>
    <w:p w14:paraId="607F470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Kapsulės geriamos vieną arba du kartus per parą valgio metu.</w:t>
      </w:r>
    </w:p>
    <w:p w14:paraId="0DD4E503" w14:textId="77777777" w:rsidR="000A6DE2" w:rsidRPr="000A6DE2" w:rsidRDefault="000A6DE2" w:rsidP="000A6DE2">
      <w:pPr>
        <w:spacing w:after="0" w:line="240" w:lineRule="auto"/>
        <w:rPr>
          <w:rFonts w:ascii="Times New Roman" w:eastAsia="Calibri" w:hAnsi="Times New Roman" w:cs="Times New Roman"/>
          <w:u w:val="single"/>
          <w:lang w:eastAsia="lt-LT"/>
        </w:rPr>
      </w:pPr>
    </w:p>
    <w:p w14:paraId="3B62552B"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Vaikų populiacija</w:t>
      </w:r>
    </w:p>
    <w:p w14:paraId="466A2B7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Roaccutane negalima gydyti prieš lytinę brandą atsirandančių spuogų, taip pat nerekomenduojama juo gydyti jaunesnių kaip 12 metų vaikų, nes duomenų apie saugumą ir veiksmingumą nepakanka.</w:t>
      </w:r>
    </w:p>
    <w:p w14:paraId="72131E38" w14:textId="77777777" w:rsidR="000A6DE2" w:rsidRPr="000A6DE2" w:rsidRDefault="000A6DE2" w:rsidP="000A6DE2">
      <w:pPr>
        <w:spacing w:after="0" w:line="240" w:lineRule="auto"/>
        <w:rPr>
          <w:rFonts w:ascii="Times New Roman" w:eastAsia="Calibri" w:hAnsi="Times New Roman" w:cs="Times New Roman"/>
          <w:lang w:eastAsia="lt-LT"/>
        </w:rPr>
      </w:pPr>
    </w:p>
    <w:p w14:paraId="627B32F1"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Suaugusiems žmonėms, įskaitant senyvus, ir paaugliams</w:t>
      </w:r>
    </w:p>
    <w:p w14:paraId="2B5E374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Pradinė paros dozė yra 0,5 mg/kg kūno svorio. Terapinis ir kai kuris nepageidaujamas izotretinoino poveikis priklauso nuo dozės dydžio ir atskiriems žmonėms skiriasi, todėl gydymo metu dozę reikia nustatyti kiekvienam pacientui. Dažniausiai užtenka 0,5 – 1 mg/kg kūno svorio paros dozės.</w:t>
      </w:r>
    </w:p>
    <w:p w14:paraId="587B253C" w14:textId="77777777" w:rsidR="000A6DE2" w:rsidRPr="000A6DE2" w:rsidRDefault="000A6DE2" w:rsidP="000A6DE2">
      <w:pPr>
        <w:spacing w:after="0" w:line="240" w:lineRule="auto"/>
        <w:rPr>
          <w:rFonts w:ascii="Times New Roman" w:eastAsia="Calibri" w:hAnsi="Times New Roman" w:cs="Times New Roman"/>
          <w:lang w:eastAsia="lt-LT"/>
        </w:rPr>
      </w:pPr>
    </w:p>
    <w:p w14:paraId="0750607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Ilgalaikė remisija ir atsinaujinimo dažnis labiau priklauso ne nuo gydymo trukmės ar paros dozės, bet nuo bendros suvartotos dozės. Įrodyta, jog išgėrus didesnę negu 120 – 150 mg/kg kūno svorio bendrą dozę pastebimos papildomos naudos tikėtis negalima. Gydymo trukmė priklauso nuo vartojamos paros dozės dydžio. Remisijai sukelti paprastai pakanka 16 – 24 gydymo savaičių.</w:t>
      </w:r>
    </w:p>
    <w:p w14:paraId="31917DC3" w14:textId="77777777" w:rsidR="000A6DE2" w:rsidRPr="000A6DE2" w:rsidRDefault="000A6DE2" w:rsidP="000A6DE2">
      <w:pPr>
        <w:spacing w:after="0" w:line="240" w:lineRule="auto"/>
        <w:rPr>
          <w:rFonts w:ascii="Times New Roman" w:eastAsia="Calibri" w:hAnsi="Times New Roman" w:cs="Times New Roman"/>
          <w:lang w:eastAsia="lt-LT"/>
        </w:rPr>
      </w:pPr>
    </w:p>
    <w:p w14:paraId="3592751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Daugumai pacientų spuogai visiškai išnyksta po vieno gydymo kurso. Jeigu jie atsinaujina, galima taikyti tokios pačios paros ir bendros dozės vartojimo kursą. Kadangi spuogai gali lengvėti dar 8 savaites po gydymo kurso, kitą gydymo kursą reikėtų pradėti ne anksčiau kaip po 8 savaičių.</w:t>
      </w:r>
    </w:p>
    <w:p w14:paraId="4EA29F43" w14:textId="77777777" w:rsidR="000A6DE2" w:rsidRPr="000A6DE2" w:rsidRDefault="000A6DE2" w:rsidP="000A6DE2">
      <w:pPr>
        <w:spacing w:after="0" w:line="240" w:lineRule="auto"/>
        <w:rPr>
          <w:rFonts w:ascii="Times New Roman" w:eastAsia="Calibri" w:hAnsi="Times New Roman" w:cs="Times New Roman"/>
          <w:u w:val="single"/>
          <w:lang w:eastAsia="lt-LT"/>
        </w:rPr>
      </w:pPr>
    </w:p>
    <w:p w14:paraId="4FC4B81D"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lastRenderedPageBreak/>
        <w:t>Pacientams, kurių inkstų  funkcija sutrikusi</w:t>
      </w:r>
    </w:p>
    <w:p w14:paraId="48D8042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Sunkiu inkstų nepakankamumu sergančius pacientus reikia pradėti gydyti mažesne, pvz., 10 mg, paros doze. Vėliau ją reikia padidinti iki 1 mg/kg kūno svorio arba iki didžiausios toleruojamos dozės (žr. 4.4 skyrių).</w:t>
      </w:r>
    </w:p>
    <w:p w14:paraId="22244148" w14:textId="77777777" w:rsidR="000A6DE2" w:rsidRPr="000A6DE2" w:rsidRDefault="000A6DE2" w:rsidP="000A6DE2">
      <w:pPr>
        <w:spacing w:after="0" w:line="240" w:lineRule="auto"/>
        <w:rPr>
          <w:rFonts w:ascii="Times New Roman" w:eastAsia="Calibri" w:hAnsi="Times New Roman" w:cs="Times New Roman"/>
          <w:i/>
          <w:lang w:eastAsia="lt-LT"/>
        </w:rPr>
      </w:pPr>
    </w:p>
    <w:p w14:paraId="63E93D52"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Vaistinio preparato netoleruojantys pacientai</w:t>
      </w:r>
    </w:p>
    <w:p w14:paraId="05E26EA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atsiranda sunkių rekomenduojamos dozės netoleravimo simptomų, gydymą galima tęsti mažesne doze, tačiau tokiu atveju vaistiniu preparatu tenka gydyti ilgiau ir didėja spuogų atsinaujinimo rizika. Norint pasiekti didžiausią galimą veiksmingumą, tokių žmonių gydymą paprastai reikia tęsti didžiausia toleruojama paros doze.</w:t>
      </w:r>
    </w:p>
    <w:p w14:paraId="5ABB9372" w14:textId="77777777" w:rsidR="000A6DE2" w:rsidRPr="000A6DE2" w:rsidRDefault="000A6DE2" w:rsidP="000A6DE2">
      <w:pPr>
        <w:spacing w:after="0" w:line="240" w:lineRule="auto"/>
        <w:rPr>
          <w:rFonts w:ascii="Times New Roman" w:eastAsia="Calibri" w:hAnsi="Times New Roman" w:cs="Times New Roman"/>
          <w:b/>
          <w:lang w:eastAsia="lt-LT"/>
        </w:rPr>
      </w:pPr>
    </w:p>
    <w:p w14:paraId="69145EA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4.3</w:t>
      </w:r>
      <w:r w:rsidRPr="000A6DE2">
        <w:rPr>
          <w:rFonts w:ascii="Times New Roman" w:eastAsia="Calibri" w:hAnsi="Times New Roman" w:cs="Times New Roman"/>
          <w:b/>
          <w:lang w:eastAsia="lt-LT"/>
        </w:rPr>
        <w:tab/>
        <w:t>Kontraindikacijos</w:t>
      </w:r>
    </w:p>
    <w:p w14:paraId="4D7FBECD"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p>
    <w:p w14:paraId="38C796A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Izotretinoiną vartoti draudžiama</w:t>
      </w:r>
      <w:r w:rsidRPr="000A6DE2" w:rsidDel="0011210B">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nėščioms ir žindančioms moterims  (žr. 4.6 skyrių).</w:t>
      </w:r>
    </w:p>
    <w:p w14:paraId="5BEBC994"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lang w:eastAsia="lt-LT"/>
        </w:rPr>
        <w:t>Izotretinoiną vartoti draudžiama  planuojančioms pastoti moterims, išskyrus tuos atvejus, kai moteris vykdo apsaugos nuo nėštumo programą (žr. 4.4 skyrių).</w:t>
      </w:r>
    </w:p>
    <w:p w14:paraId="7FA11A17" w14:textId="77777777" w:rsidR="000A6DE2" w:rsidRPr="000A6DE2" w:rsidRDefault="000A6DE2" w:rsidP="000A6DE2">
      <w:pPr>
        <w:spacing w:after="0" w:line="240" w:lineRule="auto"/>
        <w:rPr>
          <w:rFonts w:ascii="Times New Roman" w:eastAsia="Calibri" w:hAnsi="Times New Roman" w:cs="Times New Roman"/>
          <w:lang w:eastAsia="lt-LT"/>
        </w:rPr>
      </w:pPr>
    </w:p>
    <w:p w14:paraId="6272D0B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Izotretinoiną  taip pat vartoti draudžiama, jei padidėjęs jautrumas izotretinoinui arba bet kuriai 6.1 skyriuje nurodytai pagalbinei medžiagai. Roaccutane 20 mg kapsulėse yra rafinuoto sojų aliejaus, iš dalies hidrinto sojų aliejaus ir hidrinto sojų aliejaus, todėl Roaccutane 20 mg kapsules draudžiama vartoti žmonėms, kurie yra alergiški žemės riešutams arba sojai.</w:t>
      </w:r>
    </w:p>
    <w:p w14:paraId="69BD560A" w14:textId="77777777" w:rsidR="000A6DE2" w:rsidRPr="000A6DE2" w:rsidRDefault="000A6DE2" w:rsidP="000A6DE2">
      <w:pPr>
        <w:spacing w:after="0" w:line="240" w:lineRule="auto"/>
        <w:rPr>
          <w:rFonts w:ascii="Times New Roman" w:eastAsia="Calibri" w:hAnsi="Times New Roman" w:cs="Times New Roman"/>
          <w:b/>
          <w:lang w:eastAsia="lt-LT"/>
        </w:rPr>
      </w:pPr>
    </w:p>
    <w:p w14:paraId="1F9AB6D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Izotretinoiną vartoti taip pat draudžiama pacientams, turintiems:</w:t>
      </w:r>
    </w:p>
    <w:p w14:paraId="0D663872"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Kepenų veiklos nepakankamumą.</w:t>
      </w:r>
    </w:p>
    <w:p w14:paraId="25902011"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Per didelį lipidų kiekį kraujyje.</w:t>
      </w:r>
    </w:p>
    <w:p w14:paraId="252AFDED"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Vitamino A hipervitaminozę.</w:t>
      </w:r>
    </w:p>
    <w:p w14:paraId="7D5C2717"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Gydomiems tetraciklinais (žr. 4.5 skyrių).</w:t>
      </w:r>
    </w:p>
    <w:p w14:paraId="53548DD2" w14:textId="77777777" w:rsidR="000A6DE2" w:rsidRPr="000A6DE2" w:rsidRDefault="000A6DE2" w:rsidP="000A6DE2">
      <w:pPr>
        <w:spacing w:after="0" w:line="240" w:lineRule="auto"/>
        <w:rPr>
          <w:rFonts w:ascii="Times New Roman" w:eastAsia="Calibri" w:hAnsi="Times New Roman" w:cs="Times New Roman"/>
          <w:b/>
          <w:lang w:eastAsia="lt-LT"/>
        </w:rPr>
      </w:pPr>
    </w:p>
    <w:p w14:paraId="6DD1A3D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4.4</w:t>
      </w:r>
      <w:r w:rsidRPr="000A6DE2">
        <w:rPr>
          <w:rFonts w:ascii="Times New Roman" w:eastAsia="Calibri" w:hAnsi="Times New Roman" w:cs="Times New Roman"/>
          <w:b/>
          <w:lang w:eastAsia="lt-LT"/>
        </w:rPr>
        <w:tab/>
        <w:t>Specialūs įspėjimai ir atsargumo priemonės</w:t>
      </w:r>
    </w:p>
    <w:p w14:paraId="1E87D7FC" w14:textId="77777777" w:rsidR="000A6DE2" w:rsidRPr="000A6DE2" w:rsidRDefault="000A6DE2" w:rsidP="000A6DE2">
      <w:pPr>
        <w:spacing w:after="0" w:line="240" w:lineRule="auto"/>
        <w:rPr>
          <w:rFonts w:ascii="Times New Roman" w:eastAsia="Calibri" w:hAnsi="Times New Roman" w:cs="Times New Roman"/>
          <w:b/>
          <w:i/>
          <w:lang w:eastAsia="lt-LT"/>
        </w:rPr>
      </w:pPr>
    </w:p>
    <w:p w14:paraId="5C75A6B4"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r w:rsidRPr="000A6DE2">
        <w:rPr>
          <w:rFonts w:ascii="Times New Roman" w:eastAsia="Calibri" w:hAnsi="Times New Roman" w:cs="Times New Roman"/>
          <w:b/>
          <w:iCs/>
          <w:szCs w:val="18"/>
          <w:lang w:eastAsia="lt-LT"/>
        </w:rPr>
        <w:t>Teratogeninis poveikis</w:t>
      </w:r>
    </w:p>
    <w:p w14:paraId="28891E29"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0A6DE2">
        <w:rPr>
          <w:rFonts w:ascii="Times New Roman" w:eastAsia="Calibri" w:hAnsi="Times New Roman" w:cs="Times New Roman"/>
          <w:lang w:eastAsia="lt-LT"/>
        </w:rPr>
        <w:t>Roaccutane</w:t>
      </w:r>
      <w:r w:rsidRPr="000A6DE2">
        <w:rPr>
          <w:rFonts w:ascii="Times New Roman" w:eastAsia="Calibri" w:hAnsi="Times New Roman" w:cs="Times New Roman"/>
          <w:iCs/>
          <w:szCs w:val="18"/>
          <w:lang w:eastAsia="lt-LT"/>
        </w:rPr>
        <w:t xml:space="preserve"> žmogui yra stiprus teratogenas, labai dažnai sukeliantis sunkius ir gyvybei pavojingus apsigimimus.</w:t>
      </w:r>
    </w:p>
    <w:p w14:paraId="2F56CB69"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p>
    <w:p w14:paraId="2FC63DAF"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r w:rsidRPr="000A6DE2">
        <w:rPr>
          <w:rFonts w:ascii="Times New Roman" w:eastAsia="Calibri" w:hAnsi="Times New Roman" w:cs="Times New Roman"/>
          <w:b/>
          <w:iCs/>
          <w:szCs w:val="18"/>
          <w:lang w:eastAsia="lt-LT"/>
        </w:rPr>
        <w:t>Roaccutane griežtai draudžiama skirti:</w:t>
      </w:r>
    </w:p>
    <w:p w14:paraId="63392170"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0A6DE2">
        <w:rPr>
          <w:rFonts w:ascii="Times New Roman" w:eastAsia="Calibri" w:hAnsi="Times New Roman" w:cs="Times New Roman"/>
          <w:iCs/>
          <w:szCs w:val="18"/>
          <w:lang w:eastAsia="lt-LT"/>
        </w:rPr>
        <w:t>- Nėščioms moterims</w:t>
      </w:r>
    </w:p>
    <w:p w14:paraId="21C4AEBD"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0A6DE2">
        <w:rPr>
          <w:rFonts w:ascii="Times New Roman" w:eastAsia="Calibri" w:hAnsi="Times New Roman" w:cs="Times New Roman"/>
          <w:iCs/>
          <w:szCs w:val="18"/>
          <w:lang w:eastAsia="lt-LT"/>
        </w:rPr>
        <w:t xml:space="preserve">- </w:t>
      </w:r>
      <w:r w:rsidRPr="000A6DE2">
        <w:rPr>
          <w:rFonts w:ascii="Times New Roman" w:eastAsia="Calibri" w:hAnsi="Times New Roman" w:cs="Times New Roman"/>
          <w:szCs w:val="18"/>
          <w:lang w:eastAsia="zh-CN"/>
        </w:rPr>
        <w:t>Vaisingoms moterims, išskyrus atvejus, kai moteris atitinka visas Apsaugos nuo nėštumo</w:t>
      </w:r>
      <w:r w:rsidRPr="000A6DE2" w:rsidDel="00E62246">
        <w:rPr>
          <w:rFonts w:ascii="Times New Roman" w:eastAsia="Calibri" w:hAnsi="Times New Roman" w:cs="Times New Roman"/>
          <w:szCs w:val="18"/>
          <w:lang w:eastAsia="zh-CN"/>
        </w:rPr>
        <w:t xml:space="preserve"> </w:t>
      </w:r>
      <w:r w:rsidRPr="000A6DE2">
        <w:rPr>
          <w:rFonts w:ascii="Times New Roman" w:eastAsia="Calibri" w:hAnsi="Times New Roman" w:cs="Times New Roman"/>
          <w:szCs w:val="18"/>
          <w:lang w:eastAsia="zh-CN"/>
        </w:rPr>
        <w:t>programos sąlygas</w:t>
      </w:r>
    </w:p>
    <w:p w14:paraId="11705577" w14:textId="77777777" w:rsidR="000A6DE2" w:rsidRPr="000A6DE2" w:rsidRDefault="000A6DE2" w:rsidP="000A6DE2">
      <w:pPr>
        <w:spacing w:after="0" w:line="240" w:lineRule="auto"/>
        <w:rPr>
          <w:rFonts w:ascii="Times New Roman" w:eastAsia="Calibri" w:hAnsi="Times New Roman" w:cs="Times New Roman"/>
          <w:lang w:eastAsia="lt-LT"/>
        </w:rPr>
      </w:pPr>
    </w:p>
    <w:p w14:paraId="1D8B70AD" w14:textId="77777777" w:rsidR="000A6DE2" w:rsidRPr="000A6DE2" w:rsidRDefault="000A6DE2" w:rsidP="000A6DE2">
      <w:pPr>
        <w:spacing w:after="0" w:line="240" w:lineRule="auto"/>
        <w:rPr>
          <w:rFonts w:ascii="Times New Roman" w:eastAsia="Calibri" w:hAnsi="Times New Roman" w:cs="Times New Roman"/>
          <w:b/>
          <w:i/>
          <w:lang w:eastAsia="lt-LT"/>
        </w:rPr>
      </w:pPr>
      <w:r w:rsidRPr="000A6DE2">
        <w:rPr>
          <w:rFonts w:ascii="Calibri" w:eastAsia="Calibri" w:hAnsi="Calibri" w:cs="Times New Roman"/>
          <w:lang w:eastAsia="lt-LT"/>
        </w:rPr>
        <w:t xml:space="preserve"> </w:t>
      </w:r>
      <w:r w:rsidRPr="000A6DE2">
        <w:rPr>
          <w:rFonts w:ascii="Times New Roman" w:eastAsia="Calibri" w:hAnsi="Times New Roman" w:cs="Times New Roman"/>
          <w:b/>
          <w:i/>
          <w:lang w:eastAsia="lt-LT"/>
        </w:rPr>
        <w:t>Apsaugos nuo nėštumo programa</w:t>
      </w:r>
    </w:p>
    <w:p w14:paraId="096E6A67" w14:textId="77777777" w:rsidR="000A6DE2" w:rsidRPr="000A6DE2" w:rsidRDefault="000A6DE2" w:rsidP="000A6DE2">
      <w:pPr>
        <w:spacing w:after="0" w:line="240" w:lineRule="auto"/>
        <w:rPr>
          <w:rFonts w:ascii="Times New Roman" w:eastAsia="Calibri" w:hAnsi="Times New Roman" w:cs="Times New Roman"/>
          <w:lang w:eastAsia="lt-LT"/>
        </w:rPr>
      </w:pPr>
    </w:p>
    <w:p w14:paraId="6BF4A4D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Šiam vaistiniam preparatui būdingas TERATOGENINIS POVEIKIS.</w:t>
      </w:r>
    </w:p>
    <w:p w14:paraId="2363D6FF" w14:textId="77777777" w:rsidR="000A6DE2" w:rsidRPr="000A6DE2" w:rsidRDefault="000A6DE2" w:rsidP="000A6DE2">
      <w:pPr>
        <w:spacing w:after="0" w:line="240" w:lineRule="auto"/>
        <w:rPr>
          <w:rFonts w:ascii="Times New Roman" w:eastAsia="Calibri" w:hAnsi="Times New Roman" w:cs="Times New Roman"/>
          <w:lang w:eastAsia="lt-LT"/>
        </w:rPr>
      </w:pPr>
    </w:p>
    <w:p w14:paraId="483BABD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Vaisingoms moterims izotretinoino vartoti draudžiama, išskyrus atvejus, kai visiškai įvykdomos visos žemiau išvardytos Apsaugos nuo nėštumo</w:t>
      </w:r>
      <w:r w:rsidRPr="000A6DE2" w:rsidDel="00E62246">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 xml:space="preserve"> programos sąlygos.</w:t>
      </w:r>
    </w:p>
    <w:p w14:paraId="343CEBBE" w14:textId="77777777" w:rsidR="000A6DE2" w:rsidRPr="000A6DE2" w:rsidRDefault="000A6DE2" w:rsidP="000A6DE2">
      <w:pPr>
        <w:spacing w:after="0" w:line="240" w:lineRule="auto"/>
        <w:rPr>
          <w:rFonts w:ascii="Times New Roman" w:eastAsia="Calibri" w:hAnsi="Times New Roman" w:cs="Times New Roman"/>
          <w:lang w:eastAsia="lt-LT"/>
        </w:rPr>
      </w:pPr>
    </w:p>
    <w:p w14:paraId="202CA32E"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Spuogai yra sunkios formos (pvz., mazginiai, susiliejantys arba galintys palikti neišnykstančių randų) ir jų gydymas tinkamais įprastų sisteminio poveikio antibakterinių vaistinių preparatų kursais ir lokalus gydymas buvo neveiksmingi (žr. 4.1 skyrių „Terapinės indikacijos“).</w:t>
      </w:r>
    </w:p>
    <w:p w14:paraId="6B7CD64D" w14:textId="77777777" w:rsidR="000A6DE2" w:rsidRPr="000A6DE2" w:rsidRDefault="000A6DE2" w:rsidP="000A6DE2">
      <w:pPr>
        <w:numPr>
          <w:ilvl w:val="0"/>
          <w:numId w:val="3"/>
        </w:numPr>
        <w:tabs>
          <w:tab w:val="left" w:pos="567"/>
        </w:tabs>
        <w:spacing w:after="0" w:line="240" w:lineRule="auto"/>
        <w:ind w:left="567" w:hanging="567"/>
        <w:rPr>
          <w:rFonts w:ascii="Times New Roman" w:eastAsia="Calibri" w:hAnsi="Times New Roman" w:cs="Times New Roman"/>
          <w:b/>
          <w:lang w:eastAsia="lt-LT"/>
        </w:rPr>
      </w:pPr>
      <w:r w:rsidRPr="000A6DE2">
        <w:rPr>
          <w:rFonts w:ascii="Times New Roman" w:eastAsia="Calibri" w:hAnsi="Times New Roman" w:cs="Times New Roman"/>
          <w:lang w:eastAsia="lt-LT"/>
        </w:rPr>
        <w:t>Privaloma įvertinti visų pacienčių moterų tikimybę pastoti.</w:t>
      </w:r>
    </w:p>
    <w:p w14:paraId="2F3649D3"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
    <w:p w14:paraId="50BAF540"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supranta teratogeninio poveikio riziką.</w:t>
      </w:r>
    </w:p>
    <w:p w14:paraId="2F5F6AAC"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suvokia tikslaus kasmėnesinio ištyrimo būtinumą.</w:t>
      </w:r>
    </w:p>
    <w:p w14:paraId="7A8C1AD4"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 xml:space="preserve">Pacientė supranta veiksmingų kontracepcijos priemonių būtinumą ir sutinka nepertraukiamai jomis naudotis mėnesį prieš gydymą, viso gydymo metu ir vieną mėnesį po jo. Reikia naudotis </w:t>
      </w:r>
      <w:r w:rsidRPr="000A6DE2">
        <w:rPr>
          <w:rFonts w:ascii="Times New Roman" w:eastAsia="Calibri" w:hAnsi="Times New Roman" w:cs="Times New Roman"/>
          <w:lang w:eastAsia="lt-LT"/>
        </w:rPr>
        <w:lastRenderedPageBreak/>
        <w:t>bent vienu (pvz., nuo vartotojos nepriklausomos formos), bet geriau dviem, vienas kitą papildančiais, nuo vartotojų priklausomais kontracepcijos metodais.</w:t>
      </w:r>
    </w:p>
    <w:p w14:paraId="6BEE28C1" w14:textId="77777777" w:rsidR="000A6DE2" w:rsidRPr="000A6DE2" w:rsidRDefault="000A6DE2" w:rsidP="000A6DE2">
      <w:pPr>
        <w:numPr>
          <w:ilvl w:val="0"/>
          <w:numId w:val="30"/>
        </w:numPr>
        <w:spacing w:after="200" w:line="276"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  Parenkant kontracepcijos metodą, kiekvienu atveju turi būti vertinamos individualios aplinkybės,  į diskusiją įtraukiant ir pacientę, kad būtų  užtikrintas pacientės dalyvavimas  ir parinkto kontracepcijos metodo laikymasis.</w:t>
      </w:r>
    </w:p>
    <w:p w14:paraId="2A9E6A21" w14:textId="77777777" w:rsidR="000A6DE2" w:rsidRPr="000A6DE2" w:rsidRDefault="000A6DE2" w:rsidP="000A6DE2">
      <w:pPr>
        <w:tabs>
          <w:tab w:val="left" w:pos="567"/>
        </w:tabs>
        <w:spacing w:after="0" w:line="240" w:lineRule="auto"/>
        <w:ind w:left="720" w:hanging="720"/>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visų veiksmingos kontracepcijos patarimų laikysis net ir amenorėjos atveju.</w:t>
      </w:r>
    </w:p>
    <w:p w14:paraId="1A5A2AC3"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informuota ir supranta galimas nėštumo komplikacijas bei greito kreipimosi į gydytoją atsiradus įtarimui, jog ji gali būti pastojusi, arba kai galbūt jau yra pastojusi, būtinumą.</w:t>
      </w:r>
    </w:p>
    <w:p w14:paraId="10274C37"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supranta būtinumą ir sutinka reguliariai atlikti nėštumo testą prieš pradedant gydymą, idealiu atveju gydymo metu kas mėnesį ir po vieno mėnesio baigus gydymą.</w:t>
      </w:r>
    </w:p>
    <w:p w14:paraId="4EA3977F"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patvirtina, jog ji supranta izotretinoino vartojimo metu kylantį pavojų ir atsargumo priemonių svarbą.</w:t>
      </w:r>
    </w:p>
    <w:p w14:paraId="74F7C1D8" w14:textId="77777777" w:rsidR="000A6DE2" w:rsidRPr="000A6DE2" w:rsidRDefault="000A6DE2" w:rsidP="000A6DE2">
      <w:pPr>
        <w:spacing w:after="0" w:line="240" w:lineRule="auto"/>
        <w:rPr>
          <w:rFonts w:ascii="Times New Roman" w:eastAsia="Calibri" w:hAnsi="Times New Roman" w:cs="Times New Roman"/>
          <w:lang w:eastAsia="lt-LT"/>
        </w:rPr>
      </w:pPr>
    </w:p>
    <w:p w14:paraId="5FD46C1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Šios sąlygos taikomos ir toms moterims, kurios lytinių santykių gydymo laikotarpiu neturi, išskyrus kai gydytojas nustato įtikinamas priežastis, jog tikimybės pastoti nėra.</w:t>
      </w:r>
    </w:p>
    <w:p w14:paraId="73436221" w14:textId="77777777" w:rsidR="000A6DE2" w:rsidRPr="000A6DE2" w:rsidRDefault="000A6DE2" w:rsidP="000A6DE2">
      <w:pPr>
        <w:spacing w:after="0" w:line="240" w:lineRule="auto"/>
        <w:rPr>
          <w:rFonts w:ascii="Times New Roman" w:eastAsia="Calibri" w:hAnsi="Times New Roman" w:cs="Times New Roman"/>
          <w:lang w:eastAsia="lt-LT"/>
        </w:rPr>
      </w:pPr>
    </w:p>
    <w:p w14:paraId="7B187988" w14:textId="77777777" w:rsidR="000A6DE2" w:rsidRPr="000A6DE2" w:rsidRDefault="000A6DE2" w:rsidP="000A6DE2">
      <w:pPr>
        <w:keepNext/>
        <w:keepLines/>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Vaistinį preparatą išrašantis gydytojas turi būti tikras, kad:</w:t>
      </w:r>
    </w:p>
    <w:p w14:paraId="74FB45D2"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laikosi aukščiau išvardytų apsaugos nuo nėštumo sąlygų ir patvirtina, kad tai pakankamai supranta;</w:t>
      </w:r>
    </w:p>
    <w:p w14:paraId="66B28D63"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pripažįsta aukščiau minėtas sąlygas;</w:t>
      </w:r>
    </w:p>
    <w:p w14:paraId="6AE6F1CB"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supranta, kad ji privalo nuolat ir tinkamai naudotis vienu labai veiksmingu kontracepcijos metodu (pvz., nuo vartotojos nepriklausomos formos) arba dviem vienas kitą papildančiais nuo vartotojų priklausomais kontracepcijos metodais bent vieną mėnesį prieš pradedant gydymą, visu gydymo laikotarpiu ir ne trumpiau kaip vieną mėnesį po gydymo pabaigos;</w:t>
      </w:r>
    </w:p>
    <w:p w14:paraId="38D6E8F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prieš gydymą, jo metu ir 1 mėnesį po gydymo nėštumo testo rezultatai buvo neigiami (testų datą ir gautus rezultatus reikia dokumentuoti).</w:t>
      </w:r>
    </w:p>
    <w:p w14:paraId="27B50FA6" w14:textId="77777777" w:rsidR="000A6DE2" w:rsidRPr="000A6DE2" w:rsidRDefault="000A6DE2" w:rsidP="000A6DE2">
      <w:pPr>
        <w:spacing w:after="0" w:line="240" w:lineRule="auto"/>
        <w:rPr>
          <w:rFonts w:ascii="Times New Roman" w:eastAsia="Calibri" w:hAnsi="Times New Roman" w:cs="Times New Roman"/>
          <w:lang w:eastAsia="lt-LT"/>
        </w:rPr>
      </w:pPr>
    </w:p>
    <w:p w14:paraId="68260FB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izotretinoinu gydoma moteris pastoja, gydymas privalo būti nutrauktas, o pacientė nukreipta pas gydytoją, kuris specializuojasi arba turi teratologijos patirties, kad jis galėtų tai įvertinti ir patarti.</w:t>
      </w:r>
    </w:p>
    <w:p w14:paraId="173508F1" w14:textId="77777777" w:rsidR="000A6DE2" w:rsidRPr="000A6DE2" w:rsidRDefault="000A6DE2" w:rsidP="000A6DE2">
      <w:pPr>
        <w:spacing w:after="0" w:line="240" w:lineRule="auto"/>
        <w:rPr>
          <w:rFonts w:ascii="Times New Roman" w:eastAsia="Calibri" w:hAnsi="Times New Roman" w:cs="Times New Roman"/>
          <w:lang w:eastAsia="lt-LT"/>
        </w:rPr>
      </w:pPr>
    </w:p>
    <w:p w14:paraId="68A4C0E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pacientė pastoja po gydymo nutraukimo, sunkių apsigimimų pavojus išlieka. Ši rizika išlieka kol vaistinis preparatas bus visiškai pašalintas iš organizmo, tai yra, vieną mėnesį po gydymo pabaigos.</w:t>
      </w:r>
    </w:p>
    <w:p w14:paraId="1388E5A3" w14:textId="77777777" w:rsidR="000A6DE2" w:rsidRPr="000A6DE2" w:rsidRDefault="000A6DE2" w:rsidP="000A6DE2">
      <w:pPr>
        <w:spacing w:after="0" w:line="240" w:lineRule="auto"/>
        <w:rPr>
          <w:rFonts w:ascii="Times New Roman" w:eastAsia="Calibri" w:hAnsi="Times New Roman" w:cs="Times New Roman"/>
          <w:lang w:eastAsia="lt-LT"/>
        </w:rPr>
      </w:pPr>
    </w:p>
    <w:p w14:paraId="05DE6CE5"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Kontracepcija</w:t>
      </w:r>
    </w:p>
    <w:p w14:paraId="4104360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Moteris būtina išsamiai informuoti apie apsaugą nuo nėštumo ir toms, kurios veiksmingomis kontraceptinėmis priemonėmis nesinaudoja, nukreipti konsultacijai dėl kontracepcijos. Jeigu vaistinį preparatą skiriantis gydytojas negali tokios informacijos suteikti, jis turi nukreipti pacientę specialisto konsultacijai.</w:t>
      </w:r>
    </w:p>
    <w:p w14:paraId="59998428" w14:textId="77777777" w:rsidR="000A6DE2" w:rsidRPr="000A6DE2" w:rsidRDefault="000A6DE2" w:rsidP="000A6DE2">
      <w:pPr>
        <w:spacing w:after="0" w:line="240" w:lineRule="auto"/>
        <w:rPr>
          <w:rFonts w:ascii="Times New Roman" w:eastAsia="Calibri" w:hAnsi="Times New Roman" w:cs="Times New Roman"/>
          <w:lang w:eastAsia="lt-LT"/>
        </w:rPr>
      </w:pPr>
    </w:p>
    <w:p w14:paraId="716FD5A9"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Minimalus reikalavimas yra toks, kad vaisinga pacientė moteris privalo naudotis </w:t>
      </w:r>
      <w:r w:rsidRPr="000A6DE2">
        <w:rPr>
          <w:rFonts w:ascii="Times New Roman" w:eastAsia="Calibri" w:hAnsi="Times New Roman" w:cs="Times New Roman"/>
          <w:lang w:eastAsia="lt-LT" w:bidi="en-US"/>
        </w:rPr>
        <w:t xml:space="preserve">vienu </w:t>
      </w:r>
      <w:r w:rsidRPr="000A6DE2">
        <w:rPr>
          <w:rFonts w:ascii="Times New Roman" w:eastAsia="Calibri" w:hAnsi="Times New Roman" w:cs="Times New Roman"/>
          <w:lang w:eastAsia="lt-LT"/>
        </w:rPr>
        <w:t>labai</w:t>
      </w:r>
      <w:r w:rsidRPr="000A6DE2">
        <w:rPr>
          <w:rFonts w:ascii="Times New Roman" w:eastAsia="Calibri" w:hAnsi="Times New Roman" w:cs="Times New Roman"/>
          <w:lang w:eastAsia="lt-LT" w:bidi="en-US"/>
        </w:rPr>
        <w:t xml:space="preserve"> veiksming</w:t>
      </w:r>
      <w:r w:rsidRPr="000A6DE2">
        <w:rPr>
          <w:rFonts w:ascii="Times New Roman" w:eastAsia="Calibri" w:hAnsi="Times New Roman" w:cs="Times New Roman"/>
          <w:lang w:eastAsia="lt-LT"/>
        </w:rPr>
        <w:t>u</w:t>
      </w:r>
      <w:r w:rsidRPr="000A6DE2">
        <w:rPr>
          <w:rFonts w:ascii="Times New Roman" w:eastAsia="Calibri" w:hAnsi="Times New Roman" w:cs="Times New Roman"/>
          <w:lang w:eastAsia="lt-LT" w:bidi="en-US"/>
        </w:rPr>
        <w:t xml:space="preserve"> kontracepcijos </w:t>
      </w:r>
      <w:r w:rsidRPr="000A6DE2">
        <w:rPr>
          <w:rFonts w:ascii="Times New Roman" w:eastAsia="Calibri" w:hAnsi="Times New Roman" w:cs="Times New Roman"/>
          <w:lang w:eastAsia="lt-LT"/>
        </w:rPr>
        <w:t xml:space="preserve">metodu (pvz., nuo vartotojos nepriklausomos formos) arba dviem vienas kitą papildančiais nuo vartotojų priklausomais kontracepcijos metodais. Kontracepcija turi būti naudojama bent vieną </w:t>
      </w:r>
      <w:r w:rsidRPr="000A6DE2">
        <w:rPr>
          <w:rFonts w:ascii="Times New Roman" w:eastAsia="Calibri" w:hAnsi="Times New Roman" w:cs="Times New Roman"/>
          <w:lang w:eastAsia="lt-LT" w:bidi="en-US"/>
        </w:rPr>
        <w:t xml:space="preserve">mėnesį prieš </w:t>
      </w:r>
      <w:r w:rsidRPr="000A6DE2">
        <w:rPr>
          <w:rFonts w:ascii="Times New Roman" w:eastAsia="Calibri" w:hAnsi="Times New Roman" w:cs="Times New Roman"/>
          <w:lang w:eastAsia="lt-LT"/>
        </w:rPr>
        <w:t xml:space="preserve">pradedant </w:t>
      </w:r>
      <w:r w:rsidRPr="000A6DE2">
        <w:rPr>
          <w:rFonts w:ascii="Times New Roman" w:eastAsia="Calibri" w:hAnsi="Times New Roman" w:cs="Times New Roman"/>
          <w:lang w:eastAsia="lt-LT" w:bidi="en-US"/>
        </w:rPr>
        <w:t xml:space="preserve">gydymą, visu gydymo laikotarpiu ir tęsiama ne trumpiau kaip </w:t>
      </w:r>
      <w:r w:rsidRPr="000A6DE2">
        <w:rPr>
          <w:rFonts w:ascii="Times New Roman" w:eastAsia="Calibri" w:hAnsi="Times New Roman" w:cs="Times New Roman"/>
          <w:lang w:eastAsia="lt-LT"/>
        </w:rPr>
        <w:t xml:space="preserve">vieną </w:t>
      </w:r>
      <w:r w:rsidRPr="000A6DE2">
        <w:rPr>
          <w:rFonts w:ascii="Times New Roman" w:eastAsia="Calibri" w:hAnsi="Times New Roman" w:cs="Times New Roman"/>
          <w:lang w:eastAsia="lt-LT" w:bidi="en-US"/>
        </w:rPr>
        <w:t xml:space="preserve">mėnesį po </w:t>
      </w:r>
      <w:r w:rsidRPr="000A6DE2">
        <w:rPr>
          <w:rFonts w:ascii="Times New Roman" w:eastAsia="Calibri" w:hAnsi="Times New Roman" w:cs="Times New Roman"/>
          <w:lang w:eastAsia="lt-LT"/>
        </w:rPr>
        <w:t>gydymo izotretinoinu pabaigos net ir tuo atveju, kai pacientei yra amenorėja.</w:t>
      </w:r>
    </w:p>
    <w:p w14:paraId="6A649A25"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p>
    <w:p w14:paraId="307A710F"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Parenkant kontracepcijos metodą, kiekvienu atveju turi būti vertinamos individualios aplinkybės, į diskusiją įtraukiant ir pacientę, kad būtų  užtikrintas pacientės dalyvavimas  ir parinkto kontracepcijos metodo laikymasis.</w:t>
      </w:r>
    </w:p>
    <w:p w14:paraId="64500A57"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p>
    <w:p w14:paraId="6DA986CA" w14:textId="77777777" w:rsidR="000A6DE2" w:rsidRPr="000A6DE2" w:rsidRDefault="000A6DE2" w:rsidP="000A6DE2">
      <w:pPr>
        <w:keepNext/>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Nėštumo testai</w:t>
      </w:r>
    </w:p>
    <w:p w14:paraId="1BA4F5C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Laikantis vietinės praktikos reikalavimų, gydytojo prižiūrimą nėštumo testą, kurio jautrumas yra ne mažesnis kaip 25 mTV/ml, rekomenduojama atlikti kaip nurodyta toliau.</w:t>
      </w:r>
    </w:p>
    <w:p w14:paraId="2274EF6A" w14:textId="77777777" w:rsidR="000A6DE2" w:rsidRPr="000A6DE2" w:rsidRDefault="000A6DE2" w:rsidP="000A6DE2">
      <w:pPr>
        <w:spacing w:after="0" w:line="240" w:lineRule="auto"/>
        <w:rPr>
          <w:rFonts w:ascii="Times New Roman" w:eastAsia="Calibri" w:hAnsi="Times New Roman" w:cs="Times New Roman"/>
          <w:i/>
          <w:u w:val="single"/>
          <w:lang w:eastAsia="lt-LT"/>
        </w:rPr>
      </w:pPr>
    </w:p>
    <w:p w14:paraId="7B118A79"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Prieš pradedant gydymą</w:t>
      </w:r>
    </w:p>
    <w:p w14:paraId="6AFA436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lastRenderedPageBreak/>
        <w:t>Mažiausiai mėnesį pacientei vartojus kontracepciją ir nedaug likus (geriausia, keletui dienų) iki pirmojo paskyrimo, pacientė turi atlikti nėštumo testą medikui prižiūrint. Šis testas turi užtikrinti, kad gydytis izotretinoinu pradėsianti pacientė nėra nėščia.</w:t>
      </w:r>
    </w:p>
    <w:p w14:paraId="1DF8EBF0" w14:textId="77777777" w:rsidR="000A6DE2" w:rsidRPr="000A6DE2" w:rsidRDefault="000A6DE2" w:rsidP="000A6DE2">
      <w:pPr>
        <w:spacing w:after="0" w:line="240" w:lineRule="auto"/>
        <w:rPr>
          <w:rFonts w:ascii="Times New Roman" w:eastAsia="Calibri" w:hAnsi="Times New Roman" w:cs="Times New Roman"/>
          <w:i/>
          <w:u w:val="single"/>
          <w:lang w:eastAsia="lt-LT"/>
        </w:rPr>
      </w:pPr>
    </w:p>
    <w:p w14:paraId="7180131A"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Stebėsenos apsilankymai</w:t>
      </w:r>
    </w:p>
    <w:p w14:paraId="5969C022" w14:textId="77777777" w:rsidR="000A6DE2" w:rsidRPr="000A6DE2" w:rsidRDefault="000A6DE2" w:rsidP="000A6DE2">
      <w:pPr>
        <w:spacing w:after="0" w:line="240" w:lineRule="auto"/>
        <w:rPr>
          <w:rFonts w:ascii="Times New Roman" w:eastAsia="Calibri" w:hAnsi="Times New Roman" w:cs="Times New Roman"/>
          <w:i/>
          <w:lang w:eastAsia="lt-LT"/>
        </w:rPr>
      </w:pPr>
    </w:p>
    <w:p w14:paraId="48FCC39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Pacientė pas gydytoją turi lankytis reguliariai, idealiu atveju kas mėnesį. Ar būtina kas mėnesį atlikti gydytojo prižiūrimą nėštumo testą, reikia nustatyti atsižvelgiant į vietinės praktikos reikalavimus ir seksualinį pacientės aktyvumą, neseniai buvusių mėnesinių pobūdį (nenormalios mėnesinės, laiku neatsiradusios mėnesinės ar amenorėja) bei kontracepcijos metodą. Prireikus nėštumo testą reikia atlikti apsilankymo pas receptą rašantį gydytoją metu arba per 3 dienas prieš apsilankymą.</w:t>
      </w:r>
    </w:p>
    <w:p w14:paraId="23E7B579" w14:textId="77777777" w:rsidR="000A6DE2" w:rsidRPr="000A6DE2" w:rsidRDefault="000A6DE2" w:rsidP="000A6DE2">
      <w:pPr>
        <w:spacing w:after="0" w:line="240" w:lineRule="auto"/>
        <w:rPr>
          <w:rFonts w:ascii="Times New Roman" w:eastAsia="Calibri" w:hAnsi="Times New Roman" w:cs="Times New Roman"/>
          <w:i/>
          <w:u w:val="single"/>
          <w:lang w:eastAsia="lt-LT"/>
        </w:rPr>
      </w:pPr>
    </w:p>
    <w:p w14:paraId="0B2998FC"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 xml:space="preserve">Baigus gydymą </w:t>
      </w:r>
    </w:p>
    <w:p w14:paraId="55DEAD99" w14:textId="77777777" w:rsidR="000A6DE2" w:rsidRPr="000A6DE2" w:rsidRDefault="000A6DE2" w:rsidP="000A6DE2">
      <w:pPr>
        <w:spacing w:after="0" w:line="240" w:lineRule="auto"/>
        <w:rPr>
          <w:rFonts w:ascii="Times New Roman" w:eastAsia="Calibri" w:hAnsi="Times New Roman" w:cs="Times New Roman"/>
          <w:b/>
          <w:i/>
          <w:lang w:eastAsia="lt-LT"/>
        </w:rPr>
      </w:pPr>
      <w:r w:rsidRPr="000A6DE2">
        <w:rPr>
          <w:rFonts w:ascii="Times New Roman" w:eastAsia="Calibri" w:hAnsi="Times New Roman" w:cs="Times New Roman"/>
          <w:lang w:eastAsia="lt-LT"/>
        </w:rPr>
        <w:t>Paskutinį nėštumo testą reikia atlikti po gydymo pabaigos praėjus vienam mėnesiui</w:t>
      </w:r>
      <w:r w:rsidRPr="000A6DE2">
        <w:rPr>
          <w:rFonts w:ascii="Times New Roman" w:eastAsia="Calibri" w:hAnsi="Times New Roman" w:cs="Times New Roman"/>
          <w:b/>
          <w:i/>
          <w:lang w:eastAsia="lt-LT"/>
        </w:rPr>
        <w:t>.</w:t>
      </w:r>
    </w:p>
    <w:p w14:paraId="5AB6AD4F" w14:textId="77777777" w:rsidR="000A6DE2" w:rsidRPr="000A6DE2" w:rsidRDefault="000A6DE2" w:rsidP="000A6DE2">
      <w:pPr>
        <w:spacing w:after="0" w:line="240" w:lineRule="auto"/>
        <w:rPr>
          <w:rFonts w:ascii="Times New Roman" w:eastAsia="Calibri" w:hAnsi="Times New Roman" w:cs="Times New Roman"/>
          <w:b/>
          <w:i/>
          <w:lang w:eastAsia="lt-LT"/>
        </w:rPr>
      </w:pPr>
    </w:p>
    <w:p w14:paraId="2D238AAA"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Išrašymo ir įsigijimo apribojimai</w:t>
      </w:r>
    </w:p>
    <w:p w14:paraId="478B62D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Norint užtikrinti reguliarų apsilankymą pas gydytoją, įskaitant nėštumo testų atlikimą ir stebėseną, idealiu atveju vaisingoms moterims Roaccutane galima išrašyti ne ilgiau kaip </w:t>
      </w:r>
      <w:r w:rsidRPr="000A6DE2">
        <w:rPr>
          <w:rFonts w:ascii="Times New Roman" w:eastAsia="Calibri" w:hAnsi="Times New Roman" w:cs="Times New Roman"/>
          <w:u w:val="single"/>
          <w:lang w:eastAsia="lt-LT"/>
        </w:rPr>
        <w:t>trisdešimčiai parų</w:t>
      </w:r>
      <w:r w:rsidRPr="000A6DE2">
        <w:rPr>
          <w:rFonts w:ascii="Times New Roman" w:eastAsia="Calibri" w:hAnsi="Times New Roman" w:cs="Times New Roman"/>
          <w:lang w:eastAsia="lt-LT"/>
        </w:rPr>
        <w:t>. Idealiu atveju tą pačią dieną turi būti</w:t>
      </w:r>
      <w:r w:rsidRPr="000A6DE2">
        <w:rPr>
          <w:rFonts w:ascii="Calibri" w:eastAsia="Calibri" w:hAnsi="Calibri" w:cs="Times New Roman"/>
          <w:lang w:eastAsia="lt-LT"/>
        </w:rPr>
        <w:t xml:space="preserve"> </w:t>
      </w:r>
      <w:r w:rsidRPr="000A6DE2">
        <w:rPr>
          <w:rFonts w:ascii="Times New Roman" w:eastAsia="Calibri" w:hAnsi="Times New Roman" w:cs="Times New Roman"/>
          <w:lang w:eastAsia="lt-LT"/>
        </w:rPr>
        <w:t>atliktas nėštumo testas, išrašytas receptas ir  ir įsigytas</w:t>
      </w:r>
      <w:r w:rsidRPr="000A6DE2" w:rsidDel="00E62246">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 xml:space="preserve">Roaccutane.  </w:t>
      </w:r>
      <w:r w:rsidRPr="000A6DE2" w:rsidDel="00E62246">
        <w:rPr>
          <w:rFonts w:ascii="Times New Roman" w:eastAsia="Calibri" w:hAnsi="Times New Roman" w:cs="Times New Roman"/>
          <w:lang w:eastAsia="lt-LT"/>
        </w:rPr>
        <w:t xml:space="preserve"> </w:t>
      </w:r>
    </w:p>
    <w:p w14:paraId="495CA096" w14:textId="77777777" w:rsidR="000A6DE2" w:rsidRPr="000A6DE2" w:rsidRDefault="000A6DE2" w:rsidP="000A6DE2">
      <w:pPr>
        <w:spacing w:after="0" w:line="240" w:lineRule="auto"/>
        <w:rPr>
          <w:rFonts w:ascii="Times New Roman" w:eastAsia="Calibri" w:hAnsi="Times New Roman" w:cs="Times New Roman"/>
          <w:lang w:eastAsia="lt-LT"/>
        </w:rPr>
      </w:pPr>
    </w:p>
    <w:p w14:paraId="01896E5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Ši kasmėnesinė stebėsena leis užtikrinti, kad būtų reguliariai atliekami nėštumo testai, stebima pacientės būklė ir kad pacientė prieš kitą gydymo ciklą nėra nėščia.</w:t>
      </w:r>
    </w:p>
    <w:p w14:paraId="105ABCE6" w14:textId="77777777" w:rsidR="000A6DE2" w:rsidRPr="000A6DE2" w:rsidRDefault="000A6DE2" w:rsidP="000A6DE2">
      <w:pPr>
        <w:spacing w:after="0" w:line="240" w:lineRule="auto"/>
        <w:rPr>
          <w:rFonts w:ascii="Times New Roman" w:eastAsia="Calibri" w:hAnsi="Times New Roman" w:cs="Times New Roman"/>
          <w:b/>
          <w:i/>
          <w:lang w:eastAsia="lt-LT"/>
        </w:rPr>
      </w:pPr>
    </w:p>
    <w:p w14:paraId="040D8D5D"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Vyrai pacientai</w:t>
      </w:r>
    </w:p>
    <w:p w14:paraId="16F4E48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Turimi duomenys rodo, jog poveikis moteriai patiriamas per paciento, vartojančio Roaccutane  spermą yra nepakankamas,  kad būtų susijęs su  teratogeniniu Roaccutane poveikiu.Vyrus reikia įspėti, kad jiems išrašyto vaistinio preparato kitiems žmonėms, ypač moterims, duoti draudžiama.</w:t>
      </w:r>
    </w:p>
    <w:p w14:paraId="4BF069B9" w14:textId="77777777" w:rsidR="000A6DE2" w:rsidRPr="000A6DE2" w:rsidRDefault="000A6DE2" w:rsidP="000A6DE2">
      <w:pPr>
        <w:spacing w:after="0" w:line="240" w:lineRule="auto"/>
        <w:rPr>
          <w:rFonts w:ascii="Times New Roman" w:eastAsia="Calibri" w:hAnsi="Times New Roman" w:cs="Times New Roman"/>
          <w:b/>
          <w:i/>
          <w:lang w:eastAsia="lt-LT"/>
        </w:rPr>
      </w:pPr>
    </w:p>
    <w:p w14:paraId="6114A965"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Kitos atsargumo priemonės</w:t>
      </w:r>
    </w:p>
    <w:p w14:paraId="70B37F4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Pacientams reikia paaiškinti, kad šio vaistinio preparato kitiems žmonėms niekada neduotų, o baigus gydymą visas nesuvartotas kapsules grąžintų vaistininkui.</w:t>
      </w:r>
    </w:p>
    <w:p w14:paraId="31269CBD" w14:textId="77777777" w:rsidR="000A6DE2" w:rsidRPr="000A6DE2" w:rsidRDefault="000A6DE2" w:rsidP="000A6DE2">
      <w:pPr>
        <w:spacing w:after="0" w:line="240" w:lineRule="auto"/>
        <w:rPr>
          <w:rFonts w:ascii="Times New Roman" w:eastAsia="Calibri" w:hAnsi="Times New Roman" w:cs="Times New Roman"/>
          <w:lang w:eastAsia="lt-LT"/>
        </w:rPr>
      </w:pPr>
    </w:p>
    <w:p w14:paraId="3157BF5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Gydymo izotretinoinu metu ir vieną mėnesį po jo pacientas negali būti kraujo donoru, kadangi jo kraujo perpylus nėščiai moteriai galimas žalingas poveikis vaisiui.</w:t>
      </w:r>
    </w:p>
    <w:p w14:paraId="0E53A3A1" w14:textId="77777777" w:rsidR="000A6DE2" w:rsidRPr="000A6DE2" w:rsidRDefault="000A6DE2" w:rsidP="000A6DE2">
      <w:pPr>
        <w:spacing w:after="0" w:line="240" w:lineRule="auto"/>
        <w:rPr>
          <w:rFonts w:ascii="Times New Roman" w:eastAsia="Calibri" w:hAnsi="Times New Roman" w:cs="Times New Roman"/>
          <w:b/>
          <w:i/>
          <w:lang w:eastAsia="lt-LT"/>
        </w:rPr>
      </w:pPr>
    </w:p>
    <w:p w14:paraId="39B90E1D"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Mokomoji medžiaga</w:t>
      </w:r>
    </w:p>
    <w:p w14:paraId="0B5F31F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Norėdamas vaistinio preparato skiriančiam gydytojui, vaistininkui ir pacientui padėti išvengti nuo izotretinoino poveikio vaisiui, šio vaistinio preparato registruotojas pateiks mokomosios medžiagos, kurioje bus informacijos apie įspėjimus dėl teratogeninio izotretinoino poveikio, patarimų dėl kontracepcijos, kuri yra būtina prieš gydymo pradžią, ir nėštumo testų atlikimo nuorodų.</w:t>
      </w:r>
    </w:p>
    <w:p w14:paraId="5E0CE337" w14:textId="77777777" w:rsidR="000A6DE2" w:rsidRPr="000A6DE2" w:rsidRDefault="000A6DE2" w:rsidP="000A6DE2">
      <w:pPr>
        <w:spacing w:after="0" w:line="240" w:lineRule="auto"/>
        <w:rPr>
          <w:rFonts w:ascii="Times New Roman" w:eastAsia="Calibri" w:hAnsi="Times New Roman" w:cs="Times New Roman"/>
          <w:lang w:eastAsia="lt-LT"/>
        </w:rPr>
      </w:pPr>
    </w:p>
    <w:p w14:paraId="2F7592F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Gydytojas tiek vyrams, tiek moterims turi pateikti visą informaciją apie teratogeninio poveikio riziką ir griežtas apsaugos nuo pastojimo priemones, nurodytas Apsaugos nuo</w:t>
      </w:r>
      <w:r w:rsidRPr="000A6DE2" w:rsidDel="00446483">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nėštumo programoje.</w:t>
      </w:r>
    </w:p>
    <w:p w14:paraId="4C92F8D9" w14:textId="77777777" w:rsidR="000A6DE2" w:rsidRPr="000A6DE2" w:rsidRDefault="000A6DE2" w:rsidP="000A6DE2">
      <w:pPr>
        <w:spacing w:after="0" w:line="240" w:lineRule="auto"/>
        <w:rPr>
          <w:rFonts w:ascii="Times New Roman" w:eastAsia="Calibri" w:hAnsi="Times New Roman" w:cs="Times New Roman"/>
          <w:b/>
          <w:i/>
          <w:lang w:eastAsia="lt-LT"/>
        </w:rPr>
      </w:pPr>
    </w:p>
    <w:p w14:paraId="3D6179BE"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Psichikos sutrikimai</w:t>
      </w:r>
    </w:p>
    <w:p w14:paraId="5F8850D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Izotretinoinu gydomiems pacientams buvo depresijos atsiradimo bei pasunkėjimo, nerimo, polinkio į agresyvumą, nuotaikos pokyčio, psichozės simptomų, labai retai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savižudybės ideacijos, bandymo žudytis ir savižudybės atvejų (žr. 4.8 skyrių). Žmones, sirgusius depresija, izotretinoinu reikia gydyti itin atsargiai. Gydant bet kokį ligonį, būtina sekti, ar neatsiranda depresijos simptomų, o atsiradus šiam sutrikimui-tinkamai jį gydyti. Jeigu izotretinoino vartojimą nutraukus simptomai nepalengvėja, gali prireikti psichiatro ir psichologo pagalbos.</w:t>
      </w:r>
    </w:p>
    <w:p w14:paraId="0B92AB71" w14:textId="77777777" w:rsidR="000A6DE2" w:rsidRPr="000A6DE2" w:rsidRDefault="000A6DE2" w:rsidP="000A6DE2">
      <w:pPr>
        <w:spacing w:after="0" w:line="240" w:lineRule="auto"/>
        <w:rPr>
          <w:rFonts w:ascii="Times New Roman" w:eastAsia="Calibri" w:hAnsi="Times New Roman" w:cs="Times New Roman"/>
          <w:lang w:eastAsia="lt-LT"/>
        </w:rPr>
      </w:pPr>
    </w:p>
    <w:p w14:paraId="14C7C54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Šeimos ar draugų informavimas gali būti naudingas norint pastebėti psichinės sveikatos pablogėjimą.</w:t>
      </w:r>
    </w:p>
    <w:p w14:paraId="4EE7E33F" w14:textId="77777777" w:rsidR="000A6DE2" w:rsidRPr="000A6DE2" w:rsidRDefault="000A6DE2" w:rsidP="000A6DE2">
      <w:pPr>
        <w:spacing w:after="0" w:line="240" w:lineRule="auto"/>
        <w:rPr>
          <w:rFonts w:ascii="Times New Roman" w:eastAsia="Calibri" w:hAnsi="Times New Roman" w:cs="Times New Roman"/>
          <w:b/>
          <w:i/>
          <w:lang w:eastAsia="lt-LT"/>
        </w:rPr>
      </w:pPr>
    </w:p>
    <w:p w14:paraId="3105D968" w14:textId="77777777" w:rsidR="000A6DE2" w:rsidRPr="000A6DE2" w:rsidRDefault="000A6DE2" w:rsidP="000A6DE2">
      <w:pPr>
        <w:keepNext/>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lastRenderedPageBreak/>
        <w:t>Odos ir poodinio audinio sutrikimai</w:t>
      </w:r>
    </w:p>
    <w:p w14:paraId="48722560"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Gydymo pradžioje kartais galimas ūminis spuogų pablogėjimas, tačiau gydant toliau jis paprastai per 7 – 10 parų praeina. Dozės keisti dėl jo dažniausiai nereikia.</w:t>
      </w:r>
    </w:p>
    <w:p w14:paraId="5E10AF5C" w14:textId="77777777" w:rsidR="000A6DE2" w:rsidRPr="000A6DE2" w:rsidRDefault="000A6DE2" w:rsidP="000A6DE2">
      <w:pPr>
        <w:spacing w:after="0" w:line="240" w:lineRule="auto"/>
        <w:rPr>
          <w:rFonts w:ascii="Times New Roman" w:eastAsia="Calibri" w:hAnsi="Times New Roman" w:cs="Times New Roman"/>
          <w:lang w:eastAsia="lt-LT"/>
        </w:rPr>
      </w:pPr>
    </w:p>
    <w:p w14:paraId="4124544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Būtina vengti stiprios saulės šviesos ir kitokių ultravioletinių spindulių poveikio. Prireikus galima vartoti nuo saulės saugančių preparatų, kurių apsaugos nuo jos koeficientas yra ne mažesnis kaip SPF 15.</w:t>
      </w:r>
    </w:p>
    <w:p w14:paraId="29C32627" w14:textId="77777777" w:rsidR="000A6DE2" w:rsidRPr="000A6DE2" w:rsidRDefault="000A6DE2" w:rsidP="000A6DE2">
      <w:pPr>
        <w:spacing w:after="0" w:line="240" w:lineRule="auto"/>
        <w:rPr>
          <w:rFonts w:ascii="Times New Roman" w:eastAsia="Calibri" w:hAnsi="Times New Roman" w:cs="Times New Roman"/>
          <w:lang w:eastAsia="lt-LT"/>
        </w:rPr>
      </w:pPr>
    </w:p>
    <w:p w14:paraId="3E9B7CA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Izotretinoino vartojimo metu ir 5 – 6 mėnesius po jo negalima naudoti cheminių odos šveitimo priemonių ar gydyti ją lazeriu, kadangi pažeistose vietose gali atsirasti hipertrofinių randų, rečiau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použdegiminė gydytų vietų hiperpigmentacija arba hipopigmentacija. Izotretinoino vartojimo metu ir mažiausiai 6 mėn. po jo negalima daryti depiliacijos vašku, kadangi yra epidermio lupimosi rizika.</w:t>
      </w:r>
    </w:p>
    <w:p w14:paraId="6E094437" w14:textId="77777777" w:rsidR="000A6DE2" w:rsidRPr="000A6DE2" w:rsidRDefault="000A6DE2" w:rsidP="000A6DE2">
      <w:pPr>
        <w:spacing w:after="0" w:line="240" w:lineRule="auto"/>
        <w:rPr>
          <w:rFonts w:ascii="Times New Roman" w:eastAsia="Calibri" w:hAnsi="Times New Roman" w:cs="Times New Roman"/>
          <w:lang w:eastAsia="lt-LT"/>
        </w:rPr>
      </w:pPr>
    </w:p>
    <w:p w14:paraId="748AEB5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Lokalaus poveikio keratolizinių ir eksfoliacinių preparatų nuo spuogų kartu su izotretinoinu vartoti negalima, nes gali sustiprėti lokalus dirginimas (žr. 4.5 skyrių).</w:t>
      </w:r>
    </w:p>
    <w:p w14:paraId="10743285" w14:textId="77777777" w:rsidR="000A6DE2" w:rsidRPr="000A6DE2" w:rsidRDefault="000A6DE2" w:rsidP="000A6DE2">
      <w:pPr>
        <w:spacing w:after="0" w:line="240" w:lineRule="auto"/>
        <w:rPr>
          <w:rFonts w:ascii="Times New Roman" w:eastAsia="Calibri" w:hAnsi="Times New Roman" w:cs="Times New Roman"/>
          <w:lang w:eastAsia="lt-LT"/>
        </w:rPr>
      </w:pPr>
    </w:p>
    <w:p w14:paraId="54C2C2C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Nuo pirmųjų gydymo dienų pacientui reikia patarti vartoti odos drėkinamojo tepalo arba kremo ir lūpų balzamo, kadangi dėl izotretinoino poveikio oda ir lūpos gali džiūti.</w:t>
      </w:r>
    </w:p>
    <w:p w14:paraId="4EB80BF0" w14:textId="77777777" w:rsidR="000A6DE2" w:rsidRPr="000A6DE2" w:rsidRDefault="000A6DE2" w:rsidP="000A6DE2">
      <w:pPr>
        <w:spacing w:after="0" w:line="240" w:lineRule="auto"/>
        <w:rPr>
          <w:rFonts w:ascii="Times New Roman" w:eastAsia="Calibri" w:hAnsi="Times New Roman" w:cs="Times New Roman"/>
          <w:lang w:eastAsia="lt-LT"/>
        </w:rPr>
      </w:pPr>
    </w:p>
    <w:p w14:paraId="05AECB6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Po vaistinio preparato pateikimo į rinką yra gauta pranešimų apie su izotretinoino vartojimu susijusias sunkias odos reakcijas (pvz., daugiaformę eritemą (DE), </w:t>
      </w:r>
      <w:r w:rsidRPr="000A6DE2">
        <w:rPr>
          <w:rFonts w:ascii="Times New Roman" w:eastAsia="Calibri" w:hAnsi="Times New Roman" w:cs="Times New Roman"/>
          <w:i/>
          <w:lang w:eastAsia="lt-LT"/>
        </w:rPr>
        <w:t>Stevens-Johnson</w:t>
      </w:r>
      <w:r w:rsidRPr="000A6DE2">
        <w:rPr>
          <w:rFonts w:ascii="Times New Roman" w:eastAsia="Calibri" w:hAnsi="Times New Roman" w:cs="Times New Roman"/>
          <w:lang w:eastAsia="lt-LT"/>
        </w:rPr>
        <w:t xml:space="preserve"> sindromą (SJS) ir toksinę epidermio nekrolizę (TEN)). Kadangi šiuos reiškinius gali būti sunku atskirti nuo kitų odos reakcijų, kurios gali pasireikšti vaisto vartojimo metu (žr. 4.8 skyrių), pacientus reikia informuoti apie sunkių odos reakcijų požymius ir simptomus bei jų būklę atidžiai stebėti. Jeigu įtariama sunki odos reakcija, izotretinoino vartojimą reikia nutraukti.</w:t>
      </w:r>
    </w:p>
    <w:p w14:paraId="1DBD363C" w14:textId="77777777" w:rsidR="000A6DE2" w:rsidRPr="000A6DE2" w:rsidRDefault="000A6DE2" w:rsidP="000A6DE2">
      <w:pPr>
        <w:spacing w:after="0" w:line="240" w:lineRule="auto"/>
        <w:rPr>
          <w:rFonts w:ascii="Times New Roman" w:eastAsia="Calibri" w:hAnsi="Times New Roman" w:cs="Times New Roman"/>
          <w:lang w:eastAsia="lt-LT"/>
        </w:rPr>
      </w:pPr>
    </w:p>
    <w:p w14:paraId="7ED66825"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Alerginės reakcijos</w:t>
      </w:r>
    </w:p>
    <w:p w14:paraId="0266572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Gauta pranešimų apie retai pasireiškusias anafilaksines reakcijas, kartais žmonėms, kurie anksčiau jau buvo gydyti lokalaus poveikio retinoidais. Pranešta apie nedažnai pasireiškusias alergines odos reakcijas. Gauta pranešimų apie pasireiškusius sunkius alerginio angito, dažnai kartu su galūnių purpura (kraujosruvomis ir raudonomis dėmėmis) bei ekstrakutanine pažaida, atvejus. Jeigu prasideda sunki alerginė reakcija, izotretinoino vartojimą būtina nutraukti ir paciento būklę atidžiai stebėti.</w:t>
      </w:r>
    </w:p>
    <w:p w14:paraId="2B2ACCB0" w14:textId="77777777" w:rsidR="000A6DE2" w:rsidRPr="000A6DE2" w:rsidRDefault="000A6DE2" w:rsidP="000A6DE2">
      <w:pPr>
        <w:spacing w:after="0" w:line="240" w:lineRule="auto"/>
        <w:rPr>
          <w:rFonts w:ascii="Times New Roman" w:eastAsia="Calibri" w:hAnsi="Times New Roman" w:cs="Times New Roman"/>
          <w:lang w:eastAsia="lt-LT"/>
        </w:rPr>
      </w:pPr>
    </w:p>
    <w:p w14:paraId="23FB3B08"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Akių sutrikimai</w:t>
      </w:r>
    </w:p>
    <w:p w14:paraId="78146A22" w14:textId="4A0B3B63"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Gydymo metu atsiradęs nepageidaujamas poveikis: akių sausmė, ragenos drumstis, matymo naktį pablogėjimas bei keratitas, paprastai išnyksta nutraukus gydymą. </w:t>
      </w:r>
      <w:r w:rsidR="007118A6">
        <w:rPr>
          <w:rFonts w:ascii="Times New Roman" w:eastAsia="Calibri" w:hAnsi="Times New Roman" w:cs="Times New Roman"/>
          <w:lang w:eastAsia="lt-LT"/>
        </w:rPr>
        <w:t>Buvo pranešta apie akių sausmės</w:t>
      </w:r>
      <w:r w:rsidR="007118A6" w:rsidRPr="00F05457">
        <w:rPr>
          <w:rFonts w:ascii="Times New Roman" w:eastAsia="Calibri" w:hAnsi="Times New Roman" w:cs="Times New Roman"/>
          <w:lang w:eastAsia="lt-LT"/>
        </w:rPr>
        <w:t xml:space="preserve"> atvejus, kurie neišnyksta nutraukus gydymą</w:t>
      </w:r>
      <w:r w:rsidR="007118A6">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Akių sausmę galima mažinti slidinamuoju akių tepalu arba ašarų pakaitalais. Galimas kontaktinių lęšių netoleravimas, dėl kurio gydymo metu pacientui gali tekti nešioti akinius.</w:t>
      </w:r>
    </w:p>
    <w:p w14:paraId="42389E73" w14:textId="77777777" w:rsidR="000A6DE2" w:rsidRPr="000A6DE2" w:rsidRDefault="000A6DE2" w:rsidP="000A6DE2">
      <w:pPr>
        <w:spacing w:after="0" w:line="240" w:lineRule="auto"/>
        <w:rPr>
          <w:rFonts w:ascii="Times New Roman" w:eastAsia="Calibri" w:hAnsi="Times New Roman" w:cs="Times New Roman"/>
          <w:lang w:eastAsia="lt-LT"/>
        </w:rPr>
      </w:pPr>
    </w:p>
    <w:p w14:paraId="1123849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Buvo matymo naktį pablogėjimo, kartais staigaus, atvejų (žr. 4.7 skyrių). Sutrikus regai, pacientui būtina akių gydytojo konsultacija. Izotretinoino vartojimą tokiu atveju gali reikėti nutraukti.</w:t>
      </w:r>
    </w:p>
    <w:p w14:paraId="1AA31E8E" w14:textId="77777777" w:rsidR="000A6DE2" w:rsidRPr="000A6DE2" w:rsidRDefault="000A6DE2" w:rsidP="000A6DE2">
      <w:pPr>
        <w:spacing w:after="0" w:line="240" w:lineRule="auto"/>
        <w:rPr>
          <w:rFonts w:ascii="Times New Roman" w:eastAsia="Calibri" w:hAnsi="Times New Roman" w:cs="Times New Roman"/>
          <w:b/>
          <w:i/>
          <w:lang w:eastAsia="lt-LT"/>
        </w:rPr>
      </w:pPr>
    </w:p>
    <w:p w14:paraId="7ED7E4CE"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Raumenų, kaulų ir jungiamojo audinio sutrikimai</w:t>
      </w:r>
    </w:p>
    <w:p w14:paraId="3B71AE0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Kai kuriems izotretinoino vartojantiems žmonėms, ypač tiems, kurių fizinis aktyvumas didelis, atsirado mialgija, artralgija, kraujo serume padaugėjo kreatinfosfokinazės (žr. 4.8 skyrių). Kai kuriais atvejais tai gali progresuoti iki gyvybei pavojų keliančios rabdomiolizės.</w:t>
      </w:r>
    </w:p>
    <w:p w14:paraId="132DC0F9" w14:textId="77777777" w:rsidR="000A6DE2" w:rsidRPr="000A6DE2" w:rsidRDefault="000A6DE2" w:rsidP="000A6DE2">
      <w:pPr>
        <w:spacing w:after="0" w:line="240" w:lineRule="auto"/>
        <w:rPr>
          <w:rFonts w:ascii="Times New Roman" w:eastAsia="Calibri" w:hAnsi="Times New Roman" w:cs="Times New Roman"/>
          <w:lang w:eastAsia="lt-LT"/>
        </w:rPr>
      </w:pPr>
    </w:p>
    <w:p w14:paraId="5D50CB0D" w14:textId="4246C3F7" w:rsid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Kelerius metus labai didele doze gydant keratinizacijos sutrikimą, atsirado kaulų pokyčių, įskaitant priešlaikinį epifizių užakimą, hiperostozę ir sausgyslių bei raiščių kalcifikaciją. Tokių pacientų paros ir kumuliacinė dozė bei gydymo trukmė buvo gerokai didesnės nei rekomenduojamos spuogams gydyti.</w:t>
      </w:r>
    </w:p>
    <w:p w14:paraId="2FD8BB21" w14:textId="288F9B6F" w:rsidR="007118A6" w:rsidRDefault="007118A6" w:rsidP="000A6DE2">
      <w:pPr>
        <w:spacing w:after="0" w:line="240" w:lineRule="auto"/>
        <w:rPr>
          <w:rFonts w:ascii="Times New Roman" w:eastAsia="Calibri" w:hAnsi="Times New Roman" w:cs="Times New Roman"/>
          <w:lang w:eastAsia="lt-LT"/>
        </w:rPr>
      </w:pPr>
    </w:p>
    <w:p w14:paraId="56897123" w14:textId="77777777" w:rsidR="007118A6" w:rsidRDefault="007118A6" w:rsidP="007118A6">
      <w:pPr>
        <w:spacing w:after="0" w:line="240" w:lineRule="auto"/>
        <w:rPr>
          <w:rFonts w:ascii="Times New Roman" w:eastAsia="Calibri" w:hAnsi="Times New Roman" w:cs="Times New Roman"/>
          <w:lang w:eastAsia="lt-LT"/>
        </w:rPr>
      </w:pPr>
    </w:p>
    <w:p w14:paraId="71C63CC7" w14:textId="77777777" w:rsidR="007118A6" w:rsidRPr="00D7375B" w:rsidRDefault="007118A6" w:rsidP="007118A6">
      <w:pPr>
        <w:spacing w:after="0" w:line="240" w:lineRule="auto"/>
        <w:rPr>
          <w:rFonts w:ascii="Times New Roman" w:eastAsia="Calibri" w:hAnsi="Times New Roman" w:cs="Times New Roman"/>
          <w:lang w:eastAsia="lt-LT"/>
        </w:rPr>
      </w:pPr>
      <w:r w:rsidRPr="000A25F0">
        <w:rPr>
          <w:rFonts w:ascii="Times New Roman" w:eastAsia="Calibri" w:hAnsi="Times New Roman" w:cs="Times New Roman"/>
          <w:lang w:eastAsia="lt-LT"/>
        </w:rPr>
        <w:t>Gauta pranešimų apie sakroilitą pacientams, vartojusiems izotretinoiną. Norint atskirti sakroilitą nuo kitų nugaros skausmo priežasčių, pacientams, kuriems yra klinikinių sakroilito požymių, gali prireikti tolesnio įvertinimo, įskaitant tokius</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kaip </w:t>
      </w:r>
      <w:r>
        <w:rPr>
          <w:rFonts w:ascii="Times New Roman" w:eastAsia="Calibri" w:hAnsi="Times New Roman" w:cs="Times New Roman"/>
          <w:lang w:eastAsia="lt-LT"/>
        </w:rPr>
        <w:t>magnetinio rezonanso tyrimas (</w:t>
      </w:r>
      <w:r w:rsidRPr="000A25F0">
        <w:rPr>
          <w:rFonts w:ascii="Times New Roman" w:eastAsia="Calibri" w:hAnsi="Times New Roman" w:cs="Times New Roman"/>
          <w:lang w:eastAsia="lt-LT"/>
        </w:rPr>
        <w:t>MRT</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Tais atvejais, apie </w:t>
      </w:r>
      <w:r w:rsidRPr="000A25F0">
        <w:rPr>
          <w:rFonts w:ascii="Times New Roman" w:eastAsia="Calibri" w:hAnsi="Times New Roman" w:cs="Times New Roman"/>
          <w:lang w:eastAsia="lt-LT"/>
        </w:rPr>
        <w:lastRenderedPageBreak/>
        <w:t xml:space="preserve">kuriuos pranešta </w:t>
      </w:r>
      <w:r>
        <w:rPr>
          <w:rFonts w:ascii="Times New Roman" w:eastAsia="Calibri" w:hAnsi="Times New Roman" w:cs="Times New Roman"/>
          <w:lang w:eastAsia="lt-LT"/>
        </w:rPr>
        <w:t>vaistiniam preparatui  patekus</w:t>
      </w:r>
      <w:r w:rsidRPr="000A25F0">
        <w:rPr>
          <w:rFonts w:ascii="Times New Roman" w:eastAsia="Calibri" w:hAnsi="Times New Roman" w:cs="Times New Roman"/>
          <w:lang w:eastAsia="lt-LT"/>
        </w:rPr>
        <w:t xml:space="preserve"> į rinką, nutraukus Roaccutane vartojimą</w:t>
      </w:r>
      <w:r>
        <w:rPr>
          <w:rFonts w:ascii="Times New Roman" w:eastAsia="Calibri" w:hAnsi="Times New Roman" w:cs="Times New Roman"/>
          <w:lang w:eastAsia="lt-LT"/>
        </w:rPr>
        <w:t xml:space="preserve"> ir tinkamai gydant, būklė dėl sakroilito</w:t>
      </w:r>
      <w:r w:rsidRPr="000A25F0">
        <w:rPr>
          <w:rFonts w:ascii="Times New Roman" w:eastAsia="Calibri" w:hAnsi="Times New Roman" w:cs="Times New Roman"/>
          <w:lang w:eastAsia="lt-LT"/>
        </w:rPr>
        <w:t xml:space="preserve"> pagerėjo.</w:t>
      </w:r>
    </w:p>
    <w:p w14:paraId="284ABEE0" w14:textId="77777777" w:rsidR="007118A6" w:rsidRPr="000A6DE2" w:rsidRDefault="007118A6" w:rsidP="000A6DE2">
      <w:pPr>
        <w:spacing w:after="0" w:line="240" w:lineRule="auto"/>
        <w:rPr>
          <w:rFonts w:ascii="Times New Roman" w:eastAsia="Calibri" w:hAnsi="Times New Roman" w:cs="Times New Roman"/>
          <w:lang w:eastAsia="lt-LT"/>
        </w:rPr>
      </w:pPr>
    </w:p>
    <w:p w14:paraId="7F8A8D35" w14:textId="77777777" w:rsidR="000A6DE2" w:rsidRPr="000A6DE2" w:rsidRDefault="000A6DE2" w:rsidP="000A6DE2">
      <w:pPr>
        <w:spacing w:after="0" w:line="240" w:lineRule="auto"/>
        <w:rPr>
          <w:rFonts w:ascii="Times New Roman" w:eastAsia="Calibri" w:hAnsi="Times New Roman" w:cs="Times New Roman"/>
          <w:b/>
          <w:i/>
          <w:lang w:eastAsia="lt-LT"/>
        </w:rPr>
      </w:pPr>
    </w:p>
    <w:p w14:paraId="01582225"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Gerybinė intrakranialinė hipertenzija</w:t>
      </w:r>
    </w:p>
    <w:p w14:paraId="2D228A8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Gauta pranešimų apie gerybinės intrakranialinės hipertenzijos atvejus, kai kurie šių pacientų kartu su izotretinoinu vartojo tetraciklinų (žr. 4.3 ir 4.5 skyrius). Gerybinės intrakranialinės hipertenzijos simptomai ir požymiai yra galvos skausmas, pykinimas, vėmimas, regos sutrikimas ir regimojo nervo disko edema. Minėtai hipertenzijai pasireiškus, izotretinoino vartojimą būtina nedelsiant nutraukti.</w:t>
      </w:r>
    </w:p>
    <w:p w14:paraId="212959E0" w14:textId="77777777" w:rsidR="000A6DE2" w:rsidRPr="000A6DE2" w:rsidRDefault="000A6DE2" w:rsidP="000A6DE2">
      <w:pPr>
        <w:spacing w:after="0" w:line="240" w:lineRule="auto"/>
        <w:rPr>
          <w:rFonts w:ascii="Times New Roman" w:eastAsia="Calibri" w:hAnsi="Times New Roman" w:cs="Times New Roman"/>
          <w:b/>
          <w:i/>
          <w:lang w:eastAsia="lt-LT"/>
        </w:rPr>
      </w:pPr>
    </w:p>
    <w:p w14:paraId="4A69BCE1"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Kepenų ir tulžies sistemos sutrikimai</w:t>
      </w:r>
    </w:p>
    <w:p w14:paraId="557FE56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Kepenų fermentų kiekį reikia matuoti prieš gydymą izotretinoinu, praėjus mėnesiui nuo gydymo pradžios ir kas 3 mėnesiai po to, išskyrus tuos atvejus, kai dažnesnis matavimas būtinas dėl klinikos. Buvo trumpalaikio praeinančio kepenų transaminazių padaugėjimo atvejų. Dažniausiai jų kiekis normos ribų neperžengdavo ir tolesnio gydymo metu tapdavo toks, koks buvo prieš medikamento vartojimą. Jeigu klinikai reikšmingas transaminazių padaugėjimas išsilaiko, reikia mažinti dozę arba nutraukti vaistinio preparato vartojimą.</w:t>
      </w:r>
    </w:p>
    <w:p w14:paraId="2690AAE3" w14:textId="77777777" w:rsidR="000A6DE2" w:rsidRPr="000A6DE2" w:rsidRDefault="000A6DE2" w:rsidP="000A6DE2">
      <w:pPr>
        <w:spacing w:after="0" w:line="240" w:lineRule="auto"/>
        <w:rPr>
          <w:rFonts w:ascii="Times New Roman" w:eastAsia="Calibri" w:hAnsi="Times New Roman" w:cs="Times New Roman"/>
          <w:b/>
          <w:i/>
          <w:lang w:eastAsia="lt-LT"/>
        </w:rPr>
      </w:pPr>
    </w:p>
    <w:p w14:paraId="16F893B8"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Inkstų funkcijos sutrikimas</w:t>
      </w:r>
    </w:p>
    <w:p w14:paraId="5947B7B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Inkstų funkcijos sutrikimas ar nepakankamumas izotretinoino farmakokinetikai įtakos nedaro, vadinasi, pacientams, kurių inkstų funkcija nepakankama, šio medikamento vartoti galima. Vis dėlto juos rekomenduojama pradėti gydyti maža doze, kurią reikia didinti iki didžiausios toleruojamos (žr. 4.2 skyrių).</w:t>
      </w:r>
    </w:p>
    <w:p w14:paraId="2F60827C" w14:textId="77777777" w:rsidR="000A6DE2" w:rsidRPr="000A6DE2" w:rsidRDefault="000A6DE2" w:rsidP="000A6DE2">
      <w:pPr>
        <w:spacing w:after="0" w:line="240" w:lineRule="auto"/>
        <w:rPr>
          <w:rFonts w:ascii="Times New Roman" w:eastAsia="Calibri" w:hAnsi="Times New Roman" w:cs="Times New Roman"/>
          <w:lang w:eastAsia="lt-LT"/>
        </w:rPr>
      </w:pPr>
    </w:p>
    <w:p w14:paraId="247AAB10"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Lipidų metabolizmas</w:t>
      </w:r>
    </w:p>
    <w:p w14:paraId="11013A6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Lipidų kiekį  kraujo serume reikia matuoti (nevalgius) prieš gydymą izotretinoinu, praėjus mėnesiui nuo gydymo pradžios ir kas 3 mėnesiai po to, išskyrus tuos atvejus, kai dažnesnis matavimas būtinas dėl klinikos. Sumažinus dozę arba nutraukus medikamento vartojimą, lipidų kiekis dažniausiai sunormalėja, be to, įtakos jam gali turėti ir dieta.</w:t>
      </w:r>
    </w:p>
    <w:p w14:paraId="7729BCEE" w14:textId="77777777" w:rsidR="000A6DE2" w:rsidRPr="000A6DE2" w:rsidRDefault="000A6DE2" w:rsidP="000A6DE2">
      <w:pPr>
        <w:spacing w:after="0" w:line="240" w:lineRule="auto"/>
        <w:rPr>
          <w:rFonts w:ascii="Times New Roman" w:eastAsia="Calibri" w:hAnsi="Times New Roman" w:cs="Times New Roman"/>
          <w:lang w:eastAsia="lt-LT"/>
        </w:rPr>
      </w:pPr>
    </w:p>
    <w:p w14:paraId="1741F5E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Izotretinoino vartojimas siejamas su trigliceridų padaugėjimu kraujo plazmoje. Jeigu jų kiekio iki reikiamo sumažinti nepavyksta arba atsiranda hepatito simptomų, izotretinoino vartojimą būtina nutraukti (žr. 4.8 skyrių). Jeigu trigliceridų koncentracija tampa didesnė negu 800 mg/dl, t. y., 9 mmol/l, kartais tai susiję su ūminiu pankreatitu, kuris gali būti mirtinas.</w:t>
      </w:r>
    </w:p>
    <w:p w14:paraId="5883EACC" w14:textId="77777777" w:rsidR="000A6DE2" w:rsidRPr="000A6DE2" w:rsidRDefault="000A6DE2" w:rsidP="000A6DE2">
      <w:pPr>
        <w:spacing w:after="0" w:line="240" w:lineRule="auto"/>
        <w:rPr>
          <w:rFonts w:ascii="Times New Roman" w:eastAsia="Calibri" w:hAnsi="Times New Roman" w:cs="Times New Roman"/>
          <w:b/>
          <w:i/>
          <w:lang w:eastAsia="lt-LT"/>
        </w:rPr>
      </w:pPr>
    </w:p>
    <w:p w14:paraId="57D37750"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Virškinimo trakto sutrikimai</w:t>
      </w:r>
    </w:p>
    <w:p w14:paraId="669524C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Žmonėms, kuriems žarnų sutrikimų anksčiau nebuvo, su gydymu izotretinoinu siejama su uždegiminė žarnų liga, įskaitant regioninį ileitą. Jeigu pasireiškia sunkus viduriavimas (išmatose yra kraujo), izotretinoino vartojimą būtina nedelsiant nutraukti.</w:t>
      </w:r>
    </w:p>
    <w:p w14:paraId="02B0FC01" w14:textId="77777777" w:rsidR="000A6DE2" w:rsidRPr="000A6DE2" w:rsidRDefault="000A6DE2" w:rsidP="000A6DE2">
      <w:pPr>
        <w:spacing w:after="0" w:line="240" w:lineRule="auto"/>
        <w:rPr>
          <w:rFonts w:ascii="Times New Roman" w:eastAsia="Calibri" w:hAnsi="Times New Roman" w:cs="Times New Roman"/>
          <w:b/>
          <w:i/>
          <w:lang w:eastAsia="lt-LT"/>
        </w:rPr>
      </w:pPr>
    </w:p>
    <w:p w14:paraId="5AC062B1"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Didelės rizikos ligoniai</w:t>
      </w:r>
    </w:p>
    <w:p w14:paraId="2197003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izotretinoinu gydomas pacientas serga diabetu ar alkoholizmu, yra nutukęs arba jo lipidų metabolizmas sutrikęs, gali reikėti dažniau matuoti lipidų kiekį kraujo serume ir (arba) gliukozės kiekį kraujyje. Kai kuriems izotretinoinu gydomiems pacientams prasidėjo cukrinis diabetas arba padidėjo cukraus kiekis kraujyje nevalgius.</w:t>
      </w:r>
    </w:p>
    <w:p w14:paraId="38EFF547" w14:textId="77777777" w:rsidR="000A6DE2" w:rsidRPr="000A6DE2" w:rsidRDefault="000A6DE2" w:rsidP="000A6DE2">
      <w:pPr>
        <w:spacing w:after="0" w:line="240" w:lineRule="auto"/>
        <w:rPr>
          <w:rFonts w:ascii="Times New Roman" w:eastAsia="Calibri" w:hAnsi="Times New Roman" w:cs="Times New Roman"/>
          <w:lang w:eastAsia="lt-LT"/>
        </w:rPr>
      </w:pPr>
    </w:p>
    <w:p w14:paraId="68A1809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Pagalbinės medžiagos</w:t>
      </w:r>
    </w:p>
    <w:p w14:paraId="16CE9B2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Kiekvienoje šio vaistinio preparato 20 mg kapsulėje yra 3,20 mg - 4,86 mg sorbitolio.</w:t>
      </w:r>
    </w:p>
    <w:p w14:paraId="0F23553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Reikia atsižvelgti į adityvų kartu vartojamų vaistinių preparatų, kurių sudėtyje yra sorbitolio (arba fruktozės), ir su maistu suvartojamo sorbitolio (arba fruktozės) poveikį.</w:t>
      </w:r>
    </w:p>
    <w:p w14:paraId="59896A0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Geriamojo vaistinio preparato sudėtyje esantis sorbitolis gali paveikti kitų kartu vartojamų geriamųjų vaistinių preparatų biologinį prieinamumą.</w:t>
      </w:r>
    </w:p>
    <w:p w14:paraId="07B5BE8E" w14:textId="77777777" w:rsidR="000A6DE2" w:rsidRPr="000A6DE2" w:rsidRDefault="000A6DE2" w:rsidP="000A6DE2">
      <w:pPr>
        <w:spacing w:after="0" w:line="240" w:lineRule="auto"/>
        <w:rPr>
          <w:rFonts w:ascii="Times New Roman" w:eastAsia="Calibri" w:hAnsi="Times New Roman" w:cs="Times New Roman"/>
          <w:lang w:eastAsia="lt-LT"/>
        </w:rPr>
      </w:pPr>
    </w:p>
    <w:p w14:paraId="625BF48C"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4.5</w:t>
      </w:r>
      <w:r w:rsidRPr="000A6DE2">
        <w:rPr>
          <w:rFonts w:ascii="Times New Roman" w:eastAsia="Calibri" w:hAnsi="Times New Roman" w:cs="Times New Roman"/>
          <w:b/>
          <w:lang w:eastAsia="lt-LT"/>
        </w:rPr>
        <w:tab/>
        <w:t>Sąveika su kitais vaistiniais preparatais ir kitokia sąveika</w:t>
      </w:r>
    </w:p>
    <w:p w14:paraId="7CC18A14" w14:textId="77777777" w:rsidR="000A6DE2" w:rsidRPr="000A6DE2" w:rsidRDefault="000A6DE2" w:rsidP="000A6DE2">
      <w:pPr>
        <w:spacing w:after="0" w:line="240" w:lineRule="auto"/>
        <w:rPr>
          <w:rFonts w:ascii="Times New Roman" w:eastAsia="Calibri" w:hAnsi="Times New Roman" w:cs="Times New Roman"/>
          <w:lang w:eastAsia="lt-LT"/>
        </w:rPr>
      </w:pPr>
    </w:p>
    <w:p w14:paraId="27DB1EB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Kartu su izotretinoinu draudžiama vartoti vitamino A preparatų, kadangi galima vitamino A hipervitaminozės rizika.</w:t>
      </w:r>
    </w:p>
    <w:p w14:paraId="1C356F34" w14:textId="77777777" w:rsidR="000A6DE2" w:rsidRPr="000A6DE2" w:rsidRDefault="000A6DE2" w:rsidP="000A6DE2">
      <w:pPr>
        <w:spacing w:after="0" w:line="240" w:lineRule="auto"/>
        <w:rPr>
          <w:rFonts w:ascii="Times New Roman" w:eastAsia="Calibri" w:hAnsi="Times New Roman" w:cs="Times New Roman"/>
          <w:lang w:eastAsia="lt-LT"/>
        </w:rPr>
      </w:pPr>
    </w:p>
    <w:p w14:paraId="48F7DDE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Vartojant izotretinoino ir tetraciklinų, buvo gerybinės intrakranialinės hipertenzijos (tariamojo smegenų auglio) atvejų, vadinasi, kartu šių vaistinių preparatų vartoti draudžiama (žr. 4.3 ir 4.4 skyrius).</w:t>
      </w:r>
    </w:p>
    <w:p w14:paraId="6807DF39" w14:textId="77777777" w:rsidR="000A6DE2" w:rsidRPr="000A6DE2" w:rsidRDefault="000A6DE2" w:rsidP="000A6DE2">
      <w:pPr>
        <w:spacing w:after="0" w:line="240" w:lineRule="auto"/>
        <w:rPr>
          <w:rFonts w:ascii="Times New Roman" w:eastAsia="Calibri" w:hAnsi="Times New Roman" w:cs="Times New Roman"/>
          <w:lang w:eastAsia="lt-LT"/>
        </w:rPr>
      </w:pPr>
    </w:p>
    <w:p w14:paraId="110B696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Lokalaus poveikio keratolizinių ir eksfoliacinių preparatų nuo spuogų kartu su izotretinoinu vartoti negalima, nes gali sustiprėti lokalus dirginimas (žr. 4.4 skyrių).</w:t>
      </w:r>
    </w:p>
    <w:p w14:paraId="7DD8144B" w14:textId="77777777" w:rsidR="000A6DE2" w:rsidRPr="000A6DE2" w:rsidRDefault="000A6DE2" w:rsidP="000A6DE2">
      <w:pPr>
        <w:spacing w:after="0" w:line="240" w:lineRule="auto"/>
        <w:rPr>
          <w:rFonts w:ascii="Times New Roman" w:eastAsia="Calibri" w:hAnsi="Times New Roman" w:cs="Times New Roman"/>
          <w:lang w:eastAsia="lt-LT"/>
        </w:rPr>
      </w:pPr>
    </w:p>
    <w:p w14:paraId="658F8D0F" w14:textId="77777777" w:rsidR="000A6DE2" w:rsidRPr="000A6DE2" w:rsidRDefault="000A6DE2" w:rsidP="000A6DE2">
      <w:pPr>
        <w:keepNext/>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4.6</w:t>
      </w:r>
      <w:r w:rsidRPr="000A6DE2">
        <w:rPr>
          <w:rFonts w:ascii="Times New Roman" w:eastAsia="Calibri" w:hAnsi="Times New Roman" w:cs="Times New Roman"/>
          <w:b/>
          <w:lang w:eastAsia="lt-LT"/>
        </w:rPr>
        <w:tab/>
        <w:t>Vaisingumas, nėštumo ir žindymo laikotarpis</w:t>
      </w:r>
    </w:p>
    <w:p w14:paraId="4F23768E" w14:textId="77777777" w:rsidR="000A6DE2" w:rsidRPr="000A6DE2" w:rsidRDefault="000A6DE2" w:rsidP="000A6DE2">
      <w:pPr>
        <w:keepNext/>
        <w:tabs>
          <w:tab w:val="left" w:pos="567"/>
        </w:tabs>
        <w:spacing w:after="0" w:line="240" w:lineRule="auto"/>
        <w:rPr>
          <w:rFonts w:ascii="Times New Roman" w:eastAsia="Calibri" w:hAnsi="Times New Roman" w:cs="Times New Roman"/>
          <w:b/>
          <w:lang w:eastAsia="lt-LT"/>
        </w:rPr>
      </w:pPr>
    </w:p>
    <w:p w14:paraId="1E87F3F7" w14:textId="77777777" w:rsidR="000A6DE2" w:rsidRPr="000A6DE2" w:rsidRDefault="000A6DE2" w:rsidP="000A6DE2">
      <w:pPr>
        <w:tabs>
          <w:tab w:val="left" w:pos="567"/>
        </w:tabs>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Nėštumas</w:t>
      </w:r>
    </w:p>
    <w:p w14:paraId="60A6FE0E"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 xml:space="preserve">Nėštumas yra </w:t>
      </w:r>
      <w:r w:rsidRPr="000A6DE2">
        <w:rPr>
          <w:rFonts w:ascii="Times New Roman" w:eastAsia="Calibri" w:hAnsi="Times New Roman" w:cs="Times New Roman"/>
          <w:b/>
          <w:u w:val="single"/>
          <w:lang w:eastAsia="lt-LT"/>
        </w:rPr>
        <w:t>absoliuti</w:t>
      </w:r>
      <w:r w:rsidRPr="000A6DE2">
        <w:rPr>
          <w:rFonts w:ascii="Times New Roman" w:eastAsia="Calibri" w:hAnsi="Times New Roman" w:cs="Times New Roman"/>
          <w:b/>
          <w:lang w:eastAsia="lt-LT"/>
        </w:rPr>
        <w:t xml:space="preserve"> kontraindikacija gydyti izotretinoinu (žr. 4.3 skyrių). Vaisinga moteris gydymo metu ir dar vieną mėnesį po jo turi naudoti veiksmingą kontracepciją. Jeigu moteris gydymo metu arba per mėnesį po jo pastoja, nepaisant naudotų rekomenduojamų apsaugos priemonių, yra didelė labai sunkių ir pavojingų vaisiaus sklaidos trūkumų rizika.</w:t>
      </w:r>
    </w:p>
    <w:p w14:paraId="016D4930" w14:textId="77777777" w:rsidR="000A6DE2" w:rsidRPr="000A6DE2" w:rsidRDefault="000A6DE2" w:rsidP="000A6DE2">
      <w:pPr>
        <w:spacing w:after="0" w:line="240" w:lineRule="auto"/>
        <w:rPr>
          <w:rFonts w:ascii="Times New Roman" w:eastAsia="Calibri" w:hAnsi="Times New Roman" w:cs="Times New Roman"/>
          <w:lang w:eastAsia="lt-LT"/>
        </w:rPr>
      </w:pPr>
    </w:p>
    <w:p w14:paraId="589D71B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Su izotretinoino poveikiu siejami vaisiaus sklaidos trūkumai yra centrinės nervų sistemos pažaida (hidrocefalija, nenormalios smegenėlės, mikrocefalija), veido deformuotumas, gomurio plyšys, išorinės ausies anomalija (nebuvimas, mažas išorinis klausos kanalas arba jo nebuvimas), akių anomalija (mikrooftalmija), širdies ir kraujagyslių anomalija (kamieno nenormalumas, pvz., Falo tetrada, stambiųjų kraujagyslių transpozicija, širdies pertvarų defektai), užkrūčio ir prieskydinių liaukų nenormalumas. Be to, gali dažniau įvykti spontaninis abortas.</w:t>
      </w:r>
    </w:p>
    <w:p w14:paraId="2B1FFA3C" w14:textId="77777777" w:rsidR="000A6DE2" w:rsidRPr="000A6DE2" w:rsidRDefault="000A6DE2" w:rsidP="000A6DE2">
      <w:pPr>
        <w:spacing w:after="0" w:line="240" w:lineRule="auto"/>
        <w:rPr>
          <w:rFonts w:ascii="Times New Roman" w:eastAsia="Calibri" w:hAnsi="Times New Roman" w:cs="Times New Roman"/>
          <w:lang w:eastAsia="lt-LT"/>
        </w:rPr>
      </w:pPr>
    </w:p>
    <w:p w14:paraId="04CF87B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vaistinis preparatas vartojamas nėštumo metu arba jeigu pacientė pastoja vartodama šį vaistinį preparatą, gydymą reikia nutraukti.</w:t>
      </w:r>
      <w:r w:rsidRPr="000A6DE2" w:rsidDel="001D6E4C">
        <w:rPr>
          <w:rFonts w:ascii="Times New Roman" w:eastAsia="Calibri" w:hAnsi="Times New Roman" w:cs="Times New Roman"/>
          <w:lang w:eastAsia="lt-LT"/>
        </w:rPr>
        <w:t xml:space="preserve"> </w:t>
      </w:r>
    </w:p>
    <w:p w14:paraId="28957E79" w14:textId="77777777" w:rsidR="000A6DE2" w:rsidRPr="000A6DE2" w:rsidRDefault="000A6DE2" w:rsidP="000A6DE2">
      <w:pPr>
        <w:spacing w:after="0" w:line="240" w:lineRule="auto"/>
        <w:rPr>
          <w:rFonts w:ascii="Times New Roman" w:eastAsia="Calibri" w:hAnsi="Times New Roman" w:cs="Times New Roman"/>
          <w:u w:val="single"/>
          <w:lang w:eastAsia="lt-LT"/>
        </w:rPr>
      </w:pPr>
    </w:p>
    <w:p w14:paraId="0A21B463"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Žindymas</w:t>
      </w:r>
    </w:p>
    <w:p w14:paraId="4A11F7E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Izotretinoinas yra labai lipofilinis, todėl tikriausiai jo pateks į motinos pieną. Žindymo laikotarpiu Roaccutane vartoti draudžiama, kadangi per motinos pieną galimas nepageidaujamas poveikis kūdikiui (žr. 4.3 skyrių).</w:t>
      </w:r>
    </w:p>
    <w:p w14:paraId="2E61479E" w14:textId="77777777" w:rsidR="000A6DE2" w:rsidRPr="000A6DE2" w:rsidRDefault="000A6DE2" w:rsidP="000A6DE2">
      <w:pPr>
        <w:spacing w:after="0" w:line="240" w:lineRule="auto"/>
        <w:rPr>
          <w:rFonts w:ascii="Times New Roman" w:eastAsia="Calibri" w:hAnsi="Times New Roman" w:cs="Times New Roman"/>
          <w:lang w:eastAsia="lt-LT"/>
        </w:rPr>
      </w:pPr>
    </w:p>
    <w:p w14:paraId="6505504A" w14:textId="77777777" w:rsidR="000A6DE2" w:rsidRPr="000A6DE2" w:rsidRDefault="000A6DE2" w:rsidP="000A6DE2">
      <w:pPr>
        <w:tabs>
          <w:tab w:val="left" w:pos="567"/>
        </w:tabs>
        <w:spacing w:after="0" w:line="260" w:lineRule="exact"/>
        <w:rPr>
          <w:rFonts w:ascii="Times New Roman" w:eastAsia="Times New Roman" w:hAnsi="Times New Roman" w:cs="Times New Roman"/>
          <w:snapToGrid w:val="0"/>
          <w:szCs w:val="24"/>
          <w:lang w:eastAsia="lt-LT"/>
        </w:rPr>
      </w:pPr>
      <w:r w:rsidRPr="000A6DE2">
        <w:rPr>
          <w:rFonts w:ascii="Times New Roman" w:eastAsia="Times New Roman" w:hAnsi="Times New Roman" w:cs="Times New Roman"/>
          <w:noProof/>
          <w:snapToGrid w:val="0"/>
          <w:szCs w:val="24"/>
          <w:u w:val="single"/>
          <w:lang w:eastAsia="lt-LT"/>
        </w:rPr>
        <w:t>Vaisingumas</w:t>
      </w:r>
    </w:p>
    <w:p w14:paraId="17E6033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Terapinėmis dozėmis vartojamas izotretinoinas spermatozoidų skaičiui, judrumui ir morfologijai įtakos neturi bei izotretinoino vartojančio vyro pradėto embriono formavimuisi ir vystymuisi pavojaus nekelia.</w:t>
      </w:r>
    </w:p>
    <w:p w14:paraId="6E15669C" w14:textId="77777777" w:rsidR="000A6DE2" w:rsidRPr="000A6DE2" w:rsidRDefault="000A6DE2" w:rsidP="000A6DE2">
      <w:pPr>
        <w:spacing w:after="0" w:line="240" w:lineRule="auto"/>
        <w:rPr>
          <w:rFonts w:ascii="Times New Roman" w:eastAsia="Calibri" w:hAnsi="Times New Roman" w:cs="Times New Roman"/>
          <w:b/>
          <w:lang w:eastAsia="lt-LT"/>
        </w:rPr>
      </w:pPr>
    </w:p>
    <w:p w14:paraId="460E598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4.7</w:t>
      </w:r>
      <w:r w:rsidRPr="000A6DE2">
        <w:rPr>
          <w:rFonts w:ascii="Times New Roman" w:eastAsia="Calibri" w:hAnsi="Times New Roman" w:cs="Times New Roman"/>
          <w:b/>
          <w:lang w:eastAsia="lt-LT"/>
        </w:rPr>
        <w:tab/>
        <w:t>Poveikis gebėjimui vairuoti ir valdyti mechanizmus</w:t>
      </w:r>
    </w:p>
    <w:p w14:paraId="2F8D1E0E" w14:textId="77777777" w:rsidR="000A6DE2" w:rsidRPr="000A6DE2" w:rsidRDefault="000A6DE2" w:rsidP="000A6DE2">
      <w:pPr>
        <w:spacing w:after="0" w:line="240" w:lineRule="auto"/>
        <w:rPr>
          <w:rFonts w:ascii="Times New Roman" w:eastAsia="Calibri" w:hAnsi="Times New Roman" w:cs="Times New Roman"/>
          <w:lang w:eastAsia="lt-LT"/>
        </w:rPr>
      </w:pPr>
    </w:p>
    <w:p w14:paraId="53C6D7A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Roaccutane galėtų paveikti gebėjimą vairuoti ir valdyti mechanizmus.</w:t>
      </w:r>
    </w:p>
    <w:p w14:paraId="0E4BEFF9" w14:textId="77777777" w:rsidR="000A6DE2" w:rsidRPr="000A6DE2" w:rsidRDefault="000A6DE2" w:rsidP="000A6DE2">
      <w:pPr>
        <w:spacing w:after="0" w:line="240" w:lineRule="auto"/>
        <w:rPr>
          <w:rFonts w:ascii="Times New Roman" w:eastAsia="Calibri" w:hAnsi="Times New Roman" w:cs="Times New Roman"/>
          <w:lang w:eastAsia="lt-LT"/>
        </w:rPr>
      </w:pPr>
    </w:p>
    <w:p w14:paraId="1241CFD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Gydant izotretinoinu, buvo matymo naktį susilpnėjimo, kuris retais atvejais nepraeidavo ir po gydymo, atvejų (žr. 4.4 ir 4.8 skyrius). Kadangi kai kuriems žmonėms šis sutrikimas prasidėdavo staigiai, pacientą būtina informuoti apie jo galimybę ir įspėti, kad atsargiai vairuotų ir valdytų mechanizmus.</w:t>
      </w:r>
    </w:p>
    <w:p w14:paraId="01CE4CC9" w14:textId="77777777" w:rsidR="000A6DE2" w:rsidRPr="000A6DE2" w:rsidRDefault="000A6DE2" w:rsidP="000A6DE2">
      <w:pPr>
        <w:spacing w:after="0" w:line="240" w:lineRule="auto"/>
        <w:rPr>
          <w:rFonts w:ascii="Times New Roman" w:eastAsia="Calibri" w:hAnsi="Times New Roman" w:cs="Times New Roman"/>
          <w:lang w:eastAsia="lt-LT"/>
        </w:rPr>
      </w:pPr>
    </w:p>
    <w:p w14:paraId="626475E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Labai retai buvo pranešama apie mieguistumą, svaigulį ir regėjimo sutrikimus. Pacientus reikia įspėti, kad pajutus šiuos reiškinius jiems negalima vairuoti, valdyti mechanizmų ar dalyvauti bet kurioje kitoje veikloje, kurios metu dėl šių simptomų gali kilti pavojus jiems arba kitiems žmonėms.</w:t>
      </w:r>
    </w:p>
    <w:p w14:paraId="430C6302" w14:textId="77777777" w:rsidR="000A6DE2" w:rsidRPr="000A6DE2" w:rsidRDefault="000A6DE2" w:rsidP="000A6DE2">
      <w:pPr>
        <w:spacing w:after="0" w:line="240" w:lineRule="auto"/>
        <w:rPr>
          <w:rFonts w:ascii="Times New Roman" w:eastAsia="Calibri" w:hAnsi="Times New Roman" w:cs="Times New Roman"/>
          <w:b/>
          <w:lang w:eastAsia="lt-LT"/>
        </w:rPr>
      </w:pPr>
    </w:p>
    <w:p w14:paraId="4D3F1BC4"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r w:rsidRPr="000A6DE2">
        <w:rPr>
          <w:rFonts w:ascii="Times New Roman" w:eastAsia="Calibri" w:hAnsi="Times New Roman" w:cs="Times New Roman"/>
          <w:b/>
          <w:lang w:eastAsia="lt-LT"/>
        </w:rPr>
        <w:t>4.8</w:t>
      </w:r>
      <w:r w:rsidRPr="000A6DE2">
        <w:rPr>
          <w:rFonts w:ascii="Times New Roman" w:eastAsia="Calibri" w:hAnsi="Times New Roman" w:cs="Times New Roman"/>
          <w:b/>
          <w:lang w:eastAsia="lt-LT"/>
        </w:rPr>
        <w:tab/>
        <w:t>Nepageidaujamas poveikis</w:t>
      </w:r>
    </w:p>
    <w:p w14:paraId="09191875" w14:textId="77777777" w:rsidR="000A6DE2" w:rsidRPr="000A6DE2" w:rsidRDefault="000A6DE2" w:rsidP="000A6DE2">
      <w:pPr>
        <w:spacing w:after="0" w:line="240" w:lineRule="auto"/>
        <w:rPr>
          <w:rFonts w:ascii="Times New Roman" w:eastAsia="Calibri" w:hAnsi="Times New Roman" w:cs="Times New Roman"/>
          <w:lang w:eastAsia="lt-LT"/>
        </w:rPr>
      </w:pPr>
    </w:p>
    <w:p w14:paraId="22CBE359"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Saugumo duomenų santrauka</w:t>
      </w:r>
    </w:p>
    <w:p w14:paraId="02DD929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Kai kurie iš nepageidaujamų simptomų, susijusių su izotretinoino vartojimu, priklauso nuo vaistinio  preparato dozės dydžio. Sumažinus dozę arba nutraukus vaistinio preparato vartojimą, nepageidaujamas poveikis paprastai išnyksta, tačiau kai kurie jo simptomai gali išlikti ir po gydymo. Dažniausias nepageidaujamas izotretinoino poveikis yra gleivinės džiūvimas, pvz., lūpų (cheilitas), nosies (epistaksė), akių (konjunktyvitas) ir odos sausmė.</w:t>
      </w:r>
    </w:p>
    <w:p w14:paraId="094C9839" w14:textId="77777777" w:rsidR="000A6DE2" w:rsidRPr="000A6DE2" w:rsidRDefault="000A6DE2" w:rsidP="000A6DE2">
      <w:pPr>
        <w:spacing w:after="0" w:line="240" w:lineRule="auto"/>
        <w:rPr>
          <w:rFonts w:ascii="Times New Roman" w:eastAsia="Calibri" w:hAnsi="Times New Roman" w:cs="Times New Roman"/>
          <w:lang w:eastAsia="lt-LT"/>
        </w:rPr>
      </w:pPr>
    </w:p>
    <w:p w14:paraId="5A788A7D" w14:textId="77777777" w:rsidR="000A6DE2" w:rsidRPr="000A6DE2" w:rsidRDefault="000A6DE2" w:rsidP="000A6DE2">
      <w:pPr>
        <w:tabs>
          <w:tab w:val="left" w:pos="567"/>
        </w:tabs>
        <w:spacing w:after="0" w:line="260" w:lineRule="exact"/>
        <w:rPr>
          <w:rFonts w:ascii="Times New Roman" w:eastAsia="SimSun" w:hAnsi="Times New Roman" w:cs="Times New Roman"/>
          <w:szCs w:val="20"/>
          <w:lang w:eastAsia="zh-CN"/>
        </w:rPr>
      </w:pPr>
      <w:r w:rsidRPr="000A6DE2">
        <w:rPr>
          <w:rFonts w:ascii="TimesNewRoman,Italic Baltic" w:eastAsia="SimSun" w:hAnsi="TimesNewRoman,Italic Baltic" w:cs="TimesNewRoman,Italic Baltic"/>
          <w:iCs/>
          <w:u w:val="single"/>
          <w:lang w:eastAsia="lt-LT"/>
        </w:rPr>
        <w:lastRenderedPageBreak/>
        <w:t>Nepageidaujamų reakcijų santrauka lentelėje</w:t>
      </w:r>
    </w:p>
    <w:p w14:paraId="5D65CEB1" w14:textId="77777777" w:rsidR="000A6DE2" w:rsidRPr="000A6DE2" w:rsidRDefault="000A6DE2" w:rsidP="000A6DE2">
      <w:pPr>
        <w:autoSpaceDE w:val="0"/>
        <w:spacing w:after="0" w:line="240" w:lineRule="auto"/>
        <w:contextualSpacing/>
        <w:rPr>
          <w:rFonts w:ascii="Times New Roman" w:eastAsia="SimSun" w:hAnsi="Times New Roman" w:cs="Times New Roman"/>
          <w:szCs w:val="20"/>
          <w:lang w:eastAsia="zh-CN"/>
        </w:rPr>
      </w:pPr>
      <w:r w:rsidRPr="000A6DE2">
        <w:rPr>
          <w:rFonts w:ascii="Times New Roman" w:eastAsia="SimSun" w:hAnsi="Times New Roman" w:cs="Times New Roman"/>
          <w:lang w:eastAsia="zh-CN"/>
        </w:rPr>
        <w:t xml:space="preserve">Žemiau pateiktoje lentelėje išdėstytų nepageidaujamų reakcijų dažnis yra apskaičiuotas pagal klinikinių tyrimų, kuriuose dalyvavo 824 pacientai, bei poregistracinės patirties duomenis. Šios nepageidaujamos reakcijos yra išvardintos pagal MedDRA organų sistemų klases (OSK) ir dažnio kategorijas. Nepageidaujamo poveikio </w:t>
      </w:r>
      <w:r w:rsidRPr="000A6DE2">
        <w:rPr>
          <w:rFonts w:ascii="Times New Roman" w:eastAsia="SimSun" w:hAnsi="Times New Roman" w:cs="Times New Roman"/>
          <w:szCs w:val="20"/>
          <w:lang w:eastAsia="zh-CN"/>
        </w:rPr>
        <w:t>dažnis apibūdinamas taip: labai dažnas (≥ 1/10), dažnas (nuo ≥ 1/100 iki &lt; 1/10), nedažnas (nuo ≥ 1/1000 iki &lt; 1/100), retas (nuo ≥ 1/10000 iki &lt; 1/1000), labai retas (&lt; 1/10000) ir nežinomas (negali būti apskaičiuotas pagal turimus duomenis). Kiekvienoje dažnio grupėje ir OSK nepageidaujamos reakcijos yra išvardintos mažėjančio sunkumo tvarka.</w:t>
      </w:r>
    </w:p>
    <w:p w14:paraId="25B73F6F" w14:textId="77777777" w:rsidR="000A6DE2" w:rsidRPr="000A6DE2" w:rsidRDefault="000A6DE2" w:rsidP="000A6DE2">
      <w:pPr>
        <w:spacing w:after="0" w:line="240" w:lineRule="auto"/>
        <w:rPr>
          <w:rFonts w:ascii="Times New Roman" w:eastAsia="Calibri" w:hAnsi="Times New Roman" w:cs="Times New Roman"/>
          <w:lang w:eastAsia="lt-LT"/>
        </w:rPr>
      </w:pPr>
    </w:p>
    <w:p w14:paraId="020944B8"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1 lentelė. Izotretinoinu gydytiems pacientams pasireiškusių nepageidaujamų reakcijų santrauka lentelėje</w:t>
      </w:r>
    </w:p>
    <w:tbl>
      <w:tblPr>
        <w:tblW w:w="0" w:type="auto"/>
        <w:tblLook w:val="01E0" w:firstRow="1" w:lastRow="1" w:firstColumn="1" w:lastColumn="1" w:noHBand="0" w:noVBand="0"/>
      </w:tblPr>
      <w:tblGrid>
        <w:gridCol w:w="1388"/>
        <w:gridCol w:w="1551"/>
        <w:gridCol w:w="1321"/>
        <w:gridCol w:w="1489"/>
        <w:gridCol w:w="1994"/>
        <w:gridCol w:w="1317"/>
      </w:tblGrid>
      <w:tr w:rsidR="000A6DE2" w:rsidRPr="000A6DE2" w14:paraId="2A57C647" w14:textId="77777777" w:rsidTr="007118A6">
        <w:trPr>
          <w:tblHeader/>
        </w:trPr>
        <w:tc>
          <w:tcPr>
            <w:tcW w:w="1434" w:type="dxa"/>
            <w:tcBorders>
              <w:top w:val="single" w:sz="4" w:space="0" w:color="auto"/>
              <w:left w:val="single" w:sz="4" w:space="0" w:color="auto"/>
              <w:bottom w:val="single" w:sz="4" w:space="0" w:color="auto"/>
              <w:right w:val="single" w:sz="4" w:space="0" w:color="auto"/>
            </w:tcBorders>
          </w:tcPr>
          <w:p w14:paraId="389DED95"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Organų sistemų klasė</w:t>
            </w:r>
          </w:p>
        </w:tc>
        <w:tc>
          <w:tcPr>
            <w:tcW w:w="1551" w:type="dxa"/>
            <w:tcBorders>
              <w:top w:val="single" w:sz="4" w:space="0" w:color="auto"/>
              <w:left w:val="single" w:sz="4" w:space="0" w:color="auto"/>
              <w:bottom w:val="single" w:sz="4" w:space="0" w:color="auto"/>
              <w:right w:val="single" w:sz="4" w:space="0" w:color="auto"/>
            </w:tcBorders>
          </w:tcPr>
          <w:p w14:paraId="1DB04373"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Labai dažnas</w:t>
            </w:r>
          </w:p>
        </w:tc>
        <w:tc>
          <w:tcPr>
            <w:tcW w:w="1321" w:type="dxa"/>
            <w:tcBorders>
              <w:top w:val="single" w:sz="4" w:space="0" w:color="auto"/>
              <w:left w:val="single" w:sz="4" w:space="0" w:color="auto"/>
              <w:bottom w:val="single" w:sz="4" w:space="0" w:color="auto"/>
              <w:right w:val="single" w:sz="4" w:space="0" w:color="auto"/>
            </w:tcBorders>
          </w:tcPr>
          <w:p w14:paraId="0E1866DA"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Dažnas</w:t>
            </w:r>
          </w:p>
        </w:tc>
        <w:tc>
          <w:tcPr>
            <w:tcW w:w="1561" w:type="dxa"/>
            <w:tcBorders>
              <w:top w:val="single" w:sz="4" w:space="0" w:color="auto"/>
              <w:left w:val="single" w:sz="4" w:space="0" w:color="auto"/>
              <w:bottom w:val="single" w:sz="4" w:space="0" w:color="auto"/>
              <w:right w:val="single" w:sz="4" w:space="0" w:color="auto"/>
            </w:tcBorders>
          </w:tcPr>
          <w:p w14:paraId="592E6507"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Retas</w:t>
            </w:r>
          </w:p>
        </w:tc>
        <w:tc>
          <w:tcPr>
            <w:tcW w:w="2089" w:type="dxa"/>
            <w:tcBorders>
              <w:top w:val="single" w:sz="4" w:space="0" w:color="auto"/>
              <w:left w:val="single" w:sz="4" w:space="0" w:color="auto"/>
              <w:bottom w:val="single" w:sz="4" w:space="0" w:color="auto"/>
              <w:right w:val="single" w:sz="4" w:space="0" w:color="auto"/>
            </w:tcBorders>
          </w:tcPr>
          <w:p w14:paraId="63E6A158"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Labai retas</w:t>
            </w:r>
          </w:p>
        </w:tc>
        <w:tc>
          <w:tcPr>
            <w:tcW w:w="1330" w:type="dxa"/>
            <w:tcBorders>
              <w:top w:val="single" w:sz="4" w:space="0" w:color="auto"/>
              <w:left w:val="single" w:sz="4" w:space="0" w:color="auto"/>
              <w:bottom w:val="single" w:sz="4" w:space="0" w:color="auto"/>
              <w:right w:val="single" w:sz="4" w:space="0" w:color="auto"/>
            </w:tcBorders>
          </w:tcPr>
          <w:p w14:paraId="21C8AB13"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Dažnis nežinomas*</w:t>
            </w:r>
          </w:p>
        </w:tc>
      </w:tr>
      <w:tr w:rsidR="000A6DE2" w:rsidRPr="000A6DE2" w14:paraId="5D828AA0" w14:textId="77777777" w:rsidTr="007118A6">
        <w:tc>
          <w:tcPr>
            <w:tcW w:w="1434" w:type="dxa"/>
            <w:tcBorders>
              <w:top w:val="single" w:sz="4" w:space="0" w:color="auto"/>
              <w:left w:val="single" w:sz="4" w:space="0" w:color="auto"/>
              <w:bottom w:val="single" w:sz="4" w:space="0" w:color="auto"/>
              <w:right w:val="single" w:sz="4" w:space="0" w:color="auto"/>
            </w:tcBorders>
          </w:tcPr>
          <w:p w14:paraId="045E6B7C"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Infekcijos ir infestacijos</w:t>
            </w:r>
          </w:p>
        </w:tc>
        <w:tc>
          <w:tcPr>
            <w:tcW w:w="1551" w:type="dxa"/>
            <w:tcBorders>
              <w:top w:val="single" w:sz="4" w:space="0" w:color="auto"/>
              <w:left w:val="single" w:sz="4" w:space="0" w:color="auto"/>
              <w:bottom w:val="single" w:sz="4" w:space="0" w:color="auto"/>
              <w:right w:val="single" w:sz="4" w:space="0" w:color="auto"/>
            </w:tcBorders>
          </w:tcPr>
          <w:p w14:paraId="354E37C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14BED54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809455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6B6AD3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Gramteigiamų bakterijų odoje ir gleivinėje infekcija </w:t>
            </w:r>
          </w:p>
        </w:tc>
        <w:tc>
          <w:tcPr>
            <w:tcW w:w="1330" w:type="dxa"/>
            <w:tcBorders>
              <w:top w:val="single" w:sz="4" w:space="0" w:color="auto"/>
              <w:left w:val="single" w:sz="4" w:space="0" w:color="auto"/>
              <w:bottom w:val="single" w:sz="4" w:space="0" w:color="auto"/>
              <w:right w:val="single" w:sz="4" w:space="0" w:color="auto"/>
            </w:tcBorders>
          </w:tcPr>
          <w:p w14:paraId="79200C3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1769811D" w14:textId="77777777" w:rsidTr="007118A6">
        <w:tc>
          <w:tcPr>
            <w:tcW w:w="1434" w:type="dxa"/>
            <w:tcBorders>
              <w:top w:val="single" w:sz="4" w:space="0" w:color="auto"/>
              <w:left w:val="single" w:sz="4" w:space="0" w:color="auto"/>
              <w:bottom w:val="single" w:sz="4" w:space="0" w:color="auto"/>
              <w:right w:val="single" w:sz="4" w:space="0" w:color="auto"/>
            </w:tcBorders>
          </w:tcPr>
          <w:p w14:paraId="740D0FBD"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Kraujo ir limfinės sistemos sutrikimai</w:t>
            </w:r>
          </w:p>
        </w:tc>
        <w:tc>
          <w:tcPr>
            <w:tcW w:w="1551" w:type="dxa"/>
            <w:tcBorders>
              <w:top w:val="single" w:sz="4" w:space="0" w:color="auto"/>
              <w:left w:val="single" w:sz="4" w:space="0" w:color="auto"/>
              <w:bottom w:val="single" w:sz="4" w:space="0" w:color="auto"/>
              <w:right w:val="single" w:sz="4" w:space="0" w:color="auto"/>
            </w:tcBorders>
          </w:tcPr>
          <w:p w14:paraId="3421A9E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Trombocitopenija, anemija, trombocitozė, padidėjęs eritrocitų nusėdimo greitis</w:t>
            </w:r>
          </w:p>
        </w:tc>
        <w:tc>
          <w:tcPr>
            <w:tcW w:w="1321" w:type="dxa"/>
            <w:tcBorders>
              <w:top w:val="single" w:sz="4" w:space="0" w:color="auto"/>
              <w:left w:val="single" w:sz="4" w:space="0" w:color="auto"/>
              <w:bottom w:val="single" w:sz="4" w:space="0" w:color="auto"/>
              <w:right w:val="single" w:sz="4" w:space="0" w:color="auto"/>
            </w:tcBorders>
          </w:tcPr>
          <w:p w14:paraId="0A80515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Neutropenija</w:t>
            </w:r>
          </w:p>
        </w:tc>
        <w:tc>
          <w:tcPr>
            <w:tcW w:w="1561" w:type="dxa"/>
            <w:tcBorders>
              <w:top w:val="single" w:sz="4" w:space="0" w:color="auto"/>
              <w:left w:val="single" w:sz="4" w:space="0" w:color="auto"/>
              <w:bottom w:val="single" w:sz="4" w:space="0" w:color="auto"/>
              <w:right w:val="single" w:sz="4" w:space="0" w:color="auto"/>
            </w:tcBorders>
          </w:tcPr>
          <w:p w14:paraId="77BD86E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3CEDB91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Limfadenopatija</w:t>
            </w:r>
          </w:p>
        </w:tc>
        <w:tc>
          <w:tcPr>
            <w:tcW w:w="1330" w:type="dxa"/>
            <w:tcBorders>
              <w:top w:val="single" w:sz="4" w:space="0" w:color="auto"/>
              <w:left w:val="single" w:sz="4" w:space="0" w:color="auto"/>
              <w:bottom w:val="single" w:sz="4" w:space="0" w:color="auto"/>
              <w:right w:val="single" w:sz="4" w:space="0" w:color="auto"/>
            </w:tcBorders>
          </w:tcPr>
          <w:p w14:paraId="06E196F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5CD0790F" w14:textId="77777777" w:rsidTr="007118A6">
        <w:tc>
          <w:tcPr>
            <w:tcW w:w="1434" w:type="dxa"/>
            <w:tcBorders>
              <w:top w:val="single" w:sz="4" w:space="0" w:color="auto"/>
              <w:left w:val="single" w:sz="4" w:space="0" w:color="auto"/>
              <w:bottom w:val="single" w:sz="4" w:space="0" w:color="auto"/>
              <w:right w:val="single" w:sz="4" w:space="0" w:color="auto"/>
            </w:tcBorders>
          </w:tcPr>
          <w:p w14:paraId="458AE0EB"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Imuninės sistemos sutrikimai</w:t>
            </w:r>
          </w:p>
        </w:tc>
        <w:tc>
          <w:tcPr>
            <w:tcW w:w="1551" w:type="dxa"/>
            <w:tcBorders>
              <w:top w:val="single" w:sz="4" w:space="0" w:color="auto"/>
              <w:left w:val="single" w:sz="4" w:space="0" w:color="auto"/>
              <w:bottom w:val="single" w:sz="4" w:space="0" w:color="auto"/>
              <w:right w:val="single" w:sz="4" w:space="0" w:color="auto"/>
            </w:tcBorders>
          </w:tcPr>
          <w:p w14:paraId="7BE377B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60750B0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05354AD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Anafilaksinės reakcijos, padidėjęs jautrumas, alerginė odos reakcija</w:t>
            </w:r>
          </w:p>
        </w:tc>
        <w:tc>
          <w:tcPr>
            <w:tcW w:w="2089" w:type="dxa"/>
            <w:tcBorders>
              <w:top w:val="single" w:sz="4" w:space="0" w:color="auto"/>
              <w:left w:val="single" w:sz="4" w:space="0" w:color="auto"/>
              <w:bottom w:val="single" w:sz="4" w:space="0" w:color="auto"/>
              <w:right w:val="single" w:sz="4" w:space="0" w:color="auto"/>
            </w:tcBorders>
          </w:tcPr>
          <w:p w14:paraId="6884C32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30" w:type="dxa"/>
            <w:tcBorders>
              <w:top w:val="single" w:sz="4" w:space="0" w:color="auto"/>
              <w:left w:val="single" w:sz="4" w:space="0" w:color="auto"/>
              <w:bottom w:val="single" w:sz="4" w:space="0" w:color="auto"/>
              <w:right w:val="single" w:sz="4" w:space="0" w:color="auto"/>
            </w:tcBorders>
          </w:tcPr>
          <w:p w14:paraId="484010C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AD90838" w14:textId="77777777" w:rsidTr="007118A6">
        <w:tc>
          <w:tcPr>
            <w:tcW w:w="1434" w:type="dxa"/>
            <w:tcBorders>
              <w:top w:val="single" w:sz="4" w:space="0" w:color="auto"/>
              <w:left w:val="single" w:sz="4" w:space="0" w:color="auto"/>
              <w:bottom w:val="single" w:sz="4" w:space="0" w:color="auto"/>
              <w:right w:val="single" w:sz="4" w:space="0" w:color="auto"/>
            </w:tcBorders>
          </w:tcPr>
          <w:p w14:paraId="44C11B53"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Metabolizmo ir mitybos sutrikimai</w:t>
            </w:r>
          </w:p>
        </w:tc>
        <w:tc>
          <w:tcPr>
            <w:tcW w:w="1551" w:type="dxa"/>
            <w:tcBorders>
              <w:top w:val="single" w:sz="4" w:space="0" w:color="auto"/>
              <w:left w:val="single" w:sz="4" w:space="0" w:color="auto"/>
              <w:bottom w:val="single" w:sz="4" w:space="0" w:color="auto"/>
              <w:right w:val="single" w:sz="4" w:space="0" w:color="auto"/>
            </w:tcBorders>
          </w:tcPr>
          <w:p w14:paraId="3F42280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68075FF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DF8D65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4E43215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Cukrinis diabetas, hiperurikemija</w:t>
            </w:r>
          </w:p>
        </w:tc>
        <w:tc>
          <w:tcPr>
            <w:tcW w:w="1330" w:type="dxa"/>
            <w:tcBorders>
              <w:top w:val="single" w:sz="4" w:space="0" w:color="auto"/>
              <w:left w:val="single" w:sz="4" w:space="0" w:color="auto"/>
              <w:bottom w:val="single" w:sz="4" w:space="0" w:color="auto"/>
              <w:right w:val="single" w:sz="4" w:space="0" w:color="auto"/>
            </w:tcBorders>
          </w:tcPr>
          <w:p w14:paraId="0062015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7C94679" w14:textId="77777777" w:rsidTr="007118A6">
        <w:tc>
          <w:tcPr>
            <w:tcW w:w="1434" w:type="dxa"/>
            <w:tcBorders>
              <w:top w:val="single" w:sz="4" w:space="0" w:color="auto"/>
              <w:left w:val="single" w:sz="4" w:space="0" w:color="auto"/>
              <w:bottom w:val="single" w:sz="4" w:space="0" w:color="auto"/>
              <w:right w:val="single" w:sz="4" w:space="0" w:color="auto"/>
            </w:tcBorders>
          </w:tcPr>
          <w:p w14:paraId="031D21FE"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Psichikos sutrikimai</w:t>
            </w:r>
          </w:p>
        </w:tc>
        <w:tc>
          <w:tcPr>
            <w:tcW w:w="1551" w:type="dxa"/>
            <w:tcBorders>
              <w:top w:val="single" w:sz="4" w:space="0" w:color="auto"/>
              <w:left w:val="single" w:sz="4" w:space="0" w:color="auto"/>
              <w:bottom w:val="single" w:sz="4" w:space="0" w:color="auto"/>
              <w:right w:val="single" w:sz="4" w:space="0" w:color="auto"/>
            </w:tcBorders>
          </w:tcPr>
          <w:p w14:paraId="0FADC06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17B9F81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546EA92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Depresija, depresijos pasunkėjimas, polinkis į agresiją, nerimas, nuotaikos pokyčiai</w:t>
            </w:r>
          </w:p>
        </w:tc>
        <w:tc>
          <w:tcPr>
            <w:tcW w:w="2089" w:type="dxa"/>
            <w:tcBorders>
              <w:top w:val="single" w:sz="4" w:space="0" w:color="auto"/>
              <w:left w:val="single" w:sz="4" w:space="0" w:color="auto"/>
              <w:bottom w:val="single" w:sz="4" w:space="0" w:color="auto"/>
              <w:right w:val="single" w:sz="4" w:space="0" w:color="auto"/>
            </w:tcBorders>
          </w:tcPr>
          <w:p w14:paraId="345CE6A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Savižudybė, bandymas žudytis, savižudybės ideacija, psichozinis sutrikimas, nenormalus elgesys</w:t>
            </w:r>
          </w:p>
        </w:tc>
        <w:tc>
          <w:tcPr>
            <w:tcW w:w="1330" w:type="dxa"/>
            <w:tcBorders>
              <w:top w:val="single" w:sz="4" w:space="0" w:color="auto"/>
              <w:left w:val="single" w:sz="4" w:space="0" w:color="auto"/>
              <w:bottom w:val="single" w:sz="4" w:space="0" w:color="auto"/>
              <w:right w:val="single" w:sz="4" w:space="0" w:color="auto"/>
            </w:tcBorders>
          </w:tcPr>
          <w:p w14:paraId="6B08B30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17B0A04" w14:textId="77777777" w:rsidTr="007118A6">
        <w:tc>
          <w:tcPr>
            <w:tcW w:w="1434" w:type="dxa"/>
            <w:tcBorders>
              <w:top w:val="single" w:sz="4" w:space="0" w:color="auto"/>
              <w:left w:val="single" w:sz="4" w:space="0" w:color="auto"/>
              <w:bottom w:val="single" w:sz="4" w:space="0" w:color="auto"/>
              <w:right w:val="single" w:sz="4" w:space="0" w:color="auto"/>
            </w:tcBorders>
          </w:tcPr>
          <w:p w14:paraId="0FA16082"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Nervų sistemos sutrikimai</w:t>
            </w:r>
          </w:p>
        </w:tc>
        <w:tc>
          <w:tcPr>
            <w:tcW w:w="1551" w:type="dxa"/>
            <w:tcBorders>
              <w:top w:val="single" w:sz="4" w:space="0" w:color="auto"/>
              <w:left w:val="single" w:sz="4" w:space="0" w:color="auto"/>
              <w:bottom w:val="single" w:sz="4" w:space="0" w:color="auto"/>
              <w:right w:val="single" w:sz="4" w:space="0" w:color="auto"/>
            </w:tcBorders>
          </w:tcPr>
          <w:p w14:paraId="3D0018D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47C4EF9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Galvos skausmas</w:t>
            </w:r>
          </w:p>
        </w:tc>
        <w:tc>
          <w:tcPr>
            <w:tcW w:w="1561" w:type="dxa"/>
            <w:tcBorders>
              <w:top w:val="single" w:sz="4" w:space="0" w:color="auto"/>
              <w:left w:val="single" w:sz="4" w:space="0" w:color="auto"/>
              <w:bottom w:val="single" w:sz="4" w:space="0" w:color="auto"/>
              <w:right w:val="single" w:sz="4" w:space="0" w:color="auto"/>
            </w:tcBorders>
          </w:tcPr>
          <w:p w14:paraId="6928D37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5E44707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Gerybinė intrakranialinė hipertenzija, konvulsijos, mieguistumas, svaigulys</w:t>
            </w:r>
          </w:p>
        </w:tc>
        <w:tc>
          <w:tcPr>
            <w:tcW w:w="1330" w:type="dxa"/>
            <w:tcBorders>
              <w:top w:val="single" w:sz="4" w:space="0" w:color="auto"/>
              <w:left w:val="single" w:sz="4" w:space="0" w:color="auto"/>
              <w:bottom w:val="single" w:sz="4" w:space="0" w:color="auto"/>
              <w:right w:val="single" w:sz="4" w:space="0" w:color="auto"/>
            </w:tcBorders>
          </w:tcPr>
          <w:p w14:paraId="029C4E7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744F73C" w14:textId="77777777" w:rsidTr="007118A6">
        <w:tc>
          <w:tcPr>
            <w:tcW w:w="1434" w:type="dxa"/>
            <w:tcBorders>
              <w:top w:val="single" w:sz="4" w:space="0" w:color="auto"/>
              <w:left w:val="single" w:sz="4" w:space="0" w:color="auto"/>
              <w:bottom w:val="single" w:sz="4" w:space="0" w:color="auto"/>
              <w:right w:val="single" w:sz="4" w:space="0" w:color="auto"/>
            </w:tcBorders>
          </w:tcPr>
          <w:p w14:paraId="283C0CAE"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Akių sutrikimai</w:t>
            </w:r>
          </w:p>
        </w:tc>
        <w:tc>
          <w:tcPr>
            <w:tcW w:w="1551" w:type="dxa"/>
            <w:tcBorders>
              <w:top w:val="single" w:sz="4" w:space="0" w:color="auto"/>
              <w:left w:val="single" w:sz="4" w:space="0" w:color="auto"/>
              <w:bottom w:val="single" w:sz="4" w:space="0" w:color="auto"/>
              <w:right w:val="single" w:sz="4" w:space="0" w:color="auto"/>
            </w:tcBorders>
          </w:tcPr>
          <w:p w14:paraId="22BF35C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Blefaritas, konjunktyvitas, akių sausmė ir dirginimas</w:t>
            </w:r>
          </w:p>
        </w:tc>
        <w:tc>
          <w:tcPr>
            <w:tcW w:w="1321" w:type="dxa"/>
            <w:tcBorders>
              <w:top w:val="single" w:sz="4" w:space="0" w:color="auto"/>
              <w:left w:val="single" w:sz="4" w:space="0" w:color="auto"/>
              <w:bottom w:val="single" w:sz="4" w:space="0" w:color="auto"/>
              <w:right w:val="single" w:sz="4" w:space="0" w:color="auto"/>
            </w:tcBorders>
          </w:tcPr>
          <w:p w14:paraId="1C7F8AA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63F6332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77164CB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Regos nervo edema (gerybinės intrakranialinės hipertenzijos požymis), katarakta, aklumas spalvoms (spalvų nejutimas), kontaktinių lęšių netoleravimas, ragenos drumstis, matymo naktį susilpnėjimas, keratitas, fotofobija, regėjimo sutrikimai, daiktų matymas lyg per miglą</w:t>
            </w:r>
          </w:p>
        </w:tc>
        <w:tc>
          <w:tcPr>
            <w:tcW w:w="1330" w:type="dxa"/>
            <w:tcBorders>
              <w:top w:val="single" w:sz="4" w:space="0" w:color="auto"/>
              <w:left w:val="single" w:sz="4" w:space="0" w:color="auto"/>
              <w:bottom w:val="single" w:sz="4" w:space="0" w:color="auto"/>
              <w:right w:val="single" w:sz="4" w:space="0" w:color="auto"/>
            </w:tcBorders>
          </w:tcPr>
          <w:p w14:paraId="2D8AF77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21A50A03" w14:textId="77777777" w:rsidTr="007118A6">
        <w:tc>
          <w:tcPr>
            <w:tcW w:w="1434" w:type="dxa"/>
            <w:tcBorders>
              <w:top w:val="single" w:sz="4" w:space="0" w:color="auto"/>
              <w:left w:val="single" w:sz="4" w:space="0" w:color="auto"/>
              <w:bottom w:val="single" w:sz="4" w:space="0" w:color="auto"/>
              <w:right w:val="single" w:sz="4" w:space="0" w:color="auto"/>
            </w:tcBorders>
          </w:tcPr>
          <w:p w14:paraId="3BCD9290"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Ausų ir labirintų sutrikimai</w:t>
            </w:r>
          </w:p>
        </w:tc>
        <w:tc>
          <w:tcPr>
            <w:tcW w:w="1551" w:type="dxa"/>
            <w:tcBorders>
              <w:top w:val="single" w:sz="4" w:space="0" w:color="auto"/>
              <w:left w:val="single" w:sz="4" w:space="0" w:color="auto"/>
              <w:bottom w:val="single" w:sz="4" w:space="0" w:color="auto"/>
              <w:right w:val="single" w:sz="4" w:space="0" w:color="auto"/>
            </w:tcBorders>
          </w:tcPr>
          <w:p w14:paraId="587C690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37D59BF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18CD2095"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067C36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Klausos sutrikimas</w:t>
            </w:r>
          </w:p>
        </w:tc>
        <w:tc>
          <w:tcPr>
            <w:tcW w:w="1330" w:type="dxa"/>
            <w:tcBorders>
              <w:top w:val="single" w:sz="4" w:space="0" w:color="auto"/>
              <w:left w:val="single" w:sz="4" w:space="0" w:color="auto"/>
              <w:bottom w:val="single" w:sz="4" w:space="0" w:color="auto"/>
              <w:right w:val="single" w:sz="4" w:space="0" w:color="auto"/>
            </w:tcBorders>
          </w:tcPr>
          <w:p w14:paraId="77C026F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1EB4679C" w14:textId="77777777" w:rsidTr="007118A6">
        <w:tc>
          <w:tcPr>
            <w:tcW w:w="1434" w:type="dxa"/>
            <w:tcBorders>
              <w:top w:val="single" w:sz="4" w:space="0" w:color="auto"/>
              <w:left w:val="single" w:sz="4" w:space="0" w:color="auto"/>
              <w:bottom w:val="single" w:sz="4" w:space="0" w:color="auto"/>
              <w:right w:val="single" w:sz="4" w:space="0" w:color="auto"/>
            </w:tcBorders>
          </w:tcPr>
          <w:p w14:paraId="537DD4DA"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Kraujagyslių sutrikimai</w:t>
            </w:r>
          </w:p>
        </w:tc>
        <w:tc>
          <w:tcPr>
            <w:tcW w:w="1551" w:type="dxa"/>
            <w:tcBorders>
              <w:top w:val="single" w:sz="4" w:space="0" w:color="auto"/>
              <w:left w:val="single" w:sz="4" w:space="0" w:color="auto"/>
              <w:bottom w:val="single" w:sz="4" w:space="0" w:color="auto"/>
              <w:right w:val="single" w:sz="4" w:space="0" w:color="auto"/>
            </w:tcBorders>
          </w:tcPr>
          <w:p w14:paraId="1D5B9F2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5EF4E9C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4B9CFA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7615C9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Vaskulitas (pvz., Wegener‘io granulomatozė, alerginis angitas)</w:t>
            </w:r>
          </w:p>
        </w:tc>
        <w:tc>
          <w:tcPr>
            <w:tcW w:w="1330" w:type="dxa"/>
            <w:tcBorders>
              <w:top w:val="single" w:sz="4" w:space="0" w:color="auto"/>
              <w:left w:val="single" w:sz="4" w:space="0" w:color="auto"/>
              <w:bottom w:val="single" w:sz="4" w:space="0" w:color="auto"/>
              <w:right w:val="single" w:sz="4" w:space="0" w:color="auto"/>
            </w:tcBorders>
          </w:tcPr>
          <w:p w14:paraId="0D29FBF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A8EB30C" w14:textId="77777777" w:rsidTr="007118A6">
        <w:tc>
          <w:tcPr>
            <w:tcW w:w="1434" w:type="dxa"/>
            <w:tcBorders>
              <w:top w:val="single" w:sz="4" w:space="0" w:color="auto"/>
              <w:left w:val="single" w:sz="4" w:space="0" w:color="auto"/>
              <w:bottom w:val="single" w:sz="4" w:space="0" w:color="auto"/>
              <w:right w:val="single" w:sz="4" w:space="0" w:color="auto"/>
            </w:tcBorders>
          </w:tcPr>
          <w:p w14:paraId="09F79195"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 xml:space="preserve">Kvėpavimo sistemos, krūtinės ląstos </w:t>
            </w:r>
            <w:r w:rsidRPr="000A6DE2">
              <w:rPr>
                <w:rFonts w:ascii="Times New Roman" w:eastAsia="Calibri" w:hAnsi="Times New Roman" w:cs="Times New Roman"/>
                <w:b/>
                <w:sz w:val="18"/>
                <w:szCs w:val="18"/>
                <w:lang w:eastAsia="lt-LT"/>
              </w:rPr>
              <w:lastRenderedPageBreak/>
              <w:t>ir tarpuplaučio sutrikimai</w:t>
            </w:r>
          </w:p>
        </w:tc>
        <w:tc>
          <w:tcPr>
            <w:tcW w:w="1551" w:type="dxa"/>
            <w:tcBorders>
              <w:top w:val="single" w:sz="4" w:space="0" w:color="auto"/>
              <w:left w:val="single" w:sz="4" w:space="0" w:color="auto"/>
              <w:bottom w:val="single" w:sz="4" w:space="0" w:color="auto"/>
              <w:right w:val="single" w:sz="4" w:space="0" w:color="auto"/>
            </w:tcBorders>
          </w:tcPr>
          <w:p w14:paraId="7998C6A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750A30C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Nazofaringitas, kraujavimas iš nosies, nosies </w:t>
            </w:r>
            <w:r w:rsidRPr="000A6DE2">
              <w:rPr>
                <w:rFonts w:ascii="Times New Roman" w:eastAsia="Calibri" w:hAnsi="Times New Roman" w:cs="Times New Roman"/>
                <w:sz w:val="18"/>
                <w:szCs w:val="18"/>
                <w:lang w:eastAsia="lt-LT"/>
              </w:rPr>
              <w:lastRenderedPageBreak/>
              <w:t>gleivinės sausmė</w:t>
            </w:r>
          </w:p>
        </w:tc>
        <w:tc>
          <w:tcPr>
            <w:tcW w:w="1561" w:type="dxa"/>
            <w:tcBorders>
              <w:top w:val="single" w:sz="4" w:space="0" w:color="auto"/>
              <w:left w:val="single" w:sz="4" w:space="0" w:color="auto"/>
              <w:bottom w:val="single" w:sz="4" w:space="0" w:color="auto"/>
              <w:right w:val="single" w:sz="4" w:space="0" w:color="auto"/>
            </w:tcBorders>
          </w:tcPr>
          <w:p w14:paraId="22FF794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3DDD3B7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Bronchų spazmas (ypač bronchine astma sergantiems ligoniams), prikimimas</w:t>
            </w:r>
          </w:p>
        </w:tc>
        <w:tc>
          <w:tcPr>
            <w:tcW w:w="1330" w:type="dxa"/>
            <w:tcBorders>
              <w:top w:val="single" w:sz="4" w:space="0" w:color="auto"/>
              <w:left w:val="single" w:sz="4" w:space="0" w:color="auto"/>
              <w:bottom w:val="single" w:sz="4" w:space="0" w:color="auto"/>
              <w:right w:val="single" w:sz="4" w:space="0" w:color="auto"/>
            </w:tcBorders>
          </w:tcPr>
          <w:p w14:paraId="6B3E27E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7BF18BAE" w14:textId="77777777" w:rsidTr="007118A6">
        <w:tc>
          <w:tcPr>
            <w:tcW w:w="1434" w:type="dxa"/>
            <w:tcBorders>
              <w:top w:val="single" w:sz="4" w:space="0" w:color="auto"/>
              <w:left w:val="single" w:sz="4" w:space="0" w:color="auto"/>
              <w:bottom w:val="single" w:sz="4" w:space="0" w:color="auto"/>
              <w:right w:val="single" w:sz="4" w:space="0" w:color="auto"/>
            </w:tcBorders>
          </w:tcPr>
          <w:p w14:paraId="5F77A840" w14:textId="77777777" w:rsidR="000A6DE2" w:rsidRPr="000A6DE2" w:rsidRDefault="000A6DE2" w:rsidP="000A6DE2">
            <w:pPr>
              <w:spacing w:after="0" w:line="240" w:lineRule="auto"/>
              <w:rPr>
                <w:rFonts w:ascii="Times New Roman" w:eastAsia="Calibri" w:hAnsi="Times New Roman" w:cs="Times New Roman"/>
                <w:b/>
                <w:sz w:val="18"/>
                <w:szCs w:val="18"/>
                <w:highlight w:val="yellow"/>
                <w:lang w:eastAsia="lt-LT"/>
              </w:rPr>
            </w:pPr>
            <w:r w:rsidRPr="000A6DE2">
              <w:rPr>
                <w:rFonts w:ascii="Times New Roman" w:eastAsia="Calibri" w:hAnsi="Times New Roman" w:cs="Times New Roman"/>
                <w:b/>
                <w:sz w:val="18"/>
                <w:szCs w:val="18"/>
                <w:lang w:eastAsia="lt-LT"/>
              </w:rPr>
              <w:t>Virškinimo trakto sutrikimai</w:t>
            </w:r>
          </w:p>
        </w:tc>
        <w:tc>
          <w:tcPr>
            <w:tcW w:w="1551" w:type="dxa"/>
            <w:tcBorders>
              <w:top w:val="single" w:sz="4" w:space="0" w:color="auto"/>
              <w:left w:val="single" w:sz="4" w:space="0" w:color="auto"/>
              <w:bottom w:val="single" w:sz="4" w:space="0" w:color="auto"/>
              <w:right w:val="single" w:sz="4" w:space="0" w:color="auto"/>
            </w:tcBorders>
          </w:tcPr>
          <w:p w14:paraId="0C7E97B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6F8FE42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E2FC83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0A20B42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Uždegiminė žarnų liga, kolitas, ileitas, pankreatitas, kraujavimas iš virškinimo trakto, viduriavimas kraujingomis išmatomis, pykinimas, gerklės džiūvimas</w:t>
            </w:r>
            <w:r w:rsidRPr="000A6DE2" w:rsidDel="008219E3">
              <w:rPr>
                <w:rFonts w:ascii="Times New Roman" w:eastAsia="Calibri" w:hAnsi="Times New Roman" w:cs="Times New Roman"/>
                <w:sz w:val="18"/>
                <w:szCs w:val="18"/>
                <w:lang w:eastAsia="lt-LT"/>
              </w:rPr>
              <w:t xml:space="preserve"> </w:t>
            </w:r>
            <w:r w:rsidRPr="000A6DE2">
              <w:rPr>
                <w:rFonts w:ascii="Times New Roman" w:eastAsia="Calibri" w:hAnsi="Times New Roman" w:cs="Times New Roman"/>
                <w:sz w:val="18"/>
                <w:szCs w:val="18"/>
                <w:lang w:eastAsia="lt-LT"/>
              </w:rPr>
              <w:t>(žr. 4.4 skyrių)</w:t>
            </w:r>
          </w:p>
        </w:tc>
        <w:tc>
          <w:tcPr>
            <w:tcW w:w="1330" w:type="dxa"/>
            <w:tcBorders>
              <w:top w:val="single" w:sz="4" w:space="0" w:color="auto"/>
              <w:left w:val="single" w:sz="4" w:space="0" w:color="auto"/>
              <w:bottom w:val="single" w:sz="4" w:space="0" w:color="auto"/>
              <w:right w:val="single" w:sz="4" w:space="0" w:color="auto"/>
            </w:tcBorders>
          </w:tcPr>
          <w:p w14:paraId="23AB413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7CFCF3FE" w14:textId="77777777" w:rsidTr="007118A6">
        <w:tc>
          <w:tcPr>
            <w:tcW w:w="1434" w:type="dxa"/>
            <w:tcBorders>
              <w:top w:val="single" w:sz="4" w:space="0" w:color="auto"/>
              <w:left w:val="single" w:sz="4" w:space="0" w:color="auto"/>
              <w:bottom w:val="single" w:sz="4" w:space="0" w:color="auto"/>
              <w:right w:val="single" w:sz="4" w:space="0" w:color="auto"/>
            </w:tcBorders>
          </w:tcPr>
          <w:p w14:paraId="7C8894F5"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Kepenų, tulžies pūslės ir latakų sutrikimai</w:t>
            </w:r>
          </w:p>
        </w:tc>
        <w:tc>
          <w:tcPr>
            <w:tcW w:w="1551" w:type="dxa"/>
            <w:tcBorders>
              <w:top w:val="single" w:sz="4" w:space="0" w:color="auto"/>
              <w:left w:val="single" w:sz="4" w:space="0" w:color="auto"/>
              <w:bottom w:val="single" w:sz="4" w:space="0" w:color="auto"/>
              <w:right w:val="single" w:sz="4" w:space="0" w:color="auto"/>
            </w:tcBorders>
          </w:tcPr>
          <w:p w14:paraId="1EC779D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Transaminazių aktyvumo padidėjimas (žr. 4.4 skyrių)</w:t>
            </w:r>
          </w:p>
        </w:tc>
        <w:tc>
          <w:tcPr>
            <w:tcW w:w="1321" w:type="dxa"/>
            <w:tcBorders>
              <w:top w:val="single" w:sz="4" w:space="0" w:color="auto"/>
              <w:left w:val="single" w:sz="4" w:space="0" w:color="auto"/>
              <w:bottom w:val="single" w:sz="4" w:space="0" w:color="auto"/>
              <w:right w:val="single" w:sz="4" w:space="0" w:color="auto"/>
            </w:tcBorders>
          </w:tcPr>
          <w:p w14:paraId="659AB45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B04D85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03EBD1E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Hepatitas</w:t>
            </w:r>
          </w:p>
        </w:tc>
        <w:tc>
          <w:tcPr>
            <w:tcW w:w="1330" w:type="dxa"/>
            <w:tcBorders>
              <w:top w:val="single" w:sz="4" w:space="0" w:color="auto"/>
              <w:left w:val="single" w:sz="4" w:space="0" w:color="auto"/>
              <w:bottom w:val="single" w:sz="4" w:space="0" w:color="auto"/>
              <w:right w:val="single" w:sz="4" w:space="0" w:color="auto"/>
            </w:tcBorders>
          </w:tcPr>
          <w:p w14:paraId="08DF639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76E6A4F3" w14:textId="77777777" w:rsidTr="007118A6">
        <w:tc>
          <w:tcPr>
            <w:tcW w:w="1434" w:type="dxa"/>
            <w:tcBorders>
              <w:top w:val="single" w:sz="4" w:space="0" w:color="auto"/>
              <w:left w:val="single" w:sz="4" w:space="0" w:color="auto"/>
              <w:bottom w:val="single" w:sz="4" w:space="0" w:color="auto"/>
              <w:right w:val="single" w:sz="4" w:space="0" w:color="auto"/>
            </w:tcBorders>
          </w:tcPr>
          <w:p w14:paraId="0F294A71" w14:textId="77777777" w:rsidR="000A6DE2" w:rsidRPr="000A6DE2" w:rsidRDefault="000A6DE2" w:rsidP="000A6DE2">
            <w:pPr>
              <w:spacing w:after="0" w:line="240" w:lineRule="auto"/>
              <w:rPr>
                <w:rFonts w:ascii="Times New Roman" w:eastAsia="Calibri" w:hAnsi="Times New Roman" w:cs="Times New Roman"/>
                <w:b/>
                <w:sz w:val="18"/>
                <w:szCs w:val="18"/>
                <w:highlight w:val="yellow"/>
                <w:lang w:eastAsia="lt-LT"/>
              </w:rPr>
            </w:pPr>
            <w:r w:rsidRPr="000A6DE2">
              <w:rPr>
                <w:rFonts w:ascii="Times New Roman" w:eastAsia="Calibri" w:hAnsi="Times New Roman" w:cs="Times New Roman"/>
                <w:b/>
                <w:sz w:val="18"/>
                <w:szCs w:val="18"/>
                <w:lang w:eastAsia="lt-LT"/>
              </w:rPr>
              <w:t>Odos ir poodinio audinio sutrikimai</w:t>
            </w:r>
          </w:p>
        </w:tc>
        <w:tc>
          <w:tcPr>
            <w:tcW w:w="1551" w:type="dxa"/>
            <w:tcBorders>
              <w:top w:val="single" w:sz="4" w:space="0" w:color="auto"/>
              <w:left w:val="single" w:sz="4" w:space="0" w:color="auto"/>
              <w:bottom w:val="single" w:sz="4" w:space="0" w:color="auto"/>
              <w:right w:val="single" w:sz="4" w:space="0" w:color="auto"/>
            </w:tcBorders>
          </w:tcPr>
          <w:p w14:paraId="3E198B9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Niežulys, eriteminis bėrimas, dermatitas, cheilitas, odos sausmė, lokalizuota eksfoliacija, odos trapumas (trinties traumos rizika)</w:t>
            </w:r>
          </w:p>
        </w:tc>
        <w:tc>
          <w:tcPr>
            <w:tcW w:w="1321" w:type="dxa"/>
            <w:tcBorders>
              <w:top w:val="single" w:sz="4" w:space="0" w:color="auto"/>
              <w:left w:val="single" w:sz="4" w:space="0" w:color="auto"/>
              <w:bottom w:val="single" w:sz="4" w:space="0" w:color="auto"/>
              <w:right w:val="single" w:sz="4" w:space="0" w:color="auto"/>
            </w:tcBorders>
          </w:tcPr>
          <w:p w14:paraId="750C348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049279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Alopecija</w:t>
            </w:r>
          </w:p>
        </w:tc>
        <w:tc>
          <w:tcPr>
            <w:tcW w:w="2089" w:type="dxa"/>
            <w:tcBorders>
              <w:top w:val="single" w:sz="4" w:space="0" w:color="auto"/>
              <w:left w:val="single" w:sz="4" w:space="0" w:color="auto"/>
              <w:bottom w:val="single" w:sz="4" w:space="0" w:color="auto"/>
              <w:right w:val="single" w:sz="4" w:space="0" w:color="auto"/>
            </w:tcBorders>
          </w:tcPr>
          <w:p w14:paraId="4180BD5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Žaibiški spuogai, spuogų pasunkėjimas (suaktyvėjimas), veido eritema, egzantema, plaukų sutrikimas, hirsutizmas, nagų distrofija, paronichija, padidėjusio jautrumo šviesai reakcija, piogeninė granuloma, odos hiperpigmentacija, padidėjęs prakaitavimas</w:t>
            </w:r>
          </w:p>
        </w:tc>
        <w:tc>
          <w:tcPr>
            <w:tcW w:w="1330" w:type="dxa"/>
            <w:tcBorders>
              <w:top w:val="single" w:sz="4" w:space="0" w:color="auto"/>
              <w:left w:val="single" w:sz="4" w:space="0" w:color="auto"/>
              <w:bottom w:val="single" w:sz="4" w:space="0" w:color="auto"/>
              <w:right w:val="single" w:sz="4" w:space="0" w:color="auto"/>
            </w:tcBorders>
          </w:tcPr>
          <w:p w14:paraId="02EDC68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Daugiaformė eritema, </w:t>
            </w:r>
            <w:r w:rsidRPr="000A6DE2">
              <w:rPr>
                <w:rFonts w:ascii="Times New Roman" w:eastAsia="Calibri" w:hAnsi="Times New Roman" w:cs="Times New Roman"/>
                <w:i/>
                <w:sz w:val="18"/>
                <w:szCs w:val="18"/>
                <w:lang w:eastAsia="lt-LT"/>
              </w:rPr>
              <w:t>Stevens-Johnson</w:t>
            </w:r>
            <w:r w:rsidRPr="000A6DE2">
              <w:rPr>
                <w:rFonts w:ascii="Times New Roman" w:eastAsia="Calibri" w:hAnsi="Times New Roman" w:cs="Times New Roman"/>
                <w:sz w:val="18"/>
                <w:szCs w:val="18"/>
                <w:lang w:eastAsia="lt-LT"/>
              </w:rPr>
              <w:t xml:space="preserve"> sindromas, toksinė epidermio nekrolizė</w:t>
            </w:r>
          </w:p>
        </w:tc>
      </w:tr>
      <w:tr w:rsidR="000A6DE2" w:rsidRPr="000A6DE2" w14:paraId="40C674E5" w14:textId="77777777" w:rsidTr="007118A6">
        <w:tc>
          <w:tcPr>
            <w:tcW w:w="1434" w:type="dxa"/>
            <w:tcBorders>
              <w:top w:val="single" w:sz="4" w:space="0" w:color="auto"/>
              <w:left w:val="single" w:sz="4" w:space="0" w:color="auto"/>
              <w:bottom w:val="single" w:sz="4" w:space="0" w:color="auto"/>
              <w:right w:val="single" w:sz="4" w:space="0" w:color="auto"/>
            </w:tcBorders>
          </w:tcPr>
          <w:p w14:paraId="0952F20C"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Skeleto, raumenų ir jungiamojo audinio sutrikimai</w:t>
            </w:r>
          </w:p>
        </w:tc>
        <w:tc>
          <w:tcPr>
            <w:tcW w:w="1551" w:type="dxa"/>
            <w:tcBorders>
              <w:top w:val="single" w:sz="4" w:space="0" w:color="auto"/>
              <w:left w:val="single" w:sz="4" w:space="0" w:color="auto"/>
              <w:bottom w:val="single" w:sz="4" w:space="0" w:color="auto"/>
              <w:right w:val="single" w:sz="4" w:space="0" w:color="auto"/>
            </w:tcBorders>
          </w:tcPr>
          <w:p w14:paraId="4E1C72D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Sąnarių skausmas, raumenų skaismas, nugaros skausmas (ypač vaikams ir paaugliams)</w:t>
            </w:r>
          </w:p>
        </w:tc>
        <w:tc>
          <w:tcPr>
            <w:tcW w:w="1321" w:type="dxa"/>
            <w:tcBorders>
              <w:top w:val="single" w:sz="4" w:space="0" w:color="auto"/>
              <w:left w:val="single" w:sz="4" w:space="0" w:color="auto"/>
              <w:bottom w:val="single" w:sz="4" w:space="0" w:color="auto"/>
              <w:right w:val="single" w:sz="4" w:space="0" w:color="auto"/>
            </w:tcBorders>
          </w:tcPr>
          <w:p w14:paraId="346DF8E5"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9F246C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5E92151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Artritas, kalcinozė (raiščių ir sausgyslių kalcifikacija), priešlaikinis epifizių užakimas, egzostozė (hiperostozė), kaulų tankio sumažėjimas, tendinitas</w:t>
            </w:r>
            <w:r w:rsidRPr="000A6DE2">
              <w:rPr>
                <w:rFonts w:ascii="Times New Roman" w:eastAsia="Times New Roman" w:hAnsi="Times New Roman" w:cs="Times New Roman"/>
                <w:noProof/>
                <w:color w:val="FF0000"/>
                <w:sz w:val="18"/>
                <w:szCs w:val="18"/>
                <w:lang w:eastAsia="lt-LT"/>
              </w:rPr>
              <w:t xml:space="preserve"> </w:t>
            </w:r>
          </w:p>
        </w:tc>
        <w:tc>
          <w:tcPr>
            <w:tcW w:w="1330" w:type="dxa"/>
            <w:tcBorders>
              <w:top w:val="single" w:sz="4" w:space="0" w:color="auto"/>
              <w:left w:val="single" w:sz="4" w:space="0" w:color="auto"/>
              <w:bottom w:val="single" w:sz="4" w:space="0" w:color="auto"/>
              <w:right w:val="single" w:sz="4" w:space="0" w:color="auto"/>
            </w:tcBorders>
          </w:tcPr>
          <w:p w14:paraId="76D6063A" w14:textId="77777777" w:rsidR="000A6DE2" w:rsidRDefault="000A6DE2" w:rsidP="000A6DE2">
            <w:pPr>
              <w:spacing w:after="0" w:line="240" w:lineRule="auto"/>
              <w:rPr>
                <w:rFonts w:ascii="Times New Roman" w:eastAsia="Times New Roman" w:hAnsi="Times New Roman" w:cs="Times New Roman"/>
                <w:noProof/>
                <w:sz w:val="18"/>
                <w:szCs w:val="18"/>
                <w:lang w:eastAsia="lt-LT"/>
              </w:rPr>
            </w:pPr>
            <w:r w:rsidRPr="000A6DE2">
              <w:rPr>
                <w:rFonts w:ascii="Times New Roman" w:eastAsia="Times New Roman" w:hAnsi="Times New Roman" w:cs="Times New Roman"/>
                <w:noProof/>
                <w:sz w:val="18"/>
                <w:szCs w:val="18"/>
                <w:lang w:eastAsia="lt-LT"/>
              </w:rPr>
              <w:t>Rabdomiolizė</w:t>
            </w:r>
            <w:r w:rsidR="007118A6">
              <w:rPr>
                <w:rFonts w:ascii="Times New Roman" w:eastAsia="Times New Roman" w:hAnsi="Times New Roman" w:cs="Times New Roman"/>
                <w:noProof/>
                <w:sz w:val="18"/>
                <w:szCs w:val="18"/>
                <w:lang w:eastAsia="lt-LT"/>
              </w:rPr>
              <w:t>,</w:t>
            </w:r>
          </w:p>
          <w:p w14:paraId="2540C4B1" w14:textId="6270FA19" w:rsidR="007118A6" w:rsidRPr="000A6DE2" w:rsidRDefault="007118A6" w:rsidP="000A6DE2">
            <w:pPr>
              <w:spacing w:after="0" w:line="240" w:lineRule="auto"/>
              <w:rPr>
                <w:rFonts w:ascii="Times New Roman" w:eastAsia="Calibri" w:hAnsi="Times New Roman" w:cs="Times New Roman"/>
                <w:sz w:val="18"/>
                <w:szCs w:val="18"/>
                <w:lang w:eastAsia="lt-LT"/>
              </w:rPr>
            </w:pPr>
            <w:r>
              <w:rPr>
                <w:rFonts w:ascii="Times New Roman" w:eastAsia="Times New Roman" w:hAnsi="Times New Roman" w:cs="Times New Roman"/>
                <w:noProof/>
                <w:sz w:val="18"/>
                <w:szCs w:val="18"/>
                <w:lang w:eastAsia="lt-LT"/>
              </w:rPr>
              <w:t>sakroilitas</w:t>
            </w:r>
          </w:p>
        </w:tc>
      </w:tr>
      <w:tr w:rsidR="000A6DE2" w:rsidRPr="000A6DE2" w14:paraId="0368C36E" w14:textId="77777777" w:rsidTr="007118A6">
        <w:tc>
          <w:tcPr>
            <w:tcW w:w="1434" w:type="dxa"/>
            <w:tcBorders>
              <w:top w:val="single" w:sz="4" w:space="0" w:color="auto"/>
              <w:left w:val="single" w:sz="4" w:space="0" w:color="auto"/>
              <w:bottom w:val="single" w:sz="4" w:space="0" w:color="auto"/>
              <w:right w:val="single" w:sz="4" w:space="0" w:color="auto"/>
            </w:tcBorders>
          </w:tcPr>
          <w:p w14:paraId="187F50AE"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Inkstų ir šlapimo takų sutrikimai</w:t>
            </w:r>
          </w:p>
        </w:tc>
        <w:tc>
          <w:tcPr>
            <w:tcW w:w="1551" w:type="dxa"/>
            <w:tcBorders>
              <w:top w:val="single" w:sz="4" w:space="0" w:color="auto"/>
              <w:left w:val="single" w:sz="4" w:space="0" w:color="auto"/>
              <w:bottom w:val="single" w:sz="4" w:space="0" w:color="auto"/>
              <w:right w:val="single" w:sz="4" w:space="0" w:color="auto"/>
            </w:tcBorders>
          </w:tcPr>
          <w:p w14:paraId="6746F4B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28279BC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128EEB3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0FE28E5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Glomerulonefritas</w:t>
            </w:r>
          </w:p>
        </w:tc>
        <w:tc>
          <w:tcPr>
            <w:tcW w:w="1330" w:type="dxa"/>
            <w:tcBorders>
              <w:top w:val="single" w:sz="4" w:space="0" w:color="auto"/>
              <w:left w:val="single" w:sz="4" w:space="0" w:color="auto"/>
              <w:bottom w:val="single" w:sz="4" w:space="0" w:color="auto"/>
              <w:right w:val="single" w:sz="4" w:space="0" w:color="auto"/>
            </w:tcBorders>
          </w:tcPr>
          <w:p w14:paraId="017BBF5B" w14:textId="09CC0370" w:rsidR="000A6DE2" w:rsidRPr="000A6DE2" w:rsidRDefault="007118A6" w:rsidP="000A6DE2">
            <w:pPr>
              <w:spacing w:after="0" w:line="240" w:lineRule="auto"/>
              <w:rPr>
                <w:rFonts w:ascii="Times New Roman" w:eastAsia="Calibri" w:hAnsi="Times New Roman" w:cs="Times New Roman"/>
                <w:sz w:val="18"/>
                <w:szCs w:val="18"/>
                <w:lang w:eastAsia="lt-LT"/>
              </w:rPr>
            </w:pPr>
            <w:r>
              <w:rPr>
                <w:rFonts w:ascii="Times New Roman" w:eastAsia="Calibri" w:hAnsi="Times New Roman" w:cs="Times New Roman"/>
                <w:sz w:val="18"/>
                <w:szCs w:val="18"/>
                <w:lang w:eastAsia="lt-LT"/>
              </w:rPr>
              <w:t>Uretritas</w:t>
            </w:r>
          </w:p>
        </w:tc>
      </w:tr>
      <w:tr w:rsidR="000A6DE2" w:rsidRPr="000A6DE2" w14:paraId="62DA69A7" w14:textId="77777777" w:rsidTr="007118A6">
        <w:tc>
          <w:tcPr>
            <w:tcW w:w="1434" w:type="dxa"/>
            <w:tcBorders>
              <w:top w:val="single" w:sz="4" w:space="0" w:color="auto"/>
              <w:left w:val="single" w:sz="4" w:space="0" w:color="auto"/>
              <w:bottom w:val="single" w:sz="4" w:space="0" w:color="auto"/>
              <w:right w:val="single" w:sz="4" w:space="0" w:color="auto"/>
            </w:tcBorders>
          </w:tcPr>
          <w:p w14:paraId="651DFD5F"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Lytinės sistemos ir krūties sutrikimai</w:t>
            </w:r>
          </w:p>
        </w:tc>
        <w:tc>
          <w:tcPr>
            <w:tcW w:w="1551" w:type="dxa"/>
            <w:tcBorders>
              <w:top w:val="single" w:sz="4" w:space="0" w:color="auto"/>
              <w:left w:val="single" w:sz="4" w:space="0" w:color="auto"/>
              <w:bottom w:val="single" w:sz="4" w:space="0" w:color="auto"/>
              <w:right w:val="single" w:sz="4" w:space="0" w:color="auto"/>
            </w:tcBorders>
          </w:tcPr>
          <w:p w14:paraId="4A8E038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45294C3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5C5DF0C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AEC27B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30" w:type="dxa"/>
            <w:tcBorders>
              <w:top w:val="single" w:sz="4" w:space="0" w:color="auto"/>
              <w:left w:val="single" w:sz="4" w:space="0" w:color="auto"/>
              <w:bottom w:val="single" w:sz="4" w:space="0" w:color="auto"/>
              <w:right w:val="single" w:sz="4" w:space="0" w:color="auto"/>
            </w:tcBorders>
          </w:tcPr>
          <w:p w14:paraId="70BB79C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Seksualinis sutrikimas, apimantis erekcijos sutrikimą ir lytinio potraukio sumažėjimą, </w:t>
            </w:r>
          </w:p>
          <w:p w14:paraId="633AD3C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ginekomastija, vulvos ir makšties sausmė.</w:t>
            </w:r>
          </w:p>
        </w:tc>
      </w:tr>
      <w:tr w:rsidR="000A6DE2" w:rsidRPr="000A6DE2" w14:paraId="0B69882D" w14:textId="77777777" w:rsidTr="007118A6">
        <w:tc>
          <w:tcPr>
            <w:tcW w:w="1434" w:type="dxa"/>
            <w:tcBorders>
              <w:top w:val="single" w:sz="4" w:space="0" w:color="auto"/>
              <w:left w:val="single" w:sz="4" w:space="0" w:color="auto"/>
              <w:bottom w:val="single" w:sz="4" w:space="0" w:color="auto"/>
              <w:right w:val="single" w:sz="4" w:space="0" w:color="auto"/>
            </w:tcBorders>
          </w:tcPr>
          <w:p w14:paraId="70142400"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Bendrieji sutrikimai ir vartojimo vietos pažeidimai</w:t>
            </w:r>
          </w:p>
        </w:tc>
        <w:tc>
          <w:tcPr>
            <w:tcW w:w="1551" w:type="dxa"/>
            <w:tcBorders>
              <w:top w:val="single" w:sz="4" w:space="0" w:color="auto"/>
              <w:left w:val="single" w:sz="4" w:space="0" w:color="auto"/>
              <w:bottom w:val="single" w:sz="4" w:space="0" w:color="auto"/>
              <w:right w:val="single" w:sz="4" w:space="0" w:color="auto"/>
            </w:tcBorders>
          </w:tcPr>
          <w:p w14:paraId="4FB6094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158E338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0B5B498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4820ECE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Audinių granuliacija (greitesnis formavimasis), negalavimas</w:t>
            </w:r>
          </w:p>
        </w:tc>
        <w:tc>
          <w:tcPr>
            <w:tcW w:w="1330" w:type="dxa"/>
            <w:tcBorders>
              <w:top w:val="single" w:sz="4" w:space="0" w:color="auto"/>
              <w:left w:val="single" w:sz="4" w:space="0" w:color="auto"/>
              <w:bottom w:val="single" w:sz="4" w:space="0" w:color="auto"/>
              <w:right w:val="single" w:sz="4" w:space="0" w:color="auto"/>
            </w:tcBorders>
          </w:tcPr>
          <w:p w14:paraId="322D357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CEEA6C8" w14:textId="77777777" w:rsidTr="007118A6">
        <w:tc>
          <w:tcPr>
            <w:tcW w:w="1434" w:type="dxa"/>
            <w:tcBorders>
              <w:top w:val="single" w:sz="4" w:space="0" w:color="auto"/>
              <w:left w:val="single" w:sz="4" w:space="0" w:color="auto"/>
              <w:bottom w:val="single" w:sz="4" w:space="0" w:color="auto"/>
              <w:right w:val="single" w:sz="4" w:space="0" w:color="auto"/>
            </w:tcBorders>
          </w:tcPr>
          <w:p w14:paraId="6A99EDAD"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 xml:space="preserve">Tyrimai </w:t>
            </w:r>
          </w:p>
        </w:tc>
        <w:tc>
          <w:tcPr>
            <w:tcW w:w="1551" w:type="dxa"/>
            <w:tcBorders>
              <w:top w:val="single" w:sz="4" w:space="0" w:color="auto"/>
              <w:left w:val="single" w:sz="4" w:space="0" w:color="auto"/>
              <w:bottom w:val="single" w:sz="4" w:space="0" w:color="auto"/>
              <w:right w:val="single" w:sz="4" w:space="0" w:color="auto"/>
            </w:tcBorders>
          </w:tcPr>
          <w:p w14:paraId="2E40030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Trigliceridų kiekio kraujyje padidėjimas, didelio tankio lipoproteinų kiekio kraujyje sumažėjimas</w:t>
            </w:r>
          </w:p>
        </w:tc>
        <w:tc>
          <w:tcPr>
            <w:tcW w:w="1321" w:type="dxa"/>
            <w:tcBorders>
              <w:top w:val="single" w:sz="4" w:space="0" w:color="auto"/>
              <w:left w:val="single" w:sz="4" w:space="0" w:color="auto"/>
              <w:bottom w:val="single" w:sz="4" w:space="0" w:color="auto"/>
              <w:right w:val="single" w:sz="4" w:space="0" w:color="auto"/>
            </w:tcBorders>
          </w:tcPr>
          <w:p w14:paraId="68C1F79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Cholesterolio ir gliukozės kiekio kraujyje padidėjimas, hematurija, proteinurija</w:t>
            </w:r>
          </w:p>
        </w:tc>
        <w:tc>
          <w:tcPr>
            <w:tcW w:w="1561" w:type="dxa"/>
            <w:tcBorders>
              <w:top w:val="single" w:sz="4" w:space="0" w:color="auto"/>
              <w:left w:val="single" w:sz="4" w:space="0" w:color="auto"/>
              <w:bottom w:val="single" w:sz="4" w:space="0" w:color="auto"/>
              <w:right w:val="single" w:sz="4" w:space="0" w:color="auto"/>
            </w:tcBorders>
          </w:tcPr>
          <w:p w14:paraId="74435A7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56F1F9B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Kreatinfosfokinazės aktyvumo kraujyje padidėjimas </w:t>
            </w:r>
          </w:p>
        </w:tc>
        <w:tc>
          <w:tcPr>
            <w:tcW w:w="1330" w:type="dxa"/>
            <w:tcBorders>
              <w:top w:val="single" w:sz="4" w:space="0" w:color="auto"/>
              <w:left w:val="single" w:sz="4" w:space="0" w:color="auto"/>
              <w:bottom w:val="single" w:sz="4" w:space="0" w:color="auto"/>
              <w:right w:val="single" w:sz="4" w:space="0" w:color="auto"/>
            </w:tcBorders>
          </w:tcPr>
          <w:p w14:paraId="1C06D38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bl>
    <w:p w14:paraId="7A812955"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 - negali būti įvertintas pagal turimus duomenis</w:t>
      </w:r>
    </w:p>
    <w:p w14:paraId="481BAA8C" w14:textId="77777777" w:rsidR="000A6DE2" w:rsidRPr="000A6DE2" w:rsidRDefault="000A6DE2" w:rsidP="000A6DE2">
      <w:pPr>
        <w:spacing w:after="0" w:line="240" w:lineRule="auto"/>
        <w:rPr>
          <w:rFonts w:ascii="Times New Roman" w:eastAsia="Calibri" w:hAnsi="Times New Roman" w:cs="Times New Roman"/>
          <w:i/>
          <w:lang w:eastAsia="lt-LT"/>
        </w:rPr>
      </w:pPr>
    </w:p>
    <w:p w14:paraId="686AA2AF" w14:textId="77777777" w:rsidR="000A6DE2" w:rsidRPr="000A6DE2" w:rsidRDefault="000A6DE2" w:rsidP="000A6DE2">
      <w:pPr>
        <w:keepNext/>
        <w:keepLines/>
        <w:tabs>
          <w:tab w:val="left" w:pos="567"/>
        </w:tabs>
        <w:autoSpaceDE w:val="0"/>
        <w:autoSpaceDN w:val="0"/>
        <w:adjustRightInd w:val="0"/>
        <w:spacing w:after="0" w:line="240" w:lineRule="auto"/>
        <w:rPr>
          <w:rFonts w:ascii="Times New Roman" w:eastAsia="Times New Roman" w:hAnsi="Times New Roman" w:cs="Times New Roman"/>
          <w:snapToGrid w:val="0"/>
          <w:szCs w:val="24"/>
          <w:u w:val="single"/>
          <w:lang w:eastAsia="lt-LT"/>
        </w:rPr>
      </w:pPr>
      <w:r w:rsidRPr="000A6DE2">
        <w:rPr>
          <w:rFonts w:ascii="Times New Roman" w:eastAsia="Times New Roman" w:hAnsi="Times New Roman" w:cs="Times New Roman"/>
          <w:noProof/>
          <w:snapToGrid w:val="0"/>
          <w:szCs w:val="24"/>
          <w:u w:val="single"/>
          <w:lang w:eastAsia="lt-LT"/>
        </w:rPr>
        <w:lastRenderedPageBreak/>
        <w:t>Pranešimas apie įtariamas nepageidaujamas reakcijas</w:t>
      </w:r>
    </w:p>
    <w:p w14:paraId="5DF00E01" w14:textId="25F81452" w:rsidR="000A6DE2" w:rsidRPr="000A6DE2" w:rsidRDefault="000A6DE2" w:rsidP="000A6DE2">
      <w:pPr>
        <w:keepNext/>
        <w:keepLines/>
        <w:tabs>
          <w:tab w:val="left" w:pos="567"/>
        </w:tabs>
        <w:autoSpaceDE w:val="0"/>
        <w:autoSpaceDN w:val="0"/>
        <w:adjustRightInd w:val="0"/>
        <w:spacing w:after="0" w:line="240" w:lineRule="auto"/>
        <w:rPr>
          <w:rFonts w:ascii="Times New Roman" w:eastAsia="Times New Roman" w:hAnsi="Times New Roman" w:cs="Times New Roman"/>
          <w:noProof/>
          <w:snapToGrid w:val="0"/>
          <w:szCs w:val="24"/>
          <w:lang w:eastAsia="lt-LT"/>
        </w:rPr>
      </w:pPr>
      <w:r w:rsidRPr="000A6DE2">
        <w:rPr>
          <w:rFonts w:ascii="Times New Roman" w:eastAsia="Times New Roman" w:hAnsi="Times New Roman" w:cs="Times New Roman"/>
          <w:noProof/>
          <w:snapToGrid w:val="0"/>
          <w:szCs w:val="24"/>
          <w:lang w:eastAsia="lt-LT"/>
        </w:rPr>
        <w:t xml:space="preserve">Svarbu pranešti apie įtariamas nepageidaujamas reakcijas, pastebėtas po vaistinio preparato registracijos, nes tai leidžia nuolat stebėti vaistinio preparato naudos ir rizikos santykį. </w:t>
      </w:r>
      <w:r w:rsidR="007E33B2" w:rsidRPr="00F12599">
        <w:rPr>
          <w:rFonts w:ascii="Times New Roman" w:eastAsia="Times New Roman" w:hAnsi="Times New Roman" w:cs="Times New Roman"/>
          <w:noProof/>
          <w:snapToGrid w:val="0"/>
          <w:szCs w:val="24"/>
          <w:lang w:eastAsia="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5D5634EC" w14:textId="77777777" w:rsidR="000A6DE2" w:rsidRPr="000A6DE2" w:rsidRDefault="000A6DE2" w:rsidP="000A6DE2">
      <w:pPr>
        <w:spacing w:after="0" w:line="240" w:lineRule="auto"/>
        <w:rPr>
          <w:rFonts w:ascii="Times New Roman" w:eastAsia="Calibri" w:hAnsi="Times New Roman" w:cs="Times New Roman"/>
          <w:b/>
          <w:lang w:eastAsia="lt-LT"/>
        </w:rPr>
      </w:pPr>
    </w:p>
    <w:p w14:paraId="4F39258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4.9</w:t>
      </w:r>
      <w:r w:rsidRPr="000A6DE2">
        <w:rPr>
          <w:rFonts w:ascii="Times New Roman" w:eastAsia="Calibri" w:hAnsi="Times New Roman" w:cs="Times New Roman"/>
          <w:b/>
          <w:lang w:eastAsia="lt-LT"/>
        </w:rPr>
        <w:tab/>
        <w:t>Perdozavimas</w:t>
      </w:r>
    </w:p>
    <w:p w14:paraId="5E61F6DF" w14:textId="77777777" w:rsidR="000A6DE2" w:rsidRPr="000A6DE2" w:rsidRDefault="000A6DE2" w:rsidP="000A6DE2">
      <w:pPr>
        <w:spacing w:after="0" w:line="240" w:lineRule="auto"/>
        <w:rPr>
          <w:rFonts w:ascii="Times New Roman" w:eastAsia="Calibri" w:hAnsi="Times New Roman" w:cs="Times New Roman"/>
          <w:lang w:eastAsia="lt-LT"/>
        </w:rPr>
      </w:pPr>
    </w:p>
    <w:p w14:paraId="6F48BDB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Izotretinoinas yra vitamino A darinys. Nors ūminis toksinis poveikis yra silpnas, tačiau vaistinio preparato perdozavus gali atsirasti vitamino A hipervitaminozės simptomų. Ūminis toksinis vitamino A poveikis pasireiškia stipriu galvos skausmu, pykinimu, vėmimu, mieguistumu, dirglumu ir niežuliu. Atsitiktinio arba tyčinio izotretinoino perdozavimo simptomai ir požymiai turėtų būti tokie patys. Manoma, jog jie yra laikini ir išnyksta negydant.</w:t>
      </w:r>
    </w:p>
    <w:p w14:paraId="54A44870" w14:textId="77777777" w:rsidR="000A6DE2" w:rsidRPr="000A6DE2" w:rsidRDefault="000A6DE2" w:rsidP="000A6DE2">
      <w:pPr>
        <w:spacing w:after="0" w:line="240" w:lineRule="auto"/>
        <w:rPr>
          <w:rFonts w:ascii="Times New Roman" w:eastAsia="Calibri" w:hAnsi="Times New Roman" w:cs="Times New Roman"/>
          <w:b/>
          <w:lang w:eastAsia="lt-LT"/>
        </w:rPr>
      </w:pPr>
    </w:p>
    <w:p w14:paraId="3D7BDADD" w14:textId="77777777" w:rsidR="000A6DE2" w:rsidRPr="000A6DE2" w:rsidRDefault="000A6DE2" w:rsidP="000A6DE2">
      <w:pPr>
        <w:spacing w:after="0" w:line="240" w:lineRule="auto"/>
        <w:rPr>
          <w:rFonts w:ascii="Times New Roman" w:eastAsia="Calibri" w:hAnsi="Times New Roman" w:cs="Times New Roman"/>
          <w:b/>
          <w:lang w:eastAsia="lt-LT"/>
        </w:rPr>
      </w:pPr>
    </w:p>
    <w:p w14:paraId="5388128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w:t>
      </w:r>
      <w:r w:rsidRPr="000A6DE2">
        <w:rPr>
          <w:rFonts w:ascii="Times New Roman" w:eastAsia="Calibri" w:hAnsi="Times New Roman" w:cs="Times New Roman"/>
          <w:b/>
          <w:lang w:eastAsia="lt-LT"/>
        </w:rPr>
        <w:tab/>
        <w:t>FARMAKOLOGINĖS SAVYBĖS</w:t>
      </w:r>
    </w:p>
    <w:p w14:paraId="263B6809"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p>
    <w:p w14:paraId="5012F470"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5.1</w:t>
      </w:r>
      <w:r w:rsidRPr="000A6DE2">
        <w:rPr>
          <w:rFonts w:ascii="Times New Roman" w:eastAsia="Calibri" w:hAnsi="Times New Roman" w:cs="Times New Roman"/>
          <w:b/>
          <w:lang w:eastAsia="lt-LT"/>
        </w:rPr>
        <w:tab/>
        <w:t>Farmakodinaminės savybės</w:t>
      </w:r>
    </w:p>
    <w:p w14:paraId="02385E5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Farmakoterapinė grupė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retinoidas spuogams gydyti, ATC kodas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D10B A01.</w:t>
      </w:r>
    </w:p>
    <w:p w14:paraId="47889197" w14:textId="77777777" w:rsidR="000A6DE2" w:rsidRPr="000A6DE2" w:rsidRDefault="000A6DE2" w:rsidP="000A6DE2">
      <w:pPr>
        <w:spacing w:after="0" w:line="240" w:lineRule="auto"/>
        <w:rPr>
          <w:rFonts w:ascii="Times New Roman" w:eastAsia="Calibri" w:hAnsi="Times New Roman" w:cs="Times New Roman"/>
          <w:b/>
          <w:i/>
          <w:lang w:eastAsia="lt-LT"/>
        </w:rPr>
      </w:pPr>
    </w:p>
    <w:p w14:paraId="5D46211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Veikimo mechanizmas</w:t>
      </w:r>
    </w:p>
    <w:p w14:paraId="6670CBB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Izotretinoinas yra erdvinis all-</w:t>
      </w:r>
      <w:r w:rsidRPr="000A6DE2">
        <w:rPr>
          <w:rFonts w:ascii="Times New Roman" w:eastAsia="Calibri" w:hAnsi="Times New Roman" w:cs="Times New Roman"/>
          <w:i/>
          <w:lang w:eastAsia="lt-LT"/>
        </w:rPr>
        <w:t>trans</w:t>
      </w:r>
      <w:r w:rsidRPr="000A6DE2">
        <w:rPr>
          <w:rFonts w:ascii="Times New Roman" w:eastAsia="Calibri" w:hAnsi="Times New Roman" w:cs="Times New Roman"/>
          <w:lang w:eastAsia="lt-LT"/>
        </w:rPr>
        <w:t xml:space="preserve"> retinoinės rūgšties (tretinoino) izomeras. Tikslus izotretinoino veikimo būdas dar neištirtas, tačiau nustatyta, jog gydymo metu sunkių spuogų palengvėjimas yra susijęs su riebalų liaukų aktyvumo slopinimu ir jų dydžio sumažėjimu (pastarasis pokytis nustatytas histologiniu tyrimu). Be to, nustatytas izotretinoino priešuždegiminis poveikis odai.</w:t>
      </w:r>
    </w:p>
    <w:p w14:paraId="1044338E" w14:textId="77777777" w:rsidR="000A6DE2" w:rsidRPr="000A6DE2" w:rsidRDefault="000A6DE2" w:rsidP="000A6DE2">
      <w:pPr>
        <w:spacing w:after="0" w:line="240" w:lineRule="auto"/>
        <w:rPr>
          <w:rFonts w:ascii="Times New Roman" w:eastAsia="Calibri" w:hAnsi="Times New Roman" w:cs="Times New Roman"/>
          <w:b/>
          <w:i/>
          <w:lang w:eastAsia="lt-LT"/>
        </w:rPr>
      </w:pPr>
    </w:p>
    <w:p w14:paraId="237A7CAB"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Klinikinis veiksmingumas ir saugumas</w:t>
      </w:r>
    </w:p>
    <w:p w14:paraId="2D0D7AC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Dėl plaukų folikulų ir riebalų liaukų epitelio ragėjimo atsilupusios suragėjusios ląstelės, keratinas ir riebalai užkemša liaukų lataką Dėl to formuojasi komedonas ir, galiausiai, prasideda uždegimas. Izotretinoinas slopina riebalų liaukos ląstelių proliferaciją ir atgaivina tvarkingą jų diferenciaciją. Riebalai yra svarbiausias </w:t>
      </w:r>
      <w:r w:rsidRPr="000A6DE2">
        <w:rPr>
          <w:rFonts w:ascii="Times New Roman" w:eastAsia="Calibri" w:hAnsi="Times New Roman" w:cs="Times New Roman"/>
          <w:i/>
          <w:lang w:eastAsia="lt-LT"/>
        </w:rPr>
        <w:t>Propionibacterium acnes</w:t>
      </w:r>
      <w:r w:rsidRPr="000A6DE2">
        <w:rPr>
          <w:rFonts w:ascii="Times New Roman" w:eastAsia="Calibri" w:hAnsi="Times New Roman" w:cs="Times New Roman"/>
          <w:lang w:eastAsia="lt-LT"/>
        </w:rPr>
        <w:t xml:space="preserve"> augimo substratas, todėl sumažėjus jų gamybai latake slopinama bakterijų kolonizacija.</w:t>
      </w:r>
    </w:p>
    <w:p w14:paraId="792CB34E" w14:textId="77777777" w:rsidR="000A6DE2" w:rsidRPr="000A6DE2" w:rsidRDefault="000A6DE2" w:rsidP="000A6DE2">
      <w:pPr>
        <w:tabs>
          <w:tab w:val="num" w:pos="720"/>
        </w:tabs>
        <w:spacing w:after="0" w:line="240" w:lineRule="auto"/>
        <w:rPr>
          <w:rFonts w:ascii="Times New Roman" w:eastAsia="Calibri" w:hAnsi="Times New Roman" w:cs="Times New Roman"/>
          <w:b/>
          <w:lang w:eastAsia="lt-LT"/>
        </w:rPr>
      </w:pPr>
    </w:p>
    <w:p w14:paraId="42E7B750" w14:textId="77777777" w:rsidR="000A6DE2" w:rsidRPr="000A6DE2" w:rsidRDefault="000A6DE2" w:rsidP="000A6DE2">
      <w:pPr>
        <w:tabs>
          <w:tab w:val="num" w:pos="567"/>
          <w:tab w:val="num" w:pos="720"/>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5.2</w:t>
      </w:r>
      <w:r w:rsidRPr="000A6DE2">
        <w:rPr>
          <w:rFonts w:ascii="Times New Roman" w:eastAsia="Calibri" w:hAnsi="Times New Roman" w:cs="Times New Roman"/>
          <w:b/>
          <w:lang w:eastAsia="lt-LT"/>
        </w:rPr>
        <w:tab/>
        <w:t>Farmakokinetinės savybės</w:t>
      </w:r>
    </w:p>
    <w:p w14:paraId="4E705B31" w14:textId="77777777" w:rsidR="000A6DE2" w:rsidRPr="000A6DE2" w:rsidRDefault="000A6DE2" w:rsidP="000A6DE2">
      <w:pPr>
        <w:spacing w:after="0" w:line="240" w:lineRule="auto"/>
        <w:rPr>
          <w:rFonts w:ascii="Times New Roman" w:eastAsia="Calibri" w:hAnsi="Times New Roman" w:cs="Times New Roman"/>
          <w:b/>
          <w:i/>
          <w:lang w:eastAsia="lt-LT"/>
        </w:rPr>
      </w:pPr>
    </w:p>
    <w:p w14:paraId="47674C8E"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Absorbcija</w:t>
      </w:r>
    </w:p>
    <w:p w14:paraId="60F0B0A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Izotretinoino absorbcija virškinimo trakte yra nepastovi. Esant terapinėms dozėms absorbcijos priklausomumas nuo dozės dydžio yra tiesinis. Absoliutus biologinis vaistinio preparato prieinamumas nenustatytas, kadangi žmogui į veną leidžiamų vaistinių preparatų nėra, bet tyrimai su šunimis leidžia manyti, kad į sisteminę kraujotaką patenka nevienodas ir gana mažas jo kiekis. Valgio metu pavartoto izotretinoino biologinis prieinamumas yra du kartus didesnis negu išgerto nevalgius.</w:t>
      </w:r>
    </w:p>
    <w:p w14:paraId="0CB72642" w14:textId="77777777" w:rsidR="000A6DE2" w:rsidRPr="000A6DE2" w:rsidRDefault="000A6DE2" w:rsidP="000A6DE2">
      <w:pPr>
        <w:spacing w:after="0" w:line="240" w:lineRule="auto"/>
        <w:rPr>
          <w:rFonts w:ascii="Times New Roman" w:eastAsia="Calibri" w:hAnsi="Times New Roman" w:cs="Times New Roman"/>
          <w:b/>
          <w:i/>
          <w:lang w:eastAsia="lt-LT"/>
        </w:rPr>
      </w:pPr>
    </w:p>
    <w:p w14:paraId="69436F0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Pasiskirstymas</w:t>
      </w:r>
    </w:p>
    <w:p w14:paraId="5B07D44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99,9 </w:t>
      </w:r>
      <w:r w:rsidRPr="000A6DE2">
        <w:rPr>
          <w:rFonts w:ascii="Times New Roman" w:eastAsia="Calibri" w:hAnsi="Times New Roman" w:cs="Times New Roman"/>
          <w:lang w:eastAsia="lt-LT"/>
        </w:rPr>
        <w:sym w:font="Symbol" w:char="0025"/>
      </w:r>
      <w:r w:rsidRPr="000A6DE2">
        <w:rPr>
          <w:rFonts w:ascii="Times New Roman" w:eastAsia="Calibri" w:hAnsi="Times New Roman" w:cs="Times New Roman"/>
          <w:lang w:eastAsia="lt-LT"/>
        </w:rPr>
        <w:t xml:space="preserve"> kraujyje esančio izotretinoino prisijungia prie plazmos baltymų, daugiausiai albuminų. Žmogaus organizme vaistinio preparato pasiskirstymo tūris nenustatytas, kadangi nėra žmogui į veną leidžiamo vaistinio preparato. Apie izotretinoino pasiskirstymą žmogaus audiniuose informacijos yra mažai. Epidermyje jo koncentracija būna perpus mažesnė už esančią kraujo serume. Kraujo plazmoje izotretinoino koncentracija būna maždaug 1,7 karto didesnė už esančią visame kraujyje, kadangi medikamentas sunkiai prasiskverbia į eritrocitus.</w:t>
      </w:r>
    </w:p>
    <w:p w14:paraId="5666CAF5" w14:textId="77777777" w:rsidR="000A6DE2" w:rsidRPr="000A6DE2" w:rsidRDefault="000A6DE2" w:rsidP="000A6DE2">
      <w:pPr>
        <w:spacing w:after="0" w:line="240" w:lineRule="auto"/>
        <w:rPr>
          <w:rFonts w:ascii="Times New Roman" w:eastAsia="Calibri" w:hAnsi="Times New Roman" w:cs="Times New Roman"/>
          <w:b/>
          <w:i/>
          <w:lang w:eastAsia="lt-LT"/>
        </w:rPr>
      </w:pPr>
    </w:p>
    <w:p w14:paraId="4084F0D2"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Biotransformacija</w:t>
      </w:r>
    </w:p>
    <w:p w14:paraId="47177DA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Išgėrus izotretinoino, kraujo plazmoje nustatyti 3 svarbiausi metabolitai: 4-oksoizotretinoinas, tretinoinas (all-</w:t>
      </w:r>
      <w:r w:rsidRPr="000A6DE2">
        <w:rPr>
          <w:rFonts w:ascii="Times New Roman" w:eastAsia="Calibri" w:hAnsi="Times New Roman" w:cs="Times New Roman"/>
          <w:i/>
          <w:lang w:eastAsia="lt-LT"/>
        </w:rPr>
        <w:t>trans</w:t>
      </w:r>
      <w:r w:rsidRPr="000A6DE2">
        <w:rPr>
          <w:rFonts w:ascii="Times New Roman" w:eastAsia="Calibri" w:hAnsi="Times New Roman" w:cs="Times New Roman"/>
          <w:lang w:eastAsia="lt-LT"/>
        </w:rPr>
        <w:t xml:space="preserve"> tretinoinė rūgštis) ir 4-oksotretinoinas. Kelių testų </w:t>
      </w:r>
      <w:r w:rsidRPr="000A6DE2">
        <w:rPr>
          <w:rFonts w:ascii="Times New Roman" w:eastAsia="Calibri" w:hAnsi="Times New Roman" w:cs="Times New Roman"/>
          <w:i/>
          <w:lang w:eastAsia="lt-LT"/>
        </w:rPr>
        <w:t xml:space="preserve">in vitro </w:t>
      </w:r>
      <w:r w:rsidRPr="000A6DE2">
        <w:rPr>
          <w:rFonts w:ascii="Times New Roman" w:eastAsia="Calibri" w:hAnsi="Times New Roman" w:cs="Times New Roman"/>
          <w:lang w:eastAsia="lt-LT"/>
        </w:rPr>
        <w:t xml:space="preserve">metu šie metabolitai buvo biologiškai aktyvūs. Klinikiniu tyrimu įrodyta, jog 4-oksoizotretinoinas reikšmingai prisideda prie izotretinoino aktyvumo (riebalų išsiskyrimas lėtėja nepaisant, kad poveikio izotretinoino ir tretinoino kiekiui kraujo plazmoje nėra). Kiti mažiau svarbūs metabolitai yra poriniai junginiai su </w:t>
      </w:r>
      <w:r w:rsidRPr="000A6DE2">
        <w:rPr>
          <w:rFonts w:ascii="Times New Roman" w:eastAsia="Calibri" w:hAnsi="Times New Roman" w:cs="Times New Roman"/>
          <w:lang w:eastAsia="lt-LT"/>
        </w:rPr>
        <w:lastRenderedPageBreak/>
        <w:t>gliukurono rūgštimi. Pusiausvyrinės koncentracijos metu svarbiausio metabolito 4-oksoizotretinoino koncentracija kraujo plazmoje būna 2,5 karto didesnė negu pirminio junginio izotretinoino.</w:t>
      </w:r>
    </w:p>
    <w:p w14:paraId="6B3B856B" w14:textId="77777777" w:rsidR="000A6DE2" w:rsidRPr="000A6DE2" w:rsidRDefault="000A6DE2" w:rsidP="000A6DE2">
      <w:pPr>
        <w:spacing w:after="0" w:line="240" w:lineRule="auto"/>
        <w:rPr>
          <w:rFonts w:ascii="Times New Roman" w:eastAsia="Calibri" w:hAnsi="Times New Roman" w:cs="Times New Roman"/>
          <w:lang w:eastAsia="lt-LT"/>
        </w:rPr>
      </w:pPr>
    </w:p>
    <w:p w14:paraId="657A445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Metabolitai izotretinoinas ir tretinoinas (all-</w:t>
      </w:r>
      <w:r w:rsidRPr="000A6DE2">
        <w:rPr>
          <w:rFonts w:ascii="Times New Roman" w:eastAsia="Calibri" w:hAnsi="Times New Roman" w:cs="Times New Roman"/>
          <w:i/>
          <w:lang w:eastAsia="lt-LT"/>
        </w:rPr>
        <w:t>trans</w:t>
      </w:r>
      <w:r w:rsidRPr="000A6DE2">
        <w:rPr>
          <w:rFonts w:ascii="Times New Roman" w:eastAsia="Calibri" w:hAnsi="Times New Roman" w:cs="Times New Roman"/>
          <w:lang w:eastAsia="lt-LT"/>
        </w:rPr>
        <w:t xml:space="preserve"> retinoinė rūgštis) gali virsti vienas kitu ir tretinoino bei izotretinoino metabolizmas yra susiję. Nustatyta, jog 20 – 30 </w:t>
      </w:r>
      <w:r w:rsidRPr="000A6DE2">
        <w:rPr>
          <w:rFonts w:ascii="Times New Roman" w:eastAsia="Calibri" w:hAnsi="Times New Roman" w:cs="Times New Roman"/>
          <w:lang w:eastAsia="lt-LT"/>
        </w:rPr>
        <w:sym w:font="Symbol" w:char="0025"/>
      </w:r>
      <w:r w:rsidRPr="000A6DE2">
        <w:rPr>
          <w:rFonts w:ascii="Times New Roman" w:eastAsia="Calibri" w:hAnsi="Times New Roman" w:cs="Times New Roman"/>
          <w:lang w:eastAsia="lt-LT"/>
        </w:rPr>
        <w:t xml:space="preserve"> izotretinoino dozės metabolizuojama izomerizacijos būdu.</w:t>
      </w:r>
    </w:p>
    <w:p w14:paraId="1E9CC228" w14:textId="77777777" w:rsidR="000A6DE2" w:rsidRPr="000A6DE2" w:rsidRDefault="000A6DE2" w:rsidP="000A6DE2">
      <w:pPr>
        <w:spacing w:after="0" w:line="240" w:lineRule="auto"/>
        <w:rPr>
          <w:rFonts w:ascii="Times New Roman" w:eastAsia="Calibri" w:hAnsi="Times New Roman" w:cs="Times New Roman"/>
          <w:lang w:eastAsia="lt-LT"/>
        </w:rPr>
      </w:pPr>
    </w:p>
    <w:p w14:paraId="7ED1385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Žmogaus organizme izotretinoino farmakokinetikai gali būti svarbi enterohepatinė apytaka. Tyrimais </w:t>
      </w:r>
      <w:r w:rsidRPr="000A6DE2">
        <w:rPr>
          <w:rFonts w:ascii="Times New Roman" w:eastAsia="Calibri" w:hAnsi="Times New Roman" w:cs="Times New Roman"/>
          <w:i/>
          <w:lang w:eastAsia="lt-LT"/>
        </w:rPr>
        <w:t xml:space="preserve">in vitro </w:t>
      </w:r>
      <w:r w:rsidRPr="000A6DE2">
        <w:rPr>
          <w:rFonts w:ascii="Times New Roman" w:eastAsia="Calibri" w:hAnsi="Times New Roman" w:cs="Times New Roman"/>
          <w:lang w:eastAsia="lt-LT"/>
        </w:rPr>
        <w:t>nustatyta, kad izotretinoinas į 4-oksoizotretinoiną ir tretinoiną metabolizuojamas veikiant keliems CYP fermentams. Visi jie yra vienodai svarbūs. Izotretinoinas ir jo metabolitai reikšmingos įtakos CYP fermentų aktyvumui nedaro.</w:t>
      </w:r>
    </w:p>
    <w:p w14:paraId="3B6C650F" w14:textId="77777777" w:rsidR="000A6DE2" w:rsidRPr="000A6DE2" w:rsidRDefault="000A6DE2" w:rsidP="000A6DE2">
      <w:pPr>
        <w:spacing w:after="0" w:line="240" w:lineRule="auto"/>
        <w:rPr>
          <w:rFonts w:ascii="Times New Roman" w:eastAsia="Calibri" w:hAnsi="Times New Roman" w:cs="Times New Roman"/>
          <w:b/>
          <w:i/>
          <w:lang w:eastAsia="lt-LT"/>
        </w:rPr>
      </w:pPr>
    </w:p>
    <w:p w14:paraId="486DD47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Eliminacija</w:t>
      </w:r>
    </w:p>
    <w:p w14:paraId="387D38F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Maždaug vienodas kiekis išgertos radioaktyviaisiais izotopais žymėtos izotretinoino dozės išsiskyrė su šlapimu ir išmatomis. Išgėrus izotretinoino, nepakitusio izotretinoino galutinės pusinės eliminacijos periodas spuogais sergančių žmonių organizme buvo 19 valandų, 4-oksoizotretinoino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ilgesnis, t. y., vidutiniškai 29 valandos.</w:t>
      </w:r>
    </w:p>
    <w:p w14:paraId="36FF441B" w14:textId="77777777" w:rsidR="000A6DE2" w:rsidRPr="000A6DE2" w:rsidRDefault="000A6DE2" w:rsidP="000A6DE2">
      <w:pPr>
        <w:spacing w:after="0" w:line="240" w:lineRule="auto"/>
        <w:rPr>
          <w:rFonts w:ascii="Times New Roman" w:eastAsia="Calibri" w:hAnsi="Times New Roman" w:cs="Times New Roman"/>
          <w:lang w:eastAsia="lt-LT"/>
        </w:rPr>
      </w:pPr>
    </w:p>
    <w:p w14:paraId="79E49A9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Izotretinoinas yra fiziologinis retinoidas. Baigus juo gydyti, endogeninių retinoidų kiekis sunormalėja maždaug per 2 savaites.</w:t>
      </w:r>
    </w:p>
    <w:p w14:paraId="520CA54B" w14:textId="77777777" w:rsidR="000A6DE2" w:rsidRPr="000A6DE2" w:rsidRDefault="000A6DE2" w:rsidP="000A6DE2">
      <w:pPr>
        <w:spacing w:after="0" w:line="240" w:lineRule="auto"/>
        <w:rPr>
          <w:rFonts w:ascii="Times New Roman" w:eastAsia="Calibri" w:hAnsi="Times New Roman" w:cs="Times New Roman"/>
          <w:b/>
          <w:i/>
          <w:lang w:eastAsia="lt-LT"/>
        </w:rPr>
      </w:pPr>
    </w:p>
    <w:p w14:paraId="4A2E1EDD"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Sutrikusi kepenų funkcija</w:t>
      </w:r>
    </w:p>
    <w:p w14:paraId="6662DE5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Apie izotretinoino farmakokinetiką žmonių, kurių kepenų funkcija sutrikusi, organizme duomenų yra mažai, kadangi tokiems pacientams šio vaistinio preparato vartoti draudžiama.</w:t>
      </w:r>
    </w:p>
    <w:p w14:paraId="79F8E2E8" w14:textId="77777777" w:rsidR="000A6DE2" w:rsidRPr="000A6DE2" w:rsidRDefault="000A6DE2" w:rsidP="000A6DE2">
      <w:pPr>
        <w:spacing w:after="0" w:line="240" w:lineRule="auto"/>
        <w:rPr>
          <w:rFonts w:ascii="Times New Roman" w:eastAsia="Calibri" w:hAnsi="Times New Roman" w:cs="Times New Roman"/>
          <w:lang w:eastAsia="lt-LT"/>
        </w:rPr>
      </w:pPr>
    </w:p>
    <w:p w14:paraId="5C25D1AB"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Sutrikusi inkstų funkcija</w:t>
      </w:r>
    </w:p>
    <w:p w14:paraId="31E982D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Inkstų nepakankamumas izotretinoino ir 4-oksoizotretinoino kraujo plazmos klirenso pastebimai nemažina.</w:t>
      </w:r>
    </w:p>
    <w:p w14:paraId="664D0CEE" w14:textId="77777777" w:rsidR="000A6DE2" w:rsidRPr="000A6DE2" w:rsidRDefault="000A6DE2" w:rsidP="000A6DE2">
      <w:pPr>
        <w:spacing w:after="0" w:line="240" w:lineRule="auto"/>
        <w:rPr>
          <w:rFonts w:ascii="Times New Roman" w:eastAsia="Calibri" w:hAnsi="Times New Roman" w:cs="Times New Roman"/>
          <w:b/>
          <w:lang w:eastAsia="lt-LT"/>
        </w:rPr>
      </w:pPr>
    </w:p>
    <w:p w14:paraId="34F5E15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5.3</w:t>
      </w:r>
      <w:r w:rsidRPr="000A6DE2">
        <w:rPr>
          <w:rFonts w:ascii="Times New Roman" w:eastAsia="Calibri" w:hAnsi="Times New Roman" w:cs="Times New Roman"/>
          <w:b/>
          <w:lang w:eastAsia="lt-LT"/>
        </w:rPr>
        <w:tab/>
        <w:t>Ikiklinikinių saugumo tyrimų duomenys</w:t>
      </w:r>
    </w:p>
    <w:p w14:paraId="57D2F9D5" w14:textId="77777777" w:rsidR="000A6DE2" w:rsidRPr="000A6DE2" w:rsidRDefault="000A6DE2" w:rsidP="000A6DE2">
      <w:pPr>
        <w:spacing w:after="0" w:line="240" w:lineRule="auto"/>
        <w:rPr>
          <w:rFonts w:ascii="Times New Roman" w:eastAsia="Calibri" w:hAnsi="Times New Roman" w:cs="Times New Roman"/>
          <w:b/>
          <w:i/>
          <w:lang w:eastAsia="lt-LT"/>
        </w:rPr>
      </w:pPr>
    </w:p>
    <w:p w14:paraId="53C74CCD"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Ūminis toksinis poveikis</w:t>
      </w:r>
    </w:p>
    <w:p w14:paraId="1FDA27F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Ūminis toksinis enteriniu būdu pavartoto izotretinoino poveikis nustatinėtas tyrimais su įvairių rūšių gyvūnais. Triušiams LD50 yra maždaug 2000 mg/kg kūno svorio, pelėms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apie 3000 mg/kg kūno svorio, žiurkėms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didesnė negu 4000 mg/kg kūno svorio.</w:t>
      </w:r>
    </w:p>
    <w:p w14:paraId="0F3B2FBB" w14:textId="77777777" w:rsidR="000A6DE2" w:rsidRPr="000A6DE2" w:rsidRDefault="000A6DE2" w:rsidP="000A6DE2">
      <w:pPr>
        <w:spacing w:after="0" w:line="240" w:lineRule="auto"/>
        <w:rPr>
          <w:rFonts w:ascii="Times New Roman" w:eastAsia="Calibri" w:hAnsi="Times New Roman" w:cs="Times New Roman"/>
          <w:b/>
          <w:i/>
          <w:lang w:eastAsia="lt-LT"/>
        </w:rPr>
      </w:pPr>
    </w:p>
    <w:p w14:paraId="6CA2D0F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Lėtinis toksinis poveikis</w:t>
      </w:r>
    </w:p>
    <w:p w14:paraId="3D3801E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Tyrimu, kurio metu žiurkėms ilgiau negu 2 metus duota po 2,8 mg/kg kūno svorio arba 32 mg/kg kūno svorio paros dozė, nustatyta, jog didesnioji dozė sukėlė dalinį plikimą, padidino trigliceridų kiekį kraujo plazmoje. Graužikams pasireiškęs nepageidaujamas izotretinoino poveikis buvo labai panašus į sukeliamą vitamino A, tačiau šio vitamino sukeliamos didelės audinių ir organų kalcifikacijos žiurkėms nepastebėta, kepenų ląstelių pokyčių neatsirado.</w:t>
      </w:r>
    </w:p>
    <w:p w14:paraId="28AECBB9" w14:textId="77777777" w:rsidR="000A6DE2" w:rsidRPr="000A6DE2" w:rsidRDefault="000A6DE2" w:rsidP="000A6DE2">
      <w:pPr>
        <w:spacing w:after="0" w:line="240" w:lineRule="auto"/>
        <w:rPr>
          <w:rFonts w:ascii="Times New Roman" w:eastAsia="Calibri" w:hAnsi="Times New Roman" w:cs="Times New Roman"/>
          <w:lang w:eastAsia="lt-LT"/>
        </w:rPr>
      </w:pPr>
    </w:p>
    <w:p w14:paraId="54CA3DE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Nustojus duoti izotretinoino, visi vitamino A hipervitaminozės sindromui būdingi pokyčiai išnyko savaime. Net tie gyvūnai, kurių būklė buvo sunkoka, beveik pasveiko per 1 – 2 savaites.</w:t>
      </w:r>
    </w:p>
    <w:p w14:paraId="6DB52AD1" w14:textId="77777777" w:rsidR="000A6DE2" w:rsidRPr="000A6DE2" w:rsidRDefault="000A6DE2" w:rsidP="000A6DE2">
      <w:pPr>
        <w:spacing w:after="0" w:line="240" w:lineRule="auto"/>
        <w:rPr>
          <w:rFonts w:ascii="Times New Roman" w:eastAsia="Calibri" w:hAnsi="Times New Roman" w:cs="Times New Roman"/>
          <w:b/>
          <w:i/>
          <w:lang w:eastAsia="lt-LT"/>
        </w:rPr>
      </w:pPr>
    </w:p>
    <w:p w14:paraId="5A388FB5"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Teratogeninis poveikis</w:t>
      </w:r>
    </w:p>
    <w:p w14:paraId="46EDEF4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Tyrimų metu izotretinoinas, kaip ir kiti vitamino A dariniai, gyvūnams sukėlė embriotoksinį ir teratogeninį poveikį.</w:t>
      </w:r>
    </w:p>
    <w:p w14:paraId="3101D03C" w14:textId="77777777" w:rsidR="000A6DE2" w:rsidRPr="000A6DE2" w:rsidRDefault="000A6DE2" w:rsidP="000A6DE2">
      <w:pPr>
        <w:spacing w:after="0" w:line="240" w:lineRule="auto"/>
        <w:rPr>
          <w:rFonts w:ascii="Times New Roman" w:eastAsia="Calibri" w:hAnsi="Times New Roman" w:cs="Times New Roman"/>
          <w:lang w:eastAsia="lt-LT"/>
        </w:rPr>
      </w:pPr>
    </w:p>
    <w:p w14:paraId="2D9E6C4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Dėl galimo teratogeninio poveikio, vaisingo amžiaus moteris izotretinoinu galima gydyti tik tam tikromis sąlygomis (žr. 4.3, 4.4 ir 4.6 skyrius).</w:t>
      </w:r>
    </w:p>
    <w:p w14:paraId="31ACE1DF" w14:textId="77777777" w:rsidR="000A6DE2" w:rsidRPr="000A6DE2" w:rsidRDefault="000A6DE2" w:rsidP="000A6DE2">
      <w:pPr>
        <w:spacing w:after="0" w:line="240" w:lineRule="auto"/>
        <w:rPr>
          <w:rFonts w:ascii="Times New Roman" w:eastAsia="Calibri" w:hAnsi="Times New Roman" w:cs="Times New Roman"/>
          <w:b/>
          <w:i/>
          <w:lang w:eastAsia="lt-LT"/>
        </w:rPr>
      </w:pPr>
    </w:p>
    <w:p w14:paraId="5061E813"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Mutageninis poveikis</w:t>
      </w:r>
    </w:p>
    <w:p w14:paraId="5711065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Tyrimų </w:t>
      </w:r>
      <w:r w:rsidRPr="000A6DE2">
        <w:rPr>
          <w:rFonts w:ascii="Times New Roman" w:eastAsia="Calibri" w:hAnsi="Times New Roman" w:cs="Times New Roman"/>
          <w:i/>
          <w:lang w:eastAsia="lt-LT"/>
        </w:rPr>
        <w:t>in vivo</w:t>
      </w:r>
      <w:r w:rsidRPr="000A6DE2">
        <w:rPr>
          <w:rFonts w:ascii="Times New Roman" w:eastAsia="Calibri" w:hAnsi="Times New Roman" w:cs="Times New Roman"/>
          <w:lang w:eastAsia="lt-LT"/>
        </w:rPr>
        <w:t xml:space="preserve"> ir </w:t>
      </w:r>
      <w:r w:rsidRPr="000A6DE2">
        <w:rPr>
          <w:rFonts w:ascii="Times New Roman" w:eastAsia="Calibri" w:hAnsi="Times New Roman" w:cs="Times New Roman"/>
          <w:i/>
          <w:lang w:eastAsia="lt-LT"/>
        </w:rPr>
        <w:t>in vitro</w:t>
      </w:r>
      <w:r w:rsidRPr="000A6DE2">
        <w:rPr>
          <w:rFonts w:ascii="Times New Roman" w:eastAsia="Calibri" w:hAnsi="Times New Roman" w:cs="Times New Roman"/>
          <w:lang w:eastAsia="lt-LT"/>
        </w:rPr>
        <w:t xml:space="preserve"> metu mutageninio ir kancerogeninio izotretinoino poveikio gyvūnams nepastebėta.</w:t>
      </w:r>
    </w:p>
    <w:p w14:paraId="432DA8A6" w14:textId="77777777" w:rsidR="000A6DE2" w:rsidRPr="000A6DE2" w:rsidRDefault="000A6DE2" w:rsidP="000A6DE2">
      <w:pPr>
        <w:spacing w:after="0" w:line="240" w:lineRule="auto"/>
        <w:rPr>
          <w:rFonts w:ascii="Times New Roman" w:eastAsia="Calibri" w:hAnsi="Times New Roman" w:cs="Times New Roman"/>
          <w:lang w:eastAsia="lt-LT"/>
        </w:rPr>
      </w:pPr>
    </w:p>
    <w:p w14:paraId="49ABCF1B" w14:textId="77777777" w:rsidR="000A6DE2" w:rsidRPr="000A6DE2" w:rsidRDefault="000A6DE2" w:rsidP="000A6DE2">
      <w:pPr>
        <w:spacing w:after="0" w:line="240" w:lineRule="auto"/>
        <w:rPr>
          <w:rFonts w:ascii="Times New Roman" w:eastAsia="Calibri" w:hAnsi="Times New Roman" w:cs="Times New Roman"/>
          <w:lang w:eastAsia="lt-LT"/>
        </w:rPr>
      </w:pPr>
    </w:p>
    <w:p w14:paraId="5F3520BD"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w:t>
      </w:r>
      <w:r w:rsidRPr="000A6DE2">
        <w:rPr>
          <w:rFonts w:ascii="Times New Roman" w:eastAsia="Calibri" w:hAnsi="Times New Roman" w:cs="Times New Roman"/>
          <w:b/>
          <w:lang w:eastAsia="lt-LT"/>
        </w:rPr>
        <w:tab/>
        <w:t>FARMACINĖ INFORMACIJA</w:t>
      </w:r>
    </w:p>
    <w:p w14:paraId="1435DC03"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p>
    <w:p w14:paraId="71462166"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6.1</w:t>
      </w:r>
      <w:r w:rsidRPr="000A6DE2">
        <w:rPr>
          <w:rFonts w:ascii="Times New Roman" w:eastAsia="Calibri" w:hAnsi="Times New Roman" w:cs="Times New Roman"/>
          <w:b/>
          <w:lang w:eastAsia="lt-LT"/>
        </w:rPr>
        <w:tab/>
        <w:t>Pagalbinių medžiagų sąrašas</w:t>
      </w:r>
    </w:p>
    <w:p w14:paraId="2A7C3CBE" w14:textId="77777777" w:rsidR="000A6DE2" w:rsidRPr="000A6DE2" w:rsidRDefault="000A6DE2" w:rsidP="000A6DE2">
      <w:pPr>
        <w:spacing w:after="0" w:line="240" w:lineRule="auto"/>
        <w:rPr>
          <w:rFonts w:ascii="Times New Roman" w:eastAsia="Calibri" w:hAnsi="Times New Roman" w:cs="Times New Roman"/>
          <w:i/>
          <w:lang w:eastAsia="lt-LT"/>
        </w:rPr>
      </w:pPr>
    </w:p>
    <w:p w14:paraId="7B331412"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Kapsulės turinys</w:t>
      </w:r>
    </w:p>
    <w:p w14:paraId="7195E89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Geltonasis vaškas</w:t>
      </w:r>
    </w:p>
    <w:p w14:paraId="1F08614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Rafinuotas sojų aliejus</w:t>
      </w:r>
    </w:p>
    <w:p w14:paraId="1F89208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Hidrintas sojų aliejus</w:t>
      </w:r>
    </w:p>
    <w:p w14:paraId="6AB1FAA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Dalinai hidrintas sojų aliejus</w:t>
      </w:r>
    </w:p>
    <w:p w14:paraId="48E93B5F" w14:textId="77777777" w:rsidR="000A6DE2" w:rsidRPr="000A6DE2" w:rsidRDefault="000A6DE2" w:rsidP="000A6DE2">
      <w:pPr>
        <w:spacing w:after="0" w:line="240" w:lineRule="auto"/>
        <w:rPr>
          <w:rFonts w:ascii="Times New Roman" w:eastAsia="Calibri" w:hAnsi="Times New Roman" w:cs="Times New Roman"/>
          <w:lang w:eastAsia="lt-LT"/>
        </w:rPr>
      </w:pPr>
    </w:p>
    <w:p w14:paraId="36978487"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Kapsulės apvalkalas</w:t>
      </w:r>
    </w:p>
    <w:p w14:paraId="6DC400C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Želatina</w:t>
      </w:r>
    </w:p>
    <w:p w14:paraId="135F25B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Glicerolis 85 %</w:t>
      </w:r>
    </w:p>
    <w:p w14:paraId="4437B44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Karion 83 (sorbitolis (E420), manitolis, hidrintas hidrolizuotas krakmolas)</w:t>
      </w:r>
    </w:p>
    <w:p w14:paraId="280BE1D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Titano dioksidas (E 171)</w:t>
      </w:r>
    </w:p>
    <w:p w14:paraId="6AE4752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Raudonasis geležies oksidas (E 172)</w:t>
      </w:r>
    </w:p>
    <w:p w14:paraId="596E8CBD" w14:textId="77777777" w:rsidR="000A6DE2" w:rsidRPr="000A6DE2" w:rsidRDefault="000A6DE2" w:rsidP="000A6DE2">
      <w:pPr>
        <w:spacing w:after="0" w:line="240" w:lineRule="auto"/>
        <w:rPr>
          <w:rFonts w:ascii="Times New Roman" w:eastAsia="Calibri" w:hAnsi="Times New Roman" w:cs="Times New Roman"/>
          <w:lang w:eastAsia="lt-LT"/>
        </w:rPr>
      </w:pPr>
    </w:p>
    <w:p w14:paraId="011A2460"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Sausi spaustuviniai dažai</w:t>
      </w:r>
    </w:p>
    <w:p w14:paraId="62F23810"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Modifikuotas šelakas</w:t>
      </w:r>
    </w:p>
    <w:p w14:paraId="015D98B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Juodasis geležies oksidas (E 172)</w:t>
      </w:r>
    </w:p>
    <w:p w14:paraId="7EB7FCF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Propilenglikolis</w:t>
      </w:r>
    </w:p>
    <w:p w14:paraId="737180AD" w14:textId="77777777" w:rsidR="000A6DE2" w:rsidRPr="000A6DE2" w:rsidRDefault="000A6DE2" w:rsidP="000A6DE2">
      <w:pPr>
        <w:spacing w:after="0" w:line="240" w:lineRule="auto"/>
        <w:rPr>
          <w:rFonts w:ascii="Times New Roman" w:eastAsia="Calibri" w:hAnsi="Times New Roman" w:cs="Times New Roman"/>
          <w:b/>
          <w:lang w:eastAsia="lt-LT"/>
        </w:rPr>
      </w:pPr>
    </w:p>
    <w:p w14:paraId="64626182"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6.2</w:t>
      </w:r>
      <w:r w:rsidRPr="000A6DE2">
        <w:rPr>
          <w:rFonts w:ascii="Times New Roman" w:eastAsia="Calibri" w:hAnsi="Times New Roman" w:cs="Times New Roman"/>
          <w:b/>
          <w:lang w:eastAsia="lt-LT"/>
        </w:rPr>
        <w:tab/>
        <w:t>Nesuderinamumas</w:t>
      </w:r>
    </w:p>
    <w:p w14:paraId="2D43B163" w14:textId="77777777" w:rsidR="000A6DE2" w:rsidRPr="000A6DE2" w:rsidRDefault="000A6DE2" w:rsidP="000A6DE2">
      <w:pPr>
        <w:spacing w:after="0" w:line="240" w:lineRule="auto"/>
        <w:rPr>
          <w:rFonts w:ascii="Times New Roman" w:eastAsia="Calibri" w:hAnsi="Times New Roman" w:cs="Times New Roman"/>
          <w:lang w:eastAsia="lt-LT"/>
        </w:rPr>
      </w:pPr>
    </w:p>
    <w:p w14:paraId="18F8F1C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Duomenys nebūtini.</w:t>
      </w:r>
    </w:p>
    <w:p w14:paraId="2160AF85" w14:textId="77777777" w:rsidR="000A6DE2" w:rsidRPr="000A6DE2" w:rsidRDefault="000A6DE2" w:rsidP="000A6DE2">
      <w:pPr>
        <w:spacing w:after="0" w:line="240" w:lineRule="auto"/>
        <w:rPr>
          <w:rFonts w:ascii="Times New Roman" w:eastAsia="Calibri" w:hAnsi="Times New Roman" w:cs="Times New Roman"/>
          <w:b/>
          <w:lang w:eastAsia="lt-LT"/>
        </w:rPr>
      </w:pPr>
    </w:p>
    <w:p w14:paraId="153A52B1"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6.3</w:t>
      </w:r>
      <w:r w:rsidRPr="000A6DE2">
        <w:rPr>
          <w:rFonts w:ascii="Times New Roman" w:eastAsia="Calibri" w:hAnsi="Times New Roman" w:cs="Times New Roman"/>
          <w:b/>
          <w:lang w:eastAsia="lt-LT"/>
        </w:rPr>
        <w:tab/>
        <w:t>Tinkamumo laikas</w:t>
      </w:r>
    </w:p>
    <w:p w14:paraId="79830DD0" w14:textId="77777777" w:rsidR="000A6DE2" w:rsidRPr="000A6DE2" w:rsidRDefault="000A6DE2" w:rsidP="000A6DE2">
      <w:pPr>
        <w:spacing w:after="0" w:line="240" w:lineRule="auto"/>
        <w:rPr>
          <w:rFonts w:ascii="Times New Roman" w:eastAsia="Calibri" w:hAnsi="Times New Roman" w:cs="Times New Roman"/>
          <w:lang w:eastAsia="lt-LT"/>
        </w:rPr>
      </w:pPr>
    </w:p>
    <w:p w14:paraId="33B5E9A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3 metai</w:t>
      </w:r>
    </w:p>
    <w:p w14:paraId="64D0DC78" w14:textId="77777777" w:rsidR="000A6DE2" w:rsidRPr="000A6DE2" w:rsidRDefault="000A6DE2" w:rsidP="000A6DE2">
      <w:pPr>
        <w:spacing w:after="0" w:line="240" w:lineRule="auto"/>
        <w:rPr>
          <w:rFonts w:ascii="Times New Roman" w:eastAsia="Calibri" w:hAnsi="Times New Roman" w:cs="Times New Roman"/>
          <w:b/>
          <w:lang w:eastAsia="lt-LT"/>
        </w:rPr>
      </w:pPr>
    </w:p>
    <w:p w14:paraId="3BA6C1A8"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6.4</w:t>
      </w:r>
      <w:r w:rsidRPr="000A6DE2">
        <w:rPr>
          <w:rFonts w:ascii="Times New Roman" w:eastAsia="Calibri" w:hAnsi="Times New Roman" w:cs="Times New Roman"/>
          <w:b/>
          <w:lang w:eastAsia="lt-LT"/>
        </w:rPr>
        <w:tab/>
        <w:t>Specialios laikymo sąlygos</w:t>
      </w:r>
    </w:p>
    <w:p w14:paraId="0760309D" w14:textId="77777777" w:rsidR="000A6DE2" w:rsidRPr="000A6DE2" w:rsidRDefault="000A6DE2" w:rsidP="000A6DE2">
      <w:pPr>
        <w:spacing w:after="0" w:line="240" w:lineRule="auto"/>
        <w:rPr>
          <w:rFonts w:ascii="Times New Roman" w:eastAsia="Calibri" w:hAnsi="Times New Roman" w:cs="Times New Roman"/>
          <w:i/>
          <w:lang w:eastAsia="lt-LT"/>
        </w:rPr>
      </w:pPr>
    </w:p>
    <w:p w14:paraId="10359DB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Laikyti ne aukštesnėje kaip 25 </w:t>
      </w:r>
      <w:r w:rsidRPr="000A6DE2">
        <w:rPr>
          <w:rFonts w:ascii="Times New Roman" w:eastAsia="Calibri" w:hAnsi="Times New Roman" w:cs="Times New Roman"/>
          <w:lang w:eastAsia="lt-LT"/>
        </w:rPr>
        <w:sym w:font="Symbol" w:char="00B0"/>
      </w:r>
      <w:r w:rsidRPr="000A6DE2">
        <w:rPr>
          <w:rFonts w:ascii="Times New Roman" w:eastAsia="Calibri" w:hAnsi="Times New Roman" w:cs="Times New Roman"/>
          <w:lang w:eastAsia="lt-LT"/>
        </w:rPr>
        <w:t>C temperatūroje.</w:t>
      </w:r>
    </w:p>
    <w:p w14:paraId="73EFAB60"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Laikyti gamintojo pakuotėje.</w:t>
      </w:r>
    </w:p>
    <w:p w14:paraId="4C8E696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Lizdines plokšteles laikyti išorinėje dėžutėje, kad vaistinis preparatas būtų apsaugotas nuo drėgmės ir šviesos.</w:t>
      </w:r>
    </w:p>
    <w:p w14:paraId="0E6F55A4" w14:textId="77777777" w:rsidR="000A6DE2" w:rsidRPr="000A6DE2" w:rsidRDefault="000A6DE2" w:rsidP="000A6DE2">
      <w:pPr>
        <w:spacing w:after="0" w:line="240" w:lineRule="auto"/>
        <w:rPr>
          <w:rFonts w:ascii="Times New Roman" w:eastAsia="Calibri" w:hAnsi="Times New Roman" w:cs="Times New Roman"/>
          <w:b/>
          <w:lang w:eastAsia="lt-LT"/>
        </w:rPr>
      </w:pPr>
    </w:p>
    <w:p w14:paraId="60351C4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6.5</w:t>
      </w:r>
      <w:r w:rsidRPr="000A6DE2">
        <w:rPr>
          <w:rFonts w:ascii="Times New Roman" w:eastAsia="Calibri" w:hAnsi="Times New Roman" w:cs="Times New Roman"/>
          <w:b/>
          <w:lang w:eastAsia="lt-LT"/>
        </w:rPr>
        <w:tab/>
        <w:t>Talpyklės pobūdis ir jos turinys</w:t>
      </w:r>
    </w:p>
    <w:p w14:paraId="708B270F" w14:textId="77777777" w:rsidR="000A6DE2" w:rsidRPr="000A6DE2" w:rsidRDefault="000A6DE2" w:rsidP="000A6DE2">
      <w:pPr>
        <w:spacing w:after="0" w:line="240" w:lineRule="auto"/>
        <w:rPr>
          <w:rFonts w:ascii="Times New Roman" w:eastAsia="Calibri" w:hAnsi="Times New Roman" w:cs="Times New Roman"/>
          <w:lang w:eastAsia="lt-LT"/>
        </w:rPr>
      </w:pPr>
    </w:p>
    <w:p w14:paraId="25666509" w14:textId="29F93AD1"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Dėžutė, kurio</w:t>
      </w:r>
      <w:r w:rsidR="008B1337">
        <w:rPr>
          <w:rFonts w:ascii="Times New Roman" w:eastAsia="Calibri" w:hAnsi="Times New Roman" w:cs="Times New Roman"/>
          <w:lang w:eastAsia="lt-LT"/>
        </w:rPr>
        <w:t>j</w:t>
      </w:r>
      <w:r w:rsidRPr="000A6DE2">
        <w:rPr>
          <w:rFonts w:ascii="Times New Roman" w:eastAsia="Calibri" w:hAnsi="Times New Roman" w:cs="Times New Roman"/>
          <w:lang w:eastAsia="lt-LT"/>
        </w:rPr>
        <w:t>e yra 30 kapsulių, supakuotų PVC/</w:t>
      </w:r>
      <w:r w:rsidRPr="000A6DE2" w:rsidDel="000509E3">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PVDC/Al lizdinėse plokštelėse.</w:t>
      </w:r>
    </w:p>
    <w:p w14:paraId="643EC40A" w14:textId="3E9D6D7A" w:rsidR="000A6DE2" w:rsidRPr="000A6DE2" w:rsidRDefault="000A6DE2" w:rsidP="000A6DE2">
      <w:pPr>
        <w:spacing w:after="0" w:line="240" w:lineRule="auto"/>
        <w:rPr>
          <w:rFonts w:ascii="Times New Roman" w:eastAsia="Calibri" w:hAnsi="Times New Roman" w:cs="Times New Roman"/>
          <w:lang w:eastAsia="lt-LT"/>
        </w:rPr>
      </w:pPr>
    </w:p>
    <w:p w14:paraId="58C949A7" w14:textId="77777777" w:rsidR="000A6DE2" w:rsidRPr="000A6DE2" w:rsidRDefault="000A6DE2" w:rsidP="000A6DE2">
      <w:pPr>
        <w:spacing w:after="0" w:line="240" w:lineRule="auto"/>
        <w:rPr>
          <w:rFonts w:ascii="Times New Roman" w:eastAsia="Calibri" w:hAnsi="Times New Roman" w:cs="Times New Roman"/>
          <w:lang w:eastAsia="lt-LT"/>
        </w:rPr>
      </w:pPr>
    </w:p>
    <w:p w14:paraId="3D1B795D"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6.6</w:t>
      </w:r>
      <w:r w:rsidRPr="000A6DE2">
        <w:rPr>
          <w:rFonts w:ascii="Times New Roman" w:eastAsia="Calibri" w:hAnsi="Times New Roman" w:cs="Times New Roman"/>
          <w:b/>
          <w:lang w:eastAsia="lt-LT"/>
        </w:rPr>
        <w:tab/>
        <w:t>Specialūs reikalavimai atliekoms tvarkyti</w:t>
      </w:r>
    </w:p>
    <w:p w14:paraId="620BBBA0" w14:textId="77777777" w:rsidR="000A6DE2" w:rsidRPr="000A6DE2" w:rsidRDefault="000A6DE2" w:rsidP="000A6DE2">
      <w:pPr>
        <w:spacing w:after="0" w:line="240" w:lineRule="auto"/>
        <w:rPr>
          <w:rFonts w:ascii="Times New Roman" w:eastAsia="Calibri" w:hAnsi="Times New Roman" w:cs="Times New Roman"/>
          <w:lang w:eastAsia="lt-LT"/>
        </w:rPr>
      </w:pPr>
    </w:p>
    <w:p w14:paraId="7729D6F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Nesuvartotą vaistinį preparatą ar atliekas reikia tvarkyti laikantis vietinių reikalavimų.</w:t>
      </w:r>
    </w:p>
    <w:p w14:paraId="1B28CCE0" w14:textId="77777777" w:rsidR="000A6DE2" w:rsidRPr="000A6DE2" w:rsidRDefault="000A6DE2" w:rsidP="000A6DE2">
      <w:pPr>
        <w:spacing w:after="0" w:line="240" w:lineRule="auto"/>
        <w:rPr>
          <w:rFonts w:ascii="Times New Roman" w:eastAsia="Calibri" w:hAnsi="Times New Roman" w:cs="Times New Roman"/>
          <w:b/>
          <w:lang w:eastAsia="lt-LT"/>
        </w:rPr>
      </w:pPr>
    </w:p>
    <w:p w14:paraId="07486CB1" w14:textId="77777777" w:rsidR="000A6DE2" w:rsidRPr="000A6DE2" w:rsidRDefault="000A6DE2" w:rsidP="000A6DE2">
      <w:pPr>
        <w:spacing w:after="0" w:line="240" w:lineRule="auto"/>
        <w:rPr>
          <w:rFonts w:ascii="Times New Roman" w:eastAsia="Calibri" w:hAnsi="Times New Roman" w:cs="Times New Roman"/>
          <w:b/>
          <w:lang w:eastAsia="lt-LT"/>
        </w:rPr>
      </w:pPr>
    </w:p>
    <w:p w14:paraId="007E8870"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7.</w:t>
      </w:r>
      <w:r w:rsidRPr="000A6DE2">
        <w:rPr>
          <w:rFonts w:ascii="Times New Roman" w:eastAsia="Calibri" w:hAnsi="Times New Roman" w:cs="Times New Roman"/>
          <w:b/>
          <w:lang w:eastAsia="lt-LT"/>
        </w:rPr>
        <w:tab/>
        <w:t>REGISTRUOTOJAS</w:t>
      </w:r>
    </w:p>
    <w:p w14:paraId="1144E4C4" w14:textId="77777777" w:rsidR="000A6DE2" w:rsidRPr="000A6DE2" w:rsidRDefault="000A6DE2" w:rsidP="000A6DE2">
      <w:pPr>
        <w:spacing w:after="0" w:line="240" w:lineRule="auto"/>
        <w:rPr>
          <w:rFonts w:ascii="Times New Roman" w:eastAsia="Calibri" w:hAnsi="Times New Roman" w:cs="Times New Roman"/>
          <w:lang w:eastAsia="lt-LT"/>
        </w:rPr>
      </w:pPr>
    </w:p>
    <w:p w14:paraId="10B8449D" w14:textId="11EDA6FF" w:rsidR="007E33B2" w:rsidRDefault="007E33B2" w:rsidP="007E33B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C</w:t>
      </w:r>
      <w:r w:rsidR="00900701">
        <w:rPr>
          <w:rFonts w:ascii="Times New Roman" w:eastAsia="Calibri" w:hAnsi="Times New Roman" w:cs="Times New Roman"/>
          <w:lang w:eastAsia="lt-LT"/>
        </w:rPr>
        <w:t>H</w:t>
      </w:r>
      <w:r>
        <w:rPr>
          <w:rFonts w:ascii="Times New Roman" w:eastAsia="Calibri" w:hAnsi="Times New Roman" w:cs="Times New Roman"/>
          <w:lang w:eastAsia="lt-LT"/>
        </w:rPr>
        <w:t>EPLAPHARM Registration GmbH</w:t>
      </w:r>
    </w:p>
    <w:p w14:paraId="082CED9E" w14:textId="77777777" w:rsidR="007E33B2" w:rsidRDefault="007E33B2" w:rsidP="007E33B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Weiler Straße 5e</w:t>
      </w:r>
    </w:p>
    <w:p w14:paraId="3EA46AD0" w14:textId="77777777" w:rsidR="007E33B2" w:rsidRDefault="007E33B2" w:rsidP="007E33B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79540 Lörrach</w:t>
      </w:r>
    </w:p>
    <w:p w14:paraId="44A2920B" w14:textId="77777777" w:rsidR="007E33B2" w:rsidRDefault="007E33B2" w:rsidP="007E33B2">
      <w:pPr>
        <w:spacing w:after="0" w:line="240" w:lineRule="auto"/>
        <w:rPr>
          <w:rFonts w:ascii="Times New Roman" w:eastAsia="Calibri" w:hAnsi="Times New Roman" w:cs="Times New Roman"/>
          <w:lang w:val="en-GB" w:eastAsia="lt-LT"/>
        </w:rPr>
      </w:pPr>
      <w:r w:rsidRPr="00D204D8">
        <w:rPr>
          <w:rFonts w:ascii="Times New Roman" w:eastAsia="Calibri" w:hAnsi="Times New Roman" w:cs="Times New Roman"/>
          <w:lang w:eastAsia="lt-LT"/>
        </w:rPr>
        <w:t>Vokietija</w:t>
      </w:r>
    </w:p>
    <w:p w14:paraId="2DB0C654" w14:textId="77777777" w:rsidR="000A6DE2" w:rsidRPr="000A6DE2" w:rsidRDefault="000A6DE2" w:rsidP="000A6DE2">
      <w:pPr>
        <w:spacing w:after="0" w:line="240" w:lineRule="auto"/>
        <w:rPr>
          <w:rFonts w:ascii="Times New Roman" w:eastAsia="Calibri" w:hAnsi="Times New Roman" w:cs="Times New Roman"/>
          <w:lang w:eastAsia="lt-LT"/>
        </w:rPr>
      </w:pPr>
    </w:p>
    <w:p w14:paraId="71B55FC7" w14:textId="77777777" w:rsidR="000A6DE2" w:rsidRPr="000A6DE2" w:rsidRDefault="000A6DE2" w:rsidP="000A6DE2">
      <w:pPr>
        <w:spacing w:after="0" w:line="240" w:lineRule="auto"/>
        <w:rPr>
          <w:rFonts w:ascii="Times New Roman" w:eastAsia="Calibri" w:hAnsi="Times New Roman" w:cs="Times New Roman"/>
          <w:lang w:eastAsia="lt-LT"/>
        </w:rPr>
      </w:pPr>
    </w:p>
    <w:p w14:paraId="56283846" w14:textId="77777777" w:rsidR="000A6DE2" w:rsidRPr="000A6DE2" w:rsidRDefault="000A6DE2" w:rsidP="000A6DE2">
      <w:pPr>
        <w:keepNext/>
        <w:keepLines/>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lastRenderedPageBreak/>
        <w:t>8.</w:t>
      </w:r>
      <w:r w:rsidRPr="000A6DE2">
        <w:rPr>
          <w:rFonts w:ascii="Times New Roman" w:eastAsia="Calibri" w:hAnsi="Times New Roman" w:cs="Times New Roman"/>
          <w:b/>
          <w:lang w:eastAsia="lt-LT"/>
        </w:rPr>
        <w:tab/>
        <w:t>REGISTRACIJOS PAŽYMĖJIMO NUMERIAI</w:t>
      </w:r>
    </w:p>
    <w:p w14:paraId="6003AD52" w14:textId="77777777" w:rsidR="000A6DE2" w:rsidRPr="000A6DE2" w:rsidRDefault="000A6DE2" w:rsidP="000A6DE2">
      <w:pPr>
        <w:keepNext/>
        <w:keepLines/>
        <w:spacing w:after="0" w:line="240" w:lineRule="auto"/>
        <w:rPr>
          <w:rFonts w:ascii="Times New Roman" w:eastAsia="Calibri" w:hAnsi="Times New Roman" w:cs="Times New Roman"/>
          <w:b/>
          <w:lang w:eastAsia="lt-LT"/>
        </w:rPr>
      </w:pPr>
    </w:p>
    <w:p w14:paraId="5B7359E4" w14:textId="49A48F86"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LT/1/05/0406/006</w:t>
      </w:r>
    </w:p>
    <w:p w14:paraId="40FF1864" w14:textId="77777777" w:rsidR="000A6DE2" w:rsidRPr="000A6DE2" w:rsidRDefault="000A6DE2" w:rsidP="000A6DE2">
      <w:pPr>
        <w:spacing w:after="0" w:line="240" w:lineRule="auto"/>
        <w:rPr>
          <w:rFonts w:ascii="Times New Roman" w:eastAsia="Calibri" w:hAnsi="Times New Roman" w:cs="Times New Roman"/>
          <w:b/>
          <w:lang w:eastAsia="lt-LT"/>
        </w:rPr>
      </w:pPr>
    </w:p>
    <w:p w14:paraId="155791D7" w14:textId="77777777" w:rsidR="000A6DE2" w:rsidRPr="000A6DE2" w:rsidRDefault="000A6DE2" w:rsidP="000A6DE2">
      <w:pPr>
        <w:spacing w:after="0" w:line="240" w:lineRule="auto"/>
        <w:rPr>
          <w:rFonts w:ascii="Times New Roman" w:eastAsia="Calibri" w:hAnsi="Times New Roman" w:cs="Times New Roman"/>
          <w:b/>
          <w:lang w:eastAsia="lt-LT"/>
        </w:rPr>
      </w:pPr>
    </w:p>
    <w:p w14:paraId="5B82B2F4"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9.</w:t>
      </w:r>
      <w:r w:rsidRPr="000A6DE2">
        <w:rPr>
          <w:rFonts w:ascii="Times New Roman" w:eastAsia="Calibri" w:hAnsi="Times New Roman" w:cs="Times New Roman"/>
          <w:b/>
          <w:lang w:eastAsia="lt-LT"/>
        </w:rPr>
        <w:tab/>
        <w:t>REGOSTRAVIMO / PERREGISTRAVIMO DATA</w:t>
      </w:r>
    </w:p>
    <w:p w14:paraId="40183047" w14:textId="77777777" w:rsidR="000A6DE2" w:rsidRPr="000A6DE2" w:rsidRDefault="000A6DE2" w:rsidP="000A6DE2">
      <w:pPr>
        <w:spacing w:after="0" w:line="240" w:lineRule="auto"/>
        <w:rPr>
          <w:rFonts w:ascii="Times New Roman" w:eastAsia="Calibri" w:hAnsi="Times New Roman" w:cs="Times New Roman"/>
          <w:b/>
          <w:lang w:eastAsia="lt-LT"/>
        </w:rPr>
      </w:pPr>
    </w:p>
    <w:p w14:paraId="7B00F45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Registravimo data 2006 m. balandžio 14 d.</w:t>
      </w:r>
    </w:p>
    <w:p w14:paraId="6EABE5E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Paskutinio perregistravimo data 2010 m. kovo 31 d.</w:t>
      </w:r>
    </w:p>
    <w:p w14:paraId="539EF53A" w14:textId="77777777" w:rsidR="000A6DE2" w:rsidRPr="000A6DE2" w:rsidRDefault="000A6DE2" w:rsidP="000A6DE2">
      <w:pPr>
        <w:spacing w:after="0" w:line="240" w:lineRule="auto"/>
        <w:rPr>
          <w:rFonts w:ascii="Times New Roman" w:eastAsia="Calibri" w:hAnsi="Times New Roman" w:cs="Times New Roman"/>
          <w:b/>
          <w:lang w:eastAsia="lt-LT"/>
        </w:rPr>
      </w:pPr>
    </w:p>
    <w:p w14:paraId="1432A217" w14:textId="77777777" w:rsidR="000A6DE2" w:rsidRPr="000A6DE2" w:rsidRDefault="000A6DE2" w:rsidP="000A6DE2">
      <w:pPr>
        <w:spacing w:after="0" w:line="240" w:lineRule="auto"/>
        <w:rPr>
          <w:rFonts w:ascii="Times New Roman" w:eastAsia="Calibri" w:hAnsi="Times New Roman" w:cs="Times New Roman"/>
          <w:b/>
          <w:lang w:eastAsia="lt-LT"/>
        </w:rPr>
      </w:pPr>
    </w:p>
    <w:p w14:paraId="75811508"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10.</w:t>
      </w:r>
      <w:r w:rsidRPr="000A6DE2">
        <w:rPr>
          <w:rFonts w:ascii="Times New Roman" w:eastAsia="Calibri" w:hAnsi="Times New Roman" w:cs="Times New Roman"/>
          <w:b/>
          <w:lang w:eastAsia="lt-LT"/>
        </w:rPr>
        <w:tab/>
        <w:t>TEKSTO PERŽIŪROS DATA</w:t>
      </w:r>
    </w:p>
    <w:p w14:paraId="7410DB73" w14:textId="77777777" w:rsidR="000A6DE2" w:rsidRPr="000A6DE2" w:rsidRDefault="000A6DE2" w:rsidP="000A6DE2">
      <w:pPr>
        <w:spacing w:after="0" w:line="240" w:lineRule="auto"/>
        <w:rPr>
          <w:rFonts w:ascii="Times New Roman" w:eastAsia="Calibri" w:hAnsi="Times New Roman" w:cs="Times New Roman"/>
          <w:b/>
          <w:lang w:eastAsia="lt-LT"/>
        </w:rPr>
      </w:pPr>
    </w:p>
    <w:p w14:paraId="118EB7FA" w14:textId="475BF546" w:rsidR="00C73014" w:rsidRDefault="00C73014" w:rsidP="000A6DE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202</w:t>
      </w:r>
      <w:r w:rsidR="003B0370">
        <w:rPr>
          <w:rFonts w:ascii="Times New Roman" w:eastAsia="Calibri" w:hAnsi="Times New Roman" w:cs="Times New Roman"/>
          <w:lang w:eastAsia="lt-LT"/>
        </w:rPr>
        <w:t>5</w:t>
      </w:r>
      <w:r>
        <w:rPr>
          <w:rFonts w:ascii="Times New Roman" w:eastAsia="Calibri" w:hAnsi="Times New Roman" w:cs="Times New Roman"/>
          <w:lang w:eastAsia="lt-LT"/>
        </w:rPr>
        <w:t xml:space="preserve"> m.</w:t>
      </w:r>
      <w:r w:rsidR="00D94062">
        <w:rPr>
          <w:rFonts w:ascii="Times New Roman" w:eastAsia="Calibri" w:hAnsi="Times New Roman" w:cs="Times New Roman"/>
          <w:lang w:eastAsia="lt-LT"/>
        </w:rPr>
        <w:t xml:space="preserve"> </w:t>
      </w:r>
      <w:r w:rsidR="003B0370">
        <w:rPr>
          <w:rFonts w:ascii="Times New Roman" w:eastAsia="Calibri" w:hAnsi="Times New Roman" w:cs="Times New Roman"/>
          <w:lang w:eastAsia="lt-LT"/>
        </w:rPr>
        <w:t>gruo</w:t>
      </w:r>
      <w:r w:rsidR="00D94062">
        <w:rPr>
          <w:rFonts w:ascii="Times New Roman" w:eastAsia="Calibri" w:hAnsi="Times New Roman" w:cs="Times New Roman"/>
          <w:lang w:eastAsia="lt-LT"/>
        </w:rPr>
        <w:t xml:space="preserve">džio </w:t>
      </w:r>
      <w:r w:rsidR="003B0370">
        <w:rPr>
          <w:rFonts w:ascii="Times New Roman" w:eastAsia="Calibri" w:hAnsi="Times New Roman" w:cs="Times New Roman"/>
          <w:lang w:eastAsia="lt-LT"/>
        </w:rPr>
        <w:t>15</w:t>
      </w:r>
      <w:r w:rsidR="00D94062">
        <w:rPr>
          <w:rFonts w:ascii="Times New Roman" w:eastAsia="Calibri" w:hAnsi="Times New Roman" w:cs="Times New Roman"/>
          <w:lang w:eastAsia="lt-LT"/>
        </w:rPr>
        <w:t xml:space="preserve"> d.</w:t>
      </w:r>
    </w:p>
    <w:p w14:paraId="677F2C16" w14:textId="77777777" w:rsidR="000A6DE2" w:rsidRPr="000A6DE2" w:rsidRDefault="000A6DE2" w:rsidP="000A6DE2">
      <w:pPr>
        <w:spacing w:after="0" w:line="240" w:lineRule="auto"/>
        <w:rPr>
          <w:rFonts w:ascii="Times New Roman" w:eastAsia="Calibri" w:hAnsi="Times New Roman" w:cs="Times New Roman"/>
          <w:lang w:eastAsia="lt-LT"/>
        </w:rPr>
      </w:pPr>
    </w:p>
    <w:p w14:paraId="14CB3DC8" w14:textId="01E0345C" w:rsidR="000A6DE2" w:rsidRPr="000A6DE2" w:rsidRDefault="003B0370" w:rsidP="000A6DE2">
      <w:pPr>
        <w:spacing w:after="0" w:line="240" w:lineRule="auto"/>
        <w:rPr>
          <w:rFonts w:ascii="Times New Roman" w:eastAsia="Calibri" w:hAnsi="Times New Roman" w:cs="Times New Roman"/>
          <w:lang w:eastAsia="lt-LT"/>
        </w:rPr>
      </w:pPr>
      <w:r w:rsidRPr="003B0370">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r w:rsidRPr="003B0370">
        <w:rPr>
          <w:rFonts w:ascii="Times New Roman" w:eastAsia="Times New Roman" w:hAnsi="Times New Roman" w:cs="Times New Roman"/>
          <w:color w:val="0000EE"/>
          <w:u w:val="single"/>
          <w:lang w:eastAsia="lt-LT"/>
        </w:rPr>
        <w:t>https://vvkt.lrv.lt/lt/.</w:t>
      </w:r>
    </w:p>
    <w:p w14:paraId="540DE9D0" w14:textId="77777777" w:rsidR="000A6DE2" w:rsidRPr="000A6DE2" w:rsidRDefault="000A6DE2" w:rsidP="000A6DE2">
      <w:pPr>
        <w:spacing w:after="0" w:line="240" w:lineRule="auto"/>
        <w:rPr>
          <w:rFonts w:ascii="Times New Roman" w:eastAsia="Times New Roman" w:hAnsi="Times New Roman" w:cs="Times New Roman"/>
          <w:lang w:eastAsia="x-none"/>
        </w:rPr>
      </w:pPr>
    </w:p>
    <w:p w14:paraId="34CFA755" w14:textId="77777777" w:rsidR="000A6DE2" w:rsidRPr="000A6DE2" w:rsidRDefault="000A6DE2" w:rsidP="000A6DE2">
      <w:pPr>
        <w:tabs>
          <w:tab w:val="left" w:pos="567"/>
        </w:tabs>
        <w:spacing w:after="0" w:line="240" w:lineRule="auto"/>
        <w:rPr>
          <w:rFonts w:ascii="Times New Roman" w:eastAsia="Times New Roman" w:hAnsi="Times New Roman" w:cs="Times New Roman"/>
          <w:lang w:eastAsia="x-none"/>
        </w:rPr>
      </w:pPr>
      <w:r w:rsidRPr="000A6DE2">
        <w:rPr>
          <w:rFonts w:ascii="Times New Roman" w:eastAsia="Times New Roman" w:hAnsi="Times New Roman" w:cs="Times New Roman"/>
          <w:noProof/>
          <w:lang w:eastAsia="x-none"/>
        </w:rPr>
        <w:br w:type="page"/>
      </w:r>
    </w:p>
    <w:p w14:paraId="40FC1935" w14:textId="77777777" w:rsidR="000A6DE2" w:rsidRDefault="000A6DE2"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69F2C381"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1432AB8"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8CA9C2D"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FD64130"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98FBC48"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A36FB15"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A4B482C"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51C770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0104155"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AA72D47"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A80B6A4"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6EB6DB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0DE0CC2"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019C3630"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60D77C65"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45CC07E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3F592794"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A5024BE"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4F9E6DE8"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0BEB31CE"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8E25B1D"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ECE58F9"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4D3848C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034E0CE3"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64511237"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534B934"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2B1B59E"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6912AF1"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A293066"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9329284" w14:textId="77777777"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42BCD83" w14:textId="6D051AF0"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r w:rsidRPr="00296C5A">
        <w:rPr>
          <w:rFonts w:ascii="Times New Roman" w:eastAsia="Calibri" w:hAnsi="Times New Roman" w:cs="Times New Roman"/>
          <w:b/>
          <w:caps/>
        </w:rPr>
        <w:t>II PRIEDAS</w:t>
      </w:r>
      <w:bookmarkEnd w:id="1"/>
      <w:bookmarkEnd w:id="2"/>
    </w:p>
    <w:p w14:paraId="3F77E24C" w14:textId="77777777"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53150ED" w14:textId="77777777"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296C5A">
        <w:rPr>
          <w:rFonts w:ascii="Times New Roman" w:eastAsia="Calibri" w:hAnsi="Times New Roman" w:cs="Times New Roman"/>
          <w:b/>
          <w:caps/>
        </w:rPr>
        <w:t>REGISTRACIJOS SĄLYGOS</w:t>
      </w:r>
    </w:p>
    <w:p w14:paraId="7FFA93B2" w14:textId="77777777" w:rsidR="007E07AA" w:rsidRPr="00296C5A" w:rsidRDefault="007E07AA" w:rsidP="007E07AA">
      <w:pPr>
        <w:spacing w:after="0" w:line="240" w:lineRule="auto"/>
        <w:rPr>
          <w:rFonts w:ascii="Times New Roman" w:eastAsia="Calibri" w:hAnsi="Times New Roman" w:cs="Times New Roman"/>
        </w:rPr>
      </w:pPr>
    </w:p>
    <w:p w14:paraId="4B0120C1" w14:textId="77777777" w:rsidR="007E07AA" w:rsidRPr="00296C5A" w:rsidRDefault="007E07AA" w:rsidP="007E07AA">
      <w:pPr>
        <w:spacing w:after="0" w:line="240" w:lineRule="auto"/>
        <w:rPr>
          <w:rFonts w:ascii="Times New Roman" w:eastAsia="Calibri" w:hAnsi="Times New Roman" w:cs="Times New Roman"/>
          <w:b/>
          <w:highlight w:val="yellow"/>
          <w:lang w:eastAsia="lt-LT"/>
        </w:rPr>
      </w:pPr>
      <w:r w:rsidRPr="00296C5A">
        <w:rPr>
          <w:rFonts w:ascii="Times New Roman" w:eastAsia="Calibri" w:hAnsi="Times New Roman" w:cs="Times New Roman"/>
          <w:b/>
        </w:rPr>
        <w:t>A.</w:t>
      </w:r>
      <w:r w:rsidRPr="00296C5A">
        <w:rPr>
          <w:rFonts w:ascii="Times New Roman" w:eastAsia="Calibri" w:hAnsi="Times New Roman" w:cs="Times New Roman"/>
          <w:b/>
        </w:rPr>
        <w:tab/>
        <w:t>GAM</w:t>
      </w:r>
      <w:r w:rsidRPr="004E403C">
        <w:rPr>
          <w:rFonts w:ascii="Times New Roman" w:hAnsi="Times New Roman"/>
          <w:b/>
        </w:rPr>
        <w:t>INTOJAS, ATSAKINGAS UŽ SERIJŲ IŠLEIDIMĄ</w:t>
      </w:r>
    </w:p>
    <w:p w14:paraId="05526728" w14:textId="77777777" w:rsidR="007E07AA" w:rsidRPr="00296C5A" w:rsidRDefault="007E07AA" w:rsidP="007E07AA">
      <w:pPr>
        <w:spacing w:after="0" w:line="240" w:lineRule="auto"/>
        <w:rPr>
          <w:rFonts w:ascii="Times New Roman" w:eastAsia="Calibri" w:hAnsi="Times New Roman" w:cs="Times New Roman"/>
          <w:b/>
          <w:highlight w:val="yellow"/>
        </w:rPr>
      </w:pPr>
    </w:p>
    <w:p w14:paraId="454C113E"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rPr>
        <w:t>B.</w:t>
      </w:r>
      <w:r w:rsidRPr="00296C5A">
        <w:rPr>
          <w:rFonts w:ascii="Times New Roman" w:eastAsia="Calibri" w:hAnsi="Times New Roman" w:cs="Times New Roman"/>
          <w:b/>
        </w:rPr>
        <w:tab/>
        <w:t>TIEKIMO IR VARTOJIMO SĄLYGOS AR APRIBOJIMAI</w:t>
      </w:r>
    </w:p>
    <w:p w14:paraId="123E5BB5" w14:textId="77777777" w:rsidR="007E07AA" w:rsidRPr="00296C5A" w:rsidRDefault="007E07AA" w:rsidP="007E07AA">
      <w:pPr>
        <w:spacing w:after="0" w:line="240" w:lineRule="auto"/>
        <w:rPr>
          <w:rFonts w:ascii="Times New Roman" w:eastAsia="Calibri" w:hAnsi="Times New Roman" w:cs="Times New Roman"/>
        </w:rPr>
      </w:pPr>
    </w:p>
    <w:p w14:paraId="7D50DC9B" w14:textId="77777777" w:rsidR="007E07AA" w:rsidRPr="00296C5A" w:rsidRDefault="007E07AA" w:rsidP="007E07AA">
      <w:pPr>
        <w:tabs>
          <w:tab w:val="left" w:pos="567"/>
        </w:tabs>
        <w:spacing w:after="0" w:line="240" w:lineRule="auto"/>
        <w:rPr>
          <w:rFonts w:ascii="Times New Roman" w:eastAsia="Calibri" w:hAnsi="Times New Roman" w:cs="Times New Roman"/>
          <w:b/>
        </w:rPr>
      </w:pPr>
      <w:r w:rsidRPr="00296C5A">
        <w:rPr>
          <w:rFonts w:ascii="Times New Roman" w:eastAsia="Calibri" w:hAnsi="Times New Roman" w:cs="Times New Roman"/>
        </w:rPr>
        <w:br w:type="page"/>
      </w:r>
      <w:r w:rsidRPr="00296C5A">
        <w:rPr>
          <w:rFonts w:ascii="Times New Roman" w:eastAsia="Calibri" w:hAnsi="Times New Roman" w:cs="Times New Roman"/>
          <w:b/>
        </w:rPr>
        <w:lastRenderedPageBreak/>
        <w:t>A.</w:t>
      </w:r>
      <w:r w:rsidRPr="003B0370">
        <w:rPr>
          <w:rFonts w:ascii="Times New Roman" w:eastAsia="Calibri" w:hAnsi="Times New Roman" w:cs="Times New Roman"/>
          <w:b/>
        </w:rPr>
        <w:tab/>
        <w:t>GAMINTOJAS, ATSAKINGAS UŽ SERIJŲ IŠLEIDIMĄ</w:t>
      </w:r>
    </w:p>
    <w:p w14:paraId="222C2CCF" w14:textId="77777777" w:rsidR="007E07AA" w:rsidRPr="00296C5A" w:rsidRDefault="007E07AA" w:rsidP="007E07AA">
      <w:pPr>
        <w:spacing w:after="0" w:line="240" w:lineRule="auto"/>
        <w:rPr>
          <w:rFonts w:ascii="Times New Roman" w:eastAsia="Calibri" w:hAnsi="Times New Roman" w:cs="Times New Roman"/>
        </w:rPr>
      </w:pPr>
    </w:p>
    <w:p w14:paraId="13BFB67A" w14:textId="77777777" w:rsidR="007E07AA" w:rsidRPr="00296C5A" w:rsidRDefault="007E07AA" w:rsidP="007E07AA">
      <w:pPr>
        <w:spacing w:after="0" w:line="240" w:lineRule="auto"/>
        <w:rPr>
          <w:rFonts w:ascii="Times New Roman" w:eastAsia="Calibri" w:hAnsi="Times New Roman" w:cs="Times New Roman"/>
          <w:u w:val="single"/>
          <w:lang w:eastAsia="lt-LT"/>
        </w:rPr>
      </w:pPr>
      <w:r w:rsidRPr="00296C5A">
        <w:rPr>
          <w:rFonts w:ascii="Times New Roman" w:eastAsia="Calibri" w:hAnsi="Times New Roman" w:cs="Times New Roman"/>
          <w:noProof/>
          <w:szCs w:val="24"/>
          <w:u w:val="single"/>
        </w:rPr>
        <w:t>Gamintojo (-ų), atsakingo (-ų) už serijų išleidimą, pavadinimas (-ai) ir adresas (-ai)</w:t>
      </w:r>
    </w:p>
    <w:p w14:paraId="3CC81F6B" w14:textId="77777777" w:rsidR="007E07AA" w:rsidRPr="00296C5A" w:rsidRDefault="007E07AA" w:rsidP="007E07AA">
      <w:pPr>
        <w:spacing w:after="0" w:line="240" w:lineRule="auto"/>
        <w:rPr>
          <w:rFonts w:ascii="Times New Roman" w:eastAsia="Calibri" w:hAnsi="Times New Roman" w:cs="Times New Roman"/>
        </w:rPr>
      </w:pPr>
    </w:p>
    <w:p w14:paraId="646A0F14" w14:textId="77777777" w:rsidR="007E07AA" w:rsidRPr="00296C5A" w:rsidRDefault="007E07AA" w:rsidP="007E07AA">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rPr>
        <w:t>Roche Pharma AG</w:t>
      </w:r>
    </w:p>
    <w:p w14:paraId="53D16FD8" w14:textId="77777777" w:rsidR="007E07AA" w:rsidRPr="00296C5A" w:rsidRDefault="007E07AA" w:rsidP="007E07AA">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rPr>
        <w:t>Emil-Barell-Str. 1</w:t>
      </w:r>
    </w:p>
    <w:p w14:paraId="24BC9BCB" w14:textId="77777777" w:rsidR="007E07AA" w:rsidRPr="00296C5A" w:rsidRDefault="007E07AA" w:rsidP="007E07AA">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rPr>
        <w:t>D-79639 Grenzach-Wyhlen</w:t>
      </w:r>
    </w:p>
    <w:p w14:paraId="72B18AEB" w14:textId="77777777" w:rsidR="007E07AA" w:rsidRDefault="007E07AA" w:rsidP="007E07AA">
      <w:pPr>
        <w:widowControl w:val="0"/>
        <w:autoSpaceDE w:val="0"/>
        <w:autoSpaceDN w:val="0"/>
        <w:adjustRightInd w:val="0"/>
        <w:spacing w:after="0" w:line="240" w:lineRule="auto"/>
        <w:rPr>
          <w:rFonts w:ascii="Times New Roman" w:eastAsia="Calibri" w:hAnsi="Times New Roman" w:cs="Times New Roman"/>
          <w:color w:val="000000"/>
        </w:rPr>
      </w:pPr>
      <w:r w:rsidRPr="00296C5A">
        <w:rPr>
          <w:rFonts w:ascii="Times New Roman" w:eastAsia="Calibri" w:hAnsi="Times New Roman" w:cs="Times New Roman"/>
          <w:color w:val="000000"/>
        </w:rPr>
        <w:t>Vokietija</w:t>
      </w:r>
    </w:p>
    <w:p w14:paraId="6659CF27" w14:textId="77777777" w:rsidR="00FB40E3" w:rsidRPr="004E403C" w:rsidRDefault="00FB40E3" w:rsidP="004E403C">
      <w:pPr>
        <w:widowControl w:val="0"/>
        <w:autoSpaceDE w:val="0"/>
        <w:autoSpaceDN w:val="0"/>
        <w:adjustRightInd w:val="0"/>
        <w:spacing w:after="0" w:line="240" w:lineRule="auto"/>
        <w:rPr>
          <w:rFonts w:ascii="Times New Roman" w:hAnsi="Times New Roman"/>
          <w:color w:val="000000"/>
        </w:rPr>
      </w:pPr>
    </w:p>
    <w:p w14:paraId="1F6417D9" w14:textId="77777777" w:rsidR="00450E06" w:rsidRP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450E06">
        <w:rPr>
          <w:rFonts w:ascii="Times New Roman" w:eastAsia="Calibri" w:hAnsi="Times New Roman" w:cs="Times New Roman"/>
          <w:color w:val="000000"/>
          <w:lang w:eastAsia="lt-LT"/>
        </w:rPr>
        <w:t xml:space="preserve">CHEPLAPHARM Registration GmbH </w:t>
      </w:r>
    </w:p>
    <w:p w14:paraId="5DF3A37E" w14:textId="377F4A9E" w:rsidR="00450E06" w:rsidRP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450E06">
        <w:rPr>
          <w:rFonts w:ascii="Times New Roman" w:eastAsia="Calibri" w:hAnsi="Times New Roman" w:cs="Times New Roman"/>
          <w:color w:val="000000"/>
          <w:lang w:eastAsia="lt-LT"/>
        </w:rPr>
        <w:t>Weiler</w:t>
      </w:r>
      <w:proofErr w:type="spellEnd"/>
      <w:r w:rsidRPr="00450E06">
        <w:rPr>
          <w:rFonts w:ascii="Times New Roman" w:eastAsia="Calibri" w:hAnsi="Times New Roman" w:cs="Times New Roman"/>
          <w:color w:val="000000"/>
          <w:lang w:eastAsia="lt-LT"/>
        </w:rPr>
        <w:t xml:space="preserve"> </w:t>
      </w:r>
      <w:proofErr w:type="spellStart"/>
      <w:r w:rsidRPr="00450E06">
        <w:rPr>
          <w:rFonts w:ascii="Times New Roman" w:eastAsia="Calibri" w:hAnsi="Times New Roman" w:cs="Times New Roman"/>
          <w:color w:val="000000"/>
          <w:lang w:eastAsia="lt-LT"/>
        </w:rPr>
        <w:t>Straße</w:t>
      </w:r>
      <w:proofErr w:type="spellEnd"/>
      <w:r w:rsidRPr="00450E06">
        <w:rPr>
          <w:rFonts w:ascii="Times New Roman" w:eastAsia="Calibri" w:hAnsi="Times New Roman" w:cs="Times New Roman"/>
          <w:color w:val="000000"/>
          <w:lang w:eastAsia="lt-LT"/>
        </w:rPr>
        <w:t xml:space="preserve"> 5</w:t>
      </w:r>
      <w:r w:rsidR="007E33B2">
        <w:rPr>
          <w:rFonts w:ascii="Times New Roman" w:eastAsia="Calibri" w:hAnsi="Times New Roman" w:cs="Times New Roman"/>
          <w:color w:val="000000"/>
          <w:lang w:eastAsia="lt-LT"/>
        </w:rPr>
        <w:t>e</w:t>
      </w:r>
    </w:p>
    <w:p w14:paraId="53C06078" w14:textId="66D3F36F" w:rsidR="00FB40E3"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450E06">
        <w:rPr>
          <w:rFonts w:ascii="Times New Roman" w:eastAsia="Calibri" w:hAnsi="Times New Roman" w:cs="Times New Roman"/>
          <w:color w:val="000000"/>
          <w:lang w:eastAsia="lt-LT"/>
        </w:rPr>
        <w:t>79540 Lörrach</w:t>
      </w:r>
    </w:p>
    <w:p w14:paraId="31CE1197" w14:textId="0EBA1396" w:rsid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450E06">
        <w:rPr>
          <w:rFonts w:ascii="Times New Roman" w:eastAsia="Calibri" w:hAnsi="Times New Roman" w:cs="Times New Roman"/>
          <w:color w:val="000000"/>
          <w:lang w:eastAsia="lt-LT"/>
        </w:rPr>
        <w:t>Vokietija</w:t>
      </w:r>
    </w:p>
    <w:p w14:paraId="50DE4461" w14:textId="77777777" w:rsid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49FFEA68" w14:textId="77777777" w:rsidR="00973DCF" w:rsidRPr="00973DCF"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73DCF">
        <w:rPr>
          <w:rFonts w:ascii="Times New Roman" w:eastAsia="Calibri" w:hAnsi="Times New Roman" w:cs="Times New Roman"/>
          <w:color w:val="000000"/>
          <w:lang w:eastAsia="lt-LT"/>
        </w:rPr>
        <w:t xml:space="preserve">Catalent Germany Eberbach GmbH </w:t>
      </w:r>
    </w:p>
    <w:p w14:paraId="79D0834D" w14:textId="77777777" w:rsidR="00973DCF" w:rsidRPr="00973DCF"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73DCF">
        <w:rPr>
          <w:rFonts w:ascii="Times New Roman" w:eastAsia="Calibri" w:hAnsi="Times New Roman" w:cs="Times New Roman"/>
          <w:color w:val="000000"/>
          <w:lang w:eastAsia="lt-LT"/>
        </w:rPr>
        <w:t xml:space="preserve">Gammelsbacher Strasse 2 </w:t>
      </w:r>
    </w:p>
    <w:p w14:paraId="588E7EE0" w14:textId="4F4A13E9" w:rsidR="00450E06"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73DCF">
        <w:rPr>
          <w:rFonts w:ascii="Times New Roman" w:eastAsia="Calibri" w:hAnsi="Times New Roman" w:cs="Times New Roman"/>
          <w:color w:val="000000"/>
          <w:lang w:eastAsia="lt-LT"/>
        </w:rPr>
        <w:t>69412 Eberbach</w:t>
      </w:r>
    </w:p>
    <w:p w14:paraId="471A260E" w14:textId="52241C54" w:rsidR="00973DCF" w:rsidRPr="00296C5A"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73DCF">
        <w:rPr>
          <w:rFonts w:ascii="Times New Roman" w:eastAsia="Calibri" w:hAnsi="Times New Roman" w:cs="Times New Roman"/>
          <w:color w:val="000000"/>
          <w:lang w:eastAsia="lt-LT"/>
        </w:rPr>
        <w:t>Vokietija</w:t>
      </w:r>
    </w:p>
    <w:p w14:paraId="202B40D9" w14:textId="1F96BB25" w:rsidR="007E07AA" w:rsidRDefault="007E07AA" w:rsidP="007E07AA">
      <w:pPr>
        <w:spacing w:after="0" w:line="240" w:lineRule="auto"/>
        <w:rPr>
          <w:rFonts w:ascii="Times New Roman" w:eastAsia="Calibri" w:hAnsi="Times New Roman" w:cs="Times New Roman"/>
        </w:rPr>
      </w:pPr>
    </w:p>
    <w:p w14:paraId="74962D04" w14:textId="21D31354" w:rsidR="00585807" w:rsidRDefault="00585807" w:rsidP="007E07AA">
      <w:pPr>
        <w:spacing w:after="0" w:line="240" w:lineRule="auto"/>
        <w:rPr>
          <w:rFonts w:ascii="Times New Roman" w:eastAsia="Calibri" w:hAnsi="Times New Roman" w:cs="Times New Roman"/>
        </w:rPr>
      </w:pPr>
      <w:r w:rsidRPr="00585807">
        <w:rPr>
          <w:rFonts w:ascii="Times New Roman" w:eastAsia="Calibri" w:hAnsi="Times New Roman" w:cs="Times New Roman"/>
        </w:rPr>
        <w:t>Su pakuote pateikiamame lapelyje nurodomas gamintojo, atsakingo už konkrečios serijos išleidimą, pavadinimas ir adresas.</w:t>
      </w:r>
    </w:p>
    <w:p w14:paraId="39993005" w14:textId="77777777" w:rsidR="00585807" w:rsidRPr="00296C5A" w:rsidRDefault="00585807" w:rsidP="007E07AA">
      <w:pPr>
        <w:spacing w:after="0" w:line="240" w:lineRule="auto"/>
        <w:rPr>
          <w:rFonts w:ascii="Times New Roman" w:eastAsia="Calibri" w:hAnsi="Times New Roman" w:cs="Times New Roman"/>
        </w:rPr>
      </w:pPr>
    </w:p>
    <w:p w14:paraId="366398D4" w14:textId="77777777" w:rsidR="007E07AA" w:rsidRPr="00296C5A" w:rsidRDefault="007E07AA" w:rsidP="007E07AA">
      <w:pPr>
        <w:spacing w:after="0" w:line="240" w:lineRule="auto"/>
        <w:rPr>
          <w:rFonts w:ascii="Times New Roman" w:eastAsia="Calibri" w:hAnsi="Times New Roman" w:cs="Times New Roman"/>
        </w:rPr>
      </w:pPr>
    </w:p>
    <w:p w14:paraId="25EAC83F" w14:textId="77777777" w:rsidR="007E07AA" w:rsidRPr="00296C5A" w:rsidRDefault="007E07AA" w:rsidP="007E07AA">
      <w:pPr>
        <w:tabs>
          <w:tab w:val="left" w:pos="567"/>
        </w:tabs>
        <w:spacing w:after="0" w:line="240" w:lineRule="auto"/>
        <w:rPr>
          <w:rFonts w:ascii="Times New Roman" w:eastAsia="Calibri" w:hAnsi="Times New Roman" w:cs="Times New Roman"/>
          <w:b/>
          <w:kern w:val="28"/>
          <w:lang w:eastAsia="lt-LT"/>
        </w:rPr>
      </w:pPr>
      <w:r w:rsidRPr="00296C5A">
        <w:rPr>
          <w:rFonts w:ascii="Times New Roman" w:eastAsia="Calibri" w:hAnsi="Times New Roman" w:cs="Times New Roman"/>
          <w:b/>
        </w:rPr>
        <w:t>B.</w:t>
      </w:r>
      <w:r w:rsidRPr="00296C5A">
        <w:rPr>
          <w:rFonts w:ascii="Times New Roman" w:eastAsia="Calibri" w:hAnsi="Times New Roman" w:cs="Times New Roman"/>
          <w:b/>
        </w:rPr>
        <w:tab/>
        <w:t>TIEKIMO IR VARTOJIMO SĄLYGOS AR APRIBOJIMAI</w:t>
      </w:r>
    </w:p>
    <w:p w14:paraId="3B10DA73" w14:textId="77777777" w:rsidR="007E07AA" w:rsidRPr="00296C5A" w:rsidRDefault="007E07AA" w:rsidP="007E07AA">
      <w:pPr>
        <w:spacing w:after="0" w:line="240" w:lineRule="auto"/>
        <w:rPr>
          <w:rFonts w:ascii="Times New Roman" w:eastAsia="Calibri" w:hAnsi="Times New Roman" w:cs="Times New Roman"/>
        </w:rPr>
      </w:pPr>
    </w:p>
    <w:p w14:paraId="10994526"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Receptinis vaistinis preparatas</w:t>
      </w:r>
    </w:p>
    <w:p w14:paraId="62FE6E56" w14:textId="77777777" w:rsidR="007E07AA" w:rsidRPr="00296C5A" w:rsidRDefault="007E07AA" w:rsidP="007E07AA">
      <w:pPr>
        <w:spacing w:after="0" w:line="240" w:lineRule="auto"/>
        <w:rPr>
          <w:rFonts w:ascii="Times New Roman" w:eastAsia="Calibri" w:hAnsi="Times New Roman" w:cs="Times New Roman"/>
        </w:rPr>
      </w:pPr>
    </w:p>
    <w:p w14:paraId="55DBC789" w14:textId="77777777" w:rsidR="007E07AA" w:rsidRPr="00296C5A" w:rsidRDefault="007E07AA" w:rsidP="007E07AA">
      <w:pPr>
        <w:spacing w:after="0" w:line="240" w:lineRule="auto"/>
        <w:rPr>
          <w:rFonts w:ascii="Times New Roman" w:eastAsia="Calibri" w:hAnsi="Times New Roman" w:cs="Times New Roman"/>
        </w:rPr>
      </w:pPr>
      <w:bookmarkStart w:id="3" w:name="_Toc129243132"/>
      <w:bookmarkStart w:id="4" w:name="_Toc129243257"/>
    </w:p>
    <w:p w14:paraId="6B82BAFE" w14:textId="77777777" w:rsidR="007E07AA" w:rsidRPr="00296C5A" w:rsidRDefault="007E07AA" w:rsidP="007E07AA">
      <w:pPr>
        <w:spacing w:after="0" w:line="240" w:lineRule="auto"/>
        <w:rPr>
          <w:rFonts w:ascii="Times New Roman" w:eastAsia="Calibri" w:hAnsi="Times New Roman" w:cs="Times New Roman"/>
        </w:rPr>
      </w:pPr>
    </w:p>
    <w:bookmarkEnd w:id="3"/>
    <w:bookmarkEnd w:id="4"/>
    <w:p w14:paraId="114C9584"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lang w:val="pt-BR"/>
        </w:rPr>
        <w:br w:type="page"/>
      </w:r>
    </w:p>
    <w:p w14:paraId="4210AA84" w14:textId="77777777" w:rsidR="007E07AA" w:rsidRPr="00296C5A" w:rsidRDefault="007E07AA" w:rsidP="007E07AA">
      <w:pPr>
        <w:spacing w:after="0" w:line="240" w:lineRule="auto"/>
        <w:ind w:left="567" w:hanging="567"/>
        <w:rPr>
          <w:rFonts w:ascii="Times New Roman" w:eastAsia="Calibri" w:hAnsi="Times New Roman" w:cs="Times New Roman"/>
        </w:rPr>
      </w:pPr>
    </w:p>
    <w:p w14:paraId="146A6153" w14:textId="77777777" w:rsidR="007E07AA" w:rsidRPr="00296C5A" w:rsidRDefault="007E07AA" w:rsidP="007E07AA">
      <w:pPr>
        <w:spacing w:after="0" w:line="240" w:lineRule="auto"/>
        <w:ind w:left="567" w:hanging="567"/>
        <w:rPr>
          <w:rFonts w:ascii="Times New Roman" w:eastAsia="Calibri" w:hAnsi="Times New Roman" w:cs="Times New Roman"/>
        </w:rPr>
      </w:pPr>
    </w:p>
    <w:p w14:paraId="502458AF" w14:textId="77777777" w:rsidR="007E07AA" w:rsidRPr="00296C5A" w:rsidRDefault="007E07AA" w:rsidP="007E07AA">
      <w:pPr>
        <w:spacing w:after="0" w:line="240" w:lineRule="auto"/>
        <w:ind w:left="567" w:hanging="567"/>
        <w:rPr>
          <w:rFonts w:ascii="Times New Roman" w:eastAsia="Calibri" w:hAnsi="Times New Roman" w:cs="Times New Roman"/>
        </w:rPr>
      </w:pPr>
    </w:p>
    <w:p w14:paraId="1D6B1FDF" w14:textId="77777777" w:rsidR="007E07AA" w:rsidRPr="00296C5A" w:rsidRDefault="007E07AA" w:rsidP="007E07AA">
      <w:pPr>
        <w:spacing w:after="0" w:line="240" w:lineRule="auto"/>
        <w:ind w:left="567" w:hanging="567"/>
        <w:rPr>
          <w:rFonts w:ascii="Times New Roman" w:eastAsia="Calibri" w:hAnsi="Times New Roman" w:cs="Times New Roman"/>
        </w:rPr>
      </w:pPr>
    </w:p>
    <w:p w14:paraId="31B26FE0" w14:textId="77777777" w:rsidR="007E07AA" w:rsidRPr="00296C5A" w:rsidRDefault="007E07AA" w:rsidP="007E07AA">
      <w:pPr>
        <w:spacing w:after="0" w:line="240" w:lineRule="auto"/>
        <w:ind w:left="567" w:hanging="567"/>
        <w:rPr>
          <w:rFonts w:ascii="Times New Roman" w:eastAsia="Calibri" w:hAnsi="Times New Roman" w:cs="Times New Roman"/>
        </w:rPr>
      </w:pPr>
    </w:p>
    <w:p w14:paraId="257AB141" w14:textId="77777777" w:rsidR="007E07AA" w:rsidRPr="00296C5A" w:rsidRDefault="007E07AA" w:rsidP="007E07AA">
      <w:pPr>
        <w:spacing w:after="0" w:line="240" w:lineRule="auto"/>
        <w:ind w:left="567" w:hanging="567"/>
        <w:rPr>
          <w:rFonts w:ascii="Times New Roman" w:eastAsia="Calibri" w:hAnsi="Times New Roman" w:cs="Times New Roman"/>
        </w:rPr>
      </w:pPr>
    </w:p>
    <w:p w14:paraId="6EEECC06" w14:textId="77777777" w:rsidR="007E07AA" w:rsidRPr="00296C5A" w:rsidRDefault="007E07AA" w:rsidP="007E07AA">
      <w:pPr>
        <w:spacing w:after="0" w:line="240" w:lineRule="auto"/>
        <w:ind w:left="567" w:hanging="567"/>
        <w:rPr>
          <w:rFonts w:ascii="Times New Roman" w:eastAsia="Calibri" w:hAnsi="Times New Roman" w:cs="Times New Roman"/>
        </w:rPr>
      </w:pPr>
    </w:p>
    <w:p w14:paraId="5A15F1F9" w14:textId="77777777" w:rsidR="007E07AA" w:rsidRPr="00296C5A" w:rsidRDefault="007E07AA" w:rsidP="007E07AA">
      <w:pPr>
        <w:spacing w:after="0" w:line="240" w:lineRule="auto"/>
        <w:ind w:left="567" w:hanging="567"/>
        <w:rPr>
          <w:rFonts w:ascii="Times New Roman" w:eastAsia="Calibri" w:hAnsi="Times New Roman" w:cs="Times New Roman"/>
        </w:rPr>
      </w:pPr>
    </w:p>
    <w:p w14:paraId="16F0B799" w14:textId="77777777" w:rsidR="007E07AA" w:rsidRPr="00296C5A" w:rsidRDefault="007E07AA" w:rsidP="007E07AA">
      <w:pPr>
        <w:spacing w:after="0" w:line="240" w:lineRule="auto"/>
        <w:ind w:left="567" w:hanging="567"/>
        <w:rPr>
          <w:rFonts w:ascii="Times New Roman" w:eastAsia="Calibri" w:hAnsi="Times New Roman" w:cs="Times New Roman"/>
        </w:rPr>
      </w:pPr>
    </w:p>
    <w:p w14:paraId="2BC02FC4" w14:textId="77777777" w:rsidR="007E07AA" w:rsidRPr="00296C5A" w:rsidRDefault="007E07AA" w:rsidP="007E07AA">
      <w:pPr>
        <w:spacing w:after="0" w:line="240" w:lineRule="auto"/>
        <w:ind w:left="567" w:hanging="567"/>
        <w:rPr>
          <w:rFonts w:ascii="Times New Roman" w:eastAsia="Calibri" w:hAnsi="Times New Roman" w:cs="Times New Roman"/>
        </w:rPr>
      </w:pPr>
    </w:p>
    <w:p w14:paraId="06F53B1D" w14:textId="77777777" w:rsidR="007E07AA" w:rsidRPr="00296C5A" w:rsidRDefault="007E07AA" w:rsidP="007E07AA">
      <w:pPr>
        <w:spacing w:after="0" w:line="240" w:lineRule="auto"/>
        <w:ind w:left="567" w:hanging="567"/>
        <w:rPr>
          <w:rFonts w:ascii="Times New Roman" w:eastAsia="Calibri" w:hAnsi="Times New Roman" w:cs="Times New Roman"/>
        </w:rPr>
      </w:pPr>
    </w:p>
    <w:p w14:paraId="08E970E6" w14:textId="77777777" w:rsidR="007E07AA" w:rsidRPr="00296C5A" w:rsidRDefault="007E07AA" w:rsidP="007E07AA">
      <w:pPr>
        <w:spacing w:after="0" w:line="240" w:lineRule="auto"/>
        <w:ind w:left="567" w:hanging="567"/>
        <w:rPr>
          <w:rFonts w:ascii="Times New Roman" w:eastAsia="Calibri" w:hAnsi="Times New Roman" w:cs="Times New Roman"/>
        </w:rPr>
      </w:pPr>
    </w:p>
    <w:p w14:paraId="7E9CE538" w14:textId="77777777" w:rsidR="007E07AA" w:rsidRPr="00296C5A" w:rsidRDefault="007E07AA" w:rsidP="007E07AA">
      <w:pPr>
        <w:spacing w:after="0" w:line="240" w:lineRule="auto"/>
        <w:ind w:left="567" w:hanging="567"/>
        <w:rPr>
          <w:rFonts w:ascii="Times New Roman" w:eastAsia="Calibri" w:hAnsi="Times New Roman" w:cs="Times New Roman"/>
        </w:rPr>
      </w:pPr>
    </w:p>
    <w:p w14:paraId="641281FD" w14:textId="77777777" w:rsidR="007E07AA" w:rsidRPr="00296C5A" w:rsidRDefault="007E07AA" w:rsidP="007E07AA">
      <w:pPr>
        <w:spacing w:after="0" w:line="240" w:lineRule="auto"/>
        <w:ind w:left="567" w:hanging="567"/>
        <w:rPr>
          <w:rFonts w:ascii="Times New Roman" w:eastAsia="Calibri" w:hAnsi="Times New Roman" w:cs="Times New Roman"/>
        </w:rPr>
      </w:pPr>
    </w:p>
    <w:p w14:paraId="3511AF70" w14:textId="77777777" w:rsidR="007E07AA" w:rsidRPr="00296C5A" w:rsidRDefault="007E07AA" w:rsidP="007E07AA">
      <w:pPr>
        <w:spacing w:after="0" w:line="240" w:lineRule="auto"/>
        <w:ind w:left="567" w:hanging="567"/>
        <w:rPr>
          <w:rFonts w:ascii="Times New Roman" w:eastAsia="Calibri" w:hAnsi="Times New Roman" w:cs="Times New Roman"/>
        </w:rPr>
      </w:pPr>
    </w:p>
    <w:p w14:paraId="02841E14" w14:textId="77777777" w:rsidR="007E07AA" w:rsidRPr="00296C5A" w:rsidRDefault="007E07AA" w:rsidP="007E07AA">
      <w:pPr>
        <w:spacing w:after="0" w:line="240" w:lineRule="auto"/>
        <w:ind w:left="567" w:hanging="567"/>
        <w:rPr>
          <w:rFonts w:ascii="Times New Roman" w:eastAsia="Calibri" w:hAnsi="Times New Roman" w:cs="Times New Roman"/>
        </w:rPr>
      </w:pPr>
    </w:p>
    <w:p w14:paraId="21829632" w14:textId="77777777" w:rsidR="007E07AA" w:rsidRPr="00296C5A" w:rsidRDefault="007E07AA" w:rsidP="007E07AA">
      <w:pPr>
        <w:spacing w:after="0" w:line="240" w:lineRule="auto"/>
        <w:ind w:left="567" w:hanging="567"/>
        <w:rPr>
          <w:rFonts w:ascii="Times New Roman" w:eastAsia="Calibri" w:hAnsi="Times New Roman" w:cs="Times New Roman"/>
        </w:rPr>
      </w:pPr>
    </w:p>
    <w:p w14:paraId="29C8C719" w14:textId="77777777" w:rsidR="007E07AA" w:rsidRPr="00296C5A" w:rsidRDefault="007E07AA" w:rsidP="007E07AA">
      <w:pPr>
        <w:spacing w:after="0" w:line="240" w:lineRule="auto"/>
        <w:ind w:left="567" w:hanging="567"/>
        <w:rPr>
          <w:rFonts w:ascii="Times New Roman" w:eastAsia="Calibri" w:hAnsi="Times New Roman" w:cs="Times New Roman"/>
        </w:rPr>
      </w:pPr>
    </w:p>
    <w:p w14:paraId="168AC6C7" w14:textId="77777777" w:rsidR="007E07AA" w:rsidRPr="00296C5A" w:rsidRDefault="007E07AA" w:rsidP="007E07AA">
      <w:pPr>
        <w:spacing w:after="0" w:line="240" w:lineRule="auto"/>
        <w:ind w:left="567" w:hanging="567"/>
        <w:rPr>
          <w:rFonts w:ascii="Times New Roman" w:eastAsia="Calibri" w:hAnsi="Times New Roman" w:cs="Times New Roman"/>
        </w:rPr>
      </w:pPr>
    </w:p>
    <w:p w14:paraId="64F878B6" w14:textId="77777777" w:rsidR="007E07AA" w:rsidRPr="00296C5A" w:rsidRDefault="007E07AA" w:rsidP="007E07AA">
      <w:pPr>
        <w:spacing w:after="0" w:line="240" w:lineRule="auto"/>
        <w:ind w:left="567" w:hanging="567"/>
        <w:rPr>
          <w:rFonts w:ascii="Times New Roman" w:eastAsia="Calibri" w:hAnsi="Times New Roman" w:cs="Times New Roman"/>
        </w:rPr>
      </w:pPr>
    </w:p>
    <w:p w14:paraId="2B3BD5B4" w14:textId="77777777" w:rsidR="007E07AA" w:rsidRPr="00296C5A" w:rsidRDefault="007E07AA" w:rsidP="007E07AA">
      <w:pPr>
        <w:spacing w:after="0" w:line="240" w:lineRule="auto"/>
        <w:ind w:left="567" w:hanging="567"/>
        <w:rPr>
          <w:rFonts w:ascii="Times New Roman" w:eastAsia="Calibri" w:hAnsi="Times New Roman" w:cs="Times New Roman"/>
        </w:rPr>
      </w:pPr>
    </w:p>
    <w:p w14:paraId="31823056" w14:textId="77777777" w:rsidR="007E07AA" w:rsidRPr="00296C5A" w:rsidRDefault="007E07AA" w:rsidP="007E07AA">
      <w:pPr>
        <w:spacing w:after="0" w:line="240" w:lineRule="auto"/>
        <w:ind w:left="567" w:hanging="567"/>
        <w:rPr>
          <w:rFonts w:ascii="Times New Roman" w:eastAsia="Calibri" w:hAnsi="Times New Roman" w:cs="Times New Roman"/>
        </w:rPr>
      </w:pPr>
    </w:p>
    <w:p w14:paraId="6A8513D4" w14:textId="77777777" w:rsidR="007E07AA" w:rsidRPr="00296C5A" w:rsidRDefault="007E07AA" w:rsidP="007E07AA">
      <w:pPr>
        <w:spacing w:after="0" w:line="240" w:lineRule="auto"/>
        <w:ind w:left="567" w:hanging="567"/>
        <w:jc w:val="center"/>
        <w:rPr>
          <w:rFonts w:ascii="Times New Roman" w:eastAsia="Calibri" w:hAnsi="Times New Roman" w:cs="Times New Roman"/>
          <w:b/>
          <w:lang w:eastAsia="lt-LT"/>
        </w:rPr>
      </w:pPr>
      <w:r w:rsidRPr="00296C5A">
        <w:rPr>
          <w:rFonts w:ascii="Times New Roman" w:eastAsia="Calibri" w:hAnsi="Times New Roman" w:cs="Times New Roman"/>
          <w:b/>
        </w:rPr>
        <w:t>III PRIEDAS</w:t>
      </w:r>
    </w:p>
    <w:p w14:paraId="0E569BE3" w14:textId="77777777" w:rsidR="007E07AA" w:rsidRPr="00296C5A" w:rsidRDefault="007E07AA" w:rsidP="007E07AA">
      <w:pPr>
        <w:spacing w:after="0" w:line="240" w:lineRule="auto"/>
        <w:ind w:left="567" w:hanging="567"/>
        <w:jc w:val="center"/>
        <w:rPr>
          <w:rFonts w:ascii="Times New Roman" w:eastAsia="Calibri" w:hAnsi="Times New Roman" w:cs="Times New Roman"/>
          <w:b/>
        </w:rPr>
      </w:pPr>
    </w:p>
    <w:p w14:paraId="2BA70E36" w14:textId="77777777" w:rsidR="007E07AA" w:rsidRPr="00296C5A" w:rsidRDefault="007E07AA" w:rsidP="007E07AA">
      <w:pPr>
        <w:spacing w:after="0" w:line="240" w:lineRule="auto"/>
        <w:ind w:left="567" w:hanging="567"/>
        <w:jc w:val="center"/>
        <w:rPr>
          <w:rFonts w:ascii="Times New Roman" w:eastAsia="Calibri" w:hAnsi="Times New Roman" w:cs="Times New Roman"/>
          <w:b/>
          <w:lang w:eastAsia="lt-LT"/>
        </w:rPr>
      </w:pPr>
      <w:r w:rsidRPr="00296C5A">
        <w:rPr>
          <w:rFonts w:ascii="Times New Roman" w:eastAsia="Calibri" w:hAnsi="Times New Roman" w:cs="Times New Roman"/>
          <w:b/>
        </w:rPr>
        <w:t>ŽENKLINIMAS IR PAKUOTĖS LAPELIS</w:t>
      </w:r>
    </w:p>
    <w:p w14:paraId="42D8F0AE"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br w:type="page"/>
      </w:r>
    </w:p>
    <w:p w14:paraId="17960C7E" w14:textId="77777777" w:rsidR="007E07AA" w:rsidRPr="00296C5A" w:rsidRDefault="007E07AA" w:rsidP="007E07AA">
      <w:pPr>
        <w:spacing w:after="0" w:line="240" w:lineRule="auto"/>
        <w:ind w:left="567" w:hanging="567"/>
        <w:rPr>
          <w:rFonts w:ascii="Times New Roman" w:eastAsia="Calibri" w:hAnsi="Times New Roman" w:cs="Times New Roman"/>
        </w:rPr>
      </w:pPr>
    </w:p>
    <w:p w14:paraId="726A09F9" w14:textId="77777777" w:rsidR="007E07AA" w:rsidRPr="00296C5A" w:rsidRDefault="007E07AA" w:rsidP="007E07AA">
      <w:pPr>
        <w:spacing w:after="0" w:line="240" w:lineRule="auto"/>
        <w:ind w:left="567" w:hanging="567"/>
        <w:rPr>
          <w:rFonts w:ascii="Times New Roman" w:eastAsia="Calibri" w:hAnsi="Times New Roman" w:cs="Times New Roman"/>
        </w:rPr>
      </w:pPr>
    </w:p>
    <w:p w14:paraId="690D8B3E" w14:textId="77777777" w:rsidR="007E07AA" w:rsidRPr="00296C5A" w:rsidRDefault="007E07AA" w:rsidP="007E07AA">
      <w:pPr>
        <w:spacing w:after="0" w:line="240" w:lineRule="auto"/>
        <w:ind w:left="567" w:hanging="567"/>
        <w:rPr>
          <w:rFonts w:ascii="Times New Roman" w:eastAsia="Calibri" w:hAnsi="Times New Roman" w:cs="Times New Roman"/>
        </w:rPr>
      </w:pPr>
    </w:p>
    <w:p w14:paraId="47A3B80B" w14:textId="77777777" w:rsidR="007E07AA" w:rsidRPr="00296C5A" w:rsidRDefault="007E07AA" w:rsidP="007E07AA">
      <w:pPr>
        <w:spacing w:after="0" w:line="240" w:lineRule="auto"/>
        <w:ind w:left="567" w:hanging="567"/>
        <w:rPr>
          <w:rFonts w:ascii="Times New Roman" w:eastAsia="Calibri" w:hAnsi="Times New Roman" w:cs="Times New Roman"/>
        </w:rPr>
      </w:pPr>
    </w:p>
    <w:p w14:paraId="6ED854C3" w14:textId="77777777" w:rsidR="007E07AA" w:rsidRPr="00296C5A" w:rsidRDefault="007E07AA" w:rsidP="007E07AA">
      <w:pPr>
        <w:spacing w:after="0" w:line="240" w:lineRule="auto"/>
        <w:ind w:left="567" w:hanging="567"/>
        <w:rPr>
          <w:rFonts w:ascii="Times New Roman" w:eastAsia="Calibri" w:hAnsi="Times New Roman" w:cs="Times New Roman"/>
        </w:rPr>
      </w:pPr>
    </w:p>
    <w:p w14:paraId="7C38A3B7" w14:textId="77777777" w:rsidR="007E07AA" w:rsidRPr="00296C5A" w:rsidRDefault="007E07AA" w:rsidP="007E07AA">
      <w:pPr>
        <w:spacing w:after="0" w:line="240" w:lineRule="auto"/>
        <w:ind w:left="567" w:hanging="567"/>
        <w:rPr>
          <w:rFonts w:ascii="Times New Roman" w:eastAsia="Calibri" w:hAnsi="Times New Roman" w:cs="Times New Roman"/>
        </w:rPr>
      </w:pPr>
    </w:p>
    <w:p w14:paraId="23ED8C75" w14:textId="77777777" w:rsidR="007E07AA" w:rsidRPr="00296C5A" w:rsidRDefault="007E07AA" w:rsidP="007E07AA">
      <w:pPr>
        <w:spacing w:after="0" w:line="240" w:lineRule="auto"/>
        <w:ind w:left="567" w:hanging="567"/>
        <w:rPr>
          <w:rFonts w:ascii="Times New Roman" w:eastAsia="Calibri" w:hAnsi="Times New Roman" w:cs="Times New Roman"/>
        </w:rPr>
      </w:pPr>
    </w:p>
    <w:p w14:paraId="6B322A69" w14:textId="77777777" w:rsidR="007E07AA" w:rsidRPr="00296C5A" w:rsidRDefault="007E07AA" w:rsidP="007E07AA">
      <w:pPr>
        <w:spacing w:after="0" w:line="240" w:lineRule="auto"/>
        <w:ind w:left="567" w:hanging="567"/>
        <w:rPr>
          <w:rFonts w:ascii="Times New Roman" w:eastAsia="Calibri" w:hAnsi="Times New Roman" w:cs="Times New Roman"/>
        </w:rPr>
      </w:pPr>
    </w:p>
    <w:p w14:paraId="7E91EA0A" w14:textId="77777777" w:rsidR="007E07AA" w:rsidRPr="00296C5A" w:rsidRDefault="007E07AA" w:rsidP="007E07AA">
      <w:pPr>
        <w:spacing w:after="0" w:line="240" w:lineRule="auto"/>
        <w:ind w:left="567" w:hanging="567"/>
        <w:rPr>
          <w:rFonts w:ascii="Times New Roman" w:eastAsia="Calibri" w:hAnsi="Times New Roman" w:cs="Times New Roman"/>
        </w:rPr>
      </w:pPr>
    </w:p>
    <w:p w14:paraId="3ECC710D" w14:textId="77777777" w:rsidR="007E07AA" w:rsidRPr="00296C5A" w:rsidRDefault="007E07AA" w:rsidP="007E07AA">
      <w:pPr>
        <w:spacing w:after="0" w:line="240" w:lineRule="auto"/>
        <w:ind w:left="567" w:hanging="567"/>
        <w:rPr>
          <w:rFonts w:ascii="Times New Roman" w:eastAsia="Calibri" w:hAnsi="Times New Roman" w:cs="Times New Roman"/>
        </w:rPr>
      </w:pPr>
    </w:p>
    <w:p w14:paraId="4419DD75" w14:textId="77777777" w:rsidR="007E07AA" w:rsidRPr="00296C5A" w:rsidRDefault="007E07AA" w:rsidP="007E07AA">
      <w:pPr>
        <w:spacing w:after="0" w:line="240" w:lineRule="auto"/>
        <w:ind w:left="567" w:hanging="567"/>
        <w:rPr>
          <w:rFonts w:ascii="Times New Roman" w:eastAsia="Calibri" w:hAnsi="Times New Roman" w:cs="Times New Roman"/>
        </w:rPr>
      </w:pPr>
    </w:p>
    <w:p w14:paraId="2F51B443" w14:textId="77777777" w:rsidR="007E07AA" w:rsidRPr="00296C5A" w:rsidRDefault="007E07AA" w:rsidP="007E07AA">
      <w:pPr>
        <w:spacing w:after="0" w:line="240" w:lineRule="auto"/>
        <w:ind w:left="567" w:hanging="567"/>
        <w:rPr>
          <w:rFonts w:ascii="Times New Roman" w:eastAsia="Calibri" w:hAnsi="Times New Roman" w:cs="Times New Roman"/>
        </w:rPr>
      </w:pPr>
    </w:p>
    <w:p w14:paraId="6C7D3140" w14:textId="77777777" w:rsidR="007E07AA" w:rsidRPr="00296C5A" w:rsidRDefault="007E07AA" w:rsidP="007E07AA">
      <w:pPr>
        <w:spacing w:after="0" w:line="240" w:lineRule="auto"/>
        <w:ind w:left="567" w:hanging="567"/>
        <w:rPr>
          <w:rFonts w:ascii="Times New Roman" w:eastAsia="Calibri" w:hAnsi="Times New Roman" w:cs="Times New Roman"/>
        </w:rPr>
      </w:pPr>
    </w:p>
    <w:p w14:paraId="19D745F6" w14:textId="77777777" w:rsidR="007E07AA" w:rsidRPr="00296C5A" w:rsidRDefault="007E07AA" w:rsidP="007E07AA">
      <w:pPr>
        <w:spacing w:after="0" w:line="240" w:lineRule="auto"/>
        <w:ind w:left="567" w:hanging="567"/>
        <w:rPr>
          <w:rFonts w:ascii="Times New Roman" w:eastAsia="Calibri" w:hAnsi="Times New Roman" w:cs="Times New Roman"/>
        </w:rPr>
      </w:pPr>
    </w:p>
    <w:p w14:paraId="72A39C72" w14:textId="77777777" w:rsidR="007E07AA" w:rsidRPr="00296C5A" w:rsidRDefault="007E07AA" w:rsidP="007E07AA">
      <w:pPr>
        <w:spacing w:after="0" w:line="240" w:lineRule="auto"/>
        <w:ind w:left="567" w:hanging="567"/>
        <w:rPr>
          <w:rFonts w:ascii="Times New Roman" w:eastAsia="Calibri" w:hAnsi="Times New Roman" w:cs="Times New Roman"/>
        </w:rPr>
      </w:pPr>
    </w:p>
    <w:p w14:paraId="09B5B675" w14:textId="77777777" w:rsidR="007E07AA" w:rsidRPr="00296C5A" w:rsidRDefault="007E07AA" w:rsidP="007E07AA">
      <w:pPr>
        <w:spacing w:after="0" w:line="240" w:lineRule="auto"/>
        <w:ind w:left="567" w:hanging="567"/>
        <w:rPr>
          <w:rFonts w:ascii="Times New Roman" w:eastAsia="Calibri" w:hAnsi="Times New Roman" w:cs="Times New Roman"/>
        </w:rPr>
      </w:pPr>
    </w:p>
    <w:p w14:paraId="1B254F7E" w14:textId="77777777" w:rsidR="007E07AA" w:rsidRPr="00296C5A" w:rsidRDefault="007E07AA" w:rsidP="007E07AA">
      <w:pPr>
        <w:spacing w:after="0" w:line="240" w:lineRule="auto"/>
        <w:ind w:left="567" w:hanging="567"/>
        <w:rPr>
          <w:rFonts w:ascii="Times New Roman" w:eastAsia="Calibri" w:hAnsi="Times New Roman" w:cs="Times New Roman"/>
        </w:rPr>
      </w:pPr>
    </w:p>
    <w:p w14:paraId="016755F7" w14:textId="77777777" w:rsidR="007E07AA" w:rsidRPr="00296C5A" w:rsidRDefault="007E07AA" w:rsidP="007E07AA">
      <w:pPr>
        <w:spacing w:after="0" w:line="240" w:lineRule="auto"/>
        <w:ind w:left="567" w:hanging="567"/>
        <w:rPr>
          <w:rFonts w:ascii="Times New Roman" w:eastAsia="Calibri" w:hAnsi="Times New Roman" w:cs="Times New Roman"/>
        </w:rPr>
      </w:pPr>
    </w:p>
    <w:p w14:paraId="74599941" w14:textId="77777777" w:rsidR="007E07AA" w:rsidRPr="00296C5A" w:rsidRDefault="007E07AA" w:rsidP="007E07AA">
      <w:pPr>
        <w:spacing w:after="0" w:line="240" w:lineRule="auto"/>
        <w:ind w:left="567" w:hanging="567"/>
        <w:rPr>
          <w:rFonts w:ascii="Times New Roman" w:eastAsia="Calibri" w:hAnsi="Times New Roman" w:cs="Times New Roman"/>
        </w:rPr>
      </w:pPr>
    </w:p>
    <w:p w14:paraId="2C59391E" w14:textId="77777777" w:rsidR="007E07AA" w:rsidRPr="00296C5A" w:rsidRDefault="007E07AA" w:rsidP="007E07AA">
      <w:pPr>
        <w:spacing w:after="0" w:line="240" w:lineRule="auto"/>
        <w:ind w:left="567" w:hanging="567"/>
        <w:rPr>
          <w:rFonts w:ascii="Times New Roman" w:eastAsia="Calibri" w:hAnsi="Times New Roman" w:cs="Times New Roman"/>
        </w:rPr>
      </w:pPr>
    </w:p>
    <w:p w14:paraId="75F1057E" w14:textId="77777777" w:rsidR="007E07AA" w:rsidRPr="00296C5A" w:rsidRDefault="007E07AA" w:rsidP="007E07AA">
      <w:pPr>
        <w:spacing w:after="0" w:line="240" w:lineRule="auto"/>
        <w:ind w:left="567" w:hanging="567"/>
        <w:rPr>
          <w:rFonts w:ascii="Times New Roman" w:eastAsia="Calibri" w:hAnsi="Times New Roman" w:cs="Times New Roman"/>
        </w:rPr>
      </w:pPr>
    </w:p>
    <w:p w14:paraId="3A6CAB8F" w14:textId="77777777" w:rsidR="007E07AA" w:rsidRPr="00296C5A" w:rsidRDefault="007E07AA" w:rsidP="007E07AA">
      <w:pPr>
        <w:spacing w:after="0" w:line="240" w:lineRule="auto"/>
        <w:ind w:left="567" w:hanging="567"/>
        <w:rPr>
          <w:rFonts w:ascii="Times New Roman" w:eastAsia="Calibri" w:hAnsi="Times New Roman" w:cs="Times New Roman"/>
        </w:rPr>
      </w:pPr>
    </w:p>
    <w:p w14:paraId="75FE5F4B" w14:textId="77777777" w:rsidR="007E07AA" w:rsidRPr="00296C5A" w:rsidRDefault="007E07AA" w:rsidP="007E07AA">
      <w:pPr>
        <w:spacing w:after="0" w:line="240" w:lineRule="auto"/>
        <w:ind w:left="567" w:hanging="567"/>
        <w:jc w:val="center"/>
        <w:rPr>
          <w:rFonts w:ascii="Times New Roman" w:eastAsia="Calibri" w:hAnsi="Times New Roman" w:cs="Times New Roman"/>
          <w:b/>
          <w:lang w:eastAsia="lt-LT"/>
        </w:rPr>
      </w:pPr>
      <w:r w:rsidRPr="00296C5A">
        <w:rPr>
          <w:rFonts w:ascii="Times New Roman" w:eastAsia="Calibri" w:hAnsi="Times New Roman" w:cs="Times New Roman"/>
          <w:b/>
        </w:rPr>
        <w:t>A. ŽENKLINIMAS</w:t>
      </w:r>
    </w:p>
    <w:p w14:paraId="3A9AB1FD" w14:textId="77777777" w:rsidR="007E07AA" w:rsidRPr="00296C5A" w:rsidRDefault="007E07AA" w:rsidP="007E07AA">
      <w:pPr>
        <w:spacing w:after="0" w:line="240" w:lineRule="auto"/>
        <w:ind w:left="567" w:hanging="567"/>
        <w:jc w:val="center"/>
        <w:rPr>
          <w:rFonts w:ascii="Times New Roman" w:eastAsia="Calibri" w:hAnsi="Times New Roman" w:cs="Times New Roman"/>
          <w:b/>
        </w:rPr>
      </w:pPr>
    </w:p>
    <w:p w14:paraId="5BAB068F" w14:textId="77777777" w:rsidR="007E07AA" w:rsidRPr="00296C5A" w:rsidRDefault="007E07AA" w:rsidP="006875F7">
      <w:pPr>
        <w:pBdr>
          <w:top w:val="single" w:sz="4" w:space="1" w:color="auto"/>
          <w:left w:val="single" w:sz="4" w:space="1" w:color="auto"/>
          <w:bottom w:val="single" w:sz="4" w:space="1" w:color="auto"/>
          <w:right w:val="single" w:sz="4" w:space="4" w:color="auto"/>
        </w:pBdr>
        <w:spacing w:after="0" w:line="240" w:lineRule="auto"/>
        <w:rPr>
          <w:rFonts w:ascii="Times New Roman" w:eastAsia="Calibri" w:hAnsi="Times New Roman" w:cs="Times New Roman"/>
          <w:b/>
          <w:caps/>
        </w:rPr>
      </w:pPr>
      <w:r w:rsidRPr="00296C5A">
        <w:rPr>
          <w:rFonts w:ascii="Times New Roman" w:eastAsia="Calibri" w:hAnsi="Times New Roman" w:cs="Times New Roman"/>
        </w:rPr>
        <w:br w:type="page"/>
      </w:r>
      <w:r w:rsidRPr="00296C5A">
        <w:rPr>
          <w:rFonts w:ascii="Times New Roman" w:eastAsia="Calibri" w:hAnsi="Times New Roman" w:cs="Times New Roman"/>
          <w:b/>
          <w:caps/>
        </w:rPr>
        <w:lastRenderedPageBreak/>
        <w:t xml:space="preserve">Informacija ant </w:t>
      </w:r>
      <w:r w:rsidRPr="004E403C">
        <w:rPr>
          <w:rFonts w:ascii="Times New Roman" w:hAnsi="Times New Roman"/>
          <w:b/>
        </w:rPr>
        <w:t>IŠORINĖS</w:t>
      </w:r>
      <w:r w:rsidRPr="004E403C">
        <w:rPr>
          <w:rFonts w:ascii="Times New Roman" w:hAnsi="Times New Roman"/>
        </w:rPr>
        <w:t xml:space="preserve"> </w:t>
      </w:r>
      <w:r w:rsidRPr="004E403C">
        <w:rPr>
          <w:rFonts w:ascii="Times New Roman" w:hAnsi="Times New Roman"/>
          <w:b/>
          <w:caps/>
        </w:rPr>
        <w:t>pakuotės</w:t>
      </w:r>
    </w:p>
    <w:p w14:paraId="4B277903" w14:textId="77777777" w:rsidR="007E07AA" w:rsidRPr="00296C5A" w:rsidRDefault="007E07AA" w:rsidP="006875F7">
      <w:pPr>
        <w:pBdr>
          <w:top w:val="single" w:sz="4" w:space="1" w:color="auto"/>
          <w:left w:val="single" w:sz="4" w:space="1" w:color="auto"/>
          <w:bottom w:val="single" w:sz="4" w:space="1" w:color="auto"/>
          <w:right w:val="single" w:sz="4" w:space="4" w:color="auto"/>
        </w:pBdr>
        <w:spacing w:after="0" w:line="240" w:lineRule="auto"/>
        <w:ind w:left="567" w:hanging="567"/>
        <w:rPr>
          <w:rFonts w:ascii="Times New Roman" w:eastAsia="Calibri" w:hAnsi="Times New Roman" w:cs="Times New Roman"/>
        </w:rPr>
      </w:pPr>
    </w:p>
    <w:p w14:paraId="445A327E" w14:textId="77777777" w:rsidR="007E07AA" w:rsidRPr="00296C5A" w:rsidRDefault="007E07AA" w:rsidP="006875F7">
      <w:pPr>
        <w:pBdr>
          <w:top w:val="single" w:sz="4" w:space="1" w:color="auto"/>
          <w:left w:val="single" w:sz="4" w:space="1"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KARTONO DĖŽUTĖ</w:t>
      </w:r>
    </w:p>
    <w:p w14:paraId="534FF3C6" w14:textId="77777777" w:rsidR="007E07AA" w:rsidRPr="00296C5A" w:rsidRDefault="007E07AA" w:rsidP="007E07AA">
      <w:pPr>
        <w:spacing w:after="0" w:line="240" w:lineRule="auto"/>
        <w:ind w:left="567" w:hanging="567"/>
        <w:rPr>
          <w:rFonts w:ascii="Times New Roman" w:eastAsia="Calibri" w:hAnsi="Times New Roman" w:cs="Times New Roman"/>
        </w:rPr>
      </w:pPr>
    </w:p>
    <w:p w14:paraId="3D47D144" w14:textId="77777777" w:rsidR="007E07AA" w:rsidRPr="00296C5A" w:rsidRDefault="007E07AA" w:rsidP="007E07AA">
      <w:pPr>
        <w:spacing w:after="0" w:line="240" w:lineRule="auto"/>
        <w:ind w:left="567" w:hanging="567"/>
        <w:rPr>
          <w:rFonts w:ascii="Times New Roman" w:eastAsia="Calibri" w:hAnsi="Times New Roman" w:cs="Times New Roman"/>
        </w:rPr>
      </w:pPr>
    </w:p>
    <w:p w14:paraId="0733EB7C"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w:t>
      </w:r>
      <w:r w:rsidRPr="00296C5A">
        <w:rPr>
          <w:rFonts w:ascii="Times New Roman" w:eastAsia="Calibri" w:hAnsi="Times New Roman" w:cs="Times New Roman"/>
          <w:b/>
          <w:caps/>
        </w:rPr>
        <w:tab/>
        <w:t>vaistinio preparato pavadinimas</w:t>
      </w:r>
    </w:p>
    <w:p w14:paraId="6DDD95FD" w14:textId="77777777" w:rsidR="007E07AA" w:rsidRPr="00296C5A" w:rsidRDefault="007E07AA" w:rsidP="007E07AA">
      <w:pPr>
        <w:spacing w:after="0" w:line="240" w:lineRule="auto"/>
        <w:ind w:left="567" w:hanging="567"/>
        <w:rPr>
          <w:rFonts w:ascii="Times New Roman" w:eastAsia="Calibri" w:hAnsi="Times New Roman" w:cs="Times New Roman"/>
        </w:rPr>
      </w:pPr>
    </w:p>
    <w:p w14:paraId="68CFEF9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Roaccutane 10 mg minkštosio</w:t>
      </w:r>
      <w:r w:rsidRPr="00296C5A">
        <w:rPr>
          <w:rFonts w:ascii="Times New Roman" w:eastAsia="Calibri" w:hAnsi="Times New Roman" w:cs="Times New Roman"/>
          <w:lang w:val="en-US"/>
        </w:rPr>
        <w:t xml:space="preserve">s </w:t>
      </w:r>
      <w:proofErr w:type="spellStart"/>
      <w:r w:rsidRPr="00296C5A">
        <w:rPr>
          <w:rFonts w:ascii="Times New Roman" w:eastAsia="Calibri" w:hAnsi="Times New Roman" w:cs="Times New Roman"/>
          <w:lang w:val="en-US"/>
        </w:rPr>
        <w:t>kapsulės</w:t>
      </w:r>
      <w:proofErr w:type="spellEnd"/>
    </w:p>
    <w:p w14:paraId="0C2838AC" w14:textId="697DFC5F" w:rsidR="007E07AA" w:rsidRPr="00296C5A" w:rsidRDefault="00F72EE5" w:rsidP="007E07AA">
      <w:p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rPr>
        <w:t>i</w:t>
      </w:r>
      <w:r w:rsidR="007E07AA" w:rsidRPr="00296C5A">
        <w:rPr>
          <w:rFonts w:ascii="Times New Roman" w:eastAsia="Calibri" w:hAnsi="Times New Roman" w:cs="Times New Roman"/>
        </w:rPr>
        <w:t>sotretinoinum</w:t>
      </w:r>
    </w:p>
    <w:p w14:paraId="7E12E1C4" w14:textId="77777777" w:rsidR="007E07AA" w:rsidRPr="00296C5A" w:rsidRDefault="007E07AA" w:rsidP="007E07AA">
      <w:pPr>
        <w:spacing w:after="0" w:line="240" w:lineRule="auto"/>
        <w:ind w:left="567" w:hanging="567"/>
        <w:rPr>
          <w:rFonts w:ascii="Times New Roman" w:eastAsia="Calibri" w:hAnsi="Times New Roman" w:cs="Times New Roman"/>
        </w:rPr>
      </w:pPr>
    </w:p>
    <w:p w14:paraId="356C20C1" w14:textId="77777777" w:rsidR="007E07AA" w:rsidRPr="00296C5A" w:rsidRDefault="007E07AA" w:rsidP="007E07AA">
      <w:pPr>
        <w:spacing w:after="0" w:line="240" w:lineRule="auto"/>
        <w:ind w:left="567" w:hanging="567"/>
        <w:rPr>
          <w:rFonts w:ascii="Times New Roman" w:eastAsia="Calibri" w:hAnsi="Times New Roman" w:cs="Times New Roman"/>
        </w:rPr>
      </w:pPr>
    </w:p>
    <w:p w14:paraId="10314C08"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2.</w:t>
      </w:r>
      <w:r w:rsidRPr="00296C5A">
        <w:rPr>
          <w:rFonts w:ascii="Times New Roman" w:eastAsia="Calibri" w:hAnsi="Times New Roman" w:cs="Times New Roman"/>
          <w:b/>
          <w:caps/>
        </w:rPr>
        <w:tab/>
        <w:t xml:space="preserve">veikliOJI medžiagA ir JOS </w:t>
      </w:r>
      <w:r w:rsidRPr="004E403C">
        <w:rPr>
          <w:rFonts w:ascii="Times New Roman" w:hAnsi="Times New Roman"/>
          <w:b/>
          <w:caps/>
        </w:rPr>
        <w:t>kiekis</w:t>
      </w:r>
    </w:p>
    <w:p w14:paraId="4E3E800F"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EC39F48"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Kiekvienoje kapsulėje yra 10 mg izotretinoino.</w:t>
      </w:r>
    </w:p>
    <w:p w14:paraId="41C27335"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5BCAA13A"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07981A45"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3.</w:t>
      </w:r>
      <w:r w:rsidRPr="00296C5A">
        <w:rPr>
          <w:rFonts w:ascii="Times New Roman" w:eastAsia="Calibri" w:hAnsi="Times New Roman" w:cs="Times New Roman"/>
          <w:b/>
          <w:caps/>
        </w:rPr>
        <w:tab/>
        <w:t>pagalbinių medžiagų sąrašas</w:t>
      </w:r>
    </w:p>
    <w:p w14:paraId="713487A1"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07441F08" w14:textId="1035352A" w:rsidR="007E07AA" w:rsidRPr="00296C5A" w:rsidRDefault="007E07AA" w:rsidP="007E07AA">
      <w:pPr>
        <w:spacing w:after="0" w:line="240" w:lineRule="auto"/>
        <w:rPr>
          <w:rFonts w:ascii="Times New Roman" w:eastAsia="Calibri" w:hAnsi="Times New Roman" w:cs="Times New Roman"/>
          <w:caps/>
          <w:lang w:eastAsia="lt-LT"/>
        </w:rPr>
      </w:pPr>
      <w:r w:rsidRPr="00296C5A">
        <w:rPr>
          <w:rFonts w:ascii="Times New Roman" w:eastAsia="Calibri" w:hAnsi="Times New Roman" w:cs="Times New Roman"/>
        </w:rPr>
        <w:t>Sudėtyje yra rafinuoto</w:t>
      </w:r>
      <w:r w:rsidR="00F72EE5" w:rsidRPr="00F72EE5">
        <w:rPr>
          <w:rFonts w:ascii="Times New Roman" w:eastAsia="Calibri" w:hAnsi="Times New Roman" w:cs="Times New Roman"/>
        </w:rPr>
        <w:t xml:space="preserve"> </w:t>
      </w:r>
      <w:r w:rsidR="00F72EE5">
        <w:rPr>
          <w:rFonts w:ascii="Times New Roman" w:eastAsia="Calibri" w:hAnsi="Times New Roman" w:cs="Times New Roman"/>
        </w:rPr>
        <w:t>sojų</w:t>
      </w:r>
      <w:r w:rsidR="00F72EE5" w:rsidRPr="00972EB4">
        <w:t xml:space="preserve"> </w:t>
      </w:r>
      <w:r w:rsidR="00F72EE5">
        <w:rPr>
          <w:rFonts w:ascii="Times New Roman" w:eastAsia="Calibri" w:hAnsi="Times New Roman" w:cs="Times New Roman"/>
        </w:rPr>
        <w:t>aliejaus</w:t>
      </w:r>
      <w:r w:rsidRPr="00296C5A">
        <w:rPr>
          <w:rFonts w:ascii="Times New Roman" w:eastAsia="Calibri" w:hAnsi="Times New Roman" w:cs="Times New Roman"/>
        </w:rPr>
        <w:t>, hidrinto</w:t>
      </w:r>
      <w:r w:rsidR="00F72EE5" w:rsidRPr="00F72EE5">
        <w:rPr>
          <w:rFonts w:ascii="Times New Roman" w:eastAsia="Calibri" w:hAnsi="Times New Roman" w:cs="Times New Roman"/>
        </w:rPr>
        <w:t xml:space="preserve"> </w:t>
      </w:r>
      <w:r w:rsidR="00F72EE5">
        <w:rPr>
          <w:rFonts w:ascii="Times New Roman" w:eastAsia="Calibri" w:hAnsi="Times New Roman" w:cs="Times New Roman"/>
        </w:rPr>
        <w:t>sojų</w:t>
      </w:r>
      <w:r w:rsidR="00F72EE5" w:rsidRPr="00972EB4">
        <w:t xml:space="preserve"> </w:t>
      </w:r>
      <w:r w:rsidR="00F72EE5">
        <w:rPr>
          <w:rFonts w:ascii="Times New Roman" w:eastAsia="Calibri" w:hAnsi="Times New Roman" w:cs="Times New Roman"/>
        </w:rPr>
        <w:t>aliejaus</w:t>
      </w:r>
      <w:r w:rsidRPr="00296C5A">
        <w:rPr>
          <w:rFonts w:ascii="Times New Roman" w:eastAsia="Calibri" w:hAnsi="Times New Roman" w:cs="Times New Roman"/>
        </w:rPr>
        <w:t>, dalinai hidrinto sojų aliejaus ir sorbitolio</w:t>
      </w:r>
      <w:r w:rsidR="00F72EE5">
        <w:rPr>
          <w:rFonts w:ascii="Times New Roman" w:eastAsia="Calibri" w:hAnsi="Times New Roman" w:cs="Times New Roman"/>
        </w:rPr>
        <w:t xml:space="preserve"> (E420)</w:t>
      </w:r>
      <w:r w:rsidRPr="00296C5A">
        <w:rPr>
          <w:rFonts w:ascii="Times New Roman" w:eastAsia="Calibri" w:hAnsi="Times New Roman" w:cs="Times New Roman"/>
        </w:rPr>
        <w:t>.</w:t>
      </w:r>
    </w:p>
    <w:p w14:paraId="5B672CFA"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20356011"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AB33F92"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4.</w:t>
      </w:r>
      <w:r w:rsidRPr="00296C5A">
        <w:rPr>
          <w:rFonts w:ascii="Times New Roman" w:eastAsia="Calibri" w:hAnsi="Times New Roman" w:cs="Times New Roman"/>
          <w:b/>
          <w:caps/>
        </w:rPr>
        <w:tab/>
        <w:t>FARmacinė forma</w:t>
      </w:r>
      <w:r w:rsidRPr="004E403C">
        <w:rPr>
          <w:rFonts w:ascii="Times New Roman" w:hAnsi="Times New Roman"/>
          <w:b/>
          <w:caps/>
        </w:rPr>
        <w:t xml:space="preserve"> ir KIEKIS PAKUOTĖJE</w:t>
      </w:r>
    </w:p>
    <w:p w14:paraId="5F750CD9" w14:textId="77777777" w:rsidR="008B1337" w:rsidRPr="00296C5A" w:rsidRDefault="008B1337" w:rsidP="007E07AA">
      <w:pPr>
        <w:spacing w:after="0" w:line="240" w:lineRule="auto"/>
        <w:ind w:left="567" w:hanging="567"/>
        <w:rPr>
          <w:rFonts w:ascii="Times New Roman" w:eastAsia="Calibri" w:hAnsi="Times New Roman" w:cs="Times New Roman"/>
          <w:caps/>
        </w:rPr>
      </w:pPr>
    </w:p>
    <w:p w14:paraId="5409C83D" w14:textId="77777777" w:rsidR="007E07AA" w:rsidRPr="00E25AAE" w:rsidRDefault="007E07AA" w:rsidP="007E07AA">
      <w:pPr>
        <w:spacing w:after="0" w:line="240" w:lineRule="auto"/>
        <w:ind w:left="567" w:hanging="567"/>
        <w:rPr>
          <w:rFonts w:ascii="Times New Roman" w:hAnsi="Times New Roman"/>
        </w:rPr>
      </w:pPr>
      <w:r w:rsidRPr="00E25AAE">
        <w:rPr>
          <w:rFonts w:ascii="Times New Roman" w:hAnsi="Times New Roman"/>
          <w:caps/>
        </w:rPr>
        <w:t xml:space="preserve">30 </w:t>
      </w:r>
      <w:r w:rsidRPr="00E25AAE">
        <w:rPr>
          <w:rFonts w:ascii="Times New Roman" w:hAnsi="Times New Roman"/>
        </w:rPr>
        <w:t>minkštųjų kapsulių</w:t>
      </w:r>
    </w:p>
    <w:p w14:paraId="4753915A" w14:textId="5431BE96" w:rsidR="007E07AA" w:rsidRPr="00296C5A" w:rsidRDefault="007E07AA" w:rsidP="007E07AA">
      <w:pPr>
        <w:spacing w:after="0" w:line="240" w:lineRule="auto"/>
        <w:ind w:left="567" w:hanging="567"/>
        <w:rPr>
          <w:rFonts w:ascii="Times New Roman" w:eastAsia="Calibri" w:hAnsi="Times New Roman" w:cs="Times New Roman"/>
          <w:caps/>
        </w:rPr>
      </w:pPr>
    </w:p>
    <w:p w14:paraId="6BFC1058"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00BFA54"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5.</w:t>
      </w:r>
      <w:r w:rsidRPr="00296C5A">
        <w:rPr>
          <w:rFonts w:ascii="Times New Roman" w:eastAsia="Calibri" w:hAnsi="Times New Roman" w:cs="Times New Roman"/>
          <w:b/>
          <w:caps/>
        </w:rPr>
        <w:tab/>
        <w:t>vartojimo METODAS IR būdas</w:t>
      </w:r>
    </w:p>
    <w:p w14:paraId="268F33D2"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5EC3C7D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Vartoti per burną.</w:t>
      </w:r>
    </w:p>
    <w:p w14:paraId="17D5968A"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Prieš vartojimą perskaitykite pakuotės lapelį.</w:t>
      </w:r>
    </w:p>
    <w:p w14:paraId="77FCD80A" w14:textId="77777777" w:rsidR="007E07AA" w:rsidRPr="00296C5A" w:rsidRDefault="007E07AA" w:rsidP="007E07AA">
      <w:pPr>
        <w:spacing w:after="0" w:line="240" w:lineRule="auto"/>
        <w:ind w:left="567" w:hanging="567"/>
        <w:rPr>
          <w:rFonts w:ascii="Times New Roman" w:eastAsia="Calibri" w:hAnsi="Times New Roman" w:cs="Times New Roman"/>
        </w:rPr>
      </w:pPr>
    </w:p>
    <w:p w14:paraId="39F8E268"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1C12837B"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eastAsia="lt-LT"/>
        </w:rPr>
      </w:pPr>
      <w:r w:rsidRPr="00296C5A">
        <w:rPr>
          <w:rFonts w:ascii="Times New Roman" w:eastAsia="Calibri" w:hAnsi="Times New Roman" w:cs="Times New Roman"/>
          <w:b/>
          <w:caps/>
        </w:rPr>
        <w:t>6.</w:t>
      </w:r>
      <w:r w:rsidRPr="00296C5A">
        <w:rPr>
          <w:rFonts w:ascii="Times New Roman" w:eastAsia="Calibri" w:hAnsi="Times New Roman" w:cs="Times New Roman"/>
          <w:b/>
          <w:caps/>
        </w:rPr>
        <w:tab/>
        <w:t>SPECIALUS Įspėjimas</w:t>
      </w:r>
      <w:r w:rsidRPr="00296C5A">
        <w:rPr>
          <w:rFonts w:ascii="Times New Roman" w:eastAsia="Calibri" w:hAnsi="Times New Roman" w:cs="Times New Roman"/>
        </w:rPr>
        <w:t xml:space="preserve">, </w:t>
      </w:r>
      <w:r w:rsidRPr="00296C5A">
        <w:rPr>
          <w:rFonts w:ascii="Times New Roman" w:eastAsia="Calibri" w:hAnsi="Times New Roman" w:cs="Times New Roman"/>
          <w:b/>
        </w:rPr>
        <w:t xml:space="preserve">KAD VAISTINĮ PREPARATĄ BŪTINA LAIKYTI </w:t>
      </w:r>
      <w:r w:rsidRPr="00296C5A">
        <w:rPr>
          <w:rFonts w:ascii="Times New Roman" w:eastAsia="Calibri" w:hAnsi="Times New Roman" w:cs="Times New Roman"/>
          <w:b/>
          <w:caps/>
        </w:rPr>
        <w:t>vaikams nepastebimoje IR nepasiekiamoje vietoje</w:t>
      </w:r>
    </w:p>
    <w:p w14:paraId="0D4AB50B" w14:textId="77777777" w:rsidR="007E07AA" w:rsidRPr="00296C5A" w:rsidRDefault="007E07AA" w:rsidP="007E07AA">
      <w:pPr>
        <w:spacing w:after="0" w:line="240" w:lineRule="auto"/>
        <w:ind w:left="567" w:hanging="567"/>
        <w:rPr>
          <w:rFonts w:ascii="Times New Roman" w:eastAsia="Calibri" w:hAnsi="Times New Roman" w:cs="Times New Roman"/>
        </w:rPr>
      </w:pPr>
    </w:p>
    <w:p w14:paraId="061012AF"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 xml:space="preserve">Laikyti vaikams nepastebimoje ir </w:t>
      </w:r>
      <w:r w:rsidRPr="004E403C">
        <w:rPr>
          <w:rFonts w:ascii="Times New Roman" w:hAnsi="Times New Roman"/>
        </w:rPr>
        <w:t>nepasiekiamoje vietoje.</w:t>
      </w:r>
    </w:p>
    <w:p w14:paraId="31A97314" w14:textId="77777777" w:rsidR="007E07AA" w:rsidRPr="00296C5A" w:rsidRDefault="007E07AA" w:rsidP="007E07AA">
      <w:pPr>
        <w:spacing w:after="0" w:line="240" w:lineRule="auto"/>
        <w:ind w:left="567" w:hanging="567"/>
        <w:rPr>
          <w:rFonts w:ascii="Times New Roman" w:eastAsia="Calibri" w:hAnsi="Times New Roman" w:cs="Times New Roman"/>
        </w:rPr>
      </w:pPr>
    </w:p>
    <w:p w14:paraId="4CB0A640" w14:textId="77777777" w:rsidR="007E07AA" w:rsidRPr="00296C5A" w:rsidRDefault="007E07AA" w:rsidP="007E07AA">
      <w:pPr>
        <w:spacing w:after="0" w:line="240" w:lineRule="auto"/>
        <w:ind w:left="567" w:hanging="567"/>
        <w:rPr>
          <w:rFonts w:ascii="Times New Roman" w:eastAsia="Calibri" w:hAnsi="Times New Roman" w:cs="Times New Roman"/>
        </w:rPr>
      </w:pPr>
    </w:p>
    <w:p w14:paraId="2FE6B2E1"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7.</w:t>
      </w:r>
      <w:r w:rsidRPr="00296C5A">
        <w:rPr>
          <w:rFonts w:ascii="Times New Roman" w:eastAsia="Calibri" w:hAnsi="Times New Roman" w:cs="Times New Roman"/>
          <w:b/>
          <w:caps/>
        </w:rPr>
        <w:tab/>
        <w:t>kitas specialus Įspėjimas (jei reikia)</w:t>
      </w:r>
    </w:p>
    <w:p w14:paraId="40691C1C" w14:textId="77777777" w:rsidR="007E07AA" w:rsidRPr="00296C5A" w:rsidRDefault="007E07AA" w:rsidP="007E07AA">
      <w:pPr>
        <w:spacing w:after="0" w:line="240" w:lineRule="auto"/>
        <w:ind w:left="567" w:hanging="567"/>
        <w:rPr>
          <w:rFonts w:ascii="Times New Roman" w:eastAsia="Calibri" w:hAnsi="Times New Roman" w:cs="Times New Roman"/>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8"/>
        <w:gridCol w:w="2166"/>
      </w:tblGrid>
      <w:tr w:rsidR="007E07AA" w:rsidRPr="00296C5A" w14:paraId="6C5DB8B2" w14:textId="77777777" w:rsidTr="003C7E78">
        <w:tc>
          <w:tcPr>
            <w:tcW w:w="7054" w:type="dxa"/>
            <w:tcBorders>
              <w:top w:val="single" w:sz="18" w:space="0" w:color="auto"/>
              <w:left w:val="single" w:sz="18" w:space="0" w:color="auto"/>
              <w:bottom w:val="single" w:sz="18" w:space="0" w:color="auto"/>
              <w:right w:val="nil"/>
            </w:tcBorders>
          </w:tcPr>
          <w:p w14:paraId="1B6824C2" w14:textId="77777777" w:rsidR="007E07AA" w:rsidRPr="00296C5A" w:rsidRDefault="007E07AA" w:rsidP="003C7E78">
            <w:pPr>
              <w:spacing w:after="140" w:line="280" w:lineRule="atLeast"/>
              <w:jc w:val="center"/>
              <w:rPr>
                <w:rFonts w:ascii="Times New Roman" w:eastAsia="Verdana" w:hAnsi="Times New Roman" w:cs="Times New Roman"/>
                <w:lang w:val="et" w:eastAsia="en-GB"/>
              </w:rPr>
            </w:pPr>
            <w:r w:rsidRPr="00296C5A">
              <w:rPr>
                <w:rFonts w:ascii="Times New Roman" w:eastAsia="Verdana" w:hAnsi="Times New Roman" w:cs="Times New Roman"/>
                <w:b/>
                <w:szCs w:val="18"/>
                <w:lang w:eastAsia="en-GB"/>
              </w:rPr>
              <w:t>ĮSPĖJIMAS</w:t>
            </w:r>
          </w:p>
          <w:p w14:paraId="0556DE01" w14:textId="77777777" w:rsidR="007E07AA" w:rsidRPr="00296C5A" w:rsidRDefault="007E07AA" w:rsidP="003C7E78">
            <w:pPr>
              <w:spacing w:after="140" w:line="280" w:lineRule="atLeast"/>
              <w:jc w:val="both"/>
              <w:rPr>
                <w:rFonts w:ascii="Times New Roman" w:eastAsia="Verdana" w:hAnsi="Times New Roman" w:cs="Times New Roman"/>
                <w:bCs/>
                <w:lang w:val="et" w:eastAsia="en-GB"/>
              </w:rPr>
            </w:pPr>
            <w:r w:rsidRPr="00296C5A">
              <w:rPr>
                <w:rFonts w:ascii="Times New Roman" w:eastAsia="Verdana" w:hAnsi="Times New Roman" w:cs="Times New Roman"/>
                <w:bCs/>
                <w:szCs w:val="18"/>
                <w:lang w:eastAsia="en-GB"/>
              </w:rPr>
              <w:t>GALI SUKELTI SUNKIUS APSIGIMIMUS</w:t>
            </w:r>
            <w:r w:rsidRPr="00296C5A">
              <w:rPr>
                <w:rFonts w:ascii="Times New Roman" w:eastAsia="Verdana" w:hAnsi="Times New Roman" w:cs="Times New Roman"/>
                <w:lang w:val="et" w:eastAsia="en-GB"/>
              </w:rPr>
              <w:t>.</w:t>
            </w:r>
          </w:p>
          <w:p w14:paraId="708F7054" w14:textId="77777777" w:rsidR="007E07AA" w:rsidRPr="00296C5A" w:rsidRDefault="007E07AA" w:rsidP="003C7E78">
            <w:pPr>
              <w:spacing w:after="140" w:line="280" w:lineRule="atLeast"/>
              <w:jc w:val="both"/>
              <w:rPr>
                <w:rFonts w:ascii="Times New Roman" w:eastAsia="Verdana" w:hAnsi="Times New Roman" w:cs="Times New Roman"/>
                <w:bCs/>
                <w:lang w:val="et" w:eastAsia="en-GB"/>
              </w:rPr>
            </w:pPr>
            <w:r w:rsidRPr="00296C5A">
              <w:rPr>
                <w:rFonts w:ascii="Times New Roman" w:eastAsia="Verdana" w:hAnsi="Times New Roman" w:cs="Times New Roman"/>
                <w:lang w:val="et" w:eastAsia="en-GB"/>
              </w:rPr>
              <w:t>Moteris privalo naudotis veiksminga kontracepcija.</w:t>
            </w:r>
          </w:p>
          <w:p w14:paraId="49D5278C" w14:textId="77777777" w:rsidR="007E07AA" w:rsidRPr="00296C5A" w:rsidRDefault="007E07AA" w:rsidP="003C7E78">
            <w:pPr>
              <w:spacing w:after="140" w:line="280" w:lineRule="atLeast"/>
              <w:jc w:val="both"/>
              <w:rPr>
                <w:rFonts w:ascii="Times New Roman" w:eastAsia="Verdana" w:hAnsi="Times New Roman" w:cs="Times New Roman"/>
                <w:bCs/>
                <w:lang w:val="et" w:eastAsia="en-GB"/>
              </w:rPr>
            </w:pPr>
            <w:r w:rsidRPr="00296C5A">
              <w:rPr>
                <w:rFonts w:ascii="Times New Roman" w:eastAsia="Verdana" w:hAnsi="Times New Roman" w:cs="Times New Roman"/>
                <w:lang w:val="et" w:eastAsia="en-GB"/>
              </w:rPr>
              <w:t>Nevartokite, jeigu esate nėščia arba manote, kad galbūt esate nėščia.</w:t>
            </w:r>
          </w:p>
        </w:tc>
        <w:tc>
          <w:tcPr>
            <w:tcW w:w="2157" w:type="dxa"/>
            <w:tcBorders>
              <w:top w:val="single" w:sz="18" w:space="0" w:color="auto"/>
              <w:left w:val="nil"/>
              <w:bottom w:val="single" w:sz="18" w:space="0" w:color="auto"/>
              <w:right w:val="single" w:sz="18" w:space="0" w:color="auto"/>
            </w:tcBorders>
            <w:vAlign w:val="center"/>
          </w:tcPr>
          <w:p w14:paraId="115B0865" w14:textId="77777777" w:rsidR="007E07AA" w:rsidRPr="00296C5A" w:rsidRDefault="007E07AA" w:rsidP="003C7E78">
            <w:pPr>
              <w:spacing w:after="0" w:line="240" w:lineRule="auto"/>
              <w:jc w:val="center"/>
              <w:rPr>
                <w:rFonts w:ascii="Times New Roman" w:eastAsia="Times New Roman" w:hAnsi="Times New Roman" w:cs="Times New Roman"/>
                <w:noProof/>
                <w:lang w:val="et-EE"/>
              </w:rPr>
            </w:pPr>
            <w:r w:rsidRPr="00296C5A">
              <w:rPr>
                <w:rFonts w:ascii="Times New Roman" w:eastAsia="Times New Roman" w:hAnsi="Times New Roman" w:cs="Times New Roman"/>
                <w:noProof/>
                <w:lang w:eastAsia="lt-LT"/>
              </w:rPr>
              <w:drawing>
                <wp:inline distT="0" distB="0" distL="0" distR="0" wp14:anchorId="30E70D80" wp14:editId="2AFDBA99">
                  <wp:extent cx="1228725" cy="1085850"/>
                  <wp:effectExtent l="0" t="0" r="9525" b="0"/>
                  <wp:docPr id="3" name="Paveikslėlis 3"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628372BB"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rPr>
        <w:t>Sudėtyje yra rafinuoto</w:t>
      </w:r>
      <w:r w:rsidR="00F72EE5" w:rsidRPr="00F72EE5">
        <w:rPr>
          <w:rFonts w:ascii="Times New Roman" w:eastAsia="Calibri" w:hAnsi="Times New Roman" w:cs="Times New Roman"/>
        </w:rPr>
        <w:t xml:space="preserve"> </w:t>
      </w:r>
      <w:r w:rsidR="00F72EE5" w:rsidRPr="008A2DC7">
        <w:rPr>
          <w:rFonts w:ascii="Times New Roman" w:eastAsia="Calibri" w:hAnsi="Times New Roman" w:cs="Times New Roman"/>
        </w:rPr>
        <w:t>sojų aliejaus</w:t>
      </w:r>
      <w:r w:rsidRPr="00296C5A">
        <w:rPr>
          <w:rFonts w:ascii="Times New Roman" w:eastAsia="Calibri" w:hAnsi="Times New Roman" w:cs="Times New Roman"/>
        </w:rPr>
        <w:t xml:space="preserve">, hidrinto </w:t>
      </w:r>
      <w:r w:rsidR="00F72EE5" w:rsidRPr="008A2DC7">
        <w:rPr>
          <w:rFonts w:ascii="Times New Roman" w:eastAsia="Calibri" w:hAnsi="Times New Roman" w:cs="Times New Roman"/>
        </w:rPr>
        <w:t>sojų aliejaus</w:t>
      </w:r>
      <w:r w:rsidR="00F72EE5" w:rsidRPr="00296C5A">
        <w:rPr>
          <w:rFonts w:ascii="Times New Roman" w:eastAsia="Calibri" w:hAnsi="Times New Roman" w:cs="Times New Roman"/>
        </w:rPr>
        <w:t xml:space="preserve"> </w:t>
      </w:r>
      <w:r w:rsidRPr="00296C5A">
        <w:rPr>
          <w:rFonts w:ascii="Times New Roman" w:eastAsia="Calibri" w:hAnsi="Times New Roman" w:cs="Times New Roman"/>
        </w:rPr>
        <w:t>ir dalinai hidrinto sojų aliejaus. Jeigu esat</w:t>
      </w:r>
      <w:r w:rsidRPr="004E403C">
        <w:rPr>
          <w:rFonts w:ascii="Times New Roman" w:hAnsi="Times New Roman"/>
        </w:rPr>
        <w:t>e alergiški žemės riešutams arba sojai, šio vaisto nevartokite.</w:t>
      </w:r>
    </w:p>
    <w:p w14:paraId="67D569B1" w14:textId="77777777" w:rsidR="007E07AA" w:rsidRPr="00296C5A" w:rsidRDefault="007E07AA" w:rsidP="007E07AA">
      <w:pPr>
        <w:spacing w:after="0" w:line="240" w:lineRule="auto"/>
        <w:rPr>
          <w:rFonts w:ascii="Times New Roman" w:eastAsia="Calibri" w:hAnsi="Times New Roman" w:cs="Times New Roman"/>
          <w:b/>
        </w:rPr>
      </w:pPr>
    </w:p>
    <w:p w14:paraId="01448B83"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DA8DCC2"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8.</w:t>
      </w:r>
      <w:r w:rsidRPr="00296C5A">
        <w:rPr>
          <w:rFonts w:ascii="Times New Roman" w:eastAsia="Calibri" w:hAnsi="Times New Roman" w:cs="Times New Roman"/>
          <w:b/>
          <w:caps/>
        </w:rPr>
        <w:tab/>
        <w:t>tinkamumo laikas</w:t>
      </w:r>
    </w:p>
    <w:p w14:paraId="1229D2DA" w14:textId="77777777" w:rsidR="007E07AA" w:rsidRPr="00296C5A" w:rsidRDefault="007E07AA" w:rsidP="007E07AA">
      <w:pPr>
        <w:spacing w:after="0" w:line="240" w:lineRule="auto"/>
        <w:ind w:left="567" w:hanging="567"/>
        <w:rPr>
          <w:rFonts w:ascii="Times New Roman" w:eastAsia="Calibri" w:hAnsi="Times New Roman" w:cs="Times New Roman"/>
        </w:rPr>
      </w:pPr>
    </w:p>
    <w:p w14:paraId="698AA200"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Tinka iki {MMMM/mm}</w:t>
      </w:r>
    </w:p>
    <w:p w14:paraId="0675CBAC" w14:textId="77777777" w:rsidR="007E07AA" w:rsidRPr="00296C5A" w:rsidRDefault="007E07AA" w:rsidP="007E07AA">
      <w:pPr>
        <w:spacing w:after="0" w:line="240" w:lineRule="auto"/>
        <w:ind w:left="567" w:hanging="567"/>
        <w:rPr>
          <w:rFonts w:ascii="Times New Roman" w:eastAsia="Calibri" w:hAnsi="Times New Roman" w:cs="Times New Roman"/>
        </w:rPr>
      </w:pPr>
    </w:p>
    <w:p w14:paraId="701327A6" w14:textId="77777777" w:rsidR="007E07AA" w:rsidRPr="00296C5A" w:rsidRDefault="007E07AA" w:rsidP="007E07AA">
      <w:pPr>
        <w:spacing w:after="0" w:line="240" w:lineRule="auto"/>
        <w:ind w:left="567" w:hanging="567"/>
        <w:rPr>
          <w:rFonts w:ascii="Times New Roman" w:eastAsia="Calibri" w:hAnsi="Times New Roman" w:cs="Times New Roman"/>
        </w:rPr>
      </w:pPr>
    </w:p>
    <w:p w14:paraId="29E504EA"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9.</w:t>
      </w:r>
      <w:r w:rsidRPr="00296C5A">
        <w:rPr>
          <w:rFonts w:ascii="Times New Roman" w:eastAsia="Calibri" w:hAnsi="Times New Roman" w:cs="Times New Roman"/>
          <w:b/>
          <w:caps/>
        </w:rPr>
        <w:tab/>
        <w:t>SPECIALIOS laikymo sąlygos</w:t>
      </w:r>
    </w:p>
    <w:p w14:paraId="51FA575A" w14:textId="77777777" w:rsidR="007E07AA" w:rsidRPr="00296C5A" w:rsidRDefault="007E07AA" w:rsidP="007E07AA">
      <w:pPr>
        <w:spacing w:after="0" w:line="240" w:lineRule="auto"/>
        <w:rPr>
          <w:rFonts w:ascii="Times New Roman" w:eastAsia="Calibri" w:hAnsi="Times New Roman" w:cs="Times New Roman"/>
          <w:i/>
        </w:rPr>
      </w:pPr>
    </w:p>
    <w:p w14:paraId="0BF6097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Laikyti ne aukštesnėje kaip 25 </w:t>
      </w:r>
      <w:r w:rsidRPr="00296C5A">
        <w:rPr>
          <w:rFonts w:ascii="Times New Roman" w:eastAsia="Calibri" w:hAnsi="Times New Roman" w:cs="Times New Roman"/>
        </w:rPr>
        <w:sym w:font="Symbol" w:char="00B0"/>
      </w:r>
      <w:r w:rsidRPr="00296C5A">
        <w:rPr>
          <w:rFonts w:ascii="Times New Roman" w:eastAsia="Calibri" w:hAnsi="Times New Roman" w:cs="Times New Roman"/>
        </w:rPr>
        <w:t>C temperatūroje.</w:t>
      </w:r>
    </w:p>
    <w:p w14:paraId="78D4DD2F"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Laikyti gamintojo pakuotėje. Lizdines plokšteles laikyti išorinėje dėžutėje, kad vaistas būtų apsaugotas nuo drėgmės ir šviesos.</w:t>
      </w:r>
    </w:p>
    <w:p w14:paraId="19364991" w14:textId="77777777" w:rsidR="007E07AA" w:rsidRPr="00296C5A" w:rsidRDefault="007E07AA" w:rsidP="007E07AA">
      <w:pPr>
        <w:spacing w:after="0" w:line="240" w:lineRule="auto"/>
        <w:rPr>
          <w:rFonts w:ascii="Times New Roman" w:eastAsia="Calibri" w:hAnsi="Times New Roman" w:cs="Times New Roman"/>
        </w:rPr>
      </w:pPr>
    </w:p>
    <w:p w14:paraId="52B0EBF5" w14:textId="77777777" w:rsidR="007E07AA" w:rsidRPr="00296C5A" w:rsidRDefault="007E07AA" w:rsidP="007E07AA">
      <w:pPr>
        <w:spacing w:after="0" w:line="240" w:lineRule="auto"/>
        <w:ind w:left="567" w:hanging="567"/>
        <w:rPr>
          <w:rFonts w:ascii="Times New Roman" w:eastAsia="Calibri" w:hAnsi="Times New Roman" w:cs="Times New Roman"/>
        </w:rPr>
      </w:pPr>
    </w:p>
    <w:p w14:paraId="6858FD41"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10.</w:t>
      </w:r>
      <w:r w:rsidRPr="00296C5A">
        <w:rPr>
          <w:rFonts w:ascii="Times New Roman" w:eastAsia="Calibri" w:hAnsi="Times New Roman" w:cs="Times New Roman"/>
          <w:b/>
          <w:caps/>
        </w:rPr>
        <w:tab/>
        <w:t>specialios atsargumo priemonės Dėl nesuvartoto VAISTINIO PREPARATO AR Jo ATLIEKų tvarkymo</w:t>
      </w:r>
      <w:r w:rsidRPr="004E403C">
        <w:rPr>
          <w:rFonts w:ascii="Times New Roman" w:hAnsi="Times New Roman"/>
          <w:caps/>
        </w:rPr>
        <w:t xml:space="preserve"> </w:t>
      </w:r>
      <w:r w:rsidRPr="004E403C">
        <w:rPr>
          <w:rFonts w:ascii="Times New Roman" w:hAnsi="Times New Roman"/>
          <w:b/>
          <w:caps/>
        </w:rPr>
        <w:t>(jei reikia)</w:t>
      </w:r>
    </w:p>
    <w:p w14:paraId="38F88BFE"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21F5FE6"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Nesuvartotas kapsules grąžinkite vaistininkui.</w:t>
      </w:r>
    </w:p>
    <w:p w14:paraId="78AEBF1C" w14:textId="77777777" w:rsidR="007E07AA" w:rsidRPr="00296C5A" w:rsidRDefault="007E07AA" w:rsidP="007E07AA">
      <w:pPr>
        <w:spacing w:after="0" w:line="240" w:lineRule="auto"/>
        <w:ind w:left="567" w:hanging="567"/>
        <w:rPr>
          <w:rFonts w:ascii="Times New Roman" w:eastAsia="Calibri" w:hAnsi="Times New Roman" w:cs="Times New Roman"/>
        </w:rPr>
      </w:pPr>
    </w:p>
    <w:p w14:paraId="62E69D17"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4256860"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11.</w:t>
      </w:r>
      <w:r w:rsidRPr="00296C5A">
        <w:rPr>
          <w:rFonts w:ascii="Times New Roman" w:eastAsia="Calibri" w:hAnsi="Times New Roman" w:cs="Times New Roman"/>
          <w:b/>
          <w:caps/>
        </w:rPr>
        <w:tab/>
        <w:t>REGISTRUOTOJO</w:t>
      </w:r>
      <w:r w:rsidRPr="004E403C">
        <w:rPr>
          <w:rFonts w:ascii="Times New Roman" w:hAnsi="Times New Roman"/>
          <w:b/>
          <w:caps/>
          <w:lang w:val="fr-CA"/>
        </w:rPr>
        <w:t xml:space="preserve"> pavadinimas ir adresas</w:t>
      </w:r>
    </w:p>
    <w:p w14:paraId="6A220FBA"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0DF415A5" w14:textId="77777777" w:rsidR="007E33B2" w:rsidRDefault="007E33B2" w:rsidP="007E33B2">
      <w:pPr>
        <w:spacing w:after="0" w:line="240" w:lineRule="auto"/>
        <w:rPr>
          <w:rFonts w:ascii="Times New Roman" w:eastAsia="Calibri" w:hAnsi="Times New Roman" w:cs="Times New Roman"/>
        </w:rPr>
      </w:pPr>
      <w:r>
        <w:rPr>
          <w:rFonts w:ascii="Times New Roman" w:eastAsia="Calibri" w:hAnsi="Times New Roman" w:cs="Times New Roman"/>
        </w:rPr>
        <w:t>CHEPLAPHARM Registration GmbH</w:t>
      </w:r>
    </w:p>
    <w:p w14:paraId="67EF0A98" w14:textId="77777777" w:rsidR="007E33B2" w:rsidRDefault="007E33B2" w:rsidP="007E33B2">
      <w:pPr>
        <w:spacing w:after="0" w:line="240" w:lineRule="auto"/>
        <w:rPr>
          <w:rFonts w:ascii="Times New Roman" w:eastAsia="Calibri" w:hAnsi="Times New Roman" w:cs="Times New Roman"/>
        </w:rPr>
      </w:pPr>
      <w:r>
        <w:rPr>
          <w:rFonts w:ascii="Times New Roman" w:eastAsia="Calibri" w:hAnsi="Times New Roman" w:cs="Times New Roman"/>
        </w:rPr>
        <w:t>Weiler Straße 5e</w:t>
      </w:r>
    </w:p>
    <w:p w14:paraId="58765723" w14:textId="77777777" w:rsidR="007E33B2" w:rsidRDefault="007E33B2" w:rsidP="007E33B2">
      <w:pPr>
        <w:spacing w:after="0" w:line="240" w:lineRule="auto"/>
        <w:rPr>
          <w:rFonts w:ascii="Times New Roman" w:eastAsia="Calibri" w:hAnsi="Times New Roman" w:cs="Times New Roman"/>
        </w:rPr>
      </w:pPr>
      <w:r>
        <w:rPr>
          <w:rFonts w:ascii="Times New Roman" w:eastAsia="Calibri" w:hAnsi="Times New Roman" w:cs="Times New Roman"/>
        </w:rPr>
        <w:t>79540 Lörrach</w:t>
      </w:r>
    </w:p>
    <w:p w14:paraId="4EF9C576" w14:textId="77777777" w:rsidR="007E33B2" w:rsidRDefault="007E33B2" w:rsidP="007E33B2">
      <w:pPr>
        <w:spacing w:after="0" w:line="240" w:lineRule="auto"/>
        <w:rPr>
          <w:rFonts w:ascii="Times New Roman" w:eastAsia="Calibri" w:hAnsi="Times New Roman" w:cs="Times New Roman"/>
        </w:rPr>
      </w:pPr>
      <w:r w:rsidRPr="00685B16">
        <w:rPr>
          <w:rFonts w:ascii="Times New Roman" w:eastAsia="Calibri" w:hAnsi="Times New Roman" w:cs="Times New Roman"/>
        </w:rPr>
        <w:t>Vokietija</w:t>
      </w:r>
    </w:p>
    <w:p w14:paraId="586B21AB" w14:textId="77777777" w:rsidR="007E07AA" w:rsidRPr="00296C5A" w:rsidRDefault="007E07AA" w:rsidP="007E07AA">
      <w:pPr>
        <w:spacing w:after="0" w:line="240" w:lineRule="auto"/>
        <w:ind w:left="567" w:hanging="567"/>
        <w:rPr>
          <w:rFonts w:ascii="Times New Roman" w:eastAsia="Calibri" w:hAnsi="Times New Roman" w:cs="Times New Roman"/>
        </w:rPr>
      </w:pPr>
    </w:p>
    <w:p w14:paraId="20F784D3"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52AF551D"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12.</w:t>
      </w:r>
      <w:r w:rsidRPr="00296C5A">
        <w:rPr>
          <w:rFonts w:ascii="Times New Roman" w:eastAsia="Calibri" w:hAnsi="Times New Roman" w:cs="Times New Roman"/>
          <w:b/>
          <w:caps/>
        </w:rPr>
        <w:tab/>
        <w:t>REGISTRACIJOS PAŽYMĖJIMO</w:t>
      </w:r>
      <w:r w:rsidRPr="003B0370">
        <w:rPr>
          <w:rFonts w:ascii="Times New Roman" w:eastAsia="Calibri" w:hAnsi="Times New Roman" w:cs="Times New Roman"/>
          <w:b/>
          <w:caps/>
          <w:lang w:val="de-DE"/>
        </w:rPr>
        <w:t xml:space="preserve"> numeriAI</w:t>
      </w:r>
    </w:p>
    <w:p w14:paraId="2B6117CC" w14:textId="77777777" w:rsidR="007E07AA" w:rsidRPr="00296C5A" w:rsidRDefault="007E07AA" w:rsidP="007E07AA">
      <w:pPr>
        <w:spacing w:after="0" w:line="240" w:lineRule="auto"/>
        <w:ind w:left="567" w:hanging="567"/>
        <w:rPr>
          <w:rFonts w:ascii="Times New Roman" w:eastAsia="Calibri" w:hAnsi="Times New Roman" w:cs="Times New Roman"/>
        </w:rPr>
      </w:pPr>
    </w:p>
    <w:p w14:paraId="4F350ACC" w14:textId="13697635" w:rsidR="007E07AA" w:rsidRPr="00E25AAE" w:rsidRDefault="007E07AA" w:rsidP="007E07AA">
      <w:pPr>
        <w:spacing w:after="0" w:line="240" w:lineRule="auto"/>
        <w:ind w:left="567" w:hanging="567"/>
        <w:rPr>
          <w:rFonts w:ascii="Times New Roman" w:hAnsi="Times New Roman"/>
          <w:highlight w:val="lightGray"/>
        </w:rPr>
      </w:pPr>
      <w:r w:rsidRPr="00C73014">
        <w:rPr>
          <w:rFonts w:ascii="Times New Roman" w:eastAsia="Calibri" w:hAnsi="Times New Roman" w:cs="Times New Roman"/>
        </w:rPr>
        <w:t xml:space="preserve">LT/1/05/0406/002 </w:t>
      </w:r>
    </w:p>
    <w:p w14:paraId="0B46D05D" w14:textId="77777777" w:rsidR="007E07AA" w:rsidRPr="00296C5A" w:rsidRDefault="007E07AA" w:rsidP="007E07AA">
      <w:pPr>
        <w:spacing w:after="0" w:line="240" w:lineRule="auto"/>
        <w:ind w:left="567" w:hanging="567"/>
        <w:rPr>
          <w:rFonts w:ascii="Times New Roman" w:eastAsia="Calibri" w:hAnsi="Times New Roman" w:cs="Times New Roman"/>
        </w:rPr>
      </w:pPr>
    </w:p>
    <w:p w14:paraId="36B435BC" w14:textId="77777777" w:rsidR="007E07AA" w:rsidRPr="00296C5A" w:rsidRDefault="007E07AA" w:rsidP="007E07AA">
      <w:pPr>
        <w:spacing w:after="0" w:line="240" w:lineRule="auto"/>
        <w:ind w:left="567" w:hanging="567"/>
        <w:rPr>
          <w:rFonts w:ascii="Times New Roman" w:eastAsia="Calibri" w:hAnsi="Times New Roman" w:cs="Times New Roman"/>
        </w:rPr>
      </w:pPr>
    </w:p>
    <w:p w14:paraId="3A7E3EBF"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13.</w:t>
      </w:r>
      <w:r w:rsidRPr="00296C5A">
        <w:rPr>
          <w:rFonts w:ascii="Times New Roman" w:eastAsia="Calibri" w:hAnsi="Times New Roman" w:cs="Times New Roman"/>
          <w:b/>
          <w:caps/>
        </w:rPr>
        <w:tab/>
        <w:t>serijos numeris</w:t>
      </w:r>
    </w:p>
    <w:p w14:paraId="1839E9E0" w14:textId="77777777" w:rsidR="007E07AA" w:rsidRPr="00296C5A" w:rsidRDefault="007E07AA" w:rsidP="007E07AA">
      <w:pPr>
        <w:spacing w:after="0" w:line="240" w:lineRule="auto"/>
        <w:ind w:left="567" w:hanging="567"/>
        <w:rPr>
          <w:rFonts w:ascii="Times New Roman" w:eastAsia="Calibri" w:hAnsi="Times New Roman" w:cs="Times New Roman"/>
        </w:rPr>
      </w:pPr>
    </w:p>
    <w:p w14:paraId="00CDEA9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Serija (numeris}</w:t>
      </w:r>
    </w:p>
    <w:p w14:paraId="76ADE092" w14:textId="77777777" w:rsidR="007E07AA" w:rsidRPr="00296C5A" w:rsidRDefault="007E07AA" w:rsidP="007E07AA">
      <w:pPr>
        <w:spacing w:after="0" w:line="240" w:lineRule="auto"/>
        <w:ind w:left="567" w:hanging="567"/>
        <w:rPr>
          <w:rFonts w:ascii="Times New Roman" w:eastAsia="Calibri" w:hAnsi="Times New Roman" w:cs="Times New Roman"/>
        </w:rPr>
      </w:pPr>
    </w:p>
    <w:p w14:paraId="078D3DF3" w14:textId="77777777" w:rsidR="007E07AA" w:rsidRPr="00296C5A" w:rsidRDefault="007E07AA" w:rsidP="007E07AA">
      <w:pPr>
        <w:spacing w:after="0" w:line="240" w:lineRule="auto"/>
        <w:ind w:left="567" w:hanging="567"/>
        <w:rPr>
          <w:rFonts w:ascii="Times New Roman" w:eastAsia="Calibri" w:hAnsi="Times New Roman" w:cs="Times New Roman"/>
        </w:rPr>
      </w:pPr>
    </w:p>
    <w:p w14:paraId="508E4A80"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14.</w:t>
      </w:r>
      <w:r w:rsidRPr="00296C5A">
        <w:rPr>
          <w:rFonts w:ascii="Times New Roman" w:eastAsia="Calibri" w:hAnsi="Times New Roman" w:cs="Times New Roman"/>
          <w:b/>
          <w:caps/>
        </w:rPr>
        <w:tab/>
        <w:t>Pardavimo (išdavimo) tvarka</w:t>
      </w:r>
    </w:p>
    <w:p w14:paraId="7DCCE551" w14:textId="77777777" w:rsidR="007E07AA" w:rsidRPr="00296C5A" w:rsidRDefault="007E07AA" w:rsidP="007E07AA">
      <w:pPr>
        <w:spacing w:after="0" w:line="240" w:lineRule="auto"/>
        <w:ind w:left="567" w:hanging="567"/>
        <w:rPr>
          <w:rFonts w:ascii="Times New Roman" w:eastAsia="Calibri" w:hAnsi="Times New Roman" w:cs="Times New Roman"/>
        </w:rPr>
      </w:pPr>
    </w:p>
    <w:p w14:paraId="388645F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 xml:space="preserve">Receptinis vaistas </w:t>
      </w:r>
    </w:p>
    <w:p w14:paraId="12360F96" w14:textId="77777777" w:rsidR="007E07AA" w:rsidRPr="00296C5A" w:rsidRDefault="007E07AA" w:rsidP="007E07AA">
      <w:pPr>
        <w:spacing w:after="0" w:line="240" w:lineRule="auto"/>
        <w:ind w:left="567" w:hanging="567"/>
        <w:rPr>
          <w:rFonts w:ascii="Times New Roman" w:eastAsia="Calibri" w:hAnsi="Times New Roman" w:cs="Times New Roman"/>
        </w:rPr>
      </w:pPr>
    </w:p>
    <w:p w14:paraId="3F00A996" w14:textId="77777777" w:rsidR="007E07AA" w:rsidRPr="00296C5A" w:rsidRDefault="007E07AA" w:rsidP="007E07AA">
      <w:pPr>
        <w:spacing w:after="0" w:line="240" w:lineRule="auto"/>
        <w:ind w:left="567" w:hanging="567"/>
        <w:rPr>
          <w:rFonts w:ascii="Times New Roman" w:eastAsia="Calibri" w:hAnsi="Times New Roman" w:cs="Times New Roman"/>
        </w:rPr>
      </w:pPr>
    </w:p>
    <w:p w14:paraId="1776ACE5"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15.</w:t>
      </w:r>
      <w:r w:rsidRPr="00296C5A">
        <w:rPr>
          <w:rFonts w:ascii="Times New Roman" w:eastAsia="Calibri" w:hAnsi="Times New Roman" w:cs="Times New Roman"/>
          <w:b/>
          <w:caps/>
        </w:rPr>
        <w:tab/>
        <w:t>vartojimo instrukcijA</w:t>
      </w:r>
    </w:p>
    <w:p w14:paraId="3ED39905" w14:textId="77777777" w:rsidR="007E07AA" w:rsidRPr="00296C5A" w:rsidRDefault="007E07AA" w:rsidP="007E07AA">
      <w:pPr>
        <w:spacing w:after="0" w:line="240" w:lineRule="auto"/>
        <w:ind w:left="567" w:hanging="567"/>
        <w:rPr>
          <w:rFonts w:ascii="Times New Roman" w:eastAsia="Calibri" w:hAnsi="Times New Roman" w:cs="Times New Roman"/>
        </w:rPr>
      </w:pPr>
    </w:p>
    <w:p w14:paraId="56A227C3"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Vartokite tik kaip nurodė gydytojas (žr. pakuotės lapelį).</w:t>
      </w:r>
    </w:p>
    <w:p w14:paraId="25DC409A"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Nurykite nepažeistą kapsulę užgerdami trupučiu vandens.</w:t>
      </w:r>
    </w:p>
    <w:p w14:paraId="0DA728D8" w14:textId="77777777" w:rsidR="007E07AA" w:rsidRPr="00296C5A" w:rsidRDefault="007E07AA" w:rsidP="007E07AA">
      <w:pPr>
        <w:spacing w:after="0" w:line="240" w:lineRule="auto"/>
        <w:ind w:left="567" w:hanging="567"/>
        <w:rPr>
          <w:rFonts w:ascii="Times New Roman" w:eastAsia="Calibri" w:hAnsi="Times New Roman" w:cs="Times New Roman"/>
        </w:rPr>
      </w:pPr>
    </w:p>
    <w:p w14:paraId="60D6923A" w14:textId="77777777" w:rsidR="007E07AA" w:rsidRPr="00296C5A" w:rsidRDefault="007E07AA" w:rsidP="007E07AA">
      <w:pPr>
        <w:spacing w:after="0" w:line="240" w:lineRule="auto"/>
        <w:ind w:left="567" w:hanging="567"/>
        <w:rPr>
          <w:rFonts w:ascii="Times New Roman" w:eastAsia="Calibri" w:hAnsi="Times New Roman" w:cs="Times New Roman"/>
        </w:rPr>
      </w:pPr>
    </w:p>
    <w:p w14:paraId="22B497E9"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16.</w:t>
      </w:r>
      <w:r w:rsidRPr="00296C5A">
        <w:rPr>
          <w:rFonts w:ascii="Times New Roman" w:eastAsia="Calibri" w:hAnsi="Times New Roman" w:cs="Times New Roman"/>
          <w:b/>
          <w:caps/>
        </w:rPr>
        <w:tab/>
        <w:t>INFORMACIJA BRAILIO RAŠTU</w:t>
      </w:r>
    </w:p>
    <w:p w14:paraId="05347B26" w14:textId="77777777" w:rsidR="007E07AA" w:rsidRPr="00296C5A" w:rsidRDefault="007E07AA" w:rsidP="007E07AA">
      <w:pPr>
        <w:spacing w:after="0" w:line="240" w:lineRule="auto"/>
        <w:ind w:left="567" w:hanging="567"/>
        <w:rPr>
          <w:rFonts w:ascii="Times New Roman" w:eastAsia="Calibri" w:hAnsi="Times New Roman" w:cs="Times New Roman"/>
        </w:rPr>
      </w:pPr>
    </w:p>
    <w:p w14:paraId="4965087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roaccutane 10 mg</w:t>
      </w:r>
    </w:p>
    <w:p w14:paraId="4401B443" w14:textId="77777777" w:rsidR="007E07AA" w:rsidRPr="00296C5A" w:rsidRDefault="007E07AA" w:rsidP="007E07AA">
      <w:pPr>
        <w:spacing w:after="0" w:line="240" w:lineRule="auto"/>
        <w:ind w:left="567" w:hanging="567"/>
        <w:rPr>
          <w:rFonts w:ascii="Times New Roman" w:eastAsia="Calibri" w:hAnsi="Times New Roman" w:cs="Times New Roman"/>
        </w:rPr>
      </w:pPr>
    </w:p>
    <w:p w14:paraId="106D46AF" w14:textId="77777777" w:rsidR="007E07AA" w:rsidRPr="00296C5A" w:rsidRDefault="007E07AA" w:rsidP="007E07AA">
      <w:pPr>
        <w:keepNext/>
        <w:pBdr>
          <w:top w:val="single" w:sz="4" w:space="1" w:color="auto"/>
          <w:left w:val="single" w:sz="4" w:space="28"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zCs w:val="20"/>
          <w:lang w:eastAsia="lt-LT" w:bidi="lt-LT"/>
        </w:rPr>
      </w:pPr>
      <w:r w:rsidRPr="00296C5A">
        <w:rPr>
          <w:rFonts w:ascii="Times New Roman" w:eastAsia="Times New Roman" w:hAnsi="Times New Roman" w:cs="Times New Roman"/>
          <w:b/>
          <w:noProof/>
          <w:szCs w:val="20"/>
          <w:lang w:eastAsia="lt-LT" w:bidi="lt-LT"/>
        </w:rPr>
        <w:t>17. UNIKALUS IDENTIFIKATORIUS – 2D BRŪKŠNINIS KODAS</w:t>
      </w:r>
    </w:p>
    <w:p w14:paraId="4B3D60F8"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0CBDE92E" w14:textId="77777777" w:rsidR="007E07AA" w:rsidRPr="00296C5A" w:rsidRDefault="007E07AA" w:rsidP="007E07AA">
      <w:pPr>
        <w:tabs>
          <w:tab w:val="left" w:pos="567"/>
        </w:tabs>
        <w:spacing w:after="0" w:line="240" w:lineRule="auto"/>
        <w:rPr>
          <w:rFonts w:ascii="Times New Roman" w:eastAsia="Times New Roman" w:hAnsi="Times New Roman" w:cs="Times New Roman"/>
          <w:noProof/>
          <w:shd w:val="clear" w:color="auto" w:fill="CCCCCC"/>
          <w:lang w:eastAsia="lt-LT" w:bidi="lt-LT"/>
        </w:rPr>
      </w:pPr>
      <w:r w:rsidRPr="00A75635">
        <w:rPr>
          <w:rFonts w:ascii="Times New Roman" w:eastAsia="Times New Roman" w:hAnsi="Times New Roman" w:cs="Times New Roman"/>
          <w:noProof/>
          <w:szCs w:val="20"/>
          <w:highlight w:val="lightGray"/>
          <w:lang w:eastAsia="lt-LT" w:bidi="lt-LT"/>
        </w:rPr>
        <w:t>2D brūkšninis kodas su nurodytu unikaliu identifikatoriumi.</w:t>
      </w:r>
    </w:p>
    <w:p w14:paraId="6CA75071"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69C5EADF"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68D05589" w14:textId="77777777" w:rsidR="007E07AA" w:rsidRPr="00296C5A" w:rsidRDefault="007E07AA" w:rsidP="007E07AA">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i/>
          <w:noProof/>
          <w:szCs w:val="20"/>
          <w:lang w:eastAsia="lt-LT" w:bidi="lt-LT"/>
        </w:rPr>
      </w:pPr>
      <w:r w:rsidRPr="00296C5A">
        <w:rPr>
          <w:rFonts w:ascii="Times New Roman" w:eastAsia="Times New Roman" w:hAnsi="Times New Roman" w:cs="Times New Roman"/>
          <w:b/>
          <w:noProof/>
          <w:szCs w:val="20"/>
          <w:lang w:eastAsia="lt-LT" w:bidi="lt-LT"/>
        </w:rPr>
        <w:t>18. UNIKALUS IDENTIFIKATORIUS – ŽMONĖMS SUPRANTAMI DUOMENYS</w:t>
      </w:r>
    </w:p>
    <w:p w14:paraId="1B6E5186"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723A329B" w14:textId="2147B2B0" w:rsidR="007E07AA" w:rsidRPr="00296C5A" w:rsidRDefault="007E07AA" w:rsidP="007E07AA">
      <w:pPr>
        <w:tabs>
          <w:tab w:val="left" w:pos="567"/>
        </w:tabs>
        <w:spacing w:after="0" w:line="260" w:lineRule="exact"/>
        <w:rPr>
          <w:rFonts w:ascii="Times New Roman" w:eastAsia="Times New Roman" w:hAnsi="Times New Roman" w:cs="Times New Roman"/>
          <w:color w:val="008000"/>
          <w:lang w:eastAsia="lt-LT" w:bidi="lt-LT"/>
        </w:rPr>
      </w:pPr>
      <w:r w:rsidRPr="00296C5A">
        <w:rPr>
          <w:rFonts w:ascii="Times New Roman" w:eastAsia="Times New Roman" w:hAnsi="Times New Roman" w:cs="Times New Roman"/>
          <w:szCs w:val="20"/>
          <w:lang w:eastAsia="lt-LT" w:bidi="lt-LT"/>
        </w:rPr>
        <w:lastRenderedPageBreak/>
        <w:t>PC</w:t>
      </w:r>
    </w:p>
    <w:p w14:paraId="3DB4559A" w14:textId="569ECC2C" w:rsidR="007E07AA" w:rsidRPr="00296C5A" w:rsidRDefault="007E07AA" w:rsidP="007E07AA">
      <w:pPr>
        <w:tabs>
          <w:tab w:val="left" w:pos="567"/>
        </w:tabs>
        <w:spacing w:after="0" w:line="260" w:lineRule="exact"/>
        <w:rPr>
          <w:rFonts w:ascii="Times New Roman" w:eastAsia="Times New Roman" w:hAnsi="Times New Roman" w:cs="Times New Roman"/>
          <w:lang w:eastAsia="lt-LT" w:bidi="lt-LT"/>
        </w:rPr>
      </w:pPr>
      <w:r w:rsidRPr="00296C5A">
        <w:rPr>
          <w:rFonts w:ascii="Times New Roman" w:eastAsia="Times New Roman" w:hAnsi="Times New Roman" w:cs="Times New Roman"/>
          <w:szCs w:val="20"/>
          <w:lang w:eastAsia="lt-LT" w:bidi="lt-LT"/>
        </w:rPr>
        <w:t>SN</w:t>
      </w:r>
    </w:p>
    <w:p w14:paraId="4A44C0FF" w14:textId="250BA3B4" w:rsidR="007E07AA" w:rsidRPr="00296C5A" w:rsidRDefault="007E07AA" w:rsidP="007E07AA">
      <w:pPr>
        <w:tabs>
          <w:tab w:val="left" w:pos="567"/>
        </w:tabs>
        <w:spacing w:after="0" w:line="260" w:lineRule="exact"/>
        <w:rPr>
          <w:rFonts w:ascii="Times New Roman" w:eastAsia="Times New Roman" w:hAnsi="Times New Roman" w:cs="Times New Roman"/>
          <w:lang w:eastAsia="lt-LT" w:bidi="lt-LT"/>
        </w:rPr>
      </w:pPr>
      <w:r w:rsidRPr="00A75635">
        <w:rPr>
          <w:rFonts w:ascii="Times New Roman" w:eastAsia="Times New Roman" w:hAnsi="Times New Roman" w:cs="Times New Roman"/>
          <w:szCs w:val="20"/>
          <w:highlight w:val="lightGray"/>
          <w:lang w:eastAsia="lt-LT" w:bidi="lt-LT"/>
        </w:rPr>
        <w:t>NN</w:t>
      </w:r>
    </w:p>
    <w:p w14:paraId="4AACDE7D" w14:textId="77777777" w:rsidR="007E07AA" w:rsidRPr="00296C5A" w:rsidRDefault="007E07AA" w:rsidP="007E07AA">
      <w:pPr>
        <w:tabs>
          <w:tab w:val="left" w:pos="567"/>
        </w:tabs>
        <w:spacing w:after="0" w:line="240" w:lineRule="auto"/>
        <w:rPr>
          <w:rFonts w:ascii="Times New Roman" w:eastAsia="Calibri" w:hAnsi="Times New Roman" w:cs="Times New Roman"/>
          <w:lang w:eastAsia="lt-LT"/>
        </w:rPr>
      </w:pPr>
    </w:p>
    <w:p w14:paraId="64E031CE" w14:textId="77777777" w:rsidR="007E07AA" w:rsidRPr="00296C5A" w:rsidRDefault="007E07AA" w:rsidP="007E07AA">
      <w:pPr>
        <w:spacing w:after="0" w:line="240" w:lineRule="auto"/>
        <w:ind w:left="567" w:hanging="567"/>
        <w:rPr>
          <w:rFonts w:ascii="Times New Roman" w:eastAsia="Calibri" w:hAnsi="Times New Roman" w:cs="Times New Roman"/>
        </w:rPr>
      </w:pPr>
    </w:p>
    <w:p w14:paraId="07E3A838"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296C5A">
        <w:rPr>
          <w:rFonts w:ascii="Times New Roman" w:eastAsia="Calibri" w:hAnsi="Times New Roman" w:cs="Times New Roman"/>
        </w:rPr>
        <w:br w:type="page"/>
      </w:r>
      <w:r w:rsidRPr="00296C5A">
        <w:rPr>
          <w:rFonts w:ascii="Times New Roman" w:eastAsia="Calibri" w:hAnsi="Times New Roman" w:cs="Times New Roman"/>
          <w:b/>
        </w:rPr>
        <w:lastRenderedPageBreak/>
        <w:t xml:space="preserve">MINIMALI </w:t>
      </w:r>
      <w:r w:rsidRPr="004E403C">
        <w:rPr>
          <w:rFonts w:ascii="Times New Roman" w:hAnsi="Times New Roman"/>
          <w:b/>
          <w:caps/>
        </w:rPr>
        <w:t xml:space="preserve">informacija ant </w:t>
      </w:r>
      <w:r w:rsidRPr="004E403C">
        <w:rPr>
          <w:rFonts w:ascii="Times New Roman" w:hAnsi="Times New Roman"/>
          <w:b/>
        </w:rPr>
        <w:t>LIZDINIŲ PLOKŠTELIŲ ARBA DVISLUOKSNIŲ JUOSTELIŲ</w:t>
      </w:r>
    </w:p>
    <w:p w14:paraId="43B933E6"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p>
    <w:p w14:paraId="3308EA4D"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rPr>
        <w:t>LIZDINĖ PLOKŠTELĖ</w:t>
      </w:r>
    </w:p>
    <w:p w14:paraId="78116D74"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FA0E10B"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69E63E08"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w:t>
      </w:r>
      <w:r w:rsidRPr="00296C5A">
        <w:rPr>
          <w:rFonts w:ascii="Times New Roman" w:eastAsia="Calibri" w:hAnsi="Times New Roman" w:cs="Times New Roman"/>
          <w:b/>
          <w:caps/>
        </w:rPr>
        <w:tab/>
        <w:t>Vaistinio preparato pavadinimas</w:t>
      </w:r>
    </w:p>
    <w:p w14:paraId="40E6AD58" w14:textId="77777777" w:rsidR="007E07AA" w:rsidRPr="00296C5A" w:rsidRDefault="007E07AA" w:rsidP="007E07AA">
      <w:pPr>
        <w:spacing w:after="0" w:line="240" w:lineRule="auto"/>
        <w:ind w:left="567" w:hanging="567"/>
        <w:rPr>
          <w:rFonts w:ascii="Times New Roman" w:eastAsia="Calibri" w:hAnsi="Times New Roman" w:cs="Times New Roman"/>
        </w:rPr>
      </w:pPr>
    </w:p>
    <w:p w14:paraId="6C94ED25"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Roaccutane 10 mg minkštosio</w:t>
      </w:r>
      <w:r w:rsidRPr="004E403C">
        <w:rPr>
          <w:rFonts w:ascii="Times New Roman" w:hAnsi="Times New Roman"/>
        </w:rPr>
        <w:t>s kapsulės</w:t>
      </w:r>
    </w:p>
    <w:p w14:paraId="285A9F07" w14:textId="4A940390" w:rsidR="007E07AA" w:rsidRPr="00296C5A" w:rsidRDefault="00F72EE5" w:rsidP="007E07AA">
      <w:p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rPr>
        <w:t>i</w:t>
      </w:r>
      <w:r w:rsidR="007E07AA" w:rsidRPr="00296C5A">
        <w:rPr>
          <w:rFonts w:ascii="Times New Roman" w:eastAsia="Calibri" w:hAnsi="Times New Roman" w:cs="Times New Roman"/>
        </w:rPr>
        <w:t>sotretinoinum</w:t>
      </w:r>
    </w:p>
    <w:p w14:paraId="37938950" w14:textId="77777777" w:rsidR="007E07AA" w:rsidRPr="00296C5A" w:rsidRDefault="007E07AA" w:rsidP="007E07AA">
      <w:pPr>
        <w:spacing w:after="0" w:line="240" w:lineRule="auto"/>
        <w:ind w:left="567" w:hanging="567"/>
        <w:rPr>
          <w:rFonts w:ascii="Times New Roman" w:eastAsia="Calibri" w:hAnsi="Times New Roman" w:cs="Times New Roman"/>
        </w:rPr>
      </w:pPr>
    </w:p>
    <w:p w14:paraId="32079DA0" w14:textId="77777777" w:rsidR="007E07AA" w:rsidRPr="00296C5A" w:rsidRDefault="007E07AA" w:rsidP="007E07AA">
      <w:pPr>
        <w:spacing w:after="0" w:line="240" w:lineRule="auto"/>
        <w:ind w:left="567" w:hanging="567"/>
        <w:rPr>
          <w:rFonts w:ascii="Times New Roman" w:eastAsia="Calibri" w:hAnsi="Times New Roman" w:cs="Times New Roman"/>
        </w:rPr>
      </w:pPr>
    </w:p>
    <w:p w14:paraId="6936DB9D"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rPr>
        <w:t>2.</w:t>
      </w:r>
      <w:r w:rsidRPr="00296C5A">
        <w:rPr>
          <w:rFonts w:ascii="Times New Roman" w:eastAsia="Calibri" w:hAnsi="Times New Roman" w:cs="Times New Roman"/>
          <w:b/>
        </w:rPr>
        <w:tab/>
      </w:r>
      <w:r w:rsidRPr="00296C5A">
        <w:rPr>
          <w:rFonts w:ascii="Times New Roman" w:eastAsia="Calibri" w:hAnsi="Times New Roman" w:cs="Times New Roman"/>
          <w:b/>
          <w:caps/>
        </w:rPr>
        <w:t>REGISTRUOTOJO</w:t>
      </w:r>
      <w:r w:rsidRPr="004E403C">
        <w:rPr>
          <w:rFonts w:ascii="Times New Roman" w:hAnsi="Times New Roman"/>
          <w:b/>
          <w:caps/>
          <w:lang w:val="fr-CA"/>
        </w:rPr>
        <w:t xml:space="preserve"> pavadinimas</w:t>
      </w:r>
    </w:p>
    <w:p w14:paraId="789403BA" w14:textId="77777777" w:rsidR="007E07AA" w:rsidRPr="00296C5A" w:rsidRDefault="007E07AA" w:rsidP="007E07AA">
      <w:pPr>
        <w:spacing w:after="0" w:line="240" w:lineRule="auto"/>
        <w:ind w:left="567" w:hanging="567"/>
        <w:rPr>
          <w:rFonts w:ascii="Times New Roman" w:eastAsia="Calibri" w:hAnsi="Times New Roman" w:cs="Times New Roman"/>
        </w:rPr>
      </w:pPr>
    </w:p>
    <w:p w14:paraId="3917E0DA" w14:textId="26A381BE" w:rsidR="007E07AA" w:rsidRPr="00296C5A" w:rsidRDefault="007E33B2" w:rsidP="007E07AA">
      <w:pPr>
        <w:spacing w:after="0" w:line="240" w:lineRule="auto"/>
        <w:rPr>
          <w:rFonts w:ascii="Times New Roman" w:eastAsia="Calibri" w:hAnsi="Times New Roman" w:cs="Times New Roman"/>
        </w:rPr>
      </w:pPr>
      <w:r>
        <w:rPr>
          <w:rFonts w:ascii="Times New Roman" w:eastAsia="Calibri" w:hAnsi="Times New Roman" w:cs="Times New Roman"/>
        </w:rPr>
        <w:t>CHEPLAPHARM</w:t>
      </w:r>
    </w:p>
    <w:p w14:paraId="6419D094" w14:textId="77777777" w:rsidR="007E07AA" w:rsidRPr="00296C5A" w:rsidRDefault="007E07AA" w:rsidP="007E07AA">
      <w:pPr>
        <w:spacing w:after="0" w:line="240" w:lineRule="auto"/>
        <w:rPr>
          <w:rFonts w:ascii="Times New Roman" w:eastAsia="Calibri" w:hAnsi="Times New Roman" w:cs="Times New Roman"/>
        </w:rPr>
      </w:pPr>
    </w:p>
    <w:p w14:paraId="4D639F3F"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rPr>
        <w:t>3.</w:t>
      </w:r>
      <w:r w:rsidRPr="00296C5A">
        <w:rPr>
          <w:rFonts w:ascii="Times New Roman" w:eastAsia="Calibri" w:hAnsi="Times New Roman" w:cs="Times New Roman"/>
          <w:b/>
        </w:rPr>
        <w:tab/>
      </w:r>
      <w:r w:rsidRPr="00296C5A">
        <w:rPr>
          <w:rFonts w:ascii="Times New Roman" w:eastAsia="Calibri" w:hAnsi="Times New Roman" w:cs="Times New Roman"/>
          <w:b/>
          <w:caps/>
        </w:rPr>
        <w:t>tinkamumo laikas</w:t>
      </w:r>
    </w:p>
    <w:p w14:paraId="01E119CB" w14:textId="77777777" w:rsidR="007E07AA" w:rsidRPr="00296C5A" w:rsidRDefault="007E07AA" w:rsidP="007E07AA">
      <w:pPr>
        <w:spacing w:after="0" w:line="240" w:lineRule="auto"/>
        <w:ind w:left="567" w:hanging="567"/>
        <w:rPr>
          <w:rFonts w:ascii="Times New Roman" w:eastAsia="Calibri" w:hAnsi="Times New Roman" w:cs="Times New Roman"/>
        </w:rPr>
      </w:pPr>
    </w:p>
    <w:p w14:paraId="33A7356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highlight w:val="lightGray"/>
        </w:rPr>
        <w:t>EXP</w:t>
      </w:r>
      <w:r w:rsidRPr="00296C5A">
        <w:rPr>
          <w:rFonts w:ascii="Times New Roman" w:eastAsia="Calibri" w:hAnsi="Times New Roman" w:cs="Times New Roman"/>
        </w:rPr>
        <w:t xml:space="preserve"> {mm/MMMM}</w:t>
      </w:r>
    </w:p>
    <w:p w14:paraId="30B93E50" w14:textId="77777777" w:rsidR="007E07AA" w:rsidRPr="00296C5A" w:rsidRDefault="007E07AA" w:rsidP="007E07AA">
      <w:pPr>
        <w:spacing w:after="0" w:line="240" w:lineRule="auto"/>
        <w:ind w:left="567" w:hanging="567"/>
        <w:rPr>
          <w:rFonts w:ascii="Times New Roman" w:eastAsia="Calibri" w:hAnsi="Times New Roman" w:cs="Times New Roman"/>
        </w:rPr>
      </w:pPr>
    </w:p>
    <w:p w14:paraId="4D9857E1" w14:textId="77777777" w:rsidR="007E07AA" w:rsidRPr="00296C5A" w:rsidRDefault="007E07AA" w:rsidP="007E07AA">
      <w:pPr>
        <w:spacing w:after="0" w:line="240" w:lineRule="auto"/>
        <w:ind w:left="567" w:hanging="567"/>
        <w:rPr>
          <w:rFonts w:ascii="Times New Roman" w:eastAsia="Calibri" w:hAnsi="Times New Roman" w:cs="Times New Roman"/>
        </w:rPr>
      </w:pPr>
    </w:p>
    <w:p w14:paraId="68704441"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4.</w:t>
      </w:r>
      <w:r w:rsidRPr="00296C5A">
        <w:rPr>
          <w:rFonts w:ascii="Times New Roman" w:eastAsia="Calibri" w:hAnsi="Times New Roman" w:cs="Times New Roman"/>
          <w:b/>
          <w:caps/>
        </w:rPr>
        <w:tab/>
        <w:t>serijos numeris</w:t>
      </w:r>
    </w:p>
    <w:p w14:paraId="35F75292" w14:textId="77777777" w:rsidR="007E07AA" w:rsidRPr="00296C5A" w:rsidRDefault="007E07AA" w:rsidP="007E07AA">
      <w:pPr>
        <w:spacing w:after="0" w:line="240" w:lineRule="auto"/>
        <w:ind w:left="567" w:hanging="567"/>
        <w:rPr>
          <w:rFonts w:ascii="Times New Roman" w:eastAsia="Calibri" w:hAnsi="Times New Roman" w:cs="Times New Roman"/>
        </w:rPr>
      </w:pPr>
    </w:p>
    <w:p w14:paraId="6C278686"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highlight w:val="lightGray"/>
        </w:rPr>
        <w:t>Lot</w:t>
      </w:r>
      <w:r w:rsidRPr="00296C5A">
        <w:rPr>
          <w:rFonts w:ascii="Times New Roman" w:eastAsia="Calibri" w:hAnsi="Times New Roman" w:cs="Times New Roman"/>
        </w:rPr>
        <w:t xml:space="preserve"> {numeris}</w:t>
      </w:r>
    </w:p>
    <w:p w14:paraId="4360BA91" w14:textId="77777777" w:rsidR="007E07AA" w:rsidRPr="00296C5A" w:rsidRDefault="007E07AA" w:rsidP="007E07AA">
      <w:pPr>
        <w:spacing w:after="0" w:line="240" w:lineRule="auto"/>
        <w:ind w:left="567" w:hanging="567"/>
        <w:rPr>
          <w:rFonts w:ascii="Times New Roman" w:eastAsia="Calibri" w:hAnsi="Times New Roman" w:cs="Times New Roman"/>
        </w:rPr>
      </w:pPr>
    </w:p>
    <w:p w14:paraId="70E21820" w14:textId="77777777" w:rsidR="007E07AA" w:rsidRPr="00296C5A" w:rsidRDefault="007E07AA" w:rsidP="007E07AA">
      <w:pPr>
        <w:spacing w:after="0" w:line="240" w:lineRule="auto"/>
        <w:ind w:left="567" w:hanging="567"/>
        <w:rPr>
          <w:rFonts w:ascii="Times New Roman" w:eastAsia="Calibri" w:hAnsi="Times New Roman" w:cs="Times New Roman"/>
        </w:rPr>
      </w:pPr>
    </w:p>
    <w:p w14:paraId="2CC48075"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5.</w:t>
      </w:r>
      <w:r w:rsidRPr="00296C5A">
        <w:rPr>
          <w:rFonts w:ascii="Times New Roman" w:eastAsia="Calibri" w:hAnsi="Times New Roman" w:cs="Times New Roman"/>
          <w:b/>
          <w:caps/>
        </w:rPr>
        <w:tab/>
        <w:t xml:space="preserve">kita </w:t>
      </w:r>
    </w:p>
    <w:p w14:paraId="0980D3A9" w14:textId="77777777" w:rsidR="007E07AA" w:rsidRPr="00296C5A" w:rsidRDefault="007E07AA" w:rsidP="007E07AA">
      <w:pPr>
        <w:spacing w:after="0" w:line="240" w:lineRule="auto"/>
        <w:ind w:left="567" w:hanging="567"/>
        <w:rPr>
          <w:rFonts w:ascii="Times New Roman" w:eastAsia="Calibri" w:hAnsi="Times New Roman" w:cs="Times New Roman"/>
        </w:rPr>
      </w:pPr>
    </w:p>
    <w:p w14:paraId="2E44B4FD" w14:textId="77777777" w:rsidR="007E07AA" w:rsidRPr="00296C5A" w:rsidRDefault="007E07AA" w:rsidP="007E07AA">
      <w:pPr>
        <w:spacing w:after="0" w:line="240" w:lineRule="auto"/>
        <w:ind w:left="567" w:hanging="567"/>
        <w:rPr>
          <w:rFonts w:ascii="Times New Roman" w:eastAsia="Calibri" w:hAnsi="Times New Roman" w:cs="Times New Roman"/>
          <w:u w:val="single"/>
        </w:rPr>
      </w:pPr>
      <w:r w:rsidRPr="00296C5A">
        <w:rPr>
          <w:rFonts w:ascii="Times New Roman" w:eastAsia="Calibri" w:hAnsi="Times New Roman" w:cs="Times New Roman"/>
          <w:u w:val="single"/>
        </w:rPr>
        <w:t>Įspėjimas</w:t>
      </w:r>
    </w:p>
    <w:p w14:paraId="1CE02966"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t>GALI SUKELTI SUNKIUS APSIGIMIMUS</w:t>
      </w:r>
    </w:p>
    <w:p w14:paraId="5EA0FF93"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t>Moteris privalo naudotis veiksminga kontracepcija</w:t>
      </w:r>
    </w:p>
    <w:p w14:paraId="61799C37"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t>Nevartokite, jeigu esate nėščia arba manote, kad galbūt esate nėščia</w:t>
      </w:r>
    </w:p>
    <w:p w14:paraId="640B5FA8" w14:textId="77777777" w:rsidR="000A6DE2" w:rsidRDefault="000A6DE2" w:rsidP="007E07AA">
      <w:pPr>
        <w:spacing w:after="0" w:line="240" w:lineRule="auto"/>
        <w:ind w:left="567" w:hanging="567"/>
        <w:jc w:val="center"/>
        <w:rPr>
          <w:rFonts w:ascii="Times New Roman" w:eastAsia="Calibri" w:hAnsi="Times New Roman" w:cs="Times New Roman"/>
        </w:rPr>
      </w:pPr>
    </w:p>
    <w:p w14:paraId="73BE95F8" w14:textId="77777777" w:rsidR="000A6DE2" w:rsidRDefault="000A6DE2" w:rsidP="007E07AA">
      <w:pPr>
        <w:spacing w:after="0" w:line="240" w:lineRule="auto"/>
        <w:ind w:left="567" w:hanging="567"/>
        <w:jc w:val="center"/>
        <w:rPr>
          <w:rFonts w:ascii="Times New Roman" w:eastAsia="Calibri" w:hAnsi="Times New Roman" w:cs="Times New Roman"/>
        </w:rPr>
      </w:pPr>
    </w:p>
    <w:p w14:paraId="2C5A0991" w14:textId="77777777" w:rsidR="000A6DE2" w:rsidRDefault="000A6DE2" w:rsidP="007E07AA">
      <w:pPr>
        <w:spacing w:after="0" w:line="240" w:lineRule="auto"/>
        <w:ind w:left="567" w:hanging="567"/>
        <w:jc w:val="center"/>
        <w:rPr>
          <w:rFonts w:ascii="Times New Roman" w:eastAsia="Calibri" w:hAnsi="Times New Roman" w:cs="Times New Roman"/>
        </w:rPr>
      </w:pPr>
    </w:p>
    <w:p w14:paraId="19C7FC98" w14:textId="77777777" w:rsidR="000A6DE2" w:rsidRDefault="000A6DE2" w:rsidP="007E07AA">
      <w:pPr>
        <w:spacing w:after="0" w:line="240" w:lineRule="auto"/>
        <w:ind w:left="567" w:hanging="567"/>
        <w:jc w:val="center"/>
        <w:rPr>
          <w:rFonts w:ascii="Times New Roman" w:eastAsia="Calibri" w:hAnsi="Times New Roman" w:cs="Times New Roman"/>
        </w:rPr>
      </w:pPr>
    </w:p>
    <w:p w14:paraId="259BC548" w14:textId="77777777" w:rsidR="000A6DE2" w:rsidRDefault="000A6DE2" w:rsidP="007E07AA">
      <w:pPr>
        <w:spacing w:after="0" w:line="240" w:lineRule="auto"/>
        <w:ind w:left="567" w:hanging="567"/>
        <w:jc w:val="center"/>
        <w:rPr>
          <w:rFonts w:ascii="Times New Roman" w:eastAsia="Calibri" w:hAnsi="Times New Roman" w:cs="Times New Roman"/>
        </w:rPr>
      </w:pPr>
    </w:p>
    <w:p w14:paraId="751F0A4F" w14:textId="77777777" w:rsidR="000A6DE2" w:rsidRDefault="000A6DE2" w:rsidP="007E07AA">
      <w:pPr>
        <w:spacing w:after="0" w:line="240" w:lineRule="auto"/>
        <w:ind w:left="567" w:hanging="567"/>
        <w:jc w:val="center"/>
        <w:rPr>
          <w:rFonts w:ascii="Times New Roman" w:eastAsia="Calibri" w:hAnsi="Times New Roman" w:cs="Times New Roman"/>
        </w:rPr>
      </w:pPr>
    </w:p>
    <w:p w14:paraId="7835CD9C" w14:textId="77777777" w:rsidR="000A6DE2" w:rsidRDefault="000A6DE2" w:rsidP="007E07AA">
      <w:pPr>
        <w:spacing w:after="0" w:line="240" w:lineRule="auto"/>
        <w:ind w:left="567" w:hanging="567"/>
        <w:jc w:val="center"/>
        <w:rPr>
          <w:rFonts w:ascii="Times New Roman" w:eastAsia="Calibri" w:hAnsi="Times New Roman" w:cs="Times New Roman"/>
        </w:rPr>
      </w:pPr>
    </w:p>
    <w:p w14:paraId="6BE010AC" w14:textId="77777777" w:rsidR="000A6DE2" w:rsidRDefault="000A6DE2" w:rsidP="007E07AA">
      <w:pPr>
        <w:spacing w:after="0" w:line="240" w:lineRule="auto"/>
        <w:ind w:left="567" w:hanging="567"/>
        <w:jc w:val="center"/>
        <w:rPr>
          <w:rFonts w:ascii="Times New Roman" w:eastAsia="Calibri" w:hAnsi="Times New Roman" w:cs="Times New Roman"/>
        </w:rPr>
      </w:pPr>
    </w:p>
    <w:p w14:paraId="479758AF" w14:textId="77777777" w:rsidR="000A6DE2" w:rsidRDefault="000A6DE2" w:rsidP="007E07AA">
      <w:pPr>
        <w:spacing w:after="0" w:line="240" w:lineRule="auto"/>
        <w:ind w:left="567" w:hanging="567"/>
        <w:jc w:val="center"/>
        <w:rPr>
          <w:rFonts w:ascii="Times New Roman" w:eastAsia="Calibri" w:hAnsi="Times New Roman" w:cs="Times New Roman"/>
        </w:rPr>
      </w:pPr>
    </w:p>
    <w:p w14:paraId="5D90E2D4" w14:textId="77777777" w:rsidR="000A6DE2" w:rsidRDefault="000A6DE2" w:rsidP="007E07AA">
      <w:pPr>
        <w:spacing w:after="0" w:line="240" w:lineRule="auto"/>
        <w:ind w:left="567" w:hanging="567"/>
        <w:jc w:val="center"/>
        <w:rPr>
          <w:rFonts w:ascii="Times New Roman" w:eastAsia="Calibri" w:hAnsi="Times New Roman" w:cs="Times New Roman"/>
        </w:rPr>
      </w:pPr>
    </w:p>
    <w:p w14:paraId="255E5C23" w14:textId="77777777" w:rsidR="000A6DE2" w:rsidRDefault="000A6DE2" w:rsidP="007E07AA">
      <w:pPr>
        <w:spacing w:after="0" w:line="240" w:lineRule="auto"/>
        <w:ind w:left="567" w:hanging="567"/>
        <w:jc w:val="center"/>
        <w:rPr>
          <w:rFonts w:ascii="Times New Roman" w:eastAsia="Calibri" w:hAnsi="Times New Roman" w:cs="Times New Roman"/>
        </w:rPr>
      </w:pPr>
    </w:p>
    <w:p w14:paraId="43C8BE75" w14:textId="77777777" w:rsidR="000A6DE2" w:rsidRDefault="000A6DE2" w:rsidP="007E07AA">
      <w:pPr>
        <w:spacing w:after="0" w:line="240" w:lineRule="auto"/>
        <w:ind w:left="567" w:hanging="567"/>
        <w:jc w:val="center"/>
        <w:rPr>
          <w:rFonts w:ascii="Times New Roman" w:eastAsia="Calibri" w:hAnsi="Times New Roman" w:cs="Times New Roman"/>
        </w:rPr>
      </w:pPr>
    </w:p>
    <w:p w14:paraId="28281768" w14:textId="77777777" w:rsidR="000A6DE2" w:rsidRDefault="000A6DE2" w:rsidP="007E07AA">
      <w:pPr>
        <w:spacing w:after="0" w:line="240" w:lineRule="auto"/>
        <w:ind w:left="567" w:hanging="567"/>
        <w:jc w:val="center"/>
        <w:rPr>
          <w:rFonts w:ascii="Times New Roman" w:eastAsia="Calibri" w:hAnsi="Times New Roman" w:cs="Times New Roman"/>
        </w:rPr>
      </w:pPr>
    </w:p>
    <w:p w14:paraId="757F31E8" w14:textId="77777777" w:rsidR="000A6DE2" w:rsidRDefault="000A6DE2" w:rsidP="007E07AA">
      <w:pPr>
        <w:spacing w:after="0" w:line="240" w:lineRule="auto"/>
        <w:ind w:left="567" w:hanging="567"/>
        <w:jc w:val="center"/>
        <w:rPr>
          <w:rFonts w:ascii="Times New Roman" w:eastAsia="Calibri" w:hAnsi="Times New Roman" w:cs="Times New Roman"/>
        </w:rPr>
      </w:pPr>
    </w:p>
    <w:p w14:paraId="47D30848" w14:textId="77777777" w:rsidR="000A6DE2" w:rsidRDefault="000A6DE2" w:rsidP="007E07AA">
      <w:pPr>
        <w:spacing w:after="0" w:line="240" w:lineRule="auto"/>
        <w:ind w:left="567" w:hanging="567"/>
        <w:jc w:val="center"/>
        <w:rPr>
          <w:rFonts w:ascii="Times New Roman" w:eastAsia="Calibri" w:hAnsi="Times New Roman" w:cs="Times New Roman"/>
        </w:rPr>
      </w:pPr>
    </w:p>
    <w:p w14:paraId="1EF922C9" w14:textId="77777777" w:rsidR="000A6DE2" w:rsidRDefault="000A6DE2" w:rsidP="007E07AA">
      <w:pPr>
        <w:spacing w:after="0" w:line="240" w:lineRule="auto"/>
        <w:ind w:left="567" w:hanging="567"/>
        <w:jc w:val="center"/>
        <w:rPr>
          <w:rFonts w:ascii="Times New Roman" w:eastAsia="Calibri" w:hAnsi="Times New Roman" w:cs="Times New Roman"/>
        </w:rPr>
      </w:pPr>
    </w:p>
    <w:p w14:paraId="73E026AD" w14:textId="77777777" w:rsidR="000A6DE2" w:rsidRDefault="000A6DE2" w:rsidP="007E07AA">
      <w:pPr>
        <w:spacing w:after="0" w:line="240" w:lineRule="auto"/>
        <w:ind w:left="567" w:hanging="567"/>
        <w:jc w:val="center"/>
        <w:rPr>
          <w:rFonts w:ascii="Times New Roman" w:eastAsia="Calibri" w:hAnsi="Times New Roman" w:cs="Times New Roman"/>
        </w:rPr>
      </w:pPr>
    </w:p>
    <w:p w14:paraId="0D16F9F5" w14:textId="77777777" w:rsidR="000A6DE2" w:rsidRDefault="000A6DE2" w:rsidP="007E07AA">
      <w:pPr>
        <w:spacing w:after="0" w:line="240" w:lineRule="auto"/>
        <w:ind w:left="567" w:hanging="567"/>
        <w:jc w:val="center"/>
        <w:rPr>
          <w:rFonts w:ascii="Times New Roman" w:eastAsia="Calibri" w:hAnsi="Times New Roman" w:cs="Times New Roman"/>
        </w:rPr>
      </w:pPr>
    </w:p>
    <w:p w14:paraId="5728B249" w14:textId="77777777" w:rsidR="000A6DE2" w:rsidRDefault="000A6DE2" w:rsidP="007E07AA">
      <w:pPr>
        <w:spacing w:after="0" w:line="240" w:lineRule="auto"/>
        <w:ind w:left="567" w:hanging="567"/>
        <w:jc w:val="center"/>
        <w:rPr>
          <w:rFonts w:ascii="Times New Roman" w:eastAsia="Calibri" w:hAnsi="Times New Roman" w:cs="Times New Roman"/>
        </w:rPr>
      </w:pPr>
    </w:p>
    <w:p w14:paraId="41FF0BC5" w14:textId="77777777" w:rsidR="000A6DE2" w:rsidRDefault="000A6DE2" w:rsidP="007E07AA">
      <w:pPr>
        <w:spacing w:after="0" w:line="240" w:lineRule="auto"/>
        <w:ind w:left="567" w:hanging="567"/>
        <w:jc w:val="center"/>
        <w:rPr>
          <w:rFonts w:ascii="Times New Roman" w:eastAsia="Calibri" w:hAnsi="Times New Roman" w:cs="Times New Roman"/>
        </w:rPr>
      </w:pPr>
    </w:p>
    <w:p w14:paraId="1230AD87" w14:textId="77777777" w:rsidR="000A6DE2" w:rsidRDefault="000A6DE2" w:rsidP="007E07AA">
      <w:pPr>
        <w:spacing w:after="0" w:line="240" w:lineRule="auto"/>
        <w:ind w:left="567" w:hanging="567"/>
        <w:jc w:val="center"/>
        <w:rPr>
          <w:rFonts w:ascii="Times New Roman" w:eastAsia="Calibri" w:hAnsi="Times New Roman" w:cs="Times New Roman"/>
        </w:rPr>
      </w:pPr>
    </w:p>
    <w:p w14:paraId="27FF6117" w14:textId="77777777" w:rsidR="000A6DE2" w:rsidRDefault="000A6DE2" w:rsidP="007E07AA">
      <w:pPr>
        <w:spacing w:after="0" w:line="240" w:lineRule="auto"/>
        <w:ind w:left="567" w:hanging="567"/>
        <w:jc w:val="center"/>
        <w:rPr>
          <w:rFonts w:ascii="Times New Roman" w:eastAsia="Calibri" w:hAnsi="Times New Roman" w:cs="Times New Roman"/>
        </w:rPr>
      </w:pPr>
    </w:p>
    <w:p w14:paraId="27BC4AA3" w14:textId="77777777" w:rsidR="000A6DE2" w:rsidRDefault="000A6DE2" w:rsidP="007E07AA">
      <w:pPr>
        <w:spacing w:after="0" w:line="240" w:lineRule="auto"/>
        <w:ind w:left="567" w:hanging="567"/>
        <w:jc w:val="center"/>
        <w:rPr>
          <w:rFonts w:ascii="Times New Roman" w:eastAsia="Calibri" w:hAnsi="Times New Roman" w:cs="Times New Roman"/>
        </w:rPr>
      </w:pPr>
    </w:p>
    <w:p w14:paraId="69BEA539" w14:textId="77777777" w:rsidR="000A6DE2" w:rsidRDefault="000A6DE2" w:rsidP="007E07AA">
      <w:pPr>
        <w:spacing w:after="0" w:line="240" w:lineRule="auto"/>
        <w:ind w:left="567" w:hanging="567"/>
        <w:jc w:val="center"/>
        <w:rPr>
          <w:rFonts w:ascii="Times New Roman" w:eastAsia="Calibri" w:hAnsi="Times New Roman" w:cs="Times New Roman"/>
        </w:rPr>
      </w:pPr>
    </w:p>
    <w:p w14:paraId="5A63E425"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rPr>
      </w:pPr>
    </w:p>
    <w:p w14:paraId="4534438C"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rPr>
      </w:pPr>
      <w:r w:rsidRPr="000A6DE2">
        <w:rPr>
          <w:rFonts w:ascii="Times New Roman" w:eastAsia="Calibri" w:hAnsi="Times New Roman" w:cs="Times New Roman"/>
          <w:b/>
          <w:caps/>
        </w:rPr>
        <w:t xml:space="preserve">Informacija ant </w:t>
      </w:r>
      <w:r w:rsidRPr="004E403C">
        <w:rPr>
          <w:rFonts w:ascii="Times New Roman" w:hAnsi="Times New Roman"/>
          <w:b/>
        </w:rPr>
        <w:t>IŠORINĖS</w:t>
      </w:r>
      <w:r w:rsidRPr="004E403C">
        <w:rPr>
          <w:rFonts w:ascii="Times New Roman" w:hAnsi="Times New Roman"/>
          <w:b/>
          <w:caps/>
        </w:rPr>
        <w:t xml:space="preserve"> pakuotės</w:t>
      </w:r>
    </w:p>
    <w:p w14:paraId="01101F1D"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rPr>
      </w:pPr>
    </w:p>
    <w:p w14:paraId="6286596D"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KartONO DĖŽUTĖ</w:t>
      </w:r>
    </w:p>
    <w:p w14:paraId="572185C9" w14:textId="77777777" w:rsidR="000A6DE2" w:rsidRPr="000A6DE2" w:rsidRDefault="000A6DE2" w:rsidP="000A6DE2">
      <w:pPr>
        <w:spacing w:after="0" w:line="240" w:lineRule="auto"/>
        <w:ind w:left="567" w:hanging="567"/>
        <w:rPr>
          <w:rFonts w:ascii="Times New Roman" w:eastAsia="Calibri" w:hAnsi="Times New Roman" w:cs="Times New Roman"/>
        </w:rPr>
      </w:pPr>
    </w:p>
    <w:p w14:paraId="3C16577F" w14:textId="77777777" w:rsidR="000A6DE2" w:rsidRPr="000A6DE2" w:rsidRDefault="000A6DE2" w:rsidP="000A6DE2">
      <w:pPr>
        <w:spacing w:after="0" w:line="240" w:lineRule="auto"/>
        <w:ind w:left="567" w:hanging="567"/>
        <w:rPr>
          <w:rFonts w:ascii="Times New Roman" w:eastAsia="Calibri" w:hAnsi="Times New Roman" w:cs="Times New Roman"/>
        </w:rPr>
      </w:pPr>
    </w:p>
    <w:p w14:paraId="4027770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w:t>
      </w:r>
      <w:r w:rsidRPr="000A6DE2">
        <w:rPr>
          <w:rFonts w:ascii="Times New Roman" w:eastAsia="Calibri" w:hAnsi="Times New Roman" w:cs="Times New Roman"/>
          <w:b/>
          <w:caps/>
        </w:rPr>
        <w:tab/>
        <w:t>vaistinio preparato pavadinimas</w:t>
      </w:r>
    </w:p>
    <w:p w14:paraId="450F3EB5" w14:textId="77777777" w:rsidR="000A6DE2" w:rsidRPr="000A6DE2" w:rsidRDefault="000A6DE2" w:rsidP="000A6DE2">
      <w:pPr>
        <w:spacing w:after="0" w:line="240" w:lineRule="auto"/>
        <w:ind w:left="567" w:hanging="567"/>
        <w:rPr>
          <w:rFonts w:ascii="Times New Roman" w:eastAsia="Calibri" w:hAnsi="Times New Roman" w:cs="Times New Roman"/>
        </w:rPr>
      </w:pPr>
    </w:p>
    <w:p w14:paraId="74E591CC"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Roaccutane 20 mg minkštosio</w:t>
      </w:r>
      <w:r w:rsidRPr="000A6DE2">
        <w:rPr>
          <w:rFonts w:ascii="Times New Roman" w:eastAsia="Calibri" w:hAnsi="Times New Roman" w:cs="Times New Roman"/>
          <w:lang w:val="en-US"/>
        </w:rPr>
        <w:t xml:space="preserve">s </w:t>
      </w:r>
      <w:proofErr w:type="spellStart"/>
      <w:r w:rsidRPr="000A6DE2">
        <w:rPr>
          <w:rFonts w:ascii="Times New Roman" w:eastAsia="Calibri" w:hAnsi="Times New Roman" w:cs="Times New Roman"/>
          <w:lang w:val="en-US"/>
        </w:rPr>
        <w:t>kapsulės</w:t>
      </w:r>
      <w:proofErr w:type="spellEnd"/>
    </w:p>
    <w:p w14:paraId="26173C77"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isotretinoinum</w:t>
      </w:r>
    </w:p>
    <w:p w14:paraId="647776B9" w14:textId="77777777" w:rsidR="000A6DE2" w:rsidRPr="000A6DE2" w:rsidRDefault="000A6DE2" w:rsidP="000A6DE2">
      <w:pPr>
        <w:spacing w:after="0" w:line="240" w:lineRule="auto"/>
        <w:ind w:left="567" w:hanging="567"/>
        <w:rPr>
          <w:rFonts w:ascii="Times New Roman" w:eastAsia="Calibri" w:hAnsi="Times New Roman" w:cs="Times New Roman"/>
        </w:rPr>
      </w:pPr>
    </w:p>
    <w:p w14:paraId="56127AB6" w14:textId="77777777" w:rsidR="000A6DE2" w:rsidRPr="000A6DE2" w:rsidRDefault="000A6DE2" w:rsidP="000A6DE2">
      <w:pPr>
        <w:spacing w:after="0" w:line="240" w:lineRule="auto"/>
        <w:ind w:left="567" w:hanging="567"/>
        <w:rPr>
          <w:rFonts w:ascii="Times New Roman" w:eastAsia="Calibri" w:hAnsi="Times New Roman" w:cs="Times New Roman"/>
        </w:rPr>
      </w:pPr>
    </w:p>
    <w:p w14:paraId="1DFA7A5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2.</w:t>
      </w:r>
      <w:r w:rsidRPr="000A6DE2">
        <w:rPr>
          <w:rFonts w:ascii="Times New Roman" w:eastAsia="Calibri" w:hAnsi="Times New Roman" w:cs="Times New Roman"/>
          <w:b/>
          <w:caps/>
        </w:rPr>
        <w:tab/>
        <w:t>veikliOJI medžiagA ir JOS kiekis</w:t>
      </w:r>
    </w:p>
    <w:p w14:paraId="2D348731"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53333AFE" w14:textId="77777777" w:rsidR="000A6DE2" w:rsidRPr="000A6DE2" w:rsidRDefault="000A6DE2" w:rsidP="000A6DE2">
      <w:pPr>
        <w:spacing w:after="0" w:line="240" w:lineRule="auto"/>
        <w:ind w:left="567" w:hanging="567"/>
        <w:rPr>
          <w:rFonts w:ascii="Times New Roman" w:eastAsia="Calibri" w:hAnsi="Times New Roman" w:cs="Times New Roman"/>
          <w:caps/>
          <w:lang w:eastAsia="lt-LT"/>
        </w:rPr>
      </w:pPr>
      <w:r w:rsidRPr="000A6DE2">
        <w:rPr>
          <w:rFonts w:ascii="Times New Roman" w:eastAsia="Calibri" w:hAnsi="Times New Roman" w:cs="Times New Roman"/>
        </w:rPr>
        <w:t>Kiekvienoje kapsulėje yra 20 mg izotretinoino.</w:t>
      </w:r>
    </w:p>
    <w:p w14:paraId="6F6AF418"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7523240B"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602AA66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3.</w:t>
      </w:r>
      <w:r w:rsidRPr="000A6DE2">
        <w:rPr>
          <w:rFonts w:ascii="Times New Roman" w:eastAsia="Calibri" w:hAnsi="Times New Roman" w:cs="Times New Roman"/>
          <w:b/>
          <w:caps/>
        </w:rPr>
        <w:tab/>
        <w:t>pagalbinių medžiagų sąrašas</w:t>
      </w:r>
    </w:p>
    <w:p w14:paraId="5F3F2A6A"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154B12A8" w14:textId="77777777" w:rsidR="000A6DE2" w:rsidRPr="000A6DE2" w:rsidRDefault="000A6DE2" w:rsidP="000A6DE2">
      <w:pPr>
        <w:spacing w:after="0" w:line="240" w:lineRule="auto"/>
        <w:rPr>
          <w:rFonts w:ascii="Times New Roman" w:eastAsia="Calibri" w:hAnsi="Times New Roman" w:cs="Times New Roman"/>
          <w:caps/>
          <w:lang w:eastAsia="lt-LT"/>
        </w:rPr>
      </w:pPr>
      <w:r w:rsidRPr="000A6DE2">
        <w:rPr>
          <w:rFonts w:ascii="Times New Roman" w:eastAsia="Calibri" w:hAnsi="Times New Roman" w:cs="Times New Roman"/>
        </w:rPr>
        <w:t>Sudėtyje yra rafinuoto sojų</w:t>
      </w:r>
      <w:r w:rsidRPr="000A6DE2">
        <w:t xml:space="preserve"> </w:t>
      </w:r>
      <w:r w:rsidRPr="000A6DE2">
        <w:rPr>
          <w:rFonts w:ascii="Times New Roman" w:eastAsia="Calibri" w:hAnsi="Times New Roman" w:cs="Times New Roman"/>
        </w:rPr>
        <w:t>aliejaus, hidrinto sojų</w:t>
      </w:r>
      <w:r w:rsidRPr="000A6DE2">
        <w:t xml:space="preserve"> </w:t>
      </w:r>
      <w:r w:rsidRPr="000A6DE2">
        <w:rPr>
          <w:rFonts w:ascii="Times New Roman" w:eastAsia="Calibri" w:hAnsi="Times New Roman" w:cs="Times New Roman"/>
        </w:rPr>
        <w:t>aliejaus, dalinai hidrinto sojų aliejaus ir sorbitolio (E420).</w:t>
      </w:r>
    </w:p>
    <w:p w14:paraId="7C176AF4"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296F0E20"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247DA24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4.</w:t>
      </w:r>
      <w:r w:rsidRPr="000A6DE2">
        <w:rPr>
          <w:rFonts w:ascii="Times New Roman" w:eastAsia="Calibri" w:hAnsi="Times New Roman" w:cs="Times New Roman"/>
          <w:b/>
          <w:caps/>
        </w:rPr>
        <w:tab/>
        <w:t>Farmacinė forma ir KIEKIS PAKUOTĖJE</w:t>
      </w:r>
    </w:p>
    <w:p w14:paraId="02C7C15C"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A0298CD" w14:textId="6696A970" w:rsidR="000A6DE2" w:rsidRPr="00C73014" w:rsidRDefault="000A6DE2" w:rsidP="000A6DE2">
      <w:pPr>
        <w:spacing w:after="0" w:line="240" w:lineRule="auto"/>
        <w:ind w:left="567" w:hanging="567"/>
        <w:rPr>
          <w:rFonts w:ascii="Times New Roman" w:eastAsia="Calibri" w:hAnsi="Times New Roman" w:cs="Times New Roman"/>
          <w:lang w:eastAsia="lt-LT"/>
        </w:rPr>
      </w:pPr>
      <w:r w:rsidRPr="00C73014">
        <w:rPr>
          <w:rFonts w:ascii="Times New Roman" w:eastAsia="Calibri" w:hAnsi="Times New Roman" w:cs="Times New Roman"/>
          <w:caps/>
        </w:rPr>
        <w:t>30</w:t>
      </w:r>
      <w:r w:rsidRPr="00E25AAE">
        <w:rPr>
          <w:rFonts w:ascii="Times New Roman" w:hAnsi="Times New Roman"/>
          <w:caps/>
        </w:rPr>
        <w:t xml:space="preserve"> </w:t>
      </w:r>
      <w:r w:rsidRPr="00E25AAE">
        <w:rPr>
          <w:rFonts w:ascii="Times New Roman" w:hAnsi="Times New Roman"/>
        </w:rPr>
        <w:t>minkštųjų kapsulių</w:t>
      </w:r>
    </w:p>
    <w:p w14:paraId="5072CF67"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5F8B7F41"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59DBC7B"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5.</w:t>
      </w:r>
      <w:r w:rsidRPr="000A6DE2">
        <w:rPr>
          <w:rFonts w:ascii="Times New Roman" w:eastAsia="Calibri" w:hAnsi="Times New Roman" w:cs="Times New Roman"/>
          <w:b/>
          <w:caps/>
        </w:rPr>
        <w:tab/>
        <w:t>vartojimo METODAS IR b</w:t>
      </w:r>
      <w:r w:rsidRPr="000A6DE2">
        <w:rPr>
          <w:rFonts w:ascii="Times New Roman" w:eastAsia="Calibri" w:hAnsi="Times New Roman" w:cs="Times New Roman"/>
          <w:b/>
          <w:caps/>
          <w:lang w:val="en-US"/>
        </w:rPr>
        <w:t>ūdas</w:t>
      </w:r>
    </w:p>
    <w:p w14:paraId="0F546253"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334CC100"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Vartoti per burną.</w:t>
      </w:r>
    </w:p>
    <w:p w14:paraId="2294F558"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Prieš vartojimą perskaitykite pakuotės lapelį.</w:t>
      </w:r>
    </w:p>
    <w:p w14:paraId="4794EA5D"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36EFD0DF"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292CC1B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eastAsia="lt-LT"/>
        </w:rPr>
      </w:pPr>
      <w:r w:rsidRPr="000A6DE2">
        <w:rPr>
          <w:rFonts w:ascii="Times New Roman" w:eastAsia="Calibri" w:hAnsi="Times New Roman" w:cs="Times New Roman"/>
          <w:b/>
          <w:caps/>
        </w:rPr>
        <w:t>6.</w:t>
      </w:r>
      <w:r w:rsidRPr="000A6DE2">
        <w:rPr>
          <w:rFonts w:ascii="Times New Roman" w:eastAsia="Calibri" w:hAnsi="Times New Roman" w:cs="Times New Roman"/>
          <w:b/>
          <w:caps/>
        </w:rPr>
        <w:tab/>
        <w:t>SPECIALUS Įspėjimas</w:t>
      </w:r>
      <w:r w:rsidRPr="000A6DE2">
        <w:rPr>
          <w:rFonts w:ascii="Times New Roman" w:eastAsia="Calibri" w:hAnsi="Times New Roman" w:cs="Times New Roman"/>
        </w:rPr>
        <w:t xml:space="preserve">, </w:t>
      </w:r>
      <w:r w:rsidRPr="000A6DE2">
        <w:rPr>
          <w:rFonts w:ascii="Times New Roman" w:eastAsia="Calibri" w:hAnsi="Times New Roman" w:cs="Times New Roman"/>
          <w:b/>
        </w:rPr>
        <w:t xml:space="preserve">KAD VAISTINĮ PREPARATĄ BŪTINA LAIKYTI </w:t>
      </w:r>
      <w:r w:rsidRPr="000A6DE2">
        <w:rPr>
          <w:rFonts w:ascii="Times New Roman" w:eastAsia="Calibri" w:hAnsi="Times New Roman" w:cs="Times New Roman"/>
          <w:b/>
          <w:caps/>
        </w:rPr>
        <w:t>vaikams nepastebimoje IR nepasiekiamoje vietoje</w:t>
      </w:r>
    </w:p>
    <w:p w14:paraId="351181D9" w14:textId="77777777" w:rsidR="000A6DE2" w:rsidRPr="000A6DE2" w:rsidRDefault="000A6DE2" w:rsidP="000A6DE2">
      <w:pPr>
        <w:spacing w:after="0" w:line="240" w:lineRule="auto"/>
        <w:ind w:left="567" w:hanging="567"/>
        <w:rPr>
          <w:rFonts w:ascii="Times New Roman" w:eastAsia="Calibri" w:hAnsi="Times New Roman" w:cs="Times New Roman"/>
        </w:rPr>
      </w:pPr>
    </w:p>
    <w:p w14:paraId="7BAF23EA"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 xml:space="preserve">Laikyti vaikams nepastebimoje ir </w:t>
      </w:r>
      <w:r w:rsidRPr="004E403C">
        <w:rPr>
          <w:rFonts w:ascii="Times New Roman" w:hAnsi="Times New Roman"/>
        </w:rPr>
        <w:t>nepasiekiamoje vietoje.</w:t>
      </w:r>
    </w:p>
    <w:p w14:paraId="0901D028" w14:textId="77777777" w:rsidR="000A6DE2" w:rsidRPr="000A6DE2" w:rsidRDefault="000A6DE2" w:rsidP="000A6DE2">
      <w:pPr>
        <w:spacing w:after="0" w:line="240" w:lineRule="auto"/>
        <w:ind w:left="567" w:hanging="567"/>
        <w:rPr>
          <w:rFonts w:ascii="Times New Roman" w:eastAsia="Calibri" w:hAnsi="Times New Roman" w:cs="Times New Roman"/>
        </w:rPr>
      </w:pPr>
    </w:p>
    <w:p w14:paraId="259B43A8" w14:textId="77777777" w:rsidR="000A6DE2" w:rsidRPr="000A6DE2" w:rsidRDefault="000A6DE2" w:rsidP="000A6DE2">
      <w:pPr>
        <w:spacing w:after="0" w:line="240" w:lineRule="auto"/>
        <w:ind w:left="567" w:hanging="567"/>
        <w:rPr>
          <w:rFonts w:ascii="Times New Roman" w:eastAsia="Calibri" w:hAnsi="Times New Roman" w:cs="Times New Roman"/>
        </w:rPr>
      </w:pPr>
    </w:p>
    <w:p w14:paraId="507F558D"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7.</w:t>
      </w:r>
      <w:r w:rsidRPr="000A6DE2">
        <w:rPr>
          <w:rFonts w:ascii="Times New Roman" w:eastAsia="Calibri" w:hAnsi="Times New Roman" w:cs="Times New Roman"/>
          <w:b/>
          <w:caps/>
        </w:rPr>
        <w:tab/>
        <w:t xml:space="preserve">kitas </w:t>
      </w:r>
      <w:r w:rsidRPr="000A6DE2">
        <w:rPr>
          <w:rFonts w:ascii="Times New Roman" w:eastAsia="Calibri" w:hAnsi="Times New Roman" w:cs="Times New Roman"/>
          <w:b/>
          <w:caps/>
          <w:lang w:val="en-US"/>
        </w:rPr>
        <w:t>specialus Įspėjimas (jei reikia)</w:t>
      </w:r>
    </w:p>
    <w:p w14:paraId="4001F40A" w14:textId="77777777" w:rsidR="000A6DE2" w:rsidRPr="000A6DE2" w:rsidRDefault="000A6DE2" w:rsidP="000A6DE2">
      <w:pPr>
        <w:spacing w:after="0" w:line="240" w:lineRule="auto"/>
        <w:ind w:left="567" w:hanging="567"/>
        <w:rPr>
          <w:rFonts w:ascii="Times New Roman" w:eastAsia="Calibri" w:hAnsi="Times New Roman" w:cs="Times New Roman"/>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8"/>
        <w:gridCol w:w="2166"/>
      </w:tblGrid>
      <w:tr w:rsidR="000A6DE2" w:rsidRPr="000A6DE2" w14:paraId="5D0EB762" w14:textId="77777777" w:rsidTr="007118A6">
        <w:tc>
          <w:tcPr>
            <w:tcW w:w="7054" w:type="dxa"/>
            <w:tcBorders>
              <w:top w:val="single" w:sz="18" w:space="0" w:color="auto"/>
              <w:left w:val="single" w:sz="18" w:space="0" w:color="auto"/>
              <w:bottom w:val="single" w:sz="18" w:space="0" w:color="auto"/>
              <w:right w:val="nil"/>
            </w:tcBorders>
          </w:tcPr>
          <w:p w14:paraId="25FBFA1A" w14:textId="77777777" w:rsidR="000A6DE2" w:rsidRPr="000A6DE2" w:rsidRDefault="000A6DE2" w:rsidP="000A6DE2">
            <w:pPr>
              <w:spacing w:after="140" w:line="280" w:lineRule="atLeast"/>
              <w:jc w:val="center"/>
              <w:rPr>
                <w:rFonts w:ascii="Times New Roman" w:eastAsia="Verdana" w:hAnsi="Times New Roman" w:cs="Times New Roman"/>
                <w:lang w:val="et" w:eastAsia="en-GB"/>
              </w:rPr>
            </w:pPr>
            <w:r w:rsidRPr="000A6DE2">
              <w:rPr>
                <w:rFonts w:ascii="Times New Roman" w:eastAsia="Verdana" w:hAnsi="Times New Roman" w:cs="Times New Roman"/>
                <w:b/>
                <w:szCs w:val="18"/>
                <w:lang w:eastAsia="en-GB"/>
              </w:rPr>
              <w:t>ĮSPĖJIMAS</w:t>
            </w:r>
          </w:p>
          <w:p w14:paraId="4EB68273" w14:textId="77777777" w:rsidR="000A6DE2" w:rsidRPr="000A6DE2" w:rsidRDefault="000A6DE2" w:rsidP="000A6DE2">
            <w:pPr>
              <w:spacing w:after="140" w:line="280" w:lineRule="atLeast"/>
              <w:jc w:val="both"/>
              <w:rPr>
                <w:rFonts w:ascii="Times New Roman" w:eastAsia="Verdana" w:hAnsi="Times New Roman" w:cs="Times New Roman"/>
                <w:bCs/>
                <w:lang w:val="et" w:eastAsia="en-GB"/>
              </w:rPr>
            </w:pPr>
            <w:r w:rsidRPr="000A6DE2">
              <w:rPr>
                <w:rFonts w:ascii="Times New Roman" w:eastAsia="Verdana" w:hAnsi="Times New Roman" w:cs="Times New Roman"/>
                <w:bCs/>
                <w:szCs w:val="18"/>
                <w:lang w:eastAsia="en-GB"/>
              </w:rPr>
              <w:t>GALI SUKELTI SUNKIUS APSIGIMIMUS</w:t>
            </w:r>
            <w:r w:rsidRPr="000A6DE2">
              <w:rPr>
                <w:rFonts w:ascii="Times New Roman" w:eastAsia="Verdana" w:hAnsi="Times New Roman" w:cs="Times New Roman"/>
                <w:lang w:val="et" w:eastAsia="en-GB"/>
              </w:rPr>
              <w:t>.</w:t>
            </w:r>
          </w:p>
          <w:p w14:paraId="4AB748CC" w14:textId="77777777" w:rsidR="000A6DE2" w:rsidRPr="000A6DE2" w:rsidRDefault="000A6DE2" w:rsidP="000A6DE2">
            <w:pPr>
              <w:spacing w:after="140" w:line="280" w:lineRule="atLeast"/>
              <w:jc w:val="both"/>
              <w:rPr>
                <w:rFonts w:ascii="Times New Roman" w:eastAsia="Verdana" w:hAnsi="Times New Roman" w:cs="Times New Roman"/>
                <w:bCs/>
                <w:lang w:val="et" w:eastAsia="en-GB"/>
              </w:rPr>
            </w:pPr>
            <w:r w:rsidRPr="000A6DE2">
              <w:rPr>
                <w:rFonts w:ascii="Times New Roman" w:eastAsia="Verdana" w:hAnsi="Times New Roman" w:cs="Times New Roman"/>
                <w:lang w:val="et" w:eastAsia="en-GB"/>
              </w:rPr>
              <w:t>Moteris privalo naudotis veiksminga kontracepcija.</w:t>
            </w:r>
          </w:p>
          <w:p w14:paraId="74709DD6" w14:textId="77777777" w:rsidR="000A6DE2" w:rsidRPr="000A6DE2" w:rsidRDefault="000A6DE2" w:rsidP="000A6DE2">
            <w:pPr>
              <w:spacing w:after="140" w:line="280" w:lineRule="atLeast"/>
              <w:jc w:val="both"/>
              <w:rPr>
                <w:rFonts w:ascii="Times New Roman" w:eastAsia="Verdana" w:hAnsi="Times New Roman" w:cs="Times New Roman"/>
                <w:bCs/>
                <w:lang w:val="et" w:eastAsia="en-GB"/>
              </w:rPr>
            </w:pPr>
            <w:r w:rsidRPr="000A6DE2">
              <w:rPr>
                <w:rFonts w:ascii="Times New Roman" w:eastAsia="Verdana" w:hAnsi="Times New Roman" w:cs="Times New Roman"/>
                <w:lang w:val="et" w:eastAsia="en-GB"/>
              </w:rPr>
              <w:t>Nevartokite, jeigu esate nėščia arba manote, kad galbūt esate nėščia.</w:t>
            </w:r>
          </w:p>
        </w:tc>
        <w:tc>
          <w:tcPr>
            <w:tcW w:w="2157" w:type="dxa"/>
            <w:tcBorders>
              <w:top w:val="single" w:sz="18" w:space="0" w:color="auto"/>
              <w:left w:val="nil"/>
              <w:bottom w:val="single" w:sz="18" w:space="0" w:color="auto"/>
              <w:right w:val="single" w:sz="18" w:space="0" w:color="auto"/>
            </w:tcBorders>
            <w:vAlign w:val="center"/>
          </w:tcPr>
          <w:p w14:paraId="1F6411E1" w14:textId="77777777" w:rsidR="000A6DE2" w:rsidRPr="000A6DE2" w:rsidRDefault="000A6DE2" w:rsidP="000A6DE2">
            <w:pPr>
              <w:spacing w:after="0" w:line="240" w:lineRule="auto"/>
              <w:jc w:val="center"/>
              <w:rPr>
                <w:rFonts w:ascii="Times New Roman" w:eastAsia="Times New Roman" w:hAnsi="Times New Roman" w:cs="Times New Roman"/>
                <w:noProof/>
                <w:lang w:val="et-EE"/>
              </w:rPr>
            </w:pPr>
            <w:r w:rsidRPr="000A6DE2">
              <w:rPr>
                <w:rFonts w:ascii="Times New Roman" w:eastAsia="Times New Roman" w:hAnsi="Times New Roman" w:cs="Times New Roman"/>
                <w:noProof/>
                <w:lang w:eastAsia="lt-LT"/>
              </w:rPr>
              <w:drawing>
                <wp:inline distT="0" distB="0" distL="0" distR="0" wp14:anchorId="70382B4C" wp14:editId="35E1E97D">
                  <wp:extent cx="1228725" cy="1085850"/>
                  <wp:effectExtent l="0" t="0" r="9525" b="0"/>
                  <wp:docPr id="4" name="Paveikslėlis 4"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p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189E11DB"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31FBD94"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rPr>
        <w:t>Sudėtyje yra rafinuoto sojų aliejaus, hidrinto sojų aliejaus ir dalinai hidrinto sojų aliejaus. Jeigu esat</w:t>
      </w:r>
      <w:r w:rsidRPr="004E403C">
        <w:rPr>
          <w:rFonts w:ascii="Times New Roman" w:hAnsi="Times New Roman"/>
        </w:rPr>
        <w:t>e alergiški žemės riešutams arba sojai, šio vaisto nevartokite.</w:t>
      </w:r>
    </w:p>
    <w:p w14:paraId="73B88106" w14:textId="77777777" w:rsidR="000A6DE2" w:rsidRPr="000A6DE2" w:rsidRDefault="000A6DE2" w:rsidP="000A6DE2">
      <w:pPr>
        <w:spacing w:after="0" w:line="240" w:lineRule="auto"/>
        <w:rPr>
          <w:rFonts w:ascii="Times New Roman" w:eastAsia="Calibri" w:hAnsi="Times New Roman" w:cs="Times New Roman"/>
          <w:caps/>
        </w:rPr>
      </w:pPr>
    </w:p>
    <w:p w14:paraId="083AAE1C"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E361401"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8.</w:t>
      </w:r>
      <w:r w:rsidRPr="000A6DE2">
        <w:rPr>
          <w:rFonts w:ascii="Times New Roman" w:eastAsia="Calibri" w:hAnsi="Times New Roman" w:cs="Times New Roman"/>
          <w:b/>
          <w:caps/>
        </w:rPr>
        <w:tab/>
        <w:t>tinkamumo laikas</w:t>
      </w:r>
    </w:p>
    <w:p w14:paraId="0BAA4E2C" w14:textId="77777777" w:rsidR="000A6DE2" w:rsidRPr="000A6DE2" w:rsidRDefault="000A6DE2" w:rsidP="000A6DE2">
      <w:pPr>
        <w:spacing w:after="0" w:line="240" w:lineRule="auto"/>
        <w:ind w:left="567" w:hanging="567"/>
        <w:rPr>
          <w:rFonts w:ascii="Times New Roman" w:eastAsia="Calibri" w:hAnsi="Times New Roman" w:cs="Times New Roman"/>
        </w:rPr>
      </w:pPr>
    </w:p>
    <w:p w14:paraId="1F859F5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Tinka iki {MMMM/mm}</w:t>
      </w:r>
    </w:p>
    <w:p w14:paraId="643F8129" w14:textId="77777777" w:rsidR="000A6DE2" w:rsidRPr="000A6DE2" w:rsidRDefault="000A6DE2" w:rsidP="000A6DE2">
      <w:pPr>
        <w:spacing w:after="0" w:line="240" w:lineRule="auto"/>
        <w:ind w:left="567" w:hanging="567"/>
        <w:rPr>
          <w:rFonts w:ascii="Times New Roman" w:eastAsia="Calibri" w:hAnsi="Times New Roman" w:cs="Times New Roman"/>
        </w:rPr>
      </w:pPr>
    </w:p>
    <w:p w14:paraId="734ADB95" w14:textId="77777777" w:rsidR="000A6DE2" w:rsidRPr="000A6DE2" w:rsidRDefault="000A6DE2" w:rsidP="000A6DE2">
      <w:pPr>
        <w:spacing w:after="0" w:line="240" w:lineRule="auto"/>
        <w:ind w:left="567" w:hanging="567"/>
        <w:rPr>
          <w:rFonts w:ascii="Times New Roman" w:eastAsia="Calibri" w:hAnsi="Times New Roman" w:cs="Times New Roman"/>
        </w:rPr>
      </w:pPr>
    </w:p>
    <w:p w14:paraId="19D6CD3B"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9.</w:t>
      </w:r>
      <w:r w:rsidRPr="000A6DE2">
        <w:rPr>
          <w:rFonts w:ascii="Times New Roman" w:eastAsia="Calibri" w:hAnsi="Times New Roman" w:cs="Times New Roman"/>
          <w:b/>
          <w:caps/>
        </w:rPr>
        <w:tab/>
        <w:t>SPECIALIOS laikymo sąlygos</w:t>
      </w:r>
    </w:p>
    <w:p w14:paraId="608C0BB3" w14:textId="77777777" w:rsidR="000A6DE2" w:rsidRPr="000A6DE2" w:rsidRDefault="000A6DE2" w:rsidP="000A6DE2">
      <w:pPr>
        <w:spacing w:after="0" w:line="240" w:lineRule="auto"/>
        <w:rPr>
          <w:rFonts w:ascii="Times New Roman" w:eastAsia="Calibri" w:hAnsi="Times New Roman" w:cs="Times New Roman"/>
        </w:rPr>
      </w:pPr>
    </w:p>
    <w:p w14:paraId="77A9C5D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Laikyti ne aukštesnėje kaip 25 </w:t>
      </w:r>
      <w:r w:rsidRPr="000A6DE2">
        <w:rPr>
          <w:rFonts w:ascii="Times New Roman" w:eastAsia="Calibri" w:hAnsi="Times New Roman" w:cs="Times New Roman"/>
        </w:rPr>
        <w:sym w:font="Symbol" w:char="00B0"/>
      </w:r>
      <w:r w:rsidRPr="000A6DE2">
        <w:rPr>
          <w:rFonts w:ascii="Times New Roman" w:eastAsia="Calibri" w:hAnsi="Times New Roman" w:cs="Times New Roman"/>
        </w:rPr>
        <w:t>C temperatūroje.</w:t>
      </w:r>
    </w:p>
    <w:p w14:paraId="4718A87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Laikyti gamintojo pakuotėje.</w:t>
      </w:r>
    </w:p>
    <w:p w14:paraId="1802EC5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Lizdines plokšteles laikyti išorinėje dėžutėje, kad vaistas būtų apsaugotas nuo drėgmės ir šviesos.</w:t>
      </w:r>
    </w:p>
    <w:p w14:paraId="43309D2B" w14:textId="77777777" w:rsidR="000A6DE2" w:rsidRPr="000A6DE2" w:rsidRDefault="000A6DE2" w:rsidP="000A6DE2">
      <w:pPr>
        <w:spacing w:after="0" w:line="240" w:lineRule="auto"/>
        <w:rPr>
          <w:rFonts w:ascii="Times New Roman" w:eastAsia="Calibri" w:hAnsi="Times New Roman" w:cs="Times New Roman"/>
          <w:highlight w:val="lightGray"/>
        </w:rPr>
      </w:pPr>
    </w:p>
    <w:p w14:paraId="3B0A47DF" w14:textId="77777777" w:rsidR="000A6DE2" w:rsidRPr="000A6DE2" w:rsidRDefault="000A6DE2" w:rsidP="000A6DE2">
      <w:pPr>
        <w:spacing w:after="0" w:line="240" w:lineRule="auto"/>
        <w:ind w:left="567" w:hanging="567"/>
        <w:rPr>
          <w:rFonts w:ascii="Times New Roman" w:eastAsia="Calibri" w:hAnsi="Times New Roman" w:cs="Times New Roman"/>
        </w:rPr>
      </w:pPr>
    </w:p>
    <w:p w14:paraId="14741A45"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10.</w:t>
      </w:r>
      <w:r w:rsidRPr="000A6DE2">
        <w:rPr>
          <w:rFonts w:ascii="Times New Roman" w:eastAsia="Calibri" w:hAnsi="Times New Roman" w:cs="Times New Roman"/>
          <w:b/>
          <w:caps/>
        </w:rPr>
        <w:tab/>
        <w:t xml:space="preserve">specialios </w:t>
      </w:r>
      <w:r w:rsidRPr="004E403C">
        <w:rPr>
          <w:rFonts w:ascii="Times New Roman" w:hAnsi="Times New Roman"/>
          <w:b/>
          <w:caps/>
        </w:rPr>
        <w:t>atsargumo priemonės Dėl nesuvartoto VAISTINIO PREPARATO ar Jo ATLIEKų tvarkymo</w:t>
      </w:r>
      <w:r w:rsidRPr="004E403C">
        <w:rPr>
          <w:rFonts w:ascii="Times New Roman" w:hAnsi="Times New Roman"/>
          <w:caps/>
        </w:rPr>
        <w:t xml:space="preserve"> </w:t>
      </w:r>
      <w:r w:rsidRPr="004E403C">
        <w:rPr>
          <w:rFonts w:ascii="Times New Roman" w:hAnsi="Times New Roman"/>
          <w:b/>
          <w:caps/>
        </w:rPr>
        <w:t>(jei reikia)</w:t>
      </w:r>
    </w:p>
    <w:p w14:paraId="45207DE4"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A8A6FD8"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Nesuvartotas kapsules grąžinkite vaistininkui.</w:t>
      </w:r>
    </w:p>
    <w:p w14:paraId="7BF1670A"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770AE5F6"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78250DF8"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11.</w:t>
      </w:r>
      <w:r w:rsidRPr="000A6DE2">
        <w:rPr>
          <w:rFonts w:ascii="Times New Roman" w:eastAsia="Calibri" w:hAnsi="Times New Roman" w:cs="Times New Roman"/>
          <w:b/>
          <w:caps/>
        </w:rPr>
        <w:tab/>
        <w:t>REGISTRUOTOJO</w:t>
      </w:r>
      <w:r w:rsidRPr="004E403C">
        <w:rPr>
          <w:rFonts w:ascii="Times New Roman" w:hAnsi="Times New Roman"/>
          <w:b/>
          <w:caps/>
          <w:lang w:val="fr-CA"/>
        </w:rPr>
        <w:t xml:space="preserve"> pavadinimas ir adresas</w:t>
      </w:r>
    </w:p>
    <w:p w14:paraId="4095C9D2"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17A2D599" w14:textId="77777777" w:rsidR="007E33B2" w:rsidRDefault="007E33B2" w:rsidP="007E33B2">
      <w:pPr>
        <w:spacing w:after="0" w:line="240" w:lineRule="auto"/>
        <w:rPr>
          <w:rFonts w:ascii="Times New Roman" w:eastAsia="Calibri" w:hAnsi="Times New Roman" w:cs="Times New Roman"/>
        </w:rPr>
      </w:pPr>
      <w:r>
        <w:rPr>
          <w:rFonts w:ascii="Times New Roman" w:eastAsia="Calibri" w:hAnsi="Times New Roman" w:cs="Times New Roman"/>
        </w:rPr>
        <w:t>CHEPLAPHARM Registration GmbH</w:t>
      </w:r>
    </w:p>
    <w:p w14:paraId="5CE90341" w14:textId="77777777" w:rsidR="007E33B2" w:rsidRDefault="007E33B2" w:rsidP="007E33B2">
      <w:pPr>
        <w:spacing w:after="0" w:line="240" w:lineRule="auto"/>
        <w:rPr>
          <w:rFonts w:ascii="Times New Roman" w:eastAsia="Calibri" w:hAnsi="Times New Roman" w:cs="Times New Roman"/>
        </w:rPr>
      </w:pPr>
      <w:r>
        <w:rPr>
          <w:rFonts w:ascii="Times New Roman" w:eastAsia="Calibri" w:hAnsi="Times New Roman" w:cs="Times New Roman"/>
        </w:rPr>
        <w:t>Weiler Straße 5e</w:t>
      </w:r>
    </w:p>
    <w:p w14:paraId="722EC90D" w14:textId="77777777" w:rsidR="007E33B2" w:rsidRDefault="007E33B2" w:rsidP="007E33B2">
      <w:pPr>
        <w:spacing w:after="0" w:line="240" w:lineRule="auto"/>
        <w:rPr>
          <w:rFonts w:ascii="Times New Roman" w:eastAsia="Calibri" w:hAnsi="Times New Roman" w:cs="Times New Roman"/>
        </w:rPr>
      </w:pPr>
      <w:r>
        <w:rPr>
          <w:rFonts w:ascii="Times New Roman" w:eastAsia="Calibri" w:hAnsi="Times New Roman" w:cs="Times New Roman"/>
        </w:rPr>
        <w:t>79540 Lörrach</w:t>
      </w:r>
    </w:p>
    <w:p w14:paraId="07E3DBE8" w14:textId="77777777" w:rsidR="007E33B2" w:rsidRDefault="007E33B2" w:rsidP="007E33B2">
      <w:pPr>
        <w:spacing w:after="0" w:line="240" w:lineRule="auto"/>
        <w:rPr>
          <w:rFonts w:ascii="Times New Roman" w:eastAsia="Calibri" w:hAnsi="Times New Roman" w:cs="Times New Roman"/>
        </w:rPr>
      </w:pPr>
      <w:r w:rsidRPr="00685B16">
        <w:rPr>
          <w:rFonts w:ascii="Times New Roman" w:eastAsia="Calibri" w:hAnsi="Times New Roman" w:cs="Times New Roman"/>
        </w:rPr>
        <w:t>Vokietija</w:t>
      </w:r>
    </w:p>
    <w:p w14:paraId="63832D8B" w14:textId="77777777" w:rsidR="000A6DE2" w:rsidRPr="000A6DE2" w:rsidRDefault="000A6DE2" w:rsidP="000A6DE2">
      <w:pPr>
        <w:spacing w:after="0" w:line="240" w:lineRule="auto"/>
        <w:ind w:left="567" w:hanging="567"/>
        <w:rPr>
          <w:rFonts w:ascii="Times New Roman" w:eastAsia="Calibri" w:hAnsi="Times New Roman" w:cs="Times New Roman"/>
        </w:rPr>
      </w:pPr>
    </w:p>
    <w:p w14:paraId="3A77090F"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3A35CF2"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12.</w:t>
      </w:r>
      <w:r w:rsidRPr="000A6DE2">
        <w:rPr>
          <w:rFonts w:ascii="Times New Roman" w:eastAsia="Calibri" w:hAnsi="Times New Roman" w:cs="Times New Roman"/>
          <w:b/>
          <w:caps/>
        </w:rPr>
        <w:tab/>
        <w:t>REGISTRACIJOS PAŽYMĖJIMO</w:t>
      </w:r>
      <w:r w:rsidRPr="003B0370">
        <w:rPr>
          <w:rFonts w:ascii="Times New Roman" w:eastAsia="Calibri" w:hAnsi="Times New Roman" w:cs="Times New Roman"/>
          <w:b/>
          <w:caps/>
          <w:lang w:val="de-DE"/>
        </w:rPr>
        <w:t xml:space="preserve"> numeriAI</w:t>
      </w:r>
    </w:p>
    <w:p w14:paraId="2D3150E2" w14:textId="77777777" w:rsidR="000A6DE2" w:rsidRPr="000A6DE2" w:rsidRDefault="000A6DE2" w:rsidP="000A6DE2">
      <w:pPr>
        <w:spacing w:after="0" w:line="240" w:lineRule="auto"/>
        <w:ind w:left="567" w:hanging="567"/>
        <w:rPr>
          <w:rFonts w:ascii="Times New Roman" w:eastAsia="Calibri" w:hAnsi="Times New Roman" w:cs="Times New Roman"/>
        </w:rPr>
      </w:pPr>
    </w:p>
    <w:p w14:paraId="7DA83F64" w14:textId="3CEF0BB9" w:rsidR="000A6DE2" w:rsidRPr="00C73014" w:rsidRDefault="000A6DE2" w:rsidP="000A6DE2">
      <w:pPr>
        <w:spacing w:after="0" w:line="240" w:lineRule="auto"/>
        <w:ind w:left="567" w:hanging="567"/>
        <w:rPr>
          <w:rFonts w:ascii="Times New Roman" w:eastAsia="Calibri" w:hAnsi="Times New Roman" w:cs="Times New Roman"/>
          <w:lang w:eastAsia="lt-LT"/>
        </w:rPr>
      </w:pPr>
      <w:bookmarkStart w:id="5" w:name="_Hlk162273917"/>
      <w:r w:rsidRPr="00C73014">
        <w:rPr>
          <w:rFonts w:ascii="Times New Roman" w:eastAsia="Calibri" w:hAnsi="Times New Roman" w:cs="Times New Roman"/>
        </w:rPr>
        <w:t>LT/1/05/0406/006</w:t>
      </w:r>
    </w:p>
    <w:bookmarkEnd w:id="5"/>
    <w:p w14:paraId="1062BA91" w14:textId="77777777" w:rsidR="000A6DE2" w:rsidRPr="000A6DE2" w:rsidRDefault="000A6DE2" w:rsidP="000A6DE2">
      <w:pPr>
        <w:spacing w:after="0" w:line="240" w:lineRule="auto"/>
        <w:ind w:left="567" w:hanging="567"/>
        <w:rPr>
          <w:rFonts w:ascii="Times New Roman" w:eastAsia="Calibri" w:hAnsi="Times New Roman" w:cs="Times New Roman"/>
        </w:rPr>
      </w:pPr>
    </w:p>
    <w:p w14:paraId="369C00C0" w14:textId="77777777" w:rsidR="000A6DE2" w:rsidRPr="000A6DE2" w:rsidRDefault="000A6DE2" w:rsidP="000A6DE2">
      <w:pPr>
        <w:spacing w:after="0" w:line="240" w:lineRule="auto"/>
        <w:ind w:left="567" w:hanging="567"/>
        <w:rPr>
          <w:rFonts w:ascii="Times New Roman" w:eastAsia="Calibri" w:hAnsi="Times New Roman" w:cs="Times New Roman"/>
        </w:rPr>
      </w:pPr>
    </w:p>
    <w:p w14:paraId="19D5A8C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13.</w:t>
      </w:r>
      <w:r w:rsidRPr="000A6DE2">
        <w:rPr>
          <w:rFonts w:ascii="Times New Roman" w:eastAsia="Calibri" w:hAnsi="Times New Roman" w:cs="Times New Roman"/>
          <w:b/>
          <w:caps/>
        </w:rPr>
        <w:tab/>
        <w:t>serijos numeris</w:t>
      </w:r>
    </w:p>
    <w:p w14:paraId="34B9C59F" w14:textId="77777777" w:rsidR="000A6DE2" w:rsidRPr="000A6DE2" w:rsidRDefault="000A6DE2" w:rsidP="000A6DE2">
      <w:pPr>
        <w:spacing w:after="0" w:line="240" w:lineRule="auto"/>
        <w:ind w:left="567" w:hanging="567"/>
        <w:rPr>
          <w:rFonts w:ascii="Times New Roman" w:eastAsia="Calibri" w:hAnsi="Times New Roman" w:cs="Times New Roman"/>
        </w:rPr>
      </w:pPr>
    </w:p>
    <w:p w14:paraId="55DF35FC"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Serija {numeris}</w:t>
      </w:r>
    </w:p>
    <w:p w14:paraId="6F26DA7D" w14:textId="77777777" w:rsidR="000A6DE2" w:rsidRPr="000A6DE2" w:rsidRDefault="000A6DE2" w:rsidP="000A6DE2">
      <w:pPr>
        <w:spacing w:after="0" w:line="240" w:lineRule="auto"/>
        <w:ind w:left="567" w:hanging="567"/>
        <w:rPr>
          <w:rFonts w:ascii="Times New Roman" w:eastAsia="Calibri" w:hAnsi="Times New Roman" w:cs="Times New Roman"/>
        </w:rPr>
      </w:pPr>
    </w:p>
    <w:p w14:paraId="4098D45D" w14:textId="77777777" w:rsidR="000A6DE2" w:rsidRPr="000A6DE2" w:rsidRDefault="000A6DE2" w:rsidP="000A6DE2">
      <w:pPr>
        <w:spacing w:after="0" w:line="240" w:lineRule="auto"/>
        <w:ind w:left="567" w:hanging="567"/>
        <w:rPr>
          <w:rFonts w:ascii="Times New Roman" w:eastAsia="Calibri" w:hAnsi="Times New Roman" w:cs="Times New Roman"/>
        </w:rPr>
      </w:pPr>
    </w:p>
    <w:p w14:paraId="4217BD71"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14.</w:t>
      </w:r>
      <w:r w:rsidRPr="000A6DE2">
        <w:rPr>
          <w:rFonts w:ascii="Times New Roman" w:eastAsia="Calibri" w:hAnsi="Times New Roman" w:cs="Times New Roman"/>
          <w:b/>
          <w:caps/>
        </w:rPr>
        <w:tab/>
        <w:t>pardavimo (Išdavimo) tvarka</w:t>
      </w:r>
    </w:p>
    <w:p w14:paraId="23CB60BC" w14:textId="77777777" w:rsidR="000A6DE2" w:rsidRPr="000A6DE2" w:rsidRDefault="000A6DE2" w:rsidP="000A6DE2">
      <w:pPr>
        <w:spacing w:after="0" w:line="240" w:lineRule="auto"/>
        <w:ind w:left="567" w:hanging="567"/>
        <w:rPr>
          <w:rFonts w:ascii="Times New Roman" w:eastAsia="Calibri" w:hAnsi="Times New Roman" w:cs="Times New Roman"/>
        </w:rPr>
      </w:pPr>
    </w:p>
    <w:p w14:paraId="4C4AC71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 xml:space="preserve">Receptinis vaistas </w:t>
      </w:r>
    </w:p>
    <w:p w14:paraId="6BC593ED" w14:textId="77777777" w:rsidR="000A6DE2" w:rsidRPr="000A6DE2" w:rsidRDefault="000A6DE2" w:rsidP="000A6DE2">
      <w:pPr>
        <w:spacing w:after="0" w:line="240" w:lineRule="auto"/>
        <w:ind w:left="567" w:hanging="567"/>
        <w:rPr>
          <w:rFonts w:ascii="Times New Roman" w:eastAsia="Calibri" w:hAnsi="Times New Roman" w:cs="Times New Roman"/>
        </w:rPr>
      </w:pPr>
    </w:p>
    <w:p w14:paraId="15C8D69F" w14:textId="77777777" w:rsidR="000A6DE2" w:rsidRPr="000A6DE2" w:rsidRDefault="000A6DE2" w:rsidP="000A6DE2">
      <w:pPr>
        <w:spacing w:after="0" w:line="240" w:lineRule="auto"/>
        <w:ind w:left="567" w:hanging="567"/>
        <w:rPr>
          <w:rFonts w:ascii="Times New Roman" w:eastAsia="Calibri" w:hAnsi="Times New Roman" w:cs="Times New Roman"/>
        </w:rPr>
      </w:pPr>
    </w:p>
    <w:p w14:paraId="54DE5E6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15.</w:t>
      </w:r>
      <w:r w:rsidRPr="000A6DE2">
        <w:rPr>
          <w:rFonts w:ascii="Times New Roman" w:eastAsia="Calibri" w:hAnsi="Times New Roman" w:cs="Times New Roman"/>
          <w:b/>
          <w:caps/>
        </w:rPr>
        <w:tab/>
        <w:t xml:space="preserve">vartojimo </w:t>
      </w:r>
      <w:r w:rsidRPr="004E403C">
        <w:rPr>
          <w:rFonts w:ascii="Times New Roman" w:hAnsi="Times New Roman"/>
          <w:b/>
          <w:caps/>
        </w:rPr>
        <w:t>instrukcijA</w:t>
      </w:r>
    </w:p>
    <w:p w14:paraId="71D8DB60" w14:textId="77777777" w:rsidR="000A6DE2" w:rsidRPr="000A6DE2" w:rsidRDefault="000A6DE2" w:rsidP="000A6DE2">
      <w:pPr>
        <w:spacing w:after="0" w:line="240" w:lineRule="auto"/>
        <w:ind w:left="567" w:hanging="567"/>
        <w:rPr>
          <w:rFonts w:ascii="Times New Roman" w:eastAsia="Calibri" w:hAnsi="Times New Roman" w:cs="Times New Roman"/>
        </w:rPr>
      </w:pPr>
    </w:p>
    <w:p w14:paraId="2764EE08"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Vartokite tik kaip nurodė gydytojas (žr. pakuotės lapelį).</w:t>
      </w:r>
    </w:p>
    <w:p w14:paraId="660C81FE"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Nurykite nepažeistą kapsulę užgerdami trupučiu vandens.</w:t>
      </w:r>
    </w:p>
    <w:p w14:paraId="08E3EC5B" w14:textId="77777777" w:rsidR="000A6DE2" w:rsidRPr="000A6DE2" w:rsidRDefault="000A6DE2" w:rsidP="000A6DE2">
      <w:pPr>
        <w:spacing w:after="0" w:line="240" w:lineRule="auto"/>
        <w:ind w:left="567" w:hanging="567"/>
        <w:rPr>
          <w:rFonts w:ascii="Times New Roman" w:eastAsia="Calibri" w:hAnsi="Times New Roman" w:cs="Times New Roman"/>
        </w:rPr>
      </w:pPr>
    </w:p>
    <w:p w14:paraId="2AEF14EF" w14:textId="77777777" w:rsidR="000A6DE2" w:rsidRPr="000A6DE2" w:rsidRDefault="000A6DE2" w:rsidP="000A6DE2">
      <w:pPr>
        <w:spacing w:after="0" w:line="240" w:lineRule="auto"/>
        <w:ind w:left="567" w:hanging="567"/>
        <w:rPr>
          <w:rFonts w:ascii="Times New Roman" w:eastAsia="Calibri" w:hAnsi="Times New Roman" w:cs="Times New Roman"/>
        </w:rPr>
      </w:pPr>
    </w:p>
    <w:p w14:paraId="3102DF4E"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16.</w:t>
      </w:r>
      <w:r w:rsidRPr="000A6DE2">
        <w:rPr>
          <w:rFonts w:ascii="Times New Roman" w:eastAsia="Calibri" w:hAnsi="Times New Roman" w:cs="Times New Roman"/>
          <w:b/>
          <w:caps/>
        </w:rPr>
        <w:tab/>
        <w:t>INFORMACIJA BRAILIO RAŠTU</w:t>
      </w:r>
    </w:p>
    <w:p w14:paraId="563D7BF1" w14:textId="77777777" w:rsidR="000A6DE2" w:rsidRPr="000A6DE2" w:rsidRDefault="000A6DE2" w:rsidP="000A6DE2">
      <w:pPr>
        <w:spacing w:after="0" w:line="240" w:lineRule="auto"/>
        <w:ind w:left="567" w:hanging="567"/>
        <w:rPr>
          <w:rFonts w:ascii="Times New Roman" w:eastAsia="Calibri" w:hAnsi="Times New Roman" w:cs="Times New Roman"/>
        </w:rPr>
      </w:pPr>
    </w:p>
    <w:p w14:paraId="0FC8A6C5"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roaccutane 20 mg</w:t>
      </w:r>
    </w:p>
    <w:p w14:paraId="1FB27B5B" w14:textId="77777777" w:rsidR="000A6DE2" w:rsidRPr="000A6DE2" w:rsidRDefault="000A6DE2" w:rsidP="000A6DE2">
      <w:pPr>
        <w:spacing w:after="0" w:line="240" w:lineRule="auto"/>
        <w:ind w:left="567" w:hanging="567"/>
        <w:rPr>
          <w:rFonts w:ascii="Times New Roman" w:eastAsia="Calibri" w:hAnsi="Times New Roman" w:cs="Times New Roman"/>
        </w:rPr>
      </w:pPr>
    </w:p>
    <w:p w14:paraId="1D3316D8" w14:textId="77777777" w:rsidR="000A6DE2" w:rsidRPr="000A6DE2" w:rsidRDefault="000A6DE2" w:rsidP="000A6DE2">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noProof/>
          <w:szCs w:val="20"/>
          <w:lang w:eastAsia="lt-LT" w:bidi="lt-LT"/>
        </w:rPr>
      </w:pPr>
      <w:r w:rsidRPr="000A6DE2">
        <w:rPr>
          <w:rFonts w:ascii="Times New Roman" w:eastAsia="Times New Roman" w:hAnsi="Times New Roman" w:cs="Times New Roman"/>
          <w:b/>
          <w:noProof/>
          <w:szCs w:val="20"/>
          <w:lang w:eastAsia="lt-LT" w:bidi="lt-LT"/>
        </w:rPr>
        <w:t>17. UNIKALUS IDENTIFIKATORIUS – 2D BRŪKŠNINIS KODAS</w:t>
      </w:r>
    </w:p>
    <w:p w14:paraId="4C002C91"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3DBA972F" w14:textId="77777777" w:rsidR="000A6DE2" w:rsidRPr="000A6DE2" w:rsidRDefault="000A6DE2" w:rsidP="000A6DE2">
      <w:pPr>
        <w:tabs>
          <w:tab w:val="left" w:pos="567"/>
        </w:tabs>
        <w:spacing w:after="0" w:line="240" w:lineRule="auto"/>
        <w:rPr>
          <w:rFonts w:ascii="Times New Roman" w:eastAsia="Times New Roman" w:hAnsi="Times New Roman" w:cs="Times New Roman"/>
          <w:noProof/>
          <w:shd w:val="clear" w:color="auto" w:fill="CCCCCC"/>
          <w:lang w:eastAsia="lt-LT" w:bidi="lt-LT"/>
        </w:rPr>
      </w:pPr>
      <w:r w:rsidRPr="000A6DE2">
        <w:rPr>
          <w:rFonts w:ascii="Times New Roman" w:eastAsia="Times New Roman" w:hAnsi="Times New Roman" w:cs="Times New Roman"/>
          <w:noProof/>
          <w:szCs w:val="20"/>
          <w:highlight w:val="lightGray"/>
          <w:lang w:eastAsia="lt-LT" w:bidi="lt-LT"/>
        </w:rPr>
        <w:t>2D brūkšninis kodas su nurodytu unikaliu identifikatoriumi.</w:t>
      </w:r>
    </w:p>
    <w:p w14:paraId="3A46BE1E"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46F848C9"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3E0D103A" w14:textId="77777777" w:rsidR="000A6DE2" w:rsidRPr="000A6DE2" w:rsidRDefault="000A6DE2" w:rsidP="000A6DE2">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i/>
          <w:noProof/>
          <w:szCs w:val="20"/>
          <w:lang w:eastAsia="lt-LT" w:bidi="lt-LT"/>
        </w:rPr>
      </w:pPr>
      <w:r w:rsidRPr="000A6DE2">
        <w:rPr>
          <w:rFonts w:ascii="Times New Roman" w:eastAsia="Times New Roman" w:hAnsi="Times New Roman" w:cs="Times New Roman"/>
          <w:b/>
          <w:noProof/>
          <w:szCs w:val="20"/>
          <w:lang w:eastAsia="lt-LT" w:bidi="lt-LT"/>
        </w:rPr>
        <w:lastRenderedPageBreak/>
        <w:t>18. UNIKALUS IDENTIFIKATORIUS – ŽMONĖMS SUPRANTAMI DUOMENYS</w:t>
      </w:r>
    </w:p>
    <w:p w14:paraId="1634464F"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6E79F1E1" w14:textId="77777777" w:rsidR="000A6DE2" w:rsidRPr="000A6DE2" w:rsidRDefault="000A6DE2" w:rsidP="000A6DE2">
      <w:pPr>
        <w:tabs>
          <w:tab w:val="left" w:pos="567"/>
        </w:tabs>
        <w:spacing w:after="0" w:line="260" w:lineRule="exact"/>
        <w:rPr>
          <w:rFonts w:ascii="Times New Roman" w:eastAsia="Times New Roman" w:hAnsi="Times New Roman" w:cs="Times New Roman"/>
          <w:color w:val="008000"/>
          <w:lang w:eastAsia="lt-LT" w:bidi="lt-LT"/>
        </w:rPr>
      </w:pPr>
      <w:r w:rsidRPr="000A6DE2">
        <w:rPr>
          <w:rFonts w:ascii="Times New Roman" w:eastAsia="Times New Roman" w:hAnsi="Times New Roman" w:cs="Times New Roman"/>
          <w:szCs w:val="20"/>
          <w:lang w:eastAsia="lt-LT" w:bidi="lt-LT"/>
        </w:rPr>
        <w:t>PC</w:t>
      </w:r>
    </w:p>
    <w:p w14:paraId="574132E2" w14:textId="77777777" w:rsidR="000A6DE2" w:rsidRPr="000A6DE2" w:rsidRDefault="000A6DE2" w:rsidP="000A6DE2">
      <w:pPr>
        <w:tabs>
          <w:tab w:val="left" w:pos="567"/>
        </w:tabs>
        <w:spacing w:after="0" w:line="260" w:lineRule="exact"/>
        <w:rPr>
          <w:rFonts w:ascii="Times New Roman" w:eastAsia="Times New Roman" w:hAnsi="Times New Roman" w:cs="Times New Roman"/>
          <w:lang w:eastAsia="lt-LT" w:bidi="lt-LT"/>
        </w:rPr>
      </w:pPr>
      <w:r w:rsidRPr="000A6DE2">
        <w:rPr>
          <w:rFonts w:ascii="Times New Roman" w:eastAsia="Times New Roman" w:hAnsi="Times New Roman" w:cs="Times New Roman"/>
          <w:szCs w:val="20"/>
          <w:lang w:eastAsia="lt-LT" w:bidi="lt-LT"/>
        </w:rPr>
        <w:t>SN</w:t>
      </w:r>
    </w:p>
    <w:p w14:paraId="7B49E289" w14:textId="77777777" w:rsidR="000A6DE2" w:rsidRPr="000A6DE2" w:rsidRDefault="000A6DE2" w:rsidP="000A6DE2">
      <w:pPr>
        <w:tabs>
          <w:tab w:val="left" w:pos="567"/>
        </w:tabs>
        <w:spacing w:after="0" w:line="260" w:lineRule="exact"/>
        <w:rPr>
          <w:rFonts w:ascii="Times New Roman" w:eastAsia="Times New Roman" w:hAnsi="Times New Roman" w:cs="Times New Roman"/>
          <w:lang w:eastAsia="lt-LT" w:bidi="lt-LT"/>
        </w:rPr>
      </w:pPr>
      <w:r w:rsidRPr="000A6DE2">
        <w:rPr>
          <w:rFonts w:ascii="Times New Roman" w:eastAsia="Times New Roman" w:hAnsi="Times New Roman" w:cs="Times New Roman"/>
          <w:szCs w:val="20"/>
          <w:highlight w:val="lightGray"/>
          <w:lang w:eastAsia="lt-LT" w:bidi="lt-LT"/>
        </w:rPr>
        <w:t>NN</w:t>
      </w:r>
    </w:p>
    <w:p w14:paraId="5C84AB30" w14:textId="77777777" w:rsidR="000A6DE2" w:rsidRPr="000A6DE2" w:rsidRDefault="000A6DE2" w:rsidP="000A6DE2">
      <w:pPr>
        <w:tabs>
          <w:tab w:val="left" w:pos="567"/>
        </w:tabs>
        <w:spacing w:after="0" w:line="240" w:lineRule="auto"/>
        <w:rPr>
          <w:rFonts w:ascii="Times New Roman" w:eastAsia="Calibri" w:hAnsi="Times New Roman" w:cs="Times New Roman"/>
        </w:rPr>
      </w:pPr>
    </w:p>
    <w:p w14:paraId="68A82F5F" w14:textId="77777777" w:rsidR="000A6DE2" w:rsidRPr="000A6DE2" w:rsidRDefault="000A6DE2" w:rsidP="000A6DE2">
      <w:pPr>
        <w:spacing w:after="0" w:line="240" w:lineRule="auto"/>
        <w:ind w:left="567" w:hanging="567"/>
        <w:rPr>
          <w:rFonts w:ascii="Times New Roman" w:eastAsia="Calibri" w:hAnsi="Times New Roman" w:cs="Times New Roman"/>
        </w:rPr>
      </w:pPr>
    </w:p>
    <w:p w14:paraId="172E2EAC" w14:textId="77777777" w:rsidR="000A6DE2" w:rsidRPr="000A6DE2" w:rsidRDefault="000A6DE2" w:rsidP="000A6DE2">
      <w:pPr>
        <w:spacing w:after="0" w:line="240" w:lineRule="auto"/>
        <w:ind w:left="567" w:hanging="567"/>
        <w:rPr>
          <w:rFonts w:ascii="Times New Roman" w:eastAsia="Calibri" w:hAnsi="Times New Roman" w:cs="Times New Roman"/>
        </w:rPr>
      </w:pPr>
    </w:p>
    <w:p w14:paraId="61C14A2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0A6DE2">
        <w:rPr>
          <w:rFonts w:ascii="Times New Roman" w:eastAsia="Calibri" w:hAnsi="Times New Roman" w:cs="Times New Roman"/>
        </w:rPr>
        <w:br w:type="page"/>
      </w:r>
      <w:r w:rsidRPr="000A6DE2">
        <w:rPr>
          <w:rFonts w:ascii="Times New Roman" w:eastAsia="Calibri" w:hAnsi="Times New Roman" w:cs="Times New Roman"/>
          <w:b/>
        </w:rPr>
        <w:lastRenderedPageBreak/>
        <w:t xml:space="preserve">MINIMALI </w:t>
      </w:r>
      <w:r w:rsidRPr="004E403C">
        <w:rPr>
          <w:rFonts w:ascii="Times New Roman" w:hAnsi="Times New Roman"/>
          <w:b/>
          <w:caps/>
        </w:rPr>
        <w:t xml:space="preserve">informacija ant </w:t>
      </w:r>
      <w:r w:rsidRPr="004E403C">
        <w:rPr>
          <w:rFonts w:ascii="Times New Roman" w:hAnsi="Times New Roman"/>
          <w:b/>
        </w:rPr>
        <w:t>LIZDINIŲ PLOKŠTELIŲ ARBA DVISLUOKSNIŲ JUOSTELIŲ</w:t>
      </w:r>
    </w:p>
    <w:p w14:paraId="4F47D4C6"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p>
    <w:p w14:paraId="11BA98C2"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rPr>
        <w:t>LIZDINĖ PLOKŠTELĖ</w:t>
      </w:r>
    </w:p>
    <w:p w14:paraId="3E830260"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2FEE3AF"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7717D00"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w:t>
      </w:r>
      <w:r w:rsidRPr="000A6DE2">
        <w:rPr>
          <w:rFonts w:ascii="Times New Roman" w:eastAsia="Calibri" w:hAnsi="Times New Roman" w:cs="Times New Roman"/>
          <w:b/>
          <w:caps/>
        </w:rPr>
        <w:tab/>
        <w:t>Vaistinio preparato pavadinimas</w:t>
      </w:r>
    </w:p>
    <w:p w14:paraId="67D54D54" w14:textId="77777777" w:rsidR="000A6DE2" w:rsidRPr="000A6DE2" w:rsidRDefault="000A6DE2" w:rsidP="000A6DE2">
      <w:pPr>
        <w:spacing w:after="0" w:line="240" w:lineRule="auto"/>
        <w:ind w:left="567" w:hanging="567"/>
        <w:rPr>
          <w:rFonts w:ascii="Times New Roman" w:eastAsia="Calibri" w:hAnsi="Times New Roman" w:cs="Times New Roman"/>
        </w:rPr>
      </w:pPr>
    </w:p>
    <w:p w14:paraId="7D0471AB"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Roaccutane 20 mg minkštosio</w:t>
      </w:r>
      <w:r w:rsidRPr="004E403C">
        <w:rPr>
          <w:rFonts w:ascii="Times New Roman" w:hAnsi="Times New Roman"/>
        </w:rPr>
        <w:t>s kapsulės</w:t>
      </w:r>
    </w:p>
    <w:p w14:paraId="2E89AB60"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isotretinoinum</w:t>
      </w:r>
    </w:p>
    <w:p w14:paraId="72805E42" w14:textId="77777777" w:rsidR="000A6DE2" w:rsidRPr="000A6DE2" w:rsidRDefault="000A6DE2" w:rsidP="000A6DE2">
      <w:pPr>
        <w:spacing w:after="0" w:line="240" w:lineRule="auto"/>
        <w:ind w:left="567" w:hanging="567"/>
        <w:rPr>
          <w:rFonts w:ascii="Times New Roman" w:eastAsia="Calibri" w:hAnsi="Times New Roman" w:cs="Times New Roman"/>
        </w:rPr>
      </w:pPr>
    </w:p>
    <w:p w14:paraId="41AD08C1" w14:textId="77777777" w:rsidR="000A6DE2" w:rsidRPr="000A6DE2" w:rsidRDefault="000A6DE2" w:rsidP="000A6DE2">
      <w:pPr>
        <w:spacing w:after="0" w:line="240" w:lineRule="auto"/>
        <w:ind w:left="567" w:hanging="567"/>
        <w:rPr>
          <w:rFonts w:ascii="Times New Roman" w:eastAsia="Calibri" w:hAnsi="Times New Roman" w:cs="Times New Roman"/>
        </w:rPr>
      </w:pPr>
    </w:p>
    <w:p w14:paraId="2635BAD8"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rPr>
        <w:t>2.</w:t>
      </w:r>
      <w:r w:rsidRPr="000A6DE2">
        <w:rPr>
          <w:rFonts w:ascii="Times New Roman" w:eastAsia="Calibri" w:hAnsi="Times New Roman" w:cs="Times New Roman"/>
          <w:b/>
        </w:rPr>
        <w:tab/>
      </w:r>
      <w:r w:rsidRPr="000A6DE2">
        <w:rPr>
          <w:rFonts w:ascii="Times New Roman" w:eastAsia="Calibri" w:hAnsi="Times New Roman" w:cs="Times New Roman"/>
          <w:b/>
          <w:caps/>
        </w:rPr>
        <w:t>REGISTRUOTOJO</w:t>
      </w:r>
      <w:r w:rsidRPr="004E403C">
        <w:rPr>
          <w:rFonts w:ascii="Times New Roman" w:hAnsi="Times New Roman"/>
          <w:b/>
          <w:caps/>
          <w:lang w:val="fr-CA"/>
        </w:rPr>
        <w:t xml:space="preserve"> pavadinimas</w:t>
      </w:r>
    </w:p>
    <w:p w14:paraId="764DA511" w14:textId="77777777" w:rsidR="000A6DE2" w:rsidRPr="000A6DE2" w:rsidRDefault="000A6DE2" w:rsidP="000A6DE2">
      <w:pPr>
        <w:spacing w:after="0" w:line="240" w:lineRule="auto"/>
        <w:rPr>
          <w:rFonts w:ascii="Times New Roman" w:eastAsia="Calibri" w:hAnsi="Times New Roman" w:cs="Times New Roman"/>
        </w:rPr>
      </w:pPr>
    </w:p>
    <w:p w14:paraId="0C822452" w14:textId="0593370D" w:rsidR="000A6DE2" w:rsidRPr="000A6DE2" w:rsidRDefault="007E33B2" w:rsidP="000A6DE2">
      <w:pPr>
        <w:spacing w:after="0" w:line="240" w:lineRule="auto"/>
        <w:ind w:left="567" w:hanging="567"/>
        <w:rPr>
          <w:rFonts w:ascii="Times New Roman" w:eastAsia="Calibri" w:hAnsi="Times New Roman" w:cs="Times New Roman"/>
        </w:rPr>
      </w:pPr>
      <w:r>
        <w:rPr>
          <w:rFonts w:ascii="Times New Roman" w:eastAsia="Calibri" w:hAnsi="Times New Roman" w:cs="Times New Roman"/>
        </w:rPr>
        <w:t>CHEPLAPHARM</w:t>
      </w:r>
    </w:p>
    <w:p w14:paraId="77B8123C" w14:textId="77777777" w:rsidR="000A6DE2" w:rsidRPr="000A6DE2" w:rsidRDefault="000A6DE2" w:rsidP="000A6DE2">
      <w:pPr>
        <w:spacing w:after="0" w:line="240" w:lineRule="auto"/>
        <w:ind w:left="567" w:hanging="567"/>
        <w:rPr>
          <w:rFonts w:ascii="Times New Roman" w:eastAsia="Calibri" w:hAnsi="Times New Roman" w:cs="Times New Roman"/>
        </w:rPr>
      </w:pPr>
    </w:p>
    <w:p w14:paraId="6BA08DB1"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rPr>
        <w:t>3.</w:t>
      </w:r>
      <w:r w:rsidRPr="000A6DE2">
        <w:rPr>
          <w:rFonts w:ascii="Times New Roman" w:eastAsia="Calibri" w:hAnsi="Times New Roman" w:cs="Times New Roman"/>
          <w:b/>
        </w:rPr>
        <w:tab/>
      </w:r>
      <w:r w:rsidRPr="000A6DE2">
        <w:rPr>
          <w:rFonts w:ascii="Times New Roman" w:eastAsia="Calibri" w:hAnsi="Times New Roman" w:cs="Times New Roman"/>
          <w:b/>
          <w:caps/>
        </w:rPr>
        <w:t>tinkamumo laikas</w:t>
      </w:r>
    </w:p>
    <w:p w14:paraId="0968AFEC" w14:textId="77777777" w:rsidR="000A6DE2" w:rsidRPr="000A6DE2" w:rsidRDefault="000A6DE2" w:rsidP="000A6DE2">
      <w:pPr>
        <w:spacing w:after="0" w:line="240" w:lineRule="auto"/>
        <w:ind w:left="567" w:hanging="567"/>
        <w:rPr>
          <w:rFonts w:ascii="Times New Roman" w:eastAsia="Calibri" w:hAnsi="Times New Roman" w:cs="Times New Roman"/>
        </w:rPr>
      </w:pPr>
    </w:p>
    <w:p w14:paraId="1031A483"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highlight w:val="lightGray"/>
        </w:rPr>
        <w:t>EXP</w:t>
      </w:r>
      <w:r w:rsidRPr="000A6DE2">
        <w:rPr>
          <w:rFonts w:ascii="Times New Roman" w:eastAsia="Calibri" w:hAnsi="Times New Roman" w:cs="Times New Roman"/>
        </w:rPr>
        <w:t xml:space="preserve"> {mm/MMMM}</w:t>
      </w:r>
    </w:p>
    <w:p w14:paraId="5B80FCC5" w14:textId="77777777" w:rsidR="000A6DE2" w:rsidRPr="000A6DE2" w:rsidRDefault="000A6DE2" w:rsidP="000A6DE2">
      <w:pPr>
        <w:spacing w:after="0" w:line="240" w:lineRule="auto"/>
        <w:ind w:left="567" w:hanging="567"/>
        <w:rPr>
          <w:rFonts w:ascii="Times New Roman" w:eastAsia="Calibri" w:hAnsi="Times New Roman" w:cs="Times New Roman"/>
        </w:rPr>
      </w:pPr>
    </w:p>
    <w:p w14:paraId="7E6E00D5" w14:textId="77777777" w:rsidR="000A6DE2" w:rsidRPr="000A6DE2" w:rsidRDefault="000A6DE2" w:rsidP="000A6DE2">
      <w:pPr>
        <w:spacing w:after="0" w:line="240" w:lineRule="auto"/>
        <w:ind w:left="567" w:hanging="567"/>
        <w:rPr>
          <w:rFonts w:ascii="Times New Roman" w:eastAsia="Calibri" w:hAnsi="Times New Roman" w:cs="Times New Roman"/>
        </w:rPr>
      </w:pPr>
    </w:p>
    <w:p w14:paraId="5D22E177"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4.</w:t>
      </w:r>
      <w:r w:rsidRPr="000A6DE2">
        <w:rPr>
          <w:rFonts w:ascii="Times New Roman" w:eastAsia="Calibri" w:hAnsi="Times New Roman" w:cs="Times New Roman"/>
          <w:b/>
          <w:caps/>
        </w:rPr>
        <w:tab/>
        <w:t xml:space="preserve">serijos numeris </w:t>
      </w:r>
    </w:p>
    <w:p w14:paraId="1E307643" w14:textId="77777777" w:rsidR="000A6DE2" w:rsidRPr="000A6DE2" w:rsidRDefault="000A6DE2" w:rsidP="000A6DE2">
      <w:pPr>
        <w:spacing w:after="0" w:line="240" w:lineRule="auto"/>
        <w:ind w:left="567" w:hanging="567"/>
        <w:rPr>
          <w:rFonts w:ascii="Times New Roman" w:eastAsia="Calibri" w:hAnsi="Times New Roman" w:cs="Times New Roman"/>
        </w:rPr>
      </w:pPr>
    </w:p>
    <w:p w14:paraId="4435AE9F"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highlight w:val="lightGray"/>
        </w:rPr>
        <w:t>Lot</w:t>
      </w:r>
      <w:r w:rsidRPr="000A6DE2">
        <w:rPr>
          <w:rFonts w:ascii="Times New Roman" w:eastAsia="Calibri" w:hAnsi="Times New Roman" w:cs="Times New Roman"/>
        </w:rPr>
        <w:t xml:space="preserve"> {numeris}</w:t>
      </w:r>
    </w:p>
    <w:p w14:paraId="5A78F223" w14:textId="77777777" w:rsidR="000A6DE2" w:rsidRPr="000A6DE2" w:rsidRDefault="000A6DE2" w:rsidP="000A6DE2">
      <w:pPr>
        <w:spacing w:after="0" w:line="240" w:lineRule="auto"/>
        <w:ind w:left="567" w:hanging="567"/>
        <w:rPr>
          <w:rFonts w:ascii="Times New Roman" w:eastAsia="Calibri" w:hAnsi="Times New Roman" w:cs="Times New Roman"/>
        </w:rPr>
      </w:pPr>
    </w:p>
    <w:p w14:paraId="6CEE0387" w14:textId="77777777" w:rsidR="000A6DE2" w:rsidRPr="000A6DE2" w:rsidRDefault="000A6DE2" w:rsidP="000A6DE2">
      <w:pPr>
        <w:spacing w:after="0" w:line="240" w:lineRule="auto"/>
        <w:ind w:left="567" w:hanging="567"/>
        <w:rPr>
          <w:rFonts w:ascii="Times New Roman" w:eastAsia="Calibri" w:hAnsi="Times New Roman" w:cs="Times New Roman"/>
        </w:rPr>
      </w:pPr>
    </w:p>
    <w:p w14:paraId="020A3195"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5.</w:t>
      </w:r>
      <w:r w:rsidRPr="000A6DE2">
        <w:rPr>
          <w:rFonts w:ascii="Times New Roman" w:eastAsia="Calibri" w:hAnsi="Times New Roman" w:cs="Times New Roman"/>
          <w:b/>
          <w:caps/>
        </w:rPr>
        <w:tab/>
        <w:t>kita</w:t>
      </w:r>
    </w:p>
    <w:p w14:paraId="5C1CC505" w14:textId="77777777" w:rsidR="000A6DE2" w:rsidRPr="000A6DE2" w:rsidRDefault="000A6DE2" w:rsidP="000A6DE2">
      <w:pPr>
        <w:spacing w:after="0" w:line="240" w:lineRule="auto"/>
        <w:ind w:left="567" w:hanging="567"/>
        <w:rPr>
          <w:rFonts w:ascii="Times New Roman" w:eastAsia="Calibri" w:hAnsi="Times New Roman" w:cs="Times New Roman"/>
        </w:rPr>
      </w:pPr>
    </w:p>
    <w:p w14:paraId="56BF2AE2" w14:textId="77777777" w:rsidR="000A6DE2" w:rsidRPr="000A6DE2" w:rsidRDefault="000A6DE2" w:rsidP="000A6DE2">
      <w:pPr>
        <w:spacing w:after="0" w:line="240" w:lineRule="auto"/>
        <w:ind w:left="567" w:hanging="567"/>
        <w:rPr>
          <w:rFonts w:ascii="Times New Roman" w:eastAsia="Calibri" w:hAnsi="Times New Roman" w:cs="Times New Roman"/>
          <w:u w:val="single"/>
        </w:rPr>
      </w:pPr>
      <w:r w:rsidRPr="000A6DE2">
        <w:rPr>
          <w:rFonts w:ascii="Times New Roman" w:eastAsia="Calibri" w:hAnsi="Times New Roman" w:cs="Times New Roman"/>
          <w:u w:val="single"/>
        </w:rPr>
        <w:t>Įspėjimas</w:t>
      </w:r>
    </w:p>
    <w:p w14:paraId="7EDCF751" w14:textId="77777777" w:rsidR="000A6DE2" w:rsidRPr="000A6DE2" w:rsidRDefault="000A6DE2" w:rsidP="000A6DE2">
      <w:pPr>
        <w:spacing w:after="0" w:line="240" w:lineRule="auto"/>
        <w:ind w:left="567" w:hanging="567"/>
        <w:rPr>
          <w:rFonts w:ascii="Times New Roman" w:eastAsia="Calibri" w:hAnsi="Times New Roman" w:cs="Times New Roman"/>
        </w:rPr>
      </w:pPr>
      <w:r w:rsidRPr="000A6DE2">
        <w:rPr>
          <w:rFonts w:ascii="Times New Roman" w:eastAsia="Calibri" w:hAnsi="Times New Roman" w:cs="Times New Roman"/>
        </w:rPr>
        <w:t>GALI SUKELTI SUNKIUS APSIGIMIMUS</w:t>
      </w:r>
    </w:p>
    <w:p w14:paraId="7E08C8BF" w14:textId="77777777" w:rsidR="000A6DE2" w:rsidRPr="000A6DE2" w:rsidRDefault="000A6DE2" w:rsidP="000A6DE2">
      <w:pPr>
        <w:spacing w:after="0" w:line="240" w:lineRule="auto"/>
        <w:ind w:left="567" w:hanging="567"/>
        <w:rPr>
          <w:rFonts w:ascii="Times New Roman" w:eastAsia="Calibri" w:hAnsi="Times New Roman" w:cs="Times New Roman"/>
        </w:rPr>
      </w:pPr>
      <w:r w:rsidRPr="000A6DE2">
        <w:rPr>
          <w:rFonts w:ascii="Times New Roman" w:eastAsia="Calibri" w:hAnsi="Times New Roman" w:cs="Times New Roman"/>
        </w:rPr>
        <w:t>Moteris privalo naudotis veiksminga kontracepcija</w:t>
      </w:r>
    </w:p>
    <w:p w14:paraId="320A3E00" w14:textId="77777777" w:rsidR="000A6DE2" w:rsidRPr="000A6DE2" w:rsidRDefault="000A6DE2" w:rsidP="000A6DE2">
      <w:pPr>
        <w:spacing w:after="0" w:line="240" w:lineRule="auto"/>
        <w:ind w:left="567" w:hanging="567"/>
        <w:rPr>
          <w:rFonts w:ascii="Times New Roman" w:eastAsia="Calibri" w:hAnsi="Times New Roman" w:cs="Times New Roman"/>
        </w:rPr>
      </w:pPr>
      <w:r w:rsidRPr="000A6DE2">
        <w:rPr>
          <w:rFonts w:ascii="Times New Roman" w:eastAsia="Calibri" w:hAnsi="Times New Roman" w:cs="Times New Roman"/>
        </w:rPr>
        <w:t>Nevartokite, jeigu esate nėščia arba manote, kad galbūt esate nėščia</w:t>
      </w:r>
    </w:p>
    <w:p w14:paraId="4DF94E28" w14:textId="77777777" w:rsidR="000A6DE2" w:rsidRPr="000A6DE2" w:rsidRDefault="000A6DE2" w:rsidP="000A6DE2">
      <w:pPr>
        <w:spacing w:after="0" w:line="240" w:lineRule="auto"/>
        <w:ind w:left="567" w:hanging="567"/>
        <w:jc w:val="center"/>
        <w:rPr>
          <w:rFonts w:ascii="Times New Roman" w:eastAsia="Calibri" w:hAnsi="Times New Roman" w:cs="Times New Roman"/>
          <w:b/>
          <w:caps/>
        </w:rPr>
      </w:pPr>
      <w:r w:rsidRPr="000A6DE2">
        <w:rPr>
          <w:rFonts w:ascii="Times New Roman" w:eastAsia="Calibri" w:hAnsi="Times New Roman" w:cs="Times New Roman"/>
        </w:rPr>
        <w:br w:type="page"/>
      </w:r>
    </w:p>
    <w:p w14:paraId="116AE6D0" w14:textId="36C72306"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D258491"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335B81B3"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88B6D64"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77F08C7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624983BA"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394F4FF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32BB5E98"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928B8F8"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A4CF470"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54A2735"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8CEF0C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5F7B193"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A641F7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7E188BA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EB32519"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9A2DAD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7B3459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382CFD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C6C0DE0"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285D08A4"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1421533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D835F4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13EB9E0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11B68C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2390B25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11708C8"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6BB88B37"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21C19D6B"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r w:rsidRPr="00296C5A">
        <w:rPr>
          <w:rFonts w:ascii="Times New Roman" w:eastAsia="Calibri" w:hAnsi="Times New Roman" w:cs="Times New Roman"/>
          <w:b/>
          <w:caps/>
        </w:rPr>
        <w:t>B. PAKUOTĖS lapelis</w:t>
      </w:r>
    </w:p>
    <w:p w14:paraId="1BC0C832"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r w:rsidRPr="00296C5A">
        <w:rPr>
          <w:rFonts w:ascii="Times New Roman" w:eastAsia="Calibri" w:hAnsi="Times New Roman" w:cs="Times New Roman"/>
          <w:sz w:val="24"/>
        </w:rPr>
        <w:br w:type="page"/>
      </w:r>
      <w:r w:rsidRPr="00296C5A">
        <w:rPr>
          <w:rFonts w:ascii="Times New Roman" w:eastAsia="Calibri" w:hAnsi="Times New Roman" w:cs="Times New Roman"/>
          <w:b/>
          <w:lang w:eastAsia="lt-LT"/>
        </w:rPr>
        <w:lastRenderedPageBreak/>
        <w:t>Pakuotės lapelis: informacija vartotojui</w:t>
      </w:r>
    </w:p>
    <w:p w14:paraId="4DCCF417"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p>
    <w:p w14:paraId="4ABCEC99" w14:textId="1ABE4F05" w:rsidR="007E07AA" w:rsidRPr="004E403C" w:rsidRDefault="007E07AA" w:rsidP="007E07AA">
      <w:pPr>
        <w:spacing w:after="0" w:line="240" w:lineRule="auto"/>
        <w:ind w:left="567" w:hanging="567"/>
        <w:jc w:val="center"/>
        <w:rPr>
          <w:rFonts w:ascii="Times New Roman" w:hAnsi="Times New Roman"/>
          <w:b/>
        </w:rPr>
      </w:pPr>
      <w:r w:rsidRPr="00296C5A">
        <w:rPr>
          <w:rFonts w:ascii="Times New Roman" w:eastAsia="Calibri" w:hAnsi="Times New Roman" w:cs="Times New Roman"/>
          <w:b/>
          <w:lang w:eastAsia="lt-LT"/>
        </w:rPr>
        <w:t>Roaccutane 10 mg minkštosio</w:t>
      </w:r>
      <w:r w:rsidRPr="004E403C">
        <w:rPr>
          <w:rFonts w:ascii="Times New Roman" w:hAnsi="Times New Roman"/>
          <w:b/>
        </w:rPr>
        <w:t>s kapsulės</w:t>
      </w:r>
    </w:p>
    <w:p w14:paraId="62A5D08F" w14:textId="77777777" w:rsidR="000A6DE2" w:rsidRPr="006B58C0" w:rsidRDefault="000A6DE2" w:rsidP="000A6DE2">
      <w:pPr>
        <w:spacing w:after="0" w:line="240" w:lineRule="auto"/>
        <w:ind w:left="567" w:hanging="567"/>
        <w:jc w:val="center"/>
        <w:rPr>
          <w:rFonts w:ascii="Times New Roman" w:eastAsia="Calibri" w:hAnsi="Times New Roman" w:cs="Times New Roman"/>
          <w:b/>
          <w:lang w:eastAsia="lt-LT"/>
        </w:rPr>
      </w:pPr>
      <w:r w:rsidRPr="006B58C0">
        <w:rPr>
          <w:rFonts w:ascii="Times New Roman" w:eastAsia="Calibri" w:hAnsi="Times New Roman" w:cs="Times New Roman"/>
          <w:b/>
          <w:lang w:eastAsia="lt-LT"/>
        </w:rPr>
        <w:t>Roaccutane 20 mg minkštosio</w:t>
      </w:r>
      <w:r w:rsidRPr="004E403C">
        <w:rPr>
          <w:rFonts w:ascii="Times New Roman" w:hAnsi="Times New Roman"/>
          <w:b/>
        </w:rPr>
        <w:t>s kapsulės</w:t>
      </w:r>
    </w:p>
    <w:p w14:paraId="4CCD860B" w14:textId="2B59769E" w:rsidR="007E07AA" w:rsidRPr="00296C5A" w:rsidRDefault="00F72EE5" w:rsidP="007E07AA">
      <w:pPr>
        <w:spacing w:after="0" w:line="240" w:lineRule="auto"/>
        <w:ind w:left="567" w:hanging="567"/>
        <w:jc w:val="center"/>
        <w:rPr>
          <w:rFonts w:ascii="Times New Roman" w:eastAsia="Calibri" w:hAnsi="Times New Roman" w:cs="Times New Roman"/>
          <w:lang w:eastAsia="lt-LT"/>
        </w:rPr>
      </w:pPr>
      <w:r>
        <w:rPr>
          <w:rFonts w:ascii="Times New Roman" w:eastAsia="Calibri" w:hAnsi="Times New Roman" w:cs="Times New Roman"/>
          <w:lang w:eastAsia="lt-LT"/>
        </w:rPr>
        <w:t>i</w:t>
      </w:r>
      <w:r w:rsidR="007E07AA" w:rsidRPr="00296C5A">
        <w:rPr>
          <w:rFonts w:ascii="Times New Roman" w:eastAsia="Calibri" w:hAnsi="Times New Roman" w:cs="Times New Roman"/>
          <w:lang w:eastAsia="lt-LT"/>
        </w:rPr>
        <w:t>zotretinoinas</w:t>
      </w:r>
    </w:p>
    <w:p w14:paraId="039C3362"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p>
    <w:p w14:paraId="1A6BF2D9"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center"/>
        <w:rPr>
          <w:rFonts w:ascii="Times New Roman" w:eastAsia="Verdana" w:hAnsi="Times New Roman" w:cs="Times New Roman"/>
          <w:b/>
          <w:szCs w:val="18"/>
          <w:lang w:eastAsia="en-GB"/>
        </w:rPr>
      </w:pPr>
      <w:r w:rsidRPr="00296C5A">
        <w:rPr>
          <w:rFonts w:ascii="Times New Roman" w:eastAsia="Verdana" w:hAnsi="Times New Roman" w:cs="Times New Roman"/>
          <w:b/>
          <w:szCs w:val="18"/>
          <w:lang w:eastAsia="en-GB"/>
        </w:rPr>
        <w:t>ĮSPĖJIMAS</w:t>
      </w:r>
    </w:p>
    <w:p w14:paraId="3A5023CF"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2F7A7FC9"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GALI SUKELTI SUNKIUS APSIGIMIMUS</w:t>
      </w:r>
    </w:p>
    <w:p w14:paraId="098515B8"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519EE333"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Moteris privalo naudotis veiksminga kontracepcija</w:t>
      </w:r>
    </w:p>
    <w:p w14:paraId="577EED93"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3B6CF645"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Nevartokite, jeigu esate nėščia arba manote, kad galbūt esate nėščia</w:t>
      </w:r>
    </w:p>
    <w:p w14:paraId="20D61791" w14:textId="77777777" w:rsidR="008A6054" w:rsidRPr="00E25AAE" w:rsidRDefault="008A6054" w:rsidP="00E25AAE">
      <w:pPr>
        <w:spacing w:after="0" w:line="240" w:lineRule="auto"/>
        <w:rPr>
          <w:rFonts w:ascii="Times New Roman" w:hAnsi="Times New Roman"/>
          <w:b/>
        </w:rPr>
      </w:pPr>
    </w:p>
    <w:p w14:paraId="546EF6C2" w14:textId="4FBD00D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Atidžiai perskaitykite visą šį lapelį, prieš pradėdami vartoti vaistą, nes jame pateikiama Jums svarbi informacija.</w:t>
      </w:r>
    </w:p>
    <w:p w14:paraId="3FFD4E5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Neišmeskite šio lapelio, nes vėl gali prireikti jį perskaityti.</w:t>
      </w:r>
    </w:p>
    <w:p w14:paraId="73B4101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Jeigu kiltų daugiau klausimų, kreipkitės į gydytoją arba vaistininką.</w:t>
      </w:r>
    </w:p>
    <w:p w14:paraId="5DDB099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14:paraId="370AE235" w14:textId="77777777" w:rsidR="007E07AA" w:rsidRPr="00296C5A" w:rsidRDefault="007E07AA" w:rsidP="007E07AA">
      <w:pPr>
        <w:numPr>
          <w:ilvl w:val="0"/>
          <w:numId w:val="4"/>
        </w:numPr>
        <w:tabs>
          <w:tab w:val="left" w:pos="567"/>
        </w:tabs>
        <w:spacing w:after="0" w:line="260" w:lineRule="exact"/>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pasireiškė šalutinis poveikis (net jeigu jis šiame lapelyje nenurodytas), kreipkitės į gydytoją arba vaistininką. </w:t>
      </w:r>
      <w:proofErr w:type="spellStart"/>
      <w:r w:rsidRPr="00296C5A">
        <w:rPr>
          <w:rFonts w:ascii="Times New Roman" w:eastAsia="Calibri" w:hAnsi="Times New Roman" w:cs="Times New Roman"/>
          <w:lang w:val="en-US" w:eastAsia="lt-LT"/>
        </w:rPr>
        <w:t>Žr</w:t>
      </w:r>
      <w:proofErr w:type="spellEnd"/>
      <w:r w:rsidRPr="00296C5A">
        <w:rPr>
          <w:rFonts w:ascii="Times New Roman" w:eastAsia="Calibri" w:hAnsi="Times New Roman" w:cs="Times New Roman"/>
          <w:lang w:val="en-US" w:eastAsia="lt-LT"/>
        </w:rPr>
        <w:t xml:space="preserve">. 4 </w:t>
      </w:r>
      <w:proofErr w:type="spellStart"/>
      <w:r w:rsidRPr="00296C5A">
        <w:rPr>
          <w:rFonts w:ascii="Times New Roman" w:eastAsia="Calibri" w:hAnsi="Times New Roman" w:cs="Times New Roman"/>
          <w:lang w:val="en-US" w:eastAsia="lt-LT"/>
        </w:rPr>
        <w:t>skyrių</w:t>
      </w:r>
      <w:proofErr w:type="spellEnd"/>
      <w:r w:rsidRPr="00296C5A">
        <w:rPr>
          <w:rFonts w:ascii="Times New Roman" w:eastAsia="Calibri" w:hAnsi="Times New Roman" w:cs="Times New Roman"/>
          <w:lang w:val="en-US" w:eastAsia="lt-LT"/>
        </w:rPr>
        <w:t>.</w:t>
      </w:r>
    </w:p>
    <w:p w14:paraId="3794DFA0"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553C4D4"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59B2F2B3"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Apie ką rašoma šiame lapelyje?</w:t>
      </w:r>
    </w:p>
    <w:p w14:paraId="41159644"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1.</w:t>
      </w:r>
      <w:r w:rsidRPr="00296C5A">
        <w:rPr>
          <w:rFonts w:ascii="Times New Roman" w:eastAsia="Calibri" w:hAnsi="Times New Roman" w:cs="Times New Roman"/>
          <w:lang w:eastAsia="lt-LT"/>
        </w:rPr>
        <w:tab/>
        <w:t>Kas yra Roaccutane ir kam jis</w:t>
      </w:r>
      <w:r w:rsidRPr="004E403C">
        <w:rPr>
          <w:rFonts w:ascii="Times New Roman" w:hAnsi="Times New Roman"/>
        </w:rPr>
        <w:t xml:space="preserve"> vartojamas</w:t>
      </w:r>
    </w:p>
    <w:p w14:paraId="7432955A"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2.</w:t>
      </w:r>
      <w:r w:rsidRPr="00296C5A">
        <w:rPr>
          <w:rFonts w:ascii="Times New Roman" w:eastAsia="Calibri" w:hAnsi="Times New Roman" w:cs="Times New Roman"/>
          <w:lang w:eastAsia="lt-LT"/>
        </w:rPr>
        <w:tab/>
        <w:t>Kas</w:t>
      </w:r>
      <w:r w:rsidRPr="004E403C">
        <w:rPr>
          <w:rFonts w:ascii="Times New Roman" w:hAnsi="Times New Roman"/>
        </w:rPr>
        <w:t xml:space="preserve"> žinotina prieš vartojant Roaccutane</w:t>
      </w:r>
    </w:p>
    <w:p w14:paraId="5398980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3.</w:t>
      </w:r>
      <w:r w:rsidRPr="00296C5A">
        <w:rPr>
          <w:rFonts w:ascii="Times New Roman" w:eastAsia="Calibri" w:hAnsi="Times New Roman" w:cs="Times New Roman"/>
          <w:lang w:eastAsia="lt-LT"/>
        </w:rPr>
        <w:tab/>
        <w:t>Kaip vartoti Roaccutane</w:t>
      </w:r>
    </w:p>
    <w:p w14:paraId="200E1C64"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4.</w:t>
      </w:r>
      <w:r w:rsidRPr="00296C5A">
        <w:rPr>
          <w:rFonts w:ascii="Times New Roman" w:eastAsia="Calibri" w:hAnsi="Times New Roman" w:cs="Times New Roman"/>
          <w:lang w:eastAsia="lt-LT"/>
        </w:rPr>
        <w:tab/>
        <w:t>Galimas šalutinis poveikis</w:t>
      </w:r>
    </w:p>
    <w:p w14:paraId="5863F0D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5.</w:t>
      </w:r>
      <w:r w:rsidRPr="00296C5A">
        <w:rPr>
          <w:rFonts w:ascii="Times New Roman" w:eastAsia="Calibri" w:hAnsi="Times New Roman" w:cs="Times New Roman"/>
          <w:lang w:eastAsia="lt-LT"/>
        </w:rPr>
        <w:tab/>
        <w:t>Kaip laikyti Roaccutane</w:t>
      </w:r>
    </w:p>
    <w:p w14:paraId="0D1BFB2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6.</w:t>
      </w:r>
      <w:r w:rsidRPr="00296C5A">
        <w:rPr>
          <w:rFonts w:ascii="Times New Roman" w:eastAsia="Calibri" w:hAnsi="Times New Roman" w:cs="Times New Roman"/>
          <w:lang w:eastAsia="lt-LT"/>
        </w:rPr>
        <w:tab/>
        <w:t xml:space="preserve">Pakuotės turinys ir </w:t>
      </w:r>
      <w:r w:rsidRPr="004E403C">
        <w:rPr>
          <w:rFonts w:ascii="Times New Roman" w:hAnsi="Times New Roman"/>
        </w:rPr>
        <w:t>kita informacija</w:t>
      </w:r>
    </w:p>
    <w:p w14:paraId="057F72E5"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05677F9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E970A90"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1.</w:t>
      </w:r>
      <w:r w:rsidRPr="00296C5A">
        <w:rPr>
          <w:rFonts w:ascii="Times New Roman" w:eastAsia="Calibri" w:hAnsi="Times New Roman" w:cs="Times New Roman"/>
          <w:b/>
          <w:lang w:eastAsia="lt-LT"/>
        </w:rPr>
        <w:tab/>
        <w:t>Kas yra Roaccutane ir kam jis vartojamas</w:t>
      </w:r>
    </w:p>
    <w:p w14:paraId="337D2B6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3F7CAD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Roaccutane veiklioji medžiaga yra izotretinoinas - į vitaminą A panaši medžiaga, priklausanti vaistų grupei, vadinamai retinoidais (jais gydomi spuogai).</w:t>
      </w:r>
    </w:p>
    <w:p w14:paraId="342D7691" w14:textId="77777777" w:rsidR="007E07AA" w:rsidRPr="00296C5A" w:rsidRDefault="007E07AA" w:rsidP="007E07AA">
      <w:pPr>
        <w:spacing w:after="0" w:line="240" w:lineRule="auto"/>
        <w:rPr>
          <w:rFonts w:ascii="Times New Roman" w:eastAsia="Calibri" w:hAnsi="Times New Roman" w:cs="Times New Roman"/>
          <w:lang w:eastAsia="lt-LT"/>
        </w:rPr>
      </w:pPr>
    </w:p>
    <w:p w14:paraId="7C537A2E" w14:textId="1929DA62" w:rsidR="00655AA9"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Roaccutane gydomi sunkios formos spuogai</w:t>
      </w:r>
      <w:r w:rsidRPr="00296C5A">
        <w:rPr>
          <w:rFonts w:ascii="Times New Roman" w:eastAsia="Calibri" w:hAnsi="Times New Roman" w:cs="Times New Roman"/>
          <w:lang w:eastAsia="lt-LT"/>
        </w:rPr>
        <w:t xml:space="preserve"> (pvz., mazginiai, susiliejantys ar galintys palikti neišnykstančių randų)</w:t>
      </w:r>
      <w:r w:rsidR="00655AA9">
        <w:rPr>
          <w:rFonts w:ascii="Times New Roman" w:eastAsia="Calibri" w:hAnsi="Times New Roman" w:cs="Times New Roman"/>
          <w:lang w:eastAsia="lt-LT"/>
        </w:rPr>
        <w:t xml:space="preserve"> suaugusiems ir paaugliams. Roaccutane vartojamas gydyti spuogus tada, </w:t>
      </w:r>
      <w:r w:rsidRPr="00296C5A">
        <w:rPr>
          <w:rFonts w:ascii="Times New Roman" w:eastAsia="Calibri" w:hAnsi="Times New Roman" w:cs="Times New Roman"/>
          <w:lang w:eastAsia="lt-LT"/>
        </w:rPr>
        <w:t xml:space="preserve"> </w:t>
      </w:r>
      <w:r w:rsidR="00655AA9" w:rsidRPr="00296C5A">
        <w:rPr>
          <w:rFonts w:ascii="Times New Roman" w:eastAsia="Calibri" w:hAnsi="Times New Roman" w:cs="Times New Roman"/>
          <w:lang w:eastAsia="lt-LT"/>
        </w:rPr>
        <w:t>k</w:t>
      </w:r>
      <w:r w:rsidR="00655AA9">
        <w:rPr>
          <w:rFonts w:ascii="Times New Roman" w:eastAsia="Calibri" w:hAnsi="Times New Roman" w:cs="Times New Roman"/>
          <w:lang w:eastAsia="lt-LT"/>
        </w:rPr>
        <w:t xml:space="preserve">ai </w:t>
      </w:r>
      <w:r w:rsidR="00655AA9" w:rsidRPr="00296C5A">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 xml:space="preserve">po gydymo kitais </w:t>
      </w:r>
      <w:r w:rsidR="00655AA9">
        <w:rPr>
          <w:rFonts w:ascii="Times New Roman" w:eastAsia="Calibri" w:hAnsi="Times New Roman" w:cs="Times New Roman"/>
          <w:lang w:eastAsia="lt-LT"/>
        </w:rPr>
        <w:t xml:space="preserve">vaistiniais </w:t>
      </w:r>
      <w:r w:rsidRPr="00296C5A">
        <w:rPr>
          <w:rFonts w:ascii="Times New Roman" w:eastAsia="Calibri" w:hAnsi="Times New Roman" w:cs="Times New Roman"/>
          <w:lang w:eastAsia="lt-LT"/>
        </w:rPr>
        <w:t>preparatais nuo spuogų, įskaitant antibiotikus ir ant odos vartojamus vaistus,</w:t>
      </w:r>
      <w:r w:rsidR="00655AA9">
        <w:rPr>
          <w:rFonts w:ascii="Times New Roman" w:eastAsia="Calibri" w:hAnsi="Times New Roman" w:cs="Times New Roman"/>
          <w:lang w:eastAsia="lt-LT"/>
        </w:rPr>
        <w:t xml:space="preserve"> būklė</w:t>
      </w:r>
      <w:r w:rsidRPr="00296C5A">
        <w:rPr>
          <w:rFonts w:ascii="Times New Roman" w:eastAsia="Calibri" w:hAnsi="Times New Roman" w:cs="Times New Roman"/>
          <w:lang w:eastAsia="lt-LT"/>
        </w:rPr>
        <w:t xml:space="preserve"> nepalengvėjo.</w:t>
      </w:r>
      <w:r w:rsidR="00655AA9">
        <w:rPr>
          <w:rFonts w:ascii="Times New Roman" w:eastAsia="Calibri" w:hAnsi="Times New Roman" w:cs="Times New Roman"/>
          <w:lang w:eastAsia="lt-LT"/>
        </w:rPr>
        <w:t xml:space="preserve"> </w:t>
      </w:r>
      <w:r w:rsidR="00655AA9" w:rsidRPr="00655AA9">
        <w:rPr>
          <w:rFonts w:ascii="Times New Roman" w:eastAsia="Calibri" w:hAnsi="Times New Roman" w:cs="Times New Roman"/>
          <w:lang w:eastAsia="lt-LT"/>
        </w:rPr>
        <w:t>Roaccutane negalima vartoti priešpubertiniams spuogams gydyti ir jaunesniems nei 12 metų vaikams.</w:t>
      </w:r>
    </w:p>
    <w:p w14:paraId="2B4CBA0E" w14:textId="77777777" w:rsidR="007E07AA" w:rsidRPr="00296C5A" w:rsidRDefault="007E07AA" w:rsidP="007E07AA">
      <w:pPr>
        <w:spacing w:after="0" w:line="240" w:lineRule="auto"/>
        <w:rPr>
          <w:rFonts w:ascii="Times New Roman" w:eastAsia="Calibri" w:hAnsi="Times New Roman" w:cs="Times New Roman"/>
          <w:lang w:eastAsia="lt-LT"/>
        </w:rPr>
      </w:pPr>
    </w:p>
    <w:p w14:paraId="398A866D"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Roaccutane vartojančius pacientus turi prižiūrėti dermatologas</w:t>
      </w:r>
      <w:r w:rsidRPr="00296C5A">
        <w:rPr>
          <w:rFonts w:ascii="Times New Roman" w:eastAsia="Calibri" w:hAnsi="Times New Roman" w:cs="Times New Roman"/>
          <w:lang w:eastAsia="lt-LT"/>
        </w:rPr>
        <w:t xml:space="preserve"> (odos ligų gydy</w:t>
      </w:r>
      <w:r w:rsidRPr="004E403C">
        <w:rPr>
          <w:rFonts w:ascii="Times New Roman" w:hAnsi="Times New Roman"/>
        </w:rPr>
        <w:t>mo patirties turintis gydytojas).</w:t>
      </w:r>
    </w:p>
    <w:p w14:paraId="1253C730" w14:textId="77777777" w:rsidR="007E07AA" w:rsidRPr="00296C5A" w:rsidRDefault="007E07AA" w:rsidP="007E07AA">
      <w:pPr>
        <w:spacing w:after="0" w:line="240" w:lineRule="auto"/>
        <w:rPr>
          <w:rFonts w:ascii="Times New Roman" w:eastAsia="Calibri" w:hAnsi="Times New Roman" w:cs="Times New Roman"/>
          <w:lang w:eastAsia="lt-LT"/>
        </w:rPr>
      </w:pPr>
    </w:p>
    <w:p w14:paraId="330D29C5"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1B084049"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2.</w:t>
      </w:r>
      <w:r w:rsidRPr="00296C5A">
        <w:rPr>
          <w:rFonts w:ascii="Times New Roman" w:eastAsia="Calibri" w:hAnsi="Times New Roman" w:cs="Times New Roman"/>
          <w:b/>
          <w:lang w:eastAsia="lt-LT"/>
        </w:rPr>
        <w:tab/>
        <w:t>Kas žinotina prieš vartojant Roaccutane</w:t>
      </w:r>
    </w:p>
    <w:p w14:paraId="2697029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0A4A4A8C" w14:textId="77777777" w:rsidR="007E07AA" w:rsidRPr="00296C5A" w:rsidRDefault="007E07AA" w:rsidP="007E07AA">
      <w:pP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lang w:eastAsia="lt-LT"/>
        </w:rPr>
        <w:t>Roaccutane vartoti negalima</w:t>
      </w:r>
    </w:p>
    <w:p w14:paraId="5F1A967A"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w:t>
      </w:r>
      <w:r w:rsidRPr="004E403C">
        <w:rPr>
          <w:rFonts w:ascii="Times New Roman" w:hAnsi="Times New Roman"/>
        </w:rPr>
        <w:t xml:space="preserve"> arba žindote </w:t>
      </w:r>
      <w:r w:rsidRPr="00296C5A">
        <w:rPr>
          <w:rFonts w:ascii="Times New Roman" w:eastAsia="Calibri" w:hAnsi="Times New Roman" w:cs="Times New Roman"/>
          <w:lang w:eastAsia="lt-LT"/>
        </w:rPr>
        <w:t xml:space="preserve"> kūdikį;</w:t>
      </w:r>
    </w:p>
    <w:p w14:paraId="1A0BBA50"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bidi="en-US"/>
        </w:rPr>
        <w:t>Jeigu yra nors mažiausia tikimybė, kad galėtumėte pastoti, Jūs privalote imtis apsaugos priemonių, aprašytų poskyryje ”Nėštumas ir apsaugos programa”, skyriuje ”Įspėjimai ir atsargumo priemonės”</w:t>
      </w:r>
      <w:r w:rsidRPr="00296C5A">
        <w:rPr>
          <w:rFonts w:ascii="Times New Roman" w:eastAsia="Calibri" w:hAnsi="Times New Roman" w:cs="Times New Roman"/>
          <w:lang w:eastAsia="lt-LT"/>
        </w:rPr>
        <w:t>;</w:t>
      </w:r>
    </w:p>
    <w:p w14:paraId="4EF7496E"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 xml:space="preserve">jeigu yra alergija </w:t>
      </w:r>
      <w:r w:rsidRPr="00296C5A">
        <w:rPr>
          <w:rFonts w:ascii="Times New Roman" w:eastAsia="Calibri" w:hAnsi="Times New Roman" w:cs="Times New Roman"/>
          <w:i/>
          <w:lang w:eastAsia="lt-LT"/>
        </w:rPr>
        <w:t>izotretinoinui</w:t>
      </w:r>
      <w:r w:rsidRPr="00296C5A">
        <w:rPr>
          <w:rFonts w:ascii="Times New Roman" w:eastAsia="Calibri" w:hAnsi="Times New Roman" w:cs="Times New Roman"/>
          <w:lang w:eastAsia="lt-LT"/>
        </w:rPr>
        <w:t>, žemės riešutams arba sojai arba bet kuriai pagalbinei šio vaisto medžiagai (jo išvardytos 6 skyriuje);</w:t>
      </w:r>
    </w:p>
    <w:p w14:paraId="7FC8EDE7"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sergate kepenų liga;</w:t>
      </w:r>
    </w:p>
    <w:p w14:paraId="5A5BBB2A"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Jūsų kraujo riebalų (pvz., cholesterolio ar trigliceridų) koncentracija yra labai didelė;</w:t>
      </w:r>
    </w:p>
    <w:p w14:paraId="0C282B07"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organizme yra labai d</w:t>
      </w:r>
      <w:proofErr w:type="spellStart"/>
      <w:r w:rsidRPr="00296C5A">
        <w:rPr>
          <w:rFonts w:ascii="Times New Roman" w:eastAsia="Calibri" w:hAnsi="Times New Roman" w:cs="Times New Roman"/>
          <w:lang w:val="en-US" w:eastAsia="lt-LT"/>
        </w:rPr>
        <w:t>aug</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vitamino</w:t>
      </w:r>
      <w:proofErr w:type="spellEnd"/>
      <w:r w:rsidRPr="00296C5A">
        <w:rPr>
          <w:rFonts w:ascii="Times New Roman" w:eastAsia="Calibri" w:hAnsi="Times New Roman" w:cs="Times New Roman"/>
          <w:lang w:val="en-US" w:eastAsia="lt-LT"/>
        </w:rPr>
        <w:t xml:space="preserve"> A (</w:t>
      </w:r>
      <w:proofErr w:type="spellStart"/>
      <w:r w:rsidRPr="00296C5A">
        <w:rPr>
          <w:rFonts w:ascii="Times New Roman" w:eastAsia="Calibri" w:hAnsi="Times New Roman" w:cs="Times New Roman"/>
          <w:lang w:val="en-US" w:eastAsia="lt-LT"/>
        </w:rPr>
        <w:t>hipervitaminozė</w:t>
      </w:r>
      <w:proofErr w:type="spellEnd"/>
      <w:r w:rsidRPr="00296C5A">
        <w:rPr>
          <w:rFonts w:ascii="Times New Roman" w:eastAsia="Calibri" w:hAnsi="Times New Roman" w:cs="Times New Roman"/>
          <w:lang w:val="en-US" w:eastAsia="lt-LT"/>
        </w:rPr>
        <w:t xml:space="preserve"> A);</w:t>
      </w:r>
    </w:p>
    <w:p w14:paraId="7C076D2D"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w:t>
      </w:r>
      <w:r w:rsidRPr="004E403C">
        <w:rPr>
          <w:rFonts w:ascii="Times New Roman" w:hAnsi="Times New Roman"/>
        </w:rPr>
        <w:t>esate gydomas tetraciklinais (tam tikrais antibiotikais) (žiūrėkite poskyrį ,,Kiti vaistai ir Roaccutane“).</w:t>
      </w:r>
    </w:p>
    <w:p w14:paraId="43F45C0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107C063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bet kuri išvardytų sąlygų tinka Jums, prieš pradėdami vartoti Roaccutane vėl kreipkitės į savo gydytoją.</w:t>
      </w:r>
    </w:p>
    <w:p w14:paraId="010714E5" w14:textId="77777777" w:rsidR="007E07AA" w:rsidRPr="00296C5A" w:rsidRDefault="007E07AA" w:rsidP="007E07AA">
      <w:pPr>
        <w:numPr>
          <w:ilvl w:val="12"/>
          <w:numId w:val="0"/>
        </w:numPr>
        <w:spacing w:after="0" w:line="240" w:lineRule="auto"/>
        <w:ind w:right="-2"/>
        <w:rPr>
          <w:rFonts w:ascii="Times New Roman" w:eastAsia="Calibri" w:hAnsi="Times New Roman" w:cs="Times New Roman"/>
          <w:lang w:eastAsia="lt-LT"/>
        </w:rPr>
      </w:pPr>
    </w:p>
    <w:p w14:paraId="07B94F6A" w14:textId="77777777" w:rsidR="007E07AA" w:rsidRPr="00296C5A" w:rsidRDefault="007E07AA" w:rsidP="007E07AA">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Įspėjimai ir atsargumo priemonės</w:t>
      </w:r>
    </w:p>
    <w:p w14:paraId="6B284E27" w14:textId="77777777" w:rsidR="007E07AA" w:rsidRPr="00296C5A" w:rsidRDefault="007E07AA" w:rsidP="007E07AA">
      <w:pPr>
        <w:numPr>
          <w:ilvl w:val="12"/>
          <w:numId w:val="0"/>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Pasitarkite su gydytoju arba vaistininku, prieš pradėdami vartoti Roaccutane:</w:t>
      </w:r>
    </w:p>
    <w:p w14:paraId="044B1FCD" w14:textId="1FFBB6D3" w:rsidR="007E07AA" w:rsidRDefault="007E07AA" w:rsidP="007E07AA">
      <w:pPr>
        <w:numPr>
          <w:ilvl w:val="0"/>
          <w:numId w:val="26"/>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Jeigu kada nors Jums yra buvę psichikos sutrikimų, tokių kaip depresija, polinkis į agresiją ar nuotaikos pokyčiai. Tai taip pat apima mintis apie savęs žalojimą ar savižudybę.  To reikia, nes</w:t>
      </w:r>
      <w:r w:rsidRPr="00296C5A" w:rsidDel="001760D2">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Roaccutane gali paveikti Jūsų nuotaiką.</w:t>
      </w:r>
    </w:p>
    <w:p w14:paraId="16A17154" w14:textId="4A857197" w:rsidR="00E30F71" w:rsidRDefault="00E30F71" w:rsidP="000C4309">
      <w:pPr>
        <w:spacing w:after="0" w:line="240" w:lineRule="auto"/>
        <w:ind w:right="-2"/>
        <w:rPr>
          <w:rFonts w:ascii="Times New Roman" w:eastAsia="Calibri" w:hAnsi="Times New Roman" w:cs="Times New Roman"/>
          <w:lang w:eastAsia="lt-LT"/>
        </w:rPr>
      </w:pPr>
    </w:p>
    <w:p w14:paraId="12E6377E" w14:textId="77777777" w:rsidR="00E30F71" w:rsidRPr="00E579A6" w:rsidRDefault="00E30F71" w:rsidP="00E30F71">
      <w:pPr>
        <w:rPr>
          <w:rFonts w:ascii="Times New Roman" w:hAnsi="Times New Roman" w:cs="Times New Roman"/>
          <w:sz w:val="24"/>
          <w:szCs w:val="24"/>
        </w:rPr>
      </w:pPr>
      <w:r w:rsidRPr="00E579A6">
        <w:rPr>
          <w:rFonts w:ascii="Times New Roman" w:hAnsi="Times New Roman" w:cs="Times New Roman"/>
          <w:sz w:val="24"/>
          <w:szCs w:val="24"/>
        </w:rPr>
        <w:t xml:space="preserve">Pasitarkite su </w:t>
      </w:r>
      <w:r>
        <w:rPr>
          <w:rFonts w:ascii="Times New Roman" w:hAnsi="Times New Roman" w:cs="Times New Roman"/>
          <w:sz w:val="24"/>
          <w:szCs w:val="24"/>
        </w:rPr>
        <w:t xml:space="preserve">Jūsų </w:t>
      </w:r>
      <w:r w:rsidRPr="00E579A6">
        <w:rPr>
          <w:rFonts w:ascii="Times New Roman" w:hAnsi="Times New Roman" w:cs="Times New Roman"/>
          <w:sz w:val="24"/>
          <w:szCs w:val="24"/>
        </w:rPr>
        <w:t>gydytoju, jei</w:t>
      </w:r>
      <w:r>
        <w:rPr>
          <w:rFonts w:ascii="Times New Roman" w:hAnsi="Times New Roman" w:cs="Times New Roman"/>
          <w:sz w:val="24"/>
          <w:szCs w:val="24"/>
        </w:rPr>
        <w:t>gu</w:t>
      </w:r>
      <w:r w:rsidRPr="00E579A6">
        <w:rPr>
          <w:rFonts w:ascii="Times New Roman" w:hAnsi="Times New Roman" w:cs="Times New Roman"/>
          <w:sz w:val="24"/>
          <w:szCs w:val="24"/>
        </w:rPr>
        <w:t xml:space="preserve"> gydymo Roaccutane metu jaučiate nuolatinį apatinės nugaros dalies arba sėdmenų skausmą. Š</w:t>
      </w:r>
      <w:r>
        <w:rPr>
          <w:rFonts w:ascii="Times New Roman" w:hAnsi="Times New Roman" w:cs="Times New Roman"/>
          <w:sz w:val="24"/>
          <w:szCs w:val="24"/>
        </w:rPr>
        <w:t>ie simptomai gali būti sakroili</w:t>
      </w:r>
      <w:r w:rsidRPr="00E579A6">
        <w:rPr>
          <w:rFonts w:ascii="Times New Roman" w:hAnsi="Times New Roman" w:cs="Times New Roman"/>
          <w:sz w:val="24"/>
          <w:szCs w:val="24"/>
        </w:rPr>
        <w:t xml:space="preserve">to, uždegiminio nugaros skausmo, požymiai. Gydytojas gali nutraukti </w:t>
      </w:r>
      <w:r>
        <w:rPr>
          <w:rFonts w:ascii="Times New Roman" w:hAnsi="Times New Roman" w:cs="Times New Roman"/>
          <w:sz w:val="24"/>
          <w:szCs w:val="24"/>
        </w:rPr>
        <w:t>gydymą Roaccutane ir nukreipti J</w:t>
      </w:r>
      <w:r w:rsidRPr="00E579A6">
        <w:rPr>
          <w:rFonts w:ascii="Times New Roman" w:hAnsi="Times New Roman" w:cs="Times New Roman"/>
          <w:sz w:val="24"/>
          <w:szCs w:val="24"/>
        </w:rPr>
        <w:t xml:space="preserve">us pas specialistą uždegiminiam nugaros skausmui gydyti. Gali prireikti tolesnio vertinimo, įskaitant </w:t>
      </w:r>
      <w:r>
        <w:rPr>
          <w:rFonts w:ascii="Times New Roman" w:hAnsi="Times New Roman" w:cs="Times New Roman"/>
          <w:sz w:val="24"/>
          <w:szCs w:val="24"/>
        </w:rPr>
        <w:t>tokio,</w:t>
      </w:r>
      <w:r w:rsidRPr="00E579A6">
        <w:rPr>
          <w:rFonts w:ascii="Times New Roman" w:hAnsi="Times New Roman" w:cs="Times New Roman"/>
          <w:sz w:val="24"/>
          <w:szCs w:val="24"/>
        </w:rPr>
        <w:t xml:space="preserve"> kaip </w:t>
      </w:r>
      <w:r>
        <w:rPr>
          <w:rFonts w:ascii="Times New Roman" w:hAnsi="Times New Roman" w:cs="Times New Roman"/>
          <w:sz w:val="24"/>
          <w:szCs w:val="24"/>
        </w:rPr>
        <w:t>magnetinio rezonanso tyrimas (</w:t>
      </w:r>
      <w:r w:rsidRPr="00E579A6">
        <w:rPr>
          <w:rFonts w:ascii="Times New Roman" w:hAnsi="Times New Roman" w:cs="Times New Roman"/>
          <w:sz w:val="24"/>
          <w:szCs w:val="24"/>
        </w:rPr>
        <w:t>MRT</w:t>
      </w:r>
      <w:r>
        <w:rPr>
          <w:rFonts w:ascii="Times New Roman" w:hAnsi="Times New Roman" w:cs="Times New Roman"/>
          <w:sz w:val="24"/>
          <w:szCs w:val="24"/>
        </w:rPr>
        <w:t>)</w:t>
      </w:r>
      <w:r w:rsidRPr="00E579A6">
        <w:rPr>
          <w:rFonts w:ascii="Times New Roman" w:hAnsi="Times New Roman" w:cs="Times New Roman"/>
          <w:sz w:val="24"/>
          <w:szCs w:val="24"/>
        </w:rPr>
        <w:t>.</w:t>
      </w:r>
    </w:p>
    <w:p w14:paraId="510FAD73"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617DF489"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Apsaugos nuo nėštumo programa</w:t>
      </w:r>
    </w:p>
    <w:p w14:paraId="381B0ADB"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007C3A4C"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Nėščiai moteriai Roaccutane vartoti draudžiama</w:t>
      </w:r>
    </w:p>
    <w:p w14:paraId="38D514B5" w14:textId="77777777" w:rsidR="007E07AA" w:rsidRPr="00296C5A" w:rsidRDefault="007E07AA" w:rsidP="007E07AA">
      <w:pPr>
        <w:spacing w:after="0" w:line="240" w:lineRule="auto"/>
        <w:rPr>
          <w:rFonts w:ascii="Times New Roman" w:eastAsia="Calibri" w:hAnsi="Times New Roman" w:cs="Times New Roman"/>
          <w:lang w:eastAsia="lt-LT"/>
        </w:rPr>
      </w:pPr>
    </w:p>
    <w:p w14:paraId="618825D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gali sunkiai pažeisti negimusį kūdikį (sakoma, kad vaistas yra </w:t>
      </w:r>
      <w:r w:rsidRPr="00296C5A">
        <w:rPr>
          <w:rFonts w:ascii="Times New Roman" w:eastAsia="Calibri" w:hAnsi="Times New Roman" w:cs="Times New Roman"/>
          <w:i/>
          <w:lang w:eastAsia="lt-LT"/>
        </w:rPr>
        <w:t>teratogeniškas</w:t>
      </w:r>
      <w:r w:rsidRPr="00296C5A">
        <w:rPr>
          <w:rFonts w:ascii="Times New Roman" w:eastAsia="Calibri" w:hAnsi="Times New Roman" w:cs="Times New Roman"/>
          <w:lang w:eastAsia="lt-LT"/>
        </w:rPr>
        <w:t>), t. y., jis gali sukelti sunkius negimusio kūdikio smegenų, veido, ausų, akių, širdies ir tam tikrų liaukų (užkrūčio ir prieskydinių liaukų) apsigimimus. Be to, jis padidina persileidimo pavojų. Tai gali nutikti net jei nėštumo metu Roaccutane vartojamas  trumpai.</w:t>
      </w:r>
    </w:p>
    <w:p w14:paraId="3F20965A" w14:textId="77777777" w:rsidR="007E07AA" w:rsidRPr="00296C5A" w:rsidRDefault="007E07AA" w:rsidP="007E07AA">
      <w:pPr>
        <w:spacing w:after="0" w:line="240" w:lineRule="auto"/>
        <w:rPr>
          <w:rFonts w:ascii="Times New Roman" w:eastAsia="Calibri" w:hAnsi="Times New Roman" w:cs="Times New Roman"/>
          <w:lang w:eastAsia="lt-LT"/>
        </w:rPr>
      </w:pPr>
    </w:p>
    <w:p w14:paraId="6034CE17"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 arba manote, kad galbūt esate nėščia, Jums Roaccutane vartoti draudžiama.</w:t>
      </w:r>
    </w:p>
    <w:p w14:paraId="64D32890"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Jeigu žindote kūdikį, Jums Roaccutane vartoti draudžiama. Tikėtina, kad šis vaistas patenka į motinos pieną ir taip gali pažeisti Jūsų kūdikį.</w:t>
      </w:r>
    </w:p>
    <w:p w14:paraId="13C7FED9"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Jeigu galėtumėte pastoti gydymo metu, Jums Roaccutane vartoti draudžiama.</w:t>
      </w:r>
    </w:p>
    <w:p w14:paraId="7A8878D6"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Baigus gydymą Jums draudžiama pastoti vieną mėnesį, nes tiek laiko Jūsų organizme gali būti išlikę šiek tiek vaisto.</w:t>
      </w:r>
    </w:p>
    <w:p w14:paraId="609097CF" w14:textId="77777777" w:rsidR="007E07AA" w:rsidRPr="00296C5A" w:rsidRDefault="007E07AA" w:rsidP="007E07AA">
      <w:pPr>
        <w:spacing w:after="0" w:line="240" w:lineRule="auto"/>
        <w:rPr>
          <w:rFonts w:ascii="Times New Roman" w:eastAsia="Calibri" w:hAnsi="Times New Roman" w:cs="Times New Roman"/>
          <w:lang w:eastAsia="lt-LT"/>
        </w:rPr>
      </w:pPr>
    </w:p>
    <w:p w14:paraId="261CD9F6"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Dėl apsigimimų (negimusio kūdikio pažaidos) rizikos pastoti galinčioms moterims Roaccutane skiriama tik laikantis griežtų taisyklių.</w:t>
      </w:r>
    </w:p>
    <w:p w14:paraId="3BE26C36" w14:textId="77777777" w:rsidR="007E07AA" w:rsidRPr="00296C5A" w:rsidRDefault="007E07AA" w:rsidP="007E07AA">
      <w:pPr>
        <w:spacing w:after="0" w:line="240" w:lineRule="auto"/>
        <w:rPr>
          <w:rFonts w:ascii="Times New Roman" w:eastAsia="Calibri" w:hAnsi="Times New Roman" w:cs="Times New Roman"/>
          <w:b/>
          <w:lang w:eastAsia="lt-LT"/>
        </w:rPr>
      </w:pPr>
    </w:p>
    <w:p w14:paraId="785E3625" w14:textId="77777777" w:rsidR="007E07AA" w:rsidRPr="00296C5A" w:rsidRDefault="007E07AA" w:rsidP="007E07AA">
      <w:pPr>
        <w:spacing w:after="0" w:line="240" w:lineRule="auto"/>
        <w:ind w:left="851" w:hanging="851"/>
        <w:rPr>
          <w:rFonts w:ascii="Times New Roman" w:eastAsia="Calibri" w:hAnsi="Times New Roman" w:cs="Times New Roman"/>
          <w:lang w:eastAsia="lt-LT"/>
        </w:rPr>
      </w:pPr>
      <w:r w:rsidRPr="00296C5A">
        <w:rPr>
          <w:rFonts w:ascii="Times New Roman" w:eastAsia="Calibri" w:hAnsi="Times New Roman" w:cs="Times New Roman"/>
          <w:lang w:eastAsia="lt-LT"/>
        </w:rPr>
        <w:t>Šios taisyklės yra tokios:</w:t>
      </w:r>
    </w:p>
    <w:p w14:paraId="5150242C" w14:textId="77777777" w:rsidR="007E07AA" w:rsidRPr="00296C5A" w:rsidRDefault="007E07AA" w:rsidP="007E07AA">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Gydytojas privalo paaiškinti apie apsigimimų riziką, o Jūs privalote suprasti, kodėl draudžiama pastoti ir ką turite daryti, kad nepastotumėte.</w:t>
      </w:r>
    </w:p>
    <w:p w14:paraId="0A889A35" w14:textId="77777777" w:rsidR="007E07AA" w:rsidRPr="00296C5A" w:rsidRDefault="007E07AA" w:rsidP="007E07AA">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 savo gydytoju aptarti kontracepciją (apsaugą nuo nėštumo). Gydytojas Jus informuos, kaip išvengti nėštumo. Gydytojas  gali nukreipti Jus pasitarti su kontracepcijos specialistu.</w:t>
      </w:r>
    </w:p>
    <w:p w14:paraId="35909E26" w14:textId="77777777" w:rsidR="007E07AA" w:rsidRPr="00296C5A" w:rsidRDefault="007E07AA" w:rsidP="007E07AA">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Prieš pradedant gydymą Jūsų gydytojas nurodys Jums atlikti nėštumo testą. Šis testas privalo parodyti, kad pradėdama gydymą Roaccutane Jūs nesate nėščia.</w:t>
      </w:r>
    </w:p>
    <w:p w14:paraId="080FE8CE" w14:textId="77777777" w:rsidR="007E07AA" w:rsidRPr="00296C5A" w:rsidRDefault="007E07AA" w:rsidP="007E07AA">
      <w:pPr>
        <w:spacing w:after="0" w:line="240" w:lineRule="auto"/>
        <w:rPr>
          <w:rFonts w:ascii="Times New Roman" w:eastAsia="Calibri" w:hAnsi="Times New Roman" w:cs="Times New Roman"/>
          <w:b/>
          <w:bCs/>
          <w:lang w:eastAsia="lt-LT"/>
        </w:rPr>
      </w:pPr>
    </w:p>
    <w:p w14:paraId="6562E7DF"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Pacientė moteris privalo naudotis veiksminga kontracepcija prieš pradedant gydymą, gydymo metu ir baigusi gydymą Roaccutane.</w:t>
      </w:r>
    </w:p>
    <w:p w14:paraId="1E664954" w14:textId="77777777" w:rsidR="007E07AA" w:rsidRPr="00296C5A" w:rsidRDefault="007E07AA" w:rsidP="007E07AA">
      <w:pPr>
        <w:spacing w:after="0" w:line="240" w:lineRule="auto"/>
        <w:rPr>
          <w:rFonts w:ascii="Times New Roman" w:eastAsia="Calibri" w:hAnsi="Times New Roman" w:cs="Times New Roman"/>
          <w:b/>
          <w:lang w:eastAsia="lt-LT"/>
        </w:rPr>
      </w:pPr>
    </w:p>
    <w:p w14:paraId="5517E3E5" w14:textId="77777777" w:rsidR="007E07AA" w:rsidRPr="00296C5A" w:rsidRDefault="007E07AA" w:rsidP="007E07AA">
      <w:pPr>
        <w:numPr>
          <w:ilvl w:val="0"/>
          <w:numId w:val="23"/>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 xml:space="preserve">Jūs privalote sutikti naudotis bent vienu veiksmingos kontracepcijos metodu (pavyzdžiui, vartojimo į gimdą sistema ar kontraceptiniu implantu) arba dviem skirtingais būdais veikiančiais metodais (pavyzdžiui, vartoti hormonines kontraceptines tabletes ir naudotis prezervatyvu). Pasitarkite su gydytoju, kokie metodai Jums tinkami. </w:t>
      </w:r>
    </w:p>
    <w:p w14:paraId="108EB3DE" w14:textId="77777777" w:rsidR="007E07AA" w:rsidRPr="00296C5A" w:rsidRDefault="007E07AA" w:rsidP="007E07AA">
      <w:pPr>
        <w:numPr>
          <w:ilvl w:val="0"/>
          <w:numId w:val="23"/>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naudotis kontracepcija vieną mėnesį iki gydymo Roaccutane, gydymo juo laikotarpiu ir vieną mėnesį po gydymo.</w:t>
      </w:r>
    </w:p>
    <w:p w14:paraId="4D96FFCC" w14:textId="77777777" w:rsidR="007E07AA" w:rsidRPr="00296C5A" w:rsidRDefault="007E07AA" w:rsidP="007E07AA">
      <w:pPr>
        <w:numPr>
          <w:ilvl w:val="0"/>
          <w:numId w:val="23"/>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naudotis kontracepcija net ir tuo atveju, jeigu nebūna mėnesinių arba neturite lytinių santykių (nebent gydytojas nuspręstų, kad tai nebūtina).</w:t>
      </w:r>
    </w:p>
    <w:p w14:paraId="34E01F22" w14:textId="77777777" w:rsidR="007E07AA" w:rsidRPr="00296C5A" w:rsidRDefault="007E07AA" w:rsidP="007E07AA">
      <w:pPr>
        <w:spacing w:after="0" w:line="240" w:lineRule="auto"/>
        <w:rPr>
          <w:rFonts w:ascii="Times New Roman" w:eastAsia="Calibri" w:hAnsi="Times New Roman" w:cs="Times New Roman"/>
          <w:b/>
          <w:bCs/>
          <w:lang w:eastAsia="lt-LT"/>
        </w:rPr>
      </w:pPr>
    </w:p>
    <w:p w14:paraId="15173605"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Pacientė moteris privalo sutikti atlikti nėštumo testus prieš pradedant gydymą, gydymo metu ir baigusi gydymą Roaccutane.</w:t>
      </w:r>
    </w:p>
    <w:p w14:paraId="3680090D" w14:textId="77777777" w:rsidR="007E07AA" w:rsidRPr="00296C5A" w:rsidRDefault="007E07AA" w:rsidP="007E07AA">
      <w:pPr>
        <w:spacing w:after="0" w:line="240" w:lineRule="auto"/>
        <w:rPr>
          <w:rFonts w:ascii="Times New Roman" w:eastAsia="Calibri" w:hAnsi="Times New Roman" w:cs="Times New Roman"/>
          <w:b/>
          <w:lang w:eastAsia="lt-LT"/>
        </w:rPr>
      </w:pPr>
    </w:p>
    <w:p w14:paraId="68E80A24"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reguliariai lankytis pas gydytoją, idealiu atveju – kas mėnesį.</w:t>
      </w:r>
    </w:p>
    <w:p w14:paraId="28D9FFCA"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reguliariai atlikti nėtumo testą, idealiu atveju kas mėnesį gydymo Roaccutane metu ir baigus gydymą dar vieną mėnesį, nes Jūsų organizme dar gali būti išlikę šiek tiek vaisto (nebent Jūsų gydytojas nuspręstų, kad Jūsų atveju to nereikia).</w:t>
      </w:r>
    </w:p>
    <w:p w14:paraId="4E36B3C3"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atlikti papildomą nėštumo testą, jeigu Jūsų gydytojas to paprašytų.</w:t>
      </w:r>
    </w:p>
    <w:p w14:paraId="239B0F57"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nepastoti gydymo metu ir dar vieną mėnesį baigus gydymą, nes tiek laiko Jūsų organizme dar gali būti išlikę šiek tiek vaisto.</w:t>
      </w:r>
    </w:p>
    <w:p w14:paraId="0EA84BBC"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Naudodamas klausimyną Jūsų gydytojas aptars visa tai su Jumis ir paprašys Jus (arba Jūsų globėją) pasirašyti klausimyno formą. Ji patvirtina, kad buvote informuota apie gydymo pavojus ir kad Jūs laikysitės visų aukščiau paminėtų taisyklių.</w:t>
      </w:r>
    </w:p>
    <w:p w14:paraId="696E1794" w14:textId="77777777" w:rsidR="007E07AA" w:rsidRPr="00296C5A" w:rsidRDefault="007E07AA" w:rsidP="007E07AA">
      <w:pPr>
        <w:spacing w:after="0" w:line="240" w:lineRule="auto"/>
        <w:rPr>
          <w:rFonts w:ascii="Times New Roman" w:eastAsia="Calibri" w:hAnsi="Times New Roman" w:cs="Times New Roman"/>
          <w:lang w:eastAsia="lt-LT"/>
        </w:rPr>
      </w:pPr>
    </w:p>
    <w:p w14:paraId="3F8B7004"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vartodama Roaccutane pastotumėte, </w:t>
      </w:r>
      <w:r w:rsidRPr="00296C5A">
        <w:rPr>
          <w:rFonts w:ascii="Times New Roman" w:eastAsia="Calibri" w:hAnsi="Times New Roman" w:cs="Times New Roman"/>
          <w:b/>
          <w:bCs/>
          <w:lang w:eastAsia="lt-LT"/>
        </w:rPr>
        <w:t>nedelsdama šio vaisto vartojimą nutraukite</w:t>
      </w:r>
      <w:r w:rsidRPr="00296C5A">
        <w:rPr>
          <w:rFonts w:ascii="Times New Roman" w:eastAsia="Calibri" w:hAnsi="Times New Roman" w:cs="Times New Roman"/>
          <w:lang w:eastAsia="lt-LT"/>
        </w:rPr>
        <w:t xml:space="preserve"> ir kreipkitės į savo gydytoją. Jūsų gydytojas gali nukreipti Jus specialisto konsultacijai.</w:t>
      </w:r>
    </w:p>
    <w:p w14:paraId="63552ED4" w14:textId="77777777" w:rsidR="007E07AA" w:rsidRPr="00296C5A" w:rsidRDefault="007E07AA" w:rsidP="007E07AA">
      <w:pPr>
        <w:spacing w:after="0" w:line="240" w:lineRule="auto"/>
        <w:rPr>
          <w:rFonts w:ascii="Times New Roman" w:eastAsia="Calibri" w:hAnsi="Times New Roman" w:cs="Times New Roman"/>
          <w:lang w:eastAsia="lt-LT"/>
        </w:rPr>
      </w:pPr>
    </w:p>
    <w:p w14:paraId="55F27200"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Be to, jeigu pastotumėte per vieną mėnesį po gydymo Roaccutane pabaigos, Jūs turite kreiptis į savo gydytoją. Jūsų gydytojas gali nukreipti Jus specialisto konsultacijai.</w:t>
      </w:r>
    </w:p>
    <w:p w14:paraId="510C54EC" w14:textId="77777777" w:rsidR="007E07AA" w:rsidRPr="00296C5A" w:rsidRDefault="007E07AA" w:rsidP="007E07AA">
      <w:pPr>
        <w:spacing w:after="0" w:line="240" w:lineRule="auto"/>
        <w:rPr>
          <w:rFonts w:ascii="Times New Roman" w:eastAsia="Calibri" w:hAnsi="Times New Roman" w:cs="Times New Roman"/>
          <w:lang w:eastAsia="lt-LT"/>
        </w:rPr>
      </w:pPr>
    </w:p>
    <w:p w14:paraId="6122C34A"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vyrams</w:t>
      </w:r>
    </w:p>
    <w:p w14:paraId="0DAADAC2"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Roaccutane vartojančių vyrų sėkloje geriamojo retinoido koncentracija yra pernelyg maža, kad pažeistų partnerės negimusį kūdikį. Vis dėlto kitiems žmonėms savo vaisto duoti negalima</w:t>
      </w:r>
      <w:r w:rsidRPr="004E403C">
        <w:rPr>
          <w:rFonts w:ascii="Times New Roman" w:hAnsi="Times New Roman"/>
        </w:rPr>
        <w:t>.</w:t>
      </w:r>
    </w:p>
    <w:p w14:paraId="6E96F507"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3043025C"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Papildomos atsargumo priemonės</w:t>
      </w:r>
    </w:p>
    <w:p w14:paraId="15BE3DCB"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Niekada neduokite savo vaisto kitam žmogui. Baigę gydymą visas nesuvartotas kapsules nuneškite savo vaistininkui.</w:t>
      </w:r>
    </w:p>
    <w:p w14:paraId="3E555B54" w14:textId="77777777" w:rsidR="007E07AA" w:rsidRPr="00296C5A" w:rsidRDefault="007E07AA" w:rsidP="007E07AA">
      <w:pPr>
        <w:spacing w:after="0" w:line="240" w:lineRule="auto"/>
        <w:rPr>
          <w:rFonts w:ascii="Times New Roman" w:eastAsia="Calibri" w:hAnsi="Times New Roman" w:cs="Times New Roman"/>
          <w:lang w:eastAsia="lt-LT"/>
        </w:rPr>
      </w:pPr>
    </w:p>
    <w:p w14:paraId="6B9D8366"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Gydymo Roaccutane metu ir vieną </w:t>
      </w:r>
      <w:r w:rsidRPr="004E403C">
        <w:rPr>
          <w:rFonts w:ascii="Times New Roman" w:hAnsi="Times New Roman"/>
          <w:b/>
        </w:rPr>
        <w:t>mėnesį po jo pabaigos negalite būti kraujo donoru. Jeigu Jūsų kraujo būtų perpilta nėščiai moteriai, jai galėtų gimti apsigimęs kūdikis</w:t>
      </w:r>
      <w:r w:rsidRPr="00296C5A">
        <w:rPr>
          <w:rFonts w:ascii="Times New Roman" w:eastAsia="Calibri" w:hAnsi="Times New Roman" w:cs="Times New Roman"/>
          <w:b/>
          <w:lang w:eastAsia="lt-LT"/>
        </w:rPr>
        <w:t>.</w:t>
      </w:r>
    </w:p>
    <w:p w14:paraId="14C6D0C0" w14:textId="77777777" w:rsidR="007E07AA" w:rsidRPr="00296C5A" w:rsidRDefault="007E07AA" w:rsidP="007E07AA">
      <w:pPr>
        <w:spacing w:after="0" w:line="240" w:lineRule="auto"/>
        <w:rPr>
          <w:rFonts w:ascii="Times New Roman" w:eastAsia="Calibri" w:hAnsi="Times New Roman" w:cs="Times New Roman"/>
          <w:b/>
          <w:lang w:eastAsia="lt-LT"/>
        </w:rPr>
      </w:pPr>
    </w:p>
    <w:p w14:paraId="2A43106C" w14:textId="77777777" w:rsidR="007E07AA" w:rsidRPr="00296C5A" w:rsidRDefault="007E07AA" w:rsidP="007E07AA">
      <w:pPr>
        <w:spacing w:after="0" w:line="240" w:lineRule="auto"/>
        <w:rPr>
          <w:rFonts w:ascii="Calibri" w:eastAsia="Calibri" w:hAnsi="Calibri" w:cs="Times New Roman"/>
          <w:lang w:eastAsia="lt-LT"/>
        </w:rPr>
      </w:pPr>
      <w:r w:rsidRPr="00296C5A">
        <w:rPr>
          <w:rFonts w:ascii="Calibri" w:eastAsia="Calibri" w:hAnsi="Calibri" w:cs="Times New Roman"/>
          <w:lang w:eastAsia="lt-LT"/>
        </w:rPr>
        <w:t xml:space="preserve">Protinės sveikatos sutrikimai </w:t>
      </w:r>
    </w:p>
    <w:p w14:paraId="69D9BB53"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Jūs patys galite pastebėti kai kurių Jūsų nuotaikos ir elgesio pokyčių, todėl labai svarbu, kad pasakytumėte savo draugams ir šeimos nariams, kad vartojate šį vaistą. Jie gali pastebėti šiuos pokyčius ir padėti nustatyti bet kokius sutrikimus, kuriuos turite aptarti su gydytoju.</w:t>
      </w:r>
    </w:p>
    <w:p w14:paraId="60F452EA" w14:textId="77777777" w:rsidR="007E07AA" w:rsidRPr="00296C5A" w:rsidRDefault="007E07AA" w:rsidP="007E07AA">
      <w:pPr>
        <w:spacing w:after="0" w:line="240" w:lineRule="auto"/>
        <w:rPr>
          <w:rFonts w:ascii="Times New Roman" w:eastAsia="Calibri" w:hAnsi="Times New Roman" w:cs="Times New Roman"/>
          <w:lang w:eastAsia="lt-LT"/>
        </w:rPr>
      </w:pPr>
    </w:p>
    <w:p w14:paraId="181DCD34" w14:textId="77777777" w:rsidR="007E07AA" w:rsidRPr="00296C5A" w:rsidRDefault="007E07AA" w:rsidP="007E07AA">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visiems pacientams</w:t>
      </w:r>
    </w:p>
    <w:p w14:paraId="4A55F079" w14:textId="77777777" w:rsidR="007E07AA" w:rsidRPr="00296C5A" w:rsidRDefault="007E07AA" w:rsidP="007E07AA">
      <w:pPr>
        <w:keepNext/>
        <w:keepLines/>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Pasakykite savo gydytojui, jeigu kada nors sirgote bet kokia psichikos liga </w:t>
      </w:r>
      <w:r w:rsidRPr="00296C5A">
        <w:rPr>
          <w:rFonts w:ascii="Times New Roman" w:eastAsia="Calibri" w:hAnsi="Times New Roman" w:cs="Times New Roman"/>
          <w:lang w:eastAsia="lt-LT"/>
        </w:rPr>
        <w:t>(įskaitant depresiją, mintis apie savižudybę ar psichozę) arba jeigu vartojate vaistų bet kuriai šių ligų gydyti.</w:t>
      </w:r>
    </w:p>
    <w:p w14:paraId="5DF72EB7"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Vartojusiesiems Roaccutane yra pastebėta</w:t>
      </w:r>
      <w:r w:rsidRPr="00296C5A">
        <w:rPr>
          <w:rFonts w:ascii="Times New Roman" w:eastAsia="Calibri" w:hAnsi="Times New Roman" w:cs="Times New Roman"/>
          <w:b/>
          <w:lang w:eastAsia="lt-LT"/>
        </w:rPr>
        <w:t xml:space="preserve"> sunkių odos reakcijų</w:t>
      </w:r>
      <w:r w:rsidRPr="00296C5A">
        <w:rPr>
          <w:rFonts w:ascii="Times New Roman" w:eastAsia="Calibri" w:hAnsi="Times New Roman" w:cs="Times New Roman"/>
          <w:lang w:eastAsia="lt-LT"/>
        </w:rPr>
        <w:t xml:space="preserve"> (pvz., daugiaformė eritema (DE), </w:t>
      </w:r>
      <w:r w:rsidRPr="00296C5A">
        <w:rPr>
          <w:rFonts w:ascii="Times New Roman" w:eastAsia="Calibri" w:hAnsi="Times New Roman" w:cs="Times New Roman"/>
          <w:i/>
          <w:lang w:eastAsia="lt-LT"/>
        </w:rPr>
        <w:t>Stevens-Johnsons</w:t>
      </w:r>
      <w:r w:rsidRPr="00296C5A">
        <w:rPr>
          <w:rFonts w:ascii="Times New Roman" w:eastAsia="Calibri" w:hAnsi="Times New Roman" w:cs="Times New Roman"/>
          <w:lang w:eastAsia="lt-LT"/>
        </w:rPr>
        <w:t xml:space="preserve"> sindromas (SJS) ir toksinės epidermio nekrolizės (TEN)). Bėrimas gali progresuoti iki išplitusio pūslėjimo ar odos lupimosi. Jūs taip pat turėtumėte paieškoti opelių burnoje, gerklėje, nosyje ar ant lyties organų, atkreipti dėmesį į konjunktyvitą (raudonos ir patinusios akys).</w:t>
      </w:r>
    </w:p>
    <w:p w14:paraId="6EC81DBC"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Retai Roaccutane gali sukelti sunkias alergines reakcijas</w:t>
      </w:r>
      <w:r w:rsidRPr="00296C5A">
        <w:rPr>
          <w:rFonts w:ascii="Times New Roman" w:eastAsia="Calibri" w:hAnsi="Times New Roman" w:cs="Times New Roman"/>
          <w:lang w:eastAsia="lt-LT"/>
        </w:rPr>
        <w:t xml:space="preserve">, kai kurios iš jų gali pažeisti odą, pvz., egzema, dilgėlinė ir mėlynės ar raudonos dėmės ant rankų ir kojų. Jeigu </w:t>
      </w:r>
      <w:r w:rsidRPr="00296C5A">
        <w:rPr>
          <w:rFonts w:ascii="Times New Roman" w:eastAsia="Calibri" w:hAnsi="Times New Roman" w:cs="Times New Roman"/>
          <w:lang w:eastAsia="lt-LT"/>
        </w:rPr>
        <w:lastRenderedPageBreak/>
        <w:t>pasireiškia alerginė reakcija, nebevartokite Roaccutane, skubiai kreipkitės į gydytoją patarimo ir pasakykite jam, kad vartojate šį vaistą.</w:t>
      </w:r>
    </w:p>
    <w:p w14:paraId="0E29ADC9"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Gydymo Roaccutane metu mažiau sportuokite ir</w:t>
      </w:r>
      <w:r w:rsidRPr="004E403C">
        <w:rPr>
          <w:rFonts w:ascii="Times New Roman" w:hAnsi="Times New Roman"/>
          <w:b/>
        </w:rPr>
        <w:t xml:space="preserve"> </w:t>
      </w:r>
      <w:r w:rsidRPr="00296C5A">
        <w:rPr>
          <w:rFonts w:ascii="Times New Roman" w:eastAsia="Calibri" w:hAnsi="Times New Roman" w:cs="Times New Roman"/>
          <w:b/>
          <w:lang w:eastAsia="lt-LT"/>
        </w:rPr>
        <w:t>su</w:t>
      </w:r>
      <w:r w:rsidRPr="004E403C">
        <w:rPr>
          <w:rFonts w:ascii="Times New Roman" w:hAnsi="Times New Roman"/>
          <w:b/>
        </w:rPr>
        <w:t>mažinkite fizinį aktyvumą.</w:t>
      </w:r>
      <w:r w:rsidRPr="004E403C">
        <w:rPr>
          <w:rFonts w:ascii="Times New Roman" w:hAnsi="Times New Roman"/>
        </w:rPr>
        <w:t xml:space="preserve"> Intensyviai sportuojant Roaccutane gali sukelti raumenų ir sąnarių skausmą, ypač vaikams ir paaugliams.</w:t>
      </w:r>
    </w:p>
    <w:p w14:paraId="6FFCAE7D"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Roaccutane vartojimas yra susijęs su uždegimine žarnyno liga</w:t>
      </w:r>
      <w:r w:rsidRPr="004E403C">
        <w:rPr>
          <w:rFonts w:ascii="Times New Roman" w:hAnsi="Times New Roman"/>
          <w:lang w:val="fr-CA"/>
        </w:rPr>
        <w:t>. Jeigu gausiai viduriuojate su krauju be jokių virškinimo sutrikimų, gydymą Roaccutane Jūsų gydytojas nutrauks.</w:t>
      </w:r>
    </w:p>
    <w:p w14:paraId="4BBEF3A3" w14:textId="46EB661C"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Roaccutane gali sukelti akių sausmę, glaustinių lęšių netoleravimą ir regėjimo sutrikimų, įskaitant naktinio matymo susilpnėjimą</w:t>
      </w:r>
      <w:r w:rsidRPr="00296C5A">
        <w:rPr>
          <w:rFonts w:ascii="Times New Roman" w:eastAsia="Calibri" w:hAnsi="Times New Roman" w:cs="Times New Roman"/>
          <w:lang w:eastAsia="lt-LT"/>
        </w:rPr>
        <w:t>.</w:t>
      </w:r>
      <w:r w:rsidR="00E30F71">
        <w:rPr>
          <w:rFonts w:ascii="Times New Roman" w:eastAsia="Calibri" w:hAnsi="Times New Roman" w:cs="Times New Roman"/>
          <w:lang w:eastAsia="lt-LT"/>
        </w:rPr>
        <w:t>Buvo gauta pranešimų apie akių sausmės atvejus, kurie nepraeina, nutraukus gydymą.</w:t>
      </w:r>
      <w:r w:rsidRPr="00296C5A">
        <w:rPr>
          <w:rFonts w:ascii="Times New Roman" w:eastAsia="Calibri" w:hAnsi="Times New Roman" w:cs="Times New Roman"/>
          <w:lang w:eastAsia="lt-LT"/>
        </w:rPr>
        <w:t xml:space="preserve"> </w:t>
      </w:r>
      <w:r w:rsidRPr="004E403C">
        <w:rPr>
          <w:rFonts w:ascii="Times New Roman" w:hAnsi="Times New Roman"/>
        </w:rPr>
        <w:t>Pasakykite savo gydytojui, jeigu Jums pasireikštų kuris nors iš šių simptomų. Gydytojas gali pasiūlyti Jums tepti akis tepalu arba lašinti dirbtines ašaras. Jeigu nešiojate glaustinius lęšius ir atsirado jų netoleravimas, jums gali būti patarta gydymo metu naudoti akinius. Jeigu pasireikštų regėjimo sutrikimų, Jūsų gydytojas gali Jus nukreipti pas specialistą patarimo ir paprašyti nustoti vartojus Roaccutane.</w:t>
      </w:r>
    </w:p>
    <w:p w14:paraId="7795825D"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Vartojusiems Roaccutane yra pastebėta gerybinė intrakranijinė hipertenzija</w:t>
      </w:r>
      <w:r w:rsidRPr="00296C5A">
        <w:rPr>
          <w:rFonts w:ascii="Times New Roman" w:eastAsia="Calibri" w:hAnsi="Times New Roman" w:cs="Times New Roman"/>
          <w:lang w:eastAsia="lt-LT"/>
        </w:rPr>
        <w:t xml:space="preserve">, o kai kuriais atvejais Roaccutane buvo vartojamas kartu su tetraciklinais (antibiotikų rūšis). Pasireiškus simptomams, tokiems kaip galvos skausmas, pykinimas, vėmimas ir regėjimo sutrikimai, nustokite vartoję Roaccutane ir kreipkitės skubios kreipkitės į gydytoją. </w:t>
      </w:r>
      <w:r w:rsidRPr="004E403C">
        <w:rPr>
          <w:rFonts w:ascii="Times New Roman" w:hAnsi="Times New Roman"/>
        </w:rPr>
        <w:t>Jūsų gydytojas gali Jus nukreipti pas specialistą patikrinti, ar nėra patinęs regos nervo diskas (papiloedema).</w:t>
      </w:r>
    </w:p>
    <w:p w14:paraId="3DB714EF"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Roaccutane gali pa</w:t>
      </w:r>
      <w:r w:rsidRPr="004E403C">
        <w:rPr>
          <w:rFonts w:ascii="Times New Roman" w:hAnsi="Times New Roman"/>
          <w:b/>
        </w:rPr>
        <w:t>didinti kepenų fermentų aktyvumą kraujyje</w:t>
      </w:r>
      <w:r w:rsidRPr="004E403C">
        <w:rPr>
          <w:rFonts w:ascii="Times New Roman" w:hAnsi="Times New Roman"/>
        </w:rPr>
        <w:t>. Gydytojas tirs šiuos rodmenis kraujyje prieš paskirdamas Roaccutane, gydymo metu ir jį baigus. Jeigu šie rodmenys lieka padidėję, gydytojas gali mažinti Roaccutane dozę arba išvis jo nebeskirti.</w:t>
      </w:r>
    </w:p>
    <w:p w14:paraId="33AAE513"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Roaccutane paprastai didina riebalų</w:t>
      </w:r>
      <w:r w:rsidRPr="00296C5A">
        <w:rPr>
          <w:rFonts w:ascii="Times New Roman" w:eastAsia="Calibri" w:hAnsi="Times New Roman" w:cs="Times New Roman"/>
          <w:lang w:eastAsia="lt-LT"/>
        </w:rPr>
        <w:t xml:space="preserve"> (trigliceridų, cholesterol</w:t>
      </w:r>
      <w:r w:rsidRPr="004E403C">
        <w:rPr>
          <w:rFonts w:ascii="Times New Roman" w:hAnsi="Times New Roman"/>
        </w:rPr>
        <w:t xml:space="preserve">io) </w:t>
      </w:r>
      <w:r w:rsidRPr="004E403C">
        <w:rPr>
          <w:rFonts w:ascii="Times New Roman" w:hAnsi="Times New Roman"/>
          <w:b/>
        </w:rPr>
        <w:t>koncentraciją kraujyje</w:t>
      </w:r>
      <w:r w:rsidRPr="004E403C">
        <w:rPr>
          <w:rFonts w:ascii="Times New Roman" w:hAnsi="Times New Roman"/>
        </w:rPr>
        <w:t>. Jūsų gydytojas tikrins jų koncentraciją kraujyje prieš paskirdamas Roaccutane, gydymo metu ir baigus jį vartoti. Gydymo metu būtų geriausia negerti alkoholinių gėrimų arba nors sumažinti paprastai Jūsų išgeriamo alkoholio kiekį. Pasakykite gydytojui, jeigu riebalų koncentracija Jūsų kraujyje jau yra padidėjusi, jeigu sergate cukriniu diabetu (yra padidėjusi cukraus koncentracija kraujyje), turite antsvorį ar sergate alkoholizmu. Tuomet Jums gali reikėti dažniau tirti kraują. Jeigu riebalų koncentracija lieka padidėjusi, gydytojas gali mažinti Roaccutane dozę arba išvis jo nebeskirti.</w:t>
      </w:r>
    </w:p>
    <w:p w14:paraId="3E22D1FC"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Pasakykite savo gydytojui, jeigu</w:t>
      </w:r>
      <w:r w:rsidRPr="004E403C">
        <w:rPr>
          <w:rFonts w:ascii="Times New Roman" w:hAnsi="Times New Roman"/>
          <w:b/>
        </w:rPr>
        <w:t xml:space="preserve"> sergate kokia nors inkstų liga. </w:t>
      </w:r>
      <w:r w:rsidRPr="004E403C">
        <w:rPr>
          <w:rFonts w:ascii="Times New Roman" w:hAnsi="Times New Roman"/>
        </w:rPr>
        <w:t>Gydytojas gali iš pradžių skirti mažesnę Roaccutane dozę ir ją didinti iki didžiausios toleruojamos dozės.</w:t>
      </w:r>
    </w:p>
    <w:p w14:paraId="6AEE9AF7"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Roaccutane gali didinti cukraus koncentraciją kraujyje</w:t>
      </w:r>
      <w:r w:rsidRPr="00296C5A">
        <w:rPr>
          <w:rFonts w:ascii="Times New Roman" w:eastAsia="Calibri" w:hAnsi="Times New Roman" w:cs="Times New Roman"/>
          <w:lang w:eastAsia="lt-LT"/>
        </w:rPr>
        <w:t>. Retais atvejais gali atsirasti cukrinis d</w:t>
      </w:r>
      <w:r w:rsidRPr="004E403C">
        <w:rPr>
          <w:rFonts w:ascii="Times New Roman" w:hAnsi="Times New Roman"/>
          <w:lang w:val="fr-CA"/>
        </w:rPr>
        <w:t>iabetas. Gydymo metu gydytojas gali nuolat tirti cukraus koncentraciją, ypač žmonėms, kurie jau serga diabetu, alkoholizmu ar turi antsvorio.</w:t>
      </w:r>
    </w:p>
    <w:p w14:paraId="5EBBDE41"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Gydymo metu gali pradėti džiūti oda</w:t>
      </w:r>
      <w:r w:rsidRPr="00296C5A">
        <w:rPr>
          <w:rFonts w:ascii="Times New Roman" w:eastAsia="Calibri" w:hAnsi="Times New Roman" w:cs="Times New Roman"/>
          <w:lang w:eastAsia="lt-LT"/>
        </w:rPr>
        <w:t>, todėl reikia vartoti drėkinamojo kremo ir lūpų balzamo. Siekiant išvengti odos sudirginimo būtina vengti vartoti odos lupimąsi sukeliančių ar spuogus šalinančių produktų.</w:t>
      </w:r>
    </w:p>
    <w:p w14:paraId="684A4C70"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Reikia vengti daug laiko būti saulėje ir nesinaudoti soliariumu ar nešiojamomis lempomis. </w:t>
      </w:r>
      <w:r w:rsidRPr="00296C5A">
        <w:rPr>
          <w:rFonts w:ascii="Times New Roman" w:eastAsia="Calibri" w:hAnsi="Times New Roman" w:cs="Times New Roman"/>
          <w:lang w:eastAsia="lt-LT"/>
        </w:rPr>
        <w:t>Jūsų oda gali tapti jautresnė saulės šviesai. Prieš einant į saulę reikia naudoti nuo jos saugančias priemones, kurių apsaugos faktorius yra didelis (SPF=15 arba daugiau).</w:t>
      </w:r>
    </w:p>
    <w:p w14:paraId="056342F4"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Netaiky</w:t>
      </w:r>
      <w:r w:rsidRPr="00296C5A">
        <w:rPr>
          <w:rFonts w:ascii="Times New Roman" w:eastAsia="Calibri" w:hAnsi="Times New Roman" w:cs="Times New Roman"/>
          <w:b/>
          <w:lang w:val="en-US" w:eastAsia="lt-LT"/>
        </w:rPr>
        <w:t xml:space="preserve">kite </w:t>
      </w:r>
      <w:proofErr w:type="spellStart"/>
      <w:r w:rsidRPr="00296C5A">
        <w:rPr>
          <w:rFonts w:ascii="Times New Roman" w:eastAsia="Calibri" w:hAnsi="Times New Roman" w:cs="Times New Roman"/>
          <w:b/>
          <w:lang w:val="en-US" w:eastAsia="lt-LT"/>
        </w:rPr>
        <w:t>jokio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kosmetinio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odos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gydymo</w:t>
      </w:r>
      <w:proofErr w:type="spellEnd"/>
      <w:r w:rsidRPr="00296C5A">
        <w:rPr>
          <w:rFonts w:ascii="Times New Roman" w:eastAsia="Calibri" w:hAnsi="Times New Roman" w:cs="Times New Roman"/>
          <w:b/>
          <w:lang w:val="en-US" w:eastAsia="lt-LT"/>
        </w:rPr>
        <w:t>.</w:t>
      </w:r>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Dėl</w:t>
      </w:r>
      <w:proofErr w:type="spellEnd"/>
      <w:r w:rsidRPr="00296C5A">
        <w:rPr>
          <w:rFonts w:ascii="Times New Roman" w:eastAsia="Calibri" w:hAnsi="Times New Roman" w:cs="Times New Roman"/>
          <w:lang w:val="en-US" w:eastAsia="lt-LT"/>
        </w:rPr>
        <w:t xml:space="preserve"> Roaccutane </w:t>
      </w:r>
      <w:proofErr w:type="spellStart"/>
      <w:r w:rsidRPr="00296C5A">
        <w:rPr>
          <w:rFonts w:ascii="Times New Roman" w:eastAsia="Calibri" w:hAnsi="Times New Roman" w:cs="Times New Roman"/>
          <w:lang w:val="en-US" w:eastAsia="lt-LT"/>
        </w:rPr>
        <w:t>poveikio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tapti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trapesnė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Gydymo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metu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w:t>
      </w:r>
      <w:proofErr w:type="spellEnd"/>
      <w:r w:rsidRPr="00296C5A">
        <w:rPr>
          <w:rFonts w:ascii="Times New Roman" w:eastAsia="Calibri" w:hAnsi="Times New Roman" w:cs="Times New Roman"/>
          <w:lang w:val="en-US" w:eastAsia="lt-LT"/>
        </w:rPr>
        <w:t xml:space="preserve"> ne </w:t>
      </w:r>
      <w:proofErr w:type="spellStart"/>
      <w:r w:rsidRPr="00296C5A">
        <w:rPr>
          <w:rFonts w:ascii="Times New Roman" w:eastAsia="Calibri" w:hAnsi="Times New Roman" w:cs="Times New Roman"/>
          <w:lang w:val="en-US" w:eastAsia="lt-LT"/>
        </w:rPr>
        <w:t>trumpiau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kaip</w:t>
      </w:r>
      <w:proofErr w:type="spellEnd"/>
      <w:r w:rsidRPr="00296C5A">
        <w:rPr>
          <w:rFonts w:ascii="Times New Roman" w:eastAsia="Calibri" w:hAnsi="Times New Roman" w:cs="Times New Roman"/>
          <w:lang w:val="en-US" w:eastAsia="lt-LT"/>
        </w:rPr>
        <w:t xml:space="preserve"> 6 </w:t>
      </w:r>
      <w:proofErr w:type="spellStart"/>
      <w:r w:rsidRPr="00296C5A">
        <w:rPr>
          <w:rFonts w:ascii="Times New Roman" w:eastAsia="Calibri" w:hAnsi="Times New Roman" w:cs="Times New Roman"/>
          <w:lang w:val="en-US" w:eastAsia="lt-LT"/>
        </w:rPr>
        <w:t>mėnesius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jį</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baigus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negalima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daryti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depiliacijos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vašku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stipriai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trinti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negydyti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lazeriu</w:t>
      </w:r>
      <w:proofErr w:type="spellEnd"/>
      <w:r w:rsidRPr="00296C5A">
        <w:rPr>
          <w:rFonts w:ascii="Times New Roman" w:eastAsia="Calibri" w:hAnsi="Times New Roman" w:cs="Times New Roman"/>
          <w:lang w:val="en-US" w:eastAsia="lt-LT"/>
        </w:rPr>
        <w:t xml:space="preserve"> (</w:t>
      </w:r>
      <w:r w:rsidRPr="00296C5A">
        <w:rPr>
          <w:rFonts w:ascii="Times New Roman" w:eastAsia="Calibri" w:hAnsi="Times New Roman" w:cs="Times New Roman"/>
          <w:lang w:eastAsia="lt-LT"/>
        </w:rPr>
        <w:t>pvz., norint pašalinti suragėjusį odos sluoksnį ar randus). Dėl to gali atsirasti odos įtrūkimų, jos sudirginimas arba, retai, odos spalvos pokyčių.</w:t>
      </w:r>
    </w:p>
    <w:p w14:paraId="4C0C2B16"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09DDB76C" w14:textId="77777777" w:rsidR="007E07AA" w:rsidRPr="00296C5A" w:rsidRDefault="007E07AA" w:rsidP="007E07AA">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Vaikams ir paaugliams</w:t>
      </w:r>
    </w:p>
    <w:p w14:paraId="19D26834"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Jaunesniems nei 12 metų vaikams Roaccutane vartoti nerekomenduojama. Taip yra dėl to</w:t>
      </w:r>
      <w:r w:rsidRPr="004E403C">
        <w:rPr>
          <w:rFonts w:ascii="Times New Roman" w:hAnsi="Times New Roman"/>
        </w:rPr>
        <w:t>, kad nėra žinoma, ar šioje amžiaus grupėje vaistą vartoti yra saugu ir veiksminga.</w:t>
      </w:r>
    </w:p>
    <w:p w14:paraId="48BF3DD0" w14:textId="60C27D19" w:rsidR="00655AA9" w:rsidRDefault="00655AA9" w:rsidP="00655AA9">
      <w:pPr>
        <w:spacing w:after="0" w:line="240" w:lineRule="auto"/>
        <w:rPr>
          <w:rFonts w:ascii="Times New Roman" w:eastAsia="Calibri" w:hAnsi="Times New Roman" w:cs="Times New Roman"/>
          <w:lang w:eastAsia="lt-LT"/>
        </w:rPr>
      </w:pPr>
      <w:r w:rsidRPr="00655AA9">
        <w:rPr>
          <w:rFonts w:ascii="Times New Roman" w:eastAsia="Calibri" w:hAnsi="Times New Roman" w:cs="Times New Roman"/>
          <w:lang w:eastAsia="lt-LT"/>
        </w:rPr>
        <w:t>Roaccutane negalima vartoti priešpubertiniams spuogams gydyti ir jaunesniems nei 12 metų vaikams.</w:t>
      </w:r>
    </w:p>
    <w:p w14:paraId="6BB32795" w14:textId="77777777" w:rsidR="00655AA9" w:rsidRPr="00296C5A" w:rsidRDefault="00655AA9" w:rsidP="00655AA9">
      <w:pPr>
        <w:spacing w:after="0" w:line="240" w:lineRule="auto"/>
        <w:rPr>
          <w:rFonts w:ascii="Times New Roman" w:eastAsia="Calibri" w:hAnsi="Times New Roman" w:cs="Times New Roman"/>
          <w:lang w:eastAsia="lt-LT"/>
        </w:rPr>
      </w:pPr>
    </w:p>
    <w:p w14:paraId="4DD3931A" w14:textId="77777777" w:rsidR="00655AA9" w:rsidRDefault="00655AA9" w:rsidP="007E07AA">
      <w:pPr>
        <w:spacing w:after="0" w:line="240" w:lineRule="auto"/>
        <w:ind w:left="567" w:hanging="567"/>
        <w:rPr>
          <w:rFonts w:ascii="Times New Roman" w:eastAsia="Calibri" w:hAnsi="Times New Roman" w:cs="Times New Roman"/>
          <w:b/>
          <w:lang w:eastAsia="lt-LT"/>
        </w:rPr>
      </w:pPr>
    </w:p>
    <w:p w14:paraId="433D1C8B" w14:textId="4D4E3EFF"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vaista</w:t>
      </w:r>
      <w:r w:rsidRPr="004E403C">
        <w:rPr>
          <w:rFonts w:ascii="Times New Roman" w:hAnsi="Times New Roman"/>
          <w:b/>
        </w:rPr>
        <w:t>i ir Roaccutane</w:t>
      </w:r>
    </w:p>
    <w:p w14:paraId="1A7CD1F2"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Jeigu vartojate ar neseniai vartojote kitų vaistų, įskaitant augalinius ir be recepto įsigytus preparatus,</w:t>
      </w:r>
      <w:r w:rsidRPr="004E403C">
        <w:rPr>
          <w:rFonts w:ascii="Times New Roman" w:hAnsi="Times New Roman"/>
        </w:rPr>
        <w:t xml:space="preserve"> arba dėl to nesate tikri, apie tai pasakykite gydytojui arba vaistininkui.</w:t>
      </w:r>
    </w:p>
    <w:p w14:paraId="418EF566" w14:textId="77777777" w:rsidR="007E07AA" w:rsidRPr="00296C5A" w:rsidRDefault="007E07AA" w:rsidP="007E07AA">
      <w:pPr>
        <w:spacing w:after="0" w:line="240" w:lineRule="auto"/>
        <w:rPr>
          <w:rFonts w:ascii="Times New Roman" w:eastAsia="Calibri" w:hAnsi="Times New Roman" w:cs="Times New Roman"/>
          <w:lang w:eastAsia="lt-LT"/>
        </w:rPr>
      </w:pPr>
    </w:p>
    <w:p w14:paraId="246924A5" w14:textId="77777777" w:rsidR="007E07AA" w:rsidRPr="00296C5A" w:rsidRDefault="007E07AA" w:rsidP="007E07AA">
      <w:pPr>
        <w:numPr>
          <w:ilvl w:val="0"/>
          <w:numId w:val="7"/>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Gydymo Roaccutane metu</w:t>
      </w:r>
      <w:r w:rsidRPr="00296C5A">
        <w:rPr>
          <w:rFonts w:ascii="Times New Roman" w:eastAsia="Calibri" w:hAnsi="Times New Roman" w:cs="Times New Roman"/>
          <w:b/>
          <w:lang w:eastAsia="lt-LT"/>
        </w:rPr>
        <w:t xml:space="preserve"> nevartokite vitamino A papildų ar tetraciklinų</w:t>
      </w:r>
      <w:r w:rsidRPr="00296C5A">
        <w:rPr>
          <w:rFonts w:ascii="Times New Roman" w:eastAsia="Calibri" w:hAnsi="Times New Roman" w:cs="Times New Roman"/>
          <w:lang w:eastAsia="lt-LT"/>
        </w:rPr>
        <w:t xml:space="preserve"> (antibiotikų rūšis) arba bet kokių kitų preparatų odai nuo spuogų gydyti. Vartotini drėkinamieji ir minkštinamieji preparatai (odos kremai arba preparatai, kurie apsaugo odą nuo džiūvimo ir ją minkština).</w:t>
      </w:r>
    </w:p>
    <w:p w14:paraId="70AF9891" w14:textId="77777777" w:rsidR="007E07AA" w:rsidRPr="00296C5A" w:rsidRDefault="007E07AA" w:rsidP="007E07AA">
      <w:pPr>
        <w:numPr>
          <w:ilvl w:val="0"/>
          <w:numId w:val="7"/>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Vartodami</w:t>
      </w:r>
      <w:r w:rsidRPr="004E403C">
        <w:rPr>
          <w:rFonts w:ascii="Times New Roman" w:hAnsi="Times New Roman"/>
        </w:rPr>
        <w:t xml:space="preserve"> Roaccutane </w:t>
      </w:r>
      <w:r w:rsidRPr="004E403C">
        <w:rPr>
          <w:rFonts w:ascii="Times New Roman" w:hAnsi="Times New Roman"/>
          <w:b/>
        </w:rPr>
        <w:t>v</w:t>
      </w:r>
      <w:r w:rsidRPr="00296C5A">
        <w:rPr>
          <w:rFonts w:ascii="Times New Roman" w:eastAsia="Calibri" w:hAnsi="Times New Roman" w:cs="Times New Roman"/>
          <w:b/>
          <w:lang w:eastAsia="lt-LT"/>
        </w:rPr>
        <w:t xml:space="preserve">enkite </w:t>
      </w:r>
      <w:r w:rsidRPr="004E403C">
        <w:rPr>
          <w:rFonts w:ascii="Times New Roman" w:hAnsi="Times New Roman"/>
          <w:b/>
        </w:rPr>
        <w:t>vartoti ant odos keratolitinių ar atsluoksniuojančių preparatų nuo spuogų</w:t>
      </w:r>
      <w:r w:rsidRPr="004E403C">
        <w:rPr>
          <w:rFonts w:ascii="Times New Roman" w:hAnsi="Times New Roman"/>
        </w:rPr>
        <w:t>.</w:t>
      </w:r>
    </w:p>
    <w:p w14:paraId="1B7CEF95" w14:textId="77777777" w:rsidR="007E07AA" w:rsidRPr="00296C5A" w:rsidRDefault="007E07AA" w:rsidP="007E07AA">
      <w:pPr>
        <w:spacing w:after="0" w:line="240" w:lineRule="auto"/>
        <w:rPr>
          <w:rFonts w:ascii="Times New Roman" w:eastAsia="Calibri" w:hAnsi="Times New Roman" w:cs="Times New Roman"/>
          <w:lang w:eastAsia="lt-LT"/>
        </w:rPr>
      </w:pPr>
    </w:p>
    <w:p w14:paraId="22FFF92D" w14:textId="77777777" w:rsidR="007E07AA" w:rsidRPr="00296C5A" w:rsidRDefault="007E07AA" w:rsidP="007E07AA">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Nėštumas ir žindymo laikotarpis</w:t>
      </w:r>
    </w:p>
    <w:p w14:paraId="51070937" w14:textId="77777777" w:rsidR="007E07AA" w:rsidRPr="00296C5A" w:rsidRDefault="007E07AA" w:rsidP="007E07AA">
      <w:pPr>
        <w:numPr>
          <w:ilvl w:val="12"/>
          <w:numId w:val="0"/>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 žindote kūdikį, manote, kad galbūt esate nėščia, arba planuojate pastoti, tai prieš vartodama šį vaistą, pasitarkite su gydytoju.</w:t>
      </w:r>
    </w:p>
    <w:p w14:paraId="15F962F7" w14:textId="77777777" w:rsidR="007E07AA" w:rsidRPr="00296C5A" w:rsidRDefault="007E07AA" w:rsidP="007E07AA">
      <w:pPr>
        <w:numPr>
          <w:ilvl w:val="12"/>
          <w:numId w:val="0"/>
        </w:numPr>
        <w:spacing w:after="0" w:line="240" w:lineRule="auto"/>
        <w:rPr>
          <w:rFonts w:ascii="Times New Roman" w:eastAsia="Calibri" w:hAnsi="Times New Roman" w:cs="Times New Roman"/>
          <w:lang w:eastAsia="lt-LT"/>
        </w:rPr>
      </w:pPr>
    </w:p>
    <w:p w14:paraId="1B566B5C" w14:textId="77777777" w:rsidR="007E07AA" w:rsidRPr="00296C5A" w:rsidRDefault="007E07AA" w:rsidP="007E07AA">
      <w:pPr>
        <w:spacing w:after="0" w:line="240" w:lineRule="auto"/>
        <w:rPr>
          <w:rFonts w:ascii="Times New Roman" w:eastAsia="Calibri" w:hAnsi="Times New Roman" w:cs="Times New Roman"/>
          <w:u w:val="single"/>
          <w:lang w:eastAsia="lt-LT"/>
        </w:rPr>
      </w:pPr>
      <w:r w:rsidRPr="00296C5A">
        <w:rPr>
          <w:rFonts w:ascii="Times New Roman" w:eastAsia="Calibri" w:hAnsi="Times New Roman" w:cs="Times New Roman"/>
          <w:u w:val="single"/>
          <w:lang w:eastAsia="lt-LT"/>
        </w:rPr>
        <w:t>Daugiau informacijos apie kontracepciją, nėštumą ir žindymą rasite 2 skyriuje „Nėštumas ir apsaugos programa”.</w:t>
      </w:r>
    </w:p>
    <w:p w14:paraId="5D6162CA" w14:textId="77777777" w:rsidR="007E07AA" w:rsidRPr="00296C5A" w:rsidRDefault="007E07AA" w:rsidP="007E07AA">
      <w:pPr>
        <w:spacing w:after="0" w:line="240" w:lineRule="auto"/>
        <w:rPr>
          <w:rFonts w:ascii="Times New Roman" w:eastAsia="Calibri" w:hAnsi="Times New Roman" w:cs="Times New Roman"/>
          <w:b/>
          <w:lang w:eastAsia="lt-LT"/>
        </w:rPr>
      </w:pPr>
    </w:p>
    <w:p w14:paraId="7C17CC53"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Vairavimas ir mechanizmų valdymas</w:t>
      </w:r>
    </w:p>
    <w:p w14:paraId="3806906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Vartojant Roaccutane gali susilpnėti matymas naktį. Toks poveikis gali pasireikšti staiga. Retais atvejais jis neišnyksta ir po gydymo. Labai retai pranešama apie mieguistumą ir svaigulį. Pajutus šiuos reiškinius negalima vairuoti ar valdyti mechanizmų.</w:t>
      </w:r>
    </w:p>
    <w:p w14:paraId="6EDE89D2"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A5A254A" w14:textId="0B1A1010" w:rsidR="00F72EE5" w:rsidRDefault="007E07AA" w:rsidP="007E07AA">
      <w:pPr>
        <w:keepNext/>
        <w:keepLines/>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Roaccutane sudėtyje yra</w:t>
      </w:r>
      <w:r w:rsidR="00F72EE5">
        <w:rPr>
          <w:rFonts w:ascii="Times New Roman" w:eastAsia="Calibri" w:hAnsi="Times New Roman" w:cs="Times New Roman"/>
          <w:b/>
          <w:lang w:eastAsia="lt-LT"/>
        </w:rPr>
        <w:t xml:space="preserve"> </w:t>
      </w:r>
      <w:r w:rsidR="00F72EE5" w:rsidRPr="00F72EE5">
        <w:rPr>
          <w:rFonts w:ascii="Times New Roman" w:eastAsia="Calibri" w:hAnsi="Times New Roman" w:cs="Times New Roman"/>
          <w:b/>
          <w:lang w:eastAsia="lt-LT"/>
        </w:rPr>
        <w:t>sorbitolio ir sojų aliejaus</w:t>
      </w:r>
    </w:p>
    <w:p w14:paraId="1F556638" w14:textId="40156C1B" w:rsidR="00F72EE5" w:rsidRPr="00E14026" w:rsidRDefault="00F72EE5" w:rsidP="00F72EE5">
      <w:pPr>
        <w:keepNext/>
        <w:keepLines/>
        <w:spacing w:after="0" w:line="240" w:lineRule="auto"/>
        <w:rPr>
          <w:rFonts w:ascii="Times New Roman" w:eastAsia="Calibri" w:hAnsi="Times New Roman" w:cs="Times New Roman"/>
          <w:lang w:eastAsia="lt-LT"/>
        </w:rPr>
      </w:pPr>
      <w:r w:rsidRPr="005F5C6E">
        <w:rPr>
          <w:rFonts w:ascii="Times New Roman" w:eastAsia="Calibri" w:hAnsi="Times New Roman" w:cs="Times New Roman"/>
          <w:lang w:eastAsia="lt-LT"/>
        </w:rPr>
        <w:t xml:space="preserve">Kiekvienoje </w:t>
      </w:r>
      <w:r w:rsidR="00517588">
        <w:rPr>
          <w:rFonts w:ascii="Times New Roman" w:eastAsia="Calibri" w:hAnsi="Times New Roman" w:cs="Times New Roman"/>
          <w:lang w:eastAsia="lt-LT"/>
        </w:rPr>
        <w:t xml:space="preserve">šio vaisto </w:t>
      </w:r>
      <w:r w:rsidRPr="005F5C6E">
        <w:rPr>
          <w:rFonts w:ascii="Times New Roman" w:eastAsia="Calibri" w:hAnsi="Times New Roman" w:cs="Times New Roman"/>
          <w:lang w:eastAsia="lt-LT"/>
        </w:rPr>
        <w:t>1</w:t>
      </w:r>
      <w:r w:rsidR="00E23476">
        <w:rPr>
          <w:rFonts w:ascii="Times New Roman" w:eastAsia="Calibri" w:hAnsi="Times New Roman" w:cs="Times New Roman"/>
          <w:lang w:eastAsia="lt-LT"/>
        </w:rPr>
        <w:t>0 </w:t>
      </w:r>
      <w:r w:rsidRPr="00E14026">
        <w:rPr>
          <w:rFonts w:ascii="Times New Roman" w:eastAsia="Calibri" w:hAnsi="Times New Roman" w:cs="Times New Roman"/>
          <w:lang w:eastAsia="lt-LT"/>
        </w:rPr>
        <w:t xml:space="preserve">mg </w:t>
      </w:r>
      <w:r w:rsidRPr="0009495B">
        <w:rPr>
          <w:rFonts w:ascii="Times New Roman" w:eastAsia="Calibri" w:hAnsi="Times New Roman" w:cs="Times New Roman"/>
          <w:lang w:eastAsia="lt-LT"/>
        </w:rPr>
        <w:t xml:space="preserve">kapsulėje yra </w:t>
      </w:r>
      <w:r w:rsidRPr="00E14026">
        <w:rPr>
          <w:rFonts w:ascii="Times New Roman" w:eastAsia="Calibri" w:hAnsi="Times New Roman" w:cs="Times New Roman"/>
          <w:lang w:eastAsia="lt-LT"/>
        </w:rPr>
        <w:t>2</w:t>
      </w:r>
      <w:r w:rsidR="00A75635">
        <w:rPr>
          <w:rFonts w:ascii="Times New Roman" w:eastAsia="Calibri" w:hAnsi="Times New Roman" w:cs="Times New Roman"/>
          <w:lang w:eastAsia="lt-LT"/>
        </w:rPr>
        <w:t>,</w:t>
      </w:r>
      <w:r>
        <w:rPr>
          <w:rFonts w:ascii="Times New Roman" w:eastAsia="Calibri" w:hAnsi="Times New Roman" w:cs="Times New Roman"/>
          <w:lang w:eastAsia="lt-LT"/>
        </w:rPr>
        <w:t>0</w:t>
      </w:r>
      <w:r w:rsidR="00E23476">
        <w:rPr>
          <w:rFonts w:ascii="Times New Roman" w:eastAsia="Calibri" w:hAnsi="Times New Roman" w:cs="Times New Roman"/>
          <w:lang w:eastAsia="lt-LT"/>
        </w:rPr>
        <w:t>0 </w:t>
      </w:r>
      <w:r w:rsidRPr="00E14026">
        <w:rPr>
          <w:rFonts w:ascii="Times New Roman" w:eastAsia="Calibri" w:hAnsi="Times New Roman" w:cs="Times New Roman"/>
          <w:lang w:eastAsia="lt-LT"/>
        </w:rPr>
        <w:t xml:space="preserve">mg </w:t>
      </w:r>
      <w:r>
        <w:rPr>
          <w:rFonts w:ascii="Times New Roman" w:eastAsia="Calibri" w:hAnsi="Times New Roman" w:cs="Times New Roman"/>
          <w:lang w:eastAsia="lt-LT"/>
        </w:rPr>
        <w:t>–</w:t>
      </w:r>
      <w:r w:rsidRPr="00E14026">
        <w:rPr>
          <w:rFonts w:ascii="Times New Roman" w:eastAsia="Calibri" w:hAnsi="Times New Roman" w:cs="Times New Roman"/>
          <w:lang w:eastAsia="lt-LT"/>
        </w:rPr>
        <w:t xml:space="preserve"> </w:t>
      </w:r>
      <w:r>
        <w:rPr>
          <w:rFonts w:ascii="Times New Roman" w:eastAsia="Calibri" w:hAnsi="Times New Roman" w:cs="Times New Roman"/>
          <w:lang w:eastAsia="lt-LT"/>
        </w:rPr>
        <w:t>3</w:t>
      </w:r>
      <w:r w:rsidR="00A75635">
        <w:rPr>
          <w:rFonts w:ascii="Times New Roman" w:eastAsia="Calibri" w:hAnsi="Times New Roman" w:cs="Times New Roman"/>
          <w:lang w:eastAsia="lt-LT"/>
        </w:rPr>
        <w:t>,</w:t>
      </w:r>
      <w:r>
        <w:rPr>
          <w:rFonts w:ascii="Times New Roman" w:eastAsia="Calibri" w:hAnsi="Times New Roman" w:cs="Times New Roman"/>
          <w:lang w:eastAsia="lt-LT"/>
        </w:rPr>
        <w:t>05 </w:t>
      </w:r>
      <w:r w:rsidRPr="00E14026">
        <w:rPr>
          <w:rFonts w:ascii="Times New Roman" w:eastAsia="Calibri" w:hAnsi="Times New Roman" w:cs="Times New Roman"/>
          <w:lang w:eastAsia="lt-LT"/>
        </w:rPr>
        <w:t>mg sorbitolio.</w:t>
      </w:r>
    </w:p>
    <w:p w14:paraId="1CBB089E" w14:textId="77777777" w:rsidR="000A6DE2" w:rsidRPr="006E3757" w:rsidRDefault="000A6DE2" w:rsidP="000A6DE2">
      <w:pPr>
        <w:keepNext/>
        <w:keepLines/>
        <w:spacing w:after="0" w:line="240" w:lineRule="auto"/>
        <w:rPr>
          <w:rFonts w:ascii="Times New Roman" w:eastAsia="Calibri" w:hAnsi="Times New Roman" w:cs="Times New Roman"/>
          <w:lang w:eastAsia="lt-LT"/>
        </w:rPr>
      </w:pPr>
      <w:r w:rsidRPr="006E3757">
        <w:rPr>
          <w:rFonts w:ascii="Times New Roman" w:eastAsia="Calibri" w:hAnsi="Times New Roman" w:cs="Times New Roman"/>
          <w:lang w:eastAsia="lt-LT"/>
        </w:rPr>
        <w:t xml:space="preserve">Kiekvienoje šio vaisto </w:t>
      </w:r>
      <w:r>
        <w:rPr>
          <w:rFonts w:ascii="Times New Roman" w:eastAsia="Calibri" w:hAnsi="Times New Roman" w:cs="Times New Roman"/>
          <w:lang w:eastAsia="lt-LT"/>
        </w:rPr>
        <w:t>20 mg kapsulėje yra 3,20 mg - 4,86 </w:t>
      </w:r>
      <w:r w:rsidRPr="0009495B">
        <w:rPr>
          <w:rFonts w:ascii="Times New Roman" w:eastAsia="Calibri" w:hAnsi="Times New Roman" w:cs="Times New Roman"/>
          <w:lang w:eastAsia="lt-LT"/>
        </w:rPr>
        <w:t>mg sorbitolio</w:t>
      </w:r>
      <w:r w:rsidRPr="006E3757">
        <w:rPr>
          <w:rFonts w:ascii="Times New Roman" w:eastAsia="Calibri" w:hAnsi="Times New Roman" w:cs="Times New Roman"/>
          <w:lang w:eastAsia="lt-LT"/>
        </w:rPr>
        <w:t>.</w:t>
      </w:r>
    </w:p>
    <w:p w14:paraId="2A3F401F" w14:textId="77777777" w:rsidR="00F72EE5" w:rsidRPr="00E14026" w:rsidRDefault="00F72EE5" w:rsidP="00F72EE5">
      <w:pPr>
        <w:keepNext/>
        <w:keepLines/>
        <w:spacing w:after="0" w:line="240" w:lineRule="auto"/>
        <w:rPr>
          <w:rFonts w:ascii="Times New Roman" w:eastAsia="Calibri" w:hAnsi="Times New Roman" w:cs="Times New Roman"/>
          <w:lang w:eastAsia="lt-LT"/>
        </w:rPr>
      </w:pPr>
    </w:p>
    <w:p w14:paraId="578BAD91" w14:textId="1370C378" w:rsidR="00F72EE5" w:rsidRPr="00E14026" w:rsidRDefault="00F72EE5" w:rsidP="00F72EE5">
      <w:pPr>
        <w:keepNext/>
        <w:keepLines/>
        <w:spacing w:after="0" w:line="240" w:lineRule="auto"/>
        <w:rPr>
          <w:rFonts w:ascii="Times New Roman" w:eastAsia="Calibri" w:hAnsi="Times New Roman" w:cs="Times New Roman"/>
          <w:lang w:eastAsia="lt-LT"/>
        </w:rPr>
      </w:pPr>
      <w:r w:rsidRPr="00E14026">
        <w:rPr>
          <w:rFonts w:ascii="Times New Roman" w:eastAsia="Calibri" w:hAnsi="Times New Roman" w:cs="Times New Roman"/>
          <w:lang w:eastAsia="lt-LT"/>
        </w:rPr>
        <w:t>Jei</w:t>
      </w:r>
      <w:r>
        <w:rPr>
          <w:rFonts w:ascii="Times New Roman" w:eastAsia="Calibri" w:hAnsi="Times New Roman" w:cs="Times New Roman"/>
          <w:lang w:eastAsia="lt-LT"/>
        </w:rPr>
        <w:t xml:space="preserve">gu </w:t>
      </w:r>
      <w:r w:rsidRPr="00E14026">
        <w:rPr>
          <w:rFonts w:ascii="Times New Roman" w:eastAsia="Calibri" w:hAnsi="Times New Roman" w:cs="Times New Roman"/>
          <w:lang w:eastAsia="lt-LT"/>
        </w:rPr>
        <w:t>esate alergiškas žemės riešutams ar sojai, šio vaisto vartoti negalima</w:t>
      </w:r>
      <w:r w:rsidR="003940A2">
        <w:rPr>
          <w:rFonts w:ascii="Times New Roman" w:eastAsia="Calibri" w:hAnsi="Times New Roman" w:cs="Times New Roman"/>
          <w:lang w:eastAsia="lt-LT"/>
        </w:rPr>
        <w:t>.</w:t>
      </w:r>
    </w:p>
    <w:p w14:paraId="248E7862" w14:textId="10E11357" w:rsidR="007E07AA" w:rsidRPr="00296C5A" w:rsidRDefault="007E07AA" w:rsidP="007E07AA">
      <w:pPr>
        <w:keepNext/>
        <w:keepLines/>
        <w:spacing w:after="0" w:line="240" w:lineRule="auto"/>
        <w:rPr>
          <w:rFonts w:ascii="Times New Roman" w:eastAsia="Calibri" w:hAnsi="Times New Roman" w:cs="Times New Roman"/>
          <w:b/>
          <w:lang w:eastAsia="lt-LT"/>
        </w:rPr>
      </w:pPr>
    </w:p>
    <w:p w14:paraId="5A45D00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434B0D83"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3.</w:t>
      </w:r>
      <w:r w:rsidRPr="00296C5A">
        <w:rPr>
          <w:rFonts w:ascii="Times New Roman" w:eastAsia="Calibri" w:hAnsi="Times New Roman" w:cs="Times New Roman"/>
          <w:b/>
          <w:lang w:eastAsia="lt-LT"/>
        </w:rPr>
        <w:tab/>
        <w:t>Kaip vartoti Roaccutane</w:t>
      </w:r>
    </w:p>
    <w:p w14:paraId="31523A6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3A98274A"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Visada vartokite šį vaistą tiksliai kaip nurodė gydytojas. Jeigu abejojate, kreipkitės į gydytoją arba vaistininką.</w:t>
      </w:r>
    </w:p>
    <w:p w14:paraId="7A28047E" w14:textId="77777777" w:rsidR="007E07AA" w:rsidRPr="00296C5A" w:rsidRDefault="007E07AA" w:rsidP="007E07AA">
      <w:pPr>
        <w:spacing w:after="0" w:line="240" w:lineRule="auto"/>
        <w:rPr>
          <w:rFonts w:ascii="Times New Roman" w:eastAsia="Calibri" w:hAnsi="Times New Roman" w:cs="Times New Roman"/>
          <w:lang w:eastAsia="lt-LT"/>
        </w:rPr>
      </w:pPr>
    </w:p>
    <w:p w14:paraId="6C4141F8"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 pradinė dozė</w:t>
      </w:r>
      <w:r w:rsidRPr="004E403C">
        <w:rPr>
          <w:rFonts w:ascii="Times New Roman" w:hAnsi="Times New Roman"/>
        </w:rPr>
        <w:t xml:space="preserve"> yra 0,5 mg kilogramui kūno svorio (0,5 mg/kg) per parą. </w:t>
      </w:r>
      <w:r w:rsidRPr="00296C5A">
        <w:rPr>
          <w:rFonts w:ascii="Times New Roman" w:eastAsia="Calibri" w:hAnsi="Times New Roman" w:cs="Times New Roman"/>
          <w:lang w:val="en-US" w:eastAsia="lt-LT"/>
        </w:rPr>
        <w:t xml:space="preserve">Taigi,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sveriate</w:t>
      </w:r>
      <w:proofErr w:type="spellEnd"/>
      <w:r w:rsidRPr="00296C5A">
        <w:rPr>
          <w:rFonts w:ascii="Times New Roman" w:eastAsia="Calibri" w:hAnsi="Times New Roman" w:cs="Times New Roman"/>
          <w:lang w:val="en-US" w:eastAsia="lt-LT"/>
        </w:rPr>
        <w:t xml:space="preserve"> 60 kg, </w:t>
      </w:r>
      <w:proofErr w:type="spellStart"/>
      <w:r w:rsidRPr="00296C5A">
        <w:rPr>
          <w:rFonts w:ascii="Times New Roman" w:eastAsia="Calibri" w:hAnsi="Times New Roman" w:cs="Times New Roman"/>
          <w:lang w:val="en-US" w:eastAsia="lt-LT"/>
        </w:rPr>
        <w:t>įprasta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pradinė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dozė</w:t>
      </w:r>
      <w:proofErr w:type="spellEnd"/>
      <w:r w:rsidRPr="00296C5A">
        <w:rPr>
          <w:rFonts w:ascii="Times New Roman" w:eastAsia="Calibri" w:hAnsi="Times New Roman" w:cs="Times New Roman"/>
          <w:lang w:val="en-US" w:eastAsia="lt-LT"/>
        </w:rPr>
        <w:t xml:space="preserve"> bus 30 mg per </w:t>
      </w:r>
      <w:proofErr w:type="spellStart"/>
      <w:r w:rsidRPr="00296C5A">
        <w:rPr>
          <w:rFonts w:ascii="Times New Roman" w:eastAsia="Calibri" w:hAnsi="Times New Roman" w:cs="Times New Roman"/>
          <w:lang w:val="en-US" w:eastAsia="lt-LT"/>
        </w:rPr>
        <w:t>parą</w:t>
      </w:r>
      <w:proofErr w:type="spellEnd"/>
      <w:r w:rsidRPr="00296C5A">
        <w:rPr>
          <w:rFonts w:ascii="Times New Roman" w:eastAsia="Calibri" w:hAnsi="Times New Roman" w:cs="Times New Roman"/>
          <w:lang w:val="en-US" w:eastAsia="lt-LT"/>
        </w:rPr>
        <w:t>.</w:t>
      </w:r>
    </w:p>
    <w:p w14:paraId="1E8CAC06" w14:textId="77777777" w:rsidR="007E07AA" w:rsidRPr="00296C5A" w:rsidRDefault="007E07AA" w:rsidP="007E07AA">
      <w:pPr>
        <w:spacing w:after="0" w:line="240" w:lineRule="auto"/>
        <w:rPr>
          <w:rFonts w:ascii="Times New Roman" w:eastAsia="Calibri" w:hAnsi="Times New Roman" w:cs="Times New Roman"/>
          <w:lang w:eastAsia="lt-LT"/>
        </w:rPr>
      </w:pPr>
    </w:p>
    <w:p w14:paraId="15B02F6F" w14:textId="77777777" w:rsidR="007E07AA" w:rsidRPr="00296C5A" w:rsidRDefault="007E07AA" w:rsidP="007E07AA">
      <w:pPr>
        <w:spacing w:after="0" w:line="240" w:lineRule="auto"/>
        <w:ind w:hanging="27"/>
        <w:rPr>
          <w:rFonts w:ascii="Times New Roman" w:eastAsia="Calibri" w:hAnsi="Times New Roman" w:cs="Times New Roman"/>
          <w:b/>
          <w:lang w:eastAsia="lt-LT"/>
        </w:rPr>
      </w:pPr>
      <w:r w:rsidRPr="00296C5A">
        <w:rPr>
          <w:rFonts w:ascii="Times New Roman" w:eastAsia="Calibri" w:hAnsi="Times New Roman" w:cs="Times New Roman"/>
          <w:b/>
          <w:lang w:eastAsia="lt-LT"/>
        </w:rPr>
        <w:t>Šias kapsul</w:t>
      </w:r>
      <w:r w:rsidRPr="004E403C">
        <w:rPr>
          <w:rFonts w:ascii="Times New Roman" w:hAnsi="Times New Roman"/>
          <w:b/>
          <w:lang w:val="fr-CA"/>
        </w:rPr>
        <w:t>e</w:t>
      </w:r>
      <w:r w:rsidRPr="00296C5A">
        <w:rPr>
          <w:rFonts w:ascii="Times New Roman" w:eastAsia="Calibri" w:hAnsi="Times New Roman" w:cs="Times New Roman"/>
          <w:b/>
          <w:lang w:eastAsia="lt-LT"/>
        </w:rPr>
        <w:t>s ger</w:t>
      </w:r>
      <w:r w:rsidRPr="004E403C">
        <w:rPr>
          <w:rFonts w:ascii="Times New Roman" w:hAnsi="Times New Roman"/>
          <w:b/>
          <w:lang w:val="fr-CA"/>
        </w:rPr>
        <w:t>kite vieną arba du kartus per parą.</w:t>
      </w:r>
    </w:p>
    <w:p w14:paraId="23187338" w14:textId="77777777" w:rsidR="007E07AA" w:rsidRPr="00296C5A" w:rsidRDefault="007E07AA" w:rsidP="007E07AA">
      <w:pPr>
        <w:spacing w:after="0" w:line="240" w:lineRule="auto"/>
        <w:ind w:hanging="27"/>
        <w:rPr>
          <w:rFonts w:ascii="Times New Roman" w:eastAsia="Calibri" w:hAnsi="Times New Roman" w:cs="Times New Roman"/>
          <w:lang w:eastAsia="lt-LT"/>
        </w:rPr>
      </w:pPr>
      <w:r w:rsidRPr="00296C5A">
        <w:rPr>
          <w:rFonts w:ascii="Times New Roman" w:eastAsia="Calibri" w:hAnsi="Times New Roman" w:cs="Times New Roman"/>
          <w:lang w:eastAsia="lt-LT"/>
        </w:rPr>
        <w:t>Kapsules išgerkite pavalgę. Nurykite nekramtytas, užsigerdami skysčiu arba kartu su maisto kąsniu.</w:t>
      </w:r>
    </w:p>
    <w:p w14:paraId="7C08E02A" w14:textId="77777777" w:rsidR="007E07AA" w:rsidRPr="00296C5A" w:rsidRDefault="007E07AA" w:rsidP="007E07AA">
      <w:pPr>
        <w:spacing w:after="0" w:line="240" w:lineRule="auto"/>
        <w:ind w:hanging="27"/>
        <w:rPr>
          <w:rFonts w:ascii="Times New Roman" w:eastAsia="Calibri" w:hAnsi="Times New Roman" w:cs="Times New Roman"/>
          <w:lang w:eastAsia="lt-LT"/>
        </w:rPr>
      </w:pPr>
    </w:p>
    <w:p w14:paraId="7B8CADA1"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Po kelių savaičių gydytojas gali keisti vaisto dozę</w:t>
      </w:r>
      <w:r w:rsidRPr="00296C5A">
        <w:rPr>
          <w:rFonts w:ascii="Times New Roman" w:eastAsia="Calibri" w:hAnsi="Times New Roman" w:cs="Times New Roman"/>
          <w:lang w:eastAsia="lt-LT"/>
        </w:rPr>
        <w:t>. Tai priklausys nuo to, kaip vaistas Jus veikia. Daugumai žmonių dozė yra 0,5 – 1 mg/kg per parą. Jeigu manote, kad Roaccutane veikia pernelyg stipriai arba pernelyg silpnai, kreipkitės į gydytoją arba vaistininką.</w:t>
      </w:r>
    </w:p>
    <w:p w14:paraId="5EEDFBC9" w14:textId="77777777" w:rsidR="007E07AA" w:rsidRPr="00296C5A" w:rsidRDefault="007E07AA" w:rsidP="007E07AA">
      <w:pPr>
        <w:spacing w:after="0" w:line="240" w:lineRule="auto"/>
        <w:rPr>
          <w:rFonts w:ascii="Times New Roman" w:eastAsia="Calibri" w:hAnsi="Times New Roman" w:cs="Times New Roman"/>
          <w:lang w:eastAsia="lt-LT"/>
        </w:rPr>
      </w:pPr>
    </w:p>
    <w:p w14:paraId="6AE1496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b/>
          <w:lang w:eastAsia="lt-LT"/>
        </w:rPr>
        <w:t>Jeigu sergate sunkia inkstų liga</w:t>
      </w:r>
      <w:r w:rsidRPr="00296C5A">
        <w:rPr>
          <w:rFonts w:ascii="Times New Roman" w:eastAsia="Calibri" w:hAnsi="Times New Roman" w:cs="Times New Roman"/>
          <w:lang w:eastAsia="lt-LT"/>
        </w:rPr>
        <w:t>, paprastai pradžioje turėtumėte vartoti mažesnę dozę (pvz., 10 mg per parą), kuri bus didinama iki didžiausios Jūsų toleruojamos dozės. Jeigu negalite toleruoti rekomenduojamos dozės, Jums gali būti skiriama mažesnė dozė, tačiau tuomet teks gydytis ilgiau ir bus didesnė spuogų atkryčio rizika.</w:t>
      </w:r>
    </w:p>
    <w:p w14:paraId="5FCABAA7" w14:textId="77777777" w:rsidR="007E07AA" w:rsidRPr="00296C5A" w:rsidRDefault="007E07AA" w:rsidP="007E07AA">
      <w:pPr>
        <w:spacing w:after="0" w:line="240" w:lineRule="auto"/>
        <w:rPr>
          <w:rFonts w:ascii="Times New Roman" w:eastAsia="Calibri" w:hAnsi="Times New Roman" w:cs="Times New Roman"/>
          <w:lang w:eastAsia="lt-LT"/>
        </w:rPr>
      </w:pPr>
    </w:p>
    <w:p w14:paraId="7F6793C6"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Įprastai gydymo kursas trunka nuo 16 iki 24 savaičių</w:t>
      </w:r>
      <w:r w:rsidRPr="00296C5A">
        <w:rPr>
          <w:rFonts w:ascii="Times New Roman" w:eastAsia="Calibri" w:hAnsi="Times New Roman" w:cs="Times New Roman"/>
          <w:lang w:eastAsia="lt-LT"/>
        </w:rPr>
        <w:t>. Daugum</w:t>
      </w:r>
      <w:r w:rsidRPr="004E403C">
        <w:rPr>
          <w:rFonts w:ascii="Times New Roman" w:hAnsi="Times New Roman"/>
        </w:rPr>
        <w:t>ai žmonių užtenka vieno gydymo kurso. Po gydymo kurso spuogai gali dar lengvėti iki 8 savaičių, todėl iki to laiko paprastai kitas gydymo kursas nepradedamas.</w:t>
      </w:r>
    </w:p>
    <w:p w14:paraId="439CFD7A" w14:textId="77777777" w:rsidR="007E07AA" w:rsidRPr="00296C5A" w:rsidRDefault="007E07AA" w:rsidP="007E07AA">
      <w:pPr>
        <w:spacing w:after="0" w:line="240" w:lineRule="auto"/>
        <w:rPr>
          <w:rFonts w:ascii="Times New Roman" w:eastAsia="Calibri" w:hAnsi="Times New Roman" w:cs="Times New Roman"/>
          <w:lang w:eastAsia="lt-LT"/>
        </w:rPr>
      </w:pPr>
    </w:p>
    <w:p w14:paraId="78B5168C"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pirmosiomis gydymo savaitėmis spuogai gali pasunkėti, bet gydymą tęsiant įprastai jie ima lengvėti.</w:t>
      </w:r>
    </w:p>
    <w:p w14:paraId="562EE1E8" w14:textId="77777777" w:rsidR="007E07AA" w:rsidRPr="00296C5A" w:rsidRDefault="007E07AA" w:rsidP="007E07AA">
      <w:pPr>
        <w:spacing w:after="0" w:line="240" w:lineRule="auto"/>
        <w:rPr>
          <w:rFonts w:ascii="Times New Roman" w:eastAsia="Calibri" w:hAnsi="Times New Roman" w:cs="Times New Roman"/>
          <w:b/>
          <w:lang w:eastAsia="lt-LT"/>
        </w:rPr>
      </w:pPr>
    </w:p>
    <w:p w14:paraId="5F9D7498"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Ką daryti pavartojus per didelę Roaccutane dozę</w:t>
      </w:r>
      <w:r w:rsidRPr="004E403C">
        <w:rPr>
          <w:rFonts w:ascii="Times New Roman" w:hAnsi="Times New Roman"/>
          <w:b/>
        </w:rPr>
        <w:t>?</w:t>
      </w:r>
    </w:p>
    <w:p w14:paraId="368ED9F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Jeigu išgėrėte per daug kapsulių arba kitas žmogus atsitiktinai jų išgėrė, būtina nedelsiant kreiptis į gydytoją, vaistininką arba vykti į artimiausią ligoninę.</w:t>
      </w:r>
    </w:p>
    <w:p w14:paraId="214C9E0B"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1357C026"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Pamiršus pavartoti Roaccutane</w:t>
      </w:r>
    </w:p>
    <w:p w14:paraId="2873357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dozę išgerti pamiršite, gerkite ją tuoj pat, kai tik prisiminsite. Tačiau tuo atveju, jeigu bus beveik atėjęs kitos dozės vartojimo laikas, pamirštosios dozės nebegerkite ir toliau vaistą vartokite kaip buvote įpratę. </w:t>
      </w:r>
      <w:r w:rsidRPr="004E403C">
        <w:rPr>
          <w:rFonts w:ascii="Times New Roman" w:hAnsi="Times New Roman"/>
        </w:rPr>
        <w:t>Negalima vartoti dvigubos dozės norint kompensuoti praleistą dozę.</w:t>
      </w:r>
    </w:p>
    <w:p w14:paraId="66D6F0E4" w14:textId="77777777" w:rsidR="007E07AA" w:rsidRPr="00296C5A" w:rsidRDefault="007E07AA" w:rsidP="007E07AA">
      <w:pPr>
        <w:spacing w:after="0" w:line="240" w:lineRule="auto"/>
        <w:rPr>
          <w:rFonts w:ascii="Times New Roman" w:eastAsia="Calibri" w:hAnsi="Times New Roman" w:cs="Times New Roman"/>
          <w:lang w:eastAsia="lt-LT"/>
        </w:rPr>
      </w:pPr>
    </w:p>
    <w:p w14:paraId="5EE452C9" w14:textId="77777777" w:rsidR="007E07AA" w:rsidRPr="00296C5A" w:rsidRDefault="007E07AA" w:rsidP="007E07AA">
      <w:pPr>
        <w:spacing w:after="0" w:line="240" w:lineRule="auto"/>
        <w:rPr>
          <w:rFonts w:ascii="Times New Roman" w:eastAsia="Calibri" w:hAnsi="Times New Roman" w:cs="Times New Roman"/>
          <w:lang w:eastAsia="lt-LT"/>
        </w:rPr>
      </w:pPr>
    </w:p>
    <w:p w14:paraId="7848E1CD"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4.</w:t>
      </w:r>
      <w:r w:rsidRPr="00296C5A">
        <w:rPr>
          <w:rFonts w:ascii="Times New Roman" w:eastAsia="Calibri" w:hAnsi="Times New Roman" w:cs="Times New Roman"/>
          <w:b/>
          <w:lang w:eastAsia="lt-LT"/>
        </w:rPr>
        <w:tab/>
        <w:t>Galimas šalutinis povei</w:t>
      </w:r>
      <w:r w:rsidRPr="004E403C">
        <w:rPr>
          <w:rFonts w:ascii="Times New Roman" w:hAnsi="Times New Roman"/>
          <w:b/>
        </w:rPr>
        <w:t>kis</w:t>
      </w:r>
    </w:p>
    <w:p w14:paraId="1F0B6E2F" w14:textId="77777777" w:rsidR="007E07AA" w:rsidRPr="00296C5A" w:rsidRDefault="007E07AA" w:rsidP="007E07AA">
      <w:pPr>
        <w:spacing w:after="0" w:line="240" w:lineRule="auto"/>
        <w:rPr>
          <w:rFonts w:ascii="Times New Roman" w:eastAsia="Calibri" w:hAnsi="Times New Roman" w:cs="Times New Roman"/>
          <w:lang w:eastAsia="lt-LT"/>
        </w:rPr>
      </w:pPr>
    </w:p>
    <w:p w14:paraId="148ECC88"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Šis vaistas, kaip ir visi kiti, gali sukelti šalutinį poveikį, nors jis pasireiškia ne visiems žmonėms. Kai kurie šalutiniai poveikiai gydant izotretinoinu priklauso nuo jo dozės. Pakeitus dozę arba nutraukus gydymą įprastai šalutinis poveikis išnyksta, tačiau kai kurie gali tęstis nutraukus gydymą. Kai kurie šalutiniai poveikiai gali būti sunkūs ir Jūs privalote nedelsdami kreiptis į gydytoją.</w:t>
      </w:r>
    </w:p>
    <w:p w14:paraId="45492D83" w14:textId="77777777" w:rsidR="007E07AA" w:rsidRPr="00296C5A" w:rsidRDefault="007E07AA" w:rsidP="007E07AA">
      <w:pPr>
        <w:spacing w:after="0" w:line="240" w:lineRule="auto"/>
        <w:ind w:left="567" w:hanging="567"/>
        <w:rPr>
          <w:rFonts w:ascii="Times New Roman" w:eastAsia="Calibri" w:hAnsi="Times New Roman" w:cs="Times New Roman"/>
          <w:b/>
          <w:i/>
          <w:lang w:eastAsia="lt-LT"/>
        </w:rPr>
      </w:pPr>
    </w:p>
    <w:p w14:paraId="2363C598"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Šalutinis poveikis, dėl kurio</w:t>
      </w:r>
      <w:r w:rsidRPr="004E403C">
        <w:rPr>
          <w:rFonts w:ascii="Times New Roman" w:hAnsi="Times New Roman"/>
          <w:b/>
        </w:rPr>
        <w:t xml:space="preserve"> reikia nedelsiant kreiptis į gydytoją</w:t>
      </w:r>
    </w:p>
    <w:p w14:paraId="45A02B3D"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Odos sutrikimai</w:t>
      </w:r>
    </w:p>
    <w:p w14:paraId="2CA7A6E4"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14:paraId="36BA499A" w14:textId="77777777" w:rsidR="007E07AA" w:rsidRPr="00296C5A" w:rsidRDefault="007E07AA" w:rsidP="007E07AA">
      <w:pPr>
        <w:numPr>
          <w:ilvl w:val="0"/>
          <w:numId w:val="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Sunkūs odos bėrimai (daugiaformė eritema, </w:t>
      </w:r>
      <w:r w:rsidRPr="00296C5A">
        <w:rPr>
          <w:rFonts w:ascii="Times New Roman" w:eastAsia="Calibri" w:hAnsi="Times New Roman" w:cs="Times New Roman"/>
          <w:i/>
          <w:lang w:eastAsia="lt-LT"/>
        </w:rPr>
        <w:t>Stevens-Johnson</w:t>
      </w:r>
      <w:r w:rsidRPr="00296C5A">
        <w:rPr>
          <w:rFonts w:ascii="Times New Roman" w:eastAsia="Calibri" w:hAnsi="Times New Roman" w:cs="Times New Roman"/>
          <w:lang w:eastAsia="lt-LT"/>
        </w:rPr>
        <w:t xml:space="preserve"> sindromas ir toksinė epidermio nekrolizė), kurie gali lemti pavojų gyvybei ir dėl kurių būtina nedelsiant suteikti medicinos pagalbą. Šie sutrikimai iš pradžių pasireiškia kaip apskritos dėmės, dažnai su pūslių susidarymu centre, ir paprastai atsiranda ant rankų ir plaštakų arba ant kojų ir pėdų; sunkesnio bėrimo atveju gali susidaryti pūslių krūtinės ląstoje ir nugaroje. Gali atsirasti ir papildomų simptomų, pavyzdžiui, pasireikšti akies infekcija (konjunktyvitas) arba susidaryti opų burnos ertmėje, gerklėje ar nosies ertmėje. Sunkios bėrimo formos gali progresuoti ir pasireikšti išplitęs odos lupimasis, kuris gali sąlygoti pavojų gyvybei. Prieš šių sunkių odos bėrimų atsiradimą dažnai pasireiškia galvos skausmas, karščiavimas, kūno gėlimas (į gripą panašūs simptomai).</w:t>
      </w:r>
    </w:p>
    <w:p w14:paraId="23A66B72" w14:textId="77777777" w:rsidR="007E07AA" w:rsidRPr="00296C5A" w:rsidRDefault="007E07AA" w:rsidP="007E07AA">
      <w:pPr>
        <w:spacing w:after="0" w:line="240" w:lineRule="auto"/>
        <w:jc w:val="both"/>
        <w:rPr>
          <w:rFonts w:ascii="Times New Roman" w:eastAsia="Calibri" w:hAnsi="Times New Roman" w:cs="Times New Roman"/>
          <w:lang w:eastAsia="lt-LT"/>
        </w:rPr>
      </w:pPr>
    </w:p>
    <w:p w14:paraId="4274A75E"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Jeigu Jums atsiranda sunkus išbėrimas arba minėtų odos simptomų, Roaccutane vartojimą nutraukite ir nedelsiant kreipkitės į savo gydytoją.</w:t>
      </w:r>
    </w:p>
    <w:p w14:paraId="10458869" w14:textId="77777777" w:rsidR="007E07AA" w:rsidRPr="00296C5A" w:rsidRDefault="007E07AA" w:rsidP="007E07AA">
      <w:pPr>
        <w:spacing w:after="0" w:line="240" w:lineRule="auto"/>
        <w:jc w:val="both"/>
        <w:rPr>
          <w:rFonts w:ascii="Times New Roman" w:eastAsia="Calibri" w:hAnsi="Times New Roman" w:cs="Times New Roman"/>
          <w:lang w:eastAsia="lt-LT"/>
        </w:rPr>
      </w:pPr>
    </w:p>
    <w:p w14:paraId="568ECDA7"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Psichikos sutrikimai</w:t>
      </w:r>
    </w:p>
    <w:p w14:paraId="3F7471A2"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nei 1 iš 1000 žmonių)</w:t>
      </w:r>
    </w:p>
    <w:p w14:paraId="71383841" w14:textId="77777777" w:rsidR="007E07AA" w:rsidRPr="00296C5A" w:rsidRDefault="007E07AA" w:rsidP="007E07AA">
      <w:pPr>
        <w:numPr>
          <w:ilvl w:val="0"/>
          <w:numId w:val="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Depresija ar panašūs sutrikimai. Jų</w:t>
      </w:r>
      <w:r w:rsidRPr="00296C5A">
        <w:rPr>
          <w:rFonts w:ascii="Calibri" w:eastAsia="Calibri" w:hAnsi="Calibri" w:cs="Times New Roman"/>
          <w:lang w:eastAsia="lt-LT"/>
        </w:rPr>
        <w:t xml:space="preserve"> </w:t>
      </w:r>
      <w:r w:rsidRPr="00296C5A">
        <w:rPr>
          <w:rFonts w:ascii="Times New Roman" w:eastAsia="Calibri" w:hAnsi="Times New Roman" w:cs="Times New Roman"/>
          <w:lang w:eastAsia="lt-LT"/>
        </w:rPr>
        <w:t>požymiai yra bloga nuotaika, nuotaikos pokyčiai,</w:t>
      </w:r>
      <w:r w:rsidRPr="00296C5A" w:rsidDel="00BD34BC">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nerimas, emocinio diskomforto pojūtis.</w:t>
      </w:r>
    </w:p>
    <w:p w14:paraId="14D2FEBE" w14:textId="77777777" w:rsidR="007E07AA" w:rsidRPr="00296C5A" w:rsidRDefault="007E07AA" w:rsidP="007E07AA">
      <w:pPr>
        <w:numPr>
          <w:ilvl w:val="0"/>
          <w:numId w:val="8"/>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Jau esančios depresijos pablogėjimas.</w:t>
      </w:r>
    </w:p>
    <w:p w14:paraId="7D836C80" w14:textId="77777777" w:rsidR="007E07AA" w:rsidRPr="00296C5A" w:rsidRDefault="007E07AA" w:rsidP="007E07AA">
      <w:pPr>
        <w:numPr>
          <w:ilvl w:val="0"/>
          <w:numId w:val="8"/>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Atsirandantis įtūžis ar agresyvumas.</w:t>
      </w:r>
    </w:p>
    <w:p w14:paraId="35E67485" w14:textId="77777777" w:rsidR="007E07AA" w:rsidRPr="00296C5A" w:rsidRDefault="007E07AA" w:rsidP="007E07AA">
      <w:pPr>
        <w:tabs>
          <w:tab w:val="left" w:pos="3240"/>
        </w:tabs>
        <w:spacing w:after="0" w:line="240" w:lineRule="auto"/>
        <w:rPr>
          <w:rFonts w:ascii="Times New Roman" w:eastAsia="Calibri" w:hAnsi="Times New Roman" w:cs="Times New Roman"/>
          <w:lang w:eastAsia="lt-LT"/>
        </w:rPr>
      </w:pPr>
    </w:p>
    <w:p w14:paraId="6510DC45"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reti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 xml:space="preserve">(gali atsirasti mažiau nei 1 </w:t>
      </w:r>
      <w:r w:rsidRPr="004E403C">
        <w:rPr>
          <w:rFonts w:ascii="Times New Roman" w:hAnsi="Times New Roman"/>
          <w:i/>
          <w:lang w:val="fr-CA"/>
        </w:rPr>
        <w:t>iš 10000 žmonių)</w:t>
      </w:r>
    </w:p>
    <w:p w14:paraId="52DF279F" w14:textId="77777777" w:rsidR="007E07AA" w:rsidRPr="00296C5A" w:rsidRDefault="007E07AA" w:rsidP="007E07AA">
      <w:pPr>
        <w:numPr>
          <w:ilvl w:val="0"/>
          <w:numId w:val="9"/>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gali kilti minčių apie savęs žalojimą ar noras užbaigti gyvenimą (mintys apie savižudybę), kai kurie bandė nusižudyti arba nusižudė. Šie žmonės galėjo neatrodyti kaip sergantys depresija.</w:t>
      </w:r>
    </w:p>
    <w:p w14:paraId="55FFCF75" w14:textId="77777777" w:rsidR="007E07AA" w:rsidRPr="00296C5A" w:rsidRDefault="007E07AA" w:rsidP="007E07AA">
      <w:pPr>
        <w:numPr>
          <w:ilvl w:val="0"/>
          <w:numId w:val="9"/>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Neįprastas elgesys.</w:t>
      </w:r>
    </w:p>
    <w:p w14:paraId="51C6AD65" w14:textId="77777777" w:rsidR="007E07AA" w:rsidRPr="00296C5A" w:rsidRDefault="007E07AA" w:rsidP="007E07AA">
      <w:pPr>
        <w:numPr>
          <w:ilvl w:val="0"/>
          <w:numId w:val="9"/>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Psichozės požymiai: realybės suvokimo praradimas, pvz., balsų girdėjimas ar nesamų daiktų matymas).</w:t>
      </w:r>
    </w:p>
    <w:p w14:paraId="4DF6D920" w14:textId="77777777" w:rsidR="007E07AA" w:rsidRPr="00296C5A" w:rsidRDefault="007E07AA" w:rsidP="007E07AA">
      <w:pPr>
        <w:tabs>
          <w:tab w:val="left" w:pos="3240"/>
        </w:tabs>
        <w:spacing w:after="0" w:line="240" w:lineRule="auto"/>
        <w:rPr>
          <w:rFonts w:ascii="Times New Roman" w:eastAsia="Calibri" w:hAnsi="Times New Roman" w:cs="Times New Roman"/>
          <w:lang w:eastAsia="lt-LT"/>
        </w:rPr>
      </w:pPr>
    </w:p>
    <w:p w14:paraId="11F48DE0"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Jeigu atsiranda bet kuris šių psichikos sutrikimų požymių, nedelsdami kreipkitės į gydytoją</w:t>
      </w:r>
      <w:r w:rsidRPr="00296C5A">
        <w:rPr>
          <w:rFonts w:ascii="Times New Roman" w:eastAsia="Calibri" w:hAnsi="Times New Roman" w:cs="Times New Roman"/>
          <w:lang w:eastAsia="lt-LT"/>
        </w:rPr>
        <w:t>. Gydytojas gali nurodyti liautis vartojus Roaccutane. To gali nepakakti nepageidaujamam poveikiui pašalinti: Jums gali prireikti ir kitokios pagalbos, kurią gydytojas gali padėti surasti.</w:t>
      </w:r>
    </w:p>
    <w:p w14:paraId="6DF37768" w14:textId="77777777" w:rsidR="007E07AA" w:rsidRPr="00296C5A" w:rsidRDefault="007E07AA" w:rsidP="007E07AA">
      <w:pPr>
        <w:spacing w:after="0" w:line="240" w:lineRule="auto"/>
        <w:rPr>
          <w:rFonts w:ascii="Times New Roman" w:eastAsia="Calibri" w:hAnsi="Times New Roman" w:cs="Times New Roman"/>
          <w:b/>
          <w:i/>
          <w:lang w:eastAsia="lt-LT"/>
        </w:rPr>
      </w:pPr>
    </w:p>
    <w:p w14:paraId="3038B0FE" w14:textId="77777777" w:rsidR="007E07AA" w:rsidRPr="00296C5A" w:rsidRDefault="007E07AA" w:rsidP="007E07AA">
      <w:pPr>
        <w:keepNext/>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Alerginės reakcijos</w:t>
      </w:r>
    </w:p>
    <w:p w14:paraId="09EABC72"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4E403C">
        <w:rPr>
          <w:rFonts w:ascii="Times New Roman" w:hAnsi="Times New Roman"/>
          <w:i/>
        </w:rPr>
        <w:t>(gali atsirasti mažiau nei 1 iš 1000 žmonių)</w:t>
      </w:r>
    </w:p>
    <w:p w14:paraId="0D4C0F6C" w14:textId="77777777" w:rsidR="007E07AA" w:rsidRPr="00296C5A" w:rsidRDefault="007E07AA" w:rsidP="007E07AA">
      <w:pPr>
        <w:numPr>
          <w:ilvl w:val="0"/>
          <w:numId w:val="11"/>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Sunkios (anafilaksinės) reakcijos: pasunkėjęs kvėpavimas ar rijimas staiga pabrinkus ryklei, veidui, lūpoms ir burnai. Taip pat staiga gali pabrinkti plaštakos, pėdos ir kulkšnys.</w:t>
      </w:r>
    </w:p>
    <w:p w14:paraId="39F869F1"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0A0515E0"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4E403C">
        <w:rPr>
          <w:rFonts w:ascii="Times New Roman" w:hAnsi="Times New Roman"/>
          <w:i/>
          <w:lang w:val="fr-CA"/>
        </w:rPr>
        <w:t>(gali atsirasti mažiau negu 1 iš 10000 žmonių)</w:t>
      </w:r>
    </w:p>
    <w:p w14:paraId="0024E541" w14:textId="77777777" w:rsidR="007E07AA" w:rsidRPr="00296C5A" w:rsidRDefault="007E07AA" w:rsidP="007E07AA">
      <w:pPr>
        <w:numPr>
          <w:ilvl w:val="0"/>
          <w:numId w:val="10"/>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Staiga atsiradęs spaudimas krūtinėje, dusulys ir švokštimas, ypač jeigu sergate astma.</w:t>
      </w:r>
    </w:p>
    <w:p w14:paraId="227BAEE7" w14:textId="77777777" w:rsidR="007E07AA" w:rsidRPr="00296C5A" w:rsidRDefault="007E07AA" w:rsidP="007E07AA">
      <w:pPr>
        <w:spacing w:after="0" w:line="240" w:lineRule="auto"/>
        <w:rPr>
          <w:rFonts w:ascii="Times New Roman" w:eastAsia="Calibri" w:hAnsi="Times New Roman" w:cs="Times New Roman"/>
          <w:b/>
          <w:lang w:eastAsia="lt-LT"/>
        </w:rPr>
      </w:pPr>
    </w:p>
    <w:p w14:paraId="7DF1A7E9"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Jeigu Jums pasireiškė sunki reakcija, nedelsdami kvieskite greitąją medicinos pagalbą.</w:t>
      </w:r>
    </w:p>
    <w:p w14:paraId="3AC3959F"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atsiranda bet kokia alerginė reakcija, liaukitės vartoti Roaccutane ir kreipkitės į savo gydytoją.</w:t>
      </w:r>
    </w:p>
    <w:p w14:paraId="7C4FD7E3" w14:textId="77777777" w:rsidR="007E07AA" w:rsidRPr="00296C5A" w:rsidRDefault="007E07AA" w:rsidP="007E07AA">
      <w:pPr>
        <w:spacing w:after="0" w:line="240" w:lineRule="auto"/>
        <w:rPr>
          <w:rFonts w:ascii="Times New Roman" w:eastAsia="Calibri" w:hAnsi="Times New Roman" w:cs="Times New Roman"/>
          <w:lang w:eastAsia="lt-LT"/>
        </w:rPr>
      </w:pPr>
    </w:p>
    <w:p w14:paraId="1E1A2B95"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Kaulų ir raumenų sutrikimai</w:t>
      </w:r>
    </w:p>
    <w:p w14:paraId="6D06C061"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14:paraId="370F2D7E" w14:textId="77777777" w:rsidR="007E07AA" w:rsidRPr="00296C5A" w:rsidRDefault="007E07AA" w:rsidP="007E07AA">
      <w:pPr>
        <w:numPr>
          <w:ilvl w:val="0"/>
          <w:numId w:val="10"/>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Raumenų silpnumas, kuris gali būti pavojingos gyvybei, dėl jo gali būti sunku judinti rankas ar kojas, atsirasti skausmingų, patinusių, su kraujosruvomis kūno sričių, patamsėti šlapimas, sumažėti šlapimo kiekis ar nustoti šlapintis, atsirasti sumišimas ar dehidratacija. Tai yra rabdomiolizės - raumenų audinio irimo, kuris gali sukelti inkstų veiklos nepakankamumą, požymiai. </w:t>
      </w:r>
      <w:r w:rsidRPr="004E403C">
        <w:rPr>
          <w:rFonts w:ascii="Times New Roman" w:hAnsi="Times New Roman"/>
        </w:rPr>
        <w:t>Tai gali nutikti, jeigu Jūsų fizinė veikla vartojant Roaccutane bus intensyvi.</w:t>
      </w:r>
    </w:p>
    <w:p w14:paraId="5C51161C" w14:textId="77777777" w:rsidR="007E07AA" w:rsidRPr="00296C5A" w:rsidRDefault="007E07AA" w:rsidP="007E07AA">
      <w:pPr>
        <w:spacing w:after="0" w:line="240" w:lineRule="auto"/>
        <w:rPr>
          <w:rFonts w:ascii="Times New Roman" w:eastAsia="Calibri" w:hAnsi="Times New Roman" w:cs="Times New Roman"/>
          <w:lang w:eastAsia="lt-LT"/>
        </w:rPr>
      </w:pPr>
    </w:p>
    <w:p w14:paraId="2DCA1A1F"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Kepenų ir inkstų veiklos sutrikimai</w:t>
      </w:r>
    </w:p>
    <w:p w14:paraId="3D58EAF5"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 žmonių)</w:t>
      </w:r>
    </w:p>
    <w:p w14:paraId="173A8EBA" w14:textId="77777777" w:rsidR="007E07AA" w:rsidRPr="00296C5A" w:rsidRDefault="007E07AA" w:rsidP="007E07AA">
      <w:pPr>
        <w:numPr>
          <w:ilvl w:val="0"/>
          <w:numId w:val="12"/>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Pageltusi oda ar akys, taip pat jaučiamas nuovargis. Tai gali būti hepatito (kepenų uždegimo) požymiai.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Roaccutane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14:paraId="3C822141" w14:textId="77777777" w:rsidR="007E07AA" w:rsidRPr="00296C5A" w:rsidRDefault="007E07AA" w:rsidP="007E07AA">
      <w:pPr>
        <w:numPr>
          <w:ilvl w:val="0"/>
          <w:numId w:val="12"/>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Sunku šlapin</w:t>
      </w:r>
      <w:r w:rsidRPr="004E403C">
        <w:rPr>
          <w:rFonts w:ascii="Times New Roman" w:hAnsi="Times New Roman"/>
        </w:rPr>
        <w:t>t</w:t>
      </w:r>
      <w:r w:rsidRPr="00296C5A">
        <w:rPr>
          <w:rFonts w:ascii="Times New Roman" w:eastAsia="Calibri" w:hAnsi="Times New Roman" w:cs="Times New Roman"/>
          <w:lang w:eastAsia="lt-LT"/>
        </w:rPr>
        <w:t>is, patinę ir pastorėję akių vokai, jaučiamas pernelyg didelis nuovargis.</w:t>
      </w:r>
      <w:r w:rsidRPr="004E403C">
        <w:rPr>
          <w:rFonts w:ascii="Times New Roman" w:hAnsi="Times New Roman"/>
        </w:rPr>
        <w:t xml:space="preserve"> Šie požymiai gali rodyti inkstų uždegimą. </w:t>
      </w:r>
      <w:r w:rsidRPr="004E403C">
        <w:rPr>
          <w:rFonts w:ascii="Times New Roman" w:hAnsi="Times New Roman"/>
          <w:b/>
        </w:rPr>
        <w:t>Tuojau pat liaukitės vartoti Roaccutane ir kreipkitės į gydytoją.</w:t>
      </w:r>
    </w:p>
    <w:p w14:paraId="6742907B" w14:textId="77777777" w:rsidR="007E07AA" w:rsidRPr="00296C5A" w:rsidRDefault="007E07AA" w:rsidP="007E07AA">
      <w:pPr>
        <w:spacing w:after="0" w:line="240" w:lineRule="auto"/>
        <w:rPr>
          <w:rFonts w:ascii="Times New Roman" w:eastAsia="Calibri" w:hAnsi="Times New Roman" w:cs="Times New Roman"/>
          <w:b/>
          <w:lang w:eastAsia="lt-LT"/>
        </w:rPr>
      </w:pPr>
    </w:p>
    <w:p w14:paraId="7FAD9EAA"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Nervų sistemos sutrikimai</w:t>
      </w:r>
    </w:p>
    <w:p w14:paraId="42ACD3BF"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w:t>
      </w:r>
      <w:r w:rsidRPr="004E403C">
        <w:rPr>
          <w:rFonts w:ascii="Times New Roman" w:hAnsi="Times New Roman"/>
          <w:i/>
        </w:rPr>
        <w:t xml:space="preserve"> žmonių)</w:t>
      </w:r>
    </w:p>
    <w:p w14:paraId="7B44271E" w14:textId="77777777" w:rsidR="007E07AA" w:rsidRPr="00296C5A" w:rsidRDefault="007E07AA" w:rsidP="007E07AA">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Nuolatinis galvos skausmas ir kartu esantis pykinimas, vėmimas ar regos sutrikimas, įskaitant miglotą regėjimą. Šie požymiai gali rodyti gerybinį vidinio kaukolės spaudimo padidėjimą (hipertenziją), ypač jeigu Roaccutane vartojamas kartu su antibiotikais tetraciklinais.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Roaccutane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14:paraId="009D96D9" w14:textId="77777777" w:rsidR="007E07AA" w:rsidRPr="00296C5A" w:rsidRDefault="007E07AA" w:rsidP="007E07AA">
      <w:pPr>
        <w:spacing w:after="0" w:line="240" w:lineRule="auto"/>
        <w:rPr>
          <w:rFonts w:ascii="Times New Roman" w:eastAsia="Calibri" w:hAnsi="Times New Roman" w:cs="Times New Roman"/>
          <w:b/>
          <w:lang w:eastAsia="lt-LT"/>
        </w:rPr>
      </w:pPr>
    </w:p>
    <w:p w14:paraId="38B0BA81"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Virškinimo trakto sutrikimai</w:t>
      </w:r>
    </w:p>
    <w:p w14:paraId="6EEFBF21"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7E84393D" w14:textId="77777777" w:rsidR="007E07AA" w:rsidRPr="00296C5A" w:rsidRDefault="007E07AA" w:rsidP="007E07AA">
      <w:pPr>
        <w:numPr>
          <w:ilvl w:val="0"/>
          <w:numId w:val="14"/>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Stiprus pilvo skausmas ir stiprus viduriavimas su krauju ar be viduriavimo; pykinimas, vėmimas. Šie požymiai gali rodyti rimtą žarnyno veiklos sutrikimą. </w:t>
      </w:r>
      <w:r w:rsidRPr="00296C5A">
        <w:rPr>
          <w:rFonts w:ascii="Times New Roman" w:eastAsia="Calibri" w:hAnsi="Times New Roman" w:cs="Times New Roman"/>
          <w:b/>
          <w:lang w:eastAsia="lt-LT"/>
        </w:rPr>
        <w:t>Tuojau pat liaukitės vartoti Roaccutane ir kreipkitės į gydytoją.</w:t>
      </w:r>
    </w:p>
    <w:p w14:paraId="3194DADD" w14:textId="77777777" w:rsidR="007E07AA" w:rsidRPr="00296C5A" w:rsidRDefault="007E07AA" w:rsidP="007E07AA">
      <w:pPr>
        <w:spacing w:after="0" w:line="240" w:lineRule="auto"/>
        <w:rPr>
          <w:rFonts w:ascii="Times New Roman" w:eastAsia="Calibri" w:hAnsi="Times New Roman" w:cs="Times New Roman"/>
          <w:b/>
          <w:i/>
          <w:lang w:eastAsia="lt-LT"/>
        </w:rPr>
      </w:pPr>
    </w:p>
    <w:p w14:paraId="369D13F2"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Akių sutrikimai</w:t>
      </w:r>
    </w:p>
    <w:p w14:paraId="43130594"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4BC9D05D" w14:textId="77777777" w:rsidR="007E07AA" w:rsidRPr="00296C5A" w:rsidRDefault="007E07AA" w:rsidP="007E07AA">
      <w:pPr>
        <w:numPr>
          <w:ilvl w:val="0"/>
          <w:numId w:val="14"/>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Miglotas matymas.</w:t>
      </w:r>
    </w:p>
    <w:p w14:paraId="184B5236" w14:textId="77777777" w:rsidR="007E07AA" w:rsidRPr="00296C5A" w:rsidRDefault="007E07AA" w:rsidP="007E07AA">
      <w:pPr>
        <w:spacing w:after="0" w:line="240" w:lineRule="auto"/>
        <w:rPr>
          <w:rFonts w:ascii="Times New Roman" w:eastAsia="Calibri" w:hAnsi="Times New Roman" w:cs="Times New Roman"/>
          <w:lang w:eastAsia="lt-LT"/>
        </w:rPr>
      </w:pPr>
    </w:p>
    <w:p w14:paraId="1C9D8D9A"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Jeigu matote daiktus lyg per miglą, tuoj pat liaukitės vartoti Roaccutane ir kreipkitės į savo gydytoją.</w:t>
      </w:r>
      <w:r w:rsidRPr="004E403C" w:rsidDel="00AB596B">
        <w:rPr>
          <w:rFonts w:ascii="Times New Roman" w:hAnsi="Times New Roman"/>
          <w:b/>
        </w:rPr>
        <w:t xml:space="preserve"> </w:t>
      </w:r>
      <w:r w:rsidRPr="00296C5A">
        <w:rPr>
          <w:rFonts w:ascii="Times New Roman" w:eastAsia="Calibri" w:hAnsi="Times New Roman" w:cs="Times New Roman"/>
          <w:lang w:eastAsia="lt-LT"/>
        </w:rPr>
        <w:t>Jeigu Jūsų rega kaip nors kitaip sutrikusi, kiek galima greičiau informuokite gydytoją.</w:t>
      </w:r>
    </w:p>
    <w:p w14:paraId="634E1852" w14:textId="77777777" w:rsidR="007E07AA" w:rsidRPr="00296C5A" w:rsidRDefault="007E07AA" w:rsidP="007E07AA">
      <w:pPr>
        <w:spacing w:after="0" w:line="240" w:lineRule="auto"/>
        <w:rPr>
          <w:rFonts w:ascii="Times New Roman" w:eastAsia="Calibri" w:hAnsi="Times New Roman" w:cs="Times New Roman"/>
          <w:i/>
          <w:lang w:eastAsia="lt-LT"/>
        </w:rPr>
      </w:pPr>
    </w:p>
    <w:p w14:paraId="4607F7A7"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šalutiniai poveikiai</w:t>
      </w:r>
    </w:p>
    <w:p w14:paraId="3AB490CB"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daugiau negu 1 iš 10 žmonių)</w:t>
      </w:r>
    </w:p>
    <w:p w14:paraId="3C238E64"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Odos, ypač veido ir lūpų, sausėjimas; odos uždegimas, lūpų skeldėjimas ir uždegimas, bėrimas, lengvas niežulys ir nedidelis lupimasis. Nuo pat gydymo pradžios reikia naudoti drėkinamąjį kremą.</w:t>
      </w:r>
    </w:p>
    <w:p w14:paraId="3B1A7994"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Oda, ypač veido, tampa trapesnė ir raudonesnė negu paprastai.</w:t>
      </w:r>
    </w:p>
    <w:p w14:paraId="01B70826"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Nugaros skausmas, raumenų ar sąnarių skausmas, ypač vaikams ir paaugliams. </w:t>
      </w:r>
      <w:r w:rsidRPr="00296C5A">
        <w:rPr>
          <w:rFonts w:ascii="Times New Roman" w:eastAsia="Calibri" w:hAnsi="Times New Roman" w:cs="Times New Roman"/>
          <w:b/>
          <w:lang w:eastAsia="lt-LT"/>
        </w:rPr>
        <w:t xml:space="preserve">Norėdami išvengti bet kokios kaulų ir raumenų ligos pablogėjimo, </w:t>
      </w:r>
      <w:r w:rsidRPr="00296C5A">
        <w:rPr>
          <w:rFonts w:ascii="Times New Roman" w:eastAsia="Calibri" w:hAnsi="Times New Roman" w:cs="Times New Roman"/>
          <w:lang w:eastAsia="lt-LT"/>
        </w:rPr>
        <w:t>gydymo Roaccutane metu sumažinkite intensyvų fizinį aktyvumą</w:t>
      </w:r>
      <w:r w:rsidRPr="00296C5A">
        <w:rPr>
          <w:rFonts w:ascii="Times New Roman" w:eastAsia="Calibri" w:hAnsi="Times New Roman" w:cs="Times New Roman"/>
          <w:b/>
          <w:lang w:eastAsia="lt-LT"/>
        </w:rPr>
        <w:t>.</w:t>
      </w:r>
    </w:p>
    <w:p w14:paraId="65C04410"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Akių junginės uždegimas (konjunktyvitas) ir vokų uždegimas. Jaučiamas akių džiūvimas ir sudirginimas. Paprašykite vaistininko tinkamų akių lašų. Jeigu jaučiate, kad džiūsta akys ir nešiojate glaustinius lęšius, juos gali tekti keisti akiniais.</w:t>
      </w:r>
    </w:p>
    <w:p w14:paraId="1C0004BD"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Padidėjęs kepenų fermentų k</w:t>
      </w:r>
      <w:proofErr w:type="spellStart"/>
      <w:r w:rsidRPr="00296C5A">
        <w:rPr>
          <w:rFonts w:ascii="Times New Roman" w:eastAsia="Calibri" w:hAnsi="Times New Roman" w:cs="Times New Roman"/>
          <w:lang w:val="en-US" w:eastAsia="lt-LT"/>
        </w:rPr>
        <w:t>iekis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nustatomas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tiriant</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kraują</w:t>
      </w:r>
      <w:proofErr w:type="spellEnd"/>
      <w:r w:rsidRPr="00296C5A">
        <w:rPr>
          <w:rFonts w:ascii="Times New Roman" w:eastAsia="Calibri" w:hAnsi="Times New Roman" w:cs="Times New Roman"/>
          <w:lang w:val="en-US" w:eastAsia="lt-LT"/>
        </w:rPr>
        <w:t>.</w:t>
      </w:r>
    </w:p>
    <w:p w14:paraId="47C298DB"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Pakitusi riebalų (įskaitant DTL ar trigli</w:t>
      </w:r>
      <w:r w:rsidRPr="004E403C">
        <w:rPr>
          <w:rFonts w:ascii="Times New Roman" w:hAnsi="Times New Roman"/>
        </w:rPr>
        <w:t>ceridų) koncentracija kraujyje.</w:t>
      </w:r>
    </w:p>
    <w:p w14:paraId="0F6EED5E"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Kraujosruvos, kraujavimas ar greitesnis kraujo krešėjimas - jeigu paveikiami krešėjime dalyvaujantys kraujo kūneliai.</w:t>
      </w:r>
    </w:p>
    <w:p w14:paraId="2D94E087"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Mažakraujystė – silpnumas, galvos sukimasis, blyški oda – jeigu paveikiami raudonieji kraujo kūneliai.</w:t>
      </w:r>
    </w:p>
    <w:p w14:paraId="4376696B" w14:textId="77777777" w:rsidR="007E07AA" w:rsidRPr="00296C5A" w:rsidRDefault="007E07AA" w:rsidP="007E07AA">
      <w:pPr>
        <w:spacing w:after="0" w:line="240" w:lineRule="auto"/>
        <w:rPr>
          <w:rFonts w:ascii="Times New Roman" w:eastAsia="Calibri" w:hAnsi="Times New Roman" w:cs="Times New Roman"/>
          <w:lang w:eastAsia="lt-LT"/>
        </w:rPr>
      </w:pPr>
    </w:p>
    <w:p w14:paraId="30B70790"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mažiau negu 1 iš 10 žmonių)</w:t>
      </w:r>
    </w:p>
    <w:p w14:paraId="78A9E30B"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Galvos skausmas.</w:t>
      </w:r>
    </w:p>
    <w:p w14:paraId="287824FE"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Padidėjusi cholesterolio koncentracija kraujyje.</w:t>
      </w:r>
    </w:p>
    <w:p w14:paraId="242FF1D4"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Baltymas arba kraujas šlapime.</w:t>
      </w:r>
    </w:p>
    <w:p w14:paraId="5E5D056A"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Sumažėjęs organizmo atsparumas infekcijoms – jeigu pažeisti baltieji kraujo kūneliai.</w:t>
      </w:r>
    </w:p>
    <w:p w14:paraId="31A5A493"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Džiūsta ir apsitraukia plutele nosies gleivinė, dėl to atsiranda silpnas kraujavimas iš nosies.</w:t>
      </w:r>
    </w:p>
    <w:p w14:paraId="3AA778EA"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Ryklės ir nosies uždegimas.</w:t>
      </w:r>
    </w:p>
    <w:p w14:paraId="45D676DC"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Alerginės reakcijos, tokios kaip išbėrimas ar niežulys. Jeigu Jums pasireiškia alerginė reakcija, nustokite vartoję Roaccutane ir kreipkitės į gydytoją.</w:t>
      </w:r>
    </w:p>
    <w:p w14:paraId="4F9AA532"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7AC04FBE"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negu 1 iš 1000 žmonių)</w:t>
      </w:r>
    </w:p>
    <w:p w14:paraId="3EC03165" w14:textId="77777777" w:rsidR="007E07AA" w:rsidRPr="00296C5A" w:rsidRDefault="007E07AA" w:rsidP="007E07AA">
      <w:pPr>
        <w:numPr>
          <w:ilvl w:val="0"/>
          <w:numId w:val="17"/>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Plaukų slinkimas (alopecija). Jis paprastai būna tik trumpalaikis. Pabaigus gydyti plaukai vėl atauga.</w:t>
      </w:r>
    </w:p>
    <w:p w14:paraId="6E33D5D1" w14:textId="77777777" w:rsidR="007E07AA" w:rsidRPr="00296C5A" w:rsidRDefault="007E07AA" w:rsidP="007E07AA">
      <w:pPr>
        <w:spacing w:after="0" w:line="240" w:lineRule="auto"/>
        <w:rPr>
          <w:rFonts w:ascii="Times New Roman" w:eastAsia="Calibri" w:hAnsi="Times New Roman" w:cs="Times New Roman"/>
          <w:lang w:eastAsia="lt-LT"/>
        </w:rPr>
      </w:pPr>
    </w:p>
    <w:p w14:paraId="559EA2DE"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41DB06E0" w14:textId="77777777" w:rsidR="007E07AA" w:rsidRPr="00296C5A" w:rsidRDefault="007E07AA" w:rsidP="007E07AA">
      <w:pPr>
        <w:numPr>
          <w:ilvl w:val="0"/>
          <w:numId w:val="19"/>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susilpnėti matymas naktį, pablogėti arba išvis išnykti spalvų matymas.</w:t>
      </w:r>
    </w:p>
    <w:p w14:paraId="0AA38C4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padidėti jautrumas šviesai, todėl gali prireikti nešioti saulės akinius, kad apsaugotumėte akis nuo pernelyg stiprios saulės šviesos.</w:t>
      </w:r>
    </w:p>
    <w:p w14:paraId="3F485B07"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Kitos regėjimo problemos, tokios kaip miglotas matymas, iškraipytas matymas, susidrumstęs akies paviršius (ragenos drumstys, katarakta).</w:t>
      </w:r>
    </w:p>
    <w:p w14:paraId="55D8E4F9"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Pernelyg stiprus troškulys; dažnas šlapinimasis; kraujo tyrimai rodo padidėjusią cukraus koncentraciją. Šie visi požymiai gali rodyti cukrinį diabetą.</w:t>
      </w:r>
    </w:p>
    <w:p w14:paraId="7CD4FE98"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Pirmosiomis keliomis gydymo savaitėmis spuogai gali pablogėti, tęsiant gydymą simptomai turėtų palengvėti.</w:t>
      </w:r>
    </w:p>
    <w:p w14:paraId="1237FAC4"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Odos, ypač veido</w:t>
      </w:r>
      <w:r w:rsidRPr="004E403C">
        <w:rPr>
          <w:rFonts w:ascii="Times New Roman" w:hAnsi="Times New Roman"/>
        </w:rPr>
        <w:t>,</w:t>
      </w:r>
      <w:r w:rsidRPr="00296C5A">
        <w:rPr>
          <w:rFonts w:ascii="Times New Roman" w:eastAsia="Calibri" w:hAnsi="Times New Roman" w:cs="Times New Roman"/>
          <w:lang w:eastAsia="lt-LT"/>
        </w:rPr>
        <w:t xml:space="preserve"> uždegimas, patinimas</w:t>
      </w:r>
      <w:r w:rsidRPr="004E403C">
        <w:rPr>
          <w:rFonts w:ascii="Times New Roman" w:hAnsi="Times New Roman"/>
        </w:rPr>
        <w:t>, ji tampa tamsesnė negu įprastai.</w:t>
      </w:r>
    </w:p>
    <w:p w14:paraId="089BFA43"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prakaitavimas ar niežėjimas.</w:t>
      </w:r>
    </w:p>
    <w:p w14:paraId="62DC93A3"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Artritas (sąnarių uždegimas), kaulų pokyčiai (uždelstas augimas, labai greitas augimas ir kaulų mineralų tankio pokyčiai), kaulai gali sustoti augę.</w:t>
      </w:r>
    </w:p>
    <w:p w14:paraId="4318B00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Kalcio san</w:t>
      </w:r>
      <w:r w:rsidRPr="004E403C">
        <w:rPr>
          <w:rFonts w:ascii="Times New Roman" w:hAnsi="Times New Roman"/>
        </w:rPr>
        <w:t xml:space="preserve">kaupos minkštuosiuose audiniuose, sausgyslių skausmingumas.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energingai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mankštinatės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kraujyje</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padaugėti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raumenų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irimo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produktų</w:t>
      </w:r>
      <w:proofErr w:type="spellEnd"/>
      <w:r w:rsidRPr="00296C5A">
        <w:rPr>
          <w:rFonts w:ascii="Times New Roman" w:eastAsia="Calibri" w:hAnsi="Times New Roman" w:cs="Times New Roman"/>
          <w:lang w:val="en-US" w:eastAsia="lt-LT"/>
        </w:rPr>
        <w:t>.</w:t>
      </w:r>
    </w:p>
    <w:p w14:paraId="2524DD66"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jautrumas šviesai.</w:t>
      </w:r>
    </w:p>
    <w:p w14:paraId="124E4D07"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 infekcija apie nago guolį, nagų pokyčiai.</w:t>
      </w:r>
    </w:p>
    <w:p w14:paraId="60EDB725"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Patinimai, išskyro</w:t>
      </w:r>
      <w:r w:rsidRPr="00296C5A">
        <w:rPr>
          <w:rFonts w:ascii="Times New Roman" w:eastAsia="Calibri" w:hAnsi="Times New Roman" w:cs="Times New Roman"/>
          <w:lang w:val="en-US" w:eastAsia="lt-LT"/>
        </w:rPr>
        <w:t xml:space="preserve">s, </w:t>
      </w:r>
      <w:proofErr w:type="spellStart"/>
      <w:r w:rsidRPr="00296C5A">
        <w:rPr>
          <w:rFonts w:ascii="Times New Roman" w:eastAsia="Calibri" w:hAnsi="Times New Roman" w:cs="Times New Roman"/>
          <w:lang w:val="en-US" w:eastAsia="lt-LT"/>
        </w:rPr>
        <w:t>pūlių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skyrimasis</w:t>
      </w:r>
      <w:proofErr w:type="spellEnd"/>
      <w:r w:rsidRPr="00296C5A">
        <w:rPr>
          <w:rFonts w:ascii="Times New Roman" w:eastAsia="Calibri" w:hAnsi="Times New Roman" w:cs="Times New Roman"/>
          <w:lang w:val="en-US" w:eastAsia="lt-LT"/>
        </w:rPr>
        <w:t>.</w:t>
      </w:r>
    </w:p>
    <w:p w14:paraId="1A97E9B9"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Pooperacinių randų sustorėjimas.</w:t>
      </w:r>
    </w:p>
    <w:p w14:paraId="50EE2B88"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kūno plaukuotumas.</w:t>
      </w:r>
    </w:p>
    <w:p w14:paraId="5C08EBA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Traukuliai, mieguistumas, svaigulys.</w:t>
      </w:r>
    </w:p>
    <w:p w14:paraId="5D44568E"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patinti limfmazgiai.</w:t>
      </w:r>
    </w:p>
    <w:p w14:paraId="21B961FA"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Ryklės džiūvimas, užkimimas.</w:t>
      </w:r>
    </w:p>
    <w:p w14:paraId="5FF065DF"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Susilpnėjusi klausa.</w:t>
      </w:r>
    </w:p>
    <w:p w14:paraId="248102BE"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Bendra bloga savijauta.</w:t>
      </w:r>
    </w:p>
    <w:p w14:paraId="0452E7A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Didelė šlapimo rūgšties koncentracija kraujyje.</w:t>
      </w:r>
    </w:p>
    <w:p w14:paraId="7B8CAC3B"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Bakterinės infekcijos.</w:t>
      </w:r>
    </w:p>
    <w:p w14:paraId="5EB83BBB"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Kraujagyslių uždegimas (kartais lydimas kraujosruvų, raudonų dėmių).</w:t>
      </w:r>
    </w:p>
    <w:p w14:paraId="5CD86F24" w14:textId="77777777" w:rsidR="007E07AA" w:rsidRPr="00296C5A" w:rsidRDefault="007E07AA" w:rsidP="007E07AA">
      <w:pPr>
        <w:spacing w:after="0" w:line="240" w:lineRule="auto"/>
        <w:rPr>
          <w:rFonts w:ascii="Times New Roman" w:eastAsia="Calibri" w:hAnsi="Times New Roman" w:cs="Times New Roman"/>
          <w:lang w:eastAsia="lt-LT"/>
        </w:rPr>
      </w:pPr>
    </w:p>
    <w:p w14:paraId="762C9BBB"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4E403C">
        <w:rPr>
          <w:rFonts w:ascii="Times New Roman" w:hAnsi="Times New Roman"/>
          <w:b/>
          <w:lang w:val="fr-CA"/>
        </w:rPr>
        <w:t xml:space="preserve"> </w:t>
      </w:r>
      <w:r w:rsidRPr="00296C5A">
        <w:rPr>
          <w:rFonts w:ascii="Times New Roman" w:eastAsia="Calibri" w:hAnsi="Times New Roman" w:cs="Times New Roman"/>
          <w:lang w:eastAsia="lt-LT"/>
        </w:rPr>
        <w:t>(</w:t>
      </w:r>
      <w:r w:rsidRPr="00296C5A">
        <w:rPr>
          <w:rFonts w:ascii="Times New Roman" w:eastAsia="Calibri" w:hAnsi="Times New Roman" w:cs="Times New Roman"/>
          <w:i/>
          <w:lang w:eastAsia="lt-LT"/>
        </w:rPr>
        <w:t xml:space="preserve">negali būti apskaičiuotas pagal turimus </w:t>
      </w:r>
      <w:r w:rsidRPr="004E403C">
        <w:rPr>
          <w:rFonts w:ascii="Times New Roman" w:hAnsi="Times New Roman"/>
          <w:i/>
          <w:lang w:val="fr-CA"/>
        </w:rPr>
        <w:t>duomenis</w:t>
      </w:r>
      <w:r w:rsidRPr="004E403C">
        <w:rPr>
          <w:rFonts w:ascii="Times New Roman" w:hAnsi="Times New Roman"/>
          <w:lang w:val="fr-CA"/>
        </w:rPr>
        <w:t>)</w:t>
      </w:r>
    </w:p>
    <w:p w14:paraId="285F451A" w14:textId="77777777" w:rsidR="007E07AA" w:rsidRPr="00296C5A" w:rsidRDefault="007E07AA" w:rsidP="007E07AA">
      <w:pPr>
        <w:numPr>
          <w:ilvl w:val="0"/>
          <w:numId w:val="21"/>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Tamsus ar kolos spalvos šlapimas.</w:t>
      </w:r>
    </w:p>
    <w:p w14:paraId="69EACD23" w14:textId="77777777" w:rsidR="007E07AA" w:rsidRPr="00296C5A" w:rsidRDefault="007E07AA" w:rsidP="007E07AA">
      <w:pPr>
        <w:numPr>
          <w:ilvl w:val="0"/>
          <w:numId w:val="21"/>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Sunku sukelti ar išlaikyti erekciją.</w:t>
      </w:r>
    </w:p>
    <w:p w14:paraId="6FCC979F" w14:textId="77777777" w:rsidR="007E07AA" w:rsidRPr="00296C5A" w:rsidRDefault="007E07AA" w:rsidP="007E07AA">
      <w:pPr>
        <w:numPr>
          <w:ilvl w:val="0"/>
          <w:numId w:val="21"/>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rPr>
        <w:t>Lytinio potraukio sumažėjimas.</w:t>
      </w:r>
    </w:p>
    <w:p w14:paraId="16E19BC9" w14:textId="77777777" w:rsidR="007E07AA" w:rsidRDefault="007E07AA" w:rsidP="007E07AA">
      <w:pPr>
        <w:numPr>
          <w:ilvl w:val="0"/>
          <w:numId w:val="21"/>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bidi="lt-LT"/>
        </w:rPr>
        <w:t>Vyro krūtų pabrinkimas su jautrumu arba be jo</w:t>
      </w:r>
      <w:r>
        <w:rPr>
          <w:rFonts w:ascii="Times New Roman" w:eastAsia="Calibri" w:hAnsi="Times New Roman" w:cs="Times New Roman"/>
          <w:lang w:eastAsia="lt-LT" w:bidi="lt-LT"/>
        </w:rPr>
        <w:t>.</w:t>
      </w:r>
    </w:p>
    <w:p w14:paraId="46C59495" w14:textId="2AE25E6A" w:rsidR="00E30F71" w:rsidRDefault="007E07AA" w:rsidP="007E07AA">
      <w:pPr>
        <w:numPr>
          <w:ilvl w:val="0"/>
          <w:numId w:val="21"/>
        </w:numPr>
        <w:spacing w:after="200" w:line="276" w:lineRule="auto"/>
        <w:ind w:left="1134" w:hanging="567"/>
        <w:contextualSpacing/>
        <w:rPr>
          <w:rFonts w:ascii="Times New Roman" w:hAnsi="Times New Roman"/>
        </w:rPr>
      </w:pPr>
      <w:r>
        <w:rPr>
          <w:rFonts w:ascii="Times New Roman" w:hAnsi="Times New Roman"/>
          <w:lang w:bidi="lt-LT"/>
        </w:rPr>
        <w:t>Makšties sausmė</w:t>
      </w:r>
      <w:r w:rsidR="00E30F71">
        <w:rPr>
          <w:rFonts w:ascii="Times New Roman" w:hAnsi="Times New Roman"/>
          <w:lang w:bidi="lt-LT"/>
        </w:rPr>
        <w:t>.</w:t>
      </w:r>
    </w:p>
    <w:p w14:paraId="232D1DAF" w14:textId="07567E82" w:rsidR="00E30F71" w:rsidRDefault="00E30F71" w:rsidP="00E30F71">
      <w:pPr>
        <w:numPr>
          <w:ilvl w:val="0"/>
          <w:numId w:val="21"/>
        </w:numPr>
        <w:spacing w:after="200" w:line="276" w:lineRule="auto"/>
        <w:contextualSpacing/>
        <w:rPr>
          <w:rFonts w:ascii="Times New Roman" w:hAnsi="Times New Roman"/>
        </w:rPr>
      </w:pPr>
      <w:r>
        <w:rPr>
          <w:rFonts w:ascii="Times New Roman" w:hAnsi="Times New Roman"/>
          <w:lang w:bidi="lt-LT"/>
        </w:rPr>
        <w:lastRenderedPageBreak/>
        <w:t xml:space="preserve">    </w:t>
      </w:r>
      <w:r w:rsidRPr="00E30F71">
        <w:rPr>
          <w:rFonts w:ascii="Times New Roman" w:hAnsi="Times New Roman"/>
          <w:lang w:bidi="lt-LT"/>
        </w:rPr>
        <w:t xml:space="preserve">Sakroilitas, uždegiminis nugaros skausmas, sukeliantis sėdmenų ar apatinės nugaros </w:t>
      </w:r>
      <w:r w:rsidR="00392E9C">
        <w:rPr>
          <w:rFonts w:ascii="Times New Roman" w:hAnsi="Times New Roman"/>
          <w:lang w:bidi="lt-LT"/>
        </w:rPr>
        <w:t xml:space="preserve">    </w:t>
      </w:r>
      <w:r w:rsidRPr="00E30F71">
        <w:rPr>
          <w:rFonts w:ascii="Times New Roman" w:hAnsi="Times New Roman"/>
          <w:lang w:bidi="lt-LT"/>
        </w:rPr>
        <w:t xml:space="preserve">dalies </w:t>
      </w:r>
      <w:r>
        <w:rPr>
          <w:rFonts w:ascii="Times New Roman" w:hAnsi="Times New Roman"/>
          <w:lang w:bidi="lt-LT"/>
        </w:rPr>
        <w:t xml:space="preserve">  </w:t>
      </w:r>
      <w:r w:rsidRPr="00E30F71">
        <w:rPr>
          <w:rFonts w:ascii="Times New Roman" w:hAnsi="Times New Roman"/>
          <w:lang w:bidi="lt-LT"/>
        </w:rPr>
        <w:t>skausmą</w:t>
      </w:r>
      <w:r>
        <w:rPr>
          <w:rFonts w:ascii="Times New Roman" w:hAnsi="Times New Roman"/>
          <w:lang w:bidi="lt-LT"/>
        </w:rPr>
        <w:t>.</w:t>
      </w:r>
    </w:p>
    <w:p w14:paraId="68222C95" w14:textId="7C5AEA87" w:rsidR="007E07AA" w:rsidRPr="00227F1A" w:rsidRDefault="00392E9C" w:rsidP="00E30F71">
      <w:pPr>
        <w:numPr>
          <w:ilvl w:val="0"/>
          <w:numId w:val="21"/>
        </w:numPr>
        <w:spacing w:after="200" w:line="276" w:lineRule="auto"/>
        <w:contextualSpacing/>
        <w:rPr>
          <w:rFonts w:ascii="Times New Roman" w:hAnsi="Times New Roman"/>
        </w:rPr>
      </w:pPr>
      <w:r>
        <w:rPr>
          <w:rFonts w:ascii="Times New Roman" w:hAnsi="Times New Roman"/>
          <w:lang w:bidi="lt-LT"/>
        </w:rPr>
        <w:t xml:space="preserve"> </w:t>
      </w:r>
      <w:r w:rsidR="00E30F71">
        <w:rPr>
          <w:rFonts w:ascii="Times New Roman" w:hAnsi="Times New Roman"/>
          <w:lang w:bidi="lt-LT"/>
        </w:rPr>
        <w:t>Šlaplės uždegimas.</w:t>
      </w:r>
    </w:p>
    <w:p w14:paraId="021543AC" w14:textId="77777777" w:rsidR="007E07AA" w:rsidRPr="00296C5A" w:rsidRDefault="007E07AA" w:rsidP="0031793E">
      <w:pPr>
        <w:spacing w:after="200" w:line="276" w:lineRule="auto"/>
        <w:ind w:left="1134"/>
        <w:contextualSpacing/>
        <w:rPr>
          <w:rFonts w:ascii="Times New Roman" w:eastAsia="Calibri" w:hAnsi="Times New Roman" w:cs="Times New Roman"/>
          <w:lang w:eastAsia="lt-LT"/>
        </w:rPr>
      </w:pPr>
    </w:p>
    <w:p w14:paraId="04D1D469" w14:textId="77777777" w:rsidR="007E07AA" w:rsidRPr="00296C5A" w:rsidRDefault="007E07AA" w:rsidP="007E07AA">
      <w:pPr>
        <w:spacing w:after="0" w:line="240" w:lineRule="auto"/>
        <w:rPr>
          <w:rFonts w:ascii="Times New Roman" w:eastAsia="Calibri" w:hAnsi="Times New Roman" w:cs="Times New Roman"/>
          <w:lang w:eastAsia="lt-LT"/>
        </w:rPr>
      </w:pPr>
    </w:p>
    <w:p w14:paraId="00CE7919" w14:textId="77777777" w:rsidR="007E07AA" w:rsidRPr="00296C5A" w:rsidRDefault="007E07AA" w:rsidP="007E07AA">
      <w:pPr>
        <w:keepNext/>
        <w:tabs>
          <w:tab w:val="left" w:pos="567"/>
        </w:tabs>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Pranešimas apie šalutinį poveikį</w:t>
      </w:r>
    </w:p>
    <w:p w14:paraId="3771060C" w14:textId="0CA717AE" w:rsidR="007E07AA" w:rsidRPr="00296C5A" w:rsidRDefault="007E07AA" w:rsidP="007E07AA">
      <w:pPr>
        <w:numPr>
          <w:ilvl w:val="12"/>
          <w:numId w:val="0"/>
        </w:numPr>
        <w:spacing w:after="0" w:line="240" w:lineRule="auto"/>
        <w:ind w:right="-2"/>
        <w:rPr>
          <w:rFonts w:ascii="Times New Roman" w:eastAsia="Calibri" w:hAnsi="Times New Roman" w:cs="Times New Roman"/>
          <w:b/>
          <w:caps/>
          <w:lang w:eastAsia="lt-LT"/>
        </w:rPr>
      </w:pPr>
      <w:r w:rsidRPr="00296C5A">
        <w:rPr>
          <w:rFonts w:ascii="Times New Roman" w:eastAsia="Calibri" w:hAnsi="Times New Roman" w:cs="Times New Roman"/>
          <w:lang w:eastAsia="lt-LT"/>
        </w:rPr>
        <w:t xml:space="preserve">Jeigu pasireiškė šalutinis poveikis, įskaitant šiame lapelyje nenurodytą, pasakykite gydytojui arba vaistininkui. </w:t>
      </w:r>
      <w:r w:rsidR="007E33B2" w:rsidRPr="00F12599">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7E33B2" w:rsidRPr="00F12599">
        <w:rPr>
          <w:rFonts w:ascii="Times New Roman" w:eastAsia="Times New Roman" w:hAnsi="Times New Roman" w:cs="Times New Roman"/>
          <w:color w:val="0000EE"/>
          <w:u w:val="single"/>
          <w:lang w:eastAsia="lt-LT"/>
        </w:rPr>
        <w:t>https://vvkt.lrv.lt/lt/</w:t>
      </w:r>
      <w:r w:rsidR="007E33B2" w:rsidRPr="00F12599">
        <w:rPr>
          <w:rFonts w:ascii="Times New Roman" w:eastAsia="Times New Roman" w:hAnsi="Times New Roman" w:cs="Times New Roman"/>
          <w:lang w:eastAsia="lt-LT"/>
        </w:rPr>
        <w:t xml:space="preserve"> nurodytais būdais arba paskambinti nemokamu telefonu </w:t>
      </w:r>
      <w:r w:rsidR="007E33B2">
        <w:rPr>
          <w:rFonts w:ascii="Times New Roman" w:eastAsia="Times New Roman" w:hAnsi="Times New Roman" w:cs="Times New Roman"/>
          <w:lang w:eastAsia="lt-LT"/>
        </w:rPr>
        <w:t>+370</w:t>
      </w:r>
      <w:r w:rsidR="007E33B2" w:rsidRPr="00F12599">
        <w:rPr>
          <w:rFonts w:ascii="Times New Roman" w:eastAsia="Times New Roman" w:hAnsi="Times New Roman" w:cs="Times New Roman"/>
          <w:lang w:eastAsia="lt-LT"/>
        </w:rPr>
        <w:t xml:space="preserve"> 800 73 568. Pranešdami apie šalutinį poveikį galite mums padėti gauti daugiau informacijos apie šio vaisto saugumą</w:t>
      </w:r>
      <w:r w:rsidR="007E33B2" w:rsidRPr="00F12599">
        <w:rPr>
          <w:rFonts w:ascii="Times New Roman" w:eastAsia="Times New Roman" w:hAnsi="Times New Roman" w:cs="Times New Roman"/>
          <w:szCs w:val="20"/>
        </w:rPr>
        <w:t>.</w:t>
      </w:r>
    </w:p>
    <w:p w14:paraId="0601CF36"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p>
    <w:p w14:paraId="0E76F6D4"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caps/>
          <w:lang w:eastAsia="lt-LT"/>
        </w:rPr>
        <w:t>5</w:t>
      </w:r>
      <w:r w:rsidRPr="00296C5A">
        <w:rPr>
          <w:rFonts w:ascii="Times New Roman" w:eastAsia="Calibri" w:hAnsi="Times New Roman" w:cs="Times New Roman"/>
          <w:b/>
          <w:lang w:eastAsia="lt-LT"/>
        </w:rPr>
        <w:t>.</w:t>
      </w:r>
      <w:r w:rsidRPr="00296C5A">
        <w:rPr>
          <w:rFonts w:ascii="Times New Roman" w:eastAsia="Calibri" w:hAnsi="Times New Roman" w:cs="Times New Roman"/>
          <w:b/>
          <w:lang w:eastAsia="lt-LT"/>
        </w:rPr>
        <w:tab/>
        <w:t>Kaip laikyti Roaccutane</w:t>
      </w:r>
    </w:p>
    <w:p w14:paraId="04E7DCF0"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4E13A653"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Šį vaistą laikykite vaikams nepastebimoje ir nepasiekiamoje vietoje.</w:t>
      </w:r>
    </w:p>
    <w:p w14:paraId="62E08E66" w14:textId="77777777" w:rsidR="007E07AA" w:rsidRPr="00296C5A" w:rsidRDefault="007E07AA" w:rsidP="007E07AA">
      <w:pPr>
        <w:spacing w:after="0" w:line="240" w:lineRule="auto"/>
        <w:ind w:left="567" w:hanging="567"/>
        <w:rPr>
          <w:rFonts w:ascii="Times New Roman" w:eastAsia="Calibri" w:hAnsi="Times New Roman" w:cs="Times New Roman"/>
          <w:u w:val="single"/>
          <w:lang w:eastAsia="lt-LT"/>
        </w:rPr>
      </w:pPr>
    </w:p>
    <w:p w14:paraId="5BC3CD7F"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Ant dėžutės ir lizdinės plokštelės po Tinka iki nurodytam tinkamumo laikui pasibaigus, šio vaisto vartoti negalima. Vaistas tinkamas vartoti iki paskutinės nurodyto mėnesio dienos.</w:t>
      </w:r>
    </w:p>
    <w:p w14:paraId="01AF774E" w14:textId="77777777" w:rsidR="007E07AA" w:rsidRPr="00296C5A" w:rsidRDefault="007E07AA" w:rsidP="007E07AA">
      <w:pPr>
        <w:spacing w:after="0" w:line="240" w:lineRule="auto"/>
        <w:rPr>
          <w:rFonts w:ascii="Times New Roman" w:eastAsia="Calibri" w:hAnsi="Times New Roman" w:cs="Times New Roman"/>
          <w:u w:val="single"/>
          <w:lang w:eastAsia="lt-LT"/>
        </w:rPr>
      </w:pPr>
    </w:p>
    <w:p w14:paraId="4380899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Laikykite ne aukštesnėje kaip 25 </w:t>
      </w:r>
      <w:r w:rsidRPr="00296C5A">
        <w:rPr>
          <w:rFonts w:ascii="Times New Roman" w:eastAsia="Calibri" w:hAnsi="Times New Roman" w:cs="Times New Roman"/>
          <w:lang w:eastAsia="lt-LT"/>
        </w:rPr>
        <w:sym w:font="Symbol" w:char="00B0"/>
      </w:r>
      <w:r w:rsidRPr="00296C5A">
        <w:rPr>
          <w:rFonts w:ascii="Times New Roman" w:eastAsia="Calibri" w:hAnsi="Times New Roman" w:cs="Times New Roman"/>
          <w:lang w:eastAsia="lt-LT"/>
        </w:rPr>
        <w:t>C temperatūroje.</w:t>
      </w:r>
    </w:p>
    <w:p w14:paraId="352BE7D6" w14:textId="77777777" w:rsidR="007E07AA" w:rsidRPr="00296C5A" w:rsidRDefault="007E07AA" w:rsidP="007E07AA">
      <w:pPr>
        <w:spacing w:after="0" w:line="240" w:lineRule="auto"/>
        <w:rPr>
          <w:rFonts w:ascii="Times New Roman" w:eastAsia="Calibri" w:hAnsi="Times New Roman" w:cs="Times New Roman"/>
          <w:lang w:eastAsia="lt-LT"/>
        </w:rPr>
      </w:pPr>
    </w:p>
    <w:p w14:paraId="7069D621"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Laikykite gamintojo pakuotėje. Lizdines plokšteles laikykite išorinėje dėžutėje, kad vaistas būtų apsaugotas nuo drėgmės ir šviesos.</w:t>
      </w:r>
    </w:p>
    <w:p w14:paraId="2748A494" w14:textId="77777777" w:rsidR="007E07AA" w:rsidRPr="00296C5A" w:rsidRDefault="007E07AA" w:rsidP="007E07AA">
      <w:pPr>
        <w:spacing w:after="0" w:line="240" w:lineRule="auto"/>
        <w:rPr>
          <w:rFonts w:ascii="Times New Roman" w:eastAsia="Calibri" w:hAnsi="Times New Roman" w:cs="Times New Roman"/>
          <w:lang w:eastAsia="lt-LT"/>
        </w:rPr>
      </w:pPr>
    </w:p>
    <w:p w14:paraId="28DE8D85"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Neišgertas kapsules grąžinkite vaistininkui</w:t>
      </w:r>
      <w:r w:rsidRPr="00296C5A">
        <w:rPr>
          <w:rFonts w:ascii="Times New Roman" w:eastAsia="Calibri" w:hAnsi="Times New Roman" w:cs="Times New Roman"/>
          <w:lang w:eastAsia="lt-LT"/>
        </w:rPr>
        <w:t>, nebent gydytojas nurod</w:t>
      </w:r>
      <w:r w:rsidRPr="004E403C">
        <w:rPr>
          <w:rFonts w:ascii="Times New Roman" w:hAnsi="Times New Roman"/>
        </w:rPr>
        <w:t>ytų jas pasilikti.</w:t>
      </w:r>
    </w:p>
    <w:p w14:paraId="7CE7F34A" w14:textId="77777777" w:rsidR="007E07AA" w:rsidRPr="00296C5A" w:rsidRDefault="007E07AA" w:rsidP="007E07AA">
      <w:pPr>
        <w:tabs>
          <w:tab w:val="left" w:pos="567"/>
        </w:tabs>
        <w:spacing w:after="0" w:line="240" w:lineRule="auto"/>
        <w:outlineLvl w:val="0"/>
        <w:rPr>
          <w:rFonts w:ascii="Times New Roman" w:eastAsia="Calibri" w:hAnsi="Times New Roman" w:cs="Times New Roman"/>
          <w:sz w:val="24"/>
          <w:lang w:eastAsia="lt-LT"/>
        </w:rPr>
      </w:pPr>
    </w:p>
    <w:p w14:paraId="696D6520"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r w:rsidRPr="00296C5A">
        <w:rPr>
          <w:rFonts w:ascii="Times New Roman" w:eastAsia="Calibri" w:hAnsi="Times New Roman" w:cs="Times New Roman"/>
          <w:sz w:val="24"/>
          <w:lang w:eastAsia="lt-LT"/>
        </w:rPr>
        <w:t>.</w:t>
      </w:r>
    </w:p>
    <w:p w14:paraId="24CD7796"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p>
    <w:p w14:paraId="79716BBD"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p>
    <w:p w14:paraId="0F3F1EFC"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6.</w:t>
      </w:r>
      <w:r w:rsidRPr="00296C5A">
        <w:rPr>
          <w:rFonts w:ascii="Times New Roman" w:eastAsia="Calibri" w:hAnsi="Times New Roman" w:cs="Times New Roman"/>
          <w:b/>
          <w:lang w:eastAsia="lt-LT"/>
        </w:rPr>
        <w:tab/>
        <w:t xml:space="preserve">Pakuotės turinys ir </w:t>
      </w:r>
      <w:proofErr w:type="spellStart"/>
      <w:r w:rsidRPr="00296C5A">
        <w:rPr>
          <w:rFonts w:ascii="Times New Roman" w:eastAsia="Calibri" w:hAnsi="Times New Roman" w:cs="Times New Roman"/>
          <w:b/>
          <w:lang w:val="en-US" w:eastAsia="lt-LT"/>
        </w:rPr>
        <w:t>kita</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informacija</w:t>
      </w:r>
      <w:proofErr w:type="spellEnd"/>
    </w:p>
    <w:p w14:paraId="03945DA0" w14:textId="77777777" w:rsidR="007E07AA" w:rsidRPr="00296C5A" w:rsidRDefault="007E07AA" w:rsidP="007E07AA">
      <w:pPr>
        <w:spacing w:after="0" w:line="240" w:lineRule="auto"/>
        <w:outlineLvl w:val="0"/>
        <w:rPr>
          <w:rFonts w:ascii="Times New Roman" w:eastAsia="Calibri" w:hAnsi="Times New Roman" w:cs="Times New Roman"/>
          <w:lang w:eastAsia="lt-LT"/>
        </w:rPr>
      </w:pPr>
    </w:p>
    <w:p w14:paraId="6DD87FD0" w14:textId="77777777" w:rsidR="007E07AA" w:rsidRPr="00296C5A" w:rsidRDefault="007E07AA" w:rsidP="007E07AA">
      <w:pPr>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Roaccutane sudėtis</w:t>
      </w:r>
    </w:p>
    <w:p w14:paraId="25AC53B6" w14:textId="77777777" w:rsidR="007E07AA" w:rsidRPr="00296C5A" w:rsidRDefault="007E07AA" w:rsidP="007E07AA">
      <w:pPr>
        <w:numPr>
          <w:ilvl w:val="0"/>
          <w:numId w:val="20"/>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Veiklioji medžiaga yra izotretinoinas. Vienoje kapsulėje yra 10 mg arba 20 mg izotretinoino.</w:t>
      </w:r>
    </w:p>
    <w:p w14:paraId="5F143E6A" w14:textId="5C69A130" w:rsidR="007E07AA" w:rsidRPr="00296C5A" w:rsidRDefault="007E07AA" w:rsidP="007E07AA">
      <w:pPr>
        <w:numPr>
          <w:ilvl w:val="0"/>
          <w:numId w:val="20"/>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Pagalbinės medžiagos: rafinuotas sojų aliejus, hidrintas sojų aliejus, dalinai hidrintas sojų aliejus, geltonasis vaškas, želatina, glicerolis</w:t>
      </w:r>
      <w:r w:rsidR="00E61274">
        <w:rPr>
          <w:rFonts w:ascii="Times New Roman" w:eastAsia="Calibri" w:hAnsi="Times New Roman" w:cs="Times New Roman"/>
          <w:lang w:eastAsia="lt-LT"/>
        </w:rPr>
        <w:t xml:space="preserve"> </w:t>
      </w:r>
      <w:r w:rsidR="00E61274" w:rsidRPr="00D56E35">
        <w:rPr>
          <w:rFonts w:ascii="Times New Roman" w:eastAsia="Calibri" w:hAnsi="Times New Roman" w:cs="Times New Roman"/>
          <w:lang w:eastAsia="lt-LT"/>
        </w:rPr>
        <w:t>85 %</w:t>
      </w:r>
      <w:r w:rsidRPr="00296C5A">
        <w:rPr>
          <w:rFonts w:ascii="Times New Roman" w:eastAsia="Calibri" w:hAnsi="Times New Roman" w:cs="Times New Roman"/>
          <w:lang w:eastAsia="lt-LT"/>
        </w:rPr>
        <w:t xml:space="preserve">, sorbitolis </w:t>
      </w:r>
      <w:r w:rsidR="004609CD">
        <w:rPr>
          <w:rFonts w:ascii="Times New Roman" w:eastAsia="Calibri" w:hAnsi="Times New Roman" w:cs="Times New Roman"/>
          <w:lang w:eastAsia="lt-LT"/>
        </w:rPr>
        <w:t xml:space="preserve">(E420) </w:t>
      </w:r>
      <w:r w:rsidRPr="00296C5A">
        <w:rPr>
          <w:rFonts w:ascii="Times New Roman" w:eastAsia="Calibri" w:hAnsi="Times New Roman" w:cs="Times New Roman"/>
          <w:lang w:eastAsia="lt-LT"/>
        </w:rPr>
        <w:t>(žr. 2 skyrių), manitolis, hidrintas hidrolizinis krakmolas, titano dioksidas (E 171), raudonasis geležies oksidas (E 172), sausi spaustuviniai dažai (modifikuotas šelakas, juodasis geležies oksidas (E 172) ir propilenglikolis).</w:t>
      </w:r>
    </w:p>
    <w:p w14:paraId="26AB456C" w14:textId="77777777" w:rsidR="007E07AA" w:rsidRPr="00296C5A" w:rsidRDefault="007E07AA" w:rsidP="007E07AA">
      <w:pPr>
        <w:spacing w:after="0" w:line="240" w:lineRule="auto"/>
        <w:outlineLvl w:val="0"/>
        <w:rPr>
          <w:rFonts w:ascii="Times New Roman" w:eastAsia="Calibri" w:hAnsi="Times New Roman" w:cs="Times New Roman"/>
          <w:lang w:eastAsia="lt-LT"/>
        </w:rPr>
      </w:pPr>
    </w:p>
    <w:p w14:paraId="1392FCB4" w14:textId="77777777" w:rsidR="007E07AA" w:rsidRPr="00296C5A" w:rsidRDefault="007E07AA" w:rsidP="007E07AA">
      <w:pPr>
        <w:tabs>
          <w:tab w:val="left" w:pos="567"/>
        </w:tabs>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Roaccutane išvaizda ir kiekis pakuotėje</w:t>
      </w:r>
    </w:p>
    <w:p w14:paraId="08F54F46"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Roaccutane 10 mg minkštoji kapsulė yra ovali, nepermatoma, rudai raudonos spalvos, ant jos užrašyta “ROA 10”.</w:t>
      </w:r>
    </w:p>
    <w:p w14:paraId="3C922A8D" w14:textId="77777777" w:rsidR="000A6DE2" w:rsidRPr="006B58C0" w:rsidRDefault="000A6DE2" w:rsidP="000A6DE2">
      <w:pPr>
        <w:spacing w:after="0" w:line="240" w:lineRule="auto"/>
        <w:rPr>
          <w:rFonts w:ascii="Times New Roman" w:eastAsia="Calibri" w:hAnsi="Times New Roman" w:cs="Times New Roman"/>
          <w:lang w:eastAsia="lt-LT"/>
        </w:rPr>
      </w:pPr>
      <w:r w:rsidRPr="006B58C0">
        <w:rPr>
          <w:rFonts w:ascii="Times New Roman" w:eastAsia="Calibri" w:hAnsi="Times New Roman" w:cs="Times New Roman"/>
          <w:lang w:eastAsia="lt-LT"/>
        </w:rPr>
        <w:t>Roaccutane 20 mg minkšto</w:t>
      </w:r>
      <w:r w:rsidRPr="004E403C">
        <w:rPr>
          <w:rFonts w:ascii="Times New Roman" w:hAnsi="Times New Roman"/>
        </w:rPr>
        <w:t>ji kapsulė yra ovali, nepermatoma, rudai raudonos ir baltos spalvų, ant jos užrašyta “ROA 20”.</w:t>
      </w:r>
    </w:p>
    <w:p w14:paraId="45EEE7A7" w14:textId="77777777" w:rsidR="007E07AA" w:rsidRPr="00296C5A" w:rsidRDefault="007E07AA" w:rsidP="007E07AA">
      <w:pPr>
        <w:spacing w:after="0" w:line="240" w:lineRule="auto"/>
        <w:rPr>
          <w:rFonts w:ascii="Times New Roman" w:eastAsia="Calibri" w:hAnsi="Times New Roman" w:cs="Times New Roman"/>
          <w:lang w:eastAsia="lt-LT"/>
        </w:rPr>
      </w:pPr>
    </w:p>
    <w:p w14:paraId="7939C67C" w14:textId="5FB9B285"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Kapsulės tiekiamos supakuotos į lizdines plokšteles. Kartono dėžutėje yra 30</w:t>
      </w:r>
      <w:r w:rsidRPr="004E403C">
        <w:rPr>
          <w:rFonts w:ascii="Times New Roman" w:hAnsi="Times New Roman"/>
        </w:rPr>
        <w:t> </w:t>
      </w:r>
      <w:r w:rsidRPr="00296C5A">
        <w:rPr>
          <w:rFonts w:ascii="Times New Roman" w:eastAsia="Calibri" w:hAnsi="Times New Roman" w:cs="Times New Roman"/>
          <w:lang w:eastAsia="lt-LT"/>
        </w:rPr>
        <w:t>kapsulių.</w:t>
      </w:r>
    </w:p>
    <w:p w14:paraId="38807490" w14:textId="7202779F" w:rsidR="007E07AA" w:rsidRPr="00296C5A" w:rsidRDefault="007E07AA" w:rsidP="00E25AAE">
      <w:pPr>
        <w:spacing w:after="0" w:line="240" w:lineRule="auto"/>
        <w:rPr>
          <w:rFonts w:ascii="Times New Roman" w:eastAsia="Calibri" w:hAnsi="Times New Roman" w:cs="Times New Roman"/>
          <w:lang w:eastAsia="lt-LT"/>
        </w:rPr>
      </w:pPr>
    </w:p>
    <w:p w14:paraId="527BA76C" w14:textId="77777777" w:rsidR="007E07AA" w:rsidRPr="00296C5A" w:rsidRDefault="007E07AA" w:rsidP="007E07AA">
      <w:pPr>
        <w:spacing w:after="0" w:line="240" w:lineRule="auto"/>
        <w:outlineLvl w:val="0"/>
        <w:rPr>
          <w:rFonts w:ascii="Times New Roman" w:eastAsia="Calibri" w:hAnsi="Times New Roman" w:cs="Times New Roman"/>
          <w:sz w:val="24"/>
          <w:lang w:eastAsia="lt-LT"/>
        </w:rPr>
      </w:pPr>
    </w:p>
    <w:p w14:paraId="6CD2CDFF" w14:textId="77777777" w:rsidR="007E07AA" w:rsidRPr="00296C5A" w:rsidRDefault="007E07AA" w:rsidP="007E07AA">
      <w:pPr>
        <w:keepNext/>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lastRenderedPageBreak/>
        <w:t>Registruotojas ir gamintojas</w:t>
      </w:r>
    </w:p>
    <w:tbl>
      <w:tblPr>
        <w:tblpPr w:leftFromText="180" w:rightFromText="180" w:vertAnchor="text" w:tblpX="129" w:tblpY="241"/>
        <w:tblW w:w="5000" w:type="pct"/>
        <w:tblBorders>
          <w:top w:val="single" w:sz="4" w:space="0" w:color="auto"/>
          <w:left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97"/>
        <w:gridCol w:w="4573"/>
      </w:tblGrid>
      <w:tr w:rsidR="007E07AA" w:rsidRPr="00296C5A" w14:paraId="49CD6892" w14:textId="77777777" w:rsidTr="003C7E78">
        <w:trPr>
          <w:trHeight w:val="1300"/>
        </w:trPr>
        <w:tc>
          <w:tcPr>
            <w:tcW w:w="2479" w:type="pct"/>
            <w:tcBorders>
              <w:top w:val="nil"/>
              <w:left w:val="nil"/>
              <w:bottom w:val="nil"/>
              <w:right w:val="nil"/>
            </w:tcBorders>
          </w:tcPr>
          <w:p w14:paraId="6E35A1D3" w14:textId="77777777" w:rsidR="007E07AA" w:rsidRPr="00296C5A" w:rsidRDefault="007E07AA" w:rsidP="003C7E78">
            <w:pPr>
              <w:spacing w:after="0" w:line="240" w:lineRule="auto"/>
              <w:rPr>
                <w:rFonts w:ascii="Times New Roman" w:eastAsia="Calibri" w:hAnsi="Times New Roman" w:cs="Times New Roman"/>
                <w:i/>
                <w:lang w:eastAsia="lt-LT"/>
              </w:rPr>
            </w:pPr>
            <w:r w:rsidRPr="00296C5A">
              <w:rPr>
                <w:rFonts w:ascii="Times New Roman" w:eastAsia="Calibri" w:hAnsi="Times New Roman" w:cs="Times New Roman"/>
                <w:i/>
                <w:lang w:eastAsia="lt-LT"/>
              </w:rPr>
              <w:t>Registruotojas</w:t>
            </w:r>
          </w:p>
          <w:p w14:paraId="00BEB55D" w14:textId="77777777" w:rsidR="007E33B2" w:rsidRPr="009C4605" w:rsidRDefault="007E33B2" w:rsidP="007E33B2">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CHEPLAPHARM Registration GmbH </w:t>
            </w:r>
          </w:p>
          <w:p w14:paraId="2F4051E8" w14:textId="77777777" w:rsidR="007E33B2" w:rsidRPr="009C4605" w:rsidRDefault="007E33B2" w:rsidP="007E33B2">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Weiler Straße 5</w:t>
            </w:r>
            <w:r>
              <w:rPr>
                <w:rFonts w:ascii="Times New Roman" w:eastAsia="Calibri" w:hAnsi="Times New Roman" w:cs="Times New Roman"/>
                <w:color w:val="000000"/>
                <w:lang w:eastAsia="lt-LT"/>
              </w:rPr>
              <w:t>e</w:t>
            </w:r>
          </w:p>
          <w:p w14:paraId="5192EFB2" w14:textId="77777777" w:rsidR="007E33B2" w:rsidRPr="009C4605" w:rsidRDefault="007E33B2" w:rsidP="007E33B2">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79540 Lörrach</w:t>
            </w:r>
          </w:p>
          <w:p w14:paraId="0D0270C6" w14:textId="77777777" w:rsidR="007E33B2" w:rsidRPr="009C4605" w:rsidRDefault="007E33B2" w:rsidP="007E33B2">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5911761D" w14:textId="10262439" w:rsidR="007E07AA" w:rsidRPr="00296C5A" w:rsidRDefault="007E07AA" w:rsidP="003C7E78">
            <w:pPr>
              <w:spacing w:after="0" w:line="240" w:lineRule="auto"/>
              <w:outlineLvl w:val="0"/>
              <w:rPr>
                <w:rFonts w:ascii="Times New Roman" w:eastAsia="Calibri" w:hAnsi="Times New Roman" w:cs="Times New Roman"/>
                <w:b/>
                <w:lang w:eastAsia="lt-LT"/>
              </w:rPr>
            </w:pPr>
          </w:p>
        </w:tc>
        <w:tc>
          <w:tcPr>
            <w:tcW w:w="2521" w:type="pct"/>
            <w:tcBorders>
              <w:top w:val="nil"/>
              <w:left w:val="nil"/>
              <w:bottom w:val="nil"/>
              <w:right w:val="nil"/>
            </w:tcBorders>
          </w:tcPr>
          <w:p w14:paraId="0DED13C0" w14:textId="77777777" w:rsidR="007E07AA" w:rsidRPr="00296C5A" w:rsidRDefault="007E07AA" w:rsidP="003C7E78">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i/>
                <w:lang w:eastAsia="lt-LT"/>
              </w:rPr>
              <w:t>Gamintojas</w:t>
            </w:r>
          </w:p>
          <w:p w14:paraId="5B1B5EBA" w14:textId="77777777" w:rsidR="007E07AA" w:rsidRPr="00296C5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Roche Pharma AG</w:t>
            </w:r>
          </w:p>
          <w:p w14:paraId="440DE554" w14:textId="77777777" w:rsidR="007E07AA" w:rsidRPr="00296C5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Emil-Barell Str. 1</w:t>
            </w:r>
          </w:p>
          <w:p w14:paraId="6423A699" w14:textId="77777777" w:rsidR="007E07AA" w:rsidRPr="00296C5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D-79639 Grenzach-Wyhlen</w:t>
            </w:r>
          </w:p>
          <w:p w14:paraId="46BB28AD" w14:textId="77777777" w:rsidR="007E07A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Vokietija</w:t>
            </w:r>
          </w:p>
          <w:p w14:paraId="40E6C5F7" w14:textId="77777777" w:rsidR="009C4605" w:rsidRDefault="009C4605"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4BE8E972"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CHEPLAPHARM Registration GmbH </w:t>
            </w:r>
          </w:p>
          <w:p w14:paraId="41508604" w14:textId="24266ACA"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Weiler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Straße</w:t>
            </w:r>
            <w:proofErr w:type="spellEnd"/>
            <w:r w:rsidRPr="009C4605">
              <w:rPr>
                <w:rFonts w:ascii="Times New Roman" w:eastAsia="Calibri" w:hAnsi="Times New Roman" w:cs="Times New Roman"/>
                <w:color w:val="000000"/>
                <w:lang w:eastAsia="lt-LT"/>
              </w:rPr>
              <w:t xml:space="preserve"> 5</w:t>
            </w:r>
            <w:r w:rsidR="007E33B2">
              <w:rPr>
                <w:rFonts w:ascii="Times New Roman" w:eastAsia="Calibri" w:hAnsi="Times New Roman" w:cs="Times New Roman"/>
                <w:color w:val="000000"/>
                <w:lang w:eastAsia="lt-LT"/>
              </w:rPr>
              <w:t>e</w:t>
            </w:r>
          </w:p>
          <w:p w14:paraId="49322BDB"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79540 Lörrach</w:t>
            </w:r>
          </w:p>
          <w:p w14:paraId="24C959AF"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5B826258"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3403A6A8"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Catalent Germany Eberbach GmbH </w:t>
            </w:r>
          </w:p>
          <w:p w14:paraId="0B1D48F6"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Gammelsbacher Strasse 2 </w:t>
            </w:r>
          </w:p>
          <w:p w14:paraId="7D84B53E"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69412 Eberbach</w:t>
            </w:r>
          </w:p>
          <w:p w14:paraId="1091D68B" w14:textId="672A0E59" w:rsidR="009C4605" w:rsidRPr="00296C5A"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151460AC" w14:textId="77777777" w:rsidR="007E07AA" w:rsidRPr="00296C5A" w:rsidRDefault="007E07AA" w:rsidP="003C7E78">
            <w:pPr>
              <w:spacing w:after="0" w:line="240" w:lineRule="auto"/>
              <w:rPr>
                <w:rFonts w:ascii="Times New Roman" w:eastAsia="Calibri" w:hAnsi="Times New Roman" w:cs="Times New Roman"/>
                <w:b/>
                <w:lang w:eastAsia="lt-LT"/>
              </w:rPr>
            </w:pPr>
          </w:p>
        </w:tc>
      </w:tr>
    </w:tbl>
    <w:p w14:paraId="68318AD1" w14:textId="77777777" w:rsidR="007E07AA" w:rsidRPr="00296C5A" w:rsidRDefault="007E07AA" w:rsidP="007E07AA">
      <w:pPr>
        <w:spacing w:after="0" w:line="240" w:lineRule="auto"/>
        <w:outlineLvl w:val="0"/>
        <w:rPr>
          <w:rFonts w:ascii="Times New Roman" w:eastAsia="Calibri" w:hAnsi="Times New Roman" w:cs="Times New Roman"/>
          <w:lang w:eastAsia="lt-LT"/>
        </w:rPr>
      </w:pPr>
    </w:p>
    <w:p w14:paraId="547C3097" w14:textId="186B1254" w:rsidR="007E07AA" w:rsidRPr="00296C5A" w:rsidRDefault="007E07AA" w:rsidP="007E07AA">
      <w:pPr>
        <w:spacing w:after="0" w:line="240" w:lineRule="auto"/>
        <w:rPr>
          <w:rFonts w:ascii="Times New Roman" w:eastAsia="Calibri" w:hAnsi="Times New Roman" w:cs="Times New Roman"/>
          <w:lang w:eastAsia="lt-LT"/>
        </w:rPr>
      </w:pPr>
    </w:p>
    <w:p w14:paraId="3B60F2B6" w14:textId="77777777" w:rsidR="007E07AA" w:rsidRPr="00296C5A" w:rsidRDefault="007E07AA" w:rsidP="007E07AA">
      <w:pPr>
        <w:spacing w:after="0" w:line="240" w:lineRule="auto"/>
        <w:rPr>
          <w:rFonts w:ascii="Times New Roman" w:eastAsia="Calibri" w:hAnsi="Times New Roman" w:cs="Times New Roman"/>
          <w:b/>
          <w:lang w:eastAsia="lt-LT"/>
        </w:rPr>
      </w:pPr>
    </w:p>
    <w:p w14:paraId="114C1280" w14:textId="53160BA5" w:rsidR="007E07AA" w:rsidRPr="004E403C" w:rsidRDefault="007E07AA" w:rsidP="007E07AA">
      <w:pPr>
        <w:spacing w:after="0" w:line="240" w:lineRule="auto"/>
        <w:rPr>
          <w:rFonts w:ascii="Times New Roman" w:hAnsi="Times New Roman"/>
          <w:b/>
          <w:lang w:val="fr-CA"/>
        </w:rPr>
      </w:pPr>
      <w:r w:rsidRPr="00296C5A">
        <w:rPr>
          <w:rFonts w:ascii="Times New Roman" w:eastAsia="Calibri" w:hAnsi="Times New Roman" w:cs="Times New Roman"/>
          <w:b/>
          <w:lang w:eastAsia="lt-LT"/>
        </w:rPr>
        <w:t>Ši</w:t>
      </w:r>
      <w:r w:rsidRPr="004E403C">
        <w:rPr>
          <w:rFonts w:ascii="Times New Roman" w:hAnsi="Times New Roman"/>
          <w:b/>
          <w:lang w:val="fr-CA"/>
        </w:rPr>
        <w:t>s vaistas E</w:t>
      </w:r>
      <w:r w:rsidR="009D3F04" w:rsidRPr="004E403C">
        <w:rPr>
          <w:rFonts w:ascii="Times New Roman" w:hAnsi="Times New Roman"/>
          <w:b/>
          <w:lang w:val="fr-CA"/>
        </w:rPr>
        <w:t xml:space="preserve">uropos </w:t>
      </w:r>
      <w:r w:rsidRPr="004E403C">
        <w:rPr>
          <w:rFonts w:ascii="Times New Roman" w:hAnsi="Times New Roman"/>
          <w:b/>
          <w:lang w:val="fr-CA"/>
        </w:rPr>
        <w:t>E</w:t>
      </w:r>
      <w:r w:rsidR="009D3F04" w:rsidRPr="004E403C">
        <w:rPr>
          <w:rFonts w:ascii="Times New Roman" w:hAnsi="Times New Roman"/>
          <w:b/>
          <w:lang w:val="fr-CA"/>
        </w:rPr>
        <w:t xml:space="preserve">konominės </w:t>
      </w:r>
      <w:r w:rsidRPr="004E403C">
        <w:rPr>
          <w:rFonts w:ascii="Times New Roman" w:hAnsi="Times New Roman"/>
          <w:b/>
          <w:lang w:val="fr-CA"/>
        </w:rPr>
        <w:t>E</w:t>
      </w:r>
      <w:r w:rsidR="009D3F04" w:rsidRPr="004E403C">
        <w:rPr>
          <w:rFonts w:ascii="Times New Roman" w:hAnsi="Times New Roman"/>
          <w:b/>
          <w:lang w:val="fr-CA"/>
        </w:rPr>
        <w:t xml:space="preserve">rdvės </w:t>
      </w:r>
      <w:r w:rsidRPr="004E403C">
        <w:rPr>
          <w:rFonts w:ascii="Times New Roman" w:hAnsi="Times New Roman"/>
          <w:b/>
          <w:lang w:val="fr-CA"/>
        </w:rPr>
        <w:t>valstybėse narėse</w:t>
      </w:r>
      <w:r w:rsidR="009D3F04" w:rsidRPr="004E403C">
        <w:rPr>
          <w:rFonts w:ascii="Times New Roman" w:hAnsi="Times New Roman"/>
          <w:b/>
          <w:lang w:val="fr-CA"/>
        </w:rPr>
        <w:t xml:space="preserve"> </w:t>
      </w:r>
      <w:r w:rsidRPr="004E403C">
        <w:rPr>
          <w:rFonts w:ascii="Times New Roman" w:hAnsi="Times New Roman"/>
          <w:b/>
          <w:lang w:val="fr-CA"/>
        </w:rPr>
        <w:t>regist</w:t>
      </w:r>
      <w:r w:rsidR="00D93ECB" w:rsidRPr="004E403C">
        <w:rPr>
          <w:rFonts w:ascii="Times New Roman" w:hAnsi="Times New Roman"/>
          <w:b/>
          <w:lang w:val="fr-CA"/>
        </w:rPr>
        <w:t>r</w:t>
      </w:r>
      <w:r w:rsidRPr="004E403C">
        <w:rPr>
          <w:rFonts w:ascii="Times New Roman" w:hAnsi="Times New Roman"/>
          <w:b/>
          <w:lang w:val="fr-CA"/>
        </w:rPr>
        <w:t>uotas tokiais pavadinimais:</w:t>
      </w:r>
    </w:p>
    <w:p w14:paraId="2E6E7EEF" w14:textId="77777777" w:rsidR="007E07AA" w:rsidRPr="004E403C" w:rsidRDefault="007E07AA" w:rsidP="007E07AA">
      <w:pPr>
        <w:spacing w:after="0" w:line="240" w:lineRule="auto"/>
        <w:rPr>
          <w:rFonts w:ascii="Times New Roman" w:hAnsi="Times New Roman"/>
          <w:b/>
          <w:lang w:val="fr-CA"/>
        </w:rPr>
      </w:pPr>
    </w:p>
    <w:p w14:paraId="600866C5" w14:textId="6021147F" w:rsidR="007E07AA" w:rsidRPr="004E403C" w:rsidRDefault="007E07AA" w:rsidP="007E07AA">
      <w:pPr>
        <w:numPr>
          <w:ilvl w:val="12"/>
          <w:numId w:val="0"/>
        </w:numPr>
        <w:tabs>
          <w:tab w:val="left" w:pos="720"/>
        </w:tabs>
        <w:spacing w:after="0" w:line="240" w:lineRule="auto"/>
        <w:rPr>
          <w:rFonts w:ascii="Times New Roman" w:hAnsi="Times New Roman"/>
          <w:lang w:val="fr-CA"/>
        </w:rPr>
      </w:pPr>
      <w:r w:rsidRPr="004E403C">
        <w:rPr>
          <w:rFonts w:ascii="Times New Roman" w:hAnsi="Times New Roman"/>
          <w:lang w:val="fr-CA"/>
        </w:rPr>
        <w:t>Belgija, Estija, Airija, Latvija, Lietuva, Liuksemburgas: Roaccutane.</w:t>
      </w:r>
    </w:p>
    <w:p w14:paraId="3D5B8C80" w14:textId="77777777" w:rsidR="007E07AA" w:rsidRPr="004E403C" w:rsidRDefault="007E07AA" w:rsidP="007E07AA">
      <w:pPr>
        <w:numPr>
          <w:ilvl w:val="12"/>
          <w:numId w:val="0"/>
        </w:numPr>
        <w:tabs>
          <w:tab w:val="left" w:pos="720"/>
        </w:tabs>
        <w:spacing w:after="0" w:line="240" w:lineRule="auto"/>
        <w:rPr>
          <w:rFonts w:ascii="Times New Roman" w:hAnsi="Times New Roman"/>
          <w:lang w:val="fr-CA"/>
        </w:rPr>
      </w:pPr>
      <w:r w:rsidRPr="004E403C">
        <w:rPr>
          <w:rFonts w:ascii="Times New Roman" w:hAnsi="Times New Roman"/>
          <w:lang w:val="fr-CA"/>
        </w:rPr>
        <w:t>Vengrija: Roaccutan.</w:t>
      </w:r>
    </w:p>
    <w:p w14:paraId="7C29EAC8" w14:textId="77777777" w:rsidR="007E07AA" w:rsidRPr="00296C5A" w:rsidRDefault="007E07AA" w:rsidP="007E07AA">
      <w:pPr>
        <w:spacing w:after="0" w:line="240" w:lineRule="auto"/>
        <w:rPr>
          <w:rFonts w:ascii="Times New Roman" w:eastAsia="Calibri" w:hAnsi="Times New Roman" w:cs="Times New Roman"/>
          <w:b/>
          <w:lang w:eastAsia="lt-LT"/>
        </w:rPr>
      </w:pPr>
    </w:p>
    <w:p w14:paraId="6F20E427" w14:textId="46F15D53"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Šis pakuotės lapelis paskutinį kartą </w:t>
      </w:r>
      <w:r w:rsidRPr="004E403C">
        <w:rPr>
          <w:rFonts w:ascii="Times New Roman" w:hAnsi="Times New Roman"/>
          <w:b/>
          <w:lang w:val="fr-CA"/>
        </w:rPr>
        <w:t>peržiūrėtas</w:t>
      </w:r>
      <w:r w:rsidR="002422B9" w:rsidRPr="004E403C">
        <w:rPr>
          <w:rFonts w:ascii="Times New Roman" w:hAnsi="Times New Roman"/>
          <w:b/>
          <w:lang w:val="fr-CA"/>
        </w:rPr>
        <w:t xml:space="preserve"> </w:t>
      </w:r>
      <w:r w:rsidR="003B0370">
        <w:rPr>
          <w:rFonts w:ascii="Times New Roman" w:hAnsi="Times New Roman"/>
          <w:b/>
          <w:lang w:val="fr-CA"/>
        </w:rPr>
        <w:t>2025-12-15</w:t>
      </w:r>
      <w:r w:rsidR="00FD7FF8" w:rsidRPr="004E403C">
        <w:rPr>
          <w:rFonts w:ascii="Times New Roman" w:hAnsi="Times New Roman"/>
          <w:b/>
          <w:lang w:val="fr-CA"/>
        </w:rPr>
        <w:t>.</w:t>
      </w:r>
    </w:p>
    <w:p w14:paraId="5BDDA2C7"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0BA9ACF" w14:textId="77777777" w:rsidR="007E07AA" w:rsidRPr="00296C5A" w:rsidRDefault="007E07AA" w:rsidP="007E07AA">
      <w:pPr>
        <w:spacing w:after="0" w:line="240" w:lineRule="auto"/>
        <w:rPr>
          <w:rFonts w:ascii="Times New Roman" w:eastAsia="Times New Roman" w:hAnsi="Times New Roman" w:cs="Times New Roman"/>
          <w:b/>
          <w:noProof/>
          <w:szCs w:val="20"/>
          <w:lang w:eastAsia="ja-JP"/>
        </w:rPr>
      </w:pPr>
      <w:r w:rsidRPr="00296C5A">
        <w:rPr>
          <w:rFonts w:ascii="Times New Roman" w:eastAsia="Times New Roman" w:hAnsi="Times New Roman" w:cs="Times New Roman"/>
          <w:b/>
          <w:noProof/>
          <w:szCs w:val="20"/>
          <w:lang w:eastAsia="ja-JP"/>
        </w:rPr>
        <w:t>Kiti informacijos šaltiniai</w:t>
      </w:r>
    </w:p>
    <w:p w14:paraId="71D1F454" w14:textId="4BE29AC7" w:rsidR="007E07AA" w:rsidRPr="00296C5A" w:rsidRDefault="007E07AA" w:rsidP="007E07AA">
      <w:pPr>
        <w:spacing w:after="200" w:line="276" w:lineRule="auto"/>
        <w:rPr>
          <w:rFonts w:ascii="Calibri" w:eastAsia="Calibri" w:hAnsi="Calibri" w:cs="Times New Roman"/>
          <w:lang w:eastAsia="lt-LT"/>
        </w:rPr>
      </w:pPr>
      <w:r w:rsidRPr="00296C5A">
        <w:rPr>
          <w:rFonts w:ascii="Times New Roman" w:eastAsia="Times New Roman" w:hAnsi="Times New Roman" w:cs="Times New Roman"/>
          <w:noProof/>
          <w:szCs w:val="20"/>
          <w:lang w:eastAsia="ja-JP"/>
        </w:rPr>
        <w:t xml:space="preserve">Išsamią ir atnaujintą informaciją apie šį vaistą gausite į savo išmanųjį telefoną, juo nuskaičius šiame Pakuotės lapelyje esantį QR kodą. Be to, ta pati informacija pateikiama Valstybinės vaistų kontrolės tarnybos prie Lietuvos Respublikos sveikatos apsaugos ministerijos tinklalapyje </w:t>
      </w:r>
      <w:hyperlink r:id="rId6" w:history="1">
        <w:r w:rsidRPr="00296C5A">
          <w:rPr>
            <w:rFonts w:ascii="Times New Roman" w:eastAsia="Calibri" w:hAnsi="Times New Roman" w:cs="Times New Roman"/>
            <w:color w:val="0000FF"/>
            <w:u w:val="single"/>
            <w:shd w:val="clear" w:color="auto" w:fill="FFFFFF"/>
            <w:lang w:eastAsia="lt-LT"/>
          </w:rPr>
          <w:t>https://vapris.vvkt.lt/vvkt-web/public/medications/view/27992/27013?fileName=Roaccutane+Paciento+priminimo+kortel%C4%97.pdf</w:t>
        </w:r>
      </w:hyperlink>
    </w:p>
    <w:p w14:paraId="1E972165"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p>
    <w:p w14:paraId="26E8E24E"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r w:rsidRPr="00296C5A">
        <w:rPr>
          <w:rFonts w:ascii="Times New Roman" w:eastAsia="Times New Roman" w:hAnsi="Times New Roman" w:cs="Times New Roman"/>
          <w:noProof/>
          <w:szCs w:val="20"/>
          <w:lang w:eastAsia="ja-JP"/>
        </w:rPr>
        <w:t>ir</w:t>
      </w:r>
    </w:p>
    <w:p w14:paraId="4F3E902B"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p>
    <w:p w14:paraId="2E2DA68D"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r w:rsidRPr="00296C5A">
        <w:rPr>
          <w:rFonts w:ascii="Times New Roman" w:eastAsia="Calibri" w:hAnsi="Times New Roman" w:cs="Times New Roman"/>
          <w:noProof/>
          <w:color w:val="0000FF"/>
          <w:u w:val="single"/>
          <w:lang w:eastAsia="lt-LT"/>
        </w:rPr>
        <w:drawing>
          <wp:inline distT="0" distB="0" distL="0" distR="0" wp14:anchorId="320EC80D" wp14:editId="7C1D7083">
            <wp:extent cx="1276350" cy="1276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oaccutane paciento priminimo kortele QR-CODE (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76350" cy="1276350"/>
                    </a:xfrm>
                    <a:prstGeom prst="rect">
                      <a:avLst/>
                    </a:prstGeom>
                  </pic:spPr>
                </pic:pic>
              </a:graphicData>
            </a:graphic>
          </wp:inline>
        </w:drawing>
      </w:r>
    </w:p>
    <w:p w14:paraId="285B3C67" w14:textId="77777777" w:rsidR="007E07AA" w:rsidRPr="00296C5A" w:rsidRDefault="007E07AA" w:rsidP="007E07AA">
      <w:pPr>
        <w:spacing w:after="0" w:line="240" w:lineRule="auto"/>
        <w:ind w:left="567" w:hanging="567"/>
        <w:jc w:val="center"/>
        <w:rPr>
          <w:rFonts w:ascii="Times New Roman" w:eastAsia="Times New Roman" w:hAnsi="Times New Roman" w:cs="Times New Roman"/>
          <w:noProof/>
          <w:szCs w:val="20"/>
          <w:lang w:eastAsia="ja-JP"/>
        </w:rPr>
      </w:pPr>
    </w:p>
    <w:p w14:paraId="4F28F257" w14:textId="77777777" w:rsidR="007E07AA" w:rsidRDefault="007E07AA" w:rsidP="007E07AA"/>
    <w:p w14:paraId="70E5D2E9" w14:textId="77777777" w:rsidR="00F72F99" w:rsidRDefault="00F72F99"/>
    <w:sectPr w:rsidR="00F72F99" w:rsidSect="008B582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Italic Baltic">
    <w:altName w:val="Times New Roman"/>
    <w:panose1 w:val="00000000000000000000"/>
    <w:charset w:val="BA"/>
    <w:family w:val="roman"/>
    <w:notTrueType/>
    <w:pitch w:val="default"/>
    <w:sig w:usb0="00000005" w:usb1="00000000" w:usb2="00000000" w:usb3="00000000" w:csb0="00000080"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F240217"/>
    <w:multiLevelType w:val="hybridMultilevel"/>
    <w:tmpl w:val="9DB46F66"/>
    <w:lvl w:ilvl="0" w:tplc="6A0E294A">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154B6"/>
    <w:multiLevelType w:val="hybridMultilevel"/>
    <w:tmpl w:val="3B244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104D89"/>
    <w:multiLevelType w:val="hybridMultilevel"/>
    <w:tmpl w:val="4552ACDE"/>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3F2CF3"/>
    <w:multiLevelType w:val="hybridMultilevel"/>
    <w:tmpl w:val="390E3A2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961336"/>
    <w:multiLevelType w:val="hybridMultilevel"/>
    <w:tmpl w:val="871260D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984ACB"/>
    <w:multiLevelType w:val="hybridMultilevel"/>
    <w:tmpl w:val="4622FC22"/>
    <w:lvl w:ilvl="0" w:tplc="9926F330">
      <w:start w:val="6"/>
      <w:numFmt w:val="bullet"/>
      <w:lvlText w:val="•"/>
      <w:lvlJc w:val="left"/>
      <w:pPr>
        <w:ind w:left="928"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A07E02"/>
    <w:multiLevelType w:val="hybridMultilevel"/>
    <w:tmpl w:val="C56A06F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EE0C03"/>
    <w:multiLevelType w:val="hybridMultilevel"/>
    <w:tmpl w:val="F8A45F1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36C2C25"/>
    <w:multiLevelType w:val="hybridMultilevel"/>
    <w:tmpl w:val="6CCADBA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747AC0"/>
    <w:multiLevelType w:val="hybridMultilevel"/>
    <w:tmpl w:val="DF5E9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7813564"/>
    <w:multiLevelType w:val="hybridMultilevel"/>
    <w:tmpl w:val="F6828BC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DA96096"/>
    <w:multiLevelType w:val="hybridMultilevel"/>
    <w:tmpl w:val="4CC45A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57487F"/>
    <w:multiLevelType w:val="hybridMultilevel"/>
    <w:tmpl w:val="C64A9B2C"/>
    <w:lvl w:ilvl="0" w:tplc="5878750E">
      <w:numFmt w:val="bullet"/>
      <w:lvlText w:val="•"/>
      <w:lvlJc w:val="left"/>
      <w:pPr>
        <w:ind w:left="1080" w:hanging="720"/>
      </w:pPr>
      <w:rPr>
        <w:rFonts w:ascii="Calibri" w:eastAsia="Calibri" w:hAnsi="Calibri" w:cs="Times New Roman" w:hint="default"/>
      </w:rPr>
    </w:lvl>
    <w:lvl w:ilvl="1" w:tplc="143EFE9E" w:tentative="1">
      <w:start w:val="1"/>
      <w:numFmt w:val="bullet"/>
      <w:lvlText w:val="o"/>
      <w:lvlJc w:val="left"/>
      <w:pPr>
        <w:ind w:left="1440" w:hanging="360"/>
      </w:pPr>
      <w:rPr>
        <w:rFonts w:ascii="Courier New" w:hAnsi="Courier New" w:cs="Courier New" w:hint="default"/>
      </w:rPr>
    </w:lvl>
    <w:lvl w:ilvl="2" w:tplc="BC4095E2" w:tentative="1">
      <w:start w:val="1"/>
      <w:numFmt w:val="bullet"/>
      <w:lvlText w:val=""/>
      <w:lvlJc w:val="left"/>
      <w:pPr>
        <w:ind w:left="2160" w:hanging="360"/>
      </w:pPr>
      <w:rPr>
        <w:rFonts w:ascii="Wingdings" w:hAnsi="Wingdings" w:hint="default"/>
      </w:rPr>
    </w:lvl>
    <w:lvl w:ilvl="3" w:tplc="92764728" w:tentative="1">
      <w:start w:val="1"/>
      <w:numFmt w:val="bullet"/>
      <w:lvlText w:val=""/>
      <w:lvlJc w:val="left"/>
      <w:pPr>
        <w:ind w:left="2880" w:hanging="360"/>
      </w:pPr>
      <w:rPr>
        <w:rFonts w:ascii="Symbol" w:hAnsi="Symbol" w:hint="default"/>
      </w:rPr>
    </w:lvl>
    <w:lvl w:ilvl="4" w:tplc="5006541E" w:tentative="1">
      <w:start w:val="1"/>
      <w:numFmt w:val="bullet"/>
      <w:lvlText w:val="o"/>
      <w:lvlJc w:val="left"/>
      <w:pPr>
        <w:ind w:left="3600" w:hanging="360"/>
      </w:pPr>
      <w:rPr>
        <w:rFonts w:ascii="Courier New" w:hAnsi="Courier New" w:cs="Courier New" w:hint="default"/>
      </w:rPr>
    </w:lvl>
    <w:lvl w:ilvl="5" w:tplc="670498B8" w:tentative="1">
      <w:start w:val="1"/>
      <w:numFmt w:val="bullet"/>
      <w:lvlText w:val=""/>
      <w:lvlJc w:val="left"/>
      <w:pPr>
        <w:ind w:left="4320" w:hanging="360"/>
      </w:pPr>
      <w:rPr>
        <w:rFonts w:ascii="Wingdings" w:hAnsi="Wingdings" w:hint="default"/>
      </w:rPr>
    </w:lvl>
    <w:lvl w:ilvl="6" w:tplc="74902EE2" w:tentative="1">
      <w:start w:val="1"/>
      <w:numFmt w:val="bullet"/>
      <w:lvlText w:val=""/>
      <w:lvlJc w:val="left"/>
      <w:pPr>
        <w:ind w:left="5040" w:hanging="360"/>
      </w:pPr>
      <w:rPr>
        <w:rFonts w:ascii="Symbol" w:hAnsi="Symbol" w:hint="default"/>
      </w:rPr>
    </w:lvl>
    <w:lvl w:ilvl="7" w:tplc="19705A24" w:tentative="1">
      <w:start w:val="1"/>
      <w:numFmt w:val="bullet"/>
      <w:lvlText w:val="o"/>
      <w:lvlJc w:val="left"/>
      <w:pPr>
        <w:ind w:left="5760" w:hanging="360"/>
      </w:pPr>
      <w:rPr>
        <w:rFonts w:ascii="Courier New" w:hAnsi="Courier New" w:cs="Courier New" w:hint="default"/>
      </w:rPr>
    </w:lvl>
    <w:lvl w:ilvl="8" w:tplc="7C08AC52" w:tentative="1">
      <w:start w:val="1"/>
      <w:numFmt w:val="bullet"/>
      <w:lvlText w:val=""/>
      <w:lvlJc w:val="left"/>
      <w:pPr>
        <w:ind w:left="6480" w:hanging="360"/>
      </w:pPr>
      <w:rPr>
        <w:rFonts w:ascii="Wingdings" w:hAnsi="Wingdings" w:hint="default"/>
      </w:rPr>
    </w:lvl>
  </w:abstractNum>
  <w:abstractNum w:abstractNumId="14" w15:restartNumberingAfterBreak="0">
    <w:nsid w:val="38A0031C"/>
    <w:multiLevelType w:val="hybridMultilevel"/>
    <w:tmpl w:val="DA7C583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AA80593"/>
    <w:multiLevelType w:val="multilevel"/>
    <w:tmpl w:val="3FE6E67A"/>
    <w:lvl w:ilvl="0">
      <w:start w:val="4"/>
      <w:numFmt w:val="decimal"/>
      <w:lvlText w:val="%1"/>
      <w:lvlJc w:val="left"/>
      <w:pPr>
        <w:tabs>
          <w:tab w:val="num" w:pos="570"/>
        </w:tabs>
        <w:ind w:left="570" w:hanging="570"/>
      </w:pPr>
    </w:lvl>
    <w:lvl w:ilvl="1">
      <w:start w:val="6"/>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6" w15:restartNumberingAfterBreak="0">
    <w:nsid w:val="3AFB700E"/>
    <w:multiLevelType w:val="hybridMultilevel"/>
    <w:tmpl w:val="2FB69E82"/>
    <w:lvl w:ilvl="0" w:tplc="0427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E1F713E"/>
    <w:multiLevelType w:val="hybridMultilevel"/>
    <w:tmpl w:val="72D82D82"/>
    <w:lvl w:ilvl="0" w:tplc="4050A044">
      <w:numFmt w:val="bullet"/>
      <w:lvlText w:val="•"/>
      <w:lvlJc w:val="left"/>
      <w:pPr>
        <w:ind w:left="1080" w:hanging="720"/>
      </w:pPr>
      <w:rPr>
        <w:rFonts w:ascii="Calibri" w:eastAsia="Calibri" w:hAnsi="Calibri" w:cs="Times New Roman" w:hint="default"/>
      </w:rPr>
    </w:lvl>
    <w:lvl w:ilvl="1" w:tplc="FEB62B48" w:tentative="1">
      <w:start w:val="1"/>
      <w:numFmt w:val="bullet"/>
      <w:lvlText w:val="o"/>
      <w:lvlJc w:val="left"/>
      <w:pPr>
        <w:ind w:left="1440" w:hanging="360"/>
      </w:pPr>
      <w:rPr>
        <w:rFonts w:ascii="Courier New" w:hAnsi="Courier New" w:cs="Courier New" w:hint="default"/>
      </w:rPr>
    </w:lvl>
    <w:lvl w:ilvl="2" w:tplc="BFBACAF0" w:tentative="1">
      <w:start w:val="1"/>
      <w:numFmt w:val="bullet"/>
      <w:lvlText w:val=""/>
      <w:lvlJc w:val="left"/>
      <w:pPr>
        <w:ind w:left="2160" w:hanging="360"/>
      </w:pPr>
      <w:rPr>
        <w:rFonts w:ascii="Wingdings" w:hAnsi="Wingdings" w:hint="default"/>
      </w:rPr>
    </w:lvl>
    <w:lvl w:ilvl="3" w:tplc="DDF8081C" w:tentative="1">
      <w:start w:val="1"/>
      <w:numFmt w:val="bullet"/>
      <w:lvlText w:val=""/>
      <w:lvlJc w:val="left"/>
      <w:pPr>
        <w:ind w:left="2880" w:hanging="360"/>
      </w:pPr>
      <w:rPr>
        <w:rFonts w:ascii="Symbol" w:hAnsi="Symbol" w:hint="default"/>
      </w:rPr>
    </w:lvl>
    <w:lvl w:ilvl="4" w:tplc="61D482FA" w:tentative="1">
      <w:start w:val="1"/>
      <w:numFmt w:val="bullet"/>
      <w:lvlText w:val="o"/>
      <w:lvlJc w:val="left"/>
      <w:pPr>
        <w:ind w:left="3600" w:hanging="360"/>
      </w:pPr>
      <w:rPr>
        <w:rFonts w:ascii="Courier New" w:hAnsi="Courier New" w:cs="Courier New" w:hint="default"/>
      </w:rPr>
    </w:lvl>
    <w:lvl w:ilvl="5" w:tplc="164832D4" w:tentative="1">
      <w:start w:val="1"/>
      <w:numFmt w:val="bullet"/>
      <w:lvlText w:val=""/>
      <w:lvlJc w:val="left"/>
      <w:pPr>
        <w:ind w:left="4320" w:hanging="360"/>
      </w:pPr>
      <w:rPr>
        <w:rFonts w:ascii="Wingdings" w:hAnsi="Wingdings" w:hint="default"/>
      </w:rPr>
    </w:lvl>
    <w:lvl w:ilvl="6" w:tplc="80EAFCD4" w:tentative="1">
      <w:start w:val="1"/>
      <w:numFmt w:val="bullet"/>
      <w:lvlText w:val=""/>
      <w:lvlJc w:val="left"/>
      <w:pPr>
        <w:ind w:left="5040" w:hanging="360"/>
      </w:pPr>
      <w:rPr>
        <w:rFonts w:ascii="Symbol" w:hAnsi="Symbol" w:hint="default"/>
      </w:rPr>
    </w:lvl>
    <w:lvl w:ilvl="7" w:tplc="F7120580" w:tentative="1">
      <w:start w:val="1"/>
      <w:numFmt w:val="bullet"/>
      <w:lvlText w:val="o"/>
      <w:lvlJc w:val="left"/>
      <w:pPr>
        <w:ind w:left="5760" w:hanging="360"/>
      </w:pPr>
      <w:rPr>
        <w:rFonts w:ascii="Courier New" w:hAnsi="Courier New" w:cs="Courier New" w:hint="default"/>
      </w:rPr>
    </w:lvl>
    <w:lvl w:ilvl="8" w:tplc="4106CF70" w:tentative="1">
      <w:start w:val="1"/>
      <w:numFmt w:val="bullet"/>
      <w:lvlText w:val=""/>
      <w:lvlJc w:val="left"/>
      <w:pPr>
        <w:ind w:left="6480" w:hanging="360"/>
      </w:pPr>
      <w:rPr>
        <w:rFonts w:ascii="Wingdings" w:hAnsi="Wingdings" w:hint="default"/>
      </w:rPr>
    </w:lvl>
  </w:abstractNum>
  <w:abstractNum w:abstractNumId="18" w15:restartNumberingAfterBreak="0">
    <w:nsid w:val="41DE1DBB"/>
    <w:multiLevelType w:val="hybridMultilevel"/>
    <w:tmpl w:val="A29CB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273669F"/>
    <w:multiLevelType w:val="hybridMultilevel"/>
    <w:tmpl w:val="80A2664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7D14CA"/>
    <w:multiLevelType w:val="hybridMultilevel"/>
    <w:tmpl w:val="578E4D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9F33853"/>
    <w:multiLevelType w:val="hybridMultilevel"/>
    <w:tmpl w:val="1FA8EA0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F9B29F5"/>
    <w:multiLevelType w:val="hybridMultilevel"/>
    <w:tmpl w:val="A46C747C"/>
    <w:lvl w:ilvl="0" w:tplc="46164CE8">
      <w:numFmt w:val="bullet"/>
      <w:lvlText w:val="•"/>
      <w:lvlJc w:val="left"/>
      <w:pPr>
        <w:ind w:left="1080" w:hanging="720"/>
      </w:pPr>
      <w:rPr>
        <w:rFonts w:ascii="Calibri" w:eastAsia="Calibri" w:hAnsi="Calibri" w:cs="Times New Roman" w:hint="default"/>
      </w:rPr>
    </w:lvl>
    <w:lvl w:ilvl="1" w:tplc="D94E310A" w:tentative="1">
      <w:start w:val="1"/>
      <w:numFmt w:val="bullet"/>
      <w:lvlText w:val="o"/>
      <w:lvlJc w:val="left"/>
      <w:pPr>
        <w:ind w:left="1440" w:hanging="360"/>
      </w:pPr>
      <w:rPr>
        <w:rFonts w:ascii="Courier New" w:hAnsi="Courier New" w:cs="Courier New" w:hint="default"/>
      </w:rPr>
    </w:lvl>
    <w:lvl w:ilvl="2" w:tplc="CCDE0CBC" w:tentative="1">
      <w:start w:val="1"/>
      <w:numFmt w:val="bullet"/>
      <w:lvlText w:val=""/>
      <w:lvlJc w:val="left"/>
      <w:pPr>
        <w:ind w:left="2160" w:hanging="360"/>
      </w:pPr>
      <w:rPr>
        <w:rFonts w:ascii="Wingdings" w:hAnsi="Wingdings" w:hint="default"/>
      </w:rPr>
    </w:lvl>
    <w:lvl w:ilvl="3" w:tplc="E3EC50D6" w:tentative="1">
      <w:start w:val="1"/>
      <w:numFmt w:val="bullet"/>
      <w:lvlText w:val=""/>
      <w:lvlJc w:val="left"/>
      <w:pPr>
        <w:ind w:left="2880" w:hanging="360"/>
      </w:pPr>
      <w:rPr>
        <w:rFonts w:ascii="Symbol" w:hAnsi="Symbol" w:hint="default"/>
      </w:rPr>
    </w:lvl>
    <w:lvl w:ilvl="4" w:tplc="715C58EA" w:tentative="1">
      <w:start w:val="1"/>
      <w:numFmt w:val="bullet"/>
      <w:lvlText w:val="o"/>
      <w:lvlJc w:val="left"/>
      <w:pPr>
        <w:ind w:left="3600" w:hanging="360"/>
      </w:pPr>
      <w:rPr>
        <w:rFonts w:ascii="Courier New" w:hAnsi="Courier New" w:cs="Courier New" w:hint="default"/>
      </w:rPr>
    </w:lvl>
    <w:lvl w:ilvl="5" w:tplc="7BFE48B0" w:tentative="1">
      <w:start w:val="1"/>
      <w:numFmt w:val="bullet"/>
      <w:lvlText w:val=""/>
      <w:lvlJc w:val="left"/>
      <w:pPr>
        <w:ind w:left="4320" w:hanging="360"/>
      </w:pPr>
      <w:rPr>
        <w:rFonts w:ascii="Wingdings" w:hAnsi="Wingdings" w:hint="default"/>
      </w:rPr>
    </w:lvl>
    <w:lvl w:ilvl="6" w:tplc="FBF46F06" w:tentative="1">
      <w:start w:val="1"/>
      <w:numFmt w:val="bullet"/>
      <w:lvlText w:val=""/>
      <w:lvlJc w:val="left"/>
      <w:pPr>
        <w:ind w:left="5040" w:hanging="360"/>
      </w:pPr>
      <w:rPr>
        <w:rFonts w:ascii="Symbol" w:hAnsi="Symbol" w:hint="default"/>
      </w:rPr>
    </w:lvl>
    <w:lvl w:ilvl="7" w:tplc="B226D596" w:tentative="1">
      <w:start w:val="1"/>
      <w:numFmt w:val="bullet"/>
      <w:lvlText w:val="o"/>
      <w:lvlJc w:val="left"/>
      <w:pPr>
        <w:ind w:left="5760" w:hanging="360"/>
      </w:pPr>
      <w:rPr>
        <w:rFonts w:ascii="Courier New" w:hAnsi="Courier New" w:cs="Courier New" w:hint="default"/>
      </w:rPr>
    </w:lvl>
    <w:lvl w:ilvl="8" w:tplc="88387732" w:tentative="1">
      <w:start w:val="1"/>
      <w:numFmt w:val="bullet"/>
      <w:lvlText w:val=""/>
      <w:lvlJc w:val="left"/>
      <w:pPr>
        <w:ind w:left="6480" w:hanging="360"/>
      </w:pPr>
      <w:rPr>
        <w:rFonts w:ascii="Wingdings" w:hAnsi="Wingdings" w:hint="default"/>
      </w:rPr>
    </w:lvl>
  </w:abstractNum>
  <w:abstractNum w:abstractNumId="23" w15:restartNumberingAfterBreak="0">
    <w:nsid w:val="53286C7F"/>
    <w:multiLevelType w:val="hybridMultilevel"/>
    <w:tmpl w:val="2388674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8369BC"/>
    <w:multiLevelType w:val="hybridMultilevel"/>
    <w:tmpl w:val="4BBCB82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BED55E1"/>
    <w:multiLevelType w:val="hybridMultilevel"/>
    <w:tmpl w:val="CE7AC3A2"/>
    <w:lvl w:ilvl="0" w:tplc="649069C0">
      <w:start w:val="1"/>
      <w:numFmt w:val="bullet"/>
      <w:lvlText w:val=""/>
      <w:lvlJc w:val="left"/>
      <w:pPr>
        <w:ind w:left="720" w:hanging="360"/>
      </w:pPr>
      <w:rPr>
        <w:rFonts w:ascii="Symbol" w:hAnsi="Symbol" w:hint="default"/>
      </w:rPr>
    </w:lvl>
    <w:lvl w:ilvl="1" w:tplc="567C4356">
      <w:start w:val="1"/>
      <w:numFmt w:val="bullet"/>
      <w:lvlText w:val="o"/>
      <w:lvlJc w:val="left"/>
      <w:pPr>
        <w:ind w:left="1440" w:hanging="360"/>
      </w:pPr>
      <w:rPr>
        <w:rFonts w:ascii="Courier New" w:hAnsi="Courier New" w:cs="Courier New" w:hint="default"/>
      </w:rPr>
    </w:lvl>
    <w:lvl w:ilvl="2" w:tplc="9E106184" w:tentative="1">
      <w:start w:val="1"/>
      <w:numFmt w:val="bullet"/>
      <w:lvlText w:val=""/>
      <w:lvlJc w:val="left"/>
      <w:pPr>
        <w:ind w:left="2160" w:hanging="360"/>
      </w:pPr>
      <w:rPr>
        <w:rFonts w:ascii="Wingdings" w:hAnsi="Wingdings" w:hint="default"/>
      </w:rPr>
    </w:lvl>
    <w:lvl w:ilvl="3" w:tplc="82FC62D4" w:tentative="1">
      <w:start w:val="1"/>
      <w:numFmt w:val="bullet"/>
      <w:lvlText w:val=""/>
      <w:lvlJc w:val="left"/>
      <w:pPr>
        <w:ind w:left="2880" w:hanging="360"/>
      </w:pPr>
      <w:rPr>
        <w:rFonts w:ascii="Symbol" w:hAnsi="Symbol" w:hint="default"/>
      </w:rPr>
    </w:lvl>
    <w:lvl w:ilvl="4" w:tplc="E6A04D92" w:tentative="1">
      <w:start w:val="1"/>
      <w:numFmt w:val="bullet"/>
      <w:lvlText w:val="o"/>
      <w:lvlJc w:val="left"/>
      <w:pPr>
        <w:ind w:left="3600" w:hanging="360"/>
      </w:pPr>
      <w:rPr>
        <w:rFonts w:ascii="Courier New" w:hAnsi="Courier New" w:cs="Courier New" w:hint="default"/>
      </w:rPr>
    </w:lvl>
    <w:lvl w:ilvl="5" w:tplc="3C90F0A8" w:tentative="1">
      <w:start w:val="1"/>
      <w:numFmt w:val="bullet"/>
      <w:lvlText w:val=""/>
      <w:lvlJc w:val="left"/>
      <w:pPr>
        <w:ind w:left="4320" w:hanging="360"/>
      </w:pPr>
      <w:rPr>
        <w:rFonts w:ascii="Wingdings" w:hAnsi="Wingdings" w:hint="default"/>
      </w:rPr>
    </w:lvl>
    <w:lvl w:ilvl="6" w:tplc="1F042EE0" w:tentative="1">
      <w:start w:val="1"/>
      <w:numFmt w:val="bullet"/>
      <w:lvlText w:val=""/>
      <w:lvlJc w:val="left"/>
      <w:pPr>
        <w:ind w:left="5040" w:hanging="360"/>
      </w:pPr>
      <w:rPr>
        <w:rFonts w:ascii="Symbol" w:hAnsi="Symbol" w:hint="default"/>
      </w:rPr>
    </w:lvl>
    <w:lvl w:ilvl="7" w:tplc="CC7A155E" w:tentative="1">
      <w:start w:val="1"/>
      <w:numFmt w:val="bullet"/>
      <w:lvlText w:val="o"/>
      <w:lvlJc w:val="left"/>
      <w:pPr>
        <w:ind w:left="5760" w:hanging="360"/>
      </w:pPr>
      <w:rPr>
        <w:rFonts w:ascii="Courier New" w:hAnsi="Courier New" w:cs="Courier New" w:hint="default"/>
      </w:rPr>
    </w:lvl>
    <w:lvl w:ilvl="8" w:tplc="238633EC" w:tentative="1">
      <w:start w:val="1"/>
      <w:numFmt w:val="bullet"/>
      <w:lvlText w:val=""/>
      <w:lvlJc w:val="left"/>
      <w:pPr>
        <w:ind w:left="6480" w:hanging="360"/>
      </w:pPr>
      <w:rPr>
        <w:rFonts w:ascii="Wingdings" w:hAnsi="Wingdings" w:hint="default"/>
      </w:rPr>
    </w:lvl>
  </w:abstractNum>
  <w:abstractNum w:abstractNumId="26" w15:restartNumberingAfterBreak="0">
    <w:nsid w:val="6C3F6E59"/>
    <w:multiLevelType w:val="hybridMultilevel"/>
    <w:tmpl w:val="57164054"/>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209138A"/>
    <w:multiLevelType w:val="hybridMultilevel"/>
    <w:tmpl w:val="81B221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4F53EA6"/>
    <w:multiLevelType w:val="hybridMultilevel"/>
    <w:tmpl w:val="3BF21378"/>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9226F33"/>
    <w:multiLevelType w:val="hybridMultilevel"/>
    <w:tmpl w:val="88FEF68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81385642">
    <w:abstractNumId w:val="1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0877696">
    <w:abstractNumId w:val="20"/>
  </w:num>
  <w:num w:numId="3" w16cid:durableId="377703301">
    <w:abstractNumId w:val="25"/>
  </w:num>
  <w:num w:numId="4" w16cid:durableId="271134901">
    <w:abstractNumId w:val="0"/>
    <w:lvlOverride w:ilvl="0">
      <w:lvl w:ilvl="0">
        <w:numFmt w:val="bullet"/>
        <w:lvlText w:val="-"/>
        <w:legacy w:legacy="1" w:legacySpace="0" w:legacyIndent="360"/>
        <w:lvlJc w:val="left"/>
        <w:pPr>
          <w:ind w:left="360" w:hanging="360"/>
        </w:pPr>
      </w:lvl>
    </w:lvlOverride>
  </w:num>
  <w:num w:numId="5" w16cid:durableId="1068070057">
    <w:abstractNumId w:val="1"/>
  </w:num>
  <w:num w:numId="6" w16cid:durableId="833255616">
    <w:abstractNumId w:val="12"/>
  </w:num>
  <w:num w:numId="7" w16cid:durableId="1838032151">
    <w:abstractNumId w:val="11"/>
  </w:num>
  <w:num w:numId="8" w16cid:durableId="1903710445">
    <w:abstractNumId w:val="23"/>
  </w:num>
  <w:num w:numId="9" w16cid:durableId="2110932195">
    <w:abstractNumId w:val="7"/>
  </w:num>
  <w:num w:numId="10" w16cid:durableId="357239643">
    <w:abstractNumId w:val="3"/>
  </w:num>
  <w:num w:numId="11" w16cid:durableId="586614579">
    <w:abstractNumId w:val="19"/>
  </w:num>
  <w:num w:numId="12" w16cid:durableId="136193397">
    <w:abstractNumId w:val="26"/>
  </w:num>
  <w:num w:numId="13" w16cid:durableId="114369787">
    <w:abstractNumId w:val="24"/>
  </w:num>
  <w:num w:numId="14" w16cid:durableId="511073196">
    <w:abstractNumId w:val="29"/>
  </w:num>
  <w:num w:numId="15" w16cid:durableId="530799292">
    <w:abstractNumId w:val="8"/>
  </w:num>
  <w:num w:numId="16" w16cid:durableId="1689873409">
    <w:abstractNumId w:val="9"/>
  </w:num>
  <w:num w:numId="17" w16cid:durableId="723020113">
    <w:abstractNumId w:val="5"/>
  </w:num>
  <w:num w:numId="18" w16cid:durableId="1467233826">
    <w:abstractNumId w:val="21"/>
  </w:num>
  <w:num w:numId="19" w16cid:durableId="691345720">
    <w:abstractNumId w:val="4"/>
  </w:num>
  <w:num w:numId="20" w16cid:durableId="107161760">
    <w:abstractNumId w:val="28"/>
  </w:num>
  <w:num w:numId="21" w16cid:durableId="1634023453">
    <w:abstractNumId w:val="6"/>
  </w:num>
  <w:num w:numId="22" w16cid:durableId="1678267328">
    <w:abstractNumId w:val="22"/>
  </w:num>
  <w:num w:numId="23" w16cid:durableId="442962372">
    <w:abstractNumId w:val="17"/>
  </w:num>
  <w:num w:numId="24" w16cid:durableId="1332492563">
    <w:abstractNumId w:val="13"/>
  </w:num>
  <w:num w:numId="25" w16cid:durableId="448863027">
    <w:abstractNumId w:val="16"/>
  </w:num>
  <w:num w:numId="26" w16cid:durableId="585115377">
    <w:abstractNumId w:val="10"/>
  </w:num>
  <w:num w:numId="27" w16cid:durableId="1090813328">
    <w:abstractNumId w:val="27"/>
  </w:num>
  <w:num w:numId="28" w16cid:durableId="73628085">
    <w:abstractNumId w:val="18"/>
  </w:num>
  <w:num w:numId="29" w16cid:durableId="123546797">
    <w:abstractNumId w:val="14"/>
  </w:num>
  <w:num w:numId="30" w16cid:durableId="1211529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32D"/>
    <w:rsid w:val="000611E7"/>
    <w:rsid w:val="0007382C"/>
    <w:rsid w:val="00094ED2"/>
    <w:rsid w:val="000A25F0"/>
    <w:rsid w:val="000A6DE2"/>
    <w:rsid w:val="000C4309"/>
    <w:rsid w:val="00143FF0"/>
    <w:rsid w:val="001C678E"/>
    <w:rsid w:val="001F4231"/>
    <w:rsid w:val="00201D32"/>
    <w:rsid w:val="00205EC3"/>
    <w:rsid w:val="00237E83"/>
    <w:rsid w:val="002422B9"/>
    <w:rsid w:val="0024273E"/>
    <w:rsid w:val="0024288A"/>
    <w:rsid w:val="00271D8D"/>
    <w:rsid w:val="00307265"/>
    <w:rsid w:val="0031793E"/>
    <w:rsid w:val="00317B17"/>
    <w:rsid w:val="00334C2D"/>
    <w:rsid w:val="00382736"/>
    <w:rsid w:val="00383447"/>
    <w:rsid w:val="00392E9C"/>
    <w:rsid w:val="003940A2"/>
    <w:rsid w:val="003B0370"/>
    <w:rsid w:val="003C7E78"/>
    <w:rsid w:val="003D0515"/>
    <w:rsid w:val="003E400B"/>
    <w:rsid w:val="00450E06"/>
    <w:rsid w:val="004609CD"/>
    <w:rsid w:val="004610E9"/>
    <w:rsid w:val="004E188C"/>
    <w:rsid w:val="004E403C"/>
    <w:rsid w:val="004F1C26"/>
    <w:rsid w:val="00517588"/>
    <w:rsid w:val="005178C0"/>
    <w:rsid w:val="00533B53"/>
    <w:rsid w:val="005720DF"/>
    <w:rsid w:val="00585807"/>
    <w:rsid w:val="00591661"/>
    <w:rsid w:val="005943C8"/>
    <w:rsid w:val="005F372B"/>
    <w:rsid w:val="00655AA9"/>
    <w:rsid w:val="006875F7"/>
    <w:rsid w:val="00690F29"/>
    <w:rsid w:val="006A13BD"/>
    <w:rsid w:val="006B0E09"/>
    <w:rsid w:val="006B6EB2"/>
    <w:rsid w:val="007118A6"/>
    <w:rsid w:val="007C1506"/>
    <w:rsid w:val="007D555B"/>
    <w:rsid w:val="007E07AA"/>
    <w:rsid w:val="007E33B2"/>
    <w:rsid w:val="007E5B16"/>
    <w:rsid w:val="00887F92"/>
    <w:rsid w:val="008A6054"/>
    <w:rsid w:val="008B1337"/>
    <w:rsid w:val="008B5826"/>
    <w:rsid w:val="008D2756"/>
    <w:rsid w:val="008F5D78"/>
    <w:rsid w:val="00900701"/>
    <w:rsid w:val="00916569"/>
    <w:rsid w:val="00923A3F"/>
    <w:rsid w:val="00924624"/>
    <w:rsid w:val="00960B50"/>
    <w:rsid w:val="0096202D"/>
    <w:rsid w:val="00973DCF"/>
    <w:rsid w:val="009C1B79"/>
    <w:rsid w:val="009C4605"/>
    <w:rsid w:val="009D3F04"/>
    <w:rsid w:val="00A22DE9"/>
    <w:rsid w:val="00A35A04"/>
    <w:rsid w:val="00A75635"/>
    <w:rsid w:val="00A77223"/>
    <w:rsid w:val="00AA02BA"/>
    <w:rsid w:val="00AF632D"/>
    <w:rsid w:val="00B24CD5"/>
    <w:rsid w:val="00B2535C"/>
    <w:rsid w:val="00BC347D"/>
    <w:rsid w:val="00BD3F4C"/>
    <w:rsid w:val="00BD5F5A"/>
    <w:rsid w:val="00C447A4"/>
    <w:rsid w:val="00C73014"/>
    <w:rsid w:val="00CA09FE"/>
    <w:rsid w:val="00CC3820"/>
    <w:rsid w:val="00D07A43"/>
    <w:rsid w:val="00D17B4D"/>
    <w:rsid w:val="00D24CB9"/>
    <w:rsid w:val="00D33E06"/>
    <w:rsid w:val="00D443DA"/>
    <w:rsid w:val="00D62B45"/>
    <w:rsid w:val="00D93ECB"/>
    <w:rsid w:val="00D94062"/>
    <w:rsid w:val="00DB331C"/>
    <w:rsid w:val="00DC3657"/>
    <w:rsid w:val="00DD2CF1"/>
    <w:rsid w:val="00E23476"/>
    <w:rsid w:val="00E25AAE"/>
    <w:rsid w:val="00E30F71"/>
    <w:rsid w:val="00E35F7D"/>
    <w:rsid w:val="00E61274"/>
    <w:rsid w:val="00E903A4"/>
    <w:rsid w:val="00E9608B"/>
    <w:rsid w:val="00EA2B95"/>
    <w:rsid w:val="00EC0AAE"/>
    <w:rsid w:val="00ED50D1"/>
    <w:rsid w:val="00EE642F"/>
    <w:rsid w:val="00EF1B66"/>
    <w:rsid w:val="00F05457"/>
    <w:rsid w:val="00F72EE5"/>
    <w:rsid w:val="00F72F99"/>
    <w:rsid w:val="00FA430F"/>
    <w:rsid w:val="00FA6210"/>
    <w:rsid w:val="00FB12B7"/>
    <w:rsid w:val="00FB40E3"/>
    <w:rsid w:val="00FD49E9"/>
    <w:rsid w:val="00FD7F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88815E"/>
  <w15:chartTrackingRefBased/>
  <w15:docId w15:val="{60CDDE46-4619-4068-9D3D-8F1C92C14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178C0"/>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7E07AA"/>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E07AA"/>
    <w:rPr>
      <w:rFonts w:ascii="Segoe UI" w:hAnsi="Segoe UI" w:cs="Segoe UI"/>
      <w:sz w:val="18"/>
      <w:szCs w:val="18"/>
    </w:rPr>
  </w:style>
  <w:style w:type="paragraph" w:styleId="Pataisymai">
    <w:name w:val="Revision"/>
    <w:hidden/>
    <w:uiPriority w:val="99"/>
    <w:semiHidden/>
    <w:rsid w:val="007E07AA"/>
    <w:pPr>
      <w:spacing w:after="0" w:line="240" w:lineRule="auto"/>
    </w:pPr>
  </w:style>
  <w:style w:type="character" w:styleId="Komentaronuoroda">
    <w:name w:val="annotation reference"/>
    <w:basedOn w:val="Numatytasispastraiposriftas"/>
    <w:uiPriority w:val="99"/>
    <w:semiHidden/>
    <w:unhideWhenUsed/>
    <w:rsid w:val="007E07AA"/>
    <w:rPr>
      <w:sz w:val="16"/>
      <w:szCs w:val="16"/>
    </w:rPr>
  </w:style>
  <w:style w:type="paragraph" w:styleId="Komentarotekstas">
    <w:name w:val="annotation text"/>
    <w:basedOn w:val="prastasis"/>
    <w:link w:val="KomentarotekstasDiagrama"/>
    <w:uiPriority w:val="99"/>
    <w:unhideWhenUsed/>
    <w:rsid w:val="007E07A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7E07AA"/>
    <w:rPr>
      <w:sz w:val="20"/>
      <w:szCs w:val="20"/>
    </w:rPr>
  </w:style>
  <w:style w:type="paragraph" w:styleId="Komentarotema">
    <w:name w:val="annotation subject"/>
    <w:basedOn w:val="Komentarotekstas"/>
    <w:next w:val="Komentarotekstas"/>
    <w:link w:val="KomentarotemaDiagrama"/>
    <w:uiPriority w:val="99"/>
    <w:semiHidden/>
    <w:unhideWhenUsed/>
    <w:rsid w:val="007E07AA"/>
    <w:rPr>
      <w:b/>
      <w:bCs/>
    </w:rPr>
  </w:style>
  <w:style w:type="character" w:customStyle="1" w:styleId="KomentarotemaDiagrama">
    <w:name w:val="Komentaro tema Diagrama"/>
    <w:basedOn w:val="KomentarotekstasDiagrama"/>
    <w:link w:val="Komentarotema"/>
    <w:uiPriority w:val="99"/>
    <w:semiHidden/>
    <w:rsid w:val="007E07AA"/>
    <w:rPr>
      <w:b/>
      <w:bCs/>
      <w:sz w:val="20"/>
      <w:szCs w:val="20"/>
    </w:rPr>
  </w:style>
  <w:style w:type="character" w:styleId="Hipersaitas">
    <w:name w:val="Hyperlink"/>
    <w:basedOn w:val="Numatytasispastraiposriftas"/>
    <w:uiPriority w:val="99"/>
    <w:unhideWhenUsed/>
    <w:rsid w:val="00BD3F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pris.vvkt.lt/vvkt-web/public/medications/view/27992/27013?fileName=Roaccutane+Paciento+priminimo+kortel%C4%97.pd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65861</Words>
  <Characters>37542</Characters>
  <Application>Microsoft Office Word</Application>
  <DocSecurity>4</DocSecurity>
  <Lines>312</Lines>
  <Paragraphs>206</Paragraphs>
  <ScaleCrop>false</ScaleCrop>
  <HeadingPairs>
    <vt:vector size="8" baseType="variant">
      <vt:variant>
        <vt:lpstr>Titel</vt:lpstr>
      </vt:variant>
      <vt:variant>
        <vt:i4>1</vt:i4>
      </vt:variant>
      <vt:variant>
        <vt:lpstr>Title</vt:lpstr>
      </vt:variant>
      <vt:variant>
        <vt:i4>1</vt:i4>
      </vt:variant>
      <vt:variant>
        <vt:lpstr>Pavadinimas</vt:lpstr>
      </vt:variant>
      <vt:variant>
        <vt:i4>1</vt:i4>
      </vt:variant>
      <vt:variant>
        <vt:lpstr>Antraštės</vt:lpstr>
      </vt:variant>
      <vt:variant>
        <vt:i4>42</vt:i4>
      </vt:variant>
    </vt:vector>
  </HeadingPairs>
  <TitlesOfParts>
    <vt:vector size="45"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17. UNIKALUS IDENTIFIKATORIUS – 2D BRŪKŠNINIS KODAS</vt:lpstr>
      <vt:lpstr>18. UNIKALUS IDENTIFIKATORIUS – ŽMONĖMS SUPRANTAMI DUOMENYS</vt:lpstr>
      <vt:lpstr>17. UNIKALUS IDENTIFIKATORIUS – 2D BRŪKŠNINIS KODAS</vt:lpstr>
      <vt:lpstr>18. UNIKALUS IDENTIFIKATORIUS – ŽMONĖMS SUPRANTAMI DUOMENYS</vt:lpstr>
      <vt:lpstr>1.	Kas yra Roaccutane ir kam jis vartojamas</vt:lpstr>
      <vt:lpstr>2.	Kas žinotina prieš vartojant Roaccutane</vt:lpstr>
      <vt:lpstr>3.	Kaip vartoti Roaccutane</vt:lpstr>
      <vt:lpstr>4.	Galimas šalutinis poveikis</vt:lpstr>
    </vt:vector>
  </TitlesOfParts>
  <Company/>
  <LinksUpToDate>false</LinksUpToDate>
  <CharactersWithSpaces>103197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cp:lastPrinted>2022-05-31T10:34:00Z</cp:lastPrinted>
  <dcterms:created xsi:type="dcterms:W3CDTF">2025-12-17T07:43:00Z</dcterms:created>
  <dcterms:modified xsi:type="dcterms:W3CDTF">2025-12-17T07:43:00Z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f3b53b2d2ca7ac80ffa58d570812e66f97b615273102322abedd4b6ce9c80625</vt:lpwstr>
  </property>
</Properties>
</file>