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D0" w:rsidRPr="001B06E6" w:rsidRDefault="00D510D0" w:rsidP="00D510D0">
      <w:pPr>
        <w:jc w:val="center"/>
        <w:rPr>
          <w:b/>
          <w:szCs w:val="22"/>
        </w:rPr>
      </w:pPr>
      <w:bookmarkStart w:id="0" w:name="_Hlk89939704"/>
      <w:bookmarkStart w:id="1" w:name="_Hlk95378835"/>
      <w:r w:rsidRPr="001B06E6">
        <w:rPr>
          <w:b/>
          <w:szCs w:val="22"/>
        </w:rPr>
        <w:t>Pakuotės lapelis: informacija vartotojui</w:t>
      </w:r>
    </w:p>
    <w:p w:rsidR="00D510D0" w:rsidRPr="001B06E6" w:rsidRDefault="00D510D0" w:rsidP="00D510D0">
      <w:pPr>
        <w:rPr>
          <w:szCs w:val="22"/>
        </w:rPr>
      </w:pPr>
    </w:p>
    <w:p w:rsidR="00D510D0" w:rsidRPr="001B06E6" w:rsidRDefault="00D510D0" w:rsidP="00D510D0">
      <w:pPr>
        <w:jc w:val="center"/>
        <w:rPr>
          <w:b/>
          <w:szCs w:val="22"/>
        </w:rPr>
      </w:pPr>
      <w:proofErr w:type="spellStart"/>
      <w:r w:rsidRPr="001B06E6">
        <w:rPr>
          <w:b/>
          <w:szCs w:val="22"/>
        </w:rPr>
        <w:t>Fenkarol</w:t>
      </w:r>
      <w:proofErr w:type="spellEnd"/>
      <w:r w:rsidRPr="001B06E6">
        <w:rPr>
          <w:b/>
          <w:szCs w:val="22"/>
        </w:rPr>
        <w:t xml:space="preserve"> 25 mg tabletės</w:t>
      </w:r>
    </w:p>
    <w:p w:rsidR="00D510D0" w:rsidRPr="001B06E6" w:rsidRDefault="00D510D0" w:rsidP="00D510D0">
      <w:pPr>
        <w:jc w:val="center"/>
        <w:rPr>
          <w:szCs w:val="22"/>
        </w:rPr>
      </w:pPr>
      <w:proofErr w:type="spellStart"/>
      <w:r w:rsidRPr="001B06E6">
        <w:rPr>
          <w:szCs w:val="22"/>
        </w:rPr>
        <w:t>kvifenadino</w:t>
      </w:r>
      <w:proofErr w:type="spellEnd"/>
      <w:r w:rsidRPr="001B06E6">
        <w:rPr>
          <w:szCs w:val="22"/>
        </w:rPr>
        <w:t xml:space="preserve"> hidrochloridas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280"/>
        <w:jc w:val="both"/>
        <w:rPr>
          <w:b/>
          <w:szCs w:val="22"/>
        </w:rPr>
      </w:pPr>
      <w:r w:rsidRPr="001B06E6">
        <w:rPr>
          <w:b/>
          <w:szCs w:val="22"/>
        </w:rPr>
        <w:t>Atidžiai perskaitykite visą šį lapelį, prieš pradėdami vartoti vaistą, nes jame pateikiama Jums svarbi informacija.</w:t>
      </w:r>
    </w:p>
    <w:p w:rsidR="00D510D0" w:rsidRPr="001B06E6" w:rsidRDefault="00D510D0" w:rsidP="00D510D0">
      <w:pPr>
        <w:ind w:left="1" w:right="780"/>
        <w:jc w:val="both"/>
        <w:rPr>
          <w:szCs w:val="22"/>
        </w:rPr>
      </w:pPr>
      <w:r w:rsidRPr="001B06E6">
        <w:rPr>
          <w:szCs w:val="22"/>
        </w:rPr>
        <w:t>Visada vartokite šį vaistą tiksliai kaip aprašyta šiame lapelyje arba kaip nurodė gydytojas arba vaistininkas.</w:t>
      </w:r>
    </w:p>
    <w:p w:rsidR="00D510D0" w:rsidRPr="001B06E6" w:rsidRDefault="00D510D0" w:rsidP="00D510D0">
      <w:pPr>
        <w:numPr>
          <w:ilvl w:val="0"/>
          <w:numId w:val="1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>Neišmeskite šio lapelio, nes vėl gali prireikti jį perskaityti.</w:t>
      </w:r>
    </w:p>
    <w:p w:rsidR="00D510D0" w:rsidRPr="006F6DFA" w:rsidRDefault="00D510D0" w:rsidP="00D510D0">
      <w:pPr>
        <w:numPr>
          <w:ilvl w:val="0"/>
          <w:numId w:val="1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>Jeigu norite sužinoti daugiau arba pasitarti, kreipkitės į vaistininką.</w:t>
      </w:r>
    </w:p>
    <w:p w:rsidR="00D510D0" w:rsidRPr="001B06E6" w:rsidRDefault="00D510D0" w:rsidP="00D510D0">
      <w:pPr>
        <w:numPr>
          <w:ilvl w:val="0"/>
          <w:numId w:val="1"/>
        </w:numPr>
        <w:tabs>
          <w:tab w:val="left" w:pos="561"/>
        </w:tabs>
        <w:ind w:left="561" w:right="740" w:hanging="561"/>
        <w:jc w:val="both"/>
        <w:rPr>
          <w:szCs w:val="22"/>
        </w:rPr>
      </w:pPr>
      <w:r w:rsidRPr="001B06E6">
        <w:rPr>
          <w:szCs w:val="22"/>
        </w:rPr>
        <w:t>Jeigu pasireiškė šalutinis poveikis (net jeigu jis šiame lapelyje nenurodytas), kreipkitės į gydytoją arba vaistininką. Žr. 4 skyrių.</w:t>
      </w:r>
    </w:p>
    <w:p w:rsidR="00D510D0" w:rsidRPr="001B06E6" w:rsidRDefault="00D510D0" w:rsidP="00D510D0">
      <w:pPr>
        <w:numPr>
          <w:ilvl w:val="0"/>
          <w:numId w:val="1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>Jeigu per 3 dienas Jūsų savijauta nepagerėjo arba net pablogėjo, kreipkitės į gydytoją.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>Apie ką rašoma šiame lapelyje?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2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 xml:space="preserve">Kas yra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ir kam jis vartojamas</w:t>
      </w:r>
    </w:p>
    <w:p w:rsidR="00D510D0" w:rsidRPr="001B06E6" w:rsidRDefault="00D510D0" w:rsidP="00D510D0">
      <w:pPr>
        <w:numPr>
          <w:ilvl w:val="0"/>
          <w:numId w:val="2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 xml:space="preserve">Kas žinotina prieš vartojant </w:t>
      </w:r>
      <w:proofErr w:type="spellStart"/>
      <w:r w:rsidRPr="001B06E6">
        <w:rPr>
          <w:szCs w:val="22"/>
        </w:rPr>
        <w:t>Fenkarol</w:t>
      </w:r>
      <w:proofErr w:type="spellEnd"/>
    </w:p>
    <w:p w:rsidR="00D510D0" w:rsidRPr="001B06E6" w:rsidRDefault="00D510D0" w:rsidP="00D510D0">
      <w:pPr>
        <w:numPr>
          <w:ilvl w:val="0"/>
          <w:numId w:val="2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 xml:space="preserve">Kaip vartoti </w:t>
      </w:r>
      <w:proofErr w:type="spellStart"/>
      <w:r w:rsidRPr="001B06E6">
        <w:rPr>
          <w:szCs w:val="22"/>
        </w:rPr>
        <w:t>Fenkarol</w:t>
      </w:r>
      <w:proofErr w:type="spellEnd"/>
    </w:p>
    <w:p w:rsidR="00D510D0" w:rsidRPr="001B06E6" w:rsidRDefault="00D510D0" w:rsidP="00D510D0">
      <w:pPr>
        <w:numPr>
          <w:ilvl w:val="0"/>
          <w:numId w:val="2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>Galimas šalutinis poveikis</w:t>
      </w:r>
    </w:p>
    <w:p w:rsidR="00D510D0" w:rsidRPr="001B06E6" w:rsidRDefault="00D510D0" w:rsidP="00D510D0">
      <w:pPr>
        <w:numPr>
          <w:ilvl w:val="0"/>
          <w:numId w:val="2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 xml:space="preserve">Kaip laikyti </w:t>
      </w:r>
      <w:proofErr w:type="spellStart"/>
      <w:r w:rsidRPr="001B06E6">
        <w:rPr>
          <w:szCs w:val="22"/>
        </w:rPr>
        <w:t>Fenkarol</w:t>
      </w:r>
      <w:proofErr w:type="spellEnd"/>
    </w:p>
    <w:p w:rsidR="00D510D0" w:rsidRPr="001B06E6" w:rsidRDefault="00D510D0" w:rsidP="00D510D0">
      <w:pPr>
        <w:numPr>
          <w:ilvl w:val="0"/>
          <w:numId w:val="2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>Pakuotės turinys ir kita informacija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3"/>
        </w:numPr>
        <w:tabs>
          <w:tab w:val="left" w:pos="561"/>
        </w:tabs>
        <w:ind w:left="561" w:hanging="561"/>
        <w:jc w:val="both"/>
        <w:rPr>
          <w:b/>
          <w:szCs w:val="22"/>
        </w:rPr>
      </w:pPr>
      <w:r w:rsidRPr="001B06E6">
        <w:rPr>
          <w:b/>
          <w:szCs w:val="22"/>
        </w:rPr>
        <w:t xml:space="preserve">Kas yra </w:t>
      </w:r>
      <w:proofErr w:type="spellStart"/>
      <w:r w:rsidRPr="001B06E6">
        <w:rPr>
          <w:b/>
          <w:szCs w:val="22"/>
        </w:rPr>
        <w:t>Fenkarol</w:t>
      </w:r>
      <w:proofErr w:type="spellEnd"/>
      <w:r w:rsidRPr="001B06E6">
        <w:rPr>
          <w:b/>
          <w:szCs w:val="22"/>
        </w:rPr>
        <w:t xml:space="preserve"> ir kam jis vartojamas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240"/>
        <w:jc w:val="both"/>
        <w:rPr>
          <w:szCs w:val="22"/>
        </w:rPr>
      </w:pPr>
      <w:r w:rsidRPr="001B06E6">
        <w:rPr>
          <w:szCs w:val="22"/>
        </w:rPr>
        <w:t xml:space="preserve">Veiklioji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medžiaga yra </w:t>
      </w:r>
      <w:proofErr w:type="spellStart"/>
      <w:r w:rsidRPr="001B06E6">
        <w:rPr>
          <w:szCs w:val="22"/>
        </w:rPr>
        <w:t>kvifenadinas</w:t>
      </w:r>
      <w:proofErr w:type="spellEnd"/>
      <w:r w:rsidRPr="001B06E6">
        <w:rPr>
          <w:szCs w:val="22"/>
        </w:rPr>
        <w:t xml:space="preserve">, priskiriamas taip vadinamųjų </w:t>
      </w:r>
      <w:proofErr w:type="spellStart"/>
      <w:r w:rsidRPr="001B06E6">
        <w:rPr>
          <w:szCs w:val="22"/>
        </w:rPr>
        <w:t>antihistamininių</w:t>
      </w:r>
      <w:proofErr w:type="spellEnd"/>
      <w:r w:rsidRPr="001B06E6">
        <w:rPr>
          <w:szCs w:val="22"/>
        </w:rPr>
        <w:t xml:space="preserve"> vaistų grupei. </w:t>
      </w:r>
      <w:proofErr w:type="spellStart"/>
      <w:r w:rsidRPr="001B06E6">
        <w:rPr>
          <w:szCs w:val="22"/>
        </w:rPr>
        <w:t>Kvifenadinas</w:t>
      </w:r>
      <w:proofErr w:type="spellEnd"/>
      <w:r w:rsidRPr="001B06E6">
        <w:rPr>
          <w:szCs w:val="22"/>
        </w:rPr>
        <w:t xml:space="preserve"> mažina </w:t>
      </w:r>
      <w:proofErr w:type="spellStart"/>
      <w:r w:rsidRPr="001B06E6">
        <w:rPr>
          <w:szCs w:val="22"/>
        </w:rPr>
        <w:t>histamino</w:t>
      </w:r>
      <w:proofErr w:type="spellEnd"/>
      <w:r w:rsidRPr="001B06E6">
        <w:rPr>
          <w:szCs w:val="22"/>
        </w:rPr>
        <w:t xml:space="preserve"> poveikį organams ir jų sistemoms, be to, skirtingai nuo įprastinių šios grupės vaistų, jis ne tik blokuoja </w:t>
      </w:r>
      <w:proofErr w:type="spellStart"/>
      <w:r w:rsidRPr="001B06E6">
        <w:rPr>
          <w:szCs w:val="22"/>
        </w:rPr>
        <w:t>histamino</w:t>
      </w:r>
      <w:proofErr w:type="spellEnd"/>
      <w:r w:rsidRPr="001B06E6">
        <w:rPr>
          <w:szCs w:val="22"/>
        </w:rPr>
        <w:t xml:space="preserve"> poveikiui jautrius H</w:t>
      </w:r>
      <w:r w:rsidRPr="001B06E6">
        <w:rPr>
          <w:szCs w:val="22"/>
          <w:vertAlign w:val="subscript"/>
        </w:rPr>
        <w:t>1</w:t>
      </w:r>
      <w:r w:rsidRPr="001B06E6">
        <w:rPr>
          <w:szCs w:val="22"/>
        </w:rPr>
        <w:t xml:space="preserve"> receptorius, bet ir aktyvina </w:t>
      </w:r>
      <w:proofErr w:type="spellStart"/>
      <w:r w:rsidRPr="001B06E6">
        <w:rPr>
          <w:szCs w:val="22"/>
        </w:rPr>
        <w:t>histaminą</w:t>
      </w:r>
      <w:proofErr w:type="spellEnd"/>
      <w:r w:rsidRPr="001B06E6">
        <w:rPr>
          <w:szCs w:val="22"/>
        </w:rPr>
        <w:t xml:space="preserve"> skaidantį fermentą </w:t>
      </w:r>
      <w:proofErr w:type="spellStart"/>
      <w:r w:rsidRPr="001B06E6">
        <w:rPr>
          <w:szCs w:val="22"/>
        </w:rPr>
        <w:t>diaminoksidazę</w:t>
      </w:r>
      <w:proofErr w:type="spellEnd"/>
      <w:r w:rsidRPr="001B06E6">
        <w:rPr>
          <w:szCs w:val="22"/>
        </w:rPr>
        <w:t xml:space="preserve"> (</w:t>
      </w:r>
      <w:proofErr w:type="spellStart"/>
      <w:r w:rsidRPr="001B06E6">
        <w:rPr>
          <w:szCs w:val="22"/>
        </w:rPr>
        <w:t>histaminazę</w:t>
      </w:r>
      <w:proofErr w:type="spellEnd"/>
      <w:r w:rsidRPr="001B06E6">
        <w:rPr>
          <w:szCs w:val="22"/>
        </w:rPr>
        <w:t xml:space="preserve">), todėl audiniuose sumažėja </w:t>
      </w:r>
      <w:proofErr w:type="spellStart"/>
      <w:r w:rsidRPr="001B06E6">
        <w:rPr>
          <w:szCs w:val="22"/>
        </w:rPr>
        <w:t>histamino</w:t>
      </w:r>
      <w:proofErr w:type="spellEnd"/>
      <w:r w:rsidRPr="001B06E6">
        <w:rPr>
          <w:szCs w:val="22"/>
        </w:rPr>
        <w:t xml:space="preserve"> kiekis.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160"/>
        <w:jc w:val="both"/>
        <w:rPr>
          <w:szCs w:val="22"/>
        </w:rPr>
      </w:pP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vartojamas simptominiam alerginės slogos (su akies junginės uždegimu ar be jo), dermatito (egzemos, dilgėlinės) ir niežulio gydymui.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4"/>
        </w:numPr>
        <w:tabs>
          <w:tab w:val="left" w:pos="561"/>
        </w:tabs>
        <w:ind w:left="561" w:hanging="561"/>
        <w:jc w:val="both"/>
        <w:rPr>
          <w:b/>
          <w:szCs w:val="22"/>
        </w:rPr>
      </w:pPr>
      <w:r w:rsidRPr="001B06E6">
        <w:rPr>
          <w:b/>
          <w:szCs w:val="22"/>
        </w:rPr>
        <w:t xml:space="preserve">Kas žinotina prieš vartojant </w:t>
      </w:r>
      <w:proofErr w:type="spellStart"/>
      <w:r w:rsidRPr="001B06E6">
        <w:rPr>
          <w:b/>
          <w:szCs w:val="22"/>
        </w:rPr>
        <w:t>Fenkarol</w:t>
      </w:r>
      <w:proofErr w:type="spellEnd"/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proofErr w:type="spellStart"/>
      <w:r w:rsidRPr="001B06E6">
        <w:rPr>
          <w:b/>
          <w:szCs w:val="22"/>
        </w:rPr>
        <w:t>Fenkarol</w:t>
      </w:r>
      <w:proofErr w:type="spellEnd"/>
      <w:r w:rsidRPr="001B06E6">
        <w:rPr>
          <w:b/>
          <w:szCs w:val="22"/>
        </w:rPr>
        <w:t xml:space="preserve"> vartoti draudžiama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5"/>
        </w:numPr>
        <w:tabs>
          <w:tab w:val="left" w:pos="561"/>
        </w:tabs>
        <w:ind w:left="561" w:right="123" w:hanging="561"/>
        <w:jc w:val="both"/>
        <w:rPr>
          <w:szCs w:val="22"/>
        </w:rPr>
      </w:pPr>
      <w:r w:rsidRPr="001B06E6">
        <w:rPr>
          <w:szCs w:val="22"/>
        </w:rPr>
        <w:t xml:space="preserve">jeigu yra alergija </w:t>
      </w:r>
      <w:proofErr w:type="spellStart"/>
      <w:r w:rsidRPr="001B06E6">
        <w:rPr>
          <w:szCs w:val="22"/>
        </w:rPr>
        <w:t>kvifenadino</w:t>
      </w:r>
      <w:proofErr w:type="spellEnd"/>
      <w:r w:rsidRPr="001B06E6">
        <w:rPr>
          <w:szCs w:val="22"/>
        </w:rPr>
        <w:t xml:space="preserve"> hidrochloridui arba bet kuriai pagalbinei šio vaisto medžiagai (jos išvardytos 6 skyriuje);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5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 xml:space="preserve">pirmaisiais </w:t>
      </w:r>
      <w:proofErr w:type="spellStart"/>
      <w:r w:rsidRPr="001B06E6">
        <w:rPr>
          <w:szCs w:val="22"/>
        </w:rPr>
        <w:t>trim</w:t>
      </w:r>
      <w:proofErr w:type="spellEnd"/>
      <w:r w:rsidRPr="001B06E6">
        <w:rPr>
          <w:szCs w:val="22"/>
        </w:rPr>
        <w:t xml:space="preserve"> nėštumo mėnesiais.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>Įspėjimai ir atsargumo priemonės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 xml:space="preserve">Pasitarkite su gydytoju arba vaistininku, prieš pradėdami vartoti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>: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6"/>
        </w:numPr>
        <w:tabs>
          <w:tab w:val="left" w:pos="561"/>
        </w:tabs>
        <w:ind w:left="561" w:right="100" w:hanging="561"/>
        <w:jc w:val="both"/>
        <w:rPr>
          <w:szCs w:val="22"/>
        </w:rPr>
      </w:pPr>
      <w:r w:rsidRPr="001B06E6">
        <w:rPr>
          <w:szCs w:val="22"/>
        </w:rPr>
        <w:t>jeigu sergate sunkiomis širdies ir kraujagyslių sistemos, virškinimo trakto, kepenų ir (ar) inkstų ligomis;</w:t>
      </w:r>
    </w:p>
    <w:p w:rsidR="00D510D0" w:rsidRPr="001B06E6" w:rsidRDefault="00D510D0" w:rsidP="00D510D0">
      <w:pPr>
        <w:numPr>
          <w:ilvl w:val="0"/>
          <w:numId w:val="6"/>
        </w:numPr>
        <w:tabs>
          <w:tab w:val="left" w:pos="561"/>
        </w:tabs>
        <w:ind w:left="561" w:hanging="561"/>
        <w:jc w:val="both"/>
        <w:rPr>
          <w:szCs w:val="22"/>
        </w:rPr>
      </w:pPr>
      <w:r w:rsidRPr="001B06E6">
        <w:rPr>
          <w:szCs w:val="22"/>
        </w:rPr>
        <w:t xml:space="preserve">jeigu esate nėščia (per paskutinius 6 nėštumo mėnesius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vartoti nerekomenduojama).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>Vaikams ir paaugliams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proofErr w:type="spellStart"/>
      <w:r w:rsidRPr="001B06E6">
        <w:rPr>
          <w:szCs w:val="22"/>
        </w:rPr>
        <w:lastRenderedPageBreak/>
        <w:t>Fenkarol</w:t>
      </w:r>
      <w:proofErr w:type="spellEnd"/>
      <w:r w:rsidRPr="001B06E6">
        <w:rPr>
          <w:szCs w:val="22"/>
        </w:rPr>
        <w:t xml:space="preserve"> netinka vartoti jaunesniems kaip 12 metų vaikams.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 xml:space="preserve">Kiti vaistai ir </w:t>
      </w:r>
      <w:proofErr w:type="spellStart"/>
      <w:r w:rsidRPr="001B06E6">
        <w:rPr>
          <w:b/>
          <w:szCs w:val="22"/>
        </w:rPr>
        <w:t>Fenkarol</w:t>
      </w:r>
      <w:proofErr w:type="spellEnd"/>
    </w:p>
    <w:p w:rsidR="00D510D0" w:rsidRPr="001B06E6" w:rsidRDefault="00D510D0" w:rsidP="00D510D0">
      <w:pPr>
        <w:ind w:left="1" w:right="80"/>
        <w:jc w:val="both"/>
        <w:rPr>
          <w:szCs w:val="22"/>
        </w:rPr>
      </w:pPr>
      <w:bookmarkStart w:id="2" w:name="page2"/>
      <w:bookmarkEnd w:id="2"/>
      <w:r w:rsidRPr="001B06E6">
        <w:rPr>
          <w:szCs w:val="22"/>
        </w:rPr>
        <w:t>Jeigu vartojate ar neseniai vartojote kitų vaistų arba dėl to nesate tikri, apie tai pasakykite gydytojui arba vaistininkui.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100"/>
        <w:jc w:val="both"/>
        <w:rPr>
          <w:szCs w:val="22"/>
        </w:rPr>
      </w:pPr>
      <w:r w:rsidRPr="001B06E6">
        <w:rPr>
          <w:szCs w:val="22"/>
        </w:rPr>
        <w:t xml:space="preserve">Vaistas gali sulėtinti virškinimo trakto motoriką, todėl į kraują gali patekti daugiau lėtai pasisavinamų vaistų, pvz., netiesioginio poveikio krešėjimą slopinančių vaistų, tokių kaip </w:t>
      </w:r>
      <w:proofErr w:type="spellStart"/>
      <w:r w:rsidRPr="001B06E6">
        <w:rPr>
          <w:szCs w:val="22"/>
        </w:rPr>
        <w:t>varfarinas</w:t>
      </w:r>
      <w:proofErr w:type="spellEnd"/>
      <w:r w:rsidRPr="001B06E6">
        <w:rPr>
          <w:szCs w:val="22"/>
        </w:rPr>
        <w:t>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proofErr w:type="spellStart"/>
      <w:r w:rsidRPr="001B06E6">
        <w:rPr>
          <w:b/>
          <w:szCs w:val="22"/>
        </w:rPr>
        <w:t>Fenkarol</w:t>
      </w:r>
      <w:proofErr w:type="spellEnd"/>
      <w:r w:rsidRPr="001B06E6">
        <w:rPr>
          <w:b/>
          <w:szCs w:val="22"/>
        </w:rPr>
        <w:t xml:space="preserve"> vartojimas su maistu ir alkoholiu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nestiprina alkoholio sukeliamo CNS slopinimo.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 xml:space="preserve">Maisto ir </w:t>
      </w:r>
      <w:proofErr w:type="spellStart"/>
      <w:r w:rsidRPr="001B06E6">
        <w:rPr>
          <w:szCs w:val="22"/>
        </w:rPr>
        <w:t>kvifenadino</w:t>
      </w:r>
      <w:proofErr w:type="spellEnd"/>
      <w:r w:rsidRPr="001B06E6">
        <w:rPr>
          <w:szCs w:val="22"/>
        </w:rPr>
        <w:t xml:space="preserve"> sąveika nebuvo tirta.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>Nėštumas ir žindymo laikotarpis</w:t>
      </w:r>
    </w:p>
    <w:p w:rsidR="00D510D0" w:rsidRPr="001B06E6" w:rsidRDefault="00D510D0" w:rsidP="00D510D0">
      <w:pPr>
        <w:ind w:left="1"/>
        <w:jc w:val="both"/>
        <w:rPr>
          <w:i/>
          <w:szCs w:val="22"/>
        </w:rPr>
      </w:pPr>
      <w:r w:rsidRPr="001B06E6">
        <w:rPr>
          <w:i/>
          <w:szCs w:val="22"/>
        </w:rPr>
        <w:t>Nėštumas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123"/>
        <w:jc w:val="both"/>
        <w:rPr>
          <w:szCs w:val="22"/>
        </w:rPr>
      </w:pPr>
      <w:r w:rsidRPr="001B06E6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 xml:space="preserve">Per pirmąjį nėštumo trimestrą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tablečių vartoti draudžiama (žr. </w:t>
      </w:r>
      <w:proofErr w:type="spellStart"/>
      <w:r w:rsidRPr="001B06E6">
        <w:rPr>
          <w:i/>
          <w:szCs w:val="22"/>
        </w:rPr>
        <w:t>Fenkarol</w:t>
      </w:r>
      <w:proofErr w:type="spellEnd"/>
      <w:r w:rsidRPr="001B06E6">
        <w:rPr>
          <w:i/>
          <w:szCs w:val="22"/>
        </w:rPr>
        <w:t xml:space="preserve"> vartoti negalima</w:t>
      </w:r>
      <w:r w:rsidRPr="001B06E6">
        <w:rPr>
          <w:szCs w:val="22"/>
        </w:rPr>
        <w:t>).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 xml:space="preserve">Per paskutinius 6 nėštumo mėnesius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vartoti nerekomenduojama.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i/>
          <w:szCs w:val="22"/>
        </w:rPr>
      </w:pPr>
      <w:r w:rsidRPr="001B06E6">
        <w:rPr>
          <w:i/>
          <w:szCs w:val="22"/>
        </w:rPr>
        <w:t>Žindymo laikotarpis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265"/>
        <w:jc w:val="both"/>
        <w:rPr>
          <w:szCs w:val="22"/>
        </w:rPr>
      </w:pPr>
      <w:r w:rsidRPr="001B06E6">
        <w:rPr>
          <w:szCs w:val="22"/>
        </w:rPr>
        <w:t xml:space="preserve">Nėra žinoma, ar </w:t>
      </w:r>
      <w:proofErr w:type="spellStart"/>
      <w:r w:rsidRPr="001B06E6">
        <w:rPr>
          <w:szCs w:val="22"/>
        </w:rPr>
        <w:t>kvifenadinas</w:t>
      </w:r>
      <w:proofErr w:type="spellEnd"/>
      <w:r w:rsidRPr="001B06E6">
        <w:rPr>
          <w:szCs w:val="22"/>
        </w:rPr>
        <w:t xml:space="preserve"> išsiskiria su pienu, nežinoma, todėl žindyvėms šio vaisto vartoti nerekomenduojama.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>Vairavimas ir mechanizmų valdymas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200"/>
        <w:jc w:val="both"/>
        <w:rPr>
          <w:szCs w:val="22"/>
        </w:rPr>
      </w:pPr>
      <w:r w:rsidRPr="001B06E6">
        <w:rPr>
          <w:szCs w:val="22"/>
        </w:rPr>
        <w:t>Vaistas gali sukelti mieguistumą, kuris gali paveikti gebėjimą vairuoti ir valdyti mechanizmus. Jei pasireiškia mieguistumas, negalima užsiimti budrumo reikalaujančia veikla, tokia kaip vairavimas ar mechanizmų valdymas.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proofErr w:type="spellStart"/>
      <w:r w:rsidRPr="001B06E6">
        <w:rPr>
          <w:b/>
          <w:szCs w:val="22"/>
        </w:rPr>
        <w:t>Fenkarol</w:t>
      </w:r>
      <w:proofErr w:type="spellEnd"/>
      <w:r w:rsidRPr="001B06E6">
        <w:rPr>
          <w:b/>
          <w:szCs w:val="22"/>
        </w:rPr>
        <w:t xml:space="preserve"> sudėtyje yra sacharozės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123"/>
        <w:jc w:val="both"/>
        <w:rPr>
          <w:szCs w:val="22"/>
        </w:rPr>
      </w:pPr>
      <w:r w:rsidRPr="001B06E6">
        <w:rPr>
          <w:szCs w:val="22"/>
        </w:rPr>
        <w:t>Jeigu gydytojas Jums yra sakęs, kad netoleruojate kokių nors angliavandenių, kreipkitės į jį prieš pradėdami vartoti šį vaistą.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7"/>
        </w:numPr>
        <w:tabs>
          <w:tab w:val="left" w:pos="561"/>
        </w:tabs>
        <w:ind w:left="561" w:hanging="561"/>
        <w:jc w:val="both"/>
        <w:rPr>
          <w:b/>
          <w:szCs w:val="22"/>
        </w:rPr>
      </w:pPr>
      <w:r w:rsidRPr="001B06E6">
        <w:rPr>
          <w:b/>
          <w:szCs w:val="22"/>
        </w:rPr>
        <w:t xml:space="preserve">Kaip vartoti </w:t>
      </w:r>
      <w:proofErr w:type="spellStart"/>
      <w:r w:rsidRPr="001B06E6">
        <w:rPr>
          <w:b/>
          <w:szCs w:val="22"/>
        </w:rPr>
        <w:t>Fenkarol</w:t>
      </w:r>
      <w:proofErr w:type="spellEnd"/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265"/>
        <w:jc w:val="both"/>
        <w:rPr>
          <w:szCs w:val="22"/>
        </w:rPr>
      </w:pPr>
      <w:r w:rsidRPr="001B06E6">
        <w:rPr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 xml:space="preserve">Vartoti per burną.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tabletės yra geriamos iš karto po valgio.</w:t>
      </w:r>
    </w:p>
    <w:p w:rsidR="00D510D0" w:rsidRPr="001B06E6" w:rsidRDefault="00D510D0" w:rsidP="00D510D0">
      <w:pPr>
        <w:ind w:right="340"/>
        <w:jc w:val="both"/>
        <w:rPr>
          <w:i/>
          <w:szCs w:val="22"/>
        </w:rPr>
      </w:pPr>
    </w:p>
    <w:p w:rsidR="00D510D0" w:rsidRPr="001B06E6" w:rsidRDefault="00D510D0" w:rsidP="00D510D0">
      <w:pPr>
        <w:ind w:left="1" w:right="340"/>
        <w:jc w:val="both"/>
        <w:rPr>
          <w:i/>
          <w:szCs w:val="22"/>
        </w:rPr>
      </w:pPr>
      <w:r w:rsidRPr="001B06E6">
        <w:rPr>
          <w:i/>
          <w:szCs w:val="22"/>
        </w:rPr>
        <w:t>Suaugusiesiems žmonėms</w:t>
      </w:r>
    </w:p>
    <w:p w:rsidR="00D510D0" w:rsidRPr="001B06E6" w:rsidRDefault="00D510D0" w:rsidP="00D510D0">
      <w:pPr>
        <w:ind w:left="1" w:right="340"/>
        <w:jc w:val="both"/>
        <w:rPr>
          <w:szCs w:val="22"/>
        </w:rPr>
      </w:pPr>
      <w:r w:rsidRPr="001B06E6">
        <w:rPr>
          <w:szCs w:val="22"/>
        </w:rPr>
        <w:t>Dozė yra</w:t>
      </w:r>
      <w:r w:rsidRPr="001B06E6">
        <w:rPr>
          <w:i/>
          <w:szCs w:val="22"/>
        </w:rPr>
        <w:t xml:space="preserve"> </w:t>
      </w:r>
      <w:r w:rsidRPr="001B06E6">
        <w:rPr>
          <w:szCs w:val="22"/>
        </w:rPr>
        <w:t>25-50 mg (1-2</w:t>
      </w:r>
      <w:r w:rsidRPr="001B06E6">
        <w:rPr>
          <w:i/>
          <w:szCs w:val="22"/>
        </w:rPr>
        <w:t xml:space="preserve"> </w:t>
      </w:r>
      <w:r w:rsidRPr="001B06E6">
        <w:rPr>
          <w:szCs w:val="22"/>
        </w:rPr>
        <w:t>tabletės) 2-4 kartus per dieną.</w:t>
      </w:r>
      <w:r w:rsidRPr="001B06E6">
        <w:rPr>
          <w:i/>
          <w:szCs w:val="22"/>
        </w:rPr>
        <w:t xml:space="preserve"> </w:t>
      </w:r>
      <w:r w:rsidRPr="001B06E6">
        <w:rPr>
          <w:szCs w:val="22"/>
        </w:rPr>
        <w:t>Didžiausia paros</w:t>
      </w:r>
      <w:r w:rsidRPr="001B06E6">
        <w:rPr>
          <w:i/>
          <w:szCs w:val="22"/>
        </w:rPr>
        <w:t xml:space="preserve"> </w:t>
      </w:r>
      <w:r w:rsidRPr="001B06E6">
        <w:rPr>
          <w:szCs w:val="22"/>
        </w:rPr>
        <w:t>dozė yra 200 mg.</w:t>
      </w:r>
    </w:p>
    <w:p w:rsidR="00D510D0" w:rsidRPr="001B06E6" w:rsidRDefault="00D510D0" w:rsidP="00D510D0">
      <w:pPr>
        <w:tabs>
          <w:tab w:val="left" w:pos="567"/>
        </w:tabs>
        <w:jc w:val="both"/>
        <w:rPr>
          <w:szCs w:val="22"/>
        </w:rPr>
      </w:pPr>
      <w:r w:rsidRPr="001B06E6">
        <w:rPr>
          <w:szCs w:val="22"/>
        </w:rPr>
        <w:t>Gydoma 10</w:t>
      </w:r>
      <w:r w:rsidRPr="001B06E6">
        <w:rPr>
          <w:iCs/>
          <w:szCs w:val="22"/>
        </w:rPr>
        <w:t>-</w:t>
      </w:r>
      <w:r w:rsidRPr="001B06E6">
        <w:rPr>
          <w:szCs w:val="22"/>
        </w:rPr>
        <w:t>20 parų. Prireikus gydymo kursą galima pakartoti.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Jeigu per 3 dienas Jūsų savijauta nepagerėjo arba net pablogėjo, kreipkitės į gydytoją.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i/>
          <w:szCs w:val="22"/>
        </w:rPr>
        <w:t>Senyviems pacientams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Dozės koreguoti nereikia,</w:t>
      </w:r>
      <w:r w:rsidRPr="001B06E6">
        <w:rPr>
          <w:i/>
          <w:szCs w:val="22"/>
        </w:rPr>
        <w:t xml:space="preserve"> </w:t>
      </w:r>
      <w:r w:rsidRPr="001B06E6">
        <w:rPr>
          <w:szCs w:val="22"/>
        </w:rPr>
        <w:t>esant normaliai inkstų ir kepenų funkcijai.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>Vartojimas vaikams ir paaugliams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12 metų ir vyresniems paaugliams dozė yra 25 mg (1 tabletė) 2-3 kartus per dieną.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tabs>
          <w:tab w:val="left" w:pos="567"/>
        </w:tabs>
        <w:jc w:val="both"/>
        <w:rPr>
          <w:szCs w:val="22"/>
        </w:rPr>
      </w:pPr>
      <w:r w:rsidRPr="001B06E6">
        <w:rPr>
          <w:szCs w:val="22"/>
        </w:rPr>
        <w:t>Gydoma 10</w:t>
      </w:r>
      <w:r w:rsidRPr="001B06E6">
        <w:rPr>
          <w:iCs/>
          <w:szCs w:val="22"/>
        </w:rPr>
        <w:t>-</w:t>
      </w:r>
      <w:r w:rsidRPr="001B06E6">
        <w:rPr>
          <w:szCs w:val="22"/>
        </w:rPr>
        <w:t>15 parų. Prireikus gydymo kursą galima pakartoti.</w:t>
      </w:r>
    </w:p>
    <w:p w:rsidR="00D510D0" w:rsidRPr="001B06E6" w:rsidRDefault="00D510D0" w:rsidP="00D510D0">
      <w:pPr>
        <w:tabs>
          <w:tab w:val="left" w:pos="567"/>
        </w:tabs>
        <w:jc w:val="both"/>
        <w:rPr>
          <w:szCs w:val="22"/>
        </w:rPr>
      </w:pP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netinka vartoti jaunesniems kaip 12 metų vaikams.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i/>
          <w:iCs/>
          <w:szCs w:val="22"/>
        </w:rPr>
      </w:pPr>
      <w:r w:rsidRPr="001B06E6">
        <w:rPr>
          <w:i/>
          <w:iCs/>
          <w:szCs w:val="22"/>
        </w:rPr>
        <w:t>Pacientams, kurių inkstų ir (arba) kepenų funkcija sutrikusi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Jeigu Jūsų inkstų ir (arba) kepenų veikla sutrikusi dėl vaisto vartojimo reikia pasitarti su gydytoju.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 xml:space="preserve">Jeigu manote, kad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veikia per stipriai arba per silpnai, kreipkitės į gydytoją arba vaistininką.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 xml:space="preserve">Ką daryti pavartojus per didelę </w:t>
      </w:r>
      <w:proofErr w:type="spellStart"/>
      <w:r w:rsidRPr="001B06E6">
        <w:rPr>
          <w:b/>
          <w:szCs w:val="22"/>
        </w:rPr>
        <w:t>Fenkarol</w:t>
      </w:r>
      <w:proofErr w:type="spellEnd"/>
      <w:r w:rsidRPr="001B06E6">
        <w:rPr>
          <w:b/>
          <w:szCs w:val="22"/>
        </w:rPr>
        <w:t xml:space="preserve"> dozę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123"/>
        <w:jc w:val="both"/>
        <w:rPr>
          <w:szCs w:val="22"/>
        </w:rPr>
      </w:pPr>
      <w:r w:rsidRPr="001B06E6">
        <w:rPr>
          <w:szCs w:val="22"/>
        </w:rPr>
        <w:t xml:space="preserve">Jeigu pavartojote per didelę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dozę, gali pasireikšti gleivinės sausumas, galvos skausmas, vėmimas, skausmas viršutinėje pilvo dalyje ir kitoks virškinimo negalavimas. Įtarus, jog vaisto perdozuota, reikia kreiptis į gydytoją.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bookmarkStart w:id="3" w:name="page3"/>
      <w:bookmarkEnd w:id="3"/>
      <w:r w:rsidRPr="001B06E6">
        <w:rPr>
          <w:b/>
          <w:szCs w:val="22"/>
        </w:rPr>
        <w:t xml:space="preserve">Pamiršus pavartoti </w:t>
      </w:r>
      <w:proofErr w:type="spellStart"/>
      <w:r w:rsidRPr="001B06E6">
        <w:rPr>
          <w:b/>
          <w:szCs w:val="22"/>
        </w:rPr>
        <w:t>Fenkarol</w:t>
      </w:r>
      <w:proofErr w:type="spellEnd"/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 xml:space="preserve">Jeigu pamiršote pavartoti </w:t>
      </w: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>, užmirštą dozę praleiskite ir vaisto vartokite įprastu metu.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Negalima vartoti dvigubos dozės norint kompensuoti praleistą dozę.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 xml:space="preserve">Nustojus vartoti </w:t>
      </w:r>
      <w:proofErr w:type="spellStart"/>
      <w:r w:rsidRPr="001B06E6">
        <w:rPr>
          <w:b/>
          <w:szCs w:val="22"/>
        </w:rPr>
        <w:t>Fenkarol</w:t>
      </w:r>
      <w:proofErr w:type="spellEnd"/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Jeigu kiltų daugiau klausimų dėl šio vaisto vartojimo, kreipkitės į gydytoją arba vaistininką.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8"/>
        </w:numPr>
        <w:tabs>
          <w:tab w:val="left" w:pos="561"/>
        </w:tabs>
        <w:ind w:left="561" w:hanging="561"/>
        <w:jc w:val="both"/>
        <w:rPr>
          <w:b/>
          <w:szCs w:val="22"/>
        </w:rPr>
      </w:pPr>
      <w:r w:rsidRPr="001B06E6">
        <w:rPr>
          <w:b/>
          <w:szCs w:val="22"/>
        </w:rPr>
        <w:t>Galimas šalutinis poveikis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noProof/>
          <w:snapToGrid w:val="0"/>
          <w:szCs w:val="22"/>
          <w:lang w:eastAsia="en-US"/>
        </w:rPr>
      </w:pPr>
      <w:r w:rsidRPr="001B06E6">
        <w:rPr>
          <w:szCs w:val="22"/>
        </w:rPr>
        <w:t>Šis vaistas, kaip ir visi kiti, gali sukelti šalutinį poveikį, nors jis pasireiškia ne visiems žmonėms.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i/>
          <w:szCs w:val="22"/>
        </w:rPr>
      </w:pPr>
      <w:r w:rsidRPr="001B06E6">
        <w:rPr>
          <w:b/>
          <w:bCs/>
          <w:noProof/>
          <w:snapToGrid w:val="0"/>
          <w:szCs w:val="22"/>
          <w:lang w:eastAsia="en-US"/>
        </w:rPr>
        <w:t xml:space="preserve">Dažni šalutinio poveikio reiškiniai (gali pasireikšti rečiau kaip 1 iš 10 asmenų): </w:t>
      </w:r>
    </w:p>
    <w:p w:rsidR="00D510D0" w:rsidRPr="001B06E6" w:rsidRDefault="00D510D0" w:rsidP="00D510D0">
      <w:pPr>
        <w:pStyle w:val="Sraopastraipa"/>
        <w:numPr>
          <w:ilvl w:val="0"/>
          <w:numId w:val="13"/>
        </w:numPr>
        <w:tabs>
          <w:tab w:val="left" w:pos="421"/>
        </w:tabs>
        <w:jc w:val="both"/>
        <w:rPr>
          <w:szCs w:val="22"/>
        </w:rPr>
      </w:pPr>
      <w:r w:rsidRPr="001B06E6">
        <w:rPr>
          <w:szCs w:val="22"/>
        </w:rPr>
        <w:t>burnos džiūvimas.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tabs>
          <w:tab w:val="left" w:pos="421"/>
        </w:tabs>
        <w:jc w:val="both"/>
        <w:rPr>
          <w:i/>
          <w:szCs w:val="22"/>
        </w:rPr>
      </w:pPr>
      <w:r w:rsidRPr="001B06E6">
        <w:rPr>
          <w:b/>
          <w:bCs/>
          <w:noProof/>
          <w:snapToGrid w:val="0"/>
          <w:szCs w:val="22"/>
          <w:lang w:eastAsia="en-US"/>
        </w:rPr>
        <w:t xml:space="preserve">Nedažni šalutinio poveikio reiškiniai (gali pasireikšti rečiau kaip 1 iš 100 asmenų): </w:t>
      </w:r>
    </w:p>
    <w:p w:rsidR="00D510D0" w:rsidRPr="001B06E6" w:rsidRDefault="00D510D0" w:rsidP="00D510D0">
      <w:pPr>
        <w:numPr>
          <w:ilvl w:val="0"/>
          <w:numId w:val="9"/>
        </w:numPr>
        <w:tabs>
          <w:tab w:val="left" w:pos="421"/>
        </w:tabs>
        <w:ind w:left="421" w:hanging="344"/>
        <w:jc w:val="both"/>
        <w:rPr>
          <w:szCs w:val="22"/>
        </w:rPr>
      </w:pPr>
      <w:r w:rsidRPr="001B06E6">
        <w:rPr>
          <w:szCs w:val="22"/>
        </w:rPr>
        <w:t>galvos skausmas;</w:t>
      </w:r>
    </w:p>
    <w:p w:rsidR="00D510D0" w:rsidRPr="00F27022" w:rsidRDefault="00D510D0" w:rsidP="00D510D0">
      <w:pPr>
        <w:numPr>
          <w:ilvl w:val="0"/>
          <w:numId w:val="9"/>
        </w:numPr>
        <w:tabs>
          <w:tab w:val="left" w:pos="421"/>
        </w:tabs>
        <w:ind w:left="421" w:hanging="354"/>
        <w:jc w:val="both"/>
        <w:rPr>
          <w:szCs w:val="22"/>
        </w:rPr>
      </w:pPr>
      <w:r w:rsidRPr="001B06E6">
        <w:rPr>
          <w:szCs w:val="22"/>
        </w:rPr>
        <w:t>mieguistumas;</w:t>
      </w:r>
    </w:p>
    <w:p w:rsidR="00D510D0" w:rsidRPr="001B06E6" w:rsidRDefault="00D510D0" w:rsidP="00D510D0">
      <w:pPr>
        <w:numPr>
          <w:ilvl w:val="0"/>
          <w:numId w:val="9"/>
        </w:numPr>
        <w:tabs>
          <w:tab w:val="left" w:pos="421"/>
        </w:tabs>
        <w:ind w:left="421" w:right="900" w:hanging="354"/>
        <w:jc w:val="both"/>
        <w:rPr>
          <w:szCs w:val="22"/>
        </w:rPr>
      </w:pPr>
      <w:r w:rsidRPr="001B06E6">
        <w:rPr>
          <w:szCs w:val="22"/>
        </w:rPr>
        <w:t>virškinamojo trakto sutrikimai (pykinimas, vėmimas), kurie paprastai išnyksta, kai dozė sumažinama arba vaistas pasišalina.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r w:rsidRPr="001B06E6">
        <w:rPr>
          <w:b/>
          <w:szCs w:val="22"/>
        </w:rPr>
        <w:t>Pranešimas apie šalutinį poveikį</w:t>
      </w:r>
    </w:p>
    <w:p w:rsidR="00D510D0" w:rsidRPr="001B06E6" w:rsidRDefault="00D510D0" w:rsidP="00D510D0">
      <w:pPr>
        <w:tabs>
          <w:tab w:val="left" w:pos="567"/>
        </w:tabs>
        <w:ind w:right="-1"/>
        <w:jc w:val="both"/>
        <w:rPr>
          <w:snapToGrid w:val="0"/>
          <w:szCs w:val="22"/>
        </w:rPr>
      </w:pPr>
      <w:r w:rsidRPr="001B06E6">
        <w:rPr>
          <w:snapToGrid w:val="0"/>
          <w:szCs w:val="22"/>
        </w:rPr>
        <w:t xml:space="preserve">Jeigu pasireiškė šalutinis poveikis, įskaitant šiame lapelyje nenurodytą, pasakykite gydytojui arba vaistininkui. </w:t>
      </w:r>
      <w:r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Cs w:val="22"/>
          <w:u w:val="single"/>
        </w:rPr>
        <w:t>https://vvkt.lrv.lt/lt/</w:t>
      </w:r>
      <w:r>
        <w:rPr>
          <w:szCs w:val="22"/>
        </w:rPr>
        <w:t xml:space="preserve"> nurodytais būdais arba paskambinti nemokamu telefonu 8 800 73 568. Pranešdami apie šalutinį poveikį galite mums padėti gauti daugiau informacijos apie šio vaisto saugumą.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10"/>
        </w:numPr>
        <w:tabs>
          <w:tab w:val="left" w:pos="561"/>
        </w:tabs>
        <w:ind w:left="561" w:hanging="561"/>
        <w:jc w:val="both"/>
        <w:rPr>
          <w:b/>
          <w:szCs w:val="22"/>
        </w:rPr>
      </w:pPr>
      <w:r w:rsidRPr="001B06E6">
        <w:rPr>
          <w:b/>
          <w:szCs w:val="22"/>
        </w:rPr>
        <w:t xml:space="preserve">Kaip laikyti </w:t>
      </w:r>
      <w:proofErr w:type="spellStart"/>
      <w:r w:rsidRPr="001B06E6">
        <w:rPr>
          <w:b/>
          <w:szCs w:val="22"/>
        </w:rPr>
        <w:t>Fenkarol</w:t>
      </w:r>
      <w:proofErr w:type="spellEnd"/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Šį vaistą laikykite vaikams nepastebimoje ir nepasiekiamoje vietoje.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Laikyti ne aukštesnėje kaip 25 ºC temperatūroje.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r w:rsidRPr="001B06E6">
        <w:rPr>
          <w:szCs w:val="22"/>
        </w:rPr>
        <w:t>Laikyti gamintojo pakuotėje, kad vaistas būtų apsaugotas nuo šviesos ir drėgmės.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123"/>
        <w:jc w:val="both"/>
        <w:rPr>
          <w:szCs w:val="22"/>
        </w:rPr>
      </w:pPr>
      <w:r w:rsidRPr="001B06E6">
        <w:rPr>
          <w:szCs w:val="22"/>
        </w:rPr>
        <w:t>Ant dėžutės po „EXP“ nurodytam tinkamumo laikui pasibaigus, šio vaisto vartoti negalima. Vaistas tinkamas vartoti iki paskutinės nurodyto mėnesio dienos.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 w:right="123"/>
        <w:jc w:val="both"/>
        <w:rPr>
          <w:szCs w:val="22"/>
        </w:rPr>
      </w:pPr>
      <w:r w:rsidRPr="001B06E6">
        <w:rPr>
          <w:szCs w:val="22"/>
        </w:rPr>
        <w:t xml:space="preserve">Vaistų negalima </w:t>
      </w:r>
      <w:bookmarkStart w:id="4" w:name="_Hlk92459249"/>
      <w:r w:rsidRPr="001B06E6">
        <w:rPr>
          <w:szCs w:val="22"/>
        </w:rPr>
        <w:t>išmesti</w:t>
      </w:r>
      <w:bookmarkEnd w:id="4"/>
      <w:r w:rsidRPr="001B06E6">
        <w:rPr>
          <w:szCs w:val="22"/>
        </w:rPr>
        <w:t xml:space="preserve"> į kanalizaciją arba su buitinėmis atliekomis. Kaip išmesti nereikalingus vaistus, klauskite vaistininko. Šios priemonės padės apsaugoti aplinką.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numPr>
          <w:ilvl w:val="0"/>
          <w:numId w:val="11"/>
        </w:numPr>
        <w:tabs>
          <w:tab w:val="left" w:pos="561"/>
        </w:tabs>
        <w:ind w:left="561" w:hanging="561"/>
        <w:jc w:val="both"/>
        <w:rPr>
          <w:b/>
          <w:szCs w:val="22"/>
        </w:rPr>
      </w:pPr>
      <w:r w:rsidRPr="001B06E6">
        <w:rPr>
          <w:b/>
          <w:szCs w:val="22"/>
        </w:rPr>
        <w:t>Pakuotės turinys ir kita informacija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871324" w:rsidRDefault="00D510D0" w:rsidP="00D510D0">
      <w:pPr>
        <w:ind w:left="1"/>
        <w:jc w:val="both"/>
        <w:rPr>
          <w:b/>
          <w:szCs w:val="22"/>
        </w:rPr>
      </w:pPr>
      <w:proofErr w:type="spellStart"/>
      <w:r w:rsidRPr="001B06E6">
        <w:rPr>
          <w:b/>
          <w:szCs w:val="22"/>
        </w:rPr>
        <w:t>Fenkarol</w:t>
      </w:r>
      <w:proofErr w:type="spellEnd"/>
      <w:r w:rsidRPr="001B06E6">
        <w:rPr>
          <w:b/>
          <w:szCs w:val="22"/>
        </w:rPr>
        <w:t xml:space="preserve"> sudėtis</w:t>
      </w:r>
    </w:p>
    <w:p w:rsidR="00D510D0" w:rsidRPr="00871324" w:rsidRDefault="00D510D0" w:rsidP="00D510D0">
      <w:pPr>
        <w:numPr>
          <w:ilvl w:val="0"/>
          <w:numId w:val="12"/>
        </w:numPr>
        <w:tabs>
          <w:tab w:val="left" w:pos="284"/>
        </w:tabs>
        <w:ind w:left="284" w:right="123" w:hanging="284"/>
        <w:jc w:val="both"/>
        <w:rPr>
          <w:szCs w:val="22"/>
        </w:rPr>
      </w:pPr>
      <w:r w:rsidRPr="001B06E6">
        <w:rPr>
          <w:szCs w:val="22"/>
        </w:rPr>
        <w:t xml:space="preserve">Veiklioji medžiaga yra </w:t>
      </w:r>
      <w:proofErr w:type="spellStart"/>
      <w:r w:rsidRPr="001B06E6">
        <w:rPr>
          <w:szCs w:val="22"/>
        </w:rPr>
        <w:t>kvifenadino</w:t>
      </w:r>
      <w:proofErr w:type="spellEnd"/>
      <w:r w:rsidRPr="001B06E6">
        <w:rPr>
          <w:szCs w:val="22"/>
        </w:rPr>
        <w:t xml:space="preserve"> hidrochloridas. Vienoje tabletėje yra 25 mg </w:t>
      </w:r>
      <w:proofErr w:type="spellStart"/>
      <w:r w:rsidRPr="001B06E6">
        <w:rPr>
          <w:szCs w:val="22"/>
        </w:rPr>
        <w:t>kvifenadino</w:t>
      </w:r>
      <w:proofErr w:type="spellEnd"/>
      <w:r w:rsidRPr="001B06E6">
        <w:rPr>
          <w:szCs w:val="22"/>
        </w:rPr>
        <w:t xml:space="preserve"> hidrochlorido.</w:t>
      </w:r>
    </w:p>
    <w:p w:rsidR="00D510D0" w:rsidRPr="001B06E6" w:rsidRDefault="00D510D0" w:rsidP="00D510D0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Cs w:val="22"/>
        </w:rPr>
      </w:pPr>
      <w:r w:rsidRPr="001B06E6">
        <w:rPr>
          <w:szCs w:val="22"/>
        </w:rPr>
        <w:t xml:space="preserve">Pagalbinės medžiagos yra sacharozė, bulvių krakmolas, kalcio </w:t>
      </w:r>
      <w:proofErr w:type="spellStart"/>
      <w:r w:rsidRPr="001B06E6">
        <w:rPr>
          <w:szCs w:val="22"/>
        </w:rPr>
        <w:t>stearatas</w:t>
      </w:r>
      <w:proofErr w:type="spellEnd"/>
      <w:r w:rsidRPr="001B06E6">
        <w:rPr>
          <w:szCs w:val="22"/>
        </w:rPr>
        <w:t>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left="1"/>
        <w:jc w:val="both"/>
        <w:rPr>
          <w:b/>
          <w:szCs w:val="22"/>
        </w:rPr>
      </w:pPr>
      <w:proofErr w:type="spellStart"/>
      <w:r w:rsidRPr="001B06E6">
        <w:rPr>
          <w:b/>
          <w:szCs w:val="22"/>
        </w:rPr>
        <w:t>Fenkarol</w:t>
      </w:r>
      <w:proofErr w:type="spellEnd"/>
      <w:r w:rsidRPr="001B06E6">
        <w:rPr>
          <w:b/>
          <w:szCs w:val="22"/>
        </w:rPr>
        <w:t xml:space="preserve"> išvaizda ir kiekis pakuotėje</w:t>
      </w:r>
    </w:p>
    <w:p w:rsidR="00D510D0" w:rsidRPr="001B06E6" w:rsidRDefault="00D510D0" w:rsidP="00D510D0">
      <w:pPr>
        <w:ind w:left="1"/>
        <w:jc w:val="both"/>
        <w:rPr>
          <w:szCs w:val="22"/>
        </w:rPr>
      </w:pPr>
      <w:bookmarkStart w:id="5" w:name="_Hlk92289431"/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25 mg tabletės yra baltos arba beveik baltos</w:t>
      </w:r>
      <w:bookmarkStart w:id="6" w:name="_Hlk92289466"/>
      <w:bookmarkStart w:id="7" w:name="_Hlk92289508"/>
      <w:r w:rsidRPr="001B06E6">
        <w:rPr>
          <w:szCs w:val="22"/>
        </w:rPr>
        <w:t xml:space="preserve">, apvalios, plokščios, </w:t>
      </w:r>
      <w:bookmarkStart w:id="8" w:name="_Hlk92289525"/>
      <w:bookmarkEnd w:id="6"/>
      <w:bookmarkEnd w:id="7"/>
      <w:r w:rsidRPr="001B06E6">
        <w:rPr>
          <w:szCs w:val="22"/>
        </w:rPr>
        <w:t>nuožulniomis briaunomis, tabletės.</w:t>
      </w:r>
      <w:bookmarkEnd w:id="8"/>
    </w:p>
    <w:p w:rsidR="00D510D0" w:rsidRPr="001B06E6" w:rsidRDefault="00D510D0" w:rsidP="00D510D0">
      <w:pPr>
        <w:jc w:val="both"/>
        <w:rPr>
          <w:szCs w:val="22"/>
        </w:rPr>
      </w:pPr>
      <w:bookmarkStart w:id="9" w:name="page4"/>
      <w:bookmarkEnd w:id="5"/>
      <w:bookmarkEnd w:id="9"/>
    </w:p>
    <w:p w:rsidR="00D510D0" w:rsidRPr="001B06E6" w:rsidRDefault="00D510D0" w:rsidP="00D510D0">
      <w:pPr>
        <w:jc w:val="both"/>
        <w:rPr>
          <w:szCs w:val="22"/>
        </w:rPr>
      </w:pPr>
      <w:proofErr w:type="spellStart"/>
      <w:r w:rsidRPr="001B06E6">
        <w:rPr>
          <w:szCs w:val="22"/>
        </w:rPr>
        <w:t>Fenkarol</w:t>
      </w:r>
      <w:proofErr w:type="spellEnd"/>
      <w:r w:rsidRPr="001B06E6">
        <w:rPr>
          <w:szCs w:val="22"/>
        </w:rPr>
        <w:t xml:space="preserve"> tiekiamas skaidriose PVC/aliuminio folijos </w:t>
      </w:r>
      <w:bookmarkStart w:id="10" w:name="_Hlk92706657"/>
      <w:r w:rsidRPr="001B06E6">
        <w:rPr>
          <w:szCs w:val="22"/>
        </w:rPr>
        <w:t xml:space="preserve">lizdinėse plokštelėse, kurių kiekvienoje yra </w:t>
      </w:r>
      <w:r w:rsidRPr="001B06E6">
        <w:rPr>
          <w:szCs w:val="22"/>
        </w:rPr>
        <w:br/>
        <w:t>10 tablečių.</w:t>
      </w:r>
    </w:p>
    <w:bookmarkEnd w:id="10"/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szCs w:val="22"/>
        </w:rPr>
      </w:pPr>
      <w:r w:rsidRPr="001B06E6">
        <w:rPr>
          <w:szCs w:val="22"/>
        </w:rPr>
        <w:t>Kartono dėžutėje yra 2 lizdinės plokštelės.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b/>
          <w:szCs w:val="22"/>
        </w:rPr>
      </w:pPr>
      <w:r w:rsidRPr="001B06E6">
        <w:rPr>
          <w:b/>
          <w:szCs w:val="22"/>
        </w:rPr>
        <w:t>Registruotojas ir gamintojas</w:t>
      </w:r>
    </w:p>
    <w:p w:rsidR="00D510D0" w:rsidRPr="001B06E6" w:rsidRDefault="00D510D0" w:rsidP="00D510D0">
      <w:pPr>
        <w:rPr>
          <w:szCs w:val="22"/>
        </w:rPr>
      </w:pPr>
      <w:proofErr w:type="spellStart"/>
      <w:r w:rsidRPr="001B06E6">
        <w:rPr>
          <w:szCs w:val="22"/>
        </w:rPr>
        <w:t>Olpha</w:t>
      </w:r>
      <w:proofErr w:type="spellEnd"/>
      <w:r w:rsidRPr="001B06E6">
        <w:rPr>
          <w:szCs w:val="22"/>
        </w:rPr>
        <w:t xml:space="preserve"> AS,</w:t>
      </w:r>
      <w:r w:rsidRPr="001B06E6">
        <w:rPr>
          <w:szCs w:val="22"/>
        </w:rPr>
        <w:br/>
      </w:r>
      <w:proofErr w:type="spellStart"/>
      <w:r w:rsidRPr="001B06E6">
        <w:rPr>
          <w:szCs w:val="22"/>
        </w:rPr>
        <w:t>Rupnicu</w:t>
      </w:r>
      <w:proofErr w:type="spellEnd"/>
      <w:r w:rsidRPr="001B06E6">
        <w:rPr>
          <w:szCs w:val="22"/>
        </w:rPr>
        <w:t xml:space="preserve"> </w:t>
      </w:r>
      <w:proofErr w:type="spellStart"/>
      <w:r w:rsidRPr="001B06E6">
        <w:rPr>
          <w:szCs w:val="22"/>
        </w:rPr>
        <w:t>iela</w:t>
      </w:r>
      <w:proofErr w:type="spellEnd"/>
      <w:r w:rsidRPr="001B06E6">
        <w:rPr>
          <w:szCs w:val="22"/>
        </w:rPr>
        <w:t xml:space="preserve"> 5, </w:t>
      </w:r>
      <w:r w:rsidRPr="001B06E6">
        <w:rPr>
          <w:szCs w:val="22"/>
        </w:rPr>
        <w:br/>
      </w:r>
      <w:proofErr w:type="spellStart"/>
      <w:r w:rsidRPr="001B06E6">
        <w:rPr>
          <w:szCs w:val="22"/>
        </w:rPr>
        <w:t>Olaine</w:t>
      </w:r>
      <w:proofErr w:type="spellEnd"/>
      <w:r w:rsidRPr="001B06E6">
        <w:rPr>
          <w:szCs w:val="22"/>
        </w:rPr>
        <w:t xml:space="preserve">, </w:t>
      </w:r>
      <w:proofErr w:type="spellStart"/>
      <w:r w:rsidRPr="001B06E6">
        <w:rPr>
          <w:szCs w:val="22"/>
        </w:rPr>
        <w:t>Olaines</w:t>
      </w:r>
      <w:proofErr w:type="spellEnd"/>
      <w:r w:rsidRPr="001B06E6">
        <w:rPr>
          <w:szCs w:val="22"/>
        </w:rPr>
        <w:t xml:space="preserve"> </w:t>
      </w:r>
      <w:proofErr w:type="spellStart"/>
      <w:r w:rsidRPr="001B06E6">
        <w:rPr>
          <w:szCs w:val="22"/>
        </w:rPr>
        <w:t>novads</w:t>
      </w:r>
      <w:proofErr w:type="spellEnd"/>
      <w:r w:rsidRPr="001B06E6">
        <w:rPr>
          <w:szCs w:val="22"/>
        </w:rPr>
        <w:t xml:space="preserve">, LV-2114, </w:t>
      </w:r>
    </w:p>
    <w:p w:rsidR="00D510D0" w:rsidRPr="001B06E6" w:rsidRDefault="00D510D0" w:rsidP="00D510D0">
      <w:pPr>
        <w:tabs>
          <w:tab w:val="left" w:pos="567"/>
        </w:tabs>
        <w:jc w:val="both"/>
        <w:rPr>
          <w:szCs w:val="22"/>
        </w:rPr>
      </w:pPr>
      <w:r w:rsidRPr="001B06E6">
        <w:rPr>
          <w:szCs w:val="22"/>
        </w:rPr>
        <w:t>Latvija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jc w:val="both"/>
        <w:rPr>
          <w:b/>
          <w:szCs w:val="22"/>
        </w:rPr>
      </w:pPr>
      <w:r w:rsidRPr="001B06E6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2024-10-09.</w:t>
      </w:r>
    </w:p>
    <w:p w:rsidR="00D510D0" w:rsidRPr="001B06E6" w:rsidRDefault="00D510D0" w:rsidP="00D510D0">
      <w:pPr>
        <w:jc w:val="both"/>
        <w:rPr>
          <w:szCs w:val="22"/>
        </w:rPr>
      </w:pPr>
    </w:p>
    <w:p w:rsidR="00D510D0" w:rsidRPr="001B06E6" w:rsidRDefault="00D510D0" w:rsidP="00D510D0">
      <w:pPr>
        <w:ind w:right="265"/>
        <w:jc w:val="both"/>
        <w:rPr>
          <w:color w:val="0000FF"/>
          <w:szCs w:val="22"/>
          <w:u w:val="single"/>
        </w:rPr>
      </w:pPr>
      <w:r w:rsidRPr="001B06E6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w:history="1"/>
      <w:bookmarkEnd w:id="0"/>
      <w:bookmarkEnd w:id="1"/>
      <w:r>
        <w:rPr>
          <w:szCs w:val="22"/>
        </w:rPr>
        <w:fldChar w:fldCharType="begin"/>
      </w:r>
      <w:r>
        <w:rPr>
          <w:szCs w:val="22"/>
        </w:rPr>
        <w:instrText>HYPERLINK "</w:instrText>
      </w:r>
      <w:r w:rsidRPr="002E6C68">
        <w:instrText>https://vvkt.lrv.lt/lt/</w:instrText>
      </w:r>
      <w:r>
        <w:rPr>
          <w:szCs w:val="22"/>
        </w:rPr>
        <w:instrText>"</w:instrText>
      </w:r>
      <w:r>
        <w:rPr>
          <w:szCs w:val="22"/>
        </w:rPr>
        <w:fldChar w:fldCharType="separate"/>
      </w:r>
      <w:r w:rsidRPr="00144530">
        <w:rPr>
          <w:rStyle w:val="Hipersaitas"/>
          <w:szCs w:val="22"/>
        </w:rPr>
        <w:t>https://vvkt.lrv.lt/lt/</w:t>
      </w:r>
      <w:r>
        <w:rPr>
          <w:szCs w:val="22"/>
        </w:rPr>
        <w:fldChar w:fldCharType="end"/>
      </w:r>
      <w:r>
        <w:rPr>
          <w:szCs w:val="22"/>
        </w:rPr>
        <w:t>.</w:t>
      </w:r>
    </w:p>
    <w:p w:rsidR="00BA6577" w:rsidRDefault="00BA6577">
      <w:bookmarkStart w:id="11" w:name="_GoBack"/>
      <w:bookmarkEnd w:id="1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66EF438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40E0F7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3F085E5C"/>
    <w:multiLevelType w:val="hybridMultilevel"/>
    <w:tmpl w:val="8CC4AE96"/>
    <w:lvl w:ilvl="0" w:tplc="F708879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D0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D510D0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5120C-EB39-49E7-A629-19272330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0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510D0"/>
    <w:rPr>
      <w:rFonts w:ascii="Times New Roman" w:hAnsi="Times New Roman" w:cs="Times New Roman" w:hint="default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5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4929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2024-11-26T06:03:00Z</dcterms:created>
  <dcterms:modified xsi:type="dcterms:W3CDTF">2024-11-26T06:04:00Z</dcterms:modified>
</cp:coreProperties>
</file>