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33E02" w14:textId="77777777" w:rsidR="00E86A1F" w:rsidRPr="00305FD7" w:rsidRDefault="00E86A1F" w:rsidP="00E86A1F">
      <w:pPr>
        <w:ind w:left="567" w:hanging="567"/>
        <w:jc w:val="center"/>
        <w:rPr>
          <w:b/>
          <w:bCs/>
        </w:rPr>
      </w:pPr>
      <w:r w:rsidRPr="00305FD7">
        <w:rPr>
          <w:b/>
          <w:bCs/>
        </w:rPr>
        <w:t>Pakuotės lapelis: informacija vartotojui</w:t>
      </w:r>
    </w:p>
    <w:p w14:paraId="1CFEA214" w14:textId="77777777" w:rsidR="00E86A1F" w:rsidRPr="00305FD7" w:rsidRDefault="00E86A1F" w:rsidP="00E86A1F">
      <w:pPr>
        <w:ind w:left="567" w:hanging="567"/>
        <w:jc w:val="center"/>
        <w:rPr>
          <w:b/>
          <w:bCs/>
        </w:rPr>
      </w:pPr>
    </w:p>
    <w:p w14:paraId="6F9C9A73" w14:textId="77777777" w:rsidR="00E86A1F" w:rsidRPr="00305FD7" w:rsidRDefault="00E86A1F" w:rsidP="00E86A1F">
      <w:pPr>
        <w:ind w:left="567" w:hanging="567"/>
        <w:jc w:val="center"/>
        <w:rPr>
          <w:b/>
        </w:rPr>
      </w:pPr>
      <w:proofErr w:type="spellStart"/>
      <w:r w:rsidRPr="00305FD7">
        <w:rPr>
          <w:b/>
        </w:rPr>
        <w:t>Salofalk</w:t>
      </w:r>
      <w:proofErr w:type="spellEnd"/>
      <w:r w:rsidRPr="00305FD7">
        <w:rPr>
          <w:b/>
        </w:rPr>
        <w:t xml:space="preserve"> 500 mg skrandyje neirios tabletės</w:t>
      </w:r>
    </w:p>
    <w:p w14:paraId="65DE2F07" w14:textId="77777777" w:rsidR="00E86A1F" w:rsidRPr="00305FD7" w:rsidRDefault="00E86A1F" w:rsidP="00E86A1F">
      <w:pPr>
        <w:ind w:left="567" w:hanging="567"/>
        <w:jc w:val="center"/>
      </w:pPr>
      <w:proofErr w:type="spellStart"/>
      <w:r>
        <w:t>m</w:t>
      </w:r>
      <w:r w:rsidRPr="00305FD7">
        <w:t>esalazinas</w:t>
      </w:r>
      <w:proofErr w:type="spellEnd"/>
    </w:p>
    <w:p w14:paraId="17BF061F" w14:textId="77777777" w:rsidR="00E86A1F" w:rsidRPr="00305FD7" w:rsidRDefault="00E86A1F" w:rsidP="00E86A1F">
      <w:pPr>
        <w:ind w:left="567" w:hanging="567"/>
      </w:pPr>
    </w:p>
    <w:p w14:paraId="165AA04A" w14:textId="77777777" w:rsidR="00E86A1F" w:rsidRPr="00305FD7" w:rsidRDefault="00E86A1F" w:rsidP="00E86A1F">
      <w:pPr>
        <w:rPr>
          <w:b/>
        </w:rPr>
      </w:pPr>
      <w:r w:rsidRPr="00305FD7">
        <w:rPr>
          <w:b/>
        </w:rPr>
        <w:t>Atidžiai perskaitykite visą šį lapelį, prieš pradėdami vartoti vaistą, nes jame pateikiama Jums svarbi informacija.</w:t>
      </w:r>
    </w:p>
    <w:p w14:paraId="2DC4063C" w14:textId="77777777" w:rsidR="00E86A1F" w:rsidRPr="00305FD7" w:rsidRDefault="00E86A1F" w:rsidP="00E86A1F">
      <w:pPr>
        <w:ind w:left="567" w:hanging="567"/>
      </w:pPr>
      <w:r w:rsidRPr="00305FD7">
        <w:t>-</w:t>
      </w:r>
      <w:r w:rsidRPr="00305FD7">
        <w:tab/>
        <w:t>Neišmeskite šio lapelio, nes vėl gali prireikti jį perskaityti.</w:t>
      </w:r>
    </w:p>
    <w:p w14:paraId="542FECFC" w14:textId="77777777" w:rsidR="00E86A1F" w:rsidRPr="00305FD7" w:rsidRDefault="00E86A1F" w:rsidP="00E86A1F">
      <w:pPr>
        <w:ind w:left="567" w:hanging="567"/>
      </w:pPr>
      <w:r w:rsidRPr="00305FD7">
        <w:t>-</w:t>
      </w:r>
      <w:r w:rsidRPr="00305FD7">
        <w:tab/>
        <w:t>Jeigu kiltų daugiau klausimų, kreipkitės į gydytoją arba vaistininką.</w:t>
      </w:r>
    </w:p>
    <w:p w14:paraId="4DA35A6F" w14:textId="77777777" w:rsidR="00E86A1F" w:rsidRPr="00305FD7" w:rsidRDefault="00E86A1F" w:rsidP="00E86A1F">
      <w:pPr>
        <w:numPr>
          <w:ilvl w:val="0"/>
          <w:numId w:val="3"/>
        </w:numPr>
        <w:ind w:left="567" w:hanging="567"/>
      </w:pPr>
      <w:r w:rsidRPr="00305FD7">
        <w:t>Šis vaistas skirtas tik Jums, todėl kitiems žmonėms jo duoti negalima. Vaistas gali jiems pakenkti (net tiems, kurių ligos požymiai yra tokie patys kaip Jūsų).</w:t>
      </w:r>
    </w:p>
    <w:p w14:paraId="0ED13AD4" w14:textId="77777777" w:rsidR="00E86A1F" w:rsidRPr="00305FD7" w:rsidRDefault="00E86A1F" w:rsidP="00E86A1F">
      <w:pPr>
        <w:numPr>
          <w:ilvl w:val="0"/>
          <w:numId w:val="3"/>
        </w:numPr>
        <w:ind w:left="567" w:hanging="567"/>
        <w:rPr>
          <w:i/>
          <w:iCs/>
          <w:noProof/>
        </w:rPr>
      </w:pPr>
      <w:r w:rsidRPr="00305FD7">
        <w:rPr>
          <w:noProof/>
        </w:rPr>
        <w:t>Jeigu pasireiškė šalutinis poveikis (net jeigu jis šiame lapelyje nenurodytas), kreipkitės į gydytoją arba vaistininką. Žr. 4 skyrių.</w:t>
      </w:r>
    </w:p>
    <w:p w14:paraId="0BCA9D14" w14:textId="77777777" w:rsidR="00E86A1F" w:rsidRPr="00305FD7" w:rsidRDefault="00E86A1F" w:rsidP="00E86A1F">
      <w:pPr>
        <w:ind w:left="567" w:hanging="567"/>
      </w:pPr>
    </w:p>
    <w:p w14:paraId="76F8B55F" w14:textId="77777777" w:rsidR="00E86A1F" w:rsidRPr="00305FD7" w:rsidRDefault="00E86A1F" w:rsidP="00E86A1F">
      <w:pPr>
        <w:ind w:left="567" w:hanging="567"/>
        <w:rPr>
          <w:b/>
        </w:rPr>
      </w:pPr>
      <w:r w:rsidRPr="00305FD7">
        <w:rPr>
          <w:b/>
        </w:rPr>
        <w:t>Apie ką rašoma šiame lapelyje?</w:t>
      </w:r>
    </w:p>
    <w:p w14:paraId="3E52E4B0" w14:textId="77777777" w:rsidR="00E86A1F" w:rsidRPr="00305FD7" w:rsidRDefault="00E86A1F" w:rsidP="00E86A1F">
      <w:pPr>
        <w:ind w:left="567" w:hanging="567"/>
        <w:rPr>
          <w:b/>
        </w:rPr>
      </w:pPr>
    </w:p>
    <w:p w14:paraId="0D1C126D" w14:textId="77777777" w:rsidR="00E86A1F" w:rsidRPr="00305FD7" w:rsidRDefault="00E86A1F" w:rsidP="00E86A1F">
      <w:pPr>
        <w:ind w:left="567" w:hanging="567"/>
      </w:pPr>
      <w:r w:rsidRPr="00305FD7">
        <w:t>1.</w:t>
      </w:r>
      <w:r w:rsidRPr="00305FD7">
        <w:tab/>
        <w:t xml:space="preserve">Kas yra </w:t>
      </w:r>
      <w:proofErr w:type="spellStart"/>
      <w:r w:rsidRPr="00305FD7">
        <w:t>Salofalk</w:t>
      </w:r>
      <w:proofErr w:type="spellEnd"/>
      <w:r w:rsidRPr="00305FD7">
        <w:t xml:space="preserve"> ir kam jis vartojamas</w:t>
      </w:r>
    </w:p>
    <w:p w14:paraId="08FB94F3" w14:textId="77777777" w:rsidR="00E86A1F" w:rsidRPr="00305FD7" w:rsidRDefault="00E86A1F" w:rsidP="00E86A1F">
      <w:pPr>
        <w:ind w:left="567" w:hanging="567"/>
      </w:pPr>
      <w:r w:rsidRPr="00305FD7">
        <w:t>2.</w:t>
      </w:r>
      <w:r w:rsidRPr="00305FD7">
        <w:tab/>
        <w:t xml:space="preserve">Kas žinotina prieš vartojant </w:t>
      </w:r>
      <w:proofErr w:type="spellStart"/>
      <w:r w:rsidRPr="00305FD7">
        <w:t>Salofalk</w:t>
      </w:r>
      <w:proofErr w:type="spellEnd"/>
    </w:p>
    <w:p w14:paraId="368DEE58" w14:textId="77777777" w:rsidR="00E86A1F" w:rsidRPr="00305FD7" w:rsidRDefault="00E86A1F" w:rsidP="00E86A1F">
      <w:pPr>
        <w:ind w:left="567" w:hanging="567"/>
      </w:pPr>
      <w:r w:rsidRPr="00305FD7">
        <w:t>3.</w:t>
      </w:r>
      <w:r w:rsidRPr="00305FD7">
        <w:tab/>
        <w:t xml:space="preserve">Kaip vartoti </w:t>
      </w:r>
      <w:proofErr w:type="spellStart"/>
      <w:r w:rsidRPr="00305FD7">
        <w:t>Salofalk</w:t>
      </w:r>
      <w:proofErr w:type="spellEnd"/>
      <w:r w:rsidRPr="00305FD7">
        <w:t xml:space="preserve"> </w:t>
      </w:r>
    </w:p>
    <w:p w14:paraId="7DFD650E" w14:textId="77777777" w:rsidR="00E86A1F" w:rsidRPr="00305FD7" w:rsidRDefault="00E86A1F" w:rsidP="00E86A1F">
      <w:pPr>
        <w:ind w:left="567" w:hanging="567"/>
      </w:pPr>
      <w:r w:rsidRPr="00305FD7">
        <w:t>4.</w:t>
      </w:r>
      <w:r w:rsidRPr="00305FD7">
        <w:tab/>
        <w:t>Galimas šalutinis poveikis</w:t>
      </w:r>
    </w:p>
    <w:p w14:paraId="7D1AC809" w14:textId="77777777" w:rsidR="00E86A1F" w:rsidRPr="00305FD7" w:rsidRDefault="00E86A1F" w:rsidP="00E86A1F">
      <w:pPr>
        <w:ind w:left="567" w:hanging="567"/>
      </w:pPr>
      <w:r w:rsidRPr="00305FD7">
        <w:t>5.</w:t>
      </w:r>
      <w:r w:rsidRPr="00305FD7">
        <w:tab/>
        <w:t xml:space="preserve">Kaip laikyti </w:t>
      </w:r>
      <w:proofErr w:type="spellStart"/>
      <w:r w:rsidRPr="00305FD7">
        <w:t>Salofalk</w:t>
      </w:r>
      <w:proofErr w:type="spellEnd"/>
    </w:p>
    <w:p w14:paraId="07790E83" w14:textId="77777777" w:rsidR="00E86A1F" w:rsidRPr="00305FD7" w:rsidRDefault="00E86A1F" w:rsidP="00E86A1F">
      <w:pPr>
        <w:ind w:left="567" w:hanging="567"/>
      </w:pPr>
      <w:r w:rsidRPr="00305FD7">
        <w:t>6.</w:t>
      </w:r>
      <w:r w:rsidRPr="00305FD7">
        <w:tab/>
        <w:t>Pakuotės turinys ir kita informacija</w:t>
      </w:r>
    </w:p>
    <w:p w14:paraId="4A2E7A33" w14:textId="77777777" w:rsidR="00E86A1F" w:rsidRPr="00305FD7" w:rsidRDefault="00E86A1F" w:rsidP="00E86A1F">
      <w:pPr>
        <w:ind w:left="567" w:hanging="567"/>
      </w:pPr>
    </w:p>
    <w:p w14:paraId="7412E2B9" w14:textId="77777777" w:rsidR="00E86A1F" w:rsidRPr="00305FD7" w:rsidRDefault="00E86A1F" w:rsidP="00E86A1F">
      <w:pPr>
        <w:ind w:left="567" w:hanging="567"/>
        <w:rPr>
          <w:b/>
          <w:caps/>
        </w:rPr>
      </w:pPr>
    </w:p>
    <w:p w14:paraId="1390B823" w14:textId="77777777" w:rsidR="00E86A1F" w:rsidRPr="00305FD7" w:rsidRDefault="00E86A1F" w:rsidP="00E86A1F">
      <w:pPr>
        <w:numPr>
          <w:ilvl w:val="12"/>
          <w:numId w:val="0"/>
        </w:numPr>
        <w:spacing w:line="360" w:lineRule="auto"/>
        <w:ind w:left="567" w:hanging="567"/>
        <w:outlineLvl w:val="0"/>
        <w:rPr>
          <w:b/>
          <w:caps/>
        </w:rPr>
      </w:pPr>
      <w:r w:rsidRPr="00305FD7">
        <w:rPr>
          <w:b/>
          <w:caps/>
        </w:rPr>
        <w:t>1.</w:t>
      </w:r>
      <w:r w:rsidRPr="00305FD7">
        <w:rPr>
          <w:b/>
          <w:caps/>
        </w:rPr>
        <w:tab/>
      </w:r>
      <w:r w:rsidRPr="00305FD7">
        <w:rPr>
          <w:b/>
        </w:rPr>
        <w:t xml:space="preserve">Kas yra </w:t>
      </w:r>
      <w:proofErr w:type="spellStart"/>
      <w:r w:rsidRPr="00305FD7">
        <w:rPr>
          <w:b/>
        </w:rPr>
        <w:t>Salofalk</w:t>
      </w:r>
      <w:proofErr w:type="spellEnd"/>
      <w:r w:rsidRPr="00305FD7">
        <w:rPr>
          <w:b/>
        </w:rPr>
        <w:t xml:space="preserve"> ir kam jis vartojamas</w:t>
      </w:r>
      <w:r w:rsidRPr="00305FD7" w:rsidDel="008B7C0A">
        <w:rPr>
          <w:b/>
          <w:caps/>
        </w:rPr>
        <w:t xml:space="preserve"> </w:t>
      </w:r>
    </w:p>
    <w:p w14:paraId="31F4E3F8" w14:textId="77777777" w:rsidR="00E86A1F" w:rsidRPr="00305FD7" w:rsidRDefault="00E86A1F" w:rsidP="00E86A1F">
      <w:pPr>
        <w:ind w:left="567" w:hanging="567"/>
      </w:pPr>
    </w:p>
    <w:p w14:paraId="1ADA5EFD" w14:textId="77777777" w:rsidR="00E86A1F" w:rsidRPr="00305FD7" w:rsidRDefault="00E86A1F" w:rsidP="00E86A1F">
      <w:proofErr w:type="spellStart"/>
      <w:r w:rsidRPr="00305FD7">
        <w:rPr>
          <w:rFonts w:eastAsia="Calibri"/>
          <w:lang w:eastAsia="ar-SA"/>
        </w:rPr>
        <w:t>Salofalk</w:t>
      </w:r>
      <w:proofErr w:type="spellEnd"/>
      <w:r w:rsidRPr="00305FD7">
        <w:rPr>
          <w:rFonts w:eastAsia="Calibri"/>
          <w:lang w:eastAsia="ar-SA"/>
        </w:rPr>
        <w:t xml:space="preserve"> sudėtyje yra </w:t>
      </w:r>
      <w:r w:rsidRPr="00305FD7">
        <w:t>uždegimą slopinančios</w:t>
      </w:r>
      <w:r w:rsidRPr="00305FD7">
        <w:rPr>
          <w:rFonts w:eastAsia="Calibri"/>
          <w:lang w:eastAsia="ar-SA"/>
        </w:rPr>
        <w:t xml:space="preserve"> veikliosios medžiagos </w:t>
      </w:r>
      <w:proofErr w:type="spellStart"/>
      <w:r w:rsidRPr="00305FD7">
        <w:rPr>
          <w:rFonts w:eastAsia="Calibri"/>
          <w:lang w:eastAsia="ar-SA"/>
        </w:rPr>
        <w:t>m</w:t>
      </w:r>
      <w:r w:rsidRPr="00305FD7">
        <w:t>esalazino</w:t>
      </w:r>
      <w:proofErr w:type="spellEnd"/>
      <w:r w:rsidRPr="00305FD7">
        <w:t xml:space="preserve">, </w:t>
      </w:r>
      <w:r w:rsidRPr="00305FD7">
        <w:rPr>
          <w:rFonts w:eastAsia="Calibri"/>
          <w:lang w:eastAsia="ar-SA"/>
        </w:rPr>
        <w:t>vartojamos uždegiminei žarnyno ligai gydyti</w:t>
      </w:r>
      <w:r w:rsidRPr="00305FD7">
        <w:t>.</w:t>
      </w:r>
    </w:p>
    <w:p w14:paraId="467AC4BC" w14:textId="77777777" w:rsidR="00E86A1F" w:rsidRPr="00305FD7" w:rsidRDefault="00E86A1F" w:rsidP="00E86A1F">
      <w:pPr>
        <w:spacing w:before="120"/>
      </w:pPr>
      <w:proofErr w:type="spellStart"/>
      <w:r w:rsidRPr="00305FD7">
        <w:t>Salofalk</w:t>
      </w:r>
      <w:proofErr w:type="spellEnd"/>
      <w:r w:rsidRPr="00305FD7">
        <w:t xml:space="preserve"> vartojamas</w:t>
      </w:r>
    </w:p>
    <w:p w14:paraId="6EDA3C4E" w14:textId="77777777" w:rsidR="00E86A1F" w:rsidRPr="00305FD7" w:rsidRDefault="00E86A1F" w:rsidP="00E86A1F">
      <w:pPr>
        <w:numPr>
          <w:ilvl w:val="0"/>
          <w:numId w:val="2"/>
        </w:numPr>
        <w:tabs>
          <w:tab w:val="clear" w:pos="720"/>
          <w:tab w:val="num" w:pos="567"/>
        </w:tabs>
        <w:ind w:left="567" w:hanging="567"/>
        <w:rPr>
          <w:iCs/>
        </w:rPr>
      </w:pPr>
      <w:r w:rsidRPr="00305FD7">
        <w:rPr>
          <w:iCs/>
        </w:rPr>
        <w:t xml:space="preserve">paūmėjusio lengvo ar vidutinio sunkumo opinio storosios žarnos uždegimo, </w:t>
      </w:r>
      <w:r w:rsidRPr="00305FD7">
        <w:rPr>
          <w:rFonts w:eastAsia="Calibri"/>
          <w:lang w:eastAsia="ar-SA"/>
        </w:rPr>
        <w:t xml:space="preserve">gydytojų vadinamai opiniu kolitu, gydyti, </w:t>
      </w:r>
      <w:r w:rsidRPr="00305FD7">
        <w:rPr>
          <w:iCs/>
        </w:rPr>
        <w:t>ir vėlesnio jos pasireiškimo (atkryčio) profilaktikai;</w:t>
      </w:r>
    </w:p>
    <w:p w14:paraId="45487EA3" w14:textId="77777777" w:rsidR="00E86A1F" w:rsidRPr="00305FD7" w:rsidRDefault="00E86A1F" w:rsidP="00E86A1F">
      <w:pPr>
        <w:numPr>
          <w:ilvl w:val="0"/>
          <w:numId w:val="2"/>
        </w:numPr>
        <w:tabs>
          <w:tab w:val="clear" w:pos="720"/>
          <w:tab w:val="num" w:pos="567"/>
        </w:tabs>
        <w:ind w:left="567" w:hanging="567"/>
        <w:rPr>
          <w:iCs/>
        </w:rPr>
      </w:pPr>
      <w:r w:rsidRPr="00305FD7">
        <w:rPr>
          <w:iCs/>
        </w:rPr>
        <w:t>paūmėjusiai Krono ligai (lėtinei uždegiminei žarnyno ligai) gydyti.</w:t>
      </w:r>
    </w:p>
    <w:p w14:paraId="092F0843" w14:textId="77777777" w:rsidR="00E86A1F" w:rsidRPr="00305FD7" w:rsidRDefault="00E86A1F" w:rsidP="00E86A1F">
      <w:pPr>
        <w:rPr>
          <w:iCs/>
        </w:rPr>
      </w:pPr>
    </w:p>
    <w:p w14:paraId="6C5CAC08" w14:textId="77777777" w:rsidR="00E86A1F" w:rsidRPr="00305FD7" w:rsidRDefault="00E86A1F" w:rsidP="00E86A1F">
      <w:pPr>
        <w:rPr>
          <w:iCs/>
        </w:rPr>
      </w:pPr>
    </w:p>
    <w:p w14:paraId="3A40A9DD" w14:textId="77777777" w:rsidR="00E86A1F" w:rsidRPr="00305FD7" w:rsidRDefault="00E86A1F" w:rsidP="00E86A1F">
      <w:pPr>
        <w:numPr>
          <w:ilvl w:val="0"/>
          <w:numId w:val="1"/>
        </w:numPr>
        <w:outlineLvl w:val="0"/>
        <w:rPr>
          <w:b/>
          <w:caps/>
        </w:rPr>
      </w:pPr>
      <w:r w:rsidRPr="00305FD7">
        <w:rPr>
          <w:b/>
        </w:rPr>
        <w:t xml:space="preserve">Kas žinotina prieš vartojant </w:t>
      </w:r>
      <w:proofErr w:type="spellStart"/>
      <w:r w:rsidRPr="00305FD7">
        <w:rPr>
          <w:b/>
        </w:rPr>
        <w:t>Salofalk</w:t>
      </w:r>
      <w:proofErr w:type="spellEnd"/>
      <w:r w:rsidRPr="00305FD7" w:rsidDel="004523CD">
        <w:rPr>
          <w:b/>
        </w:rPr>
        <w:t xml:space="preserve"> </w:t>
      </w:r>
    </w:p>
    <w:p w14:paraId="5DC15FF8" w14:textId="77777777" w:rsidR="00E86A1F" w:rsidRPr="00305FD7" w:rsidRDefault="00E86A1F" w:rsidP="00E86A1F">
      <w:pPr>
        <w:outlineLvl w:val="0"/>
      </w:pPr>
    </w:p>
    <w:p w14:paraId="5E8BA162" w14:textId="77777777" w:rsidR="00E86A1F" w:rsidRPr="00305FD7" w:rsidRDefault="00E86A1F" w:rsidP="00E86A1F">
      <w:pPr>
        <w:ind w:left="567" w:hanging="567"/>
        <w:rPr>
          <w:b/>
          <w:caps/>
          <w:noProof/>
        </w:rPr>
      </w:pPr>
      <w:proofErr w:type="spellStart"/>
      <w:r w:rsidRPr="00305FD7">
        <w:rPr>
          <w:b/>
        </w:rPr>
        <w:t>Salofalk</w:t>
      </w:r>
      <w:proofErr w:type="spellEnd"/>
      <w:r w:rsidRPr="00305FD7">
        <w:rPr>
          <w:b/>
          <w:bCs/>
          <w:noProof/>
        </w:rPr>
        <w:t xml:space="preserve"> vartoti </w:t>
      </w:r>
      <w:r>
        <w:rPr>
          <w:b/>
          <w:bCs/>
          <w:noProof/>
        </w:rPr>
        <w:t>draudžiama</w:t>
      </w:r>
    </w:p>
    <w:p w14:paraId="2DBB02D8" w14:textId="77777777" w:rsidR="00E86A1F" w:rsidRPr="00305FD7" w:rsidRDefault="00E86A1F" w:rsidP="00E86A1F">
      <w:pPr>
        <w:rPr>
          <w:lang w:eastAsia="lt-LT"/>
        </w:rPr>
      </w:pPr>
      <w:r w:rsidRPr="00305FD7">
        <w:rPr>
          <w:bCs/>
          <w:lang w:eastAsia="lt-LT"/>
        </w:rPr>
        <w:t>-</w:t>
      </w:r>
      <w:r w:rsidRPr="00305FD7">
        <w:rPr>
          <w:bCs/>
          <w:lang w:eastAsia="lt-LT"/>
        </w:rPr>
        <w:tab/>
        <w:t>jeigu yra alergija</w:t>
      </w:r>
      <w:r w:rsidRPr="00305FD7">
        <w:rPr>
          <w:lang w:eastAsia="lt-LT"/>
        </w:rPr>
        <w:t xml:space="preserve"> </w:t>
      </w:r>
      <w:proofErr w:type="spellStart"/>
      <w:r w:rsidRPr="00305FD7">
        <w:t>mesalazinui</w:t>
      </w:r>
      <w:proofErr w:type="spellEnd"/>
      <w:r w:rsidRPr="00305FD7">
        <w:t xml:space="preserve">, </w:t>
      </w:r>
      <w:r w:rsidRPr="00305FD7">
        <w:rPr>
          <w:lang w:eastAsia="lt-LT"/>
        </w:rPr>
        <w:t xml:space="preserve">salicilo rūgščiai, </w:t>
      </w:r>
      <w:proofErr w:type="spellStart"/>
      <w:r w:rsidRPr="00305FD7">
        <w:rPr>
          <w:lang w:eastAsia="lt-LT"/>
        </w:rPr>
        <w:t>salicilatams</w:t>
      </w:r>
      <w:proofErr w:type="spellEnd"/>
      <w:r w:rsidRPr="00305FD7">
        <w:rPr>
          <w:lang w:eastAsia="lt-LT"/>
        </w:rPr>
        <w:t xml:space="preserve">, </w:t>
      </w:r>
      <w:r w:rsidRPr="0078629E">
        <w:rPr>
          <w:lang w:eastAsia="lt-LT"/>
        </w:rPr>
        <w:t xml:space="preserve">tokiems kaip </w:t>
      </w:r>
      <w:proofErr w:type="spellStart"/>
      <w:r w:rsidRPr="0078629E">
        <w:rPr>
          <w:lang w:eastAsia="lt-LT"/>
        </w:rPr>
        <w:t>acetilsalicilo</w:t>
      </w:r>
      <w:proofErr w:type="spellEnd"/>
      <w:r w:rsidRPr="0078629E">
        <w:rPr>
          <w:lang w:eastAsia="lt-LT"/>
        </w:rPr>
        <w:t xml:space="preserve"> rūgštis (pvz., </w:t>
      </w:r>
      <w:proofErr w:type="spellStart"/>
      <w:r w:rsidRPr="0078629E">
        <w:rPr>
          <w:lang w:eastAsia="lt-LT"/>
        </w:rPr>
        <w:t>Aspirin</w:t>
      </w:r>
      <w:proofErr w:type="spellEnd"/>
      <w:r w:rsidRPr="0078629E">
        <w:rPr>
          <w:lang w:eastAsia="lt-LT"/>
        </w:rPr>
        <w:t>)</w:t>
      </w:r>
      <w:r>
        <w:rPr>
          <w:lang w:eastAsia="lt-LT"/>
        </w:rPr>
        <w:t xml:space="preserve"> </w:t>
      </w:r>
      <w:r w:rsidRPr="00305FD7">
        <w:rPr>
          <w:lang w:eastAsia="lt-LT"/>
        </w:rPr>
        <w:t>arba bet kuriai pagalbinei šio vaisto medžiagai (jos išvardytos 6 skyriuje);</w:t>
      </w:r>
    </w:p>
    <w:p w14:paraId="7A68F4ED" w14:textId="77777777" w:rsidR="00E86A1F" w:rsidRPr="00305FD7" w:rsidRDefault="00E86A1F" w:rsidP="00E86A1F">
      <w:pPr>
        <w:tabs>
          <w:tab w:val="left" w:pos="567"/>
        </w:tabs>
      </w:pPr>
      <w:r w:rsidRPr="00305FD7">
        <w:t>-</w:t>
      </w:r>
      <w:r w:rsidRPr="00305FD7">
        <w:tab/>
        <w:t>jeigu sergate sunkia kepenų ar inkstų liga.</w:t>
      </w:r>
    </w:p>
    <w:p w14:paraId="27892DD9" w14:textId="77777777" w:rsidR="00E86A1F" w:rsidRPr="00305FD7" w:rsidRDefault="00E86A1F" w:rsidP="00E86A1F">
      <w:pPr>
        <w:keepNext/>
        <w:outlineLvl w:val="2"/>
        <w:rPr>
          <w:u w:val="single"/>
          <w:lang w:eastAsia="lt-LT"/>
        </w:rPr>
      </w:pPr>
    </w:p>
    <w:p w14:paraId="54B09A26" w14:textId="77777777" w:rsidR="00E86A1F" w:rsidRPr="00305FD7" w:rsidRDefault="00E86A1F" w:rsidP="00E86A1F">
      <w:pPr>
        <w:keepNext/>
        <w:outlineLvl w:val="2"/>
        <w:rPr>
          <w:b/>
          <w:bCs/>
          <w:lang w:eastAsia="lt-LT"/>
        </w:rPr>
      </w:pPr>
      <w:r w:rsidRPr="00305FD7">
        <w:rPr>
          <w:b/>
          <w:bCs/>
          <w:noProof/>
          <w:lang w:eastAsia="lt-LT"/>
        </w:rPr>
        <w:t>Įspėjimai ir atsargumo priemonės</w:t>
      </w:r>
    </w:p>
    <w:p w14:paraId="1616861D" w14:textId="77777777" w:rsidR="00E86A1F" w:rsidRPr="00305FD7" w:rsidRDefault="00E86A1F" w:rsidP="00E86A1F">
      <w:r w:rsidRPr="00305FD7">
        <w:t xml:space="preserve">Pasitarkite su gydytoju arba vaistininku, prieš pradėdami vartoti </w:t>
      </w:r>
      <w:proofErr w:type="spellStart"/>
      <w:r w:rsidRPr="00305FD7">
        <w:t>Salofalk</w:t>
      </w:r>
      <w:proofErr w:type="spellEnd"/>
      <w:r w:rsidRPr="00305FD7">
        <w:t>,</w:t>
      </w:r>
    </w:p>
    <w:p w14:paraId="7923C5FF" w14:textId="77777777" w:rsidR="00E86A1F" w:rsidRPr="00305FD7" w:rsidRDefault="00E86A1F" w:rsidP="00E86A1F"/>
    <w:p w14:paraId="6C6FC211" w14:textId="77777777" w:rsidR="00E86A1F" w:rsidRPr="00305FD7" w:rsidRDefault="00E86A1F" w:rsidP="00E86A1F">
      <w:pPr>
        <w:tabs>
          <w:tab w:val="left" w:pos="567"/>
        </w:tabs>
      </w:pPr>
      <w:r w:rsidRPr="00305FD7">
        <w:t>-</w:t>
      </w:r>
      <w:r w:rsidRPr="00305FD7">
        <w:tab/>
        <w:t xml:space="preserve">jeigu yra buvę plaučių sutrikimų, ypač jeigu sergate </w:t>
      </w:r>
      <w:r w:rsidRPr="00305FD7">
        <w:rPr>
          <w:b/>
        </w:rPr>
        <w:t>bronchų astma</w:t>
      </w:r>
      <w:r w:rsidRPr="00305FD7">
        <w:t>;</w:t>
      </w:r>
    </w:p>
    <w:p w14:paraId="1674FEE3" w14:textId="77777777" w:rsidR="00E86A1F" w:rsidRPr="00305FD7" w:rsidRDefault="00E86A1F" w:rsidP="00E86A1F">
      <w:pPr>
        <w:tabs>
          <w:tab w:val="left" w:pos="567"/>
        </w:tabs>
      </w:pPr>
      <w:r w:rsidRPr="00305FD7">
        <w:t>-</w:t>
      </w:r>
      <w:r w:rsidRPr="00305FD7">
        <w:tab/>
        <w:t xml:space="preserve">jeigu </w:t>
      </w:r>
      <w:r w:rsidRPr="00305FD7">
        <w:rPr>
          <w:b/>
        </w:rPr>
        <w:t xml:space="preserve">yra buvusi alergija </w:t>
      </w:r>
      <w:proofErr w:type="spellStart"/>
      <w:r w:rsidRPr="00305FD7">
        <w:rPr>
          <w:b/>
        </w:rPr>
        <w:t>sulfasalazinui</w:t>
      </w:r>
      <w:proofErr w:type="spellEnd"/>
      <w:r w:rsidRPr="00305FD7">
        <w:t xml:space="preserve">, į </w:t>
      </w:r>
      <w:proofErr w:type="spellStart"/>
      <w:r w:rsidRPr="00305FD7">
        <w:t>mesalaziną</w:t>
      </w:r>
      <w:proofErr w:type="spellEnd"/>
      <w:r w:rsidRPr="00305FD7">
        <w:t xml:space="preserve"> panašiai medžiagai;</w:t>
      </w:r>
    </w:p>
    <w:p w14:paraId="216315EB" w14:textId="77777777" w:rsidR="00E86A1F" w:rsidRPr="00305FD7" w:rsidRDefault="00E86A1F" w:rsidP="00E86A1F">
      <w:pPr>
        <w:tabs>
          <w:tab w:val="left" w:pos="567"/>
        </w:tabs>
      </w:pPr>
      <w:r w:rsidRPr="00305FD7">
        <w:t>-</w:t>
      </w:r>
      <w:r w:rsidRPr="00305FD7">
        <w:tab/>
        <w:t xml:space="preserve">jei Jūsų </w:t>
      </w:r>
      <w:r w:rsidRPr="00305FD7">
        <w:rPr>
          <w:b/>
        </w:rPr>
        <w:t>kepenų veikla sutrikusi</w:t>
      </w:r>
      <w:r w:rsidRPr="00305FD7">
        <w:t>;</w:t>
      </w:r>
    </w:p>
    <w:p w14:paraId="714CAED6" w14:textId="77777777" w:rsidR="00E86A1F" w:rsidRDefault="00E86A1F" w:rsidP="00E86A1F">
      <w:pPr>
        <w:tabs>
          <w:tab w:val="left" w:pos="567"/>
        </w:tabs>
      </w:pPr>
      <w:r w:rsidRPr="00305FD7">
        <w:t>-</w:t>
      </w:r>
      <w:r w:rsidRPr="00305FD7">
        <w:tab/>
        <w:t xml:space="preserve">jei Jūsų </w:t>
      </w:r>
      <w:r w:rsidRPr="00305FD7">
        <w:rPr>
          <w:b/>
        </w:rPr>
        <w:t>inkstų veikla sutrikusi</w:t>
      </w:r>
      <w:r>
        <w:t>;</w:t>
      </w:r>
    </w:p>
    <w:p w14:paraId="25DC391C" w14:textId="77777777" w:rsidR="00E86A1F" w:rsidRPr="006E6FD4" w:rsidRDefault="00E86A1F" w:rsidP="00E86A1F">
      <w:pPr>
        <w:pStyle w:val="Sraopastraipa"/>
        <w:numPr>
          <w:ilvl w:val="0"/>
          <w:numId w:val="2"/>
        </w:numPr>
        <w:tabs>
          <w:tab w:val="left" w:pos="567"/>
        </w:tabs>
        <w:spacing w:after="160" w:line="259" w:lineRule="auto"/>
        <w:ind w:left="567" w:hanging="567"/>
      </w:pPr>
      <w:r w:rsidRPr="006E6FD4">
        <w:t xml:space="preserve">jeigu pavartojus </w:t>
      </w:r>
      <w:proofErr w:type="spellStart"/>
      <w:r w:rsidRPr="006E6FD4">
        <w:t>mesalazino</w:t>
      </w:r>
      <w:proofErr w:type="spellEnd"/>
      <w:r w:rsidRPr="006E6FD4">
        <w:t>, Jums kada nors buvo pasireiškęs sunkus odos išbėrimas arba oda luposi, pasidengė pūslelėmis ir (arba) burnos ertmėje atsirado opų.</w:t>
      </w:r>
    </w:p>
    <w:p w14:paraId="0C87BA45" w14:textId="77777777" w:rsidR="00E86A1F" w:rsidRPr="00C74D02" w:rsidRDefault="00E86A1F" w:rsidP="00E86A1F">
      <w:pPr>
        <w:rPr>
          <w:color w:val="000000"/>
          <w:lang w:eastAsia="x-none"/>
        </w:rPr>
      </w:pPr>
      <w:proofErr w:type="spellStart"/>
      <w:r w:rsidRPr="00C74D02">
        <w:rPr>
          <w:color w:val="000000"/>
          <w:lang w:eastAsia="x-none"/>
        </w:rPr>
        <w:t>Mesalazinas</w:t>
      </w:r>
      <w:proofErr w:type="spellEnd"/>
      <w:r w:rsidRPr="00C74D02">
        <w:rPr>
          <w:color w:val="000000"/>
          <w:lang w:eastAsia="x-none"/>
        </w:rPr>
        <w:t xml:space="preserve"> gali sukelti raudonai rudą šlapimo spalvą po sąlyčio su natrio </w:t>
      </w:r>
      <w:proofErr w:type="spellStart"/>
      <w:r w:rsidRPr="00C74D02">
        <w:rPr>
          <w:color w:val="000000"/>
          <w:lang w:eastAsia="x-none"/>
        </w:rPr>
        <w:t>hipochlorito</w:t>
      </w:r>
      <w:proofErr w:type="spellEnd"/>
      <w:r w:rsidRPr="00C74D02">
        <w:rPr>
          <w:color w:val="000000"/>
          <w:lang w:eastAsia="x-none"/>
        </w:rPr>
        <w:t xml:space="preserve"> </w:t>
      </w:r>
      <w:proofErr w:type="spellStart"/>
      <w:r w:rsidRPr="00C74D02">
        <w:rPr>
          <w:color w:val="000000"/>
          <w:lang w:eastAsia="x-none"/>
        </w:rPr>
        <w:t>balikliu</w:t>
      </w:r>
      <w:proofErr w:type="spellEnd"/>
      <w:r w:rsidRPr="00C74D02">
        <w:rPr>
          <w:color w:val="000000"/>
          <w:lang w:eastAsia="x-none"/>
        </w:rPr>
        <w:t xml:space="preserve"> klozeto vandenyje. Tai siejama su chemine reakcija tarp </w:t>
      </w:r>
      <w:proofErr w:type="spellStart"/>
      <w:r w:rsidRPr="00C74D02">
        <w:rPr>
          <w:color w:val="000000"/>
          <w:lang w:eastAsia="x-none"/>
        </w:rPr>
        <w:t>mesalazino</w:t>
      </w:r>
      <w:proofErr w:type="spellEnd"/>
      <w:r w:rsidRPr="00C74D02">
        <w:rPr>
          <w:color w:val="000000"/>
          <w:lang w:eastAsia="x-none"/>
        </w:rPr>
        <w:t xml:space="preserve"> ir </w:t>
      </w:r>
      <w:proofErr w:type="spellStart"/>
      <w:r w:rsidRPr="00C74D02">
        <w:rPr>
          <w:color w:val="000000"/>
          <w:lang w:eastAsia="x-none"/>
        </w:rPr>
        <w:t>baliklio</w:t>
      </w:r>
      <w:proofErr w:type="spellEnd"/>
      <w:r w:rsidRPr="00C74D02">
        <w:rPr>
          <w:color w:val="000000"/>
          <w:lang w:eastAsia="x-none"/>
        </w:rPr>
        <w:t xml:space="preserve"> ir yra nekenksminga.</w:t>
      </w:r>
    </w:p>
    <w:p w14:paraId="4E01AD67" w14:textId="77777777" w:rsidR="00E86A1F" w:rsidRDefault="00E86A1F" w:rsidP="00E86A1F">
      <w:pPr>
        <w:suppressAutoHyphens/>
        <w:rPr>
          <w:rFonts w:eastAsia="Calibri"/>
          <w:b/>
          <w:lang w:eastAsia="ar-SA"/>
        </w:rPr>
      </w:pPr>
    </w:p>
    <w:p w14:paraId="31661512" w14:textId="77777777" w:rsidR="00E86A1F" w:rsidRPr="00305FD7" w:rsidRDefault="00E86A1F" w:rsidP="00E86A1F">
      <w:pPr>
        <w:suppressAutoHyphens/>
        <w:rPr>
          <w:rFonts w:eastAsia="Calibri"/>
          <w:b/>
          <w:lang w:eastAsia="ar-SA"/>
        </w:rPr>
      </w:pPr>
      <w:r w:rsidRPr="00305FD7">
        <w:rPr>
          <w:rFonts w:eastAsia="Calibri"/>
          <w:b/>
          <w:lang w:eastAsia="ar-SA"/>
        </w:rPr>
        <w:t>Kitos atsargumo priemonės</w:t>
      </w:r>
    </w:p>
    <w:p w14:paraId="34432669" w14:textId="77777777" w:rsidR="00E86A1F" w:rsidRPr="00305FD7" w:rsidRDefault="00E86A1F" w:rsidP="00E86A1F">
      <w:r w:rsidRPr="00305FD7">
        <w:lastRenderedPageBreak/>
        <w:t>Gydymo metu gydytojas gali nuspręsti atidžiai stebėti Jūsų būklę ir Jums gali reikėti reguliariai tirti</w:t>
      </w:r>
      <w:r w:rsidRPr="00305FD7">
        <w:rPr>
          <w:sz w:val="24"/>
        </w:rPr>
        <w:t xml:space="preserve"> </w:t>
      </w:r>
      <w:r w:rsidRPr="00305FD7">
        <w:t>kraują ir šlapimą.</w:t>
      </w:r>
    </w:p>
    <w:p w14:paraId="0F255FF1" w14:textId="77777777" w:rsidR="00E86A1F" w:rsidRPr="00305FD7" w:rsidRDefault="00E86A1F" w:rsidP="00E86A1F"/>
    <w:p w14:paraId="27DE5334" w14:textId="77777777" w:rsidR="00E86A1F" w:rsidRDefault="00E86A1F" w:rsidP="00E86A1F">
      <w:r w:rsidRPr="00305FD7">
        <w:t xml:space="preserve">Retais atvejais pacientams, kuriems atlikta žarnos </w:t>
      </w:r>
      <w:proofErr w:type="spellStart"/>
      <w:r w:rsidRPr="00305FD7">
        <w:t>rezekcija</w:t>
      </w:r>
      <w:proofErr w:type="spellEnd"/>
      <w:r w:rsidRPr="00305FD7">
        <w:t xml:space="preserve"> ar operacija klubinės ir aklosios žarnų srityje, pašalinant klubinės ir aklosios žarnų vožtuvą, nustatyta, kad dėl per greito žarnų turinio slinkimo </w:t>
      </w:r>
      <w:proofErr w:type="spellStart"/>
      <w:r w:rsidRPr="00305FD7">
        <w:t>Salofalk</w:t>
      </w:r>
      <w:proofErr w:type="spellEnd"/>
      <w:r w:rsidRPr="00305FD7">
        <w:t xml:space="preserve"> skrandyje neirios tabletės buvo pašalinamos neištirpusios su išmatomis. Jei Jums taip atsitiko, pasakykite savo gydytojui.</w:t>
      </w:r>
    </w:p>
    <w:p w14:paraId="172AC3A4" w14:textId="77777777" w:rsidR="00E86A1F" w:rsidRPr="00305FD7" w:rsidRDefault="00E86A1F" w:rsidP="00E86A1F"/>
    <w:p w14:paraId="5EA02492" w14:textId="77777777" w:rsidR="00E86A1F" w:rsidRDefault="00E86A1F" w:rsidP="00E86A1F">
      <w:pPr>
        <w:rPr>
          <w:noProof/>
          <w:color w:val="000000"/>
          <w:lang w:eastAsia="x-none"/>
        </w:rPr>
      </w:pPr>
      <w:r w:rsidRPr="00EA7C56">
        <w:rPr>
          <w:noProof/>
          <w:color w:val="000000"/>
          <w:lang w:eastAsia="x-none"/>
        </w:rPr>
        <w:t>Vartojant mesalaziną, gali išsivystyti inkstų akmenligė. Inkstų akmenligė gali pasireikšti skausmu šonuose ir krauju šlapime. Gydymo mesalazinu laikotarpiu stenkitės gerti pakankamai skysčių.</w:t>
      </w:r>
    </w:p>
    <w:p w14:paraId="40A7E582" w14:textId="77777777" w:rsidR="00E86A1F" w:rsidRDefault="00E86A1F" w:rsidP="00E86A1F">
      <w:pPr>
        <w:rPr>
          <w:noProof/>
          <w:color w:val="000000"/>
          <w:lang w:eastAsia="x-none"/>
        </w:rPr>
      </w:pPr>
    </w:p>
    <w:p w14:paraId="041C785C" w14:textId="77777777" w:rsidR="00E86A1F" w:rsidRDefault="00E86A1F" w:rsidP="00E86A1F">
      <w:pPr>
        <w:rPr>
          <w:noProof/>
          <w:color w:val="000000"/>
          <w:lang w:eastAsia="x-none"/>
        </w:rPr>
      </w:pPr>
      <w:r w:rsidRPr="007C6E04">
        <w:rPr>
          <w:noProof/>
          <w:color w:val="000000"/>
          <w:lang w:eastAsia="x-none"/>
        </w:rPr>
        <w:t xml:space="preserve">Taikant gydymą mesalazinu, gauta pranešimų apie sunkias odos reakcijas, įskaitant </w:t>
      </w:r>
      <w:r w:rsidRPr="007B7F27">
        <w:rPr>
          <w:color w:val="000000"/>
          <w:lang w:eastAsia="x-none"/>
        </w:rPr>
        <w:t>reakciją į</w:t>
      </w:r>
      <w:r>
        <w:rPr>
          <w:color w:val="000000"/>
          <w:lang w:eastAsia="x-none"/>
        </w:rPr>
        <w:t xml:space="preserve"> </w:t>
      </w:r>
      <w:r w:rsidRPr="007B7F27">
        <w:rPr>
          <w:color w:val="000000"/>
          <w:lang w:eastAsia="x-none"/>
        </w:rPr>
        <w:t xml:space="preserve">vaistą su </w:t>
      </w:r>
      <w:proofErr w:type="spellStart"/>
      <w:r w:rsidRPr="007B7F27">
        <w:rPr>
          <w:color w:val="000000"/>
          <w:lang w:eastAsia="x-none"/>
        </w:rPr>
        <w:t>eozinofilija</w:t>
      </w:r>
      <w:proofErr w:type="spellEnd"/>
      <w:r w:rsidRPr="007B7F27">
        <w:rPr>
          <w:color w:val="000000"/>
          <w:lang w:eastAsia="x-none"/>
        </w:rPr>
        <w:t xml:space="preserve"> ir sisteminiais simptomais (angl. </w:t>
      </w:r>
      <w:proofErr w:type="spellStart"/>
      <w:r w:rsidRPr="00C74D02">
        <w:rPr>
          <w:i/>
          <w:color w:val="000000"/>
          <w:lang w:eastAsia="x-none"/>
        </w:rPr>
        <w:t>drug</w:t>
      </w:r>
      <w:proofErr w:type="spellEnd"/>
      <w:r w:rsidRPr="00C74D02">
        <w:rPr>
          <w:i/>
          <w:color w:val="000000"/>
          <w:lang w:eastAsia="x-none"/>
        </w:rPr>
        <w:t xml:space="preserve"> </w:t>
      </w:r>
      <w:proofErr w:type="spellStart"/>
      <w:r w:rsidRPr="00C74D02">
        <w:rPr>
          <w:i/>
          <w:color w:val="000000"/>
          <w:lang w:eastAsia="x-none"/>
        </w:rPr>
        <w:t>reaction</w:t>
      </w:r>
      <w:proofErr w:type="spellEnd"/>
      <w:r w:rsidRPr="00C74D02">
        <w:rPr>
          <w:i/>
          <w:color w:val="000000"/>
          <w:lang w:eastAsia="x-none"/>
        </w:rPr>
        <w:t xml:space="preserve"> </w:t>
      </w:r>
      <w:proofErr w:type="spellStart"/>
      <w:r w:rsidRPr="00C74D02">
        <w:rPr>
          <w:i/>
          <w:color w:val="000000"/>
          <w:lang w:eastAsia="x-none"/>
        </w:rPr>
        <w:t>with</w:t>
      </w:r>
      <w:proofErr w:type="spellEnd"/>
      <w:r w:rsidRPr="00C74D02">
        <w:rPr>
          <w:i/>
          <w:color w:val="000000"/>
          <w:lang w:eastAsia="x-none"/>
        </w:rPr>
        <w:t xml:space="preserve"> </w:t>
      </w:r>
      <w:proofErr w:type="spellStart"/>
      <w:r w:rsidRPr="00C74D02">
        <w:rPr>
          <w:i/>
          <w:color w:val="000000"/>
          <w:lang w:eastAsia="x-none"/>
        </w:rPr>
        <w:t>eosinophilia</w:t>
      </w:r>
      <w:proofErr w:type="spellEnd"/>
      <w:r w:rsidRPr="00C74D02">
        <w:rPr>
          <w:i/>
          <w:color w:val="000000"/>
          <w:lang w:eastAsia="x-none"/>
        </w:rPr>
        <w:t xml:space="preserve"> </w:t>
      </w:r>
      <w:proofErr w:type="spellStart"/>
      <w:r w:rsidRPr="00C74D02">
        <w:rPr>
          <w:i/>
          <w:color w:val="000000"/>
          <w:lang w:eastAsia="x-none"/>
        </w:rPr>
        <w:t>and</w:t>
      </w:r>
      <w:proofErr w:type="spellEnd"/>
      <w:r w:rsidRPr="00C74D02">
        <w:rPr>
          <w:i/>
          <w:color w:val="000000"/>
          <w:lang w:eastAsia="x-none"/>
        </w:rPr>
        <w:t xml:space="preserve"> </w:t>
      </w:r>
      <w:proofErr w:type="spellStart"/>
      <w:r w:rsidRPr="00C74D02">
        <w:rPr>
          <w:i/>
          <w:color w:val="000000"/>
          <w:lang w:eastAsia="x-none"/>
        </w:rPr>
        <w:t>systemic</w:t>
      </w:r>
      <w:proofErr w:type="spellEnd"/>
      <w:r w:rsidRPr="00C74D02">
        <w:rPr>
          <w:i/>
          <w:color w:val="000000"/>
          <w:lang w:eastAsia="x-none"/>
        </w:rPr>
        <w:t xml:space="preserve"> </w:t>
      </w:r>
      <w:proofErr w:type="spellStart"/>
      <w:r w:rsidRPr="00C74D02">
        <w:rPr>
          <w:i/>
          <w:color w:val="000000"/>
          <w:lang w:eastAsia="x-none"/>
        </w:rPr>
        <w:t>symptoms</w:t>
      </w:r>
      <w:proofErr w:type="spellEnd"/>
      <w:r w:rsidRPr="00C74D02">
        <w:rPr>
          <w:i/>
          <w:color w:val="000000"/>
          <w:lang w:eastAsia="x-none"/>
        </w:rPr>
        <w:t>, DRESS)</w:t>
      </w:r>
      <w:r w:rsidRPr="007B7F27">
        <w:rPr>
          <w:color w:val="000000"/>
          <w:lang w:eastAsia="x-none"/>
        </w:rPr>
        <w:t>,</w:t>
      </w:r>
      <w:r>
        <w:rPr>
          <w:color w:val="000000"/>
          <w:lang w:eastAsia="x-none"/>
        </w:rPr>
        <w:t xml:space="preserve"> </w:t>
      </w:r>
      <w:r w:rsidRPr="007C6E04">
        <w:rPr>
          <w:noProof/>
          <w:color w:val="000000"/>
          <w:lang w:eastAsia="x-none"/>
        </w:rPr>
        <w:t>Stivenso-Džonsono (</w:t>
      </w:r>
      <w:r w:rsidRPr="006E6FD4">
        <w:rPr>
          <w:i/>
          <w:noProof/>
          <w:color w:val="000000"/>
          <w:lang w:eastAsia="x-none"/>
        </w:rPr>
        <w:t>Stevens-Johnson</w:t>
      </w:r>
      <w:r w:rsidRPr="007C6E04">
        <w:rPr>
          <w:noProof/>
          <w:color w:val="000000"/>
          <w:lang w:eastAsia="x-none"/>
        </w:rPr>
        <w:t>) sindromą (SDS) ir toksinę epidermio nekrolizę (TEN).</w:t>
      </w:r>
    </w:p>
    <w:p w14:paraId="53420383" w14:textId="77777777" w:rsidR="00E86A1F" w:rsidRDefault="00E86A1F" w:rsidP="00E86A1F">
      <w:pPr>
        <w:rPr>
          <w:noProof/>
          <w:color w:val="000000"/>
          <w:lang w:eastAsia="x-none"/>
        </w:rPr>
      </w:pPr>
      <w:r w:rsidRPr="007C6E04">
        <w:rPr>
          <w:noProof/>
          <w:color w:val="000000"/>
          <w:lang w:eastAsia="x-none"/>
        </w:rPr>
        <w:t>Pastebėję bent</w:t>
      </w:r>
      <w:r>
        <w:rPr>
          <w:noProof/>
          <w:color w:val="000000"/>
          <w:lang w:eastAsia="x-none"/>
        </w:rPr>
        <w:t xml:space="preserve"> </w:t>
      </w:r>
      <w:r w:rsidRPr="007C6E04">
        <w:rPr>
          <w:noProof/>
          <w:color w:val="000000"/>
          <w:lang w:eastAsia="x-none"/>
        </w:rPr>
        <w:t>vieną iš 4 skyriuje aprašytų simptomų, susijusių su sunkiomis odos reakcijomis, nebevartokite mesalazino ir nedelsdami kreipkitės pagalbos į gydytoją.</w:t>
      </w:r>
    </w:p>
    <w:p w14:paraId="268DAB3B" w14:textId="77777777" w:rsidR="00E86A1F" w:rsidRDefault="00E86A1F" w:rsidP="00E86A1F">
      <w:pPr>
        <w:rPr>
          <w:noProof/>
          <w:color w:val="000000"/>
          <w:lang w:eastAsia="x-none"/>
        </w:rPr>
      </w:pPr>
    </w:p>
    <w:p w14:paraId="23EECCD4" w14:textId="77777777" w:rsidR="00E86A1F" w:rsidRPr="00EA7C56" w:rsidRDefault="00E86A1F" w:rsidP="00E86A1F">
      <w:pPr>
        <w:rPr>
          <w:noProof/>
          <w:color w:val="000000"/>
          <w:lang w:eastAsia="x-none"/>
        </w:rPr>
      </w:pPr>
      <w:r w:rsidRPr="00971E92">
        <w:rPr>
          <w:noProof/>
          <w:color w:val="000000"/>
          <w:lang w:eastAsia="x-none"/>
        </w:rPr>
        <w:t>Jei jaučiate stiprų ar pasikartojantį galvos skausmą, sutrikusį regėjimą, skambėjimą ar ūžimą ausyse, nedelsdami kreipkitės į gydytoją.</w:t>
      </w:r>
    </w:p>
    <w:p w14:paraId="1B34A50E" w14:textId="77777777" w:rsidR="00E86A1F" w:rsidRPr="00305FD7" w:rsidRDefault="00E86A1F" w:rsidP="00E86A1F"/>
    <w:p w14:paraId="4DACBADD" w14:textId="77777777" w:rsidR="00E86A1F" w:rsidRPr="00305FD7" w:rsidRDefault="00E86A1F" w:rsidP="00E86A1F">
      <w:pPr>
        <w:spacing w:line="220" w:lineRule="exact"/>
        <w:rPr>
          <w:b/>
          <w:bCs/>
        </w:rPr>
      </w:pPr>
      <w:r w:rsidRPr="00305FD7">
        <w:rPr>
          <w:b/>
          <w:bCs/>
        </w:rPr>
        <w:t xml:space="preserve">Kiti vaistai ir </w:t>
      </w:r>
      <w:proofErr w:type="spellStart"/>
      <w:r w:rsidRPr="00305FD7">
        <w:rPr>
          <w:b/>
          <w:bCs/>
        </w:rPr>
        <w:t>Salofalk</w:t>
      </w:r>
      <w:proofErr w:type="spellEnd"/>
      <w:r w:rsidRPr="00305FD7">
        <w:rPr>
          <w:b/>
          <w:bCs/>
        </w:rPr>
        <w:t xml:space="preserve"> </w:t>
      </w:r>
    </w:p>
    <w:p w14:paraId="768993A3" w14:textId="77777777" w:rsidR="00E86A1F" w:rsidRPr="00305FD7" w:rsidRDefault="00E86A1F" w:rsidP="00E86A1F">
      <w:pPr>
        <w:rPr>
          <w:lang w:eastAsia="lt-LT"/>
        </w:rPr>
      </w:pPr>
      <w:r w:rsidRPr="00305FD7">
        <w:rPr>
          <w:lang w:eastAsia="lt-LT"/>
        </w:rPr>
        <w:t>Jeigu vartojate bent vieną iš toliau išvardytų vaistų,</w:t>
      </w:r>
      <w:r w:rsidRPr="00305FD7">
        <w:rPr>
          <w:rFonts w:eastAsia="Calibri"/>
          <w:lang w:eastAsia="ar-SA"/>
        </w:rPr>
        <w:t xml:space="preserve"> </w:t>
      </w:r>
      <w:r w:rsidRPr="00305FD7">
        <w:rPr>
          <w:lang w:eastAsia="lt-LT"/>
        </w:rPr>
        <w:t xml:space="preserve">apie tai pasakykite gydytojui, nes jų poveikis gali pakisti </w:t>
      </w:r>
      <w:r w:rsidRPr="00305FD7">
        <w:rPr>
          <w:rFonts w:eastAsia="Calibri"/>
          <w:lang w:eastAsia="ar-SA"/>
        </w:rPr>
        <w:t>(dėl vaistų sąveikos)</w:t>
      </w:r>
      <w:r w:rsidRPr="00305FD7">
        <w:rPr>
          <w:lang w:eastAsia="lt-LT"/>
        </w:rPr>
        <w:t>:</w:t>
      </w:r>
    </w:p>
    <w:p w14:paraId="16F1CEE0" w14:textId="77777777" w:rsidR="00E86A1F" w:rsidRPr="00305FD7" w:rsidRDefault="00E86A1F" w:rsidP="00E86A1F">
      <w:pPr>
        <w:rPr>
          <w:lang w:eastAsia="lt-LT"/>
        </w:rPr>
      </w:pPr>
    </w:p>
    <w:p w14:paraId="559A2830" w14:textId="77777777" w:rsidR="00E86A1F" w:rsidRPr="00305FD7" w:rsidRDefault="00E86A1F" w:rsidP="00E86A1F">
      <w:pPr>
        <w:pStyle w:val="Sraopastraipa"/>
        <w:numPr>
          <w:ilvl w:val="0"/>
          <w:numId w:val="4"/>
        </w:numPr>
        <w:rPr>
          <w:noProof/>
          <w:lang w:eastAsia="lt-LT"/>
        </w:rPr>
      </w:pPr>
      <w:r w:rsidRPr="00305FD7">
        <w:rPr>
          <w:b/>
          <w:noProof/>
          <w:lang w:eastAsia="lt-LT"/>
        </w:rPr>
        <w:t>azatioprino, 6</w:t>
      </w:r>
      <w:r w:rsidRPr="00305FD7">
        <w:rPr>
          <w:b/>
          <w:noProof/>
          <w:lang w:eastAsia="lt-LT"/>
        </w:rPr>
        <w:noBreakHyphen/>
        <w:t>merkaptopurino ar tioguanino</w:t>
      </w:r>
      <w:r w:rsidRPr="00305FD7">
        <w:rPr>
          <w:noProof/>
          <w:lang w:eastAsia="lt-LT"/>
        </w:rPr>
        <w:t xml:space="preserve"> (vaistų, vartojamų imuniniams sutrikimams gydyti);</w:t>
      </w:r>
    </w:p>
    <w:p w14:paraId="160497DA" w14:textId="77777777" w:rsidR="00E86A1F" w:rsidRPr="00305FD7" w:rsidRDefault="00E86A1F" w:rsidP="00E86A1F">
      <w:pPr>
        <w:pStyle w:val="Sraopastraipa"/>
        <w:numPr>
          <w:ilvl w:val="0"/>
          <w:numId w:val="4"/>
        </w:numPr>
        <w:rPr>
          <w:noProof/>
        </w:rPr>
      </w:pPr>
      <w:r w:rsidRPr="00305FD7">
        <w:rPr>
          <w:b/>
          <w:noProof/>
        </w:rPr>
        <w:t>tam tikrų vaistų, slopinančių kraujo krešėjimą</w:t>
      </w:r>
      <w:r w:rsidRPr="00305FD7">
        <w:rPr>
          <w:noProof/>
        </w:rPr>
        <w:t xml:space="preserve"> (vaistų, vartojamų trombozei gydyti arba kraujui skystinti, pvz., varfarino).</w:t>
      </w:r>
    </w:p>
    <w:p w14:paraId="49423493" w14:textId="77777777" w:rsidR="00E86A1F" w:rsidRPr="00305FD7" w:rsidRDefault="00E86A1F" w:rsidP="00E86A1F">
      <w:pPr>
        <w:jc w:val="both"/>
        <w:rPr>
          <w:lang w:eastAsia="lt-LT"/>
        </w:rPr>
      </w:pPr>
    </w:p>
    <w:p w14:paraId="0BE7D5F4" w14:textId="77777777" w:rsidR="00E86A1F" w:rsidRPr="00305FD7" w:rsidRDefault="00E86A1F" w:rsidP="00E86A1F">
      <w:pPr>
        <w:jc w:val="both"/>
      </w:pPr>
      <w:r w:rsidRPr="00305FD7">
        <w:rPr>
          <w:lang w:eastAsia="lt-LT"/>
        </w:rPr>
        <w:t>Jeigu vartojate arba neseniai vartojote kitų vaistų arba dėl to nesate tikri, apie tai pasakykite gydytojui arba vaistininkui.</w:t>
      </w:r>
      <w:r w:rsidRPr="00305FD7">
        <w:t xml:space="preserve"> Jums vis tiek gali reikėti gydytis </w:t>
      </w:r>
      <w:proofErr w:type="spellStart"/>
      <w:r w:rsidRPr="00305FD7">
        <w:t>Salofalk</w:t>
      </w:r>
      <w:proofErr w:type="spellEnd"/>
      <w:r w:rsidRPr="00305FD7">
        <w:t xml:space="preserve">, bet tai turi nutarti gydytojas.  </w:t>
      </w:r>
    </w:p>
    <w:p w14:paraId="5807B05B" w14:textId="77777777" w:rsidR="00E86A1F" w:rsidRPr="00305FD7" w:rsidRDefault="00E86A1F" w:rsidP="00E86A1F">
      <w:pPr>
        <w:rPr>
          <w:lang w:eastAsia="de-DE"/>
        </w:rPr>
      </w:pPr>
    </w:p>
    <w:p w14:paraId="3A056E2C" w14:textId="77777777" w:rsidR="00E86A1F" w:rsidRPr="00305FD7" w:rsidRDefault="00E86A1F" w:rsidP="00E86A1F">
      <w:pPr>
        <w:ind w:left="567" w:hanging="567"/>
        <w:rPr>
          <w:b/>
          <w:noProof/>
        </w:rPr>
      </w:pPr>
      <w:r w:rsidRPr="00305FD7">
        <w:rPr>
          <w:b/>
          <w:noProof/>
        </w:rPr>
        <w:t>Nėštumas ir žindymo laikotarpis</w:t>
      </w:r>
    </w:p>
    <w:p w14:paraId="7D606306" w14:textId="77777777" w:rsidR="00E86A1F" w:rsidRPr="00305FD7" w:rsidRDefault="00E86A1F" w:rsidP="00E86A1F"/>
    <w:p w14:paraId="75C3E399" w14:textId="77777777" w:rsidR="00E86A1F" w:rsidRPr="00305FD7" w:rsidRDefault="00E86A1F" w:rsidP="00E86A1F">
      <w:r w:rsidRPr="00305FD7">
        <w:t>Jeigu esate nėščia, žindote kūdikį, manote, kad galbūt esate nėščia arba planuojate pastoti, tai prieš vartodama šį vaistą, pasitarkite su gydytoju arba vaistininku.</w:t>
      </w:r>
    </w:p>
    <w:p w14:paraId="76FF5FB0" w14:textId="77777777" w:rsidR="00E86A1F" w:rsidRPr="00305FD7" w:rsidRDefault="00E86A1F" w:rsidP="00E86A1F"/>
    <w:p w14:paraId="3E06CD90" w14:textId="77777777" w:rsidR="00E86A1F" w:rsidRPr="00305FD7" w:rsidRDefault="00E86A1F" w:rsidP="00E86A1F">
      <w:r w:rsidRPr="00305FD7">
        <w:rPr>
          <w:rFonts w:eastAsia="Calibri"/>
          <w:lang w:eastAsia="ar-SA"/>
        </w:rPr>
        <w:t>Nėštumo metu</w:t>
      </w:r>
      <w:r w:rsidRPr="00305FD7">
        <w:t xml:space="preserve"> </w:t>
      </w:r>
      <w:proofErr w:type="spellStart"/>
      <w:r w:rsidRPr="00305FD7">
        <w:t>Salofalk</w:t>
      </w:r>
      <w:proofErr w:type="spellEnd"/>
      <w:r w:rsidRPr="00305FD7">
        <w:t xml:space="preserve"> galite vartoti tik gydytojui nurodžius.</w:t>
      </w:r>
    </w:p>
    <w:p w14:paraId="2608D313" w14:textId="77777777" w:rsidR="00E86A1F" w:rsidRPr="00305FD7" w:rsidRDefault="00E86A1F" w:rsidP="00E86A1F"/>
    <w:p w14:paraId="3B963780" w14:textId="77777777" w:rsidR="00E86A1F" w:rsidRPr="00305FD7" w:rsidRDefault="00E86A1F" w:rsidP="00E86A1F">
      <w:r w:rsidRPr="00305FD7">
        <w:rPr>
          <w:rFonts w:eastAsia="Calibri"/>
          <w:lang w:eastAsia="ar-SA"/>
        </w:rPr>
        <w:t>Žindymo metu</w:t>
      </w:r>
      <w:r w:rsidRPr="00305FD7">
        <w:t xml:space="preserve"> </w:t>
      </w:r>
      <w:proofErr w:type="spellStart"/>
      <w:r w:rsidRPr="00305FD7">
        <w:t>Salofalk</w:t>
      </w:r>
      <w:proofErr w:type="spellEnd"/>
      <w:r w:rsidRPr="00305FD7">
        <w:t xml:space="preserve"> galite vartoti tik gydytojui nurodžius, kadangi šis vaistas gali patekti į motinos pieną.</w:t>
      </w:r>
    </w:p>
    <w:p w14:paraId="0CDBFACD" w14:textId="77777777" w:rsidR="00E86A1F" w:rsidRPr="00305FD7" w:rsidRDefault="00E86A1F" w:rsidP="00E86A1F">
      <w:pPr>
        <w:spacing w:line="220" w:lineRule="exact"/>
        <w:rPr>
          <w:b/>
          <w:bCs/>
        </w:rPr>
      </w:pPr>
    </w:p>
    <w:p w14:paraId="6E314105" w14:textId="77777777" w:rsidR="00E86A1F" w:rsidRPr="00305FD7" w:rsidRDefault="00E86A1F" w:rsidP="00E86A1F">
      <w:pPr>
        <w:spacing w:line="220" w:lineRule="exact"/>
        <w:rPr>
          <w:b/>
          <w:bCs/>
        </w:rPr>
      </w:pPr>
      <w:r w:rsidRPr="00305FD7">
        <w:rPr>
          <w:b/>
          <w:bCs/>
        </w:rPr>
        <w:t>Vairavimas ir mechanizmų valdymas</w:t>
      </w:r>
    </w:p>
    <w:p w14:paraId="72983FA5" w14:textId="77777777" w:rsidR="00E86A1F" w:rsidRPr="00305FD7" w:rsidRDefault="00E86A1F" w:rsidP="00E86A1F">
      <w:pPr>
        <w:spacing w:line="220" w:lineRule="exact"/>
      </w:pPr>
      <w:r w:rsidRPr="00305FD7">
        <w:t>Vaistas gebėjimo vairuoti ir valdyti mechanizmus neveikia arba veikia nereikšmingai.</w:t>
      </w:r>
    </w:p>
    <w:p w14:paraId="55CE8D42" w14:textId="77777777" w:rsidR="00E86A1F" w:rsidRPr="00305FD7" w:rsidRDefault="00E86A1F" w:rsidP="00E86A1F"/>
    <w:p w14:paraId="700E019A" w14:textId="77777777" w:rsidR="00E86A1F" w:rsidRPr="00305FD7" w:rsidRDefault="00E86A1F" w:rsidP="00E86A1F">
      <w:pPr>
        <w:spacing w:line="220" w:lineRule="exact"/>
        <w:rPr>
          <w:b/>
          <w:bCs/>
        </w:rPr>
      </w:pPr>
      <w:proofErr w:type="spellStart"/>
      <w:r w:rsidRPr="00305FD7">
        <w:rPr>
          <w:b/>
          <w:bCs/>
        </w:rPr>
        <w:t>Salofalk</w:t>
      </w:r>
      <w:proofErr w:type="spellEnd"/>
      <w:r w:rsidRPr="00305FD7">
        <w:rPr>
          <w:b/>
          <w:bCs/>
        </w:rPr>
        <w:t xml:space="preserve"> sudėtyje yra natrio</w:t>
      </w:r>
    </w:p>
    <w:p w14:paraId="64606EF9" w14:textId="77777777" w:rsidR="00E86A1F" w:rsidRPr="00305FD7" w:rsidRDefault="00E86A1F" w:rsidP="00E86A1F">
      <w:pPr>
        <w:ind w:hanging="27"/>
      </w:pPr>
      <w:r w:rsidRPr="00305FD7">
        <w:t xml:space="preserve">Kiekvienoje skrandyje neirioje tabletėje yra 2,1 </w:t>
      </w:r>
      <w:proofErr w:type="spellStart"/>
      <w:r w:rsidRPr="00305FD7">
        <w:t>mmol</w:t>
      </w:r>
      <w:proofErr w:type="spellEnd"/>
      <w:r w:rsidRPr="00305FD7">
        <w:t xml:space="preserve"> (49 mg) natrio (valgomosios druskos sudedamosios dalies). Tai atitinka 2,5 % didžiausios rekomenduojamos natrio paros normos.</w:t>
      </w:r>
    </w:p>
    <w:p w14:paraId="628E3460" w14:textId="77777777" w:rsidR="00E86A1F" w:rsidRPr="00305FD7" w:rsidRDefault="00E86A1F" w:rsidP="00E86A1F">
      <w:r w:rsidRPr="00305FD7">
        <w:t xml:space="preserve">Didžiausioje rekomenduojamoje šio vaisto dozėje yra 441 mg natrio (valgomosios druskos sudedamosios dalies). Tai atitinka 22 % didžiausios rekomenduojamos natrio paros normos. Pasitarkite su gydytoju arba vaistininku, jeigu ilgesnį laiką turite vartoti po 7 arba daugiau </w:t>
      </w:r>
      <w:proofErr w:type="spellStart"/>
      <w:r w:rsidRPr="00305FD7">
        <w:t>Salofalk</w:t>
      </w:r>
      <w:proofErr w:type="spellEnd"/>
      <w:r w:rsidRPr="00305FD7">
        <w:t xml:space="preserve">  tablečių per parą, ypač jei Jums patariama kontroliuoti druskos (natrio) kiekį maiste.</w:t>
      </w:r>
    </w:p>
    <w:p w14:paraId="047C32A0" w14:textId="77777777" w:rsidR="00E86A1F" w:rsidRPr="00305FD7" w:rsidRDefault="00E86A1F" w:rsidP="00E86A1F">
      <w:pPr>
        <w:spacing w:line="220" w:lineRule="exact"/>
        <w:rPr>
          <w:b/>
          <w:bCs/>
        </w:rPr>
      </w:pPr>
    </w:p>
    <w:p w14:paraId="2BAEDF3F" w14:textId="77777777" w:rsidR="00E86A1F" w:rsidRPr="00305FD7" w:rsidRDefault="00E86A1F" w:rsidP="00E86A1F"/>
    <w:p w14:paraId="6EB7336C" w14:textId="77777777" w:rsidR="00E86A1F" w:rsidRPr="00305FD7" w:rsidRDefault="00E86A1F" w:rsidP="00E86A1F">
      <w:pPr>
        <w:ind w:left="567" w:hanging="567"/>
        <w:rPr>
          <w:b/>
          <w:caps/>
        </w:rPr>
      </w:pPr>
      <w:r w:rsidRPr="00305FD7">
        <w:rPr>
          <w:b/>
          <w:caps/>
        </w:rPr>
        <w:t>3.</w:t>
      </w:r>
      <w:r w:rsidRPr="00305FD7">
        <w:rPr>
          <w:b/>
          <w:caps/>
        </w:rPr>
        <w:tab/>
      </w:r>
      <w:r w:rsidRPr="00305FD7">
        <w:rPr>
          <w:b/>
        </w:rPr>
        <w:t xml:space="preserve">Kaip vartoti </w:t>
      </w:r>
      <w:proofErr w:type="spellStart"/>
      <w:r w:rsidRPr="00305FD7">
        <w:rPr>
          <w:b/>
        </w:rPr>
        <w:t>Salofalk</w:t>
      </w:r>
      <w:proofErr w:type="spellEnd"/>
      <w:r w:rsidRPr="00305FD7">
        <w:rPr>
          <w:b/>
        </w:rPr>
        <w:t xml:space="preserve"> </w:t>
      </w:r>
    </w:p>
    <w:p w14:paraId="053CB7A4" w14:textId="77777777" w:rsidR="00E86A1F" w:rsidRPr="00305FD7" w:rsidRDefault="00E86A1F" w:rsidP="00E86A1F"/>
    <w:p w14:paraId="055DB65E" w14:textId="77777777" w:rsidR="00E86A1F" w:rsidRPr="00305FD7" w:rsidRDefault="00E86A1F" w:rsidP="00E86A1F">
      <w:r w:rsidRPr="00305FD7">
        <w:lastRenderedPageBreak/>
        <w:t>Visada vartokite šį vaistą tiksliai kaip nurodė gydytojas arba vaistininkas. Jeigu abejojate, kreipkitės į gydytoją arba vaistininką.</w:t>
      </w:r>
    </w:p>
    <w:p w14:paraId="7729F8EE" w14:textId="77777777" w:rsidR="00E86A1F" w:rsidRPr="00305FD7" w:rsidRDefault="00E86A1F" w:rsidP="00E86A1F">
      <w:pPr>
        <w:rPr>
          <w:lang w:eastAsia="lt-LT"/>
        </w:rPr>
      </w:pPr>
    </w:p>
    <w:p w14:paraId="203FB8ED" w14:textId="77777777" w:rsidR="00E86A1F" w:rsidRPr="00305FD7" w:rsidRDefault="00E86A1F" w:rsidP="00E86A1F">
      <w:pPr>
        <w:rPr>
          <w:b/>
          <w:iCs/>
          <w:lang w:eastAsia="lt-LT"/>
        </w:rPr>
      </w:pPr>
      <w:r w:rsidRPr="00305FD7">
        <w:rPr>
          <w:b/>
          <w:iCs/>
          <w:lang w:eastAsia="lt-LT"/>
        </w:rPr>
        <w:t>Vartojimo metodas</w:t>
      </w:r>
    </w:p>
    <w:p w14:paraId="47A61651" w14:textId="77777777" w:rsidR="00E86A1F" w:rsidRPr="00305FD7" w:rsidRDefault="00E86A1F" w:rsidP="00E86A1F">
      <w:pPr>
        <w:rPr>
          <w:lang w:eastAsia="lt-LT"/>
        </w:rPr>
      </w:pPr>
      <w:proofErr w:type="spellStart"/>
      <w:r w:rsidRPr="00305FD7">
        <w:rPr>
          <w:lang w:eastAsia="lt-LT"/>
        </w:rPr>
        <w:t>Salofalk</w:t>
      </w:r>
      <w:proofErr w:type="spellEnd"/>
      <w:r w:rsidRPr="00305FD7">
        <w:rPr>
          <w:lang w:eastAsia="lt-LT"/>
        </w:rPr>
        <w:t xml:space="preserve"> 500 mg skrandyje neirios tabletės skirtos tik vartoti per burną.</w:t>
      </w:r>
    </w:p>
    <w:p w14:paraId="49B3006F" w14:textId="77777777" w:rsidR="00E86A1F" w:rsidRPr="00305FD7" w:rsidRDefault="00E86A1F" w:rsidP="00E86A1F">
      <w:pPr>
        <w:rPr>
          <w:lang w:eastAsia="lt-LT"/>
        </w:rPr>
      </w:pPr>
      <w:r w:rsidRPr="00305FD7">
        <w:rPr>
          <w:lang w:eastAsia="lt-LT"/>
        </w:rPr>
        <w:t xml:space="preserve">Vartokite </w:t>
      </w:r>
      <w:proofErr w:type="spellStart"/>
      <w:r w:rsidRPr="00305FD7">
        <w:rPr>
          <w:lang w:eastAsia="lt-LT"/>
        </w:rPr>
        <w:t>Salofalk</w:t>
      </w:r>
      <w:proofErr w:type="spellEnd"/>
      <w:r w:rsidRPr="00305FD7">
        <w:rPr>
          <w:lang w:eastAsia="lt-LT"/>
        </w:rPr>
        <w:t xml:space="preserve"> ryte, dieną ir vakare, likus 1 val. iki valgio. Skrandyje neirią tabletę reikia nuryti visą, nekramtytą, gausiai užgeriant skysčiu.</w:t>
      </w:r>
    </w:p>
    <w:p w14:paraId="73248873" w14:textId="77777777" w:rsidR="00E86A1F" w:rsidRPr="00305FD7" w:rsidRDefault="00E86A1F" w:rsidP="00E86A1F">
      <w:pPr>
        <w:rPr>
          <w:lang w:eastAsia="lt-LT"/>
        </w:rPr>
      </w:pPr>
    </w:p>
    <w:p w14:paraId="5B9393B8" w14:textId="77777777" w:rsidR="00E86A1F" w:rsidRPr="00305FD7" w:rsidRDefault="00E86A1F" w:rsidP="00E86A1F">
      <w:pPr>
        <w:rPr>
          <w:b/>
          <w:bCs/>
          <w:iCs/>
          <w:lang w:eastAsia="lt-LT"/>
        </w:rPr>
      </w:pPr>
      <w:r w:rsidRPr="00305FD7">
        <w:rPr>
          <w:b/>
          <w:bCs/>
          <w:iCs/>
          <w:lang w:eastAsia="lt-LT"/>
        </w:rPr>
        <w:t>Dozavimas</w:t>
      </w:r>
    </w:p>
    <w:p w14:paraId="4796E212" w14:textId="77777777" w:rsidR="00E86A1F" w:rsidRPr="00305FD7" w:rsidRDefault="00E86A1F" w:rsidP="00E86A1F">
      <w:pPr>
        <w:keepNext/>
        <w:suppressAutoHyphens/>
        <w:outlineLvl w:val="3"/>
        <w:rPr>
          <w:rFonts w:eastAsia="Calibri"/>
          <w:b/>
          <w:bCs/>
          <w:lang w:eastAsia="ar-SA"/>
        </w:rPr>
      </w:pPr>
    </w:p>
    <w:p w14:paraId="026B996B" w14:textId="77777777" w:rsidR="00E86A1F" w:rsidRPr="00305FD7" w:rsidRDefault="00E86A1F" w:rsidP="00E86A1F">
      <w:pPr>
        <w:keepNext/>
        <w:suppressAutoHyphens/>
        <w:outlineLvl w:val="3"/>
        <w:rPr>
          <w:rFonts w:eastAsia="Calibri"/>
          <w:b/>
          <w:bCs/>
          <w:lang w:eastAsia="ar-SA"/>
        </w:rPr>
      </w:pPr>
      <w:r w:rsidRPr="00305FD7">
        <w:rPr>
          <w:rFonts w:eastAsia="Calibri"/>
          <w:b/>
          <w:bCs/>
          <w:lang w:eastAsia="ar-SA"/>
        </w:rPr>
        <w:t>Rekomenduojama dozė yra:</w:t>
      </w:r>
    </w:p>
    <w:p w14:paraId="74E95F48" w14:textId="77777777" w:rsidR="00E86A1F" w:rsidRPr="00305FD7" w:rsidRDefault="00E86A1F" w:rsidP="00E86A1F">
      <w:pPr>
        <w:keepNext/>
        <w:suppressAutoHyphens/>
        <w:outlineLvl w:val="3"/>
        <w:rPr>
          <w:rFonts w:eastAsia="Calibri"/>
          <w:b/>
          <w:bCs/>
          <w:lang w:eastAsia="ar-SA"/>
        </w:rPr>
      </w:pPr>
    </w:p>
    <w:p w14:paraId="37F93CF4" w14:textId="77777777" w:rsidR="00E86A1F" w:rsidRPr="00305FD7" w:rsidRDefault="00E86A1F" w:rsidP="00E86A1F">
      <w:pPr>
        <w:jc w:val="both"/>
        <w:rPr>
          <w:lang w:eastAsia="lt-LT"/>
        </w:rPr>
      </w:pPr>
      <w:r w:rsidRPr="00305FD7">
        <w:rPr>
          <w:i/>
          <w:lang w:eastAsia="lt-LT"/>
        </w:rPr>
        <w:t>Suaugusiesiems  ir senyviems žmonėms</w:t>
      </w:r>
    </w:p>
    <w:p w14:paraId="6FA4277E" w14:textId="77777777" w:rsidR="00E86A1F" w:rsidRPr="00305FD7" w:rsidRDefault="00E86A1F" w:rsidP="00E86A1F">
      <w:r w:rsidRPr="00305FD7">
        <w:t xml:space="preserve">Jeigu gydytojas nenurodė kitaip, įprastos </w:t>
      </w:r>
      <w:proofErr w:type="spellStart"/>
      <w:r w:rsidRPr="00305FD7">
        <w:t>mesalazino</w:t>
      </w:r>
      <w:proofErr w:type="spellEnd"/>
      <w:r w:rsidRPr="00305FD7">
        <w:t xml:space="preserve"> (</w:t>
      </w:r>
      <w:proofErr w:type="spellStart"/>
      <w:r w:rsidRPr="00305FD7">
        <w:t>Salofalk</w:t>
      </w:r>
      <w:proofErr w:type="spellEnd"/>
      <w:r w:rsidRPr="00305FD7">
        <w:rPr>
          <w:vertAlign w:val="superscript"/>
        </w:rPr>
        <w:t xml:space="preserve"> </w:t>
      </w:r>
      <w:r w:rsidRPr="00305FD7">
        <w:t xml:space="preserve">veikliosios medžiagos) arba </w:t>
      </w:r>
      <w:proofErr w:type="spellStart"/>
      <w:r w:rsidRPr="00305FD7">
        <w:t>Salofalk</w:t>
      </w:r>
      <w:proofErr w:type="spellEnd"/>
      <w:r w:rsidRPr="00305FD7">
        <w:t xml:space="preserve"> skrandyje neirių tablečių paros dozės yra tokios:</w:t>
      </w:r>
    </w:p>
    <w:p w14:paraId="078BF839" w14:textId="77777777" w:rsidR="00E86A1F" w:rsidRPr="00305FD7" w:rsidRDefault="00E86A1F" w:rsidP="00E86A1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980"/>
        <w:gridCol w:w="1800"/>
        <w:gridCol w:w="2772"/>
      </w:tblGrid>
      <w:tr w:rsidR="00E86A1F" w:rsidRPr="00305FD7" w14:paraId="09B313FF" w14:textId="77777777" w:rsidTr="00E524A6">
        <w:tc>
          <w:tcPr>
            <w:tcW w:w="2520" w:type="dxa"/>
            <w:tcBorders>
              <w:top w:val="single" w:sz="4" w:space="0" w:color="auto"/>
              <w:left w:val="single" w:sz="4" w:space="0" w:color="auto"/>
              <w:bottom w:val="nil"/>
              <w:right w:val="nil"/>
            </w:tcBorders>
          </w:tcPr>
          <w:p w14:paraId="1FBE6878" w14:textId="77777777" w:rsidR="00E86A1F" w:rsidRPr="00305FD7" w:rsidRDefault="00E86A1F" w:rsidP="00E524A6">
            <w:pPr>
              <w:jc w:val="center"/>
              <w:rPr>
                <w:b/>
              </w:rPr>
            </w:pPr>
          </w:p>
        </w:tc>
        <w:tc>
          <w:tcPr>
            <w:tcW w:w="1980" w:type="dxa"/>
            <w:tcBorders>
              <w:top w:val="single" w:sz="4" w:space="0" w:color="auto"/>
              <w:left w:val="single" w:sz="4" w:space="0" w:color="auto"/>
              <w:bottom w:val="single" w:sz="4" w:space="0" w:color="auto"/>
              <w:right w:val="single" w:sz="4" w:space="0" w:color="auto"/>
            </w:tcBorders>
          </w:tcPr>
          <w:p w14:paraId="66BA7B30" w14:textId="77777777" w:rsidR="00E86A1F" w:rsidRPr="00305FD7" w:rsidRDefault="00E86A1F" w:rsidP="00E524A6">
            <w:pPr>
              <w:jc w:val="center"/>
              <w:rPr>
                <w:b/>
              </w:rPr>
            </w:pPr>
            <w:r w:rsidRPr="00305FD7">
              <w:rPr>
                <w:b/>
              </w:rPr>
              <w:t>Krono liga</w:t>
            </w:r>
          </w:p>
        </w:tc>
        <w:tc>
          <w:tcPr>
            <w:tcW w:w="4572" w:type="dxa"/>
            <w:gridSpan w:val="2"/>
            <w:tcBorders>
              <w:left w:val="nil"/>
            </w:tcBorders>
          </w:tcPr>
          <w:p w14:paraId="1B14D81A" w14:textId="77777777" w:rsidR="00E86A1F" w:rsidRPr="00305FD7" w:rsidRDefault="00E86A1F" w:rsidP="00E524A6">
            <w:pPr>
              <w:jc w:val="center"/>
              <w:rPr>
                <w:b/>
              </w:rPr>
            </w:pPr>
            <w:r w:rsidRPr="00305FD7">
              <w:rPr>
                <w:b/>
              </w:rPr>
              <w:t>Opinis kolitas</w:t>
            </w:r>
          </w:p>
        </w:tc>
      </w:tr>
      <w:tr w:rsidR="00E86A1F" w:rsidRPr="00305FD7" w14:paraId="5D58A6A7" w14:textId="77777777" w:rsidTr="00E524A6">
        <w:tc>
          <w:tcPr>
            <w:tcW w:w="2520" w:type="dxa"/>
            <w:tcBorders>
              <w:top w:val="nil"/>
              <w:left w:val="single" w:sz="4" w:space="0" w:color="auto"/>
              <w:bottom w:val="single" w:sz="4" w:space="0" w:color="auto"/>
              <w:right w:val="nil"/>
            </w:tcBorders>
          </w:tcPr>
          <w:p w14:paraId="3612DA1B" w14:textId="77777777" w:rsidR="00E86A1F" w:rsidRPr="00305FD7" w:rsidRDefault="00E86A1F" w:rsidP="00E524A6">
            <w:pPr>
              <w:jc w:val="center"/>
              <w:rPr>
                <w:b/>
              </w:rPr>
            </w:pPr>
          </w:p>
        </w:tc>
        <w:tc>
          <w:tcPr>
            <w:tcW w:w="1980" w:type="dxa"/>
            <w:tcBorders>
              <w:top w:val="single" w:sz="4" w:space="0" w:color="auto"/>
              <w:left w:val="single" w:sz="4" w:space="0" w:color="auto"/>
              <w:bottom w:val="single" w:sz="4" w:space="0" w:color="auto"/>
              <w:right w:val="single" w:sz="4" w:space="0" w:color="auto"/>
            </w:tcBorders>
          </w:tcPr>
          <w:p w14:paraId="0C4607B1" w14:textId="77777777" w:rsidR="00E86A1F" w:rsidRPr="00305FD7" w:rsidRDefault="00E86A1F" w:rsidP="00E524A6">
            <w:pPr>
              <w:jc w:val="center"/>
            </w:pPr>
            <w:r w:rsidRPr="00305FD7">
              <w:t>Paūmėjimas</w:t>
            </w:r>
          </w:p>
        </w:tc>
        <w:tc>
          <w:tcPr>
            <w:tcW w:w="1800" w:type="dxa"/>
            <w:tcBorders>
              <w:left w:val="nil"/>
            </w:tcBorders>
          </w:tcPr>
          <w:p w14:paraId="75A1C885" w14:textId="77777777" w:rsidR="00E86A1F" w:rsidRPr="00305FD7" w:rsidRDefault="00E86A1F" w:rsidP="00E524A6">
            <w:pPr>
              <w:jc w:val="center"/>
            </w:pPr>
            <w:r w:rsidRPr="00305FD7">
              <w:t>Paūmėjimas</w:t>
            </w:r>
          </w:p>
        </w:tc>
        <w:tc>
          <w:tcPr>
            <w:tcW w:w="2772" w:type="dxa"/>
          </w:tcPr>
          <w:p w14:paraId="5A96917F" w14:textId="77777777" w:rsidR="00E86A1F" w:rsidRPr="00305FD7" w:rsidRDefault="00E86A1F" w:rsidP="00E524A6">
            <w:pPr>
              <w:jc w:val="center"/>
            </w:pPr>
            <w:r w:rsidRPr="00305FD7">
              <w:t>Atkryčio profilaktika / ilgalaikis gydymas</w:t>
            </w:r>
          </w:p>
        </w:tc>
      </w:tr>
      <w:tr w:rsidR="00E86A1F" w:rsidRPr="00305FD7" w14:paraId="577E80F6" w14:textId="77777777" w:rsidTr="00E524A6">
        <w:tc>
          <w:tcPr>
            <w:tcW w:w="2520" w:type="dxa"/>
            <w:tcBorders>
              <w:top w:val="nil"/>
            </w:tcBorders>
          </w:tcPr>
          <w:p w14:paraId="2CFE35A0" w14:textId="77777777" w:rsidR="00E86A1F" w:rsidRPr="00305FD7" w:rsidRDefault="00E86A1F" w:rsidP="00E524A6">
            <w:pPr>
              <w:jc w:val="center"/>
            </w:pPr>
            <w:proofErr w:type="spellStart"/>
            <w:r w:rsidRPr="00305FD7">
              <w:t>Mesalazinas</w:t>
            </w:r>
            <w:proofErr w:type="spellEnd"/>
            <w:r w:rsidRPr="00305FD7">
              <w:t xml:space="preserve"> (veiklioji medžiaga)</w:t>
            </w:r>
          </w:p>
        </w:tc>
        <w:tc>
          <w:tcPr>
            <w:tcW w:w="1980" w:type="dxa"/>
            <w:tcBorders>
              <w:top w:val="nil"/>
            </w:tcBorders>
          </w:tcPr>
          <w:p w14:paraId="2F5C169D" w14:textId="77777777" w:rsidR="00E86A1F" w:rsidRPr="00305FD7" w:rsidRDefault="00E86A1F" w:rsidP="00E524A6">
            <w:pPr>
              <w:spacing w:before="120" w:after="120"/>
              <w:jc w:val="center"/>
            </w:pPr>
            <w:r w:rsidRPr="00305FD7">
              <w:t>1,5</w:t>
            </w:r>
            <w:r>
              <w:t xml:space="preserve"> </w:t>
            </w:r>
            <w:r w:rsidRPr="00305FD7">
              <w:noBreakHyphen/>
            </w:r>
            <w:r>
              <w:t xml:space="preserve"> </w:t>
            </w:r>
            <w:r w:rsidRPr="00305FD7">
              <w:t>4,5 g</w:t>
            </w:r>
          </w:p>
        </w:tc>
        <w:tc>
          <w:tcPr>
            <w:tcW w:w="1800" w:type="dxa"/>
          </w:tcPr>
          <w:p w14:paraId="7ADC568E" w14:textId="77777777" w:rsidR="00E86A1F" w:rsidRPr="00305FD7" w:rsidRDefault="00E86A1F" w:rsidP="00E524A6">
            <w:pPr>
              <w:spacing w:before="120" w:after="120"/>
              <w:jc w:val="center"/>
            </w:pPr>
            <w:r w:rsidRPr="00305FD7">
              <w:t>1,5</w:t>
            </w:r>
            <w:r>
              <w:t xml:space="preserve"> </w:t>
            </w:r>
            <w:r w:rsidRPr="00305FD7">
              <w:noBreakHyphen/>
            </w:r>
            <w:r>
              <w:t xml:space="preserve"> </w:t>
            </w:r>
            <w:r w:rsidRPr="00305FD7">
              <w:t>3,0 g</w:t>
            </w:r>
          </w:p>
        </w:tc>
        <w:tc>
          <w:tcPr>
            <w:tcW w:w="2772" w:type="dxa"/>
          </w:tcPr>
          <w:p w14:paraId="71F17766" w14:textId="77777777" w:rsidR="00E86A1F" w:rsidRPr="00305FD7" w:rsidRDefault="00E86A1F" w:rsidP="00E524A6">
            <w:pPr>
              <w:spacing w:before="120" w:after="120"/>
              <w:jc w:val="center"/>
            </w:pPr>
            <w:r w:rsidRPr="00305FD7">
              <w:t>1,5 g</w:t>
            </w:r>
          </w:p>
        </w:tc>
      </w:tr>
      <w:tr w:rsidR="00E86A1F" w:rsidRPr="00305FD7" w14:paraId="02891577" w14:textId="77777777" w:rsidTr="00E524A6">
        <w:trPr>
          <w:trHeight w:val="613"/>
        </w:trPr>
        <w:tc>
          <w:tcPr>
            <w:tcW w:w="2520" w:type="dxa"/>
            <w:vAlign w:val="center"/>
          </w:tcPr>
          <w:p w14:paraId="2B262F6A" w14:textId="77777777" w:rsidR="00E86A1F" w:rsidRPr="00305FD7" w:rsidRDefault="00E86A1F" w:rsidP="00E524A6">
            <w:pPr>
              <w:jc w:val="center"/>
            </w:pPr>
            <w:proofErr w:type="spellStart"/>
            <w:r w:rsidRPr="00305FD7">
              <w:t>Salofalk</w:t>
            </w:r>
            <w:proofErr w:type="spellEnd"/>
            <w:r w:rsidRPr="00305FD7">
              <w:t xml:space="preserve"> 500 mg skrandyje neirios tabletės</w:t>
            </w:r>
          </w:p>
        </w:tc>
        <w:tc>
          <w:tcPr>
            <w:tcW w:w="1980" w:type="dxa"/>
            <w:vAlign w:val="center"/>
          </w:tcPr>
          <w:p w14:paraId="72F5CB5F" w14:textId="77777777" w:rsidR="00E86A1F" w:rsidRPr="00305FD7" w:rsidRDefault="00E86A1F" w:rsidP="00E524A6">
            <w:pPr>
              <w:jc w:val="center"/>
            </w:pPr>
            <w:r w:rsidRPr="00305FD7">
              <w:t>1 – 3 tabletė</w:t>
            </w:r>
            <w:r>
              <w:t>s</w:t>
            </w:r>
            <w:r w:rsidRPr="00305FD7">
              <w:t xml:space="preserve"> 3 kartus per parą</w:t>
            </w:r>
          </w:p>
        </w:tc>
        <w:tc>
          <w:tcPr>
            <w:tcW w:w="1800" w:type="dxa"/>
            <w:vAlign w:val="center"/>
          </w:tcPr>
          <w:p w14:paraId="5A8801DB" w14:textId="77777777" w:rsidR="00E86A1F" w:rsidRPr="00305FD7" w:rsidRDefault="00E86A1F" w:rsidP="00E524A6">
            <w:pPr>
              <w:jc w:val="center"/>
            </w:pPr>
            <w:r w:rsidRPr="00305FD7">
              <w:t>1 – 2 tabletės 3 kartus per parą</w:t>
            </w:r>
          </w:p>
        </w:tc>
        <w:tc>
          <w:tcPr>
            <w:tcW w:w="2772" w:type="dxa"/>
            <w:vAlign w:val="center"/>
          </w:tcPr>
          <w:p w14:paraId="2EBC22A0" w14:textId="77777777" w:rsidR="00E86A1F" w:rsidRPr="00305FD7" w:rsidRDefault="00E86A1F" w:rsidP="00E524A6">
            <w:pPr>
              <w:jc w:val="center"/>
            </w:pPr>
            <w:r w:rsidRPr="00305FD7">
              <w:t>1 tabletė 3 kartus per parą</w:t>
            </w:r>
          </w:p>
        </w:tc>
      </w:tr>
    </w:tbl>
    <w:p w14:paraId="600938B1" w14:textId="77777777" w:rsidR="00E86A1F" w:rsidRPr="00305FD7" w:rsidRDefault="00E86A1F" w:rsidP="00E86A1F">
      <w:pPr>
        <w:rPr>
          <w:b/>
          <w:u w:val="single"/>
        </w:rPr>
      </w:pPr>
    </w:p>
    <w:p w14:paraId="5CD0BC90" w14:textId="77777777" w:rsidR="00E86A1F" w:rsidRPr="00305FD7" w:rsidRDefault="00E86A1F" w:rsidP="00E86A1F">
      <w:pPr>
        <w:rPr>
          <w:b/>
          <w:bCs/>
        </w:rPr>
      </w:pPr>
      <w:r w:rsidRPr="00305FD7">
        <w:rPr>
          <w:b/>
          <w:bCs/>
        </w:rPr>
        <w:t>Vartojimas vaikams ir paaugliams</w:t>
      </w:r>
    </w:p>
    <w:p w14:paraId="4EDEBE1F" w14:textId="77777777" w:rsidR="00E86A1F" w:rsidRPr="00305FD7" w:rsidRDefault="00E86A1F" w:rsidP="00E86A1F">
      <w:pPr>
        <w:rPr>
          <w:b/>
          <w:bCs/>
        </w:rPr>
      </w:pPr>
    </w:p>
    <w:p w14:paraId="523094FC" w14:textId="77777777" w:rsidR="00E86A1F" w:rsidRPr="00305FD7" w:rsidRDefault="00E86A1F" w:rsidP="00E86A1F">
      <w:pPr>
        <w:keepNext/>
        <w:outlineLvl w:val="3"/>
      </w:pPr>
      <w:r w:rsidRPr="00305FD7">
        <w:rPr>
          <w:rFonts w:eastAsia="Calibri"/>
        </w:rPr>
        <w:t>Vartojimo patirties ir d</w:t>
      </w:r>
      <w:r w:rsidRPr="00305FD7">
        <w:t>uomenų apie poveikį vaikams (6</w:t>
      </w:r>
      <w:r w:rsidRPr="00305FD7">
        <w:noBreakHyphen/>
        <w:t>18 metų) nepakanka.</w:t>
      </w:r>
    </w:p>
    <w:p w14:paraId="2CD06CB4" w14:textId="77777777" w:rsidR="00E86A1F" w:rsidRPr="00305FD7" w:rsidRDefault="00E86A1F" w:rsidP="00E86A1F">
      <w:pPr>
        <w:keepNext/>
        <w:outlineLvl w:val="3"/>
      </w:pPr>
    </w:p>
    <w:p w14:paraId="52E6F11C" w14:textId="77777777" w:rsidR="00E86A1F" w:rsidRPr="00305FD7" w:rsidRDefault="00E86A1F" w:rsidP="00E86A1F">
      <w:pPr>
        <w:keepNext/>
        <w:outlineLvl w:val="3"/>
      </w:pPr>
      <w:r w:rsidRPr="00305FD7">
        <w:rPr>
          <w:b/>
          <w:bCs/>
        </w:rPr>
        <w:t>Vyresniems kaip 6 metų vaikams ir paaugliams</w:t>
      </w:r>
    </w:p>
    <w:p w14:paraId="00BC9019" w14:textId="77777777" w:rsidR="00E86A1F" w:rsidRPr="00305FD7" w:rsidRDefault="00E86A1F" w:rsidP="00E86A1F">
      <w:r w:rsidRPr="00305FD7">
        <w:t xml:space="preserve">Apie tikslų </w:t>
      </w:r>
      <w:proofErr w:type="spellStart"/>
      <w:r w:rsidRPr="00305FD7">
        <w:t>Salofalk</w:t>
      </w:r>
      <w:proofErr w:type="spellEnd"/>
      <w:r w:rsidRPr="00305FD7">
        <w:t xml:space="preserve"> dozavimą Jūsų vaikui klauskite gydytojo. Dozavimas </w:t>
      </w:r>
      <w:r w:rsidRPr="00305FD7">
        <w:rPr>
          <w:rFonts w:eastAsia="Calibri"/>
          <w:lang w:eastAsia="ar-SA"/>
        </w:rPr>
        <w:t>priklauso nuo vaiko būklės sunkumo ir kūno svorio.</w:t>
      </w:r>
    </w:p>
    <w:p w14:paraId="5CF0C926" w14:textId="77777777" w:rsidR="00E86A1F" w:rsidRPr="00305FD7" w:rsidRDefault="00E86A1F" w:rsidP="00E86A1F">
      <w:pPr>
        <w:rPr>
          <w:sz w:val="24"/>
          <w:u w:val="single"/>
        </w:rPr>
      </w:pPr>
    </w:p>
    <w:p w14:paraId="1C61AE3E" w14:textId="77777777" w:rsidR="00E86A1F" w:rsidRPr="00305FD7" w:rsidRDefault="00E86A1F" w:rsidP="00E86A1F">
      <w:pPr>
        <w:tabs>
          <w:tab w:val="num" w:pos="720"/>
        </w:tabs>
      </w:pPr>
      <w:r w:rsidRPr="00305FD7">
        <w:rPr>
          <w:b/>
        </w:rPr>
        <w:t>Ūminė liga.</w:t>
      </w:r>
      <w:r w:rsidRPr="00305FD7">
        <w:t xml:space="preserve"> Dozė nustatoma individualiai, pradedant nuo 30-50 mg vienam kg kūno svorio paros dozės, padalytos į lygias dalis. Didžiausia paros dozė – 75 mg </w:t>
      </w:r>
      <w:proofErr w:type="spellStart"/>
      <w:r w:rsidRPr="00305FD7">
        <w:t>mesalazino</w:t>
      </w:r>
      <w:proofErr w:type="spellEnd"/>
      <w:r w:rsidRPr="00305FD7">
        <w:t xml:space="preserve"> vienam kg kūno svorio. Bendroji paros dozė negali viršyti didžiausios suaugusiųjų dozės.</w:t>
      </w:r>
    </w:p>
    <w:p w14:paraId="6A6653FE" w14:textId="77777777" w:rsidR="00E86A1F" w:rsidRPr="00305FD7" w:rsidRDefault="00E86A1F" w:rsidP="00E86A1F">
      <w:pPr>
        <w:tabs>
          <w:tab w:val="num" w:pos="720"/>
        </w:tabs>
      </w:pPr>
    </w:p>
    <w:p w14:paraId="72B11E72" w14:textId="77777777" w:rsidR="00E86A1F" w:rsidRPr="00305FD7" w:rsidRDefault="00E86A1F" w:rsidP="00E86A1F">
      <w:pPr>
        <w:tabs>
          <w:tab w:val="num" w:pos="720"/>
        </w:tabs>
      </w:pPr>
      <w:r w:rsidRPr="00305FD7">
        <w:rPr>
          <w:b/>
        </w:rPr>
        <w:t>Atkryčio (opinio kolito) profilaktika.</w:t>
      </w:r>
      <w:r w:rsidRPr="00305FD7">
        <w:t xml:space="preserve"> Dozė nustatoma individualiai, pradedant nuo 15</w:t>
      </w:r>
      <w:r w:rsidRPr="00305FD7">
        <w:noBreakHyphen/>
        <w:t>30 mg vienam kg kūno svorio paros dozės, padalytos į lygias dalis. Bendroji paros dozė negali viršyti rekomenduojamos suaugusiųjų dozės.</w:t>
      </w:r>
    </w:p>
    <w:p w14:paraId="0FEA0031" w14:textId="77777777" w:rsidR="00E86A1F" w:rsidRPr="00305FD7" w:rsidRDefault="00E86A1F" w:rsidP="00E86A1F"/>
    <w:p w14:paraId="1F16062F" w14:textId="77777777" w:rsidR="00E86A1F" w:rsidRPr="00305FD7" w:rsidRDefault="00E86A1F" w:rsidP="00E86A1F">
      <w:r w:rsidRPr="00305FD7">
        <w:t>Paprastai vaikams ir paaugliams, sveriantiems mažiau kaip 40 kg, rekomenduojama skirti pusę suaugusiųjų dozės, sveriantiems daugiau kaip 40 kg – įprastą suaugusiųjų dozę.</w:t>
      </w:r>
    </w:p>
    <w:p w14:paraId="2AF7FD43" w14:textId="77777777" w:rsidR="00E86A1F" w:rsidRPr="00305FD7" w:rsidRDefault="00E86A1F" w:rsidP="00E86A1F"/>
    <w:p w14:paraId="06BBB20F" w14:textId="77777777" w:rsidR="00E86A1F" w:rsidRPr="00305FD7" w:rsidRDefault="00E86A1F" w:rsidP="00E86A1F">
      <w:pPr>
        <w:keepNext/>
        <w:outlineLvl w:val="4"/>
        <w:rPr>
          <w:b/>
          <w:bCs/>
        </w:rPr>
      </w:pPr>
      <w:r w:rsidRPr="00305FD7">
        <w:rPr>
          <w:b/>
          <w:bCs/>
        </w:rPr>
        <w:t>Gydymo trukmė</w:t>
      </w:r>
    </w:p>
    <w:p w14:paraId="69AA9E32" w14:textId="77777777" w:rsidR="00E86A1F" w:rsidRPr="00305FD7" w:rsidRDefault="00E86A1F" w:rsidP="00E86A1F">
      <w:pPr>
        <w:rPr>
          <w:bCs/>
          <w:iCs/>
          <w:lang w:eastAsia="lt-LT"/>
        </w:rPr>
      </w:pPr>
      <w:r w:rsidRPr="0078629E">
        <w:rPr>
          <w:bCs/>
          <w:iCs/>
          <w:lang w:eastAsia="lt-LT"/>
        </w:rPr>
        <w:t>Ūminiai opinio kolito epizodai paprastai gydomi 8 savaites.</w:t>
      </w:r>
      <w:r>
        <w:rPr>
          <w:bCs/>
          <w:iCs/>
          <w:lang w:eastAsia="lt-LT"/>
        </w:rPr>
        <w:t xml:space="preserve"> </w:t>
      </w:r>
      <w:r w:rsidRPr="00305FD7">
        <w:rPr>
          <w:bCs/>
          <w:iCs/>
          <w:lang w:eastAsia="lt-LT"/>
        </w:rPr>
        <w:t>Kiek laiko vartoti vaisto, nusprendžia gydytojas. Gydymo trukmė priklauso nuo ligos pobūdžio, jos sunkumo bei eigos.</w:t>
      </w:r>
    </w:p>
    <w:p w14:paraId="5183DF92" w14:textId="77777777" w:rsidR="00E86A1F" w:rsidRPr="00305FD7" w:rsidRDefault="00E86A1F" w:rsidP="00E86A1F">
      <w:pPr>
        <w:rPr>
          <w:bCs/>
          <w:iCs/>
          <w:lang w:eastAsia="lt-LT"/>
        </w:rPr>
      </w:pPr>
    </w:p>
    <w:p w14:paraId="4B24C419" w14:textId="77777777" w:rsidR="00E86A1F" w:rsidRPr="00305FD7" w:rsidRDefault="00E86A1F" w:rsidP="00E86A1F">
      <w:proofErr w:type="spellStart"/>
      <w:r w:rsidRPr="00305FD7">
        <w:t>Salofalk</w:t>
      </w:r>
      <w:proofErr w:type="spellEnd"/>
      <w:r w:rsidRPr="00305FD7">
        <w:t xml:space="preserve"> reikia gydytis reguliariai ir nuosekliai, ne tik paūmėjus uždegimui, bet ir ilgalaikio gydymo metu, kad būtų pasiekta norimo terapinio poveikio. </w:t>
      </w:r>
    </w:p>
    <w:p w14:paraId="5C83C7AD" w14:textId="77777777" w:rsidR="00E86A1F" w:rsidRPr="00305FD7" w:rsidRDefault="00E86A1F" w:rsidP="00E86A1F"/>
    <w:p w14:paraId="46901475" w14:textId="77777777" w:rsidR="00E86A1F" w:rsidRPr="00305FD7" w:rsidRDefault="00E86A1F" w:rsidP="00E86A1F">
      <w:r w:rsidRPr="00305FD7">
        <w:t xml:space="preserve">Jeigu manote, kad </w:t>
      </w:r>
      <w:proofErr w:type="spellStart"/>
      <w:r w:rsidRPr="00305FD7">
        <w:t>Salofalk</w:t>
      </w:r>
      <w:proofErr w:type="spellEnd"/>
      <w:r w:rsidRPr="00305FD7">
        <w:t xml:space="preserve"> veikia per stipriai arba per silpnai, pasitarkite su gydytoju.</w:t>
      </w:r>
    </w:p>
    <w:p w14:paraId="206DB9D4" w14:textId="77777777" w:rsidR="00E86A1F" w:rsidRPr="00305FD7" w:rsidRDefault="00E86A1F" w:rsidP="00E86A1F">
      <w:pPr>
        <w:ind w:left="567" w:hanging="567"/>
        <w:rPr>
          <w:b/>
          <w:noProof/>
        </w:rPr>
      </w:pPr>
    </w:p>
    <w:p w14:paraId="2C7EAE04" w14:textId="77777777" w:rsidR="00E86A1F" w:rsidRPr="00305FD7" w:rsidRDefault="00E86A1F" w:rsidP="00E86A1F">
      <w:pPr>
        <w:ind w:left="567" w:hanging="567"/>
        <w:rPr>
          <w:b/>
          <w:noProof/>
        </w:rPr>
      </w:pPr>
      <w:r w:rsidRPr="00305FD7">
        <w:rPr>
          <w:b/>
          <w:noProof/>
        </w:rPr>
        <w:t xml:space="preserve">Ką daryti pavartojus per didelę </w:t>
      </w:r>
      <w:proofErr w:type="spellStart"/>
      <w:r w:rsidRPr="00305FD7">
        <w:rPr>
          <w:b/>
        </w:rPr>
        <w:t>Salofalk</w:t>
      </w:r>
      <w:proofErr w:type="spellEnd"/>
      <w:r w:rsidRPr="00305FD7">
        <w:rPr>
          <w:b/>
          <w:noProof/>
        </w:rPr>
        <w:t xml:space="preserve"> dozę</w:t>
      </w:r>
    </w:p>
    <w:p w14:paraId="12E6AB8B" w14:textId="77777777" w:rsidR="00E86A1F" w:rsidRPr="00305FD7" w:rsidRDefault="00E86A1F" w:rsidP="00E86A1F">
      <w:r w:rsidRPr="00305FD7">
        <w:t xml:space="preserve">Jei kyla abejonių, </w:t>
      </w:r>
      <w:r w:rsidRPr="00305FD7">
        <w:rPr>
          <w:rFonts w:eastAsia="Calibri"/>
          <w:lang w:eastAsia="ar-SA"/>
        </w:rPr>
        <w:t>kreipkitės į gydytoją ir jis nuspręs</w:t>
      </w:r>
      <w:r w:rsidRPr="00305FD7">
        <w:t>, kaip toliau elgtis.</w:t>
      </w:r>
    </w:p>
    <w:p w14:paraId="364FB00A" w14:textId="77777777" w:rsidR="00E86A1F" w:rsidRPr="00305FD7" w:rsidRDefault="00E86A1F" w:rsidP="00E86A1F">
      <w:r w:rsidRPr="00305FD7">
        <w:t xml:space="preserve">Jei </w:t>
      </w:r>
      <w:r w:rsidRPr="00305FD7">
        <w:rPr>
          <w:rFonts w:eastAsia="Calibri"/>
          <w:lang w:eastAsia="ar-SA"/>
        </w:rPr>
        <w:t>vienu kartu</w:t>
      </w:r>
      <w:r w:rsidRPr="00305FD7">
        <w:t xml:space="preserve"> išgėrėte per didelę </w:t>
      </w:r>
      <w:proofErr w:type="spellStart"/>
      <w:r w:rsidRPr="00305FD7">
        <w:t>Salofalk</w:t>
      </w:r>
      <w:proofErr w:type="spellEnd"/>
      <w:r w:rsidRPr="00305FD7">
        <w:t xml:space="preserve"> dozę, toliau nustatytu laiku tiesiog gerkite </w:t>
      </w:r>
      <w:r w:rsidRPr="00305FD7">
        <w:rPr>
          <w:rFonts w:eastAsia="Calibri"/>
          <w:lang w:eastAsia="ar-SA"/>
        </w:rPr>
        <w:t>įprastą dozę. Negalima vartoti mažesnės dozės</w:t>
      </w:r>
      <w:r w:rsidRPr="00305FD7">
        <w:t xml:space="preserve">. </w:t>
      </w:r>
    </w:p>
    <w:p w14:paraId="2A21407B" w14:textId="77777777" w:rsidR="00E86A1F" w:rsidRPr="00305FD7" w:rsidRDefault="00E86A1F" w:rsidP="00E86A1F">
      <w:pPr>
        <w:rPr>
          <w:b/>
          <w:noProof/>
        </w:rPr>
      </w:pPr>
    </w:p>
    <w:p w14:paraId="58B38826" w14:textId="77777777" w:rsidR="00E86A1F" w:rsidRPr="00305FD7" w:rsidRDefault="00E86A1F" w:rsidP="00E86A1F">
      <w:pPr>
        <w:rPr>
          <w:b/>
        </w:rPr>
      </w:pPr>
      <w:r w:rsidRPr="00305FD7">
        <w:rPr>
          <w:b/>
          <w:noProof/>
        </w:rPr>
        <w:t xml:space="preserve">Pamiršus pavartoti </w:t>
      </w:r>
      <w:proofErr w:type="spellStart"/>
      <w:r w:rsidRPr="00305FD7">
        <w:rPr>
          <w:b/>
        </w:rPr>
        <w:t>Salofalk</w:t>
      </w:r>
      <w:proofErr w:type="spellEnd"/>
      <w:r w:rsidRPr="00305FD7">
        <w:rPr>
          <w:b/>
        </w:rPr>
        <w:t xml:space="preserve"> </w:t>
      </w:r>
    </w:p>
    <w:p w14:paraId="7A7AEEFF" w14:textId="77777777" w:rsidR="00E86A1F" w:rsidRPr="00305FD7" w:rsidRDefault="00E86A1F" w:rsidP="00E86A1F">
      <w:r w:rsidRPr="00305FD7">
        <w:rPr>
          <w:rFonts w:eastAsia="Calibri"/>
          <w:lang w:eastAsia="ar-SA"/>
        </w:rPr>
        <w:t>Negalima vartoti dvigubos dozės norint kompensuoti praleistą dozę</w:t>
      </w:r>
      <w:r w:rsidRPr="00305FD7">
        <w:t>.</w:t>
      </w:r>
    </w:p>
    <w:p w14:paraId="592F9AA1" w14:textId="77777777" w:rsidR="00E86A1F" w:rsidRPr="00305FD7" w:rsidRDefault="00E86A1F" w:rsidP="00E86A1F"/>
    <w:p w14:paraId="124C0535" w14:textId="77777777" w:rsidR="00E86A1F" w:rsidRPr="00305FD7" w:rsidRDefault="00E86A1F" w:rsidP="00E86A1F">
      <w:pPr>
        <w:ind w:left="567" w:hanging="567"/>
        <w:rPr>
          <w:b/>
          <w:noProof/>
        </w:rPr>
      </w:pPr>
      <w:r w:rsidRPr="00305FD7">
        <w:rPr>
          <w:b/>
          <w:noProof/>
        </w:rPr>
        <w:t xml:space="preserve">Nustojus vartoti </w:t>
      </w:r>
      <w:proofErr w:type="spellStart"/>
      <w:r w:rsidRPr="00305FD7">
        <w:rPr>
          <w:b/>
        </w:rPr>
        <w:t>Salofalk</w:t>
      </w:r>
      <w:proofErr w:type="spellEnd"/>
      <w:r w:rsidRPr="00305FD7">
        <w:rPr>
          <w:b/>
        </w:rPr>
        <w:t xml:space="preserve"> </w:t>
      </w:r>
    </w:p>
    <w:p w14:paraId="09707941" w14:textId="77777777" w:rsidR="00E86A1F" w:rsidRPr="00305FD7" w:rsidRDefault="00E86A1F" w:rsidP="00E86A1F">
      <w:pPr>
        <w:autoSpaceDE w:val="0"/>
        <w:autoSpaceDN w:val="0"/>
        <w:jc w:val="both"/>
        <w:rPr>
          <w:lang w:eastAsia="de-DE"/>
        </w:rPr>
      </w:pPr>
      <w:r w:rsidRPr="00305FD7">
        <w:rPr>
          <w:rFonts w:eastAsia="Calibri"/>
          <w:lang w:eastAsia="de-DE"/>
        </w:rPr>
        <w:t xml:space="preserve">Nenustokite vartoti </w:t>
      </w:r>
      <w:r w:rsidRPr="00305FD7">
        <w:rPr>
          <w:lang w:eastAsia="de-DE"/>
        </w:rPr>
        <w:t>vaisto, nepasitarę su gydytoju.</w:t>
      </w:r>
    </w:p>
    <w:p w14:paraId="3AE87287" w14:textId="77777777" w:rsidR="00E86A1F" w:rsidRPr="00305FD7" w:rsidRDefault="00E86A1F" w:rsidP="00E86A1F">
      <w:pPr>
        <w:autoSpaceDE w:val="0"/>
        <w:autoSpaceDN w:val="0"/>
        <w:jc w:val="both"/>
        <w:rPr>
          <w:lang w:eastAsia="de-DE"/>
        </w:rPr>
      </w:pPr>
    </w:p>
    <w:p w14:paraId="027E7C90" w14:textId="77777777" w:rsidR="00E86A1F" w:rsidRPr="00305FD7" w:rsidRDefault="00E86A1F" w:rsidP="00E86A1F">
      <w:pPr>
        <w:autoSpaceDE w:val="0"/>
        <w:autoSpaceDN w:val="0"/>
        <w:jc w:val="both"/>
        <w:rPr>
          <w:lang w:eastAsia="de-DE"/>
        </w:rPr>
      </w:pPr>
      <w:r w:rsidRPr="00305FD7">
        <w:rPr>
          <w:lang w:eastAsia="de-DE"/>
        </w:rPr>
        <w:t>Jeigu kiltų daugiau klausimų dėl šio vaisto vartojimo, kreipkitės į gydytoją arba vaistininką.</w:t>
      </w:r>
    </w:p>
    <w:p w14:paraId="497D59C8" w14:textId="77777777" w:rsidR="00E86A1F" w:rsidRPr="00305FD7" w:rsidRDefault="00E86A1F" w:rsidP="00E86A1F"/>
    <w:p w14:paraId="68EA33B5" w14:textId="77777777" w:rsidR="00E86A1F" w:rsidRPr="00305FD7" w:rsidRDefault="00E86A1F" w:rsidP="00E86A1F"/>
    <w:p w14:paraId="7BCEA6BA" w14:textId="77777777" w:rsidR="00E86A1F" w:rsidRPr="00305FD7" w:rsidRDefault="00E86A1F" w:rsidP="00E86A1F">
      <w:pPr>
        <w:ind w:left="567" w:hanging="567"/>
        <w:rPr>
          <w:b/>
          <w:caps/>
        </w:rPr>
      </w:pPr>
      <w:r w:rsidRPr="00305FD7">
        <w:rPr>
          <w:b/>
          <w:caps/>
        </w:rPr>
        <w:t>4.</w:t>
      </w:r>
      <w:r w:rsidRPr="00305FD7">
        <w:rPr>
          <w:b/>
          <w:caps/>
        </w:rPr>
        <w:tab/>
      </w:r>
      <w:r w:rsidRPr="00305FD7">
        <w:rPr>
          <w:b/>
        </w:rPr>
        <w:t>Galimas šalutinis poveikis</w:t>
      </w:r>
      <w:r w:rsidRPr="00305FD7" w:rsidDel="00431BF1">
        <w:rPr>
          <w:b/>
          <w:caps/>
        </w:rPr>
        <w:t xml:space="preserve"> </w:t>
      </w:r>
    </w:p>
    <w:p w14:paraId="41DF3710" w14:textId="77777777" w:rsidR="00E86A1F" w:rsidRPr="00305FD7" w:rsidRDefault="00E86A1F" w:rsidP="00E86A1F"/>
    <w:p w14:paraId="2B5046A4" w14:textId="77777777" w:rsidR="00E86A1F" w:rsidRPr="00305FD7" w:rsidRDefault="00E86A1F" w:rsidP="00E86A1F">
      <w:r w:rsidRPr="00305FD7">
        <w:t>Šis vaistas, kaip ir visi kiti, gali sukelti šalutinį poveikį, nors jis pasireiškia ne visiems žmonėms.</w:t>
      </w:r>
    </w:p>
    <w:p w14:paraId="41B2D5A6" w14:textId="77777777" w:rsidR="00E86A1F" w:rsidRPr="00305FD7" w:rsidRDefault="00E86A1F" w:rsidP="00E86A1F">
      <w:pPr>
        <w:tabs>
          <w:tab w:val="num" w:pos="142"/>
        </w:tabs>
        <w:rPr>
          <w:lang w:eastAsia="lt-LT"/>
        </w:rPr>
      </w:pPr>
    </w:p>
    <w:p w14:paraId="04BB1381" w14:textId="77777777" w:rsidR="00E86A1F" w:rsidRPr="0078629E" w:rsidRDefault="00E86A1F" w:rsidP="00E86A1F">
      <w:pPr>
        <w:tabs>
          <w:tab w:val="num" w:pos="142"/>
        </w:tabs>
        <w:rPr>
          <w:b/>
          <w:lang w:eastAsia="lt-LT"/>
        </w:rPr>
      </w:pPr>
      <w:r>
        <w:rPr>
          <w:b/>
          <w:lang w:eastAsia="lt-LT"/>
        </w:rPr>
        <w:t>Jei patyrėte</w:t>
      </w:r>
      <w:r w:rsidRPr="002C344A">
        <w:rPr>
          <w:b/>
          <w:lang w:eastAsia="lt-LT"/>
        </w:rPr>
        <w:t xml:space="preserve"> bet kurį iš toliau išvardytų simptomų po vaisto pavartojimo</w:t>
      </w:r>
      <w:r w:rsidRPr="00305FD7">
        <w:rPr>
          <w:b/>
          <w:lang w:eastAsia="lt-LT"/>
        </w:rPr>
        <w:t>, nedelsdami kreipkitės į gydytoją</w:t>
      </w:r>
      <w:r w:rsidRPr="0078629E">
        <w:rPr>
          <w:b/>
          <w:lang w:eastAsia="lt-LT"/>
        </w:rPr>
        <w:t xml:space="preserve"> ir nustokite vartoti </w:t>
      </w:r>
      <w:proofErr w:type="spellStart"/>
      <w:r w:rsidRPr="0078629E">
        <w:rPr>
          <w:b/>
          <w:lang w:eastAsia="lt-LT"/>
        </w:rPr>
        <w:t>Salofalk</w:t>
      </w:r>
      <w:proofErr w:type="spellEnd"/>
      <w:r w:rsidRPr="0078629E">
        <w:rPr>
          <w:b/>
          <w:lang w:eastAsia="lt-LT"/>
        </w:rPr>
        <w:t xml:space="preserve"> </w:t>
      </w:r>
      <w:r>
        <w:rPr>
          <w:b/>
          <w:lang w:eastAsia="lt-LT"/>
        </w:rPr>
        <w:t xml:space="preserve">skrandyje neirias </w:t>
      </w:r>
      <w:r w:rsidRPr="0078629E">
        <w:rPr>
          <w:b/>
          <w:lang w:eastAsia="lt-LT"/>
        </w:rPr>
        <w:t>tabletes</w:t>
      </w:r>
      <w:r>
        <w:rPr>
          <w:b/>
          <w:lang w:eastAsia="lt-LT"/>
        </w:rPr>
        <w:t>.</w:t>
      </w:r>
    </w:p>
    <w:p w14:paraId="17E7F94F" w14:textId="77777777" w:rsidR="00E86A1F" w:rsidRPr="0078629E" w:rsidRDefault="00E86A1F" w:rsidP="00E86A1F">
      <w:pPr>
        <w:numPr>
          <w:ilvl w:val="0"/>
          <w:numId w:val="6"/>
        </w:numPr>
        <w:tabs>
          <w:tab w:val="left" w:pos="720"/>
        </w:tabs>
        <w:autoSpaceDE w:val="0"/>
        <w:autoSpaceDN w:val="0"/>
        <w:ind w:left="426" w:hanging="425"/>
        <w:rPr>
          <w:szCs w:val="22"/>
          <w:lang w:eastAsia="en-GB"/>
        </w:rPr>
      </w:pPr>
      <w:r w:rsidRPr="0078629E">
        <w:rPr>
          <w:rFonts w:cs="Arial"/>
          <w:b/>
          <w:szCs w:val="22"/>
          <w:lang w:eastAsia="en-GB"/>
        </w:rPr>
        <w:t>Bendrosios alerginės reakcijos</w:t>
      </w:r>
      <w:r w:rsidRPr="0078629E">
        <w:rPr>
          <w:rFonts w:cs="Arial"/>
          <w:szCs w:val="22"/>
          <w:lang w:eastAsia="en-GB"/>
        </w:rPr>
        <w:t xml:space="preserve"> pvz., odos išbėrimas, karščiavimas, sąnarių skausmas ir (arba) kvėpavimo sunkumai ar bendrasis storosios žarnos uždegimas (sukeliantys sunkų viduriavimą ir pilvo skausmą). Šių reakcijų pasitaiko labai retai.</w:t>
      </w:r>
    </w:p>
    <w:p w14:paraId="3953FD14" w14:textId="77777777" w:rsidR="00E86A1F" w:rsidRPr="0078629E" w:rsidRDefault="00E86A1F" w:rsidP="00E86A1F">
      <w:pPr>
        <w:numPr>
          <w:ilvl w:val="0"/>
          <w:numId w:val="6"/>
        </w:numPr>
        <w:tabs>
          <w:tab w:val="left" w:pos="720"/>
        </w:tabs>
        <w:autoSpaceDE w:val="0"/>
        <w:autoSpaceDN w:val="0"/>
        <w:ind w:left="426" w:hanging="425"/>
        <w:rPr>
          <w:szCs w:val="22"/>
          <w:lang w:eastAsia="en-GB"/>
        </w:rPr>
      </w:pPr>
      <w:r w:rsidRPr="0078629E">
        <w:rPr>
          <w:rFonts w:cs="Arial"/>
          <w:szCs w:val="22"/>
          <w:lang w:eastAsia="en-GB"/>
        </w:rPr>
        <w:t xml:space="preserve">Reikšmingas bendrosios sveikatos būklės pablogėjimas, ypač jeigu karščiuojate ir (arba) skauda gerklę </w:t>
      </w:r>
      <w:r>
        <w:rPr>
          <w:rFonts w:cs="Arial"/>
          <w:szCs w:val="22"/>
          <w:lang w:eastAsia="en-GB"/>
        </w:rPr>
        <w:t>ir</w:t>
      </w:r>
      <w:r w:rsidRPr="0078629E">
        <w:rPr>
          <w:rFonts w:cs="Arial"/>
          <w:szCs w:val="22"/>
          <w:lang w:eastAsia="en-GB"/>
        </w:rPr>
        <w:t xml:space="preserve"> burną. Labai retais atvejais šie simptomai gali kilti dėl baltųjų kraujo kūnelių skaičiaus kraujyje sumažėjimo, dėl ko galite būti imlesni sunkioms infekcijoms (</w:t>
      </w:r>
      <w:proofErr w:type="spellStart"/>
      <w:r w:rsidRPr="0078629E">
        <w:rPr>
          <w:rFonts w:cs="Arial"/>
          <w:b/>
          <w:szCs w:val="22"/>
          <w:lang w:eastAsia="en-GB"/>
        </w:rPr>
        <w:t>agranuliocitozė</w:t>
      </w:r>
      <w:proofErr w:type="spellEnd"/>
      <w:r w:rsidRPr="0078629E">
        <w:rPr>
          <w:rFonts w:cs="Arial"/>
          <w:szCs w:val="22"/>
          <w:lang w:eastAsia="en-GB"/>
        </w:rPr>
        <w:t xml:space="preserve">). Gali būti paveiktos ir kitos kraujo ląstelės (pvz., kraujo plokštelės arba raudonieji kraujo kūneliai; tai sukelia </w:t>
      </w:r>
      <w:proofErr w:type="spellStart"/>
      <w:r w:rsidRPr="0078629E">
        <w:rPr>
          <w:rFonts w:cs="Arial"/>
          <w:b/>
          <w:szCs w:val="22"/>
          <w:lang w:eastAsia="en-GB"/>
        </w:rPr>
        <w:t>aplazinę</w:t>
      </w:r>
      <w:proofErr w:type="spellEnd"/>
      <w:r w:rsidRPr="0078629E">
        <w:rPr>
          <w:rFonts w:cs="Arial"/>
          <w:b/>
          <w:szCs w:val="22"/>
          <w:lang w:eastAsia="en-GB"/>
        </w:rPr>
        <w:t xml:space="preserve"> anemiją arba </w:t>
      </w:r>
      <w:proofErr w:type="spellStart"/>
      <w:r w:rsidRPr="0078629E">
        <w:rPr>
          <w:rFonts w:cs="Arial"/>
          <w:b/>
          <w:szCs w:val="22"/>
          <w:lang w:eastAsia="en-GB"/>
        </w:rPr>
        <w:t>trombocitopeniją</w:t>
      </w:r>
      <w:proofErr w:type="spellEnd"/>
      <w:r w:rsidRPr="0078629E">
        <w:rPr>
          <w:rFonts w:cs="Arial"/>
          <w:szCs w:val="22"/>
          <w:lang w:eastAsia="en-GB"/>
        </w:rPr>
        <w:t>); tai gali sukelti simptom</w:t>
      </w:r>
      <w:r>
        <w:rPr>
          <w:rFonts w:cs="Arial"/>
          <w:szCs w:val="22"/>
          <w:lang w:eastAsia="en-GB"/>
        </w:rPr>
        <w:t>ų</w:t>
      </w:r>
      <w:r w:rsidRPr="0078629E">
        <w:rPr>
          <w:rFonts w:cs="Arial"/>
          <w:szCs w:val="22"/>
          <w:lang w:eastAsia="en-GB"/>
        </w:rPr>
        <w:t>, galinči</w:t>
      </w:r>
      <w:r>
        <w:rPr>
          <w:rFonts w:cs="Arial"/>
          <w:szCs w:val="22"/>
          <w:lang w:eastAsia="en-GB"/>
        </w:rPr>
        <w:t>ų</w:t>
      </w:r>
      <w:r w:rsidRPr="0078629E">
        <w:rPr>
          <w:rFonts w:cs="Arial"/>
          <w:szCs w:val="22"/>
          <w:lang w:eastAsia="en-GB"/>
        </w:rPr>
        <w:t xml:space="preserve"> apimti dėl nepaaiškinamų priežasčių atsiradusį kraujavimą, violetinius taškus </w:t>
      </w:r>
      <w:r>
        <w:rPr>
          <w:rFonts w:cs="Arial"/>
          <w:szCs w:val="22"/>
          <w:lang w:eastAsia="en-GB"/>
        </w:rPr>
        <w:t>a</w:t>
      </w:r>
      <w:r w:rsidRPr="0078629E">
        <w:rPr>
          <w:rFonts w:cs="Arial"/>
          <w:szCs w:val="22"/>
          <w:lang w:eastAsia="en-GB"/>
        </w:rPr>
        <w:t>r dėmes po oda (kraujosruvas), anemiją (pasireiškiančią nuovargiu, silpnumu ir blyškumu, ypač lūpų ir nagų srityje). Kraujo tyrimais galima patvirtinti, ar Jūsų simptomus sukėlė šio vaisto poveikis kraujui. Šių reakcijų pasitaiko labai retai.</w:t>
      </w:r>
    </w:p>
    <w:p w14:paraId="6620B6A3" w14:textId="77777777" w:rsidR="00E86A1F" w:rsidRPr="0078629E" w:rsidRDefault="00E86A1F" w:rsidP="00E86A1F">
      <w:pPr>
        <w:numPr>
          <w:ilvl w:val="0"/>
          <w:numId w:val="6"/>
        </w:numPr>
        <w:tabs>
          <w:tab w:val="left" w:pos="720"/>
        </w:tabs>
        <w:autoSpaceDE w:val="0"/>
        <w:autoSpaceDN w:val="0"/>
        <w:ind w:left="426" w:hanging="425"/>
        <w:rPr>
          <w:szCs w:val="22"/>
          <w:lang w:eastAsia="en-GB"/>
        </w:rPr>
      </w:pPr>
      <w:r w:rsidRPr="0078629E">
        <w:rPr>
          <w:rFonts w:cs="Arial"/>
          <w:b/>
          <w:szCs w:val="22"/>
          <w:lang w:eastAsia="en-GB"/>
        </w:rPr>
        <w:t>Stiprūs odos išbėrimai</w:t>
      </w:r>
      <w:r w:rsidRPr="0078629E">
        <w:rPr>
          <w:rFonts w:cs="Arial"/>
          <w:szCs w:val="22"/>
          <w:lang w:eastAsia="en-GB"/>
        </w:rPr>
        <w:t>, pasireiškiantys juosmens išbėrimu neiškilusiomis žiedo arba apskritimo formos dėmėmis, kurių viduryje dažnai yra pūslės; odos lupimusi; opomis burnoje, gerklėje, nosyje, ant lyties organų ir akyse; išplitusiu išbėrimu, karščiavimu ir limfmazgių padidėjimu. Prieš pasireiškiant tokiam poveikiui galite karščiuoti arba gali pasireikšti į gripą panaš</w:t>
      </w:r>
      <w:r>
        <w:rPr>
          <w:rFonts w:cs="Arial"/>
          <w:szCs w:val="22"/>
          <w:lang w:eastAsia="en-GB"/>
        </w:rPr>
        <w:t>ių</w:t>
      </w:r>
      <w:r w:rsidRPr="0078629E">
        <w:rPr>
          <w:rFonts w:cs="Arial"/>
          <w:szCs w:val="22"/>
          <w:lang w:eastAsia="en-GB"/>
        </w:rPr>
        <w:t xml:space="preserve"> simptom</w:t>
      </w:r>
      <w:r>
        <w:rPr>
          <w:rFonts w:cs="Arial"/>
          <w:szCs w:val="22"/>
          <w:lang w:eastAsia="en-GB"/>
        </w:rPr>
        <w:t>ų</w:t>
      </w:r>
      <w:r w:rsidRPr="0078629E">
        <w:rPr>
          <w:rFonts w:cs="Arial"/>
          <w:szCs w:val="22"/>
          <w:lang w:eastAsia="en-GB"/>
        </w:rPr>
        <w:t>. Nežinoma, kiek pacientų patyrė ši</w:t>
      </w:r>
      <w:r>
        <w:rPr>
          <w:rFonts w:cs="Arial"/>
          <w:szCs w:val="22"/>
          <w:lang w:eastAsia="en-GB"/>
        </w:rPr>
        <w:t>ų</w:t>
      </w:r>
      <w:r w:rsidRPr="0078629E">
        <w:rPr>
          <w:rFonts w:cs="Arial"/>
          <w:szCs w:val="22"/>
          <w:lang w:eastAsia="en-GB"/>
        </w:rPr>
        <w:t xml:space="preserve"> reakcij</w:t>
      </w:r>
      <w:r>
        <w:rPr>
          <w:rFonts w:cs="Arial"/>
          <w:szCs w:val="22"/>
          <w:lang w:eastAsia="en-GB"/>
        </w:rPr>
        <w:t>ų</w:t>
      </w:r>
      <w:r w:rsidRPr="0078629E">
        <w:rPr>
          <w:rFonts w:cs="Arial"/>
          <w:szCs w:val="22"/>
          <w:lang w:eastAsia="en-GB"/>
        </w:rPr>
        <w:t xml:space="preserve"> (dažnis nežinomas).</w:t>
      </w:r>
    </w:p>
    <w:p w14:paraId="100B8B45" w14:textId="77777777" w:rsidR="00E86A1F" w:rsidRPr="0078629E" w:rsidRDefault="00E86A1F" w:rsidP="00E86A1F">
      <w:pPr>
        <w:numPr>
          <w:ilvl w:val="0"/>
          <w:numId w:val="6"/>
        </w:numPr>
        <w:tabs>
          <w:tab w:val="left" w:pos="720"/>
        </w:tabs>
        <w:autoSpaceDE w:val="0"/>
        <w:autoSpaceDN w:val="0"/>
        <w:ind w:left="426" w:hanging="425"/>
        <w:rPr>
          <w:szCs w:val="22"/>
          <w:lang w:eastAsia="en-GB"/>
        </w:rPr>
      </w:pPr>
      <w:r w:rsidRPr="0078629E">
        <w:rPr>
          <w:rFonts w:cs="Arial"/>
          <w:szCs w:val="22"/>
          <w:lang w:eastAsia="en-GB"/>
        </w:rPr>
        <w:t xml:space="preserve">Kvėpavimo sutrikimas, skausmas krūtinės srityje, nereguliarus širdies plakimas arba sutinusios galūnės; tai gali rodyti </w:t>
      </w:r>
      <w:r w:rsidRPr="0078629E">
        <w:rPr>
          <w:rFonts w:cs="Arial"/>
          <w:b/>
          <w:szCs w:val="22"/>
          <w:lang w:eastAsia="en-GB"/>
        </w:rPr>
        <w:t>su širdimi susijusias padidėjusio jautrumo reakcijas</w:t>
      </w:r>
      <w:r w:rsidRPr="0078629E">
        <w:rPr>
          <w:rFonts w:cs="Arial"/>
          <w:szCs w:val="22"/>
          <w:lang w:eastAsia="en-GB"/>
        </w:rPr>
        <w:t>. Šių reakcijų pasitaiko retai.</w:t>
      </w:r>
    </w:p>
    <w:p w14:paraId="25EA99CE" w14:textId="77777777" w:rsidR="00E86A1F" w:rsidRPr="00971E92" w:rsidRDefault="00E86A1F" w:rsidP="00E86A1F">
      <w:pPr>
        <w:numPr>
          <w:ilvl w:val="0"/>
          <w:numId w:val="6"/>
        </w:numPr>
        <w:tabs>
          <w:tab w:val="left" w:pos="720"/>
        </w:tabs>
        <w:autoSpaceDE w:val="0"/>
        <w:autoSpaceDN w:val="0"/>
        <w:ind w:left="426" w:hanging="425"/>
        <w:rPr>
          <w:szCs w:val="22"/>
          <w:lang w:eastAsia="en-GB"/>
        </w:rPr>
      </w:pPr>
      <w:r w:rsidRPr="0078629E">
        <w:rPr>
          <w:rFonts w:cs="Arial"/>
          <w:b/>
          <w:szCs w:val="22"/>
          <w:lang w:eastAsia="en-GB"/>
        </w:rPr>
        <w:t>Inkstų veiklos sutrikimai</w:t>
      </w:r>
      <w:r w:rsidRPr="0078629E">
        <w:rPr>
          <w:rFonts w:cs="Arial"/>
          <w:szCs w:val="22"/>
          <w:lang w:eastAsia="en-GB"/>
        </w:rPr>
        <w:t xml:space="preserve"> (gali pasireikšti labai retai), pvz., šlapimo spalvos ir kiekio pokyčiai, sutinusios galūnės arba staigus dieglys šone (sukeltas inkstų akmens) (nežinoma, kiek pacientų tai patyrė </w:t>
      </w:r>
      <w:r>
        <w:rPr>
          <w:rFonts w:cs="Arial"/>
          <w:szCs w:val="22"/>
          <w:lang w:eastAsia="en-GB"/>
        </w:rPr>
        <w:t>[</w:t>
      </w:r>
      <w:r w:rsidRPr="0078629E">
        <w:rPr>
          <w:rFonts w:cs="Arial"/>
          <w:szCs w:val="22"/>
          <w:lang w:eastAsia="en-GB"/>
        </w:rPr>
        <w:t>dažnis nežinomas</w:t>
      </w:r>
      <w:r>
        <w:rPr>
          <w:rFonts w:cs="Arial"/>
          <w:szCs w:val="22"/>
          <w:lang w:eastAsia="en-GB"/>
        </w:rPr>
        <w:t>]</w:t>
      </w:r>
      <w:r w:rsidRPr="0078629E">
        <w:rPr>
          <w:rFonts w:cs="Arial"/>
          <w:szCs w:val="22"/>
          <w:lang w:eastAsia="en-GB"/>
        </w:rPr>
        <w:t>).</w:t>
      </w:r>
    </w:p>
    <w:p w14:paraId="341B2F1B" w14:textId="77777777" w:rsidR="00E86A1F" w:rsidRPr="009B5DD2" w:rsidRDefault="00E86A1F" w:rsidP="00E86A1F">
      <w:pPr>
        <w:numPr>
          <w:ilvl w:val="0"/>
          <w:numId w:val="6"/>
        </w:numPr>
        <w:tabs>
          <w:tab w:val="left" w:pos="720"/>
        </w:tabs>
        <w:autoSpaceDE w:val="0"/>
        <w:autoSpaceDN w:val="0"/>
        <w:ind w:left="426" w:hanging="425"/>
        <w:rPr>
          <w:b/>
          <w:bCs/>
          <w:szCs w:val="22"/>
          <w:u w:val="single"/>
          <w:lang w:eastAsia="en-GB"/>
        </w:rPr>
      </w:pPr>
      <w:r w:rsidRPr="00971E92">
        <w:rPr>
          <w:szCs w:val="22"/>
          <w:lang w:eastAsia="en-GB"/>
        </w:rPr>
        <w:t xml:space="preserve">Jeigu pasireiškė </w:t>
      </w:r>
      <w:r w:rsidRPr="009B5DD2">
        <w:rPr>
          <w:b/>
          <w:bCs/>
          <w:szCs w:val="22"/>
          <w:lang w:eastAsia="en-GB"/>
        </w:rPr>
        <w:t>stiprus ar pasikartojantis galvos skausmas, sutriko regėjimas, skambėjimas ar ūžimas ausyse</w:t>
      </w:r>
      <w:r>
        <w:rPr>
          <w:szCs w:val="22"/>
          <w:lang w:eastAsia="en-GB"/>
        </w:rPr>
        <w:t xml:space="preserve">. </w:t>
      </w:r>
      <w:r w:rsidRPr="00971E92">
        <w:rPr>
          <w:szCs w:val="22"/>
          <w:lang w:eastAsia="en-GB"/>
        </w:rPr>
        <w:t xml:space="preserve">Tai gali būti padidėjusio spaudimo Jūsų kaukolėje (idiopatinės </w:t>
      </w:r>
      <w:proofErr w:type="spellStart"/>
      <w:r w:rsidRPr="00971E92">
        <w:rPr>
          <w:szCs w:val="22"/>
          <w:lang w:eastAsia="en-GB"/>
        </w:rPr>
        <w:t>intrakranijinės</w:t>
      </w:r>
      <w:proofErr w:type="spellEnd"/>
      <w:r w:rsidRPr="00971E92">
        <w:rPr>
          <w:szCs w:val="22"/>
          <w:lang w:eastAsia="en-GB"/>
        </w:rPr>
        <w:t xml:space="preserve"> hipertenzijos) simptomai </w:t>
      </w:r>
      <w:r w:rsidRPr="009B5DD2">
        <w:rPr>
          <w:szCs w:val="22"/>
          <w:lang w:eastAsia="en-GB"/>
        </w:rPr>
        <w:t>(dažnis nežinomas (negali būti apskaičiuotas pagal turimus duomenis))</w:t>
      </w:r>
      <w:r w:rsidRPr="002C344A">
        <w:rPr>
          <w:szCs w:val="22"/>
          <w:lang w:eastAsia="en-GB"/>
        </w:rPr>
        <w:t>.</w:t>
      </w:r>
    </w:p>
    <w:p w14:paraId="11EAEC4A" w14:textId="77777777" w:rsidR="00E86A1F" w:rsidRPr="00971E92" w:rsidRDefault="00E86A1F" w:rsidP="00E86A1F">
      <w:pPr>
        <w:tabs>
          <w:tab w:val="left" w:pos="720"/>
        </w:tabs>
        <w:autoSpaceDE w:val="0"/>
        <w:autoSpaceDN w:val="0"/>
        <w:rPr>
          <w:rFonts w:eastAsia="Calibri"/>
          <w:noProof/>
        </w:rPr>
      </w:pPr>
    </w:p>
    <w:p w14:paraId="7C777F50" w14:textId="77777777" w:rsidR="00E86A1F" w:rsidRPr="00305FD7" w:rsidRDefault="00E86A1F" w:rsidP="00E86A1F">
      <w:pPr>
        <w:rPr>
          <w:rFonts w:eastAsia="Calibri"/>
          <w:noProof/>
        </w:rPr>
      </w:pPr>
      <w:r w:rsidRPr="00305FD7">
        <w:rPr>
          <w:rFonts w:eastAsia="Calibri"/>
          <w:noProof/>
        </w:rPr>
        <w:t>Pacientams, vartojantiems vaistų, kurių sudėtyje yra mesalazino, taip pat nustatytas toliau nurodytas šalutinis poveikis.</w:t>
      </w:r>
    </w:p>
    <w:p w14:paraId="0F5C1541" w14:textId="77777777" w:rsidR="00E86A1F" w:rsidRPr="00305FD7" w:rsidRDefault="00E86A1F" w:rsidP="00E86A1F">
      <w:pPr>
        <w:suppressAutoHyphens/>
        <w:rPr>
          <w:rFonts w:eastAsia="Calibri"/>
          <w:lang w:eastAsia="ar-SA"/>
        </w:rPr>
      </w:pPr>
    </w:p>
    <w:p w14:paraId="5AA81562" w14:textId="77777777" w:rsidR="00E86A1F" w:rsidRPr="00305FD7" w:rsidRDefault="00E86A1F" w:rsidP="00E86A1F">
      <w:pPr>
        <w:rPr>
          <w:b/>
          <w:bCs/>
          <w:iCs/>
        </w:rPr>
      </w:pPr>
      <w:r w:rsidRPr="00697D1B">
        <w:rPr>
          <w:b/>
          <w:bCs/>
          <w:iCs/>
        </w:rPr>
        <w:t>Dažni šalutinio poveikio reiškiniai (gali pasireikšti rečiau kaip 1 iš 10 asmenų</w:t>
      </w:r>
      <w:r>
        <w:rPr>
          <w:b/>
          <w:bCs/>
          <w:iCs/>
        </w:rPr>
        <w:t>):</w:t>
      </w:r>
    </w:p>
    <w:p w14:paraId="7D494855" w14:textId="77777777" w:rsidR="00E86A1F" w:rsidRDefault="00E86A1F" w:rsidP="00E86A1F">
      <w:pPr>
        <w:numPr>
          <w:ilvl w:val="0"/>
          <w:numId w:val="5"/>
        </w:numPr>
        <w:rPr>
          <w:bCs/>
          <w:iCs/>
        </w:rPr>
      </w:pPr>
      <w:r w:rsidRPr="00305FD7">
        <w:rPr>
          <w:bCs/>
          <w:iCs/>
        </w:rPr>
        <w:t>Galvos skausmas.</w:t>
      </w:r>
    </w:p>
    <w:p w14:paraId="7F68EF1E" w14:textId="77777777" w:rsidR="00E86A1F" w:rsidRPr="000F72E0" w:rsidRDefault="00E86A1F" w:rsidP="00E86A1F">
      <w:pPr>
        <w:pStyle w:val="Sraopastraipa"/>
        <w:numPr>
          <w:ilvl w:val="0"/>
          <w:numId w:val="5"/>
        </w:numPr>
        <w:spacing w:after="160" w:line="259" w:lineRule="auto"/>
        <w:rPr>
          <w:bCs/>
          <w:iCs/>
        </w:rPr>
      </w:pPr>
      <w:r w:rsidRPr="00EC7575">
        <w:rPr>
          <w:bCs/>
          <w:iCs/>
        </w:rPr>
        <w:t>Išbėrimas, niežėjimas.</w:t>
      </w:r>
    </w:p>
    <w:p w14:paraId="77AA570B" w14:textId="77777777" w:rsidR="00E86A1F" w:rsidRPr="00305FD7" w:rsidRDefault="00E86A1F" w:rsidP="00E86A1F">
      <w:pPr>
        <w:rPr>
          <w:b/>
          <w:bCs/>
          <w:iCs/>
        </w:rPr>
      </w:pPr>
      <w:r w:rsidRPr="00697D1B">
        <w:rPr>
          <w:b/>
          <w:bCs/>
          <w:iCs/>
        </w:rPr>
        <w:t>Nedažni šalutinio poveikio reiškiniai (gali pasireikšti rečiau kaip 1 iš 100 asmenų):</w:t>
      </w:r>
    </w:p>
    <w:p w14:paraId="5CDA38A8" w14:textId="77777777" w:rsidR="00E86A1F" w:rsidRPr="00305FD7" w:rsidRDefault="00E86A1F" w:rsidP="00E86A1F">
      <w:pPr>
        <w:numPr>
          <w:ilvl w:val="0"/>
          <w:numId w:val="5"/>
        </w:numPr>
        <w:rPr>
          <w:bCs/>
          <w:iCs/>
        </w:rPr>
      </w:pPr>
      <w:r w:rsidRPr="00305FD7">
        <w:rPr>
          <w:bCs/>
          <w:iCs/>
        </w:rPr>
        <w:t>Pilvo skausmas, viduriavimas, virškinimo sutrikimai, pilvo pūtimas, pykinimas ir vėmimas.</w:t>
      </w:r>
    </w:p>
    <w:p w14:paraId="3ABC6205" w14:textId="77777777" w:rsidR="00E86A1F" w:rsidRPr="00305FD7" w:rsidRDefault="00E86A1F" w:rsidP="00E86A1F">
      <w:pPr>
        <w:numPr>
          <w:ilvl w:val="0"/>
          <w:numId w:val="5"/>
        </w:numPr>
        <w:rPr>
          <w:bCs/>
          <w:iCs/>
        </w:rPr>
      </w:pPr>
      <w:r w:rsidRPr="00305FD7">
        <w:rPr>
          <w:bCs/>
          <w:iCs/>
        </w:rPr>
        <w:t xml:space="preserve">Stiprus pilvo skausmas dėl ūminio kasos uždegimo. </w:t>
      </w:r>
    </w:p>
    <w:p w14:paraId="68091D40" w14:textId="77777777" w:rsidR="00E86A1F" w:rsidRPr="00305FD7" w:rsidRDefault="00E86A1F" w:rsidP="00E86A1F">
      <w:pPr>
        <w:numPr>
          <w:ilvl w:val="0"/>
          <w:numId w:val="5"/>
        </w:numPr>
        <w:rPr>
          <w:bCs/>
          <w:iCs/>
        </w:rPr>
      </w:pPr>
      <w:r w:rsidRPr="00305FD7">
        <w:rPr>
          <w:bCs/>
          <w:iCs/>
        </w:rPr>
        <w:t xml:space="preserve">Kepenų funkcijos rodmenų pokyčiai, kasos fermentų aktyvumo pokyčiai. </w:t>
      </w:r>
    </w:p>
    <w:p w14:paraId="40B40C5F" w14:textId="77777777" w:rsidR="00E86A1F" w:rsidRPr="00305FD7" w:rsidRDefault="00E86A1F" w:rsidP="00E86A1F">
      <w:pPr>
        <w:rPr>
          <w:bCs/>
          <w:iCs/>
        </w:rPr>
      </w:pPr>
    </w:p>
    <w:p w14:paraId="564B7679" w14:textId="77777777" w:rsidR="00E86A1F" w:rsidRDefault="00E86A1F" w:rsidP="00E86A1F">
      <w:pPr>
        <w:rPr>
          <w:b/>
          <w:bCs/>
          <w:iCs/>
        </w:rPr>
      </w:pPr>
      <w:r w:rsidRPr="00697D1B">
        <w:rPr>
          <w:b/>
          <w:bCs/>
          <w:iCs/>
        </w:rPr>
        <w:t xml:space="preserve">Reti šalutinio poveikio reiškiniai (gali pasireikšti rečiau kaip 1 iš 1 000 asmenų): </w:t>
      </w:r>
    </w:p>
    <w:p w14:paraId="280CD142" w14:textId="77777777" w:rsidR="00E86A1F" w:rsidRPr="00F30907" w:rsidRDefault="00E86A1F" w:rsidP="00E86A1F">
      <w:pPr>
        <w:pStyle w:val="Sraopastraipa"/>
        <w:numPr>
          <w:ilvl w:val="0"/>
          <w:numId w:val="5"/>
        </w:numPr>
        <w:spacing w:after="160" w:line="259" w:lineRule="auto"/>
        <w:rPr>
          <w:bCs/>
          <w:iCs/>
        </w:rPr>
      </w:pPr>
      <w:r w:rsidRPr="00CD659E">
        <w:t>Svaigulys.</w:t>
      </w:r>
    </w:p>
    <w:p w14:paraId="0EC48787" w14:textId="77777777" w:rsidR="00E86A1F" w:rsidRPr="00305FD7" w:rsidRDefault="00E86A1F" w:rsidP="00E86A1F">
      <w:pPr>
        <w:numPr>
          <w:ilvl w:val="0"/>
          <w:numId w:val="5"/>
        </w:numPr>
        <w:rPr>
          <w:bCs/>
          <w:iCs/>
        </w:rPr>
      </w:pPr>
      <w:r w:rsidRPr="00305FD7">
        <w:rPr>
          <w:bCs/>
          <w:iCs/>
        </w:rPr>
        <w:lastRenderedPageBreak/>
        <w:t>Gelta arba pilvo skausmas dėl kepenų arba tulžies nutekėjimo sutrikimų.</w:t>
      </w:r>
    </w:p>
    <w:p w14:paraId="24900283" w14:textId="77777777" w:rsidR="00E86A1F" w:rsidRPr="00305FD7" w:rsidRDefault="00E86A1F" w:rsidP="00E86A1F">
      <w:pPr>
        <w:numPr>
          <w:ilvl w:val="0"/>
          <w:numId w:val="5"/>
        </w:numPr>
        <w:rPr>
          <w:bCs/>
          <w:iCs/>
        </w:rPr>
      </w:pPr>
      <w:r w:rsidRPr="00305FD7">
        <w:rPr>
          <w:bCs/>
          <w:iCs/>
        </w:rPr>
        <w:t>Padidėjęs odos jautrumas saulei ir ultravioletinei šviesai (jautrumas šviesai).</w:t>
      </w:r>
    </w:p>
    <w:p w14:paraId="43BD2578" w14:textId="77777777" w:rsidR="00E86A1F" w:rsidRPr="00305FD7" w:rsidRDefault="00E86A1F" w:rsidP="00E86A1F">
      <w:pPr>
        <w:numPr>
          <w:ilvl w:val="0"/>
          <w:numId w:val="5"/>
        </w:numPr>
        <w:rPr>
          <w:bCs/>
          <w:iCs/>
        </w:rPr>
      </w:pPr>
      <w:r w:rsidRPr="00305FD7">
        <w:rPr>
          <w:bCs/>
          <w:iCs/>
        </w:rPr>
        <w:t>Sąnarių skausmas.</w:t>
      </w:r>
    </w:p>
    <w:p w14:paraId="4A534A2E" w14:textId="77777777" w:rsidR="00E86A1F" w:rsidRPr="00305FD7" w:rsidRDefault="00E86A1F" w:rsidP="00E86A1F">
      <w:pPr>
        <w:numPr>
          <w:ilvl w:val="0"/>
          <w:numId w:val="5"/>
        </w:numPr>
        <w:rPr>
          <w:bCs/>
          <w:iCs/>
        </w:rPr>
      </w:pPr>
      <w:r w:rsidRPr="00305FD7">
        <w:rPr>
          <w:bCs/>
          <w:iCs/>
        </w:rPr>
        <w:t>Silpnumo ir nuovargio pojūtis.</w:t>
      </w:r>
    </w:p>
    <w:p w14:paraId="78519B87" w14:textId="77777777" w:rsidR="00E86A1F" w:rsidRPr="00305FD7" w:rsidRDefault="00E86A1F" w:rsidP="00E86A1F">
      <w:pPr>
        <w:rPr>
          <w:bCs/>
          <w:iCs/>
        </w:rPr>
      </w:pPr>
    </w:p>
    <w:p w14:paraId="6DC87B8F" w14:textId="77777777" w:rsidR="00E86A1F" w:rsidRDefault="00E86A1F" w:rsidP="00E86A1F">
      <w:pPr>
        <w:rPr>
          <w:b/>
          <w:bCs/>
          <w:iCs/>
        </w:rPr>
      </w:pPr>
      <w:r w:rsidRPr="00697D1B">
        <w:rPr>
          <w:b/>
          <w:bCs/>
          <w:iCs/>
        </w:rPr>
        <w:t>Labai reti šalutinio poveikio reiškiniai (gali pasireikšti rečiau kaip 1 iš 10 000 asmenų</w:t>
      </w:r>
      <w:r>
        <w:rPr>
          <w:b/>
          <w:bCs/>
          <w:iCs/>
        </w:rPr>
        <w:t>):</w:t>
      </w:r>
    </w:p>
    <w:p w14:paraId="3F38FDFB" w14:textId="77777777" w:rsidR="00E86A1F" w:rsidRPr="00305FD7" w:rsidRDefault="00E86A1F" w:rsidP="00E86A1F">
      <w:pPr>
        <w:numPr>
          <w:ilvl w:val="0"/>
          <w:numId w:val="5"/>
        </w:numPr>
        <w:rPr>
          <w:bCs/>
          <w:iCs/>
        </w:rPr>
      </w:pPr>
      <w:r w:rsidRPr="00305FD7">
        <w:rPr>
          <w:bCs/>
          <w:iCs/>
        </w:rPr>
        <w:t>Plaštakų ir pėdų tirpimas ir dilgčiojimas (periferinė neuropatija).</w:t>
      </w:r>
    </w:p>
    <w:p w14:paraId="087468B8" w14:textId="77777777" w:rsidR="00E86A1F" w:rsidRPr="00305FD7" w:rsidRDefault="00E86A1F" w:rsidP="00E86A1F">
      <w:pPr>
        <w:numPr>
          <w:ilvl w:val="0"/>
          <w:numId w:val="5"/>
        </w:numPr>
        <w:rPr>
          <w:bCs/>
          <w:iCs/>
        </w:rPr>
      </w:pPr>
      <w:r w:rsidRPr="00305FD7">
        <w:rPr>
          <w:bCs/>
          <w:iCs/>
        </w:rPr>
        <w:t>Dusulys, kosulys, švokštimas, rentgeno nuotraukoje matomas plaučių šešėlis dėl alerginių ir (arba) uždegiminių plaučių būklių.</w:t>
      </w:r>
    </w:p>
    <w:p w14:paraId="74E208D9" w14:textId="77777777" w:rsidR="00E86A1F" w:rsidRPr="00305FD7" w:rsidRDefault="00E86A1F" w:rsidP="00E86A1F">
      <w:pPr>
        <w:numPr>
          <w:ilvl w:val="0"/>
          <w:numId w:val="5"/>
        </w:numPr>
        <w:rPr>
          <w:bCs/>
          <w:iCs/>
        </w:rPr>
      </w:pPr>
      <w:r w:rsidRPr="00305FD7">
        <w:rPr>
          <w:bCs/>
          <w:iCs/>
        </w:rPr>
        <w:t>Plaukų slinkimas ir nuplikimas.</w:t>
      </w:r>
    </w:p>
    <w:p w14:paraId="1E7A5AE7" w14:textId="77777777" w:rsidR="00E86A1F" w:rsidRPr="00305FD7" w:rsidRDefault="00E86A1F" w:rsidP="00E86A1F">
      <w:pPr>
        <w:numPr>
          <w:ilvl w:val="0"/>
          <w:numId w:val="5"/>
        </w:numPr>
        <w:rPr>
          <w:bCs/>
          <w:iCs/>
        </w:rPr>
      </w:pPr>
      <w:r w:rsidRPr="00305FD7">
        <w:rPr>
          <w:bCs/>
          <w:iCs/>
        </w:rPr>
        <w:t>Raumenų skausmas.</w:t>
      </w:r>
    </w:p>
    <w:p w14:paraId="56FE2350" w14:textId="77777777" w:rsidR="00E86A1F" w:rsidRPr="000F72E0" w:rsidRDefault="00E86A1F" w:rsidP="00E86A1F">
      <w:pPr>
        <w:numPr>
          <w:ilvl w:val="0"/>
          <w:numId w:val="5"/>
        </w:numPr>
        <w:rPr>
          <w:rFonts w:eastAsia="Calibri"/>
          <w:lang w:eastAsia="ar-SA"/>
        </w:rPr>
      </w:pPr>
      <w:r w:rsidRPr="000F72E0">
        <w:rPr>
          <w:bCs/>
          <w:iCs/>
        </w:rPr>
        <w:t>Grįžtamas spermos gamybos susilpnėjimas.</w:t>
      </w:r>
      <w:r w:rsidRPr="000F72E0">
        <w:rPr>
          <w:rFonts w:eastAsia="Calibri"/>
          <w:lang w:eastAsia="ar-SA"/>
        </w:rPr>
        <w:t xml:space="preserve"> </w:t>
      </w:r>
    </w:p>
    <w:p w14:paraId="6E9D9445" w14:textId="77777777" w:rsidR="00E86A1F" w:rsidRDefault="00E86A1F" w:rsidP="00E86A1F">
      <w:pPr>
        <w:tabs>
          <w:tab w:val="num" w:pos="142"/>
        </w:tabs>
        <w:jc w:val="both"/>
        <w:rPr>
          <w:lang w:eastAsia="lt-LT"/>
        </w:rPr>
      </w:pPr>
    </w:p>
    <w:p w14:paraId="2E4DFD99" w14:textId="77777777" w:rsidR="00E86A1F" w:rsidRDefault="00E86A1F" w:rsidP="00E86A1F">
      <w:pPr>
        <w:tabs>
          <w:tab w:val="left" w:pos="567"/>
        </w:tabs>
        <w:rPr>
          <w:b/>
          <w:noProof/>
          <w:snapToGrid w:val="0"/>
        </w:rPr>
      </w:pPr>
    </w:p>
    <w:p w14:paraId="0106AB08" w14:textId="77777777" w:rsidR="00E86A1F" w:rsidRPr="00305FD7" w:rsidRDefault="00E86A1F" w:rsidP="00E86A1F">
      <w:pPr>
        <w:tabs>
          <w:tab w:val="left" w:pos="567"/>
        </w:tabs>
        <w:rPr>
          <w:b/>
          <w:snapToGrid w:val="0"/>
        </w:rPr>
      </w:pPr>
      <w:r w:rsidRPr="00305FD7">
        <w:rPr>
          <w:b/>
          <w:noProof/>
          <w:snapToGrid w:val="0"/>
        </w:rPr>
        <w:t>Pranešimas apie šalutinį poveikį</w:t>
      </w:r>
    </w:p>
    <w:p w14:paraId="77DBFA37" w14:textId="77777777" w:rsidR="00E86A1F" w:rsidRPr="005935D6" w:rsidRDefault="00E86A1F" w:rsidP="00E86A1F">
      <w:pPr>
        <w:tabs>
          <w:tab w:val="left" w:pos="567"/>
        </w:tabs>
        <w:spacing w:line="260" w:lineRule="exact"/>
        <w:ind w:right="-449"/>
        <w:rPr>
          <w:snapToGrid w:val="0"/>
          <w:szCs w:val="20"/>
        </w:rPr>
      </w:pPr>
      <w:r w:rsidRPr="00305FD7">
        <w:rPr>
          <w:snapToGrid w:val="0"/>
          <w:szCs w:val="20"/>
        </w:rPr>
        <w:t xml:space="preserve">Jeigu pasireiškė šalutinis poveikis, įskaitant šiame lapelyje nenurodytą, pasakykite gydytojui arba vaistininkui. </w:t>
      </w:r>
      <w:r>
        <w:rPr>
          <w:szCs w:val="22"/>
          <w:lang w:eastAsia="lt-LT"/>
        </w:rPr>
        <w:t xml:space="preserve">Pranešimą apie šalutinį poveikį galite užpildyti ir pateikti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 arba paskambinti nemokamu telefonu +370 800 73 568. </w:t>
      </w:r>
      <w:r w:rsidRPr="005935D6">
        <w:rPr>
          <w:snapToGrid w:val="0"/>
          <w:szCs w:val="20"/>
        </w:rPr>
        <w:t>Pranešdami apie šalutinį poveikį galite mums padėti gauti daugiau informacijos apie šio vaisto saugumą.</w:t>
      </w:r>
    </w:p>
    <w:p w14:paraId="4D1B058B" w14:textId="77777777" w:rsidR="00E86A1F" w:rsidRPr="00305FD7" w:rsidRDefault="00E86A1F" w:rsidP="00E86A1F">
      <w:pPr>
        <w:tabs>
          <w:tab w:val="left" w:pos="567"/>
        </w:tabs>
        <w:spacing w:line="260" w:lineRule="exact"/>
        <w:ind w:right="-449"/>
      </w:pPr>
    </w:p>
    <w:p w14:paraId="20B08ABA" w14:textId="77777777" w:rsidR="00E86A1F" w:rsidRPr="00305FD7" w:rsidRDefault="00E86A1F" w:rsidP="00E86A1F"/>
    <w:p w14:paraId="2FC6C442" w14:textId="77777777" w:rsidR="00E86A1F" w:rsidRPr="00305FD7" w:rsidRDefault="00E86A1F" w:rsidP="00E86A1F">
      <w:pPr>
        <w:ind w:left="567" w:hanging="567"/>
        <w:rPr>
          <w:b/>
          <w:caps/>
        </w:rPr>
      </w:pPr>
      <w:r w:rsidRPr="00305FD7">
        <w:rPr>
          <w:b/>
          <w:caps/>
        </w:rPr>
        <w:t>5.</w:t>
      </w:r>
      <w:r w:rsidRPr="00305FD7">
        <w:rPr>
          <w:b/>
          <w:caps/>
        </w:rPr>
        <w:tab/>
      </w:r>
      <w:r w:rsidRPr="00305FD7">
        <w:rPr>
          <w:b/>
        </w:rPr>
        <w:t xml:space="preserve">Kaip laikyti </w:t>
      </w:r>
      <w:proofErr w:type="spellStart"/>
      <w:r w:rsidRPr="00305FD7">
        <w:rPr>
          <w:b/>
        </w:rPr>
        <w:t>Salofalk</w:t>
      </w:r>
      <w:proofErr w:type="spellEnd"/>
    </w:p>
    <w:p w14:paraId="7763E4C6" w14:textId="77777777" w:rsidR="00E86A1F" w:rsidRPr="00305FD7" w:rsidRDefault="00E86A1F" w:rsidP="00E86A1F">
      <w:pPr>
        <w:ind w:left="567" w:hanging="567"/>
        <w:rPr>
          <w:caps/>
        </w:rPr>
      </w:pPr>
    </w:p>
    <w:p w14:paraId="4E4C871A" w14:textId="77777777" w:rsidR="00E86A1F" w:rsidRPr="00305FD7" w:rsidRDefault="00E86A1F" w:rsidP="00E86A1F">
      <w:pPr>
        <w:rPr>
          <w:b/>
        </w:rPr>
      </w:pPr>
      <w:r w:rsidRPr="00305FD7">
        <w:t>Šį vaistą laikykite vaikams nepastebimoje ir nepasiekiamoje vietoje.</w:t>
      </w:r>
    </w:p>
    <w:p w14:paraId="68E7BDFE" w14:textId="77777777" w:rsidR="00E86A1F" w:rsidRPr="00305FD7" w:rsidRDefault="00E86A1F" w:rsidP="00E86A1F">
      <w:pPr>
        <w:rPr>
          <w:noProof/>
        </w:rPr>
      </w:pPr>
    </w:p>
    <w:p w14:paraId="1D70B967" w14:textId="77777777" w:rsidR="00E86A1F" w:rsidRDefault="00E86A1F" w:rsidP="00E86A1F">
      <w:pPr>
        <w:rPr>
          <w:rFonts w:eastAsia="Calibri"/>
          <w:noProof/>
          <w:lang w:eastAsia="ar-SA"/>
        </w:rPr>
      </w:pPr>
      <w:r w:rsidRPr="00305FD7">
        <w:rPr>
          <w:noProof/>
        </w:rPr>
        <w:t xml:space="preserve">Ant lizdinės plokštelės ir dėžutės arba talpyklės po „EXP/Tinka iki“ nurodytam tinkamumo laikui pasibaigus, šio vaisto vartoti negalima. </w:t>
      </w:r>
      <w:r w:rsidRPr="00305FD7">
        <w:rPr>
          <w:rFonts w:eastAsia="Calibri"/>
          <w:noProof/>
          <w:lang w:eastAsia="ar-SA"/>
        </w:rPr>
        <w:t>Vaistas tinkamas vartoti iki paskutinės nurodyto mėnesio dienos.</w:t>
      </w:r>
    </w:p>
    <w:p w14:paraId="08856F20" w14:textId="77777777" w:rsidR="00E86A1F" w:rsidRPr="008B2413" w:rsidRDefault="00E86A1F" w:rsidP="00E86A1F">
      <w:pPr>
        <w:rPr>
          <w:noProof/>
        </w:rPr>
      </w:pPr>
      <w:r w:rsidRPr="008B2413">
        <w:rPr>
          <w:noProof/>
        </w:rPr>
        <w:t>Laikyti ne aukštesnėje kaip 25°C temperatūroje.</w:t>
      </w:r>
    </w:p>
    <w:p w14:paraId="0204D5C7" w14:textId="77777777" w:rsidR="00E86A1F" w:rsidRPr="00305FD7" w:rsidRDefault="00E86A1F" w:rsidP="00E86A1F">
      <w:r w:rsidRPr="00305FD7">
        <w:t>Vaistų negalima išmesti į kanalizaciją arba su buitinėmis atliekomis. Kaip išmesti nereikalingus vaistus, klauskite vaistininko. Šios priemonės padės apsaugoti aplinką</w:t>
      </w:r>
      <w:r w:rsidRPr="00305FD7">
        <w:rPr>
          <w:noProof/>
        </w:rPr>
        <w:t>.</w:t>
      </w:r>
    </w:p>
    <w:p w14:paraId="0E89DAC9" w14:textId="77777777" w:rsidR="00E86A1F" w:rsidRPr="00305FD7" w:rsidRDefault="00E86A1F" w:rsidP="00E86A1F"/>
    <w:p w14:paraId="599AF9EE" w14:textId="77777777" w:rsidR="00E86A1F" w:rsidRPr="00305FD7" w:rsidRDefault="00E86A1F" w:rsidP="00E86A1F"/>
    <w:p w14:paraId="2973170C" w14:textId="77777777" w:rsidR="00E86A1F" w:rsidRPr="00305FD7" w:rsidRDefault="00E86A1F" w:rsidP="00E86A1F">
      <w:pPr>
        <w:spacing w:after="120"/>
        <w:ind w:left="378" w:hanging="378"/>
        <w:jc w:val="both"/>
        <w:rPr>
          <w:b/>
          <w:bCs/>
          <w:lang w:eastAsia="lt-LT"/>
        </w:rPr>
      </w:pPr>
      <w:r w:rsidRPr="00305FD7">
        <w:rPr>
          <w:b/>
          <w:bCs/>
          <w:lang w:eastAsia="lt-LT"/>
        </w:rPr>
        <w:t>6.</w:t>
      </w:r>
      <w:r w:rsidRPr="00305FD7">
        <w:rPr>
          <w:b/>
          <w:bCs/>
          <w:lang w:eastAsia="lt-LT"/>
        </w:rPr>
        <w:tab/>
      </w:r>
      <w:r w:rsidRPr="00305FD7">
        <w:rPr>
          <w:b/>
        </w:rPr>
        <w:t>Pakuotės turinys ir kita informacija</w:t>
      </w:r>
      <w:r w:rsidRPr="00305FD7" w:rsidDel="00F569E7">
        <w:rPr>
          <w:b/>
          <w:lang w:eastAsia="lt-LT"/>
        </w:rPr>
        <w:t xml:space="preserve"> </w:t>
      </w:r>
    </w:p>
    <w:p w14:paraId="3F47FD4D" w14:textId="77777777" w:rsidR="00E86A1F" w:rsidRPr="00305FD7" w:rsidRDefault="00E86A1F" w:rsidP="00E86A1F">
      <w:pPr>
        <w:jc w:val="both"/>
        <w:rPr>
          <w:rFonts w:ascii="Arial" w:hAnsi="Arial" w:cs="Arial"/>
        </w:rPr>
      </w:pPr>
    </w:p>
    <w:p w14:paraId="47CD59ED" w14:textId="77777777" w:rsidR="00E86A1F" w:rsidRPr="00305FD7" w:rsidRDefault="00E86A1F" w:rsidP="00E86A1F">
      <w:pPr>
        <w:jc w:val="both"/>
        <w:rPr>
          <w:b/>
          <w:bCs/>
        </w:rPr>
      </w:pPr>
      <w:proofErr w:type="spellStart"/>
      <w:r w:rsidRPr="00305FD7">
        <w:rPr>
          <w:b/>
          <w:bCs/>
        </w:rPr>
        <w:t>Salofalk</w:t>
      </w:r>
      <w:proofErr w:type="spellEnd"/>
      <w:r w:rsidRPr="00305FD7">
        <w:rPr>
          <w:b/>
          <w:bCs/>
        </w:rPr>
        <w:t xml:space="preserve"> sudėtis</w:t>
      </w:r>
    </w:p>
    <w:p w14:paraId="2BFFA29B" w14:textId="77777777" w:rsidR="00E86A1F" w:rsidRPr="00305FD7" w:rsidRDefault="00E86A1F" w:rsidP="00E86A1F">
      <w:r w:rsidRPr="00305FD7">
        <w:t xml:space="preserve">Veiklioji medžiaga yra </w:t>
      </w:r>
      <w:proofErr w:type="spellStart"/>
      <w:r w:rsidRPr="00305FD7">
        <w:t>mesalazinas</w:t>
      </w:r>
      <w:proofErr w:type="spellEnd"/>
      <w:r w:rsidRPr="00305FD7">
        <w:t xml:space="preserve">. Vienoje skrandyje neirioje tabletėje yra 500 mg </w:t>
      </w:r>
      <w:proofErr w:type="spellStart"/>
      <w:r w:rsidRPr="00305FD7">
        <w:t>mesalazino</w:t>
      </w:r>
      <w:proofErr w:type="spellEnd"/>
      <w:r w:rsidRPr="00305FD7">
        <w:t>.</w:t>
      </w:r>
    </w:p>
    <w:p w14:paraId="090DCF0E" w14:textId="77777777" w:rsidR="00E86A1F" w:rsidRPr="00305FD7" w:rsidRDefault="00E86A1F" w:rsidP="00E86A1F"/>
    <w:p w14:paraId="71CD0F25" w14:textId="77777777" w:rsidR="00E86A1F" w:rsidRPr="00305FD7" w:rsidRDefault="00E86A1F" w:rsidP="00E86A1F">
      <w:r w:rsidRPr="00305FD7">
        <w:t xml:space="preserve">Pagalbinės medžiagos yra kalcio </w:t>
      </w:r>
      <w:proofErr w:type="spellStart"/>
      <w:r w:rsidRPr="00305FD7">
        <w:t>stearatas</w:t>
      </w:r>
      <w:proofErr w:type="spellEnd"/>
      <w:r w:rsidRPr="00305FD7">
        <w:t xml:space="preserve">, </w:t>
      </w:r>
      <w:proofErr w:type="spellStart"/>
      <w:r w:rsidRPr="00305FD7">
        <w:t>kroskarmeliozės</w:t>
      </w:r>
      <w:proofErr w:type="spellEnd"/>
      <w:r w:rsidRPr="00305FD7">
        <w:t xml:space="preserve"> natrio druska, glicinas, koloidinis bevandenis silicio dioksidas, </w:t>
      </w:r>
      <w:proofErr w:type="spellStart"/>
      <w:r w:rsidRPr="00305FD7">
        <w:t>mikrokristalinė</w:t>
      </w:r>
      <w:proofErr w:type="spellEnd"/>
      <w:r w:rsidRPr="00305FD7">
        <w:t xml:space="preserve"> celiuliozė, natrio karbonatas, </w:t>
      </w:r>
      <w:proofErr w:type="spellStart"/>
      <w:r w:rsidRPr="00305FD7">
        <w:t>povidonas</w:t>
      </w:r>
      <w:proofErr w:type="spellEnd"/>
      <w:r w:rsidRPr="00305FD7">
        <w:t xml:space="preserve"> K25 (tabletės branduolys), </w:t>
      </w:r>
      <w:proofErr w:type="spellStart"/>
      <w:r w:rsidRPr="00305FD7">
        <w:t>hipromeliozė</w:t>
      </w:r>
      <w:proofErr w:type="spellEnd"/>
      <w:r w:rsidRPr="00305FD7">
        <w:t xml:space="preserve">, </w:t>
      </w:r>
      <w:proofErr w:type="spellStart"/>
      <w:r w:rsidRPr="00305FD7">
        <w:t>makrogolis</w:t>
      </w:r>
      <w:proofErr w:type="spellEnd"/>
      <w:r w:rsidRPr="00305FD7">
        <w:t xml:space="preserve"> 6000, </w:t>
      </w:r>
      <w:proofErr w:type="spellStart"/>
      <w:r w:rsidRPr="00305FD7">
        <w:t>metakrilo</w:t>
      </w:r>
      <w:proofErr w:type="spellEnd"/>
      <w:r w:rsidRPr="00305FD7">
        <w:t xml:space="preserve"> rūgšties ir </w:t>
      </w:r>
      <w:proofErr w:type="spellStart"/>
      <w:r w:rsidRPr="00305FD7">
        <w:t>metilmetakrilato</w:t>
      </w:r>
      <w:proofErr w:type="spellEnd"/>
      <w:r w:rsidRPr="00305FD7">
        <w:t xml:space="preserve"> 1:1 </w:t>
      </w:r>
      <w:proofErr w:type="spellStart"/>
      <w:r w:rsidRPr="00305FD7">
        <w:t>kopolimeras</w:t>
      </w:r>
      <w:proofErr w:type="spellEnd"/>
      <w:r w:rsidRPr="00305FD7">
        <w:t xml:space="preserve">, bazinis </w:t>
      </w:r>
      <w:proofErr w:type="spellStart"/>
      <w:r w:rsidRPr="00305FD7">
        <w:t>butilintas</w:t>
      </w:r>
      <w:proofErr w:type="spellEnd"/>
      <w:r w:rsidRPr="00305FD7">
        <w:t xml:space="preserve"> </w:t>
      </w:r>
      <w:proofErr w:type="spellStart"/>
      <w:r w:rsidRPr="00305FD7">
        <w:t>metakrilato</w:t>
      </w:r>
      <w:proofErr w:type="spellEnd"/>
      <w:r w:rsidRPr="00305FD7">
        <w:t xml:space="preserve"> </w:t>
      </w:r>
      <w:proofErr w:type="spellStart"/>
      <w:r w:rsidRPr="00305FD7">
        <w:t>kopolimeras</w:t>
      </w:r>
      <w:proofErr w:type="spellEnd"/>
      <w:r w:rsidRPr="00305FD7">
        <w:t>, talkas, geltonasis geležies oksidas (E 172).</w:t>
      </w:r>
    </w:p>
    <w:p w14:paraId="62CAEE15" w14:textId="77777777" w:rsidR="00E86A1F" w:rsidRPr="00305FD7" w:rsidRDefault="00E86A1F" w:rsidP="00E86A1F">
      <w:pPr>
        <w:ind w:left="567" w:hanging="567"/>
      </w:pPr>
    </w:p>
    <w:p w14:paraId="1E1C8E59" w14:textId="77777777" w:rsidR="00E86A1F" w:rsidRPr="00305FD7" w:rsidRDefault="00E86A1F" w:rsidP="00E86A1F">
      <w:pPr>
        <w:spacing w:line="220" w:lineRule="exact"/>
        <w:rPr>
          <w:b/>
          <w:bCs/>
        </w:rPr>
      </w:pPr>
      <w:proofErr w:type="spellStart"/>
      <w:r w:rsidRPr="00305FD7">
        <w:rPr>
          <w:b/>
          <w:bCs/>
        </w:rPr>
        <w:t>Salofalk</w:t>
      </w:r>
      <w:proofErr w:type="spellEnd"/>
      <w:r w:rsidRPr="00305FD7">
        <w:rPr>
          <w:b/>
          <w:bCs/>
        </w:rPr>
        <w:t xml:space="preserve"> išvaizda ir kiekis pakuotėje</w:t>
      </w:r>
    </w:p>
    <w:p w14:paraId="488DA354" w14:textId="77777777" w:rsidR="00E86A1F" w:rsidRPr="00305FD7" w:rsidRDefault="00E86A1F" w:rsidP="00E86A1F">
      <w:r w:rsidRPr="00305FD7">
        <w:t>Ovalios, šviesiai geltonos arba gelsvai rudos skrandyje neirios tabletės. Jos yra matinės, lygiu paviršiumi.</w:t>
      </w:r>
    </w:p>
    <w:p w14:paraId="7CBFB3CA" w14:textId="77777777" w:rsidR="00E86A1F" w:rsidRPr="00305FD7" w:rsidRDefault="00E86A1F" w:rsidP="00E86A1F"/>
    <w:p w14:paraId="61614A43" w14:textId="77777777" w:rsidR="00E86A1F" w:rsidRPr="00305FD7" w:rsidRDefault="00E86A1F" w:rsidP="00E86A1F">
      <w:proofErr w:type="spellStart"/>
      <w:r w:rsidRPr="00305FD7">
        <w:t>Salofalk</w:t>
      </w:r>
      <w:proofErr w:type="spellEnd"/>
      <w:r w:rsidRPr="00305FD7">
        <w:t xml:space="preserve"> tiekiamas pakuotėmis, kurių kiekvienoje yra 50 skrandyje neirių tablečių (5 lizdinės plokštelės po 10 skrandyje neirių tablečių).</w:t>
      </w:r>
    </w:p>
    <w:p w14:paraId="6C6ACC2C" w14:textId="77777777" w:rsidR="00E86A1F" w:rsidRPr="00305FD7" w:rsidRDefault="00E86A1F" w:rsidP="00E86A1F">
      <w:pPr>
        <w:ind w:left="567" w:hanging="567"/>
      </w:pPr>
    </w:p>
    <w:p w14:paraId="58279A09" w14:textId="77777777" w:rsidR="00E86A1F" w:rsidRPr="00305FD7" w:rsidRDefault="00E86A1F" w:rsidP="00E86A1F">
      <w:pPr>
        <w:spacing w:line="220" w:lineRule="exact"/>
        <w:rPr>
          <w:b/>
          <w:bCs/>
        </w:rPr>
      </w:pPr>
      <w:r w:rsidRPr="00305FD7">
        <w:rPr>
          <w:b/>
          <w:bCs/>
        </w:rPr>
        <w:t>Registruotojas ir gamintojas</w:t>
      </w:r>
    </w:p>
    <w:p w14:paraId="024D3466" w14:textId="77777777" w:rsidR="00E86A1F" w:rsidRPr="00305FD7" w:rsidRDefault="00E86A1F" w:rsidP="00E86A1F">
      <w:pPr>
        <w:jc w:val="both"/>
      </w:pPr>
      <w:r w:rsidRPr="00305FD7">
        <w:t>D</w:t>
      </w:r>
      <w:r>
        <w:t>R</w:t>
      </w:r>
      <w:r w:rsidRPr="00305FD7">
        <w:t xml:space="preserve">. </w:t>
      </w:r>
      <w:r>
        <w:t xml:space="preserve">FALK PHARMA </w:t>
      </w:r>
      <w:r w:rsidRPr="00305FD7">
        <w:t xml:space="preserve"> </w:t>
      </w:r>
      <w:proofErr w:type="spellStart"/>
      <w:r w:rsidRPr="00305FD7">
        <w:t>GmbH</w:t>
      </w:r>
      <w:proofErr w:type="spellEnd"/>
    </w:p>
    <w:p w14:paraId="66DFDA76" w14:textId="77777777" w:rsidR="00E86A1F" w:rsidRPr="00305FD7" w:rsidRDefault="00E86A1F" w:rsidP="00E86A1F">
      <w:pPr>
        <w:jc w:val="both"/>
      </w:pPr>
      <w:proofErr w:type="spellStart"/>
      <w:r w:rsidRPr="00305FD7">
        <w:t>Leinenweberstr</w:t>
      </w:r>
      <w:proofErr w:type="spellEnd"/>
      <w:r w:rsidRPr="00305FD7">
        <w:t>. 5</w:t>
      </w:r>
    </w:p>
    <w:p w14:paraId="34CCBD8F" w14:textId="77777777" w:rsidR="00E86A1F" w:rsidRPr="00305FD7" w:rsidRDefault="00E86A1F" w:rsidP="00E86A1F">
      <w:pPr>
        <w:jc w:val="both"/>
      </w:pPr>
      <w:r w:rsidRPr="00305FD7">
        <w:t xml:space="preserve">79108 </w:t>
      </w:r>
      <w:proofErr w:type="spellStart"/>
      <w:r w:rsidRPr="00305FD7">
        <w:t>Freiburg</w:t>
      </w:r>
      <w:proofErr w:type="spellEnd"/>
      <w:r w:rsidRPr="00305FD7">
        <w:t xml:space="preserve"> </w:t>
      </w:r>
    </w:p>
    <w:p w14:paraId="2D90D584" w14:textId="77777777" w:rsidR="00E86A1F" w:rsidRPr="00305FD7" w:rsidRDefault="00E86A1F" w:rsidP="00E86A1F">
      <w:pPr>
        <w:jc w:val="both"/>
      </w:pPr>
      <w:r w:rsidRPr="00305FD7">
        <w:t>Vokietija</w:t>
      </w:r>
    </w:p>
    <w:p w14:paraId="285BF622" w14:textId="77777777" w:rsidR="00E86A1F" w:rsidRPr="00305FD7" w:rsidRDefault="00E86A1F" w:rsidP="00E86A1F">
      <w:pPr>
        <w:jc w:val="both"/>
      </w:pPr>
      <w:r w:rsidRPr="00305FD7">
        <w:t>Tel</w:t>
      </w:r>
      <w:r>
        <w:t>.</w:t>
      </w:r>
      <w:r w:rsidRPr="00305FD7">
        <w:t xml:space="preserve"> +49 761 15 140</w:t>
      </w:r>
    </w:p>
    <w:p w14:paraId="6AFE2D46" w14:textId="77777777" w:rsidR="00E86A1F" w:rsidRPr="00305FD7" w:rsidRDefault="00E86A1F" w:rsidP="00E86A1F">
      <w:pPr>
        <w:jc w:val="both"/>
      </w:pPr>
      <w:r w:rsidRPr="00305FD7">
        <w:lastRenderedPageBreak/>
        <w:t>Faksas +49 761 15 14 321</w:t>
      </w:r>
    </w:p>
    <w:p w14:paraId="341BB5BD" w14:textId="77777777" w:rsidR="00E86A1F" w:rsidRPr="00305FD7" w:rsidRDefault="00E86A1F" w:rsidP="00E86A1F">
      <w:pPr>
        <w:jc w:val="both"/>
      </w:pPr>
      <w:r w:rsidRPr="00305FD7">
        <w:t xml:space="preserve">El. paštas </w:t>
      </w:r>
      <w:hyperlink r:id="rId5" w:history="1">
        <w:r w:rsidRPr="00305FD7">
          <w:rPr>
            <w:color w:val="0000FF"/>
            <w:u w:val="single"/>
          </w:rPr>
          <w:t>zentrale@drfalkpharma.de</w:t>
        </w:r>
      </w:hyperlink>
    </w:p>
    <w:p w14:paraId="2617EF4D" w14:textId="77777777" w:rsidR="00E86A1F" w:rsidRPr="00305FD7" w:rsidRDefault="00E86A1F" w:rsidP="00E86A1F">
      <w:pPr>
        <w:ind w:left="567" w:hanging="567"/>
      </w:pPr>
    </w:p>
    <w:p w14:paraId="7F441611" w14:textId="77777777" w:rsidR="00E86A1F" w:rsidRPr="00305FD7" w:rsidRDefault="00E86A1F" w:rsidP="00E86A1F">
      <w:pPr>
        <w:tabs>
          <w:tab w:val="left" w:pos="709"/>
          <w:tab w:val="left" w:pos="2694"/>
        </w:tabs>
        <w:ind w:right="283"/>
      </w:pPr>
    </w:p>
    <w:p w14:paraId="720F73BF" w14:textId="77777777" w:rsidR="00E86A1F" w:rsidRPr="00305FD7" w:rsidRDefault="00E86A1F" w:rsidP="00E86A1F">
      <w:pPr>
        <w:rPr>
          <w:noProof/>
        </w:rPr>
      </w:pPr>
      <w:r w:rsidRPr="00305FD7">
        <w:rPr>
          <w:noProof/>
        </w:rPr>
        <w:t>Jeigu apie šį vaistą norite sužinoti daugiau, kreipkitės į vietinį registruotojo atstovą.</w:t>
      </w:r>
    </w:p>
    <w:p w14:paraId="55D8640A" w14:textId="77777777" w:rsidR="00E86A1F" w:rsidRPr="00305FD7" w:rsidRDefault="00E86A1F" w:rsidP="00E86A1F">
      <w:pPr>
        <w:numPr>
          <w:ilvl w:val="12"/>
          <w:numId w:val="0"/>
        </w:numPr>
        <w:ind w:right="-2"/>
        <w:rPr>
          <w:noProof/>
        </w:rPr>
      </w:pPr>
    </w:p>
    <w:tbl>
      <w:tblPr>
        <w:tblW w:w="4678" w:type="dxa"/>
        <w:tblInd w:w="-34" w:type="dxa"/>
        <w:tblLayout w:type="fixed"/>
        <w:tblLook w:val="0000" w:firstRow="0" w:lastRow="0" w:firstColumn="0" w:lastColumn="0" w:noHBand="0" w:noVBand="0"/>
      </w:tblPr>
      <w:tblGrid>
        <w:gridCol w:w="4678"/>
      </w:tblGrid>
      <w:tr w:rsidR="00E86A1F" w:rsidRPr="00305FD7" w14:paraId="29D8F990" w14:textId="77777777" w:rsidTr="00E524A6">
        <w:tc>
          <w:tcPr>
            <w:tcW w:w="4678" w:type="dxa"/>
          </w:tcPr>
          <w:p w14:paraId="6982C4FF" w14:textId="77777777" w:rsidR="00E86A1F" w:rsidRPr="00305FD7" w:rsidRDefault="00E86A1F" w:rsidP="00E524A6">
            <w:pPr>
              <w:tabs>
                <w:tab w:val="left" w:pos="360"/>
                <w:tab w:val="left" w:pos="3060"/>
              </w:tabs>
            </w:pPr>
            <w:r w:rsidRPr="00305FD7">
              <w:t xml:space="preserve">UAB </w:t>
            </w:r>
            <w:proofErr w:type="spellStart"/>
            <w:r w:rsidRPr="00305FD7">
              <w:t>Morfėjus</w:t>
            </w:r>
            <w:proofErr w:type="spellEnd"/>
          </w:p>
          <w:p w14:paraId="58CC6405" w14:textId="77777777" w:rsidR="00E86A1F" w:rsidRPr="00305FD7" w:rsidRDefault="00E86A1F" w:rsidP="00E524A6">
            <w:pPr>
              <w:tabs>
                <w:tab w:val="left" w:pos="360"/>
                <w:tab w:val="left" w:pos="3060"/>
              </w:tabs>
            </w:pPr>
            <w:r w:rsidRPr="00305FD7">
              <w:t>Žalgirio g. 93-42</w:t>
            </w:r>
          </w:p>
          <w:p w14:paraId="3425F78C" w14:textId="77777777" w:rsidR="00E86A1F" w:rsidRPr="00305FD7" w:rsidRDefault="00E86A1F" w:rsidP="00E524A6">
            <w:pPr>
              <w:tabs>
                <w:tab w:val="left" w:pos="360"/>
                <w:tab w:val="left" w:pos="3060"/>
              </w:tabs>
            </w:pPr>
            <w:r w:rsidRPr="00305FD7">
              <w:t>LT-08218 Vilnius</w:t>
            </w:r>
          </w:p>
          <w:p w14:paraId="2F9686A2" w14:textId="77777777" w:rsidR="00E86A1F" w:rsidRPr="00305FD7" w:rsidRDefault="00E86A1F" w:rsidP="00E524A6">
            <w:pPr>
              <w:tabs>
                <w:tab w:val="left" w:pos="360"/>
                <w:tab w:val="left" w:pos="3060"/>
              </w:tabs>
            </w:pPr>
            <w:r w:rsidRPr="00305FD7">
              <w:t xml:space="preserve">Tel. +370 </w:t>
            </w:r>
            <w:r>
              <w:t xml:space="preserve">5 </w:t>
            </w:r>
            <w:r w:rsidRPr="00305FD7">
              <w:t>2796328</w:t>
            </w:r>
          </w:p>
          <w:p w14:paraId="3CB7C759" w14:textId="77777777" w:rsidR="00E86A1F" w:rsidRPr="00305FD7" w:rsidRDefault="00E86A1F" w:rsidP="00E524A6">
            <w:pPr>
              <w:tabs>
                <w:tab w:val="left" w:pos="360"/>
                <w:tab w:val="left" w:pos="3060"/>
              </w:tabs>
            </w:pPr>
            <w:r w:rsidRPr="00305FD7">
              <w:t>El. paštas info@morfejus.lt</w:t>
            </w:r>
          </w:p>
          <w:p w14:paraId="71677AA5" w14:textId="77777777" w:rsidR="00E86A1F" w:rsidRPr="00305FD7" w:rsidRDefault="00E86A1F" w:rsidP="00E524A6">
            <w:pPr>
              <w:tabs>
                <w:tab w:val="left" w:pos="-720"/>
              </w:tabs>
              <w:suppressAutoHyphens/>
            </w:pPr>
          </w:p>
        </w:tc>
      </w:tr>
    </w:tbl>
    <w:p w14:paraId="03EAD944" w14:textId="77777777" w:rsidR="00E86A1F" w:rsidRPr="00305FD7" w:rsidRDefault="00E86A1F" w:rsidP="00E86A1F">
      <w:pPr>
        <w:numPr>
          <w:ilvl w:val="12"/>
          <w:numId w:val="0"/>
        </w:numPr>
        <w:ind w:right="-2"/>
        <w:rPr>
          <w:noProof/>
        </w:rPr>
      </w:pPr>
    </w:p>
    <w:p w14:paraId="639DB1E9" w14:textId="77777777" w:rsidR="00E86A1F" w:rsidRPr="00305FD7" w:rsidRDefault="00E86A1F" w:rsidP="00E86A1F">
      <w:pPr>
        <w:numPr>
          <w:ilvl w:val="12"/>
          <w:numId w:val="0"/>
        </w:numPr>
        <w:ind w:right="-2"/>
        <w:outlineLvl w:val="0"/>
        <w:rPr>
          <w:noProof/>
        </w:rPr>
      </w:pPr>
      <w:r w:rsidRPr="00305FD7">
        <w:rPr>
          <w:b/>
          <w:bCs/>
          <w:noProof/>
        </w:rPr>
        <w:t xml:space="preserve">Šis pakuotės </w:t>
      </w:r>
      <w:r w:rsidRPr="00305FD7">
        <w:rPr>
          <w:b/>
          <w:noProof/>
        </w:rPr>
        <w:t>lapelis paskutinį kartą peržiūrėtas</w:t>
      </w:r>
      <w:r>
        <w:rPr>
          <w:b/>
          <w:noProof/>
        </w:rPr>
        <w:t xml:space="preserve"> 2026-04-10.</w:t>
      </w:r>
    </w:p>
    <w:p w14:paraId="33BF17EE" w14:textId="77777777" w:rsidR="00E86A1F" w:rsidRPr="00305FD7" w:rsidRDefault="00E86A1F" w:rsidP="00E86A1F">
      <w:pPr>
        <w:numPr>
          <w:ilvl w:val="12"/>
          <w:numId w:val="0"/>
        </w:numPr>
        <w:ind w:right="-2"/>
        <w:rPr>
          <w:noProof/>
        </w:rPr>
      </w:pPr>
    </w:p>
    <w:p w14:paraId="4505C899" w14:textId="77777777" w:rsidR="00E86A1F" w:rsidRPr="00305FD7" w:rsidRDefault="00E86A1F" w:rsidP="00E86A1F">
      <w:pPr>
        <w:numPr>
          <w:ilvl w:val="12"/>
          <w:numId w:val="0"/>
        </w:numPr>
        <w:ind w:right="-2"/>
        <w:rPr>
          <w:noProof/>
        </w:rPr>
      </w:pPr>
    </w:p>
    <w:p w14:paraId="09ED65D5" w14:textId="77777777" w:rsidR="00E86A1F" w:rsidRPr="00305FD7" w:rsidRDefault="00E86A1F" w:rsidP="00E86A1F">
      <w:pPr>
        <w:numPr>
          <w:ilvl w:val="12"/>
          <w:numId w:val="0"/>
        </w:numPr>
        <w:ind w:right="-2"/>
        <w:rPr>
          <w:b/>
          <w:snapToGrid w:val="0"/>
        </w:rPr>
      </w:pPr>
      <w:r w:rsidRPr="00305FD7">
        <w:rPr>
          <w:b/>
          <w:noProof/>
          <w:snapToGrid w:val="0"/>
        </w:rPr>
        <w:t>Kiti informacijos šaltiniai</w:t>
      </w:r>
    </w:p>
    <w:p w14:paraId="73686475" w14:textId="77777777" w:rsidR="00E86A1F" w:rsidRPr="00305FD7" w:rsidRDefault="00E86A1F" w:rsidP="00E86A1F">
      <w:pPr>
        <w:numPr>
          <w:ilvl w:val="12"/>
          <w:numId w:val="0"/>
        </w:numPr>
        <w:tabs>
          <w:tab w:val="left" w:pos="567"/>
        </w:tabs>
        <w:ind w:right="-2"/>
        <w:rPr>
          <w:i/>
          <w:snapToGrid w:val="0"/>
        </w:rPr>
      </w:pPr>
    </w:p>
    <w:p w14:paraId="06E2D2AB" w14:textId="77777777" w:rsidR="00E86A1F" w:rsidRPr="001E3767" w:rsidRDefault="00E86A1F" w:rsidP="00E86A1F">
      <w:pPr>
        <w:numPr>
          <w:ilvl w:val="12"/>
          <w:numId w:val="0"/>
        </w:numPr>
        <w:tabs>
          <w:tab w:val="left" w:pos="567"/>
        </w:tabs>
        <w:ind w:right="-2"/>
        <w:rPr>
          <w:snapToGrid w:val="0"/>
          <w:szCs w:val="20"/>
        </w:rPr>
      </w:pPr>
      <w:r w:rsidRPr="00305FD7">
        <w:rPr>
          <w:snapToGrid w:val="0"/>
          <w:szCs w:val="20"/>
        </w:rPr>
        <w:t xml:space="preserve">Išsami informacija apie šį </w:t>
      </w:r>
      <w:r w:rsidRPr="00305FD7">
        <w:rPr>
          <w:snapToGrid w:val="0"/>
        </w:rPr>
        <w:t>vaistą</w:t>
      </w:r>
      <w:r w:rsidRPr="00305FD7">
        <w:rPr>
          <w:snapToGrid w:val="0"/>
          <w:szCs w:val="20"/>
        </w:rPr>
        <w:t xml:space="preserve"> pateikiama Valstybinės vaistų kontrolės tarnybos prie Lietuvos Respublikos sveikatos apsaugos ministerijos tinklalapyje</w:t>
      </w:r>
      <w:r w:rsidRPr="00305FD7">
        <w:rPr>
          <w:i/>
          <w:snapToGrid w:val="0"/>
        </w:rPr>
        <w:t xml:space="preserve"> </w:t>
      </w:r>
      <w:r>
        <w:rPr>
          <w:color w:val="0000EE"/>
          <w:szCs w:val="22"/>
          <w:u w:val="single"/>
          <w:lang w:eastAsia="lt-LT"/>
        </w:rPr>
        <w:t>https://vvkt.lrv.lt/lt/</w:t>
      </w:r>
      <w:r>
        <w:rPr>
          <w:szCs w:val="22"/>
          <w:lang w:eastAsia="lt-LT"/>
        </w:rPr>
        <w:t>.</w:t>
      </w:r>
    </w:p>
    <w:p w14:paraId="46B8AED5" w14:textId="77777777" w:rsidR="00E86A1F" w:rsidRPr="00301F41" w:rsidRDefault="00E86A1F" w:rsidP="00E86A1F">
      <w:pPr>
        <w:numPr>
          <w:ilvl w:val="12"/>
          <w:numId w:val="0"/>
        </w:numPr>
        <w:tabs>
          <w:tab w:val="left" w:pos="567"/>
        </w:tabs>
        <w:ind w:right="-2"/>
      </w:pPr>
    </w:p>
    <w:p w14:paraId="3617EA83" w14:textId="77777777" w:rsidR="00E86A1F" w:rsidRDefault="00E86A1F" w:rsidP="00E86A1F"/>
    <w:p w14:paraId="4E8C61DB" w14:textId="77777777" w:rsidR="00E86A1F" w:rsidRDefault="00E86A1F" w:rsidP="00E86A1F">
      <w:pPr>
        <w:rPr>
          <w:noProof/>
        </w:rPr>
      </w:pPr>
    </w:p>
    <w:p w14:paraId="7A92E639" w14:textId="77777777" w:rsidR="00E86A1F" w:rsidRDefault="00E86A1F" w:rsidP="00E86A1F">
      <w:pPr>
        <w:rPr>
          <w:noProof/>
        </w:rPr>
      </w:pPr>
    </w:p>
    <w:p w14:paraId="48B7C8AF" w14:textId="77777777" w:rsidR="00222FED" w:rsidRDefault="00222FED"/>
    <w:sectPr w:rsidR="00222FED" w:rsidSect="00E86A1F">
      <w:headerReference w:type="even" r:id="rId6"/>
      <w:headerReference w:type="default" r:id="rId7"/>
      <w:footerReference w:type="even" r:id="rId8"/>
      <w:footerReference w:type="default" r:id="rId9"/>
      <w:headerReference w:type="first" r:id="rId10"/>
      <w:footerReference w:type="first" r:id="rId11"/>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C0930" w14:textId="77777777" w:rsidR="00E86A1F" w:rsidRDefault="00E86A1F">
    <w:pPr>
      <w:pStyle w:val="Porat"/>
      <w:framePr w:wrap="around" w:vAnchor="text" w:hAnchor="margin" w:xAlign="right" w:y="1"/>
      <w:rPr>
        <w:rStyle w:val="Puslapionumeris"/>
        <w:rFonts w:eastAsiaTheme="majorEastAsia"/>
        <w:lang w:val="lt-LT"/>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14:paraId="0CD94710" w14:textId="77777777" w:rsidR="00E86A1F" w:rsidRDefault="00E86A1F">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D1F12" w14:textId="77777777" w:rsidR="00E86A1F" w:rsidRDefault="00E86A1F" w:rsidP="006E6FD4">
    <w:pPr>
      <w:pStyle w:val="Porat"/>
      <w:rPr>
        <w:rStyle w:val="Puslapionumeris"/>
        <w:rFonts w:ascii="Arial" w:eastAsiaTheme="majorEastAsia" w:hAnsi="Arial" w:cs="Arial"/>
        <w:sz w:val="22"/>
        <w:szCs w:val="24"/>
        <w:lang w:val="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03C2F" w14:textId="77777777" w:rsidR="00E86A1F" w:rsidRDefault="00E86A1F">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70679" w14:textId="77777777" w:rsidR="00E86A1F" w:rsidRDefault="00E86A1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B3FA8" w14:textId="77777777" w:rsidR="00E86A1F" w:rsidRDefault="00E86A1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3EF47" w14:textId="77777777" w:rsidR="00E86A1F" w:rsidRDefault="00E86A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4148A"/>
    <w:multiLevelType w:val="hybridMultilevel"/>
    <w:tmpl w:val="5B4A7BE8"/>
    <w:lvl w:ilvl="0" w:tplc="C172D052">
      <w:start w:val="1"/>
      <w:numFmt w:val="bullet"/>
      <w:lvlText w:val=""/>
      <w:lvlJc w:val="left"/>
      <w:pPr>
        <w:tabs>
          <w:tab w:val="num" w:pos="2770"/>
        </w:tabs>
        <w:ind w:left="2770" w:hanging="360"/>
      </w:pPr>
      <w:rPr>
        <w:rFonts w:ascii="Symbol" w:hAnsi="Symbol" w:hint="default"/>
      </w:rPr>
    </w:lvl>
    <w:lvl w:ilvl="1" w:tplc="04070003">
      <w:start w:val="1"/>
      <w:numFmt w:val="bullet"/>
      <w:lvlText w:val="o"/>
      <w:lvlJc w:val="left"/>
      <w:pPr>
        <w:tabs>
          <w:tab w:val="num" w:pos="2007"/>
        </w:tabs>
        <w:ind w:left="2007" w:hanging="360"/>
      </w:pPr>
      <w:rPr>
        <w:rFonts w:ascii="Courier New" w:hAnsi="Courier New" w:hint="default"/>
      </w:rPr>
    </w:lvl>
    <w:lvl w:ilvl="2" w:tplc="04070005">
      <w:start w:val="1"/>
      <w:numFmt w:val="bullet"/>
      <w:lvlText w:val=""/>
      <w:lvlJc w:val="left"/>
      <w:pPr>
        <w:tabs>
          <w:tab w:val="num" w:pos="2727"/>
        </w:tabs>
        <w:ind w:left="2727" w:hanging="360"/>
      </w:pPr>
      <w:rPr>
        <w:rFonts w:ascii="Wingdings" w:hAnsi="Wingdings" w:hint="default"/>
      </w:rPr>
    </w:lvl>
    <w:lvl w:ilvl="3" w:tplc="04070001">
      <w:start w:val="1"/>
      <w:numFmt w:val="bullet"/>
      <w:lvlText w:val=""/>
      <w:lvlJc w:val="left"/>
      <w:pPr>
        <w:tabs>
          <w:tab w:val="num" w:pos="3447"/>
        </w:tabs>
        <w:ind w:left="3447" w:hanging="360"/>
      </w:pPr>
      <w:rPr>
        <w:rFonts w:ascii="Symbol" w:hAnsi="Symbol" w:hint="default"/>
      </w:rPr>
    </w:lvl>
    <w:lvl w:ilvl="4" w:tplc="04070003">
      <w:start w:val="1"/>
      <w:numFmt w:val="bullet"/>
      <w:lvlText w:val="o"/>
      <w:lvlJc w:val="left"/>
      <w:pPr>
        <w:tabs>
          <w:tab w:val="num" w:pos="4167"/>
        </w:tabs>
        <w:ind w:left="4167" w:hanging="360"/>
      </w:pPr>
      <w:rPr>
        <w:rFonts w:ascii="Courier New" w:hAnsi="Courier New" w:hint="default"/>
      </w:rPr>
    </w:lvl>
    <w:lvl w:ilvl="5" w:tplc="04070005">
      <w:start w:val="1"/>
      <w:numFmt w:val="bullet"/>
      <w:lvlText w:val=""/>
      <w:lvlJc w:val="left"/>
      <w:pPr>
        <w:tabs>
          <w:tab w:val="num" w:pos="4887"/>
        </w:tabs>
        <w:ind w:left="4887" w:hanging="360"/>
      </w:pPr>
      <w:rPr>
        <w:rFonts w:ascii="Wingdings" w:hAnsi="Wingdings" w:hint="default"/>
      </w:rPr>
    </w:lvl>
    <w:lvl w:ilvl="6" w:tplc="04070001">
      <w:start w:val="1"/>
      <w:numFmt w:val="bullet"/>
      <w:lvlText w:val=""/>
      <w:lvlJc w:val="left"/>
      <w:pPr>
        <w:tabs>
          <w:tab w:val="num" w:pos="5607"/>
        </w:tabs>
        <w:ind w:left="5607" w:hanging="360"/>
      </w:pPr>
      <w:rPr>
        <w:rFonts w:ascii="Symbol" w:hAnsi="Symbol" w:hint="default"/>
      </w:rPr>
    </w:lvl>
    <w:lvl w:ilvl="7" w:tplc="04070003">
      <w:start w:val="1"/>
      <w:numFmt w:val="bullet"/>
      <w:lvlText w:val="o"/>
      <w:lvlJc w:val="left"/>
      <w:pPr>
        <w:tabs>
          <w:tab w:val="num" w:pos="6327"/>
        </w:tabs>
        <w:ind w:left="6327" w:hanging="360"/>
      </w:pPr>
      <w:rPr>
        <w:rFonts w:ascii="Courier New" w:hAnsi="Courier New" w:hint="default"/>
      </w:rPr>
    </w:lvl>
    <w:lvl w:ilvl="8" w:tplc="04070005">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290A0E89"/>
    <w:multiLevelType w:val="hybridMultilevel"/>
    <w:tmpl w:val="EF3C8F32"/>
    <w:lvl w:ilvl="0" w:tplc="B7D4B71C">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AC4861"/>
    <w:multiLevelType w:val="hybridMultilevel"/>
    <w:tmpl w:val="FACAB48C"/>
    <w:lvl w:ilvl="0" w:tplc="DC74D552">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3A7025E3"/>
    <w:multiLevelType w:val="hybridMultilevel"/>
    <w:tmpl w:val="3202FB7A"/>
    <w:lvl w:ilvl="0" w:tplc="3B467526">
      <w:start w:val="1"/>
      <w:numFmt w:val="bullet"/>
      <w:pStyle w:val="BT-EMEASMCA"/>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6A399A"/>
    <w:multiLevelType w:val="singleLevel"/>
    <w:tmpl w:val="FDA2BA3E"/>
    <w:lvl w:ilvl="0">
      <w:start w:val="2"/>
      <w:numFmt w:val="decimal"/>
      <w:lvlText w:val="%1."/>
      <w:lvlJc w:val="left"/>
      <w:pPr>
        <w:tabs>
          <w:tab w:val="num" w:pos="570"/>
        </w:tabs>
        <w:ind w:left="570" w:hanging="570"/>
      </w:pPr>
      <w:rPr>
        <w:rFonts w:hint="default"/>
      </w:rPr>
    </w:lvl>
  </w:abstractNum>
  <w:abstractNum w:abstractNumId="5" w15:restartNumberingAfterBreak="0">
    <w:nsid w:val="48C207B9"/>
    <w:multiLevelType w:val="hybridMultilevel"/>
    <w:tmpl w:val="08E48DF6"/>
    <w:lvl w:ilvl="0" w:tplc="5F8851D2">
      <w:numFmt w:val="bullet"/>
      <w:lvlText w:val="-"/>
      <w:lvlJc w:val="left"/>
      <w:pPr>
        <w:ind w:left="720" w:hanging="360"/>
      </w:pPr>
      <w:rPr>
        <w:rFonts w:ascii="Times New Roman" w:hAnsi="Times New Roman" w:hint="default"/>
        <w:b/>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69977350">
    <w:abstractNumId w:val="4"/>
  </w:num>
  <w:num w:numId="2" w16cid:durableId="293411553">
    <w:abstractNumId w:val="1"/>
  </w:num>
  <w:num w:numId="3" w16cid:durableId="583226505">
    <w:abstractNumId w:val="3"/>
  </w:num>
  <w:num w:numId="4" w16cid:durableId="1191797480">
    <w:abstractNumId w:val="2"/>
  </w:num>
  <w:num w:numId="5" w16cid:durableId="1130954">
    <w:abstractNumId w:val="5"/>
  </w:num>
  <w:num w:numId="6" w16cid:durableId="1909462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A1F"/>
    <w:rsid w:val="00222FED"/>
    <w:rsid w:val="003352A6"/>
    <w:rsid w:val="005F173E"/>
    <w:rsid w:val="008B3AD4"/>
    <w:rsid w:val="00984A0A"/>
    <w:rsid w:val="00D047C4"/>
    <w:rsid w:val="00E86A1F"/>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DAFD7"/>
  <w15:chartTrackingRefBased/>
  <w15:docId w15:val="{AB707261-DACF-4720-BD3F-71C8A0FE3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6A1F"/>
    <w:pPr>
      <w:spacing w:after="0" w:line="240" w:lineRule="auto"/>
    </w:pPr>
    <w:rPr>
      <w:rFonts w:eastAsia="Times New Roman"/>
      <w:kern w:val="0"/>
      <w:szCs w:val="24"/>
      <w14:ligatures w14:val="none"/>
    </w:rPr>
  </w:style>
  <w:style w:type="paragraph" w:styleId="Antrat1">
    <w:name w:val="heading 1"/>
    <w:basedOn w:val="prastasis"/>
    <w:next w:val="prastasis"/>
    <w:link w:val="Antrat1Diagrama"/>
    <w:uiPriority w:val="9"/>
    <w:qFormat/>
    <w:rsid w:val="00E86A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86A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86A1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86A1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86A1F"/>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E86A1F"/>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86A1F"/>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E86A1F"/>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86A1F"/>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86A1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86A1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86A1F"/>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86A1F"/>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86A1F"/>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E86A1F"/>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86A1F"/>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E86A1F"/>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86A1F"/>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E86A1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86A1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86A1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86A1F"/>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86A1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86A1F"/>
    <w:rPr>
      <w:i/>
      <w:iCs/>
      <w:color w:val="404040" w:themeColor="text1" w:themeTint="BF"/>
    </w:rPr>
  </w:style>
  <w:style w:type="paragraph" w:styleId="Sraopastraipa">
    <w:name w:val="List Paragraph"/>
    <w:basedOn w:val="prastasis"/>
    <w:uiPriority w:val="34"/>
    <w:qFormat/>
    <w:rsid w:val="00E86A1F"/>
    <w:pPr>
      <w:ind w:left="720"/>
      <w:contextualSpacing/>
    </w:pPr>
  </w:style>
  <w:style w:type="character" w:styleId="Rykuspabraukimas">
    <w:name w:val="Intense Emphasis"/>
    <w:basedOn w:val="Numatytasispastraiposriftas"/>
    <w:uiPriority w:val="21"/>
    <w:qFormat/>
    <w:rsid w:val="00E86A1F"/>
    <w:rPr>
      <w:i/>
      <w:iCs/>
      <w:color w:val="0F4761" w:themeColor="accent1" w:themeShade="BF"/>
    </w:rPr>
  </w:style>
  <w:style w:type="paragraph" w:styleId="Iskirtacitata">
    <w:name w:val="Intense Quote"/>
    <w:basedOn w:val="prastasis"/>
    <w:next w:val="prastasis"/>
    <w:link w:val="IskirtacitataDiagrama"/>
    <w:uiPriority w:val="30"/>
    <w:qFormat/>
    <w:rsid w:val="00E86A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86A1F"/>
    <w:rPr>
      <w:i/>
      <w:iCs/>
      <w:color w:val="0F4761" w:themeColor="accent1" w:themeShade="BF"/>
    </w:rPr>
  </w:style>
  <w:style w:type="character" w:styleId="Rykinuoroda">
    <w:name w:val="Intense Reference"/>
    <w:basedOn w:val="Numatytasispastraiposriftas"/>
    <w:uiPriority w:val="32"/>
    <w:qFormat/>
    <w:rsid w:val="00E86A1F"/>
    <w:rPr>
      <w:b/>
      <w:bCs/>
      <w:smallCaps/>
      <w:color w:val="0F4761" w:themeColor="accent1" w:themeShade="BF"/>
      <w:spacing w:val="5"/>
    </w:rPr>
  </w:style>
  <w:style w:type="paragraph" w:styleId="Porat">
    <w:name w:val="footer"/>
    <w:basedOn w:val="prastasis"/>
    <w:link w:val="PoratDiagrama"/>
    <w:uiPriority w:val="99"/>
    <w:rsid w:val="00E86A1F"/>
    <w:pPr>
      <w:tabs>
        <w:tab w:val="left" w:pos="567"/>
        <w:tab w:val="center" w:pos="4536"/>
        <w:tab w:val="center" w:pos="8930"/>
      </w:tabs>
    </w:pPr>
    <w:rPr>
      <w:rFonts w:ascii="Helvetica" w:hAnsi="Helvetica"/>
      <w:sz w:val="16"/>
      <w:szCs w:val="20"/>
      <w:lang w:val="cs-CZ"/>
    </w:rPr>
  </w:style>
  <w:style w:type="character" w:customStyle="1" w:styleId="PoratDiagrama">
    <w:name w:val="Poraštė Diagrama"/>
    <w:basedOn w:val="Numatytasispastraiposriftas"/>
    <w:link w:val="Porat"/>
    <w:uiPriority w:val="99"/>
    <w:rsid w:val="00E86A1F"/>
    <w:rPr>
      <w:rFonts w:ascii="Helvetica" w:eastAsia="Times New Roman" w:hAnsi="Helvetica"/>
      <w:kern w:val="0"/>
      <w:sz w:val="16"/>
      <w:szCs w:val="20"/>
      <w:lang w:val="cs-CZ"/>
      <w14:ligatures w14:val="none"/>
    </w:rPr>
  </w:style>
  <w:style w:type="character" w:styleId="Puslapionumeris">
    <w:name w:val="page number"/>
    <w:basedOn w:val="Numatytasispastraiposriftas"/>
    <w:rsid w:val="00E86A1F"/>
  </w:style>
  <w:style w:type="paragraph" w:styleId="Antrats">
    <w:name w:val="header"/>
    <w:basedOn w:val="prastasis"/>
    <w:link w:val="AntratsDiagrama"/>
    <w:rsid w:val="00E86A1F"/>
    <w:pPr>
      <w:tabs>
        <w:tab w:val="left" w:pos="567"/>
        <w:tab w:val="center" w:pos="4153"/>
        <w:tab w:val="right" w:pos="8306"/>
      </w:tabs>
    </w:pPr>
    <w:rPr>
      <w:rFonts w:ascii="Helvetica" w:hAnsi="Helvetica"/>
      <w:sz w:val="20"/>
      <w:szCs w:val="20"/>
      <w:lang w:val="cs-CZ"/>
    </w:rPr>
  </w:style>
  <w:style w:type="character" w:customStyle="1" w:styleId="AntratsDiagrama">
    <w:name w:val="Antraštės Diagrama"/>
    <w:basedOn w:val="Numatytasispastraiposriftas"/>
    <w:link w:val="Antrats"/>
    <w:rsid w:val="00E86A1F"/>
    <w:rPr>
      <w:rFonts w:ascii="Helvetica" w:eastAsia="Times New Roman" w:hAnsi="Helvetica"/>
      <w:kern w:val="0"/>
      <w:sz w:val="20"/>
      <w:szCs w:val="20"/>
      <w:lang w:val="cs-CZ"/>
      <w14:ligatures w14:val="none"/>
    </w:rPr>
  </w:style>
  <w:style w:type="paragraph" w:customStyle="1" w:styleId="BT-EMEASMCA">
    <w:name w:val="BT- EMEA_SMCA"/>
    <w:basedOn w:val="prastasis"/>
    <w:autoRedefine/>
    <w:rsid w:val="00E86A1F"/>
    <w:pPr>
      <w:numPr>
        <w:numId w:val="3"/>
      </w:numPr>
      <w:tabs>
        <w:tab w:val="clear" w:pos="720"/>
        <w:tab w:val="num" w:pos="360"/>
      </w:tabs>
      <w:ind w:left="360"/>
    </w:pPr>
    <w:rPr>
      <w:noProof/>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hyperlink" Target="mailto:zentrale@drfalkpharma.de" TargetMode="Externa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9164</Words>
  <Characters>5225</Characters>
  <Application>Microsoft Office Word</Application>
  <DocSecurity>0</DocSecurity>
  <Lines>43</Lines>
  <Paragraphs>28</Paragraphs>
  <ScaleCrop>false</ScaleCrop>
  <Company/>
  <LinksUpToDate>false</LinksUpToDate>
  <CharactersWithSpaces>14361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2026-04-13T07:44:00Z</dcterms:created>
  <dcterms:modified xsi:type="dcterms:W3CDTF">2026-04-13T07:45:00Z</dcterms:modified>
</cp:coreProperties>
</file>