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EA" w:rsidRPr="003A3FFE" w:rsidRDefault="00666AEA" w:rsidP="00666AEA">
      <w:pPr>
        <w:pStyle w:val="Pagrindinistekstas"/>
        <w:spacing w:after="0"/>
        <w:jc w:val="center"/>
        <w:outlineLvl w:val="0"/>
        <w:rPr>
          <w:b/>
          <w:color w:val="000000"/>
          <w:sz w:val="22"/>
          <w:szCs w:val="22"/>
          <w:lang w:val="lt-LT"/>
        </w:rPr>
      </w:pPr>
      <w:r w:rsidRPr="003A3FFE">
        <w:rPr>
          <w:b/>
          <w:sz w:val="22"/>
          <w:szCs w:val="22"/>
          <w:lang w:val="lt-LT"/>
        </w:rPr>
        <w:t>Pakuotės lapelis:</w:t>
      </w:r>
      <w:r w:rsidRPr="003A3FFE">
        <w:rPr>
          <w:b/>
          <w:bCs/>
          <w:iCs/>
          <w:sz w:val="22"/>
          <w:szCs w:val="22"/>
          <w:lang w:val="lt-LT"/>
        </w:rPr>
        <w:t xml:space="preserve"> </w:t>
      </w:r>
      <w:r w:rsidRPr="003A3FFE">
        <w:rPr>
          <w:b/>
          <w:sz w:val="22"/>
          <w:szCs w:val="22"/>
          <w:lang w:val="lt-LT"/>
        </w:rPr>
        <w:t xml:space="preserve">informacija pacientui </w:t>
      </w:r>
    </w:p>
    <w:p w:rsidR="00666AEA" w:rsidRPr="003A3FFE" w:rsidRDefault="00666AEA" w:rsidP="00666AEA">
      <w:pPr>
        <w:pStyle w:val="Pagrindinistekstas"/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spacing w:after="0"/>
        <w:jc w:val="center"/>
        <w:rPr>
          <w:b/>
          <w:color w:val="000000"/>
          <w:sz w:val="22"/>
          <w:szCs w:val="22"/>
          <w:lang w:val="lt-LT"/>
        </w:rPr>
      </w:pPr>
      <w:r w:rsidRPr="003A3FFE">
        <w:rPr>
          <w:b/>
          <w:color w:val="000000"/>
          <w:sz w:val="22"/>
          <w:szCs w:val="22"/>
          <w:lang w:val="lt-LT"/>
        </w:rPr>
        <w:t>URTIX 330 mg tabletės</w:t>
      </w:r>
    </w:p>
    <w:p w:rsidR="00666AEA" w:rsidRPr="003A3FFE" w:rsidRDefault="00666AEA" w:rsidP="00666AEA">
      <w:pPr>
        <w:pStyle w:val="Pagrindinistekstas"/>
        <w:spacing w:after="0"/>
        <w:jc w:val="center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Dilgėlių šaknys</w:t>
      </w:r>
    </w:p>
    <w:p w:rsidR="00666AEA" w:rsidRPr="003A3FFE" w:rsidRDefault="00666AEA" w:rsidP="00666AEA">
      <w:pPr>
        <w:pStyle w:val="Pagrindinistekstas"/>
        <w:spacing w:after="0"/>
        <w:jc w:val="center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spacing w:after="0"/>
        <w:rPr>
          <w:color w:val="000000"/>
          <w:sz w:val="22"/>
          <w:szCs w:val="22"/>
          <w:lang w:val="lt-LT"/>
        </w:rPr>
      </w:pPr>
      <w:r w:rsidRPr="003A3FFE">
        <w:rPr>
          <w:b/>
          <w:noProof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:rsidR="00666AEA" w:rsidRPr="003A3FFE" w:rsidRDefault="00666AEA" w:rsidP="00666AEA">
      <w:pPr>
        <w:numPr>
          <w:ilvl w:val="12"/>
          <w:numId w:val="0"/>
        </w:numPr>
        <w:rPr>
          <w:szCs w:val="22"/>
        </w:rPr>
      </w:pPr>
      <w:r w:rsidRPr="003A3FFE">
        <w:rPr>
          <w:noProof/>
          <w:szCs w:val="22"/>
        </w:rPr>
        <w:t>Visada vartokite šį vaistą tiksliai kaip aprašyta šiame lapelyje arba kaip nurodė gydytojas arba vaistininkas.</w:t>
      </w:r>
    </w:p>
    <w:p w:rsidR="00666AEA" w:rsidRPr="003A3FFE" w:rsidRDefault="00666AEA" w:rsidP="00666AEA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3A3FFE">
        <w:rPr>
          <w:noProof/>
          <w:szCs w:val="22"/>
        </w:rPr>
        <w:t>Neišmeskite šio lapelio, nes vėl gali prireikti jį perskaityti.</w:t>
      </w:r>
      <w:r w:rsidRPr="003A3FFE">
        <w:rPr>
          <w:szCs w:val="22"/>
        </w:rPr>
        <w:t xml:space="preserve"> </w:t>
      </w:r>
    </w:p>
    <w:p w:rsidR="00666AEA" w:rsidRPr="003A3FFE" w:rsidRDefault="00666AEA" w:rsidP="00666AEA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3A3FFE">
        <w:rPr>
          <w:noProof/>
          <w:szCs w:val="22"/>
        </w:rPr>
        <w:t>Jeigu norite sužinoti daugiau arba pasitarti, kreipkitės į vaistininką.</w:t>
      </w:r>
    </w:p>
    <w:p w:rsidR="00666AEA" w:rsidRPr="003A3FFE" w:rsidRDefault="00666AEA" w:rsidP="00666AEA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3A3FFE">
        <w:rPr>
          <w:noProof/>
          <w:szCs w:val="22"/>
        </w:rPr>
        <w:t>Jeigu pasireiškė šalutinis poveikis (net jeigu jis šiame lapelyje nenurodytas), kreipkitės į gydytoją arba vaistininką.</w:t>
      </w:r>
    </w:p>
    <w:p w:rsidR="00666AEA" w:rsidRPr="003A3FFE" w:rsidRDefault="00666AEA" w:rsidP="00666AEA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3A3FFE">
        <w:rPr>
          <w:noProof/>
          <w:szCs w:val="22"/>
        </w:rPr>
        <w:t>Jeigu per 8 savaites Jūsų savijauta nepagerėjo arba net pablogėjo, kreipkitės į gydytoją.</w:t>
      </w:r>
    </w:p>
    <w:p w:rsidR="00666AEA" w:rsidRPr="003A3FFE" w:rsidRDefault="00666AEA" w:rsidP="00666AEA">
      <w:pPr>
        <w:pStyle w:val="Pagrindinistekstas"/>
        <w:spacing w:after="0"/>
        <w:outlineLvl w:val="0"/>
        <w:rPr>
          <w:b/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Antrat4"/>
        <w:rPr>
          <w:sz w:val="22"/>
          <w:szCs w:val="22"/>
        </w:rPr>
      </w:pPr>
      <w:r w:rsidRPr="003A3FFE">
        <w:rPr>
          <w:sz w:val="22"/>
          <w:szCs w:val="22"/>
        </w:rPr>
        <w:t>Apie ką rašoma šiame lapelyje?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1.</w:t>
      </w:r>
      <w:r w:rsidRPr="003A3FFE">
        <w:rPr>
          <w:color w:val="000000"/>
          <w:sz w:val="22"/>
          <w:szCs w:val="22"/>
          <w:lang w:val="lt-LT"/>
        </w:rPr>
        <w:tab/>
        <w:t>Kas yra URTIX ir kam jis vartojamas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2.</w:t>
      </w:r>
      <w:r w:rsidRPr="003A3FFE">
        <w:rPr>
          <w:color w:val="000000"/>
          <w:sz w:val="22"/>
          <w:szCs w:val="22"/>
          <w:lang w:val="lt-LT"/>
        </w:rPr>
        <w:tab/>
        <w:t>Kas žinotina prieš vartojant URTIX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3.</w:t>
      </w:r>
      <w:r w:rsidRPr="003A3FFE">
        <w:rPr>
          <w:color w:val="000000"/>
          <w:sz w:val="22"/>
          <w:szCs w:val="22"/>
          <w:lang w:val="lt-LT"/>
        </w:rPr>
        <w:tab/>
        <w:t>Kaip vartoti URTIX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4.</w:t>
      </w:r>
      <w:r w:rsidRPr="003A3FFE">
        <w:rPr>
          <w:color w:val="000000"/>
          <w:sz w:val="22"/>
          <w:szCs w:val="22"/>
          <w:lang w:val="lt-LT"/>
        </w:rPr>
        <w:tab/>
        <w:t>Galimas šalutinis poveikis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5.</w:t>
      </w:r>
      <w:r w:rsidRPr="003A3FFE">
        <w:rPr>
          <w:color w:val="000000"/>
          <w:sz w:val="22"/>
          <w:szCs w:val="22"/>
          <w:lang w:val="lt-LT"/>
        </w:rPr>
        <w:tab/>
        <w:t>Kaip laikyti URTIX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6.</w:t>
      </w:r>
      <w:r w:rsidRPr="003A3FFE">
        <w:rPr>
          <w:color w:val="000000"/>
          <w:sz w:val="22"/>
          <w:szCs w:val="22"/>
          <w:lang w:val="lt-LT"/>
        </w:rPr>
        <w:tab/>
      </w:r>
      <w:r w:rsidRPr="003A3FFE">
        <w:rPr>
          <w:noProof/>
          <w:sz w:val="22"/>
          <w:szCs w:val="22"/>
          <w:lang w:val="lt-LT"/>
        </w:rPr>
        <w:t>Pakuotės turinys ir kita informacija</w:t>
      </w:r>
    </w:p>
    <w:p w:rsidR="00666AEA" w:rsidRPr="003A3FFE" w:rsidRDefault="00666AEA" w:rsidP="00666AEA">
      <w:pPr>
        <w:pStyle w:val="Pagrindinistekstas"/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Antrat4"/>
        <w:spacing w:before="0" w:after="0"/>
        <w:rPr>
          <w:sz w:val="22"/>
          <w:szCs w:val="22"/>
        </w:rPr>
      </w:pPr>
      <w:r w:rsidRPr="003A3FFE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3A3FFE">
        <w:rPr>
          <w:sz w:val="22"/>
          <w:szCs w:val="22"/>
        </w:rPr>
        <w:t>Kas yra URTIX  ir kam jis vartojamas</w:t>
      </w:r>
    </w:p>
    <w:p w:rsidR="00666AEA" w:rsidRPr="003A3FFE" w:rsidRDefault="00666AEA" w:rsidP="00666AEA">
      <w:pPr>
        <w:tabs>
          <w:tab w:val="left" w:pos="567"/>
        </w:tabs>
        <w:rPr>
          <w:color w:val="000000"/>
          <w:szCs w:val="22"/>
        </w:rPr>
      </w:pPr>
    </w:p>
    <w:p w:rsidR="00666AEA" w:rsidRPr="003A3FFE" w:rsidRDefault="00666AEA" w:rsidP="00666AEA">
      <w:pPr>
        <w:tabs>
          <w:tab w:val="left" w:pos="567"/>
        </w:tabs>
        <w:rPr>
          <w:color w:val="000000"/>
          <w:szCs w:val="22"/>
        </w:rPr>
      </w:pPr>
      <w:r w:rsidRPr="003A3FFE">
        <w:rPr>
          <w:color w:val="000000"/>
          <w:szCs w:val="22"/>
        </w:rPr>
        <w:t>Vaistas yra vartojamas dėl priešinės liaukos gerybinio išvešėjimo atsiradusiam šlapimo latakų veiklos sutrikimui, pasireiškiančiam dažnu šlapinimusi dieną, varymu šlapintis naktį, pasunkėjusiu, ypač iš pradžių, šlapinimusi.</w:t>
      </w:r>
    </w:p>
    <w:p w:rsidR="00666AEA" w:rsidRPr="003A3FFE" w:rsidRDefault="00666AEA" w:rsidP="00666AEA">
      <w:pPr>
        <w:tabs>
          <w:tab w:val="left" w:pos="567"/>
        </w:tabs>
        <w:rPr>
          <w:color w:val="000000"/>
          <w:szCs w:val="22"/>
        </w:rPr>
      </w:pPr>
    </w:p>
    <w:p w:rsidR="00666AEA" w:rsidRPr="003A3FFE" w:rsidRDefault="00666AEA" w:rsidP="00666AEA">
      <w:pPr>
        <w:pStyle w:val="Style1"/>
        <w:tabs>
          <w:tab w:val="left" w:pos="567"/>
        </w:tabs>
        <w:jc w:val="left"/>
        <w:rPr>
          <w:i/>
          <w:color w:val="000000"/>
          <w:sz w:val="22"/>
          <w:szCs w:val="22"/>
          <w:lang w:val="lt-LT"/>
        </w:rPr>
      </w:pPr>
      <w:r w:rsidRPr="003A3FFE">
        <w:rPr>
          <w:i/>
          <w:color w:val="000000"/>
          <w:sz w:val="22"/>
          <w:szCs w:val="22"/>
          <w:lang w:val="lt-LT"/>
        </w:rPr>
        <w:t xml:space="preserve">Pastaba. </w:t>
      </w:r>
      <w:r w:rsidRPr="003A3FFE">
        <w:rPr>
          <w:color w:val="000000"/>
          <w:sz w:val="22"/>
          <w:szCs w:val="22"/>
          <w:lang w:val="lt-LT"/>
        </w:rPr>
        <w:t>Prieš vartojant URTIX gydytojas turėtų įvertinti paciento sveikatos būklę.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Antrat4"/>
        <w:spacing w:before="0" w:after="0"/>
        <w:rPr>
          <w:sz w:val="22"/>
          <w:szCs w:val="22"/>
        </w:rPr>
      </w:pPr>
      <w:r w:rsidRPr="003A3FFE"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3A3FFE">
        <w:rPr>
          <w:sz w:val="22"/>
          <w:szCs w:val="22"/>
        </w:rPr>
        <w:t xml:space="preserve">Kas žinotina prieš vartojant URTIX </w:t>
      </w:r>
      <w:r w:rsidRPr="003A3FFE">
        <w:rPr>
          <w:bCs w:val="0"/>
          <w:sz w:val="22"/>
          <w:szCs w:val="22"/>
        </w:rPr>
        <w:t xml:space="preserve"> </w:t>
      </w:r>
    </w:p>
    <w:p w:rsidR="00666AEA" w:rsidRPr="003A3FFE" w:rsidRDefault="00666AEA" w:rsidP="00666AEA">
      <w:pPr>
        <w:tabs>
          <w:tab w:val="left" w:pos="567"/>
        </w:tabs>
        <w:rPr>
          <w:color w:val="000000"/>
          <w:szCs w:val="22"/>
        </w:rPr>
      </w:pPr>
    </w:p>
    <w:p w:rsidR="00666AEA" w:rsidRPr="003A3FFE" w:rsidRDefault="00666AEA" w:rsidP="00666AEA">
      <w:pPr>
        <w:tabs>
          <w:tab w:val="left" w:pos="567"/>
        </w:tabs>
        <w:rPr>
          <w:color w:val="000000"/>
          <w:szCs w:val="22"/>
        </w:rPr>
      </w:pPr>
      <w:r w:rsidRPr="003A3FFE">
        <w:rPr>
          <w:b/>
          <w:color w:val="000000"/>
          <w:szCs w:val="22"/>
        </w:rPr>
        <w:t xml:space="preserve">URTIX vartoti </w:t>
      </w:r>
      <w:r>
        <w:rPr>
          <w:b/>
          <w:color w:val="000000"/>
          <w:szCs w:val="22"/>
        </w:rPr>
        <w:t>draudžiama</w:t>
      </w:r>
      <w:r w:rsidRPr="003A3FFE">
        <w:rPr>
          <w:b/>
          <w:color w:val="000000"/>
          <w:szCs w:val="22"/>
        </w:rPr>
        <w:t>:</w:t>
      </w:r>
    </w:p>
    <w:p w:rsidR="00666AEA" w:rsidRPr="003A3FFE" w:rsidRDefault="00666AEA" w:rsidP="00666AEA">
      <w:pPr>
        <w:pStyle w:val="Akapitzlist1"/>
        <w:numPr>
          <w:ilvl w:val="0"/>
          <w:numId w:val="2"/>
        </w:numPr>
        <w:tabs>
          <w:tab w:val="left" w:pos="567"/>
        </w:tabs>
        <w:ind w:left="357" w:hanging="357"/>
        <w:rPr>
          <w:color w:val="000000"/>
          <w:szCs w:val="22"/>
        </w:rPr>
      </w:pPr>
      <w:r>
        <w:rPr>
          <w:color w:val="000000"/>
          <w:szCs w:val="22"/>
        </w:rPr>
        <w:t>j</w:t>
      </w:r>
      <w:r w:rsidRPr="003A3FFE">
        <w:rPr>
          <w:color w:val="000000"/>
          <w:szCs w:val="22"/>
        </w:rPr>
        <w:t xml:space="preserve">eigu yra alergija (padidėjęs jautrumas) dilgėlinių šeimos augalams </w:t>
      </w:r>
      <w:r w:rsidRPr="003A3FFE">
        <w:rPr>
          <w:noProof/>
          <w:szCs w:val="22"/>
        </w:rPr>
        <w:t>arba bet kuriai pagalbinei šio vaisto medžiagai (jos išvardytos 6 skyriuje).</w:t>
      </w:r>
    </w:p>
    <w:p w:rsidR="00666AEA" w:rsidRPr="003A3FFE" w:rsidRDefault="00666AEA" w:rsidP="00666AEA">
      <w:pPr>
        <w:tabs>
          <w:tab w:val="left" w:pos="567"/>
        </w:tabs>
        <w:rPr>
          <w:color w:val="000000"/>
          <w:szCs w:val="22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b/>
          <w:bCs/>
          <w:sz w:val="22"/>
          <w:szCs w:val="22"/>
          <w:lang w:val="lt-LT"/>
        </w:rPr>
      </w:pPr>
      <w:r w:rsidRPr="003A3FFE">
        <w:rPr>
          <w:b/>
          <w:bCs/>
          <w:sz w:val="22"/>
          <w:szCs w:val="22"/>
          <w:lang w:val="lt-LT"/>
        </w:rPr>
        <w:t xml:space="preserve">Įspėjimai ir atsargumo priemonės 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 xml:space="preserve">Šlapinimosi negalavimų priežastį visada turi nustatyti gydytojas. Tokius pacientus turi reguliariai tikrinti </w:t>
      </w:r>
      <w:r>
        <w:rPr>
          <w:color w:val="000000"/>
          <w:sz w:val="22"/>
          <w:szCs w:val="22"/>
          <w:lang w:val="lt-LT"/>
        </w:rPr>
        <w:t>gydytojas</w:t>
      </w:r>
      <w:r w:rsidRPr="003A3FFE">
        <w:rPr>
          <w:color w:val="000000"/>
          <w:sz w:val="22"/>
          <w:szCs w:val="22"/>
          <w:lang w:val="lt-LT"/>
        </w:rPr>
        <w:t xml:space="preserve"> ir spręsti, ar nereikia kitokio gydymo, pvz., chirurgo pagalbos. Jei šlapime atsiranda kraujo arba staiga susilaiko šlapimas, nedelsiant reikalinga gydytojo konsultacija.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b/>
          <w:sz w:val="22"/>
          <w:szCs w:val="22"/>
          <w:lang w:val="lt-LT"/>
        </w:rPr>
      </w:pPr>
      <w:r w:rsidRPr="003A3FFE">
        <w:rPr>
          <w:b/>
          <w:sz w:val="22"/>
          <w:szCs w:val="22"/>
          <w:lang w:val="lt-LT"/>
        </w:rPr>
        <w:t>Vaikams ir paaugliams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sz w:val="22"/>
          <w:szCs w:val="22"/>
          <w:lang w:val="lt-LT"/>
        </w:rPr>
        <w:t>URTIX neskirtas vartoti.</w:t>
      </w:r>
    </w:p>
    <w:p w:rsidR="00666AEA" w:rsidRPr="003A3FFE" w:rsidRDefault="00666AEA" w:rsidP="00666AEA">
      <w:pPr>
        <w:tabs>
          <w:tab w:val="left" w:pos="567"/>
        </w:tabs>
        <w:ind w:left="567" w:hanging="567"/>
        <w:rPr>
          <w:b/>
          <w:color w:val="000000"/>
          <w:szCs w:val="22"/>
        </w:rPr>
      </w:pPr>
    </w:p>
    <w:p w:rsidR="00666AEA" w:rsidRPr="003A3FFE" w:rsidRDefault="00666AEA" w:rsidP="00666AEA">
      <w:pPr>
        <w:pStyle w:val="Antrat3"/>
        <w:rPr>
          <w:color w:val="000000"/>
          <w:szCs w:val="22"/>
        </w:rPr>
      </w:pPr>
      <w:r w:rsidRPr="003A3FFE">
        <w:rPr>
          <w:szCs w:val="22"/>
        </w:rPr>
        <w:t>Kiti vaistai ir URTIX</w:t>
      </w:r>
    </w:p>
    <w:p w:rsidR="00666AEA" w:rsidRPr="003A3FFE" w:rsidRDefault="00666AEA" w:rsidP="00666AEA">
      <w:pPr>
        <w:numPr>
          <w:ilvl w:val="12"/>
          <w:numId w:val="0"/>
        </w:numPr>
        <w:ind w:right="-2"/>
        <w:rPr>
          <w:szCs w:val="22"/>
        </w:rPr>
      </w:pPr>
      <w:r w:rsidRPr="003A3FFE">
        <w:rPr>
          <w:noProof/>
          <w:szCs w:val="22"/>
        </w:rPr>
        <w:t>Jeigu vartojate ar neseniai vartojote kitų vaistų arba dėl to nesate tikri, apie tai pasakykite gydytojui arba vaistininkui.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tabs>
          <w:tab w:val="left" w:pos="567"/>
        </w:tabs>
        <w:rPr>
          <w:b/>
          <w:color w:val="000000"/>
          <w:szCs w:val="22"/>
        </w:rPr>
      </w:pPr>
      <w:r w:rsidRPr="003A3FFE">
        <w:rPr>
          <w:b/>
          <w:color w:val="000000"/>
          <w:szCs w:val="22"/>
        </w:rPr>
        <w:t>Nėštumas, žindymo laikotarpis ir vaisingumas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Duomenys neaktualūs. Vaist</w:t>
      </w:r>
      <w:r>
        <w:rPr>
          <w:color w:val="000000"/>
          <w:sz w:val="22"/>
          <w:szCs w:val="22"/>
          <w:lang w:val="lt-LT"/>
        </w:rPr>
        <w:t>as</w:t>
      </w:r>
      <w:r w:rsidRPr="003A3FFE">
        <w:rPr>
          <w:color w:val="000000"/>
          <w:sz w:val="22"/>
          <w:szCs w:val="22"/>
          <w:lang w:val="lt-LT"/>
        </w:rPr>
        <w:t xml:space="preserve"> neskirtinas moterims.</w:t>
      </w:r>
    </w:p>
    <w:p w:rsidR="00666AEA" w:rsidRPr="003A3FFE" w:rsidRDefault="00666AEA" w:rsidP="00666AEA">
      <w:pPr>
        <w:tabs>
          <w:tab w:val="left" w:pos="567"/>
        </w:tabs>
        <w:rPr>
          <w:color w:val="000000"/>
          <w:szCs w:val="22"/>
        </w:rPr>
      </w:pPr>
    </w:p>
    <w:p w:rsidR="00666AEA" w:rsidRPr="003A3FFE" w:rsidRDefault="00666AEA" w:rsidP="00666AEA">
      <w:pPr>
        <w:tabs>
          <w:tab w:val="left" w:pos="567"/>
        </w:tabs>
        <w:rPr>
          <w:b/>
          <w:color w:val="000000"/>
          <w:szCs w:val="22"/>
        </w:rPr>
      </w:pPr>
      <w:r w:rsidRPr="003A3FFE">
        <w:rPr>
          <w:b/>
          <w:color w:val="000000"/>
          <w:szCs w:val="22"/>
        </w:rPr>
        <w:t>Vairavimas ir mechanizmų valdymas</w:t>
      </w:r>
    </w:p>
    <w:p w:rsidR="00666AEA" w:rsidRPr="003A3FFE" w:rsidRDefault="00666AEA" w:rsidP="00666AEA">
      <w:pPr>
        <w:tabs>
          <w:tab w:val="left" w:pos="567"/>
        </w:tabs>
        <w:rPr>
          <w:color w:val="000000"/>
          <w:szCs w:val="22"/>
        </w:rPr>
      </w:pPr>
      <w:r w:rsidRPr="003A3FFE">
        <w:rPr>
          <w:color w:val="000000"/>
          <w:szCs w:val="22"/>
        </w:rPr>
        <w:lastRenderedPageBreak/>
        <w:t>Gebėjimo vairuoti ir valdyti mechanizmus URTIX neveikia.</w:t>
      </w:r>
    </w:p>
    <w:p w:rsidR="00666AEA" w:rsidRPr="003A3FFE" w:rsidRDefault="00666AEA" w:rsidP="00666AEA">
      <w:pPr>
        <w:tabs>
          <w:tab w:val="left" w:pos="567"/>
        </w:tabs>
        <w:jc w:val="both"/>
        <w:rPr>
          <w:color w:val="000000"/>
          <w:szCs w:val="22"/>
        </w:rPr>
      </w:pPr>
    </w:p>
    <w:p w:rsidR="00666AEA" w:rsidRPr="003A3FFE" w:rsidRDefault="00666AEA" w:rsidP="00666AEA">
      <w:pPr>
        <w:tabs>
          <w:tab w:val="left" w:pos="567"/>
        </w:tabs>
        <w:jc w:val="both"/>
        <w:rPr>
          <w:color w:val="000000"/>
          <w:szCs w:val="22"/>
        </w:rPr>
      </w:pPr>
    </w:p>
    <w:p w:rsidR="00666AEA" w:rsidRPr="003A3FFE" w:rsidRDefault="00666AEA" w:rsidP="00666AEA">
      <w:pPr>
        <w:pStyle w:val="Antrat3"/>
        <w:rPr>
          <w:szCs w:val="22"/>
        </w:rPr>
      </w:pPr>
      <w:r w:rsidRPr="003A3FFE">
        <w:rPr>
          <w:szCs w:val="22"/>
        </w:rPr>
        <w:t>3.</w:t>
      </w:r>
      <w:r w:rsidRPr="003A3FFE">
        <w:rPr>
          <w:szCs w:val="22"/>
        </w:rPr>
        <w:tab/>
        <w:t>Kaip vartoti URTIX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noProof/>
          <w:sz w:val="22"/>
          <w:szCs w:val="22"/>
          <w:lang w:val="lt-LT"/>
        </w:rPr>
        <w:t>Visada vartokite šį vaistą tiksliai</w:t>
      </w:r>
      <w:r>
        <w:rPr>
          <w:noProof/>
          <w:sz w:val="22"/>
          <w:szCs w:val="22"/>
          <w:lang w:val="lt-LT"/>
        </w:rPr>
        <w:t>,</w:t>
      </w:r>
      <w:r w:rsidRPr="003A3FFE">
        <w:rPr>
          <w:noProof/>
          <w:sz w:val="22"/>
          <w:szCs w:val="22"/>
          <w:lang w:val="lt-LT"/>
        </w:rPr>
        <w:t xml:space="preserve"> kaip nurodė gydytojas.</w:t>
      </w:r>
      <w:r w:rsidRPr="003A3FFE">
        <w:rPr>
          <w:sz w:val="22"/>
          <w:szCs w:val="22"/>
          <w:lang w:val="lt-LT"/>
        </w:rPr>
        <w:t xml:space="preserve"> </w:t>
      </w:r>
      <w:r w:rsidRPr="003A3FFE">
        <w:rPr>
          <w:noProof/>
          <w:sz w:val="22"/>
          <w:szCs w:val="22"/>
          <w:lang w:val="lt-LT"/>
        </w:rPr>
        <w:t>Jeigu abejojate, kreipkitės į gydytoją arba vaistininką.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Mažiausiai 8 savaites gerti po valgio tris kartus per dieną po 4 - 6 tabletes, gausiai užsigeriant vandeniu.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tabs>
          <w:tab w:val="left" w:pos="567"/>
        </w:tabs>
        <w:rPr>
          <w:b/>
          <w:color w:val="000000"/>
          <w:szCs w:val="22"/>
        </w:rPr>
      </w:pPr>
      <w:r>
        <w:rPr>
          <w:b/>
          <w:color w:val="000000"/>
          <w:szCs w:val="22"/>
        </w:rPr>
        <w:t>Ką daryti p</w:t>
      </w:r>
      <w:r w:rsidRPr="003A3FFE">
        <w:rPr>
          <w:b/>
          <w:color w:val="000000"/>
          <w:szCs w:val="22"/>
        </w:rPr>
        <w:t>avartojus per didelę URTIX dozę</w:t>
      </w:r>
    </w:p>
    <w:p w:rsidR="00666AEA" w:rsidRPr="003A3FFE" w:rsidRDefault="00666AEA" w:rsidP="00666AEA">
      <w:pPr>
        <w:tabs>
          <w:tab w:val="left" w:pos="567"/>
        </w:tabs>
        <w:jc w:val="both"/>
        <w:rPr>
          <w:color w:val="000000"/>
          <w:szCs w:val="22"/>
        </w:rPr>
      </w:pPr>
      <w:r w:rsidRPr="003A3FFE">
        <w:rPr>
          <w:color w:val="000000"/>
          <w:szCs w:val="22"/>
        </w:rPr>
        <w:t xml:space="preserve">Per didelė dozė gali sukelti lengvą skrandžio ir žarnų negalavimą. 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tabs>
          <w:tab w:val="left" w:pos="567"/>
        </w:tabs>
        <w:rPr>
          <w:b/>
          <w:color w:val="000000"/>
          <w:szCs w:val="22"/>
        </w:rPr>
      </w:pPr>
      <w:r w:rsidRPr="003A3FFE">
        <w:rPr>
          <w:b/>
          <w:color w:val="000000"/>
          <w:szCs w:val="22"/>
        </w:rPr>
        <w:t>Pamiršus pavartoti URTIX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Negalima vartoti dvigubos dozės norint kompensuoti praleistą dozę.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>Jeigu kiltų daugiau klausimų dėl šio vaisto vartojimo, kreipkitės į gydytoją ar vaistininką.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Antrat3"/>
        <w:rPr>
          <w:szCs w:val="22"/>
        </w:rPr>
      </w:pPr>
      <w:r w:rsidRPr="003A3FFE">
        <w:rPr>
          <w:szCs w:val="22"/>
        </w:rPr>
        <w:t>4.</w:t>
      </w:r>
      <w:r w:rsidRPr="003A3FFE">
        <w:rPr>
          <w:szCs w:val="22"/>
        </w:rPr>
        <w:tab/>
        <w:t>Galimas šalutinis poveikis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numPr>
          <w:ilvl w:val="12"/>
          <w:numId w:val="0"/>
        </w:numPr>
        <w:ind w:right="-29"/>
        <w:rPr>
          <w:szCs w:val="22"/>
        </w:rPr>
      </w:pPr>
      <w:r w:rsidRPr="003A3FFE">
        <w:rPr>
          <w:noProof/>
          <w:szCs w:val="22"/>
        </w:rPr>
        <w:t>Šis vaistas, kaip ir visi kiti, gali sukelti šalutinį poveikį, nors jis pasireiškia ne visiems žmonėms.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t xml:space="preserve">Gali atsirasti lengvas skrandžio ir žarnų negalavimas, retai prasideda alerginė odos reakcija. </w:t>
      </w:r>
      <w:r w:rsidRPr="003A3FFE">
        <w:rPr>
          <w:iCs/>
          <w:color w:val="000000"/>
          <w:sz w:val="22"/>
          <w:szCs w:val="22"/>
          <w:lang w:val="lt-LT"/>
        </w:rPr>
        <w:t>Literatūros duomenimis, vartojant dilgėlių šaknų preparatus gali pasireikšti lytinės sistemos sutrikimai, pvz., negalėjimas pasiekti ir išlaikyti erekcijos bei lytinio potraukio sumažėjimas.</w:t>
      </w:r>
    </w:p>
    <w:p w:rsidR="00666AEA" w:rsidRPr="003A3FFE" w:rsidRDefault="00666AEA" w:rsidP="00666AEA">
      <w:pPr>
        <w:ind w:right="-449"/>
        <w:rPr>
          <w:noProof/>
          <w:szCs w:val="22"/>
        </w:rPr>
      </w:pPr>
    </w:p>
    <w:p w:rsidR="00666AEA" w:rsidRPr="003A3FFE" w:rsidRDefault="00666AEA" w:rsidP="00666AEA">
      <w:pPr>
        <w:ind w:right="-449"/>
        <w:rPr>
          <w:b/>
          <w:noProof/>
          <w:szCs w:val="22"/>
        </w:rPr>
      </w:pPr>
      <w:r w:rsidRPr="003A3FFE">
        <w:rPr>
          <w:b/>
          <w:noProof/>
          <w:szCs w:val="22"/>
        </w:rPr>
        <w:t>Pranešimas apie šalutinį poveikį</w:t>
      </w:r>
    </w:p>
    <w:p w:rsidR="00666AEA" w:rsidRPr="00794EFB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  <w:r w:rsidRPr="00385BF4">
        <w:rPr>
          <w:sz w:val="22"/>
          <w:szCs w:val="22"/>
          <w:lang w:val="lt-LT"/>
        </w:rPr>
        <w:t>Jeigu pasireiškė šalutinis poveikis, įskaitant šiame lapelyje nenurodytą, pasakykite gydytojui</w:t>
      </w:r>
      <w:r>
        <w:rPr>
          <w:sz w:val="22"/>
          <w:szCs w:val="22"/>
          <w:lang w:val="lt-LT"/>
        </w:rPr>
        <w:t xml:space="preserve"> </w:t>
      </w:r>
      <w:r w:rsidRPr="00385BF4">
        <w:rPr>
          <w:sz w:val="22"/>
          <w:szCs w:val="22"/>
          <w:lang w:val="lt-LT"/>
        </w:rPr>
        <w:t>arba</w:t>
      </w:r>
      <w:r>
        <w:rPr>
          <w:sz w:val="22"/>
          <w:szCs w:val="22"/>
          <w:lang w:val="lt-LT"/>
        </w:rPr>
        <w:t xml:space="preserve"> </w:t>
      </w:r>
      <w:r w:rsidRPr="00385BF4">
        <w:rPr>
          <w:sz w:val="22"/>
          <w:szCs w:val="22"/>
          <w:lang w:val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r w:rsidRPr="00DD5A90">
        <w:rPr>
          <w:color w:val="0000EE"/>
          <w:sz w:val="22"/>
          <w:szCs w:val="22"/>
          <w:lang w:val="lt-LT"/>
        </w:rPr>
        <w:t>https://vvkt.lrv.lt/lt/</w:t>
      </w:r>
      <w:r w:rsidRPr="00385BF4">
        <w:rPr>
          <w:sz w:val="22"/>
          <w:szCs w:val="22"/>
          <w:lang w:val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385BF4">
        <w:rPr>
          <w:sz w:val="22"/>
          <w:lang w:val="lt-LT"/>
        </w:rPr>
        <w:t>.</w:t>
      </w:r>
    </w:p>
    <w:p w:rsidR="00666AEA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Antrat3"/>
        <w:rPr>
          <w:szCs w:val="22"/>
        </w:rPr>
      </w:pPr>
      <w:r w:rsidRPr="003A3FFE">
        <w:rPr>
          <w:szCs w:val="22"/>
        </w:rPr>
        <w:t>5.</w:t>
      </w:r>
      <w:r w:rsidRPr="003A3FFE">
        <w:rPr>
          <w:szCs w:val="22"/>
        </w:rPr>
        <w:tab/>
        <w:t>Kaip laikyti URTIX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outlineLvl w:val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outlineLvl w:val="0"/>
        <w:rPr>
          <w:color w:val="000000"/>
          <w:sz w:val="22"/>
          <w:szCs w:val="22"/>
          <w:lang w:val="lt-LT"/>
        </w:rPr>
      </w:pPr>
      <w:r w:rsidRPr="003A3FFE">
        <w:rPr>
          <w:sz w:val="22"/>
          <w:szCs w:val="22"/>
          <w:lang w:val="lt-LT"/>
        </w:rPr>
        <w:t xml:space="preserve">Šį vaistą laikykite </w:t>
      </w:r>
      <w:r w:rsidRPr="003A3FFE">
        <w:rPr>
          <w:color w:val="000000"/>
          <w:sz w:val="22"/>
          <w:szCs w:val="22"/>
          <w:lang w:val="lt-LT"/>
        </w:rPr>
        <w:t>vaikams nepastebimoje ir nepasiekiamoje vietoje.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outlineLvl w:val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tabs>
          <w:tab w:val="left" w:pos="567"/>
        </w:tabs>
        <w:jc w:val="both"/>
        <w:rPr>
          <w:i/>
          <w:color w:val="000000"/>
          <w:szCs w:val="22"/>
          <w:u w:val="single"/>
        </w:rPr>
      </w:pPr>
      <w:r w:rsidRPr="00F15019">
        <w:rPr>
          <w:i/>
          <w:szCs w:val="22"/>
        </w:rPr>
        <w:t>Polipropileninė talpyklė</w:t>
      </w:r>
    </w:p>
    <w:p w:rsidR="00666AEA" w:rsidRPr="003A3FFE" w:rsidRDefault="00666AEA" w:rsidP="00666AEA">
      <w:pPr>
        <w:tabs>
          <w:tab w:val="left" w:pos="567"/>
        </w:tabs>
        <w:rPr>
          <w:szCs w:val="22"/>
        </w:rPr>
      </w:pPr>
      <w:r w:rsidRPr="003A3FFE">
        <w:rPr>
          <w:szCs w:val="22"/>
        </w:rPr>
        <w:t xml:space="preserve">Laikyti ne aukštesnėje kaip 25 </w:t>
      </w:r>
      <w:r w:rsidRPr="003A3FFE">
        <w:rPr>
          <w:szCs w:val="22"/>
        </w:rPr>
        <w:sym w:font="Symbol" w:char="F0B0"/>
      </w:r>
      <w:r w:rsidRPr="003A3FFE">
        <w:rPr>
          <w:szCs w:val="22"/>
        </w:rPr>
        <w:t xml:space="preserve">C temperatūroje. </w:t>
      </w:r>
      <w:r w:rsidRPr="003A3FFE">
        <w:rPr>
          <w:color w:val="000000"/>
          <w:szCs w:val="22"/>
        </w:rPr>
        <w:t xml:space="preserve">Laikyti gamintojo pakuotėje, </w:t>
      </w:r>
      <w:r w:rsidRPr="003A3FFE">
        <w:rPr>
          <w:szCs w:val="22"/>
        </w:rPr>
        <w:t xml:space="preserve">kad </w:t>
      </w:r>
      <w:r>
        <w:rPr>
          <w:szCs w:val="22"/>
        </w:rPr>
        <w:t>vaistas</w:t>
      </w:r>
      <w:r w:rsidRPr="003A3FFE">
        <w:rPr>
          <w:szCs w:val="22"/>
        </w:rPr>
        <w:t xml:space="preserve"> būtų apsaugotas nuo šviesos.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29355E" w:rsidRDefault="00666AEA" w:rsidP="00666AEA">
      <w:pPr>
        <w:tabs>
          <w:tab w:val="left" w:pos="567"/>
        </w:tabs>
        <w:rPr>
          <w:i/>
          <w:color w:val="000000"/>
          <w:szCs w:val="22"/>
        </w:rPr>
      </w:pPr>
      <w:r w:rsidRPr="00385BF4">
        <w:rPr>
          <w:i/>
          <w:color w:val="000000"/>
          <w:szCs w:val="22"/>
        </w:rPr>
        <w:t>Lizdinės plokštelės</w:t>
      </w:r>
    </w:p>
    <w:p w:rsidR="00666AEA" w:rsidRPr="003A3FFE" w:rsidRDefault="00666AEA" w:rsidP="00666AEA">
      <w:pPr>
        <w:tabs>
          <w:tab w:val="left" w:pos="567"/>
        </w:tabs>
        <w:rPr>
          <w:szCs w:val="22"/>
        </w:rPr>
      </w:pPr>
      <w:r w:rsidRPr="003A3FFE">
        <w:rPr>
          <w:szCs w:val="22"/>
        </w:rPr>
        <w:t xml:space="preserve">Laikyti ne aukštesnėje kaip 25 </w:t>
      </w:r>
      <w:r w:rsidRPr="003A3FFE">
        <w:rPr>
          <w:szCs w:val="22"/>
        </w:rPr>
        <w:sym w:font="Symbol" w:char="F0B0"/>
      </w:r>
      <w:r w:rsidRPr="003A3FFE">
        <w:rPr>
          <w:szCs w:val="22"/>
        </w:rPr>
        <w:t xml:space="preserve">C temperatūroje. Lizdines plokšteles laikyti išorinėje dėžutėje, kad </w:t>
      </w:r>
      <w:r>
        <w:rPr>
          <w:szCs w:val="22"/>
        </w:rPr>
        <w:t>vaistas</w:t>
      </w:r>
      <w:r w:rsidRPr="003A3FFE">
        <w:rPr>
          <w:szCs w:val="22"/>
        </w:rPr>
        <w:t xml:space="preserve"> būtų apsaugotas nuo šviesos.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outlineLvl w:val="0"/>
        <w:rPr>
          <w:color w:val="000000"/>
          <w:sz w:val="22"/>
          <w:szCs w:val="22"/>
          <w:lang w:val="lt-LT"/>
        </w:rPr>
      </w:pPr>
    </w:p>
    <w:p w:rsidR="00666AEA" w:rsidRDefault="00666AEA" w:rsidP="00666AEA">
      <w:pPr>
        <w:numPr>
          <w:ilvl w:val="12"/>
          <w:numId w:val="0"/>
        </w:numPr>
        <w:ind w:right="-2"/>
        <w:rPr>
          <w:noProof/>
          <w:szCs w:val="22"/>
        </w:rPr>
      </w:pPr>
      <w:r w:rsidRPr="003A3FFE">
        <w:rPr>
          <w:szCs w:val="22"/>
        </w:rPr>
        <w:t xml:space="preserve">Ant lizdinės plokštelės, dėžutės ir etiketės po „Tinka iki“ nurodytam tinkamumo laikui pasibaigus, šio vaisto vartoti negalima. </w:t>
      </w:r>
      <w:r w:rsidRPr="003A3FFE">
        <w:rPr>
          <w:noProof/>
          <w:szCs w:val="22"/>
        </w:rPr>
        <w:t>Vaistas tinkamas vartoti iki paskutinės nurodyto mėnesio dienos.</w:t>
      </w:r>
    </w:p>
    <w:p w:rsidR="00666AEA" w:rsidRDefault="00666AEA" w:rsidP="00666AE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66AEA" w:rsidRPr="003A3FFE" w:rsidRDefault="00666AEA" w:rsidP="00666AEA">
      <w:pPr>
        <w:tabs>
          <w:tab w:val="left" w:pos="567"/>
        </w:tabs>
        <w:rPr>
          <w:color w:val="000000"/>
          <w:szCs w:val="22"/>
        </w:rPr>
      </w:pPr>
    </w:p>
    <w:p w:rsidR="00666AEA" w:rsidRPr="00DD5A90" w:rsidRDefault="00666AEA" w:rsidP="00666AEA">
      <w:pPr>
        <w:pStyle w:val="Antrat2"/>
        <w:rPr>
          <w:color w:val="000000"/>
          <w:lang w:val="lt-LT"/>
        </w:rPr>
      </w:pPr>
      <w:r w:rsidRPr="0071130F">
        <w:rPr>
          <w:color w:val="000000"/>
        </w:rPr>
        <w:t>6.</w:t>
      </w:r>
      <w:r w:rsidRPr="0071130F">
        <w:rPr>
          <w:color w:val="000000"/>
        </w:rPr>
        <w:tab/>
      </w:r>
      <w:r w:rsidRPr="00DD5A90">
        <w:rPr>
          <w:lang w:val="lt-LT"/>
        </w:rPr>
        <w:t>Pakuotės turinys ir kita informacija</w:t>
      </w: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pStyle w:val="Pagrindinistekstas"/>
        <w:tabs>
          <w:tab w:val="left" w:pos="567"/>
        </w:tabs>
        <w:spacing w:after="0"/>
        <w:rPr>
          <w:b/>
          <w:color w:val="000000"/>
          <w:sz w:val="22"/>
          <w:szCs w:val="22"/>
          <w:lang w:val="lt-LT"/>
        </w:rPr>
      </w:pPr>
      <w:r w:rsidRPr="003A3FFE">
        <w:rPr>
          <w:b/>
          <w:color w:val="000000"/>
          <w:sz w:val="22"/>
          <w:szCs w:val="22"/>
          <w:lang w:val="lt-LT"/>
        </w:rPr>
        <w:t>URTIX sudėtis</w:t>
      </w:r>
    </w:p>
    <w:p w:rsidR="00666AEA" w:rsidRPr="003A3FFE" w:rsidRDefault="00666AEA" w:rsidP="00666AEA">
      <w:pPr>
        <w:pStyle w:val="Pagrindinistekstas"/>
        <w:spacing w:after="0"/>
        <w:rPr>
          <w:b/>
          <w:i/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tabs>
          <w:tab w:val="left" w:pos="567"/>
        </w:tabs>
        <w:jc w:val="both"/>
        <w:rPr>
          <w:szCs w:val="22"/>
        </w:rPr>
      </w:pPr>
      <w:r w:rsidRPr="003A3FFE">
        <w:rPr>
          <w:szCs w:val="22"/>
        </w:rPr>
        <w:t>-</w:t>
      </w:r>
      <w:r>
        <w:rPr>
          <w:szCs w:val="22"/>
        </w:rPr>
        <w:tab/>
      </w:r>
      <w:r w:rsidRPr="003A3FFE">
        <w:rPr>
          <w:szCs w:val="22"/>
        </w:rPr>
        <w:t xml:space="preserve">Veiklioji medžiaga yra dilgėlių šaknys. Vienoje tabletėje yra 330 mg </w:t>
      </w:r>
      <w:r w:rsidRPr="003A3FFE">
        <w:rPr>
          <w:i/>
          <w:szCs w:val="22"/>
        </w:rPr>
        <w:t xml:space="preserve">Urtica dioica </w:t>
      </w:r>
      <w:r w:rsidRPr="003A3FFE">
        <w:rPr>
          <w:szCs w:val="22"/>
        </w:rPr>
        <w:t>L., radix</w:t>
      </w:r>
      <w:r w:rsidRPr="003A3FFE">
        <w:rPr>
          <w:i/>
          <w:szCs w:val="22"/>
        </w:rPr>
        <w:t xml:space="preserve"> </w:t>
      </w:r>
      <w:r w:rsidRPr="003A3FFE">
        <w:rPr>
          <w:szCs w:val="22"/>
        </w:rPr>
        <w:t xml:space="preserve">(dilgėlių šaknų). </w:t>
      </w:r>
    </w:p>
    <w:p w:rsidR="00666AEA" w:rsidRPr="003A3FFE" w:rsidRDefault="00666AEA" w:rsidP="00666AEA">
      <w:pPr>
        <w:pStyle w:val="Pagrindinistekstas"/>
        <w:numPr>
          <w:ilvl w:val="0"/>
          <w:numId w:val="1"/>
        </w:numPr>
        <w:tabs>
          <w:tab w:val="clear" w:pos="720"/>
          <w:tab w:val="num" w:pos="567"/>
        </w:tabs>
        <w:spacing w:after="0"/>
        <w:rPr>
          <w:color w:val="000000"/>
          <w:sz w:val="22"/>
          <w:szCs w:val="22"/>
          <w:lang w:val="lt-LT"/>
        </w:rPr>
      </w:pPr>
      <w:r w:rsidRPr="003A3FFE">
        <w:rPr>
          <w:color w:val="000000"/>
          <w:sz w:val="22"/>
          <w:szCs w:val="22"/>
          <w:lang w:val="lt-LT"/>
        </w:rPr>
        <w:lastRenderedPageBreak/>
        <w:t>Pagalbinės medžiagos yra bevandenis koloidinis silicio dioksidas ir bulvių krakmolas.</w:t>
      </w:r>
    </w:p>
    <w:p w:rsidR="00666AEA" w:rsidRPr="003A3FFE" w:rsidRDefault="00666AEA" w:rsidP="00666AEA">
      <w:pPr>
        <w:rPr>
          <w:color w:val="000000"/>
          <w:szCs w:val="22"/>
        </w:rPr>
      </w:pPr>
    </w:p>
    <w:p w:rsidR="00666AEA" w:rsidRPr="003A3FFE" w:rsidRDefault="00666AEA" w:rsidP="00666AEA">
      <w:pPr>
        <w:rPr>
          <w:b/>
          <w:color w:val="000000"/>
          <w:szCs w:val="22"/>
        </w:rPr>
      </w:pPr>
      <w:r w:rsidRPr="003A3FFE">
        <w:rPr>
          <w:b/>
          <w:color w:val="000000"/>
          <w:szCs w:val="22"/>
        </w:rPr>
        <w:t>URTIX i</w:t>
      </w:r>
      <w:r w:rsidRPr="003A3FFE">
        <w:rPr>
          <w:b/>
          <w:szCs w:val="22"/>
        </w:rPr>
        <w:t>švaizda</w:t>
      </w:r>
      <w:r w:rsidRPr="003A3FFE">
        <w:rPr>
          <w:b/>
          <w:color w:val="000000"/>
          <w:szCs w:val="22"/>
        </w:rPr>
        <w:t xml:space="preserve"> ir kiekis pakuotėje</w:t>
      </w:r>
    </w:p>
    <w:p w:rsidR="00666AEA" w:rsidRPr="003A3FFE" w:rsidRDefault="00666AEA" w:rsidP="00666AEA">
      <w:pPr>
        <w:jc w:val="both"/>
        <w:rPr>
          <w:color w:val="000000"/>
          <w:szCs w:val="22"/>
        </w:rPr>
      </w:pPr>
    </w:p>
    <w:p w:rsidR="00666AEA" w:rsidRPr="003A3FFE" w:rsidRDefault="00666AEA" w:rsidP="00666AEA">
      <w:pPr>
        <w:jc w:val="both"/>
        <w:rPr>
          <w:color w:val="000000"/>
          <w:szCs w:val="22"/>
        </w:rPr>
      </w:pPr>
      <w:r w:rsidRPr="003A3FFE">
        <w:rPr>
          <w:color w:val="000000"/>
          <w:szCs w:val="22"/>
        </w:rPr>
        <w:t>Tabletės yra rusvos spalvos, apvalios, abipusiai išgaubtos.</w:t>
      </w:r>
    </w:p>
    <w:p w:rsidR="00666AEA" w:rsidRPr="003A3FFE" w:rsidRDefault="00666AEA" w:rsidP="00666AEA">
      <w:pPr>
        <w:rPr>
          <w:color w:val="000000"/>
          <w:szCs w:val="22"/>
        </w:rPr>
      </w:pPr>
      <w:r w:rsidRPr="003A3FFE">
        <w:rPr>
          <w:color w:val="000000"/>
          <w:szCs w:val="22"/>
        </w:rPr>
        <w:t>Polipropilenin</w:t>
      </w:r>
      <w:r>
        <w:rPr>
          <w:color w:val="000000"/>
          <w:szCs w:val="22"/>
        </w:rPr>
        <w:t>ė</w:t>
      </w:r>
      <w:r w:rsidRPr="003A3FFE">
        <w:rPr>
          <w:color w:val="000000"/>
          <w:szCs w:val="22"/>
        </w:rPr>
        <w:t>is buteliukas, užkimštas polietileniniu kamščiu. Viename buteliuke yra 60 arba 90 tablečių.</w:t>
      </w:r>
    </w:p>
    <w:p w:rsidR="00666AEA" w:rsidRPr="003A3FFE" w:rsidRDefault="00666AEA" w:rsidP="00666AEA">
      <w:pPr>
        <w:rPr>
          <w:color w:val="000000"/>
          <w:szCs w:val="22"/>
        </w:rPr>
      </w:pPr>
      <w:r w:rsidRPr="003A3FFE">
        <w:rPr>
          <w:color w:val="000000"/>
          <w:szCs w:val="22"/>
        </w:rPr>
        <w:t>Lizdinės plokštelės. Vienoje lizdinėje plokštelėje yra 10 tablečių. Kartono dėžutėje yra 50, 60, 70, 80, 90 arba 100 tablečių.</w:t>
      </w:r>
    </w:p>
    <w:p w:rsidR="00666AEA" w:rsidRPr="00BC1D1C" w:rsidRDefault="00666AEA" w:rsidP="00666AEA">
      <w:pPr>
        <w:rPr>
          <w:szCs w:val="22"/>
        </w:rPr>
      </w:pPr>
      <w:r w:rsidRPr="00BC1D1C">
        <w:rPr>
          <w:szCs w:val="22"/>
        </w:rPr>
        <w:t>Gali būti tiekiamos ne visų dydžių pakuotės.</w:t>
      </w:r>
    </w:p>
    <w:p w:rsidR="00666AEA" w:rsidRPr="00A607F2" w:rsidRDefault="00666AEA" w:rsidP="00666AEA">
      <w:pPr>
        <w:rPr>
          <w:color w:val="000000"/>
        </w:rPr>
      </w:pPr>
    </w:p>
    <w:p w:rsidR="00666AEA" w:rsidRPr="00BC1D1C" w:rsidRDefault="00666AEA" w:rsidP="00666AEA">
      <w:pPr>
        <w:pStyle w:val="Pagrindinistekstas"/>
        <w:spacing w:after="0"/>
        <w:outlineLvl w:val="0"/>
        <w:rPr>
          <w:b/>
          <w:color w:val="000000"/>
          <w:sz w:val="22"/>
          <w:szCs w:val="22"/>
          <w:lang w:val="lt-LT"/>
        </w:rPr>
      </w:pPr>
      <w:r>
        <w:rPr>
          <w:b/>
          <w:color w:val="000000"/>
          <w:sz w:val="22"/>
          <w:szCs w:val="22"/>
          <w:lang w:val="lt-LT"/>
        </w:rPr>
        <w:t>Registruotojas</w:t>
      </w:r>
      <w:r w:rsidRPr="00BC1D1C">
        <w:rPr>
          <w:b/>
          <w:color w:val="000000"/>
          <w:sz w:val="22"/>
          <w:szCs w:val="22"/>
          <w:lang w:val="lt-LT"/>
        </w:rPr>
        <w:t xml:space="preserve"> ir gamintojas</w:t>
      </w:r>
    </w:p>
    <w:p w:rsidR="00666AEA" w:rsidRPr="00BC1D1C" w:rsidRDefault="00666AEA" w:rsidP="00666AEA">
      <w:pPr>
        <w:rPr>
          <w:color w:val="000000"/>
          <w:szCs w:val="22"/>
        </w:rPr>
      </w:pPr>
    </w:p>
    <w:p w:rsidR="00666AEA" w:rsidRPr="00BC1D1C" w:rsidRDefault="00666AEA" w:rsidP="00666AEA">
      <w:pPr>
        <w:rPr>
          <w:color w:val="000000"/>
          <w:szCs w:val="22"/>
        </w:rPr>
      </w:pPr>
      <w:r>
        <w:rPr>
          <w:color w:val="000000"/>
          <w:szCs w:val="22"/>
        </w:rPr>
        <w:t>Labofarm sp. z o.o.</w:t>
      </w:r>
    </w:p>
    <w:p w:rsidR="00666AEA" w:rsidRDefault="00666AEA" w:rsidP="00666AEA">
      <w:pPr>
        <w:rPr>
          <w:color w:val="000000"/>
          <w:szCs w:val="22"/>
        </w:rPr>
      </w:pPr>
      <w:r w:rsidRPr="00BC1D1C">
        <w:rPr>
          <w:color w:val="000000"/>
          <w:szCs w:val="22"/>
        </w:rPr>
        <w:t>ul. Lubichowska 176</w:t>
      </w:r>
      <w:r>
        <w:rPr>
          <w:color w:val="000000"/>
          <w:szCs w:val="22"/>
        </w:rPr>
        <w:t>B</w:t>
      </w:r>
    </w:p>
    <w:p w:rsidR="00666AEA" w:rsidRPr="00BC1D1C" w:rsidRDefault="00666AEA" w:rsidP="00666AEA">
      <w:pPr>
        <w:rPr>
          <w:color w:val="000000"/>
          <w:szCs w:val="22"/>
        </w:rPr>
      </w:pPr>
      <w:r w:rsidRPr="00BC1D1C">
        <w:rPr>
          <w:color w:val="000000"/>
          <w:szCs w:val="22"/>
        </w:rPr>
        <w:t>83-200 Starogard Gdański</w:t>
      </w:r>
    </w:p>
    <w:p w:rsidR="00666AEA" w:rsidRPr="00BC1D1C" w:rsidRDefault="00666AEA" w:rsidP="00666AEA">
      <w:pPr>
        <w:pStyle w:val="Pagrindinistekstas"/>
        <w:spacing w:after="0"/>
        <w:rPr>
          <w:color w:val="000000"/>
          <w:sz w:val="22"/>
          <w:szCs w:val="22"/>
          <w:lang w:val="lt-LT"/>
        </w:rPr>
      </w:pPr>
      <w:r w:rsidRPr="00A607F2">
        <w:rPr>
          <w:color w:val="000000"/>
          <w:sz w:val="22"/>
          <w:lang w:val="lt-LT"/>
        </w:rPr>
        <w:t>Lenkija</w:t>
      </w:r>
      <w:r w:rsidRPr="00BC1D1C">
        <w:rPr>
          <w:color w:val="000000"/>
          <w:sz w:val="22"/>
          <w:szCs w:val="22"/>
          <w:lang w:val="lt-LT"/>
        </w:rPr>
        <w:t xml:space="preserve"> </w:t>
      </w:r>
    </w:p>
    <w:p w:rsidR="00666AEA" w:rsidRPr="00BC1D1C" w:rsidRDefault="00666AEA" w:rsidP="00666AEA">
      <w:pPr>
        <w:jc w:val="both"/>
        <w:rPr>
          <w:szCs w:val="22"/>
        </w:rPr>
      </w:pPr>
      <w:r w:rsidRPr="00BC1D1C">
        <w:rPr>
          <w:szCs w:val="22"/>
        </w:rPr>
        <w:t>Tel. +48 58 561-20-08</w:t>
      </w:r>
    </w:p>
    <w:p w:rsidR="00666AEA" w:rsidRPr="00BC1D1C" w:rsidRDefault="00666AEA" w:rsidP="00666AEA">
      <w:pPr>
        <w:jc w:val="both"/>
        <w:rPr>
          <w:szCs w:val="22"/>
        </w:rPr>
      </w:pPr>
      <w:r w:rsidRPr="00A607F2">
        <w:t xml:space="preserve">El. </w:t>
      </w:r>
      <w:r w:rsidRPr="00BC1D1C">
        <w:rPr>
          <w:szCs w:val="22"/>
        </w:rPr>
        <w:t xml:space="preserve">paštas </w:t>
      </w:r>
      <w:r w:rsidRPr="00F837E8">
        <w:rPr>
          <w:rStyle w:val="Hipersaitas"/>
          <w:rFonts w:eastAsia="Calibri"/>
          <w:szCs w:val="22"/>
        </w:rPr>
        <w:t>poczta@labofarm.com.pl</w:t>
      </w:r>
    </w:p>
    <w:p w:rsidR="00666AEA" w:rsidRPr="00BC1D1C" w:rsidRDefault="00666AEA" w:rsidP="00666AEA">
      <w:pPr>
        <w:pStyle w:val="Pagrindinistekstas"/>
        <w:spacing w:after="0"/>
        <w:rPr>
          <w:color w:val="000000"/>
          <w:sz w:val="22"/>
          <w:szCs w:val="22"/>
          <w:lang w:val="lt-LT"/>
        </w:rPr>
      </w:pPr>
    </w:p>
    <w:p w:rsidR="00666AEA" w:rsidRPr="00BC1D1C" w:rsidRDefault="00666AEA" w:rsidP="00666AEA">
      <w:pPr>
        <w:pStyle w:val="Pagrindinistekstas"/>
        <w:spacing w:after="0"/>
        <w:rPr>
          <w:color w:val="000000"/>
          <w:sz w:val="22"/>
          <w:szCs w:val="22"/>
          <w:lang w:val="lt-LT"/>
        </w:rPr>
      </w:pPr>
      <w:r w:rsidRPr="00BC1D1C">
        <w:rPr>
          <w:color w:val="000000"/>
          <w:sz w:val="22"/>
          <w:szCs w:val="22"/>
          <w:lang w:val="lt-LT"/>
        </w:rPr>
        <w:t xml:space="preserve">Jeigu apie šį vaistą norite sužinoti daugiau, kreipkitės į vietinį </w:t>
      </w:r>
      <w:r>
        <w:rPr>
          <w:color w:val="000000"/>
          <w:sz w:val="22"/>
          <w:szCs w:val="22"/>
          <w:lang w:val="lt-LT"/>
        </w:rPr>
        <w:t>registruotojo</w:t>
      </w:r>
      <w:r w:rsidRPr="00BC1D1C">
        <w:rPr>
          <w:color w:val="000000"/>
          <w:sz w:val="22"/>
          <w:szCs w:val="22"/>
          <w:lang w:val="lt-LT"/>
        </w:rPr>
        <w:t xml:space="preserve"> atstovą</w:t>
      </w:r>
      <w:r>
        <w:rPr>
          <w:color w:val="000000"/>
          <w:sz w:val="22"/>
          <w:szCs w:val="22"/>
          <w:lang w:val="lt-LT"/>
        </w:rPr>
        <w:t>:</w:t>
      </w:r>
    </w:p>
    <w:p w:rsidR="00666AEA" w:rsidRPr="00BC1D1C" w:rsidRDefault="00666AEA" w:rsidP="00666AEA">
      <w:pPr>
        <w:pStyle w:val="Pagrindinistekstas"/>
        <w:spacing w:after="0"/>
        <w:rPr>
          <w:color w:val="000000"/>
          <w:sz w:val="22"/>
          <w:szCs w:val="22"/>
          <w:lang w:val="lt-LT"/>
        </w:rPr>
      </w:pPr>
    </w:p>
    <w:p w:rsidR="00666AEA" w:rsidRPr="00BC1D1C" w:rsidRDefault="00666AEA" w:rsidP="00666AEA">
      <w:pPr>
        <w:ind w:right="-449"/>
        <w:jc w:val="both"/>
        <w:rPr>
          <w:color w:val="000000"/>
          <w:szCs w:val="22"/>
          <w:lang w:eastAsia="pl-PL"/>
        </w:rPr>
      </w:pPr>
      <w:r w:rsidRPr="00BC1D1C">
        <w:rPr>
          <w:color w:val="000000"/>
          <w:szCs w:val="22"/>
          <w:lang w:eastAsia="pl-PL"/>
        </w:rPr>
        <w:t>UAB „Limedika“</w:t>
      </w:r>
    </w:p>
    <w:p w:rsidR="00666AEA" w:rsidRPr="00A607F2" w:rsidRDefault="00666AEA" w:rsidP="00666AEA">
      <w:pPr>
        <w:pStyle w:val="Pagrindinistekstas"/>
        <w:spacing w:after="0"/>
        <w:rPr>
          <w:sz w:val="22"/>
          <w:lang w:val="lt-LT"/>
        </w:rPr>
      </w:pPr>
      <w:r w:rsidRPr="00BC1D1C">
        <w:rPr>
          <w:rFonts w:eastAsia="Times New Roman"/>
          <w:sz w:val="22"/>
          <w:szCs w:val="22"/>
          <w:lang w:val="lt-LT"/>
        </w:rPr>
        <w:t>Erdvės</w:t>
      </w:r>
      <w:r w:rsidRPr="00A607F2">
        <w:rPr>
          <w:sz w:val="22"/>
          <w:lang w:val="lt-LT"/>
        </w:rPr>
        <w:t xml:space="preserve"> g. </w:t>
      </w:r>
      <w:r>
        <w:rPr>
          <w:rFonts w:eastAsia="Times New Roman"/>
          <w:sz w:val="22"/>
          <w:szCs w:val="22"/>
          <w:lang w:val="lt-LT"/>
        </w:rPr>
        <w:t>2</w:t>
      </w:r>
      <w:r w:rsidRPr="00BC1D1C">
        <w:rPr>
          <w:rFonts w:eastAsia="Times New Roman"/>
          <w:sz w:val="22"/>
          <w:szCs w:val="22"/>
          <w:lang w:val="lt-LT"/>
        </w:rPr>
        <w:t>, Ramučiai</w:t>
      </w:r>
      <w:r w:rsidRPr="00BC1D1C">
        <w:rPr>
          <w:rFonts w:eastAsia="Times New Roman"/>
          <w:sz w:val="22"/>
          <w:szCs w:val="22"/>
          <w:lang w:val="lt-LT"/>
        </w:rPr>
        <w:br/>
      </w:r>
      <w:r w:rsidRPr="00A607F2">
        <w:rPr>
          <w:sz w:val="22"/>
          <w:lang w:val="lt-LT"/>
        </w:rPr>
        <w:t>LT</w:t>
      </w:r>
      <w:r w:rsidRPr="00BC1D1C">
        <w:rPr>
          <w:rFonts w:eastAsia="Times New Roman"/>
          <w:sz w:val="22"/>
          <w:szCs w:val="22"/>
          <w:lang w:val="lt-LT"/>
        </w:rPr>
        <w:t xml:space="preserve"> - </w:t>
      </w:r>
      <w:r>
        <w:rPr>
          <w:rFonts w:eastAsia="Times New Roman"/>
          <w:sz w:val="22"/>
          <w:szCs w:val="22"/>
          <w:lang w:val="lt-LT"/>
        </w:rPr>
        <w:t>52114</w:t>
      </w:r>
      <w:r w:rsidRPr="00BC1D1C">
        <w:rPr>
          <w:rFonts w:eastAsia="Times New Roman"/>
          <w:sz w:val="22"/>
          <w:szCs w:val="22"/>
          <w:lang w:val="lt-LT"/>
        </w:rPr>
        <w:t>, Kauno r.</w:t>
      </w:r>
      <w:r w:rsidRPr="00BC1D1C">
        <w:rPr>
          <w:rFonts w:eastAsia="Times New Roman"/>
          <w:sz w:val="22"/>
          <w:szCs w:val="22"/>
          <w:lang w:val="lt-LT"/>
        </w:rPr>
        <w:br/>
      </w:r>
      <w:r w:rsidRPr="00A607F2">
        <w:rPr>
          <w:sz w:val="22"/>
          <w:lang w:val="lt-LT"/>
        </w:rPr>
        <w:t xml:space="preserve">Tel. +370 </w:t>
      </w:r>
      <w:r w:rsidRPr="00BC1D1C">
        <w:rPr>
          <w:rFonts w:eastAsia="Times New Roman"/>
          <w:sz w:val="22"/>
          <w:szCs w:val="22"/>
          <w:lang w:val="lt-LT"/>
        </w:rPr>
        <w:t>37 321199</w:t>
      </w:r>
    </w:p>
    <w:p w:rsidR="00666AEA" w:rsidRPr="00BC1D1C" w:rsidRDefault="00666AEA" w:rsidP="00666AEA">
      <w:pPr>
        <w:pStyle w:val="Pagrindinistekstas"/>
        <w:spacing w:after="0"/>
        <w:rPr>
          <w:color w:val="000000"/>
          <w:sz w:val="22"/>
          <w:szCs w:val="22"/>
          <w:lang w:val="lt-LT"/>
        </w:rPr>
      </w:pPr>
    </w:p>
    <w:p w:rsidR="00666AEA" w:rsidRPr="003A3FFE" w:rsidRDefault="00666AEA" w:rsidP="00666AEA">
      <w:pPr>
        <w:ind w:left="567" w:hanging="567"/>
        <w:rPr>
          <w:b/>
          <w:color w:val="000000"/>
          <w:szCs w:val="22"/>
        </w:rPr>
      </w:pPr>
      <w:r w:rsidRPr="00BC1D1C">
        <w:rPr>
          <w:b/>
          <w:color w:val="000000"/>
          <w:szCs w:val="22"/>
        </w:rPr>
        <w:t xml:space="preserve">Šis pakuotės lapelis paskutinį kartą </w:t>
      </w:r>
      <w:r w:rsidRPr="00BC1D1C">
        <w:rPr>
          <w:b/>
          <w:szCs w:val="22"/>
        </w:rPr>
        <w:t>peržiūrėtas</w:t>
      </w:r>
      <w:r>
        <w:rPr>
          <w:rFonts w:eastAsia="Calibri"/>
          <w:b/>
          <w:color w:val="000000"/>
          <w:szCs w:val="22"/>
        </w:rPr>
        <w:t xml:space="preserve"> 2025-04-18.</w:t>
      </w:r>
    </w:p>
    <w:p w:rsidR="00666AEA" w:rsidRPr="003A3FFE" w:rsidRDefault="00666AEA" w:rsidP="00666AEA">
      <w:pPr>
        <w:ind w:left="567" w:hanging="567"/>
        <w:rPr>
          <w:color w:val="000000"/>
          <w:szCs w:val="22"/>
        </w:rPr>
      </w:pPr>
    </w:p>
    <w:p w:rsidR="00666AEA" w:rsidRPr="003A3FFE" w:rsidRDefault="00666AEA" w:rsidP="00666AEA">
      <w:pPr>
        <w:numPr>
          <w:ilvl w:val="12"/>
          <w:numId w:val="0"/>
        </w:numPr>
        <w:ind w:right="-2"/>
        <w:rPr>
          <w:szCs w:val="22"/>
        </w:rPr>
      </w:pPr>
      <w:r w:rsidRPr="003A3FF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3A3FFE">
        <w:rPr>
          <w:i/>
          <w:szCs w:val="22"/>
        </w:rPr>
        <w:t xml:space="preserve"> </w:t>
      </w:r>
      <w:hyperlink w:history="1"/>
      <w:r w:rsidRPr="004960EF">
        <w:rPr>
          <w:rStyle w:val="Hipersaitas"/>
          <w:rFonts w:eastAsia="SimSun"/>
          <w:szCs w:val="22"/>
        </w:rPr>
        <w:t>h</w:t>
      </w:r>
      <w:r w:rsidRPr="00DD5A90">
        <w:rPr>
          <w:color w:val="0000EE"/>
          <w:szCs w:val="22"/>
        </w:rPr>
        <w:t>ttps://vvkt.lrv.lt/lt/</w:t>
      </w:r>
      <w:r w:rsidRPr="003A3FFE">
        <w:rPr>
          <w:szCs w:val="22"/>
        </w:rPr>
        <w:t>.</w:t>
      </w:r>
    </w:p>
    <w:p w:rsidR="00666AEA" w:rsidRPr="003A3FFE" w:rsidRDefault="00666AEA" w:rsidP="00666AEA">
      <w:pPr>
        <w:rPr>
          <w:szCs w:val="22"/>
        </w:rPr>
      </w:pPr>
    </w:p>
    <w:p w:rsidR="00BA6577" w:rsidRDefault="00BA6577">
      <w:bookmarkStart w:id="0" w:name="_GoBack"/>
      <w:bookmarkEnd w:id="0"/>
    </w:p>
    <w:sectPr w:rsidR="00BA6577">
      <w:footerReference w:type="even" r:id="rId5"/>
      <w:footerReference w:type="default" r:id="rId6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AC" w:rsidRDefault="00666A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761EAC" w:rsidRDefault="00666AE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AC" w:rsidRDefault="00666A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61EAC" w:rsidRDefault="00666AEA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6EE0E12"/>
    <w:multiLevelType w:val="singleLevel"/>
    <w:tmpl w:val="FC98D738"/>
    <w:lvl w:ilvl="0">
      <w:start w:val="1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7D21D87"/>
    <w:multiLevelType w:val="hybridMultilevel"/>
    <w:tmpl w:val="06540F34"/>
    <w:lvl w:ilvl="0" w:tplc="75CA4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EA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66AEA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BD065-8E01-43F8-BB35-B36E671A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6AEA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666AEA"/>
    <w:pPr>
      <w:keepNext/>
      <w:tabs>
        <w:tab w:val="left" w:pos="567"/>
      </w:tabs>
      <w:outlineLvl w:val="1"/>
    </w:pPr>
    <w:rPr>
      <w:rFonts w:eastAsia="Calibri"/>
      <w:b/>
      <w:szCs w:val="22"/>
      <w:lang w:val="x-none"/>
    </w:rPr>
  </w:style>
  <w:style w:type="paragraph" w:styleId="Antrat3">
    <w:name w:val="heading 3"/>
    <w:basedOn w:val="prastasis"/>
    <w:next w:val="prastasis"/>
    <w:link w:val="Antrat3Diagrama"/>
    <w:qFormat/>
    <w:rsid w:val="00666AEA"/>
    <w:pPr>
      <w:keepNext/>
      <w:tabs>
        <w:tab w:val="left" w:pos="567"/>
      </w:tabs>
      <w:ind w:left="567" w:hanging="567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qFormat/>
    <w:rsid w:val="00666A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character" w:customStyle="1" w:styleId="Antrat2Diagrama">
    <w:name w:val="Antraštė 2 Diagrama"/>
    <w:basedOn w:val="Numatytasispastraiposriftas"/>
    <w:link w:val="Antrat2"/>
    <w:rsid w:val="00666AEA"/>
    <w:rPr>
      <w:rFonts w:ascii="Times New Roman" w:eastAsia="Calibri" w:hAnsi="Times New Roman" w:cs="Times New Roman"/>
      <w:b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666AEA"/>
    <w:rPr>
      <w:rFonts w:ascii="Times New Roman" w:hAnsi="Times New Roman" w:cs="Times New Roman"/>
      <w:b/>
      <w:bCs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666AEA"/>
    <w:rPr>
      <w:rFonts w:ascii="Times New Roman" w:hAnsi="Times New Roman" w:cs="Times New Roman"/>
      <w:b/>
      <w:bCs/>
      <w:sz w:val="28"/>
      <w:szCs w:val="28"/>
      <w:lang w:eastAsia="lt-LT"/>
    </w:rPr>
  </w:style>
  <w:style w:type="paragraph" w:styleId="Pagrindinistekstas">
    <w:name w:val="Body Text"/>
    <w:basedOn w:val="prastasis"/>
    <w:link w:val="PagrindinistekstasDiagrama"/>
    <w:rsid w:val="00666AEA"/>
    <w:pPr>
      <w:spacing w:after="120"/>
    </w:pPr>
    <w:rPr>
      <w:rFonts w:eastAsia="Calibri"/>
      <w:sz w:val="20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6AEA"/>
    <w:rPr>
      <w:rFonts w:ascii="Times New Roman" w:eastAsia="Calibri" w:hAnsi="Times New Roman" w:cs="Times New Roman"/>
      <w:sz w:val="20"/>
      <w:szCs w:val="20"/>
      <w:lang w:val="x-none" w:eastAsia="lt-LT"/>
    </w:rPr>
  </w:style>
  <w:style w:type="paragraph" w:styleId="Porat">
    <w:name w:val="footer"/>
    <w:basedOn w:val="prastasis"/>
    <w:link w:val="PoratDiagrama"/>
    <w:rsid w:val="00666AEA"/>
    <w:pPr>
      <w:tabs>
        <w:tab w:val="center" w:pos="4153"/>
        <w:tab w:val="right" w:pos="8306"/>
      </w:tabs>
    </w:pPr>
    <w:rPr>
      <w:rFonts w:eastAsia="Calibri"/>
      <w:sz w:val="20"/>
      <w:lang w:val="x-none"/>
    </w:rPr>
  </w:style>
  <w:style w:type="character" w:customStyle="1" w:styleId="PoratDiagrama">
    <w:name w:val="Poraštė Diagrama"/>
    <w:basedOn w:val="Numatytasispastraiposriftas"/>
    <w:link w:val="Porat"/>
    <w:rsid w:val="00666AEA"/>
    <w:rPr>
      <w:rFonts w:ascii="Times New Roman" w:eastAsia="Calibri" w:hAnsi="Times New Roman" w:cs="Times New Roman"/>
      <w:sz w:val="20"/>
      <w:szCs w:val="20"/>
      <w:lang w:val="x-none" w:eastAsia="lt-LT"/>
    </w:rPr>
  </w:style>
  <w:style w:type="character" w:styleId="Puslapionumeris">
    <w:name w:val="page number"/>
    <w:rsid w:val="00666AEA"/>
    <w:rPr>
      <w:rFonts w:cs="Times New Roman"/>
    </w:rPr>
  </w:style>
  <w:style w:type="character" w:styleId="Hipersaitas">
    <w:name w:val="Hyperlink"/>
    <w:rsid w:val="00666AEA"/>
    <w:rPr>
      <w:rFonts w:cs="Times New Roman"/>
      <w:color w:val="0000FF"/>
      <w:u w:val="single"/>
    </w:rPr>
  </w:style>
  <w:style w:type="paragraph" w:customStyle="1" w:styleId="Style1">
    <w:name w:val="Style1"/>
    <w:basedOn w:val="Pagrindinistekstas"/>
    <w:autoRedefine/>
    <w:rsid w:val="00666AEA"/>
    <w:pPr>
      <w:spacing w:after="0"/>
      <w:jc w:val="both"/>
    </w:pPr>
  </w:style>
  <w:style w:type="paragraph" w:customStyle="1" w:styleId="Akapitzlist1">
    <w:name w:val="Akapit z listą1"/>
    <w:basedOn w:val="prastasis"/>
    <w:qFormat/>
    <w:rsid w:val="0066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3478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2025-04-18T11:47:00Z</dcterms:created>
  <dcterms:modified xsi:type="dcterms:W3CDTF">2025-04-18T11:48:00Z</dcterms:modified>
</cp:coreProperties>
</file>