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1363E" w14:textId="77777777" w:rsidR="0093003C" w:rsidRDefault="0093003C">
      <w:pPr>
        <w:pStyle w:val="Pavadinimas"/>
        <w:rPr>
          <w:szCs w:val="22"/>
        </w:rPr>
      </w:pPr>
    </w:p>
    <w:p w14:paraId="028A9BDA" w14:textId="77777777" w:rsidR="0093003C" w:rsidRDefault="0093003C">
      <w:pPr>
        <w:pStyle w:val="Pavadinimas"/>
        <w:rPr>
          <w:szCs w:val="22"/>
        </w:rPr>
      </w:pPr>
    </w:p>
    <w:p w14:paraId="1A89BDEF" w14:textId="77777777" w:rsidR="0093003C" w:rsidRDefault="0093003C">
      <w:pPr>
        <w:pStyle w:val="Pavadinimas"/>
        <w:rPr>
          <w:szCs w:val="22"/>
        </w:rPr>
      </w:pPr>
    </w:p>
    <w:p w14:paraId="31483519" w14:textId="77777777" w:rsidR="0093003C" w:rsidRDefault="0093003C">
      <w:pPr>
        <w:pStyle w:val="Pavadinimas"/>
        <w:rPr>
          <w:szCs w:val="22"/>
        </w:rPr>
      </w:pPr>
    </w:p>
    <w:p w14:paraId="3A29BE33" w14:textId="77777777" w:rsidR="0093003C" w:rsidRDefault="0093003C">
      <w:pPr>
        <w:pStyle w:val="Pavadinimas"/>
        <w:rPr>
          <w:szCs w:val="22"/>
        </w:rPr>
      </w:pPr>
    </w:p>
    <w:p w14:paraId="6E727441" w14:textId="77777777" w:rsidR="0093003C" w:rsidRDefault="0093003C">
      <w:pPr>
        <w:pStyle w:val="Pavadinimas"/>
        <w:rPr>
          <w:szCs w:val="22"/>
        </w:rPr>
      </w:pPr>
    </w:p>
    <w:p w14:paraId="37E2D7A0" w14:textId="77777777" w:rsidR="0093003C" w:rsidRDefault="0093003C">
      <w:pPr>
        <w:pStyle w:val="Pavadinimas"/>
        <w:rPr>
          <w:szCs w:val="22"/>
        </w:rPr>
      </w:pPr>
    </w:p>
    <w:p w14:paraId="1476F244" w14:textId="77777777" w:rsidR="0093003C" w:rsidRDefault="0093003C">
      <w:pPr>
        <w:pStyle w:val="Pavadinimas"/>
        <w:rPr>
          <w:szCs w:val="22"/>
        </w:rPr>
      </w:pPr>
    </w:p>
    <w:p w14:paraId="3238C5B7" w14:textId="77777777" w:rsidR="0093003C" w:rsidRDefault="0093003C">
      <w:pPr>
        <w:pStyle w:val="Pavadinimas"/>
        <w:rPr>
          <w:szCs w:val="22"/>
        </w:rPr>
      </w:pPr>
    </w:p>
    <w:p w14:paraId="4705BAFF" w14:textId="77777777" w:rsidR="0093003C" w:rsidRDefault="0093003C">
      <w:pPr>
        <w:pStyle w:val="Pavadinimas"/>
        <w:rPr>
          <w:szCs w:val="22"/>
        </w:rPr>
      </w:pPr>
    </w:p>
    <w:p w14:paraId="41E3A759" w14:textId="77777777" w:rsidR="0093003C" w:rsidRDefault="0093003C">
      <w:pPr>
        <w:pStyle w:val="Pavadinimas"/>
        <w:rPr>
          <w:szCs w:val="22"/>
        </w:rPr>
      </w:pPr>
    </w:p>
    <w:p w14:paraId="5597CB96" w14:textId="77777777" w:rsidR="0093003C" w:rsidRDefault="0093003C">
      <w:pPr>
        <w:pStyle w:val="Pavadinimas"/>
        <w:rPr>
          <w:szCs w:val="22"/>
        </w:rPr>
      </w:pPr>
    </w:p>
    <w:p w14:paraId="3B6A138E" w14:textId="77777777" w:rsidR="0093003C" w:rsidRDefault="0093003C">
      <w:pPr>
        <w:pStyle w:val="Pavadinimas"/>
        <w:rPr>
          <w:szCs w:val="22"/>
        </w:rPr>
      </w:pPr>
    </w:p>
    <w:p w14:paraId="6F7D1529" w14:textId="77777777" w:rsidR="0093003C" w:rsidRDefault="0093003C">
      <w:pPr>
        <w:pStyle w:val="Pavadinimas"/>
        <w:rPr>
          <w:szCs w:val="22"/>
        </w:rPr>
      </w:pPr>
    </w:p>
    <w:p w14:paraId="2CA1B949" w14:textId="77777777" w:rsidR="0093003C" w:rsidRDefault="0093003C">
      <w:pPr>
        <w:pStyle w:val="Pavadinimas"/>
        <w:rPr>
          <w:szCs w:val="22"/>
        </w:rPr>
      </w:pPr>
    </w:p>
    <w:p w14:paraId="534DF4DE" w14:textId="77777777" w:rsidR="0093003C" w:rsidRDefault="0093003C">
      <w:pPr>
        <w:pStyle w:val="Pavadinimas"/>
        <w:rPr>
          <w:szCs w:val="22"/>
        </w:rPr>
      </w:pPr>
    </w:p>
    <w:p w14:paraId="70B7D032" w14:textId="77777777" w:rsidR="0093003C" w:rsidRDefault="0093003C">
      <w:pPr>
        <w:pStyle w:val="Pavadinimas"/>
        <w:rPr>
          <w:szCs w:val="22"/>
        </w:rPr>
      </w:pPr>
    </w:p>
    <w:p w14:paraId="56BB0F6A" w14:textId="77777777" w:rsidR="0093003C" w:rsidRDefault="0093003C">
      <w:pPr>
        <w:pStyle w:val="Pavadinimas"/>
        <w:rPr>
          <w:szCs w:val="22"/>
        </w:rPr>
      </w:pPr>
    </w:p>
    <w:p w14:paraId="614B3C15" w14:textId="77777777" w:rsidR="0093003C" w:rsidRDefault="0093003C">
      <w:pPr>
        <w:pStyle w:val="Pavadinimas"/>
        <w:rPr>
          <w:szCs w:val="22"/>
        </w:rPr>
      </w:pPr>
    </w:p>
    <w:p w14:paraId="1E4CE505" w14:textId="77777777" w:rsidR="0093003C" w:rsidRDefault="0093003C">
      <w:pPr>
        <w:pStyle w:val="Pavadinimas"/>
        <w:rPr>
          <w:szCs w:val="22"/>
        </w:rPr>
      </w:pPr>
    </w:p>
    <w:p w14:paraId="06FAC02B" w14:textId="77777777" w:rsidR="0093003C" w:rsidRDefault="0093003C">
      <w:pPr>
        <w:pStyle w:val="Pavadinimas"/>
        <w:rPr>
          <w:szCs w:val="22"/>
        </w:rPr>
      </w:pPr>
    </w:p>
    <w:p w14:paraId="0B710818" w14:textId="77777777" w:rsidR="008C6DE5" w:rsidRDefault="008C6DE5">
      <w:pPr>
        <w:pStyle w:val="Pavadinimas"/>
        <w:rPr>
          <w:szCs w:val="22"/>
        </w:rPr>
      </w:pPr>
    </w:p>
    <w:p w14:paraId="0A5041AF" w14:textId="77777777" w:rsidR="008C6DE5" w:rsidRDefault="008C6DE5">
      <w:pPr>
        <w:pStyle w:val="Pavadinimas"/>
        <w:rPr>
          <w:szCs w:val="22"/>
        </w:rPr>
      </w:pPr>
    </w:p>
    <w:p w14:paraId="5CAAF2CF" w14:textId="77777777" w:rsidR="0093003C" w:rsidRDefault="0093003C">
      <w:pPr>
        <w:pStyle w:val="Pavadinimas"/>
        <w:rPr>
          <w:szCs w:val="22"/>
        </w:rPr>
      </w:pPr>
      <w:r>
        <w:rPr>
          <w:szCs w:val="22"/>
        </w:rPr>
        <w:t>I PRIEDAS</w:t>
      </w:r>
    </w:p>
    <w:p w14:paraId="2531CA17" w14:textId="77777777" w:rsidR="0093003C" w:rsidRDefault="0093003C">
      <w:pPr>
        <w:pStyle w:val="Pagrindinistekstas"/>
        <w:spacing w:after="0"/>
        <w:rPr>
          <w:szCs w:val="22"/>
        </w:rPr>
      </w:pPr>
    </w:p>
    <w:p w14:paraId="02229480" w14:textId="77777777" w:rsidR="0093003C" w:rsidRDefault="0093003C">
      <w:pPr>
        <w:pStyle w:val="Pavadinimas"/>
        <w:rPr>
          <w:szCs w:val="22"/>
        </w:rPr>
      </w:pPr>
      <w:r>
        <w:rPr>
          <w:szCs w:val="22"/>
        </w:rPr>
        <w:t xml:space="preserve">PREPARATO CHARAKTERISTIKŲ SANTRAUKA </w:t>
      </w:r>
    </w:p>
    <w:p w14:paraId="03A79233" w14:textId="77777777" w:rsidR="0093003C" w:rsidRDefault="0093003C">
      <w:pPr>
        <w:pStyle w:val="Pagrindinistekstas"/>
        <w:spacing w:after="0"/>
        <w:rPr>
          <w:szCs w:val="22"/>
        </w:rPr>
      </w:pPr>
    </w:p>
    <w:p w14:paraId="4EA05BA3" w14:textId="77777777" w:rsidR="0093003C" w:rsidRDefault="0093003C">
      <w:pPr>
        <w:pStyle w:val="Antrat2"/>
        <w:rPr>
          <w:szCs w:val="22"/>
        </w:rPr>
      </w:pPr>
      <w:r>
        <w:rPr>
          <w:szCs w:val="22"/>
        </w:rPr>
        <w:br w:type="page"/>
      </w:r>
      <w:r>
        <w:rPr>
          <w:szCs w:val="22"/>
        </w:rPr>
        <w:lastRenderedPageBreak/>
        <w:t>1.</w:t>
      </w:r>
      <w:r>
        <w:rPr>
          <w:szCs w:val="22"/>
        </w:rPr>
        <w:tab/>
        <w:t>VAISTINIO PREPARATO PAVADINIMAS</w:t>
      </w:r>
    </w:p>
    <w:p w14:paraId="78E85406" w14:textId="77777777" w:rsidR="0093003C" w:rsidRDefault="0093003C">
      <w:pPr>
        <w:pStyle w:val="Pagrindinistekstas"/>
        <w:spacing w:after="0"/>
        <w:rPr>
          <w:szCs w:val="22"/>
        </w:rPr>
      </w:pPr>
    </w:p>
    <w:p w14:paraId="03EC5E3F" w14:textId="77777777" w:rsidR="0093003C" w:rsidRDefault="0093003C">
      <w:pPr>
        <w:pStyle w:val="Antrat1"/>
        <w:rPr>
          <w:szCs w:val="22"/>
        </w:rPr>
      </w:pPr>
      <w:bookmarkStart w:id="0" w:name="_GoBack"/>
      <w:r>
        <w:rPr>
          <w:szCs w:val="22"/>
        </w:rPr>
        <w:t xml:space="preserve">SENEFOL </w:t>
      </w:r>
      <w:bookmarkEnd w:id="0"/>
      <w:r>
        <w:rPr>
          <w:szCs w:val="22"/>
        </w:rPr>
        <w:t>300 mg tabletės</w:t>
      </w:r>
    </w:p>
    <w:p w14:paraId="1DE8584D" w14:textId="77777777" w:rsidR="0093003C" w:rsidRDefault="0093003C">
      <w:pPr>
        <w:pStyle w:val="Pagrindinistekstas"/>
        <w:spacing w:after="0"/>
        <w:rPr>
          <w:szCs w:val="22"/>
        </w:rPr>
      </w:pPr>
    </w:p>
    <w:p w14:paraId="75904B66" w14:textId="77777777" w:rsidR="0093003C" w:rsidRDefault="0093003C">
      <w:pPr>
        <w:pStyle w:val="Pagrindinistekstas"/>
        <w:spacing w:after="0"/>
        <w:rPr>
          <w:szCs w:val="22"/>
        </w:rPr>
      </w:pPr>
    </w:p>
    <w:p w14:paraId="3BA9888F" w14:textId="77777777" w:rsidR="0093003C" w:rsidRDefault="0093003C">
      <w:pPr>
        <w:pStyle w:val="Antrat2"/>
        <w:rPr>
          <w:szCs w:val="22"/>
        </w:rPr>
      </w:pPr>
      <w:r>
        <w:rPr>
          <w:szCs w:val="22"/>
        </w:rPr>
        <w:t>2.</w:t>
      </w:r>
      <w:r>
        <w:rPr>
          <w:szCs w:val="22"/>
        </w:rPr>
        <w:tab/>
        <w:t>KOKYBINĖ IR KIEKYBINĖ SUDĖTIS</w:t>
      </w:r>
    </w:p>
    <w:p w14:paraId="71E89D34" w14:textId="77777777" w:rsidR="0093003C" w:rsidRDefault="0093003C">
      <w:pPr>
        <w:pStyle w:val="Pagrindinistekstas"/>
        <w:spacing w:after="0"/>
        <w:rPr>
          <w:szCs w:val="22"/>
        </w:rPr>
      </w:pPr>
    </w:p>
    <w:p w14:paraId="03E3CA22" w14:textId="77777777" w:rsidR="001247E9" w:rsidRPr="00971AEB" w:rsidRDefault="001247E9" w:rsidP="001247E9">
      <w:pPr>
        <w:tabs>
          <w:tab w:val="left" w:pos="567"/>
        </w:tabs>
        <w:rPr>
          <w:szCs w:val="22"/>
        </w:rPr>
      </w:pPr>
      <w:r>
        <w:rPr>
          <w:szCs w:val="22"/>
        </w:rPr>
        <w:t xml:space="preserve">Vienoje tabletėje yra 300 mg </w:t>
      </w:r>
      <w:r>
        <w:rPr>
          <w:i/>
          <w:iCs/>
          <w:szCs w:val="17"/>
          <w:lang w:eastAsia="pl-PL"/>
        </w:rPr>
        <w:t xml:space="preserve">Cassia senna </w:t>
      </w:r>
      <w:r>
        <w:rPr>
          <w:szCs w:val="17"/>
          <w:lang w:eastAsia="pl-PL"/>
        </w:rPr>
        <w:t>L. (</w:t>
      </w:r>
      <w:r>
        <w:rPr>
          <w:i/>
          <w:iCs/>
          <w:szCs w:val="17"/>
          <w:lang w:eastAsia="pl-PL"/>
        </w:rPr>
        <w:t xml:space="preserve">C. acutifolia </w:t>
      </w:r>
      <w:r>
        <w:rPr>
          <w:szCs w:val="17"/>
          <w:lang w:eastAsia="pl-PL"/>
        </w:rPr>
        <w:t xml:space="preserve">Delile), fructus (senų vaisių) ir/ar </w:t>
      </w:r>
      <w:r>
        <w:rPr>
          <w:i/>
          <w:iCs/>
          <w:szCs w:val="17"/>
          <w:lang w:eastAsia="pl-PL"/>
        </w:rPr>
        <w:t xml:space="preserve">Cassia angustifolia </w:t>
      </w:r>
      <w:r>
        <w:rPr>
          <w:szCs w:val="17"/>
          <w:lang w:eastAsia="pl-PL"/>
        </w:rPr>
        <w:t xml:space="preserve">Vahl, fructus (senų vaisių) ir/ar </w:t>
      </w:r>
      <w:r>
        <w:rPr>
          <w:i/>
          <w:szCs w:val="22"/>
        </w:rPr>
        <w:t>Cassia</w:t>
      </w:r>
      <w:r>
        <w:rPr>
          <w:szCs w:val="22"/>
        </w:rPr>
        <w:t xml:space="preserve"> </w:t>
      </w:r>
      <w:r>
        <w:rPr>
          <w:i/>
          <w:szCs w:val="22"/>
        </w:rPr>
        <w:t>senna</w:t>
      </w:r>
      <w:r>
        <w:rPr>
          <w:szCs w:val="22"/>
        </w:rPr>
        <w:t xml:space="preserve"> L </w:t>
      </w:r>
      <w:r>
        <w:rPr>
          <w:szCs w:val="17"/>
          <w:lang w:eastAsia="pl-PL"/>
        </w:rPr>
        <w:t>(</w:t>
      </w:r>
      <w:r>
        <w:rPr>
          <w:i/>
          <w:iCs/>
          <w:szCs w:val="17"/>
          <w:lang w:eastAsia="pl-PL"/>
        </w:rPr>
        <w:t xml:space="preserve">C. acutifolia </w:t>
      </w:r>
      <w:r>
        <w:rPr>
          <w:szCs w:val="17"/>
          <w:lang w:eastAsia="pl-PL"/>
        </w:rPr>
        <w:t>Delile)</w:t>
      </w:r>
      <w:r>
        <w:rPr>
          <w:szCs w:val="22"/>
        </w:rPr>
        <w:t xml:space="preserve"> ir/ar </w:t>
      </w:r>
      <w:r>
        <w:rPr>
          <w:i/>
          <w:szCs w:val="22"/>
        </w:rPr>
        <w:t>Cassia angustifolia</w:t>
      </w:r>
      <w:r>
        <w:rPr>
          <w:szCs w:val="22"/>
        </w:rPr>
        <w:t xml:space="preserve"> Vahl., folium (senų lapų),</w:t>
      </w:r>
      <w:r>
        <w:rPr>
          <w:szCs w:val="17"/>
          <w:lang w:eastAsia="pl-PL"/>
        </w:rPr>
        <w:t xml:space="preserve"> atitinkančių 6,75 - 9,00 mg </w:t>
      </w:r>
      <w:r w:rsidRPr="00971AEB">
        <w:rPr>
          <w:szCs w:val="22"/>
        </w:rPr>
        <w:t xml:space="preserve">hidroksiantracenų glikozidų, </w:t>
      </w:r>
      <w:r>
        <w:rPr>
          <w:szCs w:val="22"/>
        </w:rPr>
        <w:t>apskaičiuotų pagal</w:t>
      </w:r>
      <w:r w:rsidRPr="00971AEB">
        <w:rPr>
          <w:szCs w:val="22"/>
        </w:rPr>
        <w:t xml:space="preserve"> senozidą B.</w:t>
      </w:r>
    </w:p>
    <w:p w14:paraId="54CE1F97" w14:textId="77777777" w:rsidR="0093003C" w:rsidRDefault="0093003C">
      <w:pPr>
        <w:pStyle w:val="Pagrindinistekstas"/>
        <w:spacing w:after="0"/>
        <w:rPr>
          <w:szCs w:val="22"/>
        </w:rPr>
      </w:pPr>
    </w:p>
    <w:p w14:paraId="029EC843" w14:textId="77777777" w:rsidR="0093003C" w:rsidRDefault="0093003C">
      <w:pPr>
        <w:pStyle w:val="Pagrindinistekstas"/>
        <w:spacing w:after="0"/>
        <w:rPr>
          <w:szCs w:val="22"/>
        </w:rPr>
      </w:pPr>
      <w:r>
        <w:rPr>
          <w:szCs w:val="22"/>
        </w:rPr>
        <w:t>Visos pagalbinės medžiagos išvardytos 6.1 skyriuje.</w:t>
      </w:r>
    </w:p>
    <w:p w14:paraId="2075751A" w14:textId="77777777" w:rsidR="0093003C" w:rsidRDefault="0093003C">
      <w:pPr>
        <w:pStyle w:val="Pagrindinistekstas"/>
        <w:spacing w:after="0"/>
        <w:rPr>
          <w:szCs w:val="22"/>
        </w:rPr>
      </w:pPr>
    </w:p>
    <w:p w14:paraId="551A3A37" w14:textId="77777777" w:rsidR="0093003C" w:rsidRDefault="0093003C">
      <w:pPr>
        <w:pStyle w:val="Pagrindinistekstas"/>
        <w:spacing w:after="0"/>
        <w:rPr>
          <w:szCs w:val="22"/>
        </w:rPr>
      </w:pPr>
    </w:p>
    <w:p w14:paraId="6A3843AB" w14:textId="77777777" w:rsidR="0093003C" w:rsidRDefault="0093003C">
      <w:pPr>
        <w:pStyle w:val="Antrat2"/>
        <w:rPr>
          <w:szCs w:val="22"/>
        </w:rPr>
      </w:pPr>
      <w:r>
        <w:rPr>
          <w:szCs w:val="22"/>
        </w:rPr>
        <w:t>3.</w:t>
      </w:r>
      <w:r>
        <w:rPr>
          <w:szCs w:val="22"/>
        </w:rPr>
        <w:tab/>
        <w:t>FARMACINĖ FORMA</w:t>
      </w:r>
    </w:p>
    <w:p w14:paraId="0B88E259" w14:textId="77777777" w:rsidR="0093003C" w:rsidRDefault="0093003C">
      <w:pPr>
        <w:pStyle w:val="Pagrindinistekstas"/>
        <w:spacing w:after="0"/>
        <w:rPr>
          <w:szCs w:val="22"/>
        </w:rPr>
      </w:pPr>
    </w:p>
    <w:p w14:paraId="1D60210A" w14:textId="77777777" w:rsidR="0093003C" w:rsidRDefault="0093003C">
      <w:pPr>
        <w:jc w:val="both"/>
        <w:rPr>
          <w:szCs w:val="22"/>
        </w:rPr>
      </w:pPr>
      <w:r>
        <w:rPr>
          <w:szCs w:val="22"/>
        </w:rPr>
        <w:t>Tabletė</w:t>
      </w:r>
    </w:p>
    <w:p w14:paraId="0BE032A9" w14:textId="77777777" w:rsidR="0093003C" w:rsidRDefault="0093003C">
      <w:pPr>
        <w:jc w:val="both"/>
        <w:rPr>
          <w:szCs w:val="22"/>
        </w:rPr>
      </w:pPr>
      <w:r>
        <w:rPr>
          <w:szCs w:val="22"/>
        </w:rPr>
        <w:t>Žalsvos, apvalios, abipus išgaubtos tabletės.</w:t>
      </w:r>
    </w:p>
    <w:p w14:paraId="33042F73" w14:textId="77777777" w:rsidR="0093003C" w:rsidRDefault="0093003C">
      <w:pPr>
        <w:jc w:val="both"/>
        <w:rPr>
          <w:szCs w:val="22"/>
        </w:rPr>
      </w:pPr>
    </w:p>
    <w:p w14:paraId="429D0F24" w14:textId="77777777" w:rsidR="0093003C" w:rsidRDefault="0093003C">
      <w:pPr>
        <w:jc w:val="both"/>
        <w:rPr>
          <w:szCs w:val="22"/>
        </w:rPr>
      </w:pPr>
    </w:p>
    <w:p w14:paraId="1E5AB30B" w14:textId="77777777" w:rsidR="0093003C" w:rsidRDefault="0093003C">
      <w:pPr>
        <w:pStyle w:val="Antrat2"/>
        <w:rPr>
          <w:szCs w:val="22"/>
        </w:rPr>
      </w:pPr>
      <w:r>
        <w:rPr>
          <w:caps/>
          <w:szCs w:val="22"/>
        </w:rPr>
        <w:t>4.</w:t>
      </w:r>
      <w:r>
        <w:rPr>
          <w:caps/>
          <w:szCs w:val="22"/>
        </w:rPr>
        <w:tab/>
      </w:r>
      <w:r>
        <w:rPr>
          <w:szCs w:val="22"/>
        </w:rPr>
        <w:t>KLINIKINĖ INFORMACIJA</w:t>
      </w:r>
    </w:p>
    <w:p w14:paraId="1893741B" w14:textId="77777777" w:rsidR="0093003C" w:rsidRDefault="0093003C">
      <w:pPr>
        <w:pStyle w:val="Pagrindinistekstas"/>
        <w:spacing w:after="0"/>
        <w:rPr>
          <w:szCs w:val="22"/>
        </w:rPr>
      </w:pPr>
    </w:p>
    <w:p w14:paraId="6BD9F1BE" w14:textId="77777777" w:rsidR="0093003C" w:rsidRDefault="0093003C" w:rsidP="00A66F3E">
      <w:pPr>
        <w:pStyle w:val="Antrat3"/>
      </w:pPr>
      <w:r>
        <w:t>4.1</w:t>
      </w:r>
      <w:r>
        <w:tab/>
        <w:t>Terapinės indikacijos</w:t>
      </w:r>
    </w:p>
    <w:p w14:paraId="231C003C" w14:textId="77777777" w:rsidR="0093003C" w:rsidRDefault="0093003C">
      <w:pPr>
        <w:pStyle w:val="Pagrindinistekstas"/>
        <w:spacing w:after="0"/>
        <w:rPr>
          <w:szCs w:val="22"/>
        </w:rPr>
      </w:pPr>
    </w:p>
    <w:p w14:paraId="0441BB2B" w14:textId="77777777" w:rsidR="0093003C" w:rsidRDefault="0093003C">
      <w:pPr>
        <w:pStyle w:val="Pagrindinistekstas"/>
        <w:spacing w:after="0"/>
        <w:rPr>
          <w:szCs w:val="22"/>
        </w:rPr>
      </w:pPr>
      <w:bookmarkStart w:id="1" w:name="OLE_LINK1"/>
      <w:bookmarkStart w:id="2" w:name="OLE_LINK2"/>
      <w:r>
        <w:rPr>
          <w:szCs w:val="22"/>
        </w:rPr>
        <w:t>Trumpalaikis retkarčiais pasitaikančio vidurių užkietėjimo mažinimas.</w:t>
      </w:r>
    </w:p>
    <w:bookmarkEnd w:id="1"/>
    <w:bookmarkEnd w:id="2"/>
    <w:p w14:paraId="68B60B07" w14:textId="77777777" w:rsidR="0093003C" w:rsidRDefault="0093003C">
      <w:pPr>
        <w:pStyle w:val="Pagrindinistekstas"/>
        <w:spacing w:after="0"/>
        <w:rPr>
          <w:szCs w:val="22"/>
        </w:rPr>
      </w:pPr>
    </w:p>
    <w:p w14:paraId="2AD20467" w14:textId="77777777" w:rsidR="0093003C" w:rsidRDefault="0093003C" w:rsidP="00A66F3E">
      <w:pPr>
        <w:pStyle w:val="Antrat3"/>
      </w:pPr>
      <w:r>
        <w:t>4.2</w:t>
      </w:r>
      <w:r>
        <w:tab/>
        <w:t>Dozavimas ir vartojimo metodas</w:t>
      </w:r>
    </w:p>
    <w:p w14:paraId="55FFBCBB" w14:textId="77777777" w:rsidR="0093003C" w:rsidRDefault="0093003C">
      <w:pPr>
        <w:pStyle w:val="Pagrindinistekstas"/>
        <w:spacing w:after="0"/>
        <w:rPr>
          <w:szCs w:val="22"/>
        </w:rPr>
      </w:pPr>
    </w:p>
    <w:p w14:paraId="4EF83F8E" w14:textId="77777777" w:rsidR="0093003C" w:rsidRDefault="0093003C">
      <w:pPr>
        <w:rPr>
          <w:szCs w:val="22"/>
          <w:u w:val="single"/>
        </w:rPr>
      </w:pPr>
      <w:r>
        <w:rPr>
          <w:szCs w:val="22"/>
          <w:u w:val="single"/>
        </w:rPr>
        <w:t>Dozavimas</w:t>
      </w:r>
    </w:p>
    <w:p w14:paraId="24AAFA76" w14:textId="77777777" w:rsidR="0093003C" w:rsidRDefault="0093003C">
      <w:pPr>
        <w:rPr>
          <w:szCs w:val="22"/>
        </w:rPr>
      </w:pPr>
      <w:r>
        <w:rPr>
          <w:szCs w:val="22"/>
        </w:rPr>
        <w:t>Maksimali paros dozė yra 30 mg hidroksiantraceno glikozidų. Tai atitinka 4 SENEFOL tabletes. Tinkama individuali dozė yra mažiausia dozė, reikalinga minkštai suformuotų išmatų susidarymui.</w:t>
      </w:r>
    </w:p>
    <w:p w14:paraId="4E574C78" w14:textId="77777777" w:rsidR="0093003C" w:rsidRDefault="0093003C">
      <w:pPr>
        <w:rPr>
          <w:szCs w:val="22"/>
        </w:rPr>
      </w:pPr>
    </w:p>
    <w:p w14:paraId="061D7C00" w14:textId="77777777" w:rsidR="0093003C" w:rsidRDefault="0093003C">
      <w:pPr>
        <w:rPr>
          <w:i/>
          <w:szCs w:val="22"/>
        </w:rPr>
      </w:pPr>
      <w:r>
        <w:rPr>
          <w:i/>
          <w:szCs w:val="22"/>
        </w:rPr>
        <w:t xml:space="preserve">Suaugusieji, paaugliai vyresni kaip 12 metų ir senyvi pacientai </w:t>
      </w:r>
    </w:p>
    <w:p w14:paraId="342ACEC3" w14:textId="77777777" w:rsidR="0093003C" w:rsidRDefault="0093003C">
      <w:pPr>
        <w:rPr>
          <w:szCs w:val="22"/>
        </w:rPr>
      </w:pPr>
      <w:r>
        <w:rPr>
          <w:iCs/>
          <w:szCs w:val="22"/>
        </w:rPr>
        <w:t>SENEFOL</w:t>
      </w:r>
      <w:r>
        <w:rPr>
          <w:szCs w:val="22"/>
        </w:rPr>
        <w:t xml:space="preserve">  reikia vartoti po 2-4 tabletes vieną kartą per dieną, prieš miegą. </w:t>
      </w:r>
    </w:p>
    <w:p w14:paraId="694AE29C" w14:textId="77777777" w:rsidR="0093003C" w:rsidRDefault="0093003C">
      <w:pPr>
        <w:rPr>
          <w:szCs w:val="22"/>
          <w:u w:val="single"/>
        </w:rPr>
      </w:pPr>
    </w:p>
    <w:p w14:paraId="78E4575B" w14:textId="77777777" w:rsidR="0093003C" w:rsidRDefault="0093003C">
      <w:pPr>
        <w:rPr>
          <w:i/>
          <w:szCs w:val="22"/>
        </w:rPr>
      </w:pPr>
      <w:r>
        <w:rPr>
          <w:i/>
          <w:szCs w:val="22"/>
        </w:rPr>
        <w:t>Vaikų populiacija</w:t>
      </w:r>
    </w:p>
    <w:p w14:paraId="6AF83258" w14:textId="77777777" w:rsidR="0093003C" w:rsidRDefault="0093003C">
      <w:pPr>
        <w:rPr>
          <w:szCs w:val="22"/>
        </w:rPr>
      </w:pPr>
      <w:r>
        <w:rPr>
          <w:szCs w:val="22"/>
        </w:rPr>
        <w:t>Vaikams iki 12 metų vaistinio preparato vartoti draudžiama (žr. 4.3 skyrių).</w:t>
      </w:r>
    </w:p>
    <w:p w14:paraId="4EB05693" w14:textId="77777777" w:rsidR="0093003C" w:rsidRDefault="0093003C">
      <w:pPr>
        <w:jc w:val="both"/>
        <w:rPr>
          <w:i/>
          <w:szCs w:val="22"/>
        </w:rPr>
      </w:pPr>
    </w:p>
    <w:p w14:paraId="5DF621F0" w14:textId="77777777" w:rsidR="0093003C" w:rsidRDefault="0093003C" w:rsidP="00F71A40">
      <w:pPr>
        <w:jc w:val="both"/>
        <w:rPr>
          <w:szCs w:val="22"/>
          <w:u w:val="single"/>
        </w:rPr>
      </w:pPr>
      <w:r>
        <w:rPr>
          <w:szCs w:val="22"/>
          <w:u w:val="single"/>
        </w:rPr>
        <w:t>Vartojimo metodas</w:t>
      </w:r>
    </w:p>
    <w:p w14:paraId="4680DA8A" w14:textId="3A282845" w:rsidR="0093003C" w:rsidRDefault="00A17225">
      <w:pPr>
        <w:jc w:val="both"/>
        <w:rPr>
          <w:szCs w:val="22"/>
        </w:rPr>
      </w:pPr>
      <w:r>
        <w:rPr>
          <w:szCs w:val="22"/>
        </w:rPr>
        <w:t>Vaistinį p</w:t>
      </w:r>
      <w:r w:rsidR="0093003C">
        <w:rPr>
          <w:szCs w:val="22"/>
        </w:rPr>
        <w:t>reparatą patariama užsigerti mažiausiai 100 ml (puse stiklinės) vandens.</w:t>
      </w:r>
    </w:p>
    <w:p w14:paraId="584CBE9E" w14:textId="77777777" w:rsidR="0093003C" w:rsidRDefault="0093003C">
      <w:pPr>
        <w:rPr>
          <w:szCs w:val="22"/>
        </w:rPr>
      </w:pPr>
    </w:p>
    <w:p w14:paraId="13398F1D" w14:textId="77777777" w:rsidR="0093003C" w:rsidRDefault="0093003C">
      <w:pPr>
        <w:rPr>
          <w:szCs w:val="22"/>
        </w:rPr>
      </w:pPr>
      <w:r>
        <w:rPr>
          <w:szCs w:val="22"/>
        </w:rPr>
        <w:t>Vaist</w:t>
      </w:r>
      <w:r w:rsidR="0019412D">
        <w:rPr>
          <w:szCs w:val="22"/>
        </w:rPr>
        <w:t>inio preparato</w:t>
      </w:r>
      <w:r>
        <w:rPr>
          <w:szCs w:val="22"/>
        </w:rPr>
        <w:t xml:space="preserve"> be gydytojo priežiūros negalima vartoti ilgiau nei 1-2 savaites. Paprastai vaist</w:t>
      </w:r>
      <w:r w:rsidR="0019412D">
        <w:rPr>
          <w:szCs w:val="22"/>
        </w:rPr>
        <w:t>inio preparato</w:t>
      </w:r>
      <w:r>
        <w:rPr>
          <w:szCs w:val="22"/>
        </w:rPr>
        <w:t xml:space="preserve"> vartoti pakanka du arba tris kartus per savaitę. Taip pat žiūrėkite 4.4 skyrių.</w:t>
      </w:r>
    </w:p>
    <w:p w14:paraId="22340B9A" w14:textId="77777777" w:rsidR="0093003C" w:rsidRDefault="0093003C">
      <w:pPr>
        <w:jc w:val="both"/>
        <w:rPr>
          <w:szCs w:val="22"/>
        </w:rPr>
      </w:pPr>
    </w:p>
    <w:p w14:paraId="41ADD209" w14:textId="77777777" w:rsidR="0093003C" w:rsidRDefault="0093003C" w:rsidP="006B1B5D">
      <w:pPr>
        <w:rPr>
          <w:b/>
          <w:szCs w:val="22"/>
        </w:rPr>
      </w:pPr>
      <w:r w:rsidRPr="006B1B5D">
        <w:rPr>
          <w:b/>
          <w:szCs w:val="22"/>
        </w:rPr>
        <w:t>4.3</w:t>
      </w:r>
      <w:r w:rsidRPr="006B1B5D">
        <w:rPr>
          <w:b/>
          <w:szCs w:val="22"/>
        </w:rPr>
        <w:tab/>
        <w:t>Kontraindikacijos</w:t>
      </w:r>
    </w:p>
    <w:p w14:paraId="445F7ADC" w14:textId="77777777" w:rsidR="00212B02" w:rsidRPr="006B1B5D" w:rsidRDefault="00212B02" w:rsidP="006B1B5D">
      <w:pPr>
        <w:rPr>
          <w:b/>
          <w:szCs w:val="22"/>
        </w:rPr>
      </w:pPr>
    </w:p>
    <w:p w14:paraId="1DF930BA" w14:textId="77777777" w:rsidR="0093003C" w:rsidRDefault="0093003C">
      <w:pPr>
        <w:rPr>
          <w:szCs w:val="22"/>
        </w:rPr>
      </w:pPr>
      <w:r>
        <w:rPr>
          <w:szCs w:val="22"/>
        </w:rPr>
        <w:t>Padidėjęs jautrumas veikliajai arba bet kuriai 6.1 skyriuje nurodytai pagalbinei medžiagai.</w:t>
      </w:r>
    </w:p>
    <w:p w14:paraId="7BCF0B23" w14:textId="77777777" w:rsidR="0093003C" w:rsidRDefault="0093003C">
      <w:pPr>
        <w:rPr>
          <w:szCs w:val="22"/>
        </w:rPr>
      </w:pPr>
      <w:r>
        <w:rPr>
          <w:szCs w:val="22"/>
        </w:rPr>
        <w:t>Žarnų nepraeinamumas.</w:t>
      </w:r>
    </w:p>
    <w:p w14:paraId="50EB2710" w14:textId="77777777" w:rsidR="0093003C" w:rsidRDefault="0093003C">
      <w:pPr>
        <w:rPr>
          <w:szCs w:val="22"/>
        </w:rPr>
      </w:pPr>
      <w:r>
        <w:rPr>
          <w:szCs w:val="22"/>
        </w:rPr>
        <w:t>Žarnų stenozė ir atonija.</w:t>
      </w:r>
    </w:p>
    <w:p w14:paraId="6846797C" w14:textId="77777777" w:rsidR="0093003C" w:rsidRDefault="0093003C">
      <w:pPr>
        <w:rPr>
          <w:szCs w:val="22"/>
        </w:rPr>
      </w:pPr>
      <w:r>
        <w:rPr>
          <w:szCs w:val="22"/>
        </w:rPr>
        <w:t>Ūminė uždegiminė žarnų liga ( pvz. Krono liga, opinis kolitas).</w:t>
      </w:r>
    </w:p>
    <w:p w14:paraId="72AF80BB" w14:textId="77777777" w:rsidR="0093003C" w:rsidRDefault="0093003C">
      <w:pPr>
        <w:rPr>
          <w:szCs w:val="22"/>
        </w:rPr>
      </w:pPr>
      <w:r>
        <w:rPr>
          <w:szCs w:val="22"/>
        </w:rPr>
        <w:t>Neaiškios kilmės pilvo skausmas.</w:t>
      </w:r>
    </w:p>
    <w:p w14:paraId="51EA7B58" w14:textId="77777777" w:rsidR="0093003C" w:rsidRDefault="0093003C">
      <w:pPr>
        <w:rPr>
          <w:szCs w:val="22"/>
        </w:rPr>
      </w:pPr>
      <w:r>
        <w:rPr>
          <w:szCs w:val="22"/>
        </w:rPr>
        <w:t>Sunki dehidracija su skysčio ir elektrolitų netekimu.</w:t>
      </w:r>
    </w:p>
    <w:p w14:paraId="2B8AD116" w14:textId="77777777" w:rsidR="0093003C" w:rsidRDefault="0093003C">
      <w:pPr>
        <w:pStyle w:val="Pagrindinistekstas"/>
        <w:spacing w:after="0"/>
        <w:rPr>
          <w:szCs w:val="22"/>
        </w:rPr>
      </w:pPr>
      <w:r>
        <w:rPr>
          <w:szCs w:val="22"/>
        </w:rPr>
        <w:t>Vaikai iki 12 metų.</w:t>
      </w:r>
    </w:p>
    <w:p w14:paraId="078404F9" w14:textId="77777777" w:rsidR="0093003C" w:rsidRDefault="0093003C" w:rsidP="00A66F3E">
      <w:pPr>
        <w:pStyle w:val="Antrat3"/>
      </w:pPr>
    </w:p>
    <w:p w14:paraId="6EBF7EF9" w14:textId="77777777" w:rsidR="0093003C" w:rsidRDefault="0093003C" w:rsidP="00A66F3E">
      <w:pPr>
        <w:pStyle w:val="Antrat3"/>
      </w:pPr>
      <w:r>
        <w:t>4.4</w:t>
      </w:r>
      <w:r>
        <w:tab/>
        <w:t>Specialūs įspėjimai ir atsargumo priemonės</w:t>
      </w:r>
    </w:p>
    <w:p w14:paraId="43771157" w14:textId="77777777" w:rsidR="0093003C" w:rsidRDefault="0093003C">
      <w:pPr>
        <w:pStyle w:val="Pagrindinistekstas"/>
        <w:spacing w:after="0"/>
        <w:rPr>
          <w:szCs w:val="22"/>
        </w:rPr>
      </w:pPr>
    </w:p>
    <w:p w14:paraId="49E10C40" w14:textId="77777777" w:rsidR="0093003C" w:rsidRDefault="0093003C">
      <w:pPr>
        <w:pStyle w:val="Pagrindinistekstas"/>
        <w:spacing w:after="0"/>
        <w:rPr>
          <w:szCs w:val="22"/>
        </w:rPr>
      </w:pPr>
      <w:r>
        <w:rPr>
          <w:szCs w:val="22"/>
        </w:rPr>
        <w:lastRenderedPageBreak/>
        <w:t>Pacientai, vartojantys širdies glikozidus, antiaritminius vaist</w:t>
      </w:r>
      <w:r w:rsidR="0019412D">
        <w:rPr>
          <w:szCs w:val="22"/>
        </w:rPr>
        <w:t>ini</w:t>
      </w:r>
      <w:r>
        <w:rPr>
          <w:szCs w:val="22"/>
        </w:rPr>
        <w:t>us</w:t>
      </w:r>
      <w:r w:rsidR="00874C39">
        <w:rPr>
          <w:szCs w:val="22"/>
        </w:rPr>
        <w:t xml:space="preserve"> preparatus</w:t>
      </w:r>
      <w:r>
        <w:rPr>
          <w:szCs w:val="22"/>
        </w:rPr>
        <w:t>, QT intervalą pailginančius vaist</w:t>
      </w:r>
      <w:r w:rsidR="00874C39">
        <w:rPr>
          <w:szCs w:val="22"/>
        </w:rPr>
        <w:t>ini</w:t>
      </w:r>
      <w:r>
        <w:rPr>
          <w:szCs w:val="22"/>
        </w:rPr>
        <w:t>us</w:t>
      </w:r>
      <w:r w:rsidR="00874C39">
        <w:rPr>
          <w:szCs w:val="22"/>
        </w:rPr>
        <w:t xml:space="preserve"> preparatus</w:t>
      </w:r>
      <w:r>
        <w:rPr>
          <w:szCs w:val="22"/>
        </w:rPr>
        <w:t>, diuretikus, adrenokortikosteroidus arba saldymedžių šaknų preparatus, prieš pradėdami vartoti SENEFOL privalo pasikonsultuoti su gydytoju.</w:t>
      </w:r>
    </w:p>
    <w:p w14:paraId="599FBE54" w14:textId="77777777" w:rsidR="0093003C" w:rsidRDefault="0093003C">
      <w:pPr>
        <w:pStyle w:val="Pagrindinistekstas"/>
        <w:spacing w:after="0"/>
        <w:rPr>
          <w:szCs w:val="22"/>
        </w:rPr>
      </w:pPr>
      <w:r>
        <w:rPr>
          <w:szCs w:val="22"/>
        </w:rPr>
        <w:t xml:space="preserve">Kaip ir kitų vidurius paleidžiančių </w:t>
      </w:r>
      <w:r w:rsidR="0019412D">
        <w:rPr>
          <w:szCs w:val="22"/>
        </w:rPr>
        <w:t>vaistinių preparatų</w:t>
      </w:r>
      <w:r>
        <w:rPr>
          <w:szCs w:val="22"/>
        </w:rPr>
        <w:t>, SENEFOL negalima vartoti pacientams, negalintiems pasituštinti arba kuriems ūmiai arba nuolat pasireiškė neaiškios priežasties virškinimo trakto simptomai, pvz., pilvo skausmai, pykinimas ir vėmimas, nes tai gali būti žarnų nepraeinamumo požymiai.</w:t>
      </w:r>
    </w:p>
    <w:p w14:paraId="60557681" w14:textId="77777777" w:rsidR="0093003C" w:rsidRDefault="0093003C">
      <w:pPr>
        <w:pStyle w:val="Pagrindinistekstas"/>
        <w:spacing w:after="0"/>
        <w:rPr>
          <w:szCs w:val="22"/>
        </w:rPr>
      </w:pPr>
      <w:r>
        <w:rPr>
          <w:szCs w:val="22"/>
        </w:rPr>
        <w:t xml:space="preserve">Jei liuosuojančių </w:t>
      </w:r>
      <w:r w:rsidR="0019412D">
        <w:rPr>
          <w:szCs w:val="22"/>
        </w:rPr>
        <w:t>vaistinių preparatų</w:t>
      </w:r>
      <w:r>
        <w:rPr>
          <w:szCs w:val="22"/>
        </w:rPr>
        <w:t xml:space="preserve"> reikia kasdien, būtina ištirti vidurių užkietėjimo priežastis. Reikia vengti ilgesnį laiką vartoti laisvinančių </w:t>
      </w:r>
      <w:r w:rsidR="0019412D">
        <w:rPr>
          <w:szCs w:val="22"/>
        </w:rPr>
        <w:t>vaistinių preparatų</w:t>
      </w:r>
      <w:r>
        <w:rPr>
          <w:szCs w:val="22"/>
        </w:rPr>
        <w:t>.</w:t>
      </w:r>
    </w:p>
    <w:p w14:paraId="49B01279" w14:textId="77777777" w:rsidR="0093003C" w:rsidRDefault="0093003C">
      <w:pPr>
        <w:pStyle w:val="Pagrindinistekstas"/>
        <w:spacing w:after="0"/>
        <w:rPr>
          <w:szCs w:val="22"/>
        </w:rPr>
      </w:pPr>
      <w:r>
        <w:rPr>
          <w:szCs w:val="22"/>
        </w:rPr>
        <w:t>SENEFOL vartojant ilgesnį laiką gali sutrikti žarnyno funkcija ir išsivystyti priklausomybė vidurius paleidžiantiems vaist</w:t>
      </w:r>
      <w:r w:rsidR="0019412D">
        <w:rPr>
          <w:szCs w:val="22"/>
        </w:rPr>
        <w:t>ini</w:t>
      </w:r>
      <w:r>
        <w:rPr>
          <w:szCs w:val="22"/>
        </w:rPr>
        <w:t>ams</w:t>
      </w:r>
      <w:r w:rsidR="0019412D">
        <w:rPr>
          <w:szCs w:val="22"/>
        </w:rPr>
        <w:t xml:space="preserve"> preparatams</w:t>
      </w:r>
      <w:r>
        <w:rPr>
          <w:szCs w:val="22"/>
        </w:rPr>
        <w:t>. SENEFOL reikia vartoti tik tais atvejais, kai kitų priemonių (pvz. dietos pokyčiai ar išmatų tūrį didinančios priemonės) nepakanka.</w:t>
      </w:r>
    </w:p>
    <w:p w14:paraId="02C17D1C" w14:textId="77777777" w:rsidR="0093003C" w:rsidRDefault="0093003C">
      <w:pPr>
        <w:pStyle w:val="Pagrindinistekstas"/>
        <w:spacing w:after="0"/>
        <w:rPr>
          <w:szCs w:val="22"/>
        </w:rPr>
      </w:pPr>
    </w:p>
    <w:p w14:paraId="53E943C8" w14:textId="77777777" w:rsidR="0093003C" w:rsidRDefault="0093003C">
      <w:pPr>
        <w:pStyle w:val="Pagrindinistekstas"/>
        <w:spacing w:after="0"/>
        <w:rPr>
          <w:szCs w:val="22"/>
        </w:rPr>
      </w:pPr>
      <w:r>
        <w:rPr>
          <w:szCs w:val="22"/>
        </w:rPr>
        <w:t>Jei SENEFOL yra skiriamas išmatų nelaikantiems suaugusiems, siekiant išvengti odos kontakto su išmatomis, įklotus reikia keisti kaip galima dažniau.</w:t>
      </w:r>
    </w:p>
    <w:p w14:paraId="36DA3ABB" w14:textId="77777777" w:rsidR="0093003C" w:rsidRDefault="0093003C">
      <w:pPr>
        <w:pStyle w:val="Pagrindinistekstas"/>
        <w:spacing w:after="0"/>
        <w:rPr>
          <w:szCs w:val="22"/>
        </w:rPr>
      </w:pPr>
    </w:p>
    <w:p w14:paraId="6D0BF810" w14:textId="77777777" w:rsidR="0093003C" w:rsidRDefault="0093003C">
      <w:pPr>
        <w:pStyle w:val="Pagrindinistekstas"/>
        <w:spacing w:after="0"/>
        <w:rPr>
          <w:szCs w:val="22"/>
        </w:rPr>
      </w:pPr>
      <w:r>
        <w:rPr>
          <w:szCs w:val="22"/>
        </w:rPr>
        <w:t xml:space="preserve">Skiriant </w:t>
      </w:r>
      <w:r w:rsidR="00874C39">
        <w:t>vaistinio preparato</w:t>
      </w:r>
      <w:r>
        <w:rPr>
          <w:szCs w:val="22"/>
        </w:rPr>
        <w:t xml:space="preserve"> pacientams, sergantiems inkstų ligomis, reikia įvertinti galimą elektrolitų disbalansą.</w:t>
      </w:r>
    </w:p>
    <w:p w14:paraId="7F387FBC" w14:textId="77777777" w:rsidR="0093003C" w:rsidRDefault="0093003C">
      <w:pPr>
        <w:pStyle w:val="Pagrindinistekstas"/>
        <w:spacing w:after="0"/>
        <w:rPr>
          <w:szCs w:val="22"/>
        </w:rPr>
      </w:pPr>
    </w:p>
    <w:p w14:paraId="35894E27" w14:textId="77777777" w:rsidR="0093003C" w:rsidRDefault="0093003C" w:rsidP="00A66F3E">
      <w:pPr>
        <w:pStyle w:val="Antrat3"/>
      </w:pPr>
      <w:r>
        <w:t>4.5</w:t>
      </w:r>
      <w:r>
        <w:tab/>
        <w:t>Sąveika su kitais vaistiniais preparatais ir kitokia sąveika</w:t>
      </w:r>
    </w:p>
    <w:p w14:paraId="6F87F592" w14:textId="77777777" w:rsidR="0093003C" w:rsidRDefault="0093003C">
      <w:pPr>
        <w:pStyle w:val="Pagrindinistekstas"/>
        <w:spacing w:after="0"/>
        <w:rPr>
          <w:szCs w:val="22"/>
        </w:rPr>
      </w:pPr>
    </w:p>
    <w:p w14:paraId="4DE4E636" w14:textId="77777777" w:rsidR="0093003C" w:rsidRDefault="0093003C">
      <w:pPr>
        <w:rPr>
          <w:szCs w:val="22"/>
        </w:rPr>
      </w:pPr>
      <w:r>
        <w:rPr>
          <w:szCs w:val="22"/>
        </w:rPr>
        <w:t xml:space="preserve">Nuolatinis vartojimas ar piktnaudžiavimas vidurius laisvinančiais vaistiniais preparatais gali sukelti kalio trūkumą (hipokalemiją),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61608F57" w14:textId="77777777" w:rsidR="0093003C" w:rsidRDefault="0093003C">
      <w:pPr>
        <w:rPr>
          <w:szCs w:val="22"/>
        </w:rPr>
      </w:pPr>
    </w:p>
    <w:p w14:paraId="5067E1C2" w14:textId="77777777" w:rsidR="0093003C" w:rsidRDefault="0093003C">
      <w:pPr>
        <w:pStyle w:val="Style1"/>
      </w:pPr>
      <w:r>
        <w:t>Vidurius laisvinantys vaistiniai preparatai</w:t>
      </w:r>
      <w:r w:rsidR="00D6758A">
        <w:t>,</w:t>
      </w:r>
      <w:r>
        <w:t xml:space="preserve"> vartojami kartu su kitais hipokalemiją sukeliančiais vaist</w:t>
      </w:r>
      <w:r w:rsidR="0019412D">
        <w:t>ini</w:t>
      </w:r>
      <w:r>
        <w:t xml:space="preserve">ais </w:t>
      </w:r>
      <w:r w:rsidR="0019412D">
        <w:t xml:space="preserve">preparatais </w:t>
      </w:r>
      <w:r>
        <w:t>(diuretikais, gliukokortikoidais ir saldymedžio šaknų preparatais)</w:t>
      </w:r>
      <w:r w:rsidR="00D6758A">
        <w:t>,</w:t>
      </w:r>
      <w:r>
        <w:t xml:space="preserve"> gali skatinti elektrolitų pusiausvyros sutrikimą.</w:t>
      </w:r>
    </w:p>
    <w:p w14:paraId="3C4CB18F" w14:textId="77777777" w:rsidR="0093003C" w:rsidRDefault="0093003C">
      <w:pPr>
        <w:pStyle w:val="Pagrindinistekstas"/>
        <w:spacing w:after="0"/>
        <w:rPr>
          <w:szCs w:val="22"/>
        </w:rPr>
      </w:pPr>
    </w:p>
    <w:p w14:paraId="65448BDF" w14:textId="77777777" w:rsidR="0093003C" w:rsidRDefault="0093003C" w:rsidP="00A66F3E">
      <w:pPr>
        <w:pStyle w:val="PI-2EMEASMCA"/>
        <w:numPr>
          <w:ilvl w:val="1"/>
          <w:numId w:val="7"/>
        </w:numPr>
      </w:pPr>
      <w:bookmarkStart w:id="3" w:name="_Toc129243107"/>
      <w:bookmarkStart w:id="4" w:name="_Toc129243232"/>
      <w:r>
        <w:t>Vaisingumas, nėštumo ir žindymo laikotarpis</w:t>
      </w:r>
      <w:bookmarkEnd w:id="3"/>
      <w:bookmarkEnd w:id="4"/>
    </w:p>
    <w:p w14:paraId="11B6CA73" w14:textId="77777777" w:rsidR="0093003C" w:rsidRDefault="0093003C" w:rsidP="00A66F3E">
      <w:pPr>
        <w:pStyle w:val="Antrat3"/>
      </w:pPr>
    </w:p>
    <w:p w14:paraId="2C81487D" w14:textId="77777777" w:rsidR="0093003C" w:rsidRPr="006C2976" w:rsidRDefault="0093003C">
      <w:pPr>
        <w:rPr>
          <w:szCs w:val="22"/>
          <w:u w:val="single"/>
        </w:rPr>
      </w:pPr>
      <w:r w:rsidRPr="006C2976">
        <w:rPr>
          <w:szCs w:val="22"/>
          <w:u w:val="single"/>
        </w:rPr>
        <w:t>Nėštumas</w:t>
      </w:r>
    </w:p>
    <w:p w14:paraId="76C6AB6A" w14:textId="77777777" w:rsidR="0093003C" w:rsidRDefault="0093003C">
      <w:pPr>
        <w:rPr>
          <w:szCs w:val="22"/>
        </w:rPr>
      </w:pPr>
      <w:r>
        <w:rPr>
          <w:szCs w:val="22"/>
        </w:rPr>
        <w:t>Nėra duomenų apie nepageidaujamą ar žalojantį poveikį motinai ar vaisiui nėštumo metu vartojant rekomenduojamomis dozėmis.</w:t>
      </w:r>
    </w:p>
    <w:p w14:paraId="3EAAF0B4" w14:textId="77777777" w:rsidR="0093003C" w:rsidRDefault="0093003C">
      <w:pPr>
        <w:rPr>
          <w:szCs w:val="22"/>
        </w:rPr>
      </w:pPr>
    </w:p>
    <w:p w14:paraId="3EE0F225" w14:textId="77777777" w:rsidR="0093003C" w:rsidRDefault="0093003C">
      <w:pPr>
        <w:rPr>
          <w:szCs w:val="22"/>
        </w:rPr>
      </w:pPr>
      <w:r>
        <w:rPr>
          <w:szCs w:val="22"/>
        </w:rPr>
        <w:t xml:space="preserve">Remiantis kai kurių antranoidų, pvz., emodino ir aloe-emodino genotoksiškumo eksperimentiniais duomenimis, SENEFOL nerekomenduojama vartoti nėštumo metu.  </w:t>
      </w:r>
    </w:p>
    <w:p w14:paraId="56B65D97" w14:textId="77777777" w:rsidR="0093003C" w:rsidRDefault="0093003C">
      <w:pPr>
        <w:rPr>
          <w:szCs w:val="22"/>
        </w:rPr>
      </w:pPr>
    </w:p>
    <w:p w14:paraId="2D315621" w14:textId="77777777" w:rsidR="0093003C" w:rsidRPr="006C2976" w:rsidRDefault="0093003C">
      <w:pPr>
        <w:rPr>
          <w:szCs w:val="22"/>
          <w:u w:val="single"/>
        </w:rPr>
      </w:pPr>
      <w:r w:rsidRPr="006C2976">
        <w:rPr>
          <w:szCs w:val="22"/>
          <w:u w:val="single"/>
        </w:rPr>
        <w:t>Žindymas</w:t>
      </w:r>
    </w:p>
    <w:p w14:paraId="58C1F585" w14:textId="77777777" w:rsidR="0093003C" w:rsidRDefault="0093003C">
      <w:pPr>
        <w:rPr>
          <w:szCs w:val="22"/>
        </w:rPr>
      </w:pPr>
      <w:r>
        <w:rPr>
          <w:szCs w:val="22"/>
        </w:rPr>
        <w:t>SENEFOL nerekomenduojama vartoti žindymo metu, nes nežinoma, kiek metabolitų patenka į motinos pieną.</w:t>
      </w:r>
    </w:p>
    <w:p w14:paraId="23F4DEBD" w14:textId="77777777" w:rsidR="0093003C" w:rsidRDefault="0093003C" w:rsidP="006C2976">
      <w:r>
        <w:t>Nedideli kiekiai aktyvaus metabolito reino patenka į motinos pieną, tačiau nebuvo pranešta apie vidurius laisvinantį poveikį žindomiems kūdikiams.</w:t>
      </w:r>
    </w:p>
    <w:p w14:paraId="0411AFF6" w14:textId="77777777" w:rsidR="0093003C" w:rsidRDefault="0093003C">
      <w:pPr>
        <w:pStyle w:val="Pagrindinistekstas"/>
        <w:spacing w:after="0"/>
        <w:rPr>
          <w:szCs w:val="22"/>
        </w:rPr>
      </w:pPr>
    </w:p>
    <w:p w14:paraId="359825CB" w14:textId="77777777" w:rsidR="0093003C" w:rsidRDefault="0093003C" w:rsidP="00A66F3E">
      <w:pPr>
        <w:pStyle w:val="Antrat3"/>
      </w:pPr>
      <w:r>
        <w:t>4.7</w:t>
      </w:r>
      <w:r>
        <w:tab/>
        <w:t>Poveikis gebėjimui vairuoti ir valdyti mechanizmus</w:t>
      </w:r>
    </w:p>
    <w:p w14:paraId="28EEA3C8" w14:textId="77777777" w:rsidR="0093003C" w:rsidRDefault="0093003C">
      <w:pPr>
        <w:pStyle w:val="Pagrindinistekstas"/>
        <w:spacing w:after="0"/>
        <w:rPr>
          <w:szCs w:val="22"/>
        </w:rPr>
      </w:pPr>
    </w:p>
    <w:p w14:paraId="660DEA9F" w14:textId="77777777" w:rsidR="0093003C" w:rsidRDefault="0093003C">
      <w:pPr>
        <w:pStyle w:val="Pagrindinistekstas"/>
        <w:spacing w:after="0"/>
        <w:rPr>
          <w:szCs w:val="22"/>
        </w:rPr>
      </w:pPr>
      <w:r>
        <w:rPr>
          <w:szCs w:val="22"/>
        </w:rPr>
        <w:t>Nėra jokių duomenų apie SENEFOL poveikį gebėjimui vairuoti ar valdyti mechanizmus.</w:t>
      </w:r>
    </w:p>
    <w:p w14:paraId="3EEED417" w14:textId="77777777" w:rsidR="0093003C" w:rsidRDefault="0093003C">
      <w:pPr>
        <w:pStyle w:val="Pagrindinistekstas"/>
        <w:spacing w:after="0"/>
        <w:rPr>
          <w:szCs w:val="22"/>
        </w:rPr>
      </w:pPr>
    </w:p>
    <w:p w14:paraId="6B4B59A2" w14:textId="77777777" w:rsidR="0093003C" w:rsidRDefault="0093003C" w:rsidP="00A66F3E">
      <w:pPr>
        <w:pStyle w:val="Antrat3"/>
      </w:pPr>
      <w:r>
        <w:t>4.8</w:t>
      </w:r>
      <w:r>
        <w:tab/>
        <w:t>Nepageidaujamas poveikis</w:t>
      </w:r>
    </w:p>
    <w:p w14:paraId="44BA8F8A" w14:textId="77777777" w:rsidR="0093003C" w:rsidRDefault="0093003C">
      <w:pPr>
        <w:pStyle w:val="Porat"/>
        <w:rPr>
          <w:szCs w:val="22"/>
        </w:rPr>
      </w:pPr>
    </w:p>
    <w:p w14:paraId="44218C5B" w14:textId="77777777" w:rsidR="0093003C" w:rsidRDefault="0093003C">
      <w:pPr>
        <w:pStyle w:val="BTEMEASMCA"/>
      </w:pPr>
      <w:r>
        <w:t>Vartojant SENEFOL, gali pasireikšti padidėjusio jautrumo reakcijų (niežėjimas, dilgėlinė, vietinė arba generalizuota egzantema).</w:t>
      </w:r>
    </w:p>
    <w:p w14:paraId="56125620" w14:textId="77777777" w:rsidR="0093003C" w:rsidRDefault="0093003C">
      <w:pPr>
        <w:pStyle w:val="BTEMEASMCA"/>
      </w:pPr>
    </w:p>
    <w:p w14:paraId="187EE604" w14:textId="77777777" w:rsidR="0093003C" w:rsidRDefault="0093003C">
      <w:pPr>
        <w:pStyle w:val="BTEMEASMCA"/>
      </w:pPr>
      <w:r>
        <w:t xml:space="preserve">Senos lapų preparatai gali sukelti pilvo skausmą, spazmą arba viduriavimą, ypač dirglios žarnos sindromu sergantiems pacientams. Be to, šie simptomai gali pasireikšti ir perdozavus vaistinio preparato. Tokiais atvejais būtina sumažinti </w:t>
      </w:r>
      <w:r w:rsidR="0019412D">
        <w:t>vaistinio preparato</w:t>
      </w:r>
      <w:r>
        <w:t xml:space="preserve"> dozę.</w:t>
      </w:r>
    </w:p>
    <w:p w14:paraId="574AD981" w14:textId="77777777" w:rsidR="0093003C" w:rsidRDefault="0093003C">
      <w:pPr>
        <w:pStyle w:val="BTEMEASMCA"/>
      </w:pPr>
    </w:p>
    <w:p w14:paraId="6D871096" w14:textId="77777777" w:rsidR="0093003C" w:rsidRDefault="0093003C">
      <w:pPr>
        <w:pStyle w:val="Porat"/>
        <w:rPr>
          <w:szCs w:val="22"/>
        </w:rPr>
      </w:pPr>
      <w:r>
        <w:rPr>
          <w:szCs w:val="22"/>
        </w:rPr>
        <w:t>Vartojant ilgą laiką, gali sutrikti vandens ir elektrolitų pusiausvyr</w:t>
      </w:r>
      <w:r w:rsidR="00D6758A">
        <w:rPr>
          <w:szCs w:val="22"/>
        </w:rPr>
        <w:t>a</w:t>
      </w:r>
      <w:r>
        <w:rPr>
          <w:szCs w:val="22"/>
        </w:rPr>
        <w:t xml:space="preserve"> ir atsirasti albuminurija ir hematurija. Taip pat dėl ilgalaikio vartojimo gali išsivystyti žarnų gleivinės pigmentacija (</w:t>
      </w:r>
      <w:r>
        <w:rPr>
          <w:i/>
          <w:szCs w:val="22"/>
        </w:rPr>
        <w:t>Pseudomelanosis coli</w:t>
      </w:r>
      <w:r>
        <w:rPr>
          <w:szCs w:val="22"/>
        </w:rPr>
        <w:t xml:space="preserve">), kuri paprastai praeina nustojus vartoti </w:t>
      </w:r>
      <w:r w:rsidR="0019412D">
        <w:t>vaistinio preparato</w:t>
      </w:r>
      <w:r>
        <w:rPr>
          <w:szCs w:val="22"/>
        </w:rPr>
        <w:t>.</w:t>
      </w:r>
    </w:p>
    <w:p w14:paraId="71944BD1" w14:textId="77777777" w:rsidR="0093003C" w:rsidRDefault="0093003C">
      <w:pPr>
        <w:pStyle w:val="Porat"/>
        <w:rPr>
          <w:szCs w:val="22"/>
        </w:rPr>
      </w:pPr>
    </w:p>
    <w:p w14:paraId="612D7E65" w14:textId="77777777" w:rsidR="0093003C" w:rsidRDefault="0093003C">
      <w:pPr>
        <w:pStyle w:val="Porat"/>
        <w:rPr>
          <w:szCs w:val="22"/>
        </w:rPr>
      </w:pPr>
      <w:r>
        <w:rPr>
          <w:szCs w:val="22"/>
        </w:rPr>
        <w:t>Gydymo metu šlapimas gali įgauti geltoną arba rausvai rudą atspalvį (priklausomai nuo pH), kurį sukelia metabolitai, nors šis poveikis yra kliniškai nereikšmingas.</w:t>
      </w:r>
    </w:p>
    <w:p w14:paraId="2956D111" w14:textId="77777777" w:rsidR="0093003C" w:rsidRDefault="0093003C">
      <w:pPr>
        <w:pStyle w:val="BTEMEASMCA"/>
      </w:pPr>
    </w:p>
    <w:p w14:paraId="029F53FE" w14:textId="77777777" w:rsidR="0093003C" w:rsidRDefault="0093003C">
      <w:pPr>
        <w:autoSpaceDE w:val="0"/>
        <w:autoSpaceDN w:val="0"/>
        <w:adjustRightInd w:val="0"/>
        <w:rPr>
          <w:szCs w:val="22"/>
          <w:u w:val="single"/>
        </w:rPr>
      </w:pPr>
      <w:r>
        <w:rPr>
          <w:noProof/>
          <w:szCs w:val="22"/>
          <w:u w:val="single"/>
        </w:rPr>
        <w:t>Pranešimas apie įtariamas nepageidaujamas reakcijas</w:t>
      </w:r>
    </w:p>
    <w:p w14:paraId="22C60F99" w14:textId="0D584014" w:rsidR="0093003C" w:rsidRDefault="00A30D84">
      <w:pPr>
        <w:pStyle w:val="Pagrindinistekstas"/>
        <w:spacing w:after="0"/>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30361DF6" w14:textId="77777777" w:rsidR="00A30D84" w:rsidRDefault="00A30D84">
      <w:pPr>
        <w:pStyle w:val="Pagrindinistekstas"/>
        <w:spacing w:after="0"/>
        <w:rPr>
          <w:szCs w:val="22"/>
        </w:rPr>
      </w:pPr>
    </w:p>
    <w:p w14:paraId="23512452" w14:textId="77777777" w:rsidR="0093003C" w:rsidRDefault="0093003C" w:rsidP="00A66F3E">
      <w:pPr>
        <w:pStyle w:val="Antrat3"/>
      </w:pPr>
      <w:r>
        <w:t>4.9</w:t>
      </w:r>
      <w:r>
        <w:tab/>
        <w:t>Perdozavimas</w:t>
      </w:r>
    </w:p>
    <w:p w14:paraId="7AEB190E" w14:textId="77777777" w:rsidR="0093003C" w:rsidRDefault="0093003C">
      <w:pPr>
        <w:pStyle w:val="Pagrindinistekstas"/>
        <w:spacing w:after="0"/>
        <w:rPr>
          <w:szCs w:val="22"/>
        </w:rPr>
      </w:pPr>
    </w:p>
    <w:p w14:paraId="282D21ED" w14:textId="77777777" w:rsidR="0093003C" w:rsidRDefault="0093003C">
      <w:pPr>
        <w:pStyle w:val="BTEMEASMCA"/>
        <w:rPr>
          <w:bCs/>
          <w:iCs/>
        </w:rPr>
      </w:pPr>
      <w:r>
        <w:rPr>
          <w:bCs/>
          <w:iCs/>
        </w:rPr>
        <w:t>Svarbiausi simptomai perdozavimo ar piktnaudžiavimo atveju yra skausmingi žarnų spazmai ir sunkus viduriavimas, sukeliantis skysčio ir elektrolitų netekimą.</w:t>
      </w:r>
    </w:p>
    <w:p w14:paraId="667B53E4" w14:textId="77777777" w:rsidR="0093003C" w:rsidRDefault="0093003C">
      <w:pPr>
        <w:pStyle w:val="BTEMEASMCA"/>
      </w:pPr>
    </w:p>
    <w:p w14:paraId="244E4705" w14:textId="77777777" w:rsidR="0093003C" w:rsidRDefault="0093003C">
      <w:pPr>
        <w:pStyle w:val="BTEMEASMCA"/>
      </w:pPr>
      <w:r>
        <w:t>Reikalingas palaikomasisis gydymas ir pakankamas vandens kiekis. Reikia stebėti elektrolitų, ypač kalio, kiekį. Tai ypač svarbu senyvo amžiaus pacientams.</w:t>
      </w:r>
    </w:p>
    <w:p w14:paraId="6A074196" w14:textId="77777777" w:rsidR="0093003C" w:rsidRDefault="0093003C">
      <w:pPr>
        <w:pStyle w:val="BTEMEASMCA"/>
      </w:pPr>
    </w:p>
    <w:p w14:paraId="336C0F3B" w14:textId="77777777" w:rsidR="0093003C" w:rsidRDefault="0093003C">
      <w:pPr>
        <w:pStyle w:val="Pagrindinistekstas"/>
        <w:spacing w:after="0"/>
        <w:rPr>
          <w:szCs w:val="22"/>
        </w:rPr>
      </w:pPr>
      <w:r>
        <w:t>Ilga laiką vartojant per dideles dozes vaistinių preparatų, kurių sudėtyje yra antranoidų, gali išsivystyti toksinis kepenų uždegimas.</w:t>
      </w:r>
    </w:p>
    <w:p w14:paraId="539107F3" w14:textId="77777777" w:rsidR="0093003C" w:rsidRDefault="0093003C">
      <w:pPr>
        <w:pStyle w:val="Pagrindinistekstas"/>
        <w:spacing w:after="0"/>
        <w:rPr>
          <w:szCs w:val="22"/>
        </w:rPr>
      </w:pPr>
    </w:p>
    <w:p w14:paraId="7DEAD3FC" w14:textId="77777777" w:rsidR="0093003C" w:rsidRDefault="0093003C">
      <w:pPr>
        <w:pStyle w:val="Pagrindinistekstas"/>
        <w:spacing w:after="0"/>
        <w:rPr>
          <w:szCs w:val="22"/>
        </w:rPr>
      </w:pPr>
    </w:p>
    <w:p w14:paraId="34D35B2A" w14:textId="77777777" w:rsidR="0093003C" w:rsidRDefault="0093003C">
      <w:pPr>
        <w:pStyle w:val="Antrat2"/>
        <w:rPr>
          <w:szCs w:val="22"/>
        </w:rPr>
      </w:pPr>
      <w:r>
        <w:rPr>
          <w:szCs w:val="22"/>
        </w:rPr>
        <w:t>5.</w:t>
      </w:r>
      <w:r>
        <w:rPr>
          <w:szCs w:val="22"/>
        </w:rPr>
        <w:tab/>
        <w:t>FARMAKOLOGINĖS SAVYBĖS</w:t>
      </w:r>
    </w:p>
    <w:p w14:paraId="2B5D3466" w14:textId="77777777" w:rsidR="0093003C" w:rsidRDefault="0093003C">
      <w:pPr>
        <w:pStyle w:val="Pagrindinistekstas"/>
        <w:spacing w:after="0"/>
        <w:rPr>
          <w:szCs w:val="22"/>
        </w:rPr>
      </w:pPr>
    </w:p>
    <w:p w14:paraId="31AFF43D" w14:textId="77777777" w:rsidR="0093003C" w:rsidRDefault="0093003C" w:rsidP="00A66F3E">
      <w:pPr>
        <w:pStyle w:val="Antrat3"/>
      </w:pPr>
      <w:r>
        <w:t>5.1</w:t>
      </w:r>
      <w:r>
        <w:tab/>
        <w:t>Farmakodinaminės savybės</w:t>
      </w:r>
    </w:p>
    <w:p w14:paraId="46399111" w14:textId="77777777" w:rsidR="0093003C" w:rsidRDefault="0093003C">
      <w:pPr>
        <w:pStyle w:val="Pagrindinistekstas"/>
        <w:spacing w:after="0"/>
        <w:rPr>
          <w:szCs w:val="22"/>
        </w:rPr>
      </w:pPr>
    </w:p>
    <w:p w14:paraId="297F08E7" w14:textId="77777777" w:rsidR="0093003C" w:rsidRDefault="0093003C" w:rsidP="00F71A40">
      <w:pPr>
        <w:pStyle w:val="Pagrindinistekstas"/>
        <w:spacing w:after="0"/>
        <w:rPr>
          <w:szCs w:val="22"/>
        </w:rPr>
      </w:pPr>
      <w:r>
        <w:rPr>
          <w:szCs w:val="22"/>
        </w:rPr>
        <w:t>Farmakoterapinė grupė – kontaktiniai vidurius paleidžiantys vaist</w:t>
      </w:r>
      <w:r w:rsidR="0019412D">
        <w:rPr>
          <w:szCs w:val="22"/>
        </w:rPr>
        <w:t>ini</w:t>
      </w:r>
      <w:r>
        <w:rPr>
          <w:szCs w:val="22"/>
        </w:rPr>
        <w:t>ai</w:t>
      </w:r>
      <w:r w:rsidR="0019412D">
        <w:rPr>
          <w:szCs w:val="22"/>
        </w:rPr>
        <w:t xml:space="preserve"> preparatai</w:t>
      </w:r>
      <w:r>
        <w:rPr>
          <w:szCs w:val="22"/>
        </w:rPr>
        <w:t>; ATC kodas – A06AB</w:t>
      </w:r>
      <w:r w:rsidR="00212B02">
        <w:rPr>
          <w:szCs w:val="22"/>
        </w:rPr>
        <w:t xml:space="preserve">. </w:t>
      </w:r>
    </w:p>
    <w:p w14:paraId="09854396" w14:textId="77777777" w:rsidR="0093003C" w:rsidRDefault="0093003C" w:rsidP="00F71A40">
      <w:pPr>
        <w:pStyle w:val="Pagrindinistekstas"/>
        <w:spacing w:after="0"/>
        <w:rPr>
          <w:bCs/>
          <w:iCs/>
          <w:szCs w:val="22"/>
        </w:rPr>
      </w:pPr>
      <w:r>
        <w:rPr>
          <w:bCs/>
          <w:iCs/>
          <w:szCs w:val="22"/>
        </w:rPr>
        <w:t xml:space="preserve">1,8-dihidroksiantraceno dariniams būdingas vidurius laisvinantis poveikis. β-glikozidai (senozidai) neabsorbuojami viršutinėje plonosios žarnos dalyje. Gaubtinėje žarnoje bakterijos paverčia juos į aktyvų metabolitą – reino antroną. </w:t>
      </w:r>
    </w:p>
    <w:p w14:paraId="587E97C6" w14:textId="77777777" w:rsidR="0093003C" w:rsidRDefault="0093003C" w:rsidP="00F71A40">
      <w:pPr>
        <w:pStyle w:val="Pagrindinistekstas"/>
        <w:spacing w:after="0"/>
        <w:rPr>
          <w:bCs/>
          <w:iCs/>
          <w:szCs w:val="22"/>
        </w:rPr>
      </w:pPr>
    </w:p>
    <w:p w14:paraId="0B916F4F" w14:textId="77777777" w:rsidR="0093003C" w:rsidRDefault="0093003C" w:rsidP="00F71A40">
      <w:pPr>
        <w:pStyle w:val="Pagrindinistekstas"/>
        <w:spacing w:after="0"/>
        <w:rPr>
          <w:bCs/>
          <w:iCs/>
          <w:szCs w:val="22"/>
        </w:rPr>
      </w:pPr>
      <w:r>
        <w:rPr>
          <w:bCs/>
          <w:iCs/>
          <w:szCs w:val="22"/>
        </w:rPr>
        <w:t>Aktyviems metabolitams būdingas dvejopas veikimo mechanizmas:</w:t>
      </w:r>
    </w:p>
    <w:p w14:paraId="6567DE26" w14:textId="77777777" w:rsidR="0093003C" w:rsidRDefault="0093003C" w:rsidP="00993BF8">
      <w:pPr>
        <w:pStyle w:val="Pagrindinistekstas"/>
        <w:numPr>
          <w:ilvl w:val="0"/>
          <w:numId w:val="8"/>
        </w:numPr>
        <w:spacing w:after="0"/>
        <w:ind w:left="0" w:firstLine="0"/>
        <w:rPr>
          <w:bCs/>
          <w:iCs/>
          <w:szCs w:val="22"/>
        </w:rPr>
      </w:pPr>
      <w:r>
        <w:rPr>
          <w:bCs/>
          <w:iCs/>
          <w:szCs w:val="22"/>
        </w:rPr>
        <w:t>dėl poveikio gaubtinės žarnos judrumui skatinamas žarnų turinio slinkimas;</w:t>
      </w:r>
    </w:p>
    <w:p w14:paraId="5CC23756" w14:textId="77777777" w:rsidR="0093003C" w:rsidRDefault="0093003C" w:rsidP="00993BF8">
      <w:pPr>
        <w:pStyle w:val="Pagrindinistekstas"/>
        <w:numPr>
          <w:ilvl w:val="0"/>
          <w:numId w:val="8"/>
        </w:numPr>
        <w:spacing w:after="0"/>
        <w:ind w:left="0" w:firstLine="0"/>
        <w:rPr>
          <w:bCs/>
          <w:iCs/>
          <w:szCs w:val="22"/>
        </w:rPr>
      </w:pPr>
      <w:r>
        <w:rPr>
          <w:bCs/>
          <w:iCs/>
          <w:szCs w:val="22"/>
        </w:rPr>
        <w:t>veikiama sekrecija: slopinama vandens bei elektrolitų (Na</w:t>
      </w:r>
      <w:r>
        <w:rPr>
          <w:bCs/>
          <w:iCs/>
          <w:szCs w:val="22"/>
          <w:vertAlign w:val="superscript"/>
        </w:rPr>
        <w:t>+</w:t>
      </w:r>
      <w:r>
        <w:rPr>
          <w:bCs/>
          <w:iCs/>
          <w:szCs w:val="22"/>
        </w:rPr>
        <w:t>, Cl</w:t>
      </w:r>
      <w:r>
        <w:rPr>
          <w:bCs/>
          <w:iCs/>
          <w:szCs w:val="22"/>
          <w:vertAlign w:val="superscript"/>
        </w:rPr>
        <w:t>-</w:t>
      </w:r>
      <w:r>
        <w:rPr>
          <w:bCs/>
          <w:iCs/>
          <w:szCs w:val="22"/>
        </w:rPr>
        <w:t>) absorbcij</w:t>
      </w:r>
      <w:r w:rsidR="00FF59B0">
        <w:rPr>
          <w:bCs/>
          <w:iCs/>
          <w:szCs w:val="22"/>
        </w:rPr>
        <w:t>a</w:t>
      </w:r>
      <w:r>
        <w:rPr>
          <w:bCs/>
          <w:iCs/>
          <w:szCs w:val="22"/>
        </w:rPr>
        <w:t xml:space="preserve"> žarnų epitelio ląstelėse ir slopinama atbulinė vandens rezorbcija bei skatinama vandens ir elektrolitų sekrecij</w:t>
      </w:r>
      <w:r w:rsidR="00FF59B0">
        <w:rPr>
          <w:bCs/>
          <w:iCs/>
          <w:szCs w:val="22"/>
        </w:rPr>
        <w:t>a</w:t>
      </w:r>
      <w:r>
        <w:rPr>
          <w:bCs/>
          <w:iCs/>
          <w:szCs w:val="22"/>
        </w:rPr>
        <w:t xml:space="preserve"> į žarnų spindį didindant skysčio ir elektrolitų kiekį.</w:t>
      </w:r>
    </w:p>
    <w:p w14:paraId="21D1CEC9" w14:textId="77777777" w:rsidR="0093003C" w:rsidRDefault="0093003C" w:rsidP="00F71A40">
      <w:pPr>
        <w:pStyle w:val="Pagrindinistekstas"/>
        <w:spacing w:after="0"/>
        <w:rPr>
          <w:bCs/>
          <w:iCs/>
          <w:szCs w:val="22"/>
        </w:rPr>
      </w:pPr>
    </w:p>
    <w:p w14:paraId="08F6C81E" w14:textId="77777777" w:rsidR="0093003C" w:rsidRDefault="0093003C" w:rsidP="00F71A40">
      <w:pPr>
        <w:pStyle w:val="Pagrindinistekstas"/>
        <w:spacing w:after="0"/>
        <w:rPr>
          <w:bCs/>
          <w:iCs/>
          <w:szCs w:val="22"/>
        </w:rPr>
      </w:pPr>
      <w:r>
        <w:rPr>
          <w:bCs/>
          <w:iCs/>
          <w:szCs w:val="22"/>
        </w:rPr>
        <w:t>Išmatos pasišalina per 8 – 12 valandų, priklausomai nuo to, kie</w:t>
      </w:r>
      <w:r w:rsidR="00FF59B0">
        <w:rPr>
          <w:bCs/>
          <w:iCs/>
          <w:szCs w:val="22"/>
        </w:rPr>
        <w:t>k</w:t>
      </w:r>
      <w:r>
        <w:rPr>
          <w:bCs/>
          <w:iCs/>
          <w:szCs w:val="22"/>
        </w:rPr>
        <w:t xml:space="preserve"> reikia laiko susidaryti aktyviems metabolitams ir tranzitui žarnyne.</w:t>
      </w:r>
    </w:p>
    <w:p w14:paraId="7E67EB3B" w14:textId="77777777" w:rsidR="0093003C" w:rsidRDefault="0093003C" w:rsidP="00F71A40">
      <w:pPr>
        <w:pStyle w:val="Pagrindinistekstas"/>
        <w:spacing w:after="0"/>
        <w:rPr>
          <w:szCs w:val="22"/>
        </w:rPr>
      </w:pPr>
    </w:p>
    <w:p w14:paraId="73B82972" w14:textId="77777777" w:rsidR="0093003C" w:rsidRDefault="0093003C" w:rsidP="00F71A40">
      <w:pPr>
        <w:pStyle w:val="Pagrindinistekstas"/>
        <w:spacing w:after="0"/>
        <w:rPr>
          <w:b/>
          <w:szCs w:val="22"/>
        </w:rPr>
      </w:pPr>
      <w:bookmarkStart w:id="5" w:name="_Toc129243113"/>
      <w:bookmarkStart w:id="6" w:name="_Toc129243238"/>
      <w:r>
        <w:rPr>
          <w:b/>
          <w:szCs w:val="22"/>
        </w:rPr>
        <w:t>5.2</w:t>
      </w:r>
      <w:r>
        <w:rPr>
          <w:b/>
          <w:szCs w:val="22"/>
        </w:rPr>
        <w:tab/>
        <w:t>Farmakokinetinės savybės</w:t>
      </w:r>
      <w:bookmarkEnd w:id="5"/>
      <w:bookmarkEnd w:id="6"/>
    </w:p>
    <w:p w14:paraId="7B1AF3B8" w14:textId="77777777" w:rsidR="0093003C" w:rsidRDefault="0093003C" w:rsidP="00F71A40">
      <w:pPr>
        <w:pStyle w:val="Pagrindinistekstas"/>
        <w:spacing w:after="0"/>
        <w:rPr>
          <w:szCs w:val="22"/>
        </w:rPr>
      </w:pPr>
    </w:p>
    <w:p w14:paraId="5404DD0B" w14:textId="77777777" w:rsidR="0093003C" w:rsidRDefault="0093003C" w:rsidP="00F71A40">
      <w:pPr>
        <w:pStyle w:val="Pagrindinistekstas"/>
        <w:spacing w:after="0"/>
        <w:rPr>
          <w:szCs w:val="22"/>
        </w:rPr>
      </w:pPr>
      <w:r>
        <w:rPr>
          <w:szCs w:val="22"/>
          <w:lang w:val="en-GB"/>
        </w:rPr>
        <w:t>β</w:t>
      </w:r>
      <w:r>
        <w:rPr>
          <w:szCs w:val="22"/>
        </w:rPr>
        <w:t>-glikozidine jungtimi sujungti glikozidai (senozidai) viršutinėje virškinamojo trakto dalyje nei skaldomi, nei absorbuojami. Juos gaubtinėje žarnoje bakterijų fermentai paverčia į metabolitą reino antroną, kuris pasižymi vidurius laisvinančiu poveikiu. Aglikonai absorbuojami viršutinėje virškinamojo trakto dalyje. Tyrimų su gyvūnais duomenimis, pažymėto reino antrono pavartojus tiesiai į akląją žarną, jo absorbuojama &lt; 10 %</w:t>
      </w:r>
      <w:r>
        <w:rPr>
          <w:szCs w:val="22"/>
          <w:lang w:val="lv-LV"/>
        </w:rPr>
        <w:t xml:space="preserve">. </w:t>
      </w:r>
      <w:r>
        <w:rPr>
          <w:szCs w:val="22"/>
        </w:rPr>
        <w:t>Veikiant</w:t>
      </w:r>
      <w:r>
        <w:rPr>
          <w:szCs w:val="22"/>
          <w:lang w:val="lv-LV"/>
        </w:rPr>
        <w:t xml:space="preserve"> deguonimi, reino antronas oksiduojamas į reiną ir senidinus, kurie randami kraujyje kaip gliukuronidai ar sulfatai. </w:t>
      </w:r>
      <w:r>
        <w:rPr>
          <w:szCs w:val="22"/>
        </w:rPr>
        <w:t>Pavartojus senozidų per burną, 3 – 6 % metabolitų išsiskiria su šlapimu, dalis išskiriama su tulžimi.</w:t>
      </w:r>
    </w:p>
    <w:p w14:paraId="59A0CAEF" w14:textId="77777777" w:rsidR="0093003C" w:rsidRDefault="0093003C" w:rsidP="00F71A40">
      <w:pPr>
        <w:pStyle w:val="Pagrindinistekstas"/>
        <w:spacing w:after="0"/>
        <w:rPr>
          <w:szCs w:val="22"/>
        </w:rPr>
      </w:pPr>
    </w:p>
    <w:p w14:paraId="089607CC" w14:textId="77777777" w:rsidR="0093003C" w:rsidRDefault="0093003C" w:rsidP="00F71A40">
      <w:pPr>
        <w:pStyle w:val="Pagrindinistekstas"/>
        <w:spacing w:after="0"/>
        <w:rPr>
          <w:szCs w:val="22"/>
        </w:rPr>
      </w:pPr>
      <w:r>
        <w:rPr>
          <w:szCs w:val="22"/>
        </w:rPr>
        <w:lastRenderedPageBreak/>
        <w:t>Dauguma senozidų (apie 90 %) kaip polimerai (polichinonai) išskiriami su išmatomis kartu su 2 – 6 % nepakeistų senozidų, senidinų, reino antronų ir reino. Farmakokinetinių tyrimų su žmonėmis duomenimis, vartojant senos ankščių miltelius (20 mg senozidų) per burną 7 dienas, maksimali reino koncentracija kraujo plazmoje buvo 100 nanogramų/l. Nebuvo pastebėta, kad reinas kauptųsi organizme. Nedideli reino kiekiai patenka į moters pieną. Eksperimentiniai tyrimai su gyvūnais parodė, kad reino pernešimas per placentą yra labai mažas.</w:t>
      </w:r>
    </w:p>
    <w:p w14:paraId="7EB5CFD5" w14:textId="77777777" w:rsidR="0093003C" w:rsidRDefault="0093003C" w:rsidP="00F71A40">
      <w:pPr>
        <w:pStyle w:val="Pagrindinistekstas"/>
        <w:spacing w:after="0"/>
        <w:rPr>
          <w:szCs w:val="22"/>
        </w:rPr>
      </w:pPr>
    </w:p>
    <w:p w14:paraId="1FF31D76" w14:textId="77777777" w:rsidR="0093003C" w:rsidRDefault="0093003C" w:rsidP="00F71A40">
      <w:pPr>
        <w:pStyle w:val="Pagrindinistekstas"/>
        <w:spacing w:after="0"/>
        <w:rPr>
          <w:b/>
          <w:szCs w:val="22"/>
        </w:rPr>
      </w:pPr>
      <w:bookmarkStart w:id="7" w:name="_Toc129243114"/>
      <w:bookmarkStart w:id="8" w:name="_Toc129243239"/>
      <w:r>
        <w:rPr>
          <w:b/>
          <w:szCs w:val="22"/>
        </w:rPr>
        <w:t>5.3</w:t>
      </w:r>
      <w:r>
        <w:rPr>
          <w:b/>
          <w:szCs w:val="22"/>
        </w:rPr>
        <w:tab/>
        <w:t>Ikiklinikinių saugumo tyrimų duomenys</w:t>
      </w:r>
      <w:bookmarkEnd w:id="7"/>
      <w:bookmarkEnd w:id="8"/>
    </w:p>
    <w:p w14:paraId="4CBDEDBD" w14:textId="77777777" w:rsidR="0093003C" w:rsidRDefault="0093003C" w:rsidP="00F71A40">
      <w:pPr>
        <w:pStyle w:val="Pagrindinistekstas"/>
        <w:spacing w:after="0"/>
        <w:rPr>
          <w:szCs w:val="22"/>
        </w:rPr>
      </w:pPr>
    </w:p>
    <w:p w14:paraId="2D565C81" w14:textId="77777777" w:rsidR="0093003C" w:rsidRDefault="0093003C" w:rsidP="00F71A40">
      <w:pPr>
        <w:pStyle w:val="Pagrindinistekstas"/>
        <w:spacing w:after="0"/>
        <w:rPr>
          <w:szCs w:val="22"/>
        </w:rPr>
      </w:pPr>
      <w:r>
        <w:rPr>
          <w:szCs w:val="22"/>
        </w:rPr>
        <w:t xml:space="preserve">Nėra naujų sisteminių ikiklinikinių tyrimų su senų lapais ar jų preparatais. Duomenys gauti iš tyrimų su senų ankštimis. Kadangi sudėtis yra panaši, senos lapų ir vaisių duomenis galima pritaikyti ir senų lapams. Dauguma duomenų pateikiami senų ankščių preparatams, kurių sudėtyje yra 1,4-3,5 % antranoidų, atitinkančių 0,9-2,3 % galimo reino, 0,05-0,15 % galimo aloe-emodino ir 0,001-0,006 % galimo emodino ar izoliuotų veikliųjų komponentų, tokių kaip reinas ar senozidai A ir B. Senos ankščių (vartojant atitinkamą kiekį ekstraktų) ūminis toksiškumas vartojant </w:t>
      </w:r>
      <w:r>
        <w:rPr>
          <w:i/>
          <w:szCs w:val="22"/>
        </w:rPr>
        <w:t>per os</w:t>
      </w:r>
      <w:r>
        <w:rPr>
          <w:szCs w:val="22"/>
        </w:rPr>
        <w:t xml:space="preserve"> žiurkėms ir pelėms buvo mažas. </w:t>
      </w:r>
    </w:p>
    <w:p w14:paraId="65278978" w14:textId="77777777" w:rsidR="0093003C" w:rsidRDefault="0093003C" w:rsidP="00F71A40">
      <w:pPr>
        <w:pStyle w:val="Pagrindinistekstas"/>
        <w:spacing w:after="0"/>
        <w:rPr>
          <w:szCs w:val="22"/>
        </w:rPr>
      </w:pPr>
    </w:p>
    <w:p w14:paraId="38D19ACF" w14:textId="77777777" w:rsidR="0093003C" w:rsidRDefault="0093003C" w:rsidP="00F71A40">
      <w:pPr>
        <w:pStyle w:val="Pagrindinistekstas"/>
        <w:spacing w:after="0"/>
        <w:rPr>
          <w:szCs w:val="22"/>
        </w:rPr>
      </w:pPr>
      <w:r>
        <w:rPr>
          <w:szCs w:val="22"/>
        </w:rPr>
        <w:t>Parenteraliai vartojami ekstraktai pelėms sukelia didesnį toksiškumą nei išgryninti glikozidai, galimai dėl sudėtyje esančio aglikono.</w:t>
      </w:r>
    </w:p>
    <w:p w14:paraId="5C2CC559" w14:textId="77777777" w:rsidR="0093003C" w:rsidRDefault="0093003C" w:rsidP="00F71A40">
      <w:pPr>
        <w:pStyle w:val="Pagrindinistekstas"/>
        <w:spacing w:after="0"/>
        <w:rPr>
          <w:szCs w:val="22"/>
        </w:rPr>
      </w:pPr>
      <w:r>
        <w:rPr>
          <w:szCs w:val="22"/>
        </w:rPr>
        <w:t xml:space="preserve">90 dienų tyrime su žiurkėmis buvo vartojama nuo 100 mg/kg iki 1500 mg/kg senų ankščių. Tiriamojo </w:t>
      </w:r>
      <w:r w:rsidR="0019412D">
        <w:t>vaistinio preparato</w:t>
      </w:r>
      <w:r>
        <w:rPr>
          <w:szCs w:val="22"/>
        </w:rPr>
        <w:t xml:space="preserve"> sudėtyje buvo 1,83 % senozidų A – D, 1,6 % galimo reino, 0,11 % galimo aloe-emodino ir 0,014 % galimo emodino. Visose grupėse buvo nustatyta nedidelio laipsnio gaubtinės žarnos epitelio hiperplazija, kuri buvo gr</w:t>
      </w:r>
      <w:r w:rsidR="00FF59B0">
        <w:rPr>
          <w:szCs w:val="22"/>
        </w:rPr>
        <w:t>į</w:t>
      </w:r>
      <w:r>
        <w:rPr>
          <w:szCs w:val="22"/>
        </w:rPr>
        <w:t>žtama po 8 savaičių po gydymo nutraukimo. Hiperplazija</w:t>
      </w:r>
      <w:r w:rsidR="00FF59B0">
        <w:rPr>
          <w:szCs w:val="22"/>
        </w:rPr>
        <w:t>,</w:t>
      </w:r>
      <w:r>
        <w:rPr>
          <w:szCs w:val="22"/>
        </w:rPr>
        <w:t xml:space="preserve"> susiformavusi prieskrandžio epitelyje</w:t>
      </w:r>
      <w:r w:rsidR="00FF59B0">
        <w:rPr>
          <w:szCs w:val="22"/>
        </w:rPr>
        <w:t>,</w:t>
      </w:r>
      <w:r>
        <w:rPr>
          <w:szCs w:val="22"/>
        </w:rPr>
        <w:t xml:space="preserve"> taip pat buvo gr</w:t>
      </w:r>
      <w:r w:rsidR="00FF59B0">
        <w:rPr>
          <w:szCs w:val="22"/>
        </w:rPr>
        <w:t>į</w:t>
      </w:r>
      <w:r>
        <w:rPr>
          <w:szCs w:val="22"/>
        </w:rPr>
        <w:t>žtama. Nuo dozės priklausanti tubulinė bazofilija ir inkstų epitelio hipertrofija buvo pastebėtos vartojant 300 mg/kg per dieną ar didesnes dozes, tačiau be funkcinių pokyčių. Šie pokyčiai taip pat buvo gr</w:t>
      </w:r>
      <w:r w:rsidR="00FF59B0">
        <w:rPr>
          <w:szCs w:val="22"/>
        </w:rPr>
        <w:t>į</w:t>
      </w:r>
      <w:r>
        <w:rPr>
          <w:szCs w:val="22"/>
        </w:rPr>
        <w:t>žtami. Buvo pastebėtas rudo pigmento susikaupimas kanalėliuose, dėl kurio inkstų paviršius parudavo, o nutraukus vartojimą, sumažėjo. Jokių pokyčių nebuvo pastebėta žarnų nervų rezginyje. Šiuo tyrimu negalima nustatyti nepastebėto efekto dydžio (NOEL).</w:t>
      </w:r>
    </w:p>
    <w:p w14:paraId="3C9BD27B" w14:textId="77777777" w:rsidR="0093003C" w:rsidRDefault="0093003C" w:rsidP="00F71A40">
      <w:pPr>
        <w:pStyle w:val="Pagrindinistekstas"/>
        <w:spacing w:after="0"/>
        <w:rPr>
          <w:szCs w:val="22"/>
        </w:rPr>
      </w:pPr>
    </w:p>
    <w:p w14:paraId="40E688C8" w14:textId="77777777" w:rsidR="0093003C" w:rsidRDefault="0093003C" w:rsidP="00F71A40">
      <w:pPr>
        <w:pStyle w:val="Pagrindinistekstas"/>
        <w:spacing w:after="0"/>
        <w:rPr>
          <w:szCs w:val="22"/>
        </w:rPr>
      </w:pPr>
      <w:r>
        <w:rPr>
          <w:szCs w:val="22"/>
        </w:rPr>
        <w:t>104 savaičių tyrimas su abiejų lyčių žiurkėmis neparodė jokių karcinogeninių poveikių peroraliai vartojant iki 300 mg/kg  tos pačios sudėties senos ankščių preparatų.</w:t>
      </w:r>
    </w:p>
    <w:p w14:paraId="671A4129" w14:textId="77777777" w:rsidR="0093003C" w:rsidRDefault="0093003C" w:rsidP="00F71A40">
      <w:pPr>
        <w:pStyle w:val="Pagrindinistekstas"/>
        <w:spacing w:after="0"/>
        <w:rPr>
          <w:szCs w:val="22"/>
        </w:rPr>
      </w:pPr>
      <w:r>
        <w:rPr>
          <w:szCs w:val="22"/>
        </w:rPr>
        <w:t>Be to, 2 metus peroraliai vartojant atskirus senos ekstraktus, karcinogeninis poveikis nebuvo pastebėtas nei žiurkių patelėms, nei patinėliams. Tirtų ekstraktų sudėtyje buvo apie 40,8 % antranoidų, iš kurių 35% buvo senozidai, susidedantys iš 25,2% galimo reino, 2,3% galimo aloe-emodino ir  0,007% galimo emodino, taip pat 142 ppm laisvo aloe-emodino bei 9 ppm laisvo emodino.</w:t>
      </w:r>
    </w:p>
    <w:p w14:paraId="7542C04C" w14:textId="77777777" w:rsidR="0093003C" w:rsidRDefault="0093003C" w:rsidP="00F71A40">
      <w:pPr>
        <w:pStyle w:val="Pagrindinistekstas"/>
        <w:spacing w:after="0"/>
        <w:rPr>
          <w:szCs w:val="22"/>
        </w:rPr>
      </w:pPr>
      <w:r>
        <w:rPr>
          <w:szCs w:val="22"/>
        </w:rPr>
        <w:t>Tolesni 2 metus trukę emodino tyrimai su žiurkių ir pelių patinėliais ir patelėmi</w:t>
      </w:r>
      <w:r w:rsidR="00FF59B0">
        <w:rPr>
          <w:szCs w:val="22"/>
        </w:rPr>
        <w:t>s</w:t>
      </w:r>
      <w:r>
        <w:rPr>
          <w:szCs w:val="22"/>
        </w:rPr>
        <w:t xml:space="preserve"> nenustatė jokio karcinogeniškumo žiurkių patinėliams ir pelių patelėms, tačiau sukėlė abejonių dėl žiurkių patelių ir pelių patinėlių.</w:t>
      </w:r>
    </w:p>
    <w:p w14:paraId="1CD80DDC" w14:textId="77777777" w:rsidR="0093003C" w:rsidRDefault="0093003C" w:rsidP="00F71A40">
      <w:pPr>
        <w:pStyle w:val="Pagrindinistekstas"/>
        <w:spacing w:after="0"/>
        <w:rPr>
          <w:szCs w:val="22"/>
        </w:rPr>
      </w:pPr>
    </w:p>
    <w:p w14:paraId="27987A21" w14:textId="77777777" w:rsidR="0093003C" w:rsidRDefault="0093003C" w:rsidP="00F71A40">
      <w:pPr>
        <w:pStyle w:val="Pagrindinistekstas"/>
        <w:spacing w:after="0"/>
        <w:rPr>
          <w:szCs w:val="22"/>
        </w:rPr>
      </w:pPr>
      <w:r>
        <w:rPr>
          <w:szCs w:val="22"/>
        </w:rPr>
        <w:t xml:space="preserve">Senozidai neturėjo toksinio poveikio šunims (vartojant iki 500 mg/kg 4 savaites) ir žiurkėms (vartojant iki 100 mg/kg žiurkėms 6 mėnesius). </w:t>
      </w:r>
    </w:p>
    <w:p w14:paraId="1F920939" w14:textId="77777777" w:rsidR="0093003C" w:rsidRDefault="0093003C" w:rsidP="00F71A40">
      <w:pPr>
        <w:pStyle w:val="Pagrindinistekstas"/>
        <w:spacing w:after="0"/>
        <w:rPr>
          <w:szCs w:val="22"/>
        </w:rPr>
      </w:pPr>
    </w:p>
    <w:p w14:paraId="4078A341" w14:textId="77777777" w:rsidR="0093003C" w:rsidRDefault="0093003C" w:rsidP="00F71A40">
      <w:pPr>
        <w:pStyle w:val="Pagrindinistekstas"/>
        <w:spacing w:after="0"/>
        <w:rPr>
          <w:szCs w:val="22"/>
        </w:rPr>
      </w:pPr>
      <w:r>
        <w:rPr>
          <w:szCs w:val="22"/>
        </w:rPr>
        <w:t>Nebuvo įrodymų, kad po gydymo peroraliniais senozidais būtų pasireiškęs embrioletalinis, teratogeninis ar fetotoksinis poveikis žiurkėms ar triušiams. Be to, nebuvo pastebėta efekto jaunų žiurkių postnataliniam vystymuisi, motinų rūpinimuisi jaunikliais ar  žiurkių patelių ir patinėlių vaisingumui. Duomenų apie augalinius preparatus nėra.</w:t>
      </w:r>
    </w:p>
    <w:p w14:paraId="6F1BBC64" w14:textId="77777777" w:rsidR="0093003C" w:rsidRDefault="0093003C" w:rsidP="00F71A40">
      <w:pPr>
        <w:pStyle w:val="Pagrindinistekstas"/>
        <w:spacing w:after="0"/>
        <w:rPr>
          <w:szCs w:val="22"/>
        </w:rPr>
      </w:pPr>
    </w:p>
    <w:p w14:paraId="161748FC" w14:textId="77777777" w:rsidR="0093003C" w:rsidRDefault="0093003C" w:rsidP="00F71A40">
      <w:pPr>
        <w:pStyle w:val="Pagrindinistekstas"/>
        <w:spacing w:after="0"/>
        <w:rPr>
          <w:szCs w:val="22"/>
        </w:rPr>
      </w:pPr>
      <w:r>
        <w:rPr>
          <w:szCs w:val="22"/>
        </w:rPr>
        <w:t xml:space="preserve">Ekstraktas ir aloe-emodinas buvo mutageniški </w:t>
      </w:r>
      <w:r>
        <w:rPr>
          <w:i/>
          <w:szCs w:val="22"/>
        </w:rPr>
        <w:t>in</w:t>
      </w:r>
      <w:r w:rsidR="00FF59B0">
        <w:rPr>
          <w:i/>
          <w:szCs w:val="22"/>
        </w:rPr>
        <w:t xml:space="preserve"> </w:t>
      </w:r>
      <w:r>
        <w:rPr>
          <w:i/>
          <w:szCs w:val="22"/>
        </w:rPr>
        <w:t>vitro</w:t>
      </w:r>
      <w:r>
        <w:rPr>
          <w:szCs w:val="22"/>
        </w:rPr>
        <w:t xml:space="preserve"> tyrimuose, senozidai A, B ir reinas šio poveikio neturėjo. Išsamūs </w:t>
      </w:r>
      <w:r>
        <w:rPr>
          <w:i/>
          <w:szCs w:val="22"/>
        </w:rPr>
        <w:t>in</w:t>
      </w:r>
      <w:r w:rsidR="00FF59B0">
        <w:rPr>
          <w:i/>
          <w:szCs w:val="22"/>
        </w:rPr>
        <w:t xml:space="preserve"> </w:t>
      </w:r>
      <w:r>
        <w:rPr>
          <w:i/>
          <w:szCs w:val="22"/>
        </w:rPr>
        <w:t>vivo</w:t>
      </w:r>
      <w:r>
        <w:rPr>
          <w:szCs w:val="22"/>
        </w:rPr>
        <w:t xml:space="preserve"> tyrimai su standartiniais senų ankščių ekstraktais buvo neigiami.</w:t>
      </w:r>
    </w:p>
    <w:p w14:paraId="16579A61" w14:textId="77777777" w:rsidR="0093003C" w:rsidRDefault="0093003C" w:rsidP="00F71A40">
      <w:pPr>
        <w:pStyle w:val="Pagrindinistekstas"/>
        <w:spacing w:after="0"/>
        <w:rPr>
          <w:szCs w:val="22"/>
        </w:rPr>
      </w:pPr>
    </w:p>
    <w:p w14:paraId="39CA42DF" w14:textId="77777777" w:rsidR="0093003C" w:rsidRDefault="0093003C" w:rsidP="00F71A40">
      <w:pPr>
        <w:pStyle w:val="Pagrindinistekstas"/>
        <w:spacing w:after="0"/>
        <w:rPr>
          <w:szCs w:val="22"/>
        </w:rPr>
      </w:pPr>
      <w:r>
        <w:rPr>
          <w:szCs w:val="22"/>
        </w:rPr>
        <w:t xml:space="preserve">Vidurius laisvinančių </w:t>
      </w:r>
      <w:r w:rsidR="0019412D">
        <w:rPr>
          <w:szCs w:val="22"/>
        </w:rPr>
        <w:t>vaistinių preparatų</w:t>
      </w:r>
      <w:r>
        <w:rPr>
          <w:szCs w:val="22"/>
        </w:rPr>
        <w:t xml:space="preserve"> vartojimas kaip vienas iš storosios žarnos vėžio rizikos faktorių buvo tiriamas keliuose klinikiniuose tyrimuose. Kai kurie tyrimai patvirtino storosios žarnos vėžio riziką, susijusią su antrachnono turinčių vidurius laisvinančių preparatų vartojimu, kiti – ne. Tačiau buvo nustatyta, kad rizika susijusi su vidurių užkietėjimu ir mitybos įpročiais. Reikalingi tolimesni tyrimai įvertinti karcinogeniškumo riziką.</w:t>
      </w:r>
    </w:p>
    <w:p w14:paraId="1F74315E" w14:textId="77777777" w:rsidR="0093003C" w:rsidRDefault="0093003C" w:rsidP="00F71A40">
      <w:pPr>
        <w:pStyle w:val="Pagrindinistekstas"/>
        <w:spacing w:after="0"/>
        <w:rPr>
          <w:szCs w:val="22"/>
        </w:rPr>
      </w:pPr>
    </w:p>
    <w:p w14:paraId="47969A25" w14:textId="77777777" w:rsidR="0093003C" w:rsidRDefault="0093003C" w:rsidP="00F71A40">
      <w:pPr>
        <w:pStyle w:val="Pagrindinistekstas"/>
        <w:spacing w:after="0"/>
        <w:rPr>
          <w:szCs w:val="22"/>
        </w:rPr>
      </w:pPr>
    </w:p>
    <w:p w14:paraId="77A463B7" w14:textId="77777777" w:rsidR="0093003C" w:rsidRDefault="0093003C" w:rsidP="00F71A40">
      <w:pPr>
        <w:pStyle w:val="Antrat2"/>
        <w:rPr>
          <w:szCs w:val="22"/>
        </w:rPr>
      </w:pPr>
      <w:r>
        <w:rPr>
          <w:szCs w:val="22"/>
        </w:rPr>
        <w:t>6.</w:t>
      </w:r>
      <w:r>
        <w:rPr>
          <w:szCs w:val="22"/>
        </w:rPr>
        <w:tab/>
        <w:t>FARMACINĖ INFORMACIJA</w:t>
      </w:r>
    </w:p>
    <w:p w14:paraId="7892615B" w14:textId="77777777" w:rsidR="0093003C" w:rsidRDefault="0093003C" w:rsidP="00F71A40">
      <w:pPr>
        <w:pStyle w:val="Pagrindinistekstas"/>
        <w:spacing w:after="0"/>
        <w:rPr>
          <w:b/>
          <w:szCs w:val="22"/>
        </w:rPr>
      </w:pPr>
    </w:p>
    <w:p w14:paraId="22ADE642" w14:textId="77777777" w:rsidR="0093003C" w:rsidRDefault="0093003C" w:rsidP="00A66F3E">
      <w:pPr>
        <w:pStyle w:val="Antrat3"/>
      </w:pPr>
      <w:r>
        <w:t>6.1</w:t>
      </w:r>
      <w:r>
        <w:tab/>
        <w:t>Pagalbinių medžiagų sąrašas</w:t>
      </w:r>
    </w:p>
    <w:p w14:paraId="046731BF" w14:textId="77777777" w:rsidR="0093003C" w:rsidRDefault="0093003C" w:rsidP="00F71A40">
      <w:pPr>
        <w:pStyle w:val="Antrats"/>
        <w:tabs>
          <w:tab w:val="clear" w:pos="4153"/>
          <w:tab w:val="clear" w:pos="8306"/>
        </w:tabs>
        <w:rPr>
          <w:szCs w:val="22"/>
        </w:rPr>
      </w:pPr>
    </w:p>
    <w:p w14:paraId="05EC0F9B" w14:textId="77777777" w:rsidR="0093003C" w:rsidRDefault="0093003C" w:rsidP="00F71A40">
      <w:pPr>
        <w:pStyle w:val="Antrats"/>
        <w:tabs>
          <w:tab w:val="clear" w:pos="4153"/>
          <w:tab w:val="clear" w:pos="8306"/>
        </w:tabs>
        <w:rPr>
          <w:szCs w:val="22"/>
        </w:rPr>
      </w:pPr>
      <w:r>
        <w:rPr>
          <w:szCs w:val="22"/>
        </w:rPr>
        <w:t>Bevandenis koloidinis silicio dioksidas</w:t>
      </w:r>
    </w:p>
    <w:p w14:paraId="4C1F6F05" w14:textId="77777777" w:rsidR="0093003C" w:rsidRDefault="0093003C" w:rsidP="00F71A40">
      <w:pPr>
        <w:pStyle w:val="Antrats"/>
        <w:tabs>
          <w:tab w:val="clear" w:pos="4153"/>
          <w:tab w:val="clear" w:pos="8306"/>
        </w:tabs>
        <w:rPr>
          <w:szCs w:val="22"/>
        </w:rPr>
      </w:pPr>
      <w:r>
        <w:rPr>
          <w:szCs w:val="22"/>
        </w:rPr>
        <w:t>Bulvių krakmolas</w:t>
      </w:r>
      <w:r>
        <w:rPr>
          <w:szCs w:val="22"/>
        </w:rPr>
        <w:tab/>
      </w:r>
      <w:r>
        <w:rPr>
          <w:szCs w:val="22"/>
        </w:rPr>
        <w:tab/>
      </w:r>
    </w:p>
    <w:p w14:paraId="6CF2F81E" w14:textId="77777777" w:rsidR="0093003C" w:rsidRDefault="0093003C" w:rsidP="00F71A40">
      <w:pPr>
        <w:pStyle w:val="Pagrindinistekstas"/>
        <w:tabs>
          <w:tab w:val="right" w:leader="dot" w:pos="5670"/>
        </w:tabs>
        <w:spacing w:after="0"/>
        <w:rPr>
          <w:szCs w:val="22"/>
        </w:rPr>
      </w:pPr>
    </w:p>
    <w:p w14:paraId="402586EB" w14:textId="77777777" w:rsidR="0093003C" w:rsidRDefault="0093003C" w:rsidP="00A66F3E">
      <w:pPr>
        <w:pStyle w:val="Antrat3"/>
      </w:pPr>
      <w:r>
        <w:t>6.2</w:t>
      </w:r>
      <w:r>
        <w:tab/>
        <w:t>Nesuderinamumas</w:t>
      </w:r>
    </w:p>
    <w:p w14:paraId="7AB5AE20" w14:textId="77777777" w:rsidR="0093003C" w:rsidRDefault="0093003C" w:rsidP="00F71A40">
      <w:pPr>
        <w:pStyle w:val="Pagrindinistekstas"/>
        <w:spacing w:after="0"/>
        <w:rPr>
          <w:szCs w:val="22"/>
        </w:rPr>
      </w:pPr>
    </w:p>
    <w:p w14:paraId="26E5E9C7" w14:textId="77777777" w:rsidR="0093003C" w:rsidRDefault="0093003C" w:rsidP="00F71A40">
      <w:pPr>
        <w:pStyle w:val="Pagrindinistekstas"/>
        <w:spacing w:after="0"/>
        <w:rPr>
          <w:szCs w:val="22"/>
        </w:rPr>
      </w:pPr>
      <w:r>
        <w:rPr>
          <w:szCs w:val="22"/>
        </w:rPr>
        <w:t>Duomenys nebūtini.</w:t>
      </w:r>
    </w:p>
    <w:p w14:paraId="5D463D33" w14:textId="77777777" w:rsidR="0093003C" w:rsidRDefault="0093003C" w:rsidP="00F71A40">
      <w:pPr>
        <w:pStyle w:val="Pagrindinistekstas"/>
        <w:spacing w:after="0"/>
        <w:rPr>
          <w:szCs w:val="22"/>
        </w:rPr>
      </w:pPr>
    </w:p>
    <w:p w14:paraId="6AA6B96C" w14:textId="77777777" w:rsidR="0093003C" w:rsidRDefault="0093003C" w:rsidP="00A66F3E">
      <w:pPr>
        <w:pStyle w:val="Antrat3"/>
      </w:pPr>
      <w:r>
        <w:t>6.3</w:t>
      </w:r>
      <w:r>
        <w:tab/>
        <w:t>Tinkamumo laikas</w:t>
      </w:r>
    </w:p>
    <w:p w14:paraId="192453A8" w14:textId="77777777" w:rsidR="0093003C" w:rsidRDefault="0093003C" w:rsidP="00F71A40">
      <w:pPr>
        <w:pStyle w:val="Pagrindinistekstas"/>
        <w:spacing w:after="0"/>
        <w:rPr>
          <w:szCs w:val="22"/>
        </w:rPr>
      </w:pPr>
    </w:p>
    <w:p w14:paraId="21AA0B55" w14:textId="77777777" w:rsidR="0093003C" w:rsidRDefault="0093003C" w:rsidP="00F71A40">
      <w:pPr>
        <w:jc w:val="both"/>
        <w:rPr>
          <w:szCs w:val="22"/>
        </w:rPr>
      </w:pPr>
      <w:r>
        <w:rPr>
          <w:szCs w:val="22"/>
        </w:rPr>
        <w:t>3 metai</w:t>
      </w:r>
    </w:p>
    <w:p w14:paraId="1381714E" w14:textId="77777777" w:rsidR="0093003C" w:rsidRDefault="0093003C" w:rsidP="00F71A40">
      <w:pPr>
        <w:jc w:val="both"/>
        <w:rPr>
          <w:szCs w:val="22"/>
        </w:rPr>
      </w:pPr>
    </w:p>
    <w:p w14:paraId="67E4845E" w14:textId="77777777" w:rsidR="0093003C" w:rsidRDefault="0093003C" w:rsidP="00A66F3E">
      <w:pPr>
        <w:pStyle w:val="Antrat3"/>
      </w:pPr>
      <w:r>
        <w:t>6.4</w:t>
      </w:r>
      <w:r>
        <w:tab/>
        <w:t>Specialios laikymo sąlygos</w:t>
      </w:r>
    </w:p>
    <w:p w14:paraId="44B6EB7B" w14:textId="77777777" w:rsidR="0093003C" w:rsidRDefault="0093003C" w:rsidP="00F71A40">
      <w:pPr>
        <w:pStyle w:val="Pagrindinistekstas"/>
        <w:spacing w:after="0"/>
        <w:rPr>
          <w:szCs w:val="22"/>
        </w:rPr>
      </w:pPr>
    </w:p>
    <w:p w14:paraId="3874A5A6" w14:textId="77777777" w:rsidR="0093003C" w:rsidRDefault="0093003C" w:rsidP="00F71A40">
      <w:pPr>
        <w:pStyle w:val="Pagrindinistekstas"/>
        <w:spacing w:after="0"/>
        <w:rPr>
          <w:i/>
          <w:szCs w:val="22"/>
        </w:rPr>
      </w:pPr>
      <w:r>
        <w:rPr>
          <w:i/>
          <w:szCs w:val="22"/>
        </w:rPr>
        <w:t>Polipropileni</w:t>
      </w:r>
      <w:r w:rsidR="00D7234A">
        <w:rPr>
          <w:i/>
          <w:szCs w:val="22"/>
        </w:rPr>
        <w:t>nė</w:t>
      </w:r>
      <w:r>
        <w:rPr>
          <w:i/>
          <w:szCs w:val="22"/>
        </w:rPr>
        <w:t xml:space="preserve"> talpyklė</w:t>
      </w:r>
    </w:p>
    <w:p w14:paraId="6E03B495" w14:textId="77777777" w:rsidR="0093003C" w:rsidRDefault="0093003C" w:rsidP="00F71A40">
      <w:pPr>
        <w:outlineLvl w:val="0"/>
        <w:rPr>
          <w:noProof/>
          <w:szCs w:val="22"/>
        </w:rPr>
      </w:pPr>
      <w:r>
        <w:rPr>
          <w:szCs w:val="22"/>
        </w:rPr>
        <w:t xml:space="preserve">Laikyti ne aukštesnėje kaip 25 ºC temperatūroje. </w:t>
      </w:r>
      <w:r w:rsidR="00993BF8">
        <w:rPr>
          <w:szCs w:val="22"/>
        </w:rPr>
        <w:t>Talpyklę laikyti sandarią.</w:t>
      </w:r>
    </w:p>
    <w:p w14:paraId="1F33ABD2" w14:textId="77777777" w:rsidR="0093003C" w:rsidRDefault="0093003C" w:rsidP="00F71A40">
      <w:pPr>
        <w:pStyle w:val="Pagrindinistekstas"/>
        <w:spacing w:after="0"/>
        <w:rPr>
          <w:i/>
          <w:szCs w:val="22"/>
        </w:rPr>
      </w:pPr>
    </w:p>
    <w:p w14:paraId="1C535C27" w14:textId="77777777" w:rsidR="0093003C" w:rsidRDefault="0093003C" w:rsidP="00F71A40">
      <w:pPr>
        <w:pStyle w:val="Pagrindinistekstas"/>
        <w:spacing w:after="0"/>
        <w:rPr>
          <w:i/>
          <w:szCs w:val="22"/>
        </w:rPr>
      </w:pPr>
      <w:r>
        <w:rPr>
          <w:i/>
          <w:szCs w:val="22"/>
        </w:rPr>
        <w:t>Lizdinė plokštelė</w:t>
      </w:r>
    </w:p>
    <w:p w14:paraId="4502F4DF" w14:textId="59102C73" w:rsidR="0093003C" w:rsidRDefault="0093003C">
      <w:pPr>
        <w:pStyle w:val="Pagrindinistekstas"/>
        <w:spacing w:after="0"/>
        <w:outlineLvl w:val="0"/>
        <w:rPr>
          <w:szCs w:val="22"/>
        </w:rPr>
      </w:pPr>
      <w:r>
        <w:rPr>
          <w:szCs w:val="22"/>
        </w:rPr>
        <w:t xml:space="preserve">Laikyti ne aukštesnėje kaip 25 ºC temperatūroje. </w:t>
      </w:r>
      <w:r w:rsidR="00993BF8" w:rsidRPr="002536CD">
        <w:t xml:space="preserve">Lizdinę plokštelę laikyti išorinėje dėžutėje, kad </w:t>
      </w:r>
      <w:r w:rsidR="00A30D84">
        <w:t xml:space="preserve">vaistinis </w:t>
      </w:r>
      <w:r w:rsidR="00993BF8" w:rsidRPr="002536CD">
        <w:t>preparatas būtų apsaugotas nuo šviesos.</w:t>
      </w:r>
    </w:p>
    <w:p w14:paraId="1D78EB67" w14:textId="77777777" w:rsidR="0093003C" w:rsidRDefault="0093003C">
      <w:pPr>
        <w:pStyle w:val="Pagrindinistekstas"/>
        <w:spacing w:after="0"/>
        <w:rPr>
          <w:szCs w:val="22"/>
        </w:rPr>
      </w:pPr>
    </w:p>
    <w:p w14:paraId="42EB8078" w14:textId="77777777" w:rsidR="0093003C" w:rsidRDefault="0093003C" w:rsidP="00A66F3E">
      <w:pPr>
        <w:pStyle w:val="Antrat3"/>
      </w:pPr>
      <w:r>
        <w:t>6.5</w:t>
      </w:r>
      <w:r>
        <w:tab/>
        <w:t>Talpyklės pobūdis ir jos turinys</w:t>
      </w:r>
    </w:p>
    <w:p w14:paraId="5FAC6252" w14:textId="77777777" w:rsidR="0093003C" w:rsidRDefault="0093003C">
      <w:pPr>
        <w:jc w:val="both"/>
        <w:rPr>
          <w:szCs w:val="22"/>
        </w:rPr>
      </w:pPr>
    </w:p>
    <w:p w14:paraId="7344BEC0" w14:textId="77777777" w:rsidR="0093003C" w:rsidRDefault="0093003C">
      <w:pPr>
        <w:rPr>
          <w:color w:val="000000"/>
          <w:szCs w:val="22"/>
        </w:rPr>
      </w:pPr>
      <w:r>
        <w:rPr>
          <w:color w:val="000000"/>
          <w:szCs w:val="22"/>
        </w:rPr>
        <w:t>Polipropileni</w:t>
      </w:r>
      <w:r w:rsidR="00D7234A">
        <w:rPr>
          <w:color w:val="000000"/>
          <w:szCs w:val="22"/>
        </w:rPr>
        <w:t>nė</w:t>
      </w:r>
      <w:r>
        <w:rPr>
          <w:color w:val="000000"/>
          <w:szCs w:val="22"/>
        </w:rPr>
        <w:t xml:space="preserve"> talpyklė, užkimšta polietileniniu kamščiu. Talpyklėje yra 20 arba 60 tablečių.</w:t>
      </w:r>
    </w:p>
    <w:p w14:paraId="2F56B939" w14:textId="77777777" w:rsidR="0093003C" w:rsidRDefault="0093003C">
      <w:pPr>
        <w:pStyle w:val="Pagrindinistekstas"/>
        <w:spacing w:after="0"/>
        <w:rPr>
          <w:szCs w:val="22"/>
        </w:rPr>
      </w:pPr>
      <w:r>
        <w:rPr>
          <w:szCs w:val="22"/>
        </w:rPr>
        <w:t>PVC ir aliuminio folijos lizdinė plokštelė, kurioje yra 10 tablečių. Kartoninėje dėžutėje yra 10, 20, 30, 40, 50 arba 60 tablečių.</w:t>
      </w:r>
    </w:p>
    <w:p w14:paraId="2D0C81B8" w14:textId="77777777" w:rsidR="0093003C" w:rsidRDefault="0093003C">
      <w:pPr>
        <w:pStyle w:val="Pagrindinistekstas"/>
        <w:spacing w:after="0"/>
        <w:rPr>
          <w:szCs w:val="22"/>
        </w:rPr>
      </w:pPr>
      <w:r>
        <w:rPr>
          <w:szCs w:val="22"/>
        </w:rPr>
        <w:t>Gali būti tiekiamos ne visų dydžių pakuotės.</w:t>
      </w:r>
    </w:p>
    <w:p w14:paraId="53D94AA8" w14:textId="77777777" w:rsidR="0093003C" w:rsidRDefault="0093003C">
      <w:pPr>
        <w:pStyle w:val="Pagrindinistekstas"/>
        <w:spacing w:after="0"/>
        <w:rPr>
          <w:szCs w:val="22"/>
        </w:rPr>
      </w:pPr>
    </w:p>
    <w:p w14:paraId="5211EE90" w14:textId="77777777" w:rsidR="0093003C" w:rsidRDefault="0093003C" w:rsidP="00A66F3E">
      <w:pPr>
        <w:pStyle w:val="Antrat3"/>
      </w:pPr>
      <w:r>
        <w:t>6.6</w:t>
      </w:r>
      <w:r>
        <w:tab/>
        <w:t xml:space="preserve">Specialūs reikalavimai atliekoms tvarkyti </w:t>
      </w:r>
    </w:p>
    <w:p w14:paraId="14F9FADC" w14:textId="77777777" w:rsidR="0093003C" w:rsidRDefault="0093003C">
      <w:pPr>
        <w:pStyle w:val="Pagrindinistekstas"/>
        <w:spacing w:after="0"/>
        <w:rPr>
          <w:szCs w:val="22"/>
        </w:rPr>
      </w:pPr>
    </w:p>
    <w:p w14:paraId="551976A7" w14:textId="77777777" w:rsidR="0093003C" w:rsidRDefault="0093003C">
      <w:pPr>
        <w:pStyle w:val="Pagrindinistekstas"/>
        <w:spacing w:after="0"/>
        <w:rPr>
          <w:szCs w:val="22"/>
        </w:rPr>
      </w:pPr>
      <w:r>
        <w:rPr>
          <w:szCs w:val="22"/>
        </w:rPr>
        <w:t>Specialių reikalavimų nėra.</w:t>
      </w:r>
    </w:p>
    <w:p w14:paraId="4CE9CF5E" w14:textId="77777777" w:rsidR="0093003C" w:rsidRDefault="0093003C">
      <w:pPr>
        <w:pStyle w:val="Pagrindinistekstas"/>
        <w:spacing w:after="0"/>
        <w:rPr>
          <w:szCs w:val="22"/>
        </w:rPr>
      </w:pPr>
    </w:p>
    <w:p w14:paraId="40C515CD" w14:textId="77777777" w:rsidR="0093003C" w:rsidRDefault="0093003C">
      <w:pPr>
        <w:pStyle w:val="Pagrindinistekstas"/>
        <w:spacing w:after="0"/>
        <w:rPr>
          <w:szCs w:val="22"/>
        </w:rPr>
      </w:pPr>
    </w:p>
    <w:p w14:paraId="63E22C57" w14:textId="4C7CF222" w:rsidR="0093003C" w:rsidRDefault="0093003C">
      <w:pPr>
        <w:pStyle w:val="Antrat2"/>
        <w:rPr>
          <w:szCs w:val="22"/>
        </w:rPr>
      </w:pPr>
      <w:r>
        <w:rPr>
          <w:szCs w:val="22"/>
        </w:rPr>
        <w:t>7.</w:t>
      </w:r>
      <w:r>
        <w:rPr>
          <w:szCs w:val="22"/>
        </w:rPr>
        <w:tab/>
      </w:r>
      <w:r w:rsidR="00A30D84">
        <w:rPr>
          <w:szCs w:val="22"/>
        </w:rPr>
        <w:t>REGISTRUOTOJAS</w:t>
      </w:r>
    </w:p>
    <w:p w14:paraId="76CC01C2" w14:textId="77777777" w:rsidR="0093003C" w:rsidRDefault="0093003C">
      <w:pPr>
        <w:pStyle w:val="Pagrindinistekstas"/>
        <w:spacing w:after="0"/>
        <w:rPr>
          <w:szCs w:val="22"/>
        </w:rPr>
      </w:pPr>
    </w:p>
    <w:p w14:paraId="0B6C6EDC" w14:textId="1F2DDCE3" w:rsidR="0093003C" w:rsidRDefault="00335FA6">
      <w:pPr>
        <w:jc w:val="both"/>
        <w:rPr>
          <w:szCs w:val="22"/>
        </w:rPr>
      </w:pPr>
      <w:r>
        <w:rPr>
          <w:szCs w:val="22"/>
        </w:rPr>
        <w:t>Labofarm sp. z o.o.</w:t>
      </w:r>
    </w:p>
    <w:p w14:paraId="583725B1" w14:textId="299124F4" w:rsidR="0093003C" w:rsidRDefault="0093003C">
      <w:pPr>
        <w:jc w:val="both"/>
        <w:rPr>
          <w:szCs w:val="22"/>
        </w:rPr>
      </w:pPr>
      <w:r>
        <w:rPr>
          <w:szCs w:val="22"/>
        </w:rPr>
        <w:t>ul. Lubichowska 176</w:t>
      </w:r>
      <w:r w:rsidR="00335FA6">
        <w:rPr>
          <w:szCs w:val="22"/>
        </w:rPr>
        <w:t>B</w:t>
      </w:r>
    </w:p>
    <w:p w14:paraId="694EB23E" w14:textId="0B18DFF9" w:rsidR="00335FA6" w:rsidRDefault="00335FA6">
      <w:pPr>
        <w:jc w:val="both"/>
        <w:rPr>
          <w:szCs w:val="22"/>
        </w:rPr>
      </w:pPr>
      <w:r>
        <w:rPr>
          <w:szCs w:val="22"/>
        </w:rPr>
        <w:t>83-200 Starogard Gdański</w:t>
      </w:r>
    </w:p>
    <w:p w14:paraId="56ADE7C4" w14:textId="77777777" w:rsidR="0093003C" w:rsidRDefault="0093003C">
      <w:pPr>
        <w:jc w:val="both"/>
        <w:rPr>
          <w:szCs w:val="22"/>
        </w:rPr>
      </w:pPr>
      <w:r>
        <w:rPr>
          <w:szCs w:val="22"/>
        </w:rPr>
        <w:t>Lenkija</w:t>
      </w:r>
    </w:p>
    <w:p w14:paraId="68A13CB1" w14:textId="77777777" w:rsidR="0093003C" w:rsidRDefault="0093003C">
      <w:pPr>
        <w:pStyle w:val="Pagrindinistekstas"/>
        <w:spacing w:after="0"/>
        <w:rPr>
          <w:szCs w:val="22"/>
        </w:rPr>
      </w:pPr>
      <w:r>
        <w:rPr>
          <w:szCs w:val="22"/>
        </w:rPr>
        <w:t>Tel. +48 58 561-20-08</w:t>
      </w:r>
    </w:p>
    <w:p w14:paraId="47A90E8A" w14:textId="77777777" w:rsidR="0093003C" w:rsidRDefault="0093003C">
      <w:pPr>
        <w:pStyle w:val="Pagrindinistekstas"/>
        <w:spacing w:after="0"/>
        <w:rPr>
          <w:szCs w:val="22"/>
        </w:rPr>
      </w:pPr>
      <w:r>
        <w:rPr>
          <w:szCs w:val="22"/>
        </w:rPr>
        <w:t xml:space="preserve">El. paštas: </w:t>
      </w:r>
      <w:hyperlink r:id="rId11" w:history="1">
        <w:r>
          <w:rPr>
            <w:rStyle w:val="Hipersaitas"/>
            <w:szCs w:val="22"/>
          </w:rPr>
          <w:t>poczta</w:t>
        </w:r>
        <w:r>
          <w:rPr>
            <w:rStyle w:val="Hipersaitas"/>
            <w:szCs w:val="22"/>
            <w:lang w:val="es-ES"/>
          </w:rPr>
          <w:t>@</w:t>
        </w:r>
        <w:r>
          <w:rPr>
            <w:rStyle w:val="Hipersaitas"/>
            <w:szCs w:val="22"/>
          </w:rPr>
          <w:t>Labofarm.com.pl</w:t>
        </w:r>
      </w:hyperlink>
    </w:p>
    <w:p w14:paraId="3B9F9A87" w14:textId="77777777" w:rsidR="0093003C" w:rsidRDefault="0093003C">
      <w:pPr>
        <w:pStyle w:val="Pagrindinistekstas"/>
        <w:spacing w:after="0"/>
        <w:rPr>
          <w:szCs w:val="22"/>
        </w:rPr>
      </w:pPr>
    </w:p>
    <w:p w14:paraId="74F7F113" w14:textId="77777777" w:rsidR="0093003C" w:rsidRDefault="0093003C">
      <w:pPr>
        <w:pStyle w:val="Pagrindinistekstas"/>
        <w:spacing w:after="0"/>
        <w:rPr>
          <w:szCs w:val="22"/>
        </w:rPr>
      </w:pPr>
    </w:p>
    <w:p w14:paraId="66E86368" w14:textId="6494A839" w:rsidR="0093003C" w:rsidRDefault="0093003C">
      <w:pPr>
        <w:pStyle w:val="Antrat2"/>
        <w:rPr>
          <w:szCs w:val="22"/>
        </w:rPr>
      </w:pPr>
      <w:r>
        <w:rPr>
          <w:szCs w:val="22"/>
        </w:rPr>
        <w:t>8.</w:t>
      </w:r>
      <w:r>
        <w:rPr>
          <w:szCs w:val="22"/>
        </w:rPr>
        <w:tab/>
      </w:r>
      <w:r w:rsidR="00A30D84">
        <w:rPr>
          <w:bCs/>
          <w:szCs w:val="26"/>
          <w:lang w:eastAsia="x-none"/>
        </w:rPr>
        <w:t xml:space="preserve">REGISTRACIJOS </w:t>
      </w:r>
      <w:r w:rsidR="00A30D84">
        <w:rPr>
          <w:bCs/>
          <w:szCs w:val="22"/>
          <w:lang w:eastAsia="x-none"/>
        </w:rPr>
        <w:t>PAŽYMĖJIMO</w:t>
      </w:r>
      <w:r w:rsidR="00A30D84">
        <w:rPr>
          <w:bCs/>
          <w:szCs w:val="26"/>
          <w:lang w:eastAsia="x-none"/>
        </w:rPr>
        <w:t xml:space="preserve"> NUMERIS (-IAI)</w:t>
      </w:r>
    </w:p>
    <w:p w14:paraId="7C3A7035" w14:textId="77777777" w:rsidR="0093003C" w:rsidRDefault="0093003C">
      <w:pPr>
        <w:pStyle w:val="Pagrindinistekstas"/>
        <w:spacing w:after="0"/>
        <w:rPr>
          <w:szCs w:val="22"/>
        </w:rPr>
      </w:pPr>
    </w:p>
    <w:p w14:paraId="074FED94" w14:textId="77777777" w:rsidR="0059749F" w:rsidRDefault="0059749F">
      <w:pPr>
        <w:pStyle w:val="Pagrindinistekstas"/>
        <w:spacing w:after="0"/>
        <w:rPr>
          <w:bCs/>
          <w:szCs w:val="22"/>
          <w:u w:val="single"/>
        </w:rPr>
        <w:sectPr w:rsidR="0059749F" w:rsidSect="001A2A2D">
          <w:footerReference w:type="even" r:id="rId12"/>
          <w:footerReference w:type="default" r:id="rId13"/>
          <w:pgSz w:w="11906" w:h="16838" w:code="9"/>
          <w:pgMar w:top="1134" w:right="1418" w:bottom="1134" w:left="1418" w:header="731" w:footer="731" w:gutter="0"/>
          <w:cols w:space="1296"/>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449"/>
      </w:tblGrid>
      <w:tr w:rsidR="0059749F" w14:paraId="1B312A93" w14:textId="77777777" w:rsidTr="0059749F">
        <w:tc>
          <w:tcPr>
            <w:tcW w:w="4448" w:type="dxa"/>
          </w:tcPr>
          <w:p w14:paraId="0C04DA37" w14:textId="77777777" w:rsidR="0059749F" w:rsidRDefault="0059749F" w:rsidP="0059749F">
            <w:pPr>
              <w:pStyle w:val="Pagrindinistekstas"/>
              <w:spacing w:after="0"/>
              <w:rPr>
                <w:szCs w:val="22"/>
                <w:u w:val="single"/>
              </w:rPr>
            </w:pPr>
            <w:r>
              <w:rPr>
                <w:bCs/>
                <w:szCs w:val="22"/>
                <w:u w:val="single"/>
              </w:rPr>
              <w:t>Lizdinė plokštelė:</w:t>
            </w:r>
          </w:p>
          <w:p w14:paraId="31341D50" w14:textId="77777777" w:rsidR="0059749F" w:rsidRDefault="0059749F" w:rsidP="0059749F">
            <w:pPr>
              <w:rPr>
                <w:bCs/>
                <w:szCs w:val="22"/>
              </w:rPr>
            </w:pPr>
            <w:r>
              <w:rPr>
                <w:bCs/>
                <w:szCs w:val="22"/>
              </w:rPr>
              <w:t>LT/1/08/1007/001 – N10</w:t>
            </w:r>
          </w:p>
          <w:p w14:paraId="37555BC8" w14:textId="77777777" w:rsidR="0059749F" w:rsidRDefault="0059749F" w:rsidP="0059749F">
            <w:pPr>
              <w:rPr>
                <w:bCs/>
                <w:szCs w:val="22"/>
              </w:rPr>
            </w:pPr>
            <w:r>
              <w:rPr>
                <w:bCs/>
                <w:szCs w:val="22"/>
              </w:rPr>
              <w:t>LT/1/08/1007/002 – N20</w:t>
            </w:r>
          </w:p>
          <w:p w14:paraId="60AED9B3" w14:textId="2B27D313" w:rsidR="0059749F" w:rsidRDefault="0059749F" w:rsidP="0059749F">
            <w:pPr>
              <w:rPr>
                <w:bCs/>
                <w:szCs w:val="22"/>
              </w:rPr>
            </w:pPr>
            <w:r>
              <w:rPr>
                <w:bCs/>
                <w:szCs w:val="22"/>
              </w:rPr>
              <w:t xml:space="preserve">LT/1/08/1007/003 – N30 </w:t>
            </w:r>
          </w:p>
          <w:p w14:paraId="2EE2A443" w14:textId="31D9375A" w:rsidR="0059749F" w:rsidRDefault="0059749F" w:rsidP="0059749F">
            <w:pPr>
              <w:rPr>
                <w:bCs/>
                <w:szCs w:val="22"/>
              </w:rPr>
            </w:pPr>
            <w:r>
              <w:rPr>
                <w:bCs/>
                <w:szCs w:val="22"/>
              </w:rPr>
              <w:t>LT/1/08/1007/004 – N40</w:t>
            </w:r>
          </w:p>
          <w:p w14:paraId="526F45FE" w14:textId="752D3B0E" w:rsidR="0059749F" w:rsidRDefault="0059749F" w:rsidP="0059749F">
            <w:pPr>
              <w:pStyle w:val="Pagrindinistekstas"/>
              <w:spacing w:after="0"/>
              <w:rPr>
                <w:bCs/>
                <w:szCs w:val="22"/>
              </w:rPr>
            </w:pPr>
            <w:r>
              <w:rPr>
                <w:bCs/>
                <w:szCs w:val="22"/>
              </w:rPr>
              <w:t>LT/1/08/1007/005 – N50</w:t>
            </w:r>
          </w:p>
          <w:p w14:paraId="21E407E3" w14:textId="633F6D3D" w:rsidR="0059749F" w:rsidRDefault="0059749F" w:rsidP="0022668C">
            <w:pPr>
              <w:rPr>
                <w:bCs/>
                <w:szCs w:val="22"/>
                <w:u w:val="single"/>
              </w:rPr>
            </w:pPr>
            <w:r>
              <w:rPr>
                <w:bCs/>
                <w:szCs w:val="22"/>
              </w:rPr>
              <w:t xml:space="preserve">LT/1/08/1007/006 – N60 </w:t>
            </w:r>
          </w:p>
        </w:tc>
        <w:tc>
          <w:tcPr>
            <w:tcW w:w="4449" w:type="dxa"/>
          </w:tcPr>
          <w:p w14:paraId="545CAC98" w14:textId="77777777" w:rsidR="0059749F" w:rsidRDefault="0059749F" w:rsidP="0059749F">
            <w:pPr>
              <w:rPr>
                <w:bCs/>
                <w:szCs w:val="22"/>
                <w:u w:val="single"/>
              </w:rPr>
            </w:pPr>
            <w:r>
              <w:rPr>
                <w:bCs/>
                <w:szCs w:val="22"/>
                <w:u w:val="single"/>
                <w:lang w:eastAsia="en-US"/>
              </w:rPr>
              <w:t>Buteliukas</w:t>
            </w:r>
            <w:r>
              <w:rPr>
                <w:bCs/>
                <w:szCs w:val="22"/>
                <w:u w:val="single"/>
              </w:rPr>
              <w:t>:</w:t>
            </w:r>
          </w:p>
          <w:p w14:paraId="02562754" w14:textId="77777777" w:rsidR="0059749F" w:rsidRDefault="0059749F" w:rsidP="0059749F">
            <w:pPr>
              <w:rPr>
                <w:bCs/>
                <w:szCs w:val="22"/>
              </w:rPr>
            </w:pPr>
            <w:r>
              <w:rPr>
                <w:bCs/>
                <w:szCs w:val="22"/>
              </w:rPr>
              <w:t>LT/1/08/1007/007 –  N20</w:t>
            </w:r>
          </w:p>
          <w:p w14:paraId="3E2F6867" w14:textId="77777777" w:rsidR="0059749F" w:rsidRDefault="0059749F" w:rsidP="0059749F">
            <w:pPr>
              <w:rPr>
                <w:bCs/>
                <w:szCs w:val="22"/>
              </w:rPr>
            </w:pPr>
            <w:r>
              <w:rPr>
                <w:bCs/>
                <w:szCs w:val="22"/>
              </w:rPr>
              <w:t>LT/1/08/1007/008 –  N60</w:t>
            </w:r>
          </w:p>
          <w:p w14:paraId="440F54B3" w14:textId="77777777" w:rsidR="0059749F" w:rsidRDefault="0059749F">
            <w:pPr>
              <w:pStyle w:val="Pagrindinistekstas"/>
              <w:spacing w:after="0"/>
              <w:rPr>
                <w:bCs/>
                <w:szCs w:val="22"/>
                <w:u w:val="single"/>
              </w:rPr>
            </w:pPr>
          </w:p>
        </w:tc>
      </w:tr>
    </w:tbl>
    <w:p w14:paraId="3574DE9F" w14:textId="77777777" w:rsidR="0059749F" w:rsidRDefault="0059749F">
      <w:pPr>
        <w:pStyle w:val="Pagrindinistekstas"/>
        <w:spacing w:after="0"/>
        <w:rPr>
          <w:szCs w:val="22"/>
        </w:rPr>
        <w:sectPr w:rsidR="0059749F" w:rsidSect="001A2A2D">
          <w:type w:val="continuous"/>
          <w:pgSz w:w="11906" w:h="16838" w:code="9"/>
          <w:pgMar w:top="1134" w:right="1418" w:bottom="1134" w:left="1418" w:header="731" w:footer="731" w:gutter="0"/>
          <w:cols w:space="1296"/>
        </w:sectPr>
      </w:pPr>
    </w:p>
    <w:p w14:paraId="46762DF1" w14:textId="2059F0BA" w:rsidR="0093003C" w:rsidRDefault="0093003C">
      <w:pPr>
        <w:pStyle w:val="Pagrindinistekstas"/>
        <w:spacing w:after="0"/>
        <w:rPr>
          <w:szCs w:val="22"/>
        </w:rPr>
      </w:pPr>
    </w:p>
    <w:p w14:paraId="3ECD514A" w14:textId="77777777" w:rsidR="0093003C" w:rsidRDefault="0093003C">
      <w:pPr>
        <w:pStyle w:val="Antrat2"/>
        <w:rPr>
          <w:szCs w:val="22"/>
        </w:rPr>
      </w:pPr>
    </w:p>
    <w:p w14:paraId="65B45C72" w14:textId="0554961E" w:rsidR="0093003C" w:rsidRDefault="0093003C">
      <w:pPr>
        <w:pStyle w:val="Antrat2"/>
        <w:rPr>
          <w:szCs w:val="22"/>
        </w:rPr>
      </w:pPr>
      <w:r>
        <w:rPr>
          <w:szCs w:val="22"/>
        </w:rPr>
        <w:t>9.</w:t>
      </w:r>
      <w:r>
        <w:rPr>
          <w:szCs w:val="22"/>
        </w:rPr>
        <w:tab/>
      </w:r>
      <w:r w:rsidR="00A30D84">
        <w:rPr>
          <w:bCs/>
          <w:szCs w:val="26"/>
          <w:lang w:eastAsia="x-none"/>
        </w:rPr>
        <w:t>REGISTRAVIMO / PERREGISTRAVIMO DATA</w:t>
      </w:r>
    </w:p>
    <w:p w14:paraId="534B7614" w14:textId="77777777" w:rsidR="0093003C" w:rsidRDefault="0093003C">
      <w:pPr>
        <w:pStyle w:val="Pagrindinistekstas"/>
        <w:spacing w:after="0"/>
        <w:rPr>
          <w:szCs w:val="22"/>
        </w:rPr>
      </w:pPr>
    </w:p>
    <w:p w14:paraId="10FDAFFD" w14:textId="2C68D33B" w:rsidR="00EB65F8" w:rsidRPr="00B34FA1" w:rsidRDefault="00A30D84" w:rsidP="00EB65F8">
      <w:pPr>
        <w:rPr>
          <w:szCs w:val="24"/>
        </w:rPr>
      </w:pPr>
      <w:r>
        <w:rPr>
          <w:noProof/>
          <w:szCs w:val="22"/>
        </w:rPr>
        <w:t>Registravimo data</w:t>
      </w:r>
      <w:r w:rsidR="00EB65F8" w:rsidRPr="00B34FA1">
        <w:rPr>
          <w:noProof/>
          <w:szCs w:val="24"/>
        </w:rPr>
        <w:t xml:space="preserve"> </w:t>
      </w:r>
      <w:r w:rsidR="00EB65F8">
        <w:rPr>
          <w:noProof/>
          <w:szCs w:val="24"/>
        </w:rPr>
        <w:t>2008</w:t>
      </w:r>
      <w:r w:rsidR="00EB65F8" w:rsidRPr="00B34FA1">
        <w:rPr>
          <w:noProof/>
          <w:szCs w:val="24"/>
        </w:rPr>
        <w:t xml:space="preserve"> m. </w:t>
      </w:r>
      <w:r w:rsidR="00EB65F8">
        <w:rPr>
          <w:noProof/>
          <w:szCs w:val="24"/>
        </w:rPr>
        <w:t>vasario</w:t>
      </w:r>
      <w:r w:rsidR="00EB65F8" w:rsidRPr="00B34FA1">
        <w:rPr>
          <w:noProof/>
          <w:szCs w:val="24"/>
        </w:rPr>
        <w:t xml:space="preserve"> </w:t>
      </w:r>
      <w:r w:rsidR="00EB65F8">
        <w:rPr>
          <w:szCs w:val="24"/>
        </w:rPr>
        <w:t>8</w:t>
      </w:r>
      <w:r w:rsidR="00EB65F8" w:rsidRPr="00B34FA1">
        <w:rPr>
          <w:noProof/>
          <w:szCs w:val="24"/>
        </w:rPr>
        <w:t> d.</w:t>
      </w:r>
    </w:p>
    <w:p w14:paraId="703D21AF" w14:textId="54E44121" w:rsidR="008C6DE5" w:rsidRDefault="00A30D84" w:rsidP="008C6DE5">
      <w:pPr>
        <w:jc w:val="both"/>
        <w:rPr>
          <w:szCs w:val="22"/>
        </w:rPr>
      </w:pPr>
      <w:r>
        <w:rPr>
          <w:szCs w:val="22"/>
        </w:rPr>
        <w:t>Paskutinio perregistravimo data</w:t>
      </w:r>
      <w:r w:rsidR="008C6DE5">
        <w:rPr>
          <w:szCs w:val="22"/>
        </w:rPr>
        <w:t xml:space="preserve"> 2014 m. birželio 19 d.</w:t>
      </w:r>
    </w:p>
    <w:p w14:paraId="353BF476" w14:textId="77777777" w:rsidR="0093003C" w:rsidRDefault="0093003C">
      <w:pPr>
        <w:pStyle w:val="Pagrindinistekstas"/>
        <w:spacing w:after="0"/>
        <w:rPr>
          <w:szCs w:val="22"/>
        </w:rPr>
      </w:pPr>
    </w:p>
    <w:p w14:paraId="581E23DD" w14:textId="77777777" w:rsidR="0093003C" w:rsidRDefault="0093003C">
      <w:pPr>
        <w:pStyle w:val="Pagrindinistekstas"/>
        <w:spacing w:after="0"/>
        <w:rPr>
          <w:szCs w:val="22"/>
        </w:rPr>
      </w:pPr>
    </w:p>
    <w:p w14:paraId="1752BCB0" w14:textId="77777777" w:rsidR="0093003C" w:rsidRDefault="0093003C">
      <w:pPr>
        <w:pStyle w:val="Antrat2"/>
        <w:rPr>
          <w:szCs w:val="22"/>
        </w:rPr>
      </w:pPr>
      <w:r>
        <w:rPr>
          <w:szCs w:val="22"/>
        </w:rPr>
        <w:t>10.</w:t>
      </w:r>
      <w:r>
        <w:rPr>
          <w:szCs w:val="22"/>
        </w:rPr>
        <w:tab/>
        <w:t>TEKSTO PERŽIŪROS DATA</w:t>
      </w:r>
    </w:p>
    <w:p w14:paraId="5C1D78E3" w14:textId="77777777" w:rsidR="0093003C" w:rsidRDefault="0093003C">
      <w:pPr>
        <w:pStyle w:val="Pagrindinistekstas"/>
        <w:spacing w:after="0"/>
        <w:rPr>
          <w:szCs w:val="22"/>
        </w:rPr>
      </w:pPr>
    </w:p>
    <w:p w14:paraId="04CF0ED6" w14:textId="1D101DD7" w:rsidR="008C6DE5" w:rsidRDefault="008C6DE5" w:rsidP="008C6DE5">
      <w:pPr>
        <w:jc w:val="both"/>
        <w:rPr>
          <w:szCs w:val="22"/>
        </w:rPr>
      </w:pPr>
      <w:r>
        <w:rPr>
          <w:szCs w:val="22"/>
        </w:rPr>
        <w:t>20</w:t>
      </w:r>
      <w:r w:rsidR="006C2976">
        <w:rPr>
          <w:szCs w:val="22"/>
        </w:rPr>
        <w:t>25</w:t>
      </w:r>
      <w:r>
        <w:rPr>
          <w:szCs w:val="22"/>
        </w:rPr>
        <w:t xml:space="preserve"> m. b</w:t>
      </w:r>
      <w:r w:rsidR="006C2976">
        <w:rPr>
          <w:szCs w:val="22"/>
        </w:rPr>
        <w:t>alandž</w:t>
      </w:r>
      <w:r>
        <w:rPr>
          <w:szCs w:val="22"/>
        </w:rPr>
        <w:t>io 1</w:t>
      </w:r>
      <w:r w:rsidR="006C2976">
        <w:rPr>
          <w:szCs w:val="22"/>
        </w:rPr>
        <w:t>8</w:t>
      </w:r>
      <w:r>
        <w:rPr>
          <w:szCs w:val="22"/>
        </w:rPr>
        <w:t xml:space="preserve"> d.</w:t>
      </w:r>
    </w:p>
    <w:p w14:paraId="71B38B35" w14:textId="77777777" w:rsidR="0093003C" w:rsidRDefault="0093003C">
      <w:pPr>
        <w:pStyle w:val="BTEMEASMCA"/>
        <w:rPr>
          <w:noProof w:val="0"/>
        </w:rPr>
      </w:pPr>
    </w:p>
    <w:p w14:paraId="0FF05BEE" w14:textId="77777777" w:rsidR="0093003C" w:rsidRDefault="0093003C">
      <w:pPr>
        <w:pStyle w:val="BTEMEASMCA"/>
        <w:rPr>
          <w:noProof w:val="0"/>
        </w:rPr>
      </w:pPr>
    </w:p>
    <w:p w14:paraId="13036DB0" w14:textId="08A26290" w:rsidR="0093003C" w:rsidRDefault="0093003C">
      <w:pPr>
        <w:rPr>
          <w:szCs w:val="22"/>
        </w:rPr>
      </w:pPr>
      <w:r>
        <w:rPr>
          <w:szCs w:val="22"/>
        </w:rPr>
        <w:t xml:space="preserve">Išsami informacija apie šį vaistinį preparatą pateikiama Valstybinės vaistų kontrolės tarnybos prie Lietuvos Respublikos  sveikatos apsaugos ministerijos tinklalapyje </w:t>
      </w:r>
      <w:r w:rsidR="00A30D84">
        <w:rPr>
          <w:szCs w:val="22"/>
          <w:u w:val="single"/>
        </w:rPr>
        <w:t>https://vvkt.lrv.lt/lt/.</w:t>
      </w:r>
    </w:p>
    <w:p w14:paraId="0593C392" w14:textId="77777777" w:rsidR="0093003C" w:rsidRDefault="0093003C">
      <w:pPr>
        <w:pStyle w:val="Pagrindinistekstas"/>
        <w:spacing w:after="0"/>
        <w:rPr>
          <w:szCs w:val="22"/>
        </w:rPr>
      </w:pPr>
      <w:r>
        <w:rPr>
          <w:szCs w:val="22"/>
        </w:rPr>
        <w:br w:type="page"/>
      </w:r>
    </w:p>
    <w:p w14:paraId="10C26839" w14:textId="77777777" w:rsidR="0093003C" w:rsidRDefault="0093003C">
      <w:pPr>
        <w:pStyle w:val="Pagrindinistekstas"/>
        <w:spacing w:after="0"/>
        <w:rPr>
          <w:szCs w:val="22"/>
        </w:rPr>
      </w:pPr>
    </w:p>
    <w:p w14:paraId="0D24FE52" w14:textId="77777777" w:rsidR="0093003C" w:rsidRDefault="0093003C">
      <w:pPr>
        <w:pStyle w:val="Pagrindinistekstas"/>
        <w:spacing w:after="0"/>
        <w:rPr>
          <w:szCs w:val="22"/>
        </w:rPr>
      </w:pPr>
    </w:p>
    <w:p w14:paraId="5F3D3853" w14:textId="77777777" w:rsidR="0093003C" w:rsidRDefault="0093003C">
      <w:pPr>
        <w:pStyle w:val="Pagrindinistekstas"/>
        <w:spacing w:after="0"/>
        <w:rPr>
          <w:szCs w:val="22"/>
        </w:rPr>
      </w:pPr>
    </w:p>
    <w:p w14:paraId="4AA6AC42" w14:textId="77777777" w:rsidR="0093003C" w:rsidRDefault="0093003C">
      <w:pPr>
        <w:pStyle w:val="Pagrindinistekstas"/>
        <w:spacing w:after="0"/>
        <w:rPr>
          <w:szCs w:val="22"/>
        </w:rPr>
      </w:pPr>
    </w:p>
    <w:p w14:paraId="772B2D39" w14:textId="77777777" w:rsidR="0093003C" w:rsidRDefault="0093003C">
      <w:pPr>
        <w:pStyle w:val="Pagrindinistekstas"/>
        <w:spacing w:after="0"/>
        <w:rPr>
          <w:szCs w:val="22"/>
        </w:rPr>
      </w:pPr>
    </w:p>
    <w:p w14:paraId="4E72EE53" w14:textId="77777777" w:rsidR="0093003C" w:rsidRDefault="0093003C">
      <w:pPr>
        <w:pStyle w:val="Pagrindinistekstas"/>
        <w:spacing w:after="0"/>
        <w:rPr>
          <w:szCs w:val="22"/>
        </w:rPr>
      </w:pPr>
    </w:p>
    <w:p w14:paraId="2A2DC157" w14:textId="77777777" w:rsidR="0093003C" w:rsidRDefault="0093003C">
      <w:pPr>
        <w:pStyle w:val="Pagrindinistekstas"/>
        <w:spacing w:after="0"/>
        <w:rPr>
          <w:szCs w:val="22"/>
        </w:rPr>
      </w:pPr>
    </w:p>
    <w:p w14:paraId="385F029E" w14:textId="77777777" w:rsidR="0093003C" w:rsidRDefault="0093003C">
      <w:pPr>
        <w:pStyle w:val="Pagrindinistekstas"/>
        <w:spacing w:after="0"/>
        <w:rPr>
          <w:szCs w:val="22"/>
        </w:rPr>
      </w:pPr>
    </w:p>
    <w:p w14:paraId="2FF44356" w14:textId="77777777" w:rsidR="0093003C" w:rsidRDefault="0093003C">
      <w:pPr>
        <w:pStyle w:val="Pagrindinistekstas"/>
        <w:spacing w:after="0"/>
        <w:rPr>
          <w:szCs w:val="22"/>
        </w:rPr>
      </w:pPr>
    </w:p>
    <w:p w14:paraId="48C80F36" w14:textId="77777777" w:rsidR="0093003C" w:rsidRDefault="0093003C">
      <w:pPr>
        <w:pStyle w:val="Pagrindinistekstas"/>
        <w:spacing w:after="0"/>
        <w:rPr>
          <w:szCs w:val="22"/>
        </w:rPr>
      </w:pPr>
    </w:p>
    <w:p w14:paraId="3DFC63B5" w14:textId="77777777" w:rsidR="0093003C" w:rsidRDefault="0093003C">
      <w:pPr>
        <w:pStyle w:val="Pagrindinistekstas"/>
        <w:spacing w:after="0"/>
        <w:rPr>
          <w:szCs w:val="22"/>
        </w:rPr>
      </w:pPr>
    </w:p>
    <w:p w14:paraId="1689EF79" w14:textId="77777777" w:rsidR="0093003C" w:rsidRDefault="0093003C">
      <w:pPr>
        <w:pStyle w:val="Pagrindinistekstas"/>
        <w:spacing w:after="0"/>
        <w:rPr>
          <w:szCs w:val="22"/>
        </w:rPr>
      </w:pPr>
    </w:p>
    <w:p w14:paraId="44B4AAD5" w14:textId="77777777" w:rsidR="0093003C" w:rsidRDefault="0093003C">
      <w:pPr>
        <w:pStyle w:val="Pagrindinistekstas"/>
        <w:spacing w:after="0"/>
        <w:rPr>
          <w:szCs w:val="22"/>
        </w:rPr>
      </w:pPr>
    </w:p>
    <w:p w14:paraId="620A77DB" w14:textId="77777777" w:rsidR="0093003C" w:rsidRDefault="0093003C">
      <w:pPr>
        <w:pStyle w:val="Pagrindinistekstas"/>
        <w:spacing w:after="0"/>
        <w:rPr>
          <w:szCs w:val="22"/>
        </w:rPr>
      </w:pPr>
    </w:p>
    <w:p w14:paraId="46A4FB87" w14:textId="77777777" w:rsidR="0093003C" w:rsidRDefault="0093003C">
      <w:pPr>
        <w:pStyle w:val="Pagrindinistekstas"/>
        <w:spacing w:after="0"/>
        <w:rPr>
          <w:szCs w:val="22"/>
        </w:rPr>
      </w:pPr>
    </w:p>
    <w:p w14:paraId="42524442" w14:textId="77777777" w:rsidR="0093003C" w:rsidRDefault="0093003C">
      <w:pPr>
        <w:pStyle w:val="Pagrindinistekstas"/>
        <w:spacing w:after="0"/>
        <w:rPr>
          <w:szCs w:val="22"/>
        </w:rPr>
      </w:pPr>
    </w:p>
    <w:p w14:paraId="69116620" w14:textId="77777777" w:rsidR="0093003C" w:rsidRDefault="0093003C">
      <w:pPr>
        <w:pStyle w:val="Pagrindinistekstas"/>
        <w:spacing w:after="0"/>
        <w:rPr>
          <w:szCs w:val="22"/>
        </w:rPr>
      </w:pPr>
    </w:p>
    <w:p w14:paraId="5B87C4C5" w14:textId="77777777" w:rsidR="0093003C" w:rsidRDefault="0093003C">
      <w:pPr>
        <w:pStyle w:val="Pagrindinistekstas"/>
        <w:spacing w:after="0"/>
        <w:rPr>
          <w:szCs w:val="22"/>
        </w:rPr>
      </w:pPr>
    </w:p>
    <w:p w14:paraId="0294B008" w14:textId="77777777" w:rsidR="0093003C" w:rsidRDefault="0093003C">
      <w:pPr>
        <w:pStyle w:val="Pagrindinistekstas"/>
        <w:spacing w:after="0"/>
        <w:rPr>
          <w:szCs w:val="22"/>
        </w:rPr>
      </w:pPr>
    </w:p>
    <w:p w14:paraId="1D31DD0E" w14:textId="77777777" w:rsidR="0093003C" w:rsidRDefault="0093003C">
      <w:pPr>
        <w:pStyle w:val="Pagrindinistekstas"/>
        <w:spacing w:after="0"/>
        <w:rPr>
          <w:szCs w:val="22"/>
        </w:rPr>
      </w:pPr>
    </w:p>
    <w:p w14:paraId="1CFA13C5" w14:textId="77777777" w:rsidR="0093003C" w:rsidRDefault="0093003C">
      <w:pPr>
        <w:pStyle w:val="Pagrindinistekstas"/>
        <w:spacing w:after="0"/>
        <w:rPr>
          <w:szCs w:val="22"/>
        </w:rPr>
      </w:pPr>
    </w:p>
    <w:p w14:paraId="40D52117" w14:textId="77777777" w:rsidR="0093003C" w:rsidRDefault="0093003C">
      <w:pPr>
        <w:pStyle w:val="Pagrindinistekstas"/>
        <w:spacing w:after="0"/>
        <w:rPr>
          <w:szCs w:val="22"/>
        </w:rPr>
      </w:pPr>
    </w:p>
    <w:p w14:paraId="36DA955E" w14:textId="77777777" w:rsidR="008C6DE5" w:rsidRDefault="008C6DE5">
      <w:pPr>
        <w:pStyle w:val="Pagrindinistekstas"/>
        <w:spacing w:after="0"/>
        <w:rPr>
          <w:szCs w:val="22"/>
        </w:rPr>
      </w:pPr>
    </w:p>
    <w:p w14:paraId="4B6355DB" w14:textId="77777777" w:rsidR="0093003C" w:rsidRDefault="0093003C">
      <w:pPr>
        <w:pStyle w:val="Pavadinimas"/>
        <w:rPr>
          <w:szCs w:val="22"/>
        </w:rPr>
      </w:pPr>
      <w:r>
        <w:rPr>
          <w:szCs w:val="22"/>
        </w:rPr>
        <w:t>II PRIEDAS</w:t>
      </w:r>
    </w:p>
    <w:p w14:paraId="3CE19EFB" w14:textId="77777777" w:rsidR="0093003C" w:rsidRDefault="0093003C">
      <w:pPr>
        <w:pStyle w:val="TTEMEASMCA"/>
        <w:rPr>
          <w:lang w:val="lt-LT"/>
        </w:rPr>
      </w:pPr>
    </w:p>
    <w:p w14:paraId="369CD6A8" w14:textId="6ECBD5A7" w:rsidR="0093003C" w:rsidRDefault="00A30D84">
      <w:pPr>
        <w:pStyle w:val="TTEMEASMCA"/>
        <w:rPr>
          <w:lang w:val="lt-LT"/>
        </w:rPr>
      </w:pPr>
      <w:r>
        <w:t>REGISTRACIJOS SĄLYGOS</w:t>
      </w:r>
    </w:p>
    <w:p w14:paraId="39E3ABD8" w14:textId="77777777" w:rsidR="0093003C" w:rsidRDefault="0093003C">
      <w:pPr>
        <w:pStyle w:val="Pagrindinistekstas"/>
        <w:spacing w:after="0"/>
        <w:rPr>
          <w:b/>
          <w:szCs w:val="22"/>
        </w:rPr>
      </w:pPr>
    </w:p>
    <w:p w14:paraId="6E445BE0" w14:textId="77777777" w:rsidR="0093003C" w:rsidRDefault="0093003C">
      <w:pPr>
        <w:pStyle w:val="Antrat1"/>
        <w:rPr>
          <w:b/>
          <w:szCs w:val="22"/>
        </w:rPr>
      </w:pPr>
      <w:r>
        <w:rPr>
          <w:b/>
          <w:szCs w:val="22"/>
        </w:rPr>
        <w:t>A.</w:t>
      </w:r>
      <w:r>
        <w:rPr>
          <w:b/>
          <w:szCs w:val="22"/>
        </w:rPr>
        <w:tab/>
        <w:t xml:space="preserve"> GAMINTOJAS, ATSAKINGAS UŽ SERIJŲ IŠLEIDIMĄ</w:t>
      </w:r>
    </w:p>
    <w:p w14:paraId="4F859B7B" w14:textId="77777777" w:rsidR="0093003C" w:rsidRDefault="0093003C">
      <w:pPr>
        <w:pStyle w:val="Pagrindinistekstas"/>
        <w:spacing w:after="0"/>
        <w:rPr>
          <w:b/>
          <w:szCs w:val="22"/>
        </w:rPr>
      </w:pPr>
    </w:p>
    <w:p w14:paraId="53AAA84E" w14:textId="77777777" w:rsidR="0093003C" w:rsidRDefault="0093003C">
      <w:pPr>
        <w:pStyle w:val="Antrat1"/>
        <w:rPr>
          <w:b/>
          <w:szCs w:val="22"/>
        </w:rPr>
      </w:pPr>
      <w:r>
        <w:rPr>
          <w:b/>
          <w:szCs w:val="22"/>
        </w:rPr>
        <w:t>B.</w:t>
      </w:r>
      <w:r>
        <w:rPr>
          <w:b/>
          <w:szCs w:val="22"/>
        </w:rPr>
        <w:tab/>
      </w:r>
      <w:r w:rsidR="00FF59B0">
        <w:rPr>
          <w:b/>
          <w:szCs w:val="22"/>
        </w:rPr>
        <w:t xml:space="preserve"> </w:t>
      </w:r>
      <w:r>
        <w:rPr>
          <w:b/>
          <w:szCs w:val="22"/>
        </w:rPr>
        <w:t>TIEKIMO IR VARTOJIMO SĄLYGOS AR APRIBOJIMAI</w:t>
      </w:r>
    </w:p>
    <w:p w14:paraId="5507A462" w14:textId="77777777" w:rsidR="0093003C" w:rsidRDefault="0093003C">
      <w:pPr>
        <w:pStyle w:val="Pagrindinistekstas"/>
        <w:spacing w:after="0"/>
        <w:rPr>
          <w:szCs w:val="22"/>
        </w:rPr>
      </w:pPr>
    </w:p>
    <w:p w14:paraId="213A1A98" w14:textId="77777777" w:rsidR="0093003C" w:rsidRDefault="0093003C">
      <w:pPr>
        <w:pStyle w:val="Pagrindinistekstas"/>
        <w:spacing w:after="0"/>
        <w:rPr>
          <w:b/>
          <w:szCs w:val="22"/>
        </w:rPr>
      </w:pPr>
      <w:r>
        <w:rPr>
          <w:szCs w:val="22"/>
        </w:rPr>
        <w:br w:type="page"/>
      </w:r>
      <w:r>
        <w:rPr>
          <w:b/>
          <w:szCs w:val="22"/>
        </w:rPr>
        <w:lastRenderedPageBreak/>
        <w:t>A.</w:t>
      </w:r>
      <w:r>
        <w:rPr>
          <w:b/>
          <w:szCs w:val="22"/>
        </w:rPr>
        <w:tab/>
        <w:t xml:space="preserve"> GAMINTOJAS, ATSAKINGAS UŽ SERIJŲ IŠLEIDIMĄ</w:t>
      </w:r>
    </w:p>
    <w:p w14:paraId="4D1B0EA3" w14:textId="77777777" w:rsidR="0093003C" w:rsidRDefault="0093003C">
      <w:pPr>
        <w:pStyle w:val="Pagrindinistekstas"/>
        <w:spacing w:after="0"/>
        <w:rPr>
          <w:szCs w:val="22"/>
        </w:rPr>
      </w:pPr>
    </w:p>
    <w:p w14:paraId="220D5FC1" w14:textId="77777777" w:rsidR="0093003C" w:rsidRDefault="0093003C">
      <w:pPr>
        <w:pStyle w:val="Pagrindinistekstas"/>
        <w:spacing w:after="0"/>
        <w:outlineLvl w:val="0"/>
        <w:rPr>
          <w:szCs w:val="22"/>
          <w:u w:val="single"/>
        </w:rPr>
      </w:pPr>
      <w:r>
        <w:rPr>
          <w:szCs w:val="22"/>
          <w:u w:val="single"/>
        </w:rPr>
        <w:t>Gamintojo, atsakingo už serijų išleidimą, pavadinimas ir adresas</w:t>
      </w:r>
    </w:p>
    <w:p w14:paraId="761F2F19" w14:textId="77777777" w:rsidR="0093003C" w:rsidRDefault="0093003C">
      <w:pPr>
        <w:pStyle w:val="Pagrindinistekstas"/>
        <w:spacing w:after="0"/>
        <w:outlineLvl w:val="0"/>
        <w:rPr>
          <w:b/>
          <w:szCs w:val="22"/>
        </w:rPr>
      </w:pPr>
    </w:p>
    <w:p w14:paraId="65E302A9" w14:textId="61D7BAA4" w:rsidR="00882619" w:rsidRPr="00AB4A0A" w:rsidRDefault="00882619" w:rsidP="00882619">
      <w:pPr>
        <w:rPr>
          <w:color w:val="000000"/>
        </w:rPr>
      </w:pPr>
      <w:r w:rsidRPr="00AB4A0A">
        <w:rPr>
          <w:rFonts w:asciiTheme="majorBidi" w:hAnsiTheme="majorBidi" w:cstheme="majorBidi"/>
          <w:bCs/>
          <w:szCs w:val="22"/>
          <w:lang w:eastAsia="de-DE"/>
        </w:rPr>
        <w:t>L</w:t>
      </w:r>
      <w:r w:rsidRPr="00FD6BF4">
        <w:rPr>
          <w:rFonts w:asciiTheme="majorBidi" w:eastAsiaTheme="minorHAnsi" w:hAnsiTheme="majorBidi" w:cstheme="majorBidi"/>
          <w:szCs w:val="22"/>
          <w:lang w:eastAsia="en-US"/>
        </w:rPr>
        <w:t xml:space="preserve">abofarm </w:t>
      </w:r>
      <w:r w:rsidR="004D4B93" w:rsidRPr="00FD6BF4">
        <w:rPr>
          <w:rFonts w:asciiTheme="majorBidi" w:eastAsiaTheme="minorHAnsi" w:hAnsiTheme="majorBidi" w:cstheme="majorBidi"/>
          <w:szCs w:val="22"/>
          <w:lang w:eastAsia="en-US"/>
        </w:rPr>
        <w:t>s</w:t>
      </w:r>
      <w:r w:rsidRPr="00FD6BF4">
        <w:rPr>
          <w:rFonts w:asciiTheme="majorBidi" w:eastAsiaTheme="minorHAnsi" w:hAnsiTheme="majorBidi" w:cstheme="majorBidi"/>
          <w:szCs w:val="22"/>
          <w:lang w:eastAsia="en-US"/>
        </w:rPr>
        <w:t>p. z o.o.</w:t>
      </w:r>
    </w:p>
    <w:p w14:paraId="350F1248" w14:textId="6AC56D2D" w:rsidR="0093003C" w:rsidDel="00882619" w:rsidRDefault="0093003C">
      <w:pPr>
        <w:rPr>
          <w:color w:val="000000"/>
        </w:rPr>
      </w:pPr>
      <w:r w:rsidDel="00882619">
        <w:rPr>
          <w:color w:val="000000"/>
        </w:rPr>
        <w:t>ul. Lubichowska 176</w:t>
      </w:r>
      <w:r w:rsidR="00335FA6">
        <w:rPr>
          <w:color w:val="000000"/>
        </w:rPr>
        <w:t>B</w:t>
      </w:r>
    </w:p>
    <w:p w14:paraId="13361011" w14:textId="77777777" w:rsidR="004D4B93" w:rsidRDefault="004D4B93" w:rsidP="004D4B93">
      <w:pPr>
        <w:rPr>
          <w:color w:val="000000"/>
        </w:rPr>
      </w:pPr>
      <w:r>
        <w:rPr>
          <w:color w:val="000000"/>
        </w:rPr>
        <w:t>83-200 Starogard Gdański</w:t>
      </w:r>
    </w:p>
    <w:p w14:paraId="1E3D357E" w14:textId="3D48F132" w:rsidR="0093003C" w:rsidRDefault="0093003C">
      <w:pPr>
        <w:jc w:val="both"/>
        <w:rPr>
          <w:szCs w:val="22"/>
        </w:rPr>
      </w:pPr>
      <w:r>
        <w:rPr>
          <w:color w:val="000000"/>
        </w:rPr>
        <w:t>Lenkija</w:t>
      </w:r>
    </w:p>
    <w:p w14:paraId="2D39D461" w14:textId="77777777" w:rsidR="0093003C" w:rsidRDefault="0093003C">
      <w:pPr>
        <w:pStyle w:val="Pagrindinistekstas"/>
        <w:spacing w:after="0"/>
        <w:rPr>
          <w:szCs w:val="22"/>
        </w:rPr>
      </w:pPr>
    </w:p>
    <w:p w14:paraId="1E954A28" w14:textId="77777777" w:rsidR="0093003C" w:rsidRDefault="0093003C">
      <w:pPr>
        <w:pStyle w:val="Pagrindinistekstas"/>
        <w:spacing w:after="0"/>
        <w:rPr>
          <w:szCs w:val="22"/>
        </w:rPr>
      </w:pPr>
    </w:p>
    <w:p w14:paraId="604AADDB" w14:textId="77777777" w:rsidR="0093003C" w:rsidRDefault="0093003C">
      <w:pPr>
        <w:pStyle w:val="Pagrindinistekstas"/>
        <w:spacing w:after="0"/>
        <w:outlineLvl w:val="0"/>
        <w:rPr>
          <w:b/>
          <w:szCs w:val="22"/>
        </w:rPr>
      </w:pPr>
      <w:r>
        <w:rPr>
          <w:b/>
          <w:szCs w:val="22"/>
        </w:rPr>
        <w:t>B.</w:t>
      </w:r>
      <w:r>
        <w:rPr>
          <w:b/>
          <w:szCs w:val="22"/>
        </w:rPr>
        <w:tab/>
        <w:t>TIEKIMO IR VARTOJIMO SĄLYGOS AR APRIBOJIMAI</w:t>
      </w:r>
    </w:p>
    <w:p w14:paraId="2BFC95C8" w14:textId="77777777" w:rsidR="0093003C" w:rsidRDefault="0093003C">
      <w:pPr>
        <w:pStyle w:val="Pagrindinistekstas"/>
        <w:spacing w:after="0"/>
        <w:rPr>
          <w:szCs w:val="22"/>
        </w:rPr>
      </w:pPr>
    </w:p>
    <w:p w14:paraId="140AF0BA" w14:textId="77777777" w:rsidR="0093003C" w:rsidRDefault="0093003C">
      <w:pPr>
        <w:pStyle w:val="Pagrindinistekstas"/>
        <w:spacing w:after="0"/>
        <w:outlineLvl w:val="0"/>
        <w:rPr>
          <w:szCs w:val="22"/>
        </w:rPr>
      </w:pPr>
      <w:r>
        <w:rPr>
          <w:szCs w:val="22"/>
        </w:rPr>
        <w:t>Nereceptinis vaistinis preparatas</w:t>
      </w:r>
    </w:p>
    <w:p w14:paraId="02C1C599" w14:textId="77777777" w:rsidR="0093003C" w:rsidRDefault="0093003C">
      <w:pPr>
        <w:pStyle w:val="Pagrindinistekstas"/>
        <w:spacing w:after="0"/>
        <w:rPr>
          <w:szCs w:val="22"/>
        </w:rPr>
      </w:pPr>
      <w:r>
        <w:rPr>
          <w:szCs w:val="22"/>
        </w:rPr>
        <w:br w:type="page"/>
      </w:r>
    </w:p>
    <w:p w14:paraId="5EC630A2" w14:textId="77777777" w:rsidR="0093003C" w:rsidRDefault="0093003C">
      <w:pPr>
        <w:pStyle w:val="Pagrindinistekstas"/>
        <w:spacing w:after="0"/>
        <w:rPr>
          <w:szCs w:val="22"/>
        </w:rPr>
      </w:pPr>
    </w:p>
    <w:p w14:paraId="74449D94" w14:textId="77777777" w:rsidR="0093003C" w:rsidRDefault="0093003C">
      <w:pPr>
        <w:pStyle w:val="Pagrindinistekstas"/>
        <w:spacing w:after="0"/>
        <w:rPr>
          <w:szCs w:val="22"/>
        </w:rPr>
      </w:pPr>
    </w:p>
    <w:p w14:paraId="075E28BC" w14:textId="77777777" w:rsidR="0093003C" w:rsidRDefault="0093003C">
      <w:pPr>
        <w:pStyle w:val="Pagrindinistekstas"/>
        <w:spacing w:after="0"/>
        <w:rPr>
          <w:szCs w:val="22"/>
        </w:rPr>
      </w:pPr>
    </w:p>
    <w:p w14:paraId="424D726A" w14:textId="77777777" w:rsidR="0093003C" w:rsidRDefault="0093003C">
      <w:pPr>
        <w:pStyle w:val="Pagrindinistekstas"/>
        <w:spacing w:after="0"/>
        <w:rPr>
          <w:szCs w:val="22"/>
        </w:rPr>
      </w:pPr>
    </w:p>
    <w:p w14:paraId="302B163D" w14:textId="77777777" w:rsidR="0093003C" w:rsidRDefault="0093003C">
      <w:pPr>
        <w:pStyle w:val="Pagrindinistekstas"/>
        <w:spacing w:after="0"/>
        <w:rPr>
          <w:szCs w:val="22"/>
        </w:rPr>
      </w:pPr>
    </w:p>
    <w:p w14:paraId="0000F1D0" w14:textId="77777777" w:rsidR="0093003C" w:rsidRDefault="0093003C">
      <w:pPr>
        <w:pStyle w:val="Pagrindinistekstas"/>
        <w:spacing w:after="0"/>
        <w:rPr>
          <w:szCs w:val="22"/>
        </w:rPr>
      </w:pPr>
    </w:p>
    <w:p w14:paraId="3F496F43" w14:textId="77777777" w:rsidR="0093003C" w:rsidRDefault="0093003C">
      <w:pPr>
        <w:pStyle w:val="Pagrindinistekstas"/>
        <w:spacing w:after="0"/>
        <w:rPr>
          <w:szCs w:val="22"/>
        </w:rPr>
      </w:pPr>
    </w:p>
    <w:p w14:paraId="7F3E27BE" w14:textId="77777777" w:rsidR="0093003C" w:rsidRDefault="0093003C">
      <w:pPr>
        <w:pStyle w:val="Pagrindinistekstas"/>
        <w:spacing w:after="0"/>
        <w:rPr>
          <w:szCs w:val="22"/>
        </w:rPr>
      </w:pPr>
    </w:p>
    <w:p w14:paraId="0E8799D0" w14:textId="77777777" w:rsidR="0093003C" w:rsidRDefault="0093003C">
      <w:pPr>
        <w:pStyle w:val="Pagrindinistekstas"/>
        <w:spacing w:after="0"/>
        <w:rPr>
          <w:szCs w:val="22"/>
        </w:rPr>
      </w:pPr>
    </w:p>
    <w:p w14:paraId="032488B9" w14:textId="77777777" w:rsidR="0093003C" w:rsidRDefault="0093003C">
      <w:pPr>
        <w:pStyle w:val="Pagrindinistekstas"/>
        <w:spacing w:after="0"/>
        <w:rPr>
          <w:szCs w:val="22"/>
        </w:rPr>
      </w:pPr>
    </w:p>
    <w:p w14:paraId="2B9DD19D" w14:textId="77777777" w:rsidR="0093003C" w:rsidRDefault="0093003C">
      <w:pPr>
        <w:pStyle w:val="Pagrindinistekstas"/>
        <w:spacing w:after="0"/>
        <w:rPr>
          <w:szCs w:val="22"/>
        </w:rPr>
      </w:pPr>
    </w:p>
    <w:p w14:paraId="607F348D" w14:textId="77777777" w:rsidR="0093003C" w:rsidRDefault="0093003C">
      <w:pPr>
        <w:pStyle w:val="Pagrindinistekstas"/>
        <w:spacing w:after="0"/>
        <w:rPr>
          <w:szCs w:val="22"/>
        </w:rPr>
      </w:pPr>
    </w:p>
    <w:p w14:paraId="0B0FDEC4" w14:textId="77777777" w:rsidR="0093003C" w:rsidRDefault="0093003C">
      <w:pPr>
        <w:pStyle w:val="Pagrindinistekstas"/>
        <w:spacing w:after="0"/>
        <w:rPr>
          <w:szCs w:val="22"/>
        </w:rPr>
      </w:pPr>
    </w:p>
    <w:p w14:paraId="7AE1BB00" w14:textId="77777777" w:rsidR="0093003C" w:rsidRDefault="0093003C">
      <w:pPr>
        <w:pStyle w:val="Pagrindinistekstas"/>
        <w:spacing w:after="0"/>
        <w:rPr>
          <w:szCs w:val="22"/>
        </w:rPr>
      </w:pPr>
    </w:p>
    <w:p w14:paraId="40CFD8E0" w14:textId="77777777" w:rsidR="0093003C" w:rsidRDefault="0093003C">
      <w:pPr>
        <w:pStyle w:val="Pagrindinistekstas"/>
        <w:spacing w:after="0"/>
        <w:rPr>
          <w:szCs w:val="22"/>
        </w:rPr>
      </w:pPr>
    </w:p>
    <w:p w14:paraId="00BFD62E" w14:textId="77777777" w:rsidR="0093003C" w:rsidRDefault="0093003C">
      <w:pPr>
        <w:pStyle w:val="Pagrindinistekstas"/>
        <w:spacing w:after="0"/>
        <w:rPr>
          <w:szCs w:val="22"/>
        </w:rPr>
      </w:pPr>
    </w:p>
    <w:p w14:paraId="5A885D27" w14:textId="77777777" w:rsidR="0093003C" w:rsidRDefault="0093003C">
      <w:pPr>
        <w:pStyle w:val="Pagrindinistekstas"/>
        <w:spacing w:after="0"/>
        <w:rPr>
          <w:szCs w:val="22"/>
        </w:rPr>
      </w:pPr>
    </w:p>
    <w:p w14:paraId="3C6A9515" w14:textId="77777777" w:rsidR="0093003C" w:rsidRDefault="0093003C">
      <w:pPr>
        <w:pStyle w:val="Pagrindinistekstas"/>
        <w:spacing w:after="0"/>
        <w:rPr>
          <w:szCs w:val="22"/>
        </w:rPr>
      </w:pPr>
    </w:p>
    <w:p w14:paraId="5FE62BDB" w14:textId="77777777" w:rsidR="0093003C" w:rsidRDefault="0093003C">
      <w:pPr>
        <w:pStyle w:val="Pagrindinistekstas"/>
        <w:spacing w:after="0"/>
        <w:rPr>
          <w:szCs w:val="22"/>
        </w:rPr>
      </w:pPr>
    </w:p>
    <w:p w14:paraId="1C2D599C" w14:textId="77777777" w:rsidR="0093003C" w:rsidRDefault="0093003C">
      <w:pPr>
        <w:pStyle w:val="Pagrindinistekstas"/>
        <w:spacing w:after="0"/>
        <w:rPr>
          <w:szCs w:val="22"/>
        </w:rPr>
      </w:pPr>
    </w:p>
    <w:p w14:paraId="12D3827A" w14:textId="77777777" w:rsidR="0093003C" w:rsidRDefault="0093003C">
      <w:pPr>
        <w:pStyle w:val="Pagrindinistekstas"/>
        <w:spacing w:after="0"/>
        <w:rPr>
          <w:szCs w:val="22"/>
        </w:rPr>
      </w:pPr>
    </w:p>
    <w:p w14:paraId="57413CC3" w14:textId="77777777" w:rsidR="0093003C" w:rsidRDefault="0093003C">
      <w:pPr>
        <w:pStyle w:val="Pavadinimas"/>
        <w:rPr>
          <w:szCs w:val="22"/>
        </w:rPr>
      </w:pPr>
    </w:p>
    <w:p w14:paraId="7AA1109C" w14:textId="77777777" w:rsidR="008C6DE5" w:rsidRDefault="008C6DE5">
      <w:pPr>
        <w:pStyle w:val="Pavadinimas"/>
        <w:rPr>
          <w:szCs w:val="22"/>
        </w:rPr>
      </w:pPr>
    </w:p>
    <w:p w14:paraId="7CC4F8C0" w14:textId="77777777" w:rsidR="0093003C" w:rsidRDefault="0093003C">
      <w:pPr>
        <w:pStyle w:val="Pavadinimas"/>
        <w:rPr>
          <w:szCs w:val="22"/>
        </w:rPr>
      </w:pPr>
      <w:r>
        <w:rPr>
          <w:szCs w:val="22"/>
        </w:rPr>
        <w:t>III PRIEDAS</w:t>
      </w:r>
    </w:p>
    <w:p w14:paraId="2B87DDE1" w14:textId="77777777" w:rsidR="0093003C" w:rsidRDefault="0093003C">
      <w:pPr>
        <w:pStyle w:val="Pagrindinistekstas"/>
        <w:spacing w:after="0"/>
        <w:rPr>
          <w:szCs w:val="22"/>
        </w:rPr>
      </w:pPr>
    </w:p>
    <w:p w14:paraId="1657CB72" w14:textId="77777777" w:rsidR="0093003C" w:rsidRDefault="0093003C">
      <w:pPr>
        <w:pStyle w:val="Pagrindinistekstas"/>
        <w:spacing w:after="0"/>
        <w:jc w:val="center"/>
        <w:outlineLvl w:val="0"/>
        <w:rPr>
          <w:b/>
          <w:szCs w:val="22"/>
        </w:rPr>
      </w:pPr>
      <w:r>
        <w:rPr>
          <w:b/>
          <w:szCs w:val="22"/>
        </w:rPr>
        <w:t>ŽENKLINIMAS IR PAKUOTĖS LAPELIS</w:t>
      </w:r>
    </w:p>
    <w:p w14:paraId="41248B90" w14:textId="77777777" w:rsidR="0093003C" w:rsidRDefault="0093003C">
      <w:pPr>
        <w:pStyle w:val="Pagrindinistekstas"/>
        <w:spacing w:after="0"/>
        <w:rPr>
          <w:szCs w:val="22"/>
        </w:rPr>
      </w:pPr>
      <w:r>
        <w:rPr>
          <w:szCs w:val="22"/>
        </w:rPr>
        <w:br w:type="page"/>
      </w:r>
    </w:p>
    <w:p w14:paraId="320AE12A" w14:textId="77777777" w:rsidR="0093003C" w:rsidRDefault="0093003C">
      <w:pPr>
        <w:pStyle w:val="Pagrindinistekstas"/>
        <w:spacing w:after="0"/>
        <w:rPr>
          <w:szCs w:val="22"/>
        </w:rPr>
      </w:pPr>
    </w:p>
    <w:p w14:paraId="666CD788" w14:textId="77777777" w:rsidR="0093003C" w:rsidRDefault="0093003C">
      <w:pPr>
        <w:pStyle w:val="Pagrindinistekstas"/>
        <w:spacing w:after="0"/>
        <w:rPr>
          <w:szCs w:val="22"/>
        </w:rPr>
      </w:pPr>
    </w:p>
    <w:p w14:paraId="78955CFC" w14:textId="77777777" w:rsidR="0093003C" w:rsidRDefault="0093003C">
      <w:pPr>
        <w:pStyle w:val="Pagrindinistekstas"/>
        <w:spacing w:after="0"/>
        <w:rPr>
          <w:szCs w:val="22"/>
        </w:rPr>
      </w:pPr>
    </w:p>
    <w:p w14:paraId="151D34EC" w14:textId="77777777" w:rsidR="0093003C" w:rsidRDefault="0093003C">
      <w:pPr>
        <w:pStyle w:val="Pagrindinistekstas"/>
        <w:spacing w:after="0"/>
        <w:rPr>
          <w:szCs w:val="22"/>
        </w:rPr>
      </w:pPr>
    </w:p>
    <w:p w14:paraId="1C840180" w14:textId="77777777" w:rsidR="0093003C" w:rsidRDefault="0093003C">
      <w:pPr>
        <w:pStyle w:val="Pagrindinistekstas"/>
        <w:spacing w:after="0"/>
        <w:rPr>
          <w:szCs w:val="22"/>
        </w:rPr>
      </w:pPr>
    </w:p>
    <w:p w14:paraId="0F3A5515" w14:textId="77777777" w:rsidR="0093003C" w:rsidRDefault="0093003C">
      <w:pPr>
        <w:pStyle w:val="Pagrindinistekstas"/>
        <w:spacing w:after="0"/>
        <w:rPr>
          <w:szCs w:val="22"/>
        </w:rPr>
      </w:pPr>
    </w:p>
    <w:p w14:paraId="4BDEC857" w14:textId="77777777" w:rsidR="0093003C" w:rsidRDefault="0093003C">
      <w:pPr>
        <w:pStyle w:val="Pagrindinistekstas"/>
        <w:spacing w:after="0"/>
        <w:rPr>
          <w:szCs w:val="22"/>
        </w:rPr>
      </w:pPr>
    </w:p>
    <w:p w14:paraId="3CB896E9" w14:textId="77777777" w:rsidR="0093003C" w:rsidRDefault="0093003C">
      <w:pPr>
        <w:pStyle w:val="Pagrindinistekstas"/>
        <w:spacing w:after="0"/>
        <w:rPr>
          <w:szCs w:val="22"/>
        </w:rPr>
      </w:pPr>
    </w:p>
    <w:p w14:paraId="1082324D" w14:textId="77777777" w:rsidR="0093003C" w:rsidRDefault="0093003C">
      <w:pPr>
        <w:pStyle w:val="Pagrindinistekstas"/>
        <w:spacing w:after="0"/>
        <w:rPr>
          <w:szCs w:val="22"/>
        </w:rPr>
      </w:pPr>
    </w:p>
    <w:p w14:paraId="6DD07CA7" w14:textId="77777777" w:rsidR="0093003C" w:rsidRDefault="0093003C">
      <w:pPr>
        <w:pStyle w:val="Pagrindinistekstas"/>
        <w:spacing w:after="0"/>
        <w:rPr>
          <w:szCs w:val="22"/>
        </w:rPr>
      </w:pPr>
    </w:p>
    <w:p w14:paraId="724AF3D9" w14:textId="77777777" w:rsidR="0093003C" w:rsidRDefault="0093003C">
      <w:pPr>
        <w:pStyle w:val="Pagrindinistekstas"/>
        <w:spacing w:after="0"/>
        <w:rPr>
          <w:szCs w:val="22"/>
        </w:rPr>
      </w:pPr>
    </w:p>
    <w:p w14:paraId="4079BC4D" w14:textId="77777777" w:rsidR="0093003C" w:rsidRDefault="0093003C">
      <w:pPr>
        <w:pStyle w:val="Pagrindinistekstas"/>
        <w:spacing w:after="0"/>
        <w:rPr>
          <w:szCs w:val="22"/>
        </w:rPr>
      </w:pPr>
    </w:p>
    <w:p w14:paraId="1939A22D" w14:textId="77777777" w:rsidR="0093003C" w:rsidRDefault="0093003C">
      <w:pPr>
        <w:pStyle w:val="Pagrindinistekstas"/>
        <w:spacing w:after="0"/>
        <w:rPr>
          <w:szCs w:val="22"/>
        </w:rPr>
      </w:pPr>
    </w:p>
    <w:p w14:paraId="530F67C5" w14:textId="77777777" w:rsidR="0093003C" w:rsidRDefault="0093003C">
      <w:pPr>
        <w:pStyle w:val="Pagrindinistekstas"/>
        <w:spacing w:after="0"/>
        <w:rPr>
          <w:szCs w:val="22"/>
        </w:rPr>
      </w:pPr>
    </w:p>
    <w:p w14:paraId="110CDF17" w14:textId="77777777" w:rsidR="0093003C" w:rsidRDefault="0093003C">
      <w:pPr>
        <w:pStyle w:val="Pagrindinistekstas"/>
        <w:spacing w:after="0"/>
        <w:rPr>
          <w:szCs w:val="22"/>
        </w:rPr>
      </w:pPr>
    </w:p>
    <w:p w14:paraId="35D725C3" w14:textId="77777777" w:rsidR="0093003C" w:rsidRDefault="0093003C">
      <w:pPr>
        <w:pStyle w:val="Pagrindinistekstas"/>
        <w:spacing w:after="0"/>
        <w:rPr>
          <w:szCs w:val="22"/>
        </w:rPr>
      </w:pPr>
    </w:p>
    <w:p w14:paraId="19D06A5B" w14:textId="77777777" w:rsidR="0093003C" w:rsidRDefault="0093003C">
      <w:pPr>
        <w:pStyle w:val="Pagrindinistekstas"/>
        <w:spacing w:after="0"/>
        <w:rPr>
          <w:szCs w:val="22"/>
        </w:rPr>
      </w:pPr>
    </w:p>
    <w:p w14:paraId="6B8CE798" w14:textId="77777777" w:rsidR="0093003C" w:rsidRDefault="0093003C">
      <w:pPr>
        <w:pStyle w:val="Pagrindinistekstas"/>
        <w:spacing w:after="0"/>
        <w:rPr>
          <w:szCs w:val="22"/>
        </w:rPr>
      </w:pPr>
    </w:p>
    <w:p w14:paraId="179D9773" w14:textId="77777777" w:rsidR="0093003C" w:rsidRDefault="0093003C">
      <w:pPr>
        <w:pStyle w:val="Pagrindinistekstas"/>
        <w:spacing w:after="0"/>
        <w:rPr>
          <w:szCs w:val="22"/>
        </w:rPr>
      </w:pPr>
    </w:p>
    <w:p w14:paraId="13C7D98B" w14:textId="77777777" w:rsidR="0093003C" w:rsidRDefault="0093003C">
      <w:pPr>
        <w:pStyle w:val="Pagrindinistekstas"/>
        <w:spacing w:after="0"/>
        <w:rPr>
          <w:szCs w:val="22"/>
        </w:rPr>
      </w:pPr>
    </w:p>
    <w:p w14:paraId="74F156E6" w14:textId="77777777" w:rsidR="0093003C" w:rsidRDefault="0093003C">
      <w:pPr>
        <w:pStyle w:val="Pagrindinistekstas"/>
        <w:spacing w:after="0"/>
        <w:rPr>
          <w:szCs w:val="22"/>
        </w:rPr>
      </w:pPr>
    </w:p>
    <w:p w14:paraId="699FB89A" w14:textId="77777777" w:rsidR="0093003C" w:rsidRDefault="0093003C">
      <w:pPr>
        <w:pStyle w:val="Pagrindinistekstas"/>
        <w:spacing w:after="0"/>
        <w:rPr>
          <w:szCs w:val="22"/>
        </w:rPr>
      </w:pPr>
    </w:p>
    <w:p w14:paraId="10072C3B" w14:textId="77777777" w:rsidR="008C6DE5" w:rsidRDefault="008C6DE5">
      <w:pPr>
        <w:pStyle w:val="Pagrindinistekstas"/>
        <w:spacing w:after="0"/>
        <w:rPr>
          <w:szCs w:val="22"/>
        </w:rPr>
      </w:pPr>
    </w:p>
    <w:p w14:paraId="2F79E04F" w14:textId="77777777" w:rsidR="0093003C" w:rsidRDefault="0093003C">
      <w:pPr>
        <w:pStyle w:val="Pavadinimas"/>
        <w:rPr>
          <w:szCs w:val="22"/>
        </w:rPr>
      </w:pPr>
      <w:r>
        <w:rPr>
          <w:szCs w:val="22"/>
        </w:rPr>
        <w:t>A. ŽENKLINIMAS</w:t>
      </w:r>
    </w:p>
    <w:p w14:paraId="719F13E8" w14:textId="00FC31D2" w:rsidR="0093003C" w:rsidRDefault="0093003C" w:rsidP="006C2976">
      <w:pPr>
        <w:pStyle w:val="Antrat3"/>
      </w:pPr>
      <w:r>
        <w:br w:type="page"/>
      </w:r>
    </w:p>
    <w:p w14:paraId="7ECBA9FB" w14:textId="77777777" w:rsidR="0093003C" w:rsidRDefault="0093003C" w:rsidP="006C2976">
      <w:pPr>
        <w:pStyle w:val="Antrat3"/>
      </w:pPr>
      <w:r>
        <w:lastRenderedPageBreak/>
        <w:t xml:space="preserve"> </w:t>
      </w:r>
    </w:p>
    <w:p w14:paraId="5789365F" w14:textId="77777777" w:rsidR="00DB0FFB" w:rsidRDefault="00DB0FFB" w:rsidP="00DB0FFB">
      <w:pPr>
        <w:pStyle w:val="Antrat3"/>
        <w:pBdr>
          <w:top w:val="single" w:sz="4" w:space="1" w:color="auto"/>
          <w:left w:val="single" w:sz="4" w:space="4" w:color="auto"/>
          <w:bottom w:val="single" w:sz="4" w:space="1" w:color="auto"/>
          <w:right w:val="single" w:sz="4" w:space="4" w:color="auto"/>
        </w:pBdr>
        <w:rPr>
          <w:szCs w:val="22"/>
        </w:rPr>
      </w:pPr>
      <w:r>
        <w:rPr>
          <w:szCs w:val="22"/>
        </w:rPr>
        <w:t>INFORMACIJA ANT VIDINĖS PAKUOTĖS</w:t>
      </w:r>
    </w:p>
    <w:p w14:paraId="45F7BA0C" w14:textId="77777777" w:rsidR="00DB0FFB" w:rsidRDefault="00DB0FFB" w:rsidP="00DB0FFB">
      <w:pPr>
        <w:pStyle w:val="Antrat3"/>
        <w:pBdr>
          <w:top w:val="single" w:sz="4" w:space="1" w:color="auto"/>
          <w:left w:val="single" w:sz="4" w:space="4" w:color="auto"/>
          <w:bottom w:val="single" w:sz="4" w:space="1" w:color="auto"/>
          <w:right w:val="single" w:sz="4" w:space="4" w:color="auto"/>
        </w:pBdr>
        <w:rPr>
          <w:szCs w:val="22"/>
        </w:rPr>
      </w:pPr>
      <w:r>
        <w:rPr>
          <w:szCs w:val="22"/>
        </w:rPr>
        <w:t xml:space="preserve"> </w:t>
      </w:r>
    </w:p>
    <w:p w14:paraId="4BA9288A" w14:textId="77777777" w:rsidR="00DB0FFB" w:rsidRDefault="00DB0FFB" w:rsidP="00DB0FFB">
      <w:pPr>
        <w:pStyle w:val="Pagrindinistekstas"/>
        <w:pBdr>
          <w:top w:val="single" w:sz="4" w:space="1" w:color="auto"/>
          <w:left w:val="single" w:sz="4" w:space="4" w:color="auto"/>
          <w:bottom w:val="single" w:sz="4" w:space="1" w:color="auto"/>
          <w:right w:val="single" w:sz="4" w:space="4" w:color="auto"/>
        </w:pBdr>
        <w:spacing w:after="0"/>
        <w:rPr>
          <w:iCs/>
          <w:szCs w:val="22"/>
        </w:rPr>
      </w:pPr>
      <w:r w:rsidRPr="00F71A40">
        <w:rPr>
          <w:b/>
          <w:iCs/>
          <w:szCs w:val="22"/>
        </w:rPr>
        <w:t>ETIKETĖ-LIPDUKAS (</w:t>
      </w:r>
      <w:r w:rsidRPr="00F71A40">
        <w:rPr>
          <w:b/>
          <w:bCs/>
          <w:szCs w:val="22"/>
        </w:rPr>
        <w:t>POLIPROPILENINEI TALPYKLEI</w:t>
      </w:r>
      <w:r w:rsidRPr="00F71A40">
        <w:rPr>
          <w:b/>
          <w:iCs/>
          <w:szCs w:val="22"/>
        </w:rPr>
        <w:t>)</w:t>
      </w:r>
    </w:p>
    <w:p w14:paraId="3385093B" w14:textId="77777777" w:rsidR="00DB0FFB" w:rsidRDefault="00DB0FFB" w:rsidP="00DB0FFB">
      <w:pPr>
        <w:pStyle w:val="Pagrindinistekstas"/>
        <w:spacing w:after="0"/>
        <w:rPr>
          <w:szCs w:val="22"/>
        </w:rPr>
      </w:pPr>
    </w:p>
    <w:p w14:paraId="015F575F" w14:textId="77777777" w:rsidR="0093003C" w:rsidRDefault="0093003C">
      <w:pPr>
        <w:pStyle w:val="Pagrindinistekstas"/>
        <w:spacing w:after="0"/>
        <w:rPr>
          <w:szCs w:val="22"/>
        </w:rPr>
      </w:pPr>
    </w:p>
    <w:p w14:paraId="511C19A5"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3E10BFB5" w14:textId="77777777" w:rsidR="0093003C" w:rsidRDefault="0093003C">
      <w:pPr>
        <w:pStyle w:val="Pagrindinistekstas"/>
        <w:spacing w:after="0"/>
        <w:rPr>
          <w:szCs w:val="22"/>
        </w:rPr>
      </w:pPr>
    </w:p>
    <w:p w14:paraId="23976AC2" w14:textId="77777777" w:rsidR="0093003C" w:rsidRDefault="0093003C">
      <w:pPr>
        <w:pStyle w:val="Pagrindinistekstas"/>
        <w:spacing w:after="0"/>
        <w:outlineLvl w:val="0"/>
        <w:rPr>
          <w:szCs w:val="22"/>
        </w:rPr>
      </w:pPr>
      <w:r>
        <w:rPr>
          <w:szCs w:val="22"/>
        </w:rPr>
        <w:t>SENEFOL 300 mg tabletės</w:t>
      </w:r>
    </w:p>
    <w:p w14:paraId="02E74C74" w14:textId="77777777" w:rsidR="0093003C" w:rsidRDefault="0093003C">
      <w:pPr>
        <w:pStyle w:val="Pagrindinistekstas"/>
        <w:spacing w:after="0"/>
        <w:rPr>
          <w:szCs w:val="22"/>
        </w:rPr>
      </w:pPr>
      <w:r>
        <w:rPr>
          <w:szCs w:val="22"/>
        </w:rPr>
        <w:t>Senų lapai ir vaisiai</w:t>
      </w:r>
    </w:p>
    <w:p w14:paraId="7E6CA58D" w14:textId="77777777" w:rsidR="0093003C" w:rsidRDefault="0093003C">
      <w:pPr>
        <w:pStyle w:val="Pagrindinistekstas"/>
        <w:spacing w:after="0"/>
        <w:rPr>
          <w:szCs w:val="22"/>
        </w:rPr>
      </w:pPr>
    </w:p>
    <w:p w14:paraId="291800E5" w14:textId="77777777" w:rsidR="0093003C" w:rsidRDefault="0093003C">
      <w:pPr>
        <w:pStyle w:val="Pagrindinistekstas"/>
        <w:spacing w:after="0"/>
        <w:rPr>
          <w:szCs w:val="22"/>
        </w:rPr>
      </w:pPr>
    </w:p>
    <w:p w14:paraId="18E7268A"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14:paraId="76BE2B56" w14:textId="77777777" w:rsidR="0093003C" w:rsidRDefault="0093003C">
      <w:pPr>
        <w:pStyle w:val="Pagrindinistekstas"/>
        <w:spacing w:after="0"/>
        <w:rPr>
          <w:szCs w:val="22"/>
        </w:rPr>
      </w:pPr>
    </w:p>
    <w:p w14:paraId="78916CB6" w14:textId="77777777" w:rsidR="001247E9" w:rsidRDefault="001247E9" w:rsidP="001247E9">
      <w:pPr>
        <w:pStyle w:val="Pagrindinistekstas"/>
        <w:spacing w:after="0"/>
        <w:rPr>
          <w:szCs w:val="22"/>
        </w:rPr>
      </w:pPr>
      <w:r>
        <w:rPr>
          <w:szCs w:val="22"/>
        </w:rPr>
        <w:t>Vienoje tabletėje yra 300 mg senų lapų ir vaisių, atitinkančių 6,75 - 9,00 mg hidroksiantracenų glikozidų, apskaičiuotų pagal senozidą B.</w:t>
      </w:r>
    </w:p>
    <w:p w14:paraId="7E0486A9" w14:textId="77777777" w:rsidR="00F71A40" w:rsidRDefault="00F71A40">
      <w:pPr>
        <w:pStyle w:val="Pagrindinistekstas"/>
        <w:spacing w:after="0"/>
        <w:rPr>
          <w:szCs w:val="22"/>
        </w:rPr>
      </w:pPr>
    </w:p>
    <w:p w14:paraId="0EAF0E0A" w14:textId="77777777" w:rsidR="0093003C" w:rsidRDefault="0093003C">
      <w:pPr>
        <w:pStyle w:val="Pagrindinistekstas"/>
        <w:spacing w:after="0"/>
        <w:rPr>
          <w:szCs w:val="22"/>
        </w:rPr>
      </w:pPr>
    </w:p>
    <w:p w14:paraId="6CBA46DC"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413D4CB9" w14:textId="77777777" w:rsidR="0093003C" w:rsidRDefault="0093003C">
      <w:pPr>
        <w:pStyle w:val="Pagrindinistekstas"/>
        <w:spacing w:after="0"/>
        <w:rPr>
          <w:szCs w:val="22"/>
        </w:rPr>
      </w:pPr>
    </w:p>
    <w:p w14:paraId="67B53723" w14:textId="77777777" w:rsidR="0093003C" w:rsidRDefault="0093003C">
      <w:pPr>
        <w:pStyle w:val="Pagrindinistekstas"/>
        <w:spacing w:after="0"/>
        <w:rPr>
          <w:szCs w:val="22"/>
        </w:rPr>
      </w:pPr>
    </w:p>
    <w:p w14:paraId="2E112311"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627B057C" w14:textId="77777777" w:rsidR="0093003C" w:rsidRDefault="0093003C">
      <w:pPr>
        <w:pStyle w:val="Pagrindinistekstas"/>
        <w:spacing w:after="0"/>
        <w:rPr>
          <w:szCs w:val="22"/>
        </w:rPr>
      </w:pPr>
    </w:p>
    <w:p w14:paraId="248E5CBC" w14:textId="77777777" w:rsidR="0093003C" w:rsidRDefault="0093003C">
      <w:pPr>
        <w:jc w:val="both"/>
        <w:rPr>
          <w:color w:val="000000"/>
          <w:szCs w:val="22"/>
        </w:rPr>
      </w:pPr>
      <w:r>
        <w:rPr>
          <w:color w:val="000000"/>
          <w:szCs w:val="22"/>
        </w:rPr>
        <w:t>20 tablečių</w:t>
      </w:r>
    </w:p>
    <w:p w14:paraId="0488675A" w14:textId="77777777" w:rsidR="0093003C" w:rsidRDefault="0093003C">
      <w:pPr>
        <w:jc w:val="both"/>
        <w:rPr>
          <w:color w:val="000000"/>
          <w:szCs w:val="22"/>
        </w:rPr>
      </w:pPr>
      <w:r>
        <w:rPr>
          <w:color w:val="000000"/>
          <w:szCs w:val="22"/>
          <w:highlight w:val="lightGray"/>
        </w:rPr>
        <w:t>60 tablečių</w:t>
      </w:r>
    </w:p>
    <w:p w14:paraId="7FF18D02" w14:textId="77777777" w:rsidR="0093003C" w:rsidRDefault="0093003C">
      <w:pPr>
        <w:pStyle w:val="Pagrindinistekstas"/>
        <w:spacing w:after="0"/>
        <w:rPr>
          <w:szCs w:val="22"/>
        </w:rPr>
      </w:pPr>
    </w:p>
    <w:p w14:paraId="70BB7119" w14:textId="77777777" w:rsidR="0093003C" w:rsidRDefault="0093003C">
      <w:pPr>
        <w:pStyle w:val="Pagrindinistekstas"/>
        <w:spacing w:after="0"/>
        <w:rPr>
          <w:szCs w:val="22"/>
        </w:rPr>
      </w:pPr>
    </w:p>
    <w:p w14:paraId="61EEB129"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5.</w:t>
      </w:r>
      <w:r>
        <w:tab/>
        <w:t>VARTOJIMO METODAS IR BŪDAS</w:t>
      </w:r>
    </w:p>
    <w:p w14:paraId="1D0F4D16" w14:textId="77777777" w:rsidR="0093003C" w:rsidRDefault="0093003C">
      <w:pPr>
        <w:pStyle w:val="Pagrindinistekstas"/>
        <w:spacing w:after="0"/>
        <w:rPr>
          <w:szCs w:val="22"/>
        </w:rPr>
      </w:pPr>
    </w:p>
    <w:p w14:paraId="6F0CFAA3" w14:textId="77777777" w:rsidR="0093003C" w:rsidRDefault="0093003C">
      <w:pPr>
        <w:pStyle w:val="Pagrindinistekstas"/>
        <w:spacing w:after="0"/>
        <w:rPr>
          <w:szCs w:val="22"/>
        </w:rPr>
      </w:pPr>
      <w:r>
        <w:rPr>
          <w:szCs w:val="22"/>
        </w:rPr>
        <w:t>Vartoti per burną.</w:t>
      </w:r>
    </w:p>
    <w:p w14:paraId="5FF84183" w14:textId="77777777" w:rsidR="0093003C" w:rsidRDefault="0093003C">
      <w:pPr>
        <w:jc w:val="both"/>
        <w:rPr>
          <w:szCs w:val="22"/>
        </w:rPr>
      </w:pPr>
      <w:r>
        <w:rPr>
          <w:szCs w:val="22"/>
        </w:rPr>
        <w:t>Prieš vartojimą perskaitykite pakuotės  lapelį.</w:t>
      </w:r>
    </w:p>
    <w:p w14:paraId="51F639FF" w14:textId="77777777" w:rsidR="0093003C" w:rsidRDefault="0093003C">
      <w:pPr>
        <w:pStyle w:val="Pagrindinistekstas"/>
        <w:spacing w:after="0"/>
        <w:rPr>
          <w:szCs w:val="22"/>
        </w:rPr>
      </w:pPr>
    </w:p>
    <w:p w14:paraId="6E1BCBB1" w14:textId="77777777" w:rsidR="0093003C" w:rsidRDefault="0093003C">
      <w:pPr>
        <w:pStyle w:val="Pagrindinistekstas"/>
        <w:spacing w:after="0"/>
        <w:rPr>
          <w:szCs w:val="22"/>
        </w:rPr>
      </w:pPr>
    </w:p>
    <w:p w14:paraId="3B624042"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6.</w:t>
      </w:r>
      <w:r>
        <w:tab/>
        <w:t>SPECIALUS ĮSPĖJIMAS, KAD VAISTINĮ PREPARATĄ BŪTINA LAIKYTI VAIKAMS NEPASTEBIMOJE IR NEPASIEKIAMOJE VIETOJE</w:t>
      </w:r>
    </w:p>
    <w:p w14:paraId="434800AA" w14:textId="77777777" w:rsidR="0093003C" w:rsidRDefault="0093003C">
      <w:pPr>
        <w:pStyle w:val="Pagrindinistekstas"/>
        <w:spacing w:after="0"/>
        <w:rPr>
          <w:szCs w:val="22"/>
        </w:rPr>
      </w:pPr>
    </w:p>
    <w:p w14:paraId="3C4E47AF" w14:textId="77777777" w:rsidR="0093003C" w:rsidRDefault="0093003C">
      <w:pPr>
        <w:pStyle w:val="Pagrindinistekstas"/>
        <w:spacing w:after="0"/>
        <w:outlineLvl w:val="0"/>
        <w:rPr>
          <w:szCs w:val="22"/>
        </w:rPr>
      </w:pPr>
      <w:r>
        <w:rPr>
          <w:szCs w:val="22"/>
        </w:rPr>
        <w:t>Laikyti vaikams nepastebimoje ir nepasiekiamoje vietoje.</w:t>
      </w:r>
    </w:p>
    <w:p w14:paraId="2220DAD2" w14:textId="77777777" w:rsidR="0093003C" w:rsidRDefault="0093003C">
      <w:pPr>
        <w:pStyle w:val="Pagrindinistekstas"/>
        <w:spacing w:after="0"/>
        <w:rPr>
          <w:szCs w:val="22"/>
        </w:rPr>
      </w:pPr>
    </w:p>
    <w:p w14:paraId="61776063" w14:textId="77777777" w:rsidR="0093003C" w:rsidRDefault="0093003C">
      <w:pPr>
        <w:pStyle w:val="Pagrindinistekstas"/>
        <w:spacing w:after="0"/>
        <w:rPr>
          <w:szCs w:val="22"/>
        </w:rPr>
      </w:pPr>
    </w:p>
    <w:p w14:paraId="3BB99559"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14:paraId="59A359F0" w14:textId="77777777" w:rsidR="0093003C" w:rsidRDefault="0093003C">
      <w:pPr>
        <w:pStyle w:val="Pagrindinistekstas"/>
        <w:spacing w:after="0"/>
        <w:rPr>
          <w:szCs w:val="22"/>
        </w:rPr>
      </w:pPr>
    </w:p>
    <w:p w14:paraId="6ABE2786" w14:textId="77777777" w:rsidR="0093003C" w:rsidRDefault="0093003C">
      <w:pPr>
        <w:pStyle w:val="Pagrindinistekstas"/>
        <w:spacing w:after="0"/>
        <w:rPr>
          <w:szCs w:val="22"/>
        </w:rPr>
      </w:pPr>
    </w:p>
    <w:p w14:paraId="1BFF29A1"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8.</w:t>
      </w:r>
      <w:r>
        <w:tab/>
        <w:t>TINKAMUMO LAIKAS</w:t>
      </w:r>
    </w:p>
    <w:p w14:paraId="26ECD92F" w14:textId="77777777" w:rsidR="0093003C" w:rsidRDefault="0093003C">
      <w:pPr>
        <w:pStyle w:val="Pagrindinistekstas"/>
        <w:spacing w:after="0"/>
        <w:rPr>
          <w:szCs w:val="22"/>
        </w:rPr>
      </w:pPr>
    </w:p>
    <w:p w14:paraId="6754B5CA" w14:textId="77777777" w:rsidR="0093003C" w:rsidRDefault="0093003C">
      <w:pPr>
        <w:jc w:val="both"/>
      </w:pPr>
      <w:r>
        <w:rPr>
          <w:szCs w:val="22"/>
        </w:rPr>
        <w:t xml:space="preserve">Tinka iki </w:t>
      </w:r>
      <w:r>
        <w:t>{</w:t>
      </w:r>
      <w:r w:rsidR="00241EAB">
        <w:t>mm</w:t>
      </w:r>
      <w:r>
        <w:t>/</w:t>
      </w:r>
      <w:r w:rsidR="00241EAB">
        <w:t>MMMM</w:t>
      </w:r>
      <w:r>
        <w:t>}</w:t>
      </w:r>
    </w:p>
    <w:p w14:paraId="37CEFECB" w14:textId="77777777" w:rsidR="0093003C" w:rsidRDefault="0093003C">
      <w:pPr>
        <w:pStyle w:val="Pagrindinistekstas"/>
        <w:spacing w:after="0"/>
        <w:rPr>
          <w:szCs w:val="22"/>
        </w:rPr>
      </w:pPr>
    </w:p>
    <w:p w14:paraId="1B11879E" w14:textId="77777777" w:rsidR="0093003C" w:rsidRDefault="0093003C">
      <w:pPr>
        <w:pStyle w:val="Pagrindinistekstas"/>
        <w:spacing w:after="0"/>
        <w:rPr>
          <w:szCs w:val="22"/>
        </w:rPr>
      </w:pPr>
    </w:p>
    <w:p w14:paraId="0A8C7206"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9.</w:t>
      </w:r>
      <w:r>
        <w:tab/>
        <w:t>SPECIALIOS LAIKYMO SĄLYGOS</w:t>
      </w:r>
    </w:p>
    <w:p w14:paraId="48FEF771" w14:textId="77777777" w:rsidR="0093003C" w:rsidRDefault="0093003C">
      <w:pPr>
        <w:pStyle w:val="Pagrindinistekstas"/>
        <w:spacing w:after="0"/>
        <w:rPr>
          <w:szCs w:val="22"/>
        </w:rPr>
      </w:pPr>
    </w:p>
    <w:p w14:paraId="78678AC8" w14:textId="77777777" w:rsidR="0093003C" w:rsidRDefault="0093003C">
      <w:pPr>
        <w:ind w:left="567" w:hanging="567"/>
        <w:outlineLvl w:val="0"/>
        <w:rPr>
          <w:noProof/>
          <w:szCs w:val="22"/>
        </w:rPr>
      </w:pPr>
      <w:r w:rsidRPr="00460C36">
        <w:rPr>
          <w:szCs w:val="22"/>
        </w:rPr>
        <w:t xml:space="preserve">Laikyti ne aukštesnėje kaip 25 ºC temperatūroje. </w:t>
      </w:r>
      <w:r w:rsidR="00993BF8" w:rsidRPr="00460C36">
        <w:rPr>
          <w:szCs w:val="22"/>
        </w:rPr>
        <w:t>Talpyklę laikyti sandarią.</w:t>
      </w:r>
    </w:p>
    <w:p w14:paraId="3744079A" w14:textId="77777777" w:rsidR="0093003C" w:rsidRDefault="0093003C">
      <w:pPr>
        <w:pStyle w:val="Pagrindinistekstas"/>
        <w:spacing w:after="0"/>
        <w:rPr>
          <w:szCs w:val="22"/>
        </w:rPr>
      </w:pPr>
    </w:p>
    <w:p w14:paraId="47E47CD5" w14:textId="77777777" w:rsidR="0093003C" w:rsidRDefault="0093003C">
      <w:pPr>
        <w:pStyle w:val="Pagrindinistekstas"/>
        <w:spacing w:after="0"/>
        <w:rPr>
          <w:szCs w:val="22"/>
        </w:rPr>
      </w:pPr>
    </w:p>
    <w:p w14:paraId="2395C1B6"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lastRenderedPageBreak/>
        <w:t>10.</w:t>
      </w:r>
      <w:r>
        <w:tab/>
        <w:t>SPECIALIOS ATSARGUMO PRIEMONĖS DĖL NESUVARTOTO VAISTINIO PREPARATO AR JO ATLIEKŲ TVARKYMO (JEI REIKIA)</w:t>
      </w:r>
    </w:p>
    <w:p w14:paraId="43351DC9" w14:textId="77777777" w:rsidR="0093003C" w:rsidRDefault="0093003C">
      <w:pPr>
        <w:pStyle w:val="Pagrindinistekstas"/>
        <w:spacing w:after="0"/>
        <w:rPr>
          <w:szCs w:val="22"/>
        </w:rPr>
      </w:pPr>
    </w:p>
    <w:p w14:paraId="67C48A79" w14:textId="77777777" w:rsidR="0093003C" w:rsidRDefault="0093003C" w:rsidP="00A66F3E">
      <w:pPr>
        <w:pStyle w:val="Antrat3"/>
      </w:pPr>
    </w:p>
    <w:p w14:paraId="7A0137B8" w14:textId="4D73CC86" w:rsidR="0093003C" w:rsidRDefault="0093003C" w:rsidP="00DB0FFB">
      <w:pPr>
        <w:pStyle w:val="Antrat3"/>
        <w:pBdr>
          <w:top w:val="single" w:sz="4" w:space="1" w:color="auto"/>
          <w:left w:val="single" w:sz="4" w:space="4" w:color="auto"/>
          <w:bottom w:val="single" w:sz="4" w:space="1" w:color="auto"/>
          <w:right w:val="single" w:sz="4" w:space="4" w:color="auto"/>
        </w:pBdr>
      </w:pPr>
      <w:r>
        <w:t>11.</w:t>
      </w:r>
      <w:r>
        <w:tab/>
      </w:r>
      <w:r w:rsidR="00A30D84">
        <w:t xml:space="preserve">REGISTRUOTOJO </w:t>
      </w:r>
      <w:r>
        <w:t>PAVADINIMAS IR ADRESAS</w:t>
      </w:r>
    </w:p>
    <w:p w14:paraId="1BC38009" w14:textId="77777777" w:rsidR="0093003C" w:rsidRDefault="0093003C">
      <w:pPr>
        <w:pStyle w:val="Pagrindinistekstas"/>
        <w:spacing w:after="0"/>
        <w:rPr>
          <w:szCs w:val="22"/>
        </w:rPr>
      </w:pPr>
    </w:p>
    <w:p w14:paraId="3613AC37" w14:textId="1C8DFFDF" w:rsidR="0093003C" w:rsidRDefault="00335FA6">
      <w:pPr>
        <w:jc w:val="both"/>
        <w:rPr>
          <w:szCs w:val="22"/>
        </w:rPr>
      </w:pPr>
      <w:r>
        <w:rPr>
          <w:szCs w:val="22"/>
        </w:rPr>
        <w:t>Labofarm sp. z o.o.</w:t>
      </w:r>
    </w:p>
    <w:p w14:paraId="631DCBEA" w14:textId="11A0C5E1" w:rsidR="0093003C" w:rsidRDefault="0093003C">
      <w:pPr>
        <w:jc w:val="both"/>
        <w:rPr>
          <w:szCs w:val="22"/>
        </w:rPr>
      </w:pPr>
      <w:r>
        <w:rPr>
          <w:szCs w:val="22"/>
        </w:rPr>
        <w:t>ul. Lubichowska 176</w:t>
      </w:r>
      <w:r w:rsidR="00335FA6">
        <w:rPr>
          <w:szCs w:val="22"/>
        </w:rPr>
        <w:t>B</w:t>
      </w:r>
    </w:p>
    <w:p w14:paraId="6BD053FD" w14:textId="3232F82A" w:rsidR="00335FA6" w:rsidRDefault="00335FA6">
      <w:pPr>
        <w:jc w:val="both"/>
        <w:rPr>
          <w:szCs w:val="22"/>
        </w:rPr>
      </w:pPr>
      <w:r>
        <w:rPr>
          <w:szCs w:val="22"/>
        </w:rPr>
        <w:t>83-200 Starogard Gdański</w:t>
      </w:r>
    </w:p>
    <w:p w14:paraId="0924C87F" w14:textId="77777777" w:rsidR="0093003C" w:rsidRDefault="0093003C">
      <w:pPr>
        <w:jc w:val="both"/>
        <w:rPr>
          <w:szCs w:val="22"/>
        </w:rPr>
      </w:pPr>
      <w:r>
        <w:rPr>
          <w:szCs w:val="22"/>
        </w:rPr>
        <w:t>Lenkija</w:t>
      </w:r>
    </w:p>
    <w:p w14:paraId="632C669C" w14:textId="77777777" w:rsidR="0093003C" w:rsidRDefault="0093003C">
      <w:pPr>
        <w:jc w:val="both"/>
        <w:rPr>
          <w:szCs w:val="22"/>
        </w:rPr>
      </w:pPr>
    </w:p>
    <w:p w14:paraId="39694A89" w14:textId="77777777" w:rsidR="0093003C" w:rsidRDefault="0093003C">
      <w:pPr>
        <w:jc w:val="both"/>
        <w:rPr>
          <w:szCs w:val="22"/>
        </w:rPr>
      </w:pPr>
    </w:p>
    <w:p w14:paraId="175D37C6" w14:textId="76DAD90F" w:rsidR="0093003C" w:rsidRDefault="0093003C" w:rsidP="00DB0FFB">
      <w:pPr>
        <w:pStyle w:val="Antrat3"/>
        <w:pBdr>
          <w:top w:val="single" w:sz="4" w:space="1" w:color="auto"/>
          <w:left w:val="single" w:sz="4" w:space="4" w:color="auto"/>
          <w:bottom w:val="single" w:sz="4" w:space="1" w:color="auto"/>
          <w:right w:val="single" w:sz="4" w:space="4" w:color="auto"/>
        </w:pBdr>
      </w:pPr>
      <w:r>
        <w:t>12.</w:t>
      </w:r>
      <w:r>
        <w:tab/>
      </w:r>
      <w:r w:rsidR="00A30D84">
        <w:t>REGISTRACIJOS</w:t>
      </w:r>
      <w:r>
        <w:t xml:space="preserve"> PAŽYMĖJIMO</w:t>
      </w:r>
      <w:r w:rsidR="00E927A6">
        <w:t xml:space="preserve"> </w:t>
      </w:r>
      <w:r>
        <w:t>NUMERIS</w:t>
      </w:r>
    </w:p>
    <w:p w14:paraId="6E315DC6" w14:textId="77777777" w:rsidR="0093003C" w:rsidRDefault="0093003C">
      <w:pPr>
        <w:pStyle w:val="Pagrindinistekstas"/>
        <w:spacing w:after="0"/>
        <w:rPr>
          <w:szCs w:val="22"/>
        </w:rPr>
      </w:pPr>
    </w:p>
    <w:p w14:paraId="07BF13C9" w14:textId="77777777" w:rsidR="0059749F" w:rsidRPr="0059749F" w:rsidRDefault="0059749F" w:rsidP="0059749F">
      <w:pPr>
        <w:rPr>
          <w:bCs/>
          <w:szCs w:val="22"/>
          <w:highlight w:val="lightGray"/>
        </w:rPr>
      </w:pPr>
      <w:r w:rsidRPr="0059749F">
        <w:rPr>
          <w:bCs/>
          <w:szCs w:val="22"/>
        </w:rPr>
        <w:t xml:space="preserve">LT/1/08/1007/007 </w:t>
      </w:r>
      <w:r w:rsidRPr="0059749F">
        <w:rPr>
          <w:bCs/>
          <w:szCs w:val="22"/>
          <w:highlight w:val="lightGray"/>
        </w:rPr>
        <w:t>–  N20</w:t>
      </w:r>
    </w:p>
    <w:p w14:paraId="4866AA36" w14:textId="77777777" w:rsidR="0059749F" w:rsidRPr="0059749F" w:rsidRDefault="0059749F" w:rsidP="0059749F">
      <w:pPr>
        <w:rPr>
          <w:bCs/>
          <w:szCs w:val="22"/>
          <w:highlight w:val="lightGray"/>
        </w:rPr>
      </w:pPr>
      <w:r w:rsidRPr="0059749F">
        <w:rPr>
          <w:bCs/>
          <w:szCs w:val="22"/>
          <w:highlight w:val="lightGray"/>
        </w:rPr>
        <w:t>LT/1/08/1007/008 –  N60</w:t>
      </w:r>
    </w:p>
    <w:p w14:paraId="156BD0FB" w14:textId="77777777" w:rsidR="0059749F" w:rsidRDefault="0059749F">
      <w:pPr>
        <w:rPr>
          <w:bCs/>
          <w:szCs w:val="22"/>
        </w:rPr>
      </w:pPr>
    </w:p>
    <w:p w14:paraId="17DE44A4" w14:textId="77777777" w:rsidR="0059749F" w:rsidRDefault="0059749F">
      <w:pPr>
        <w:rPr>
          <w:bCs/>
          <w:szCs w:val="22"/>
        </w:rPr>
      </w:pPr>
    </w:p>
    <w:p w14:paraId="25AD842C"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13.</w:t>
      </w:r>
      <w:r>
        <w:tab/>
        <w:t>SERIJOS NUMERIS</w:t>
      </w:r>
    </w:p>
    <w:p w14:paraId="0CB44AED" w14:textId="77777777" w:rsidR="0093003C" w:rsidRDefault="0093003C">
      <w:pPr>
        <w:pStyle w:val="Pagrindinistekstas"/>
        <w:spacing w:after="0"/>
        <w:rPr>
          <w:szCs w:val="22"/>
        </w:rPr>
      </w:pPr>
    </w:p>
    <w:p w14:paraId="7BAB2FC0" w14:textId="77777777" w:rsidR="0093003C" w:rsidRDefault="0093003C">
      <w:pPr>
        <w:pStyle w:val="Pagrindinistekstas"/>
        <w:spacing w:after="0"/>
        <w:outlineLvl w:val="0"/>
        <w:rPr>
          <w:szCs w:val="22"/>
        </w:rPr>
      </w:pPr>
      <w:r>
        <w:rPr>
          <w:szCs w:val="22"/>
        </w:rPr>
        <w:t xml:space="preserve">Serija </w:t>
      </w:r>
    </w:p>
    <w:p w14:paraId="7153C7CB" w14:textId="77777777" w:rsidR="0093003C" w:rsidRDefault="0093003C">
      <w:pPr>
        <w:pStyle w:val="Pagrindinistekstas"/>
        <w:spacing w:after="0"/>
        <w:rPr>
          <w:szCs w:val="22"/>
        </w:rPr>
      </w:pPr>
    </w:p>
    <w:p w14:paraId="362497EE" w14:textId="77777777" w:rsidR="0093003C" w:rsidRDefault="0093003C">
      <w:pPr>
        <w:pStyle w:val="Pagrindinistekstas"/>
        <w:spacing w:after="0"/>
        <w:rPr>
          <w:szCs w:val="22"/>
        </w:rPr>
      </w:pPr>
    </w:p>
    <w:p w14:paraId="34E54F91"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14.</w:t>
      </w:r>
      <w:r>
        <w:tab/>
        <w:t>PARDAVIMO (IŠDAVIMO) TVARKA</w:t>
      </w:r>
    </w:p>
    <w:p w14:paraId="5C2A39CD" w14:textId="77777777" w:rsidR="0093003C" w:rsidRDefault="0093003C">
      <w:pPr>
        <w:pStyle w:val="Pagrindinistekstas"/>
        <w:spacing w:after="0"/>
        <w:rPr>
          <w:szCs w:val="22"/>
        </w:rPr>
      </w:pPr>
    </w:p>
    <w:p w14:paraId="5AF85C4A" w14:textId="4E8D00FC" w:rsidR="0093003C" w:rsidRDefault="0093003C">
      <w:pPr>
        <w:pStyle w:val="Pagrindinistekstas"/>
        <w:spacing w:after="0"/>
        <w:outlineLvl w:val="0"/>
        <w:rPr>
          <w:szCs w:val="22"/>
        </w:rPr>
      </w:pPr>
      <w:r>
        <w:rPr>
          <w:szCs w:val="22"/>
        </w:rPr>
        <w:t xml:space="preserve">Nereceptinis </w:t>
      </w:r>
      <w:r w:rsidR="00E139E7">
        <w:rPr>
          <w:szCs w:val="22"/>
        </w:rPr>
        <w:t>vaistas</w:t>
      </w:r>
    </w:p>
    <w:p w14:paraId="04F97587" w14:textId="77777777" w:rsidR="0093003C" w:rsidRDefault="0093003C">
      <w:pPr>
        <w:pStyle w:val="Pagrindinistekstas"/>
        <w:spacing w:after="0"/>
        <w:rPr>
          <w:szCs w:val="22"/>
        </w:rPr>
      </w:pPr>
    </w:p>
    <w:p w14:paraId="711E6C12" w14:textId="77777777" w:rsidR="0093003C" w:rsidRDefault="0093003C">
      <w:pPr>
        <w:pStyle w:val="Pagrindinistekstas"/>
        <w:spacing w:after="0"/>
        <w:rPr>
          <w:szCs w:val="22"/>
        </w:rPr>
      </w:pPr>
    </w:p>
    <w:p w14:paraId="3724D8F0"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15.</w:t>
      </w:r>
      <w:r>
        <w:tab/>
        <w:t>VARTOJIMO INSTRUKCIJA</w:t>
      </w:r>
    </w:p>
    <w:p w14:paraId="1BA34655" w14:textId="77777777" w:rsidR="0093003C" w:rsidRDefault="0093003C">
      <w:pPr>
        <w:pStyle w:val="Pagrindinistekstas"/>
        <w:spacing w:after="0"/>
        <w:rPr>
          <w:szCs w:val="22"/>
        </w:rPr>
      </w:pPr>
    </w:p>
    <w:p w14:paraId="61CDE7DE" w14:textId="77777777" w:rsidR="0093003C" w:rsidRDefault="0093003C">
      <w:pPr>
        <w:pStyle w:val="Pagrindinistekstas"/>
        <w:tabs>
          <w:tab w:val="left" w:pos="3780"/>
        </w:tabs>
        <w:spacing w:after="0"/>
        <w:rPr>
          <w:i/>
          <w:color w:val="FF0000"/>
          <w:szCs w:val="22"/>
        </w:rPr>
      </w:pPr>
      <w:r>
        <w:rPr>
          <w:szCs w:val="22"/>
        </w:rPr>
        <w:t>Trumpalaikis retkarčiais pasitaikančio vidurių užkietėjimo mažinimas.</w:t>
      </w:r>
    </w:p>
    <w:p w14:paraId="33452A4F" w14:textId="77777777" w:rsidR="00EB65F8" w:rsidRDefault="00EB65F8" w:rsidP="00EB65F8">
      <w:pPr>
        <w:rPr>
          <w:szCs w:val="22"/>
        </w:rPr>
      </w:pPr>
    </w:p>
    <w:p w14:paraId="7F74D96F" w14:textId="77777777" w:rsidR="00EB65F8" w:rsidRDefault="00EB65F8" w:rsidP="00EB65F8">
      <w:pPr>
        <w:rPr>
          <w:szCs w:val="22"/>
        </w:rPr>
      </w:pPr>
    </w:p>
    <w:p w14:paraId="40C67521" w14:textId="77777777" w:rsidR="00EB65F8" w:rsidRDefault="00EB65F8" w:rsidP="00DB0FFB">
      <w:pPr>
        <w:pStyle w:val="Antrat3"/>
        <w:pBdr>
          <w:top w:val="single" w:sz="4" w:space="1" w:color="auto"/>
          <w:left w:val="single" w:sz="4" w:space="4" w:color="auto"/>
          <w:bottom w:val="single" w:sz="4" w:space="1" w:color="auto"/>
          <w:right w:val="single" w:sz="4" w:space="4" w:color="auto"/>
        </w:pBdr>
      </w:pPr>
      <w:r>
        <w:t>16.</w:t>
      </w:r>
      <w:r>
        <w:tab/>
        <w:t>INFORMACIJA BRAILIO RAŠTU</w:t>
      </w:r>
    </w:p>
    <w:p w14:paraId="18884BEE" w14:textId="77777777" w:rsidR="00EB65F8" w:rsidRDefault="00EB65F8" w:rsidP="00EB65F8">
      <w:pPr>
        <w:rPr>
          <w:szCs w:val="22"/>
        </w:rPr>
      </w:pPr>
    </w:p>
    <w:p w14:paraId="3FD5B43D" w14:textId="77777777" w:rsidR="00EB65F8" w:rsidRDefault="00EB65F8" w:rsidP="00EB65F8">
      <w:pPr>
        <w:rPr>
          <w:szCs w:val="22"/>
        </w:rPr>
      </w:pPr>
      <w:r>
        <w:rPr>
          <w:szCs w:val="22"/>
        </w:rPr>
        <w:t>senefol</w:t>
      </w:r>
    </w:p>
    <w:p w14:paraId="04706CA5" w14:textId="77777777" w:rsidR="00EB65F8" w:rsidRDefault="00EB65F8" w:rsidP="00EB65F8">
      <w:pPr>
        <w:rPr>
          <w:szCs w:val="22"/>
        </w:rPr>
      </w:pPr>
    </w:p>
    <w:p w14:paraId="473027AB" w14:textId="77777777" w:rsidR="00A30D84" w:rsidRDefault="00A30D84" w:rsidP="00A30D84">
      <w:pPr>
        <w:tabs>
          <w:tab w:val="left" w:pos="567"/>
        </w:tabs>
        <w:spacing w:line="260" w:lineRule="exact"/>
        <w:rPr>
          <w:szCs w:val="22"/>
          <w:shd w:val="clear" w:color="auto" w:fill="CCCCCC"/>
        </w:rPr>
      </w:pPr>
    </w:p>
    <w:p w14:paraId="1D6EB8E5" w14:textId="77777777" w:rsidR="00A30D84" w:rsidRPr="006C2976" w:rsidRDefault="00A30D84" w:rsidP="00A30D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6C2976">
        <w:rPr>
          <w:b/>
        </w:rPr>
        <w:t>17.</w:t>
      </w:r>
      <w:r w:rsidRPr="006C2976">
        <w:rPr>
          <w:b/>
        </w:rPr>
        <w:tab/>
        <w:t>UNIKALUS IDENTIFIKATORIUS – 2D BRŪKŠNINIS KODAS</w:t>
      </w:r>
    </w:p>
    <w:p w14:paraId="3BB7E0A4" w14:textId="77777777" w:rsidR="00A30D84" w:rsidRPr="006C2976" w:rsidRDefault="00A30D84" w:rsidP="00A30D84">
      <w:pPr>
        <w:tabs>
          <w:tab w:val="left" w:pos="567"/>
        </w:tabs>
        <w:spacing w:line="260" w:lineRule="exact"/>
      </w:pPr>
    </w:p>
    <w:p w14:paraId="38E7BDB0" w14:textId="47513594" w:rsidR="00A30D84" w:rsidRPr="006C2976" w:rsidRDefault="00A30D84" w:rsidP="00A30D84">
      <w:pPr>
        <w:tabs>
          <w:tab w:val="left" w:pos="567"/>
        </w:tabs>
        <w:spacing w:line="260" w:lineRule="exact"/>
        <w:rPr>
          <w:highlight w:val="lightGray"/>
        </w:rPr>
      </w:pPr>
      <w:r w:rsidRPr="006C2976">
        <w:rPr>
          <w:highlight w:val="lightGray"/>
        </w:rPr>
        <w:t xml:space="preserve">Duomenys nebūtini. </w:t>
      </w:r>
    </w:p>
    <w:p w14:paraId="2D64D9DD" w14:textId="77777777" w:rsidR="00A30D84" w:rsidRPr="006C2976" w:rsidRDefault="00A30D84" w:rsidP="00A30D84">
      <w:pPr>
        <w:tabs>
          <w:tab w:val="left" w:pos="567"/>
        </w:tabs>
        <w:spacing w:line="260" w:lineRule="exact"/>
      </w:pPr>
    </w:p>
    <w:p w14:paraId="1106AD5C" w14:textId="77777777" w:rsidR="00A30D84" w:rsidRPr="006C2976" w:rsidRDefault="00A30D84" w:rsidP="00A30D84">
      <w:pPr>
        <w:tabs>
          <w:tab w:val="left" w:pos="567"/>
        </w:tabs>
        <w:spacing w:line="260" w:lineRule="exact"/>
      </w:pPr>
    </w:p>
    <w:p w14:paraId="48354D21" w14:textId="77777777" w:rsidR="00A30D84" w:rsidRPr="006C2976" w:rsidRDefault="00A30D84" w:rsidP="00A30D8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C2976">
        <w:rPr>
          <w:b/>
        </w:rPr>
        <w:t>18.</w:t>
      </w:r>
      <w:r w:rsidRPr="006C2976">
        <w:rPr>
          <w:b/>
        </w:rPr>
        <w:tab/>
        <w:t>UNIKALUS IDENTIFIKATORIUS – ŽMONĖMS SUPRANTAMI DUOMENYS</w:t>
      </w:r>
    </w:p>
    <w:p w14:paraId="3FDCD95C" w14:textId="77777777" w:rsidR="00A30D84" w:rsidRPr="006C2976" w:rsidRDefault="00A30D84" w:rsidP="00A30D84">
      <w:pPr>
        <w:tabs>
          <w:tab w:val="left" w:pos="567"/>
        </w:tabs>
        <w:spacing w:line="260" w:lineRule="exact"/>
      </w:pPr>
    </w:p>
    <w:p w14:paraId="1368CF09" w14:textId="77777777" w:rsidR="00A30D84" w:rsidRPr="006C2976" w:rsidRDefault="00A30D84" w:rsidP="00A30D84">
      <w:pPr>
        <w:tabs>
          <w:tab w:val="left" w:pos="567"/>
        </w:tabs>
        <w:spacing w:line="260" w:lineRule="exact"/>
        <w:rPr>
          <w:vanish/>
          <w:szCs w:val="22"/>
        </w:rPr>
      </w:pPr>
    </w:p>
    <w:p w14:paraId="36DB3961" w14:textId="4E97EB99" w:rsidR="00A30D84" w:rsidRPr="006C2976" w:rsidRDefault="00A30D84" w:rsidP="00A30D84">
      <w:pPr>
        <w:tabs>
          <w:tab w:val="left" w:pos="567"/>
        </w:tabs>
        <w:spacing w:line="260" w:lineRule="exact"/>
        <w:rPr>
          <w:vanish/>
          <w:szCs w:val="22"/>
        </w:rPr>
      </w:pPr>
      <w:r w:rsidRPr="006C2976">
        <w:rPr>
          <w:highlight w:val="lightGray"/>
          <w:shd w:val="clear" w:color="auto" w:fill="CCCCCC"/>
        </w:rPr>
        <w:t>Duomenys nebūtini.</w:t>
      </w:r>
    </w:p>
    <w:p w14:paraId="1334FF0E" w14:textId="77777777" w:rsidR="00A30D84" w:rsidRPr="006C2976" w:rsidRDefault="00A30D84" w:rsidP="00A30D84">
      <w:pPr>
        <w:tabs>
          <w:tab w:val="left" w:pos="567"/>
        </w:tabs>
        <w:spacing w:line="260" w:lineRule="exact"/>
        <w:rPr>
          <w:vanish/>
          <w:szCs w:val="22"/>
        </w:rPr>
      </w:pPr>
    </w:p>
    <w:p w14:paraId="73297421" w14:textId="77777777" w:rsidR="00A30D84" w:rsidRPr="00FD5AC5" w:rsidRDefault="00A30D84" w:rsidP="00A30D84">
      <w:pPr>
        <w:tabs>
          <w:tab w:val="left" w:pos="567"/>
        </w:tabs>
        <w:spacing w:line="260" w:lineRule="exact"/>
        <w:rPr>
          <w:szCs w:val="24"/>
        </w:rPr>
      </w:pPr>
    </w:p>
    <w:p w14:paraId="6804994E" w14:textId="77777777" w:rsidR="0093003C" w:rsidRDefault="0093003C">
      <w:pPr>
        <w:pStyle w:val="Antrat2"/>
        <w:pBdr>
          <w:top w:val="single" w:sz="4" w:space="1" w:color="auto"/>
          <w:left w:val="single" w:sz="4" w:space="4" w:color="auto"/>
          <w:bottom w:val="single" w:sz="4" w:space="1" w:color="auto"/>
          <w:right w:val="single" w:sz="4" w:space="4" w:color="auto"/>
        </w:pBdr>
        <w:rPr>
          <w:szCs w:val="22"/>
        </w:rPr>
      </w:pPr>
      <w:r w:rsidRPr="00F71A40">
        <w:rPr>
          <w:szCs w:val="22"/>
        </w:rPr>
        <w:br w:type="page"/>
      </w:r>
      <w:r>
        <w:rPr>
          <w:szCs w:val="22"/>
        </w:rPr>
        <w:lastRenderedPageBreak/>
        <w:t>MINIMALI INFORMACIJA ANT  LIZDINIŲ PLOKŠTELIŲ ARBA DVISLUOKSNIŲ JUOSTELIŲ</w:t>
      </w:r>
    </w:p>
    <w:p w14:paraId="137A3B5A" w14:textId="77777777" w:rsidR="0093003C" w:rsidRDefault="0093003C">
      <w:pPr>
        <w:pStyle w:val="Antrat2"/>
        <w:pBdr>
          <w:top w:val="single" w:sz="4" w:space="1" w:color="auto"/>
          <w:left w:val="single" w:sz="4" w:space="4" w:color="auto"/>
          <w:bottom w:val="single" w:sz="4" w:space="1" w:color="auto"/>
          <w:right w:val="single" w:sz="4" w:space="4" w:color="auto"/>
        </w:pBdr>
        <w:rPr>
          <w:szCs w:val="22"/>
        </w:rPr>
      </w:pPr>
      <w:r>
        <w:rPr>
          <w:szCs w:val="22"/>
        </w:rPr>
        <w:t xml:space="preserve"> </w:t>
      </w:r>
    </w:p>
    <w:p w14:paraId="5343A264" w14:textId="77777777" w:rsidR="0093003C" w:rsidRPr="00F71A40" w:rsidRDefault="00B627CA">
      <w:pPr>
        <w:pStyle w:val="Pagrindinistekstas"/>
        <w:pBdr>
          <w:top w:val="single" w:sz="4" w:space="1" w:color="auto"/>
          <w:left w:val="single" w:sz="4" w:space="4" w:color="auto"/>
          <w:bottom w:val="single" w:sz="4" w:space="1" w:color="auto"/>
          <w:right w:val="single" w:sz="4" w:space="4" w:color="auto"/>
        </w:pBdr>
        <w:spacing w:after="0"/>
        <w:rPr>
          <w:b/>
          <w:iCs/>
          <w:szCs w:val="22"/>
        </w:rPr>
      </w:pPr>
      <w:r w:rsidRPr="00B627CA">
        <w:rPr>
          <w:b/>
          <w:iCs/>
          <w:szCs w:val="22"/>
        </w:rPr>
        <w:t>LIZDINĖ PLOKŠTELĖ</w:t>
      </w:r>
    </w:p>
    <w:p w14:paraId="64B9C718" w14:textId="77777777" w:rsidR="0093003C" w:rsidRDefault="0093003C">
      <w:pPr>
        <w:pStyle w:val="Pagrindinistekstas"/>
        <w:spacing w:after="0"/>
        <w:rPr>
          <w:szCs w:val="22"/>
        </w:rPr>
      </w:pPr>
    </w:p>
    <w:p w14:paraId="4617CBB8" w14:textId="77777777" w:rsidR="0093003C" w:rsidRDefault="0093003C">
      <w:pPr>
        <w:pStyle w:val="Pagrindinistekstas"/>
        <w:spacing w:after="0"/>
        <w:rPr>
          <w:szCs w:val="22"/>
        </w:rPr>
      </w:pPr>
    </w:p>
    <w:p w14:paraId="19EF302E"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0818227E" w14:textId="77777777" w:rsidR="0093003C" w:rsidRDefault="0093003C">
      <w:pPr>
        <w:pStyle w:val="Pagrindinistekstas"/>
        <w:spacing w:after="0"/>
        <w:rPr>
          <w:szCs w:val="22"/>
        </w:rPr>
      </w:pPr>
    </w:p>
    <w:p w14:paraId="20EFDDB8" w14:textId="77777777" w:rsidR="0093003C" w:rsidRDefault="0093003C">
      <w:pPr>
        <w:pStyle w:val="Pagrindinistekstas"/>
        <w:spacing w:after="0"/>
        <w:rPr>
          <w:szCs w:val="22"/>
        </w:rPr>
      </w:pPr>
      <w:r>
        <w:rPr>
          <w:szCs w:val="22"/>
        </w:rPr>
        <w:t>SENEFOL 300 mg tabletės</w:t>
      </w:r>
    </w:p>
    <w:p w14:paraId="2D199A30" w14:textId="77777777" w:rsidR="0093003C" w:rsidRDefault="0093003C">
      <w:pPr>
        <w:pStyle w:val="Pagrindinistekstas"/>
        <w:spacing w:after="0"/>
        <w:rPr>
          <w:szCs w:val="22"/>
        </w:rPr>
      </w:pPr>
      <w:r>
        <w:rPr>
          <w:szCs w:val="22"/>
        </w:rPr>
        <w:t>Senų lapai ir vaisiai</w:t>
      </w:r>
    </w:p>
    <w:p w14:paraId="4A3CDBB5" w14:textId="77777777" w:rsidR="0093003C" w:rsidRDefault="0093003C">
      <w:pPr>
        <w:pStyle w:val="Pagrindinistekstas"/>
        <w:spacing w:after="0"/>
        <w:rPr>
          <w:szCs w:val="22"/>
        </w:rPr>
      </w:pPr>
    </w:p>
    <w:p w14:paraId="1BC59868" w14:textId="77777777" w:rsidR="0093003C" w:rsidRDefault="0093003C">
      <w:pPr>
        <w:pStyle w:val="Pagrindinistekstas"/>
        <w:spacing w:after="0"/>
        <w:rPr>
          <w:szCs w:val="22"/>
        </w:rPr>
      </w:pPr>
    </w:p>
    <w:p w14:paraId="0674859B" w14:textId="53B541DF" w:rsidR="0093003C" w:rsidRDefault="0093003C" w:rsidP="00DB0FFB">
      <w:pPr>
        <w:pStyle w:val="Antrat3"/>
        <w:pBdr>
          <w:top w:val="single" w:sz="4" w:space="1" w:color="auto"/>
          <w:left w:val="single" w:sz="4" w:space="4" w:color="auto"/>
          <w:bottom w:val="single" w:sz="4" w:space="1" w:color="auto"/>
          <w:right w:val="single" w:sz="4" w:space="4" w:color="auto"/>
        </w:pBdr>
      </w:pPr>
      <w:r>
        <w:t>2.</w:t>
      </w:r>
      <w:r>
        <w:tab/>
      </w:r>
      <w:r w:rsidR="00A66F3E">
        <w:t>REGISTRUOTOJO</w:t>
      </w:r>
      <w:r>
        <w:t xml:space="preserve"> PAVADINIMAS </w:t>
      </w:r>
    </w:p>
    <w:p w14:paraId="3F364B26" w14:textId="77777777" w:rsidR="0093003C" w:rsidRDefault="0093003C">
      <w:pPr>
        <w:pStyle w:val="Pagrindinistekstas"/>
        <w:spacing w:after="0"/>
        <w:rPr>
          <w:szCs w:val="22"/>
        </w:rPr>
      </w:pPr>
    </w:p>
    <w:p w14:paraId="20EDC15B" w14:textId="1675E769" w:rsidR="0093003C" w:rsidRDefault="00335FA6">
      <w:pPr>
        <w:jc w:val="both"/>
        <w:rPr>
          <w:szCs w:val="22"/>
        </w:rPr>
      </w:pPr>
      <w:r>
        <w:rPr>
          <w:szCs w:val="22"/>
        </w:rPr>
        <w:t>Labofarm sp. z o.o.</w:t>
      </w:r>
    </w:p>
    <w:p w14:paraId="5C1F7DA6" w14:textId="77777777" w:rsidR="0093003C" w:rsidRDefault="0093003C">
      <w:pPr>
        <w:pStyle w:val="Pagrindinistekstas"/>
        <w:spacing w:after="0"/>
        <w:rPr>
          <w:szCs w:val="22"/>
        </w:rPr>
      </w:pPr>
    </w:p>
    <w:p w14:paraId="3F242EFC" w14:textId="77777777" w:rsidR="0093003C" w:rsidRDefault="0093003C">
      <w:pPr>
        <w:pStyle w:val="Pagrindinistekstas"/>
        <w:spacing w:after="0"/>
        <w:rPr>
          <w:szCs w:val="22"/>
        </w:rPr>
      </w:pPr>
    </w:p>
    <w:p w14:paraId="6A2B3FAD"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3.</w:t>
      </w:r>
      <w:r>
        <w:tab/>
        <w:t>TINKAMUMO LAIKAS</w:t>
      </w:r>
    </w:p>
    <w:p w14:paraId="1836D0A7" w14:textId="77777777" w:rsidR="0093003C" w:rsidRDefault="0093003C">
      <w:pPr>
        <w:pStyle w:val="Pagrindinistekstas"/>
        <w:spacing w:after="0"/>
        <w:rPr>
          <w:szCs w:val="22"/>
        </w:rPr>
      </w:pPr>
    </w:p>
    <w:p w14:paraId="09EF535D" w14:textId="77777777" w:rsidR="0093003C" w:rsidRDefault="0093003C">
      <w:pPr>
        <w:pStyle w:val="Pagrindinistekstas"/>
        <w:spacing w:after="0"/>
        <w:rPr>
          <w:szCs w:val="22"/>
        </w:rPr>
      </w:pPr>
      <w:r>
        <w:rPr>
          <w:szCs w:val="22"/>
        </w:rPr>
        <w:t xml:space="preserve">EXP </w:t>
      </w:r>
      <w:r>
        <w:t>{</w:t>
      </w:r>
      <w:r w:rsidR="00241EAB">
        <w:t>mm</w:t>
      </w:r>
      <w:r>
        <w:t>/</w:t>
      </w:r>
      <w:r w:rsidR="00241EAB">
        <w:t>MMMM</w:t>
      </w:r>
      <w:r>
        <w:t>}</w:t>
      </w:r>
    </w:p>
    <w:p w14:paraId="3D5DCF35" w14:textId="77777777" w:rsidR="0093003C" w:rsidRDefault="0093003C">
      <w:pPr>
        <w:pStyle w:val="Pagrindinistekstas"/>
        <w:spacing w:after="0"/>
        <w:rPr>
          <w:szCs w:val="22"/>
        </w:rPr>
      </w:pPr>
    </w:p>
    <w:p w14:paraId="52E2F57A" w14:textId="77777777" w:rsidR="0093003C" w:rsidRDefault="0093003C">
      <w:pPr>
        <w:pStyle w:val="Pagrindinistekstas"/>
        <w:spacing w:after="0"/>
        <w:rPr>
          <w:szCs w:val="22"/>
        </w:rPr>
      </w:pPr>
    </w:p>
    <w:p w14:paraId="67F01F43"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4.</w:t>
      </w:r>
      <w:r>
        <w:tab/>
        <w:t xml:space="preserve">SERIJOS NUMERIS </w:t>
      </w:r>
    </w:p>
    <w:p w14:paraId="01EC344C" w14:textId="77777777" w:rsidR="0093003C" w:rsidRDefault="0093003C">
      <w:pPr>
        <w:pStyle w:val="Pagrindinistekstas"/>
        <w:spacing w:after="0"/>
        <w:rPr>
          <w:szCs w:val="22"/>
        </w:rPr>
      </w:pPr>
    </w:p>
    <w:p w14:paraId="5D9EEAC0" w14:textId="77777777" w:rsidR="0093003C" w:rsidRDefault="0093003C">
      <w:pPr>
        <w:pStyle w:val="Pagrindinistekstas"/>
        <w:spacing w:after="0"/>
        <w:rPr>
          <w:szCs w:val="22"/>
        </w:rPr>
      </w:pPr>
      <w:r>
        <w:rPr>
          <w:szCs w:val="22"/>
        </w:rPr>
        <w:t>Lot</w:t>
      </w:r>
    </w:p>
    <w:p w14:paraId="34A0A8DC" w14:textId="77777777" w:rsidR="0093003C" w:rsidRDefault="0093003C">
      <w:pPr>
        <w:pStyle w:val="Pagrindinistekstas"/>
        <w:spacing w:after="0"/>
        <w:rPr>
          <w:szCs w:val="22"/>
        </w:rPr>
      </w:pPr>
    </w:p>
    <w:p w14:paraId="127AD9FD" w14:textId="77777777" w:rsidR="0093003C" w:rsidRDefault="0093003C">
      <w:pPr>
        <w:pStyle w:val="Pagrindinistekstas"/>
        <w:spacing w:after="0"/>
        <w:rPr>
          <w:szCs w:val="22"/>
        </w:rPr>
      </w:pPr>
    </w:p>
    <w:p w14:paraId="0E097F21"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5.</w:t>
      </w:r>
      <w:r>
        <w:tab/>
        <w:t xml:space="preserve">KITA </w:t>
      </w:r>
    </w:p>
    <w:p w14:paraId="1D5EBBA7" w14:textId="77777777" w:rsidR="0093003C" w:rsidRDefault="0093003C">
      <w:pPr>
        <w:pStyle w:val="Pagrindinistekstas"/>
        <w:spacing w:after="0"/>
        <w:rPr>
          <w:szCs w:val="22"/>
        </w:rPr>
      </w:pPr>
    </w:p>
    <w:p w14:paraId="5651C504" w14:textId="77777777" w:rsidR="0093003C" w:rsidRDefault="0093003C">
      <w:pPr>
        <w:pStyle w:val="Pagrindinistekstas"/>
        <w:spacing w:after="0"/>
        <w:rPr>
          <w:szCs w:val="22"/>
        </w:rPr>
      </w:pPr>
    </w:p>
    <w:p w14:paraId="1A001202" w14:textId="77777777" w:rsidR="0093003C" w:rsidRDefault="0093003C">
      <w:pPr>
        <w:pStyle w:val="Pagrindinistekstas"/>
        <w:spacing w:after="0"/>
        <w:rPr>
          <w:szCs w:val="22"/>
        </w:rPr>
      </w:pPr>
    </w:p>
    <w:p w14:paraId="0FBF8B41" w14:textId="77777777" w:rsidR="0093003C" w:rsidRDefault="0093003C">
      <w:pPr>
        <w:pStyle w:val="Pagrindinistekstas"/>
        <w:spacing w:after="0"/>
        <w:rPr>
          <w:szCs w:val="22"/>
        </w:rPr>
      </w:pPr>
    </w:p>
    <w:p w14:paraId="424DFCC1" w14:textId="77777777" w:rsidR="0093003C" w:rsidRDefault="0093003C">
      <w:pPr>
        <w:pStyle w:val="Pagrindinistekstas"/>
        <w:spacing w:after="0"/>
        <w:rPr>
          <w:szCs w:val="22"/>
        </w:rPr>
      </w:pPr>
    </w:p>
    <w:p w14:paraId="44E63E2C" w14:textId="77777777" w:rsidR="0093003C" w:rsidRDefault="0093003C">
      <w:pPr>
        <w:pStyle w:val="Pagrindinistekstas"/>
        <w:spacing w:after="0"/>
        <w:rPr>
          <w:szCs w:val="22"/>
        </w:rPr>
      </w:pPr>
    </w:p>
    <w:p w14:paraId="4FEBF174" w14:textId="77777777" w:rsidR="0093003C" w:rsidRDefault="0093003C">
      <w:pPr>
        <w:pStyle w:val="Pagrindinistekstas"/>
        <w:spacing w:after="0"/>
        <w:rPr>
          <w:szCs w:val="22"/>
        </w:rPr>
      </w:pPr>
    </w:p>
    <w:p w14:paraId="299AD652" w14:textId="77777777" w:rsidR="0093003C" w:rsidRDefault="0093003C">
      <w:pPr>
        <w:pStyle w:val="Pagrindinistekstas"/>
        <w:spacing w:after="0"/>
        <w:rPr>
          <w:szCs w:val="22"/>
        </w:rPr>
      </w:pPr>
    </w:p>
    <w:p w14:paraId="341CBFD6" w14:textId="77777777" w:rsidR="0093003C" w:rsidRDefault="0093003C">
      <w:pPr>
        <w:pStyle w:val="Pagrindinistekstas"/>
        <w:spacing w:after="0"/>
        <w:rPr>
          <w:szCs w:val="22"/>
        </w:rPr>
      </w:pPr>
    </w:p>
    <w:p w14:paraId="4DF8497C" w14:textId="77777777" w:rsidR="0093003C" w:rsidRDefault="0093003C">
      <w:pPr>
        <w:pStyle w:val="Pagrindinistekstas"/>
        <w:spacing w:after="0"/>
        <w:rPr>
          <w:szCs w:val="22"/>
        </w:rPr>
      </w:pPr>
    </w:p>
    <w:p w14:paraId="49280498" w14:textId="77777777" w:rsidR="0093003C" w:rsidRDefault="0093003C">
      <w:pPr>
        <w:pStyle w:val="Pagrindinistekstas"/>
        <w:spacing w:after="0"/>
        <w:rPr>
          <w:szCs w:val="22"/>
        </w:rPr>
      </w:pPr>
    </w:p>
    <w:p w14:paraId="1F45204D" w14:textId="77777777" w:rsidR="0093003C" w:rsidRDefault="0093003C">
      <w:pPr>
        <w:pStyle w:val="Pagrindinistekstas"/>
        <w:spacing w:after="0"/>
        <w:rPr>
          <w:szCs w:val="22"/>
        </w:rPr>
      </w:pPr>
    </w:p>
    <w:p w14:paraId="39F4DEB9" w14:textId="77777777" w:rsidR="0093003C" w:rsidRDefault="0093003C">
      <w:pPr>
        <w:pStyle w:val="Pagrindinistekstas"/>
        <w:spacing w:after="0"/>
        <w:rPr>
          <w:szCs w:val="22"/>
        </w:rPr>
      </w:pPr>
    </w:p>
    <w:p w14:paraId="02113441" w14:textId="77777777" w:rsidR="0093003C" w:rsidRDefault="0093003C">
      <w:pPr>
        <w:pStyle w:val="Pagrindinistekstas"/>
        <w:spacing w:after="0"/>
        <w:rPr>
          <w:szCs w:val="22"/>
        </w:rPr>
      </w:pPr>
    </w:p>
    <w:p w14:paraId="690E5B4E" w14:textId="77777777" w:rsidR="0093003C" w:rsidRDefault="0093003C">
      <w:pPr>
        <w:pStyle w:val="Pagrindinistekstas"/>
        <w:spacing w:after="0"/>
        <w:rPr>
          <w:szCs w:val="22"/>
        </w:rPr>
      </w:pPr>
    </w:p>
    <w:p w14:paraId="66D1BA4B" w14:textId="77777777" w:rsidR="0093003C" w:rsidRDefault="0093003C">
      <w:pPr>
        <w:pStyle w:val="Pagrindinistekstas"/>
        <w:spacing w:after="0"/>
        <w:rPr>
          <w:szCs w:val="22"/>
        </w:rPr>
      </w:pPr>
    </w:p>
    <w:p w14:paraId="16E4C2DD" w14:textId="77777777" w:rsidR="0093003C" w:rsidRDefault="0093003C">
      <w:pPr>
        <w:pStyle w:val="Pagrindinistekstas"/>
        <w:spacing w:after="0"/>
        <w:rPr>
          <w:szCs w:val="22"/>
        </w:rPr>
      </w:pPr>
    </w:p>
    <w:p w14:paraId="6114562D" w14:textId="77777777" w:rsidR="0093003C" w:rsidRDefault="0093003C">
      <w:pPr>
        <w:pStyle w:val="Pagrindinistekstas"/>
        <w:spacing w:after="0"/>
        <w:rPr>
          <w:szCs w:val="22"/>
        </w:rPr>
      </w:pPr>
    </w:p>
    <w:p w14:paraId="643AD789" w14:textId="77777777" w:rsidR="0093003C" w:rsidRDefault="0093003C">
      <w:pPr>
        <w:pStyle w:val="Pagrindinistekstas"/>
        <w:spacing w:after="0"/>
        <w:rPr>
          <w:szCs w:val="22"/>
        </w:rPr>
      </w:pPr>
    </w:p>
    <w:p w14:paraId="406B7EC8" w14:textId="77777777" w:rsidR="0093003C" w:rsidRDefault="0093003C">
      <w:pPr>
        <w:pStyle w:val="Pagrindinistekstas"/>
        <w:spacing w:after="0"/>
        <w:rPr>
          <w:szCs w:val="22"/>
        </w:rPr>
      </w:pPr>
    </w:p>
    <w:p w14:paraId="76EB9A97" w14:textId="77777777" w:rsidR="0093003C" w:rsidRDefault="0093003C">
      <w:pPr>
        <w:pStyle w:val="Pagrindinistekstas"/>
        <w:spacing w:after="0"/>
        <w:rPr>
          <w:szCs w:val="22"/>
        </w:rPr>
      </w:pPr>
    </w:p>
    <w:p w14:paraId="47968E30" w14:textId="77777777" w:rsidR="0093003C" w:rsidRDefault="0093003C">
      <w:pPr>
        <w:pStyle w:val="Pagrindinistekstas"/>
        <w:spacing w:after="0"/>
        <w:rPr>
          <w:szCs w:val="22"/>
        </w:rPr>
      </w:pPr>
    </w:p>
    <w:p w14:paraId="75D9A086" w14:textId="77777777" w:rsidR="0093003C" w:rsidRDefault="0093003C">
      <w:pPr>
        <w:pStyle w:val="Pagrindinistekstas"/>
        <w:spacing w:after="0"/>
        <w:rPr>
          <w:szCs w:val="22"/>
        </w:rPr>
      </w:pPr>
    </w:p>
    <w:p w14:paraId="38F033C2" w14:textId="77777777" w:rsidR="0093003C" w:rsidRDefault="0093003C">
      <w:pPr>
        <w:pStyle w:val="Pagrindinistekstas"/>
        <w:spacing w:after="0"/>
        <w:rPr>
          <w:szCs w:val="22"/>
        </w:rPr>
      </w:pPr>
    </w:p>
    <w:p w14:paraId="71FE75B6" w14:textId="77777777" w:rsidR="0093003C" w:rsidRDefault="0093003C">
      <w:pPr>
        <w:pStyle w:val="Pagrindinistekstas"/>
        <w:spacing w:after="0"/>
        <w:rPr>
          <w:szCs w:val="22"/>
        </w:rPr>
      </w:pPr>
    </w:p>
    <w:p w14:paraId="49F6B7F5" w14:textId="77777777" w:rsidR="0093003C" w:rsidRDefault="0093003C">
      <w:pPr>
        <w:pStyle w:val="Pagrindinistekstas"/>
        <w:spacing w:after="0"/>
        <w:rPr>
          <w:szCs w:val="22"/>
        </w:rPr>
      </w:pPr>
    </w:p>
    <w:p w14:paraId="18FC20FA" w14:textId="77777777" w:rsidR="0093003C" w:rsidRDefault="0093003C">
      <w:pPr>
        <w:pStyle w:val="Pagrindinistekstas"/>
        <w:spacing w:after="0"/>
        <w:rPr>
          <w:szCs w:val="22"/>
        </w:rPr>
      </w:pPr>
    </w:p>
    <w:p w14:paraId="1B89CAAC" w14:textId="77777777" w:rsidR="0093003C" w:rsidRDefault="0093003C">
      <w:pPr>
        <w:pStyle w:val="Pagrindinistekstas"/>
        <w:spacing w:after="0"/>
        <w:rPr>
          <w:szCs w:val="22"/>
        </w:rPr>
      </w:pPr>
    </w:p>
    <w:p w14:paraId="1030F6A3" w14:textId="77777777" w:rsidR="0093003C" w:rsidRDefault="0093003C">
      <w:pPr>
        <w:pStyle w:val="Antrat2"/>
        <w:pBdr>
          <w:top w:val="single" w:sz="4" w:space="1" w:color="auto"/>
          <w:left w:val="single" w:sz="4" w:space="4" w:color="auto"/>
          <w:bottom w:val="single" w:sz="4" w:space="1" w:color="auto"/>
          <w:right w:val="single" w:sz="4" w:space="4" w:color="auto"/>
        </w:pBdr>
        <w:rPr>
          <w:szCs w:val="22"/>
        </w:rPr>
      </w:pPr>
      <w:r>
        <w:rPr>
          <w:szCs w:val="22"/>
        </w:rPr>
        <w:lastRenderedPageBreak/>
        <w:t>INFORMACIJA ANT IŠORINĖS PAKUOTĖS</w:t>
      </w:r>
    </w:p>
    <w:p w14:paraId="41729000" w14:textId="77777777" w:rsidR="0093003C" w:rsidRDefault="0093003C">
      <w:pPr>
        <w:pStyle w:val="Antrat2"/>
        <w:pBdr>
          <w:top w:val="single" w:sz="4" w:space="1" w:color="auto"/>
          <w:left w:val="single" w:sz="4" w:space="4" w:color="auto"/>
          <w:bottom w:val="single" w:sz="4" w:space="1" w:color="auto"/>
          <w:right w:val="single" w:sz="4" w:space="4" w:color="auto"/>
        </w:pBdr>
        <w:rPr>
          <w:szCs w:val="22"/>
        </w:rPr>
      </w:pPr>
      <w:r>
        <w:rPr>
          <w:szCs w:val="22"/>
        </w:rPr>
        <w:t xml:space="preserve"> </w:t>
      </w:r>
    </w:p>
    <w:p w14:paraId="630B2019" w14:textId="77777777" w:rsidR="0093003C" w:rsidRPr="006B1B5D" w:rsidRDefault="00E927A6">
      <w:pPr>
        <w:pStyle w:val="Pagrindinistekstas"/>
        <w:pBdr>
          <w:top w:val="single" w:sz="4" w:space="1" w:color="auto"/>
          <w:left w:val="single" w:sz="4" w:space="4" w:color="auto"/>
          <w:bottom w:val="single" w:sz="4" w:space="1" w:color="auto"/>
          <w:right w:val="single" w:sz="4" w:space="4" w:color="auto"/>
        </w:pBdr>
        <w:spacing w:after="0"/>
        <w:rPr>
          <w:b/>
          <w:iCs/>
          <w:szCs w:val="22"/>
        </w:rPr>
      </w:pPr>
      <w:r w:rsidRPr="006B1B5D">
        <w:rPr>
          <w:b/>
          <w:iCs/>
          <w:szCs w:val="22"/>
        </w:rPr>
        <w:t>KARTONINĖ DĖŽUTĖ (LIZDINĖMS PLOKŠTELĖMS)</w:t>
      </w:r>
    </w:p>
    <w:p w14:paraId="3CDB3F97" w14:textId="77777777" w:rsidR="0093003C" w:rsidRDefault="0093003C">
      <w:pPr>
        <w:pStyle w:val="Pagrindinistekstas"/>
        <w:spacing w:after="0"/>
        <w:rPr>
          <w:szCs w:val="22"/>
        </w:rPr>
      </w:pPr>
    </w:p>
    <w:p w14:paraId="42235BE5" w14:textId="77777777" w:rsidR="0093003C" w:rsidRDefault="0093003C">
      <w:pPr>
        <w:pStyle w:val="Pagrindinistekstas"/>
        <w:spacing w:after="0"/>
        <w:rPr>
          <w:szCs w:val="22"/>
        </w:rPr>
      </w:pPr>
    </w:p>
    <w:p w14:paraId="61894A70"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6AF99A41" w14:textId="77777777" w:rsidR="0093003C" w:rsidRDefault="0093003C">
      <w:pPr>
        <w:pStyle w:val="Pagrindinistekstas"/>
        <w:spacing w:after="0"/>
        <w:rPr>
          <w:szCs w:val="22"/>
        </w:rPr>
      </w:pPr>
    </w:p>
    <w:p w14:paraId="049F9B37" w14:textId="77777777" w:rsidR="0093003C" w:rsidRDefault="0093003C">
      <w:pPr>
        <w:pStyle w:val="Pagrindinistekstas"/>
        <w:spacing w:after="0"/>
        <w:outlineLvl w:val="0"/>
        <w:rPr>
          <w:szCs w:val="22"/>
        </w:rPr>
      </w:pPr>
      <w:r>
        <w:rPr>
          <w:szCs w:val="22"/>
        </w:rPr>
        <w:t>SENEFOL 300 mg tabletės</w:t>
      </w:r>
    </w:p>
    <w:p w14:paraId="7A123A29" w14:textId="77777777" w:rsidR="0093003C" w:rsidRDefault="0093003C">
      <w:pPr>
        <w:pStyle w:val="Pagrindinistekstas"/>
        <w:spacing w:after="0"/>
        <w:rPr>
          <w:szCs w:val="22"/>
        </w:rPr>
      </w:pPr>
      <w:r>
        <w:rPr>
          <w:szCs w:val="22"/>
        </w:rPr>
        <w:t>Senų lapai ir vaisiai</w:t>
      </w:r>
    </w:p>
    <w:p w14:paraId="284E250A" w14:textId="77777777" w:rsidR="0093003C" w:rsidRDefault="0093003C">
      <w:pPr>
        <w:pStyle w:val="Pagrindinistekstas"/>
        <w:spacing w:after="0"/>
        <w:rPr>
          <w:szCs w:val="22"/>
        </w:rPr>
      </w:pPr>
    </w:p>
    <w:p w14:paraId="58EFCAEC" w14:textId="77777777" w:rsidR="0093003C" w:rsidRDefault="0093003C">
      <w:pPr>
        <w:pStyle w:val="Pagrindinistekstas"/>
        <w:spacing w:after="0"/>
        <w:rPr>
          <w:szCs w:val="22"/>
        </w:rPr>
      </w:pPr>
    </w:p>
    <w:p w14:paraId="024894DB"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2.</w:t>
      </w:r>
      <w:r>
        <w:tab/>
        <w:t xml:space="preserve">VEIKLIOJI MEDŽIAGA IR JOS KIEKIS </w:t>
      </w:r>
    </w:p>
    <w:p w14:paraId="35835639" w14:textId="77777777" w:rsidR="0093003C" w:rsidRDefault="0093003C">
      <w:pPr>
        <w:pStyle w:val="Pagrindinistekstas"/>
        <w:spacing w:after="0"/>
        <w:rPr>
          <w:szCs w:val="22"/>
        </w:rPr>
      </w:pPr>
    </w:p>
    <w:p w14:paraId="0A8F9930" w14:textId="77777777" w:rsidR="001247E9" w:rsidRDefault="001247E9" w:rsidP="001247E9">
      <w:pPr>
        <w:pStyle w:val="Pagrindinistekstas"/>
        <w:spacing w:after="0"/>
        <w:rPr>
          <w:szCs w:val="22"/>
        </w:rPr>
      </w:pPr>
      <w:r>
        <w:rPr>
          <w:szCs w:val="22"/>
        </w:rPr>
        <w:t>Vienoje tabletėje yra 300 mg senų lapų ir vaisių, atitinkančių 6,75 - 9,00 mg hidroksiantracenų glikozidų, apskaičiuotų pagal senozidą B.</w:t>
      </w:r>
    </w:p>
    <w:p w14:paraId="41F46DB3" w14:textId="77777777" w:rsidR="0093003C" w:rsidRDefault="0093003C">
      <w:pPr>
        <w:pStyle w:val="Pagrindinistekstas"/>
        <w:spacing w:after="0"/>
        <w:rPr>
          <w:szCs w:val="22"/>
        </w:rPr>
      </w:pPr>
    </w:p>
    <w:p w14:paraId="59214CC2" w14:textId="77777777" w:rsidR="0093003C" w:rsidRDefault="0093003C">
      <w:pPr>
        <w:pStyle w:val="Pagrindinistekstas"/>
        <w:spacing w:after="0"/>
        <w:rPr>
          <w:szCs w:val="22"/>
        </w:rPr>
      </w:pPr>
    </w:p>
    <w:p w14:paraId="6D8A9B6B"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79795C1E" w14:textId="77777777" w:rsidR="0093003C" w:rsidRDefault="0093003C">
      <w:pPr>
        <w:pStyle w:val="Pagrindinistekstas"/>
        <w:spacing w:after="0"/>
        <w:rPr>
          <w:szCs w:val="22"/>
        </w:rPr>
      </w:pPr>
    </w:p>
    <w:p w14:paraId="3FCFDBAA" w14:textId="77777777" w:rsidR="0093003C" w:rsidRDefault="0093003C">
      <w:pPr>
        <w:pStyle w:val="Pagrindinistekstas"/>
        <w:spacing w:after="0"/>
        <w:rPr>
          <w:szCs w:val="22"/>
        </w:rPr>
      </w:pPr>
    </w:p>
    <w:p w14:paraId="242AF0D6"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1E6600AF" w14:textId="77777777" w:rsidR="0093003C" w:rsidRDefault="0093003C">
      <w:pPr>
        <w:pStyle w:val="Pagrindinistekstas"/>
        <w:spacing w:after="0"/>
        <w:rPr>
          <w:szCs w:val="22"/>
        </w:rPr>
      </w:pPr>
    </w:p>
    <w:p w14:paraId="4A35033A" w14:textId="77777777" w:rsidR="0093003C" w:rsidRDefault="0093003C">
      <w:pPr>
        <w:jc w:val="both"/>
        <w:rPr>
          <w:color w:val="000000"/>
          <w:szCs w:val="22"/>
        </w:rPr>
      </w:pPr>
      <w:r>
        <w:rPr>
          <w:color w:val="000000"/>
          <w:szCs w:val="22"/>
        </w:rPr>
        <w:t>10 tablečių</w:t>
      </w:r>
    </w:p>
    <w:p w14:paraId="6EC9B71D" w14:textId="77777777" w:rsidR="0093003C" w:rsidRDefault="0093003C">
      <w:pPr>
        <w:jc w:val="both"/>
        <w:rPr>
          <w:color w:val="000000"/>
          <w:szCs w:val="22"/>
          <w:highlight w:val="lightGray"/>
        </w:rPr>
      </w:pPr>
      <w:r>
        <w:rPr>
          <w:color w:val="000000"/>
          <w:szCs w:val="22"/>
          <w:highlight w:val="lightGray"/>
        </w:rPr>
        <w:t>20 tablečių</w:t>
      </w:r>
    </w:p>
    <w:p w14:paraId="4B82B4B7" w14:textId="77777777" w:rsidR="0093003C" w:rsidRDefault="0093003C">
      <w:pPr>
        <w:jc w:val="both"/>
        <w:rPr>
          <w:color w:val="000000"/>
          <w:szCs w:val="22"/>
          <w:highlight w:val="lightGray"/>
        </w:rPr>
      </w:pPr>
      <w:r>
        <w:rPr>
          <w:color w:val="000000"/>
          <w:szCs w:val="22"/>
          <w:highlight w:val="lightGray"/>
        </w:rPr>
        <w:t>30 tablečių</w:t>
      </w:r>
    </w:p>
    <w:p w14:paraId="705BC0F2" w14:textId="77777777" w:rsidR="0093003C" w:rsidRDefault="0093003C">
      <w:pPr>
        <w:jc w:val="both"/>
        <w:rPr>
          <w:color w:val="000000"/>
          <w:szCs w:val="22"/>
          <w:highlight w:val="lightGray"/>
        </w:rPr>
      </w:pPr>
      <w:r>
        <w:rPr>
          <w:color w:val="000000"/>
          <w:szCs w:val="22"/>
          <w:highlight w:val="lightGray"/>
        </w:rPr>
        <w:t>40 tablečių</w:t>
      </w:r>
    </w:p>
    <w:p w14:paraId="0B05F668" w14:textId="77777777" w:rsidR="0093003C" w:rsidRDefault="0093003C">
      <w:pPr>
        <w:jc w:val="both"/>
        <w:rPr>
          <w:color w:val="000000"/>
          <w:szCs w:val="22"/>
          <w:highlight w:val="lightGray"/>
        </w:rPr>
      </w:pPr>
      <w:r>
        <w:rPr>
          <w:color w:val="000000"/>
          <w:szCs w:val="22"/>
          <w:highlight w:val="lightGray"/>
        </w:rPr>
        <w:t>50 tablečių</w:t>
      </w:r>
    </w:p>
    <w:p w14:paraId="7ECABC3C" w14:textId="77777777" w:rsidR="0093003C" w:rsidRDefault="0093003C">
      <w:pPr>
        <w:jc w:val="both"/>
        <w:rPr>
          <w:color w:val="000000"/>
          <w:szCs w:val="22"/>
        </w:rPr>
      </w:pPr>
      <w:r>
        <w:rPr>
          <w:color w:val="000000"/>
          <w:szCs w:val="22"/>
          <w:highlight w:val="lightGray"/>
        </w:rPr>
        <w:t>60 tablečių</w:t>
      </w:r>
    </w:p>
    <w:p w14:paraId="42A43C70" w14:textId="77777777" w:rsidR="0093003C" w:rsidRDefault="0093003C">
      <w:pPr>
        <w:pStyle w:val="Pagrindinistekstas"/>
        <w:spacing w:after="0"/>
        <w:rPr>
          <w:szCs w:val="22"/>
        </w:rPr>
      </w:pPr>
    </w:p>
    <w:p w14:paraId="31AF6B15" w14:textId="77777777" w:rsidR="00241EAB" w:rsidRDefault="00241EAB">
      <w:pPr>
        <w:pStyle w:val="Pagrindinistekstas"/>
        <w:spacing w:after="0"/>
        <w:rPr>
          <w:szCs w:val="22"/>
        </w:rPr>
      </w:pPr>
    </w:p>
    <w:p w14:paraId="31ABC8AA" w14:textId="77777777" w:rsidR="0001326A" w:rsidRDefault="0001326A" w:rsidP="00DB0FFB">
      <w:pPr>
        <w:pStyle w:val="Antrat3"/>
        <w:pBdr>
          <w:top w:val="single" w:sz="4" w:space="1" w:color="auto"/>
          <w:left w:val="single" w:sz="4" w:space="4" w:color="auto"/>
          <w:bottom w:val="single" w:sz="4" w:space="1" w:color="auto"/>
          <w:right w:val="single" w:sz="4" w:space="4" w:color="auto"/>
        </w:pBdr>
      </w:pPr>
      <w:r>
        <w:t>5.</w:t>
      </w:r>
      <w:r>
        <w:tab/>
        <w:t>VARTOJIMO METODAS IR BŪDAS</w:t>
      </w:r>
    </w:p>
    <w:p w14:paraId="263DF8E7" w14:textId="77777777" w:rsidR="0093003C" w:rsidRDefault="0093003C">
      <w:pPr>
        <w:pStyle w:val="Pagrindinistekstas"/>
        <w:spacing w:after="0"/>
        <w:rPr>
          <w:szCs w:val="22"/>
        </w:rPr>
      </w:pPr>
    </w:p>
    <w:p w14:paraId="328272E9" w14:textId="77777777" w:rsidR="0093003C" w:rsidRDefault="0093003C">
      <w:pPr>
        <w:pStyle w:val="Pagrindinistekstas"/>
        <w:spacing w:after="0"/>
        <w:rPr>
          <w:szCs w:val="22"/>
        </w:rPr>
      </w:pPr>
      <w:r>
        <w:rPr>
          <w:szCs w:val="22"/>
        </w:rPr>
        <w:t>Vartoti per burną.</w:t>
      </w:r>
    </w:p>
    <w:p w14:paraId="517F28F0" w14:textId="77777777" w:rsidR="0093003C" w:rsidRDefault="0093003C">
      <w:pPr>
        <w:jc w:val="both"/>
        <w:rPr>
          <w:szCs w:val="22"/>
        </w:rPr>
      </w:pPr>
      <w:r>
        <w:rPr>
          <w:szCs w:val="22"/>
        </w:rPr>
        <w:t>Prieš vartojimą perskaitykite pakuotės  lapelį.</w:t>
      </w:r>
    </w:p>
    <w:p w14:paraId="1652664B" w14:textId="77777777" w:rsidR="0093003C" w:rsidRDefault="0093003C">
      <w:pPr>
        <w:pStyle w:val="Pagrindinistekstas"/>
        <w:spacing w:after="0"/>
        <w:rPr>
          <w:szCs w:val="22"/>
        </w:rPr>
      </w:pPr>
    </w:p>
    <w:p w14:paraId="722AFC52" w14:textId="77777777" w:rsidR="0093003C" w:rsidRDefault="0093003C">
      <w:pPr>
        <w:pStyle w:val="Pagrindinistekstas"/>
        <w:spacing w:after="0"/>
        <w:rPr>
          <w:szCs w:val="22"/>
        </w:rPr>
      </w:pPr>
    </w:p>
    <w:p w14:paraId="761ED504"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6.</w:t>
      </w:r>
      <w:r>
        <w:tab/>
        <w:t>SPECIALUS ĮSPĖJIMAS, KAD VAISTINĮ PREPARATĄ BŪTINA LAIKYTI VAIKAMS NEPASTEBIMOJE IR NEPASIEKIAMOJE VIETOJE</w:t>
      </w:r>
    </w:p>
    <w:p w14:paraId="17DEE4A1" w14:textId="77777777" w:rsidR="0093003C" w:rsidRDefault="0093003C">
      <w:pPr>
        <w:pStyle w:val="Pagrindinistekstas"/>
        <w:spacing w:after="0"/>
        <w:rPr>
          <w:szCs w:val="22"/>
        </w:rPr>
      </w:pPr>
    </w:p>
    <w:p w14:paraId="5CF5B6CC" w14:textId="77777777" w:rsidR="0093003C" w:rsidRDefault="0093003C">
      <w:pPr>
        <w:pStyle w:val="Pagrindinistekstas"/>
        <w:spacing w:after="0"/>
        <w:outlineLvl w:val="0"/>
        <w:rPr>
          <w:szCs w:val="22"/>
        </w:rPr>
      </w:pPr>
      <w:r>
        <w:rPr>
          <w:szCs w:val="22"/>
        </w:rPr>
        <w:t>Laikyti vaikams nepastebimoje ir nepasiekiamoje vietoje.</w:t>
      </w:r>
    </w:p>
    <w:p w14:paraId="5972A6CB" w14:textId="77777777" w:rsidR="0093003C" w:rsidRDefault="0093003C">
      <w:pPr>
        <w:pStyle w:val="Pagrindinistekstas"/>
        <w:spacing w:after="0"/>
        <w:rPr>
          <w:szCs w:val="22"/>
        </w:rPr>
      </w:pPr>
    </w:p>
    <w:p w14:paraId="1E75AF29" w14:textId="77777777" w:rsidR="0093003C" w:rsidRDefault="0093003C">
      <w:pPr>
        <w:pStyle w:val="Pagrindinistekstas"/>
        <w:spacing w:after="0"/>
        <w:rPr>
          <w:szCs w:val="22"/>
        </w:rPr>
      </w:pPr>
    </w:p>
    <w:p w14:paraId="23CD8393"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7.</w:t>
      </w:r>
      <w:r>
        <w:tab/>
        <w:t>KITAS SPECIALUS ĮSPĖJIMAS (JEI REIKIA)</w:t>
      </w:r>
    </w:p>
    <w:p w14:paraId="1E3D636A" w14:textId="77777777" w:rsidR="0093003C" w:rsidRDefault="0093003C">
      <w:pPr>
        <w:pStyle w:val="Pagrindinistekstas"/>
        <w:spacing w:after="0"/>
        <w:rPr>
          <w:szCs w:val="22"/>
        </w:rPr>
      </w:pPr>
    </w:p>
    <w:p w14:paraId="341B9826" w14:textId="77777777" w:rsidR="0093003C" w:rsidRDefault="0093003C">
      <w:pPr>
        <w:pStyle w:val="Pagrindinistekstas"/>
        <w:spacing w:after="0"/>
        <w:rPr>
          <w:szCs w:val="22"/>
        </w:rPr>
      </w:pPr>
    </w:p>
    <w:p w14:paraId="21A8BDF4"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8.</w:t>
      </w:r>
      <w:r>
        <w:tab/>
        <w:t>TINKAMUMO LAIKAS</w:t>
      </w:r>
    </w:p>
    <w:p w14:paraId="618BEC71" w14:textId="77777777" w:rsidR="0093003C" w:rsidRDefault="0093003C">
      <w:pPr>
        <w:pStyle w:val="Pagrindinistekstas"/>
        <w:spacing w:after="0"/>
        <w:rPr>
          <w:szCs w:val="22"/>
        </w:rPr>
      </w:pPr>
    </w:p>
    <w:p w14:paraId="4FFA8ABC" w14:textId="77777777" w:rsidR="0093003C" w:rsidRDefault="0093003C">
      <w:pPr>
        <w:pStyle w:val="Pagrindinistekstas"/>
        <w:spacing w:after="0"/>
        <w:outlineLvl w:val="0"/>
        <w:rPr>
          <w:szCs w:val="22"/>
        </w:rPr>
      </w:pPr>
      <w:r>
        <w:rPr>
          <w:szCs w:val="22"/>
        </w:rPr>
        <w:t xml:space="preserve">Tinka iki </w:t>
      </w:r>
      <w:r>
        <w:t>{</w:t>
      </w:r>
      <w:r w:rsidR="00241EAB">
        <w:t>mm</w:t>
      </w:r>
      <w:r>
        <w:t>/</w:t>
      </w:r>
      <w:r w:rsidR="00241EAB">
        <w:t>MMMM</w:t>
      </w:r>
      <w:r>
        <w:t>}</w:t>
      </w:r>
    </w:p>
    <w:p w14:paraId="59A92669" w14:textId="77777777" w:rsidR="0093003C" w:rsidRDefault="0093003C">
      <w:pPr>
        <w:pStyle w:val="Pagrindinistekstas"/>
        <w:spacing w:after="0"/>
        <w:rPr>
          <w:szCs w:val="22"/>
        </w:rPr>
      </w:pPr>
    </w:p>
    <w:p w14:paraId="49337B5C" w14:textId="77777777" w:rsidR="0093003C" w:rsidRDefault="0093003C">
      <w:pPr>
        <w:pStyle w:val="Pagrindinistekstas"/>
        <w:spacing w:after="0"/>
        <w:rPr>
          <w:szCs w:val="22"/>
        </w:rPr>
      </w:pPr>
    </w:p>
    <w:p w14:paraId="571063DE"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9.</w:t>
      </w:r>
      <w:r>
        <w:tab/>
        <w:t>SPECIALIOS LAIKYMO SĄLYGOS</w:t>
      </w:r>
    </w:p>
    <w:p w14:paraId="2AD4279F" w14:textId="77777777" w:rsidR="0093003C" w:rsidRDefault="0093003C">
      <w:pPr>
        <w:pStyle w:val="Pagrindinistekstas"/>
        <w:spacing w:after="0"/>
        <w:rPr>
          <w:szCs w:val="22"/>
        </w:rPr>
      </w:pPr>
    </w:p>
    <w:p w14:paraId="2800CEC9" w14:textId="46B45546" w:rsidR="0093003C" w:rsidRDefault="0093003C">
      <w:pPr>
        <w:pStyle w:val="Pagrindinistekstas"/>
        <w:spacing w:after="0"/>
        <w:outlineLvl w:val="0"/>
        <w:rPr>
          <w:szCs w:val="22"/>
        </w:rPr>
      </w:pPr>
      <w:r w:rsidRPr="0001326A">
        <w:rPr>
          <w:szCs w:val="22"/>
        </w:rPr>
        <w:t>Laikyti ne aukštesnėje kaip 25 ºC temperatūroje.</w:t>
      </w:r>
      <w:r w:rsidR="00993BF8">
        <w:rPr>
          <w:szCs w:val="22"/>
        </w:rPr>
        <w:t xml:space="preserve"> </w:t>
      </w:r>
      <w:r w:rsidR="00993BF8" w:rsidRPr="002536CD">
        <w:t xml:space="preserve">Lizdinę plokštelę laikyti išorinėje dėžutėje, kad </w:t>
      </w:r>
      <w:r w:rsidR="00A66F3E">
        <w:t>vaistas</w:t>
      </w:r>
      <w:r w:rsidR="00993BF8" w:rsidRPr="002536CD">
        <w:t xml:space="preserve"> būtų apsaugotas nuo šviesos.</w:t>
      </w:r>
      <w:r w:rsidRPr="0001326A">
        <w:rPr>
          <w:noProof/>
        </w:rPr>
        <w:t xml:space="preserve"> </w:t>
      </w:r>
    </w:p>
    <w:p w14:paraId="4209CE8F" w14:textId="77777777" w:rsidR="0093003C" w:rsidRDefault="0093003C">
      <w:pPr>
        <w:pStyle w:val="Pagrindinistekstas"/>
        <w:spacing w:after="0"/>
        <w:rPr>
          <w:szCs w:val="22"/>
        </w:rPr>
      </w:pPr>
    </w:p>
    <w:p w14:paraId="0D46201D" w14:textId="77777777" w:rsidR="0093003C" w:rsidRDefault="0093003C">
      <w:pPr>
        <w:pStyle w:val="Pagrindinistekstas"/>
        <w:spacing w:after="0"/>
        <w:rPr>
          <w:szCs w:val="22"/>
        </w:rPr>
      </w:pPr>
    </w:p>
    <w:p w14:paraId="564ABC0B"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10.</w:t>
      </w:r>
      <w:r>
        <w:tab/>
        <w:t>SPECIALIOS ATSARGUMO PRIEMONĖS DĖL NESUVARTOTO VAISTINIO PREPARATO AR JO ATLIEKŲ TVARKYMO (JEI REIKIA)</w:t>
      </w:r>
    </w:p>
    <w:p w14:paraId="0C1CE517" w14:textId="77777777" w:rsidR="0093003C" w:rsidRDefault="0093003C">
      <w:pPr>
        <w:pStyle w:val="Pagrindinistekstas"/>
        <w:spacing w:after="0"/>
        <w:rPr>
          <w:szCs w:val="22"/>
        </w:rPr>
      </w:pPr>
    </w:p>
    <w:p w14:paraId="4B8D56D5" w14:textId="77777777" w:rsidR="0093003C" w:rsidRDefault="0093003C">
      <w:pPr>
        <w:pStyle w:val="Pagrindinistekstas"/>
        <w:spacing w:after="0"/>
        <w:rPr>
          <w:szCs w:val="22"/>
        </w:rPr>
      </w:pPr>
    </w:p>
    <w:p w14:paraId="0848FB0E" w14:textId="3C283C78" w:rsidR="0093003C" w:rsidRDefault="0093003C" w:rsidP="00DB0FFB">
      <w:pPr>
        <w:pStyle w:val="Antrat3"/>
        <w:pBdr>
          <w:top w:val="single" w:sz="4" w:space="1" w:color="auto"/>
          <w:left w:val="single" w:sz="4" w:space="4" w:color="auto"/>
          <w:bottom w:val="single" w:sz="4" w:space="1" w:color="auto"/>
          <w:right w:val="single" w:sz="4" w:space="4" w:color="auto"/>
        </w:pBdr>
      </w:pPr>
      <w:r>
        <w:t>11.</w:t>
      </w:r>
      <w:r>
        <w:tab/>
      </w:r>
      <w:r w:rsidR="00A66F3E">
        <w:t>REGISTRUOTOJO</w:t>
      </w:r>
      <w:r>
        <w:t xml:space="preserve"> PAVADINIMAS IR ADRESAS</w:t>
      </w:r>
    </w:p>
    <w:p w14:paraId="72D3FB1C" w14:textId="77777777" w:rsidR="0093003C" w:rsidRDefault="0093003C">
      <w:pPr>
        <w:pStyle w:val="Pagrindinistekstas"/>
        <w:spacing w:after="0"/>
        <w:rPr>
          <w:szCs w:val="22"/>
        </w:rPr>
      </w:pPr>
    </w:p>
    <w:p w14:paraId="495555C3" w14:textId="1CBB25CF" w:rsidR="0093003C" w:rsidRDefault="00335FA6">
      <w:pPr>
        <w:jc w:val="both"/>
        <w:rPr>
          <w:szCs w:val="22"/>
        </w:rPr>
      </w:pPr>
      <w:r>
        <w:rPr>
          <w:szCs w:val="22"/>
        </w:rPr>
        <w:t>Labofarm sp. z o.o.</w:t>
      </w:r>
    </w:p>
    <w:p w14:paraId="34BFC432" w14:textId="1601AB2D" w:rsidR="0093003C" w:rsidRDefault="0093003C">
      <w:pPr>
        <w:jc w:val="both"/>
        <w:rPr>
          <w:szCs w:val="22"/>
        </w:rPr>
      </w:pPr>
      <w:r>
        <w:rPr>
          <w:szCs w:val="22"/>
        </w:rPr>
        <w:t>ul. Lubichowska 176</w:t>
      </w:r>
      <w:r w:rsidR="00335FA6">
        <w:rPr>
          <w:szCs w:val="22"/>
        </w:rPr>
        <w:t>B</w:t>
      </w:r>
    </w:p>
    <w:p w14:paraId="076A31A0" w14:textId="0FFE7A9B" w:rsidR="00335FA6" w:rsidRDefault="00335FA6">
      <w:pPr>
        <w:jc w:val="both"/>
        <w:rPr>
          <w:szCs w:val="22"/>
        </w:rPr>
      </w:pPr>
      <w:r>
        <w:rPr>
          <w:szCs w:val="22"/>
        </w:rPr>
        <w:t>83-200 Starogard Gdański</w:t>
      </w:r>
    </w:p>
    <w:p w14:paraId="3BD6930C" w14:textId="77777777" w:rsidR="0093003C" w:rsidRDefault="0093003C">
      <w:pPr>
        <w:jc w:val="both"/>
        <w:rPr>
          <w:szCs w:val="22"/>
        </w:rPr>
      </w:pPr>
      <w:r>
        <w:rPr>
          <w:szCs w:val="22"/>
        </w:rPr>
        <w:t>Lenkija</w:t>
      </w:r>
    </w:p>
    <w:p w14:paraId="31D407E1" w14:textId="77777777" w:rsidR="0093003C" w:rsidRDefault="0093003C">
      <w:pPr>
        <w:jc w:val="both"/>
        <w:rPr>
          <w:szCs w:val="22"/>
        </w:rPr>
      </w:pPr>
    </w:p>
    <w:p w14:paraId="2E3F1862" w14:textId="77777777" w:rsidR="0093003C" w:rsidRDefault="0093003C">
      <w:pPr>
        <w:jc w:val="both"/>
        <w:rPr>
          <w:szCs w:val="22"/>
        </w:rPr>
      </w:pPr>
    </w:p>
    <w:p w14:paraId="459732AE" w14:textId="63D30FE7" w:rsidR="0093003C" w:rsidRDefault="0093003C" w:rsidP="00DB0FFB">
      <w:pPr>
        <w:pStyle w:val="Antrat3"/>
        <w:pBdr>
          <w:top w:val="single" w:sz="4" w:space="1" w:color="auto"/>
          <w:left w:val="single" w:sz="4" w:space="4" w:color="auto"/>
          <w:bottom w:val="single" w:sz="4" w:space="1" w:color="auto"/>
          <w:right w:val="single" w:sz="4" w:space="4" w:color="auto"/>
        </w:pBdr>
      </w:pPr>
      <w:r>
        <w:t>12.</w:t>
      </w:r>
      <w:r>
        <w:tab/>
      </w:r>
      <w:r w:rsidR="00A66F3E">
        <w:t>REGISTRACIJOS</w:t>
      </w:r>
      <w:r>
        <w:t xml:space="preserve"> PAŽYMĖJIMO</w:t>
      </w:r>
      <w:r w:rsidR="00A66F3E">
        <w:t xml:space="preserve"> </w:t>
      </w:r>
      <w:r>
        <w:t>NUMERIS</w:t>
      </w:r>
    </w:p>
    <w:p w14:paraId="54801733" w14:textId="77777777" w:rsidR="0093003C" w:rsidRDefault="0093003C">
      <w:pPr>
        <w:pStyle w:val="Pagrindinistekstas"/>
        <w:spacing w:after="0"/>
        <w:rPr>
          <w:szCs w:val="22"/>
        </w:rPr>
      </w:pPr>
    </w:p>
    <w:p w14:paraId="4F386BF3" w14:textId="77777777" w:rsidR="0059749F" w:rsidRPr="0059749F" w:rsidRDefault="0059749F" w:rsidP="0059749F">
      <w:pPr>
        <w:rPr>
          <w:bCs/>
          <w:szCs w:val="22"/>
          <w:highlight w:val="lightGray"/>
        </w:rPr>
      </w:pPr>
      <w:r w:rsidRPr="0059749F">
        <w:rPr>
          <w:bCs/>
          <w:szCs w:val="22"/>
        </w:rPr>
        <w:t xml:space="preserve">LT/1/08/1007/001 </w:t>
      </w:r>
      <w:r w:rsidRPr="0059749F">
        <w:rPr>
          <w:bCs/>
          <w:szCs w:val="22"/>
          <w:highlight w:val="lightGray"/>
        </w:rPr>
        <w:t>– N10</w:t>
      </w:r>
    </w:p>
    <w:p w14:paraId="42921BB3" w14:textId="77777777" w:rsidR="0059749F" w:rsidRPr="0059749F" w:rsidRDefault="0059749F" w:rsidP="0059749F">
      <w:pPr>
        <w:rPr>
          <w:bCs/>
          <w:szCs w:val="22"/>
          <w:highlight w:val="lightGray"/>
        </w:rPr>
      </w:pPr>
      <w:r w:rsidRPr="0059749F">
        <w:rPr>
          <w:bCs/>
          <w:szCs w:val="22"/>
          <w:highlight w:val="lightGray"/>
        </w:rPr>
        <w:t>LT/1/08/1007/002 – N20</w:t>
      </w:r>
    </w:p>
    <w:p w14:paraId="7A3D745F" w14:textId="46492CD6" w:rsidR="0059749F" w:rsidRPr="0059749F" w:rsidRDefault="0022668C" w:rsidP="0059749F">
      <w:pPr>
        <w:rPr>
          <w:bCs/>
          <w:szCs w:val="22"/>
          <w:highlight w:val="lightGray"/>
        </w:rPr>
      </w:pPr>
      <w:r>
        <w:rPr>
          <w:bCs/>
          <w:szCs w:val="22"/>
          <w:highlight w:val="lightGray"/>
        </w:rPr>
        <w:t>LT/1/08/1007/003</w:t>
      </w:r>
      <w:r w:rsidR="0059749F" w:rsidRPr="0059749F">
        <w:rPr>
          <w:bCs/>
          <w:szCs w:val="22"/>
          <w:highlight w:val="lightGray"/>
        </w:rPr>
        <w:t xml:space="preserve"> – N30 </w:t>
      </w:r>
    </w:p>
    <w:p w14:paraId="22A65241" w14:textId="2BD36CFF" w:rsidR="0059749F" w:rsidRPr="0059749F" w:rsidRDefault="0059749F" w:rsidP="0059749F">
      <w:pPr>
        <w:rPr>
          <w:bCs/>
          <w:szCs w:val="22"/>
          <w:highlight w:val="lightGray"/>
        </w:rPr>
      </w:pPr>
      <w:r w:rsidRPr="0059749F">
        <w:rPr>
          <w:bCs/>
          <w:szCs w:val="22"/>
          <w:highlight w:val="lightGray"/>
        </w:rPr>
        <w:t>LT/1/08/1007/004 – N40</w:t>
      </w:r>
    </w:p>
    <w:p w14:paraId="61AE5743" w14:textId="690935B2" w:rsidR="0059749F" w:rsidRPr="0059749F" w:rsidRDefault="0059749F" w:rsidP="0059749F">
      <w:pPr>
        <w:rPr>
          <w:bCs/>
          <w:szCs w:val="22"/>
          <w:highlight w:val="lightGray"/>
        </w:rPr>
      </w:pPr>
      <w:r w:rsidRPr="0059749F">
        <w:rPr>
          <w:bCs/>
          <w:szCs w:val="22"/>
          <w:highlight w:val="lightGray"/>
        </w:rPr>
        <w:t>LT/1/08/1007/005 – N50</w:t>
      </w:r>
    </w:p>
    <w:p w14:paraId="7CC9275C" w14:textId="215DEBB2" w:rsidR="0059749F" w:rsidRPr="0059749F" w:rsidRDefault="0059749F" w:rsidP="0059749F">
      <w:pPr>
        <w:rPr>
          <w:bCs/>
          <w:szCs w:val="22"/>
        </w:rPr>
      </w:pPr>
      <w:r w:rsidRPr="0059749F">
        <w:rPr>
          <w:bCs/>
          <w:szCs w:val="22"/>
          <w:highlight w:val="lightGray"/>
        </w:rPr>
        <w:t>LT/1/08/1007/006 – N60</w:t>
      </w:r>
      <w:r w:rsidRPr="0059749F">
        <w:rPr>
          <w:bCs/>
          <w:szCs w:val="22"/>
        </w:rPr>
        <w:t xml:space="preserve"> </w:t>
      </w:r>
    </w:p>
    <w:p w14:paraId="012E6E53" w14:textId="77777777" w:rsidR="0093003C" w:rsidRDefault="0093003C">
      <w:pPr>
        <w:pStyle w:val="Pagrindinistekstas"/>
        <w:spacing w:after="0"/>
        <w:rPr>
          <w:szCs w:val="22"/>
        </w:rPr>
      </w:pPr>
    </w:p>
    <w:p w14:paraId="6D4B0731" w14:textId="77777777" w:rsidR="0093003C" w:rsidRDefault="0093003C">
      <w:pPr>
        <w:pStyle w:val="Pagrindinistekstas"/>
        <w:spacing w:after="0"/>
        <w:rPr>
          <w:szCs w:val="22"/>
        </w:rPr>
      </w:pPr>
    </w:p>
    <w:p w14:paraId="725FE6F9"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13.</w:t>
      </w:r>
      <w:r>
        <w:tab/>
        <w:t>SERIJOS NUMERIS</w:t>
      </w:r>
    </w:p>
    <w:p w14:paraId="642CD3B8" w14:textId="77777777" w:rsidR="0093003C" w:rsidRDefault="0093003C">
      <w:pPr>
        <w:pStyle w:val="Pagrindinistekstas"/>
        <w:spacing w:after="0"/>
        <w:rPr>
          <w:szCs w:val="22"/>
        </w:rPr>
      </w:pPr>
    </w:p>
    <w:p w14:paraId="26C31E06" w14:textId="77777777" w:rsidR="0093003C" w:rsidRDefault="0093003C">
      <w:pPr>
        <w:pStyle w:val="Pagrindinistekstas"/>
        <w:spacing w:after="0"/>
        <w:outlineLvl w:val="0"/>
        <w:rPr>
          <w:szCs w:val="22"/>
        </w:rPr>
      </w:pPr>
      <w:r>
        <w:rPr>
          <w:szCs w:val="22"/>
        </w:rPr>
        <w:t xml:space="preserve">Serija </w:t>
      </w:r>
    </w:p>
    <w:p w14:paraId="2663A067" w14:textId="77777777" w:rsidR="0093003C" w:rsidRDefault="0093003C">
      <w:pPr>
        <w:pStyle w:val="Pagrindinistekstas"/>
        <w:spacing w:after="0"/>
        <w:rPr>
          <w:szCs w:val="22"/>
        </w:rPr>
      </w:pPr>
    </w:p>
    <w:p w14:paraId="570D4930" w14:textId="77777777" w:rsidR="0093003C" w:rsidRDefault="0093003C">
      <w:pPr>
        <w:pStyle w:val="Pagrindinistekstas"/>
        <w:spacing w:after="0"/>
        <w:rPr>
          <w:szCs w:val="22"/>
        </w:rPr>
      </w:pPr>
    </w:p>
    <w:p w14:paraId="33BD9200"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14.</w:t>
      </w:r>
      <w:r>
        <w:tab/>
        <w:t>PARDAVIMO (IŠDAVIMO) TVARKA</w:t>
      </w:r>
    </w:p>
    <w:p w14:paraId="0A96E27E" w14:textId="77777777" w:rsidR="0093003C" w:rsidRDefault="0093003C">
      <w:pPr>
        <w:pStyle w:val="Pagrindinistekstas"/>
        <w:spacing w:after="0"/>
        <w:rPr>
          <w:szCs w:val="22"/>
        </w:rPr>
      </w:pPr>
    </w:p>
    <w:p w14:paraId="597BC31B" w14:textId="1DB31408" w:rsidR="0093003C" w:rsidRDefault="0093003C">
      <w:pPr>
        <w:pStyle w:val="Pagrindinistekstas"/>
        <w:spacing w:after="0"/>
        <w:outlineLvl w:val="0"/>
        <w:rPr>
          <w:szCs w:val="22"/>
        </w:rPr>
      </w:pPr>
      <w:r>
        <w:rPr>
          <w:szCs w:val="22"/>
        </w:rPr>
        <w:t xml:space="preserve">Nereceptinis </w:t>
      </w:r>
      <w:r w:rsidR="00A66F3E">
        <w:rPr>
          <w:szCs w:val="22"/>
        </w:rPr>
        <w:t>vaistas</w:t>
      </w:r>
    </w:p>
    <w:p w14:paraId="7BF8B9A6" w14:textId="77777777" w:rsidR="0093003C" w:rsidRDefault="0093003C">
      <w:pPr>
        <w:pStyle w:val="Pagrindinistekstas"/>
        <w:spacing w:after="0"/>
        <w:rPr>
          <w:szCs w:val="22"/>
        </w:rPr>
      </w:pPr>
    </w:p>
    <w:p w14:paraId="0FF70327" w14:textId="77777777" w:rsidR="0093003C" w:rsidRDefault="0093003C">
      <w:pPr>
        <w:pStyle w:val="Pagrindinistekstas"/>
        <w:spacing w:after="0"/>
        <w:rPr>
          <w:szCs w:val="22"/>
        </w:rPr>
      </w:pPr>
    </w:p>
    <w:p w14:paraId="1240AD96"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15.</w:t>
      </w:r>
      <w:r>
        <w:tab/>
        <w:t>VARTOJIMO INSTRUKCIJA</w:t>
      </w:r>
    </w:p>
    <w:p w14:paraId="565012BB" w14:textId="77777777" w:rsidR="0093003C" w:rsidRDefault="0093003C">
      <w:pPr>
        <w:pStyle w:val="Pagrindinistekstas"/>
        <w:tabs>
          <w:tab w:val="left" w:pos="3780"/>
        </w:tabs>
        <w:spacing w:after="0"/>
        <w:rPr>
          <w:szCs w:val="22"/>
        </w:rPr>
      </w:pPr>
    </w:p>
    <w:p w14:paraId="58EB7576" w14:textId="77777777" w:rsidR="0093003C" w:rsidRDefault="0093003C">
      <w:pPr>
        <w:tabs>
          <w:tab w:val="left" w:pos="3780"/>
        </w:tabs>
        <w:rPr>
          <w:szCs w:val="22"/>
        </w:rPr>
      </w:pPr>
      <w:r>
        <w:rPr>
          <w:szCs w:val="22"/>
        </w:rPr>
        <w:t>Trumpalaikis retkarčiais pasitaikančio vidurių užkietėjimo mažinimas.</w:t>
      </w:r>
    </w:p>
    <w:p w14:paraId="5C060E6D" w14:textId="77777777" w:rsidR="0093003C" w:rsidRDefault="0093003C">
      <w:pPr>
        <w:tabs>
          <w:tab w:val="left" w:pos="3780"/>
        </w:tabs>
        <w:rPr>
          <w:b/>
          <w:szCs w:val="22"/>
        </w:rPr>
      </w:pPr>
      <w:r>
        <w:rPr>
          <w:b/>
          <w:szCs w:val="22"/>
        </w:rPr>
        <w:t>Dozavimas</w:t>
      </w:r>
    </w:p>
    <w:p w14:paraId="6F644E47" w14:textId="77777777" w:rsidR="0093003C" w:rsidRDefault="0093003C">
      <w:pPr>
        <w:jc w:val="both"/>
        <w:rPr>
          <w:i/>
          <w:szCs w:val="22"/>
        </w:rPr>
      </w:pPr>
      <w:r>
        <w:rPr>
          <w:i/>
          <w:szCs w:val="22"/>
        </w:rPr>
        <w:t>Suaugusieji ir vyresni nei 12 metų vaikai</w:t>
      </w:r>
    </w:p>
    <w:p w14:paraId="761BDC19" w14:textId="77777777" w:rsidR="0093003C" w:rsidRDefault="0093003C">
      <w:pPr>
        <w:jc w:val="both"/>
        <w:rPr>
          <w:szCs w:val="22"/>
        </w:rPr>
      </w:pPr>
      <w:r>
        <w:rPr>
          <w:szCs w:val="22"/>
        </w:rPr>
        <w:t>2-4 tabletes SENEFOL gerti vieną kartą per parą prieš miegą.</w:t>
      </w:r>
    </w:p>
    <w:p w14:paraId="25D790E9" w14:textId="77777777" w:rsidR="0093003C" w:rsidRDefault="0093003C">
      <w:pPr>
        <w:tabs>
          <w:tab w:val="left" w:pos="3780"/>
        </w:tabs>
        <w:rPr>
          <w:szCs w:val="22"/>
        </w:rPr>
      </w:pPr>
    </w:p>
    <w:p w14:paraId="59DF0ECA" w14:textId="6469FC7F" w:rsidR="0093003C" w:rsidRDefault="00A66F3E">
      <w:pPr>
        <w:pStyle w:val="Antrat2"/>
        <w:rPr>
          <w:b w:val="0"/>
          <w:szCs w:val="22"/>
        </w:rPr>
      </w:pPr>
      <w:r>
        <w:rPr>
          <w:b w:val="0"/>
          <w:szCs w:val="22"/>
        </w:rPr>
        <w:t>Vaistą</w:t>
      </w:r>
      <w:r w:rsidR="0093003C">
        <w:rPr>
          <w:b w:val="0"/>
          <w:szCs w:val="22"/>
        </w:rPr>
        <w:t xml:space="preserve"> patariama užsigerti mažiausiai 100 ml (puse stiklinės) vandens.</w:t>
      </w:r>
    </w:p>
    <w:p w14:paraId="5D47348C" w14:textId="77777777" w:rsidR="0093003C" w:rsidRDefault="0093003C">
      <w:pPr>
        <w:rPr>
          <w:szCs w:val="22"/>
        </w:rPr>
      </w:pPr>
    </w:p>
    <w:p w14:paraId="0FB7BE8C" w14:textId="77777777" w:rsidR="0093003C" w:rsidRDefault="0093003C">
      <w:pPr>
        <w:rPr>
          <w:szCs w:val="22"/>
        </w:rPr>
      </w:pPr>
    </w:p>
    <w:p w14:paraId="1715B29D" w14:textId="77777777" w:rsidR="0093003C" w:rsidRDefault="0093003C" w:rsidP="00DB0FFB">
      <w:pPr>
        <w:pStyle w:val="Antrat3"/>
        <w:pBdr>
          <w:top w:val="single" w:sz="4" w:space="1" w:color="auto"/>
          <w:left w:val="single" w:sz="4" w:space="4" w:color="auto"/>
          <w:bottom w:val="single" w:sz="4" w:space="1" w:color="auto"/>
          <w:right w:val="single" w:sz="4" w:space="4" w:color="auto"/>
        </w:pBdr>
      </w:pPr>
      <w:r>
        <w:t>16.</w:t>
      </w:r>
      <w:r>
        <w:tab/>
        <w:t>INFORMACIJA BRAILIO RAŠTU</w:t>
      </w:r>
    </w:p>
    <w:p w14:paraId="3671FBE4" w14:textId="77777777" w:rsidR="0093003C" w:rsidRDefault="0093003C">
      <w:pPr>
        <w:rPr>
          <w:szCs w:val="22"/>
        </w:rPr>
      </w:pPr>
    </w:p>
    <w:p w14:paraId="4DD91EE9" w14:textId="77777777" w:rsidR="0093003C" w:rsidRDefault="0093003C">
      <w:pPr>
        <w:rPr>
          <w:szCs w:val="22"/>
        </w:rPr>
      </w:pPr>
      <w:r>
        <w:rPr>
          <w:szCs w:val="22"/>
        </w:rPr>
        <w:t>senefol</w:t>
      </w:r>
    </w:p>
    <w:p w14:paraId="1D83BC9E" w14:textId="77777777" w:rsidR="0093003C" w:rsidRDefault="0093003C">
      <w:pPr>
        <w:rPr>
          <w:szCs w:val="22"/>
        </w:rPr>
      </w:pPr>
    </w:p>
    <w:p w14:paraId="500A6F3A" w14:textId="77777777" w:rsidR="00A66F3E" w:rsidRDefault="00A66F3E" w:rsidP="00A66F3E">
      <w:pPr>
        <w:tabs>
          <w:tab w:val="left" w:pos="567"/>
        </w:tabs>
        <w:spacing w:line="260" w:lineRule="exact"/>
        <w:rPr>
          <w:szCs w:val="22"/>
          <w:shd w:val="clear" w:color="auto" w:fill="CCCCCC"/>
        </w:rPr>
      </w:pPr>
    </w:p>
    <w:p w14:paraId="3B59F463" w14:textId="77777777" w:rsidR="00A66F3E" w:rsidRPr="006C2976" w:rsidRDefault="00A66F3E" w:rsidP="00A66F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4"/>
        </w:rPr>
      </w:pPr>
      <w:r w:rsidRPr="006C2976">
        <w:rPr>
          <w:b/>
        </w:rPr>
        <w:t>17.</w:t>
      </w:r>
      <w:r w:rsidRPr="006C2976">
        <w:rPr>
          <w:b/>
        </w:rPr>
        <w:tab/>
        <w:t>UNIKALUS IDENTIFIKATORIUS – 2D BRŪKŠNINIS KODAS</w:t>
      </w:r>
    </w:p>
    <w:p w14:paraId="05015E86" w14:textId="77777777" w:rsidR="00A66F3E" w:rsidRPr="006C2976" w:rsidRDefault="00A66F3E" w:rsidP="00A66F3E">
      <w:pPr>
        <w:tabs>
          <w:tab w:val="left" w:pos="567"/>
        </w:tabs>
        <w:spacing w:line="260" w:lineRule="exact"/>
      </w:pPr>
    </w:p>
    <w:p w14:paraId="0B179B9F" w14:textId="7304FEFC" w:rsidR="00A66F3E" w:rsidRPr="006C2976" w:rsidRDefault="00A66F3E" w:rsidP="00A66F3E">
      <w:pPr>
        <w:tabs>
          <w:tab w:val="left" w:pos="567"/>
        </w:tabs>
        <w:spacing w:line="260" w:lineRule="exact"/>
        <w:rPr>
          <w:highlight w:val="lightGray"/>
        </w:rPr>
      </w:pPr>
      <w:r w:rsidRPr="006C2976">
        <w:rPr>
          <w:highlight w:val="lightGray"/>
        </w:rPr>
        <w:t xml:space="preserve">Duomenys nebūtini. </w:t>
      </w:r>
    </w:p>
    <w:p w14:paraId="23B9E9A5" w14:textId="77777777" w:rsidR="00A66F3E" w:rsidRPr="006C2976" w:rsidRDefault="00A66F3E" w:rsidP="00A66F3E">
      <w:pPr>
        <w:tabs>
          <w:tab w:val="left" w:pos="567"/>
        </w:tabs>
        <w:spacing w:line="260" w:lineRule="exact"/>
      </w:pPr>
    </w:p>
    <w:p w14:paraId="2E453257" w14:textId="77777777" w:rsidR="00A66F3E" w:rsidRPr="006C2976" w:rsidRDefault="00A66F3E" w:rsidP="00A66F3E">
      <w:pPr>
        <w:tabs>
          <w:tab w:val="left" w:pos="567"/>
        </w:tabs>
        <w:spacing w:line="260" w:lineRule="exact"/>
      </w:pPr>
    </w:p>
    <w:p w14:paraId="2FA8ED74" w14:textId="77777777" w:rsidR="00A66F3E" w:rsidRPr="006C2976" w:rsidRDefault="00A66F3E" w:rsidP="00A66F3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C2976">
        <w:rPr>
          <w:b/>
        </w:rPr>
        <w:t>18.</w:t>
      </w:r>
      <w:r w:rsidRPr="006C2976">
        <w:rPr>
          <w:b/>
        </w:rPr>
        <w:tab/>
        <w:t>UNIKALUS IDENTIFIKATORIUS – ŽMONĖMS SUPRANTAMI DUOMENYS</w:t>
      </w:r>
    </w:p>
    <w:p w14:paraId="7EAA374E" w14:textId="77777777" w:rsidR="00A66F3E" w:rsidRPr="006C2976" w:rsidRDefault="00A66F3E" w:rsidP="00A66F3E">
      <w:pPr>
        <w:tabs>
          <w:tab w:val="left" w:pos="567"/>
        </w:tabs>
        <w:spacing w:line="260" w:lineRule="exact"/>
      </w:pPr>
    </w:p>
    <w:p w14:paraId="52345A46" w14:textId="77777777" w:rsidR="00A66F3E" w:rsidRDefault="00A66F3E" w:rsidP="00A66F3E">
      <w:pPr>
        <w:tabs>
          <w:tab w:val="left" w:pos="567"/>
        </w:tabs>
        <w:spacing w:line="260" w:lineRule="exact"/>
        <w:rPr>
          <w:vanish/>
          <w:szCs w:val="22"/>
          <w:lang w:val="en-GB"/>
        </w:rPr>
      </w:pPr>
    </w:p>
    <w:p w14:paraId="3D7816D5" w14:textId="28DDA0A4" w:rsidR="00A66F3E" w:rsidRDefault="00A66F3E" w:rsidP="00A66F3E">
      <w:pPr>
        <w:tabs>
          <w:tab w:val="left" w:pos="567"/>
        </w:tabs>
        <w:spacing w:line="260" w:lineRule="exact"/>
        <w:rPr>
          <w:vanish/>
          <w:szCs w:val="22"/>
          <w:lang w:val="en-GB"/>
        </w:rPr>
      </w:pPr>
      <w:r>
        <w:rPr>
          <w:highlight w:val="lightGray"/>
          <w:shd w:val="clear" w:color="auto" w:fill="CCCCCC"/>
          <w:lang w:val="en-GB"/>
        </w:rPr>
        <w:t>Duomenys nebūtini.</w:t>
      </w:r>
    </w:p>
    <w:p w14:paraId="4310B655" w14:textId="77777777" w:rsidR="00A66F3E" w:rsidRDefault="00A66F3E" w:rsidP="00A66F3E">
      <w:pPr>
        <w:tabs>
          <w:tab w:val="left" w:pos="567"/>
        </w:tabs>
        <w:spacing w:line="260" w:lineRule="exact"/>
        <w:rPr>
          <w:vanish/>
          <w:szCs w:val="22"/>
          <w:lang w:val="en-GB"/>
        </w:rPr>
      </w:pPr>
    </w:p>
    <w:p w14:paraId="732FA342" w14:textId="77777777" w:rsidR="00A66F3E" w:rsidRDefault="00A66F3E" w:rsidP="00A66F3E">
      <w:pPr>
        <w:tabs>
          <w:tab w:val="left" w:pos="567"/>
        </w:tabs>
        <w:spacing w:line="260" w:lineRule="exact"/>
        <w:rPr>
          <w:szCs w:val="24"/>
        </w:rPr>
      </w:pPr>
    </w:p>
    <w:p w14:paraId="61E7C96C" w14:textId="77777777" w:rsidR="0093003C" w:rsidRDefault="0093003C">
      <w:pPr>
        <w:rPr>
          <w:szCs w:val="22"/>
        </w:rPr>
      </w:pPr>
    </w:p>
    <w:p w14:paraId="14270DC7" w14:textId="77777777" w:rsidR="0093003C" w:rsidRDefault="0093003C">
      <w:pPr>
        <w:rPr>
          <w:szCs w:val="22"/>
        </w:rPr>
      </w:pPr>
    </w:p>
    <w:p w14:paraId="39484118" w14:textId="77777777" w:rsidR="0093003C" w:rsidRDefault="0093003C">
      <w:pPr>
        <w:rPr>
          <w:szCs w:val="22"/>
        </w:rPr>
      </w:pPr>
    </w:p>
    <w:p w14:paraId="23F5F93B" w14:textId="77777777" w:rsidR="0093003C" w:rsidRDefault="0093003C">
      <w:pPr>
        <w:rPr>
          <w:szCs w:val="22"/>
        </w:rPr>
      </w:pPr>
    </w:p>
    <w:p w14:paraId="2E671929" w14:textId="77777777" w:rsidR="0093003C" w:rsidRDefault="0093003C">
      <w:pPr>
        <w:rPr>
          <w:szCs w:val="22"/>
        </w:rPr>
      </w:pPr>
    </w:p>
    <w:p w14:paraId="443D13BC" w14:textId="77777777" w:rsidR="0093003C" w:rsidRDefault="0093003C">
      <w:pPr>
        <w:rPr>
          <w:szCs w:val="22"/>
        </w:rPr>
      </w:pPr>
    </w:p>
    <w:p w14:paraId="762AE4F7" w14:textId="77777777" w:rsidR="0093003C" w:rsidRDefault="0093003C">
      <w:pPr>
        <w:rPr>
          <w:szCs w:val="22"/>
        </w:rPr>
      </w:pPr>
    </w:p>
    <w:p w14:paraId="669ED77B" w14:textId="77777777" w:rsidR="0093003C" w:rsidRDefault="0093003C">
      <w:pPr>
        <w:rPr>
          <w:szCs w:val="22"/>
        </w:rPr>
      </w:pPr>
    </w:p>
    <w:p w14:paraId="76BD7E58" w14:textId="77777777" w:rsidR="0093003C" w:rsidRDefault="0093003C">
      <w:pPr>
        <w:rPr>
          <w:szCs w:val="22"/>
        </w:rPr>
      </w:pPr>
    </w:p>
    <w:p w14:paraId="5EA4EF0D" w14:textId="77777777" w:rsidR="0093003C" w:rsidRDefault="0093003C">
      <w:pPr>
        <w:rPr>
          <w:szCs w:val="22"/>
        </w:rPr>
      </w:pPr>
    </w:p>
    <w:p w14:paraId="7873B3F0" w14:textId="77777777" w:rsidR="0093003C" w:rsidRDefault="0093003C">
      <w:pPr>
        <w:rPr>
          <w:szCs w:val="22"/>
        </w:rPr>
      </w:pPr>
    </w:p>
    <w:p w14:paraId="09CB05D0" w14:textId="77777777" w:rsidR="0093003C" w:rsidRDefault="0093003C">
      <w:pPr>
        <w:rPr>
          <w:szCs w:val="22"/>
        </w:rPr>
      </w:pPr>
    </w:p>
    <w:p w14:paraId="4CAAA732" w14:textId="77777777" w:rsidR="0093003C" w:rsidRDefault="0093003C">
      <w:pPr>
        <w:rPr>
          <w:szCs w:val="22"/>
        </w:rPr>
      </w:pPr>
    </w:p>
    <w:p w14:paraId="49DD1091" w14:textId="77777777" w:rsidR="0093003C" w:rsidRDefault="0093003C">
      <w:pPr>
        <w:rPr>
          <w:szCs w:val="22"/>
        </w:rPr>
      </w:pPr>
    </w:p>
    <w:p w14:paraId="40D157A1" w14:textId="77777777" w:rsidR="0093003C" w:rsidRDefault="0093003C">
      <w:pPr>
        <w:rPr>
          <w:szCs w:val="22"/>
        </w:rPr>
      </w:pPr>
    </w:p>
    <w:p w14:paraId="3A1B83DF" w14:textId="77777777" w:rsidR="0093003C" w:rsidRDefault="0093003C">
      <w:pPr>
        <w:rPr>
          <w:szCs w:val="22"/>
        </w:rPr>
      </w:pPr>
    </w:p>
    <w:p w14:paraId="274B6FB9" w14:textId="77777777" w:rsidR="00A66F3E" w:rsidRDefault="00A66F3E">
      <w:pPr>
        <w:rPr>
          <w:szCs w:val="22"/>
        </w:rPr>
      </w:pPr>
    </w:p>
    <w:p w14:paraId="5A84DA22" w14:textId="77777777" w:rsidR="00A66F3E" w:rsidRDefault="00A66F3E">
      <w:pPr>
        <w:rPr>
          <w:szCs w:val="22"/>
        </w:rPr>
      </w:pPr>
    </w:p>
    <w:p w14:paraId="32FC348F" w14:textId="77777777" w:rsidR="00A66F3E" w:rsidRDefault="00A66F3E">
      <w:pPr>
        <w:rPr>
          <w:szCs w:val="22"/>
        </w:rPr>
      </w:pPr>
    </w:p>
    <w:p w14:paraId="14456BC5" w14:textId="77777777" w:rsidR="00A66F3E" w:rsidRDefault="00A66F3E">
      <w:pPr>
        <w:rPr>
          <w:szCs w:val="22"/>
        </w:rPr>
      </w:pPr>
    </w:p>
    <w:p w14:paraId="16B3B929" w14:textId="77777777" w:rsidR="00A66F3E" w:rsidRDefault="00A66F3E">
      <w:pPr>
        <w:rPr>
          <w:szCs w:val="22"/>
        </w:rPr>
      </w:pPr>
    </w:p>
    <w:p w14:paraId="6AC9B748" w14:textId="77777777" w:rsidR="00A66F3E" w:rsidRDefault="00A66F3E">
      <w:pPr>
        <w:rPr>
          <w:szCs w:val="22"/>
        </w:rPr>
      </w:pPr>
    </w:p>
    <w:p w14:paraId="38827B99" w14:textId="77777777" w:rsidR="00A66F3E" w:rsidRDefault="00A66F3E">
      <w:pPr>
        <w:rPr>
          <w:szCs w:val="22"/>
        </w:rPr>
      </w:pPr>
    </w:p>
    <w:p w14:paraId="0F9772B2" w14:textId="77777777" w:rsidR="00A66F3E" w:rsidRDefault="00A66F3E">
      <w:pPr>
        <w:rPr>
          <w:szCs w:val="22"/>
        </w:rPr>
      </w:pPr>
    </w:p>
    <w:p w14:paraId="696F5DC0" w14:textId="77777777" w:rsidR="00A66F3E" w:rsidRDefault="00A66F3E">
      <w:pPr>
        <w:rPr>
          <w:szCs w:val="22"/>
        </w:rPr>
      </w:pPr>
    </w:p>
    <w:p w14:paraId="3456C050" w14:textId="77777777" w:rsidR="00A66F3E" w:rsidRDefault="00A66F3E">
      <w:pPr>
        <w:rPr>
          <w:szCs w:val="22"/>
        </w:rPr>
      </w:pPr>
    </w:p>
    <w:p w14:paraId="79E47D5F" w14:textId="77777777" w:rsidR="00A66F3E" w:rsidRDefault="00A66F3E">
      <w:pPr>
        <w:rPr>
          <w:szCs w:val="22"/>
        </w:rPr>
      </w:pPr>
    </w:p>
    <w:p w14:paraId="15F206C6" w14:textId="77777777" w:rsidR="00A66F3E" w:rsidRDefault="00A66F3E">
      <w:pPr>
        <w:rPr>
          <w:szCs w:val="22"/>
        </w:rPr>
      </w:pPr>
    </w:p>
    <w:p w14:paraId="2677474F" w14:textId="77777777" w:rsidR="00A66F3E" w:rsidRDefault="00A66F3E">
      <w:pPr>
        <w:rPr>
          <w:szCs w:val="22"/>
        </w:rPr>
      </w:pPr>
    </w:p>
    <w:p w14:paraId="2CFCE604" w14:textId="77777777" w:rsidR="00A66F3E" w:rsidRDefault="00A66F3E">
      <w:pPr>
        <w:rPr>
          <w:szCs w:val="22"/>
        </w:rPr>
      </w:pPr>
    </w:p>
    <w:p w14:paraId="1BFF018C" w14:textId="77777777" w:rsidR="00A66F3E" w:rsidRDefault="00A66F3E">
      <w:pPr>
        <w:rPr>
          <w:szCs w:val="22"/>
        </w:rPr>
      </w:pPr>
    </w:p>
    <w:p w14:paraId="4E0E19BA" w14:textId="77777777" w:rsidR="00A66F3E" w:rsidRDefault="00A66F3E">
      <w:pPr>
        <w:rPr>
          <w:szCs w:val="22"/>
        </w:rPr>
      </w:pPr>
    </w:p>
    <w:p w14:paraId="5C26AC5A" w14:textId="77777777" w:rsidR="00A66F3E" w:rsidRDefault="00A66F3E">
      <w:pPr>
        <w:rPr>
          <w:szCs w:val="22"/>
        </w:rPr>
      </w:pPr>
    </w:p>
    <w:p w14:paraId="710685EE" w14:textId="77777777" w:rsidR="00A66F3E" w:rsidRDefault="00A66F3E">
      <w:pPr>
        <w:rPr>
          <w:szCs w:val="22"/>
        </w:rPr>
      </w:pPr>
    </w:p>
    <w:p w14:paraId="038ECEE9" w14:textId="77777777" w:rsidR="00A66F3E" w:rsidRDefault="00A66F3E">
      <w:pPr>
        <w:rPr>
          <w:szCs w:val="22"/>
        </w:rPr>
      </w:pPr>
    </w:p>
    <w:p w14:paraId="47B39E22" w14:textId="77777777" w:rsidR="00A66F3E" w:rsidRDefault="00A66F3E">
      <w:pPr>
        <w:rPr>
          <w:szCs w:val="22"/>
        </w:rPr>
      </w:pPr>
    </w:p>
    <w:p w14:paraId="10467878" w14:textId="77777777" w:rsidR="00A66F3E" w:rsidRDefault="00A66F3E">
      <w:pPr>
        <w:rPr>
          <w:szCs w:val="22"/>
        </w:rPr>
      </w:pPr>
    </w:p>
    <w:p w14:paraId="58F31105" w14:textId="77777777" w:rsidR="00A66F3E" w:rsidRDefault="00A66F3E">
      <w:pPr>
        <w:rPr>
          <w:szCs w:val="22"/>
        </w:rPr>
      </w:pPr>
    </w:p>
    <w:p w14:paraId="4C610FCB" w14:textId="77777777" w:rsidR="00A66F3E" w:rsidRDefault="00A66F3E">
      <w:pPr>
        <w:rPr>
          <w:szCs w:val="22"/>
        </w:rPr>
      </w:pPr>
    </w:p>
    <w:p w14:paraId="3A102541" w14:textId="77777777" w:rsidR="00A66F3E" w:rsidRDefault="00A66F3E">
      <w:pPr>
        <w:rPr>
          <w:szCs w:val="22"/>
        </w:rPr>
      </w:pPr>
    </w:p>
    <w:p w14:paraId="619C76A9" w14:textId="77777777" w:rsidR="00A66F3E" w:rsidRDefault="00A66F3E">
      <w:pPr>
        <w:rPr>
          <w:szCs w:val="22"/>
        </w:rPr>
      </w:pPr>
    </w:p>
    <w:p w14:paraId="1C041A48" w14:textId="77777777" w:rsidR="00A66F3E" w:rsidRDefault="00A66F3E">
      <w:pPr>
        <w:rPr>
          <w:szCs w:val="22"/>
        </w:rPr>
      </w:pPr>
    </w:p>
    <w:p w14:paraId="0B5F5734" w14:textId="77777777" w:rsidR="00A66F3E" w:rsidRDefault="00A66F3E">
      <w:pPr>
        <w:rPr>
          <w:szCs w:val="22"/>
        </w:rPr>
      </w:pPr>
    </w:p>
    <w:p w14:paraId="13A1FBFF" w14:textId="77777777" w:rsidR="00A66F3E" w:rsidRDefault="00A66F3E">
      <w:pPr>
        <w:rPr>
          <w:szCs w:val="22"/>
        </w:rPr>
      </w:pPr>
    </w:p>
    <w:p w14:paraId="423EAC46" w14:textId="77777777" w:rsidR="00A66F3E" w:rsidRDefault="00A66F3E">
      <w:pPr>
        <w:rPr>
          <w:szCs w:val="22"/>
        </w:rPr>
      </w:pPr>
    </w:p>
    <w:p w14:paraId="437C1685" w14:textId="77777777" w:rsidR="00A66F3E" w:rsidRDefault="00A66F3E">
      <w:pPr>
        <w:rPr>
          <w:szCs w:val="22"/>
        </w:rPr>
      </w:pPr>
    </w:p>
    <w:p w14:paraId="7AC0057A" w14:textId="77777777" w:rsidR="00A66F3E" w:rsidRDefault="00A66F3E">
      <w:pPr>
        <w:rPr>
          <w:szCs w:val="22"/>
        </w:rPr>
      </w:pPr>
    </w:p>
    <w:p w14:paraId="78DD1908" w14:textId="77777777" w:rsidR="00A66F3E" w:rsidRDefault="00A66F3E">
      <w:pPr>
        <w:rPr>
          <w:szCs w:val="22"/>
        </w:rPr>
      </w:pPr>
    </w:p>
    <w:p w14:paraId="49DEF0AD" w14:textId="77777777" w:rsidR="00A66F3E" w:rsidRDefault="00A66F3E">
      <w:pPr>
        <w:rPr>
          <w:szCs w:val="22"/>
        </w:rPr>
      </w:pPr>
    </w:p>
    <w:p w14:paraId="415A87FC" w14:textId="77777777" w:rsidR="00A66F3E" w:rsidRDefault="00A66F3E">
      <w:pPr>
        <w:rPr>
          <w:szCs w:val="22"/>
        </w:rPr>
      </w:pPr>
    </w:p>
    <w:p w14:paraId="0B4F5D3B" w14:textId="77777777" w:rsidR="00A66F3E" w:rsidRDefault="00A66F3E">
      <w:pPr>
        <w:rPr>
          <w:szCs w:val="22"/>
        </w:rPr>
      </w:pPr>
    </w:p>
    <w:p w14:paraId="6CEB3B12" w14:textId="77777777" w:rsidR="00A66F3E" w:rsidRDefault="00A66F3E">
      <w:pPr>
        <w:rPr>
          <w:szCs w:val="22"/>
        </w:rPr>
      </w:pPr>
    </w:p>
    <w:p w14:paraId="4C8C853B" w14:textId="77777777" w:rsidR="00A66F3E" w:rsidRDefault="00A66F3E">
      <w:pPr>
        <w:rPr>
          <w:szCs w:val="22"/>
        </w:rPr>
      </w:pPr>
    </w:p>
    <w:p w14:paraId="4F07781E" w14:textId="77777777" w:rsidR="00A66F3E" w:rsidRDefault="00A66F3E">
      <w:pPr>
        <w:rPr>
          <w:szCs w:val="22"/>
        </w:rPr>
      </w:pPr>
    </w:p>
    <w:p w14:paraId="762C8F37" w14:textId="77777777" w:rsidR="00A66F3E" w:rsidRDefault="00A66F3E">
      <w:pPr>
        <w:rPr>
          <w:szCs w:val="22"/>
        </w:rPr>
      </w:pPr>
    </w:p>
    <w:p w14:paraId="50B15EBA" w14:textId="77777777" w:rsidR="00A66F3E" w:rsidRDefault="00A66F3E">
      <w:pPr>
        <w:rPr>
          <w:szCs w:val="22"/>
        </w:rPr>
      </w:pPr>
    </w:p>
    <w:p w14:paraId="73E29142" w14:textId="77777777" w:rsidR="00A66F3E" w:rsidRDefault="00A66F3E">
      <w:pPr>
        <w:rPr>
          <w:szCs w:val="22"/>
        </w:rPr>
      </w:pPr>
    </w:p>
    <w:p w14:paraId="23C316D9" w14:textId="77777777" w:rsidR="00A66F3E" w:rsidRDefault="00A66F3E">
      <w:pPr>
        <w:rPr>
          <w:szCs w:val="22"/>
        </w:rPr>
      </w:pPr>
    </w:p>
    <w:p w14:paraId="2171A8C1" w14:textId="77777777" w:rsidR="00A66F3E" w:rsidRDefault="00A66F3E">
      <w:pPr>
        <w:rPr>
          <w:szCs w:val="22"/>
        </w:rPr>
      </w:pPr>
    </w:p>
    <w:p w14:paraId="507CC2F4" w14:textId="77777777" w:rsidR="00A66F3E" w:rsidRDefault="00A66F3E">
      <w:pPr>
        <w:rPr>
          <w:szCs w:val="22"/>
        </w:rPr>
      </w:pPr>
    </w:p>
    <w:p w14:paraId="4C9EC752" w14:textId="77777777" w:rsidR="0093003C" w:rsidRDefault="0093003C">
      <w:pPr>
        <w:rPr>
          <w:szCs w:val="22"/>
        </w:rPr>
      </w:pPr>
    </w:p>
    <w:p w14:paraId="02516F4E" w14:textId="77777777" w:rsidR="0093003C" w:rsidRDefault="0093003C">
      <w:pPr>
        <w:rPr>
          <w:szCs w:val="22"/>
        </w:rPr>
      </w:pPr>
    </w:p>
    <w:p w14:paraId="0927C700" w14:textId="77777777" w:rsidR="0093003C" w:rsidRDefault="0093003C">
      <w:pPr>
        <w:rPr>
          <w:szCs w:val="22"/>
        </w:rPr>
      </w:pPr>
    </w:p>
    <w:p w14:paraId="5609FF4D" w14:textId="77777777" w:rsidR="0093003C" w:rsidRDefault="0093003C">
      <w:pPr>
        <w:rPr>
          <w:szCs w:val="22"/>
        </w:rPr>
      </w:pPr>
    </w:p>
    <w:p w14:paraId="58941590" w14:textId="77777777" w:rsidR="0093003C" w:rsidRDefault="0093003C">
      <w:pPr>
        <w:rPr>
          <w:szCs w:val="22"/>
        </w:rPr>
      </w:pPr>
    </w:p>
    <w:p w14:paraId="440C15BF" w14:textId="77777777" w:rsidR="0093003C" w:rsidRDefault="0093003C">
      <w:pPr>
        <w:rPr>
          <w:szCs w:val="22"/>
        </w:rPr>
      </w:pPr>
    </w:p>
    <w:p w14:paraId="1EAB1176" w14:textId="77777777" w:rsidR="0093003C" w:rsidRDefault="0093003C">
      <w:pPr>
        <w:rPr>
          <w:szCs w:val="22"/>
        </w:rPr>
      </w:pPr>
    </w:p>
    <w:p w14:paraId="23C9A3E0" w14:textId="77777777" w:rsidR="0093003C" w:rsidRDefault="0093003C">
      <w:pPr>
        <w:rPr>
          <w:szCs w:val="22"/>
        </w:rPr>
      </w:pPr>
    </w:p>
    <w:p w14:paraId="7E389B23" w14:textId="77777777" w:rsidR="008C6DE5" w:rsidRDefault="008C6DE5">
      <w:pPr>
        <w:rPr>
          <w:szCs w:val="22"/>
        </w:rPr>
      </w:pPr>
    </w:p>
    <w:p w14:paraId="5CA48766" w14:textId="77777777" w:rsidR="008C6DE5" w:rsidRDefault="008C6DE5">
      <w:pPr>
        <w:rPr>
          <w:szCs w:val="22"/>
        </w:rPr>
      </w:pPr>
    </w:p>
    <w:p w14:paraId="2EEB2D4C" w14:textId="77777777" w:rsidR="008C6DE5" w:rsidRDefault="008C6DE5">
      <w:pPr>
        <w:rPr>
          <w:szCs w:val="22"/>
        </w:rPr>
      </w:pPr>
    </w:p>
    <w:p w14:paraId="0F357CE7" w14:textId="77777777" w:rsidR="008C6DE5" w:rsidRDefault="008C6DE5">
      <w:pPr>
        <w:rPr>
          <w:szCs w:val="22"/>
        </w:rPr>
      </w:pPr>
    </w:p>
    <w:p w14:paraId="1205578D" w14:textId="77777777" w:rsidR="008C6DE5" w:rsidRDefault="008C6DE5">
      <w:pPr>
        <w:rPr>
          <w:szCs w:val="22"/>
        </w:rPr>
      </w:pPr>
    </w:p>
    <w:p w14:paraId="71FC8773" w14:textId="77777777" w:rsidR="008C6DE5" w:rsidRDefault="008C6DE5">
      <w:pPr>
        <w:rPr>
          <w:szCs w:val="22"/>
        </w:rPr>
      </w:pPr>
    </w:p>
    <w:p w14:paraId="7FE52EB3" w14:textId="77777777" w:rsidR="008C6DE5" w:rsidRDefault="008C6DE5">
      <w:pPr>
        <w:rPr>
          <w:szCs w:val="22"/>
        </w:rPr>
      </w:pPr>
    </w:p>
    <w:p w14:paraId="4E4F9FE0" w14:textId="77777777" w:rsidR="0093003C" w:rsidRDefault="0093003C">
      <w:pPr>
        <w:pStyle w:val="Pavadinimas"/>
        <w:rPr>
          <w:szCs w:val="22"/>
        </w:rPr>
      </w:pPr>
      <w:r>
        <w:rPr>
          <w:szCs w:val="22"/>
        </w:rPr>
        <w:t>B. PAKUOTĖS LAPELIS</w:t>
      </w:r>
    </w:p>
    <w:p w14:paraId="5FB540A5" w14:textId="77777777" w:rsidR="0093003C" w:rsidRDefault="0093003C">
      <w:pPr>
        <w:pStyle w:val="Pagrindinistekstas"/>
        <w:spacing w:after="0"/>
        <w:jc w:val="center"/>
        <w:outlineLvl w:val="0"/>
        <w:rPr>
          <w:b/>
          <w:szCs w:val="22"/>
        </w:rPr>
      </w:pPr>
      <w:r>
        <w:rPr>
          <w:szCs w:val="22"/>
        </w:rPr>
        <w:br w:type="page"/>
      </w:r>
      <w:bookmarkStart w:id="9" w:name="_Toc129243138"/>
      <w:bookmarkStart w:id="10" w:name="_Toc129243263"/>
      <w:r>
        <w:rPr>
          <w:b/>
        </w:rPr>
        <w:lastRenderedPageBreak/>
        <w:t>Pakuotės lapelis: informacija vartotojui</w:t>
      </w:r>
      <w:bookmarkEnd w:id="9"/>
      <w:bookmarkEnd w:id="10"/>
    </w:p>
    <w:p w14:paraId="477DE5D7" w14:textId="77777777" w:rsidR="0093003C" w:rsidRDefault="0093003C">
      <w:pPr>
        <w:pStyle w:val="Pagrindinistekstas"/>
        <w:spacing w:after="0"/>
        <w:jc w:val="center"/>
        <w:rPr>
          <w:b/>
          <w:bCs/>
          <w:iCs/>
          <w:szCs w:val="22"/>
        </w:rPr>
      </w:pPr>
    </w:p>
    <w:p w14:paraId="43E73229" w14:textId="77777777" w:rsidR="0093003C" w:rsidRDefault="0093003C">
      <w:pPr>
        <w:pStyle w:val="Pagrindinistekstas"/>
        <w:spacing w:after="0"/>
        <w:jc w:val="center"/>
        <w:rPr>
          <w:b/>
          <w:bCs/>
          <w:iCs/>
          <w:szCs w:val="22"/>
        </w:rPr>
      </w:pPr>
      <w:r>
        <w:rPr>
          <w:b/>
          <w:bCs/>
          <w:iCs/>
          <w:szCs w:val="22"/>
        </w:rPr>
        <w:t>SENEFOL 300 mg tabletės</w:t>
      </w:r>
    </w:p>
    <w:p w14:paraId="177C2C8F" w14:textId="77777777" w:rsidR="0093003C" w:rsidRDefault="0093003C">
      <w:pPr>
        <w:pStyle w:val="Pagrindinistekstas"/>
        <w:spacing w:after="0"/>
        <w:jc w:val="center"/>
        <w:rPr>
          <w:szCs w:val="22"/>
        </w:rPr>
      </w:pPr>
      <w:r>
        <w:rPr>
          <w:szCs w:val="22"/>
        </w:rPr>
        <w:t>Senų lapai ir vaisiai</w:t>
      </w:r>
    </w:p>
    <w:p w14:paraId="11C61F60" w14:textId="77777777" w:rsidR="0093003C" w:rsidRDefault="0093003C">
      <w:pPr>
        <w:pStyle w:val="Pagrindinistekstas"/>
        <w:spacing w:after="0"/>
        <w:rPr>
          <w:szCs w:val="22"/>
        </w:rPr>
      </w:pPr>
    </w:p>
    <w:p w14:paraId="78AE6CE7" w14:textId="706E2A17" w:rsidR="0093003C" w:rsidRDefault="0093003C" w:rsidP="00212B02">
      <w:pPr>
        <w:pStyle w:val="BTbEMEASMCA"/>
      </w:pPr>
      <w:r w:rsidRPr="00DC1B89">
        <w:rPr>
          <w:b/>
        </w:rPr>
        <w:t>Atidžiai perskaitykite visą šį lapelį, prieš pradėdami vartoti šį vaistą,</w:t>
      </w:r>
      <w:r w:rsidR="00656B23">
        <w:rPr>
          <w:b/>
        </w:rPr>
        <w:t xml:space="preserve"> </w:t>
      </w:r>
      <w:r w:rsidRPr="00DC1B89">
        <w:rPr>
          <w:b/>
        </w:rPr>
        <w:t>nes jame pateikiama Jums svarbi informacija</w:t>
      </w:r>
      <w:r>
        <w:t>.</w:t>
      </w:r>
    </w:p>
    <w:p w14:paraId="5694E19D" w14:textId="77777777" w:rsidR="0093003C" w:rsidRDefault="0093003C">
      <w:pPr>
        <w:pStyle w:val="BT-EMEASMCA"/>
        <w:numPr>
          <w:ilvl w:val="0"/>
          <w:numId w:val="0"/>
        </w:numPr>
      </w:pPr>
      <w:r>
        <w:t>Visada vartokite šį vaistą tiksliai kaip aprašyta šiame lapelyje arba kaip nurodė gydytojas arba vaistininkas.</w:t>
      </w:r>
    </w:p>
    <w:p w14:paraId="28A01C14" w14:textId="77777777" w:rsidR="0093003C" w:rsidRDefault="0093003C">
      <w:pPr>
        <w:numPr>
          <w:ilvl w:val="0"/>
          <w:numId w:val="9"/>
        </w:numPr>
        <w:ind w:left="397"/>
        <w:rPr>
          <w:szCs w:val="22"/>
        </w:rPr>
      </w:pPr>
      <w:r>
        <w:rPr>
          <w:szCs w:val="22"/>
        </w:rPr>
        <w:t>Neišmeskite šio lapelio, nes vėl gali prireikti jį perskaityti.</w:t>
      </w:r>
    </w:p>
    <w:p w14:paraId="2161EF27" w14:textId="77777777" w:rsidR="0093003C" w:rsidRDefault="0093003C">
      <w:pPr>
        <w:numPr>
          <w:ilvl w:val="0"/>
          <w:numId w:val="9"/>
        </w:numPr>
        <w:ind w:left="397"/>
        <w:rPr>
          <w:szCs w:val="22"/>
        </w:rPr>
      </w:pPr>
      <w:r>
        <w:rPr>
          <w:szCs w:val="22"/>
        </w:rPr>
        <w:t>Jeigu norite sužinoti daugiau arba pasitarti, kreipkitės į vaistininką.</w:t>
      </w:r>
    </w:p>
    <w:p w14:paraId="4520745F" w14:textId="77777777" w:rsidR="0093003C" w:rsidRDefault="0093003C">
      <w:pPr>
        <w:numPr>
          <w:ilvl w:val="0"/>
          <w:numId w:val="9"/>
        </w:numPr>
        <w:ind w:left="397"/>
        <w:rPr>
          <w:szCs w:val="22"/>
        </w:rPr>
      </w:pPr>
      <w:r>
        <w:rPr>
          <w:szCs w:val="22"/>
        </w:rPr>
        <w:t>Jeigu pasireiškė šalutinis poveikis (net jeigu jis šiame lapelyje nenurodytas) kreipkitės į gydytoją arba vaistininką. Žr. 4 skyrių.</w:t>
      </w:r>
    </w:p>
    <w:p w14:paraId="091D4C1D" w14:textId="77777777" w:rsidR="0093003C" w:rsidRPr="005A61B3" w:rsidRDefault="0093003C">
      <w:pPr>
        <w:pStyle w:val="BT-EMEASMCA"/>
        <w:numPr>
          <w:ilvl w:val="0"/>
          <w:numId w:val="9"/>
        </w:numPr>
        <w:ind w:left="397"/>
      </w:pPr>
      <w:r w:rsidRPr="005A61B3">
        <w:t xml:space="preserve">Jeigu </w:t>
      </w:r>
      <w:r w:rsidR="00B627CA" w:rsidRPr="005A61B3">
        <w:t xml:space="preserve">per </w:t>
      </w:r>
      <w:r w:rsidRPr="005A61B3">
        <w:t>7-14 dien</w:t>
      </w:r>
      <w:r w:rsidR="00B627CA" w:rsidRPr="005A61B3">
        <w:t>ų</w:t>
      </w:r>
      <w:r w:rsidRPr="005A61B3">
        <w:t xml:space="preserve"> Jūsų savijauta nepagerėjo arba net pablogėjo, kreipkitės į gydytoją </w:t>
      </w:r>
    </w:p>
    <w:p w14:paraId="43FDA1B8" w14:textId="77777777" w:rsidR="0093003C" w:rsidRDefault="0093003C">
      <w:pPr>
        <w:rPr>
          <w:szCs w:val="22"/>
        </w:rPr>
      </w:pPr>
    </w:p>
    <w:p w14:paraId="7431D79F" w14:textId="77777777" w:rsidR="0093003C" w:rsidRDefault="0093003C">
      <w:pPr>
        <w:pStyle w:val="Antrat4"/>
        <w:spacing w:before="0" w:after="0"/>
        <w:rPr>
          <w:rFonts w:ascii="Times New Roman" w:hAnsi="Times New Roman"/>
          <w:sz w:val="22"/>
          <w:szCs w:val="22"/>
        </w:rPr>
      </w:pPr>
      <w:r>
        <w:rPr>
          <w:rFonts w:ascii="Times New Roman" w:hAnsi="Times New Roman"/>
          <w:sz w:val="22"/>
          <w:szCs w:val="22"/>
        </w:rPr>
        <w:t>Apie ką rašoma šiame lapelyje?</w:t>
      </w:r>
    </w:p>
    <w:p w14:paraId="3729EF6A" w14:textId="77777777" w:rsidR="0093003C" w:rsidRDefault="0093003C" w:rsidP="00212B02">
      <w:pPr>
        <w:pStyle w:val="BTbEMEASMCA"/>
      </w:pPr>
    </w:p>
    <w:p w14:paraId="5ED28AB3" w14:textId="77777777" w:rsidR="0093003C" w:rsidRDefault="0093003C">
      <w:pPr>
        <w:pStyle w:val="BTEMEASMCA"/>
        <w:tabs>
          <w:tab w:val="left" w:pos="567"/>
        </w:tabs>
      </w:pPr>
      <w:r>
        <w:t>1.</w:t>
      </w:r>
      <w:r>
        <w:tab/>
        <w:t>Kas yra SENEFOL ir kam jis vartojamas</w:t>
      </w:r>
    </w:p>
    <w:p w14:paraId="4E1FE306" w14:textId="77777777" w:rsidR="0093003C" w:rsidRDefault="0093003C">
      <w:pPr>
        <w:pStyle w:val="BTEMEASMCA"/>
        <w:tabs>
          <w:tab w:val="left" w:pos="567"/>
        </w:tabs>
      </w:pPr>
      <w:r>
        <w:t>2.</w:t>
      </w:r>
      <w:r>
        <w:tab/>
        <w:t>Kas žinotina prieš vartojant SENEFOL</w:t>
      </w:r>
    </w:p>
    <w:p w14:paraId="38552988" w14:textId="77777777" w:rsidR="0093003C" w:rsidRDefault="0093003C">
      <w:pPr>
        <w:pStyle w:val="BTEMEASMCA"/>
        <w:tabs>
          <w:tab w:val="left" w:pos="567"/>
        </w:tabs>
      </w:pPr>
      <w:r>
        <w:t>3.</w:t>
      </w:r>
      <w:r>
        <w:tab/>
        <w:t>Kaip vartoti SENEFOL</w:t>
      </w:r>
    </w:p>
    <w:p w14:paraId="362723C5" w14:textId="77777777" w:rsidR="0093003C" w:rsidRDefault="0093003C">
      <w:pPr>
        <w:pStyle w:val="BTEMEASMCA"/>
        <w:tabs>
          <w:tab w:val="left" w:pos="567"/>
        </w:tabs>
      </w:pPr>
      <w:r>
        <w:t>4.</w:t>
      </w:r>
      <w:r>
        <w:tab/>
        <w:t>Galimas šalutinis poveikis</w:t>
      </w:r>
    </w:p>
    <w:p w14:paraId="1693FC7C" w14:textId="77777777" w:rsidR="0093003C" w:rsidRDefault="0093003C">
      <w:pPr>
        <w:pStyle w:val="BTEMEASMCA"/>
        <w:tabs>
          <w:tab w:val="left" w:pos="567"/>
        </w:tabs>
      </w:pPr>
      <w:r>
        <w:t>5.</w:t>
      </w:r>
      <w:r>
        <w:tab/>
        <w:t>Kaip laikyti SENEFOL</w:t>
      </w:r>
    </w:p>
    <w:p w14:paraId="4649D233" w14:textId="77777777" w:rsidR="0093003C" w:rsidRDefault="0093003C" w:rsidP="00212B02">
      <w:pPr>
        <w:pStyle w:val="BTbEMEASMCA"/>
      </w:pPr>
      <w:r>
        <w:t>6.</w:t>
      </w:r>
      <w:r>
        <w:tab/>
        <w:t>Pakuotės turinys ir kita informacija</w:t>
      </w:r>
    </w:p>
    <w:p w14:paraId="1911CE5D" w14:textId="77777777" w:rsidR="0093003C" w:rsidRDefault="0093003C">
      <w:pPr>
        <w:pStyle w:val="Pagrindinistekstas"/>
        <w:spacing w:after="0"/>
        <w:rPr>
          <w:szCs w:val="22"/>
        </w:rPr>
      </w:pPr>
    </w:p>
    <w:p w14:paraId="5B268579" w14:textId="77777777" w:rsidR="0093003C" w:rsidRDefault="0093003C">
      <w:pPr>
        <w:pStyle w:val="Pagrindinistekstas"/>
        <w:spacing w:after="0"/>
        <w:rPr>
          <w:szCs w:val="22"/>
        </w:rPr>
      </w:pPr>
    </w:p>
    <w:p w14:paraId="6FDB5BEE" w14:textId="77777777" w:rsidR="0093003C" w:rsidRDefault="0093003C">
      <w:pPr>
        <w:pStyle w:val="Antrat2"/>
        <w:rPr>
          <w:szCs w:val="22"/>
        </w:rPr>
      </w:pPr>
      <w:r>
        <w:rPr>
          <w:szCs w:val="22"/>
        </w:rPr>
        <w:t>1.</w:t>
      </w:r>
      <w:r>
        <w:rPr>
          <w:szCs w:val="22"/>
        </w:rPr>
        <w:tab/>
        <w:t>K</w:t>
      </w:r>
      <w:r w:rsidR="000043D6">
        <w:rPr>
          <w:szCs w:val="22"/>
        </w:rPr>
        <w:t xml:space="preserve">as yra </w:t>
      </w:r>
      <w:r>
        <w:rPr>
          <w:szCs w:val="22"/>
        </w:rPr>
        <w:t xml:space="preserve">SENEFOL </w:t>
      </w:r>
      <w:r w:rsidR="000043D6">
        <w:rPr>
          <w:szCs w:val="22"/>
        </w:rPr>
        <w:t>ir kam jis vartojamas</w:t>
      </w:r>
    </w:p>
    <w:p w14:paraId="4D62A5A8" w14:textId="77777777" w:rsidR="0093003C" w:rsidRDefault="0093003C">
      <w:pPr>
        <w:jc w:val="both"/>
        <w:rPr>
          <w:color w:val="000000"/>
          <w:szCs w:val="22"/>
        </w:rPr>
      </w:pPr>
    </w:p>
    <w:p w14:paraId="5C7A02F5" w14:textId="77777777" w:rsidR="0093003C" w:rsidRDefault="0093003C">
      <w:pPr>
        <w:jc w:val="both"/>
        <w:rPr>
          <w:color w:val="000000"/>
          <w:szCs w:val="22"/>
        </w:rPr>
      </w:pPr>
      <w:r>
        <w:rPr>
          <w:szCs w:val="22"/>
        </w:rPr>
        <w:t>SENEFOL vartojamas trumpą laiką retkarčiais pasitaikančiam vidurių užkietėjimui mažinti.</w:t>
      </w:r>
    </w:p>
    <w:p w14:paraId="4FD0648B" w14:textId="77777777" w:rsidR="0093003C" w:rsidRDefault="0093003C">
      <w:pPr>
        <w:pStyle w:val="Pagrindinistekstas"/>
        <w:spacing w:after="0"/>
        <w:rPr>
          <w:szCs w:val="22"/>
        </w:rPr>
      </w:pPr>
    </w:p>
    <w:p w14:paraId="08AE05C9" w14:textId="77777777" w:rsidR="0093003C" w:rsidRDefault="0093003C">
      <w:pPr>
        <w:pStyle w:val="Pagrindinistekstas"/>
        <w:spacing w:after="0"/>
        <w:rPr>
          <w:szCs w:val="22"/>
        </w:rPr>
      </w:pPr>
    </w:p>
    <w:p w14:paraId="1720A8F8" w14:textId="77777777" w:rsidR="0093003C" w:rsidRDefault="0093003C">
      <w:pPr>
        <w:pStyle w:val="Antrat2"/>
        <w:rPr>
          <w:szCs w:val="22"/>
        </w:rPr>
      </w:pPr>
      <w:r>
        <w:rPr>
          <w:szCs w:val="22"/>
        </w:rPr>
        <w:t>2.</w:t>
      </w:r>
      <w:r>
        <w:rPr>
          <w:szCs w:val="22"/>
        </w:rPr>
        <w:tab/>
        <w:t>K</w:t>
      </w:r>
      <w:r w:rsidR="000043D6">
        <w:rPr>
          <w:szCs w:val="22"/>
        </w:rPr>
        <w:t xml:space="preserve">as žinotina prieš vartojant </w:t>
      </w:r>
      <w:r>
        <w:rPr>
          <w:szCs w:val="22"/>
        </w:rPr>
        <w:t>SENEFOL</w:t>
      </w:r>
    </w:p>
    <w:p w14:paraId="5AFEE75E" w14:textId="77777777" w:rsidR="0093003C" w:rsidRDefault="0093003C">
      <w:pPr>
        <w:pStyle w:val="Pagrindinistekstas"/>
        <w:spacing w:after="0"/>
        <w:rPr>
          <w:szCs w:val="22"/>
        </w:rPr>
      </w:pPr>
    </w:p>
    <w:p w14:paraId="7FFEE09A" w14:textId="5C6C94E5" w:rsidR="0093003C" w:rsidRDefault="0093003C">
      <w:pPr>
        <w:rPr>
          <w:b/>
          <w:szCs w:val="22"/>
        </w:rPr>
      </w:pPr>
      <w:r>
        <w:rPr>
          <w:b/>
          <w:szCs w:val="22"/>
        </w:rPr>
        <w:t xml:space="preserve">SENEFOL vartoti </w:t>
      </w:r>
      <w:r w:rsidR="00A66F3E">
        <w:rPr>
          <w:b/>
          <w:szCs w:val="22"/>
        </w:rPr>
        <w:t>draudžiama</w:t>
      </w:r>
      <w:r>
        <w:rPr>
          <w:b/>
          <w:szCs w:val="22"/>
        </w:rPr>
        <w:t>:</w:t>
      </w:r>
    </w:p>
    <w:p w14:paraId="62991AE4" w14:textId="77777777" w:rsidR="00DB0FFB" w:rsidRDefault="0093003C" w:rsidP="00DB0FFB">
      <w:pPr>
        <w:pStyle w:val="Sraopastraipa"/>
        <w:numPr>
          <w:ilvl w:val="0"/>
          <w:numId w:val="11"/>
        </w:numPr>
        <w:ind w:left="567" w:hanging="567"/>
      </w:pPr>
      <w:r w:rsidRPr="00A66F3E">
        <w:t>jeigu yra padidėjęs jautrumas (alergija) veikliajai arba bet kuriai pagalbinei SENEFOL medžiagai, žarnų nepraeinamumas, žarnų stenozė ir atonija,</w:t>
      </w:r>
      <w:r w:rsidR="00656B23" w:rsidRPr="00A66F3E">
        <w:t xml:space="preserve"> </w:t>
      </w:r>
      <w:r w:rsidRPr="00A66F3E">
        <w:t xml:space="preserve">ūminė uždegiminė žarnų liga (pvz. Krono liga, opinis kolitas), neaiškios kilmės pilvo skausmas, sunki dehidracija su skysčio ir elektrolitų netekimu; </w:t>
      </w:r>
    </w:p>
    <w:p w14:paraId="6FFB83E1" w14:textId="3DA44934" w:rsidR="0093003C" w:rsidRPr="00A66F3E" w:rsidRDefault="0093003C" w:rsidP="006C2976">
      <w:pPr>
        <w:pStyle w:val="Sraopastraipa"/>
        <w:numPr>
          <w:ilvl w:val="0"/>
          <w:numId w:val="11"/>
        </w:numPr>
        <w:ind w:left="567" w:hanging="567"/>
      </w:pPr>
      <w:r w:rsidRPr="00A66F3E">
        <w:t>vaikams iki 12 metų.</w:t>
      </w:r>
    </w:p>
    <w:p w14:paraId="1EFF4C65" w14:textId="77777777" w:rsidR="00993BF8" w:rsidRDefault="00993BF8" w:rsidP="006C2976">
      <w:pPr>
        <w:pStyle w:val="PI-3EMEASMCA"/>
        <w:spacing w:line="240" w:lineRule="auto"/>
        <w:ind w:hanging="567"/>
      </w:pPr>
    </w:p>
    <w:p w14:paraId="432289B2" w14:textId="77777777" w:rsidR="0093003C" w:rsidRDefault="0093003C">
      <w:pPr>
        <w:pStyle w:val="PI-3EMEASMCA"/>
        <w:spacing w:line="240" w:lineRule="auto"/>
      </w:pPr>
      <w:r>
        <w:t>Įspėjimai ir atsargumo priemonės</w:t>
      </w:r>
    </w:p>
    <w:p w14:paraId="1F0944B0" w14:textId="77777777" w:rsidR="0093003C" w:rsidRDefault="0093003C">
      <w:pPr>
        <w:rPr>
          <w:szCs w:val="22"/>
        </w:rPr>
      </w:pPr>
      <w:r>
        <w:rPr>
          <w:szCs w:val="22"/>
        </w:rPr>
        <w:t>Kaip ir visų vidurius laisvinančių vaistų, nepasikonsultavę su gydytoju SENEFOL turi nevartoti pacientai, kuriems yra pernelyg didelis vidurių užkietėjimas (išmatų įstrigimas) arba neaiškios priežasties sukelti ūminiai ar nuolatiniai virškinimo trakto negalavimai, tokie kaip pilvo skausmas, pykinimas ir vėmimas, kadangi šie simptomai gali būti pradėjusio formuotis ar iš anksčiau esančio žarnų užsikimšimo (nepraeinamumo) požymiai.</w:t>
      </w:r>
    </w:p>
    <w:p w14:paraId="419CD14E" w14:textId="77777777" w:rsidR="0093003C" w:rsidRDefault="0093003C">
      <w:pPr>
        <w:rPr>
          <w:szCs w:val="22"/>
        </w:rPr>
      </w:pPr>
    </w:p>
    <w:p w14:paraId="38166E1C" w14:textId="77777777" w:rsidR="0093003C" w:rsidRDefault="0093003C">
      <w:pPr>
        <w:rPr>
          <w:szCs w:val="22"/>
        </w:rPr>
      </w:pPr>
      <w:r>
        <w:rPr>
          <w:szCs w:val="22"/>
        </w:rPr>
        <w:t>Jeigu vidurius laisvinančių vaistų  reikia vartoti kasdien, turi būti nustatyta vidurių užkietėjimo priežastis. Reikia vengti vartoti geriamųjų vidurius laisvinančių vaistų ilgesnį laiką.</w:t>
      </w:r>
    </w:p>
    <w:p w14:paraId="4F8AFAAB" w14:textId="77777777" w:rsidR="0093003C" w:rsidRDefault="0093003C">
      <w:pPr>
        <w:rPr>
          <w:szCs w:val="22"/>
        </w:rPr>
      </w:pPr>
    </w:p>
    <w:p w14:paraId="21BF4B70" w14:textId="77777777" w:rsidR="0093003C" w:rsidRDefault="0093003C">
      <w:pPr>
        <w:rPr>
          <w:szCs w:val="22"/>
        </w:rPr>
      </w:pPr>
      <w:r>
        <w:rPr>
          <w:szCs w:val="22"/>
        </w:rPr>
        <w:t>Stimuliuojantys vidurius laisvinantys vais</w:t>
      </w:r>
      <w:r w:rsidR="00E927A6">
        <w:rPr>
          <w:szCs w:val="22"/>
        </w:rPr>
        <w:t>t</w:t>
      </w:r>
      <w:r>
        <w:rPr>
          <w:szCs w:val="22"/>
        </w:rPr>
        <w:t>ai, kurie didina žarnų judrumą, vartojami per ilgai</w:t>
      </w:r>
      <w:r w:rsidR="00E927A6">
        <w:rPr>
          <w:szCs w:val="22"/>
        </w:rPr>
        <w:t>,</w:t>
      </w:r>
      <w:r>
        <w:rPr>
          <w:szCs w:val="22"/>
        </w:rPr>
        <w:t xml:space="preserve"> gali skatinti žarnų vangumo didėjimą ir priklausomybės nuo vidurius laisvinan</w:t>
      </w:r>
      <w:r w:rsidR="0019412D">
        <w:rPr>
          <w:szCs w:val="22"/>
        </w:rPr>
        <w:t>č</w:t>
      </w:r>
      <w:r>
        <w:rPr>
          <w:szCs w:val="22"/>
        </w:rPr>
        <w:t>ių vaistų vystymąsi.</w:t>
      </w:r>
    </w:p>
    <w:p w14:paraId="42BDCEF2" w14:textId="77777777" w:rsidR="0093003C" w:rsidRDefault="0093003C">
      <w:pPr>
        <w:rPr>
          <w:szCs w:val="22"/>
        </w:rPr>
      </w:pPr>
    </w:p>
    <w:p w14:paraId="06B8E9CB" w14:textId="77777777" w:rsidR="0093003C" w:rsidRDefault="0093003C">
      <w:pPr>
        <w:rPr>
          <w:szCs w:val="22"/>
        </w:rPr>
      </w:pPr>
      <w:r>
        <w:rPr>
          <w:szCs w:val="22"/>
        </w:rPr>
        <w:t>SENEFOL turi būti vartojamas tik nepavykus sukelti gydomojo poveikio dietos pokyčiais ar išmatų tūrį didinančiais vaistais.</w:t>
      </w:r>
    </w:p>
    <w:p w14:paraId="7EEDB5FB" w14:textId="77777777" w:rsidR="0093003C" w:rsidRDefault="0093003C">
      <w:pPr>
        <w:rPr>
          <w:szCs w:val="22"/>
        </w:rPr>
      </w:pPr>
    </w:p>
    <w:p w14:paraId="006B68F4" w14:textId="77777777" w:rsidR="0093003C" w:rsidRDefault="0093003C">
      <w:pPr>
        <w:rPr>
          <w:szCs w:val="22"/>
        </w:rPr>
      </w:pPr>
      <w:r>
        <w:rPr>
          <w:szCs w:val="22"/>
        </w:rPr>
        <w:t>SENEFOL vartojantiems žmonėms, kurie nelaiko išmatų, užsitęsusio odos kontakto su išmatomis turėtų būti išvengiama dažnai keičiant išmatų surinktuvą.</w:t>
      </w:r>
    </w:p>
    <w:p w14:paraId="33A61B67" w14:textId="77777777" w:rsidR="0093003C" w:rsidRDefault="0093003C">
      <w:pPr>
        <w:rPr>
          <w:szCs w:val="22"/>
        </w:rPr>
      </w:pPr>
    </w:p>
    <w:p w14:paraId="06761231" w14:textId="77777777" w:rsidR="0093003C" w:rsidRDefault="0093003C">
      <w:pPr>
        <w:rPr>
          <w:szCs w:val="22"/>
        </w:rPr>
      </w:pPr>
      <w:r>
        <w:rPr>
          <w:szCs w:val="22"/>
        </w:rPr>
        <w:t>Pacientams, kurių inkstų veikla sutrikusi, galimas elektrolitų pusiausvyros sutrikimas</w:t>
      </w:r>
      <w:r w:rsidR="00E927A6">
        <w:rPr>
          <w:szCs w:val="22"/>
        </w:rPr>
        <w:t>.</w:t>
      </w:r>
    </w:p>
    <w:p w14:paraId="7AA4A39F" w14:textId="77777777" w:rsidR="0093003C" w:rsidRDefault="0093003C">
      <w:pPr>
        <w:pStyle w:val="Pagrindinistekstas"/>
        <w:spacing w:after="0"/>
        <w:rPr>
          <w:szCs w:val="22"/>
        </w:rPr>
      </w:pPr>
    </w:p>
    <w:p w14:paraId="19260DB4" w14:textId="77777777" w:rsidR="0093003C" w:rsidRPr="00A66F3E" w:rsidRDefault="0093003C" w:rsidP="00A66F3E">
      <w:pPr>
        <w:pStyle w:val="Antrat3"/>
      </w:pPr>
      <w:r w:rsidRPr="00A66F3E">
        <w:t>Kit</w:t>
      </w:r>
      <w:r w:rsidR="000043D6" w:rsidRPr="00A66F3E">
        <w:t>i vaistai ir SENEFOL</w:t>
      </w:r>
    </w:p>
    <w:p w14:paraId="63E862B8" w14:textId="77777777" w:rsidR="0093003C" w:rsidRDefault="000043D6">
      <w:pPr>
        <w:rPr>
          <w:szCs w:val="22"/>
        </w:rPr>
      </w:pPr>
      <w:r w:rsidRPr="000043D6">
        <w:rPr>
          <w:szCs w:val="22"/>
        </w:rPr>
        <w:t>Jeigu vartojate ar neseniai vartojote kitų vaistų arba dėl to nesate tikri, apie tai pasakykite gydytojui arba vaistininkui.</w:t>
      </w:r>
      <w:r w:rsidR="00E927A6">
        <w:rPr>
          <w:szCs w:val="22"/>
        </w:rPr>
        <w:t xml:space="preserve"> </w:t>
      </w:r>
      <w:r w:rsidR="0093003C">
        <w:rPr>
          <w:szCs w:val="22"/>
        </w:rPr>
        <w:t xml:space="preserve">Nuolatinis vartojimas ar piktnaudžiavimas vidurius laisvinančiais vaistais  gali sukelti kalio trūkumą (hipokalemiją), kuris gali stiprinti širdies glikozidų poveikį ir daryti įtaką antiaritminių vaistų, elektrinės kardioversijos metu vartojamų vaistų (pvz., chinidino) ir vaistų, kurie gali sukelti QT intervalo pailgėjimą, poveikiui. </w:t>
      </w:r>
    </w:p>
    <w:p w14:paraId="65200CC0" w14:textId="77777777" w:rsidR="0093003C" w:rsidRDefault="0093003C">
      <w:pPr>
        <w:rPr>
          <w:szCs w:val="22"/>
        </w:rPr>
      </w:pPr>
    </w:p>
    <w:p w14:paraId="19960EC6" w14:textId="77777777" w:rsidR="0093003C" w:rsidRDefault="0093003C">
      <w:pPr>
        <w:pStyle w:val="Style1"/>
        <w:rPr>
          <w:strike/>
        </w:rPr>
      </w:pPr>
      <w:r>
        <w:t xml:space="preserve">Vidurius laisvinantys </w:t>
      </w:r>
      <w:r w:rsidR="0019412D">
        <w:t>vaist</w:t>
      </w:r>
      <w:r w:rsidR="00E927A6">
        <w:t>ai</w:t>
      </w:r>
      <w:r w:rsidR="00193400">
        <w:t>,</w:t>
      </w:r>
      <w:r>
        <w:t xml:space="preserve"> vartojami kartu su kitais hipokalemiją sukeliančiais vaistais (diuretikais, gliukokortikoidais ir saldymedžio šaknų preparatais)</w:t>
      </w:r>
      <w:r w:rsidR="00E927A6">
        <w:t>,</w:t>
      </w:r>
      <w:r>
        <w:t xml:space="preserve"> gali skatinti elektrolitų pusiausvyros sutrikim</w:t>
      </w:r>
      <w:r w:rsidR="00193400">
        <w:t>ą, o jų vartojimas kartu turi būti aptartas su gydytoju</w:t>
      </w:r>
      <w:r>
        <w:t>.</w:t>
      </w:r>
    </w:p>
    <w:p w14:paraId="2CC1806C" w14:textId="77777777" w:rsidR="0093003C" w:rsidRDefault="0093003C">
      <w:pPr>
        <w:pStyle w:val="Pagrindinistekstas"/>
        <w:spacing w:after="0"/>
        <w:rPr>
          <w:szCs w:val="22"/>
        </w:rPr>
      </w:pPr>
    </w:p>
    <w:p w14:paraId="16687572" w14:textId="77777777" w:rsidR="0093003C" w:rsidRDefault="0093003C">
      <w:pPr>
        <w:pStyle w:val="PI-3EMEASMCA"/>
        <w:spacing w:line="240" w:lineRule="auto"/>
      </w:pPr>
      <w:r>
        <w:t>SENEFOL vartojimas su maistu ir gėrimais</w:t>
      </w:r>
    </w:p>
    <w:p w14:paraId="406E5175" w14:textId="77777777" w:rsidR="0093003C" w:rsidRDefault="0093003C">
      <w:pPr>
        <w:pStyle w:val="BTEMEASMCA"/>
      </w:pPr>
      <w:r>
        <w:t>Duomenų apie maisto įtaką SENEFOL veikimui nėra.</w:t>
      </w:r>
    </w:p>
    <w:p w14:paraId="6337D470" w14:textId="77777777" w:rsidR="0093003C" w:rsidRDefault="0093003C">
      <w:pPr>
        <w:pStyle w:val="BTEMEASMCA"/>
      </w:pPr>
    </w:p>
    <w:p w14:paraId="6FDDABD8" w14:textId="77777777" w:rsidR="0093003C" w:rsidRDefault="0093003C">
      <w:pPr>
        <w:pStyle w:val="PI-3EMEASMCA"/>
        <w:spacing w:line="240" w:lineRule="auto"/>
      </w:pPr>
      <w:r>
        <w:t>Nėštumas ir žindymo laikotarpis</w:t>
      </w:r>
    </w:p>
    <w:p w14:paraId="26167189" w14:textId="77777777" w:rsidR="0093003C" w:rsidRDefault="0093003C">
      <w:pPr>
        <w:rPr>
          <w:szCs w:val="22"/>
        </w:rPr>
      </w:pPr>
      <w:r>
        <w:rPr>
          <w:szCs w:val="22"/>
        </w:rPr>
        <w:t xml:space="preserve">Prieš vartojant bet kokį vaistą, būtina pasitarti su gydytoju arba vaistininku. </w:t>
      </w:r>
    </w:p>
    <w:p w14:paraId="460E562F" w14:textId="77777777" w:rsidR="0093003C" w:rsidRDefault="0093003C">
      <w:pPr>
        <w:rPr>
          <w:i/>
          <w:szCs w:val="22"/>
        </w:rPr>
      </w:pPr>
    </w:p>
    <w:p w14:paraId="2F0D1281" w14:textId="77777777" w:rsidR="0093003C" w:rsidRDefault="0093003C">
      <w:pPr>
        <w:rPr>
          <w:i/>
          <w:szCs w:val="22"/>
        </w:rPr>
      </w:pPr>
      <w:r>
        <w:rPr>
          <w:i/>
          <w:szCs w:val="22"/>
        </w:rPr>
        <w:t>Nėštumas</w:t>
      </w:r>
    </w:p>
    <w:p w14:paraId="238BB901" w14:textId="77777777" w:rsidR="0093003C" w:rsidRDefault="0093003C">
      <w:pPr>
        <w:rPr>
          <w:szCs w:val="22"/>
        </w:rPr>
      </w:pPr>
      <w:r>
        <w:rPr>
          <w:szCs w:val="22"/>
        </w:rPr>
        <w:t>Nors ir nėra duomenų apie nepageidaujamą ar žalojantį poveikį motinai ar vaisiui nėštumo metu vartojant rekomenduojamomis dozėmis, SENEFOL nerekomenduojama vartoti nėštumo metu.</w:t>
      </w:r>
    </w:p>
    <w:p w14:paraId="4245228C" w14:textId="77777777" w:rsidR="0093003C" w:rsidRDefault="0093003C">
      <w:pPr>
        <w:rPr>
          <w:szCs w:val="22"/>
        </w:rPr>
      </w:pPr>
    </w:p>
    <w:p w14:paraId="714B1DC3" w14:textId="77777777" w:rsidR="0093003C" w:rsidRDefault="0093003C">
      <w:pPr>
        <w:rPr>
          <w:i/>
          <w:szCs w:val="22"/>
        </w:rPr>
      </w:pPr>
      <w:r>
        <w:rPr>
          <w:i/>
          <w:szCs w:val="22"/>
        </w:rPr>
        <w:t>Žindymas</w:t>
      </w:r>
    </w:p>
    <w:p w14:paraId="69C1B7ED" w14:textId="77777777" w:rsidR="0093003C" w:rsidRDefault="0093003C">
      <w:pPr>
        <w:rPr>
          <w:szCs w:val="22"/>
        </w:rPr>
      </w:pPr>
      <w:r>
        <w:rPr>
          <w:szCs w:val="22"/>
        </w:rPr>
        <w:t>SENEFOL nerekomenduojama vartoti žindymo metu, nes nežinoma, kiek metabolitų patenka į motinos pieną.</w:t>
      </w:r>
    </w:p>
    <w:p w14:paraId="47B9E320" w14:textId="77777777" w:rsidR="0093003C" w:rsidRDefault="0093003C">
      <w:pPr>
        <w:pStyle w:val="BTEMEASMCA"/>
      </w:pPr>
    </w:p>
    <w:p w14:paraId="414B2F45" w14:textId="77777777" w:rsidR="0093003C" w:rsidRDefault="0093003C">
      <w:pPr>
        <w:pStyle w:val="PI-3EMEASMCA"/>
        <w:spacing w:line="240" w:lineRule="auto"/>
      </w:pPr>
      <w:r>
        <w:t>Vairavimas ir mechanizmų valdymas</w:t>
      </w:r>
    </w:p>
    <w:p w14:paraId="7C615270" w14:textId="77777777" w:rsidR="0093003C" w:rsidRPr="00993BF8" w:rsidRDefault="0093003C">
      <w:pPr>
        <w:pStyle w:val="Pagrindinistekstas"/>
        <w:spacing w:after="0"/>
        <w:rPr>
          <w:szCs w:val="22"/>
        </w:rPr>
      </w:pPr>
      <w:r w:rsidRPr="00460C36">
        <w:rPr>
          <w:szCs w:val="22"/>
        </w:rPr>
        <w:t>Nėra jokių duomenų apie SENEFOL poveikį gebėjimui vairuoti ir valdyti mechanizmus.</w:t>
      </w:r>
    </w:p>
    <w:p w14:paraId="3CA493DD" w14:textId="77777777" w:rsidR="0093003C" w:rsidRPr="00460C36" w:rsidRDefault="0093003C">
      <w:pPr>
        <w:pStyle w:val="Pagrindinistekstas"/>
        <w:spacing w:after="0"/>
        <w:rPr>
          <w:szCs w:val="22"/>
        </w:rPr>
      </w:pPr>
    </w:p>
    <w:p w14:paraId="10C964D2" w14:textId="77777777" w:rsidR="0093003C" w:rsidRDefault="0093003C">
      <w:pPr>
        <w:rPr>
          <w:szCs w:val="22"/>
        </w:rPr>
      </w:pPr>
    </w:p>
    <w:p w14:paraId="192D9679" w14:textId="77777777" w:rsidR="0093003C" w:rsidRDefault="0093003C">
      <w:pPr>
        <w:pStyle w:val="Antrat2"/>
        <w:rPr>
          <w:szCs w:val="22"/>
        </w:rPr>
      </w:pPr>
      <w:r>
        <w:rPr>
          <w:szCs w:val="22"/>
        </w:rPr>
        <w:t>3.</w:t>
      </w:r>
      <w:r>
        <w:rPr>
          <w:szCs w:val="22"/>
        </w:rPr>
        <w:tab/>
        <w:t>K</w:t>
      </w:r>
      <w:r w:rsidR="000043D6">
        <w:rPr>
          <w:szCs w:val="22"/>
        </w:rPr>
        <w:t>aip vartoti</w:t>
      </w:r>
      <w:r w:rsidR="00993BF8">
        <w:rPr>
          <w:szCs w:val="22"/>
        </w:rPr>
        <w:t xml:space="preserve"> </w:t>
      </w:r>
      <w:r>
        <w:rPr>
          <w:szCs w:val="22"/>
        </w:rPr>
        <w:t>SENEFOL</w:t>
      </w:r>
    </w:p>
    <w:p w14:paraId="04F24CB1" w14:textId="77777777" w:rsidR="0093003C" w:rsidRDefault="0093003C">
      <w:pPr>
        <w:pStyle w:val="Pagrindinistekstas"/>
        <w:spacing w:after="0"/>
        <w:rPr>
          <w:szCs w:val="22"/>
        </w:rPr>
      </w:pPr>
    </w:p>
    <w:p w14:paraId="5E74E6A2" w14:textId="77777777" w:rsidR="0093003C" w:rsidRDefault="000043D6">
      <w:pPr>
        <w:pStyle w:val="Pagrindinistekstas"/>
        <w:spacing w:after="0"/>
        <w:rPr>
          <w:szCs w:val="22"/>
        </w:rPr>
      </w:pPr>
      <w:r w:rsidRPr="000043D6">
        <w:rPr>
          <w:szCs w:val="22"/>
        </w:rPr>
        <w:t>Visada vartokite šį vaistą tiksliai kaip nurodė gydytojas arba vaistininkas. Jeigu abejojate, kreipkitės į  gydytoją arba vaistininką.</w:t>
      </w:r>
    </w:p>
    <w:p w14:paraId="45C0C7DE" w14:textId="77777777" w:rsidR="0093003C" w:rsidRDefault="0093003C">
      <w:pPr>
        <w:rPr>
          <w:szCs w:val="22"/>
          <w:u w:val="single"/>
        </w:rPr>
      </w:pPr>
    </w:p>
    <w:p w14:paraId="0FC06286" w14:textId="77777777" w:rsidR="0093003C" w:rsidRDefault="0093003C">
      <w:pPr>
        <w:rPr>
          <w:szCs w:val="22"/>
        </w:rPr>
      </w:pPr>
      <w:r>
        <w:rPr>
          <w:szCs w:val="22"/>
        </w:rPr>
        <w:t>Maksimali paros dozė yra 30 mg hidroksiantraceno glikozidų. Tai atitinka 6 SENEFOL tabletes. Tinkama individuali dozė yra mažiausia dozė, reikalinga minkštai suformuotų išmatų susidarymui.</w:t>
      </w:r>
    </w:p>
    <w:p w14:paraId="62905E1C" w14:textId="77777777" w:rsidR="0093003C" w:rsidRDefault="0093003C">
      <w:pPr>
        <w:rPr>
          <w:szCs w:val="22"/>
        </w:rPr>
      </w:pPr>
    </w:p>
    <w:p w14:paraId="57773130" w14:textId="77777777" w:rsidR="0093003C" w:rsidRDefault="0093003C">
      <w:pPr>
        <w:rPr>
          <w:i/>
          <w:szCs w:val="22"/>
        </w:rPr>
      </w:pPr>
      <w:r>
        <w:rPr>
          <w:i/>
          <w:szCs w:val="22"/>
        </w:rPr>
        <w:t xml:space="preserve">Suaugusieji, paaugliai vyresni kaip 12 metų ir senyvi pacientai </w:t>
      </w:r>
    </w:p>
    <w:p w14:paraId="12A6D030" w14:textId="77777777" w:rsidR="0093003C" w:rsidRDefault="0093003C">
      <w:pPr>
        <w:rPr>
          <w:szCs w:val="22"/>
        </w:rPr>
      </w:pPr>
      <w:r>
        <w:rPr>
          <w:iCs/>
          <w:szCs w:val="22"/>
        </w:rPr>
        <w:t>SENEFOL</w:t>
      </w:r>
      <w:r>
        <w:rPr>
          <w:szCs w:val="22"/>
        </w:rPr>
        <w:t xml:space="preserve">  reikia vartoti po 2-4 tabletes vieną kartą per dieną, prieš miegą. Dažniausiai šio vais</w:t>
      </w:r>
      <w:r w:rsidR="0019412D">
        <w:rPr>
          <w:szCs w:val="22"/>
        </w:rPr>
        <w:t>t</w:t>
      </w:r>
      <w:r>
        <w:rPr>
          <w:szCs w:val="22"/>
        </w:rPr>
        <w:t>o  pakanka vartoti 2 – 3 kartus per savaitę.</w:t>
      </w:r>
      <w:r w:rsidR="00DC1B89">
        <w:rPr>
          <w:szCs w:val="22"/>
        </w:rPr>
        <w:t xml:space="preserve"> </w:t>
      </w:r>
      <w:r>
        <w:rPr>
          <w:szCs w:val="22"/>
        </w:rPr>
        <w:t>Nuryti užgeriant nedideliu kiekiu vandens.</w:t>
      </w:r>
    </w:p>
    <w:p w14:paraId="248D7B6F" w14:textId="77777777" w:rsidR="0093003C" w:rsidRDefault="0093003C">
      <w:pPr>
        <w:rPr>
          <w:szCs w:val="22"/>
        </w:rPr>
      </w:pPr>
    </w:p>
    <w:p w14:paraId="62C51B6D" w14:textId="77777777" w:rsidR="0093003C" w:rsidRDefault="0093003C">
      <w:pPr>
        <w:pStyle w:val="Pagrindinistekstas"/>
        <w:spacing w:after="0"/>
        <w:rPr>
          <w:strike/>
          <w:szCs w:val="22"/>
        </w:rPr>
      </w:pPr>
      <w:r>
        <w:rPr>
          <w:b/>
          <w:szCs w:val="22"/>
        </w:rPr>
        <w:t xml:space="preserve">Vaisto be gydytojo priežiūros negalima vartoti ilgiau nei 1-2 savaites. </w:t>
      </w:r>
      <w:r>
        <w:rPr>
          <w:i/>
          <w:szCs w:val="22"/>
        </w:rPr>
        <w:tab/>
      </w:r>
    </w:p>
    <w:p w14:paraId="3EBA1717" w14:textId="77777777" w:rsidR="00993BF8" w:rsidRDefault="00993BF8">
      <w:pPr>
        <w:pStyle w:val="PI-3EMEASMCA"/>
        <w:spacing w:line="240" w:lineRule="auto"/>
      </w:pPr>
    </w:p>
    <w:p w14:paraId="041495D1" w14:textId="77777777" w:rsidR="0093003C" w:rsidRDefault="0093003C">
      <w:pPr>
        <w:pStyle w:val="PI-3EMEASMCA"/>
        <w:spacing w:line="240" w:lineRule="auto"/>
      </w:pPr>
      <w:r>
        <w:t>Ką daryti pavartojus per didelę SENEFOL dozę</w:t>
      </w:r>
    </w:p>
    <w:p w14:paraId="24C418D7" w14:textId="77777777" w:rsidR="0093003C" w:rsidRDefault="0093003C">
      <w:pPr>
        <w:pStyle w:val="BTEMEASMCA"/>
        <w:rPr>
          <w:bCs/>
          <w:iCs/>
        </w:rPr>
      </w:pPr>
      <w:r>
        <w:rPr>
          <w:bCs/>
          <w:iCs/>
        </w:rPr>
        <w:t>Svarbiausi simptomai perdozavimo ar piktnaudžiavimo atveju yra skausmingi žarnų spazmai ir sunkus viduriavimas, sukeliantis skysčio ir elektrolitų netekimą.</w:t>
      </w:r>
    </w:p>
    <w:p w14:paraId="11F9C680" w14:textId="77777777" w:rsidR="0093003C" w:rsidRDefault="0093003C">
      <w:pPr>
        <w:pStyle w:val="BTEMEASMCA"/>
      </w:pPr>
    </w:p>
    <w:p w14:paraId="3640E089" w14:textId="77777777" w:rsidR="0093003C" w:rsidRDefault="0093003C">
      <w:pPr>
        <w:pStyle w:val="BTEMEASMCA"/>
      </w:pPr>
      <w:r>
        <w:t>Reikalingas palaikomasisis gydymas ir pakankamas vandens kiekis. Reikia stebėti elektrolitų, ypač kalio, kiekį. Tai ypač svarbu senyvo amžiaus pacientams.</w:t>
      </w:r>
    </w:p>
    <w:p w14:paraId="71F2BEE9" w14:textId="77777777" w:rsidR="0093003C" w:rsidRDefault="0093003C">
      <w:pPr>
        <w:pStyle w:val="Pagrindinistekstas"/>
        <w:spacing w:after="0"/>
        <w:rPr>
          <w:szCs w:val="22"/>
        </w:rPr>
      </w:pPr>
    </w:p>
    <w:p w14:paraId="0892D401" w14:textId="77777777" w:rsidR="0093003C" w:rsidRDefault="0093003C" w:rsidP="00A66F3E">
      <w:pPr>
        <w:pStyle w:val="Antrat3"/>
      </w:pPr>
      <w:r>
        <w:t>Pamiršus pavartoti SENEFOL</w:t>
      </w:r>
    </w:p>
    <w:p w14:paraId="03DBD84C" w14:textId="77777777" w:rsidR="0093003C" w:rsidRDefault="0093003C">
      <w:pPr>
        <w:pStyle w:val="Pagrindinistekstas"/>
        <w:spacing w:after="0"/>
        <w:rPr>
          <w:szCs w:val="22"/>
        </w:rPr>
      </w:pPr>
      <w:r>
        <w:rPr>
          <w:szCs w:val="22"/>
        </w:rPr>
        <w:t>Negalima vartoti dvigubos dozės norint kompensuoti praleistą dozę.</w:t>
      </w:r>
    </w:p>
    <w:p w14:paraId="24059C59" w14:textId="77777777" w:rsidR="0093003C" w:rsidRDefault="0093003C">
      <w:pPr>
        <w:pStyle w:val="Pagrindinistekstas"/>
        <w:spacing w:after="0"/>
        <w:rPr>
          <w:szCs w:val="22"/>
        </w:rPr>
      </w:pPr>
    </w:p>
    <w:p w14:paraId="064BD9C7" w14:textId="77777777" w:rsidR="0093003C" w:rsidRDefault="0093003C">
      <w:pPr>
        <w:pStyle w:val="Pagrindinistekstas"/>
        <w:spacing w:after="0"/>
        <w:rPr>
          <w:szCs w:val="22"/>
        </w:rPr>
      </w:pPr>
    </w:p>
    <w:p w14:paraId="26EE59CC" w14:textId="77777777" w:rsidR="0093003C" w:rsidRDefault="0093003C">
      <w:pPr>
        <w:pStyle w:val="Antrat2"/>
        <w:rPr>
          <w:szCs w:val="22"/>
        </w:rPr>
      </w:pPr>
      <w:r>
        <w:rPr>
          <w:szCs w:val="22"/>
        </w:rPr>
        <w:lastRenderedPageBreak/>
        <w:t>4.</w:t>
      </w:r>
      <w:r>
        <w:rPr>
          <w:szCs w:val="22"/>
        </w:rPr>
        <w:tab/>
      </w:r>
      <w:r>
        <w:t>Galimas šalutinis poveikis</w:t>
      </w:r>
    </w:p>
    <w:p w14:paraId="20F7AAEC" w14:textId="77777777" w:rsidR="0093003C" w:rsidRDefault="0093003C">
      <w:pPr>
        <w:pStyle w:val="Pagrindinistekstas"/>
        <w:spacing w:after="0"/>
        <w:rPr>
          <w:szCs w:val="22"/>
        </w:rPr>
      </w:pPr>
    </w:p>
    <w:p w14:paraId="5864E1F8" w14:textId="77777777" w:rsidR="0093003C" w:rsidRDefault="000043D6">
      <w:pPr>
        <w:jc w:val="both"/>
        <w:rPr>
          <w:szCs w:val="22"/>
        </w:rPr>
      </w:pPr>
      <w:r>
        <w:rPr>
          <w:szCs w:val="22"/>
        </w:rPr>
        <w:t>Šis vaistas</w:t>
      </w:r>
      <w:r w:rsidR="0093003C">
        <w:rPr>
          <w:szCs w:val="22"/>
        </w:rPr>
        <w:t xml:space="preserve">, kaip ir visi kiti, gali sukelti šalutinį poveikį, nors jis pasireiškia ne visiems žmonėms. </w:t>
      </w:r>
    </w:p>
    <w:p w14:paraId="313DD6D0" w14:textId="77777777" w:rsidR="0093003C" w:rsidRDefault="0093003C">
      <w:pPr>
        <w:pStyle w:val="Pagrindinistekstas"/>
        <w:spacing w:after="0"/>
        <w:rPr>
          <w:strike/>
          <w:szCs w:val="22"/>
        </w:rPr>
      </w:pPr>
    </w:p>
    <w:p w14:paraId="2C66BCBC" w14:textId="77777777" w:rsidR="0093003C" w:rsidRDefault="0093003C">
      <w:pPr>
        <w:pStyle w:val="BTEMEASMCA"/>
      </w:pPr>
      <w:r>
        <w:t>Vartojant SENEFOL, gali pasireikšti padidėjusio jautrumo reakcijų (niežėjimas, dilgėlinė, vietinė arba generalizuota egzantema).</w:t>
      </w:r>
    </w:p>
    <w:p w14:paraId="7C634399" w14:textId="77777777" w:rsidR="0093003C" w:rsidRDefault="0093003C">
      <w:pPr>
        <w:pStyle w:val="BTEMEASMCA"/>
      </w:pPr>
    </w:p>
    <w:p w14:paraId="0725337B" w14:textId="77777777" w:rsidR="0093003C" w:rsidRDefault="0093003C">
      <w:pPr>
        <w:pStyle w:val="BTEMEASMCA"/>
      </w:pPr>
      <w:r>
        <w:t>SENEFOL gali sukelti pilvo skausmą, spazmą arba viduriavimą, ypač dirglios žarnos sindromu sergantiems pacientams. Be to, šie simptomai gali pasireikšti ir perdozavus vaisto. Tokiais atvejais būtina sumažinti vaisto dozę.</w:t>
      </w:r>
    </w:p>
    <w:p w14:paraId="3934A291" w14:textId="77777777" w:rsidR="0093003C" w:rsidRDefault="0093003C">
      <w:pPr>
        <w:pStyle w:val="BTEMEASMCA"/>
      </w:pPr>
    </w:p>
    <w:p w14:paraId="334D66F3" w14:textId="6B3D4C03" w:rsidR="0093003C" w:rsidRDefault="0093003C">
      <w:pPr>
        <w:pStyle w:val="Porat"/>
        <w:rPr>
          <w:szCs w:val="22"/>
        </w:rPr>
      </w:pPr>
      <w:r>
        <w:rPr>
          <w:szCs w:val="22"/>
        </w:rPr>
        <w:t>Vartojant ilgą laiką, gali sutrikti vandens ir elektrolitų pusiausvyr</w:t>
      </w:r>
      <w:r w:rsidR="00656B23">
        <w:rPr>
          <w:szCs w:val="22"/>
        </w:rPr>
        <w:t>a</w:t>
      </w:r>
      <w:r>
        <w:rPr>
          <w:szCs w:val="22"/>
        </w:rPr>
        <w:t xml:space="preserve"> ir pasireikšti albuminurija (baltymų atsiradimas šlapime) ir hematurija (kraujo atsiradimas šlapime). Taip pat dėl ilgalaikio vartojimo gali išsivystyti žarnų gleivinės pigmentacija (</w:t>
      </w:r>
      <w:r>
        <w:rPr>
          <w:i/>
          <w:szCs w:val="22"/>
        </w:rPr>
        <w:t>Pseudomelanosis coli</w:t>
      </w:r>
      <w:r>
        <w:rPr>
          <w:szCs w:val="22"/>
        </w:rPr>
        <w:t>), kuri paprastai praeina nustojus vartoti vaisto.</w:t>
      </w:r>
    </w:p>
    <w:p w14:paraId="3B733CB0" w14:textId="77777777" w:rsidR="0093003C" w:rsidRDefault="0093003C">
      <w:pPr>
        <w:pStyle w:val="Porat"/>
        <w:rPr>
          <w:szCs w:val="22"/>
        </w:rPr>
      </w:pPr>
    </w:p>
    <w:p w14:paraId="4EEBFF8F" w14:textId="77777777" w:rsidR="0093003C" w:rsidRDefault="0093003C">
      <w:pPr>
        <w:rPr>
          <w:szCs w:val="22"/>
        </w:rPr>
      </w:pPr>
      <w:r>
        <w:rPr>
          <w:szCs w:val="22"/>
        </w:rPr>
        <w:t>Gydymo metu šlapimas gali įgauti geltoną arba rausvai rudą atspalvį (priklausomai nuo pH), tačiau šis poveikis yra kliniškai nereikšmingas.</w:t>
      </w:r>
    </w:p>
    <w:p w14:paraId="4EB7DFB3" w14:textId="77777777" w:rsidR="0093003C" w:rsidRDefault="0093003C">
      <w:pPr>
        <w:pStyle w:val="BTEMEASMCA"/>
      </w:pPr>
    </w:p>
    <w:p w14:paraId="7F0DAC31" w14:textId="77777777" w:rsidR="0093003C" w:rsidRDefault="0093003C">
      <w:pPr>
        <w:rPr>
          <w:b/>
          <w:szCs w:val="22"/>
        </w:rPr>
      </w:pPr>
      <w:r>
        <w:rPr>
          <w:b/>
          <w:noProof/>
          <w:szCs w:val="22"/>
        </w:rPr>
        <w:t>Pranešimas apie šalutinį poveikį</w:t>
      </w:r>
    </w:p>
    <w:p w14:paraId="2392439D" w14:textId="71BBF2D7" w:rsidR="0093003C" w:rsidRDefault="00A66F3E">
      <w:pPr>
        <w:pStyle w:val="Pagrindinistekstas"/>
        <w:spacing w:after="0"/>
        <w:rPr>
          <w:szCs w:val="22"/>
        </w:rPr>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t>.</w:t>
      </w:r>
    </w:p>
    <w:p w14:paraId="3D38A0DF" w14:textId="77777777" w:rsidR="0093003C" w:rsidRDefault="0093003C">
      <w:pPr>
        <w:pStyle w:val="Pagrindinistekstas"/>
        <w:spacing w:after="0"/>
        <w:rPr>
          <w:szCs w:val="22"/>
        </w:rPr>
      </w:pPr>
    </w:p>
    <w:p w14:paraId="32D0F16C" w14:textId="77777777" w:rsidR="00A66F3E" w:rsidRDefault="00A66F3E">
      <w:pPr>
        <w:pStyle w:val="Pagrindinistekstas"/>
        <w:spacing w:after="0"/>
        <w:rPr>
          <w:szCs w:val="22"/>
        </w:rPr>
      </w:pPr>
    </w:p>
    <w:p w14:paraId="408065C0" w14:textId="77777777" w:rsidR="0093003C" w:rsidRDefault="0093003C">
      <w:pPr>
        <w:pStyle w:val="Antrat2"/>
        <w:rPr>
          <w:szCs w:val="22"/>
        </w:rPr>
      </w:pPr>
      <w:r>
        <w:rPr>
          <w:szCs w:val="22"/>
        </w:rPr>
        <w:t>5.</w:t>
      </w:r>
      <w:r>
        <w:rPr>
          <w:szCs w:val="22"/>
        </w:rPr>
        <w:tab/>
        <w:t>Kaip laikyti SENEFOL</w:t>
      </w:r>
    </w:p>
    <w:p w14:paraId="18CC4F51" w14:textId="77777777" w:rsidR="0093003C" w:rsidRDefault="0093003C">
      <w:pPr>
        <w:pStyle w:val="Pagrindinistekstas"/>
        <w:spacing w:after="0"/>
        <w:rPr>
          <w:i/>
          <w:szCs w:val="22"/>
        </w:rPr>
      </w:pPr>
    </w:p>
    <w:p w14:paraId="710BA4B9" w14:textId="77777777" w:rsidR="00212B02" w:rsidRDefault="00212B02" w:rsidP="00212B02">
      <w:pPr>
        <w:pStyle w:val="Pagrindinistekstas"/>
        <w:spacing w:after="0"/>
        <w:outlineLvl w:val="0"/>
        <w:rPr>
          <w:szCs w:val="22"/>
        </w:rPr>
      </w:pPr>
      <w:r>
        <w:rPr>
          <w:szCs w:val="22"/>
        </w:rPr>
        <w:t>Šį vaistą laikykite vaikams nepastebimoje ir nepasiekiamoje vietoje.</w:t>
      </w:r>
    </w:p>
    <w:p w14:paraId="66BB464A" w14:textId="77777777" w:rsidR="00212B02" w:rsidRDefault="00212B02" w:rsidP="00212B02">
      <w:pPr>
        <w:pStyle w:val="Pagrindinistekstas"/>
        <w:spacing w:after="0"/>
        <w:outlineLvl w:val="0"/>
        <w:rPr>
          <w:szCs w:val="22"/>
        </w:rPr>
      </w:pPr>
    </w:p>
    <w:p w14:paraId="3984731A" w14:textId="77777777" w:rsidR="00993BF8" w:rsidRDefault="00993BF8" w:rsidP="00993BF8">
      <w:pPr>
        <w:pStyle w:val="Pagrindinistekstas"/>
        <w:spacing w:after="0"/>
        <w:rPr>
          <w:i/>
          <w:szCs w:val="22"/>
        </w:rPr>
      </w:pPr>
      <w:r>
        <w:rPr>
          <w:i/>
          <w:szCs w:val="22"/>
        </w:rPr>
        <w:t>Polipropileninė talpyklė</w:t>
      </w:r>
    </w:p>
    <w:p w14:paraId="29408DB4" w14:textId="77777777" w:rsidR="00993BF8" w:rsidRDefault="00993BF8" w:rsidP="00993BF8">
      <w:pPr>
        <w:outlineLvl w:val="0"/>
        <w:rPr>
          <w:noProof/>
          <w:szCs w:val="22"/>
        </w:rPr>
      </w:pPr>
      <w:r>
        <w:rPr>
          <w:szCs w:val="22"/>
        </w:rPr>
        <w:t>Laikyti ne aukštesnėje kaip 25 ºC temperatūroje. Talpyklę laikyti sandarią.</w:t>
      </w:r>
    </w:p>
    <w:p w14:paraId="2C890364" w14:textId="77777777" w:rsidR="00993BF8" w:rsidRDefault="00993BF8" w:rsidP="00993BF8">
      <w:pPr>
        <w:pStyle w:val="Pagrindinistekstas"/>
        <w:spacing w:after="0"/>
        <w:rPr>
          <w:i/>
          <w:szCs w:val="22"/>
        </w:rPr>
      </w:pPr>
    </w:p>
    <w:p w14:paraId="1F53D45E" w14:textId="77777777" w:rsidR="00993BF8" w:rsidRDefault="00993BF8" w:rsidP="00993BF8">
      <w:pPr>
        <w:pStyle w:val="Pagrindinistekstas"/>
        <w:spacing w:after="0"/>
        <w:rPr>
          <w:i/>
          <w:szCs w:val="22"/>
        </w:rPr>
      </w:pPr>
      <w:r>
        <w:rPr>
          <w:i/>
          <w:szCs w:val="22"/>
        </w:rPr>
        <w:t>Lizdinė plokštelė</w:t>
      </w:r>
    </w:p>
    <w:p w14:paraId="6E06E719" w14:textId="0E50646A" w:rsidR="00993BF8" w:rsidRDefault="00993BF8" w:rsidP="00993BF8">
      <w:pPr>
        <w:pStyle w:val="Pagrindinistekstas"/>
        <w:spacing w:after="0"/>
        <w:outlineLvl w:val="0"/>
        <w:rPr>
          <w:szCs w:val="22"/>
        </w:rPr>
      </w:pPr>
      <w:r>
        <w:rPr>
          <w:szCs w:val="22"/>
        </w:rPr>
        <w:t xml:space="preserve">Laikyti ne aukštesnėje kaip 25 ºC temperatūroje. </w:t>
      </w:r>
      <w:r w:rsidRPr="002536CD">
        <w:t xml:space="preserve">Lizdinę plokštelę laikyti išorinėje dėžutėje, kad </w:t>
      </w:r>
      <w:r w:rsidR="00A66F3E">
        <w:t>vaistas</w:t>
      </w:r>
      <w:r w:rsidRPr="002536CD">
        <w:t xml:space="preserve"> būtų apsaugotas nuo šviesos.</w:t>
      </w:r>
    </w:p>
    <w:p w14:paraId="19DC98D4" w14:textId="77777777" w:rsidR="0093003C" w:rsidRDefault="0093003C">
      <w:pPr>
        <w:pStyle w:val="Pagrindinistekstas"/>
        <w:spacing w:after="0"/>
        <w:rPr>
          <w:szCs w:val="22"/>
        </w:rPr>
      </w:pPr>
    </w:p>
    <w:p w14:paraId="3EDFC253" w14:textId="77777777" w:rsidR="0093003C" w:rsidRDefault="0093003C">
      <w:pPr>
        <w:pStyle w:val="BTEMEASMCA"/>
        <w:rPr>
          <w:noProof w:val="0"/>
        </w:rPr>
      </w:pPr>
      <w:r>
        <w:t xml:space="preserve">Ant talpyklės etiketės, dėžutės ir lizdinės plokštelės </w:t>
      </w:r>
      <w:r>
        <w:rPr>
          <w:color w:val="000000"/>
        </w:rPr>
        <w:t xml:space="preserve"> </w:t>
      </w:r>
      <w:r>
        <w:t xml:space="preserve">po „Tinka iki“ nurodytam tinkamumo laikui pasibaigus, šio vaisto vartoti negalima. </w:t>
      </w:r>
      <w:r>
        <w:rPr>
          <w:noProof w:val="0"/>
        </w:rPr>
        <w:t>Vaistas tinkamas vartoti iki paskutinės nurodyto mėnesio dienos.</w:t>
      </w:r>
    </w:p>
    <w:p w14:paraId="292EC4AB" w14:textId="77777777" w:rsidR="0093003C" w:rsidRDefault="0093003C">
      <w:pPr>
        <w:pStyle w:val="BTEMEASMCA"/>
        <w:rPr>
          <w:noProof w:val="0"/>
        </w:rPr>
      </w:pPr>
    </w:p>
    <w:p w14:paraId="023B97C9" w14:textId="77777777" w:rsidR="0093003C" w:rsidRDefault="0093003C">
      <w:pPr>
        <w:rPr>
          <w:szCs w:val="22"/>
        </w:rPr>
      </w:pPr>
    </w:p>
    <w:p w14:paraId="433AAE52" w14:textId="77777777" w:rsidR="0093003C" w:rsidRDefault="0093003C">
      <w:pPr>
        <w:pStyle w:val="Antrat2"/>
        <w:rPr>
          <w:szCs w:val="22"/>
        </w:rPr>
      </w:pPr>
      <w:r>
        <w:rPr>
          <w:szCs w:val="22"/>
        </w:rPr>
        <w:t>6.</w:t>
      </w:r>
      <w:r>
        <w:rPr>
          <w:szCs w:val="22"/>
        </w:rPr>
        <w:tab/>
        <w:t>Pakuotės turinys ir kita informacija</w:t>
      </w:r>
    </w:p>
    <w:p w14:paraId="3D3E5164" w14:textId="77777777" w:rsidR="0093003C" w:rsidRDefault="0093003C">
      <w:pPr>
        <w:pStyle w:val="Pagrindinistekstas"/>
        <w:spacing w:after="0"/>
        <w:rPr>
          <w:szCs w:val="22"/>
        </w:rPr>
      </w:pPr>
    </w:p>
    <w:p w14:paraId="1AC52C64" w14:textId="77777777" w:rsidR="0093003C" w:rsidRDefault="0093003C">
      <w:pPr>
        <w:pStyle w:val="Pagrindinistekstas"/>
        <w:spacing w:after="0"/>
        <w:rPr>
          <w:szCs w:val="22"/>
        </w:rPr>
      </w:pPr>
      <w:r>
        <w:rPr>
          <w:b/>
          <w:szCs w:val="22"/>
        </w:rPr>
        <w:t>SENEFOL sudėtis</w:t>
      </w:r>
    </w:p>
    <w:p w14:paraId="1944C19C" w14:textId="77777777" w:rsidR="001247E9" w:rsidRPr="00971AEB" w:rsidRDefault="0093003C" w:rsidP="001247E9">
      <w:pPr>
        <w:tabs>
          <w:tab w:val="left" w:pos="567"/>
        </w:tabs>
        <w:rPr>
          <w:szCs w:val="22"/>
        </w:rPr>
      </w:pPr>
      <w:r>
        <w:rPr>
          <w:szCs w:val="22"/>
        </w:rPr>
        <w:t>-</w:t>
      </w:r>
      <w:r>
        <w:rPr>
          <w:szCs w:val="22"/>
        </w:rPr>
        <w:tab/>
        <w:t xml:space="preserve">Veiklioji medžiaga yra senų lapai ir vaisiai. </w:t>
      </w:r>
      <w:r w:rsidR="001247E9">
        <w:rPr>
          <w:szCs w:val="22"/>
        </w:rPr>
        <w:t xml:space="preserve">Vienoje tabletėje yra 300 mg </w:t>
      </w:r>
      <w:r w:rsidR="001247E9">
        <w:rPr>
          <w:i/>
          <w:iCs/>
          <w:szCs w:val="17"/>
          <w:lang w:eastAsia="pl-PL"/>
        </w:rPr>
        <w:t xml:space="preserve">Cassia senna </w:t>
      </w:r>
      <w:r w:rsidR="001247E9">
        <w:rPr>
          <w:szCs w:val="17"/>
          <w:lang w:eastAsia="pl-PL"/>
        </w:rPr>
        <w:t>L. (</w:t>
      </w:r>
      <w:r w:rsidR="001247E9">
        <w:rPr>
          <w:i/>
          <w:iCs/>
          <w:szCs w:val="17"/>
          <w:lang w:eastAsia="pl-PL"/>
        </w:rPr>
        <w:t xml:space="preserve">C. acutifolia </w:t>
      </w:r>
      <w:r w:rsidR="001247E9">
        <w:rPr>
          <w:szCs w:val="17"/>
          <w:lang w:eastAsia="pl-PL"/>
        </w:rPr>
        <w:t xml:space="preserve">Delile), fructus (senų vaisių) ir/ar </w:t>
      </w:r>
      <w:r w:rsidR="001247E9">
        <w:rPr>
          <w:i/>
          <w:iCs/>
          <w:szCs w:val="17"/>
          <w:lang w:eastAsia="pl-PL"/>
        </w:rPr>
        <w:t xml:space="preserve">Cassia angustifolia </w:t>
      </w:r>
      <w:r w:rsidR="001247E9">
        <w:rPr>
          <w:szCs w:val="17"/>
          <w:lang w:eastAsia="pl-PL"/>
        </w:rPr>
        <w:t xml:space="preserve">Vahl, fructus (senų vaisių) ir/ar </w:t>
      </w:r>
      <w:r w:rsidR="001247E9">
        <w:rPr>
          <w:i/>
          <w:szCs w:val="22"/>
        </w:rPr>
        <w:t>Cassia</w:t>
      </w:r>
      <w:r w:rsidR="001247E9">
        <w:rPr>
          <w:szCs w:val="22"/>
        </w:rPr>
        <w:t xml:space="preserve"> </w:t>
      </w:r>
      <w:r w:rsidR="001247E9">
        <w:rPr>
          <w:i/>
          <w:szCs w:val="22"/>
        </w:rPr>
        <w:t>senna</w:t>
      </w:r>
      <w:r w:rsidR="001247E9">
        <w:rPr>
          <w:szCs w:val="22"/>
        </w:rPr>
        <w:t xml:space="preserve"> L </w:t>
      </w:r>
      <w:r w:rsidR="001247E9">
        <w:rPr>
          <w:szCs w:val="17"/>
          <w:lang w:eastAsia="pl-PL"/>
        </w:rPr>
        <w:t>(</w:t>
      </w:r>
      <w:r w:rsidR="001247E9">
        <w:rPr>
          <w:i/>
          <w:iCs/>
          <w:szCs w:val="17"/>
          <w:lang w:eastAsia="pl-PL"/>
        </w:rPr>
        <w:t xml:space="preserve">C. acutifolia </w:t>
      </w:r>
      <w:r w:rsidR="001247E9">
        <w:rPr>
          <w:szCs w:val="17"/>
          <w:lang w:eastAsia="pl-PL"/>
        </w:rPr>
        <w:t>Delile)</w:t>
      </w:r>
      <w:r w:rsidR="001247E9">
        <w:rPr>
          <w:szCs w:val="22"/>
        </w:rPr>
        <w:t xml:space="preserve"> ir/ar </w:t>
      </w:r>
      <w:r w:rsidR="001247E9">
        <w:rPr>
          <w:i/>
          <w:szCs w:val="22"/>
        </w:rPr>
        <w:t>Cassia angustifolia</w:t>
      </w:r>
      <w:r w:rsidR="001247E9">
        <w:rPr>
          <w:szCs w:val="22"/>
        </w:rPr>
        <w:t xml:space="preserve"> Vahl., folium (senų lapų),</w:t>
      </w:r>
      <w:r w:rsidR="001247E9">
        <w:rPr>
          <w:szCs w:val="17"/>
          <w:lang w:eastAsia="pl-PL"/>
        </w:rPr>
        <w:t xml:space="preserve"> atitinkančių 6,75 - 9,00 mg </w:t>
      </w:r>
      <w:r w:rsidR="001247E9" w:rsidRPr="00971AEB">
        <w:rPr>
          <w:szCs w:val="22"/>
        </w:rPr>
        <w:t xml:space="preserve">hidroksiantracenų glikozidų, </w:t>
      </w:r>
      <w:r w:rsidR="001247E9">
        <w:rPr>
          <w:szCs w:val="22"/>
        </w:rPr>
        <w:t>apskaičiuotų pagal</w:t>
      </w:r>
      <w:r w:rsidR="001247E9" w:rsidRPr="00971AEB">
        <w:rPr>
          <w:szCs w:val="22"/>
        </w:rPr>
        <w:t xml:space="preserve"> senozidą B.</w:t>
      </w:r>
    </w:p>
    <w:p w14:paraId="7DC449DF" w14:textId="77777777" w:rsidR="0093003C" w:rsidRDefault="001247E9" w:rsidP="001247E9">
      <w:pPr>
        <w:pStyle w:val="Pagrindinistekstas"/>
        <w:spacing w:after="0"/>
        <w:rPr>
          <w:szCs w:val="22"/>
        </w:rPr>
      </w:pPr>
      <w:r>
        <w:rPr>
          <w:szCs w:val="22"/>
        </w:rPr>
        <w:t>-</w:t>
      </w:r>
      <w:r>
        <w:rPr>
          <w:szCs w:val="22"/>
        </w:rPr>
        <w:tab/>
      </w:r>
      <w:r w:rsidR="0093003C">
        <w:rPr>
          <w:szCs w:val="22"/>
        </w:rPr>
        <w:t xml:space="preserve">Pagalbinės medžiagos yra bevandenis koloidinis silicio dioksidas ir bulvių krakmolas. </w:t>
      </w:r>
    </w:p>
    <w:p w14:paraId="6E52E5CC" w14:textId="77777777" w:rsidR="0093003C" w:rsidRDefault="0093003C">
      <w:pPr>
        <w:jc w:val="both"/>
        <w:rPr>
          <w:szCs w:val="22"/>
        </w:rPr>
      </w:pPr>
    </w:p>
    <w:p w14:paraId="7D46B1A0" w14:textId="77777777" w:rsidR="0093003C" w:rsidRDefault="0093003C">
      <w:pPr>
        <w:jc w:val="both"/>
        <w:rPr>
          <w:szCs w:val="22"/>
        </w:rPr>
      </w:pPr>
      <w:r>
        <w:rPr>
          <w:b/>
          <w:szCs w:val="22"/>
        </w:rPr>
        <w:t>SENEFOL išvaizda ir kiekis pakuotėje</w:t>
      </w:r>
    </w:p>
    <w:p w14:paraId="1C194455" w14:textId="58D081F0" w:rsidR="0093003C" w:rsidRDefault="0093003C">
      <w:pPr>
        <w:jc w:val="both"/>
        <w:rPr>
          <w:szCs w:val="22"/>
        </w:rPr>
      </w:pPr>
      <w:r>
        <w:rPr>
          <w:szCs w:val="22"/>
        </w:rPr>
        <w:t>Žalsvos, apvalios, abipus išgaubtos tabletės.</w:t>
      </w:r>
    </w:p>
    <w:p w14:paraId="105F3870" w14:textId="77777777" w:rsidR="0093003C" w:rsidRDefault="0093003C">
      <w:pPr>
        <w:rPr>
          <w:szCs w:val="22"/>
        </w:rPr>
      </w:pPr>
      <w:r>
        <w:rPr>
          <w:szCs w:val="22"/>
        </w:rPr>
        <w:t>Vaistas tiekiamas polipropileninėje talpyklėje ir lizdinėse plokštelėse.</w:t>
      </w:r>
    </w:p>
    <w:p w14:paraId="3004E613" w14:textId="77777777" w:rsidR="0093003C" w:rsidRDefault="0093003C">
      <w:pPr>
        <w:rPr>
          <w:color w:val="000000"/>
          <w:szCs w:val="22"/>
        </w:rPr>
      </w:pPr>
      <w:r>
        <w:rPr>
          <w:color w:val="000000"/>
          <w:szCs w:val="22"/>
        </w:rPr>
        <w:t>Polipropileninėje talpyklėje yra 20 arba 60 tablečių.</w:t>
      </w:r>
    </w:p>
    <w:p w14:paraId="46FB2205" w14:textId="77777777" w:rsidR="0093003C" w:rsidRDefault="0093003C">
      <w:pPr>
        <w:jc w:val="both"/>
        <w:rPr>
          <w:color w:val="000000"/>
          <w:szCs w:val="22"/>
        </w:rPr>
      </w:pPr>
      <w:r>
        <w:rPr>
          <w:color w:val="000000"/>
          <w:szCs w:val="22"/>
        </w:rPr>
        <w:t>Lizdinėje plokštelėje yra 10 tablečių. Kartono dėžutėje yra 10, 20, 30, 40, 50 arba 60 tablečių.</w:t>
      </w:r>
    </w:p>
    <w:p w14:paraId="2B54FFB8" w14:textId="77777777" w:rsidR="0093003C" w:rsidRDefault="00241EAB">
      <w:pPr>
        <w:rPr>
          <w:color w:val="000000"/>
          <w:szCs w:val="22"/>
        </w:rPr>
      </w:pPr>
      <w:r>
        <w:rPr>
          <w:color w:val="000000"/>
          <w:szCs w:val="22"/>
        </w:rPr>
        <w:lastRenderedPageBreak/>
        <w:t>Gali būti tiekiamos ne visų dydžių pakuotės.</w:t>
      </w:r>
    </w:p>
    <w:p w14:paraId="76E310E1" w14:textId="77777777" w:rsidR="00241EAB" w:rsidRDefault="00241EAB">
      <w:pPr>
        <w:rPr>
          <w:color w:val="000000"/>
          <w:szCs w:val="22"/>
        </w:rPr>
      </w:pPr>
    </w:p>
    <w:p w14:paraId="05CD12D1" w14:textId="27577CD2" w:rsidR="00335FA6" w:rsidRPr="006C2976" w:rsidRDefault="00335FA6">
      <w:pPr>
        <w:rPr>
          <w:b/>
          <w:color w:val="000000"/>
          <w:szCs w:val="22"/>
        </w:rPr>
      </w:pPr>
      <w:r w:rsidRPr="006C2976">
        <w:rPr>
          <w:rFonts w:asciiTheme="majorBidi" w:hAnsiTheme="majorBidi" w:cstheme="majorBidi"/>
          <w:b/>
        </w:rPr>
        <w:t>Registruotojas ir gamintojas</w:t>
      </w:r>
    </w:p>
    <w:p w14:paraId="53A7AE87" w14:textId="4A4D5807" w:rsidR="0093003C" w:rsidRDefault="00335FA6">
      <w:pPr>
        <w:jc w:val="both"/>
        <w:rPr>
          <w:szCs w:val="22"/>
        </w:rPr>
      </w:pPr>
      <w:r>
        <w:rPr>
          <w:szCs w:val="22"/>
        </w:rPr>
        <w:t>Labofarm sp. z o.o.</w:t>
      </w:r>
    </w:p>
    <w:p w14:paraId="2A71091D" w14:textId="0973E31D" w:rsidR="0093003C" w:rsidRDefault="0093003C">
      <w:pPr>
        <w:jc w:val="both"/>
        <w:rPr>
          <w:szCs w:val="22"/>
        </w:rPr>
      </w:pPr>
      <w:r>
        <w:rPr>
          <w:szCs w:val="22"/>
        </w:rPr>
        <w:t>ul. Lubichowska 176</w:t>
      </w:r>
      <w:r w:rsidR="00335FA6">
        <w:rPr>
          <w:szCs w:val="22"/>
        </w:rPr>
        <w:t>B</w:t>
      </w:r>
    </w:p>
    <w:p w14:paraId="6B3CD6C7" w14:textId="1808840F" w:rsidR="00335FA6" w:rsidRDefault="00335FA6">
      <w:pPr>
        <w:jc w:val="both"/>
        <w:rPr>
          <w:szCs w:val="22"/>
        </w:rPr>
      </w:pPr>
      <w:r>
        <w:rPr>
          <w:szCs w:val="22"/>
        </w:rPr>
        <w:t>83-200 Starogard Gdański</w:t>
      </w:r>
    </w:p>
    <w:p w14:paraId="4D7754FB" w14:textId="77777777" w:rsidR="0093003C" w:rsidRDefault="0093003C">
      <w:pPr>
        <w:pStyle w:val="Pagrindinistekstas"/>
        <w:spacing w:after="0"/>
        <w:rPr>
          <w:szCs w:val="22"/>
        </w:rPr>
      </w:pPr>
      <w:r>
        <w:rPr>
          <w:szCs w:val="22"/>
        </w:rPr>
        <w:t>Lenkija</w:t>
      </w:r>
    </w:p>
    <w:p w14:paraId="50B13E54" w14:textId="3AB10E1C" w:rsidR="00335FA6" w:rsidRDefault="00335FA6">
      <w:pPr>
        <w:pStyle w:val="Pagrindinistekstas"/>
        <w:spacing w:after="0"/>
        <w:rPr>
          <w:rFonts w:asciiTheme="majorBidi" w:hAnsiTheme="majorBidi" w:cstheme="majorBidi"/>
          <w:szCs w:val="22"/>
        </w:rPr>
      </w:pPr>
      <w:r w:rsidRPr="006119A3">
        <w:rPr>
          <w:rFonts w:asciiTheme="majorBidi" w:hAnsiTheme="majorBidi" w:cstheme="majorBidi"/>
          <w:szCs w:val="22"/>
        </w:rPr>
        <w:t>Tel. +48 58 561-20-08</w:t>
      </w:r>
    </w:p>
    <w:p w14:paraId="229973A8" w14:textId="73F6BBF6" w:rsidR="00335FA6" w:rsidRDefault="00335FA6">
      <w:pPr>
        <w:pStyle w:val="Pagrindinistekstas"/>
        <w:spacing w:after="0"/>
        <w:rPr>
          <w:szCs w:val="22"/>
        </w:rPr>
      </w:pPr>
      <w:r w:rsidRPr="006119A3">
        <w:rPr>
          <w:rFonts w:asciiTheme="majorBidi" w:hAnsiTheme="majorBidi" w:cstheme="majorBidi"/>
          <w:szCs w:val="22"/>
        </w:rPr>
        <w:t xml:space="preserve">El. paštas </w:t>
      </w:r>
      <w:hyperlink r:id="rId14" w:history="1">
        <w:r w:rsidRPr="006119A3">
          <w:rPr>
            <w:rStyle w:val="Hipersaitas"/>
            <w:rFonts w:asciiTheme="majorBidi" w:eastAsiaTheme="majorEastAsia" w:hAnsiTheme="majorBidi" w:cstheme="majorBidi"/>
            <w:szCs w:val="22"/>
          </w:rPr>
          <w:t>poczta@labofarm.com.pl</w:t>
        </w:r>
      </w:hyperlink>
    </w:p>
    <w:p w14:paraId="0D788C94" w14:textId="77777777" w:rsidR="0093003C" w:rsidRDefault="0093003C">
      <w:pPr>
        <w:pStyle w:val="Pagrindinistekstas"/>
        <w:spacing w:after="0"/>
        <w:rPr>
          <w:szCs w:val="22"/>
        </w:rPr>
      </w:pPr>
    </w:p>
    <w:p w14:paraId="25D04C16" w14:textId="6A48D97B" w:rsidR="00A66F3E" w:rsidRDefault="0093003C">
      <w:pPr>
        <w:ind w:right="-449"/>
        <w:rPr>
          <w:szCs w:val="22"/>
        </w:rPr>
      </w:pPr>
      <w:r>
        <w:rPr>
          <w:szCs w:val="22"/>
        </w:rPr>
        <w:t xml:space="preserve">Jeigu apie šį vaistą norite sužinoti daugiau, kreipkitės į vietinį </w:t>
      </w:r>
      <w:r w:rsidR="00A66F3E">
        <w:rPr>
          <w:szCs w:val="22"/>
        </w:rPr>
        <w:t>registruotojo</w:t>
      </w:r>
      <w:r>
        <w:rPr>
          <w:szCs w:val="22"/>
        </w:rPr>
        <w:t xml:space="preserve"> atstovą</w:t>
      </w:r>
      <w:r w:rsidR="00A66F3E">
        <w:rPr>
          <w:szCs w:val="22"/>
        </w:rPr>
        <w:t>:</w:t>
      </w:r>
    </w:p>
    <w:p w14:paraId="64B5D298" w14:textId="545CF8F8" w:rsidR="0093003C" w:rsidRPr="00830B56" w:rsidRDefault="0093003C">
      <w:pPr>
        <w:ind w:right="-449"/>
        <w:rPr>
          <w:color w:val="000000"/>
          <w:szCs w:val="22"/>
          <w:lang w:eastAsia="pl-PL"/>
        </w:rPr>
      </w:pPr>
      <w:r w:rsidRPr="00830B56">
        <w:rPr>
          <w:color w:val="000000"/>
          <w:szCs w:val="22"/>
          <w:lang w:eastAsia="pl-PL"/>
        </w:rPr>
        <w:t>UAB „Limedika“</w:t>
      </w:r>
    </w:p>
    <w:p w14:paraId="2E5D0057" w14:textId="4D6ACD7F" w:rsidR="0093003C" w:rsidRPr="00830B56" w:rsidRDefault="00830B56">
      <w:pPr>
        <w:ind w:right="-449"/>
        <w:jc w:val="both"/>
        <w:rPr>
          <w:color w:val="000000"/>
          <w:szCs w:val="22"/>
        </w:rPr>
      </w:pPr>
      <w:r w:rsidRPr="00830B56">
        <w:rPr>
          <w:color w:val="000000"/>
          <w:szCs w:val="22"/>
        </w:rPr>
        <w:t xml:space="preserve">Erdvės g. </w:t>
      </w:r>
      <w:r w:rsidR="00785795">
        <w:rPr>
          <w:color w:val="000000"/>
          <w:szCs w:val="22"/>
        </w:rPr>
        <w:t>2</w:t>
      </w:r>
      <w:r w:rsidRPr="00830B56">
        <w:rPr>
          <w:color w:val="000000"/>
          <w:szCs w:val="22"/>
        </w:rPr>
        <w:t>, Ramučiai</w:t>
      </w:r>
    </w:p>
    <w:p w14:paraId="40E2CB65" w14:textId="44B78DA2" w:rsidR="0093003C" w:rsidRPr="00830B56" w:rsidRDefault="0093003C">
      <w:pPr>
        <w:ind w:right="-449"/>
        <w:jc w:val="both"/>
        <w:rPr>
          <w:color w:val="000000"/>
          <w:szCs w:val="22"/>
        </w:rPr>
      </w:pPr>
      <w:r w:rsidRPr="00830B56">
        <w:rPr>
          <w:color w:val="000000"/>
          <w:szCs w:val="22"/>
        </w:rPr>
        <w:t>LT-</w:t>
      </w:r>
      <w:r w:rsidR="00830B56" w:rsidRPr="00830B56">
        <w:rPr>
          <w:color w:val="000000"/>
          <w:szCs w:val="22"/>
        </w:rPr>
        <w:t>5</w:t>
      </w:r>
      <w:r w:rsidR="00785795">
        <w:rPr>
          <w:color w:val="000000"/>
          <w:szCs w:val="22"/>
        </w:rPr>
        <w:t>2114</w:t>
      </w:r>
      <w:r w:rsidR="00830B56" w:rsidRPr="00830B56">
        <w:rPr>
          <w:color w:val="000000"/>
          <w:szCs w:val="22"/>
        </w:rPr>
        <w:t>,</w:t>
      </w:r>
      <w:r w:rsidRPr="00830B56">
        <w:rPr>
          <w:color w:val="000000"/>
          <w:szCs w:val="22"/>
        </w:rPr>
        <w:t xml:space="preserve"> Kaun</w:t>
      </w:r>
      <w:r w:rsidR="00830B56" w:rsidRPr="00830B56">
        <w:rPr>
          <w:color w:val="000000"/>
          <w:szCs w:val="22"/>
        </w:rPr>
        <w:t>o r.</w:t>
      </w:r>
    </w:p>
    <w:p w14:paraId="57A1A799" w14:textId="50C15558" w:rsidR="0093003C" w:rsidRPr="00830B56" w:rsidRDefault="0093003C">
      <w:pPr>
        <w:pStyle w:val="Pagrindinistekstas"/>
        <w:spacing w:after="0"/>
        <w:rPr>
          <w:color w:val="000000"/>
          <w:szCs w:val="22"/>
        </w:rPr>
      </w:pPr>
      <w:r w:rsidRPr="00830B56">
        <w:rPr>
          <w:color w:val="000000"/>
          <w:szCs w:val="22"/>
        </w:rPr>
        <w:t>Tel. +370 3</w:t>
      </w:r>
      <w:r w:rsidR="00830B56" w:rsidRPr="00830B56">
        <w:rPr>
          <w:color w:val="000000"/>
          <w:szCs w:val="22"/>
        </w:rPr>
        <w:t>7 321199</w:t>
      </w:r>
    </w:p>
    <w:p w14:paraId="08922BBE" w14:textId="77777777" w:rsidR="0093003C" w:rsidRDefault="0093003C">
      <w:pPr>
        <w:pStyle w:val="Pagrindinistekstas"/>
        <w:spacing w:after="0"/>
        <w:rPr>
          <w:szCs w:val="22"/>
        </w:rPr>
      </w:pPr>
    </w:p>
    <w:p w14:paraId="6AA4CF65" w14:textId="5808CAD8" w:rsidR="0093003C" w:rsidRDefault="0093003C">
      <w:pPr>
        <w:ind w:left="567" w:hanging="567"/>
        <w:rPr>
          <w:b/>
          <w:szCs w:val="22"/>
        </w:rPr>
      </w:pPr>
      <w:r>
        <w:rPr>
          <w:b/>
          <w:szCs w:val="22"/>
        </w:rPr>
        <w:t xml:space="preserve">Šis pakuotės lapelis paskutinį kartą peržiūrėtas </w:t>
      </w:r>
      <w:r w:rsidR="00785795">
        <w:rPr>
          <w:b/>
          <w:szCs w:val="22"/>
        </w:rPr>
        <w:t>202</w:t>
      </w:r>
      <w:r w:rsidR="006C2976">
        <w:rPr>
          <w:b/>
          <w:szCs w:val="22"/>
        </w:rPr>
        <w:t>5</w:t>
      </w:r>
      <w:r w:rsidR="00785795">
        <w:rPr>
          <w:b/>
          <w:szCs w:val="22"/>
        </w:rPr>
        <w:t>-04-1</w:t>
      </w:r>
      <w:r w:rsidR="006C2976">
        <w:rPr>
          <w:b/>
          <w:szCs w:val="22"/>
        </w:rPr>
        <w:t>8</w:t>
      </w:r>
      <w:r w:rsidR="00785795">
        <w:rPr>
          <w:b/>
          <w:szCs w:val="22"/>
        </w:rPr>
        <w:t>.</w:t>
      </w:r>
    </w:p>
    <w:p w14:paraId="4FB53872" w14:textId="77777777" w:rsidR="0093003C" w:rsidRDefault="0093003C">
      <w:pPr>
        <w:ind w:left="567" w:hanging="567"/>
        <w:rPr>
          <w:b/>
          <w:szCs w:val="22"/>
        </w:rPr>
      </w:pPr>
    </w:p>
    <w:p w14:paraId="764356AF" w14:textId="77777777" w:rsidR="0093003C" w:rsidRDefault="0093003C">
      <w:pPr>
        <w:pStyle w:val="Pagrindinistekstas"/>
        <w:spacing w:after="0"/>
        <w:rPr>
          <w:szCs w:val="22"/>
        </w:rPr>
      </w:pPr>
    </w:p>
    <w:p w14:paraId="10617FA6" w14:textId="6F7C4703" w:rsidR="0093003C" w:rsidRDefault="0093003C">
      <w:pPr>
        <w:rPr>
          <w:szCs w:val="22"/>
        </w:rPr>
      </w:pPr>
      <w:r>
        <w:t>Išsami informacija apie šį vaistą pateikiama Valstybinės vaistų kontrolės tarnybos prie Lietuvos Respublikos sveikatos apsaugos ministerijos tinklalapyje</w:t>
      </w:r>
      <w:r w:rsidR="00A66F3E" w:rsidRPr="00A66F3E">
        <w:rPr>
          <w:color w:val="0000EE"/>
          <w:szCs w:val="22"/>
          <w:u w:val="single"/>
        </w:rPr>
        <w:t xml:space="preserve"> </w:t>
      </w:r>
      <w:r w:rsidR="00A66F3E">
        <w:rPr>
          <w:color w:val="0000EE"/>
          <w:szCs w:val="22"/>
          <w:u w:val="single"/>
        </w:rPr>
        <w:t>https://vvkt.lrv.lt/lt/</w:t>
      </w:r>
      <w:r>
        <w:t>.</w:t>
      </w:r>
    </w:p>
    <w:p w14:paraId="076AB164" w14:textId="77777777" w:rsidR="0093003C" w:rsidRDefault="0093003C">
      <w:pPr>
        <w:jc w:val="both"/>
        <w:rPr>
          <w:szCs w:val="22"/>
        </w:rPr>
      </w:pPr>
    </w:p>
    <w:p w14:paraId="2323F1A4" w14:textId="77777777" w:rsidR="0093003C" w:rsidRDefault="0093003C">
      <w:pPr>
        <w:rPr>
          <w:szCs w:val="22"/>
        </w:rPr>
      </w:pPr>
    </w:p>
    <w:sectPr w:rsidR="0093003C" w:rsidSect="001A2A2D">
      <w:type w:val="continuous"/>
      <w:pgSz w:w="11906" w:h="16838" w:code="9"/>
      <w:pgMar w:top="1134" w:right="1418" w:bottom="1134" w:left="1418" w:header="731" w:footer="73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5D8C" w14:textId="77777777" w:rsidR="00F926CD" w:rsidRDefault="00F926CD">
      <w:r>
        <w:separator/>
      </w:r>
    </w:p>
  </w:endnote>
  <w:endnote w:type="continuationSeparator" w:id="0">
    <w:p w14:paraId="51CCFC54" w14:textId="77777777" w:rsidR="00F926CD" w:rsidRDefault="00F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5554" w14:textId="77777777" w:rsidR="0093003C" w:rsidRDefault="009300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DF7791" w14:textId="77777777" w:rsidR="0093003C" w:rsidRDefault="009300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A7081" w14:textId="3B3FF4AA" w:rsidR="0093003C" w:rsidRDefault="009300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5F5D">
      <w:rPr>
        <w:rStyle w:val="Puslapionumeris"/>
        <w:noProof/>
      </w:rPr>
      <w:t>2</w:t>
    </w:r>
    <w:r>
      <w:rPr>
        <w:rStyle w:val="Puslapionumeris"/>
      </w:rPr>
      <w:fldChar w:fldCharType="end"/>
    </w:r>
  </w:p>
  <w:p w14:paraId="6D6AFB8C" w14:textId="77777777" w:rsidR="0093003C" w:rsidRDefault="009300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0C315" w14:textId="77777777" w:rsidR="00F926CD" w:rsidRDefault="00F926CD">
      <w:r>
        <w:separator/>
      </w:r>
    </w:p>
  </w:footnote>
  <w:footnote w:type="continuationSeparator" w:id="0">
    <w:p w14:paraId="03A1DD2C" w14:textId="77777777" w:rsidR="00F926CD" w:rsidRDefault="00F9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2F7E"/>
    <w:multiLevelType w:val="hybridMultilevel"/>
    <w:tmpl w:val="28188AE6"/>
    <w:lvl w:ilvl="0" w:tplc="B9C66F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918A0"/>
    <w:multiLevelType w:val="hybridMultilevel"/>
    <w:tmpl w:val="8292BB66"/>
    <w:lvl w:ilvl="0" w:tplc="AEB85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6035F"/>
    <w:multiLevelType w:val="hybridMultilevel"/>
    <w:tmpl w:val="F7062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00DD7"/>
    <w:multiLevelType w:val="multilevel"/>
    <w:tmpl w:val="69007BB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8DD6139"/>
    <w:multiLevelType w:val="hybridMultilevel"/>
    <w:tmpl w:val="08D66D1C"/>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81F1A"/>
    <w:multiLevelType w:val="hybridMultilevel"/>
    <w:tmpl w:val="2D16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2084F"/>
    <w:multiLevelType w:val="hybridMultilevel"/>
    <w:tmpl w:val="E6EECA2A"/>
    <w:lvl w:ilvl="0" w:tplc="121AD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F2E2E"/>
    <w:multiLevelType w:val="hybridMultilevel"/>
    <w:tmpl w:val="C91E2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003C5"/>
    <w:multiLevelType w:val="hybridMultilevel"/>
    <w:tmpl w:val="93581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num w:numId="1">
    <w:abstractNumId w:val="10"/>
  </w:num>
  <w:num w:numId="2">
    <w:abstractNumId w:val="8"/>
  </w:num>
  <w:num w:numId="3">
    <w:abstractNumId w:val="2"/>
  </w:num>
  <w:num w:numId="4">
    <w:abstractNumId w:val="5"/>
  </w:num>
  <w:num w:numId="5">
    <w:abstractNumId w:val="4"/>
  </w:num>
  <w:num w:numId="6">
    <w:abstractNumId w:val="6"/>
  </w:num>
  <w:num w:numId="7">
    <w:abstractNumId w:val="3"/>
  </w:num>
  <w:num w:numId="8">
    <w:abstractNumId w:val="9"/>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4A"/>
    <w:rsid w:val="000043D6"/>
    <w:rsid w:val="0001326A"/>
    <w:rsid w:val="000C4427"/>
    <w:rsid w:val="000C7B04"/>
    <w:rsid w:val="001247E9"/>
    <w:rsid w:val="0016088A"/>
    <w:rsid w:val="0019003A"/>
    <w:rsid w:val="00193400"/>
    <w:rsid w:val="0019412D"/>
    <w:rsid w:val="001A2A2D"/>
    <w:rsid w:val="00210394"/>
    <w:rsid w:val="00212B02"/>
    <w:rsid w:val="0022668C"/>
    <w:rsid w:val="00241EAB"/>
    <w:rsid w:val="00243959"/>
    <w:rsid w:val="0025014D"/>
    <w:rsid w:val="002536CD"/>
    <w:rsid w:val="002A2698"/>
    <w:rsid w:val="00335FA6"/>
    <w:rsid w:val="0040771D"/>
    <w:rsid w:val="00460C36"/>
    <w:rsid w:val="004B3FC3"/>
    <w:rsid w:val="004D4699"/>
    <w:rsid w:val="004D4B93"/>
    <w:rsid w:val="004E177B"/>
    <w:rsid w:val="00551738"/>
    <w:rsid w:val="0059749F"/>
    <w:rsid w:val="005A61B3"/>
    <w:rsid w:val="005E6506"/>
    <w:rsid w:val="006018F5"/>
    <w:rsid w:val="00656B23"/>
    <w:rsid w:val="00672A16"/>
    <w:rsid w:val="00676713"/>
    <w:rsid w:val="0068394F"/>
    <w:rsid w:val="006B1B5D"/>
    <w:rsid w:val="006C2976"/>
    <w:rsid w:val="006D799D"/>
    <w:rsid w:val="0071466E"/>
    <w:rsid w:val="00785795"/>
    <w:rsid w:val="0082144B"/>
    <w:rsid w:val="008275C5"/>
    <w:rsid w:val="00830B56"/>
    <w:rsid w:val="00840CF4"/>
    <w:rsid w:val="00871B4F"/>
    <w:rsid w:val="00874C39"/>
    <w:rsid w:val="00881A02"/>
    <w:rsid w:val="00882619"/>
    <w:rsid w:val="008C6DE5"/>
    <w:rsid w:val="00911EBC"/>
    <w:rsid w:val="0093003C"/>
    <w:rsid w:val="00993BF8"/>
    <w:rsid w:val="00A17225"/>
    <w:rsid w:val="00A30D84"/>
    <w:rsid w:val="00A66F3E"/>
    <w:rsid w:val="00AB4A0A"/>
    <w:rsid w:val="00B30B23"/>
    <w:rsid w:val="00B627CA"/>
    <w:rsid w:val="00B62AC5"/>
    <w:rsid w:val="00C43F7B"/>
    <w:rsid w:val="00C7287F"/>
    <w:rsid w:val="00CB5283"/>
    <w:rsid w:val="00D6758A"/>
    <w:rsid w:val="00D71152"/>
    <w:rsid w:val="00D7234A"/>
    <w:rsid w:val="00D8508C"/>
    <w:rsid w:val="00DB0FFB"/>
    <w:rsid w:val="00DB1978"/>
    <w:rsid w:val="00DC1B89"/>
    <w:rsid w:val="00E139E7"/>
    <w:rsid w:val="00E244EE"/>
    <w:rsid w:val="00E61C68"/>
    <w:rsid w:val="00E927A6"/>
    <w:rsid w:val="00E97368"/>
    <w:rsid w:val="00EB65F8"/>
    <w:rsid w:val="00EE128A"/>
    <w:rsid w:val="00F626BB"/>
    <w:rsid w:val="00F64718"/>
    <w:rsid w:val="00F71A40"/>
    <w:rsid w:val="00F85F5D"/>
    <w:rsid w:val="00F926CD"/>
    <w:rsid w:val="00FD5AC5"/>
    <w:rsid w:val="00FD6BF4"/>
    <w:rsid w:val="00FF59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8DA9A"/>
  <w15:docId w15:val="{53B1CD6D-192E-4220-B800-001F4CC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sz w:val="22"/>
    </w:rPr>
  </w:style>
  <w:style w:type="paragraph" w:styleId="Antrat1">
    <w:name w:val="heading 1"/>
    <w:basedOn w:val="prastasis"/>
    <w:next w:val="prastasis"/>
    <w:autoRedefine/>
    <w:qFormat/>
    <w:pPr>
      <w:keepNext/>
      <w:outlineLvl w:val="0"/>
    </w:pPr>
  </w:style>
  <w:style w:type="paragraph" w:styleId="Antrat2">
    <w:name w:val="heading 2"/>
    <w:basedOn w:val="prastasis"/>
    <w:next w:val="prastasis"/>
    <w:autoRedefine/>
    <w:qFormat/>
    <w:pPr>
      <w:keepNext/>
      <w:outlineLvl w:val="1"/>
    </w:pPr>
    <w:rPr>
      <w:b/>
    </w:rPr>
  </w:style>
  <w:style w:type="paragraph" w:styleId="Antrat3">
    <w:name w:val="heading 3"/>
    <w:basedOn w:val="prastasis"/>
    <w:next w:val="prastasis"/>
    <w:autoRedefine/>
    <w:qFormat/>
    <w:rsid w:val="00A66F3E"/>
    <w:pPr>
      <w:keepNext/>
      <w:ind w:left="567" w:hanging="567"/>
      <w:outlineLvl w:val="2"/>
    </w:pPr>
    <w:rPr>
      <w:b/>
    </w:rPr>
  </w:style>
  <w:style w:type="paragraph" w:styleId="Antrat4">
    <w:name w:val="heading 4"/>
    <w:basedOn w:val="prastasis"/>
    <w:next w:val="prastasis"/>
    <w:qFormat/>
    <w:locked/>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locked/>
    <w:rPr>
      <w:rFonts w:ascii="Times New Roman" w:hAnsi="Times New Roman" w:cs="Times New Roman"/>
      <w:sz w:val="20"/>
      <w:szCs w:val="20"/>
      <w:lang w:val="lt-LT" w:eastAsia="lt-LT"/>
    </w:rPr>
  </w:style>
  <w:style w:type="character" w:customStyle="1" w:styleId="Heading2Char">
    <w:name w:val="Heading 2 Char"/>
    <w:locked/>
    <w:rPr>
      <w:rFonts w:ascii="Times New Roman" w:hAnsi="Times New Roman" w:cs="Times New Roman"/>
      <w:b/>
      <w:sz w:val="20"/>
      <w:szCs w:val="20"/>
      <w:lang w:val="lt-LT" w:eastAsia="lt-LT"/>
    </w:rPr>
  </w:style>
  <w:style w:type="character" w:customStyle="1" w:styleId="Heading3Char">
    <w:name w:val="Heading 3 Char"/>
    <w:locked/>
    <w:rPr>
      <w:rFonts w:ascii="Times New Roman" w:hAnsi="Times New Roman" w:cs="Times New Roman"/>
      <w:b/>
      <w:sz w:val="20"/>
      <w:szCs w:val="20"/>
      <w:lang w:val="lt-LT" w:eastAsia="lt-LT"/>
    </w:rPr>
  </w:style>
  <w:style w:type="paragraph" w:styleId="Pagrindinistekstas">
    <w:name w:val="Body Text"/>
    <w:basedOn w:val="prastasis"/>
    <w:semiHidden/>
    <w:pPr>
      <w:spacing w:after="120"/>
    </w:pPr>
  </w:style>
  <w:style w:type="character" w:customStyle="1" w:styleId="BodyTextChar">
    <w:name w:val="Body Text Char"/>
    <w:locked/>
    <w:rPr>
      <w:rFonts w:ascii="Times New Roman" w:hAnsi="Times New Roman" w:cs="Times New Roman"/>
      <w:sz w:val="20"/>
      <w:szCs w:val="20"/>
      <w:lang w:val="lt-LT" w:eastAsia="lt-LT"/>
    </w:rPr>
  </w:style>
  <w:style w:type="paragraph" w:styleId="Porat">
    <w:name w:val="footer"/>
    <w:basedOn w:val="prastasis"/>
    <w:semiHidden/>
    <w:pPr>
      <w:tabs>
        <w:tab w:val="center" w:pos="4153"/>
        <w:tab w:val="right" w:pos="8306"/>
      </w:tabs>
    </w:pPr>
  </w:style>
  <w:style w:type="character" w:customStyle="1" w:styleId="FooterChar">
    <w:name w:val="Footer Char"/>
    <w:locked/>
    <w:rPr>
      <w:rFonts w:ascii="Times New Roman" w:hAnsi="Times New Roman" w:cs="Times New Roman"/>
      <w:sz w:val="20"/>
      <w:szCs w:val="20"/>
      <w:lang w:val="lt-LT" w:eastAsia="lt-LT"/>
    </w:rPr>
  </w:style>
  <w:style w:type="character" w:styleId="Puslapionumeris">
    <w:name w:val="page number"/>
    <w:semiHidden/>
    <w:rPr>
      <w:rFonts w:cs="Times New Roman"/>
    </w:rPr>
  </w:style>
  <w:style w:type="paragraph" w:styleId="Pavadinimas">
    <w:name w:val="Title"/>
    <w:basedOn w:val="prastasis"/>
    <w:autoRedefine/>
    <w:qFormat/>
    <w:pPr>
      <w:jc w:val="center"/>
      <w:outlineLvl w:val="0"/>
    </w:pPr>
    <w:rPr>
      <w:b/>
      <w:kern w:val="28"/>
    </w:rPr>
  </w:style>
  <w:style w:type="character" w:customStyle="1" w:styleId="TitleChar">
    <w:name w:val="Title Char"/>
    <w:locked/>
    <w:rPr>
      <w:rFonts w:ascii="Times New Roman" w:hAnsi="Times New Roman" w:cs="Times New Roman"/>
      <w:b/>
      <w:kern w:val="28"/>
      <w:sz w:val="20"/>
      <w:szCs w:val="20"/>
      <w:lang w:val="lt-LT" w:eastAsia="lt-LT"/>
    </w:rPr>
  </w:style>
  <w:style w:type="character" w:styleId="Hipersaitas">
    <w:name w:val="Hyperlink"/>
    <w:semiHidden/>
    <w:rPr>
      <w:rFonts w:cs="Times New Roman"/>
      <w:color w:val="0000FF"/>
      <w:u w:val="single"/>
    </w:rPr>
  </w:style>
  <w:style w:type="paragraph" w:styleId="Antrats">
    <w:name w:val="header"/>
    <w:basedOn w:val="prastasis"/>
    <w:semiHidden/>
    <w:pPr>
      <w:tabs>
        <w:tab w:val="center" w:pos="4153"/>
        <w:tab w:val="right" w:pos="8306"/>
      </w:tabs>
    </w:pPr>
  </w:style>
  <w:style w:type="character" w:customStyle="1" w:styleId="HeaderChar">
    <w:name w:val="Header Char"/>
    <w:locked/>
    <w:rPr>
      <w:rFonts w:ascii="Times New Roman" w:hAnsi="Times New Roman" w:cs="Times New Roman"/>
      <w:sz w:val="20"/>
      <w:szCs w:val="20"/>
      <w:lang w:val="lt-LT" w:eastAsia="lt-LT"/>
    </w:rPr>
  </w:style>
  <w:style w:type="paragraph" w:customStyle="1" w:styleId="Style1">
    <w:name w:val="Style1"/>
    <w:basedOn w:val="Pagrindinistekstas"/>
    <w:autoRedefine/>
    <w:pPr>
      <w:spacing w:after="0"/>
      <w:jc w:val="both"/>
    </w:pPr>
    <w:rPr>
      <w:szCs w:val="22"/>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BTEMEASMCA">
    <w:name w:val="BT EMEA_SMCA"/>
    <w:basedOn w:val="prastasis"/>
    <w:autoRedefine/>
    <w:rPr>
      <w:noProof/>
      <w:szCs w:val="22"/>
      <w:lang w:eastAsia="en-US"/>
    </w:rPr>
  </w:style>
  <w:style w:type="character" w:customStyle="1" w:styleId="BTEMEASMCAChar">
    <w:name w:val="BT EMEA_SMCA Char"/>
    <w:locked/>
    <w:rPr>
      <w:rFonts w:ascii="Times New Roman" w:hAnsi="Times New Roman" w:cs="Times New Roman"/>
      <w:noProof/>
      <w:lang w:val="lt-LT"/>
    </w:rPr>
  </w:style>
  <w:style w:type="paragraph" w:styleId="Debesliotekstas">
    <w:name w:val="Balloon Text"/>
    <w:basedOn w:val="prastasis"/>
    <w:semiHidden/>
    <w:rPr>
      <w:rFonts w:ascii="Tahoma" w:hAnsi="Tahoma" w:cs="Tahoma"/>
      <w:sz w:val="16"/>
      <w:szCs w:val="16"/>
    </w:rPr>
  </w:style>
  <w:style w:type="character" w:customStyle="1" w:styleId="BalloonTextChar">
    <w:name w:val="Balloon Text Char"/>
    <w:semiHidden/>
    <w:locked/>
    <w:rPr>
      <w:rFonts w:ascii="Tahoma" w:hAnsi="Tahoma" w:cs="Tahoma"/>
      <w:sz w:val="16"/>
      <w:szCs w:val="16"/>
      <w:lang w:val="lt-LT" w:eastAsia="lt-LT"/>
    </w:rPr>
  </w:style>
  <w:style w:type="paragraph" w:customStyle="1" w:styleId="BT-EMEASMCA">
    <w:name w:val="BT- EMEA_SMCA"/>
    <w:basedOn w:val="BTEMEASMCA"/>
    <w:autoRedefine/>
    <w:pPr>
      <w:numPr>
        <w:numId w:val="4"/>
      </w:numPr>
      <w:tabs>
        <w:tab w:val="clear" w:pos="720"/>
        <w:tab w:val="num" w:pos="360"/>
      </w:tabs>
      <w:ind w:left="0" w:firstLine="0"/>
    </w:pPr>
  </w:style>
  <w:style w:type="paragraph" w:customStyle="1" w:styleId="BTbEMEASMCA">
    <w:name w:val="BT(b) EMEA_SMCA"/>
    <w:basedOn w:val="BTEMEASMCA"/>
    <w:autoRedefine/>
    <w:rsid w:val="00212B02"/>
    <w:pPr>
      <w:tabs>
        <w:tab w:val="left" w:pos="588"/>
      </w:tabs>
    </w:pPr>
  </w:style>
  <w:style w:type="character" w:customStyle="1" w:styleId="TTEMEASMCAChar">
    <w:name w:val="TT EMEA_SMCA Char"/>
    <w:locked/>
    <w:rPr>
      <w:rFonts w:ascii="Times New Roman" w:hAnsi="Times New Roman" w:cs="Times New Roman"/>
      <w:b/>
      <w:caps/>
    </w:rPr>
  </w:style>
  <w:style w:type="paragraph" w:customStyle="1" w:styleId="TTEMEASMCA">
    <w:name w:val="TT EMEA_SMCA"/>
    <w:basedOn w:val="Antrat1"/>
    <w:autoRedefine/>
    <w:pPr>
      <w:keepNext w:val="0"/>
      <w:tabs>
        <w:tab w:val="left" w:pos="567"/>
      </w:tabs>
      <w:ind w:left="567" w:hanging="567"/>
      <w:jc w:val="center"/>
    </w:pPr>
    <w:rPr>
      <w:rFonts w:eastAsia="Calibri"/>
      <w:b/>
      <w:caps/>
      <w:szCs w:val="22"/>
      <w:lang w:val="en-US" w:eastAsia="en-US"/>
    </w:rPr>
  </w:style>
  <w:style w:type="character" w:styleId="Komentaronuoroda">
    <w:name w:val="annotation reference"/>
    <w:semiHidden/>
    <w:rPr>
      <w:rFonts w:cs="Times New Roman"/>
      <w:sz w:val="16"/>
      <w:szCs w:val="16"/>
    </w:rPr>
  </w:style>
  <w:style w:type="paragraph" w:styleId="Komentarotekstas">
    <w:name w:val="annotation text"/>
    <w:basedOn w:val="prastasis"/>
    <w:semiHidden/>
    <w:rPr>
      <w:sz w:val="20"/>
    </w:rPr>
  </w:style>
  <w:style w:type="character" w:customStyle="1" w:styleId="CommentTextChar">
    <w:name w:val="Comment Text Char"/>
    <w:semiHidden/>
    <w:rPr>
      <w:rFonts w:ascii="Times New Roman" w:eastAsia="Times New Roman" w:hAnsi="Times New Roman"/>
      <w:sz w:val="20"/>
      <w:szCs w:val="20"/>
    </w:rPr>
  </w:style>
  <w:style w:type="paragraph" w:styleId="Komentarotema">
    <w:name w:val="annotation subject"/>
    <w:basedOn w:val="Komentarotekstas"/>
    <w:next w:val="Komentarotekstas"/>
    <w:semiHidden/>
    <w:rPr>
      <w:b/>
      <w:bCs/>
    </w:rPr>
  </w:style>
  <w:style w:type="character" w:customStyle="1" w:styleId="CommentSubjectChar">
    <w:name w:val="Comment Subject Char"/>
    <w:semiHidden/>
    <w:rPr>
      <w:rFonts w:ascii="Times New Roman" w:eastAsia="Times New Roman" w:hAnsi="Times New Roman"/>
      <w:b/>
      <w:bCs/>
      <w:sz w:val="20"/>
      <w:szCs w:val="20"/>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rPr>
      <w:rFonts w:ascii="Times New Roman" w:eastAsia="Times New Roman" w:hAnsi="Times New Roman"/>
      <w:b/>
      <w:noProof/>
      <w:lang w:eastAsia="en-US"/>
    </w:rPr>
  </w:style>
  <w:style w:type="paragraph" w:customStyle="1" w:styleId="BTeEMEASMCA">
    <w:name w:val="BT(e) EMEA_SMCA"/>
    <w:basedOn w:val="BTEMEASMCA"/>
    <w:autoRedefine/>
    <w:pPr>
      <w:jc w:val="center"/>
    </w:pPr>
    <w:rPr>
      <w:b/>
      <w:noProof w:val="0"/>
    </w:rPr>
  </w:style>
  <w:style w:type="paragraph" w:customStyle="1" w:styleId="PI-2EMEASMCA">
    <w:name w:val="PI-2 EMEA_SMCA"/>
    <w:basedOn w:val="Antrat3"/>
    <w:autoRedefine/>
    <w:pPr>
      <w:keepLines/>
      <w:tabs>
        <w:tab w:val="left" w:pos="567"/>
      </w:tabs>
    </w:pPr>
    <w:rPr>
      <w:kern w:val="28"/>
      <w:szCs w:val="22"/>
      <w:lang w:eastAsia="en-US"/>
    </w:rPr>
  </w:style>
  <w:style w:type="character" w:customStyle="1" w:styleId="Heading4Char">
    <w:name w:val="Heading 4 Char"/>
    <w:semiHidden/>
    <w:rPr>
      <w:rFonts w:ascii="Calibri" w:eastAsia="Times New Roman" w:hAnsi="Calibri" w:cs="Times New Roman"/>
      <w:b/>
      <w:bCs/>
      <w:sz w:val="28"/>
      <w:szCs w:val="28"/>
    </w:rPr>
  </w:style>
  <w:style w:type="paragraph" w:styleId="Pagrindiniotekstotrauka">
    <w:name w:val="Body Text Indent"/>
    <w:basedOn w:val="prastasis"/>
    <w:semiHidden/>
    <w:unhideWhenUsed/>
    <w:pPr>
      <w:spacing w:after="120"/>
      <w:ind w:left="283"/>
    </w:pPr>
  </w:style>
  <w:style w:type="character" w:customStyle="1" w:styleId="BodyTextIndentChar">
    <w:name w:val="Body Text Indent Char"/>
    <w:semiHidden/>
    <w:rPr>
      <w:rFonts w:ascii="Times New Roman" w:eastAsia="Times New Roman" w:hAnsi="Times New Roman"/>
      <w:szCs w:val="20"/>
    </w:rPr>
  </w:style>
  <w:style w:type="paragraph" w:customStyle="1" w:styleId="PI-3EMEASMCA">
    <w:name w:val="PI-3 EMEA_SMCA"/>
    <w:basedOn w:val="prastasis"/>
    <w:autoRedefine/>
    <w:pPr>
      <w:spacing w:line="220" w:lineRule="exact"/>
    </w:pPr>
    <w:rPr>
      <w:b/>
      <w:bCs/>
      <w:szCs w:val="22"/>
      <w:lang w:eastAsia="en-US"/>
    </w:rPr>
  </w:style>
  <w:style w:type="character" w:styleId="Perirtashipersaitas">
    <w:name w:val="FollowedHyperlink"/>
    <w:semiHidden/>
    <w:rPr>
      <w:color w:val="800080"/>
      <w:u w:val="single"/>
    </w:rPr>
  </w:style>
  <w:style w:type="character" w:customStyle="1" w:styleId="shorttext">
    <w:name w:val="short_text"/>
    <w:basedOn w:val="Numatytasispastraiposriftas"/>
  </w:style>
  <w:style w:type="character" w:customStyle="1" w:styleId="hps">
    <w:name w:val="hps"/>
    <w:basedOn w:val="Numatytasispastraiposriftas"/>
  </w:style>
  <w:style w:type="paragraph" w:styleId="Puslapioinaostekstas">
    <w:name w:val="footnote text"/>
    <w:basedOn w:val="prastasis"/>
    <w:semiHidden/>
    <w:pPr>
      <w:tabs>
        <w:tab w:val="left" w:pos="567"/>
      </w:tabs>
      <w:suppressAutoHyphens/>
      <w:spacing w:line="260" w:lineRule="exact"/>
    </w:pPr>
    <w:rPr>
      <w:sz w:val="20"/>
      <w:lang w:val="en-GB" w:eastAsia="ar-SA"/>
    </w:rPr>
  </w:style>
  <w:style w:type="table" w:styleId="Lentelstinklelis">
    <w:name w:val="Table Grid"/>
    <w:basedOn w:val="prastojilentel"/>
    <w:uiPriority w:val="39"/>
    <w:rsid w:val="00597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82619"/>
    <w:rPr>
      <w:rFonts w:ascii="Times New Roman" w:eastAsia="Times New Roman" w:hAnsi="Times New Roman"/>
      <w:sz w:val="22"/>
    </w:rPr>
  </w:style>
  <w:style w:type="paragraph" w:styleId="Sraopastraipa">
    <w:name w:val="List Paragraph"/>
    <w:basedOn w:val="prastasis"/>
    <w:uiPriority w:val="34"/>
    <w:qFormat/>
    <w:rsid w:val="00210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1600">
      <w:bodyDiv w:val="1"/>
      <w:marLeft w:val="0"/>
      <w:marRight w:val="0"/>
      <w:marTop w:val="0"/>
      <w:marBottom w:val="0"/>
      <w:divBdr>
        <w:top w:val="none" w:sz="0" w:space="0" w:color="auto"/>
        <w:left w:val="none" w:sz="0" w:space="0" w:color="auto"/>
        <w:bottom w:val="none" w:sz="0" w:space="0" w:color="auto"/>
        <w:right w:val="none" w:sz="0" w:space="0" w:color="auto"/>
      </w:divBdr>
    </w:div>
    <w:div w:id="1798836856">
      <w:bodyDiv w:val="1"/>
      <w:marLeft w:val="0"/>
      <w:marRight w:val="0"/>
      <w:marTop w:val="0"/>
      <w:marBottom w:val="0"/>
      <w:divBdr>
        <w:top w:val="none" w:sz="0" w:space="0" w:color="auto"/>
        <w:left w:val="none" w:sz="0" w:space="0" w:color="auto"/>
        <w:bottom w:val="none" w:sz="0" w:space="0" w:color="auto"/>
        <w:right w:val="none" w:sz="0" w:space="0" w:color="auto"/>
      </w:divBdr>
    </w:div>
    <w:div w:id="206906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czta@Labofarm.com.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czta@labofarm.com.p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030B-9FC2-4EB7-BAC5-680D3B10F3C0}">
  <ds:schemaRefs>
    <ds:schemaRef ds:uri="http://schemas.microsoft.com/sharepoint/v3/contenttype/forms"/>
  </ds:schemaRefs>
</ds:datastoreItem>
</file>

<file path=customXml/itemProps2.xml><?xml version="1.0" encoding="utf-8"?>
<ds:datastoreItem xmlns:ds="http://schemas.openxmlformats.org/officeDocument/2006/customXml" ds:itemID="{98F11D4F-40F5-4B7D-A1E3-9E3F60779213}">
  <ds:schemaRef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395CDC-3D31-41CB-B117-3435941CF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ED9F13-AF88-4DC8-9002-5AC34C45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3366</Words>
  <Characters>23851</Characters>
  <Application>Microsoft Office Word</Application>
  <DocSecurity>4</DocSecurity>
  <Lines>198</Lines>
  <Paragraphs>54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I PRIEDAS</vt:lpstr>
      <vt:lpstr>I PRIEDAS</vt:lpstr>
      <vt:lpstr>I PRIEDAS</vt:lpstr>
    </vt:vector>
  </TitlesOfParts>
  <Company/>
  <LinksUpToDate>false</LinksUpToDate>
  <CharactersWithSpaces>27163</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3735627</vt:i4>
      </vt:variant>
      <vt:variant>
        <vt:i4>6</vt:i4>
      </vt:variant>
      <vt:variant>
        <vt:i4>0</vt:i4>
      </vt:variant>
      <vt:variant>
        <vt:i4>5</vt:i4>
      </vt:variant>
      <vt:variant>
        <vt:lpwstr>mailto:poczta@Labofarm.com.pl</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2</cp:revision>
  <dcterms:created xsi:type="dcterms:W3CDTF">2025-04-18T11:36:00Z</dcterms:created>
  <dcterms:modified xsi:type="dcterms:W3CDTF">2025-04-18T11:36:00Z</dcterms:modified>
</cp:coreProperties>
</file>