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bCs/>
          <w:iCs/>
          <w:sz w:val="22"/>
          <w:szCs w:val="22"/>
          <w:lang w:val="lt-LT" w:bidi="lo-LA"/>
        </w:rPr>
        <w:t>Pakuotės lapelis: informacija vartotojui</w:t>
      </w:r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b/>
          <w:bCs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bCs/>
          <w:sz w:val="22"/>
          <w:szCs w:val="22"/>
          <w:lang w:val="lt-LT" w:bidi="lo-LA"/>
        </w:rPr>
        <w:t xml:space="preserve"> LA 3 mg/ml akių lašai (tirpalas) </w:t>
      </w:r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Tobramicinas</w:t>
      </w:r>
      <w:proofErr w:type="spellEnd"/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Atidžiai perskaitykite visą šį lapelį, prieš pradėdami vartoti vaistą, nes jame pateikiama Jums svarbi informacija.</w:t>
      </w:r>
    </w:p>
    <w:p w:rsidR="00723F2B" w:rsidRPr="006C090B" w:rsidRDefault="00723F2B" w:rsidP="00723F2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Neišmeskite šio lapelio, nes vėl gali prireikti jį perskaityti. </w:t>
      </w:r>
    </w:p>
    <w:p w:rsidR="00723F2B" w:rsidRPr="006C090B" w:rsidRDefault="00723F2B" w:rsidP="00723F2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kiltų daugiau klausimų, kreipkitės į gydytoją arba vaistininką.</w:t>
      </w:r>
    </w:p>
    <w:p w:rsidR="00723F2B" w:rsidRPr="006C090B" w:rsidRDefault="00723F2B" w:rsidP="00723F2B">
      <w:p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-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>Šis vaistas skirtas tik Jums, todėl kitiems žmonėms jo duoti negalima. Vaistas gali jiems pakenkti (net tiems, kurių ligos požymiai yra tokie patys kaip Jūsų).</w:t>
      </w:r>
    </w:p>
    <w:p w:rsidR="00723F2B" w:rsidRPr="006C090B" w:rsidRDefault="00723F2B" w:rsidP="00723F2B">
      <w:pPr>
        <w:numPr>
          <w:ilvl w:val="0"/>
          <w:numId w:val="2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pasireiškė šalutinis poveikis (net jeigu jis šiame lapelyje nenurodytas), kreipkitės į gydytoją arba vaistininką.</w:t>
      </w: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Žr. 4 skyrių.</w:t>
      </w:r>
    </w:p>
    <w:p w:rsidR="00723F2B" w:rsidRPr="006C090B" w:rsidRDefault="00723F2B" w:rsidP="00723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sz w:val="22"/>
          <w:szCs w:val="22"/>
          <w:lang w:val="lt-LT"/>
        </w:rPr>
      </w:pPr>
      <w:r w:rsidRPr="006C090B">
        <w:rPr>
          <w:rFonts w:ascii="Times New Roman" w:eastAsia="SimSun" w:hAnsi="Times New Roman" w:cs="Times New Roman"/>
          <w:b/>
          <w:sz w:val="22"/>
          <w:szCs w:val="22"/>
          <w:lang w:val="lt-LT"/>
        </w:rPr>
        <w:t>Apie ką rašoma šiame lapelyje?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1.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 xml:space="preserve">Kas yra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ir kam jis vartojamas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2.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 xml:space="preserve">Kas žinotina prieš vartojant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3.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 xml:space="preserve">Kaip vartoti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4.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>Galimas šalutinis poveikis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5.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 xml:space="preserve">Kaip laikyti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6.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  <w:t>Pakuotės turinys ir kita informacija</w:t>
      </w:r>
    </w:p>
    <w:p w:rsidR="00723F2B" w:rsidRPr="006C090B" w:rsidRDefault="00723F2B" w:rsidP="00723F2B">
      <w:pPr>
        <w:spacing w:after="0" w:line="240" w:lineRule="auto"/>
        <w:ind w:left="630" w:hanging="630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1.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ab/>
        <w:t xml:space="preserve">Kas yra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 xml:space="preserve"> LA ir kam jis vartojamas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yra vaistas paviršinėms bakterinėms akių infekcijoms gydyti. Tai antibiotikas, veikiantis infekciją sukeliančius mikrobus. Jis daro stiprų bakterijas naikinantį poveikį.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 vartojamas bakterinėms akių ir aplinkinių akies sričių infekcinėms ligoms, kurias sukėlė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tobramicinui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jautrios bakterijos, gydyti suaugusiems žmonėms ir 1 metų bei vyresniems vaikams.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Kai kurie mikrobai (bakterijos) gali sukelti akių paviršiaus uždegimą, dėl to akys parausta, atsiranda išskyrų ir kitokių dirginimo simptomų.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2.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ab/>
        <w:t xml:space="preserve">Kas žinotina prieš vartojant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 LA vartoti </w:t>
      </w:r>
      <w:r w:rsidRPr="006C090B">
        <w:rPr>
          <w:rFonts w:ascii="Times New Roman" w:hAnsi="Times New Roman" w:cs="Times New Roman"/>
          <w:b/>
          <w:sz w:val="22"/>
          <w:szCs w:val="22"/>
          <w:lang w:val="lt-LT"/>
        </w:rPr>
        <w:t>negalima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:</w:t>
      </w:r>
    </w:p>
    <w:p w:rsidR="00723F2B" w:rsidRPr="006C090B" w:rsidRDefault="00723F2B" w:rsidP="00723F2B">
      <w:pPr>
        <w:numPr>
          <w:ilvl w:val="0"/>
          <w:numId w:val="3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jeigu yra alergija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tobramicinui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aminoglikozidams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arba bet kuriai pagalbinei šio vaisto medžiagai (jos išvardytos 6 skyriuje).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keepNext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</w:pPr>
      <w:r w:rsidRPr="006C090B"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  <w:t xml:space="preserve">Įspėjimai ir atsargumo priemonės </w:t>
      </w:r>
    </w:p>
    <w:p w:rsidR="00723F2B" w:rsidRPr="006C090B" w:rsidRDefault="00723F2B" w:rsidP="00723F2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Pasitarkite su gydytoju arba vaistininku, prieš pradėdami vartoti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LA:</w:t>
      </w:r>
    </w:p>
    <w:p w:rsidR="00723F2B" w:rsidRPr="006C090B" w:rsidRDefault="00723F2B" w:rsidP="00723F2B">
      <w:pPr>
        <w:numPr>
          <w:ilvl w:val="0"/>
          <w:numId w:val="3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jeigu pasireiškia alerginė reakcija į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LA, nutraukite vaisto vartojimą ir kreipkitės į gydytoją. Alerginė reakcija gali būti įvairi (nuo 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lokalaus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niežėjimo ar odos paraudimo iki sunkios alerginės reakcijos (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anafilasinės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reakcijos) ar sunkios odos reakcijos). Tokių alerginių reakcijų gali atsirasti ir vartojant kitokių tos pačios grupės vietinio ar sisteminio poveikio antibiotikų (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aminoglikozidų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);</w:t>
      </w:r>
    </w:p>
    <w:p w:rsidR="00723F2B" w:rsidRPr="006C090B" w:rsidRDefault="00723F2B" w:rsidP="00723F2B">
      <w:pPr>
        <w:numPr>
          <w:ilvl w:val="0"/>
          <w:numId w:val="3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jeigu Jūsų simptomai pasunkėja ar staiga atsinaujina. Jei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vartojate ilgai, gali padidėti akies infekcijos pavojus;</w:t>
      </w:r>
    </w:p>
    <w:p w:rsidR="00723F2B" w:rsidRPr="00DE5EA8" w:rsidRDefault="00723F2B" w:rsidP="00723F2B">
      <w:pPr>
        <w:numPr>
          <w:ilvl w:val="0"/>
          <w:numId w:val="3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jeigu kartu su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vartojate kitų antibiotikų (tokiu atveju pasitarkite su gydytoju);</w:t>
      </w:r>
    </w:p>
    <w:p w:rsidR="00723F2B" w:rsidRPr="006C090B" w:rsidRDefault="00723F2B" w:rsidP="00723F2B">
      <w:pPr>
        <w:numPr>
          <w:ilvl w:val="0"/>
          <w:numId w:val="3"/>
        </w:numPr>
        <w:tabs>
          <w:tab w:val="clear" w:pos="93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jeigu sergate ligomis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, kurių metu pažeidžiamos nervų raumenų jungtys,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pvz., generalizuota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 m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</w:rPr>
        <w:t xml:space="preserve">iastenija 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ar Parkinsono liga, 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arba šios ligos įtariamos, 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pasitarkite su gydytoju. 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Aminoglikozidų grupės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 antibiotikai</w:t>
      </w:r>
      <w:r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, jiems priskiriamas tobramicinas,</w:t>
      </w:r>
      <w:r w:rsidRPr="00DB427E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 gali sustiprinti raumenų silpnumą;</w:t>
      </w:r>
    </w:p>
    <w:p w:rsidR="00723F2B" w:rsidRPr="006C090B" w:rsidRDefault="00723F2B" w:rsidP="00723F2B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lastRenderedPageBreak/>
        <w:t>gydant akies infekciją nerekomenduojama dėvėti kontaktinių lęšių. Jeigu nešiojate kontaktinius lęšius. Nesilašinkite vaisto nenusiėmę kontaktinių lęšių. Įsilašinę neužsidėkite jų 10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noBreakHyphen/>
        <w:t xml:space="preserve">15 minučių.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konservantas (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benzdodecinio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bromidas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) gali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sudirgint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akis ir pakeisti minkštųjų kontaktinių lęšių spalvą.</w:t>
      </w:r>
    </w:p>
    <w:p w:rsidR="00723F2B" w:rsidRPr="006C090B" w:rsidRDefault="00723F2B" w:rsidP="00723F2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Vaikams ir paaugliams</w:t>
      </w:r>
    </w:p>
    <w:p w:rsidR="00723F2B" w:rsidRPr="006C090B" w:rsidRDefault="00723F2B" w:rsidP="00723F2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Nevartokite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vaikams iki 1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metų.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Kiti vaistai ir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vartojate ar neseniai vartojote kitų vaistų arba dėl to nesate tikri, apie tai pasakykite gydytojui arba vaistininkui. Ypač svarbu pasakyti, jei vartojate kortikosteroidų (imuninę sistemą slopinančių vaistų).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Kartu vartojant kitus akių vaistus tarp vienų ir kitų vartojimo reikia daryti 5 minučių pertrauką. Akių tepalą reikia vartoti paskiausiai.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Nėštumas ir žindymo laikotarpis 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esate nėščia, žindote kūdikį, manote, kad galbūt esate nėščia, arba planuojate pastoti, tai prieš vartodama šį vaistą, pasitarkite su gydytoju arba vaistininku.</w:t>
      </w:r>
    </w:p>
    <w:p w:rsidR="00723F2B" w:rsidRPr="006C090B" w:rsidRDefault="00723F2B" w:rsidP="00723F2B">
      <w:pPr>
        <w:spacing w:after="0" w:line="240" w:lineRule="auto"/>
        <w:rPr>
          <w:rFonts w:ascii="Times New Roman" w:eastAsia="SimSun" w:hAnsi="Times New Roman" w:cs="Times New Roman"/>
          <w:noProof/>
          <w:sz w:val="22"/>
          <w:szCs w:val="22"/>
          <w:lang w:val="lt-LT"/>
        </w:rPr>
      </w:pPr>
    </w:p>
    <w:p w:rsidR="00723F2B" w:rsidRDefault="00723F2B" w:rsidP="00723F2B">
      <w:pPr>
        <w:spacing w:after="0" w:line="240" w:lineRule="auto"/>
        <w:rPr>
          <w:rFonts w:ascii="Times New Roman" w:eastAsia="SimSu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SimSun" w:hAnsi="Times New Roman" w:cs="Times New Roman"/>
          <w:noProof/>
          <w:sz w:val="22"/>
          <w:szCs w:val="22"/>
          <w:lang w:val="lt-LT"/>
        </w:rPr>
        <w:t>Nėštumo laikotarpiu Tobrex LA akių lašų nevartokite, nebent gydytojas nuspręstų, kad vaistą vartoti reikia. Tobrex LA nėščioms moterims galima vartoti tik neabejotinai būtinu atveju.</w:t>
      </w:r>
    </w:p>
    <w:p w:rsidR="00723F2B" w:rsidRPr="006C090B" w:rsidRDefault="00723F2B" w:rsidP="00723F2B">
      <w:pPr>
        <w:spacing w:after="0" w:line="240" w:lineRule="auto"/>
        <w:rPr>
          <w:rFonts w:ascii="Times New Roman" w:eastAsia="SimSun" w:hAnsi="Times New Roman" w:cs="Times New Roman"/>
          <w:noProof/>
          <w:sz w:val="22"/>
          <w:szCs w:val="22"/>
          <w:lang w:val="lt-LT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Labai mažai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 gali patekti į Jūsų pieną, todėl tikimybė, kad jo teks Jūsų kūdikiui, yra labai maža. Gydant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 akių lašais laikinai reikėtų nutraukti žindymą.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Vairavimas ir mechanizmų valdymas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Įsilašinę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kurį laiką galite neryškiai matyti. Nevairuokite automobilio ir nedirbkite su mechanizmais, kol vėl matysite aiškiai.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3.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ab/>
        <w:t xml:space="preserve">Kaip vartoti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 LA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Visada vartokite šį vaistą tiksliai kaip nurodė gydytojas. Jeigu abejojate, kreipkitės į gydytoją arba vaistininką</w:t>
      </w: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  <w:t>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  <w:t>Suaugusiems žmonėms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Lašinama </w:t>
      </w: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po vieną lašą į vieną ar abi akis 2 kartus per parą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– rytais ir vakarais.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Lašinkitės po tiek, jei gydytojas nenurodė kitaip. Į abi akis lašinkitės tik jei gydytojas taip paskyrė. Vartokite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tiek dienų, kiek gydytojas patarė.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  <w:t>Senyviems pacientams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Senyviems žmonėms dozės keisti nereikia.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 w:bidi="lo-LA"/>
        </w:rPr>
        <w:t>Pacientams, kurių kepenų ar inkstų funkcija sutrikusi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Šių 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pacientų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gydymas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akių lašais netirtas.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 galima vartoti tik ant akių.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widowControl w:val="0"/>
        <w:suppressLineNumbers/>
        <w:tabs>
          <w:tab w:val="left" w:pos="141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pacing w:val="-2"/>
          <w:sz w:val="22"/>
          <w:szCs w:val="22"/>
          <w:lang w:val="lt-LT" w:bidi="lo-LA"/>
        </w:rPr>
        <w:t>Vartojimas vaikams ir paaugliams</w:t>
      </w:r>
    </w:p>
    <w:p w:rsidR="00723F2B" w:rsidRPr="006C090B" w:rsidRDefault="00723F2B" w:rsidP="00723F2B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 akių lašų gali vartoti </w:t>
      </w: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1 metų ir vyresni vaikai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tokiomis pačiomis dozėmis, kaip ir suaugę žmonės. Šio vaisto veiksmingumas ir saugumas jaunesniems kaip 1 metų vaikams nenustatytas, dozavimo rekomendacijų pateikti negalima, kadangi trūksta duomenų.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lašinkite tik į akis.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lastRenderedPageBreak/>
        <w:t>Kartu vartojant kitus akių vaistus tarp vienų ir kitų vartojimo reikia daryti 5 minučių pertrauką. Akių tepalą reikia vartoti paskiausiai.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Vartojimo būdas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CE7362">
        <w:rPr>
          <w:rFonts w:ascii="Times New Roman" w:eastAsia="Times New Roman" w:hAnsi="Times New Roman" w:cs="Times New Roman"/>
          <w:noProof/>
          <w:sz w:val="22"/>
          <w:szCs w:val="22"/>
          <w:lang w:val="lt-LT" w:eastAsia="lt-LT"/>
        </w:rPr>
        <w:drawing>
          <wp:inline distT="0" distB="0" distL="0" distR="0" wp14:anchorId="73B41F34" wp14:editId="601E1549">
            <wp:extent cx="1247775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  <w:r w:rsidRPr="00CE7362">
        <w:rPr>
          <w:rFonts w:ascii="Times New Roman" w:eastAsia="Times New Roman" w:hAnsi="Times New Roman" w:cs="Times New Roman"/>
          <w:noProof/>
          <w:sz w:val="22"/>
          <w:szCs w:val="22"/>
          <w:lang w:val="lt-LT" w:eastAsia="lt-LT"/>
        </w:rPr>
        <w:drawing>
          <wp:inline distT="0" distB="0" distL="0" distR="0" wp14:anchorId="7D23740C" wp14:editId="5427EB17">
            <wp:extent cx="120015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ab/>
      </w:r>
    </w:p>
    <w:p w:rsidR="00723F2B" w:rsidRPr="006C090B" w:rsidRDefault="00723F2B" w:rsidP="00723F2B">
      <w:pPr>
        <w:tabs>
          <w:tab w:val="left" w:pos="567"/>
          <w:tab w:val="left" w:pos="993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ab/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ab/>
        <w:t>1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ab/>
        <w:t>2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ab/>
      </w:r>
    </w:p>
    <w:p w:rsidR="00723F2B" w:rsidRPr="006C090B" w:rsidRDefault="00723F2B" w:rsidP="00723F2B">
      <w:pPr>
        <w:tabs>
          <w:tab w:val="left" w:pos="567"/>
          <w:tab w:val="left" w:pos="2835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Paimkite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 LA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ir veidrodį.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Nusiplaukite rankas.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Paimkite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ir atsukite dangtelį.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Apverstą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laikykite nykščiu ir didžiuoju pirštu.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Atloškite galvą. Švariu pirštu patraukite voką, kad tarp jo ir akies susidarytų kišenėlė; į ją lašinsite vaisto (1 pav.).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antgalį prikiškite prie akies. Jei reikia, naudokitės veidrodžiu.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Lašintuvu nelieskite akies, voko, aplinkinės odos ar kitų paviršių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, kad neužsiterštų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talpyklėje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likę lašai.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 xml:space="preserve">Atsargiai paspauskite </w:t>
      </w:r>
      <w:proofErr w:type="spellStart"/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talpykl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, kad išlašėtų vienas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lašas.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 xml:space="preserve">Nespauskite </w:t>
      </w:r>
      <w:proofErr w:type="spellStart"/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talpyklės</w:t>
      </w:r>
      <w:proofErr w:type="spellEnd"/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 xml:space="preserve"> stipriai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: ji pagaminta taip, kad pakanka lengvai spustelėti dugną (2 pav.).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Įlašinę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atleiskite voką, užsimerkite ir nestipriai užspauskite pirštu akies kampą prie nosies. Tai apsaugos, kad mažiau vaisto patektų į visą organizmą.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 lašinatės vaisto į abi akis, tokiu pat būdu įsilašinkite ir į kitą akį.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Iškart po vartojimo sandariai užsukite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. </w:t>
      </w:r>
    </w:p>
    <w:p w:rsidR="00723F2B" w:rsidRPr="006C090B" w:rsidRDefault="00723F2B" w:rsidP="00723F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Nebaigę vaisto iš vienos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, neatsukite kitos.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Cs/>
          <w:sz w:val="22"/>
          <w:szCs w:val="22"/>
          <w:lang w:val="lt-LT" w:bidi="lo-LA"/>
        </w:rPr>
        <w:t>Jei nepataikėte įsilašinti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, bandykite dar kartą.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Ką daryti pavartojus per didelę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 LA dozę?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 įsilašinote vaisto per daug, nusiplaukite akis šiltu vandeniu.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Vis dėlto šalutinis poveikis nėra tikėtinas.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Daugiau nesilašinkite, kol ateis laikas lašintis vėl.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6C090B"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  <w:t> LA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Jei pamiršote įsilašinti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 įsilašinkite, kai tik prisiminsite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 beveik atėjęs laikas vartoti vaistą kitą kartą, praleiskite užmirštąją dozę ir toliau vartokite įprastu laiku. Negalima vartoti dvigubos dozės norint kompensuoti praleistą dozę.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 xml:space="preserve">Nustojus vartoti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 LA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kiltų daugiau klausimų dėl šio vaisto vartojimo, kreipkitės į gydytoją arba vaistininką.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4.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ab/>
        <w:t>Galimas šalutinis poveikis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Šis vaistas, kaip ir visi kiti, gali sukelti šalutinį poveikį, nors jis pasireiškia ne visiems žmonėms.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Toliau išvardyti šalutiniai poveikiai pastebėti vartojant tobramicino akių lašus: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</w:t>
      </w: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 xml:space="preserve">Dažni šalutiniai poveikiai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(</w:t>
      </w: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>gali pasireikšti nuo 1 iki 10 vartotojų iš 100)</w:t>
      </w:r>
    </w:p>
    <w:p w:rsidR="00723F2B" w:rsidRPr="006C090B" w:rsidRDefault="00723F2B" w:rsidP="00723F2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Akių sutrikimai: akies diskomfortas, akies paraudimas.</w:t>
      </w:r>
    </w:p>
    <w:p w:rsidR="00723F2B" w:rsidRPr="006C090B" w:rsidRDefault="00723F2B" w:rsidP="00723F2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>Nedažni šalutiniai poveikiai (gali pasireikšti nuo 1 iki 10 vartotojų iš 1000)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:</w:t>
      </w:r>
    </w:p>
    <w:p w:rsidR="00723F2B" w:rsidRPr="006C090B" w:rsidRDefault="00723F2B" w:rsidP="00723F2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Akių sutrikimai: ragenos uždegimas, ragenos pažeidimas, regėjimo pablogėjimas, neryškus matymas, voko paraudimas, akies ir voko patinimas, akies skausmas, akies sausumas, išskyros iš akies, akių vokų sutrikimas, akies niežėjimas, padidėjęs ašarojimas, akies alergija.</w:t>
      </w:r>
    </w:p>
    <w:p w:rsidR="00723F2B" w:rsidRPr="006C090B" w:rsidRDefault="00723F2B" w:rsidP="00723F2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lastRenderedPageBreak/>
        <w:t>Bendrieji sutrikimai: alergija (padidėjęs jautrumas), galvos skausmas, dilgėlinė, odos uždegimas, sumažėjęs blakstienų augimas arba jų skaičius, odos pigmentacijos išnykimas, niežėjimas ir odos sausumas.</w:t>
      </w:r>
    </w:p>
    <w:p w:rsidR="00723F2B" w:rsidRPr="006C090B" w:rsidRDefault="00723F2B" w:rsidP="00723F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>Dažnis nežinomas (</w:t>
      </w:r>
      <w:r w:rsidRPr="006C090B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lt-LT"/>
        </w:rPr>
        <w:t>negali būti įvertintas pagal turimus duomenis</w:t>
      </w: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>)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:</w:t>
      </w:r>
    </w:p>
    <w:p w:rsidR="00723F2B" w:rsidRPr="006C090B" w:rsidRDefault="00723F2B" w:rsidP="00723F2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Akių sutrikimai: akies sudirginimas, voko niežėjimas.</w:t>
      </w:r>
    </w:p>
    <w:p w:rsidR="00723F2B" w:rsidRPr="006C090B" w:rsidRDefault="00723F2B" w:rsidP="00723F2B">
      <w:pPr>
        <w:widowControl w:val="0"/>
        <w:numPr>
          <w:ilvl w:val="12"/>
          <w:numId w:val="0"/>
        </w:numPr>
        <w:suppressAutoHyphens/>
        <w:spacing w:after="0" w:line="240" w:lineRule="auto"/>
        <w:ind w:right="-29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Bendrieji sutrikimai: sunki alerginė reakcija, sunkios odos reakcijos (Strevens</w:t>
      </w: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noBreakHyphen/>
        <w:t>Johnson sindromas ir daugiaformė eritema)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.</w:t>
      </w: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>Jeigu pasireiškė sunkus šalutinis poveikis arba pastebėjote šiame lapelyje nenurodytą šalutinį poveikį, pasakykite gydytojui arba vaistininkui.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noProof/>
          <w:snapToGrid w:val="0"/>
          <w:sz w:val="22"/>
          <w:szCs w:val="22"/>
          <w:lang w:val="lt-LT"/>
        </w:rPr>
        <w:t>Pranešimas apie šalutinį poveikį</w:t>
      </w:r>
    </w:p>
    <w:p w:rsidR="00723F2B" w:rsidRPr="006C090B" w:rsidRDefault="00723F2B" w:rsidP="00723F2B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6C090B">
        <w:rPr>
          <w:rFonts w:ascii="Times New Roman" w:hAnsi="Times New Roman" w:cs="Times New Roman"/>
          <w:sz w:val="22"/>
          <w:szCs w:val="22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 Vilnius), nemokamu fakso numeriu 8 800 20131, el. paštu </w:t>
      </w:r>
      <w:proofErr w:type="spellStart"/>
      <w:r w:rsidRPr="006C090B">
        <w:rPr>
          <w:rFonts w:ascii="Times New Roman" w:hAnsi="Times New Roman" w:cs="Times New Roman"/>
          <w:sz w:val="22"/>
          <w:szCs w:val="22"/>
          <w:lang w:val="lt-LT"/>
        </w:rPr>
        <w:t>NepageidaujamaR@vvkt.lt</w:t>
      </w:r>
      <w:proofErr w:type="spellEnd"/>
      <w:r w:rsidRPr="006C090B">
        <w:rPr>
          <w:rFonts w:ascii="Times New Roman" w:hAnsi="Times New Roman" w:cs="Times New Roman"/>
          <w:sz w:val="22"/>
          <w:szCs w:val="22"/>
          <w:lang w:val="lt-LT"/>
        </w:rPr>
        <w:t>, taip pat per Valstybinės vaistų kontrolės tarnybos prie Lietuvos Respublikos sveikatos apsaugos ministerijos interneto svetainę (adresu http://www.vvkt.lt).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5.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ab/>
        <w:t xml:space="preserve">Kaip laikyti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 LA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Šį vaistą laikykite vaikams nepastebimoje ir nepasiekiamoje vietoje.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Šiam vaistui specialių laikymo sąlygų nereikia.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Pirmą kartą atidarius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, tirpalo tinkamumo laikas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noBreakHyphen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4 savaitės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Praėjus keturioms savaitėms po pirmojo atsukimo </w:t>
      </w:r>
      <w:proofErr w:type="spellStart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talpyklę</w:t>
      </w:r>
      <w:proofErr w:type="spellEnd"/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 reikia išmesti,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kad būtų išvengta infekcijos. Atsukimo datą užrašykite ant kiekvienos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etiketės arba dėžutės arba čia (toliau), kad žinotumėte, kada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buvo atidaryta.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Atidaryta: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Ant etiketės ir dėžutės po „EXP“ nurodytam tinkamumo laikui pasibaigus, šio vaisto vartoti negalima. Vaistas tinkamas vartoti iki paskutinės nurodyto mėnesio dienos.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Vaistų negalima išmesti į kanalizaciją arba su buitinėmis atliekomis. Kaip išmesti nereikalingus vaistus, klauskite vaistininko. Šios priemonės padės apsaugoti aplinką.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6.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ab/>
        <w:t>Pakuotės turinys ir kita informacija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keepNext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</w:pPr>
      <w:proofErr w:type="spellStart"/>
      <w:r w:rsidRPr="006C090B"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  <w:t xml:space="preserve"> LA sudėtis </w:t>
      </w:r>
    </w:p>
    <w:p w:rsidR="00723F2B" w:rsidRPr="006C090B" w:rsidRDefault="00723F2B" w:rsidP="00723F2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Veiklioji medžiaga yra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tobramicinas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. 1 ml akių lašų yra 3 mg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tobramicino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.</w:t>
      </w:r>
    </w:p>
    <w:p w:rsidR="00723F2B" w:rsidRPr="006C090B" w:rsidRDefault="00723F2B" w:rsidP="00723F2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Pagalbinės medžiagos yra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ksantano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lipai,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benzdodecinio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bromidas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(BDAB),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manitolis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(E421),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trometamolis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, boro rūgštis (E284),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polisorbatas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80, sulfato rūgštis ir (arba) natrio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hidroksidas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(pH koreguoti), išgrynintas vanduo.</w:t>
      </w:r>
    </w:p>
    <w:p w:rsidR="00723F2B" w:rsidRPr="006C090B" w:rsidRDefault="00723F2B" w:rsidP="00723F2B">
      <w:pPr>
        <w:spacing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keepNext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</w:pPr>
      <w:proofErr w:type="spellStart"/>
      <w:r w:rsidRPr="006C090B"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  <w:t>Tobrex</w:t>
      </w:r>
      <w:proofErr w:type="spellEnd"/>
      <w:r w:rsidRPr="006C090B">
        <w:rPr>
          <w:rFonts w:ascii="Times New Roman" w:eastAsia="SimSun" w:hAnsi="Times New Roman" w:cs="Times New Roman"/>
          <w:b/>
          <w:bCs/>
          <w:sz w:val="22"/>
          <w:szCs w:val="22"/>
          <w:lang w:val="lt-LT"/>
        </w:rPr>
        <w:t> LA išvaizda ir kiekis pakuotėje</w:t>
      </w:r>
    </w:p>
    <w:p w:rsidR="00723F2B" w:rsidRPr="006C090B" w:rsidRDefault="00723F2B" w:rsidP="00723F2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Tobrex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 LA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yra skaidrus bespalvis tirpalas, tiekiamas 5 ml plastiko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talpyklėje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su lašintuvu ir užsukamuoju dangteliu.</w:t>
      </w:r>
    </w:p>
    <w:p w:rsidR="00723F2B" w:rsidRPr="006C090B" w:rsidRDefault="00723F2B" w:rsidP="00723F2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eastAsia="lt-LT"/>
        </w:rPr>
        <w:t>Registruotojas</w:t>
      </w:r>
    </w:p>
    <w:p w:rsidR="00723F2B" w:rsidRPr="006C090B" w:rsidRDefault="00723F2B" w:rsidP="0072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 xml:space="preserve">SIA 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et-EE" w:eastAsia="et-EE"/>
        </w:rPr>
        <w:t>Novartis Baltics</w:t>
      </w:r>
    </w:p>
    <w:p w:rsidR="00723F2B" w:rsidRPr="006C090B" w:rsidRDefault="00723F2B" w:rsidP="0072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>Gustava Zemgala gatve 76,</w:t>
      </w:r>
    </w:p>
    <w:p w:rsidR="00723F2B" w:rsidRPr="006C090B" w:rsidRDefault="00723F2B" w:rsidP="00723F2B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>LV-1039, R</w:t>
      </w:r>
      <w:r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>ī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>ga</w:t>
      </w:r>
    </w:p>
    <w:p w:rsidR="00723F2B" w:rsidRPr="006C090B" w:rsidRDefault="00723F2B" w:rsidP="00723F2B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it-IT" w:eastAsia="et-EE"/>
        </w:rPr>
        <w:t>Latvija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/>
        </w:rPr>
        <w:t>Gamintojai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Siegfried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El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Masnou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, S.A.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Camil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Fabra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58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08320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El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Masnou</w:t>
      </w:r>
      <w:proofErr w:type="spellEnd"/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Bar</w:t>
      </w: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c</w:t>
      </w: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elona</w:t>
      </w:r>
      <w:proofErr w:type="spellEnd"/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Ispanija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arba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tabs>
          <w:tab w:val="left" w:pos="56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Alcon-Couvreur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NV</w:t>
      </w:r>
    </w:p>
    <w:p w:rsidR="00723F2B" w:rsidRPr="006C090B" w:rsidRDefault="00723F2B" w:rsidP="00723F2B">
      <w:pPr>
        <w:tabs>
          <w:tab w:val="left" w:pos="56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Rijksweg</w:t>
      </w:r>
      <w:proofErr w:type="spellEnd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 14</w:t>
      </w:r>
    </w:p>
    <w:p w:rsidR="00723F2B" w:rsidRPr="006C090B" w:rsidRDefault="00723F2B" w:rsidP="00723F2B">
      <w:pPr>
        <w:tabs>
          <w:tab w:val="left" w:pos="567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 xml:space="preserve">2870 </w:t>
      </w:r>
      <w:proofErr w:type="spellStart"/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Puurs</w:t>
      </w:r>
      <w:proofErr w:type="spellEnd"/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Belgija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arba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Novartis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Pharma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GmbH</w:t>
      </w:r>
      <w:proofErr w:type="spellEnd"/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Roonstrasse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25</w:t>
      </w:r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90429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Nürnberg</w:t>
      </w:r>
      <w:proofErr w:type="spellEnd"/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Vokietija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arba</w:t>
      </w:r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Novartis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Farmacéutica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S.A.</w:t>
      </w:r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Gran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Via de les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Corts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Catalanes</w:t>
      </w:r>
      <w:proofErr w:type="spellEnd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, 764</w:t>
      </w:r>
    </w:p>
    <w:p w:rsidR="00723F2B" w:rsidRPr="00DC62B5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 xml:space="preserve">08013 </w:t>
      </w:r>
      <w:proofErr w:type="spellStart"/>
      <w:r w:rsidRPr="00DC62B5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Barcelona</w:t>
      </w:r>
      <w:proofErr w:type="spellEnd"/>
    </w:p>
    <w:p w:rsidR="00723F2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Ispanija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 w:bidi="lo-LA"/>
        </w:rPr>
        <w:t>Jeigu apie šį vaistą norite sužinoti daugiau, kreipkitės į vietinį registruotojo atstovą.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hAnsi="Times New Roman" w:cs="Times New Roman"/>
          <w:sz w:val="22"/>
          <w:szCs w:val="22"/>
          <w:lang w:val="lt-LT"/>
        </w:rPr>
        <w:t xml:space="preserve">SIA </w:t>
      </w:r>
      <w:r w:rsidRPr="006C090B">
        <w:rPr>
          <w:rFonts w:ascii="Times New Roman" w:hAnsi="Times New Roman" w:cs="Times New Roman"/>
          <w:sz w:val="22"/>
          <w:szCs w:val="22"/>
          <w:lang w:val="et-EE"/>
        </w:rPr>
        <w:t>Novartis Baltics</w:t>
      </w:r>
      <w:r w:rsidRPr="006C090B">
        <w:rPr>
          <w:rFonts w:ascii="Times New Roman" w:hAnsi="Times New Roman" w:cs="Times New Roman"/>
          <w:sz w:val="22"/>
          <w:szCs w:val="22"/>
          <w:lang w:val="lt-LT"/>
        </w:rPr>
        <w:t xml:space="preserve"> Lietuvos filialas</w:t>
      </w: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>Upės g. 19</w:t>
      </w: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 w:rsidRPr="006C090B">
        <w:rPr>
          <w:rFonts w:ascii="Times New Roman" w:hAnsi="Times New Roman" w:cs="Times New Roman"/>
          <w:bCs/>
          <w:iCs/>
          <w:sz w:val="22"/>
          <w:szCs w:val="22"/>
          <w:lang w:val="lt-LT"/>
        </w:rPr>
        <w:t>LT-0</w:t>
      </w:r>
      <w:r>
        <w:rPr>
          <w:rFonts w:ascii="Times New Roman" w:hAnsi="Times New Roman" w:cs="Times New Roman"/>
          <w:bCs/>
          <w:iCs/>
          <w:sz w:val="22"/>
          <w:szCs w:val="22"/>
          <w:lang w:val="lt-LT"/>
        </w:rPr>
        <w:t>8128</w:t>
      </w:r>
      <w:r w:rsidRPr="006C090B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 Vilnius</w:t>
      </w: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 w:rsidRPr="006C090B">
        <w:rPr>
          <w:rFonts w:ascii="Times New Roman" w:hAnsi="Times New Roman" w:cs="Times New Roman"/>
          <w:bCs/>
          <w:iCs/>
          <w:sz w:val="22"/>
          <w:szCs w:val="22"/>
          <w:lang w:val="lt-LT"/>
        </w:rPr>
        <w:t>Tel. + 370 5 269 1650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</w:pP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 xml:space="preserve"> 2021-10-14</w:t>
      </w:r>
      <w:r w:rsidRPr="006C090B">
        <w:rPr>
          <w:rFonts w:ascii="Times New Roman" w:eastAsia="Times New Roman" w:hAnsi="Times New Roman" w:cs="Times New Roman"/>
          <w:b/>
          <w:sz w:val="22"/>
          <w:szCs w:val="22"/>
          <w:lang w:val="lt-LT" w:bidi="lo-LA"/>
        </w:rPr>
        <w:t>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/>
        </w:rPr>
      </w:pPr>
      <w:r w:rsidRPr="006C090B">
        <w:rPr>
          <w:rFonts w:ascii="Times New Roman" w:eastAsia="Times New Roman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C090B">
        <w:rPr>
          <w:rFonts w:ascii="Times New Roman" w:eastAsia="Times New Roman" w:hAnsi="Times New Roman" w:cs="Times New Roman"/>
          <w:i/>
          <w:sz w:val="22"/>
          <w:szCs w:val="22"/>
          <w:lang w:val="lt-LT"/>
        </w:rPr>
        <w:t xml:space="preserve"> </w:t>
      </w:r>
      <w:hyperlink r:id="rId7" w:history="1">
        <w:r w:rsidRPr="006C090B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6C090B">
        <w:rPr>
          <w:rFonts w:ascii="Times New Roman" w:eastAsia="Times New Roman" w:hAnsi="Times New Roman" w:cs="Times New Roman"/>
          <w:color w:val="0000FF"/>
          <w:sz w:val="22"/>
          <w:szCs w:val="22"/>
          <w:lang w:val="lt-LT"/>
        </w:rPr>
        <w:t>.</w:t>
      </w:r>
    </w:p>
    <w:p w:rsidR="00723F2B" w:rsidRPr="006C090B" w:rsidRDefault="00723F2B" w:rsidP="00723F2B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lt-LT" w:bidi="lo-LA"/>
        </w:rPr>
      </w:pPr>
    </w:p>
    <w:p w:rsidR="00723F2B" w:rsidRPr="006C090B" w:rsidRDefault="00723F2B" w:rsidP="00723F2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bookmarkStart w:id="0" w:name="_GoBack"/>
      <w:bookmarkEnd w:id="0"/>
    </w:p>
    <w:p w:rsidR="00723F2B" w:rsidRPr="006C090B" w:rsidRDefault="00723F2B" w:rsidP="00723F2B">
      <w:pPr>
        <w:spacing w:after="200" w:line="276" w:lineRule="auto"/>
        <w:rPr>
          <w:rFonts w:ascii="Calibri" w:hAnsi="Calibri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rPr>
          <w:rFonts w:ascii="Calibri" w:hAnsi="Calibri" w:cs="Times New Roman"/>
          <w:sz w:val="22"/>
          <w:szCs w:val="22"/>
          <w:lang w:val="lt-LT"/>
        </w:rPr>
      </w:pPr>
    </w:p>
    <w:p w:rsidR="00723F2B" w:rsidRPr="006C090B" w:rsidRDefault="00723F2B" w:rsidP="00723F2B">
      <w:pPr>
        <w:spacing w:after="200" w:line="276" w:lineRule="auto"/>
        <w:rPr>
          <w:lang w:val="lt-LT"/>
        </w:rPr>
      </w:pPr>
    </w:p>
    <w:p w:rsidR="009041DB" w:rsidRDefault="009041DB"/>
    <w:sectPr w:rsidR="009041DB" w:rsidSect="00723F2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CB2590"/>
    <w:multiLevelType w:val="hybridMultilevel"/>
    <w:tmpl w:val="A3DEF49A"/>
    <w:lvl w:ilvl="0" w:tplc="359875DA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53FB0"/>
    <w:multiLevelType w:val="hybridMultilevel"/>
    <w:tmpl w:val="2C4607F8"/>
    <w:lvl w:ilvl="0" w:tplc="516AC15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2B"/>
    <w:rsid w:val="00723F2B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10891-FC30-4D3D-B82F-E9824581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3F2B"/>
    <w:rPr>
      <w:rFonts w:ascii="Arial" w:eastAsia="Calibri" w:hAnsi="Arial" w:cs="Arial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7121</Words>
  <Characters>4059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2021-11-15T14:24:00Z</dcterms:created>
  <dcterms:modified xsi:type="dcterms:W3CDTF">2021-11-15T14:24:00Z</dcterms:modified>
</cp:coreProperties>
</file>