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A8" w:rsidRDefault="00FF5FA8" w:rsidP="00FF5FA8">
      <w:pPr>
        <w:pStyle w:val="TTEMEASMCA"/>
      </w:pPr>
      <w:r w:rsidRPr="00484AE1">
        <w:t>Pakuotės lapelis: informacija vartotojui</w:t>
      </w:r>
    </w:p>
    <w:p w:rsidR="00FF5FA8" w:rsidRDefault="00FF5FA8" w:rsidP="00FF5FA8">
      <w:pPr>
        <w:ind w:left="567" w:hanging="567"/>
        <w:jc w:val="center"/>
        <w:rPr>
          <w:b/>
          <w:szCs w:val="22"/>
        </w:rPr>
      </w:pPr>
    </w:p>
    <w:p w:rsidR="00FF5FA8" w:rsidRPr="003720D2" w:rsidRDefault="00FF5FA8" w:rsidP="00FF5FA8">
      <w:pPr>
        <w:ind w:left="567" w:hanging="567"/>
        <w:jc w:val="center"/>
        <w:rPr>
          <w:b/>
          <w:szCs w:val="22"/>
        </w:rPr>
      </w:pPr>
      <w:proofErr w:type="spellStart"/>
      <w:r w:rsidRPr="003720D2">
        <w:rPr>
          <w:b/>
          <w:szCs w:val="22"/>
        </w:rPr>
        <w:t>Lioton</w:t>
      </w:r>
      <w:proofErr w:type="spellEnd"/>
      <w:r w:rsidRPr="003720D2">
        <w:rPr>
          <w:b/>
          <w:szCs w:val="22"/>
        </w:rPr>
        <w:t xml:space="preserve"> 1000 TV/g gelis</w:t>
      </w:r>
    </w:p>
    <w:p w:rsidR="00FF5FA8" w:rsidRDefault="00FF5FA8" w:rsidP="00FF5FA8">
      <w:pPr>
        <w:pStyle w:val="Pagrindinistekstas"/>
        <w:spacing w:after="0"/>
        <w:jc w:val="center"/>
      </w:pPr>
      <w:r>
        <w:rPr>
          <w:szCs w:val="22"/>
        </w:rPr>
        <w:t>h</w:t>
      </w:r>
      <w:r w:rsidRPr="003720D2">
        <w:rPr>
          <w:szCs w:val="22"/>
        </w:rPr>
        <w:t>eparino natrio druska</w:t>
      </w:r>
    </w:p>
    <w:p w:rsidR="00FF5FA8" w:rsidRDefault="00FF5FA8" w:rsidP="00FF5FA8">
      <w:pPr>
        <w:pStyle w:val="Pagrindinistekstas"/>
        <w:spacing w:after="0"/>
        <w:jc w:val="center"/>
        <w:rPr>
          <w:b/>
        </w:rPr>
      </w:pPr>
    </w:p>
    <w:p w:rsidR="00FF5FA8" w:rsidRDefault="00FF5FA8" w:rsidP="00FF5FA8">
      <w:pPr>
        <w:pStyle w:val="Pagrindinistekstas"/>
        <w:spacing w:after="0"/>
      </w:pPr>
    </w:p>
    <w:p w:rsidR="00FF5FA8" w:rsidRDefault="00FF5FA8" w:rsidP="00FF5FA8">
      <w:pPr>
        <w:pStyle w:val="BTbEMEASMCA"/>
      </w:pPr>
      <w:r>
        <w:t xml:space="preserve">Atidžiai perskaitykite visą šį lapelį, prieš pradėdami vartoti vaistą, </w:t>
      </w:r>
      <w:r w:rsidRPr="00B34FA1">
        <w:t>nes jame pateikiama Jums svarbi informacija</w:t>
      </w:r>
      <w:r>
        <w:t>.</w:t>
      </w:r>
    </w:p>
    <w:p w:rsidR="00FF5FA8" w:rsidRPr="00DF4173" w:rsidRDefault="00FF5FA8" w:rsidP="00FF5FA8">
      <w:pPr>
        <w:pStyle w:val="BTEMEASMCA"/>
      </w:pPr>
      <w:r w:rsidRPr="00B34FA1">
        <w:t>Visada vartokite šį vaistą tiksliai kaip aprašyta šiame lapelyje arba kaip</w:t>
      </w:r>
      <w:r>
        <w:t xml:space="preserve"> nurodė gydytojas arba </w:t>
      </w:r>
      <w:r w:rsidRPr="00B34FA1">
        <w:t>vaistininkas</w:t>
      </w:r>
      <w:r w:rsidRPr="00DF4173">
        <w:t>.</w:t>
      </w:r>
    </w:p>
    <w:p w:rsidR="00FF5FA8" w:rsidRPr="00327AEC" w:rsidRDefault="00FF5FA8" w:rsidP="00FF5FA8">
      <w:pPr>
        <w:pStyle w:val="BT-EMEASMCA"/>
      </w:pPr>
      <w:r w:rsidRPr="00327AEC">
        <w:t>Neišmeskite šio lapelio, nes vėl gali prireikti jį perskaityti.</w:t>
      </w:r>
    </w:p>
    <w:p w:rsidR="00FF5FA8" w:rsidRPr="00327AEC" w:rsidRDefault="00FF5FA8" w:rsidP="00FF5FA8">
      <w:pPr>
        <w:pStyle w:val="BT-EMEASMCA"/>
      </w:pPr>
      <w:r w:rsidRPr="00327AEC">
        <w:t>Jeigu norite sužinoti daugiau arba pasitarti, kreipkitės į vaistininką.</w:t>
      </w:r>
    </w:p>
    <w:p w:rsidR="00FF5FA8" w:rsidRPr="00E13AB8" w:rsidRDefault="00FF5FA8" w:rsidP="00FF5FA8">
      <w:pPr>
        <w:pStyle w:val="BT-EMEASMCA"/>
      </w:pPr>
      <w:r w:rsidRPr="00327AEC">
        <w:t xml:space="preserve">Jeigu pasireiškė šalutinis poveikis (net jeigu jis šiame lapelyje nenurodytas), kreipkitės į gydytoją arba vaistininką. </w:t>
      </w:r>
      <w:r w:rsidRPr="00B34FA1">
        <w:t>Žr. 4 skyrių</w:t>
      </w:r>
      <w:r>
        <w:t>.</w:t>
      </w:r>
    </w:p>
    <w:p w:rsidR="00FF5FA8" w:rsidRDefault="00FF5FA8" w:rsidP="00FF5FA8">
      <w:pPr>
        <w:pStyle w:val="BT-EMEASMCA"/>
      </w:pPr>
      <w:r w:rsidRPr="00B34FA1">
        <w:t>Jeigu Jūsų savijauta nepagerėjo arba net pablogėjo, kreipkitės į gydytoją</w:t>
      </w:r>
      <w:r>
        <w:t>.</w:t>
      </w:r>
    </w:p>
    <w:p w:rsidR="00FF5FA8" w:rsidRDefault="00FF5FA8" w:rsidP="00FF5FA8">
      <w:pPr>
        <w:pStyle w:val="Pagrindinistekstas"/>
        <w:spacing w:after="0"/>
      </w:pPr>
    </w:p>
    <w:p w:rsidR="00FF5FA8" w:rsidRDefault="00FF5FA8" w:rsidP="00FF5FA8">
      <w:pPr>
        <w:pStyle w:val="BTEMEASMCA"/>
      </w:pPr>
    </w:p>
    <w:p w:rsidR="00FF5FA8" w:rsidRDefault="00FF5FA8" w:rsidP="00FF5FA8">
      <w:pPr>
        <w:rPr>
          <w:b/>
        </w:rPr>
      </w:pPr>
      <w:r w:rsidRPr="00E13AB8">
        <w:rPr>
          <w:b/>
        </w:rPr>
        <w:t>Apie ką rašoma šiame lapelyje?</w:t>
      </w:r>
    </w:p>
    <w:p w:rsidR="00FF5FA8" w:rsidRDefault="00FF5FA8" w:rsidP="00FF5FA8">
      <w:pPr>
        <w:rPr>
          <w:b/>
        </w:rPr>
      </w:pPr>
    </w:p>
    <w:p w:rsidR="00FF5FA8" w:rsidRDefault="00FF5FA8" w:rsidP="00FF5FA8">
      <w:pPr>
        <w:ind w:left="567" w:hanging="567"/>
      </w:pPr>
      <w:r>
        <w:t>1.</w:t>
      </w:r>
      <w:r>
        <w:tab/>
        <w:t xml:space="preserve">Kas yra </w:t>
      </w:r>
      <w:proofErr w:type="spellStart"/>
      <w:r>
        <w:t>Lioton</w:t>
      </w:r>
      <w:proofErr w:type="spellEnd"/>
      <w:r>
        <w:t xml:space="preserve"> ir kam jis vartojamas</w:t>
      </w:r>
    </w:p>
    <w:p w:rsidR="00FF5FA8" w:rsidRDefault="00FF5FA8" w:rsidP="00FF5FA8">
      <w:pPr>
        <w:ind w:left="567" w:hanging="567"/>
      </w:pPr>
      <w:r>
        <w:t>2.</w:t>
      </w:r>
      <w:r>
        <w:tab/>
        <w:t xml:space="preserve">Kas žinotina prieš vartojant </w:t>
      </w:r>
      <w:proofErr w:type="spellStart"/>
      <w:r>
        <w:t>Lioton</w:t>
      </w:r>
      <w:proofErr w:type="spellEnd"/>
    </w:p>
    <w:p w:rsidR="00FF5FA8" w:rsidRDefault="00FF5FA8" w:rsidP="00FF5FA8">
      <w:pPr>
        <w:ind w:left="567" w:hanging="567"/>
      </w:pPr>
      <w:r>
        <w:t>3.</w:t>
      </w:r>
      <w:r>
        <w:tab/>
        <w:t xml:space="preserve">Kaip vartoti </w:t>
      </w:r>
      <w:proofErr w:type="spellStart"/>
      <w:r>
        <w:t>Lioton</w:t>
      </w:r>
      <w:proofErr w:type="spellEnd"/>
    </w:p>
    <w:p w:rsidR="00FF5FA8" w:rsidRDefault="00FF5FA8" w:rsidP="00FF5FA8">
      <w:pPr>
        <w:ind w:left="567" w:hanging="567"/>
      </w:pPr>
      <w:r>
        <w:t>4.</w:t>
      </w:r>
      <w:r>
        <w:tab/>
        <w:t>Galimas šalutinis poveikis</w:t>
      </w:r>
    </w:p>
    <w:p w:rsidR="00FF5FA8" w:rsidRDefault="00FF5FA8" w:rsidP="00FF5FA8">
      <w:pPr>
        <w:ind w:left="567" w:hanging="567"/>
      </w:pPr>
      <w:r>
        <w:t>5.</w:t>
      </w:r>
      <w:r>
        <w:tab/>
        <w:t xml:space="preserve">Kaip laikyti </w:t>
      </w:r>
      <w:proofErr w:type="spellStart"/>
      <w:r>
        <w:t>Lioton</w:t>
      </w:r>
      <w:proofErr w:type="spellEnd"/>
      <w:r>
        <w:t xml:space="preserve"> </w:t>
      </w:r>
    </w:p>
    <w:p w:rsidR="00FF5FA8" w:rsidRDefault="00FF5FA8" w:rsidP="00FF5FA8">
      <w:pPr>
        <w:ind w:left="567" w:hanging="567"/>
      </w:pPr>
      <w:r>
        <w:t>6.</w:t>
      </w:r>
      <w:r>
        <w:tab/>
      </w:r>
      <w:r w:rsidRPr="00B34FA1">
        <w:rPr>
          <w:noProof/>
          <w:szCs w:val="24"/>
        </w:rPr>
        <w:t xml:space="preserve">Pakuotės turinys ir </w:t>
      </w:r>
      <w:r>
        <w:t>kita informacija</w:t>
      </w:r>
    </w:p>
    <w:p w:rsidR="00FF5FA8" w:rsidRDefault="00FF5FA8" w:rsidP="00FF5FA8">
      <w:pPr>
        <w:pStyle w:val="BTEMEASMCA"/>
      </w:pPr>
    </w:p>
    <w:p w:rsidR="00FF5FA8" w:rsidRDefault="00FF5FA8" w:rsidP="00FF5FA8">
      <w:pPr>
        <w:pStyle w:val="BTEMEASMCA"/>
      </w:pPr>
    </w:p>
    <w:p w:rsidR="00FF5FA8" w:rsidRDefault="00FF5FA8" w:rsidP="00FF5FA8">
      <w:pPr>
        <w:pStyle w:val="PI-1EMEASMCA"/>
      </w:pPr>
      <w:bookmarkStart w:id="0" w:name="_Toc129243139"/>
      <w:bookmarkStart w:id="1" w:name="_Toc129243264"/>
      <w:r>
        <w:t>1.</w:t>
      </w:r>
      <w:r>
        <w:tab/>
        <w:t xml:space="preserve">Kas yra </w:t>
      </w:r>
      <w:proofErr w:type="spellStart"/>
      <w:r>
        <w:t>Lioton</w:t>
      </w:r>
      <w:proofErr w:type="spellEnd"/>
      <w:r>
        <w:t xml:space="preserve"> ir kam jis vartojamas</w:t>
      </w:r>
      <w:bookmarkEnd w:id="0"/>
      <w:bookmarkEnd w:id="1"/>
    </w:p>
    <w:p w:rsidR="00FF5FA8" w:rsidRDefault="00FF5FA8" w:rsidP="00FF5FA8">
      <w:pPr>
        <w:rPr>
          <w:snapToGrid w:val="0"/>
        </w:rPr>
      </w:pPr>
    </w:p>
    <w:p w:rsidR="00FF5FA8" w:rsidRPr="00E801E4" w:rsidRDefault="00FF5FA8" w:rsidP="00FF5FA8">
      <w:pPr>
        <w:pStyle w:val="BTEMEASMCA"/>
        <w:rPr>
          <w:snapToGrid w:val="0"/>
          <w:lang w:val="it-IT"/>
        </w:rPr>
      </w:pPr>
      <w:r w:rsidRPr="00131DB4">
        <w:rPr>
          <w:snapToGrid w:val="0"/>
          <w:lang w:val="it-IT"/>
        </w:rPr>
        <w:t>Lioton veiklioji med</w:t>
      </w:r>
      <w:r>
        <w:rPr>
          <w:snapToGrid w:val="0"/>
        </w:rPr>
        <w:t>ž</w:t>
      </w:r>
      <w:r w:rsidRPr="00131DB4">
        <w:rPr>
          <w:snapToGrid w:val="0"/>
          <w:lang w:val="it-IT"/>
        </w:rPr>
        <w:t xml:space="preserve">iaga yra heparinas (heparino natrio druska). </w:t>
      </w:r>
      <w:r w:rsidRPr="00E801E4">
        <w:rPr>
          <w:snapToGrid w:val="0"/>
          <w:lang w:val="it-IT"/>
        </w:rPr>
        <w:t xml:space="preserve">Jis paruoštas gelio pavidalu, tinkamu tepti odą. Vartojant pažeistoje vietoje heparinas apsaugo nuo kraujo krešulių susidarymo paviršinėse venose, gerina vietinę mikrocirkuliaciją (kraujotaką smulkiosiose kraujagyslėse) ir mažina patinimą. </w:t>
      </w:r>
    </w:p>
    <w:p w:rsidR="00FF5FA8" w:rsidRPr="00E801E4" w:rsidRDefault="00FF5FA8" w:rsidP="00FF5FA8">
      <w:pPr>
        <w:pStyle w:val="BTEMEASMCA"/>
        <w:rPr>
          <w:snapToGrid w:val="0"/>
          <w:lang w:val="it-IT"/>
        </w:rPr>
      </w:pPr>
    </w:p>
    <w:p w:rsidR="00FF5FA8" w:rsidRDefault="00FF5FA8" w:rsidP="00FF5FA8">
      <w:pPr>
        <w:pStyle w:val="BTEMEASMCA"/>
        <w:rPr>
          <w:snapToGrid w:val="0"/>
          <w:lang w:val="en-US"/>
        </w:rPr>
      </w:pPr>
      <w:r>
        <w:rPr>
          <w:snapToGrid w:val="0"/>
          <w:lang w:val="en-US"/>
        </w:rPr>
        <w:t>Lioton vartojamas:</w:t>
      </w:r>
    </w:p>
    <w:p w:rsidR="00FF5FA8" w:rsidRDefault="00FF5FA8" w:rsidP="00FF5FA8">
      <w:pPr>
        <w:pStyle w:val="BT-EMEASMCA"/>
      </w:pPr>
      <w:r w:rsidRPr="00F31C94">
        <w:rPr>
          <w:rFonts w:eastAsia="Calibri"/>
        </w:rPr>
        <w:t xml:space="preserve"> mazginio venų išsiplėtimo ir jo sukeliamų komplikacijų (kraujo krešulių susidarymo pažeistose venose esant jų sienelių uždegimui arba be jo, uždegimo šalia venų esančiuose audiniuose bei opų, susidariusių odoje virš išsiplėtusių venų) gydymui;</w:t>
      </w:r>
    </w:p>
    <w:p w:rsidR="00FF5FA8" w:rsidRDefault="00FF5FA8" w:rsidP="00FF5FA8">
      <w:pPr>
        <w:pStyle w:val="BT-EMEASMCA"/>
      </w:pPr>
      <w:r w:rsidRPr="00F33B9D">
        <w:t>pažeist</w:t>
      </w:r>
      <w:r>
        <w:t>ų</w:t>
      </w:r>
      <w:r w:rsidRPr="00F33B9D">
        <w:t xml:space="preserve"> ven</w:t>
      </w:r>
      <w:r>
        <w:t>ų</w:t>
      </w:r>
      <w:r w:rsidRPr="00F33B9D">
        <w:t xml:space="preserve"> sienelių uždegim</w:t>
      </w:r>
      <w:r>
        <w:t>o, pasirei</w:t>
      </w:r>
      <w:r>
        <w:rPr>
          <w:lang w:val="lt-LT"/>
        </w:rPr>
        <w:t>š</w:t>
      </w:r>
      <w:r>
        <w:t xml:space="preserve">kusio po chiruginių operacijų gydymui; </w:t>
      </w:r>
    </w:p>
    <w:p w:rsidR="00FF5FA8" w:rsidRPr="00F33B9D" w:rsidRDefault="00FF5FA8" w:rsidP="00FF5FA8">
      <w:pPr>
        <w:pStyle w:val="BT-EMEASMCA"/>
      </w:pPr>
      <w:r w:rsidRPr="00F33B9D">
        <w:t>dėl venų operacijos atsiradusių simptomų slopinimui (pvz.</w:t>
      </w:r>
      <w:r>
        <w:t xml:space="preserve">, mėlynių, patinimo); </w:t>
      </w:r>
    </w:p>
    <w:p w:rsidR="00FF5FA8" w:rsidRPr="00F33B9D" w:rsidRDefault="00FF5FA8" w:rsidP="00FF5FA8">
      <w:pPr>
        <w:pStyle w:val="BT-EMEASMCA"/>
      </w:pPr>
      <w:r w:rsidRPr="00F33B9D">
        <w:t>dėl sąnarių ir raumenų traumų, sausgyslių patempimo atsirandančio patinimo ir kraujosrūvų mažinimui.</w:t>
      </w:r>
    </w:p>
    <w:p w:rsidR="00FF5FA8" w:rsidRPr="00D5604B" w:rsidRDefault="00FF5FA8" w:rsidP="00FF5FA8">
      <w:pPr>
        <w:pStyle w:val="BTEMEASMCA"/>
        <w:rPr>
          <w:snapToGrid w:val="0"/>
          <w:highlight w:val="yellow"/>
        </w:rPr>
      </w:pPr>
    </w:p>
    <w:p w:rsidR="00FF5FA8" w:rsidRPr="00530E3A" w:rsidRDefault="00FF5FA8" w:rsidP="00FF5FA8">
      <w:pPr>
        <w:pStyle w:val="BTEMEASMCA"/>
      </w:pPr>
      <w:r w:rsidRPr="009D4788">
        <w:t>Esant poreikiui Lioton gelis vietiniam gydymui gali būti vartojamas vienas arba derinant su sisteminėmis gydymo priemonėmis.</w:t>
      </w:r>
    </w:p>
    <w:p w:rsidR="00FF5FA8" w:rsidRDefault="00FF5FA8" w:rsidP="00FF5FA8"/>
    <w:p w:rsidR="00FF5FA8" w:rsidRDefault="00FF5FA8" w:rsidP="00FF5FA8">
      <w:pPr>
        <w:pStyle w:val="BTEMEASMCA"/>
      </w:pPr>
    </w:p>
    <w:p w:rsidR="00FF5FA8" w:rsidRDefault="00FF5FA8" w:rsidP="00FF5FA8">
      <w:pPr>
        <w:pStyle w:val="PI-1EMEASMCA"/>
      </w:pPr>
      <w:bookmarkStart w:id="2" w:name="_Toc129243140"/>
      <w:bookmarkStart w:id="3" w:name="_Toc129243265"/>
      <w:r>
        <w:t>2.</w:t>
      </w:r>
      <w:r>
        <w:tab/>
        <w:t xml:space="preserve">Kas žinotina prieš vartojant </w:t>
      </w:r>
      <w:proofErr w:type="spellStart"/>
      <w:r>
        <w:t>Lioton</w:t>
      </w:r>
      <w:bookmarkEnd w:id="2"/>
      <w:bookmarkEnd w:id="3"/>
      <w:proofErr w:type="spellEnd"/>
    </w:p>
    <w:p w:rsidR="00FF5FA8" w:rsidRDefault="00FF5FA8" w:rsidP="00FF5FA8">
      <w:pPr>
        <w:pStyle w:val="BTEMEASMCA"/>
      </w:pPr>
    </w:p>
    <w:p w:rsidR="00FF5FA8" w:rsidRPr="003720D2" w:rsidRDefault="00FF5FA8" w:rsidP="00FF5FA8">
      <w:pPr>
        <w:ind w:left="567" w:hanging="567"/>
        <w:rPr>
          <w:b/>
          <w:caps/>
          <w:szCs w:val="22"/>
        </w:rPr>
      </w:pPr>
      <w:proofErr w:type="spellStart"/>
      <w:r w:rsidRPr="003720D2">
        <w:rPr>
          <w:b/>
          <w:szCs w:val="22"/>
        </w:rPr>
        <w:t>Lioton</w:t>
      </w:r>
      <w:proofErr w:type="spellEnd"/>
      <w:r w:rsidRPr="003720D2">
        <w:rPr>
          <w:b/>
          <w:szCs w:val="22"/>
        </w:rPr>
        <w:t xml:space="preserve"> vartoti </w:t>
      </w:r>
      <w:r>
        <w:rPr>
          <w:b/>
          <w:szCs w:val="22"/>
        </w:rPr>
        <w:t>draudžiama</w:t>
      </w:r>
      <w:r w:rsidRPr="003720D2">
        <w:rPr>
          <w:b/>
          <w:szCs w:val="22"/>
        </w:rPr>
        <w:t>:</w:t>
      </w:r>
    </w:p>
    <w:p w:rsidR="00FF5FA8" w:rsidRPr="006F78E9" w:rsidRDefault="00FF5FA8" w:rsidP="00FF5FA8">
      <w:pPr>
        <w:numPr>
          <w:ilvl w:val="0"/>
          <w:numId w:val="1"/>
        </w:numPr>
        <w:rPr>
          <w:szCs w:val="22"/>
        </w:rPr>
      </w:pPr>
      <w:r w:rsidRPr="006F78E9">
        <w:rPr>
          <w:szCs w:val="22"/>
        </w:rPr>
        <w:t xml:space="preserve">jeigu yra alergija </w:t>
      </w:r>
      <w:r w:rsidRPr="00B34FA1">
        <w:rPr>
          <w:noProof/>
          <w:szCs w:val="24"/>
        </w:rPr>
        <w:t>veikliajai medžiagai</w:t>
      </w:r>
      <w:r w:rsidRPr="006F78E9" w:rsidDel="00B067E2">
        <w:rPr>
          <w:szCs w:val="22"/>
        </w:rPr>
        <w:t xml:space="preserve"> </w:t>
      </w:r>
      <w:r w:rsidRPr="006F78E9">
        <w:rPr>
          <w:szCs w:val="22"/>
        </w:rPr>
        <w:t xml:space="preserve">arba bet kuriai pagalbinei </w:t>
      </w:r>
      <w:r>
        <w:rPr>
          <w:szCs w:val="22"/>
        </w:rPr>
        <w:t>šio vaisto</w:t>
      </w:r>
      <w:r w:rsidRPr="006F78E9">
        <w:rPr>
          <w:szCs w:val="22"/>
        </w:rPr>
        <w:t xml:space="preserve"> medžiagai</w:t>
      </w:r>
      <w:r>
        <w:rPr>
          <w:szCs w:val="22"/>
        </w:rPr>
        <w:t xml:space="preserve"> </w:t>
      </w:r>
      <w:r w:rsidRPr="00B34FA1">
        <w:rPr>
          <w:noProof/>
          <w:szCs w:val="24"/>
        </w:rPr>
        <w:t>(jos išvardytos 6 skyriuje)</w:t>
      </w:r>
      <w:r>
        <w:rPr>
          <w:szCs w:val="22"/>
        </w:rPr>
        <w:t>.</w:t>
      </w:r>
    </w:p>
    <w:p w:rsidR="00FF5FA8" w:rsidRPr="003720D2" w:rsidRDefault="00FF5FA8" w:rsidP="00FF5FA8">
      <w:pPr>
        <w:rPr>
          <w:szCs w:val="22"/>
        </w:rPr>
      </w:pPr>
    </w:p>
    <w:p w:rsidR="00FF5FA8" w:rsidRDefault="00FF5FA8" w:rsidP="00FF5FA8">
      <w:pPr>
        <w:ind w:left="567" w:hanging="567"/>
        <w:rPr>
          <w:b/>
          <w:szCs w:val="22"/>
        </w:rPr>
      </w:pPr>
      <w:r w:rsidRPr="00E13AB8">
        <w:rPr>
          <w:b/>
        </w:rPr>
        <w:t>Įspėjimai ir atsargumo priemonės</w:t>
      </w:r>
    </w:p>
    <w:p w:rsidR="00FF5FA8" w:rsidRPr="00E13AB8" w:rsidRDefault="00FF5FA8" w:rsidP="00FF5FA8">
      <w:pPr>
        <w:ind w:left="567" w:hanging="567"/>
        <w:rPr>
          <w:szCs w:val="22"/>
        </w:rPr>
      </w:pPr>
      <w:r w:rsidRPr="00B34FA1">
        <w:rPr>
          <w:noProof/>
          <w:szCs w:val="24"/>
        </w:rPr>
        <w:lastRenderedPageBreak/>
        <w:t xml:space="preserve">Pasitarkite su gydytoju </w:t>
      </w:r>
      <w:r>
        <w:rPr>
          <w:noProof/>
          <w:szCs w:val="24"/>
        </w:rPr>
        <w:t xml:space="preserve">arba </w:t>
      </w:r>
      <w:r w:rsidRPr="00B34FA1">
        <w:rPr>
          <w:noProof/>
          <w:szCs w:val="24"/>
        </w:rPr>
        <w:t>vaistininku</w:t>
      </w:r>
      <w:r>
        <w:rPr>
          <w:noProof/>
          <w:szCs w:val="24"/>
        </w:rPr>
        <w:t>, prieš pradėdami vartoti Lioton:</w:t>
      </w:r>
    </w:p>
    <w:p w:rsidR="00FF5FA8" w:rsidRPr="00327AEC" w:rsidRDefault="00FF5FA8" w:rsidP="00FF5FA8">
      <w:pPr>
        <w:pStyle w:val="BT-EMEASMCA"/>
      </w:pPr>
      <w:r w:rsidRPr="00327AEC">
        <w:t>kai yra padidėjusi kraujosrūvų tikimybė; tokiu atveju gydymas Lioton turi būti atidžiai įvertintas gydytojo;</w:t>
      </w:r>
    </w:p>
    <w:p w:rsidR="00FF5FA8" w:rsidRPr="00725A56" w:rsidRDefault="00FF5FA8" w:rsidP="00FF5FA8">
      <w:pPr>
        <w:pStyle w:val="BT-EMEASMCA"/>
      </w:pPr>
      <w:r w:rsidRPr="00327AEC">
        <w:t xml:space="preserve">jeigu panaudojus Lioton atsiranda alergijos (padidėjusio jautrumo) požymių ir simptomų. </w:t>
      </w:r>
      <w:r w:rsidRPr="00725A56">
        <w:t>Tokiu atveju Lioton vartojimą reikia nutraukti nedelsiant;</w:t>
      </w:r>
    </w:p>
    <w:p w:rsidR="00FF5FA8" w:rsidRDefault="00FF5FA8" w:rsidP="00FF5FA8">
      <w:pPr>
        <w:pStyle w:val="BT-EMEASMCA"/>
      </w:pPr>
      <w:r w:rsidRPr="00F83B46">
        <w:t xml:space="preserve">jeigu yra atvirų žaizdų, iš odos kraujuoja arba yra odos infekcijos požymių plote, kurį reikia </w:t>
      </w:r>
      <w:r>
        <w:t>gydyti, Lioton vartoti negalima;</w:t>
      </w:r>
    </w:p>
    <w:p w:rsidR="00FF5FA8" w:rsidRPr="00F83B46" w:rsidRDefault="00FF5FA8" w:rsidP="00FF5FA8">
      <w:pPr>
        <w:pStyle w:val="BT-EMEASMCA"/>
      </w:pPr>
      <w:r w:rsidRPr="006F78E9">
        <w:t>srityse, nepadengtose oda (pvz.</w:t>
      </w:r>
      <w:r>
        <w:t>,</w:t>
      </w:r>
      <w:r w:rsidRPr="006F78E9">
        <w:t xml:space="preserve"> </w:t>
      </w:r>
      <w:r>
        <w:t>lyties organų</w:t>
      </w:r>
      <w:r w:rsidRPr="006F78E9">
        <w:t>, burnos ertmės gleivinės)</w:t>
      </w:r>
      <w:r w:rsidRPr="00A42688">
        <w:t xml:space="preserve"> </w:t>
      </w:r>
      <w:r>
        <w:t>Lioton vartoti negalima.</w:t>
      </w:r>
    </w:p>
    <w:p w:rsidR="00FF5FA8" w:rsidRDefault="00FF5FA8" w:rsidP="00FF5FA8">
      <w:pPr>
        <w:rPr>
          <w:i/>
          <w:szCs w:val="22"/>
        </w:rPr>
      </w:pPr>
    </w:p>
    <w:p w:rsidR="00FF5FA8" w:rsidRDefault="00FF5FA8" w:rsidP="00FF5FA8">
      <w:pPr>
        <w:rPr>
          <w:i/>
          <w:szCs w:val="22"/>
        </w:rPr>
      </w:pPr>
      <w:r>
        <w:rPr>
          <w:i/>
          <w:szCs w:val="22"/>
        </w:rPr>
        <w:t>Vaikams</w:t>
      </w:r>
    </w:p>
    <w:p w:rsidR="00FF5FA8" w:rsidRDefault="00FF5FA8" w:rsidP="00FF5FA8">
      <w:pPr>
        <w:rPr>
          <w:szCs w:val="22"/>
        </w:rPr>
      </w:pPr>
      <w:proofErr w:type="spellStart"/>
      <w:r>
        <w:rPr>
          <w:szCs w:val="22"/>
        </w:rPr>
        <w:t>Lioton</w:t>
      </w:r>
      <w:proofErr w:type="spellEnd"/>
      <w:r>
        <w:rPr>
          <w:szCs w:val="22"/>
        </w:rPr>
        <w:t xml:space="preserve"> nerekomenduojama vartoti vaikams gydyti, nes nenustatytas jo vartojimo saugumas šioje amžiaus grupėje.</w:t>
      </w:r>
    </w:p>
    <w:p w:rsidR="00FF5FA8" w:rsidRDefault="00FF5FA8" w:rsidP="00FF5FA8">
      <w:pPr>
        <w:ind w:left="567" w:hanging="567"/>
        <w:rPr>
          <w:b/>
          <w:szCs w:val="22"/>
        </w:rPr>
      </w:pPr>
    </w:p>
    <w:p w:rsidR="00FF5FA8" w:rsidRDefault="00FF5FA8" w:rsidP="00FF5FA8">
      <w:pPr>
        <w:ind w:left="567" w:hanging="567"/>
        <w:rPr>
          <w:b/>
          <w:szCs w:val="22"/>
        </w:rPr>
      </w:pPr>
      <w:r w:rsidRPr="008D78B5">
        <w:rPr>
          <w:b/>
          <w:szCs w:val="22"/>
        </w:rPr>
        <w:t>Kit</w:t>
      </w:r>
      <w:r>
        <w:rPr>
          <w:b/>
          <w:szCs w:val="22"/>
        </w:rPr>
        <w:t>i</w:t>
      </w:r>
      <w:r w:rsidRPr="008D78B5">
        <w:rPr>
          <w:b/>
          <w:szCs w:val="22"/>
        </w:rPr>
        <w:t xml:space="preserve"> vaist</w:t>
      </w:r>
      <w:r>
        <w:rPr>
          <w:b/>
          <w:szCs w:val="22"/>
        </w:rPr>
        <w:t xml:space="preserve">ai ir </w:t>
      </w:r>
      <w:proofErr w:type="spellStart"/>
      <w:r>
        <w:rPr>
          <w:b/>
          <w:szCs w:val="22"/>
        </w:rPr>
        <w:t>Lioton</w:t>
      </w:r>
      <w:proofErr w:type="spellEnd"/>
    </w:p>
    <w:p w:rsidR="00FF5FA8" w:rsidRPr="008D78B5" w:rsidRDefault="00FF5FA8" w:rsidP="00FF5FA8">
      <w:pPr>
        <w:rPr>
          <w:b/>
          <w:szCs w:val="22"/>
        </w:rPr>
      </w:pPr>
      <w:r w:rsidRPr="00B34FA1">
        <w:rPr>
          <w:noProof/>
          <w:szCs w:val="24"/>
        </w:rPr>
        <w:t>Jeigu vartojate ar neseniai vartojote kitų vaistų arba dėl to nesate tikri, apie t</w:t>
      </w:r>
      <w:r>
        <w:rPr>
          <w:noProof/>
          <w:szCs w:val="24"/>
        </w:rPr>
        <w:t xml:space="preserve">ai pasakykite gydytojui arba </w:t>
      </w:r>
      <w:r w:rsidRPr="00B34FA1">
        <w:rPr>
          <w:noProof/>
          <w:szCs w:val="24"/>
        </w:rPr>
        <w:t>vaistininkui</w:t>
      </w:r>
      <w:r>
        <w:rPr>
          <w:noProof/>
          <w:szCs w:val="24"/>
        </w:rPr>
        <w:t>.</w:t>
      </w:r>
    </w:p>
    <w:p w:rsidR="00FF5FA8" w:rsidRPr="008D78B5" w:rsidRDefault="00FF5FA8" w:rsidP="00FF5FA8">
      <w:pPr>
        <w:widowControl w:val="0"/>
        <w:rPr>
          <w:snapToGrid w:val="0"/>
          <w:szCs w:val="22"/>
        </w:rPr>
      </w:pPr>
      <w:r w:rsidRPr="008D78B5">
        <w:rPr>
          <w:snapToGrid w:val="0"/>
          <w:szCs w:val="22"/>
        </w:rPr>
        <w:t>Ypatingo atsargumo Jums reikia laikytis, jeigu vartojate geriamuosius antikoaguliantus (tai yra vaistus, apsaugančius nuo krešulių susidarymo). Šiais atvejais heparino vartojimas odai tepti gali sukelti kraujo krešėjimo laiko pailgėjimą.</w:t>
      </w:r>
    </w:p>
    <w:p w:rsidR="00FF5FA8" w:rsidRPr="009F042A" w:rsidRDefault="00FF5FA8" w:rsidP="00FF5FA8">
      <w:pPr>
        <w:rPr>
          <w:szCs w:val="22"/>
        </w:rPr>
      </w:pPr>
    </w:p>
    <w:p w:rsidR="00FF5FA8" w:rsidRDefault="00FF5FA8" w:rsidP="00FF5FA8">
      <w:pPr>
        <w:ind w:left="567" w:hanging="567"/>
        <w:rPr>
          <w:b/>
          <w:szCs w:val="22"/>
        </w:rPr>
      </w:pPr>
      <w:r w:rsidRPr="003720D2">
        <w:rPr>
          <w:b/>
          <w:szCs w:val="22"/>
        </w:rPr>
        <w:t>Nėštumas</w:t>
      </w:r>
      <w:r>
        <w:rPr>
          <w:b/>
          <w:szCs w:val="22"/>
        </w:rPr>
        <w:t>, žindymo laikotarpis ir vaisingumas</w:t>
      </w:r>
    </w:p>
    <w:p w:rsidR="00FF5FA8" w:rsidRPr="00E13AB8" w:rsidRDefault="00FF5FA8" w:rsidP="00FF5FA8">
      <w:pPr>
        <w:rPr>
          <w:szCs w:val="22"/>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w:t>
      </w:r>
      <w:r w:rsidRPr="00B34FA1">
        <w:rPr>
          <w:noProof/>
          <w:szCs w:val="24"/>
        </w:rPr>
        <w:t>vaistininku</w:t>
      </w:r>
      <w:r>
        <w:rPr>
          <w:noProof/>
          <w:szCs w:val="24"/>
        </w:rPr>
        <w:t>.</w:t>
      </w:r>
    </w:p>
    <w:p w:rsidR="00FF5FA8" w:rsidRPr="000954B9" w:rsidRDefault="00FF5FA8" w:rsidP="00FF5FA8">
      <w:pPr>
        <w:ind w:left="567" w:hanging="567"/>
        <w:rPr>
          <w:szCs w:val="22"/>
        </w:rPr>
      </w:pPr>
      <w:r w:rsidRPr="000954B9">
        <w:rPr>
          <w:szCs w:val="22"/>
        </w:rPr>
        <w:t xml:space="preserve">Duomenų apie </w:t>
      </w:r>
      <w:proofErr w:type="spellStart"/>
      <w:r w:rsidRPr="000954B9">
        <w:rPr>
          <w:szCs w:val="22"/>
        </w:rPr>
        <w:t>Lioton</w:t>
      </w:r>
      <w:proofErr w:type="spellEnd"/>
      <w:r w:rsidRPr="000954B9">
        <w:rPr>
          <w:szCs w:val="22"/>
        </w:rPr>
        <w:t xml:space="preserve"> vartojimą nėštumo ar žindymo metu nėra.</w:t>
      </w:r>
    </w:p>
    <w:p w:rsidR="00FF5FA8" w:rsidRPr="003720D2" w:rsidRDefault="00FF5FA8" w:rsidP="00FF5FA8">
      <w:pPr>
        <w:rPr>
          <w:szCs w:val="22"/>
        </w:rPr>
      </w:pPr>
    </w:p>
    <w:p w:rsidR="00FF5FA8" w:rsidRPr="003720D2" w:rsidRDefault="00FF5FA8" w:rsidP="00FF5FA8">
      <w:pPr>
        <w:ind w:left="567" w:hanging="567"/>
        <w:rPr>
          <w:b/>
          <w:szCs w:val="22"/>
        </w:rPr>
      </w:pPr>
      <w:r w:rsidRPr="003720D2">
        <w:rPr>
          <w:b/>
          <w:szCs w:val="22"/>
        </w:rPr>
        <w:t>Vairavimas ir mechanizmų valdymas</w:t>
      </w:r>
    </w:p>
    <w:p w:rsidR="00FF5FA8" w:rsidRPr="003720D2" w:rsidRDefault="00FF5FA8" w:rsidP="00FF5FA8">
      <w:pPr>
        <w:ind w:left="567" w:hanging="567"/>
        <w:rPr>
          <w:szCs w:val="22"/>
        </w:rPr>
      </w:pPr>
      <w:proofErr w:type="spellStart"/>
      <w:r w:rsidRPr="003720D2">
        <w:rPr>
          <w:szCs w:val="22"/>
        </w:rPr>
        <w:t>Lioton</w:t>
      </w:r>
      <w:proofErr w:type="spellEnd"/>
      <w:r w:rsidRPr="003720D2">
        <w:rPr>
          <w:szCs w:val="22"/>
        </w:rPr>
        <w:t xml:space="preserve"> gebėjimo vairuoti ir valdyti mechanizmus neveikia.</w:t>
      </w:r>
    </w:p>
    <w:p w:rsidR="00FF5FA8" w:rsidRPr="003720D2" w:rsidRDefault="00FF5FA8" w:rsidP="00FF5FA8">
      <w:pPr>
        <w:rPr>
          <w:szCs w:val="22"/>
        </w:rPr>
      </w:pPr>
    </w:p>
    <w:p w:rsidR="00FF5FA8" w:rsidRDefault="00FF5FA8" w:rsidP="00FF5FA8">
      <w:pPr>
        <w:pStyle w:val="BTEMEASMCA"/>
      </w:pPr>
      <w:r w:rsidRPr="00A87798">
        <w:rPr>
          <w:b/>
        </w:rPr>
        <w:t>Lioton sudėtyje yra metilo parahidroksibenzoato (E218), propilo parahidroksibenzoato (E216), nerolio kvapiosios medžiagos ir lavandinų eterinio aliejau</w:t>
      </w:r>
      <w:r w:rsidRPr="00B11589">
        <w:t>s</w:t>
      </w:r>
    </w:p>
    <w:p w:rsidR="00FF5FA8" w:rsidRDefault="00FF5FA8" w:rsidP="00FF5FA8">
      <w:pPr>
        <w:pStyle w:val="BTEMEASMCA"/>
      </w:pPr>
      <w:r>
        <w:t xml:space="preserve">Šio vaisto sudėtyje </w:t>
      </w:r>
      <w:r w:rsidRPr="00B11589">
        <w:t xml:space="preserve">yra metilo parahidroksibenzoato </w:t>
      </w:r>
      <w:r>
        <w:t xml:space="preserve">ir </w:t>
      </w:r>
      <w:r w:rsidRPr="00B11589">
        <w:t>propilo parahidroksibenzoato</w:t>
      </w:r>
      <w:r>
        <w:t xml:space="preserve">, kaip konservantų. Jie gali sukelti alerginių reakcijų, </w:t>
      </w:r>
      <w:r w:rsidRPr="008F1C7B">
        <w:t>kurios gali būti uždelstos.</w:t>
      </w:r>
    </w:p>
    <w:p w:rsidR="00FF5FA8" w:rsidRDefault="00FF5FA8" w:rsidP="00FF5FA8">
      <w:pPr>
        <w:pStyle w:val="BTEMEASMCA"/>
      </w:pPr>
      <w:r>
        <w:t xml:space="preserve">Šio vaisto sudėtyje </w:t>
      </w:r>
      <w:r w:rsidRPr="00F22F19">
        <w:t xml:space="preserve">yra </w:t>
      </w:r>
      <w:r w:rsidRPr="00AA03BD">
        <w:t>aromatinių medžiagų</w:t>
      </w:r>
      <w:r w:rsidRPr="00A87798" w:rsidDel="000D6AC7">
        <w:t xml:space="preserve"> </w:t>
      </w:r>
      <w:r>
        <w:t>, kurių sudėtyje yra citralio, citronelolio, kumarino, d-limoneno, farnezolio, geraniolio ir linalolio. Citralis, citronelolis, kumarinas, d-limonenas, farnezolis, geraniolis ir linalolis gali sukelti alerginių reakcijų.</w:t>
      </w:r>
    </w:p>
    <w:p w:rsidR="00FF5FA8" w:rsidRDefault="00FF5FA8" w:rsidP="00FF5FA8">
      <w:pPr>
        <w:pStyle w:val="BTEMEASMCA"/>
      </w:pPr>
    </w:p>
    <w:p w:rsidR="00FF5FA8" w:rsidRPr="00667501" w:rsidRDefault="00FF5FA8" w:rsidP="00FF5FA8">
      <w:pPr>
        <w:pStyle w:val="BTEMEASMCA"/>
      </w:pPr>
      <w:r w:rsidRPr="00667501">
        <w:rPr>
          <w:b/>
        </w:rPr>
        <w:t>Lioton</w:t>
      </w:r>
      <w:r w:rsidRPr="00667501">
        <w:t xml:space="preserve"> </w:t>
      </w:r>
      <w:r w:rsidRPr="00B11589">
        <w:rPr>
          <w:b/>
        </w:rPr>
        <w:t>sudėtyje yra</w:t>
      </w:r>
      <w:r>
        <w:rPr>
          <w:b/>
        </w:rPr>
        <w:t xml:space="preserve"> etanolio</w:t>
      </w:r>
    </w:p>
    <w:p w:rsidR="00FF5FA8" w:rsidRDefault="00FF5FA8" w:rsidP="00FF5FA8">
      <w:pPr>
        <w:pStyle w:val="BTEMEASMCA"/>
      </w:pPr>
      <w:r w:rsidRPr="003131FD">
        <w:t>Kiekviename šio vaisto gelio g</w:t>
      </w:r>
      <w:r>
        <w:t xml:space="preserve">rame </w:t>
      </w:r>
      <w:r w:rsidRPr="003131FD">
        <w:t xml:space="preserve"> </w:t>
      </w:r>
      <w:r>
        <w:t>yra 233 mg alkoholio (etanolio)</w:t>
      </w:r>
      <w:r w:rsidRPr="00667501">
        <w:t xml:space="preserve">. </w:t>
      </w:r>
      <w:r w:rsidRPr="00E45C6A">
        <w:t>Etanolis gali sukelti deginimo pojūtį ant pažeistos odos</w:t>
      </w:r>
      <w:r w:rsidRPr="00667501">
        <w:t>.</w:t>
      </w:r>
    </w:p>
    <w:p w:rsidR="00FF5FA8" w:rsidRDefault="00FF5FA8" w:rsidP="00FF5FA8">
      <w:pPr>
        <w:pStyle w:val="BTEMEASMCA"/>
      </w:pPr>
    </w:p>
    <w:p w:rsidR="00FF5FA8" w:rsidRDefault="00FF5FA8" w:rsidP="00FF5FA8">
      <w:pPr>
        <w:pStyle w:val="PI-1EMEASMCA"/>
      </w:pPr>
      <w:bookmarkStart w:id="4" w:name="_Toc129243141"/>
      <w:bookmarkStart w:id="5" w:name="_Toc129243266"/>
      <w:r>
        <w:t>3.</w:t>
      </w:r>
      <w:r>
        <w:tab/>
        <w:t xml:space="preserve">Kaip vartoti </w:t>
      </w:r>
      <w:proofErr w:type="spellStart"/>
      <w:r>
        <w:t>Lioton</w:t>
      </w:r>
      <w:bookmarkEnd w:id="4"/>
      <w:bookmarkEnd w:id="5"/>
      <w:proofErr w:type="spellEnd"/>
    </w:p>
    <w:p w:rsidR="00FF5FA8" w:rsidRDefault="00FF5FA8" w:rsidP="00FF5FA8">
      <w:pPr>
        <w:pStyle w:val="BTEMEASMCA"/>
      </w:pPr>
    </w:p>
    <w:p w:rsidR="00FF5FA8" w:rsidRPr="006D45B7" w:rsidRDefault="00FF5FA8" w:rsidP="00FF5FA8">
      <w:pPr>
        <w:rPr>
          <w:szCs w:val="22"/>
        </w:rPr>
      </w:pPr>
      <w:r w:rsidRPr="00A87798">
        <w:t>V</w:t>
      </w:r>
      <w:r w:rsidRPr="006D45B7">
        <w:rPr>
          <w:szCs w:val="22"/>
        </w:rPr>
        <w:t xml:space="preserve">isada vartokite </w:t>
      </w:r>
      <w:r w:rsidRPr="00B34FA1">
        <w:rPr>
          <w:noProof/>
          <w:szCs w:val="24"/>
        </w:rPr>
        <w:t xml:space="preserve">šį vaistą </w:t>
      </w:r>
      <w:r w:rsidRPr="006D45B7">
        <w:rPr>
          <w:szCs w:val="22"/>
        </w:rPr>
        <w:t>tiksliai kaip nurodė gydytojas</w:t>
      </w:r>
      <w:r w:rsidRPr="0077675F">
        <w:rPr>
          <w:noProof/>
          <w:szCs w:val="24"/>
        </w:rPr>
        <w:t xml:space="preserve"> </w:t>
      </w:r>
      <w:r w:rsidRPr="00B34FA1">
        <w:rPr>
          <w:noProof/>
          <w:szCs w:val="24"/>
        </w:rPr>
        <w:t>arba vaistininkas</w:t>
      </w:r>
      <w:r w:rsidRPr="006D45B7">
        <w:rPr>
          <w:szCs w:val="22"/>
        </w:rPr>
        <w:t>. Jeigu abejojate, kreipkitės į gydytoją arba vaistininką.</w:t>
      </w:r>
    </w:p>
    <w:p w:rsidR="00FF5FA8" w:rsidRDefault="00FF5FA8" w:rsidP="00FF5FA8">
      <w:pPr>
        <w:rPr>
          <w:szCs w:val="22"/>
        </w:rPr>
      </w:pPr>
    </w:p>
    <w:p w:rsidR="00FF5FA8" w:rsidRDefault="00FF5FA8" w:rsidP="00FF5FA8">
      <w:pPr>
        <w:rPr>
          <w:szCs w:val="22"/>
        </w:rPr>
      </w:pPr>
      <w:r w:rsidRPr="003720D2">
        <w:rPr>
          <w:szCs w:val="22"/>
        </w:rPr>
        <w:t>Gelis tepamas ant odos pažeistoje vietoje ir švelniai įtrinamas 1-3 kartus per parą. Iš tūbelės patartina išspausti 3-10 cm gelio.</w:t>
      </w:r>
    </w:p>
    <w:p w:rsidR="00FF5FA8" w:rsidRDefault="00FF5FA8" w:rsidP="00FF5FA8">
      <w:pPr>
        <w:pStyle w:val="BTEMEASMCA"/>
      </w:pPr>
      <w:r w:rsidRPr="00DF4173">
        <w:t>Jeigu simptom</w:t>
      </w:r>
      <w:r>
        <w:t xml:space="preserve">ai pasunkėjo arba </w:t>
      </w:r>
      <w:r w:rsidRPr="00DF4173">
        <w:t xml:space="preserve">nepalengvėjo, </w:t>
      </w:r>
      <w:r>
        <w:t xml:space="preserve">reikia </w:t>
      </w:r>
      <w:r w:rsidRPr="00DF4173">
        <w:t>kreip</w:t>
      </w:r>
      <w:r>
        <w:t>tis</w:t>
      </w:r>
      <w:r w:rsidRPr="00DF4173">
        <w:t xml:space="preserve"> į gydytoją.</w:t>
      </w:r>
    </w:p>
    <w:p w:rsidR="00FF5FA8" w:rsidRDefault="00FF5FA8" w:rsidP="00FF5FA8">
      <w:pPr>
        <w:pStyle w:val="BTEMEASMCA"/>
      </w:pPr>
    </w:p>
    <w:p w:rsidR="00FF5FA8" w:rsidRDefault="00FF5FA8" w:rsidP="00FF5FA8">
      <w:pPr>
        <w:ind w:left="567" w:hanging="567"/>
        <w:rPr>
          <w:b/>
          <w:color w:val="000000"/>
        </w:rPr>
      </w:pPr>
      <w:r w:rsidRPr="00E13AB8">
        <w:rPr>
          <w:b/>
        </w:rPr>
        <w:t>Ką daryti</w:t>
      </w:r>
      <w:r w:rsidRPr="00E431CC">
        <w:rPr>
          <w:b/>
          <w:color w:val="000000"/>
        </w:rPr>
        <w:t xml:space="preserve"> </w:t>
      </w:r>
      <w:r>
        <w:rPr>
          <w:b/>
          <w:color w:val="000000"/>
        </w:rPr>
        <w:t>p</w:t>
      </w:r>
      <w:r w:rsidRPr="00E431CC">
        <w:rPr>
          <w:b/>
          <w:color w:val="000000"/>
        </w:rPr>
        <w:t>avartojus</w:t>
      </w:r>
      <w:r w:rsidRPr="00E431CC">
        <w:rPr>
          <w:color w:val="000000"/>
        </w:rPr>
        <w:t xml:space="preserve"> </w:t>
      </w:r>
      <w:r w:rsidRPr="00E431CC">
        <w:rPr>
          <w:b/>
          <w:color w:val="000000"/>
        </w:rPr>
        <w:t>per didelę</w:t>
      </w:r>
      <w:r w:rsidRPr="00E431CC">
        <w:rPr>
          <w:color w:val="000000"/>
        </w:rPr>
        <w:t xml:space="preserve"> </w:t>
      </w:r>
      <w:proofErr w:type="spellStart"/>
      <w:r>
        <w:rPr>
          <w:b/>
          <w:color w:val="000000"/>
        </w:rPr>
        <w:t>Lioton</w:t>
      </w:r>
      <w:proofErr w:type="spellEnd"/>
      <w:r>
        <w:rPr>
          <w:b/>
          <w:color w:val="000000"/>
        </w:rPr>
        <w:t xml:space="preserve"> </w:t>
      </w:r>
      <w:r w:rsidRPr="00E431CC">
        <w:rPr>
          <w:b/>
          <w:color w:val="000000"/>
        </w:rPr>
        <w:t>dozę</w:t>
      </w:r>
    </w:p>
    <w:p w:rsidR="00FF5FA8" w:rsidRPr="00DE2E54" w:rsidRDefault="00FF5FA8" w:rsidP="00FF5FA8">
      <w:pPr>
        <w:pStyle w:val="BodyTextAfter0"/>
        <w:rPr>
          <w:snapToGrid w:val="0"/>
          <w:sz w:val="24"/>
          <w:lang w:val="it-IT"/>
        </w:rPr>
      </w:pPr>
      <w:r w:rsidRPr="00DE2E54">
        <w:rPr>
          <w:snapToGrid w:val="0"/>
          <w:szCs w:val="22"/>
          <w:lang w:val="it-IT"/>
        </w:rPr>
        <w:t>Apie Lioton perdozavimo atvejus pranešimų negauta</w:t>
      </w:r>
      <w:r w:rsidRPr="00DE2E54">
        <w:rPr>
          <w:snapToGrid w:val="0"/>
          <w:sz w:val="24"/>
          <w:lang w:val="it-IT"/>
        </w:rPr>
        <w:t>.</w:t>
      </w:r>
    </w:p>
    <w:p w:rsidR="00FF5FA8" w:rsidRPr="00DE2E54" w:rsidRDefault="00FF5FA8" w:rsidP="00FF5FA8">
      <w:pPr>
        <w:pStyle w:val="BodyTextAfter0"/>
        <w:rPr>
          <w:snapToGrid w:val="0"/>
          <w:sz w:val="24"/>
          <w:lang w:val="it-IT"/>
        </w:rPr>
      </w:pPr>
    </w:p>
    <w:p w:rsidR="00FF5FA8" w:rsidRPr="00955CDE" w:rsidRDefault="00FF5FA8" w:rsidP="00FF5FA8">
      <w:pPr>
        <w:pStyle w:val="BTEMEASMCA"/>
        <w:rPr>
          <w:b/>
        </w:rPr>
      </w:pPr>
      <w:r w:rsidRPr="00955CDE">
        <w:rPr>
          <w:b/>
        </w:rPr>
        <w:t>Pamiršus pavartoti Lioton</w:t>
      </w:r>
    </w:p>
    <w:p w:rsidR="00FF5FA8" w:rsidRPr="00DF4173" w:rsidRDefault="00FF5FA8" w:rsidP="00FF5FA8">
      <w:pPr>
        <w:pStyle w:val="BTEMEASMCA"/>
      </w:pPr>
      <w:r w:rsidRPr="006D45B7">
        <w:lastRenderedPageBreak/>
        <w:t xml:space="preserve">Pamiršus </w:t>
      </w:r>
      <w:r>
        <w:t>pasitepti Lioton</w:t>
      </w:r>
      <w:r w:rsidRPr="006D45B7">
        <w:t>,</w:t>
      </w:r>
      <w:r>
        <w:t xml:space="preserve"> padarykite tai, kai tik atsiminsite. </w:t>
      </w:r>
      <w:r w:rsidRPr="00DF4173">
        <w:t>Negalima vartoti dvigubos dozės norint kompensuoti praleistą dozę.</w:t>
      </w:r>
    </w:p>
    <w:p w:rsidR="00FF5FA8" w:rsidRDefault="00FF5FA8" w:rsidP="00FF5FA8">
      <w:pPr>
        <w:pStyle w:val="BodyTextAfter0"/>
      </w:pPr>
    </w:p>
    <w:p w:rsidR="00FF5FA8" w:rsidRDefault="00FF5FA8" w:rsidP="00FF5FA8">
      <w:pPr>
        <w:pStyle w:val="BodyTextAfter0"/>
      </w:pPr>
      <w:r>
        <w:t>Jeigu kiltų daugiau klausimų dėl šio vaisto vartojimo, kreipkitės į gydytoją arba vaistininką.</w:t>
      </w:r>
    </w:p>
    <w:p w:rsidR="00FF5FA8" w:rsidRDefault="00FF5FA8" w:rsidP="00FF5FA8">
      <w:pPr>
        <w:ind w:left="567" w:hanging="567"/>
        <w:rPr>
          <w:color w:val="000000"/>
        </w:rPr>
      </w:pPr>
    </w:p>
    <w:p w:rsidR="00FF5FA8" w:rsidRDefault="00FF5FA8" w:rsidP="00FF5FA8">
      <w:pPr>
        <w:pStyle w:val="BTEMEASMCA"/>
      </w:pPr>
    </w:p>
    <w:p w:rsidR="00FF5FA8" w:rsidRDefault="00FF5FA8" w:rsidP="00FF5FA8">
      <w:pPr>
        <w:pStyle w:val="PI-1EMEASMCA"/>
      </w:pPr>
      <w:bookmarkStart w:id="6" w:name="_Toc129243142"/>
      <w:bookmarkStart w:id="7" w:name="_Toc129243267"/>
      <w:r>
        <w:t>4.</w:t>
      </w:r>
      <w:r>
        <w:tab/>
        <w:t>Galimas šalutinis poveikis</w:t>
      </w:r>
      <w:bookmarkEnd w:id="6"/>
      <w:bookmarkEnd w:id="7"/>
    </w:p>
    <w:p w:rsidR="00FF5FA8" w:rsidRDefault="00FF5FA8" w:rsidP="00FF5FA8">
      <w:pPr>
        <w:pStyle w:val="BTEMEASMCA"/>
      </w:pPr>
    </w:p>
    <w:p w:rsidR="00FF5FA8" w:rsidRDefault="00FF5FA8" w:rsidP="00FF5FA8">
      <w:pPr>
        <w:ind w:left="567" w:hanging="567"/>
        <w:rPr>
          <w:szCs w:val="22"/>
        </w:rPr>
      </w:pPr>
      <w:r>
        <w:rPr>
          <w:szCs w:val="22"/>
        </w:rPr>
        <w:t>Šis vaistas</w:t>
      </w:r>
      <w:r w:rsidRPr="00F81614">
        <w:rPr>
          <w:szCs w:val="22"/>
        </w:rPr>
        <w:t xml:space="preserve">, </w:t>
      </w:r>
      <w:r w:rsidRPr="00F81614">
        <w:t>kaip ir visi kiti, gali sukelti šalutinį poveikį, nors jis pasireiškia ne visiems žmonėms</w:t>
      </w:r>
      <w:r w:rsidRPr="00F81614">
        <w:rPr>
          <w:szCs w:val="22"/>
        </w:rPr>
        <w:t>.</w:t>
      </w:r>
    </w:p>
    <w:p w:rsidR="00FF5FA8" w:rsidRDefault="00FF5FA8" w:rsidP="00FF5FA8">
      <w:pPr>
        <w:ind w:left="567" w:hanging="567"/>
        <w:rPr>
          <w:szCs w:val="22"/>
        </w:rPr>
      </w:pPr>
    </w:p>
    <w:p w:rsidR="00FF5FA8" w:rsidRDefault="00FF5FA8" w:rsidP="00FF5FA8">
      <w:pPr>
        <w:ind w:left="567" w:hanging="567"/>
        <w:rPr>
          <w:szCs w:val="22"/>
        </w:rPr>
      </w:pPr>
      <w:r w:rsidRPr="00A87798">
        <w:rPr>
          <w:b/>
        </w:rPr>
        <w:t xml:space="preserve">Labai </w:t>
      </w:r>
      <w:r w:rsidRPr="005D554B">
        <w:rPr>
          <w:b/>
          <w:bCs/>
          <w:noProof/>
          <w:snapToGrid w:val="0"/>
          <w:szCs w:val="22"/>
        </w:rPr>
        <w:t xml:space="preserve">reti šalutinio poveikio reiškiniai </w:t>
      </w:r>
      <w:r w:rsidRPr="00A87798">
        <w:rPr>
          <w:b/>
        </w:rPr>
        <w:t xml:space="preserve">(gali </w:t>
      </w:r>
      <w:r w:rsidRPr="005D554B">
        <w:rPr>
          <w:b/>
          <w:bCs/>
          <w:noProof/>
          <w:snapToGrid w:val="0"/>
          <w:szCs w:val="22"/>
        </w:rPr>
        <w:t>pasireikšti</w:t>
      </w:r>
      <w:r w:rsidRPr="00A87798">
        <w:rPr>
          <w:b/>
        </w:rPr>
        <w:t xml:space="preserve"> rečiau kaip 1 iš </w:t>
      </w:r>
      <w:r w:rsidRPr="005D554B">
        <w:rPr>
          <w:b/>
          <w:bCs/>
          <w:noProof/>
          <w:snapToGrid w:val="0"/>
          <w:szCs w:val="22"/>
        </w:rPr>
        <w:t>10 000 asmenų</w:t>
      </w:r>
      <w:r w:rsidRPr="00A87798">
        <w:rPr>
          <w:b/>
        </w:rPr>
        <w:t>)</w:t>
      </w:r>
    </w:p>
    <w:p w:rsidR="00FF5FA8" w:rsidRDefault="00FF5FA8" w:rsidP="00FF5FA8">
      <w:pPr>
        <w:pStyle w:val="BT-EMEASMCA"/>
      </w:pPr>
      <w:r>
        <w:t>alerginės reakcijos.</w:t>
      </w:r>
    </w:p>
    <w:p w:rsidR="00FF5FA8" w:rsidRDefault="00FF5FA8" w:rsidP="00FF5FA8">
      <w:pPr>
        <w:ind w:left="567" w:hanging="567"/>
        <w:rPr>
          <w:szCs w:val="22"/>
        </w:rPr>
      </w:pPr>
    </w:p>
    <w:p w:rsidR="00FF5FA8" w:rsidRDefault="00FF5FA8" w:rsidP="00FF5FA8">
      <w:pPr>
        <w:ind w:left="567" w:hanging="567"/>
        <w:rPr>
          <w:szCs w:val="22"/>
        </w:rPr>
      </w:pPr>
      <w:r w:rsidRPr="005D554B">
        <w:rPr>
          <w:b/>
          <w:bCs/>
          <w:noProof/>
          <w:snapToGrid w:val="0"/>
          <w:szCs w:val="22"/>
        </w:rPr>
        <w:t>Šalutini</w:t>
      </w:r>
      <w:r>
        <w:rPr>
          <w:b/>
          <w:bCs/>
          <w:noProof/>
          <w:snapToGrid w:val="0"/>
          <w:szCs w:val="22"/>
        </w:rPr>
        <w:t xml:space="preserve">o poveikio reiškiniai, kurių </w:t>
      </w:r>
      <w:r w:rsidRPr="005D554B">
        <w:rPr>
          <w:b/>
          <w:bCs/>
          <w:noProof/>
          <w:snapToGrid w:val="0"/>
          <w:szCs w:val="22"/>
        </w:rPr>
        <w:t>dažnis</w:t>
      </w:r>
      <w:r w:rsidRPr="00A87798">
        <w:rPr>
          <w:b/>
        </w:rPr>
        <w:t xml:space="preserve"> nežinomas</w:t>
      </w:r>
      <w:r w:rsidRPr="005D554B">
        <w:rPr>
          <w:b/>
          <w:bCs/>
          <w:noProof/>
          <w:snapToGrid w:val="0"/>
          <w:szCs w:val="22"/>
        </w:rPr>
        <w:t xml:space="preserve"> </w:t>
      </w:r>
      <w:r w:rsidRPr="00A87798">
        <w:rPr>
          <w:b/>
        </w:rPr>
        <w:t>(negali būti apskaičiuotas pagal turimus duomenis)</w:t>
      </w:r>
    </w:p>
    <w:p w:rsidR="00FF5FA8" w:rsidRDefault="00FF5FA8" w:rsidP="00FF5FA8">
      <w:pPr>
        <w:pStyle w:val="BT-EMEASMCA"/>
      </w:pPr>
      <w:r>
        <w:t xml:space="preserve">padidėjusio jautrumo </w:t>
      </w:r>
      <w:r w:rsidRPr="003720D2">
        <w:t>reakcij</w:t>
      </w:r>
      <w:r>
        <w:t>os (</w:t>
      </w:r>
      <w:r w:rsidRPr="001012C9">
        <w:t>paraudimas</w:t>
      </w:r>
      <w:r>
        <w:t xml:space="preserve">, </w:t>
      </w:r>
      <w:r w:rsidRPr="001012C9">
        <w:t>niežulys</w:t>
      </w:r>
      <w:r>
        <w:t>).</w:t>
      </w:r>
    </w:p>
    <w:p w:rsidR="00FF5FA8" w:rsidRDefault="00FF5FA8" w:rsidP="00FF5FA8">
      <w:pPr>
        <w:pStyle w:val="BTEMEASMCA"/>
      </w:pPr>
    </w:p>
    <w:p w:rsidR="00FF5FA8" w:rsidRPr="00B34FA1" w:rsidRDefault="00FF5FA8" w:rsidP="00FF5FA8">
      <w:pPr>
        <w:rPr>
          <w:b/>
          <w:szCs w:val="24"/>
        </w:rPr>
      </w:pPr>
      <w:r w:rsidRPr="00B34FA1">
        <w:rPr>
          <w:b/>
          <w:noProof/>
          <w:szCs w:val="24"/>
        </w:rPr>
        <w:t>Pranešimas apie šalutinį poveikį</w:t>
      </w:r>
    </w:p>
    <w:p w:rsidR="00FF5FA8" w:rsidRPr="00895ABE" w:rsidRDefault="00FF5FA8" w:rsidP="00FF5FA8">
      <w:pPr>
        <w:pStyle w:val="BTEMEASMCA"/>
        <w:rPr>
          <w:b/>
        </w:rPr>
      </w:pPr>
      <w:r w:rsidRPr="005D554B">
        <w:t xml:space="preserve">Jeigu pasireiškė šalutinis poveikis, įskaitant šiame lapelyje nenurodytą, pasakykite gydytojui arba vaistininkui. </w:t>
      </w:r>
      <w:r w:rsidRPr="005D554B">
        <w:rPr>
          <w:snapToGrid w:val="0"/>
        </w:rPr>
        <w:t>Pranešimą apie</w:t>
      </w:r>
      <w:r w:rsidRPr="005D554B">
        <w:t xml:space="preserve"> šalutinį poveikį galite pateikti </w:t>
      </w:r>
      <w:r w:rsidRPr="005D554B">
        <w:rPr>
          <w:snapToGrid w:val="0"/>
        </w:rPr>
        <w:t>šiais būdais: tiesiogiai užpildant formą internetu</w:t>
      </w:r>
      <w:r w:rsidRPr="005D554B">
        <w:t xml:space="preserve"> Valstybinės vaistų kontrolės tarnybos prie Lietuvos Respublikos sveikatos apsaugos ministerijos </w:t>
      </w:r>
      <w:r w:rsidRPr="005D554B">
        <w:rPr>
          <w:snapToGrid w:val="0"/>
        </w:rPr>
        <w:t xml:space="preserve">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w:t>
      </w:r>
      <w:r w:rsidRPr="005D554B">
        <w:t xml:space="preserve"> Pranešdami apie šalutinį poveikį galite mums padėti gauti daugiau informacijos apie šio vaisto saugumą</w:t>
      </w:r>
      <w:r w:rsidRPr="00145FD7">
        <w:t>.</w:t>
      </w:r>
    </w:p>
    <w:p w:rsidR="00FF5FA8" w:rsidRDefault="00FF5FA8" w:rsidP="00FF5FA8">
      <w:pPr>
        <w:pStyle w:val="BodyTextAfter0"/>
      </w:pPr>
    </w:p>
    <w:p w:rsidR="00FF5FA8" w:rsidRDefault="00FF5FA8" w:rsidP="00FF5FA8">
      <w:pPr>
        <w:pStyle w:val="BTEMEASMCA"/>
      </w:pPr>
    </w:p>
    <w:p w:rsidR="00FF5FA8" w:rsidRDefault="00FF5FA8" w:rsidP="00FF5FA8">
      <w:pPr>
        <w:pStyle w:val="PI-1EMEASMCA"/>
      </w:pPr>
      <w:bookmarkStart w:id="8" w:name="_Toc129243143"/>
      <w:bookmarkStart w:id="9" w:name="_Toc129243268"/>
      <w:r>
        <w:t>5.</w:t>
      </w:r>
      <w:r>
        <w:tab/>
        <w:t xml:space="preserve">Kaip laikyti </w:t>
      </w:r>
      <w:proofErr w:type="spellStart"/>
      <w:r>
        <w:t>Lioton</w:t>
      </w:r>
      <w:bookmarkEnd w:id="8"/>
      <w:bookmarkEnd w:id="9"/>
      <w:proofErr w:type="spellEnd"/>
    </w:p>
    <w:p w:rsidR="00FF5FA8" w:rsidRDefault="00FF5FA8" w:rsidP="00FF5FA8"/>
    <w:p w:rsidR="00FF5FA8" w:rsidRDefault="00FF5FA8" w:rsidP="00FF5FA8">
      <w:pPr>
        <w:pStyle w:val="BodyTextAfter0"/>
      </w:pPr>
      <w:r w:rsidRPr="00B34FA1">
        <w:rPr>
          <w:noProof/>
        </w:rPr>
        <w:t>Šį vaistą</w:t>
      </w:r>
      <w:r>
        <w:t xml:space="preserve"> laikykite vaikams nepastebimoje ir nepasiekiamoje vietoje.</w:t>
      </w:r>
    </w:p>
    <w:p w:rsidR="00FF5FA8" w:rsidRDefault="00FF5FA8" w:rsidP="00FF5FA8">
      <w:pPr>
        <w:pStyle w:val="BTEMEASMCA"/>
      </w:pPr>
    </w:p>
    <w:p w:rsidR="00FF5FA8" w:rsidRPr="00F013DE" w:rsidRDefault="00FF5FA8" w:rsidP="00FF5FA8">
      <w:pPr>
        <w:pStyle w:val="BodyTextAfter0"/>
      </w:pPr>
      <w:r w:rsidRPr="00153901">
        <w:t>Šiam vaist</w:t>
      </w:r>
      <w:r>
        <w:t>ui</w:t>
      </w:r>
      <w:r w:rsidRPr="00153901">
        <w:t xml:space="preserve"> specialių laikymo sąlygų nereikia</w:t>
      </w:r>
      <w:r w:rsidRPr="00F013DE">
        <w:t>.</w:t>
      </w:r>
    </w:p>
    <w:p w:rsidR="00FF5FA8" w:rsidRDefault="00FF5FA8" w:rsidP="00FF5FA8">
      <w:pPr>
        <w:pStyle w:val="BodyTextAfter0"/>
      </w:pPr>
    </w:p>
    <w:p w:rsidR="00FF5FA8" w:rsidRDefault="00FF5FA8" w:rsidP="00FF5FA8">
      <w:pPr>
        <w:pStyle w:val="BodyTextAfter0"/>
      </w:pPr>
      <w:r>
        <w:t>Ant tūbelės ir dėžutės po „EXP“ nurodytam tinkamumo laikui pasibaigus, šio vaisto vartoti negalima. Vaistas tinka vartoti iki paskutinės nurodyto mėnesio dienos.</w:t>
      </w:r>
    </w:p>
    <w:p w:rsidR="00FF5FA8" w:rsidRDefault="00FF5FA8" w:rsidP="00FF5FA8">
      <w:pPr>
        <w:pStyle w:val="BodyTextAfter0"/>
      </w:pPr>
      <w:r w:rsidRPr="00693E30">
        <w:rPr>
          <w:color w:val="222222"/>
          <w:shd w:val="clear" w:color="auto" w:fill="FFFFFF"/>
        </w:rPr>
        <w:t>Po pirmojo tūbelės atidarymo tinka vartoti 24 savaites</w:t>
      </w:r>
      <w:r>
        <w:t>.</w:t>
      </w:r>
    </w:p>
    <w:p w:rsidR="00FF5FA8" w:rsidRDefault="00FF5FA8" w:rsidP="00FF5FA8">
      <w:pPr>
        <w:pStyle w:val="BodyTextAfter0"/>
      </w:pPr>
    </w:p>
    <w:p w:rsidR="00FF5FA8" w:rsidRDefault="00FF5FA8" w:rsidP="00FF5FA8">
      <w:pPr>
        <w:pStyle w:val="BodyTextAfter0"/>
        <w:rPr>
          <w:szCs w:val="22"/>
        </w:rPr>
      </w:pPr>
      <w:r>
        <w:rPr>
          <w:szCs w:val="22"/>
        </w:rPr>
        <w:t xml:space="preserve">Vaistų negalima </w:t>
      </w:r>
      <w:r w:rsidRPr="00B34FA1">
        <w:rPr>
          <w:noProof/>
        </w:rPr>
        <w:t xml:space="preserve">išmesti </w:t>
      </w:r>
      <w:r>
        <w:rPr>
          <w:szCs w:val="22"/>
        </w:rPr>
        <w:t xml:space="preserve">į kanalizaciją arba su buitinėmis atliekomis. Kaip </w:t>
      </w:r>
      <w:r w:rsidRPr="00B34FA1">
        <w:rPr>
          <w:noProof/>
        </w:rPr>
        <w:t xml:space="preserve">išmesti </w:t>
      </w:r>
      <w:r>
        <w:rPr>
          <w:szCs w:val="22"/>
        </w:rPr>
        <w:t>nereikalingus vaistus, klauskite vaistininko. Šios priemonės padės apsaugoti aplinką.</w:t>
      </w:r>
    </w:p>
    <w:p w:rsidR="00FF5FA8" w:rsidRDefault="00FF5FA8" w:rsidP="00FF5FA8">
      <w:pPr>
        <w:pStyle w:val="BTEMEASMCA"/>
      </w:pPr>
    </w:p>
    <w:p w:rsidR="00FF5FA8" w:rsidRDefault="00FF5FA8" w:rsidP="00FF5FA8">
      <w:pPr>
        <w:pStyle w:val="BTEMEASMCA"/>
      </w:pPr>
    </w:p>
    <w:p w:rsidR="00FF5FA8" w:rsidRDefault="00FF5FA8" w:rsidP="00FF5FA8">
      <w:pPr>
        <w:pStyle w:val="PI-1EMEASMCA"/>
      </w:pPr>
      <w:bookmarkStart w:id="10" w:name="_Toc129243144"/>
      <w:bookmarkStart w:id="11" w:name="_Toc129243269"/>
      <w:r>
        <w:t>6.</w:t>
      </w:r>
      <w:r>
        <w:tab/>
        <w:t>Pakuotės turinys ir kita informacija</w:t>
      </w:r>
      <w:bookmarkEnd w:id="10"/>
      <w:bookmarkEnd w:id="11"/>
    </w:p>
    <w:p w:rsidR="00FF5FA8" w:rsidRDefault="00FF5FA8" w:rsidP="00FF5FA8">
      <w:pPr>
        <w:pStyle w:val="BTEMEASMCA"/>
      </w:pPr>
    </w:p>
    <w:p w:rsidR="00FF5FA8" w:rsidRDefault="00FF5FA8" w:rsidP="00FF5FA8">
      <w:pPr>
        <w:pStyle w:val="BodyTextAfter0"/>
        <w:rPr>
          <w:b/>
        </w:rPr>
      </w:pPr>
      <w:proofErr w:type="spellStart"/>
      <w:r>
        <w:rPr>
          <w:b/>
        </w:rPr>
        <w:t>Lioton</w:t>
      </w:r>
      <w:proofErr w:type="spellEnd"/>
      <w:r>
        <w:rPr>
          <w:b/>
        </w:rPr>
        <w:t xml:space="preserve"> sudėtis</w:t>
      </w:r>
    </w:p>
    <w:p w:rsidR="00FF5FA8" w:rsidRPr="003720D2" w:rsidRDefault="00FF5FA8" w:rsidP="00FF5FA8">
      <w:pPr>
        <w:ind w:left="567" w:hanging="567"/>
        <w:rPr>
          <w:szCs w:val="22"/>
        </w:rPr>
      </w:pPr>
      <w:r w:rsidRPr="003720D2">
        <w:rPr>
          <w:szCs w:val="22"/>
        </w:rPr>
        <w:t>- Veiklioji medžiaga yra heparino natrio druska. 1 g gelio yra 1000 TV heparino natrio druskos</w:t>
      </w:r>
    </w:p>
    <w:p w:rsidR="00FF5FA8" w:rsidRPr="003720D2" w:rsidRDefault="00FF5FA8" w:rsidP="00FF5FA8">
      <w:pPr>
        <w:rPr>
          <w:szCs w:val="22"/>
        </w:rPr>
      </w:pPr>
      <w:r w:rsidRPr="003720D2">
        <w:rPr>
          <w:szCs w:val="22"/>
        </w:rPr>
        <w:t>- Pagalbinės medžiagos: metilo</w:t>
      </w:r>
      <w:r>
        <w:rPr>
          <w:szCs w:val="22"/>
        </w:rPr>
        <w:t xml:space="preserve"> </w:t>
      </w:r>
      <w:proofErr w:type="spellStart"/>
      <w:r>
        <w:rPr>
          <w:szCs w:val="22"/>
        </w:rPr>
        <w:t>parahidroksibenzoatas</w:t>
      </w:r>
      <w:proofErr w:type="spellEnd"/>
      <w:r>
        <w:rPr>
          <w:szCs w:val="22"/>
        </w:rPr>
        <w:t xml:space="preserve"> (E218), </w:t>
      </w:r>
      <w:proofErr w:type="spellStart"/>
      <w:r>
        <w:rPr>
          <w:szCs w:val="22"/>
        </w:rPr>
        <w:t>propilo</w:t>
      </w:r>
      <w:proofErr w:type="spellEnd"/>
      <w:r>
        <w:rPr>
          <w:szCs w:val="22"/>
        </w:rPr>
        <w:t xml:space="preserve"> </w:t>
      </w:r>
      <w:proofErr w:type="spellStart"/>
      <w:r w:rsidRPr="003720D2">
        <w:rPr>
          <w:szCs w:val="22"/>
        </w:rPr>
        <w:t>parahidroksibenzoatas</w:t>
      </w:r>
      <w:proofErr w:type="spellEnd"/>
      <w:r>
        <w:rPr>
          <w:szCs w:val="22"/>
        </w:rPr>
        <w:t xml:space="preserve"> (E216)</w:t>
      </w:r>
      <w:r w:rsidRPr="003720D2">
        <w:rPr>
          <w:szCs w:val="22"/>
        </w:rPr>
        <w:t xml:space="preserve">, </w:t>
      </w:r>
      <w:r>
        <w:rPr>
          <w:szCs w:val="22"/>
        </w:rPr>
        <w:t xml:space="preserve">kaip konservantai, </w:t>
      </w:r>
      <w:r w:rsidRPr="003720D2">
        <w:rPr>
          <w:szCs w:val="22"/>
        </w:rPr>
        <w:t>etanolis</w:t>
      </w:r>
      <w:r>
        <w:rPr>
          <w:szCs w:val="22"/>
        </w:rPr>
        <w:t xml:space="preserve"> </w:t>
      </w:r>
      <w:r w:rsidRPr="00924EFD">
        <w:rPr>
          <w:szCs w:val="24"/>
        </w:rPr>
        <w:t>96%</w:t>
      </w:r>
      <w:r w:rsidRPr="003720D2">
        <w:rPr>
          <w:szCs w:val="22"/>
        </w:rPr>
        <w:t xml:space="preserve">, </w:t>
      </w:r>
      <w:proofErr w:type="spellStart"/>
      <w:r w:rsidRPr="003720D2">
        <w:rPr>
          <w:szCs w:val="22"/>
        </w:rPr>
        <w:t>karbomeras</w:t>
      </w:r>
      <w:proofErr w:type="spellEnd"/>
      <w:r>
        <w:rPr>
          <w:szCs w:val="22"/>
        </w:rPr>
        <w:t xml:space="preserve">, </w:t>
      </w:r>
      <w:proofErr w:type="spellStart"/>
      <w:r>
        <w:rPr>
          <w:szCs w:val="22"/>
        </w:rPr>
        <w:t>nerolio</w:t>
      </w:r>
      <w:proofErr w:type="spellEnd"/>
      <w:r>
        <w:rPr>
          <w:szCs w:val="22"/>
        </w:rPr>
        <w:t xml:space="preserve"> </w:t>
      </w:r>
      <w:r w:rsidRPr="000B5051">
        <w:rPr>
          <w:szCs w:val="22"/>
        </w:rPr>
        <w:t>kvapioji medžiaga</w:t>
      </w:r>
      <w:r>
        <w:rPr>
          <w:szCs w:val="22"/>
        </w:rPr>
        <w:t xml:space="preserve"> </w:t>
      </w:r>
      <w:r w:rsidRPr="0039428C">
        <w:t>(</w:t>
      </w:r>
      <w:r>
        <w:t>turinti</w:t>
      </w:r>
      <w:r w:rsidRPr="0039428C">
        <w:t xml:space="preserve"> </w:t>
      </w:r>
      <w:proofErr w:type="spellStart"/>
      <w:r w:rsidRPr="0039428C">
        <w:t>linalo</w:t>
      </w:r>
      <w:r>
        <w:t>lio</w:t>
      </w:r>
      <w:proofErr w:type="spellEnd"/>
      <w:r w:rsidRPr="0039428C">
        <w:t>, d-</w:t>
      </w:r>
      <w:proofErr w:type="spellStart"/>
      <w:r w:rsidRPr="0039428C">
        <w:t>limonen</w:t>
      </w:r>
      <w:r>
        <w:t>o</w:t>
      </w:r>
      <w:proofErr w:type="spellEnd"/>
      <w:r w:rsidRPr="0039428C">
        <w:t xml:space="preserve">, </w:t>
      </w:r>
      <w:proofErr w:type="spellStart"/>
      <w:r>
        <w:t>geraniolio</w:t>
      </w:r>
      <w:proofErr w:type="spellEnd"/>
      <w:r>
        <w:t xml:space="preserve">, </w:t>
      </w:r>
      <w:proofErr w:type="spellStart"/>
      <w:r>
        <w:t>citralio</w:t>
      </w:r>
      <w:proofErr w:type="spellEnd"/>
      <w:r>
        <w:t xml:space="preserve">, </w:t>
      </w:r>
      <w:proofErr w:type="spellStart"/>
      <w:r>
        <w:t>citronelolio</w:t>
      </w:r>
      <w:proofErr w:type="spellEnd"/>
      <w:r w:rsidRPr="0039428C">
        <w:t xml:space="preserve"> </w:t>
      </w:r>
      <w:r>
        <w:t>ir</w:t>
      </w:r>
      <w:r w:rsidRPr="0039428C">
        <w:t xml:space="preserve"> </w:t>
      </w:r>
      <w:proofErr w:type="spellStart"/>
      <w:r w:rsidRPr="0039428C">
        <w:t>farnesol</w:t>
      </w:r>
      <w:r>
        <w:t>io</w:t>
      </w:r>
      <w:proofErr w:type="spellEnd"/>
      <w:r w:rsidRPr="0039428C">
        <w:t>)</w:t>
      </w:r>
      <w:r w:rsidRPr="003720D2">
        <w:rPr>
          <w:szCs w:val="22"/>
        </w:rPr>
        <w:t xml:space="preserve">, </w:t>
      </w:r>
      <w:proofErr w:type="spellStart"/>
      <w:r w:rsidRPr="003720D2">
        <w:rPr>
          <w:szCs w:val="22"/>
        </w:rPr>
        <w:t>l</w:t>
      </w:r>
      <w:r>
        <w:rPr>
          <w:szCs w:val="22"/>
        </w:rPr>
        <w:t>avandinų</w:t>
      </w:r>
      <w:proofErr w:type="spellEnd"/>
      <w:r w:rsidRPr="003720D2">
        <w:rPr>
          <w:szCs w:val="22"/>
        </w:rPr>
        <w:t xml:space="preserve"> eterinis aliejus</w:t>
      </w:r>
      <w:r>
        <w:rPr>
          <w:szCs w:val="22"/>
        </w:rPr>
        <w:t xml:space="preserve"> </w:t>
      </w:r>
      <w:r w:rsidRPr="0039428C">
        <w:t>(</w:t>
      </w:r>
      <w:r>
        <w:t>turintis</w:t>
      </w:r>
      <w:r w:rsidRPr="0039428C">
        <w:t xml:space="preserve"> </w:t>
      </w:r>
      <w:proofErr w:type="spellStart"/>
      <w:r w:rsidRPr="0039428C">
        <w:t>linalol</w:t>
      </w:r>
      <w:r>
        <w:t>io</w:t>
      </w:r>
      <w:proofErr w:type="spellEnd"/>
      <w:r w:rsidRPr="0039428C">
        <w:t>, d-</w:t>
      </w:r>
      <w:proofErr w:type="spellStart"/>
      <w:r w:rsidRPr="0039428C">
        <w:t>limonen</w:t>
      </w:r>
      <w:r>
        <w:t>o</w:t>
      </w:r>
      <w:proofErr w:type="spellEnd"/>
      <w:r w:rsidRPr="0039428C">
        <w:t xml:space="preserve">, </w:t>
      </w:r>
      <w:proofErr w:type="spellStart"/>
      <w:r w:rsidRPr="0039428C">
        <w:t>geraniol</w:t>
      </w:r>
      <w:r>
        <w:t>io</w:t>
      </w:r>
      <w:proofErr w:type="spellEnd"/>
      <w:r w:rsidRPr="0039428C">
        <w:t xml:space="preserve"> </w:t>
      </w:r>
      <w:r>
        <w:t>ir</w:t>
      </w:r>
      <w:r w:rsidRPr="0039428C">
        <w:t xml:space="preserve"> </w:t>
      </w:r>
      <w:r>
        <w:t>k</w:t>
      </w:r>
      <w:r w:rsidRPr="0039428C">
        <w:t>umarin</w:t>
      </w:r>
      <w:r>
        <w:t>o</w:t>
      </w:r>
      <w:r w:rsidRPr="0039428C">
        <w:t>)</w:t>
      </w:r>
      <w:r w:rsidRPr="003720D2">
        <w:rPr>
          <w:szCs w:val="22"/>
        </w:rPr>
        <w:t xml:space="preserve">, </w:t>
      </w:r>
      <w:proofErr w:type="spellStart"/>
      <w:r w:rsidRPr="003720D2">
        <w:rPr>
          <w:szCs w:val="22"/>
        </w:rPr>
        <w:t>trolaminas</w:t>
      </w:r>
      <w:proofErr w:type="spellEnd"/>
      <w:r w:rsidRPr="003720D2">
        <w:rPr>
          <w:szCs w:val="22"/>
        </w:rPr>
        <w:t>, išgrynintas vanduo.</w:t>
      </w:r>
    </w:p>
    <w:p w:rsidR="00FF5FA8" w:rsidRDefault="00FF5FA8" w:rsidP="00FF5FA8">
      <w:pPr>
        <w:pStyle w:val="BTEMEASMCA"/>
      </w:pPr>
    </w:p>
    <w:p w:rsidR="00FF5FA8" w:rsidRPr="00955CDE" w:rsidRDefault="00FF5FA8" w:rsidP="00FF5FA8">
      <w:pPr>
        <w:pStyle w:val="BTEMEASMCA"/>
        <w:rPr>
          <w:b/>
        </w:rPr>
      </w:pPr>
      <w:r w:rsidRPr="00955CDE">
        <w:rPr>
          <w:b/>
        </w:rPr>
        <w:t>Lioton išvaizda ir kiekis pakuotėje</w:t>
      </w:r>
    </w:p>
    <w:p w:rsidR="00FF5FA8" w:rsidRPr="003720D2" w:rsidRDefault="00FF5FA8" w:rsidP="00FF5FA8">
      <w:pPr>
        <w:rPr>
          <w:szCs w:val="22"/>
        </w:rPr>
      </w:pPr>
      <w:proofErr w:type="spellStart"/>
      <w:r w:rsidRPr="003720D2">
        <w:rPr>
          <w:szCs w:val="22"/>
        </w:rPr>
        <w:lastRenderedPageBreak/>
        <w:t>Lioton</w:t>
      </w:r>
      <w:proofErr w:type="spellEnd"/>
      <w:r w:rsidRPr="003720D2">
        <w:rPr>
          <w:b/>
          <w:i/>
          <w:szCs w:val="22"/>
        </w:rPr>
        <w:t xml:space="preserve"> </w:t>
      </w:r>
      <w:r w:rsidRPr="003720D2">
        <w:rPr>
          <w:szCs w:val="22"/>
        </w:rPr>
        <w:t xml:space="preserve">yra </w:t>
      </w:r>
      <w:r w:rsidRPr="00CF3C72">
        <w:rPr>
          <w:szCs w:val="22"/>
        </w:rPr>
        <w:t>želė konsistencijos, beveik skaidrus, bespalvis ar lengvai gelsvokas, švelnaus aromatinio kvapo  gelis</w:t>
      </w:r>
      <w:r w:rsidRPr="003720D2">
        <w:rPr>
          <w:szCs w:val="22"/>
        </w:rPr>
        <w:t xml:space="preserve">. </w:t>
      </w:r>
    </w:p>
    <w:p w:rsidR="00FF5FA8" w:rsidRPr="003720D2" w:rsidRDefault="00FF5FA8" w:rsidP="00FF5FA8">
      <w:pPr>
        <w:rPr>
          <w:szCs w:val="22"/>
        </w:rPr>
      </w:pPr>
      <w:r>
        <w:t>A</w:t>
      </w:r>
      <w:r w:rsidRPr="003720D2">
        <w:t>liuminio tūbelė</w:t>
      </w:r>
      <w:r>
        <w:t xml:space="preserve"> su polipropileno (PP) dangteliu arba </w:t>
      </w:r>
      <w:r w:rsidRPr="003720D2">
        <w:t>aliuminio tūbelė</w:t>
      </w:r>
      <w:r>
        <w:t xml:space="preserve"> su polietileno (PE) dangteliu, kurioje</w:t>
      </w:r>
      <w:r w:rsidRPr="003720D2">
        <w:rPr>
          <w:szCs w:val="22"/>
        </w:rPr>
        <w:t xml:space="preserve"> yra 30 g, 50 g arba 100 g gelio.</w:t>
      </w:r>
    </w:p>
    <w:p w:rsidR="00FF5FA8" w:rsidRDefault="00FF5FA8" w:rsidP="00FF5FA8"/>
    <w:p w:rsidR="00FF5FA8" w:rsidRDefault="00FF5FA8" w:rsidP="00FF5FA8">
      <w:pPr>
        <w:pStyle w:val="BTEMEASMCA"/>
      </w:pPr>
      <w:r>
        <w:rPr>
          <w:snapToGrid w:val="0"/>
        </w:rPr>
        <w:t>Gali būti tiekiamos ne visų dydžių pakuotės.</w:t>
      </w:r>
    </w:p>
    <w:p w:rsidR="00FF5FA8" w:rsidRDefault="00FF5FA8" w:rsidP="00FF5FA8">
      <w:pPr>
        <w:pStyle w:val="Antrat6"/>
      </w:pPr>
      <w:r>
        <w:t>Registruotojas ir gamintojas</w:t>
      </w:r>
    </w:p>
    <w:p w:rsidR="00FF5FA8" w:rsidRPr="00E13AB8" w:rsidRDefault="00FF5FA8" w:rsidP="00FF5FA8">
      <w:pPr>
        <w:rPr>
          <w:i/>
          <w:szCs w:val="22"/>
        </w:rPr>
      </w:pPr>
      <w:r w:rsidRPr="00E13AB8">
        <w:rPr>
          <w:i/>
        </w:rPr>
        <w:t>Registruotojas</w:t>
      </w:r>
    </w:p>
    <w:p w:rsidR="00FF5FA8" w:rsidRPr="003720D2" w:rsidRDefault="00FF5FA8" w:rsidP="00FF5FA8">
      <w:pPr>
        <w:rPr>
          <w:szCs w:val="22"/>
        </w:rPr>
      </w:pPr>
      <w:r w:rsidRPr="003720D2">
        <w:rPr>
          <w:szCs w:val="22"/>
        </w:rPr>
        <w:t xml:space="preserve">A. Menarini </w:t>
      </w:r>
      <w:proofErr w:type="spellStart"/>
      <w:r w:rsidRPr="003720D2">
        <w:rPr>
          <w:szCs w:val="22"/>
        </w:rPr>
        <w:t>Industrie</w:t>
      </w:r>
      <w:proofErr w:type="spellEnd"/>
      <w:r w:rsidRPr="003720D2">
        <w:rPr>
          <w:szCs w:val="22"/>
        </w:rPr>
        <w:t xml:space="preserve"> </w:t>
      </w:r>
      <w:proofErr w:type="spellStart"/>
      <w:r w:rsidRPr="003720D2">
        <w:rPr>
          <w:szCs w:val="22"/>
        </w:rPr>
        <w:t>Farmaceutiche</w:t>
      </w:r>
      <w:proofErr w:type="spellEnd"/>
      <w:r w:rsidRPr="003720D2">
        <w:rPr>
          <w:szCs w:val="22"/>
        </w:rPr>
        <w:t xml:space="preserve"> </w:t>
      </w:r>
      <w:proofErr w:type="spellStart"/>
      <w:r w:rsidRPr="003720D2">
        <w:rPr>
          <w:szCs w:val="22"/>
        </w:rPr>
        <w:t>Riunite</w:t>
      </w:r>
      <w:proofErr w:type="spellEnd"/>
      <w:r w:rsidRPr="003720D2">
        <w:rPr>
          <w:szCs w:val="22"/>
        </w:rPr>
        <w:t> </w:t>
      </w:r>
      <w:proofErr w:type="spellStart"/>
      <w:r w:rsidRPr="003720D2">
        <w:rPr>
          <w:szCs w:val="22"/>
        </w:rPr>
        <w:t>s.r.l</w:t>
      </w:r>
      <w:proofErr w:type="spellEnd"/>
      <w:r w:rsidRPr="003720D2">
        <w:rPr>
          <w:szCs w:val="22"/>
        </w:rPr>
        <w:t>.</w:t>
      </w:r>
    </w:p>
    <w:p w:rsidR="00FF5FA8" w:rsidRPr="003720D2" w:rsidRDefault="00FF5FA8" w:rsidP="00FF5FA8">
      <w:pPr>
        <w:rPr>
          <w:szCs w:val="22"/>
        </w:rPr>
      </w:pPr>
      <w:r w:rsidRPr="003720D2">
        <w:rPr>
          <w:szCs w:val="22"/>
        </w:rPr>
        <w:t xml:space="preserve">Via </w:t>
      </w:r>
      <w:proofErr w:type="spellStart"/>
      <w:r w:rsidRPr="003720D2">
        <w:rPr>
          <w:szCs w:val="22"/>
        </w:rPr>
        <w:t>Sette</w:t>
      </w:r>
      <w:proofErr w:type="spellEnd"/>
      <w:r w:rsidRPr="003720D2">
        <w:rPr>
          <w:szCs w:val="22"/>
        </w:rPr>
        <w:t xml:space="preserve"> </w:t>
      </w:r>
      <w:proofErr w:type="spellStart"/>
      <w:r w:rsidRPr="003720D2">
        <w:rPr>
          <w:szCs w:val="22"/>
        </w:rPr>
        <w:t>Santi</w:t>
      </w:r>
      <w:proofErr w:type="spellEnd"/>
      <w:r w:rsidRPr="003720D2">
        <w:rPr>
          <w:szCs w:val="22"/>
        </w:rPr>
        <w:t> 3</w:t>
      </w:r>
    </w:p>
    <w:p w:rsidR="00FF5FA8" w:rsidRDefault="00FF5FA8" w:rsidP="00FF5FA8">
      <w:proofErr w:type="spellStart"/>
      <w:r w:rsidRPr="003720D2">
        <w:t>Florence</w:t>
      </w:r>
      <w:proofErr w:type="spellEnd"/>
      <w:r w:rsidRPr="003720D2">
        <w:t>, Italija</w:t>
      </w:r>
    </w:p>
    <w:p w:rsidR="00FF5FA8" w:rsidRPr="00E13AB8" w:rsidRDefault="00FF5FA8" w:rsidP="00FF5FA8">
      <w:pPr>
        <w:pStyle w:val="Antrat6"/>
        <w:spacing w:after="0"/>
        <w:rPr>
          <w:b w:val="0"/>
          <w:i/>
        </w:rPr>
      </w:pPr>
      <w:r w:rsidRPr="00E13AB8">
        <w:rPr>
          <w:b w:val="0"/>
          <w:i/>
        </w:rPr>
        <w:t>Gamintojas</w:t>
      </w:r>
    </w:p>
    <w:p w:rsidR="00FF5FA8" w:rsidRPr="003720D2" w:rsidRDefault="00FF5FA8" w:rsidP="00FF5FA8">
      <w:pPr>
        <w:pStyle w:val="Pagrindinistekstas"/>
        <w:spacing w:after="0"/>
        <w:rPr>
          <w:szCs w:val="22"/>
        </w:rPr>
      </w:pPr>
      <w:proofErr w:type="spellStart"/>
      <w:r w:rsidRPr="003720D2">
        <w:rPr>
          <w:szCs w:val="22"/>
        </w:rPr>
        <w:t>A.Menarini</w:t>
      </w:r>
      <w:proofErr w:type="spellEnd"/>
      <w:r w:rsidRPr="003720D2">
        <w:rPr>
          <w:szCs w:val="22"/>
        </w:rPr>
        <w:t xml:space="preserve"> </w:t>
      </w:r>
      <w:proofErr w:type="spellStart"/>
      <w:r w:rsidRPr="003720D2">
        <w:rPr>
          <w:szCs w:val="22"/>
        </w:rPr>
        <w:t>Manufacturing</w:t>
      </w:r>
      <w:proofErr w:type="spellEnd"/>
      <w:r w:rsidRPr="003720D2">
        <w:rPr>
          <w:szCs w:val="22"/>
        </w:rPr>
        <w:t xml:space="preserve"> </w:t>
      </w:r>
      <w:proofErr w:type="spellStart"/>
      <w:r w:rsidRPr="003720D2">
        <w:rPr>
          <w:szCs w:val="22"/>
        </w:rPr>
        <w:t>Logistics</w:t>
      </w:r>
      <w:proofErr w:type="spellEnd"/>
      <w:r w:rsidRPr="003720D2">
        <w:rPr>
          <w:szCs w:val="22"/>
        </w:rPr>
        <w:t xml:space="preserve"> </w:t>
      </w:r>
      <w:proofErr w:type="spellStart"/>
      <w:r w:rsidRPr="003720D2">
        <w:rPr>
          <w:szCs w:val="22"/>
        </w:rPr>
        <w:t>and</w:t>
      </w:r>
      <w:proofErr w:type="spellEnd"/>
      <w:r w:rsidRPr="003720D2">
        <w:rPr>
          <w:szCs w:val="22"/>
        </w:rPr>
        <w:t xml:space="preserve"> </w:t>
      </w:r>
      <w:proofErr w:type="spellStart"/>
      <w:r w:rsidRPr="003720D2">
        <w:rPr>
          <w:szCs w:val="22"/>
        </w:rPr>
        <w:t>Services</w:t>
      </w:r>
      <w:proofErr w:type="spellEnd"/>
      <w:r w:rsidRPr="003720D2">
        <w:rPr>
          <w:szCs w:val="22"/>
        </w:rPr>
        <w:t xml:space="preserve"> </w:t>
      </w:r>
      <w:proofErr w:type="spellStart"/>
      <w:r w:rsidRPr="003720D2">
        <w:rPr>
          <w:szCs w:val="22"/>
        </w:rPr>
        <w:t>s.r.l</w:t>
      </w:r>
      <w:proofErr w:type="spellEnd"/>
      <w:r w:rsidRPr="003720D2">
        <w:rPr>
          <w:szCs w:val="22"/>
        </w:rPr>
        <w:t>.</w:t>
      </w:r>
    </w:p>
    <w:p w:rsidR="00FF5FA8" w:rsidRPr="003720D2" w:rsidRDefault="00FF5FA8" w:rsidP="00FF5FA8">
      <w:pPr>
        <w:pStyle w:val="Pagrindinistekstas"/>
        <w:spacing w:after="0"/>
        <w:rPr>
          <w:szCs w:val="22"/>
        </w:rPr>
      </w:pPr>
      <w:r w:rsidRPr="003720D2">
        <w:rPr>
          <w:szCs w:val="22"/>
        </w:rPr>
        <w:t xml:space="preserve">Via </w:t>
      </w:r>
      <w:proofErr w:type="spellStart"/>
      <w:r w:rsidRPr="003720D2">
        <w:rPr>
          <w:szCs w:val="22"/>
        </w:rPr>
        <w:t>Sette</w:t>
      </w:r>
      <w:proofErr w:type="spellEnd"/>
      <w:r w:rsidRPr="003720D2">
        <w:rPr>
          <w:szCs w:val="22"/>
        </w:rPr>
        <w:t xml:space="preserve"> </w:t>
      </w:r>
      <w:proofErr w:type="spellStart"/>
      <w:r w:rsidRPr="003720D2">
        <w:rPr>
          <w:szCs w:val="22"/>
        </w:rPr>
        <w:t>Santi</w:t>
      </w:r>
      <w:proofErr w:type="spellEnd"/>
      <w:r w:rsidRPr="003720D2">
        <w:rPr>
          <w:szCs w:val="22"/>
        </w:rPr>
        <w:t xml:space="preserve"> 3,</w:t>
      </w:r>
    </w:p>
    <w:p w:rsidR="00FF5FA8" w:rsidRDefault="00FF5FA8" w:rsidP="00FF5FA8">
      <w:pPr>
        <w:pStyle w:val="BodyTextAfter0"/>
      </w:pPr>
      <w:proofErr w:type="spellStart"/>
      <w:r w:rsidRPr="003720D2">
        <w:rPr>
          <w:szCs w:val="22"/>
        </w:rPr>
        <w:t>Florence</w:t>
      </w:r>
      <w:proofErr w:type="spellEnd"/>
      <w:r w:rsidRPr="003720D2">
        <w:rPr>
          <w:szCs w:val="22"/>
        </w:rPr>
        <w:t>, Italija</w:t>
      </w:r>
    </w:p>
    <w:p w:rsidR="00FF5FA8" w:rsidRDefault="00FF5FA8" w:rsidP="00FF5FA8">
      <w:pPr>
        <w:pStyle w:val="BTEMEASMCA"/>
      </w:pPr>
    </w:p>
    <w:p w:rsidR="00FF5FA8" w:rsidRDefault="00FF5FA8" w:rsidP="00FF5FA8">
      <w:pPr>
        <w:pStyle w:val="BTEMEASMCA"/>
      </w:pPr>
      <w:r>
        <w:t>Jeigu apie šį vaistą norite sužinoti daugiau, kreipkitės į vietinį registruotojo atstovą.</w:t>
      </w:r>
    </w:p>
    <w:p w:rsidR="00FF5FA8" w:rsidRDefault="00FF5FA8" w:rsidP="00FF5FA8"/>
    <w:tbl>
      <w:tblPr>
        <w:tblW w:w="0" w:type="auto"/>
        <w:tblInd w:w="-34" w:type="dxa"/>
        <w:tblLayout w:type="fixed"/>
        <w:tblLook w:val="0000" w:firstRow="0" w:lastRow="0" w:firstColumn="0" w:lastColumn="0" w:noHBand="0" w:noVBand="0"/>
      </w:tblPr>
      <w:tblGrid>
        <w:gridCol w:w="4678"/>
      </w:tblGrid>
      <w:tr w:rsidR="00FF5FA8" w:rsidTr="0028058A">
        <w:tc>
          <w:tcPr>
            <w:tcW w:w="4678" w:type="dxa"/>
          </w:tcPr>
          <w:p w:rsidR="00FF5FA8" w:rsidRDefault="00FF5FA8" w:rsidP="0028058A">
            <w:pPr>
              <w:pStyle w:val="BTEMEASMCA"/>
            </w:pPr>
            <w:r>
              <w:t>UAB „BERLIN CHEMIE MENARINI BALTIC“</w:t>
            </w:r>
          </w:p>
          <w:p w:rsidR="00FF5FA8" w:rsidRDefault="00FF5FA8" w:rsidP="0028058A">
            <w:pPr>
              <w:pStyle w:val="BTEMEASMCA"/>
            </w:pPr>
            <w:r>
              <w:t>J.Jasinskio g. 16a, LT-03163 Vilnius</w:t>
            </w:r>
          </w:p>
          <w:p w:rsidR="00FF5FA8" w:rsidRDefault="00FF5FA8" w:rsidP="0028058A">
            <w:pPr>
              <w:pStyle w:val="BTEMEASMCA"/>
            </w:pPr>
            <w:r>
              <w:t>Tel. +370 5 269 19 47</w:t>
            </w:r>
          </w:p>
          <w:p w:rsidR="00FF5FA8" w:rsidRDefault="00FF5FA8" w:rsidP="0028058A">
            <w:pPr>
              <w:pStyle w:val="BTEMEASMCA"/>
            </w:pPr>
          </w:p>
        </w:tc>
      </w:tr>
    </w:tbl>
    <w:p w:rsidR="00FF5FA8" w:rsidRDefault="00FF5FA8" w:rsidP="00FF5FA8">
      <w:pPr>
        <w:pStyle w:val="BTEMEASMCA"/>
      </w:pPr>
    </w:p>
    <w:p w:rsidR="00FF5FA8" w:rsidRDefault="00FF5FA8" w:rsidP="00FF5FA8">
      <w:pPr>
        <w:pStyle w:val="BTbEMEASMCA"/>
      </w:pPr>
      <w:r>
        <w:t>Šis pakuotės lapelis paskutinį kartą peržiūrėtas 2022-06-06.</w:t>
      </w:r>
    </w:p>
    <w:p w:rsidR="00FF5FA8" w:rsidRDefault="00FF5FA8" w:rsidP="00FF5FA8"/>
    <w:p w:rsidR="00FF5FA8" w:rsidRDefault="00FF5FA8" w:rsidP="00FF5FA8">
      <w:pPr>
        <w:rPr>
          <w:rStyle w:val="Hipersaitas"/>
          <w:rFonts w:eastAsia="SimSun"/>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8" w:history="1">
        <w:r w:rsidRPr="00506E50">
          <w:rPr>
            <w:rStyle w:val="Hipersaitas"/>
            <w:rFonts w:eastAsia="SimSun"/>
          </w:rPr>
          <w:t>http://www.vvkt.lt/</w:t>
        </w:r>
      </w:hyperlink>
    </w:p>
    <w:p w:rsidR="00FF5FA8" w:rsidRDefault="00FF5FA8" w:rsidP="00FF5FA8">
      <w:pPr>
        <w:rPr>
          <w:rStyle w:val="Hipersaitas"/>
          <w:rFonts w:eastAsia="SimSun"/>
        </w:rPr>
      </w:pPr>
    </w:p>
    <w:p w:rsidR="00FF5FA8" w:rsidRPr="003720D2" w:rsidRDefault="00FF5FA8" w:rsidP="00FF5FA8">
      <w:pPr>
        <w:rPr>
          <w:szCs w:val="22"/>
        </w:rPr>
      </w:pPr>
      <w:bookmarkStart w:id="12" w:name="_GoBack"/>
      <w:bookmarkEnd w:id="12"/>
    </w:p>
    <w:p w:rsidR="00FF5FA8" w:rsidRDefault="00FF5FA8" w:rsidP="00FF5FA8"/>
    <w:p w:rsidR="00FF5FA8" w:rsidRDefault="00FF5FA8" w:rsidP="00FF5FA8">
      <w:pPr>
        <w:pStyle w:val="TTEMEASMCA"/>
      </w:pPr>
    </w:p>
    <w:p w:rsidR="00FF5FA8" w:rsidRDefault="00FF5FA8" w:rsidP="00FF5FA8"/>
    <w:p w:rsidR="00FF5FA8" w:rsidRDefault="00FF5FA8" w:rsidP="00FF5FA8"/>
    <w:p w:rsidR="009041DB" w:rsidRDefault="009041DB"/>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EC7"/>
    <w:multiLevelType w:val="hybridMultilevel"/>
    <w:tmpl w:val="0FFA70D8"/>
    <w:lvl w:ilvl="0" w:tplc="70969B24">
      <w:start w:val="1"/>
      <w:numFmt w:val="bullet"/>
      <w:pStyle w:val="BT-EMEASMCA"/>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AC2E3E"/>
    <w:multiLevelType w:val="hybridMultilevel"/>
    <w:tmpl w:val="11F8A56E"/>
    <w:lvl w:ilvl="0" w:tplc="FFFFFFFF">
      <w:start w:val="5"/>
      <w:numFmt w:val="bullet"/>
      <w:lvlText w:val="-"/>
      <w:lvlJc w:val="left"/>
      <w:pPr>
        <w:tabs>
          <w:tab w:val="num" w:pos="1110"/>
        </w:tabs>
        <w:ind w:left="1110" w:hanging="75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A8"/>
    <w:rsid w:val="00234094"/>
    <w:rsid w:val="002A211A"/>
    <w:rsid w:val="009041DB"/>
    <w:rsid w:val="00975D35"/>
    <w:rsid w:val="00D95EFF"/>
    <w:rsid w:val="00EE3634"/>
    <w:rsid w:val="00FF5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F5EB5-6936-459A-88F4-F0CD9C9A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FA8"/>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uiPriority w:val="9"/>
    <w:qFormat/>
    <w:rsid w:val="00FF5F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F5FA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6">
    <w:name w:val="heading 6"/>
    <w:basedOn w:val="prastasis"/>
    <w:next w:val="prastasis"/>
    <w:link w:val="Antrat6Diagrama"/>
    <w:qFormat/>
    <w:rsid w:val="00FF5FA8"/>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FF5FA8"/>
    <w:rPr>
      <w:rFonts w:ascii="Times New Roman" w:hAnsi="Times New Roman" w:cs="Times New Roman"/>
      <w:b/>
      <w:bCs/>
      <w:lang w:eastAsia="lt-LT"/>
    </w:rPr>
  </w:style>
  <w:style w:type="paragraph" w:styleId="Pagrindinistekstas">
    <w:name w:val="Body Text"/>
    <w:basedOn w:val="prastasis"/>
    <w:link w:val="PagrindinistekstasDiagrama"/>
    <w:rsid w:val="00FF5FA8"/>
    <w:pPr>
      <w:spacing w:after="120"/>
    </w:pPr>
  </w:style>
  <w:style w:type="character" w:customStyle="1" w:styleId="PagrindinistekstasDiagrama">
    <w:name w:val="Pagrindinis tekstas Diagrama"/>
    <w:basedOn w:val="Numatytasispastraiposriftas"/>
    <w:link w:val="Pagrindinistekstas"/>
    <w:rsid w:val="00FF5FA8"/>
    <w:rPr>
      <w:rFonts w:ascii="Times New Roman" w:hAnsi="Times New Roman" w:cs="Times New Roman"/>
      <w:szCs w:val="20"/>
      <w:lang w:eastAsia="lt-LT"/>
    </w:rPr>
  </w:style>
  <w:style w:type="paragraph" w:customStyle="1" w:styleId="BTEMEASMCA">
    <w:name w:val="BT EMEA_SMCA"/>
    <w:basedOn w:val="prastasis"/>
    <w:link w:val="BTEMEASMCAChar"/>
    <w:autoRedefine/>
    <w:rsid w:val="00FF5FA8"/>
    <w:pPr>
      <w:tabs>
        <w:tab w:val="left" w:pos="540"/>
      </w:tabs>
    </w:pPr>
    <w:rPr>
      <w:noProof/>
      <w:szCs w:val="22"/>
      <w:lang w:eastAsia="en-US"/>
    </w:rPr>
  </w:style>
  <w:style w:type="character" w:styleId="Hipersaitas">
    <w:name w:val="Hyperlink"/>
    <w:rsid w:val="00FF5FA8"/>
    <w:rPr>
      <w:color w:val="0000FF"/>
      <w:u w:val="single"/>
    </w:rPr>
  </w:style>
  <w:style w:type="paragraph" w:customStyle="1" w:styleId="PI-1EMEASMCA">
    <w:name w:val="PI-1 EMEA_SMCA"/>
    <w:basedOn w:val="Antrat2"/>
    <w:autoRedefine/>
    <w:rsid w:val="00FF5FA8"/>
    <w:pPr>
      <w:keepLines w:val="0"/>
      <w:tabs>
        <w:tab w:val="left" w:pos="567"/>
      </w:tabs>
      <w:spacing w:before="0"/>
    </w:pPr>
    <w:rPr>
      <w:rFonts w:ascii="Times New Roman" w:eastAsia="Times New Roman" w:hAnsi="Times New Roman" w:cs="Times New Roman"/>
      <w:b/>
      <w:color w:val="auto"/>
      <w:sz w:val="22"/>
      <w:szCs w:val="22"/>
      <w:lang w:eastAsia="en-US"/>
    </w:rPr>
  </w:style>
  <w:style w:type="paragraph" w:customStyle="1" w:styleId="BT-EMEASMCA">
    <w:name w:val="BT- EMEA_SMCA"/>
    <w:basedOn w:val="BTEMEASMCA"/>
    <w:autoRedefine/>
    <w:rsid w:val="00FF5FA8"/>
    <w:pPr>
      <w:numPr>
        <w:numId w:val="2"/>
      </w:numPr>
      <w:tabs>
        <w:tab w:val="clear" w:pos="720"/>
        <w:tab w:val="num" w:pos="360"/>
        <w:tab w:val="num" w:pos="567"/>
      </w:tabs>
      <w:ind w:left="567" w:hanging="567"/>
    </w:pPr>
    <w:rPr>
      <w:snapToGrid w:val="0"/>
      <w:szCs w:val="24"/>
      <w:lang w:val="en-US"/>
    </w:rPr>
  </w:style>
  <w:style w:type="paragraph" w:customStyle="1" w:styleId="BTbEMEASMCA">
    <w:name w:val="BT(b) EMEA_SMCA"/>
    <w:basedOn w:val="BTEMEASMCA"/>
    <w:autoRedefine/>
    <w:rsid w:val="00FF5FA8"/>
    <w:rPr>
      <w:b/>
      <w:bCs/>
      <w:szCs w:val="24"/>
    </w:rPr>
  </w:style>
  <w:style w:type="paragraph" w:customStyle="1" w:styleId="BodyTextAfter0">
    <w:name w:val="Body Text + After 0"/>
    <w:basedOn w:val="Pagrindinistekstas"/>
    <w:rsid w:val="00FF5FA8"/>
    <w:pPr>
      <w:spacing w:after="0"/>
    </w:pPr>
    <w:rPr>
      <w:szCs w:val="24"/>
      <w:lang w:eastAsia="en-US"/>
    </w:rPr>
  </w:style>
  <w:style w:type="paragraph" w:customStyle="1" w:styleId="TTEMEASMCA">
    <w:name w:val="TT EMEA_SMCA"/>
    <w:basedOn w:val="Antrat1"/>
    <w:autoRedefine/>
    <w:rsid w:val="00FF5FA8"/>
    <w:pPr>
      <w:keepNext w:val="0"/>
      <w:keepLines w:val="0"/>
      <w:tabs>
        <w:tab w:val="left" w:pos="567"/>
      </w:tabs>
      <w:spacing w:before="0"/>
      <w:jc w:val="center"/>
    </w:pPr>
    <w:rPr>
      <w:rFonts w:ascii="Times New Roman" w:eastAsia="Times New Roman" w:hAnsi="Times New Roman" w:cs="Times New Roman"/>
      <w:b/>
      <w:bCs/>
      <w:color w:val="auto"/>
      <w:sz w:val="22"/>
      <w:lang w:eastAsia="en-US"/>
    </w:rPr>
  </w:style>
  <w:style w:type="character" w:customStyle="1" w:styleId="BTEMEASMCAChar">
    <w:name w:val="BT EMEA_SMCA Char"/>
    <w:link w:val="BTEMEASMCA"/>
    <w:rsid w:val="00FF5FA8"/>
    <w:rPr>
      <w:rFonts w:ascii="Times New Roman" w:hAnsi="Times New Roman" w:cs="Times New Roman"/>
      <w:noProof/>
    </w:rPr>
  </w:style>
  <w:style w:type="character" w:customStyle="1" w:styleId="Antrat2Diagrama">
    <w:name w:val="Antraštė 2 Diagrama"/>
    <w:basedOn w:val="Numatytasispastraiposriftas"/>
    <w:link w:val="Antrat2"/>
    <w:uiPriority w:val="9"/>
    <w:semiHidden/>
    <w:rsid w:val="00FF5FA8"/>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FF5FA8"/>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5389</Words>
  <Characters>3072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2022-06-07T07:37:00Z</dcterms:created>
  <dcterms:modified xsi:type="dcterms:W3CDTF">2022-06-07T07:37:00Z</dcterms:modified>
</cp:coreProperties>
</file>