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1670" w:rsidRPr="00AF6BB6" w:rsidRDefault="00CA1670" w:rsidP="00CA1670">
      <w:pPr>
        <w:pStyle w:val="Antrat1"/>
        <w:jc w:val="center"/>
        <w:rPr>
          <w:b/>
          <w:sz w:val="22"/>
          <w:u w:val="none"/>
          <w:lang w:val="lt-LT"/>
        </w:rPr>
      </w:pPr>
      <w:r w:rsidRPr="00AF6BB6">
        <w:rPr>
          <w:b/>
          <w:sz w:val="22"/>
          <w:u w:val="none"/>
          <w:lang w:val="lt-LT"/>
        </w:rPr>
        <w:t>Pakuotės lapelis: informacija vartotojui</w:t>
      </w:r>
    </w:p>
    <w:p w:rsidR="00CA1670" w:rsidRDefault="00CA1670" w:rsidP="00CA1670">
      <w:pPr>
        <w:pStyle w:val="Paantrat"/>
        <w:rPr>
          <w:sz w:val="22"/>
          <w:szCs w:val="22"/>
          <w:lang w:val="lt-LT"/>
        </w:rPr>
      </w:pPr>
    </w:p>
    <w:p w:rsidR="00CA1670" w:rsidRDefault="00CA1670" w:rsidP="00CA1670">
      <w:pPr>
        <w:pStyle w:val="Paantrat"/>
        <w:rPr>
          <w:sz w:val="22"/>
          <w:szCs w:val="22"/>
          <w:lang w:val="lt-LT"/>
        </w:rPr>
      </w:pPr>
      <w:r>
        <w:rPr>
          <w:sz w:val="22"/>
          <w:szCs w:val="22"/>
          <w:lang w:val="lt-LT"/>
        </w:rPr>
        <w:t xml:space="preserve">DOXALFA 4 mg pailginto atpalaidavimo tabletės </w:t>
      </w:r>
    </w:p>
    <w:p w:rsidR="00CA1670" w:rsidRDefault="00CA1670" w:rsidP="00CA1670">
      <w:pPr>
        <w:pStyle w:val="Paantrat"/>
        <w:rPr>
          <w:sz w:val="22"/>
          <w:szCs w:val="22"/>
          <w:lang w:val="lt-LT"/>
        </w:rPr>
      </w:pPr>
      <w:r>
        <w:rPr>
          <w:b w:val="0"/>
          <w:sz w:val="22"/>
          <w:szCs w:val="22"/>
          <w:lang w:val="lt-LT"/>
        </w:rPr>
        <w:t>doksazosinas</w:t>
      </w:r>
    </w:p>
    <w:p w:rsidR="00CA1670" w:rsidRDefault="00CA1670" w:rsidP="00CA1670">
      <w:pPr>
        <w:pStyle w:val="Pagrindinistekstas"/>
        <w:rPr>
          <w:sz w:val="22"/>
          <w:szCs w:val="22"/>
          <w:lang w:val="lt-LT"/>
        </w:rPr>
      </w:pPr>
    </w:p>
    <w:p w:rsidR="00CA1670" w:rsidRDefault="00CA1670" w:rsidP="00CA1670">
      <w:pPr>
        <w:pStyle w:val="BTbEMEASMCA"/>
      </w:pPr>
      <w:r>
        <w:t>Atidžiai perskaitykite visą šį lapelį, prieš pradėdami vartoti vaistą, nes jame pateikiama Jums svarbi informacija.</w:t>
      </w:r>
    </w:p>
    <w:p w:rsidR="00CA1670" w:rsidRDefault="00CA1670" w:rsidP="00CA1670">
      <w:pPr>
        <w:tabs>
          <w:tab w:val="left" w:pos="567"/>
        </w:tabs>
        <w:spacing w:after="0" w:line="240" w:lineRule="auto"/>
        <w:rPr>
          <w:rFonts w:ascii="Times New Roman" w:hAnsi="Times New Roman"/>
          <w:lang w:val="lt-LT"/>
        </w:rPr>
      </w:pPr>
      <w:r>
        <w:rPr>
          <w:rFonts w:ascii="Times New Roman" w:hAnsi="Times New Roman"/>
          <w:lang w:val="lt-LT"/>
        </w:rPr>
        <w:t>-</w:t>
      </w:r>
      <w:r>
        <w:rPr>
          <w:rFonts w:ascii="Times New Roman" w:hAnsi="Times New Roman"/>
          <w:lang w:val="lt-LT"/>
        </w:rPr>
        <w:tab/>
        <w:t>Neišmeskite lapelio, nes vėl gali prireikti jį perskaityti.</w:t>
      </w:r>
    </w:p>
    <w:p w:rsidR="00CA1670" w:rsidRDefault="00CA1670" w:rsidP="00CA1670">
      <w:pPr>
        <w:spacing w:after="0" w:line="240" w:lineRule="auto"/>
        <w:ind w:left="567" w:hanging="567"/>
        <w:rPr>
          <w:rFonts w:ascii="Times New Roman" w:hAnsi="Times New Roman"/>
          <w:lang w:val="lt-LT"/>
        </w:rPr>
      </w:pPr>
      <w:r>
        <w:rPr>
          <w:rFonts w:ascii="Times New Roman" w:hAnsi="Times New Roman"/>
          <w:lang w:val="lt-LT"/>
        </w:rPr>
        <w:t>-</w:t>
      </w:r>
      <w:r>
        <w:rPr>
          <w:rFonts w:ascii="Times New Roman" w:hAnsi="Times New Roman"/>
          <w:lang w:val="lt-LT"/>
        </w:rPr>
        <w:tab/>
        <w:t>Jeigu kiltų daugiau klausimų, kreipkitės į gydytoją arba vaistininką.</w:t>
      </w:r>
    </w:p>
    <w:p w:rsidR="00CA1670" w:rsidRDefault="00CA1670" w:rsidP="00CA1670">
      <w:pPr>
        <w:numPr>
          <w:ilvl w:val="0"/>
          <w:numId w:val="1"/>
        </w:numPr>
        <w:tabs>
          <w:tab w:val="left" w:pos="567"/>
        </w:tabs>
        <w:spacing w:after="0" w:line="240" w:lineRule="auto"/>
        <w:ind w:left="567" w:hanging="567"/>
        <w:rPr>
          <w:rFonts w:ascii="Times New Roman" w:hAnsi="Times New Roman"/>
          <w:lang w:val="lt-LT"/>
        </w:rPr>
      </w:pPr>
      <w:r>
        <w:rPr>
          <w:rFonts w:ascii="Times New Roman" w:hAnsi="Times New Roman"/>
          <w:lang w:val="lt-LT"/>
        </w:rPr>
        <w:t>Šis vaistas skirtas Jums, todėl kitiems žmonėms jo duoti negalima. Vaistas gali jiems pakenkti (net tiems, kurių ligos simptomai yra tokie patys kaip Jūsų).</w:t>
      </w:r>
    </w:p>
    <w:p w:rsidR="00CA1670" w:rsidRDefault="00CA1670" w:rsidP="00CA1670">
      <w:pPr>
        <w:numPr>
          <w:ilvl w:val="0"/>
          <w:numId w:val="1"/>
        </w:numPr>
        <w:tabs>
          <w:tab w:val="left" w:pos="567"/>
        </w:tabs>
        <w:spacing w:after="0" w:line="240" w:lineRule="auto"/>
        <w:rPr>
          <w:rFonts w:ascii="Times New Roman" w:hAnsi="Times New Roman"/>
          <w:lang w:val="lt-LT"/>
        </w:rPr>
      </w:pPr>
      <w:r>
        <w:rPr>
          <w:rFonts w:ascii="Times New Roman" w:hAnsi="Times New Roman"/>
          <w:lang w:val="lt-LT"/>
        </w:rPr>
        <w:t>Jeigu pasireiškia šalutinis poveikis (net jeigu jis šiame lapelyje nenurodytas), kreipkitės į gydytoją arba vaistininką. Žr. 4 skyrių.</w:t>
      </w:r>
    </w:p>
    <w:p w:rsidR="00CA1670" w:rsidRDefault="00CA1670" w:rsidP="00CA1670">
      <w:pPr>
        <w:tabs>
          <w:tab w:val="left" w:pos="567"/>
        </w:tabs>
        <w:spacing w:after="0" w:line="240" w:lineRule="auto"/>
        <w:ind w:left="567"/>
        <w:rPr>
          <w:rFonts w:ascii="Times New Roman" w:hAnsi="Times New Roman"/>
          <w:lang w:val="lt-LT"/>
        </w:rPr>
      </w:pPr>
    </w:p>
    <w:p w:rsidR="00CA1670" w:rsidRDefault="00CA1670" w:rsidP="00CA1670">
      <w:pPr>
        <w:spacing w:after="0" w:line="240" w:lineRule="auto"/>
        <w:ind w:right="-29"/>
        <w:rPr>
          <w:rFonts w:ascii="Times New Roman" w:hAnsi="Times New Roman"/>
          <w:b/>
          <w:lang w:val="lt-LT"/>
        </w:rPr>
      </w:pPr>
      <w:r>
        <w:rPr>
          <w:rFonts w:ascii="Times New Roman" w:hAnsi="Times New Roman"/>
          <w:b/>
          <w:lang w:val="lt-LT"/>
        </w:rPr>
        <w:t>Apie ką rašoma šiame lapelyje?</w:t>
      </w:r>
    </w:p>
    <w:p w:rsidR="00CA1670" w:rsidRDefault="00CA1670" w:rsidP="00CA1670">
      <w:pPr>
        <w:spacing w:after="0" w:line="240" w:lineRule="auto"/>
        <w:ind w:right="-29"/>
        <w:rPr>
          <w:rFonts w:ascii="Times New Roman" w:hAnsi="Times New Roman"/>
          <w:lang w:val="lt-LT"/>
        </w:rPr>
      </w:pPr>
    </w:p>
    <w:p w:rsidR="00CA1670" w:rsidRDefault="00CA1670" w:rsidP="00CA1670">
      <w:pPr>
        <w:numPr>
          <w:ilvl w:val="0"/>
          <w:numId w:val="2"/>
        </w:numPr>
        <w:tabs>
          <w:tab w:val="num" w:pos="567"/>
        </w:tabs>
        <w:spacing w:after="0" w:line="240" w:lineRule="auto"/>
        <w:ind w:left="567" w:right="-29" w:hanging="567"/>
        <w:rPr>
          <w:rFonts w:ascii="Times New Roman" w:hAnsi="Times New Roman"/>
          <w:lang w:val="lt-LT"/>
        </w:rPr>
      </w:pPr>
      <w:r>
        <w:rPr>
          <w:rFonts w:ascii="Times New Roman" w:hAnsi="Times New Roman"/>
          <w:lang w:val="lt-LT"/>
        </w:rPr>
        <w:t>Kas yra DOXALFA ir kam jis vartojamas</w:t>
      </w:r>
    </w:p>
    <w:p w:rsidR="00CA1670" w:rsidRDefault="00CA1670" w:rsidP="00CA1670">
      <w:pPr>
        <w:numPr>
          <w:ilvl w:val="0"/>
          <w:numId w:val="2"/>
        </w:numPr>
        <w:tabs>
          <w:tab w:val="num" w:pos="567"/>
        </w:tabs>
        <w:spacing w:after="0" w:line="240" w:lineRule="auto"/>
        <w:ind w:left="567" w:right="-29" w:hanging="567"/>
        <w:rPr>
          <w:rFonts w:ascii="Times New Roman" w:hAnsi="Times New Roman"/>
          <w:lang w:val="lt-LT"/>
        </w:rPr>
      </w:pPr>
      <w:r>
        <w:rPr>
          <w:rFonts w:ascii="Times New Roman" w:hAnsi="Times New Roman"/>
          <w:lang w:val="lt-LT"/>
        </w:rPr>
        <w:t>Kas žinotina prieš vartojant DOXALFA</w:t>
      </w:r>
    </w:p>
    <w:p w:rsidR="00CA1670" w:rsidRDefault="00CA1670" w:rsidP="00CA1670">
      <w:pPr>
        <w:numPr>
          <w:ilvl w:val="0"/>
          <w:numId w:val="2"/>
        </w:numPr>
        <w:tabs>
          <w:tab w:val="num" w:pos="567"/>
        </w:tabs>
        <w:spacing w:after="0" w:line="240" w:lineRule="auto"/>
        <w:ind w:left="567" w:right="-29" w:hanging="567"/>
        <w:rPr>
          <w:rFonts w:ascii="Times New Roman" w:hAnsi="Times New Roman"/>
          <w:lang w:val="lt-LT"/>
        </w:rPr>
      </w:pPr>
      <w:r>
        <w:rPr>
          <w:rFonts w:ascii="Times New Roman" w:hAnsi="Times New Roman"/>
          <w:lang w:val="lt-LT"/>
        </w:rPr>
        <w:t xml:space="preserve">Kaip vartoti DOXALFA </w:t>
      </w:r>
    </w:p>
    <w:p w:rsidR="00CA1670" w:rsidRDefault="00CA1670" w:rsidP="00CA1670">
      <w:pPr>
        <w:numPr>
          <w:ilvl w:val="0"/>
          <w:numId w:val="2"/>
        </w:numPr>
        <w:tabs>
          <w:tab w:val="num" w:pos="567"/>
        </w:tabs>
        <w:spacing w:after="0" w:line="240" w:lineRule="auto"/>
        <w:ind w:left="567" w:right="-29" w:hanging="567"/>
        <w:rPr>
          <w:rFonts w:ascii="Times New Roman" w:hAnsi="Times New Roman"/>
          <w:lang w:val="lt-LT"/>
        </w:rPr>
      </w:pPr>
      <w:r>
        <w:rPr>
          <w:rFonts w:ascii="Times New Roman" w:hAnsi="Times New Roman"/>
          <w:lang w:val="lt-LT"/>
        </w:rPr>
        <w:t>Galimas šalutinis poveikis</w:t>
      </w:r>
    </w:p>
    <w:p w:rsidR="00CA1670" w:rsidRDefault="00CA1670" w:rsidP="00CA1670">
      <w:pPr>
        <w:numPr>
          <w:ilvl w:val="0"/>
          <w:numId w:val="2"/>
        </w:numPr>
        <w:tabs>
          <w:tab w:val="num" w:pos="567"/>
        </w:tabs>
        <w:spacing w:after="0" w:line="240" w:lineRule="auto"/>
        <w:ind w:left="567" w:right="-29" w:hanging="567"/>
        <w:rPr>
          <w:rFonts w:ascii="Times New Roman" w:hAnsi="Times New Roman"/>
          <w:lang w:val="lt-LT"/>
        </w:rPr>
      </w:pPr>
      <w:r>
        <w:rPr>
          <w:rFonts w:ascii="Times New Roman" w:hAnsi="Times New Roman"/>
          <w:lang w:val="lt-LT"/>
        </w:rPr>
        <w:t>Kaip laikyti DOXALFA</w:t>
      </w:r>
    </w:p>
    <w:p w:rsidR="00CA1670" w:rsidRDefault="00CA1670" w:rsidP="00CA1670">
      <w:pPr>
        <w:numPr>
          <w:ilvl w:val="0"/>
          <w:numId w:val="2"/>
        </w:numPr>
        <w:tabs>
          <w:tab w:val="num" w:pos="567"/>
        </w:tabs>
        <w:spacing w:after="0" w:line="240" w:lineRule="auto"/>
        <w:ind w:left="567" w:right="-29" w:hanging="567"/>
        <w:rPr>
          <w:rFonts w:ascii="Times New Roman" w:hAnsi="Times New Roman"/>
          <w:lang w:val="lt-LT"/>
        </w:rPr>
      </w:pPr>
      <w:r>
        <w:rPr>
          <w:rFonts w:ascii="Times New Roman" w:hAnsi="Times New Roman"/>
          <w:lang w:val="lt-LT"/>
        </w:rPr>
        <w:t>Pakuotės turinys ir kita informacija</w:t>
      </w:r>
    </w:p>
    <w:p w:rsidR="00CA1670" w:rsidRDefault="00CA1670" w:rsidP="00CA1670">
      <w:pPr>
        <w:spacing w:after="0" w:line="240" w:lineRule="auto"/>
        <w:ind w:right="-2"/>
        <w:rPr>
          <w:rFonts w:ascii="Times New Roman" w:hAnsi="Times New Roman"/>
          <w:lang w:val="lt-LT"/>
        </w:rPr>
      </w:pPr>
    </w:p>
    <w:p w:rsidR="00CA1670" w:rsidRDefault="00CA1670" w:rsidP="00CA1670">
      <w:pPr>
        <w:numPr>
          <w:ilvl w:val="12"/>
          <w:numId w:val="0"/>
        </w:numPr>
        <w:spacing w:after="0" w:line="240" w:lineRule="auto"/>
        <w:ind w:right="-2"/>
        <w:rPr>
          <w:rFonts w:ascii="Times New Roman" w:hAnsi="Times New Roman"/>
          <w:lang w:val="lt-LT"/>
        </w:rPr>
      </w:pPr>
    </w:p>
    <w:p w:rsidR="00CA1670" w:rsidRDefault="00CA1670" w:rsidP="00CA1670">
      <w:pPr>
        <w:numPr>
          <w:ilvl w:val="0"/>
          <w:numId w:val="3"/>
        </w:numPr>
        <w:spacing w:after="0" w:line="240" w:lineRule="auto"/>
        <w:ind w:right="-29"/>
        <w:rPr>
          <w:rFonts w:ascii="Times New Roman" w:hAnsi="Times New Roman"/>
          <w:b/>
          <w:lang w:val="lt-LT"/>
        </w:rPr>
      </w:pPr>
      <w:r>
        <w:rPr>
          <w:rFonts w:ascii="Times New Roman" w:hAnsi="Times New Roman"/>
          <w:b/>
          <w:lang w:val="lt-LT"/>
        </w:rPr>
        <w:t>Kas yra DOXALFA ir kam jis vartojamas</w:t>
      </w:r>
    </w:p>
    <w:p w:rsidR="00CA1670" w:rsidRDefault="00CA1670" w:rsidP="00CA1670">
      <w:pPr>
        <w:spacing w:after="0" w:line="240" w:lineRule="auto"/>
        <w:rPr>
          <w:rFonts w:ascii="Times New Roman" w:hAnsi="Times New Roman"/>
          <w:lang w:val="lt-LT"/>
        </w:rPr>
      </w:pPr>
    </w:p>
    <w:p w:rsidR="00CA1670" w:rsidRDefault="00CA1670" w:rsidP="00CA1670">
      <w:pPr>
        <w:spacing w:after="0" w:line="240" w:lineRule="auto"/>
        <w:rPr>
          <w:rFonts w:ascii="Times New Roman" w:hAnsi="Times New Roman"/>
          <w:lang w:val="lt-LT"/>
        </w:rPr>
      </w:pPr>
      <w:r>
        <w:rPr>
          <w:rFonts w:ascii="Times New Roman" w:hAnsi="Times New Roman"/>
          <w:lang w:val="lt-LT"/>
        </w:rPr>
        <w:t>Jūsų tabletės veiklioji medžiaga – doksazosinas – priklauso vaistų, žinomų kaip alfa-1 antagonistai, grupei. DOXALFA vartojamas gydyti šias būsenas:</w:t>
      </w:r>
    </w:p>
    <w:p w:rsidR="00CA1670" w:rsidRDefault="00CA1670" w:rsidP="00CA1670">
      <w:pPr>
        <w:spacing w:after="0" w:line="240" w:lineRule="auto"/>
        <w:rPr>
          <w:rFonts w:ascii="Times New Roman" w:hAnsi="Times New Roman"/>
          <w:lang w:val="lt-LT"/>
        </w:rPr>
      </w:pPr>
    </w:p>
    <w:p w:rsidR="00CA1670" w:rsidRDefault="00CA1670" w:rsidP="00CA1670">
      <w:pPr>
        <w:spacing w:after="0" w:line="240" w:lineRule="auto"/>
        <w:ind w:left="360" w:hanging="360"/>
        <w:rPr>
          <w:rFonts w:ascii="Times New Roman" w:hAnsi="Times New Roman"/>
          <w:lang w:val="lt-LT"/>
        </w:rPr>
      </w:pPr>
      <w:r>
        <w:rPr>
          <w:rFonts w:ascii="Times New Roman" w:hAnsi="Times New Roman"/>
          <w:lang w:val="lt-LT"/>
        </w:rPr>
        <w:t xml:space="preserve">- </w:t>
      </w:r>
      <w:r>
        <w:rPr>
          <w:rFonts w:ascii="Times New Roman" w:hAnsi="Times New Roman"/>
          <w:lang w:val="lt-LT"/>
        </w:rPr>
        <w:tab/>
        <w:t>Auštą kraujospūdį. Jei nebus kontroliuojamas aukštas kraujospūdis, gali padidėti širdies ligos ar insulto rizika.</w:t>
      </w:r>
    </w:p>
    <w:p w:rsidR="00CA1670" w:rsidRDefault="00CA1670" w:rsidP="00CA1670">
      <w:pPr>
        <w:spacing w:after="0" w:line="240" w:lineRule="auto"/>
        <w:ind w:left="360"/>
        <w:rPr>
          <w:rFonts w:ascii="Times New Roman" w:hAnsi="Times New Roman"/>
          <w:lang w:val="lt-LT"/>
        </w:rPr>
      </w:pPr>
      <w:r>
        <w:rPr>
          <w:rFonts w:ascii="Times New Roman" w:hAnsi="Times New Roman"/>
          <w:lang w:val="lt-LT"/>
        </w:rPr>
        <w:t>DOXALFA praplečia jūsų kraujagysles ir todėl širdžiai lengviau pumpuoti jomis kraują. Tai padeda sumažinti padidėjusį kraujospūdį ir mažina širdies ligų riziką.</w:t>
      </w:r>
    </w:p>
    <w:p w:rsidR="00CA1670" w:rsidRDefault="00CA1670" w:rsidP="00CA1670">
      <w:pPr>
        <w:spacing w:after="0" w:line="240" w:lineRule="auto"/>
        <w:rPr>
          <w:rFonts w:ascii="Times New Roman" w:hAnsi="Times New Roman"/>
          <w:lang w:val="lt-LT"/>
        </w:rPr>
      </w:pPr>
    </w:p>
    <w:p w:rsidR="00CA1670" w:rsidRDefault="00CA1670" w:rsidP="00CA1670">
      <w:pPr>
        <w:spacing w:after="0" w:line="240" w:lineRule="auto"/>
        <w:ind w:left="360" w:hanging="360"/>
        <w:rPr>
          <w:rFonts w:ascii="Times New Roman" w:hAnsi="Times New Roman"/>
          <w:lang w:val="lt-LT"/>
        </w:rPr>
      </w:pPr>
      <w:r>
        <w:rPr>
          <w:rFonts w:ascii="Times New Roman" w:hAnsi="Times New Roman"/>
          <w:lang w:val="lt-LT"/>
        </w:rPr>
        <w:t>-</w:t>
      </w:r>
      <w:r>
        <w:rPr>
          <w:rFonts w:ascii="Times New Roman" w:hAnsi="Times New Roman"/>
          <w:lang w:val="lt-LT"/>
        </w:rPr>
        <w:tab/>
        <w:t xml:space="preserve">Gerybinės prostatos hiperplazijos (GPH) simptomams. Ši būklė išsivysto dėl to, kad padidėja priešinė liauka (prostata), kuri vyrams yra žemiau šlapimo pūslės. Dėl to tampa sunku šlapintis. </w:t>
      </w:r>
    </w:p>
    <w:p w:rsidR="00CA1670" w:rsidRDefault="00CA1670" w:rsidP="00CA1670">
      <w:pPr>
        <w:spacing w:after="0" w:line="240" w:lineRule="auto"/>
        <w:ind w:left="360"/>
        <w:rPr>
          <w:rFonts w:ascii="Times New Roman" w:hAnsi="Times New Roman"/>
          <w:lang w:val="lt-LT"/>
        </w:rPr>
      </w:pPr>
      <w:r>
        <w:rPr>
          <w:rFonts w:ascii="Times New Roman" w:hAnsi="Times New Roman"/>
          <w:lang w:val="lt-LT"/>
        </w:rPr>
        <w:t>DOXALFA atpalaiduoja raumenis, esančius šalia išėjimo iš šlapimo pūslės ir priešinę liauką, todėl tampa lengviau šlapintis.</w:t>
      </w:r>
    </w:p>
    <w:p w:rsidR="00CA1670" w:rsidRDefault="00CA1670" w:rsidP="00CA1670">
      <w:pPr>
        <w:spacing w:after="0" w:line="240" w:lineRule="auto"/>
        <w:rPr>
          <w:rFonts w:ascii="Times New Roman" w:hAnsi="Times New Roman"/>
          <w:lang w:val="lt-LT"/>
        </w:rPr>
      </w:pPr>
    </w:p>
    <w:p w:rsidR="00CA1670" w:rsidRDefault="00CA1670" w:rsidP="00CA1670">
      <w:pPr>
        <w:numPr>
          <w:ilvl w:val="0"/>
          <w:numId w:val="3"/>
        </w:numPr>
        <w:spacing w:after="0" w:line="240" w:lineRule="auto"/>
        <w:ind w:right="-29"/>
        <w:rPr>
          <w:rFonts w:ascii="Times New Roman" w:hAnsi="Times New Roman"/>
          <w:b/>
          <w:lang w:val="lt-LT"/>
        </w:rPr>
      </w:pPr>
      <w:r>
        <w:rPr>
          <w:rFonts w:ascii="Times New Roman" w:hAnsi="Times New Roman"/>
          <w:b/>
          <w:lang w:val="lt-LT"/>
        </w:rPr>
        <w:t>Kas žinotina prieš vartojant DOXALFA</w:t>
      </w:r>
    </w:p>
    <w:p w:rsidR="00CA1670" w:rsidRPr="00AF6BB6" w:rsidRDefault="00CA1670" w:rsidP="00CA1670">
      <w:pPr>
        <w:spacing w:after="0" w:line="240" w:lineRule="auto"/>
        <w:rPr>
          <w:rFonts w:ascii="Times New Roman" w:hAnsi="Times New Roman"/>
          <w:lang w:val="lt-LT"/>
        </w:rPr>
      </w:pPr>
    </w:p>
    <w:p w:rsidR="00CA1670" w:rsidRDefault="00CA1670" w:rsidP="00CA1670">
      <w:pPr>
        <w:spacing w:after="0" w:line="240" w:lineRule="auto"/>
        <w:rPr>
          <w:rFonts w:ascii="Times New Roman" w:hAnsi="Times New Roman"/>
          <w:b/>
          <w:lang w:val="lt-LT"/>
        </w:rPr>
      </w:pPr>
      <w:r>
        <w:rPr>
          <w:rFonts w:ascii="Times New Roman" w:hAnsi="Times New Roman"/>
          <w:b/>
          <w:lang w:val="lt-LT"/>
        </w:rPr>
        <w:t>DOXALFA vartoti negalima:</w:t>
      </w:r>
    </w:p>
    <w:p w:rsidR="00CA1670" w:rsidRDefault="00CA1670" w:rsidP="00CA1670">
      <w:pPr>
        <w:numPr>
          <w:ilvl w:val="0"/>
          <w:numId w:val="4"/>
        </w:numPr>
        <w:spacing w:after="0" w:line="240" w:lineRule="auto"/>
        <w:rPr>
          <w:rFonts w:ascii="Times New Roman" w:hAnsi="Times New Roman"/>
          <w:lang w:val="lt-LT"/>
        </w:rPr>
      </w:pPr>
      <w:r>
        <w:rPr>
          <w:rFonts w:ascii="Times New Roman" w:hAnsi="Times New Roman"/>
          <w:lang w:val="lt-LT"/>
        </w:rPr>
        <w:t>jeigu yra alergija veikliajai medžiagai, ar kvinazolinams (pvz. prazosinui, terazosinui), kurie priklauso tai pačiai grupei kaip ir doksazosinas, arba bet kuriai pagalbinei medžiagai (jos išvardytos 6 skyriuje)  Alerginės reakcijos tokios, kaip, pavyzdžiui, niežulys, odos paraudimas ar apsunkintas kvėpavimas;</w:t>
      </w:r>
    </w:p>
    <w:p w:rsidR="00CA1670" w:rsidRDefault="00CA1670" w:rsidP="00CA1670">
      <w:pPr>
        <w:pStyle w:val="Sraopastraipa"/>
        <w:numPr>
          <w:ilvl w:val="0"/>
          <w:numId w:val="4"/>
        </w:numPr>
        <w:spacing w:after="0" w:line="240" w:lineRule="auto"/>
        <w:rPr>
          <w:rFonts w:ascii="Times New Roman" w:hAnsi="Times New Roman"/>
          <w:lang w:val="lt-LT"/>
        </w:rPr>
      </w:pPr>
      <w:r>
        <w:rPr>
          <w:rFonts w:ascii="Times New Roman" w:hAnsi="Times New Roman"/>
          <w:lang w:val="lt-LT"/>
        </w:rPr>
        <w:t>jeigu yra sumažėjęs kraujospūdis (hipotenzija) ar anksčiau atsistojant buvo kritęs kraujospūdis (ortostatinė hipotenzija), dėl kurio pasireiškė svaigulys, apsvaigimas arba alpimas;</w:t>
      </w:r>
    </w:p>
    <w:p w:rsidR="00CA1670" w:rsidRDefault="00CA1670" w:rsidP="00CA1670">
      <w:pPr>
        <w:numPr>
          <w:ilvl w:val="0"/>
          <w:numId w:val="4"/>
        </w:numPr>
        <w:spacing w:after="0" w:line="240" w:lineRule="auto"/>
        <w:rPr>
          <w:rFonts w:ascii="Times New Roman" w:hAnsi="Times New Roman"/>
          <w:lang w:val="lt-LT"/>
        </w:rPr>
      </w:pPr>
      <w:r>
        <w:rPr>
          <w:rFonts w:ascii="Times New Roman" w:hAnsi="Times New Roman"/>
          <w:lang w:val="lt-LT"/>
        </w:rPr>
        <w:t>jeigu jums yra ar yra buvęs bet koks virškinimo trakto nepraeinamumas;</w:t>
      </w:r>
    </w:p>
    <w:p w:rsidR="00CA1670" w:rsidRDefault="00CA1670" w:rsidP="00CA1670">
      <w:pPr>
        <w:numPr>
          <w:ilvl w:val="0"/>
          <w:numId w:val="4"/>
        </w:numPr>
        <w:spacing w:after="0" w:line="240" w:lineRule="auto"/>
        <w:rPr>
          <w:rFonts w:ascii="Times New Roman" w:hAnsi="Times New Roman"/>
          <w:lang w:val="lt-LT"/>
        </w:rPr>
      </w:pPr>
      <w:r>
        <w:rPr>
          <w:rFonts w:ascii="Times New Roman" w:hAnsi="Times New Roman"/>
          <w:lang w:val="lt-LT"/>
        </w:rPr>
        <w:t>jeigu sergate gerybine prostatos hiperplazija (GPH) ir kartu yra viršutinių šlapimo takų blokada, lėtinė šlapimo takų infekcija ar šlapimo pūslės akmenligė;</w:t>
      </w:r>
    </w:p>
    <w:p w:rsidR="00CA1670" w:rsidRDefault="00CA1670" w:rsidP="00CA1670">
      <w:pPr>
        <w:numPr>
          <w:ilvl w:val="0"/>
          <w:numId w:val="4"/>
        </w:numPr>
        <w:spacing w:after="0" w:line="240" w:lineRule="auto"/>
        <w:rPr>
          <w:rFonts w:ascii="Times New Roman" w:hAnsi="Times New Roman"/>
          <w:lang w:val="lt-LT"/>
        </w:rPr>
      </w:pPr>
      <w:r>
        <w:rPr>
          <w:rFonts w:ascii="Times New Roman" w:hAnsi="Times New Roman"/>
          <w:lang w:val="lt-LT"/>
        </w:rPr>
        <w:t>jeigu jūsų šlapimo pūslė perpildyta, neišsiskiria šlapimas (anurija) ar jūsų inkstai tinkamai nefunkcionuoja (progresuojantis inkstų funkcijos nepakankamumas);</w:t>
      </w:r>
    </w:p>
    <w:p w:rsidR="00CA1670" w:rsidRDefault="00CA1670" w:rsidP="00CA1670">
      <w:pPr>
        <w:numPr>
          <w:ilvl w:val="0"/>
          <w:numId w:val="4"/>
        </w:numPr>
        <w:spacing w:after="0" w:line="240" w:lineRule="auto"/>
        <w:rPr>
          <w:rFonts w:ascii="Times New Roman" w:hAnsi="Times New Roman"/>
          <w:lang w:val="lt-LT"/>
        </w:rPr>
      </w:pPr>
      <w:r>
        <w:rPr>
          <w:rFonts w:ascii="Times New Roman" w:hAnsi="Times New Roman"/>
          <w:lang w:val="lt-LT"/>
        </w:rPr>
        <w:t>jeigu žindote kūdikį.</w:t>
      </w:r>
    </w:p>
    <w:p w:rsidR="00CA1670" w:rsidRDefault="00CA1670" w:rsidP="00CA1670">
      <w:pPr>
        <w:spacing w:after="0" w:line="240" w:lineRule="auto"/>
        <w:rPr>
          <w:rFonts w:ascii="Times New Roman" w:hAnsi="Times New Roman"/>
          <w:lang w:val="lt-LT"/>
        </w:rPr>
      </w:pPr>
    </w:p>
    <w:p w:rsidR="00CA1670" w:rsidRDefault="00CA1670" w:rsidP="00CA1670">
      <w:pPr>
        <w:spacing w:after="0" w:line="240" w:lineRule="auto"/>
        <w:rPr>
          <w:rFonts w:ascii="Times New Roman" w:hAnsi="Times New Roman"/>
          <w:b/>
          <w:lang w:val="lt-LT"/>
        </w:rPr>
      </w:pPr>
      <w:r>
        <w:rPr>
          <w:rFonts w:ascii="Times New Roman" w:hAnsi="Times New Roman"/>
          <w:b/>
          <w:lang w:val="lt-LT"/>
        </w:rPr>
        <w:t xml:space="preserve">Įspėjimai ir atsargumo priemonės </w:t>
      </w:r>
    </w:p>
    <w:p w:rsidR="00CA1670" w:rsidRDefault="00CA1670" w:rsidP="00CA1670">
      <w:pPr>
        <w:spacing w:after="0" w:line="240" w:lineRule="auto"/>
        <w:rPr>
          <w:rFonts w:ascii="Times New Roman" w:hAnsi="Times New Roman"/>
          <w:lang w:val="lt-LT"/>
        </w:rPr>
      </w:pPr>
      <w:r>
        <w:rPr>
          <w:rFonts w:ascii="Times New Roman" w:hAnsi="Times New Roman"/>
          <w:lang w:val="lt-LT"/>
        </w:rPr>
        <w:t>Pasitarkite su gydytoju, vaistininku prieš pradedant vartoti DOXALFA:</w:t>
      </w:r>
    </w:p>
    <w:p w:rsidR="00CA1670" w:rsidRDefault="00CA1670" w:rsidP="00CA1670">
      <w:pPr>
        <w:numPr>
          <w:ilvl w:val="0"/>
          <w:numId w:val="4"/>
        </w:numPr>
        <w:spacing w:after="0" w:line="240" w:lineRule="auto"/>
        <w:rPr>
          <w:rFonts w:ascii="Times New Roman" w:hAnsi="Times New Roman"/>
          <w:lang w:val="lt-LT"/>
        </w:rPr>
      </w:pPr>
      <w:r>
        <w:rPr>
          <w:rFonts w:ascii="Times New Roman" w:hAnsi="Times New Roman"/>
          <w:lang w:val="lt-LT"/>
        </w:rPr>
        <w:lastRenderedPageBreak/>
        <w:t>jeigu sergate kepenų liga;</w:t>
      </w:r>
    </w:p>
    <w:p w:rsidR="00CA1670" w:rsidRDefault="00CA1670" w:rsidP="00CA1670">
      <w:pPr>
        <w:numPr>
          <w:ilvl w:val="0"/>
          <w:numId w:val="4"/>
        </w:numPr>
        <w:spacing w:after="0" w:line="240" w:lineRule="auto"/>
        <w:rPr>
          <w:rFonts w:ascii="Times New Roman" w:hAnsi="Times New Roman"/>
          <w:lang w:val="lt-LT"/>
        </w:rPr>
      </w:pPr>
      <w:r>
        <w:rPr>
          <w:rFonts w:ascii="Times New Roman" w:hAnsi="Times New Roman"/>
          <w:lang w:val="lt-LT"/>
        </w:rPr>
        <w:t>jeigu sergate ūmine širdies liga, tokia, kaip širdies nepakankamumas;</w:t>
      </w:r>
    </w:p>
    <w:p w:rsidR="00CA1670" w:rsidRDefault="00CA1670" w:rsidP="00CA1670">
      <w:pPr>
        <w:pStyle w:val="Sraopastraipa"/>
        <w:numPr>
          <w:ilvl w:val="0"/>
          <w:numId w:val="4"/>
        </w:numPr>
        <w:rPr>
          <w:rFonts w:ascii="Times New Roman" w:hAnsi="Times New Roman"/>
          <w:lang w:val="lt-LT"/>
        </w:rPr>
      </w:pPr>
      <w:r>
        <w:rPr>
          <w:rFonts w:ascii="Times New Roman" w:hAnsi="Times New Roman"/>
          <w:lang w:val="lt-LT"/>
        </w:rPr>
        <w:t>ypač kai pirmą kartą pradedama vartoti šį vaistą, nes gali pasireikšti svaigulys, lengvas galvos svaigimas ir retais atvejais alpimas. Todėl gydymo pradžioje turite būti atsargūs ir vengti situacijų, kuriose galite susižeisti, jei pasireiškia šie simptomai.</w:t>
      </w:r>
    </w:p>
    <w:p w:rsidR="00CA1670" w:rsidRDefault="00CA1670" w:rsidP="00CA1670">
      <w:pPr>
        <w:spacing w:after="0" w:line="240" w:lineRule="auto"/>
        <w:rPr>
          <w:rFonts w:ascii="Times New Roman" w:hAnsi="Times New Roman"/>
          <w:lang w:val="lt-LT"/>
        </w:rPr>
      </w:pPr>
      <w:r>
        <w:rPr>
          <w:rFonts w:ascii="Times New Roman" w:hAnsi="Times New Roman"/>
          <w:lang w:val="lt-LT"/>
        </w:rPr>
        <w:t>Jūsų gydytojas patars ką daryti ortostatinės hipotenzijos simptomų atveju (sumažėjus kraujospūdžiui kartu su simptomais keičiant poziciją, pvz., atsisėdant ar atsistojant).</w:t>
      </w:r>
    </w:p>
    <w:p w:rsidR="00CA1670" w:rsidRDefault="00CA1670" w:rsidP="00CA1670">
      <w:pPr>
        <w:spacing w:after="0" w:line="240" w:lineRule="auto"/>
        <w:rPr>
          <w:rFonts w:ascii="Times New Roman" w:hAnsi="Times New Roman"/>
          <w:lang w:val="lt-LT"/>
        </w:rPr>
      </w:pPr>
    </w:p>
    <w:p w:rsidR="00CA1670" w:rsidRDefault="00CA1670" w:rsidP="00CA1670">
      <w:pPr>
        <w:spacing w:after="0" w:line="240" w:lineRule="auto"/>
        <w:rPr>
          <w:rFonts w:ascii="Times New Roman" w:hAnsi="Times New Roman"/>
          <w:lang w:val="lt-LT"/>
        </w:rPr>
      </w:pPr>
      <w:r>
        <w:rPr>
          <w:rFonts w:ascii="Times New Roman" w:hAnsi="Times New Roman"/>
          <w:lang w:val="lt-LT"/>
        </w:rPr>
        <w:t xml:space="preserve">Jeigu išmatose atsitiktinai pastebėjote tablečių likučius, jaudintis nereikia.Tai yra dėl to, kad DOXALFA tabletės padengtos neabsorbuojama plėvele, kuri sudaryta taip, kad kontroliuotų šio vaisto išsiskyrimą per ilgą laikotarpį. </w:t>
      </w:r>
    </w:p>
    <w:p w:rsidR="00CA1670" w:rsidRDefault="00CA1670" w:rsidP="00CA1670">
      <w:pPr>
        <w:spacing w:after="0" w:line="240" w:lineRule="auto"/>
        <w:rPr>
          <w:rFonts w:ascii="Times New Roman" w:hAnsi="Times New Roman"/>
          <w:lang w:val="lt-LT"/>
        </w:rPr>
      </w:pPr>
    </w:p>
    <w:p w:rsidR="00CA1670" w:rsidRDefault="00CA1670" w:rsidP="00CA1670">
      <w:pPr>
        <w:spacing w:after="0" w:line="240" w:lineRule="auto"/>
        <w:rPr>
          <w:rFonts w:ascii="Times New Roman" w:hAnsi="Times New Roman"/>
          <w:lang w:val="lt-LT"/>
        </w:rPr>
      </w:pPr>
      <w:r>
        <w:rPr>
          <w:rFonts w:ascii="Times New Roman" w:hAnsi="Times New Roman"/>
          <w:lang w:val="lt-LT"/>
        </w:rPr>
        <w:t>Jei ruošiatės kataraktos (akies lęšiuko drumstumo) operacijai, praneškite prieš operaciją savo akių gydytojui, kad vartojate ar anksčiau vartojote DOXALFA. Operacijos metu gali kilti su DOXALFA vartojimu susijusių komplikacijų, kurių galima išvengti, jei gydytojas joms bus iš anksto pasiruošęs.</w:t>
      </w:r>
    </w:p>
    <w:p w:rsidR="00CA1670" w:rsidRDefault="00CA1670" w:rsidP="00CA1670">
      <w:pPr>
        <w:spacing w:after="0" w:line="240" w:lineRule="auto"/>
        <w:rPr>
          <w:rFonts w:ascii="Times New Roman" w:hAnsi="Times New Roman"/>
          <w:lang w:val="lt-LT"/>
        </w:rPr>
      </w:pPr>
    </w:p>
    <w:p w:rsidR="00CA1670" w:rsidRDefault="00CA1670" w:rsidP="00CA1670">
      <w:pPr>
        <w:spacing w:after="0" w:line="240" w:lineRule="auto"/>
        <w:rPr>
          <w:rFonts w:ascii="Times New Roman" w:hAnsi="Times New Roman"/>
          <w:b/>
          <w:lang w:val="lt-LT"/>
        </w:rPr>
      </w:pPr>
      <w:r>
        <w:rPr>
          <w:rFonts w:ascii="Times New Roman" w:hAnsi="Times New Roman"/>
          <w:b/>
          <w:lang w:val="lt-LT"/>
        </w:rPr>
        <w:t>Vaikams ir paaugliams</w:t>
      </w:r>
    </w:p>
    <w:p w:rsidR="00CA1670" w:rsidRDefault="00CA1670" w:rsidP="00CA1670">
      <w:pPr>
        <w:spacing w:after="0" w:line="240" w:lineRule="auto"/>
        <w:rPr>
          <w:rFonts w:ascii="Times New Roman" w:hAnsi="Times New Roman"/>
          <w:lang w:val="lt-LT"/>
        </w:rPr>
      </w:pPr>
      <w:r>
        <w:rPr>
          <w:rFonts w:ascii="Times New Roman" w:hAnsi="Times New Roman"/>
          <w:lang w:val="lt-LT"/>
        </w:rPr>
        <w:t>Doksalfa nerekomenduojama vartoti  vaikams ir paaugliams iki 18 metų, kadangi saugumas ir veiksmingumas neištirti.</w:t>
      </w:r>
    </w:p>
    <w:p w:rsidR="00CA1670" w:rsidRDefault="00CA1670" w:rsidP="00CA1670">
      <w:pPr>
        <w:spacing w:after="0" w:line="240" w:lineRule="auto"/>
        <w:rPr>
          <w:rFonts w:ascii="Times New Roman" w:hAnsi="Times New Roman"/>
          <w:lang w:val="lt-LT"/>
        </w:rPr>
      </w:pPr>
    </w:p>
    <w:p w:rsidR="00CA1670" w:rsidRDefault="00CA1670" w:rsidP="00CA1670">
      <w:pPr>
        <w:spacing w:after="0" w:line="240" w:lineRule="auto"/>
        <w:rPr>
          <w:rFonts w:ascii="Times New Roman" w:hAnsi="Times New Roman"/>
          <w:lang w:val="lt-LT"/>
        </w:rPr>
      </w:pPr>
      <w:r>
        <w:rPr>
          <w:rFonts w:ascii="Times New Roman" w:hAnsi="Times New Roman"/>
          <w:lang w:val="lt-LT"/>
        </w:rPr>
        <w:t>Jeigu kiltų bet kokių klausimų, kreipkitės į gydytoją arba vaistininką.</w:t>
      </w:r>
    </w:p>
    <w:p w:rsidR="00CA1670" w:rsidRDefault="00CA1670" w:rsidP="00CA1670">
      <w:pPr>
        <w:spacing w:after="0" w:line="240" w:lineRule="auto"/>
        <w:rPr>
          <w:rFonts w:ascii="Times New Roman" w:hAnsi="Times New Roman"/>
          <w:lang w:val="lt-LT"/>
        </w:rPr>
      </w:pPr>
    </w:p>
    <w:p w:rsidR="00CA1670" w:rsidRPr="007F223B" w:rsidRDefault="00CA1670" w:rsidP="00CA1670">
      <w:pPr>
        <w:pStyle w:val="Pagrindiniotekstotrauka2"/>
        <w:tabs>
          <w:tab w:val="left" w:pos="1276"/>
        </w:tabs>
        <w:ind w:left="0"/>
        <w:rPr>
          <w:b/>
          <w:sz w:val="22"/>
          <w:lang w:val="lt-LT"/>
        </w:rPr>
      </w:pPr>
      <w:r w:rsidRPr="007F223B">
        <w:rPr>
          <w:b/>
          <w:sz w:val="22"/>
          <w:lang w:val="lt-LT"/>
        </w:rPr>
        <w:t>Kiti vaistai ir Doxalfa</w:t>
      </w:r>
    </w:p>
    <w:p w:rsidR="00CA1670" w:rsidRDefault="00CA1670" w:rsidP="00CA1670">
      <w:pPr>
        <w:spacing w:after="0" w:line="240" w:lineRule="auto"/>
        <w:rPr>
          <w:rFonts w:ascii="Times New Roman" w:hAnsi="Times New Roman"/>
          <w:lang w:val="lt-LT"/>
        </w:rPr>
      </w:pPr>
      <w:r>
        <w:rPr>
          <w:rFonts w:ascii="Times New Roman" w:hAnsi="Times New Roman"/>
          <w:lang w:val="lt-LT"/>
        </w:rPr>
        <w:t>Pasakykite savo gydytojui, jei vartojate šiuos vaistus:</w:t>
      </w:r>
    </w:p>
    <w:p w:rsidR="00CA1670" w:rsidRDefault="00CA1670" w:rsidP="00CA1670">
      <w:pPr>
        <w:numPr>
          <w:ilvl w:val="0"/>
          <w:numId w:val="5"/>
        </w:numPr>
        <w:spacing w:after="0" w:line="240" w:lineRule="auto"/>
        <w:rPr>
          <w:rFonts w:ascii="Times New Roman" w:hAnsi="Times New Roman"/>
          <w:lang w:val="lt-LT"/>
        </w:rPr>
      </w:pPr>
      <w:r>
        <w:rPr>
          <w:rFonts w:ascii="Times New Roman" w:hAnsi="Times New Roman"/>
          <w:lang w:val="lt-LT"/>
        </w:rPr>
        <w:t>nesteroidinius priešuždegiminius vaistus (NVNU), pvz., ibuprofeną;</w:t>
      </w:r>
    </w:p>
    <w:p w:rsidR="00CA1670" w:rsidRDefault="00CA1670" w:rsidP="00CA1670">
      <w:pPr>
        <w:numPr>
          <w:ilvl w:val="0"/>
          <w:numId w:val="5"/>
        </w:numPr>
        <w:spacing w:after="0" w:line="240" w:lineRule="auto"/>
        <w:rPr>
          <w:rFonts w:ascii="Times New Roman" w:hAnsi="Times New Roman"/>
          <w:lang w:val="lt-LT"/>
        </w:rPr>
      </w:pPr>
      <w:r>
        <w:rPr>
          <w:rFonts w:ascii="Times New Roman" w:hAnsi="Times New Roman"/>
          <w:lang w:val="lt-LT"/>
        </w:rPr>
        <w:t>kitus vaistus padidėjusio kraujospūdžio gydymui;</w:t>
      </w:r>
    </w:p>
    <w:p w:rsidR="00CA1670" w:rsidRDefault="00CA1670" w:rsidP="00CA1670">
      <w:pPr>
        <w:numPr>
          <w:ilvl w:val="0"/>
          <w:numId w:val="5"/>
        </w:numPr>
        <w:spacing w:after="0" w:line="240" w:lineRule="auto"/>
        <w:rPr>
          <w:rFonts w:ascii="Times New Roman" w:hAnsi="Times New Roman"/>
          <w:lang w:val="lt-LT"/>
        </w:rPr>
      </w:pPr>
      <w:r>
        <w:rPr>
          <w:rFonts w:ascii="Times New Roman" w:hAnsi="Times New Roman"/>
          <w:lang w:val="lt-LT"/>
        </w:rPr>
        <w:t>estrogenus (moteriškus hormonus);</w:t>
      </w:r>
    </w:p>
    <w:p w:rsidR="00CA1670" w:rsidRDefault="00CA1670" w:rsidP="00CA1670">
      <w:pPr>
        <w:numPr>
          <w:ilvl w:val="0"/>
          <w:numId w:val="5"/>
        </w:numPr>
        <w:spacing w:after="0" w:line="240" w:lineRule="auto"/>
        <w:rPr>
          <w:rFonts w:ascii="Times New Roman" w:hAnsi="Times New Roman"/>
          <w:lang w:val="lt-LT"/>
        </w:rPr>
      </w:pPr>
      <w:r>
        <w:rPr>
          <w:rFonts w:ascii="Times New Roman" w:hAnsi="Times New Roman"/>
          <w:lang w:val="lt-LT"/>
        </w:rPr>
        <w:t>dopaminą, efedriną, adrenaliną, metaraminolį, metoksaminą, fenilefriną (vadinamuosius simpatikomimetinius vaistus, naudojamus pvz., gydyti širdies ligas, žemą kraujospūdį, astmą arba nosies užgulimą);</w:t>
      </w:r>
    </w:p>
    <w:p w:rsidR="00CA1670" w:rsidRDefault="00CA1670" w:rsidP="00CA1670">
      <w:pPr>
        <w:numPr>
          <w:ilvl w:val="0"/>
          <w:numId w:val="5"/>
        </w:numPr>
        <w:spacing w:after="0" w:line="240" w:lineRule="auto"/>
        <w:rPr>
          <w:rFonts w:ascii="Times New Roman" w:hAnsi="Times New Roman"/>
          <w:lang w:val="lt-LT"/>
        </w:rPr>
      </w:pPr>
      <w:r>
        <w:rPr>
          <w:rFonts w:ascii="Times New Roman" w:hAnsi="Times New Roman"/>
          <w:lang w:val="lt-LT"/>
        </w:rPr>
        <w:t>doksazosino ir taip vadinamų fosfodiesterazės-5-inhibitorių (pvz., sildenafilio, tadalafilio, vardenafilio). Kai kuriems pacientams, vartojantiems alfa adrenoreceptorių blokatorius aukšto kraujospūdžio arba prostatos padidėjimui gydyti, gali pasireikšti svaigulys, apsvaigimas, sukeltas kraujospūdžio sumažėjimo staigiai atsisėdant ar stojantis. Kai kuriems pacientams šie simptomai pasireiškė, vartojant vaistus erekcijos disfunkcijai (impotencijai) gydyti kartu su alfa adrenoreceptorių blokatoriais. Kad sumažintumėte šių simptomų atsiradimo galimybę, prieš vartojant vaistus erekcijos disfunkcijai gydyti Jums turi būti nustatyta reguliari alfa adrenoreceptoriaus paros dozė. Be to, rekomenduojama laikytis 6 valandų intervalo nuo doksazosino ir fosfodiesterazės-5-inhibitorių pavartojimo.</w:t>
      </w:r>
    </w:p>
    <w:p w:rsidR="00CA1670" w:rsidRDefault="00CA1670" w:rsidP="00CA1670">
      <w:pPr>
        <w:pStyle w:val="Paragraf6"/>
        <w:tabs>
          <w:tab w:val="left" w:pos="284"/>
        </w:tabs>
        <w:spacing w:before="0" w:line="240" w:lineRule="auto"/>
        <w:ind w:right="-6"/>
        <w:rPr>
          <w:rFonts w:ascii="Times New Roman" w:hAnsi="Times New Roman"/>
          <w:iCs/>
          <w:sz w:val="22"/>
          <w:szCs w:val="22"/>
          <w:lang w:val="lt-LT"/>
        </w:rPr>
      </w:pPr>
    </w:p>
    <w:p w:rsidR="00CA1670" w:rsidRDefault="00CA1670" w:rsidP="00CA1670">
      <w:pPr>
        <w:pStyle w:val="Pagrindiniotekstotrauka2"/>
        <w:tabs>
          <w:tab w:val="left" w:pos="1276"/>
        </w:tabs>
        <w:ind w:left="0"/>
        <w:rPr>
          <w:b/>
          <w:bCs/>
          <w:sz w:val="22"/>
          <w:szCs w:val="22"/>
          <w:lang w:val="lt-LT"/>
        </w:rPr>
      </w:pPr>
      <w:r>
        <w:rPr>
          <w:b/>
          <w:sz w:val="22"/>
          <w:szCs w:val="22"/>
          <w:lang w:val="lt-LT"/>
        </w:rPr>
        <w:t>DOXALFA vartojimas su maistu ir gėrimais</w:t>
      </w:r>
    </w:p>
    <w:p w:rsidR="00CA1670" w:rsidRDefault="00CA1670" w:rsidP="00CA1670">
      <w:pPr>
        <w:pStyle w:val="Pagrindiniotekstotrauka2"/>
        <w:tabs>
          <w:tab w:val="left" w:pos="1276"/>
        </w:tabs>
        <w:ind w:left="0"/>
        <w:rPr>
          <w:sz w:val="22"/>
          <w:szCs w:val="22"/>
          <w:lang w:val="lt-LT"/>
        </w:rPr>
      </w:pPr>
      <w:r>
        <w:rPr>
          <w:sz w:val="22"/>
          <w:szCs w:val="22"/>
          <w:lang w:val="lt-LT"/>
        </w:rPr>
        <w:t>DOXALFA galima vartoti su maistu arba be jo.</w:t>
      </w:r>
    </w:p>
    <w:p w:rsidR="00CA1670" w:rsidRDefault="00CA1670" w:rsidP="00CA1670">
      <w:pPr>
        <w:pStyle w:val="Pagrindiniotekstotrauka2"/>
        <w:tabs>
          <w:tab w:val="left" w:pos="1276"/>
        </w:tabs>
        <w:ind w:left="0"/>
        <w:rPr>
          <w:sz w:val="22"/>
          <w:szCs w:val="22"/>
          <w:lang w:val="lt-LT"/>
        </w:rPr>
      </w:pPr>
    </w:p>
    <w:p w:rsidR="00CA1670" w:rsidRDefault="00CA1670" w:rsidP="00CA1670">
      <w:pPr>
        <w:pStyle w:val="Pagrindiniotekstotrauka2"/>
        <w:ind w:left="0"/>
        <w:rPr>
          <w:sz w:val="22"/>
          <w:szCs w:val="22"/>
          <w:lang w:val="lt-LT"/>
        </w:rPr>
      </w:pPr>
      <w:r>
        <w:rPr>
          <w:b/>
          <w:bCs/>
          <w:sz w:val="22"/>
          <w:szCs w:val="22"/>
          <w:lang w:val="lt-LT"/>
        </w:rPr>
        <w:t>Nėštumas ir žindymo laikotarpis</w:t>
      </w:r>
    </w:p>
    <w:p w:rsidR="00CA1670" w:rsidRDefault="00CA1670" w:rsidP="00CA1670">
      <w:pPr>
        <w:pStyle w:val="Pagrindiniotekstotrauka2"/>
        <w:ind w:left="0"/>
        <w:rPr>
          <w:sz w:val="22"/>
          <w:szCs w:val="22"/>
          <w:lang w:val="lt-LT"/>
        </w:rPr>
      </w:pPr>
      <w:r>
        <w:rPr>
          <w:noProof/>
          <w:sz w:val="22"/>
          <w:szCs w:val="22"/>
          <w:lang w:val="lt-LT"/>
        </w:rPr>
        <w:t>Jeigu esate nėščia, žindote kūdikį, manote, kad galbūt esate nėščia, arba planuojate pastoti, tai prieš vartodama šį vaistą, pasitarkite su gydytoju arba vaistininku.</w:t>
      </w:r>
    </w:p>
    <w:p w:rsidR="00CA1670" w:rsidRDefault="00CA1670" w:rsidP="00CA1670">
      <w:pPr>
        <w:pStyle w:val="Pagrindiniotekstotrauka2"/>
        <w:ind w:left="0"/>
        <w:rPr>
          <w:sz w:val="22"/>
          <w:szCs w:val="22"/>
          <w:lang w:val="lt-LT"/>
        </w:rPr>
      </w:pPr>
    </w:p>
    <w:p w:rsidR="00CA1670" w:rsidRDefault="00CA1670" w:rsidP="00CA1670">
      <w:pPr>
        <w:pStyle w:val="Pagrindiniotekstotrauka2"/>
        <w:ind w:left="0"/>
        <w:rPr>
          <w:sz w:val="22"/>
          <w:szCs w:val="22"/>
          <w:lang w:val="lt-LT"/>
        </w:rPr>
      </w:pPr>
      <w:r>
        <w:rPr>
          <w:sz w:val="22"/>
          <w:szCs w:val="22"/>
          <w:lang w:val="lt-LT"/>
        </w:rPr>
        <w:t>Nevartokite DOXALFA jei žindote kūdikį.</w:t>
      </w:r>
    </w:p>
    <w:p w:rsidR="00CA1670" w:rsidRDefault="00CA1670" w:rsidP="00CA1670">
      <w:pPr>
        <w:pStyle w:val="Pagrindiniotekstotrauka2"/>
        <w:ind w:left="0"/>
        <w:rPr>
          <w:sz w:val="22"/>
          <w:szCs w:val="22"/>
          <w:lang w:val="lt-LT"/>
        </w:rPr>
      </w:pPr>
      <w:r>
        <w:rPr>
          <w:sz w:val="22"/>
          <w:szCs w:val="22"/>
          <w:lang w:val="lt-LT"/>
        </w:rPr>
        <w:t>Jei esate nėščia, nepradėkite vartoti šio vaisto nepasikonsultavus su gydytoju. Šio vaisto saugumas nėštumo metu nėra pakankamai ištirtas.</w:t>
      </w:r>
    </w:p>
    <w:p w:rsidR="00CA1670" w:rsidRDefault="00CA1670" w:rsidP="00CA1670">
      <w:pPr>
        <w:spacing w:after="0" w:line="240" w:lineRule="auto"/>
        <w:rPr>
          <w:rFonts w:ascii="Times New Roman" w:hAnsi="Times New Roman"/>
          <w:lang w:val="lt-LT"/>
        </w:rPr>
      </w:pPr>
    </w:p>
    <w:p w:rsidR="00CA1670" w:rsidRPr="007F223B" w:rsidRDefault="00CA1670" w:rsidP="00CA1670">
      <w:pPr>
        <w:pStyle w:val="Pagrindiniotekstotrauka2"/>
        <w:tabs>
          <w:tab w:val="left" w:pos="1276"/>
        </w:tabs>
        <w:ind w:left="0"/>
        <w:rPr>
          <w:b/>
          <w:sz w:val="22"/>
          <w:lang w:val="lt-LT"/>
        </w:rPr>
      </w:pPr>
      <w:r w:rsidRPr="007F223B">
        <w:rPr>
          <w:b/>
          <w:sz w:val="22"/>
          <w:lang w:val="lt-LT"/>
        </w:rPr>
        <w:t>Vairavimas ir mechanizmų valdymas</w:t>
      </w:r>
    </w:p>
    <w:p w:rsidR="00CA1670" w:rsidRPr="00AF6BB6" w:rsidRDefault="00CA1670" w:rsidP="00CA1670">
      <w:pPr>
        <w:pStyle w:val="Pagrindiniotekstotrauka2"/>
        <w:ind w:left="0"/>
        <w:rPr>
          <w:sz w:val="22"/>
          <w:lang w:val="lt-LT"/>
        </w:rPr>
      </w:pPr>
      <w:r w:rsidRPr="00AF6BB6">
        <w:rPr>
          <w:sz w:val="22"/>
          <w:lang w:val="lt-LT"/>
        </w:rPr>
        <w:t>DOXALFA gali sukelti galvos svaigimą arba nuovargį. Nevairuokite ir nevaldykite mechanizmų, jei esate pavargęs, jums svaigsta galva. Būkite ypatingai atsargus, kai išgeriate pirmąją dozę arba padidinate vaisto dozę.</w:t>
      </w:r>
    </w:p>
    <w:p w:rsidR="00CA1670" w:rsidRPr="00AF6BB6" w:rsidRDefault="00CA1670" w:rsidP="00CA1670">
      <w:pPr>
        <w:pStyle w:val="Pagrindiniotekstotrauka2"/>
        <w:ind w:left="0"/>
        <w:rPr>
          <w:sz w:val="22"/>
          <w:lang w:val="lt-LT"/>
        </w:rPr>
      </w:pPr>
    </w:p>
    <w:p w:rsidR="00CA1670" w:rsidRPr="00E369C2" w:rsidRDefault="00CA1670" w:rsidP="00CA1670">
      <w:pPr>
        <w:pStyle w:val="Pagrindiniotekstotrauka2"/>
        <w:ind w:left="0"/>
        <w:rPr>
          <w:b/>
          <w:bCs/>
          <w:sz w:val="22"/>
          <w:szCs w:val="22"/>
          <w:lang w:val="lt-LT"/>
        </w:rPr>
      </w:pPr>
      <w:r w:rsidRPr="00E369C2">
        <w:rPr>
          <w:b/>
          <w:bCs/>
          <w:sz w:val="22"/>
          <w:szCs w:val="22"/>
          <w:lang w:val="lt-LT"/>
        </w:rPr>
        <w:t>Doxa</w:t>
      </w:r>
      <w:r>
        <w:rPr>
          <w:b/>
          <w:bCs/>
          <w:sz w:val="22"/>
          <w:szCs w:val="22"/>
          <w:lang w:val="lt-LT"/>
        </w:rPr>
        <w:t>lfa</w:t>
      </w:r>
      <w:r w:rsidRPr="00E369C2">
        <w:rPr>
          <w:b/>
          <w:bCs/>
          <w:sz w:val="22"/>
          <w:szCs w:val="22"/>
          <w:lang w:val="lt-LT"/>
        </w:rPr>
        <w:t xml:space="preserve"> </w:t>
      </w:r>
      <w:r>
        <w:rPr>
          <w:b/>
          <w:bCs/>
          <w:sz w:val="22"/>
          <w:szCs w:val="22"/>
          <w:lang w:val="lt-LT"/>
        </w:rPr>
        <w:t>sudėtyje yra natrio</w:t>
      </w:r>
    </w:p>
    <w:p w:rsidR="00CA1670" w:rsidRDefault="00CA1670" w:rsidP="00CA1670">
      <w:pPr>
        <w:pStyle w:val="Pagrindiniotekstotrauka2"/>
        <w:ind w:left="0"/>
        <w:rPr>
          <w:sz w:val="22"/>
          <w:szCs w:val="22"/>
          <w:lang w:val="lt-LT"/>
        </w:rPr>
      </w:pPr>
      <w:r>
        <w:rPr>
          <w:sz w:val="22"/>
          <w:szCs w:val="22"/>
          <w:lang w:val="lt-LT"/>
        </w:rPr>
        <w:t>Š</w:t>
      </w:r>
      <w:r w:rsidRPr="005D050A">
        <w:rPr>
          <w:sz w:val="22"/>
          <w:szCs w:val="22"/>
          <w:lang w:val="lt-LT"/>
        </w:rPr>
        <w:t>io vaisto vienoje tabletėje yra mažiau kaip 1 mmol (23 mg)</w:t>
      </w:r>
      <w:r>
        <w:rPr>
          <w:sz w:val="22"/>
          <w:szCs w:val="22"/>
          <w:lang w:val="lt-LT"/>
        </w:rPr>
        <w:t xml:space="preserve"> </w:t>
      </w:r>
      <w:r w:rsidRPr="005D050A">
        <w:rPr>
          <w:sz w:val="22"/>
          <w:szCs w:val="22"/>
          <w:lang w:val="lt-LT"/>
        </w:rPr>
        <w:t>natrio, t</w:t>
      </w:r>
      <w:r>
        <w:rPr>
          <w:sz w:val="22"/>
          <w:szCs w:val="22"/>
          <w:lang w:val="lt-LT"/>
        </w:rPr>
        <w:t>.</w:t>
      </w:r>
      <w:r w:rsidRPr="005D050A">
        <w:rPr>
          <w:sz w:val="22"/>
          <w:szCs w:val="22"/>
          <w:lang w:val="lt-LT"/>
        </w:rPr>
        <w:t>y</w:t>
      </w:r>
      <w:r>
        <w:rPr>
          <w:sz w:val="22"/>
          <w:szCs w:val="22"/>
          <w:lang w:val="lt-LT"/>
        </w:rPr>
        <w:t>.</w:t>
      </w:r>
      <w:r w:rsidRPr="005D050A">
        <w:rPr>
          <w:sz w:val="22"/>
          <w:szCs w:val="22"/>
          <w:lang w:val="lt-LT"/>
        </w:rPr>
        <w:t xml:space="preserve"> </w:t>
      </w:r>
      <w:r w:rsidRPr="002A18A7">
        <w:rPr>
          <w:sz w:val="22"/>
          <w:szCs w:val="22"/>
          <w:lang w:val="lt-LT"/>
        </w:rPr>
        <w:t>jis beveik neturi reikšmės.</w:t>
      </w:r>
    </w:p>
    <w:p w:rsidR="00CA1670" w:rsidRDefault="00CA1670" w:rsidP="00CA1670">
      <w:pPr>
        <w:pStyle w:val="Pagrindiniotekstotrauka2"/>
        <w:ind w:left="0"/>
        <w:rPr>
          <w:sz w:val="22"/>
          <w:szCs w:val="22"/>
          <w:lang w:val="lt-LT"/>
        </w:rPr>
      </w:pPr>
    </w:p>
    <w:p w:rsidR="00CA1670" w:rsidRPr="00AF6BB6" w:rsidRDefault="00CA1670" w:rsidP="00CA1670">
      <w:pPr>
        <w:pStyle w:val="Pagrindiniotekstotrauka2"/>
        <w:ind w:left="0"/>
        <w:rPr>
          <w:sz w:val="22"/>
          <w:lang w:val="lt-LT"/>
        </w:rPr>
      </w:pPr>
    </w:p>
    <w:p w:rsidR="00CA1670" w:rsidRDefault="00CA1670" w:rsidP="00CA1670">
      <w:pPr>
        <w:pStyle w:val="Sraopastraipa"/>
        <w:numPr>
          <w:ilvl w:val="0"/>
          <w:numId w:val="3"/>
        </w:numPr>
        <w:rPr>
          <w:rFonts w:ascii="Times New Roman" w:hAnsi="Times New Roman"/>
          <w:b/>
          <w:lang w:val="lt-LT"/>
        </w:rPr>
      </w:pPr>
      <w:r>
        <w:rPr>
          <w:rFonts w:ascii="Times New Roman" w:hAnsi="Times New Roman"/>
          <w:b/>
          <w:lang w:val="lt-LT"/>
        </w:rPr>
        <w:t>Kaip vartoti DOXALFA</w:t>
      </w:r>
    </w:p>
    <w:p w:rsidR="00CA1670" w:rsidRDefault="00CA1670" w:rsidP="00CA1670">
      <w:pPr>
        <w:spacing w:after="0" w:line="240" w:lineRule="auto"/>
        <w:rPr>
          <w:rFonts w:ascii="Times New Roman" w:hAnsi="Times New Roman"/>
          <w:lang w:val="lt-LT"/>
        </w:rPr>
      </w:pPr>
      <w:r>
        <w:rPr>
          <w:rFonts w:ascii="Times New Roman" w:hAnsi="Times New Roman"/>
          <w:lang w:val="lt-LT"/>
        </w:rPr>
        <w:t xml:space="preserve">Visada vartokite šį vaistą tiksliai kaip nurodė gydytojas. Jeigu abejojate, kreipkitės į  gydytoją arba vaistininką </w:t>
      </w:r>
    </w:p>
    <w:p w:rsidR="00CA1670" w:rsidRDefault="00CA1670" w:rsidP="00CA1670">
      <w:pPr>
        <w:spacing w:after="0" w:line="240" w:lineRule="auto"/>
        <w:rPr>
          <w:rFonts w:ascii="Times New Roman" w:hAnsi="Times New Roman"/>
          <w:lang w:val="lt-LT"/>
        </w:rPr>
      </w:pPr>
    </w:p>
    <w:p w:rsidR="00CA1670" w:rsidRDefault="00CA1670" w:rsidP="00CA1670">
      <w:pPr>
        <w:spacing w:after="0" w:line="240" w:lineRule="auto"/>
        <w:rPr>
          <w:rFonts w:ascii="Times New Roman" w:hAnsi="Times New Roman"/>
          <w:b/>
          <w:lang w:val="lt-LT"/>
        </w:rPr>
      </w:pPr>
      <w:r>
        <w:rPr>
          <w:rFonts w:ascii="Times New Roman" w:hAnsi="Times New Roman"/>
          <w:b/>
          <w:lang w:val="lt-LT"/>
        </w:rPr>
        <w:t>Dozavimas</w:t>
      </w:r>
    </w:p>
    <w:p w:rsidR="00CA1670" w:rsidRDefault="00CA1670" w:rsidP="00CA1670">
      <w:pPr>
        <w:spacing w:after="0" w:line="240" w:lineRule="auto"/>
        <w:rPr>
          <w:rFonts w:ascii="Times New Roman" w:hAnsi="Times New Roman"/>
          <w:lang w:val="lt-LT"/>
        </w:rPr>
      </w:pPr>
      <w:r>
        <w:rPr>
          <w:rFonts w:ascii="Times New Roman" w:hAnsi="Times New Roman"/>
          <w:lang w:val="lt-LT"/>
        </w:rPr>
        <w:t>DOXALFA dozė ta pati gydant ir aukštą kraujo spaudimą, ir gerybinės prostatos hiperplazijos simptomus. Įprastinė dozė yra viena tabletė (4 mg) kartą per parą. Jūsų gydytojas gali padidinti dozę iki maksimalios  – dviejų tablečių per parą.</w:t>
      </w:r>
    </w:p>
    <w:p w:rsidR="00CA1670" w:rsidRDefault="00CA1670" w:rsidP="00CA1670">
      <w:pPr>
        <w:spacing w:after="0" w:line="240" w:lineRule="auto"/>
        <w:rPr>
          <w:rFonts w:ascii="Times New Roman" w:hAnsi="Times New Roman"/>
          <w:lang w:val="lt-LT"/>
        </w:rPr>
      </w:pPr>
    </w:p>
    <w:p w:rsidR="00CA1670" w:rsidRDefault="00CA1670" w:rsidP="00CA1670">
      <w:pPr>
        <w:tabs>
          <w:tab w:val="left" w:pos="851"/>
        </w:tabs>
        <w:spacing w:after="0" w:line="240" w:lineRule="auto"/>
        <w:rPr>
          <w:rFonts w:ascii="Times New Roman" w:hAnsi="Times New Roman"/>
          <w:lang w:val="lt-LT"/>
        </w:rPr>
      </w:pPr>
      <w:r>
        <w:rPr>
          <w:rFonts w:ascii="Times New Roman" w:hAnsi="Times New Roman"/>
          <w:lang w:val="lt-LT"/>
        </w:rPr>
        <w:t>Pasirinkite Jums patogų laiką ir gerkite tabletes tuo pačiu laiku kiekvieną dieną. Tabletę reikia praryti visą, užgeriant pakankamu kiekiu skysčio. Tabletės negalima kramtyti, dalyti ar sutrinti. DOXALFA per visą parą lėtai atpalaiduoja veikliąją medžiagą.</w:t>
      </w:r>
    </w:p>
    <w:p w:rsidR="00CA1670" w:rsidRDefault="00CA1670" w:rsidP="00CA1670">
      <w:pPr>
        <w:spacing w:after="0" w:line="240" w:lineRule="auto"/>
        <w:rPr>
          <w:rFonts w:ascii="Times New Roman" w:hAnsi="Times New Roman"/>
          <w:lang w:val="lt-LT"/>
        </w:rPr>
      </w:pPr>
    </w:p>
    <w:p w:rsidR="00CA1670" w:rsidRDefault="00CA1670" w:rsidP="00CA1670">
      <w:pPr>
        <w:spacing w:after="0" w:line="240" w:lineRule="auto"/>
        <w:rPr>
          <w:rFonts w:ascii="Times New Roman" w:hAnsi="Times New Roman"/>
          <w:lang w:val="lt-LT"/>
        </w:rPr>
      </w:pPr>
      <w:r>
        <w:rPr>
          <w:rFonts w:ascii="Times New Roman" w:hAnsi="Times New Roman"/>
          <w:lang w:val="lt-LT"/>
        </w:rPr>
        <w:t>Aukšto kraujospūdžio gydymui DOXALFA galima vartoti vieną ar kartu su kitais kraujospūdį mažinančiais vaistais (pvz. diuretikais).</w:t>
      </w:r>
    </w:p>
    <w:p w:rsidR="00CA1670" w:rsidRDefault="00CA1670" w:rsidP="00CA1670">
      <w:pPr>
        <w:spacing w:after="0" w:line="240" w:lineRule="auto"/>
        <w:rPr>
          <w:rFonts w:ascii="Times New Roman" w:hAnsi="Times New Roman"/>
          <w:lang w:val="lt-LT"/>
        </w:rPr>
      </w:pPr>
    </w:p>
    <w:p w:rsidR="00CA1670" w:rsidRDefault="00CA1670" w:rsidP="00CA1670">
      <w:pPr>
        <w:spacing w:after="0" w:line="240" w:lineRule="auto"/>
        <w:rPr>
          <w:rFonts w:ascii="Times New Roman" w:hAnsi="Times New Roman"/>
          <w:lang w:val="lt-LT"/>
        </w:rPr>
      </w:pPr>
      <w:r>
        <w:rPr>
          <w:rFonts w:ascii="Times New Roman" w:hAnsi="Times New Roman"/>
          <w:lang w:val="lt-LT"/>
        </w:rPr>
        <w:t>Optimaliam DOXALFA kraujospūdį mažinančiam efektui pasiekti gali prireikti iki keturių savaičių. Vartojant DOXALFA Jums gali ir nepasireikšti jokie simptomai, kadangi auštas kraujospūdis yra gydomas siekiant išvengti su juo susijusių problemų. Net jei yra taip ir Jūs jaučiatės gerai, nenutraukite vartoti šio vaisto, nebent gydytojas Jums taip nurodė. Nepasitarę su savo gydytoju, nekeiskite dozės ar nenutraukite vartoti tablečių.</w:t>
      </w:r>
    </w:p>
    <w:p w:rsidR="00CA1670" w:rsidRDefault="00CA1670" w:rsidP="00CA1670">
      <w:pPr>
        <w:spacing w:after="0" w:line="240" w:lineRule="auto"/>
        <w:rPr>
          <w:rFonts w:ascii="Times New Roman" w:hAnsi="Times New Roman"/>
          <w:lang w:val="lt-LT"/>
        </w:rPr>
      </w:pPr>
      <w:r>
        <w:rPr>
          <w:rFonts w:ascii="Times New Roman" w:hAnsi="Times New Roman"/>
          <w:lang w:val="lt-LT"/>
        </w:rPr>
        <w:t xml:space="preserve">   </w:t>
      </w:r>
    </w:p>
    <w:p w:rsidR="00CA1670" w:rsidRDefault="00CA1670" w:rsidP="00CA1670">
      <w:pPr>
        <w:spacing w:after="0" w:line="240" w:lineRule="auto"/>
        <w:rPr>
          <w:rFonts w:ascii="Times New Roman" w:hAnsi="Times New Roman"/>
          <w:b/>
          <w:lang w:val="lt-LT"/>
        </w:rPr>
      </w:pPr>
      <w:r>
        <w:rPr>
          <w:rFonts w:ascii="Times New Roman" w:hAnsi="Times New Roman"/>
          <w:b/>
          <w:lang w:val="lt-LT"/>
        </w:rPr>
        <w:t>Pavartojus per didelę DOXALFA dozę</w:t>
      </w:r>
    </w:p>
    <w:p w:rsidR="00CA1670" w:rsidRDefault="00CA1670" w:rsidP="00CA1670">
      <w:pPr>
        <w:spacing w:after="0" w:line="240" w:lineRule="auto"/>
        <w:rPr>
          <w:rFonts w:ascii="Times New Roman" w:hAnsi="Times New Roman"/>
          <w:lang w:val="lt-LT"/>
        </w:rPr>
      </w:pPr>
      <w:r>
        <w:rPr>
          <w:rFonts w:ascii="Times New Roman" w:hAnsi="Times New Roman"/>
          <w:lang w:val="lt-LT"/>
        </w:rPr>
        <w:t>Jei išgėrėte per daug tablečių, atsigulkite ant nugaros, o jūsų kojos turi būti pakeltos aukščiau, negu jūsų galva. Perdozavimo simptomai greičiausiai bus apsvaigimas ar svaigulys dėl kraujo spaudimo sumažėjimo. Jei Jums pasireiškė nors vienas iš šių simptomų, nedelsiant kreipkitės į gydytoją ar vaistininką ar vykite į artimiausios ligoninės skubios pagalbos skyrių.</w:t>
      </w:r>
    </w:p>
    <w:p w:rsidR="00CA1670" w:rsidRDefault="00CA1670" w:rsidP="00CA1670">
      <w:pPr>
        <w:numPr>
          <w:ilvl w:val="12"/>
          <w:numId w:val="0"/>
        </w:numPr>
        <w:spacing w:after="0" w:line="240" w:lineRule="auto"/>
        <w:rPr>
          <w:rFonts w:ascii="Times New Roman" w:hAnsi="Times New Roman"/>
          <w:lang w:val="lt-LT"/>
        </w:rPr>
      </w:pPr>
    </w:p>
    <w:p w:rsidR="00CA1670" w:rsidRDefault="00CA1670" w:rsidP="00CA1670">
      <w:pPr>
        <w:spacing w:after="0" w:line="240" w:lineRule="auto"/>
        <w:rPr>
          <w:rFonts w:ascii="Times New Roman" w:hAnsi="Times New Roman"/>
          <w:b/>
          <w:lang w:val="lt-LT"/>
        </w:rPr>
      </w:pPr>
      <w:r>
        <w:rPr>
          <w:rFonts w:ascii="Times New Roman" w:hAnsi="Times New Roman"/>
          <w:b/>
          <w:lang w:val="lt-LT"/>
        </w:rPr>
        <w:t>Pamiršus pavartoti DOXALFA</w:t>
      </w:r>
    </w:p>
    <w:p w:rsidR="00CA1670" w:rsidRDefault="00CA1670" w:rsidP="00CA1670">
      <w:pPr>
        <w:spacing w:after="0" w:line="240" w:lineRule="auto"/>
        <w:rPr>
          <w:rFonts w:ascii="Times New Roman" w:hAnsi="Times New Roman"/>
          <w:lang w:val="lt-LT"/>
        </w:rPr>
      </w:pPr>
      <w:r>
        <w:rPr>
          <w:rFonts w:ascii="Times New Roman" w:hAnsi="Times New Roman"/>
          <w:lang w:val="lt-LT"/>
        </w:rPr>
        <w:t>Praleidus dozę nesijaudinkite. Tiesiog tabletę išgerkite įprastu laiku kitą dieną. Negalima vartoti dvigubos dozės norint kompensuoti praleistą tabletę.</w:t>
      </w:r>
    </w:p>
    <w:p w:rsidR="00CA1670" w:rsidRDefault="00CA1670" w:rsidP="00CA1670">
      <w:pPr>
        <w:spacing w:after="0" w:line="240" w:lineRule="auto"/>
        <w:rPr>
          <w:rFonts w:ascii="Times New Roman" w:hAnsi="Times New Roman"/>
          <w:b/>
          <w:lang w:val="lt-LT"/>
        </w:rPr>
      </w:pPr>
    </w:p>
    <w:p w:rsidR="00CA1670" w:rsidRDefault="00CA1670" w:rsidP="00CA1670">
      <w:pPr>
        <w:numPr>
          <w:ilvl w:val="12"/>
          <w:numId w:val="0"/>
        </w:numPr>
        <w:spacing w:after="0" w:line="240" w:lineRule="auto"/>
        <w:ind w:right="-2"/>
        <w:rPr>
          <w:rFonts w:ascii="Times New Roman" w:hAnsi="Times New Roman"/>
          <w:lang w:val="lt-LT"/>
        </w:rPr>
      </w:pPr>
      <w:r>
        <w:rPr>
          <w:rFonts w:ascii="Times New Roman" w:hAnsi="Times New Roman"/>
          <w:lang w:val="lt-LT"/>
        </w:rPr>
        <w:t>Jeigu kiltų daugiau klausimų dėl šio vaisto vartojimo, kreipkitės į gydytoją arba vaistininką.</w:t>
      </w:r>
    </w:p>
    <w:p w:rsidR="00CA1670" w:rsidRDefault="00CA1670" w:rsidP="00CA1670">
      <w:pPr>
        <w:spacing w:after="0" w:line="240" w:lineRule="auto"/>
        <w:rPr>
          <w:rFonts w:ascii="Times New Roman" w:hAnsi="Times New Roman"/>
          <w:lang w:val="lt-LT"/>
        </w:rPr>
      </w:pPr>
    </w:p>
    <w:p w:rsidR="00CA1670" w:rsidRDefault="00CA1670" w:rsidP="00CA1670">
      <w:pPr>
        <w:spacing w:after="0" w:line="240" w:lineRule="auto"/>
        <w:rPr>
          <w:rFonts w:ascii="Times New Roman" w:hAnsi="Times New Roman"/>
          <w:lang w:val="lt-LT"/>
        </w:rPr>
      </w:pPr>
    </w:p>
    <w:p w:rsidR="00CA1670" w:rsidRDefault="00CA1670" w:rsidP="00CA1670">
      <w:pPr>
        <w:pStyle w:val="Sraopastraipa"/>
        <w:numPr>
          <w:ilvl w:val="0"/>
          <w:numId w:val="3"/>
        </w:numPr>
        <w:rPr>
          <w:rFonts w:ascii="Times New Roman" w:hAnsi="Times New Roman"/>
          <w:b/>
          <w:lang w:val="lt-LT"/>
        </w:rPr>
      </w:pPr>
      <w:r>
        <w:rPr>
          <w:rFonts w:ascii="Times New Roman" w:hAnsi="Times New Roman"/>
          <w:b/>
          <w:lang w:val="lt-LT"/>
        </w:rPr>
        <w:t>Galimas šalutinis poveikis</w:t>
      </w:r>
    </w:p>
    <w:p w:rsidR="00CA1670" w:rsidRDefault="00CA1670" w:rsidP="00CA1670">
      <w:pPr>
        <w:spacing w:after="0" w:line="240" w:lineRule="auto"/>
        <w:rPr>
          <w:rFonts w:ascii="Times New Roman" w:hAnsi="Times New Roman"/>
          <w:lang w:val="lt-LT"/>
        </w:rPr>
      </w:pPr>
      <w:r>
        <w:rPr>
          <w:rFonts w:ascii="Times New Roman" w:hAnsi="Times New Roman"/>
          <w:lang w:val="lt-LT"/>
        </w:rPr>
        <w:t>Šis vaistas, kaip ir visi kiti, gali sukelti šalutinį poveikį, nors jis pasireiškia ne visiems žmonėms.</w:t>
      </w:r>
    </w:p>
    <w:p w:rsidR="00CA1670" w:rsidRDefault="00CA1670" w:rsidP="00CA1670">
      <w:pPr>
        <w:spacing w:after="0" w:line="240" w:lineRule="auto"/>
        <w:rPr>
          <w:rFonts w:ascii="Times New Roman" w:hAnsi="Times New Roman"/>
          <w:b/>
          <w:lang w:val="lt-LT"/>
        </w:rPr>
      </w:pPr>
    </w:p>
    <w:p w:rsidR="00CA1670" w:rsidRDefault="00CA1670" w:rsidP="00CA1670">
      <w:pPr>
        <w:spacing w:after="0" w:line="240" w:lineRule="auto"/>
        <w:rPr>
          <w:rFonts w:ascii="Times New Roman" w:hAnsi="Times New Roman"/>
          <w:lang w:val="lt-LT"/>
        </w:rPr>
      </w:pPr>
      <w:r>
        <w:rPr>
          <w:rFonts w:ascii="Times New Roman" w:hAnsi="Times New Roman"/>
          <w:lang w:val="lt-LT"/>
        </w:rPr>
        <w:t>NUSTOKITE VARTOTI DOXALFA ir išsikviedkite greitąją pagalbą, jei Jums pasireiškė:</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rPr>
        <w:t>širdies priepuolis</w:t>
      </w:r>
      <w:r>
        <w:rPr>
          <w:rFonts w:ascii="Times New Roman" w:hAnsi="Times New Roman"/>
          <w:lang w:val="lt-LT"/>
        </w:rPr>
        <w:t xml:space="preserve"> </w:t>
      </w:r>
      <w:r>
        <w:rPr>
          <w:rFonts w:ascii="Times New Roman" w:hAnsi="Times New Roman"/>
        </w:rPr>
        <w:t>(nedažnai</w:t>
      </w:r>
      <w:r>
        <w:rPr>
          <w:rFonts w:ascii="Times New Roman" w:hAnsi="Times New Roman"/>
          <w:lang w:val="lt-LT"/>
        </w:rPr>
        <w:t>);</w:t>
      </w:r>
    </w:p>
    <w:p w:rsidR="00CA1670" w:rsidRDefault="00CA1670" w:rsidP="00CA1670">
      <w:pPr>
        <w:numPr>
          <w:ilvl w:val="0"/>
          <w:numId w:val="6"/>
        </w:numPr>
        <w:spacing w:after="0" w:line="240" w:lineRule="auto"/>
        <w:rPr>
          <w:rFonts w:ascii="Times New Roman" w:hAnsi="Times New Roman"/>
          <w:lang w:val="lt-LT"/>
        </w:rPr>
      </w:pPr>
      <w:r w:rsidRPr="00AF6BB6">
        <w:rPr>
          <w:rFonts w:ascii="Times New Roman" w:hAnsi="Times New Roman"/>
          <w:lang w:val="fi-FI"/>
        </w:rPr>
        <w:t>rankų, kojų</w:t>
      </w:r>
      <w:r>
        <w:rPr>
          <w:rFonts w:ascii="Times New Roman" w:hAnsi="Times New Roman"/>
          <w:lang w:val="lt-LT"/>
        </w:rPr>
        <w:t xml:space="preserve"> </w:t>
      </w:r>
      <w:r w:rsidRPr="00AF6BB6">
        <w:rPr>
          <w:rFonts w:ascii="Times New Roman" w:hAnsi="Times New Roman"/>
          <w:lang w:val="fi-FI"/>
        </w:rPr>
        <w:t>silpnumas</w:t>
      </w:r>
      <w:r>
        <w:rPr>
          <w:rFonts w:ascii="Times New Roman" w:hAnsi="Times New Roman"/>
          <w:lang w:val="lt-LT"/>
        </w:rPr>
        <w:t xml:space="preserve"> </w:t>
      </w:r>
      <w:r w:rsidRPr="00AF6BB6">
        <w:rPr>
          <w:rFonts w:ascii="Times New Roman" w:hAnsi="Times New Roman"/>
          <w:lang w:val="fi-FI"/>
        </w:rPr>
        <w:t>ar kalbos sutrikimas</w:t>
      </w:r>
      <w:r>
        <w:rPr>
          <w:rFonts w:ascii="Times New Roman" w:hAnsi="Times New Roman"/>
          <w:lang w:val="lt-LT"/>
        </w:rPr>
        <w:t xml:space="preserve">, kurie gali </w:t>
      </w:r>
      <w:r w:rsidRPr="00AF6BB6">
        <w:rPr>
          <w:rFonts w:ascii="Times New Roman" w:hAnsi="Times New Roman"/>
          <w:lang w:val="fi-FI"/>
        </w:rPr>
        <w:t>būti</w:t>
      </w:r>
      <w:r>
        <w:rPr>
          <w:rFonts w:ascii="Times New Roman" w:hAnsi="Times New Roman"/>
          <w:lang w:val="lt-LT"/>
        </w:rPr>
        <w:t xml:space="preserve"> </w:t>
      </w:r>
      <w:r w:rsidRPr="00AF6BB6">
        <w:rPr>
          <w:rFonts w:ascii="Times New Roman" w:hAnsi="Times New Roman"/>
          <w:lang w:val="fi-FI"/>
        </w:rPr>
        <w:t>insulto</w:t>
      </w:r>
      <w:r>
        <w:rPr>
          <w:rFonts w:ascii="Times New Roman" w:hAnsi="Times New Roman"/>
          <w:lang w:val="lt-LT"/>
        </w:rPr>
        <w:t xml:space="preserve"> </w:t>
      </w:r>
      <w:r w:rsidRPr="00AF6BB6">
        <w:rPr>
          <w:rFonts w:ascii="Times New Roman" w:hAnsi="Times New Roman"/>
          <w:lang w:val="fi-FI"/>
        </w:rPr>
        <w:t>simptomai</w:t>
      </w:r>
      <w:r>
        <w:rPr>
          <w:rFonts w:ascii="Times New Roman" w:hAnsi="Times New Roman"/>
          <w:lang w:val="lt-LT"/>
        </w:rPr>
        <w:t xml:space="preserve"> </w:t>
      </w:r>
      <w:r w:rsidRPr="00AF6BB6">
        <w:rPr>
          <w:rFonts w:ascii="Times New Roman" w:hAnsi="Times New Roman"/>
          <w:lang w:val="fi-FI"/>
        </w:rPr>
        <w:t>(nedažnai</w:t>
      </w:r>
      <w:r>
        <w:rPr>
          <w:rFonts w:ascii="Times New Roman" w:hAnsi="Times New Roman"/>
          <w:lang w:val="lt-LT"/>
        </w:rPr>
        <w:t>);</w:t>
      </w:r>
    </w:p>
    <w:p w:rsidR="00CA1670" w:rsidRPr="00195F78" w:rsidRDefault="00CA1670" w:rsidP="00CA1670">
      <w:pPr>
        <w:numPr>
          <w:ilvl w:val="0"/>
          <w:numId w:val="6"/>
        </w:numPr>
        <w:spacing w:after="0" w:line="240" w:lineRule="auto"/>
        <w:rPr>
          <w:rFonts w:ascii="Times New Roman" w:hAnsi="Times New Roman"/>
          <w:lang w:val="lt-LT"/>
        </w:rPr>
      </w:pPr>
      <w:r w:rsidRPr="00195F78">
        <w:rPr>
          <w:rFonts w:ascii="Times New Roman" w:hAnsi="Times New Roman"/>
          <w:lang w:val="lt-LT"/>
        </w:rPr>
        <w:t>veido, liežuvio ar gerklės patinimas, kuris gali būti dėl alerginės reakcijos į šį vaistą (nedažnai).</w:t>
      </w:r>
    </w:p>
    <w:p w:rsidR="00CA1670" w:rsidRPr="00AF6BB6" w:rsidRDefault="00CA1670" w:rsidP="00CA1670">
      <w:pPr>
        <w:spacing w:after="0" w:line="240" w:lineRule="auto"/>
        <w:rPr>
          <w:rFonts w:ascii="Times New Roman" w:hAnsi="Times New Roman"/>
          <w:lang w:val="lt-LT"/>
        </w:rPr>
      </w:pPr>
    </w:p>
    <w:p w:rsidR="00CA1670" w:rsidRPr="00D04DE7" w:rsidRDefault="00CA1670" w:rsidP="00CA1670">
      <w:pPr>
        <w:spacing w:after="0" w:line="240" w:lineRule="auto"/>
        <w:rPr>
          <w:rFonts w:ascii="Times New Roman" w:hAnsi="Times New Roman"/>
          <w:lang w:val="lt-LT"/>
        </w:rPr>
      </w:pPr>
      <w:r>
        <w:rPr>
          <w:rFonts w:ascii="Times New Roman" w:hAnsi="Times New Roman"/>
          <w:lang w:val="lt-LT"/>
        </w:rPr>
        <w:t>Nedelsdami pasakykite gydytojui, jeigu Jums pasireiškė bet kuris iš šių simptomų po to, kai pavartojote DOXALFA:</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krūtinės skausmas (dažnai), krūtinės angina (nedažnai);</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dusulys, pasunkėjęs kvėpavimas, švokštimas (labai retai);</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padidėjęs (dažnas), sumažėjęs arba nereguliarus širdies plakimas (labai retai);</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jaučiate savo širdies plakimą (širdies plakimas) (dažnas);</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odos išbėrimas ar niežulys (ypač viso kūno) (dažnas);</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lastRenderedPageBreak/>
        <w:t>alpimas (nedažnai);</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pageltusi oda ar akys (gelta) (labai retai);</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 xml:space="preserve">mažas baltųjų kraujo ląstelių arba kraujo trombocitų skaičius, dėl kurio gali atsirasti mėlynės ar nedidelis kraujavimai (labai retai). </w:t>
      </w:r>
    </w:p>
    <w:p w:rsidR="00CA1670" w:rsidRDefault="00CA1670" w:rsidP="00CA1670">
      <w:pPr>
        <w:spacing w:after="0" w:line="240" w:lineRule="auto"/>
        <w:rPr>
          <w:rFonts w:ascii="Times New Roman" w:hAnsi="Times New Roman"/>
          <w:b/>
          <w:lang w:val="lt-LT"/>
        </w:rPr>
      </w:pPr>
    </w:p>
    <w:p w:rsidR="00CA1670" w:rsidRDefault="00CA1670" w:rsidP="00CA1670">
      <w:pPr>
        <w:spacing w:after="0" w:line="240" w:lineRule="auto"/>
        <w:rPr>
          <w:rFonts w:ascii="Times New Roman" w:hAnsi="Times New Roman"/>
          <w:b/>
          <w:lang w:val="lt-LT"/>
        </w:rPr>
      </w:pPr>
      <w:r>
        <w:rPr>
          <w:rFonts w:ascii="Times New Roman" w:hAnsi="Times New Roman"/>
          <w:b/>
          <w:lang w:val="lt-LT"/>
        </w:rPr>
        <w:t>Kitas šalutinis poveikis</w:t>
      </w:r>
    </w:p>
    <w:p w:rsidR="00CA1670" w:rsidRDefault="00CA1670" w:rsidP="00CA1670">
      <w:pPr>
        <w:spacing w:after="0" w:line="240" w:lineRule="auto"/>
        <w:rPr>
          <w:rFonts w:ascii="Times New Roman" w:hAnsi="Times New Roman"/>
          <w:b/>
          <w:lang w:val="lt-LT"/>
        </w:rPr>
      </w:pPr>
    </w:p>
    <w:p w:rsidR="00CA1670" w:rsidRDefault="00CA1670" w:rsidP="00CA1670">
      <w:pPr>
        <w:spacing w:after="0" w:line="240" w:lineRule="auto"/>
        <w:rPr>
          <w:rFonts w:ascii="Times New Roman" w:hAnsi="Times New Roman"/>
          <w:b/>
          <w:lang w:val="lt-LT"/>
        </w:rPr>
      </w:pPr>
      <w:r>
        <w:rPr>
          <w:rFonts w:ascii="Times New Roman" w:hAnsi="Times New Roman"/>
          <w:b/>
          <w:lang w:val="lt-LT"/>
        </w:rPr>
        <w:t>Dažni (gali pasireikšti mažiau kaip 1 iš 10 žmonių)</w:t>
      </w:r>
      <w:r>
        <w:rPr>
          <w:rFonts w:ascii="Times New Roman" w:hAnsi="Times New Roman"/>
          <w:b/>
          <w:i/>
          <w:lang w:val="lt-LT"/>
        </w:rPr>
        <w:t>:</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kvėpavimo takų infekcija,</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svaigulys, galvos skausmas, mieguistumas,</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pusiausvyros praradimas,</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žemas kraujospūdis ir kraujo spaudimo kritimas, kai atsistojama iš sėdimos ar gulimos padėties (ortostatinė hipotenzija),</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kvėpavimo takų uždegimas, kosulys, oro trūkumas kvėpuojant, nosies paburkimas ir (arba) sloga,</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pilvo skausmas, nevirškinimas, burnos džiūvimas, šleikštulys (pykinimas),</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nugaros skausmas, raumenų skausmas,</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šlapimo pūslės uždegimas (cistitas), šlapimo nelaikymas,</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bendras silpnumas, krūtinės skausmas, į gripą panašūs simptomai, patinimas.</w:t>
      </w:r>
    </w:p>
    <w:p w:rsidR="00CA1670" w:rsidRDefault="00CA1670" w:rsidP="00CA1670">
      <w:pPr>
        <w:spacing w:after="0" w:line="240" w:lineRule="auto"/>
        <w:rPr>
          <w:rFonts w:ascii="Times New Roman" w:hAnsi="Times New Roman"/>
          <w:lang w:val="lt-LT"/>
        </w:rPr>
      </w:pPr>
    </w:p>
    <w:p w:rsidR="00CA1670" w:rsidRDefault="00CA1670" w:rsidP="00CA1670">
      <w:pPr>
        <w:spacing w:after="0" w:line="240" w:lineRule="auto"/>
        <w:rPr>
          <w:rFonts w:ascii="Times New Roman" w:hAnsi="Times New Roman"/>
          <w:lang w:val="lt-LT"/>
        </w:rPr>
      </w:pPr>
      <w:r>
        <w:rPr>
          <w:rFonts w:ascii="Times New Roman" w:hAnsi="Times New Roman"/>
          <w:b/>
          <w:lang w:val="lt-LT"/>
        </w:rPr>
        <w:t>Nedažni</w:t>
      </w:r>
      <w:r>
        <w:rPr>
          <w:rFonts w:ascii="Times New Roman" w:hAnsi="Times New Roman"/>
          <w:lang w:val="lt-LT"/>
        </w:rPr>
        <w:t xml:space="preserve"> </w:t>
      </w:r>
      <w:r>
        <w:rPr>
          <w:rFonts w:ascii="Times New Roman" w:hAnsi="Times New Roman"/>
          <w:b/>
          <w:lang w:val="lt-LT"/>
        </w:rPr>
        <w:t>(gali pasireikšti mažiau kaip 1 iš 100 žmonių)</w:t>
      </w:r>
      <w:r>
        <w:rPr>
          <w:rFonts w:ascii="Times New Roman" w:hAnsi="Times New Roman"/>
          <w:b/>
          <w:i/>
          <w:lang w:val="lt-LT"/>
        </w:rPr>
        <w:t>:</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apetito praradimas, podagra, padidėjęs apetitas,</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nerimas, emocinis nestabilumas (depresija), nemiga,</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susilpnėjęs lytėjimo jausmas ar jutimas, drebulys, spengimas ar triukšmas ausyse (tinnitus),</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kraujavimas iš nosies,</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vidurių užkietėjimas, viduriavimas, vidurių pūtimas, šleikštulys (vėmimas), virškinimo trakto uždegimas,</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nenormalūs kepenų funkcijos tyrimų rodmenys,</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sąnarių skausmai,</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skausmingas ar pasunkėjęs šlapinimasis, raudonųjų kraujo ląstelių išsiskyrimas su šlapimu (hematurija), dažnas noras šlapintis,</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nenormalus skysčių kaupimasis po oda, sukeliantis veido patinimą (veido edema),</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sunku pasiekti erekciją (impotencija),</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skausmas,</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svorio padidėjimas.</w:t>
      </w:r>
    </w:p>
    <w:p w:rsidR="00CA1670" w:rsidRDefault="00CA1670" w:rsidP="00CA1670">
      <w:pPr>
        <w:spacing w:after="0" w:line="240" w:lineRule="auto"/>
        <w:rPr>
          <w:rFonts w:ascii="Times New Roman" w:hAnsi="Times New Roman"/>
          <w:lang w:val="lt-LT"/>
        </w:rPr>
      </w:pPr>
    </w:p>
    <w:p w:rsidR="00CA1670" w:rsidRDefault="00CA1670" w:rsidP="00CA1670">
      <w:pPr>
        <w:spacing w:after="0" w:line="240" w:lineRule="auto"/>
        <w:rPr>
          <w:rFonts w:ascii="Times New Roman" w:hAnsi="Times New Roman"/>
          <w:lang w:val="lt-LT"/>
        </w:rPr>
      </w:pPr>
      <w:r>
        <w:rPr>
          <w:rFonts w:ascii="Times New Roman" w:hAnsi="Times New Roman"/>
          <w:b/>
          <w:lang w:val="lt-LT"/>
        </w:rPr>
        <w:t>Labai reti</w:t>
      </w:r>
      <w:r>
        <w:rPr>
          <w:rFonts w:ascii="Times New Roman" w:hAnsi="Times New Roman"/>
          <w:lang w:val="lt-LT"/>
        </w:rPr>
        <w:t xml:space="preserve"> </w:t>
      </w:r>
      <w:r>
        <w:rPr>
          <w:rFonts w:ascii="Times New Roman" w:hAnsi="Times New Roman"/>
          <w:b/>
          <w:lang w:val="lt-LT"/>
        </w:rPr>
        <w:t>(gali pasireikšti mažiau kaip 1 iš 1000 žmonių)</w:t>
      </w:r>
      <w:r>
        <w:rPr>
          <w:rFonts w:ascii="Times New Roman" w:hAnsi="Times New Roman"/>
          <w:b/>
          <w:i/>
          <w:lang w:val="lt-LT"/>
        </w:rPr>
        <w:t>:</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eritrocitų arba leukocitų kiekio sumažėjimas kraujyje,</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galvos svaigimas atsistojant,</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nerimas, nervingumas,</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odos dilgsėjimas,</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neryškus matymas,</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paraudimas,</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tulžies sąstovis (cholestazė), kepenų uždegimas (hepatitas), gelsva odos spalva,</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plaukų slinkimas (alopecija), bėrimas, atsiradęs dėl kraujavimo po oda (purpura), dilgėlinė,</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raumenų mėšlungis, raumenų silpnumas,</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šlapinimosi sutrikimas, dažnas šlapinimasis naktį, gausus šlapinimasis,</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laikinas krūtų padidėjimas vyrams (ginekomastija), ilgalaikė skausminga erekciją,</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 xml:space="preserve">ilgalaikis skausmingas varpos sustandėjimas (erekcija). </w:t>
      </w:r>
      <w:r>
        <w:rPr>
          <w:rFonts w:ascii="Times New Roman" w:hAnsi="Times New Roman"/>
          <w:bCs/>
          <w:lang w:val="lt-LT"/>
        </w:rPr>
        <w:t xml:space="preserve">Nedelsdami kreipkitės į gydytoją. </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nuovargis, negalavimas.</w:t>
      </w:r>
    </w:p>
    <w:p w:rsidR="00CA1670" w:rsidRDefault="00CA1670" w:rsidP="00CA1670">
      <w:pPr>
        <w:spacing w:after="0" w:line="240" w:lineRule="auto"/>
        <w:rPr>
          <w:rFonts w:ascii="Times New Roman" w:hAnsi="Times New Roman"/>
          <w:lang w:val="lt-LT"/>
        </w:rPr>
      </w:pPr>
    </w:p>
    <w:p w:rsidR="00CA1670" w:rsidRDefault="00CA1670" w:rsidP="00CA1670">
      <w:pPr>
        <w:spacing w:after="0" w:line="240" w:lineRule="auto"/>
        <w:rPr>
          <w:rFonts w:ascii="Times New Roman" w:hAnsi="Times New Roman"/>
          <w:lang w:val="lt-LT"/>
        </w:rPr>
      </w:pPr>
      <w:r>
        <w:rPr>
          <w:rFonts w:ascii="Times New Roman" w:hAnsi="Times New Roman"/>
          <w:lang w:val="lt-LT"/>
        </w:rPr>
        <w:t>Dažnis nežinomas (negali būti įvertintas pagal turimus duomenis):</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 xml:space="preserve">operacinis suglebusios rainelės sindromas, </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skonio sutrikimai,</w:t>
      </w:r>
    </w:p>
    <w:p w:rsidR="00CA1670" w:rsidRDefault="00CA1670" w:rsidP="00CA1670">
      <w:pPr>
        <w:numPr>
          <w:ilvl w:val="0"/>
          <w:numId w:val="6"/>
        </w:numPr>
        <w:spacing w:after="0" w:line="240" w:lineRule="auto"/>
        <w:rPr>
          <w:rFonts w:ascii="Times New Roman" w:hAnsi="Times New Roman"/>
          <w:lang w:val="lt-LT"/>
        </w:rPr>
      </w:pPr>
      <w:r>
        <w:rPr>
          <w:rFonts w:ascii="Times New Roman" w:hAnsi="Times New Roman"/>
          <w:lang w:val="lt-LT"/>
        </w:rPr>
        <w:t>retrogradinė ejakuliacija.</w:t>
      </w:r>
    </w:p>
    <w:p w:rsidR="00CA1670" w:rsidRDefault="00CA1670" w:rsidP="00CA1670">
      <w:pPr>
        <w:spacing w:after="0" w:line="240" w:lineRule="auto"/>
        <w:rPr>
          <w:rFonts w:ascii="Times New Roman" w:hAnsi="Times New Roman"/>
          <w:lang w:val="lt-LT"/>
        </w:rPr>
      </w:pPr>
    </w:p>
    <w:p w:rsidR="00CA1670" w:rsidRDefault="00CA1670" w:rsidP="00CA1670">
      <w:pPr>
        <w:spacing w:after="0" w:line="240" w:lineRule="auto"/>
        <w:rPr>
          <w:rFonts w:ascii="Times New Roman" w:hAnsi="Times New Roman"/>
          <w:b/>
          <w:lang w:val="lt-LT"/>
        </w:rPr>
      </w:pPr>
      <w:r>
        <w:rPr>
          <w:rFonts w:ascii="Times New Roman" w:hAnsi="Times New Roman"/>
          <w:b/>
          <w:lang w:val="lt-LT"/>
        </w:rPr>
        <w:lastRenderedPageBreak/>
        <w:t>Pranešimas apie šalutinį poveikį</w:t>
      </w:r>
    </w:p>
    <w:p w:rsidR="00CA1670" w:rsidRDefault="00CA1670" w:rsidP="00CA1670">
      <w:pPr>
        <w:spacing w:after="0" w:line="240" w:lineRule="auto"/>
        <w:rPr>
          <w:rFonts w:ascii="Times New Roman" w:hAnsi="Times New Roman"/>
          <w:lang w:val="lt-LT"/>
        </w:rPr>
      </w:pPr>
      <w:r>
        <w:rPr>
          <w:rFonts w:ascii="Times New Roman" w:hAnsi="Times New Roman"/>
          <w:lang w:val="lt-LT"/>
        </w:rPr>
        <w:t xml:space="preserve">Jeigu pasireiškė šalutinis poveikis, įskaitant šiame lapelyje nenurodytą, pasakykite gydytojui arba vaistininkui. Apie šalutinį poveikį taip pat galite pranešti Valstybinei vaistų kontrolės tarnybai prie Lietuvos Respublikos sveikatos apsaugos ministerijos nemokamu telefonu 8 800 73568 arba užpildyti interneto svetainėje </w:t>
      </w:r>
      <w:hyperlink r:id="rId5" w:history="1">
        <w:r>
          <w:rPr>
            <w:rStyle w:val="Hipersaitas"/>
            <w:lang w:val="lt-LT"/>
          </w:rPr>
          <w:t>www.vvkt.lt</w:t>
        </w:r>
      </w:hyperlink>
      <w:r>
        <w:rPr>
          <w:rFonts w:ascii="Times New Roman" w:hAnsi="Times New Roman"/>
          <w:lang w:val="lt-LT"/>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6" w:history="1">
        <w:r>
          <w:rPr>
            <w:rStyle w:val="Hipersaitas"/>
            <w:lang w:val="lt-LT"/>
          </w:rPr>
          <w:t>NepageidaujamaR@vvkt.lt</w:t>
        </w:r>
      </w:hyperlink>
      <w:r>
        <w:rPr>
          <w:rFonts w:ascii="Times New Roman" w:hAnsi="Times New Roman"/>
          <w:lang w:val="lt-LT"/>
        </w:rPr>
        <w:t xml:space="preserve">, taip pat per Valstybinės vaistų kontrolės tarnybos prie Lietuvos Respublikos sveikatos apsaugos ministerijos interneto svetainę (adresu </w:t>
      </w:r>
      <w:hyperlink r:id="rId7" w:history="1">
        <w:r>
          <w:rPr>
            <w:rStyle w:val="Hipersaitas"/>
            <w:lang w:val="lt-LT"/>
          </w:rPr>
          <w:t>http://www.vvkt.lt</w:t>
        </w:r>
      </w:hyperlink>
      <w:r>
        <w:rPr>
          <w:rFonts w:ascii="Times New Roman" w:hAnsi="Times New Roman"/>
          <w:lang w:val="lt-LT"/>
        </w:rPr>
        <w:t>). Pranešdami apie šalutinį poveikį galite mums padėti gauti daugiau informacijos apie šio vaisto saugumą.</w:t>
      </w:r>
    </w:p>
    <w:p w:rsidR="00CA1670" w:rsidRDefault="00CA1670" w:rsidP="00CA1670">
      <w:pPr>
        <w:spacing w:after="0" w:line="240" w:lineRule="auto"/>
        <w:rPr>
          <w:rFonts w:ascii="Times New Roman" w:hAnsi="Times New Roman"/>
          <w:lang w:val="lt-LT"/>
        </w:rPr>
      </w:pPr>
    </w:p>
    <w:p w:rsidR="00CA1670" w:rsidRDefault="00CA1670" w:rsidP="00CA1670">
      <w:pPr>
        <w:spacing w:after="0" w:line="240" w:lineRule="auto"/>
        <w:rPr>
          <w:rFonts w:ascii="Times New Roman" w:hAnsi="Times New Roman"/>
          <w:lang w:val="lt-LT"/>
        </w:rPr>
      </w:pPr>
    </w:p>
    <w:p w:rsidR="00CA1670" w:rsidRDefault="00CA1670" w:rsidP="00CA1670">
      <w:pPr>
        <w:numPr>
          <w:ilvl w:val="0"/>
          <w:numId w:val="3"/>
        </w:numPr>
        <w:spacing w:after="0" w:line="240" w:lineRule="auto"/>
        <w:ind w:right="-29"/>
        <w:rPr>
          <w:rFonts w:ascii="Times New Roman" w:hAnsi="Times New Roman"/>
          <w:b/>
          <w:lang w:val="lt-LT"/>
        </w:rPr>
      </w:pPr>
      <w:r>
        <w:rPr>
          <w:rFonts w:ascii="Times New Roman" w:hAnsi="Times New Roman"/>
          <w:b/>
          <w:lang w:val="lt-LT"/>
        </w:rPr>
        <w:t>Kaip laikyti DOXALFA</w:t>
      </w:r>
    </w:p>
    <w:p w:rsidR="00CA1670" w:rsidRDefault="00CA1670" w:rsidP="00CA1670">
      <w:pPr>
        <w:spacing w:after="0" w:line="240" w:lineRule="auto"/>
        <w:outlineLvl w:val="0"/>
        <w:rPr>
          <w:rFonts w:ascii="Times New Roman" w:hAnsi="Times New Roman"/>
          <w:b/>
          <w:caps/>
          <w:lang w:val="lt-LT"/>
        </w:rPr>
      </w:pPr>
    </w:p>
    <w:p w:rsidR="00CA1670" w:rsidRDefault="00CA1670" w:rsidP="00CA1670">
      <w:pPr>
        <w:numPr>
          <w:ilvl w:val="12"/>
          <w:numId w:val="0"/>
        </w:numPr>
        <w:tabs>
          <w:tab w:val="left" w:pos="567"/>
        </w:tabs>
        <w:spacing w:after="0" w:line="240" w:lineRule="auto"/>
        <w:rPr>
          <w:rFonts w:ascii="Times New Roman" w:hAnsi="Times New Roman"/>
          <w:lang w:val="lt-LT"/>
        </w:rPr>
      </w:pPr>
      <w:r>
        <w:rPr>
          <w:rFonts w:ascii="Times New Roman" w:hAnsi="Times New Roman"/>
          <w:lang w:val="lt-LT"/>
        </w:rPr>
        <w:t>Šį vaistą laikykite vaikams nepastebimoje ir nepasiekiamoje vietoje.</w:t>
      </w:r>
    </w:p>
    <w:p w:rsidR="00CA1670" w:rsidRDefault="00CA1670" w:rsidP="00CA1670">
      <w:pPr>
        <w:numPr>
          <w:ilvl w:val="12"/>
          <w:numId w:val="0"/>
        </w:numPr>
        <w:spacing w:after="0" w:line="240" w:lineRule="auto"/>
        <w:ind w:right="-2"/>
        <w:rPr>
          <w:rFonts w:ascii="Times New Roman" w:hAnsi="Times New Roman"/>
          <w:lang w:val="lt-LT"/>
        </w:rPr>
      </w:pPr>
    </w:p>
    <w:p w:rsidR="00CA1670" w:rsidRDefault="00CA1670" w:rsidP="00CA1670">
      <w:pPr>
        <w:numPr>
          <w:ilvl w:val="12"/>
          <w:numId w:val="0"/>
        </w:numPr>
        <w:spacing w:after="0" w:line="240" w:lineRule="auto"/>
        <w:ind w:right="-2"/>
        <w:rPr>
          <w:rFonts w:ascii="Times New Roman" w:hAnsi="Times New Roman"/>
          <w:iCs/>
          <w:lang w:val="lt-LT"/>
        </w:rPr>
      </w:pPr>
      <w:r>
        <w:rPr>
          <w:rFonts w:ascii="Times New Roman" w:hAnsi="Times New Roman"/>
          <w:iCs/>
          <w:lang w:val="lt-LT"/>
        </w:rPr>
        <w:t>Ant lizdinės plokštelės, buteliuko etiketės ir dėžutės po „EXP“ nurodytam tinkamumo laikui pasibaigus, šio vaisto vartoti negalima.</w:t>
      </w:r>
    </w:p>
    <w:p w:rsidR="00CA1670" w:rsidRDefault="00CA1670" w:rsidP="00CA1670">
      <w:pPr>
        <w:pStyle w:val="BTEMEASMCA"/>
      </w:pPr>
      <w:r>
        <w:t>Vaistas tinka</w:t>
      </w:r>
      <w:r>
        <w:rPr>
          <w:lang w:val="lt-LT"/>
        </w:rPr>
        <w:t>mas</w:t>
      </w:r>
      <w:r>
        <w:t xml:space="preserve"> vartoti iki paskutinės nurodyto mėnesio dienos.</w:t>
      </w:r>
    </w:p>
    <w:p w:rsidR="00CA1670" w:rsidRDefault="00CA1670" w:rsidP="00CA1670">
      <w:pPr>
        <w:numPr>
          <w:ilvl w:val="12"/>
          <w:numId w:val="0"/>
        </w:numPr>
        <w:spacing w:after="0" w:line="240" w:lineRule="auto"/>
        <w:ind w:right="-2"/>
        <w:rPr>
          <w:rFonts w:ascii="Times New Roman" w:hAnsi="Times New Roman"/>
          <w:lang w:val="lt-LT"/>
        </w:rPr>
      </w:pPr>
    </w:p>
    <w:p w:rsidR="00CA1670" w:rsidRDefault="00CA1670" w:rsidP="00CA1670">
      <w:pPr>
        <w:numPr>
          <w:ilvl w:val="12"/>
          <w:numId w:val="0"/>
        </w:numPr>
        <w:spacing w:after="0" w:line="240" w:lineRule="auto"/>
        <w:ind w:right="-2"/>
        <w:rPr>
          <w:rFonts w:ascii="Times New Roman" w:hAnsi="Times New Roman"/>
          <w:lang w:val="lt-LT"/>
        </w:rPr>
      </w:pPr>
      <w:r>
        <w:rPr>
          <w:rFonts w:ascii="Times New Roman" w:hAnsi="Times New Roman"/>
          <w:lang w:val="lt-LT"/>
        </w:rPr>
        <w:t>Šiam vaistiniam preparatui specialių laikymo sąlygų nereikia.</w:t>
      </w:r>
    </w:p>
    <w:p w:rsidR="00CA1670" w:rsidRDefault="00CA1670" w:rsidP="00CA1670">
      <w:pPr>
        <w:numPr>
          <w:ilvl w:val="12"/>
          <w:numId w:val="0"/>
        </w:numPr>
        <w:spacing w:after="0" w:line="240" w:lineRule="auto"/>
        <w:ind w:right="-2"/>
        <w:rPr>
          <w:rFonts w:ascii="Times New Roman" w:hAnsi="Times New Roman"/>
          <w:lang w:val="lt-LT"/>
        </w:rPr>
      </w:pPr>
    </w:p>
    <w:p w:rsidR="00CA1670" w:rsidRDefault="00CA1670" w:rsidP="00CA1670">
      <w:pPr>
        <w:numPr>
          <w:ilvl w:val="12"/>
          <w:numId w:val="0"/>
        </w:numPr>
        <w:tabs>
          <w:tab w:val="left" w:pos="567"/>
        </w:tabs>
        <w:spacing w:after="0" w:line="240" w:lineRule="auto"/>
        <w:rPr>
          <w:rFonts w:ascii="Times New Roman" w:hAnsi="Times New Roman"/>
          <w:lang w:val="lt-LT"/>
        </w:rPr>
      </w:pPr>
      <w:r>
        <w:rPr>
          <w:rFonts w:ascii="Times New Roman" w:hAnsi="Times New Roman"/>
          <w:lang w:val="lt-LT"/>
        </w:rPr>
        <w:t>Vaistų negalima išmesti į kanalizaciją arba su buitinėmis atliekomis. Kaip išmesti nereikalingus vaistus, klauskite vaistininko. Šios priemonės padės apsaugoti aplinką.</w:t>
      </w:r>
    </w:p>
    <w:p w:rsidR="00CA1670" w:rsidRDefault="00CA1670" w:rsidP="00CA1670">
      <w:pPr>
        <w:numPr>
          <w:ilvl w:val="12"/>
          <w:numId w:val="0"/>
        </w:numPr>
        <w:tabs>
          <w:tab w:val="left" w:pos="567"/>
        </w:tabs>
        <w:spacing w:after="0" w:line="240" w:lineRule="auto"/>
        <w:rPr>
          <w:rFonts w:ascii="Times New Roman" w:hAnsi="Times New Roman"/>
          <w:lang w:val="lt-LT"/>
        </w:rPr>
      </w:pPr>
      <w:r>
        <w:rPr>
          <w:rFonts w:ascii="Times New Roman" w:hAnsi="Times New Roman"/>
          <w:lang w:val="lt-LT"/>
        </w:rPr>
        <w:t xml:space="preserve"> </w:t>
      </w:r>
    </w:p>
    <w:p w:rsidR="00CA1670" w:rsidRDefault="00CA1670" w:rsidP="00CA1670">
      <w:pPr>
        <w:numPr>
          <w:ilvl w:val="0"/>
          <w:numId w:val="3"/>
        </w:numPr>
        <w:spacing w:after="0" w:line="240" w:lineRule="auto"/>
        <w:ind w:right="-29"/>
        <w:rPr>
          <w:rFonts w:ascii="Times New Roman" w:hAnsi="Times New Roman"/>
          <w:b/>
          <w:lang w:val="lt-LT"/>
        </w:rPr>
      </w:pPr>
      <w:r>
        <w:rPr>
          <w:rFonts w:ascii="Times New Roman" w:hAnsi="Times New Roman"/>
          <w:b/>
          <w:lang w:val="lt-LT"/>
        </w:rPr>
        <w:t>Pakuotės turinys ir kita informacija</w:t>
      </w:r>
    </w:p>
    <w:p w:rsidR="00CA1670" w:rsidRDefault="00CA1670" w:rsidP="00CA1670">
      <w:pPr>
        <w:tabs>
          <w:tab w:val="left" w:pos="567"/>
        </w:tabs>
        <w:spacing w:after="0" w:line="240" w:lineRule="auto"/>
        <w:rPr>
          <w:rFonts w:ascii="Times New Roman" w:hAnsi="Times New Roman"/>
          <w:lang w:val="lt-LT"/>
        </w:rPr>
      </w:pPr>
    </w:p>
    <w:p w:rsidR="00CA1670" w:rsidRDefault="00CA1670" w:rsidP="00CA1670">
      <w:pPr>
        <w:numPr>
          <w:ilvl w:val="12"/>
          <w:numId w:val="0"/>
        </w:numPr>
        <w:spacing w:after="0" w:line="240" w:lineRule="auto"/>
        <w:ind w:right="-2"/>
        <w:rPr>
          <w:rFonts w:ascii="Times New Roman" w:hAnsi="Times New Roman"/>
          <w:lang w:val="lt-LT"/>
        </w:rPr>
      </w:pPr>
      <w:r>
        <w:rPr>
          <w:rFonts w:ascii="Times New Roman" w:hAnsi="Times New Roman"/>
          <w:b/>
          <w:lang w:val="lt-LT"/>
        </w:rPr>
        <w:t xml:space="preserve">DOXALFA </w:t>
      </w:r>
      <w:r>
        <w:rPr>
          <w:rFonts w:ascii="Times New Roman" w:hAnsi="Times New Roman"/>
          <w:b/>
        </w:rPr>
        <w:t>sudėtis</w:t>
      </w:r>
    </w:p>
    <w:p w:rsidR="00CA1670" w:rsidRDefault="00CA1670" w:rsidP="00CA1670">
      <w:pPr>
        <w:numPr>
          <w:ilvl w:val="0"/>
          <w:numId w:val="1"/>
        </w:numPr>
        <w:spacing w:after="0" w:line="240" w:lineRule="auto"/>
        <w:ind w:right="-2"/>
        <w:rPr>
          <w:rFonts w:ascii="Times New Roman" w:hAnsi="Times New Roman"/>
          <w:i/>
          <w:iCs/>
          <w:lang w:val="lt-LT"/>
        </w:rPr>
      </w:pPr>
      <w:r>
        <w:rPr>
          <w:rFonts w:ascii="Times New Roman" w:hAnsi="Times New Roman"/>
          <w:lang w:val="lt-LT"/>
        </w:rPr>
        <w:t>Veiklioji medžiaga yra doksazosinas. Vienoje pailginto atpalaidavimo tabletėje yra 4 mg doksazosino (doksazosino mesilato pavidalu).</w:t>
      </w:r>
    </w:p>
    <w:p w:rsidR="00CA1670" w:rsidRDefault="00CA1670" w:rsidP="00CA1670">
      <w:pPr>
        <w:numPr>
          <w:ilvl w:val="0"/>
          <w:numId w:val="1"/>
        </w:numPr>
        <w:spacing w:after="0" w:line="240" w:lineRule="auto"/>
        <w:ind w:right="-2"/>
        <w:rPr>
          <w:rFonts w:ascii="Times New Roman" w:hAnsi="Times New Roman"/>
          <w:lang w:val="lt-LT"/>
        </w:rPr>
      </w:pPr>
      <w:r>
        <w:rPr>
          <w:rFonts w:ascii="Times New Roman" w:hAnsi="Times New Roman"/>
          <w:lang w:val="lt-LT"/>
        </w:rPr>
        <w:t>Pagalbinės medžiagos yra polietileno oksidas, mikrokristalinė celiulozė, povidonas, butilhidroksitoluenas (E321), visų racematų-</w:t>
      </w:r>
      <w:r>
        <w:rPr>
          <w:rFonts w:ascii="Times New Roman" w:hAnsi="Times New Roman"/>
          <w:lang w:val="lt-LT"/>
        </w:rPr>
        <w:sym w:font="Symbol" w:char="F061"/>
      </w:r>
      <w:r>
        <w:rPr>
          <w:rFonts w:ascii="Times New Roman" w:hAnsi="Times New Roman"/>
          <w:lang w:val="lt-LT"/>
        </w:rPr>
        <w:t>-tokoferolis, koloidinis hidratuotas silicio dioksidas, natrio stearilfumaratas, metakrilo rūgšties ir etilakrilato 1:1 kopolimero 30 % dispersija, makrogolis ir titano dioksidas (E171).</w:t>
      </w:r>
    </w:p>
    <w:p w:rsidR="00CA1670" w:rsidRDefault="00CA1670" w:rsidP="00CA1670">
      <w:pPr>
        <w:spacing w:after="0" w:line="240" w:lineRule="auto"/>
        <w:ind w:right="-2"/>
        <w:rPr>
          <w:rFonts w:ascii="Times New Roman" w:hAnsi="Times New Roman"/>
          <w:lang w:val="lt-LT"/>
        </w:rPr>
      </w:pPr>
    </w:p>
    <w:p w:rsidR="00CA1670" w:rsidRDefault="00CA1670" w:rsidP="00CA1670">
      <w:pPr>
        <w:numPr>
          <w:ilvl w:val="12"/>
          <w:numId w:val="0"/>
        </w:numPr>
        <w:spacing w:after="0" w:line="240" w:lineRule="auto"/>
        <w:ind w:right="-2"/>
        <w:rPr>
          <w:rFonts w:ascii="Times New Roman" w:hAnsi="Times New Roman"/>
          <w:b/>
          <w:lang w:val="lt-LT"/>
        </w:rPr>
      </w:pPr>
      <w:r>
        <w:rPr>
          <w:rFonts w:ascii="Times New Roman" w:hAnsi="Times New Roman"/>
          <w:b/>
          <w:lang w:val="lt-LT"/>
        </w:rPr>
        <w:t>DOXALFA išvaizda ir kiekis pakuotėje</w:t>
      </w:r>
    </w:p>
    <w:p w:rsidR="00CA1670" w:rsidRDefault="00CA1670" w:rsidP="00CA1670">
      <w:pPr>
        <w:numPr>
          <w:ilvl w:val="12"/>
          <w:numId w:val="0"/>
        </w:numPr>
        <w:spacing w:after="0" w:line="240" w:lineRule="auto"/>
        <w:ind w:right="-2"/>
        <w:rPr>
          <w:rFonts w:ascii="Times New Roman" w:hAnsi="Times New Roman"/>
          <w:b/>
          <w:bCs/>
          <w:lang w:val="lt-LT"/>
        </w:rPr>
      </w:pPr>
    </w:p>
    <w:p w:rsidR="00CA1670" w:rsidRDefault="00CA1670" w:rsidP="00CA1670">
      <w:pPr>
        <w:spacing w:after="0" w:line="240" w:lineRule="auto"/>
        <w:rPr>
          <w:rFonts w:ascii="Times New Roman" w:hAnsi="Times New Roman"/>
          <w:lang w:val="lt-LT"/>
        </w:rPr>
      </w:pPr>
      <w:r>
        <w:rPr>
          <w:rFonts w:ascii="Times New Roman" w:hAnsi="Times New Roman"/>
          <w:lang w:val="lt-LT"/>
        </w:rPr>
        <w:t>Baltos, apvalios, abipus išgaubtos tabletės su iškiliomis raidėmis “DL” vienoje pusėje.</w:t>
      </w:r>
    </w:p>
    <w:p w:rsidR="00CA1670" w:rsidRDefault="00CA1670" w:rsidP="00CA1670">
      <w:pPr>
        <w:spacing w:after="0" w:line="240" w:lineRule="auto"/>
        <w:rPr>
          <w:rFonts w:ascii="Times New Roman" w:hAnsi="Times New Roman"/>
          <w:lang w:val="lt-LT"/>
        </w:rPr>
      </w:pPr>
      <w:r>
        <w:rPr>
          <w:rFonts w:ascii="Times New Roman" w:hAnsi="Times New Roman"/>
          <w:lang w:val="lt-LT"/>
        </w:rPr>
        <w:t>Jūsų vaistas tiekiamas PVC/PVdC ir aliuminio folijos lizdinėse plokštelėse. Pakuotėje yra 10, 20, 28, 30, 50, 56, 60, 90, 98, 100 arba 140 (10x14) pailginto atpalaidavimo tablečių.</w:t>
      </w:r>
    </w:p>
    <w:p w:rsidR="00CA1670" w:rsidRDefault="00CA1670" w:rsidP="00CA1670">
      <w:pPr>
        <w:tabs>
          <w:tab w:val="left" w:pos="851"/>
        </w:tabs>
        <w:spacing w:after="0" w:line="240" w:lineRule="auto"/>
        <w:rPr>
          <w:rFonts w:ascii="Times New Roman" w:hAnsi="Times New Roman"/>
          <w:lang w:val="lt-LT"/>
        </w:rPr>
      </w:pPr>
      <w:r>
        <w:rPr>
          <w:rFonts w:ascii="Times New Roman" w:hAnsi="Times New Roman"/>
          <w:lang w:val="lt-LT"/>
        </w:rPr>
        <w:t>Kalendorinėje pakuotėje yra 28 arba 98 pailginto atpalaidavimo tabletės.</w:t>
      </w:r>
    </w:p>
    <w:p w:rsidR="00CA1670" w:rsidRDefault="00CA1670" w:rsidP="00CA1670">
      <w:pPr>
        <w:tabs>
          <w:tab w:val="left" w:pos="851"/>
        </w:tabs>
        <w:spacing w:after="0" w:line="240" w:lineRule="auto"/>
        <w:rPr>
          <w:rFonts w:ascii="Times New Roman" w:hAnsi="Times New Roman"/>
          <w:b/>
          <w:bCs/>
          <w:lang w:val="lt-LT"/>
        </w:rPr>
      </w:pPr>
      <w:r>
        <w:rPr>
          <w:rFonts w:ascii="Times New Roman" w:hAnsi="Times New Roman"/>
          <w:lang w:val="lt-LT"/>
        </w:rPr>
        <w:t>Vienadozėje pakuotėje yra 50 x 1 pailginto atpalaidavimo tablečių.</w:t>
      </w:r>
    </w:p>
    <w:p w:rsidR="00CA1670" w:rsidRDefault="00CA1670" w:rsidP="00CA1670">
      <w:pPr>
        <w:spacing w:after="0" w:line="240" w:lineRule="auto"/>
        <w:rPr>
          <w:rFonts w:ascii="Times New Roman" w:hAnsi="Times New Roman"/>
          <w:lang w:val="lt-LT"/>
        </w:rPr>
      </w:pPr>
      <w:r>
        <w:rPr>
          <w:rFonts w:ascii="Times New Roman" w:hAnsi="Times New Roman"/>
          <w:lang w:val="lt-LT"/>
        </w:rPr>
        <w:t>Arba plastikiniuose buteliukuose (PP talpyklė su MTPE dangteliu ir užpildu (MTPE)), kuriuose yra 500 tablečių.</w:t>
      </w:r>
    </w:p>
    <w:p w:rsidR="00CA1670" w:rsidRDefault="00CA1670" w:rsidP="00CA1670">
      <w:pPr>
        <w:spacing w:after="0" w:line="240" w:lineRule="auto"/>
        <w:ind w:left="567" w:hanging="567"/>
        <w:rPr>
          <w:rFonts w:ascii="Times New Roman" w:hAnsi="Times New Roman"/>
          <w:lang w:val="lt-LT"/>
        </w:rPr>
      </w:pPr>
    </w:p>
    <w:p w:rsidR="00CA1670" w:rsidRDefault="00CA1670" w:rsidP="00CA1670">
      <w:pPr>
        <w:spacing w:after="0" w:line="240" w:lineRule="auto"/>
        <w:ind w:left="567" w:hanging="567"/>
        <w:rPr>
          <w:rFonts w:ascii="Times New Roman" w:hAnsi="Times New Roman"/>
          <w:lang w:val="lt-LT"/>
        </w:rPr>
      </w:pPr>
      <w:r>
        <w:rPr>
          <w:rFonts w:ascii="Times New Roman" w:hAnsi="Times New Roman"/>
          <w:lang w:val="lt-LT"/>
        </w:rPr>
        <w:t>Gali būti tiekiamos ne visų dydžių pakuotės.</w:t>
      </w:r>
    </w:p>
    <w:p w:rsidR="00CA1670" w:rsidRDefault="00CA1670" w:rsidP="00CA1670">
      <w:pPr>
        <w:spacing w:after="0" w:line="240" w:lineRule="auto"/>
        <w:ind w:left="567" w:hanging="567"/>
        <w:rPr>
          <w:rFonts w:ascii="Times New Roman" w:hAnsi="Times New Roman"/>
          <w:u w:val="single"/>
          <w:lang w:val="lt-LT"/>
        </w:rPr>
      </w:pPr>
    </w:p>
    <w:p w:rsidR="00CA1670" w:rsidRDefault="00CA1670" w:rsidP="00CA1670">
      <w:pPr>
        <w:numPr>
          <w:ilvl w:val="12"/>
          <w:numId w:val="0"/>
        </w:numPr>
        <w:spacing w:after="0" w:line="240" w:lineRule="auto"/>
        <w:ind w:right="-2"/>
        <w:rPr>
          <w:rFonts w:ascii="Times New Roman" w:hAnsi="Times New Roman"/>
          <w:b/>
          <w:bCs/>
          <w:lang w:val="lt-LT"/>
        </w:rPr>
      </w:pPr>
      <w:r>
        <w:rPr>
          <w:rFonts w:ascii="Times New Roman" w:hAnsi="Times New Roman"/>
          <w:b/>
          <w:bCs/>
          <w:lang w:val="lt-LT"/>
        </w:rPr>
        <w:t>Registruotojas ir gamintojas</w:t>
      </w:r>
    </w:p>
    <w:p w:rsidR="00CA1670" w:rsidRDefault="00CA1670" w:rsidP="00CA1670">
      <w:pPr>
        <w:numPr>
          <w:ilvl w:val="12"/>
          <w:numId w:val="0"/>
        </w:numPr>
        <w:spacing w:after="0" w:line="240" w:lineRule="auto"/>
        <w:ind w:right="-2"/>
        <w:rPr>
          <w:rFonts w:ascii="Times New Roman" w:hAnsi="Times New Roman"/>
          <w:b/>
          <w:bCs/>
          <w:lang w:val="lt-LT"/>
        </w:rPr>
      </w:pPr>
    </w:p>
    <w:p w:rsidR="00CA1670" w:rsidRDefault="00CA1670" w:rsidP="00CA1670">
      <w:pPr>
        <w:spacing w:after="0" w:line="240" w:lineRule="auto"/>
        <w:rPr>
          <w:rFonts w:ascii="Times New Roman" w:hAnsi="Times New Roman"/>
          <w:i/>
          <w:noProof/>
          <w:lang w:val="lt-LT"/>
        </w:rPr>
      </w:pPr>
      <w:r>
        <w:rPr>
          <w:rFonts w:ascii="Times New Roman" w:hAnsi="Times New Roman"/>
          <w:noProof/>
          <w:lang w:val="lt-LT"/>
        </w:rPr>
        <w:t>Registruotojas</w:t>
      </w:r>
    </w:p>
    <w:p w:rsidR="00CA1670" w:rsidRDefault="00CA1670" w:rsidP="00CA1670">
      <w:pPr>
        <w:spacing w:after="0" w:line="240" w:lineRule="auto"/>
        <w:rPr>
          <w:rFonts w:ascii="Times New Roman" w:hAnsi="Times New Roman"/>
          <w:noProof/>
          <w:lang w:val="lt-LT"/>
        </w:rPr>
      </w:pPr>
      <w:r>
        <w:rPr>
          <w:rFonts w:ascii="Times New Roman" w:hAnsi="Times New Roman"/>
          <w:noProof/>
          <w:lang w:val="lt-LT"/>
        </w:rPr>
        <w:t>STADA Arzneimittel AG</w:t>
      </w:r>
    </w:p>
    <w:p w:rsidR="00CA1670" w:rsidRDefault="00CA1670" w:rsidP="00CA1670">
      <w:pPr>
        <w:spacing w:after="0" w:line="240" w:lineRule="auto"/>
        <w:rPr>
          <w:rFonts w:ascii="Times New Roman" w:hAnsi="Times New Roman"/>
          <w:noProof/>
          <w:lang w:val="nb-NO"/>
        </w:rPr>
      </w:pPr>
      <w:r>
        <w:rPr>
          <w:rFonts w:ascii="Times New Roman" w:hAnsi="Times New Roman"/>
          <w:noProof/>
          <w:lang w:val="nb-NO"/>
        </w:rPr>
        <w:t>Stadastrasse 2-18</w:t>
      </w:r>
    </w:p>
    <w:p w:rsidR="00CA1670" w:rsidRDefault="00CA1670" w:rsidP="00CA1670">
      <w:pPr>
        <w:spacing w:after="0" w:line="240" w:lineRule="auto"/>
        <w:rPr>
          <w:rFonts w:ascii="Times New Roman" w:hAnsi="Times New Roman"/>
          <w:noProof/>
          <w:lang w:val="nb-NO"/>
        </w:rPr>
      </w:pPr>
      <w:r>
        <w:rPr>
          <w:rFonts w:ascii="Times New Roman" w:hAnsi="Times New Roman"/>
          <w:noProof/>
          <w:lang w:val="nb-NO"/>
        </w:rPr>
        <w:t>61118 Bad Vilbel</w:t>
      </w:r>
    </w:p>
    <w:p w:rsidR="00CA1670" w:rsidRDefault="00CA1670" w:rsidP="00CA1670">
      <w:pPr>
        <w:spacing w:after="0" w:line="240" w:lineRule="auto"/>
        <w:rPr>
          <w:rFonts w:ascii="Times New Roman" w:hAnsi="Times New Roman"/>
          <w:noProof/>
          <w:lang w:val="nb-NO"/>
        </w:rPr>
      </w:pPr>
      <w:r>
        <w:rPr>
          <w:rFonts w:ascii="Times New Roman" w:hAnsi="Times New Roman"/>
          <w:noProof/>
          <w:lang w:val="nb-NO"/>
        </w:rPr>
        <w:t>Vokietija</w:t>
      </w:r>
    </w:p>
    <w:p w:rsidR="00CA1670" w:rsidRDefault="00CA1670" w:rsidP="00CA1670">
      <w:pPr>
        <w:spacing w:after="0" w:line="240" w:lineRule="auto"/>
        <w:rPr>
          <w:rFonts w:ascii="Times New Roman" w:hAnsi="Times New Roman"/>
          <w:noProof/>
          <w:lang w:val="nb-NO"/>
        </w:rPr>
      </w:pPr>
    </w:p>
    <w:p w:rsidR="00CA1670" w:rsidRDefault="00CA1670" w:rsidP="00CA1670">
      <w:pPr>
        <w:spacing w:after="0" w:line="240" w:lineRule="auto"/>
        <w:rPr>
          <w:rFonts w:ascii="Times New Roman" w:hAnsi="Times New Roman"/>
          <w:i/>
          <w:noProof/>
          <w:lang w:val="nb-NO"/>
        </w:rPr>
      </w:pPr>
      <w:r>
        <w:rPr>
          <w:rFonts w:ascii="Times New Roman" w:hAnsi="Times New Roman"/>
          <w:noProof/>
          <w:lang w:val="nb-NO"/>
        </w:rPr>
        <w:t>Gamintojas</w:t>
      </w:r>
    </w:p>
    <w:p w:rsidR="00CA1670" w:rsidRDefault="00CA1670" w:rsidP="00CA1670">
      <w:pPr>
        <w:spacing w:after="0" w:line="240" w:lineRule="auto"/>
        <w:rPr>
          <w:rFonts w:ascii="Times New Roman" w:hAnsi="Times New Roman"/>
          <w:noProof/>
          <w:lang w:val="lt-LT"/>
        </w:rPr>
      </w:pPr>
      <w:r>
        <w:rPr>
          <w:rFonts w:ascii="Times New Roman" w:hAnsi="Times New Roman"/>
          <w:noProof/>
          <w:lang w:val="lt-LT"/>
        </w:rPr>
        <w:lastRenderedPageBreak/>
        <w:t>STADA Arzneimittel AG</w:t>
      </w:r>
    </w:p>
    <w:p w:rsidR="00CA1670" w:rsidRDefault="00CA1670" w:rsidP="00CA1670">
      <w:pPr>
        <w:spacing w:after="0" w:line="240" w:lineRule="auto"/>
        <w:rPr>
          <w:rFonts w:ascii="Times New Roman" w:hAnsi="Times New Roman"/>
          <w:noProof/>
          <w:lang w:val="nb-NO"/>
        </w:rPr>
      </w:pPr>
      <w:r>
        <w:rPr>
          <w:rFonts w:ascii="Times New Roman" w:hAnsi="Times New Roman"/>
          <w:noProof/>
          <w:lang w:val="nb-NO"/>
        </w:rPr>
        <w:t>Stadastrasse 2-18</w:t>
      </w:r>
    </w:p>
    <w:p w:rsidR="00CA1670" w:rsidRDefault="00CA1670" w:rsidP="00CA1670">
      <w:pPr>
        <w:spacing w:after="0" w:line="240" w:lineRule="auto"/>
        <w:rPr>
          <w:rFonts w:ascii="Times New Roman" w:hAnsi="Times New Roman"/>
          <w:noProof/>
          <w:lang w:val="nb-NO"/>
        </w:rPr>
      </w:pPr>
      <w:r>
        <w:rPr>
          <w:rFonts w:ascii="Times New Roman" w:hAnsi="Times New Roman"/>
          <w:noProof/>
          <w:lang w:val="nb-NO"/>
        </w:rPr>
        <w:t>61118 Bad Vilbel</w:t>
      </w:r>
    </w:p>
    <w:p w:rsidR="00CA1670" w:rsidRDefault="00CA1670" w:rsidP="00CA1670">
      <w:pPr>
        <w:spacing w:after="0" w:line="240" w:lineRule="auto"/>
        <w:rPr>
          <w:rFonts w:ascii="Times New Roman" w:hAnsi="Times New Roman"/>
          <w:noProof/>
          <w:lang w:val="nb-NO"/>
        </w:rPr>
      </w:pPr>
      <w:r>
        <w:rPr>
          <w:rFonts w:ascii="Times New Roman" w:hAnsi="Times New Roman"/>
          <w:noProof/>
          <w:lang w:val="nb-NO"/>
        </w:rPr>
        <w:t>Vokietija</w:t>
      </w:r>
    </w:p>
    <w:p w:rsidR="00CA1670" w:rsidRDefault="00CA1670" w:rsidP="00CA1670">
      <w:pPr>
        <w:spacing w:after="0" w:line="240" w:lineRule="auto"/>
        <w:rPr>
          <w:rFonts w:ascii="Times New Roman" w:hAnsi="Times New Roman"/>
          <w:noProof/>
          <w:lang w:val="nb-NO"/>
        </w:rPr>
      </w:pPr>
    </w:p>
    <w:p w:rsidR="00CA1670" w:rsidRDefault="00CA1670" w:rsidP="00CA1670">
      <w:pPr>
        <w:spacing w:after="0" w:line="240" w:lineRule="auto"/>
        <w:rPr>
          <w:rFonts w:ascii="Times New Roman" w:hAnsi="Times New Roman"/>
          <w:noProof/>
          <w:lang w:val="nb-NO"/>
        </w:rPr>
      </w:pPr>
      <w:r>
        <w:rPr>
          <w:rFonts w:ascii="Times New Roman" w:hAnsi="Times New Roman"/>
          <w:noProof/>
          <w:lang w:val="nb-NO"/>
        </w:rPr>
        <w:t>arba</w:t>
      </w:r>
    </w:p>
    <w:p w:rsidR="00CA1670" w:rsidRDefault="00CA1670" w:rsidP="00CA1670">
      <w:pPr>
        <w:spacing w:after="0" w:line="240" w:lineRule="auto"/>
        <w:rPr>
          <w:rFonts w:ascii="Times New Roman" w:hAnsi="Times New Roman"/>
          <w:noProof/>
          <w:lang w:val="nb-NO"/>
        </w:rPr>
      </w:pPr>
    </w:p>
    <w:p w:rsidR="00CA1670" w:rsidRPr="003E731B" w:rsidRDefault="00CA1670" w:rsidP="00CA1670">
      <w:pPr>
        <w:spacing w:after="0" w:line="240" w:lineRule="auto"/>
        <w:rPr>
          <w:rFonts w:ascii="Times New Roman" w:eastAsia="Arial Unicode MS" w:hAnsi="Times New Roman"/>
          <w:noProof/>
          <w:lang w:val="lt-LT"/>
        </w:rPr>
      </w:pPr>
      <w:r w:rsidRPr="003E731B">
        <w:rPr>
          <w:rFonts w:ascii="Times New Roman" w:eastAsia="Arial Unicode MS" w:hAnsi="Times New Roman"/>
          <w:noProof/>
          <w:lang w:val="lt-LT"/>
        </w:rPr>
        <w:t>Centrafarm Services B.V.</w:t>
      </w:r>
    </w:p>
    <w:p w:rsidR="00CA1670" w:rsidRPr="003E731B" w:rsidRDefault="00CA1670" w:rsidP="00CA1670">
      <w:pPr>
        <w:spacing w:after="0" w:line="240" w:lineRule="auto"/>
        <w:rPr>
          <w:rFonts w:ascii="Times New Roman" w:eastAsia="Arial Unicode MS" w:hAnsi="Times New Roman"/>
          <w:noProof/>
          <w:lang w:val="lt-LT"/>
        </w:rPr>
      </w:pPr>
      <w:r w:rsidRPr="003E731B">
        <w:rPr>
          <w:rFonts w:ascii="Times New Roman" w:eastAsia="Arial Unicode MS" w:hAnsi="Times New Roman"/>
          <w:noProof/>
          <w:lang w:val="lt-LT"/>
        </w:rPr>
        <w:t>Van de Reijtstraat 31-E</w:t>
      </w:r>
    </w:p>
    <w:p w:rsidR="00CA1670" w:rsidRPr="003E731B" w:rsidRDefault="00CA1670" w:rsidP="00CA1670">
      <w:pPr>
        <w:spacing w:after="0" w:line="240" w:lineRule="auto"/>
        <w:rPr>
          <w:rFonts w:ascii="Times New Roman" w:eastAsia="Arial Unicode MS" w:hAnsi="Times New Roman"/>
          <w:noProof/>
          <w:lang w:val="lt-LT"/>
        </w:rPr>
      </w:pPr>
      <w:r w:rsidRPr="003E731B">
        <w:rPr>
          <w:rFonts w:ascii="Times New Roman" w:eastAsia="Arial Unicode MS" w:hAnsi="Times New Roman"/>
          <w:noProof/>
          <w:lang w:val="lt-LT"/>
        </w:rPr>
        <w:t xml:space="preserve">4814 NE Breda </w:t>
      </w:r>
    </w:p>
    <w:p w:rsidR="00CA1670" w:rsidRDefault="00CA1670" w:rsidP="00CA1670">
      <w:pPr>
        <w:spacing w:after="0" w:line="240" w:lineRule="auto"/>
        <w:rPr>
          <w:rFonts w:ascii="Times New Roman" w:eastAsia="Arial Unicode MS" w:hAnsi="Times New Roman"/>
          <w:noProof/>
          <w:lang w:val="lt-LT"/>
        </w:rPr>
      </w:pPr>
      <w:r w:rsidRPr="003E731B">
        <w:rPr>
          <w:rFonts w:ascii="Times New Roman" w:eastAsia="Arial Unicode MS" w:hAnsi="Times New Roman"/>
          <w:noProof/>
          <w:lang w:val="lt-LT"/>
        </w:rPr>
        <w:t>Nyderlandai</w:t>
      </w:r>
    </w:p>
    <w:p w:rsidR="00CA1670" w:rsidRDefault="00CA1670" w:rsidP="00CA1670">
      <w:pPr>
        <w:spacing w:after="0" w:line="240" w:lineRule="auto"/>
        <w:rPr>
          <w:rFonts w:ascii="Times New Roman" w:hAnsi="Times New Roman"/>
          <w:noProof/>
          <w:lang w:val="nb-NO"/>
        </w:rPr>
      </w:pPr>
    </w:p>
    <w:p w:rsidR="00CA1670" w:rsidRDefault="00CA1670" w:rsidP="00CA1670">
      <w:pPr>
        <w:spacing w:after="0" w:line="240" w:lineRule="auto"/>
        <w:rPr>
          <w:rFonts w:ascii="Times New Roman" w:hAnsi="Times New Roman"/>
          <w:noProof/>
          <w:lang w:val="nb-NO"/>
        </w:rPr>
      </w:pPr>
      <w:r>
        <w:rPr>
          <w:rFonts w:ascii="Times New Roman" w:hAnsi="Times New Roman"/>
          <w:noProof/>
          <w:lang w:val="nb-NO"/>
        </w:rPr>
        <w:t>arba</w:t>
      </w:r>
    </w:p>
    <w:p w:rsidR="00CA1670" w:rsidRDefault="00CA1670" w:rsidP="00CA1670">
      <w:pPr>
        <w:spacing w:after="0" w:line="240" w:lineRule="auto"/>
        <w:rPr>
          <w:rFonts w:ascii="Times New Roman" w:hAnsi="Times New Roman"/>
          <w:noProof/>
          <w:lang w:val="nb-NO"/>
        </w:rPr>
      </w:pPr>
    </w:p>
    <w:p w:rsidR="00CA1670" w:rsidRDefault="00CA1670" w:rsidP="00CA1670">
      <w:pPr>
        <w:spacing w:after="0" w:line="240" w:lineRule="auto"/>
        <w:rPr>
          <w:rFonts w:ascii="Times New Roman" w:eastAsia="Arial Unicode MS" w:hAnsi="Times New Roman"/>
          <w:lang w:val="lt-LT"/>
        </w:rPr>
      </w:pPr>
      <w:r>
        <w:rPr>
          <w:rFonts w:ascii="Times New Roman" w:eastAsia="Arial Unicode MS" w:hAnsi="Times New Roman"/>
          <w:lang w:val="lt-LT"/>
        </w:rPr>
        <w:t>GENUS PHARMACEUTICALS Ltd.</w:t>
      </w:r>
    </w:p>
    <w:p w:rsidR="00CA1670" w:rsidRDefault="00CA1670" w:rsidP="00CA1670">
      <w:pPr>
        <w:spacing w:after="0" w:line="240" w:lineRule="auto"/>
        <w:rPr>
          <w:rFonts w:ascii="Times New Roman" w:eastAsia="Arial Unicode MS" w:hAnsi="Times New Roman"/>
          <w:lang w:val="lt-LT"/>
        </w:rPr>
      </w:pPr>
      <w:r>
        <w:rPr>
          <w:rFonts w:ascii="Times New Roman" w:eastAsia="Arial Unicode MS" w:hAnsi="Times New Roman"/>
          <w:lang w:val="lt-LT"/>
        </w:rPr>
        <w:t>Linthwaite</w:t>
      </w:r>
    </w:p>
    <w:p w:rsidR="00CA1670" w:rsidRDefault="00CA1670" w:rsidP="00CA1670">
      <w:pPr>
        <w:spacing w:after="0" w:line="240" w:lineRule="auto"/>
        <w:rPr>
          <w:rFonts w:ascii="Times New Roman" w:eastAsia="Arial Unicode MS" w:hAnsi="Times New Roman"/>
          <w:lang w:val="lt-LT"/>
        </w:rPr>
      </w:pPr>
      <w:r>
        <w:rPr>
          <w:rFonts w:ascii="Times New Roman" w:eastAsia="Arial Unicode MS" w:hAnsi="Times New Roman"/>
          <w:lang w:val="lt-LT"/>
        </w:rPr>
        <w:t>Huddersfield</w:t>
      </w:r>
    </w:p>
    <w:p w:rsidR="00CA1670" w:rsidRDefault="00CA1670" w:rsidP="00CA1670">
      <w:pPr>
        <w:spacing w:after="0" w:line="240" w:lineRule="auto"/>
        <w:rPr>
          <w:rFonts w:ascii="Times New Roman" w:eastAsia="Arial Unicode MS" w:hAnsi="Times New Roman"/>
          <w:lang w:val="lt-LT"/>
        </w:rPr>
      </w:pPr>
      <w:r>
        <w:rPr>
          <w:rFonts w:ascii="Times New Roman" w:eastAsia="Arial Unicode MS" w:hAnsi="Times New Roman"/>
          <w:lang w:val="lt-LT"/>
        </w:rPr>
        <w:t xml:space="preserve">HD7 5QH </w:t>
      </w:r>
    </w:p>
    <w:p w:rsidR="00CA1670" w:rsidRDefault="00CA1670" w:rsidP="00CA1670">
      <w:pPr>
        <w:spacing w:after="0" w:line="240" w:lineRule="auto"/>
        <w:rPr>
          <w:rFonts w:ascii="Times New Roman" w:eastAsia="Arial Unicode MS" w:hAnsi="Times New Roman"/>
          <w:lang w:val="lt-LT"/>
        </w:rPr>
      </w:pPr>
      <w:r>
        <w:rPr>
          <w:rFonts w:ascii="Times New Roman" w:eastAsia="Arial Unicode MS" w:hAnsi="Times New Roman"/>
          <w:lang w:val="lt-LT"/>
        </w:rPr>
        <w:t>Jungtinė Karalsytė</w:t>
      </w:r>
    </w:p>
    <w:p w:rsidR="00CA1670" w:rsidRDefault="00CA1670" w:rsidP="00CA1670">
      <w:pPr>
        <w:spacing w:after="0" w:line="240" w:lineRule="auto"/>
        <w:rPr>
          <w:rFonts w:ascii="Times New Roman" w:hAnsi="Times New Roman"/>
          <w:noProof/>
          <w:lang w:val="nb-NO"/>
        </w:rPr>
      </w:pPr>
    </w:p>
    <w:p w:rsidR="00CA1670" w:rsidRDefault="00CA1670" w:rsidP="00CA1670">
      <w:pPr>
        <w:pStyle w:val="BTEMEASMCA"/>
      </w:pPr>
      <w:r>
        <w:t xml:space="preserve">Jeigu apie šį vaistą norite sužinoti daugiau, kreipkitės į vietinį </w:t>
      </w:r>
      <w:r>
        <w:rPr>
          <w:lang w:val="lt-LT"/>
        </w:rPr>
        <w:t>registruotojo atstovą</w:t>
      </w:r>
      <w:r>
        <w:t>:</w:t>
      </w:r>
    </w:p>
    <w:p w:rsidR="00CA1670" w:rsidRDefault="00CA1670" w:rsidP="00CA1670">
      <w:pPr>
        <w:spacing w:after="0" w:line="240" w:lineRule="auto"/>
        <w:rPr>
          <w:rFonts w:ascii="Times New Roman" w:hAnsi="Times New Roman"/>
          <w:lang w:val="nb-NO"/>
        </w:rPr>
      </w:pPr>
    </w:p>
    <w:tbl>
      <w:tblPr>
        <w:tblW w:w="4680" w:type="dxa"/>
        <w:tblInd w:w="-34" w:type="dxa"/>
        <w:tblLayout w:type="fixed"/>
        <w:tblLook w:val="04A0" w:firstRow="1" w:lastRow="0" w:firstColumn="1" w:lastColumn="0" w:noHBand="0" w:noVBand="1"/>
      </w:tblPr>
      <w:tblGrid>
        <w:gridCol w:w="4680"/>
      </w:tblGrid>
      <w:tr w:rsidR="00CA1670" w:rsidTr="00D24F05">
        <w:tc>
          <w:tcPr>
            <w:tcW w:w="4678" w:type="dxa"/>
            <w:hideMark/>
          </w:tcPr>
          <w:p w:rsidR="00CA1670" w:rsidRDefault="00CA1670" w:rsidP="00D24F05">
            <w:pPr>
              <w:pStyle w:val="BTEMEASMCA"/>
              <w:rPr>
                <w:lang w:val="lt-LT"/>
              </w:rPr>
            </w:pPr>
            <w:r>
              <w:rPr>
                <w:lang w:val="lt-LT"/>
              </w:rPr>
              <w:t>UAB „STADA Baltics“</w:t>
            </w:r>
          </w:p>
          <w:p w:rsidR="00CA1670" w:rsidRDefault="00CA1670" w:rsidP="00D24F05">
            <w:pPr>
              <w:pStyle w:val="BTEMEASMCA"/>
              <w:rPr>
                <w:lang w:val="es-ES"/>
              </w:rPr>
            </w:pPr>
            <w:r>
              <w:rPr>
                <w:lang w:val="lt-LT"/>
              </w:rPr>
              <w:t xml:space="preserve">A. Goštauto g. </w:t>
            </w:r>
            <w:r>
              <w:rPr>
                <w:lang w:val="es-ES"/>
              </w:rPr>
              <w:t>40A</w:t>
            </w:r>
          </w:p>
          <w:p w:rsidR="00CA1670" w:rsidRDefault="00CA1670" w:rsidP="00D24F05">
            <w:pPr>
              <w:pStyle w:val="BTEMEASMCA"/>
              <w:rPr>
                <w:lang w:val="lt-LT"/>
              </w:rPr>
            </w:pPr>
            <w:r>
              <w:rPr>
                <w:lang w:val="lt-LT"/>
              </w:rPr>
              <w:t>03163 Vilnius</w:t>
            </w:r>
          </w:p>
          <w:p w:rsidR="00CA1670" w:rsidRDefault="00CA1670" w:rsidP="00D24F05">
            <w:pPr>
              <w:pStyle w:val="BTEMEASMCA"/>
              <w:rPr>
                <w:lang w:val="lt-LT"/>
              </w:rPr>
            </w:pPr>
            <w:r>
              <w:rPr>
                <w:lang w:val="lt-LT"/>
              </w:rPr>
              <w:t>Tel. +37052603926</w:t>
            </w:r>
          </w:p>
          <w:p w:rsidR="00CA1670" w:rsidRDefault="00CA1670" w:rsidP="00D24F05">
            <w:pPr>
              <w:pStyle w:val="BTEMEASMCA"/>
              <w:rPr>
                <w:lang w:val="lt-LT"/>
              </w:rPr>
            </w:pPr>
            <w:r>
              <w:rPr>
                <w:lang w:val="lt-LT"/>
              </w:rPr>
              <w:t xml:space="preserve">el. paštas </w:t>
            </w:r>
            <w:r w:rsidRPr="008332EA">
              <w:rPr>
                <w:lang w:val="lt-LT"/>
              </w:rPr>
              <w:t>stada.baltics@stada.com</w:t>
            </w:r>
          </w:p>
        </w:tc>
      </w:tr>
    </w:tbl>
    <w:p w:rsidR="00CA1670" w:rsidRDefault="00CA1670" w:rsidP="00CA1670">
      <w:pPr>
        <w:spacing w:after="0" w:line="240" w:lineRule="auto"/>
        <w:rPr>
          <w:rFonts w:ascii="Times New Roman" w:hAnsi="Times New Roman"/>
          <w:noProof/>
          <w:lang w:val="nb-NO"/>
        </w:rPr>
      </w:pPr>
    </w:p>
    <w:p w:rsidR="00CA1670" w:rsidRDefault="00CA1670" w:rsidP="00CA1670">
      <w:pPr>
        <w:spacing w:after="0" w:line="240" w:lineRule="auto"/>
        <w:rPr>
          <w:rFonts w:ascii="Times New Roman" w:hAnsi="Times New Roman"/>
          <w:b/>
          <w:lang w:val="lt-LT"/>
        </w:rPr>
      </w:pPr>
      <w:r>
        <w:rPr>
          <w:rFonts w:ascii="Times New Roman" w:hAnsi="Times New Roman"/>
          <w:b/>
          <w:lang w:val="lt-LT"/>
        </w:rPr>
        <w:t>Šis vaistas EEE valstybėse narėse registruotas tokiais pavadinimais:</w:t>
      </w:r>
    </w:p>
    <w:p w:rsidR="00CA1670" w:rsidRDefault="00CA1670" w:rsidP="00CA1670">
      <w:pPr>
        <w:numPr>
          <w:ilvl w:val="12"/>
          <w:numId w:val="0"/>
        </w:numPr>
        <w:spacing w:after="0" w:line="240" w:lineRule="auto"/>
        <w:ind w:right="-2"/>
        <w:rPr>
          <w:rFonts w:ascii="Times New Roman" w:hAnsi="Times New Roman"/>
          <w:lang w:val="lt-LT"/>
        </w:rPr>
      </w:pPr>
    </w:p>
    <w:p w:rsidR="00CA1670" w:rsidRDefault="00CA1670" w:rsidP="00CA1670">
      <w:pPr>
        <w:spacing w:after="0" w:line="240" w:lineRule="auto"/>
        <w:rPr>
          <w:rFonts w:ascii="Times New Roman" w:hAnsi="Times New Roman"/>
          <w:snapToGrid w:val="0"/>
          <w:lang w:val="pt-PT"/>
        </w:rPr>
      </w:pPr>
      <w:r>
        <w:rPr>
          <w:rFonts w:ascii="Times New Roman" w:hAnsi="Times New Roman"/>
          <w:lang w:val="lt-LT"/>
        </w:rPr>
        <w:t xml:space="preserve">Estija - </w:t>
      </w:r>
      <w:r>
        <w:rPr>
          <w:rFonts w:ascii="Times New Roman" w:hAnsi="Times New Roman"/>
          <w:lang w:val="pt-PT"/>
        </w:rPr>
        <w:t xml:space="preserve">DOXALFA </w:t>
      </w:r>
    </w:p>
    <w:p w:rsidR="00CA1670" w:rsidRDefault="00CA1670" w:rsidP="00CA1670">
      <w:pPr>
        <w:tabs>
          <w:tab w:val="left" w:pos="1110"/>
        </w:tabs>
        <w:spacing w:after="0" w:line="240" w:lineRule="auto"/>
        <w:rPr>
          <w:rFonts w:ascii="Times New Roman" w:hAnsi="Times New Roman"/>
          <w:lang w:val="pt-PT"/>
        </w:rPr>
      </w:pPr>
      <w:r>
        <w:rPr>
          <w:rFonts w:ascii="Times New Roman" w:hAnsi="Times New Roman"/>
          <w:lang w:val="pt-PT"/>
        </w:rPr>
        <w:t>Latvija - DOXALFA 4 mg ilgstošās darbības tabletes</w:t>
      </w:r>
    </w:p>
    <w:p w:rsidR="00CA1670" w:rsidRDefault="00CA1670" w:rsidP="00CA1670">
      <w:pPr>
        <w:spacing w:after="0" w:line="240" w:lineRule="auto"/>
        <w:rPr>
          <w:rFonts w:ascii="Times New Roman" w:hAnsi="Times New Roman"/>
          <w:lang w:val="pt-PT"/>
        </w:rPr>
      </w:pPr>
      <w:r>
        <w:rPr>
          <w:rFonts w:ascii="Times New Roman" w:hAnsi="Times New Roman"/>
          <w:lang w:val="pt-PT"/>
        </w:rPr>
        <w:t>Lietuva - DOXALFA 4 mg pailginto atpalaidavimo tabletės</w:t>
      </w:r>
    </w:p>
    <w:p w:rsidR="00CA1670" w:rsidRDefault="00CA1670" w:rsidP="00CA1670">
      <w:pPr>
        <w:spacing w:after="0" w:line="240" w:lineRule="auto"/>
        <w:rPr>
          <w:rFonts w:ascii="Times New Roman" w:hAnsi="Times New Roman"/>
          <w:lang w:val="nb-NO"/>
        </w:rPr>
      </w:pPr>
      <w:r>
        <w:rPr>
          <w:rFonts w:ascii="Times New Roman" w:hAnsi="Times New Roman"/>
          <w:lang w:val="it-IT"/>
        </w:rPr>
        <w:t xml:space="preserve">Nyderlandai - </w:t>
      </w:r>
      <w:r>
        <w:rPr>
          <w:rFonts w:ascii="Times New Roman" w:hAnsi="Times New Roman"/>
          <w:lang w:val="nb-NO"/>
        </w:rPr>
        <w:t>Doxazosine retard CF 4mg, tabletten met gereguleerde afgifte</w:t>
      </w:r>
    </w:p>
    <w:p w:rsidR="00CA1670" w:rsidRDefault="00CA1670" w:rsidP="00CA1670">
      <w:pPr>
        <w:spacing w:after="0" w:line="240" w:lineRule="auto"/>
        <w:rPr>
          <w:rFonts w:ascii="Times New Roman" w:hAnsi="Times New Roman"/>
          <w:lang w:val="nb-NO"/>
        </w:rPr>
      </w:pPr>
      <w:r>
        <w:rPr>
          <w:rFonts w:ascii="Times New Roman" w:hAnsi="Times New Roman"/>
          <w:lang w:val="fr-FR"/>
        </w:rPr>
        <w:t xml:space="preserve">Ispanija - </w:t>
      </w:r>
      <w:r>
        <w:rPr>
          <w:rFonts w:ascii="Times New Roman" w:hAnsi="Times New Roman"/>
          <w:lang w:val="nb-NO"/>
        </w:rPr>
        <w:t>DOXAZOSINA NEO STADA 4 mg comprimidos de liberación prolongada EEG</w:t>
      </w:r>
    </w:p>
    <w:p w:rsidR="00CA1670" w:rsidRDefault="00CA1670" w:rsidP="00CA1670">
      <w:pPr>
        <w:spacing w:after="0" w:line="240" w:lineRule="auto"/>
        <w:rPr>
          <w:rFonts w:ascii="Times New Roman" w:hAnsi="Times New Roman"/>
          <w:lang w:val="nb-NO"/>
        </w:rPr>
      </w:pPr>
      <w:r>
        <w:rPr>
          <w:rFonts w:ascii="Times New Roman" w:hAnsi="Times New Roman"/>
          <w:iCs/>
          <w:lang w:val="lt-LT"/>
        </w:rPr>
        <w:t>Jungtinė Karalystė</w:t>
      </w:r>
      <w:r>
        <w:rPr>
          <w:rFonts w:ascii="Times New Roman" w:hAnsi="Times New Roman"/>
          <w:i/>
          <w:iCs/>
          <w:lang w:val="lt-LT"/>
        </w:rPr>
        <w:t xml:space="preserve"> - </w:t>
      </w:r>
      <w:r>
        <w:rPr>
          <w:rFonts w:ascii="Times New Roman" w:hAnsi="Times New Roman"/>
          <w:lang w:val="nb-NO"/>
        </w:rPr>
        <w:t>Doxadura XL 4 mg</w:t>
      </w:r>
    </w:p>
    <w:p w:rsidR="00CA1670" w:rsidRDefault="00CA1670" w:rsidP="00CA1670">
      <w:pPr>
        <w:numPr>
          <w:ilvl w:val="12"/>
          <w:numId w:val="0"/>
        </w:numPr>
        <w:spacing w:after="0" w:line="240" w:lineRule="auto"/>
        <w:ind w:right="-2"/>
        <w:rPr>
          <w:rFonts w:ascii="Times New Roman" w:hAnsi="Times New Roman"/>
          <w:lang w:val="lt-LT"/>
        </w:rPr>
      </w:pPr>
    </w:p>
    <w:p w:rsidR="00CA1670" w:rsidRDefault="00CA1670" w:rsidP="00CA1670">
      <w:pPr>
        <w:numPr>
          <w:ilvl w:val="12"/>
          <w:numId w:val="0"/>
        </w:numPr>
        <w:spacing w:after="0" w:line="240" w:lineRule="auto"/>
        <w:ind w:right="-2"/>
        <w:rPr>
          <w:rFonts w:ascii="Times New Roman" w:hAnsi="Times New Roman"/>
          <w:lang w:val="lt-LT"/>
        </w:rPr>
      </w:pPr>
    </w:p>
    <w:p w:rsidR="00CA1670" w:rsidRDefault="00CA1670" w:rsidP="00CA1670">
      <w:pPr>
        <w:tabs>
          <w:tab w:val="left" w:pos="567"/>
        </w:tabs>
        <w:rPr>
          <w:rFonts w:ascii="Times New Roman" w:hAnsi="Times New Roman"/>
          <w:lang w:val="lt-LT"/>
        </w:rPr>
      </w:pPr>
      <w:r>
        <w:rPr>
          <w:rFonts w:ascii="Times New Roman" w:hAnsi="Times New Roman"/>
          <w:b/>
          <w:lang w:val="lt-LT"/>
        </w:rPr>
        <w:t>Šis pakuotės lapelis paskutinį kartą peržiūrėtas 2024-11-06.</w:t>
      </w:r>
    </w:p>
    <w:p w:rsidR="00CA1670" w:rsidRDefault="00CA1670" w:rsidP="00CA1670">
      <w:pPr>
        <w:pStyle w:val="BTEMEASMCA"/>
        <w:rPr>
          <w:rStyle w:val="Hipersaitas"/>
          <w:lang w:val="lt-LT"/>
        </w:rPr>
      </w:pPr>
      <w:r>
        <w:rPr>
          <w:lang w:val="lt-LT"/>
        </w:rPr>
        <w:t>Išsami informacija apie šį vaistą pateikiama Valstybinės vaistų kontrolės tarnybos prie Lietuvos Respublikos  sveikatos apsaugos ministerijos tinklalapyje</w:t>
      </w:r>
      <w:r>
        <w:rPr>
          <w:i/>
          <w:lang w:val="lt-LT"/>
        </w:rPr>
        <w:t xml:space="preserve"> </w:t>
      </w:r>
      <w:hyperlink r:id="rId8" w:history="1">
        <w:r>
          <w:rPr>
            <w:rStyle w:val="Hipersaitas"/>
            <w:lang w:val="lt-LT"/>
          </w:rPr>
          <w:t>http://www.vvkt.lt</w:t>
        </w:r>
      </w:hyperlink>
    </w:p>
    <w:p w:rsidR="00CA1670" w:rsidRDefault="00CA1670" w:rsidP="00CA1670">
      <w:pPr>
        <w:pStyle w:val="BTEMEASMCA"/>
        <w:rPr>
          <w:rStyle w:val="Hipersaitas"/>
          <w:lang w:val="lt-LT"/>
        </w:rPr>
      </w:pPr>
    </w:p>
    <w:p w:rsidR="00CA1670" w:rsidRPr="004D343C" w:rsidRDefault="00CA1670" w:rsidP="00CA1670">
      <w:pPr>
        <w:pStyle w:val="BTEMEASMCA"/>
        <w:rPr>
          <w:color w:val="0000FF"/>
          <w:u w:val="single"/>
          <w:lang w:val="lt-LT"/>
        </w:rPr>
      </w:pPr>
    </w:p>
    <w:p w:rsidR="00BA6577" w:rsidRDefault="00BA6577">
      <w:bookmarkStart w:id="0" w:name="_GoBack"/>
      <w:bookmarkEnd w:id="0"/>
    </w:p>
    <w:sectPr w:rsidR="00BA6577" w:rsidSect="00CC1F08">
      <w:footerReference w:type="default" r:id="rId9"/>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4543534"/>
      <w:docPartObj>
        <w:docPartGallery w:val="Page Numbers (Bottom of Page)"/>
        <w:docPartUnique/>
      </w:docPartObj>
    </w:sdtPr>
    <w:sdtEndPr>
      <w:rPr>
        <w:noProof/>
      </w:rPr>
    </w:sdtEndPr>
    <w:sdtContent>
      <w:p w:rsidR="00BC6F49" w:rsidRDefault="00CA1670">
        <w:pPr>
          <w:pStyle w:val="Porat"/>
          <w:jc w:val="center"/>
        </w:pPr>
        <w:r>
          <w:fldChar w:fldCharType="begin"/>
        </w:r>
        <w:r>
          <w:instrText xml:space="preserve"> PAGE   \* MERGEFORMAT </w:instrText>
        </w:r>
        <w:r>
          <w:fldChar w:fldCharType="separate"/>
        </w:r>
        <w:r>
          <w:rPr>
            <w:noProof/>
          </w:rPr>
          <w:t>1</w:t>
        </w:r>
        <w:r>
          <w:rPr>
            <w:noProof/>
          </w:rPr>
          <w:fldChar w:fldCharType="end"/>
        </w:r>
      </w:p>
    </w:sdtContent>
  </w:sdt>
  <w:p w:rsidR="00C1016A" w:rsidRDefault="00CA1670">
    <w:pPr>
      <w:pStyle w:val="Porat"/>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69B2A53"/>
    <w:multiLevelType w:val="multilevel"/>
    <w:tmpl w:val="0409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 w15:restartNumberingAfterBreak="0">
    <w:nsid w:val="186D375B"/>
    <w:multiLevelType w:val="hybridMultilevel"/>
    <w:tmpl w:val="DCB4A908"/>
    <w:lvl w:ilvl="0" w:tplc="04270001">
      <w:start w:val="1"/>
      <w:numFmt w:val="bullet"/>
      <w:lvlText w:val=""/>
      <w:lvlJc w:val="left"/>
      <w:pPr>
        <w:tabs>
          <w:tab w:val="num" w:pos="360"/>
        </w:tabs>
        <w:ind w:left="360" w:hanging="360"/>
      </w:pPr>
      <w:rPr>
        <w:rFonts w:ascii="Symbol" w:hAnsi="Symbol" w:hint="default"/>
      </w:rPr>
    </w:lvl>
    <w:lvl w:ilvl="1" w:tplc="04270003">
      <w:start w:val="1"/>
      <w:numFmt w:val="bullet"/>
      <w:lvlText w:val="o"/>
      <w:lvlJc w:val="left"/>
      <w:pPr>
        <w:tabs>
          <w:tab w:val="num" w:pos="1080"/>
        </w:tabs>
        <w:ind w:left="1080" w:hanging="360"/>
      </w:pPr>
      <w:rPr>
        <w:rFonts w:ascii="Courier New" w:hAnsi="Courier New" w:cs="Times New Roman" w:hint="default"/>
      </w:rPr>
    </w:lvl>
    <w:lvl w:ilvl="2" w:tplc="04270005">
      <w:start w:val="1"/>
      <w:numFmt w:val="bullet"/>
      <w:lvlText w:val=""/>
      <w:lvlJc w:val="left"/>
      <w:pPr>
        <w:tabs>
          <w:tab w:val="num" w:pos="1800"/>
        </w:tabs>
        <w:ind w:left="1800" w:hanging="360"/>
      </w:pPr>
      <w:rPr>
        <w:rFonts w:ascii="Wingdings" w:hAnsi="Wingdings" w:hint="default"/>
      </w:rPr>
    </w:lvl>
    <w:lvl w:ilvl="3" w:tplc="04270001">
      <w:start w:val="1"/>
      <w:numFmt w:val="bullet"/>
      <w:lvlText w:val=""/>
      <w:lvlJc w:val="left"/>
      <w:pPr>
        <w:tabs>
          <w:tab w:val="num" w:pos="2520"/>
        </w:tabs>
        <w:ind w:left="2520" w:hanging="360"/>
      </w:pPr>
      <w:rPr>
        <w:rFonts w:ascii="Symbol" w:hAnsi="Symbol" w:hint="default"/>
      </w:rPr>
    </w:lvl>
    <w:lvl w:ilvl="4" w:tplc="04270003">
      <w:start w:val="1"/>
      <w:numFmt w:val="bullet"/>
      <w:lvlText w:val="o"/>
      <w:lvlJc w:val="left"/>
      <w:pPr>
        <w:tabs>
          <w:tab w:val="num" w:pos="3240"/>
        </w:tabs>
        <w:ind w:left="3240" w:hanging="360"/>
      </w:pPr>
      <w:rPr>
        <w:rFonts w:ascii="Courier New" w:hAnsi="Courier New" w:cs="Times New Roman" w:hint="default"/>
      </w:rPr>
    </w:lvl>
    <w:lvl w:ilvl="5" w:tplc="04270005">
      <w:start w:val="1"/>
      <w:numFmt w:val="bullet"/>
      <w:lvlText w:val=""/>
      <w:lvlJc w:val="left"/>
      <w:pPr>
        <w:tabs>
          <w:tab w:val="num" w:pos="3960"/>
        </w:tabs>
        <w:ind w:left="3960" w:hanging="360"/>
      </w:pPr>
      <w:rPr>
        <w:rFonts w:ascii="Wingdings" w:hAnsi="Wingdings" w:hint="default"/>
      </w:rPr>
    </w:lvl>
    <w:lvl w:ilvl="6" w:tplc="04270001">
      <w:start w:val="1"/>
      <w:numFmt w:val="bullet"/>
      <w:lvlText w:val=""/>
      <w:lvlJc w:val="left"/>
      <w:pPr>
        <w:tabs>
          <w:tab w:val="num" w:pos="4680"/>
        </w:tabs>
        <w:ind w:left="4680" w:hanging="360"/>
      </w:pPr>
      <w:rPr>
        <w:rFonts w:ascii="Symbol" w:hAnsi="Symbol" w:hint="default"/>
      </w:rPr>
    </w:lvl>
    <w:lvl w:ilvl="7" w:tplc="04270003">
      <w:start w:val="1"/>
      <w:numFmt w:val="bullet"/>
      <w:lvlText w:val="o"/>
      <w:lvlJc w:val="left"/>
      <w:pPr>
        <w:tabs>
          <w:tab w:val="num" w:pos="5400"/>
        </w:tabs>
        <w:ind w:left="5400" w:hanging="360"/>
      </w:pPr>
      <w:rPr>
        <w:rFonts w:ascii="Courier New" w:hAnsi="Courier New" w:cs="Times New Roman" w:hint="default"/>
      </w:rPr>
    </w:lvl>
    <w:lvl w:ilvl="8" w:tplc="04270005">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452B5153"/>
    <w:multiLevelType w:val="hybridMultilevel"/>
    <w:tmpl w:val="23AE135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BF67252"/>
    <w:multiLevelType w:val="hybridMultilevel"/>
    <w:tmpl w:val="B0CE5A5E"/>
    <w:lvl w:ilvl="0" w:tplc="360858D0">
      <w:start w:val="1"/>
      <w:numFmt w:val="decimal"/>
      <w:lvlText w:val="%1."/>
      <w:lvlJc w:val="left"/>
      <w:pPr>
        <w:tabs>
          <w:tab w:val="num" w:pos="930"/>
        </w:tabs>
        <w:ind w:left="930" w:hanging="57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0"/>
    <w:lvlOverride w:ilvl="0">
      <w:lvl w:ilvl="0">
        <w:numFmt w:val="bullet"/>
        <w:lvlText w:val="-"/>
        <w:legacy w:legacy="1" w:legacySpace="0" w:legacyIndent="360"/>
        <w:lvlJc w:val="left"/>
        <w:pPr>
          <w:ind w:left="360" w:hanging="360"/>
        </w:pPr>
        <w:rPr>
          <w:rFonts w:cs="Times New Roman"/>
        </w:rPr>
      </w:lvl>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lvl w:ilvl="0">
        <w:numFmt w:val="bullet"/>
        <w:lvlText w:val=""/>
        <w:legacy w:legacy="1" w:legacySpace="0" w:legacyIndent="283"/>
        <w:lvlJc w:val="left"/>
        <w:pPr>
          <w:ind w:left="283" w:hanging="283"/>
        </w:pPr>
        <w:rPr>
          <w:rFonts w:ascii="Symbol" w:hAnsi="Symbol" w:cs="Times New Roman" w:hint="default"/>
        </w:rPr>
      </w:lvl>
    </w:lvlOverride>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1670"/>
    <w:rsid w:val="00072F85"/>
    <w:rsid w:val="000A5E72"/>
    <w:rsid w:val="000A7B60"/>
    <w:rsid w:val="00181364"/>
    <w:rsid w:val="002945D9"/>
    <w:rsid w:val="00305C48"/>
    <w:rsid w:val="003362C6"/>
    <w:rsid w:val="00497D4D"/>
    <w:rsid w:val="00742EBF"/>
    <w:rsid w:val="00B4219F"/>
    <w:rsid w:val="00BA6577"/>
    <w:rsid w:val="00C30905"/>
    <w:rsid w:val="00CA1670"/>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E9E9D84-7091-4B60-8164-D5F1BFE596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A1670"/>
    <w:pPr>
      <w:spacing w:after="200" w:line="276" w:lineRule="auto"/>
    </w:pPr>
    <w:rPr>
      <w:rFonts w:ascii="Calibri" w:eastAsia="Times New Roman" w:hAnsi="Calibri" w:cs="Times New Roman"/>
      <w:lang w:val="en-US"/>
    </w:rPr>
  </w:style>
  <w:style w:type="paragraph" w:styleId="Antrat1">
    <w:name w:val="heading 1"/>
    <w:basedOn w:val="prastasis"/>
    <w:next w:val="prastasis"/>
    <w:link w:val="Antrat1Diagrama"/>
    <w:uiPriority w:val="99"/>
    <w:qFormat/>
    <w:rsid w:val="00CA1670"/>
    <w:pPr>
      <w:keepNext/>
      <w:spacing w:after="0" w:line="240" w:lineRule="auto"/>
      <w:outlineLvl w:val="0"/>
    </w:pPr>
    <w:rPr>
      <w:rFonts w:ascii="Times New Roman" w:hAnsi="Times New Roman"/>
      <w:sz w:val="24"/>
      <w:szCs w:val="20"/>
      <w:u w:val="single"/>
      <w:lang w:val="en-GB" w:eastAsia="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CA1670"/>
    <w:rPr>
      <w:rFonts w:ascii="Times New Roman" w:eastAsia="Times New Roman" w:hAnsi="Times New Roman" w:cs="Times New Roman"/>
      <w:sz w:val="24"/>
      <w:szCs w:val="20"/>
      <w:u w:val="single"/>
      <w:lang w:val="en-GB" w:eastAsia="en-GB"/>
    </w:rPr>
  </w:style>
  <w:style w:type="character" w:styleId="Hipersaitas">
    <w:name w:val="Hyperlink"/>
    <w:uiPriority w:val="99"/>
    <w:unhideWhenUsed/>
    <w:rsid w:val="00CA1670"/>
    <w:rPr>
      <w:rFonts w:ascii="Times New Roman" w:hAnsi="Times New Roman" w:cs="Times New Roman" w:hint="default"/>
      <w:color w:val="0000FF"/>
      <w:u w:val="single"/>
    </w:rPr>
  </w:style>
  <w:style w:type="character" w:customStyle="1" w:styleId="PoratDiagrama">
    <w:name w:val="Poraštė Diagrama"/>
    <w:basedOn w:val="Numatytasispastraiposriftas"/>
    <w:link w:val="Porat"/>
    <w:uiPriority w:val="99"/>
    <w:rsid w:val="00CA1670"/>
    <w:rPr>
      <w:rFonts w:ascii="Times New Roman" w:eastAsia="Times New Roman" w:hAnsi="Times New Roman" w:cs="Times New Roman"/>
      <w:sz w:val="20"/>
      <w:szCs w:val="20"/>
      <w:lang w:val="en-GB" w:eastAsia="en-GB"/>
    </w:rPr>
  </w:style>
  <w:style w:type="paragraph" w:styleId="Porat">
    <w:name w:val="footer"/>
    <w:basedOn w:val="prastasis"/>
    <w:link w:val="PoratDiagrama"/>
    <w:uiPriority w:val="99"/>
    <w:unhideWhenUsed/>
    <w:rsid w:val="00CA1670"/>
    <w:pPr>
      <w:tabs>
        <w:tab w:val="center" w:pos="4153"/>
        <w:tab w:val="right" w:pos="8306"/>
      </w:tabs>
      <w:spacing w:after="0" w:line="240" w:lineRule="auto"/>
    </w:pPr>
    <w:rPr>
      <w:rFonts w:ascii="Times New Roman" w:hAnsi="Times New Roman"/>
      <w:sz w:val="20"/>
      <w:szCs w:val="20"/>
      <w:lang w:val="en-GB" w:eastAsia="en-GB"/>
    </w:rPr>
  </w:style>
  <w:style w:type="character" w:customStyle="1" w:styleId="PoratDiagrama1">
    <w:name w:val="Poraštė Diagrama1"/>
    <w:basedOn w:val="Numatytasispastraiposriftas"/>
    <w:uiPriority w:val="99"/>
    <w:semiHidden/>
    <w:rsid w:val="00CA1670"/>
    <w:rPr>
      <w:rFonts w:ascii="Calibri" w:eastAsia="Times New Roman" w:hAnsi="Calibri" w:cs="Times New Roman"/>
      <w:lang w:val="en-US"/>
    </w:rPr>
  </w:style>
  <w:style w:type="paragraph" w:styleId="Pagrindinistekstas">
    <w:name w:val="Body Text"/>
    <w:basedOn w:val="prastasis"/>
    <w:link w:val="PagrindinistekstasDiagrama"/>
    <w:uiPriority w:val="99"/>
    <w:unhideWhenUsed/>
    <w:rsid w:val="00CA1670"/>
    <w:pPr>
      <w:spacing w:after="0" w:line="240" w:lineRule="auto"/>
    </w:pPr>
    <w:rPr>
      <w:rFonts w:ascii="Times New Roman" w:hAnsi="Times New Roman"/>
      <w:sz w:val="24"/>
      <w:szCs w:val="20"/>
      <w:lang w:val="en-GB" w:eastAsia="en-GB"/>
    </w:rPr>
  </w:style>
  <w:style w:type="character" w:customStyle="1" w:styleId="PagrindinistekstasDiagrama">
    <w:name w:val="Pagrindinis tekstas Diagrama"/>
    <w:basedOn w:val="Numatytasispastraiposriftas"/>
    <w:link w:val="Pagrindinistekstas"/>
    <w:uiPriority w:val="99"/>
    <w:rsid w:val="00CA1670"/>
    <w:rPr>
      <w:rFonts w:ascii="Times New Roman" w:eastAsia="Times New Roman" w:hAnsi="Times New Roman" w:cs="Times New Roman"/>
      <w:sz w:val="24"/>
      <w:szCs w:val="20"/>
      <w:lang w:val="en-GB" w:eastAsia="en-GB"/>
    </w:rPr>
  </w:style>
  <w:style w:type="paragraph" w:styleId="Paantrat">
    <w:name w:val="Subtitle"/>
    <w:basedOn w:val="prastasis"/>
    <w:link w:val="PaantratDiagrama"/>
    <w:uiPriority w:val="99"/>
    <w:qFormat/>
    <w:rsid w:val="00CA1670"/>
    <w:pPr>
      <w:spacing w:after="0" w:line="240" w:lineRule="auto"/>
      <w:jc w:val="center"/>
    </w:pPr>
    <w:rPr>
      <w:rFonts w:ascii="Times New Roman" w:hAnsi="Times New Roman"/>
      <w:b/>
      <w:sz w:val="28"/>
      <w:szCs w:val="20"/>
      <w:lang w:val="en-GB" w:eastAsia="x-none"/>
    </w:rPr>
  </w:style>
  <w:style w:type="character" w:customStyle="1" w:styleId="PaantratDiagrama">
    <w:name w:val="Paantraštė Diagrama"/>
    <w:basedOn w:val="Numatytasispastraiposriftas"/>
    <w:link w:val="Paantrat"/>
    <w:uiPriority w:val="99"/>
    <w:rsid w:val="00CA1670"/>
    <w:rPr>
      <w:rFonts w:ascii="Times New Roman" w:eastAsia="Times New Roman" w:hAnsi="Times New Roman" w:cs="Times New Roman"/>
      <w:b/>
      <w:sz w:val="28"/>
      <w:szCs w:val="20"/>
      <w:lang w:val="en-GB" w:eastAsia="x-none"/>
    </w:rPr>
  </w:style>
  <w:style w:type="paragraph" w:styleId="Pagrindiniotekstotrauka2">
    <w:name w:val="Body Text Indent 2"/>
    <w:basedOn w:val="prastasis"/>
    <w:link w:val="Pagrindiniotekstotrauka2Diagrama"/>
    <w:uiPriority w:val="99"/>
    <w:unhideWhenUsed/>
    <w:rsid w:val="00CA1670"/>
    <w:pPr>
      <w:spacing w:after="0" w:line="240" w:lineRule="auto"/>
      <w:ind w:left="357"/>
    </w:pPr>
    <w:rPr>
      <w:rFonts w:ascii="Times New Roman" w:hAnsi="Times New Roman"/>
      <w:sz w:val="24"/>
      <w:szCs w:val="20"/>
      <w:lang w:val="en-GB" w:eastAsia="en-GB"/>
    </w:rPr>
  </w:style>
  <w:style w:type="character" w:customStyle="1" w:styleId="Pagrindiniotekstotrauka2Diagrama">
    <w:name w:val="Pagrindinio teksto įtrauka 2 Diagrama"/>
    <w:basedOn w:val="Numatytasispastraiposriftas"/>
    <w:link w:val="Pagrindiniotekstotrauka2"/>
    <w:uiPriority w:val="99"/>
    <w:rsid w:val="00CA1670"/>
    <w:rPr>
      <w:rFonts w:ascii="Times New Roman" w:eastAsia="Times New Roman" w:hAnsi="Times New Roman" w:cs="Times New Roman"/>
      <w:sz w:val="24"/>
      <w:szCs w:val="20"/>
      <w:lang w:val="en-GB" w:eastAsia="en-GB"/>
    </w:rPr>
  </w:style>
  <w:style w:type="paragraph" w:styleId="Sraopastraipa">
    <w:name w:val="List Paragraph"/>
    <w:basedOn w:val="prastasis"/>
    <w:uiPriority w:val="34"/>
    <w:qFormat/>
    <w:rsid w:val="00CA1670"/>
    <w:pPr>
      <w:ind w:left="720"/>
      <w:contextualSpacing/>
    </w:pPr>
  </w:style>
  <w:style w:type="paragraph" w:customStyle="1" w:styleId="Paragraf6">
    <w:name w:val="Paragraf 6"/>
    <w:basedOn w:val="prastasis"/>
    <w:uiPriority w:val="99"/>
    <w:rsid w:val="00CA1670"/>
    <w:pPr>
      <w:spacing w:before="120" w:after="0" w:line="360" w:lineRule="atLeast"/>
      <w:jc w:val="both"/>
    </w:pPr>
    <w:rPr>
      <w:rFonts w:ascii="Arial" w:hAnsi="Arial"/>
      <w:sz w:val="24"/>
      <w:szCs w:val="20"/>
      <w:lang w:val="en-GB"/>
    </w:rPr>
  </w:style>
  <w:style w:type="character" w:customStyle="1" w:styleId="BTEMEASMCAChar">
    <w:name w:val="BT EMEA_SMCA Char"/>
    <w:link w:val="BTEMEASMCA"/>
    <w:uiPriority w:val="99"/>
    <w:locked/>
    <w:rsid w:val="00CA1670"/>
    <w:rPr>
      <w:rFonts w:ascii="Times New Roman" w:eastAsia="Times New Roman" w:hAnsi="Times New Roman" w:cs="Times New Roman"/>
      <w:lang w:val="x-none" w:eastAsia="x-none"/>
    </w:rPr>
  </w:style>
  <w:style w:type="paragraph" w:customStyle="1" w:styleId="BTEMEASMCA">
    <w:name w:val="BT EMEA_SMCA"/>
    <w:basedOn w:val="prastasis"/>
    <w:link w:val="BTEMEASMCAChar"/>
    <w:autoRedefine/>
    <w:uiPriority w:val="99"/>
    <w:rsid w:val="00CA1670"/>
    <w:pPr>
      <w:tabs>
        <w:tab w:val="left" w:pos="540"/>
      </w:tabs>
      <w:spacing w:after="0" w:line="240" w:lineRule="auto"/>
    </w:pPr>
    <w:rPr>
      <w:rFonts w:ascii="Times New Roman" w:hAnsi="Times New Roman"/>
      <w:lang w:val="x-none" w:eastAsia="x-none"/>
    </w:rPr>
  </w:style>
  <w:style w:type="paragraph" w:customStyle="1" w:styleId="BTbEMEASMCA">
    <w:name w:val="BT(b) EMEA_SMCA"/>
    <w:basedOn w:val="BTEMEASMCA"/>
    <w:autoRedefine/>
    <w:uiPriority w:val="99"/>
    <w:rsid w:val="00CA167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theme" Target="theme/theme1.xml"/><Relationship Id="rId5" Type="http://schemas.openxmlformats.org/officeDocument/2006/relationships/hyperlink" Target="http://www.vvkt.lt"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9618</Words>
  <Characters>5483</Characters>
  <Application>Microsoft Office Word</Application>
  <DocSecurity>0</DocSecurity>
  <Lines>45</Lines>
  <Paragraphs>30</Paragraphs>
  <ScaleCrop>false</ScaleCrop>
  <HeadingPairs>
    <vt:vector size="4" baseType="variant">
      <vt:variant>
        <vt:lpstr>Pavadinimas</vt:lpstr>
      </vt:variant>
      <vt:variant>
        <vt:i4>1</vt:i4>
      </vt:variant>
      <vt:variant>
        <vt:lpstr>Antraštės</vt:lpstr>
      </vt:variant>
      <vt:variant>
        <vt:i4>2</vt:i4>
      </vt:variant>
    </vt:vector>
  </HeadingPairs>
  <TitlesOfParts>
    <vt:vector size="3" baseType="lpstr">
      <vt:lpstr/>
      <vt:lpstr>Pakuotės lapelis: informacija vartotojui</vt:lpstr>
      <vt:lpstr/>
    </vt:vector>
  </TitlesOfParts>
  <Company/>
  <LinksUpToDate>false</LinksUpToDate>
  <CharactersWithSpaces>15071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2024-11-20T08:16:00Z</dcterms:created>
  <dcterms:modified xsi:type="dcterms:W3CDTF">2024-11-20T08:16:00Z</dcterms:modified>
</cp:coreProperties>
</file>