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18E9" w:rsidRDefault="003F18E9" w:rsidP="003F18E9">
      <w:pPr>
        <w:pStyle w:val="PI-1EMEASMCA"/>
        <w:jc w:val="center"/>
      </w:pPr>
      <w:r>
        <w:t>Pakuotės lapelis: informacija vartotojui</w:t>
      </w:r>
    </w:p>
    <w:p w:rsidR="003F18E9" w:rsidRDefault="003F18E9" w:rsidP="003F18E9">
      <w:pPr>
        <w:pStyle w:val="BTEMEASMCA"/>
      </w:pPr>
    </w:p>
    <w:p w:rsidR="003F18E9" w:rsidRDefault="003F18E9" w:rsidP="003F18E9">
      <w:pPr>
        <w:pStyle w:val="BTbeEMEASMCA"/>
      </w:pPr>
      <w:r>
        <w:t>Ketesse 25 mg plėvele dengtos tabletės</w:t>
      </w:r>
    </w:p>
    <w:p w:rsidR="003F18E9" w:rsidRDefault="003F18E9" w:rsidP="003F18E9">
      <w:pPr>
        <w:pStyle w:val="BTEMEASMCA"/>
        <w:jc w:val="center"/>
      </w:pPr>
      <w:r>
        <w:t>Deksketoprofenas</w:t>
      </w:r>
    </w:p>
    <w:p w:rsidR="003F18E9" w:rsidRDefault="003F18E9" w:rsidP="003F18E9">
      <w:pPr>
        <w:pStyle w:val="BTEMEASMCA"/>
      </w:pPr>
    </w:p>
    <w:p w:rsidR="003F18E9" w:rsidRDefault="003F18E9" w:rsidP="003F18E9">
      <w:pPr>
        <w:pStyle w:val="BTbEMEASMCA"/>
      </w:pPr>
      <w:r>
        <w:t>Atidžiai perskaitykite visą šį lapelį, prieš pradėdami vartoti vaistą, nes jame pateikiama Jums svarbi informacija.</w:t>
      </w:r>
    </w:p>
    <w:p w:rsidR="003F18E9" w:rsidRDefault="003F18E9" w:rsidP="003F18E9">
      <w:pPr>
        <w:pStyle w:val="BT-EMEASMCA"/>
      </w:pPr>
      <w:r>
        <w:t>-        Neišmeskite šio lapelio, nes vėl gali prireikti jį perskaityti.</w:t>
      </w:r>
    </w:p>
    <w:p w:rsidR="003F18E9" w:rsidRDefault="003F18E9" w:rsidP="003F18E9">
      <w:pPr>
        <w:pStyle w:val="BT-EMEASMCA"/>
      </w:pPr>
      <w:r>
        <w:t>-        Jeigu kiltų daugiau klausimų, kreipkitės į gydytoją arba vaistininką.</w:t>
      </w:r>
    </w:p>
    <w:p w:rsidR="003F18E9" w:rsidRDefault="003F18E9" w:rsidP="003F18E9">
      <w:pPr>
        <w:pStyle w:val="BT-EMEASMCA"/>
      </w:pPr>
      <w:r>
        <w:t>-        Šis vaistas skirtas tik Jums, todėl kitiems žmonėms jo duoti negalima. Vaistas gali jiems pakenkti (net tiems, kurių ligos simptomai yra tokie patys kaip Jūsų).</w:t>
      </w:r>
    </w:p>
    <w:p w:rsidR="003F18E9" w:rsidRDefault="003F18E9" w:rsidP="003F18E9">
      <w:pPr>
        <w:pStyle w:val="BT-EMEASMCA"/>
      </w:pPr>
      <w:r>
        <w:t>-        Jeigu pasireiškė sunkus šalutinis poveikis (net jeigu jis šiame lapelyje nenurodytas), kreipkitės į gydytoją arba vaistininką. Žr. 4 skyrių.</w:t>
      </w:r>
    </w:p>
    <w:p w:rsidR="003F18E9" w:rsidRDefault="003F18E9" w:rsidP="003F18E9">
      <w:pPr>
        <w:pStyle w:val="BTEMEASMCA"/>
      </w:pPr>
    </w:p>
    <w:p w:rsidR="003F18E9" w:rsidRDefault="003F18E9" w:rsidP="003F18E9">
      <w:pPr>
        <w:pStyle w:val="BTbEMEASMCA"/>
      </w:pPr>
      <w:r>
        <w:t>Apie ką rašoma šiame lapelyje?</w:t>
      </w:r>
    </w:p>
    <w:p w:rsidR="003F18E9" w:rsidRDefault="003F18E9" w:rsidP="003F18E9">
      <w:pPr>
        <w:pStyle w:val="BTbEMEASMCA"/>
      </w:pPr>
    </w:p>
    <w:p w:rsidR="003F18E9" w:rsidRDefault="003F18E9" w:rsidP="003F18E9">
      <w:pPr>
        <w:pStyle w:val="BTEMEASMCA"/>
      </w:pPr>
      <w:r>
        <w:t>1.</w:t>
      </w:r>
      <w:r>
        <w:tab/>
        <w:t>Kas yra Ketesse ir kam jis vartojamas</w:t>
      </w:r>
    </w:p>
    <w:p w:rsidR="003F18E9" w:rsidRDefault="003F18E9" w:rsidP="003F18E9">
      <w:pPr>
        <w:pStyle w:val="BTEMEASMCA"/>
      </w:pPr>
      <w:r>
        <w:t>2.</w:t>
      </w:r>
      <w:r>
        <w:tab/>
        <w:t xml:space="preserve">Kas žinotina prieš vartojant Ketesse </w:t>
      </w:r>
    </w:p>
    <w:p w:rsidR="003F18E9" w:rsidRDefault="003F18E9" w:rsidP="003F18E9">
      <w:pPr>
        <w:pStyle w:val="BTEMEASMCA"/>
      </w:pPr>
      <w:r>
        <w:t>3.</w:t>
      </w:r>
      <w:r>
        <w:tab/>
        <w:t>Kaip vartoti Ketesse</w:t>
      </w:r>
    </w:p>
    <w:p w:rsidR="003F18E9" w:rsidRDefault="003F18E9" w:rsidP="003F18E9">
      <w:pPr>
        <w:pStyle w:val="BTEMEASMCA"/>
      </w:pPr>
      <w:r>
        <w:t>4.</w:t>
      </w:r>
      <w:r>
        <w:tab/>
        <w:t>Galimas šalutinis poveikis</w:t>
      </w:r>
    </w:p>
    <w:p w:rsidR="003F18E9" w:rsidRDefault="003F18E9" w:rsidP="003F18E9">
      <w:pPr>
        <w:pStyle w:val="BTEMEASMCA"/>
      </w:pPr>
      <w:r>
        <w:t>5.</w:t>
      </w:r>
      <w:r>
        <w:tab/>
        <w:t>Kaip laikyti Ketesse</w:t>
      </w:r>
    </w:p>
    <w:p w:rsidR="003F18E9" w:rsidRDefault="003F18E9" w:rsidP="003F18E9">
      <w:pPr>
        <w:pStyle w:val="BTEMEASMCA"/>
      </w:pPr>
      <w:r>
        <w:t>6.</w:t>
      </w:r>
      <w:r>
        <w:tab/>
        <w:t>Pakuotės turinys ir kita informacija</w:t>
      </w:r>
    </w:p>
    <w:p w:rsidR="003F18E9" w:rsidRDefault="003F18E9" w:rsidP="003F18E9">
      <w:pPr>
        <w:pStyle w:val="BTEMEASMCA"/>
      </w:pPr>
    </w:p>
    <w:p w:rsidR="003F18E9" w:rsidRDefault="003F18E9" w:rsidP="003F18E9">
      <w:pPr>
        <w:pStyle w:val="BTEMEASMCA"/>
      </w:pPr>
    </w:p>
    <w:p w:rsidR="003F18E9" w:rsidRDefault="003F18E9" w:rsidP="003F18E9">
      <w:pPr>
        <w:pStyle w:val="PI-1EMEASMCA"/>
      </w:pPr>
      <w:bookmarkStart w:id="0" w:name="_Toc129243139"/>
      <w:bookmarkStart w:id="1" w:name="_Toc129243264"/>
      <w:r>
        <w:t>1.</w:t>
      </w:r>
      <w:r>
        <w:tab/>
        <w:t xml:space="preserve">Kas yra </w:t>
      </w:r>
      <w:proofErr w:type="spellStart"/>
      <w:r>
        <w:t>Ketesse</w:t>
      </w:r>
      <w:proofErr w:type="spellEnd"/>
      <w:r>
        <w:t xml:space="preserve"> ir kam jis vartojamas</w:t>
      </w:r>
    </w:p>
    <w:bookmarkEnd w:id="0"/>
    <w:bookmarkEnd w:id="1"/>
    <w:p w:rsidR="003F18E9" w:rsidRDefault="003F18E9" w:rsidP="003F18E9">
      <w:pPr>
        <w:pStyle w:val="BTEMEASMCA"/>
      </w:pPr>
    </w:p>
    <w:p w:rsidR="003F18E9" w:rsidRDefault="003F18E9" w:rsidP="003F18E9">
      <w:pPr>
        <w:pStyle w:val="BTEMEASMCA"/>
      </w:pPr>
      <w:r>
        <w:t>Ketesse yra vaistas skausmui malšinti, priklausantis vadinamųjų nesteroidinių vaistų nuo uždegimo grupei (NVNU).</w:t>
      </w:r>
    </w:p>
    <w:p w:rsidR="003F18E9" w:rsidRDefault="003F18E9" w:rsidP="003F18E9">
      <w:pPr>
        <w:pStyle w:val="BTEMEASMCA"/>
      </w:pPr>
      <w:r>
        <w:t>Ketesse vartojamas lengvo ir vidutinio stiprumo raumenų skausmui, skausmingų mėnesinių (dismenorėjos), dantų skausmui malšinti.</w:t>
      </w:r>
    </w:p>
    <w:p w:rsidR="003F18E9" w:rsidRDefault="003F18E9" w:rsidP="003F18E9">
      <w:pPr>
        <w:pStyle w:val="BTEMEASMCA"/>
      </w:pPr>
    </w:p>
    <w:p w:rsidR="003F18E9" w:rsidRDefault="003F18E9" w:rsidP="003F18E9">
      <w:pPr>
        <w:pStyle w:val="BTEMEASMCA"/>
      </w:pPr>
    </w:p>
    <w:p w:rsidR="003F18E9" w:rsidRDefault="003F18E9" w:rsidP="003F18E9">
      <w:pPr>
        <w:pStyle w:val="PI-1EMEASMCA"/>
      </w:pPr>
      <w:bookmarkStart w:id="2" w:name="_Toc129243140"/>
      <w:bookmarkStart w:id="3" w:name="_Toc129243265"/>
      <w:r>
        <w:t>2.</w:t>
      </w:r>
      <w:r>
        <w:tab/>
        <w:t xml:space="preserve">Kas žinotina prieš vartojant </w:t>
      </w:r>
      <w:proofErr w:type="spellStart"/>
      <w:r>
        <w:t>Ketesse</w:t>
      </w:r>
      <w:bookmarkEnd w:id="2"/>
      <w:bookmarkEnd w:id="3"/>
      <w:proofErr w:type="spellEnd"/>
    </w:p>
    <w:p w:rsidR="003F18E9" w:rsidRDefault="003F18E9" w:rsidP="003F18E9">
      <w:pPr>
        <w:pStyle w:val="BTEMEASMCA"/>
      </w:pPr>
    </w:p>
    <w:p w:rsidR="003F18E9" w:rsidRDefault="003F18E9" w:rsidP="003F18E9">
      <w:pPr>
        <w:pStyle w:val="PI-3EMEASMCA"/>
      </w:pPr>
      <w:proofErr w:type="spellStart"/>
      <w:r>
        <w:t>Ketesse</w:t>
      </w:r>
      <w:proofErr w:type="spellEnd"/>
      <w:r>
        <w:t xml:space="preserve"> vartoti </w:t>
      </w:r>
      <w:r w:rsidRPr="005D554B">
        <w:rPr>
          <w:snapToGrid w:val="0"/>
          <w:lang w:eastAsia="x-none"/>
        </w:rPr>
        <w:t>draudžiama</w:t>
      </w:r>
      <w:r>
        <w:t>:</w:t>
      </w:r>
    </w:p>
    <w:p w:rsidR="003F18E9" w:rsidRDefault="003F18E9" w:rsidP="003F18E9">
      <w:pPr>
        <w:pStyle w:val="BT-EMEASMCA"/>
      </w:pPr>
      <w:r>
        <w:t>-        jeigu yra alergija deksketoprofenui arba bet kuriai pagalbinei šio vaisto medžiagai (jos išvardytos 6 skyriuje);</w:t>
      </w:r>
    </w:p>
    <w:p w:rsidR="003F18E9" w:rsidRDefault="003F18E9" w:rsidP="003F18E9">
      <w:pPr>
        <w:pStyle w:val="BT-EMEASMCA"/>
      </w:pPr>
      <w:r>
        <w:t>-        jeigu esate alergiškas acetilsalicilo rūgščiai ar kitiems nesteroidiniams vaistams nuo uždegimo;</w:t>
      </w:r>
    </w:p>
    <w:p w:rsidR="003F18E9" w:rsidRDefault="003F18E9" w:rsidP="003F18E9">
      <w:pPr>
        <w:pStyle w:val="BT-EMEASMCA"/>
      </w:pPr>
      <w:r>
        <w:t>-       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bėrimas), angioneurozine edema (veido, akių, lūpų arba liežuvio patinimas, arba kvėpavimo sutrikimas) arba atsiranda švokštimas krūtinėje;</w:t>
      </w:r>
    </w:p>
    <w:p w:rsidR="003F18E9" w:rsidRDefault="003F18E9" w:rsidP="003F18E9">
      <w:pPr>
        <w:pStyle w:val="BT-EMEASMCA"/>
      </w:pPr>
      <w:r>
        <w:t>- j</w:t>
      </w:r>
      <w:r w:rsidRPr="00DB3BB0">
        <w:t>eigu vartojant ketoprofeną (nesteroidinį vaistą nuo uždegimo) arba fibratus (vaistus, mažinančius riebalų kiekį kraujyje) jums pasireišk</w:t>
      </w:r>
      <w:r>
        <w:t>ė</w:t>
      </w:r>
      <w:r w:rsidRPr="00DB3BB0">
        <w:t xml:space="preserve"> alerginės arba toksinės reakcijos šviesos poveikyje (ypač parausta ir (arba) susidaro pūslės odos paviršiuje saulės poveikyje)</w:t>
      </w:r>
      <w:r>
        <w:t>;</w:t>
      </w:r>
    </w:p>
    <w:p w:rsidR="003F18E9" w:rsidRDefault="003F18E9" w:rsidP="003F18E9">
      <w:pPr>
        <w:pStyle w:val="BT-EMEASMCA"/>
      </w:pPr>
      <w:r>
        <w:t>-        jeigu sergate pepsine opa, yra kraujavimas iš skrandžio ar žarnyno, arba praeityje yra buvęs kraujavimas iš skrandžio ar žarnyno, išopėjimas ar perforacija;</w:t>
      </w:r>
    </w:p>
    <w:p w:rsidR="003F18E9" w:rsidRDefault="003F18E9" w:rsidP="003F18E9">
      <w:pPr>
        <w:pStyle w:val="BT-EMEASMCA"/>
      </w:pPr>
      <w:r>
        <w:t>- jei yra nustatyta lėtinių virškinimo sutrikimų (sutrikęs virškinimas, rėmuo);</w:t>
      </w:r>
    </w:p>
    <w:p w:rsidR="003F18E9" w:rsidRDefault="003F18E9" w:rsidP="003F18E9">
      <w:pPr>
        <w:pStyle w:val="BT-EMEASMCA"/>
      </w:pPr>
      <w:r>
        <w:t>-       jeigu anksčiau vartojant nesteroidinius vaistus nuo uždegimo skausmui malšinti buvo kraujavimas iš virškinimo trakto arba perforacija;</w:t>
      </w:r>
    </w:p>
    <w:p w:rsidR="003F18E9" w:rsidRDefault="003F18E9" w:rsidP="003F18E9">
      <w:pPr>
        <w:pStyle w:val="BT-EMEASMCA"/>
      </w:pPr>
      <w:r>
        <w:t>-       jeigu sergate lėtinėmis virškinimo trakto ligomis (Krono liga ar opiniu kolitu);</w:t>
      </w:r>
    </w:p>
    <w:p w:rsidR="003F18E9" w:rsidRDefault="003F18E9" w:rsidP="003F18E9">
      <w:pPr>
        <w:pStyle w:val="BT-EMEASMCA"/>
      </w:pPr>
      <w:r>
        <w:t>-       jeigu nustatytas sunkus širdies nepakankamumas, vidutinio sunkumo arba sunkus inkstų funkcijos, sunkus kepenų veiklos sutrikimas;</w:t>
      </w:r>
    </w:p>
    <w:p w:rsidR="003F18E9" w:rsidRDefault="003F18E9" w:rsidP="003F18E9">
      <w:pPr>
        <w:pStyle w:val="BT-EMEASMCA"/>
      </w:pPr>
      <w:r>
        <w:t>-        jeigu yra nustatytas polinkis kraujuoti ar kraujo krešumo sutrikimas;</w:t>
      </w:r>
    </w:p>
    <w:p w:rsidR="003F18E9" w:rsidRDefault="003F18E9" w:rsidP="003F18E9">
      <w:pPr>
        <w:pStyle w:val="BT-EMEASMCA"/>
      </w:pPr>
      <w:r>
        <w:t>- jei yra ūmi dehidratacija (praradote daug kūno skysčiu) dėl vėmimo, viduriavimo ar nepakankamo skysčių suvartojimo;</w:t>
      </w:r>
    </w:p>
    <w:p w:rsidR="003F18E9" w:rsidRDefault="003F18E9" w:rsidP="003F18E9">
      <w:pPr>
        <w:pStyle w:val="BT-EMEASMCA"/>
      </w:pPr>
      <w:r>
        <w:lastRenderedPageBreak/>
        <w:t>-        jeigu esate nėščia trečią trimestrą arba žindote kūdikį.</w:t>
      </w:r>
    </w:p>
    <w:p w:rsidR="003F18E9" w:rsidRDefault="003F18E9" w:rsidP="003F18E9">
      <w:pPr>
        <w:pStyle w:val="BTEMEASMCA"/>
      </w:pPr>
    </w:p>
    <w:p w:rsidR="003F18E9" w:rsidRDefault="003F18E9" w:rsidP="003F18E9">
      <w:pPr>
        <w:pStyle w:val="PI-3EMEASMCA"/>
      </w:pPr>
      <w:r>
        <w:t>Įspėjimai ir atsargumo priemonės</w:t>
      </w:r>
    </w:p>
    <w:p w:rsidR="003F18E9" w:rsidRPr="00F713C5" w:rsidRDefault="003F18E9" w:rsidP="003F18E9">
      <w:pPr>
        <w:pStyle w:val="PI-3EMEASMCA"/>
        <w:rPr>
          <w:b w:val="0"/>
        </w:rPr>
      </w:pPr>
      <w:r>
        <w:rPr>
          <w:b w:val="0"/>
        </w:rPr>
        <w:t xml:space="preserve">Pasitarkite su gydytoju arba vaistininku, prieš pradėdami vartoti </w:t>
      </w:r>
      <w:proofErr w:type="spellStart"/>
      <w:r>
        <w:rPr>
          <w:b w:val="0"/>
        </w:rPr>
        <w:t>Ketesse</w:t>
      </w:r>
      <w:proofErr w:type="spellEnd"/>
      <w:r>
        <w:rPr>
          <w:b w:val="0"/>
        </w:rPr>
        <w:t>:</w:t>
      </w:r>
    </w:p>
    <w:p w:rsidR="003F18E9" w:rsidRDefault="003F18E9" w:rsidP="003F18E9">
      <w:pPr>
        <w:pStyle w:val="BT-EMEASMCA"/>
      </w:pPr>
      <w:r>
        <w:t>-        jeigu sergate ar sirgote alerginėmis ligomis;</w:t>
      </w:r>
    </w:p>
    <w:p w:rsidR="003F18E9" w:rsidRDefault="003F18E9" w:rsidP="003F18E9">
      <w:pPr>
        <w:pStyle w:val="BT-EMEASMCA"/>
      </w:pPr>
      <w:r>
        <w:t xml:space="preserve">-        jeigu sergate arba sirgote inkstų, kepenų ar širdies ligomis (hipertenzija ir (arba) širdies </w:t>
      </w:r>
    </w:p>
    <w:p w:rsidR="003F18E9" w:rsidRDefault="003F18E9" w:rsidP="003F18E9">
      <w:pPr>
        <w:pStyle w:val="BT-EMEASMCA"/>
      </w:pPr>
      <w:r>
        <w:t>nepakankamumu), arba esti kitų aplinkybių, dėl kurių gali sutrikti skysčių išsiskyrimas;</w:t>
      </w:r>
    </w:p>
    <w:p w:rsidR="003F18E9" w:rsidRDefault="003F18E9" w:rsidP="003F18E9">
      <w:pPr>
        <w:pStyle w:val="BT-EMEASMCA"/>
      </w:pPr>
      <w:r>
        <w:t>-        jeigu vartojate šlapimo išsiskyrimą skatinančius vaistus (diuretikus) arba dėl gausaus skysčių netekimo (pvz., dėl gausaus šlapinimosi, viduriavimo arba vėmimo) organizme nepakanka skysčių, sumažėjęs kraujo tūris;</w:t>
      </w:r>
    </w:p>
    <w:p w:rsidR="003F18E9" w:rsidRDefault="003F18E9" w:rsidP="003F18E9">
      <w:pPr>
        <w:pStyle w:val="BTEMEASMCA"/>
      </w:pPr>
      <w:r>
        <w:t>-        jeigu jūsų širdies veikla yra sutrikusi, patyrėte insultą arba galvojate, kad Jums galėtų grėsti šios būklės (pavyzdžiui, jūsų kraujospūdis yra padidėjęs, sergate diabetu, padidėjęs cholesterolio kiekis arba rūkote), turite aptarti gydymą su savo gydytoju arba vaistininku; tokie vaistai kaip Ketesse gali būti susiję su nedideliu širdies priepuolio (miokardo infarkto) ar insulto rizikos padidėjimu. Rizika padidėja, kai vaisto vartojamos dozės didelės arba vartojama ilgai. Neviršykite rekomenduotos dozės ar gydymo laiko;</w:t>
      </w:r>
    </w:p>
    <w:p w:rsidR="003F18E9" w:rsidRDefault="003F18E9" w:rsidP="003F18E9">
      <w:pPr>
        <w:pStyle w:val="BT-EMEASMCA"/>
      </w:pPr>
      <w:r>
        <w:t>-        jeigu esate senyvo amžiaus jums gali dažniau pasitaikyti šalutinis poveikis (žr. 4 skyrių). Jei atsiranda tokių požymių, nedelsiant pasitarkite su gydytoju;</w:t>
      </w:r>
    </w:p>
    <w:p w:rsidR="003F18E9" w:rsidRDefault="003F18E9" w:rsidP="003F18E9">
      <w:pPr>
        <w:pStyle w:val="BT-EMEASMCA"/>
      </w:pPr>
      <w:r>
        <w:t>-         jeigu esate moteris ir yra sutrikęs vaisingumas (</w:t>
      </w:r>
      <w:bookmarkStart w:id="4" w:name="_Hlk138776159"/>
      <w:r>
        <w:t>šis vaistas</w:t>
      </w:r>
      <w:bookmarkEnd w:id="4"/>
      <w:r>
        <w:t xml:space="preserve"> gali sutrikdyti moterų vaisingumą, jo negalima vartoti norinčioms pastoti moterims. Moterims, kurioms sunku pastoti, tiriamoms dėl nevaisingumo, Ketesse</w:t>
      </w:r>
      <w:r>
        <w:rPr>
          <w:b/>
          <w:i/>
        </w:rPr>
        <w:t xml:space="preserve"> </w:t>
      </w:r>
      <w:r>
        <w:t>vartojimą reikėtų nutraukti);</w:t>
      </w:r>
    </w:p>
    <w:p w:rsidR="003F18E9" w:rsidRDefault="003F18E9" w:rsidP="003F18E9">
      <w:pPr>
        <w:pStyle w:val="BT-EMEASMCA"/>
      </w:pPr>
      <w:r>
        <w:t>-        jeigu sergate kraujodaros sistemos ligomis;</w:t>
      </w:r>
    </w:p>
    <w:p w:rsidR="003F18E9" w:rsidRDefault="003F18E9" w:rsidP="003F18E9">
      <w:pPr>
        <w:pStyle w:val="BT-EMEASMCA"/>
      </w:pPr>
      <w:r>
        <w:t>-        jeigu sergate sistemine raudonąja vilklige ar mišriomis jungiamojo audinio ligomis (imuninės sistemos ligomis, pažeidžiančiomis jungiamąjį audinį);</w:t>
      </w:r>
    </w:p>
    <w:p w:rsidR="003F18E9" w:rsidRDefault="003F18E9" w:rsidP="003F18E9">
      <w:pPr>
        <w:pStyle w:val="BT-EMEASMCA"/>
      </w:pPr>
      <w:r>
        <w:t>-        jeigu sirgote lėtinėmis virškinimo trakto ligomis (Krono liga ar opiniu kolitu);</w:t>
      </w:r>
    </w:p>
    <w:p w:rsidR="003F18E9" w:rsidRDefault="003F18E9" w:rsidP="003F18E9">
      <w:pPr>
        <w:pStyle w:val="BT-EMEASMCA"/>
      </w:pPr>
      <w:r>
        <w:t>-        jeigu sergate arba sirgote virškinimo trakto ligomis;</w:t>
      </w:r>
    </w:p>
    <w:p w:rsidR="003F18E9" w:rsidRDefault="003F18E9" w:rsidP="003F18E9">
      <w:pPr>
        <w:pStyle w:val="BT-EMEASMCA"/>
      </w:pPr>
      <w:r>
        <w:t xml:space="preserve">- </w:t>
      </w:r>
      <w:r w:rsidRPr="00DB3BB0">
        <w:t xml:space="preserve">jeigu sergate </w:t>
      </w:r>
      <w:r w:rsidRPr="00230489">
        <w:t>infekcinėmis ligomis - žr. skyrių „Infekcijos“ žemiau</w:t>
      </w:r>
      <w:r w:rsidRPr="00680DF6">
        <w:t>;</w:t>
      </w:r>
    </w:p>
    <w:p w:rsidR="003F18E9" w:rsidRDefault="003F18E9" w:rsidP="003F18E9">
      <w:pPr>
        <w:pStyle w:val="BT-EMEASMCA"/>
      </w:pPr>
      <w:r>
        <w:t xml:space="preserve">-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w:t>
      </w:r>
      <w:bookmarkStart w:id="5" w:name="_Hlk138776195"/>
      <w:r>
        <w:t>šį vaistą</w:t>
      </w:r>
      <w:bookmarkEnd w:id="5"/>
      <w:r>
        <w:t>, pasitarkite su gydytoju; jis (ji) gali jums paskirti vartoti papildomai vaistų, apsaugančių jūsų skrandį (pvz., mizoprostolio arba vaistų, slopinančių skrandžio sulčių susidarymą);</w:t>
      </w:r>
    </w:p>
    <w:p w:rsidR="003F18E9" w:rsidRDefault="003F18E9" w:rsidP="003F18E9">
      <w:pPr>
        <w:pStyle w:val="BT-EMEASMCA"/>
      </w:pPr>
      <w:r>
        <w:t xml:space="preserve">- </w:t>
      </w:r>
      <w:r w:rsidRPr="00DB3BB0">
        <w:t>jeigu sergate astma</w:t>
      </w:r>
      <w:r>
        <w:t xml:space="preserve"> kartu su</w:t>
      </w:r>
      <w:r w:rsidRPr="00DB3BB0">
        <w:t xml:space="preserve"> lėtiniu rinitu, lėtiniu sinusitu ir /arba nosies polipais, nes jums  yra didesnė alergin</w:t>
      </w:r>
      <w:r>
        <w:t>ių</w:t>
      </w:r>
      <w:r w:rsidRPr="00DB3BB0">
        <w:t xml:space="preserve"> reakcij</w:t>
      </w:r>
      <w:r>
        <w:t>ų</w:t>
      </w:r>
      <w:r w:rsidRPr="00DB3BB0">
        <w:t xml:space="preserve"> rizika vartojant acetilsalicilo rūgštį ir (arba) NVNU palyginti su bendra populiacija. Šio vaisto vartojimas gali sukelti astmos arba bronchų spazmo priepuolius, ypač acetilsalicilo rūgščiai arba NVNU jautriems pacientams</w:t>
      </w:r>
      <w:r w:rsidRPr="00680DF6">
        <w:t>.</w:t>
      </w:r>
    </w:p>
    <w:p w:rsidR="003F18E9" w:rsidRDefault="003F18E9" w:rsidP="003F18E9">
      <w:pPr>
        <w:pStyle w:val="BT-EMEASMCA"/>
      </w:pPr>
    </w:p>
    <w:p w:rsidR="003F18E9" w:rsidRPr="00C86EA5" w:rsidRDefault="003F18E9" w:rsidP="003F18E9">
      <w:pPr>
        <w:numPr>
          <w:ilvl w:val="12"/>
          <w:numId w:val="0"/>
        </w:numPr>
        <w:tabs>
          <w:tab w:val="left" w:pos="1296"/>
        </w:tabs>
        <w:ind w:right="-2"/>
        <w:rPr>
          <w:b/>
          <w:sz w:val="22"/>
          <w:szCs w:val="22"/>
        </w:rPr>
      </w:pPr>
      <w:r w:rsidRPr="00C86EA5">
        <w:rPr>
          <w:b/>
          <w:sz w:val="22"/>
          <w:szCs w:val="22"/>
        </w:rPr>
        <w:t>Infekcijos</w:t>
      </w:r>
    </w:p>
    <w:p w:rsidR="003F18E9" w:rsidRDefault="003F18E9" w:rsidP="003F18E9">
      <w:pPr>
        <w:pStyle w:val="BT-EMEASMCA"/>
      </w:pPr>
      <w:bookmarkStart w:id="6" w:name="_Hlk138776291"/>
      <w:r>
        <w:t>Deksketoprofenas</w:t>
      </w:r>
      <w:bookmarkEnd w:id="6"/>
      <w:r w:rsidRPr="00E150ED">
        <w:t xml:space="preserve"> gali paslėpti tokius infekcijų požymius kaip karščiavimas ir skausmas. Todėl gali būti, kad vartojant </w:t>
      </w:r>
      <w:r>
        <w:t>šį vaistą</w:t>
      </w:r>
      <w:r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3F18E9" w:rsidRDefault="003F18E9" w:rsidP="003F18E9">
      <w:pPr>
        <w:pStyle w:val="BT-EMEASMCA"/>
      </w:pPr>
      <w:r w:rsidRPr="00206AE5">
        <w:t>Sergant vėjaraupiais, šio vaisto patartina vengti.</w:t>
      </w:r>
    </w:p>
    <w:p w:rsidR="003F18E9" w:rsidRDefault="003F18E9" w:rsidP="003F18E9">
      <w:pPr>
        <w:pStyle w:val="BT-EMEASMCA"/>
      </w:pPr>
    </w:p>
    <w:p w:rsidR="003F18E9" w:rsidRDefault="003F18E9" w:rsidP="003F18E9">
      <w:pPr>
        <w:pStyle w:val="PI-3EMEASMCA"/>
      </w:pPr>
      <w:r>
        <w:t>Vaikams ir paaugliams</w:t>
      </w:r>
    </w:p>
    <w:p w:rsidR="003F18E9" w:rsidRDefault="003F18E9" w:rsidP="003F18E9">
      <w:pPr>
        <w:pStyle w:val="BTEMEASMCA"/>
      </w:pPr>
      <w:bookmarkStart w:id="7" w:name="_Hlk138776328"/>
      <w:r>
        <w:t xml:space="preserve">Šis </w:t>
      </w:r>
      <w:bookmarkStart w:id="8" w:name="_Hlk138776457"/>
      <w:r>
        <w:t>vaistas</w:t>
      </w:r>
      <w:bookmarkEnd w:id="7"/>
      <w:bookmarkEnd w:id="8"/>
      <w:r>
        <w:t xml:space="preserve"> nebuvo tiriamas su vaikais ir paaugliais. Todėl jo saugumas ir veiksmingumas vaikams ir paaugliams nenustatytas. Šiuo vaistu vaikai ir paaugliai neturėtų būti gydomi.</w:t>
      </w:r>
    </w:p>
    <w:p w:rsidR="003F18E9" w:rsidRDefault="003F18E9" w:rsidP="003F18E9">
      <w:pPr>
        <w:pStyle w:val="BTEMEASMCA"/>
      </w:pPr>
    </w:p>
    <w:p w:rsidR="003F18E9" w:rsidRDefault="003F18E9" w:rsidP="003F18E9">
      <w:pPr>
        <w:pStyle w:val="PI-3EMEASMCA"/>
      </w:pPr>
      <w:r>
        <w:t xml:space="preserve">Kiti vaistai ir </w:t>
      </w:r>
      <w:proofErr w:type="spellStart"/>
      <w:r>
        <w:t>Ketesse</w:t>
      </w:r>
      <w:proofErr w:type="spellEnd"/>
    </w:p>
    <w:p w:rsidR="003F18E9" w:rsidRDefault="003F18E9" w:rsidP="003F18E9">
      <w:pPr>
        <w:pStyle w:val="BTEMEASMCA"/>
      </w:pPr>
      <w:r>
        <w:t>Jeigu vartojate ar neseniai vartojote kitų vaistų arba dėl to nesate tikri, apie tai pasakykite gydytojui arba vaistininkui. Kai kurių vaistų kartu vartoti negalima, kitų vaistų dozę gali prireikti sumažinti, jei jie vartojami kartu.</w:t>
      </w:r>
    </w:p>
    <w:p w:rsidR="003F18E9" w:rsidRDefault="003F18E9" w:rsidP="003F18E9">
      <w:pPr>
        <w:pStyle w:val="BTEMEASMCA"/>
      </w:pPr>
      <w:r>
        <w:t>Visuomet pasakykite gydytojui, odontologui arba vaistininkui, jei kartu su šiuo vartojate žemiau išvardytus vaistus.</w:t>
      </w:r>
    </w:p>
    <w:p w:rsidR="003F18E9" w:rsidRDefault="003F18E9" w:rsidP="003F18E9">
      <w:pPr>
        <w:pStyle w:val="BTEMEASMCA"/>
      </w:pPr>
    </w:p>
    <w:p w:rsidR="003F18E9" w:rsidRPr="005C57FB" w:rsidRDefault="003F18E9" w:rsidP="003F18E9">
      <w:pPr>
        <w:pStyle w:val="BT-EMEASMCA"/>
        <w:rPr>
          <w:rStyle w:val="BTEMEASMCAChar"/>
        </w:rPr>
      </w:pPr>
      <w:r w:rsidRPr="005C57FB">
        <w:rPr>
          <w:rStyle w:val="BTEMEASMCAChar"/>
        </w:rPr>
        <w:t>Nerekomenduojami deriniai su:</w:t>
      </w:r>
    </w:p>
    <w:p w:rsidR="003F18E9" w:rsidRDefault="003F18E9" w:rsidP="003F18E9">
      <w:pPr>
        <w:pStyle w:val="BT-EMEASMCA"/>
      </w:pPr>
      <w:r>
        <w:lastRenderedPageBreak/>
        <w:t>-         acetilsalicilo rūgštimi, kortikosteroidais arba kitais vaistais nuo uždegimo;</w:t>
      </w:r>
    </w:p>
    <w:p w:rsidR="003F18E9" w:rsidRDefault="003F18E9" w:rsidP="003F18E9">
      <w:pPr>
        <w:pStyle w:val="BT-EMEASMCA"/>
      </w:pPr>
      <w:r>
        <w:t>-         varfarinu, heparinu arba kitais vaistais, vartojamais trombozių profilaktikai;</w:t>
      </w:r>
    </w:p>
    <w:p w:rsidR="003F18E9" w:rsidRDefault="003F18E9" w:rsidP="003F18E9">
      <w:pPr>
        <w:pStyle w:val="BT-EMEASMCA"/>
      </w:pPr>
      <w:r>
        <w:t>-         ličiu, vartojamu tam tikroms ligoms, susijusioms su nuotaikos sutrikimu, gydyti;</w:t>
      </w:r>
    </w:p>
    <w:p w:rsidR="003F18E9" w:rsidRDefault="003F18E9" w:rsidP="003F18E9">
      <w:pPr>
        <w:pStyle w:val="BT-EMEASMCA"/>
      </w:pPr>
      <w:r>
        <w:t>-         metotreksatu (priešvėžiniu vaistu ir imunosupresantu), vartojamu didelėmis dozėmis 15 mg/savaitė;</w:t>
      </w:r>
    </w:p>
    <w:p w:rsidR="003F18E9" w:rsidRDefault="003F18E9" w:rsidP="003F18E9">
      <w:pPr>
        <w:pStyle w:val="BT-EMEASMCA"/>
      </w:pPr>
      <w:r>
        <w:t>-         su hidantoinais ir fenitoinu, vartojamais epilepsijai gydyti;</w:t>
      </w:r>
    </w:p>
    <w:p w:rsidR="003F18E9" w:rsidRDefault="003F18E9" w:rsidP="003F18E9">
      <w:pPr>
        <w:pStyle w:val="BT-EMEASMCA"/>
      </w:pPr>
      <w:r>
        <w:t>-         sulfametoksazoliu, vartojamu bakterijų sukeltoms infekcijoms gydyti.</w:t>
      </w:r>
    </w:p>
    <w:p w:rsidR="003F18E9" w:rsidRDefault="003F18E9" w:rsidP="003F18E9">
      <w:pPr>
        <w:pStyle w:val="BT-EMEASMCA"/>
      </w:pPr>
    </w:p>
    <w:p w:rsidR="003F18E9" w:rsidRPr="005C57FB" w:rsidRDefault="003F18E9" w:rsidP="003F18E9">
      <w:pPr>
        <w:pStyle w:val="Pagrindinistekstas"/>
        <w:spacing w:after="0"/>
        <w:ind w:left="540" w:hanging="540"/>
        <w:rPr>
          <w:rStyle w:val="BTEMEASMCAChar"/>
        </w:rPr>
      </w:pPr>
      <w:r w:rsidRPr="005C57FB">
        <w:rPr>
          <w:rStyle w:val="BTEMEASMCAChar"/>
        </w:rPr>
        <w:t>Galima vartoti laikantis atsargumo su:</w:t>
      </w:r>
    </w:p>
    <w:p w:rsidR="003F18E9" w:rsidRDefault="003F18E9" w:rsidP="003F18E9">
      <w:pPr>
        <w:pStyle w:val="Pagrindinistekstas"/>
        <w:spacing w:after="0"/>
        <w:ind w:left="540" w:hanging="540"/>
        <w:rPr>
          <w:rStyle w:val="BT-EMEASMCAChar"/>
        </w:rPr>
      </w:pPr>
      <w:r>
        <w:rPr>
          <w:rStyle w:val="BT-EMEASMCAChar"/>
        </w:rPr>
        <w:t>-        angiotenziną konvertuojančio fermento (AKF) inhibitoriais, diuretikais ir angiotenzino II receptorių antagonistais, vartojamais padidėjusiam kraujospūdžiui mažinti ir širdies ligoms gydyti;</w:t>
      </w:r>
    </w:p>
    <w:p w:rsidR="003F18E9" w:rsidRDefault="003F18E9" w:rsidP="003F18E9">
      <w:pPr>
        <w:pStyle w:val="Pagrindinistekstas"/>
        <w:spacing w:after="0"/>
        <w:rPr>
          <w:rStyle w:val="BT-EMEASMCAChar"/>
        </w:rPr>
      </w:pPr>
      <w:r>
        <w:rPr>
          <w:rStyle w:val="BT-EMEASMCAChar"/>
        </w:rPr>
        <w:t>-        pentoksifilinu ir okspentifilinu, vartojamais esant lėtinėms opoms dėl venų išsiplėtimo;</w:t>
      </w:r>
    </w:p>
    <w:p w:rsidR="003F18E9" w:rsidRDefault="003F18E9" w:rsidP="003F18E9">
      <w:pPr>
        <w:pStyle w:val="Pagrindinistekstas"/>
        <w:spacing w:after="0"/>
        <w:ind w:left="540" w:hanging="540"/>
        <w:rPr>
          <w:rStyle w:val="BT-EMEASMCAChar"/>
        </w:rPr>
      </w:pPr>
      <w:r>
        <w:rPr>
          <w:rStyle w:val="BT-EMEASMCAChar"/>
        </w:rPr>
        <w:t>-        zidovudinu, vartojamu virusų sukeltoms infekcijoms gydyti;</w:t>
      </w:r>
    </w:p>
    <w:p w:rsidR="003F18E9" w:rsidRDefault="003F18E9" w:rsidP="003F18E9">
      <w:pPr>
        <w:pStyle w:val="Pagrindinistekstas"/>
        <w:spacing w:after="0"/>
        <w:ind w:left="540" w:hanging="540"/>
        <w:rPr>
          <w:rStyle w:val="BT-EMEASMCAChar"/>
        </w:rPr>
      </w:pPr>
      <w:r>
        <w:rPr>
          <w:rStyle w:val="BT-EMEASMCAChar"/>
        </w:rPr>
        <w:t>-       aminoglikozidų grupės antibiotikais, vartojamais bakterijų sukeltoms infekcinėms ligoms gydyti;</w:t>
      </w:r>
    </w:p>
    <w:p w:rsidR="003F18E9" w:rsidRDefault="003F18E9" w:rsidP="003F18E9">
      <w:pPr>
        <w:pStyle w:val="Pagrindinistekstas"/>
        <w:spacing w:after="0"/>
        <w:ind w:left="540" w:hanging="540"/>
        <w:rPr>
          <w:rStyle w:val="BT-EMEASMCAChar"/>
        </w:rPr>
      </w:pPr>
      <w:r>
        <w:rPr>
          <w:rStyle w:val="BT-EMEASMCAChar"/>
        </w:rPr>
        <w:t xml:space="preserve">-        </w:t>
      </w:r>
      <w:r w:rsidRPr="00BA4B7B">
        <w:rPr>
          <w:rStyle w:val="BT-EMEASMCAChar"/>
        </w:rPr>
        <w:t>sulfonilšlapalo dariniais (</w:t>
      </w:r>
      <w:r>
        <w:rPr>
          <w:rStyle w:val="BT-EMEASMCAChar"/>
        </w:rPr>
        <w:t>chlorpropamidu ir glibenklamidu), vartojamais cukriniam diabetui gydyti;</w:t>
      </w:r>
    </w:p>
    <w:p w:rsidR="003F18E9" w:rsidRDefault="003F18E9" w:rsidP="003F18E9">
      <w:pPr>
        <w:pStyle w:val="Pagrindinistekstas"/>
        <w:spacing w:after="0"/>
        <w:ind w:left="540" w:hanging="540"/>
        <w:rPr>
          <w:rStyle w:val="BT-EMEASMCAChar"/>
        </w:rPr>
      </w:pPr>
      <w:r>
        <w:rPr>
          <w:rStyle w:val="BT-EMEASMCAChar"/>
        </w:rPr>
        <w:t>-</w:t>
      </w:r>
      <w:r>
        <w:rPr>
          <w:rStyle w:val="BT-EMEASMCAChar"/>
        </w:rPr>
        <w:tab/>
      </w:r>
      <w:proofErr w:type="spellStart"/>
      <w:r>
        <w:rPr>
          <w:szCs w:val="22"/>
        </w:rPr>
        <w:t>m</w:t>
      </w:r>
      <w:r w:rsidRPr="007F5196">
        <w:rPr>
          <w:szCs w:val="22"/>
        </w:rPr>
        <w:t>etotre</w:t>
      </w:r>
      <w:r>
        <w:rPr>
          <w:szCs w:val="22"/>
        </w:rPr>
        <w:t>ksatu</w:t>
      </w:r>
      <w:proofErr w:type="spellEnd"/>
      <w:r w:rsidRPr="007F5196">
        <w:rPr>
          <w:szCs w:val="22"/>
        </w:rPr>
        <w:t xml:space="preserve">, </w:t>
      </w:r>
      <w:r>
        <w:rPr>
          <w:szCs w:val="22"/>
        </w:rPr>
        <w:t>vartojamu mažomis dozėmis</w:t>
      </w:r>
      <w:r w:rsidRPr="007F5196">
        <w:rPr>
          <w:szCs w:val="22"/>
        </w:rPr>
        <w:t xml:space="preserve">, </w:t>
      </w:r>
      <w:r>
        <w:rPr>
          <w:szCs w:val="22"/>
        </w:rPr>
        <w:t>mažiau nei</w:t>
      </w:r>
      <w:r w:rsidRPr="007F5196">
        <w:rPr>
          <w:szCs w:val="22"/>
        </w:rPr>
        <w:t xml:space="preserve"> 15 mg/</w:t>
      </w:r>
      <w:r>
        <w:rPr>
          <w:szCs w:val="22"/>
        </w:rPr>
        <w:t>savaitė</w:t>
      </w:r>
      <w:r>
        <w:rPr>
          <w:rStyle w:val="BT-EMEASMCAChar"/>
        </w:rPr>
        <w:t>.</w:t>
      </w:r>
    </w:p>
    <w:p w:rsidR="003F18E9" w:rsidRDefault="003F18E9" w:rsidP="003F18E9">
      <w:pPr>
        <w:pStyle w:val="BT-EMEASMCA"/>
        <w:rPr>
          <w:rStyle w:val="BTEMEASMCAChar"/>
          <w:u w:val="single"/>
        </w:rPr>
      </w:pPr>
    </w:p>
    <w:p w:rsidR="003F18E9" w:rsidRPr="005C57FB" w:rsidRDefault="003F18E9" w:rsidP="003F18E9">
      <w:pPr>
        <w:pStyle w:val="BT-EMEASMCA"/>
        <w:rPr>
          <w:rStyle w:val="BTEMEASMCAChar"/>
        </w:rPr>
      </w:pPr>
      <w:r w:rsidRPr="005C57FB">
        <w:rPr>
          <w:rStyle w:val="BTEMEASMCAChar"/>
        </w:rPr>
        <w:t>Vaistų sąveika, į kurią reikia atkreipti dėmesį:</w:t>
      </w:r>
    </w:p>
    <w:p w:rsidR="003F18E9" w:rsidRDefault="003F18E9" w:rsidP="003F18E9">
      <w:pPr>
        <w:pStyle w:val="BT-EMEASMCA"/>
      </w:pPr>
      <w:r>
        <w:t>-        chinolonai (antibakteriniai vaistai), pvz., ciprofloksacinu, levofloksacinu, vartojamais bakterijų sukeltoms infekcijoms gydyti;</w:t>
      </w:r>
    </w:p>
    <w:p w:rsidR="003F18E9" w:rsidRDefault="003F18E9" w:rsidP="003F18E9">
      <w:pPr>
        <w:pStyle w:val="BT-EMEASMCA"/>
        <w:rPr>
          <w:rStyle w:val="BT-EMEASMCAChar"/>
        </w:rPr>
      </w:pPr>
      <w:r>
        <w:rPr>
          <w:rStyle w:val="BT-EMEASMCAChar"/>
        </w:rPr>
        <w:t>-        ciklosporinas arba takrolimuzas, vartojami sergant kai kuriomis imuninės sistemos ligomis, taip pat po organų transplantacijos;</w:t>
      </w:r>
    </w:p>
    <w:p w:rsidR="003F18E9" w:rsidRDefault="003F18E9" w:rsidP="003F18E9">
      <w:pPr>
        <w:pStyle w:val="BT-EMEASMCA"/>
        <w:rPr>
          <w:rStyle w:val="BT-EMEASMCAChar"/>
        </w:rPr>
      </w:pPr>
      <w:r>
        <w:rPr>
          <w:rStyle w:val="BT-EMEASMCAChar"/>
        </w:rPr>
        <w:t xml:space="preserve">-       streptokinazė ir kiti trombolitikai ar fibrinolitikai, tai yra vaistai vartojami trombams tirpinti; </w:t>
      </w:r>
    </w:p>
    <w:p w:rsidR="003F18E9" w:rsidRDefault="003F18E9" w:rsidP="003F18E9">
      <w:pPr>
        <w:pStyle w:val="BT-EMEASMCA"/>
      </w:pPr>
      <w:r>
        <w:t>-       probenecidas, vaistas nuo podagros;</w:t>
      </w:r>
    </w:p>
    <w:p w:rsidR="003F18E9" w:rsidRDefault="003F18E9" w:rsidP="003F18E9">
      <w:pPr>
        <w:pStyle w:val="BT-EMEASMCA"/>
      </w:pPr>
      <w:r>
        <w:t>-       digoksinas, vartojamas lėtiniam širdies nepakankamumui gydyti;</w:t>
      </w:r>
    </w:p>
    <w:p w:rsidR="003F18E9" w:rsidRDefault="003F18E9" w:rsidP="003F18E9">
      <w:pPr>
        <w:pStyle w:val="BT-EMEASMCA"/>
      </w:pPr>
      <w:r>
        <w:t>-       mifepristonas, vartojamas abortui sukelti (vaistas nėštumui užbaigti);</w:t>
      </w:r>
    </w:p>
    <w:p w:rsidR="003F18E9" w:rsidRDefault="003F18E9" w:rsidP="003F18E9">
      <w:pPr>
        <w:pStyle w:val="BT-EMEASMCA"/>
        <w:rPr>
          <w:rStyle w:val="BT-EMEASMCAChar"/>
        </w:rPr>
      </w:pPr>
      <w:r>
        <w:rPr>
          <w:rStyle w:val="BT-EMEASMCAChar"/>
        </w:rPr>
        <w:t>-       selektyviųjų serotonino reabsorbcijos inhibitorių grupės vaistai nuo depresijos;</w:t>
      </w:r>
    </w:p>
    <w:p w:rsidR="003F18E9" w:rsidRDefault="003F18E9" w:rsidP="003F18E9">
      <w:pPr>
        <w:pStyle w:val="BT-EMEASMCA"/>
        <w:rPr>
          <w:rStyle w:val="BT-EMEASMCAChar"/>
        </w:rPr>
      </w:pPr>
      <w:r>
        <w:rPr>
          <w:rStyle w:val="BT-EMEASMCAChar"/>
        </w:rPr>
        <w:t>-       vaistai mažinantys trombocitų agregaciją ir kraujo  krešulių susidarymą;</w:t>
      </w:r>
    </w:p>
    <w:p w:rsidR="003F18E9" w:rsidRDefault="003F18E9" w:rsidP="003F18E9">
      <w:pPr>
        <w:pStyle w:val="BT-EMEASMCA"/>
        <w:rPr>
          <w:rStyle w:val="BT-EMEASMCAChar"/>
        </w:rPr>
      </w:pPr>
      <w:r>
        <w:rPr>
          <w:rStyle w:val="BT-EMEASMCAChar"/>
        </w:rPr>
        <w:t>-       beta-blokatoriai, vaistai aukšto kraujospūdžio ir širdies problemoms;</w:t>
      </w:r>
    </w:p>
    <w:p w:rsidR="003F18E9" w:rsidRDefault="003F18E9" w:rsidP="003F18E9">
      <w:pPr>
        <w:pStyle w:val="BT-EMEASMCA"/>
        <w:rPr>
          <w:rStyle w:val="BT-EMEASMCAChar"/>
        </w:rPr>
      </w:pPr>
      <w:r>
        <w:rPr>
          <w:rStyle w:val="BT-EMEASMCAChar"/>
        </w:rPr>
        <w:t xml:space="preserve">-       </w:t>
      </w:r>
      <w:r w:rsidRPr="00E72112">
        <w:t>tenofovir</w:t>
      </w:r>
      <w:r>
        <w:t>as</w:t>
      </w:r>
      <w:r w:rsidRPr="00E72112">
        <w:t>, deferasiro</w:t>
      </w:r>
      <w:r>
        <w:t>ksas</w:t>
      </w:r>
      <w:r w:rsidRPr="00E72112">
        <w:t>, pemetre</w:t>
      </w:r>
      <w:r>
        <w:t>ks</w:t>
      </w:r>
      <w:r w:rsidRPr="00E72112">
        <w:t>ed</w:t>
      </w:r>
      <w:r>
        <w:t>as.</w:t>
      </w:r>
    </w:p>
    <w:p w:rsidR="003F18E9" w:rsidRDefault="003F18E9" w:rsidP="003F18E9">
      <w:pPr>
        <w:pStyle w:val="BT-EMEASMCA"/>
        <w:rPr>
          <w:rStyle w:val="BT-EMEASMCAChar"/>
        </w:rPr>
      </w:pPr>
    </w:p>
    <w:p w:rsidR="003F18E9" w:rsidRDefault="003F18E9" w:rsidP="003F18E9">
      <w:pPr>
        <w:pStyle w:val="BT-EMEASMCA"/>
      </w:pPr>
      <w:r>
        <w:t>Jei kiltų neaiškumų dėl kitų vaistų vartojimo kartu su Ketesse, pasitarkite su gydytoju arba vaistininku.</w:t>
      </w:r>
    </w:p>
    <w:p w:rsidR="003F18E9" w:rsidRDefault="003F18E9" w:rsidP="003F18E9">
      <w:pPr>
        <w:pStyle w:val="Pagrindinistekstas"/>
        <w:spacing w:after="0"/>
      </w:pPr>
    </w:p>
    <w:p w:rsidR="003F18E9" w:rsidRDefault="003F18E9" w:rsidP="003F18E9">
      <w:pPr>
        <w:pStyle w:val="PI-3EMEASMCA"/>
      </w:pPr>
      <w:proofErr w:type="spellStart"/>
      <w:r>
        <w:t>Ketesse</w:t>
      </w:r>
      <w:proofErr w:type="spellEnd"/>
      <w:r>
        <w:t xml:space="preserve"> vartojimas su maistu ir gėrimais</w:t>
      </w:r>
    </w:p>
    <w:p w:rsidR="003F18E9" w:rsidRDefault="003F18E9" w:rsidP="003F18E9">
      <w:pPr>
        <w:pStyle w:val="BTEMEASMCA"/>
      </w:pPr>
      <w:r>
        <w:t>Tabletes vartokite užsigerdami pakankamu vandens kiekiu. Gerkite tabletes valgymo metu, nes tai sumažina šalutinio poveikio, susijusio su skrandžio ir žarnyno veikla, riziką. Tačiau, esant ūminiam skausmui, tabletes reikia gerti 30 min. prieš valgį, nes tada vaistas pradeda veikti šiek tiek greičiau.</w:t>
      </w:r>
    </w:p>
    <w:p w:rsidR="003F18E9" w:rsidRDefault="003F18E9" w:rsidP="003F18E9">
      <w:pPr>
        <w:pStyle w:val="BTEMEASMCA"/>
      </w:pPr>
    </w:p>
    <w:p w:rsidR="003F18E9" w:rsidRDefault="003F18E9" w:rsidP="003F18E9">
      <w:pPr>
        <w:pStyle w:val="PI-3EMEASMCA"/>
      </w:pPr>
      <w:r>
        <w:t>Nėštumas, žindymo laikotarpis ir vaisingumas</w:t>
      </w:r>
    </w:p>
    <w:p w:rsidR="003F18E9" w:rsidRPr="00E731EC" w:rsidRDefault="003F18E9" w:rsidP="003F18E9">
      <w:pPr>
        <w:pStyle w:val="BTEMEASMCA"/>
        <w:rPr>
          <w:color w:val="auto"/>
        </w:rPr>
      </w:pPr>
      <w:r w:rsidRPr="00E731EC">
        <w:rPr>
          <w:color w:val="auto"/>
        </w:rPr>
        <w:t>Jeigu esate nėščia, žindote kūdikį, manote, kad galbūt esate nėščia, arba planuojate pastoti, tai prieš vartodama šį vaistą, pasitarkite su gydytoju arba vaistininku.</w:t>
      </w:r>
    </w:p>
    <w:p w:rsidR="003F18E9" w:rsidRPr="00E731EC" w:rsidRDefault="003F18E9" w:rsidP="003F18E9">
      <w:pPr>
        <w:pStyle w:val="BTEMEASMCA"/>
        <w:rPr>
          <w:color w:val="auto"/>
        </w:rPr>
      </w:pPr>
      <w:bookmarkStart w:id="9" w:name="_Hlk138776688"/>
      <w:r>
        <w:rPr>
          <w:color w:val="auto"/>
        </w:rPr>
        <w:t>Šio vaisto</w:t>
      </w:r>
      <w:bookmarkEnd w:id="9"/>
      <w:r w:rsidRPr="00E731EC">
        <w:rPr>
          <w:color w:val="auto"/>
        </w:rPr>
        <w:t xml:space="preserve"> negalima vartoti paskutinius 3 nėštumo mėnesius ir žindymo laikotarpiu. </w:t>
      </w:r>
      <w:r w:rsidRPr="00E731EC">
        <w:rPr>
          <w:rFonts w:eastAsiaTheme="minorHAnsi"/>
          <w:bCs w:val="0"/>
          <w:color w:val="auto"/>
        </w:rPr>
        <w:t>Jis gali sukelti būsimo kūdikio inkstų ir širdies sutrikimų</w:t>
      </w:r>
      <w:r w:rsidRPr="00E731EC">
        <w:rPr>
          <w:color w:val="auto"/>
        </w:rPr>
        <w:t xml:space="preserve">. </w:t>
      </w:r>
      <w:r w:rsidRPr="00E731EC">
        <w:rPr>
          <w:rFonts w:eastAsiaTheme="minorHAnsi"/>
          <w:bCs w:val="0"/>
          <w:color w:val="auto"/>
        </w:rPr>
        <w:t>Jis gali paveikti Jūsų ir Jūsų kūdikio polinkį kraujuoti ir pavėlinti gimdymą ar pailginti jo laiką.</w:t>
      </w:r>
    </w:p>
    <w:p w:rsidR="003F18E9" w:rsidRPr="00E731EC" w:rsidRDefault="003F18E9" w:rsidP="003F18E9">
      <w:pPr>
        <w:pStyle w:val="BTEMEASMCA"/>
        <w:rPr>
          <w:color w:val="auto"/>
        </w:rPr>
      </w:pPr>
      <w:r w:rsidRPr="00E731EC">
        <w:rPr>
          <w:rFonts w:eastAsiaTheme="minorHAnsi"/>
          <w:color w:val="auto"/>
        </w:rPr>
        <w:t xml:space="preserve">Pirmus 6 nėštumo mėnesius </w:t>
      </w:r>
      <w:bookmarkStart w:id="10" w:name="_Hlk138776722"/>
      <w:r>
        <w:rPr>
          <w:rFonts w:eastAsiaTheme="minorHAnsi"/>
          <w:color w:val="auto"/>
        </w:rPr>
        <w:t>šio vaisto</w:t>
      </w:r>
      <w:bookmarkEnd w:id="10"/>
      <w:r w:rsidRPr="00E731EC">
        <w:rPr>
          <w:rFonts w:eastAsiaTheme="minorHAnsi"/>
          <w:color w:val="auto"/>
        </w:rPr>
        <w:t xml:space="preserve"> vartoti negalima, išskyrus atvejus, kai tai neabejotinai būtina </w:t>
      </w:r>
      <w:r w:rsidRPr="00E731EC">
        <w:rPr>
          <w:rFonts w:eastAsiaTheme="minorHAnsi"/>
          <w:bCs w:val="0"/>
          <w:color w:val="auto"/>
        </w:rPr>
        <w:t>ir taip pataria gydytojas</w:t>
      </w:r>
      <w:r w:rsidRPr="00E731EC">
        <w:rPr>
          <w:color w:val="auto"/>
        </w:rPr>
        <w:t xml:space="preserve">. </w:t>
      </w:r>
      <w:r w:rsidRPr="00E731EC">
        <w:rPr>
          <w:rFonts w:eastAsiaTheme="minorHAnsi"/>
          <w:color w:val="auto"/>
        </w:rPr>
        <w:t>Jei šiuo laikotarpiu arba bandant pastoti Jums reikalingas gydymas, reikia vartoti mažiausią dozę trumpiausią įmanomą laiką</w:t>
      </w:r>
      <w:r w:rsidRPr="00E731EC">
        <w:rPr>
          <w:color w:val="auto"/>
        </w:rPr>
        <w:t xml:space="preserve">. </w:t>
      </w:r>
    </w:p>
    <w:p w:rsidR="003F18E9" w:rsidRPr="007444CF" w:rsidRDefault="003F18E9" w:rsidP="003F18E9">
      <w:pPr>
        <w:numPr>
          <w:ilvl w:val="12"/>
          <w:numId w:val="0"/>
        </w:numPr>
        <w:jc w:val="both"/>
      </w:pPr>
      <w:r w:rsidRPr="00B3059E">
        <w:rPr>
          <w:rFonts w:eastAsiaTheme="minorHAnsi"/>
          <w:bCs/>
          <w:sz w:val="22"/>
          <w:szCs w:val="22"/>
        </w:rPr>
        <w:t>Jei n</w:t>
      </w:r>
      <w:r w:rsidRPr="00E731EC">
        <w:rPr>
          <w:rFonts w:eastAsiaTheme="minorHAnsi"/>
          <w:bCs/>
          <w:sz w:val="22"/>
          <w:szCs w:val="22"/>
        </w:rPr>
        <w:t xml:space="preserve">uo 20-osios nėštumo savaitės </w:t>
      </w:r>
      <w:bookmarkStart w:id="11" w:name="_Hlk138776743"/>
      <w:r>
        <w:rPr>
          <w:rFonts w:eastAsiaTheme="minorHAnsi"/>
          <w:bCs/>
          <w:sz w:val="22"/>
          <w:szCs w:val="22"/>
        </w:rPr>
        <w:t>šis vaistas</w:t>
      </w:r>
      <w:bookmarkEnd w:id="11"/>
      <w:r w:rsidRPr="00E731EC">
        <w:rPr>
          <w:rFonts w:eastAsiaTheme="minorHAnsi"/>
          <w:bCs/>
          <w:sz w:val="22"/>
          <w:szCs w:val="22"/>
        </w:rPr>
        <w:t xml:space="preserve"> vartojamas ilgiau nei kelias dienas, jis gali sukelti vaisiaus inkstų sutrikimų, dėl kurių gali sumažėti kūdikį supančio </w:t>
      </w:r>
      <w:proofErr w:type="spellStart"/>
      <w:r w:rsidRPr="00E731EC">
        <w:rPr>
          <w:rFonts w:eastAsiaTheme="minorHAnsi"/>
          <w:bCs/>
          <w:sz w:val="22"/>
          <w:szCs w:val="22"/>
        </w:rPr>
        <w:t>amniono</w:t>
      </w:r>
      <w:proofErr w:type="spellEnd"/>
      <w:r w:rsidRPr="00E731EC">
        <w:rPr>
          <w:rFonts w:eastAsiaTheme="minorHAnsi"/>
          <w:bCs/>
          <w:sz w:val="22"/>
          <w:szCs w:val="22"/>
        </w:rPr>
        <w:t xml:space="preserve"> skysčio kiekis (</w:t>
      </w:r>
      <w:proofErr w:type="spellStart"/>
      <w:r w:rsidRPr="00E731EC">
        <w:rPr>
          <w:rFonts w:eastAsiaTheme="minorHAnsi"/>
          <w:bCs/>
          <w:sz w:val="22"/>
          <w:szCs w:val="22"/>
        </w:rPr>
        <w:t>oligohidramnionas</w:t>
      </w:r>
      <w:proofErr w:type="spellEnd"/>
      <w:r w:rsidRPr="00E731EC">
        <w:rPr>
          <w:rFonts w:eastAsiaTheme="minorHAnsi"/>
          <w:bCs/>
          <w:sz w:val="22"/>
          <w:szCs w:val="22"/>
        </w:rPr>
        <w:t xml:space="preserve">) </w:t>
      </w:r>
      <w:r w:rsidRPr="00E731EC">
        <w:rPr>
          <w:sz w:val="22"/>
          <w:szCs w:val="22"/>
        </w:rPr>
        <w:t>ar susiaurėti kraujagyslė (arterinis latakas) kūdikio širdyje</w:t>
      </w:r>
      <w:r w:rsidRPr="00B3059E">
        <w:rPr>
          <w:rFonts w:eastAsiaTheme="minorHAnsi"/>
          <w:bCs/>
          <w:sz w:val="22"/>
          <w:szCs w:val="22"/>
        </w:rPr>
        <w:t>. Jei Jums reikalingas ilgesnis nei kelių dienų gydymas, gydytojas gali rekomenduoti papildomą stebėseną.</w:t>
      </w:r>
    </w:p>
    <w:p w:rsidR="003F18E9" w:rsidRDefault="003F18E9" w:rsidP="003F18E9">
      <w:pPr>
        <w:pStyle w:val="BTEMEASMCA"/>
      </w:pPr>
      <w:bookmarkStart w:id="12" w:name="_Hlk138776758"/>
      <w:r>
        <w:t>Šio vaisto</w:t>
      </w:r>
      <w:bookmarkEnd w:id="12"/>
      <w:r w:rsidRPr="007444CF">
        <w:t xml:space="preserve"> vartoti nerekomenduojama norint pastoti arba atliekant tyrimus dėl nevaisingumo</w:t>
      </w:r>
      <w:r w:rsidRPr="00F713C5">
        <w:t>.</w:t>
      </w:r>
    </w:p>
    <w:p w:rsidR="003F18E9" w:rsidRDefault="003F18E9" w:rsidP="003F18E9">
      <w:pPr>
        <w:pStyle w:val="BTEMEASMCA"/>
      </w:pPr>
      <w:r>
        <w:t>Apie galimą poveikį moterų vaisingumui taip pat žiūrėkite 2 skyrių „Įspėjimai ir atsargumo priemonės“.</w:t>
      </w:r>
    </w:p>
    <w:p w:rsidR="003F18E9" w:rsidRDefault="003F18E9" w:rsidP="003F18E9">
      <w:pPr>
        <w:pStyle w:val="PI-3EMEASMCA"/>
      </w:pPr>
    </w:p>
    <w:p w:rsidR="003F18E9" w:rsidRDefault="003F18E9" w:rsidP="003F18E9">
      <w:pPr>
        <w:pStyle w:val="PI-3EMEASMCA"/>
      </w:pPr>
      <w:r>
        <w:t>Vairavimas ir mechanizmų valdymas</w:t>
      </w:r>
    </w:p>
    <w:p w:rsidR="003F18E9" w:rsidRDefault="003F18E9" w:rsidP="003F18E9">
      <w:pPr>
        <w:pStyle w:val="BTEMEASMCA"/>
      </w:pPr>
      <w:r>
        <w:lastRenderedPageBreak/>
        <w:t>Šis vaistas</w:t>
      </w:r>
      <w:r>
        <w:rPr>
          <w:b/>
          <w:i/>
        </w:rPr>
        <w:t xml:space="preserve"> </w:t>
      </w:r>
      <w:r>
        <w:t>gali sukelti lengvo ar vidutinio stiprumo poveikį gebėjimui vairuoti arba valdyti mechanizmus, nes gali imti svaigulys arba snaudulys. Pastebėję tokį poveikį nevairuokite ir nevaldykite mechanizmų, kol šie simptomai išnyks. Pasitarkite su gydytoju.</w:t>
      </w:r>
    </w:p>
    <w:p w:rsidR="003F18E9" w:rsidRDefault="003F18E9" w:rsidP="003F18E9">
      <w:pPr>
        <w:pStyle w:val="BTEMEASMCA"/>
      </w:pPr>
    </w:p>
    <w:p w:rsidR="003F18E9" w:rsidRDefault="003F18E9" w:rsidP="003F18E9">
      <w:pPr>
        <w:numPr>
          <w:ilvl w:val="12"/>
          <w:numId w:val="0"/>
        </w:numPr>
        <w:ind w:right="-29"/>
        <w:jc w:val="both"/>
        <w:rPr>
          <w:b/>
          <w:noProof/>
        </w:rPr>
      </w:pPr>
      <w:r>
        <w:rPr>
          <w:b/>
          <w:noProof/>
        </w:rPr>
        <w:t>Ketesse sudėtyje yra natrio</w:t>
      </w:r>
    </w:p>
    <w:p w:rsidR="003F18E9" w:rsidRDefault="003F18E9" w:rsidP="003F18E9">
      <w:pPr>
        <w:pStyle w:val="BTEMEASMCA"/>
      </w:pPr>
      <w:r>
        <w:t>Šio vaisto plėvele dengtoje tabletėje</w:t>
      </w:r>
      <w:r w:rsidRPr="001F352C">
        <w:t xml:space="preserve"> yra mažiau nei 1</w:t>
      </w:r>
      <w:r>
        <w:t> </w:t>
      </w:r>
      <w:r w:rsidRPr="001F352C">
        <w:t>mmol natrio (23</w:t>
      </w:r>
      <w:r>
        <w:t> </w:t>
      </w:r>
      <w:r w:rsidRPr="001F352C">
        <w:t xml:space="preserve">mg), </w:t>
      </w:r>
      <w:r>
        <w:t xml:space="preserve"> t. y. jis beveik neturi reikšmės</w:t>
      </w:r>
      <w:r w:rsidRPr="00395AC6">
        <w:t>.</w:t>
      </w:r>
    </w:p>
    <w:p w:rsidR="003F18E9" w:rsidRDefault="003F18E9" w:rsidP="003F18E9">
      <w:pPr>
        <w:pStyle w:val="BTEMEASMCA"/>
      </w:pPr>
    </w:p>
    <w:p w:rsidR="003F18E9" w:rsidRDefault="003F18E9" w:rsidP="003F18E9">
      <w:pPr>
        <w:pStyle w:val="BTEMEASMCA"/>
      </w:pPr>
    </w:p>
    <w:p w:rsidR="003F18E9" w:rsidRDefault="003F18E9" w:rsidP="003F18E9">
      <w:pPr>
        <w:pStyle w:val="PI-1EMEASMCA"/>
      </w:pPr>
      <w:bookmarkStart w:id="13" w:name="_Toc129243141"/>
      <w:bookmarkStart w:id="14" w:name="_Toc129243266"/>
      <w:r>
        <w:t>3.</w:t>
      </w:r>
      <w:r>
        <w:tab/>
        <w:t xml:space="preserve">Kaip vartoti </w:t>
      </w:r>
      <w:proofErr w:type="spellStart"/>
      <w:r>
        <w:t>Ketesse</w:t>
      </w:r>
      <w:bookmarkEnd w:id="13"/>
      <w:bookmarkEnd w:id="14"/>
      <w:proofErr w:type="spellEnd"/>
    </w:p>
    <w:p w:rsidR="003F18E9" w:rsidRDefault="003F18E9" w:rsidP="003F18E9">
      <w:pPr>
        <w:pStyle w:val="BTEMEASMCA"/>
      </w:pPr>
    </w:p>
    <w:p w:rsidR="003F18E9" w:rsidRDefault="003F18E9" w:rsidP="003F18E9">
      <w:pPr>
        <w:pStyle w:val="BTEMEASMCA"/>
      </w:pPr>
      <w:r>
        <w:t>Visada vartokite šį vaistą tiksliai kaip nurodė gydytojas. Jeigu abejojate, kreipkitės į gydytoją arba vaistininką.</w:t>
      </w:r>
    </w:p>
    <w:p w:rsidR="003F18E9" w:rsidRDefault="003F18E9" w:rsidP="003F18E9">
      <w:pPr>
        <w:pStyle w:val="BTEMEASMCA"/>
      </w:pPr>
      <w:r>
        <w:t>Jums Ketesse dozė priklauso nuo skausmo pobūdžio, intensyvumo ir trukmės. Jūsų gydytojas nurodys kiek tablečių reikia per dieną išgerti, kiek laiko vartoti vaistą.</w:t>
      </w:r>
    </w:p>
    <w:p w:rsidR="003F18E9" w:rsidRDefault="003F18E9" w:rsidP="003F18E9">
      <w:pPr>
        <w:pStyle w:val="BTEMEASMCA"/>
      </w:pPr>
    </w:p>
    <w:p w:rsidR="003F18E9" w:rsidRDefault="003F18E9" w:rsidP="003F18E9">
      <w:pPr>
        <w:pStyle w:val="BTEMEASMCA"/>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3F18E9" w:rsidRDefault="003F18E9" w:rsidP="003F18E9">
      <w:pPr>
        <w:pStyle w:val="BTEMEASMCA"/>
      </w:pPr>
    </w:p>
    <w:p w:rsidR="003F18E9" w:rsidRDefault="003F18E9" w:rsidP="003F18E9">
      <w:pPr>
        <w:pStyle w:val="BTEMEASMCA"/>
      </w:pPr>
      <w:bookmarkStart w:id="15" w:name="_Hlk138943460"/>
      <w:r w:rsidRPr="005D554B">
        <w:rPr>
          <w:bCs w:val="0"/>
        </w:rPr>
        <w:t>Šią tabletę galima padalyti į lygias dozes</w:t>
      </w:r>
      <w:r>
        <w:t xml:space="preserve">, jei laužiama per vagelę, </w:t>
      </w:r>
      <w:r w:rsidRPr="005D554B">
        <w:rPr>
          <w:bCs w:val="0"/>
        </w:rPr>
        <w:t>skirt</w:t>
      </w:r>
      <w:r>
        <w:t>ą</w:t>
      </w:r>
      <w:r w:rsidRPr="005D554B">
        <w:rPr>
          <w:bCs w:val="0"/>
        </w:rPr>
        <w:t xml:space="preserve"> tabletei perlaužti</w:t>
      </w:r>
      <w:r>
        <w:t>.</w:t>
      </w:r>
      <w:bookmarkEnd w:id="15"/>
    </w:p>
    <w:p w:rsidR="003F18E9" w:rsidRDefault="003F18E9" w:rsidP="003F18E9">
      <w:pPr>
        <w:pStyle w:val="BTEMEASMCA"/>
      </w:pPr>
      <w:r>
        <w:t>Suaugusieji, vyresni kaip 18 metų</w:t>
      </w:r>
    </w:p>
    <w:p w:rsidR="003F18E9" w:rsidRDefault="003F18E9" w:rsidP="003F18E9">
      <w:pPr>
        <w:pStyle w:val="BTEMEASMCA"/>
      </w:pPr>
      <w:r>
        <w:t>Rekomenduojama dozė yra 1 tabletė (25 mg) kas 8 valandos, bet ne daugiau kaip 3 tabletės per parą (75 mg).</w:t>
      </w:r>
    </w:p>
    <w:p w:rsidR="003F18E9" w:rsidRDefault="003F18E9" w:rsidP="003F18E9">
      <w:pPr>
        <w:pStyle w:val="BTEMEASMCA"/>
      </w:pPr>
    </w:p>
    <w:p w:rsidR="003F18E9" w:rsidRDefault="003F18E9" w:rsidP="003F18E9">
      <w:pPr>
        <w:pStyle w:val="BTEMEASMCA"/>
      </w:pPr>
      <w:r>
        <w:t>Jeigu esate senyvo amžiaus arba sergate inkstų ar kepenų ligomis, iš pradžių pradėkite vartoti per parą ne daugiau kaip 2 tabletes (50 mg).</w:t>
      </w:r>
    </w:p>
    <w:p w:rsidR="003F18E9" w:rsidRDefault="003F18E9" w:rsidP="003F18E9">
      <w:pPr>
        <w:pStyle w:val="BTEMEASMCA"/>
      </w:pPr>
      <w:r>
        <w:t xml:space="preserve">Senyvi pacientai, jei </w:t>
      </w:r>
      <w:bookmarkStart w:id="16" w:name="_Hlk138943491"/>
      <w:r>
        <w:t>šio vaisto</w:t>
      </w:r>
      <w:bookmarkEnd w:id="16"/>
      <w:r>
        <w:t xml:space="preserve"> vartojimas toleruojamas gerai, vėliau pradinę dozę gali padidinti iki įprastinės paros dozės (75 mg).</w:t>
      </w:r>
    </w:p>
    <w:p w:rsidR="003F18E9" w:rsidRDefault="003F18E9" w:rsidP="003F18E9">
      <w:pPr>
        <w:pStyle w:val="BTEMEASMCA"/>
      </w:pPr>
    </w:p>
    <w:p w:rsidR="003F18E9" w:rsidRDefault="003F18E9" w:rsidP="003F18E9">
      <w:pPr>
        <w:pStyle w:val="BTEMEASMCA"/>
      </w:pPr>
      <w:r>
        <w:t xml:space="preserve">Jeigu jaučiate intensyvų skausmą ir reikia jį greičiau nuslopinti, gerkite tabletes prieš valgymą (ne vėliau kaip  prieš 30 min.), nes tuomet vaistas lengviau ir greičiau absorbuojamas (žr. 2 skyrių „Ketesse vartojimas su maistu ir gėrimais”). </w:t>
      </w:r>
    </w:p>
    <w:p w:rsidR="003F18E9" w:rsidRDefault="003F18E9" w:rsidP="003F18E9">
      <w:pPr>
        <w:pStyle w:val="BTEMEASMCA"/>
      </w:pPr>
    </w:p>
    <w:p w:rsidR="003F18E9" w:rsidRPr="006668B5" w:rsidRDefault="003F18E9" w:rsidP="003F18E9">
      <w:pPr>
        <w:pStyle w:val="BTEMEASMCA"/>
        <w:rPr>
          <w:b/>
        </w:rPr>
      </w:pPr>
      <w:r w:rsidRPr="006668B5">
        <w:rPr>
          <w:b/>
        </w:rPr>
        <w:t>Vartojimas vaikams ir paaugliams</w:t>
      </w:r>
    </w:p>
    <w:p w:rsidR="003F18E9" w:rsidRPr="006938A6" w:rsidRDefault="003F18E9" w:rsidP="003F18E9">
      <w:pPr>
        <w:pStyle w:val="BTEMEASMCA"/>
      </w:pPr>
      <w:r>
        <w:t>Šio vaisto vartoti vaikams ir paaugliams (iki 18 metų) negalima.</w:t>
      </w:r>
    </w:p>
    <w:p w:rsidR="003F18E9" w:rsidRDefault="003F18E9" w:rsidP="003F18E9">
      <w:pPr>
        <w:pStyle w:val="BTEMEASMCA"/>
      </w:pPr>
    </w:p>
    <w:p w:rsidR="003F18E9" w:rsidRDefault="003F18E9" w:rsidP="003F18E9">
      <w:pPr>
        <w:pStyle w:val="PI-3EMEASMCA"/>
      </w:pPr>
      <w:r>
        <w:t xml:space="preserve">Ką daryti pavartojus per didelę </w:t>
      </w:r>
      <w:proofErr w:type="spellStart"/>
      <w:r>
        <w:t>Ketesse</w:t>
      </w:r>
      <w:proofErr w:type="spellEnd"/>
      <w:r>
        <w:t xml:space="preserve"> dozę</w:t>
      </w:r>
    </w:p>
    <w:p w:rsidR="003F18E9" w:rsidRDefault="003F18E9" w:rsidP="003F18E9">
      <w:pPr>
        <w:pStyle w:val="Pagrindinistekstas"/>
        <w:spacing w:after="0"/>
      </w:pPr>
      <w:r>
        <w:t xml:space="preserve">Pavartoję per didelę </w:t>
      </w:r>
      <w:proofErr w:type="spellStart"/>
      <w:r>
        <w:t>Ketesse</w:t>
      </w:r>
      <w:proofErr w:type="spellEnd"/>
      <w:r>
        <w:t xml:space="preserve"> dozę, nedelsiant praneškite gydytojui arba vaistininkui, arba kreipkitės į artimiausios ligoninės skubios pagalbos skyrių. Nepamirškite pasiimti šio vaisto pakuotės arba šio pakuotės lapelio.</w:t>
      </w:r>
    </w:p>
    <w:p w:rsidR="003F18E9" w:rsidRDefault="003F18E9" w:rsidP="003F18E9">
      <w:pPr>
        <w:pStyle w:val="Pagrindinistekstas"/>
        <w:spacing w:after="0"/>
      </w:pPr>
    </w:p>
    <w:p w:rsidR="003F18E9" w:rsidRDefault="003F18E9" w:rsidP="003F18E9">
      <w:pPr>
        <w:pStyle w:val="PI-3EMEASMCA"/>
      </w:pPr>
      <w:r>
        <w:t xml:space="preserve">Pamiršus pavartoti </w:t>
      </w:r>
      <w:proofErr w:type="spellStart"/>
      <w:r>
        <w:t>Ketesse</w:t>
      </w:r>
      <w:proofErr w:type="spellEnd"/>
    </w:p>
    <w:p w:rsidR="003F18E9" w:rsidRDefault="003F18E9" w:rsidP="003F18E9">
      <w:pPr>
        <w:pStyle w:val="BTEMEASMCA"/>
      </w:pPr>
      <w:r>
        <w:t>Negalima vartoti dvigubos dozės norint kompensuoti praleistą tabletę. Toliau vartokite vaistą nustatyta tvarka (pagal 3 skyriaus „Kaip vartoti Ketesse“ nuorodas).</w:t>
      </w:r>
    </w:p>
    <w:p w:rsidR="003F18E9" w:rsidRPr="00EC0F2F" w:rsidRDefault="003F18E9" w:rsidP="003F18E9">
      <w:pPr>
        <w:pStyle w:val="BTEMEASMCA"/>
      </w:pPr>
    </w:p>
    <w:p w:rsidR="003F18E9" w:rsidRDefault="003F18E9" w:rsidP="003F18E9">
      <w:pPr>
        <w:pStyle w:val="BTEMEASMCA"/>
      </w:pPr>
      <w:r>
        <w:t>Jeigu kiltų daugiau klausimų dėl šio vaisto vartojimo, kreipkitės į gydytoją arba vaistininką.</w:t>
      </w:r>
    </w:p>
    <w:p w:rsidR="003F18E9" w:rsidRDefault="003F18E9" w:rsidP="003F18E9">
      <w:pPr>
        <w:pStyle w:val="BTEMEASMCA"/>
      </w:pPr>
    </w:p>
    <w:p w:rsidR="003F18E9" w:rsidRDefault="003F18E9" w:rsidP="003F18E9">
      <w:pPr>
        <w:pStyle w:val="BTEMEASMCA"/>
      </w:pPr>
    </w:p>
    <w:p w:rsidR="003F18E9" w:rsidRDefault="003F18E9" w:rsidP="003F18E9">
      <w:pPr>
        <w:pStyle w:val="PI-1EMEASMCA"/>
      </w:pPr>
      <w:bookmarkStart w:id="17" w:name="_Toc129243142"/>
      <w:bookmarkStart w:id="18" w:name="_Toc129243267"/>
      <w:r>
        <w:t>4.</w:t>
      </w:r>
      <w:r>
        <w:tab/>
        <w:t>Galimas šalutinis poveikis</w:t>
      </w:r>
      <w:bookmarkEnd w:id="17"/>
      <w:bookmarkEnd w:id="18"/>
    </w:p>
    <w:p w:rsidR="003F18E9" w:rsidRDefault="003F18E9" w:rsidP="003F18E9">
      <w:pPr>
        <w:pStyle w:val="BTEMEASMCA"/>
      </w:pPr>
    </w:p>
    <w:p w:rsidR="003F18E9" w:rsidRDefault="003F18E9" w:rsidP="003F18E9">
      <w:pPr>
        <w:pStyle w:val="BTEMEASMCA"/>
      </w:pPr>
      <w:r>
        <w:t>Šis vaistas, kaip ir visi kiti, gali sukelti šalutinį poveikį, nors jis pasireiškia ne visiems žmonėms.</w:t>
      </w:r>
    </w:p>
    <w:p w:rsidR="003F18E9" w:rsidRDefault="003F18E9" w:rsidP="003F18E9">
      <w:pPr>
        <w:pStyle w:val="BTEMEASMCA"/>
      </w:pPr>
    </w:p>
    <w:p w:rsidR="003F18E9" w:rsidRPr="006668B5" w:rsidRDefault="003F18E9" w:rsidP="003F18E9">
      <w:pPr>
        <w:pStyle w:val="BTEMEASMCA"/>
        <w:rPr>
          <w:b/>
        </w:rPr>
      </w:pPr>
      <w:r w:rsidRPr="006668B5">
        <w:rPr>
          <w:b/>
        </w:rPr>
        <w:t xml:space="preserve">Dažni </w:t>
      </w:r>
      <w:r w:rsidRPr="006668B5">
        <w:rPr>
          <w:b/>
          <w:snapToGrid w:val="0"/>
        </w:rPr>
        <w:t>šalutinio poveikio reiškiniai (gali pasireikšti</w:t>
      </w:r>
      <w:r w:rsidRPr="006668B5">
        <w:rPr>
          <w:b/>
        </w:rPr>
        <w:t xml:space="preserve"> rečiau kaip 1 iš 10 </w:t>
      </w:r>
      <w:r w:rsidRPr="006668B5">
        <w:rPr>
          <w:b/>
          <w:snapToGrid w:val="0"/>
        </w:rPr>
        <w:t>asmenų</w:t>
      </w:r>
      <w:r w:rsidRPr="006668B5">
        <w:rPr>
          <w:b/>
        </w:rPr>
        <w:t>)</w:t>
      </w:r>
    </w:p>
    <w:p w:rsidR="003F18E9" w:rsidRDefault="003F18E9" w:rsidP="003F18E9">
      <w:pPr>
        <w:pStyle w:val="BTEMEASMCA"/>
      </w:pPr>
      <w:r>
        <w:t>Pykinimas ir (arba) vėmimas, pagrinde viršutinės pilvo dalies skausmas, viduriavimas, virškinimo sutrikimas (dispepsija).</w:t>
      </w:r>
    </w:p>
    <w:p w:rsidR="003F18E9" w:rsidRDefault="003F18E9" w:rsidP="003F18E9">
      <w:pPr>
        <w:pStyle w:val="BTEMEASMCA"/>
      </w:pPr>
    </w:p>
    <w:p w:rsidR="003F18E9" w:rsidRPr="006668B5" w:rsidRDefault="003F18E9" w:rsidP="003F18E9">
      <w:pPr>
        <w:pStyle w:val="BTEMEASMCA"/>
        <w:rPr>
          <w:b/>
        </w:rPr>
      </w:pPr>
      <w:r w:rsidRPr="006668B5">
        <w:rPr>
          <w:b/>
        </w:rPr>
        <w:lastRenderedPageBreak/>
        <w:t xml:space="preserve">Nedažni </w:t>
      </w:r>
      <w:r w:rsidRPr="006668B5">
        <w:rPr>
          <w:b/>
          <w:snapToGrid w:val="0"/>
        </w:rPr>
        <w:t>šalutinio poveikio reiškiniai (gali pasireikšti</w:t>
      </w:r>
      <w:r w:rsidRPr="006668B5">
        <w:rPr>
          <w:b/>
        </w:rPr>
        <w:t xml:space="preserve"> rečiau kaip 1 iš 100 </w:t>
      </w:r>
      <w:r w:rsidRPr="006668B5">
        <w:rPr>
          <w:b/>
          <w:snapToGrid w:val="0"/>
        </w:rPr>
        <w:t>asmenų</w:t>
      </w:r>
      <w:r w:rsidRPr="006668B5">
        <w:rPr>
          <w:b/>
        </w:rPr>
        <w:t>)</w:t>
      </w:r>
    </w:p>
    <w:p w:rsidR="003F18E9" w:rsidRDefault="003F18E9" w:rsidP="003F18E9">
      <w:pPr>
        <w:pStyle w:val="BTEMEASMCA"/>
      </w:pPr>
      <w:r>
        <w:t>Galvos sukimasis (</w:t>
      </w:r>
      <w:r>
        <w:rPr>
          <w:i/>
        </w:rPr>
        <w:t>vertigo</w:t>
      </w:r>
      <w:r>
        <w:t>), galvos svaigimas (svaigulys), mieguistumas, sutrikęs miegas, nervingumas, galvos skausmas, pernelyg greitas juntamas širdies plakimas, raudonis, skrandžio gleivinės uždegimas (gastritas), vidurių užkietėjimas, burnos džiūvimas, pilvo pūtimas, bėrimas, nuovargis, skausmas, karščiavimo pojūtis, šaltkrėtis, bloga bendra savijauta (negalavimas).</w:t>
      </w:r>
    </w:p>
    <w:p w:rsidR="003F18E9" w:rsidRDefault="003F18E9" w:rsidP="003F18E9">
      <w:pPr>
        <w:pStyle w:val="BTEMEASMCA"/>
      </w:pPr>
    </w:p>
    <w:p w:rsidR="003F18E9" w:rsidRPr="006668B5" w:rsidRDefault="003F18E9" w:rsidP="003F18E9">
      <w:pPr>
        <w:pStyle w:val="BTEMEASMCA"/>
        <w:rPr>
          <w:b/>
        </w:rPr>
      </w:pPr>
      <w:r w:rsidRPr="006668B5">
        <w:rPr>
          <w:b/>
        </w:rPr>
        <w:t xml:space="preserve">Reti </w:t>
      </w:r>
      <w:r w:rsidRPr="006668B5">
        <w:rPr>
          <w:b/>
          <w:snapToGrid w:val="0"/>
        </w:rPr>
        <w:t>šalutinio poveikio reiškiniai (gali pasireikšti</w:t>
      </w:r>
      <w:r w:rsidRPr="006668B5">
        <w:rPr>
          <w:b/>
        </w:rPr>
        <w:t xml:space="preserve"> rečiau kaip 1 iš </w:t>
      </w:r>
      <w:r w:rsidRPr="006668B5">
        <w:rPr>
          <w:b/>
          <w:snapToGrid w:val="0"/>
        </w:rPr>
        <w:t>1 000 asmenų</w:t>
      </w:r>
      <w:r w:rsidRPr="006668B5">
        <w:rPr>
          <w:b/>
        </w:rPr>
        <w:t>)</w:t>
      </w:r>
    </w:p>
    <w:p w:rsidR="003F18E9" w:rsidRDefault="003F18E9" w:rsidP="003F18E9">
      <w:pPr>
        <w:pStyle w:val="BTEMEASMCA"/>
      </w:pPr>
      <w: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3F18E9" w:rsidRDefault="003F18E9" w:rsidP="003F18E9">
      <w:pPr>
        <w:pStyle w:val="BTEMEASMCA"/>
      </w:pPr>
    </w:p>
    <w:p w:rsidR="003F18E9" w:rsidRPr="006668B5" w:rsidRDefault="003F18E9" w:rsidP="003F18E9">
      <w:pPr>
        <w:pStyle w:val="BTEMEASMCA"/>
        <w:rPr>
          <w:b/>
        </w:rPr>
      </w:pPr>
      <w:r w:rsidRPr="006668B5">
        <w:rPr>
          <w:b/>
        </w:rPr>
        <w:t xml:space="preserve">Labai reti </w:t>
      </w:r>
      <w:r w:rsidRPr="006668B5">
        <w:rPr>
          <w:b/>
          <w:snapToGrid w:val="0"/>
        </w:rPr>
        <w:t>šalutinio poveikio reiškiniai (gali pasireikšti</w:t>
      </w:r>
      <w:r w:rsidRPr="006668B5">
        <w:rPr>
          <w:b/>
        </w:rPr>
        <w:t xml:space="preserve"> rečiau kaip 1 iš </w:t>
      </w:r>
      <w:r w:rsidRPr="006668B5">
        <w:rPr>
          <w:b/>
          <w:snapToGrid w:val="0"/>
        </w:rPr>
        <w:t>10 000 asmenų</w:t>
      </w:r>
      <w:r w:rsidRPr="006668B5">
        <w:rPr>
          <w:b/>
        </w:rPr>
        <w:t>)</w:t>
      </w:r>
    </w:p>
    <w:p w:rsidR="003F18E9" w:rsidRDefault="003F18E9" w:rsidP="003F18E9">
      <w:pPr>
        <w:pStyle w:val="BTEMEASMCA"/>
      </w:pPr>
      <w:r>
        <w:t>Anafilaksijos 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niežulys, inkstų pažeidimai. Baltųjų kraujo ląstelių skaičiaus sumažėjimas (neutropenija), trombocitų skaičiaus sumažėjimas (trombocitopenija).</w:t>
      </w:r>
    </w:p>
    <w:p w:rsidR="003F18E9" w:rsidRDefault="003F18E9" w:rsidP="003F18E9">
      <w:pPr>
        <w:pStyle w:val="BTEMEASMCA"/>
      </w:pPr>
    </w:p>
    <w:p w:rsidR="003F18E9" w:rsidRDefault="003F18E9" w:rsidP="003F18E9">
      <w:pPr>
        <w:pStyle w:val="BTEMEASMCA"/>
      </w:pPr>
      <w:r>
        <w:t>Jei pastebėjote kokį nors šalutinį poveikį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rsidR="003F18E9" w:rsidRDefault="003F18E9" w:rsidP="003F18E9">
      <w:pPr>
        <w:pStyle w:val="BTEMEASMCA"/>
      </w:pPr>
    </w:p>
    <w:p w:rsidR="003F18E9" w:rsidRDefault="003F18E9" w:rsidP="003F18E9">
      <w:pPr>
        <w:pStyle w:val="BTEMEASMCA"/>
      </w:pPr>
      <w:r>
        <w:t xml:space="preserve">Kai tik pastebėjote odos bėrimą ar kokį nors burnos gleivinės, lytinių organų pažeidimą arba kitą alergijos požymį, iš karto nutraukite </w:t>
      </w:r>
      <w:bookmarkStart w:id="19" w:name="_Hlk138943545"/>
      <w:r>
        <w:t>šio vaisto</w:t>
      </w:r>
      <w:bookmarkEnd w:id="19"/>
      <w:r>
        <w:t xml:space="preserve"> vartojimą.</w:t>
      </w:r>
    </w:p>
    <w:p w:rsidR="003F18E9" w:rsidRDefault="003F18E9" w:rsidP="003F18E9">
      <w:pPr>
        <w:pStyle w:val="BTEMEASMCA"/>
      </w:pPr>
    </w:p>
    <w:p w:rsidR="003F18E9" w:rsidRDefault="003F18E9" w:rsidP="003F18E9">
      <w:pPr>
        <w:pStyle w:val="BTEMEASMCA"/>
      </w:pPr>
      <w:r>
        <w:t>Pranešama, kad vartojant nesteroidinius vaistus nuo uždegimo pasitaikė skysčių susilaikymo organizme ir patinimų (ypač kulkšnių ir kojų), padidėjusio kraujospūdžio ir širdies nepakankamumo atvejų.</w:t>
      </w:r>
    </w:p>
    <w:p w:rsidR="003F18E9" w:rsidRDefault="003F18E9" w:rsidP="003F18E9">
      <w:pPr>
        <w:pStyle w:val="BTEMEASMCA"/>
      </w:pPr>
    </w:p>
    <w:p w:rsidR="003F18E9" w:rsidRDefault="003F18E9" w:rsidP="003F18E9">
      <w:pPr>
        <w:pStyle w:val="BTEMEASMCA"/>
      </w:pPr>
      <w:r>
        <w:t>Tokie vaistai kaip šis, gali būti susiję su širdies priepuolio (miokardo infarkto) ar smegenų kraujagyslių sutrikimo (insulto) rizikos nedideliu padidėjimu.</w:t>
      </w:r>
    </w:p>
    <w:p w:rsidR="003F18E9" w:rsidRDefault="003F18E9" w:rsidP="003F18E9">
      <w:pPr>
        <w:pStyle w:val="BTEMEASMCA"/>
      </w:pPr>
    </w:p>
    <w:p w:rsidR="003F18E9" w:rsidRDefault="003F18E9" w:rsidP="003F18E9">
      <w:pPr>
        <w:pStyle w:val="BTEMEASMCA"/>
      </w:pPr>
      <w:r>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rsidR="003F18E9" w:rsidRDefault="003F18E9" w:rsidP="003F18E9">
      <w:pPr>
        <w:pStyle w:val="BTEMEASMCA"/>
      </w:pPr>
    </w:p>
    <w:p w:rsidR="003F18E9" w:rsidRDefault="003F18E9" w:rsidP="003F18E9">
      <w:pPr>
        <w:pStyle w:val="BTEMEASMCA"/>
      </w:pPr>
      <w:r>
        <w:t xml:space="preserve">Dažniausiai pasireiškiantis nepageidaujamas poveikis yra virškinamojo trakto pobūdžio. </w:t>
      </w:r>
      <w:r w:rsidRPr="00592751">
        <w:t xml:space="preserve">Gali pasireikšti pepsinė opa, perforacija ar kraujavimas iš virškinimo trakto, kartais mirtinas, ypač vyresnio amžiaus žmonėms. </w:t>
      </w:r>
      <w:r>
        <w:t>Taip pat</w:t>
      </w:r>
      <w:r w:rsidRPr="00592751">
        <w:t xml:space="preserve"> buvo pranešta apie pykinimą, vėmimą, viduriavimą, vidurių pūtimą, vidurių užkietėjimą, </w:t>
      </w:r>
      <w:r>
        <w:t>virškinimo sutrikimą (</w:t>
      </w:r>
      <w:r w:rsidRPr="00592751">
        <w:t>dispepsiją</w:t>
      </w:r>
      <w:r>
        <w:t>)</w:t>
      </w:r>
      <w:r w:rsidRPr="00592751">
        <w:t xml:space="preserve">, pilvo skausmą, </w:t>
      </w:r>
      <w:r>
        <w:t>tamsias išmatas su krauju (</w:t>
      </w:r>
      <w:r w:rsidRPr="00592751">
        <w:t>meleną</w:t>
      </w:r>
      <w:r>
        <w:t>)</w:t>
      </w:r>
      <w:r w:rsidRPr="00592751">
        <w:t xml:space="preserve">, </w:t>
      </w:r>
      <w:r>
        <w:t>vėmimą krauju (</w:t>
      </w:r>
      <w:r w:rsidRPr="00592751">
        <w:t>hematemezę</w:t>
      </w:r>
      <w:r>
        <w:t>)</w:t>
      </w:r>
      <w:r w:rsidRPr="00592751">
        <w:t>, opinį stomatitą, kolito ir Kr</w:t>
      </w:r>
      <w:r>
        <w:t xml:space="preserve">ono ligos pablogėjimą. Rečiau </w:t>
      </w:r>
      <w:r w:rsidRPr="00592751">
        <w:t>stebėta</w:t>
      </w:r>
      <w:r>
        <w:t>s</w:t>
      </w:r>
      <w:r w:rsidRPr="00592751">
        <w:t xml:space="preserve"> skrandžio </w:t>
      </w:r>
      <w:r>
        <w:t>gleivinės</w:t>
      </w:r>
      <w:r w:rsidRPr="00592751">
        <w:t xml:space="preserve"> uždegim</w:t>
      </w:r>
      <w:r>
        <w:t>as</w:t>
      </w:r>
      <w:r w:rsidRPr="00592751">
        <w:t xml:space="preserve"> (gastritas)</w:t>
      </w:r>
      <w:r>
        <w:rPr>
          <w:rFonts w:ascii="Arial" w:hAnsi="Arial" w:cs="Arial"/>
        </w:rPr>
        <w:t>.</w:t>
      </w:r>
    </w:p>
    <w:p w:rsidR="003F18E9" w:rsidRDefault="003F18E9" w:rsidP="003F18E9">
      <w:pPr>
        <w:pStyle w:val="BTEMEASMCA"/>
      </w:pPr>
    </w:p>
    <w:p w:rsidR="003F18E9" w:rsidRDefault="003F18E9" w:rsidP="003F18E9">
      <w:pPr>
        <w:pStyle w:val="BTEMEASMCA"/>
      </w:pPr>
      <w:r w:rsidRPr="00592751">
        <w:t xml:space="preserve">Kaip ir </w:t>
      </w:r>
      <w:r>
        <w:t xml:space="preserve">dėl kitų </w:t>
      </w:r>
      <w:r w:rsidRPr="00592751">
        <w:t>NVNU, gali atsirasti hematologinių reakcijų (purpura, aplazinė ir hemolizinė anemija, retai - agranulocitozė ir medulinė hipoplazija)</w:t>
      </w:r>
      <w:r>
        <w:rPr>
          <w:rFonts w:ascii="Arial" w:hAnsi="Arial" w:cs="Arial"/>
        </w:rPr>
        <w:t>.</w:t>
      </w:r>
    </w:p>
    <w:p w:rsidR="003F18E9" w:rsidRDefault="003F18E9" w:rsidP="003F18E9">
      <w:pPr>
        <w:pStyle w:val="BTEMEASMCA"/>
      </w:pPr>
    </w:p>
    <w:p w:rsidR="003F18E9" w:rsidRPr="00B34FA1" w:rsidRDefault="003F18E9" w:rsidP="003F18E9">
      <w:pPr>
        <w:rPr>
          <w:b/>
          <w:bCs/>
        </w:rPr>
      </w:pPr>
      <w:r w:rsidRPr="00B34FA1">
        <w:rPr>
          <w:b/>
          <w:bCs/>
          <w:noProof/>
        </w:rPr>
        <w:t>Pranešimas apie šalutinį poveikį</w:t>
      </w:r>
    </w:p>
    <w:p w:rsidR="003F18E9" w:rsidRDefault="003F18E9" w:rsidP="003F18E9">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4" w:history="1">
        <w:r w:rsidRPr="005D554B">
          <w:rPr>
            <w:snapToGrid w:val="0"/>
            <w:color w:val="0000FF"/>
            <w:u w:val="single"/>
          </w:rPr>
          <w:t>https://vapris.vvkt.lt/vvkt-web/public/nrv</w:t>
        </w:r>
      </w:hyperlink>
      <w:r w:rsidRPr="005D554B">
        <w:rPr>
          <w:snapToGrid w:val="0"/>
        </w:rPr>
        <w:t xml:space="preserve"> arba </w:t>
      </w:r>
      <w:r w:rsidRPr="005D554B">
        <w:rPr>
          <w:snapToGrid w:val="0"/>
        </w:rPr>
        <w:lastRenderedPageBreak/>
        <w:t xml:space="preserve">užpildant Paciento pranešimo apie įtariamą nepageidaujamą reakciją (ĮNR) formą, kuri skelbiama </w:t>
      </w:r>
      <w:hyperlink r:id="rId5" w:history="1">
        <w:r w:rsidRPr="005D554B">
          <w:rPr>
            <w:snapToGrid w:val="0"/>
            <w:color w:val="0000FF"/>
            <w:u w:val="single"/>
          </w:rPr>
          <w:t>https://www.vvkt.lt/index.php?4004286486</w:t>
        </w:r>
      </w:hyperlink>
      <w:r w:rsidRPr="005D554B">
        <w:rPr>
          <w:snapToGrid w:val="0"/>
        </w:rPr>
        <w:t xml:space="preserve">, ir atsiunčiant elektroniniu paštu (adresu </w:t>
      </w:r>
      <w:hyperlink r:id="rId6"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8D230F">
        <w:t>.</w:t>
      </w:r>
    </w:p>
    <w:p w:rsidR="003F18E9" w:rsidRDefault="003F18E9" w:rsidP="003F18E9">
      <w:pPr>
        <w:pStyle w:val="BTEMEASMCA"/>
      </w:pPr>
    </w:p>
    <w:p w:rsidR="003F18E9" w:rsidRDefault="003F18E9" w:rsidP="003F18E9">
      <w:pPr>
        <w:pStyle w:val="BTEMEASMCA"/>
      </w:pPr>
    </w:p>
    <w:p w:rsidR="003F18E9" w:rsidRDefault="003F18E9" w:rsidP="003F18E9">
      <w:pPr>
        <w:pStyle w:val="PI-1EMEASMCA"/>
      </w:pPr>
      <w:bookmarkStart w:id="20" w:name="_Toc129243143"/>
      <w:bookmarkStart w:id="21" w:name="_Toc129243268"/>
      <w:r>
        <w:t>5.</w:t>
      </w:r>
      <w:r>
        <w:tab/>
        <w:t xml:space="preserve">Kaip laikyti </w:t>
      </w:r>
      <w:proofErr w:type="spellStart"/>
      <w:r>
        <w:t>Ketesse</w:t>
      </w:r>
      <w:bookmarkEnd w:id="20"/>
      <w:bookmarkEnd w:id="21"/>
      <w:proofErr w:type="spellEnd"/>
    </w:p>
    <w:p w:rsidR="003F18E9" w:rsidRDefault="003F18E9" w:rsidP="003F18E9">
      <w:pPr>
        <w:pStyle w:val="BTEMEASMCA"/>
      </w:pPr>
    </w:p>
    <w:p w:rsidR="003F18E9" w:rsidRDefault="003F18E9" w:rsidP="003F18E9">
      <w:pPr>
        <w:pStyle w:val="Pagrindinistekstas"/>
        <w:spacing w:after="0"/>
      </w:pPr>
      <w:r>
        <w:t>Šį vaistą laikykite vaikams nepastebimoje ir nepasiekiamoje vietoje.</w:t>
      </w:r>
    </w:p>
    <w:p w:rsidR="003F18E9" w:rsidRDefault="003F18E9" w:rsidP="003F18E9">
      <w:pPr>
        <w:pStyle w:val="BTEMEASMCA"/>
        <w:rPr>
          <w:noProof w:val="0"/>
        </w:rPr>
      </w:pPr>
      <w:r>
        <w:t xml:space="preserve">Ant kartono dėžutės ir lizdinės plokštelės „EXP“ nurodytam tinkamumo laikui pasibaigus, šio vaisto vartoti negalima. </w:t>
      </w:r>
      <w:r>
        <w:rPr>
          <w:noProof w:val="0"/>
        </w:rPr>
        <w:t>Vaistas tinkamas vartoti iki paskutinės nurodyto mėnesio dienos.</w:t>
      </w:r>
    </w:p>
    <w:p w:rsidR="003F18E9" w:rsidRDefault="003F18E9" w:rsidP="003F18E9">
      <w:pPr>
        <w:pStyle w:val="Pagrindinistekstas"/>
        <w:spacing w:after="0"/>
      </w:pPr>
    </w:p>
    <w:p w:rsidR="003F18E9" w:rsidRDefault="003F18E9" w:rsidP="003F18E9">
      <w:r>
        <w:rPr>
          <w:snapToGrid w:val="0"/>
          <w:sz w:val="22"/>
          <w:szCs w:val="22"/>
          <w:lang w:eastAsia="it-IT"/>
        </w:rPr>
        <w:t>[</w:t>
      </w:r>
      <w:r w:rsidRPr="006668B5">
        <w:rPr>
          <w:sz w:val="22"/>
        </w:rPr>
        <w:t>PVC-al</w:t>
      </w:r>
      <w:r w:rsidRPr="00085C47">
        <w:rPr>
          <w:snapToGrid w:val="0"/>
          <w:lang w:eastAsia="it-IT"/>
        </w:rPr>
        <w:t>i</w:t>
      </w:r>
      <w:r w:rsidRPr="006668B5">
        <w:rPr>
          <w:sz w:val="22"/>
        </w:rPr>
        <w:t>umini</w:t>
      </w:r>
      <w:r w:rsidRPr="00085C47">
        <w:rPr>
          <w:snapToGrid w:val="0"/>
          <w:lang w:eastAsia="it-IT"/>
        </w:rPr>
        <w:t>o</w:t>
      </w:r>
      <w:r w:rsidRPr="006668B5">
        <w:rPr>
          <w:sz w:val="22"/>
        </w:rPr>
        <w:t xml:space="preserve"> </w:t>
      </w:r>
      <w:r w:rsidRPr="00085C47">
        <w:rPr>
          <w:snapToGrid w:val="0"/>
          <w:lang w:eastAsia="it-IT"/>
        </w:rPr>
        <w:t>lizdinė plokštelė</w:t>
      </w:r>
      <w:r w:rsidRPr="003832DD">
        <w:t>:</w:t>
      </w:r>
      <w:r>
        <w:t>]</w:t>
      </w:r>
      <w:r w:rsidRPr="003832DD">
        <w:t xml:space="preserve"> </w:t>
      </w:r>
    </w:p>
    <w:p w:rsidR="003F18E9" w:rsidRPr="003068E1" w:rsidRDefault="003F18E9" w:rsidP="003F18E9">
      <w:r>
        <w:t>L</w:t>
      </w:r>
      <w:r w:rsidRPr="003068E1">
        <w:t>aikyti</w:t>
      </w:r>
      <w:r w:rsidRPr="00D41A20">
        <w:t xml:space="preserve"> ne aukštesnėje kaip 30</w:t>
      </w:r>
      <w:r w:rsidRPr="003068E1">
        <w:t> </w:t>
      </w:r>
      <w:r w:rsidRPr="00D41A20">
        <w:sym w:font="Symbol" w:char="F0B0"/>
      </w:r>
      <w:r w:rsidRPr="00D41A20">
        <w:t>C temperatūroje.</w:t>
      </w:r>
      <w:r>
        <w:rPr>
          <w:sz w:val="22"/>
        </w:rPr>
        <w:t xml:space="preserve"> </w:t>
      </w:r>
      <w:r w:rsidRPr="003068E1">
        <w:t>Lizdinę plokštelę laikyti išorinėje dėžutėje, kad vaistas būtų apsaugotas nuo šviesos.</w:t>
      </w:r>
    </w:p>
    <w:p w:rsidR="003F18E9" w:rsidRPr="00D41A20" w:rsidRDefault="003F18E9" w:rsidP="003F18E9">
      <w:pPr>
        <w:pStyle w:val="BTEMEASMCA"/>
        <w:rPr>
          <w:snapToGrid w:val="0"/>
          <w:highlight w:val="lightGray"/>
          <w:lang w:eastAsia="it-IT"/>
        </w:rPr>
      </w:pPr>
      <w:r w:rsidRPr="00D41A20">
        <w:rPr>
          <w:snapToGrid w:val="0"/>
          <w:highlight w:val="lightGray"/>
          <w:lang w:eastAsia="it-IT"/>
        </w:rPr>
        <w:t>[</w:t>
      </w:r>
      <w:r w:rsidRPr="006668B5">
        <w:rPr>
          <w:highlight w:val="lightGray"/>
        </w:rPr>
        <w:t xml:space="preserve">Aclar- aliuminio </w:t>
      </w:r>
      <w:r w:rsidRPr="00D41A20">
        <w:rPr>
          <w:highlight w:val="lightGray"/>
        </w:rPr>
        <w:t xml:space="preserve">ar </w:t>
      </w:r>
      <w:r w:rsidRPr="00D41A20">
        <w:rPr>
          <w:snapToGrid w:val="0"/>
          <w:highlight w:val="lightGray"/>
          <w:lang w:val="en-GB" w:eastAsia="it-IT"/>
        </w:rPr>
        <w:t xml:space="preserve">aliuminio-aliuminio </w:t>
      </w:r>
      <w:r w:rsidRPr="006668B5">
        <w:rPr>
          <w:highlight w:val="lightGray"/>
          <w:lang w:val="en-GB"/>
        </w:rPr>
        <w:t>lizdinė plokštelė</w:t>
      </w:r>
      <w:r w:rsidRPr="00D41A20">
        <w:rPr>
          <w:snapToGrid w:val="0"/>
          <w:highlight w:val="lightGray"/>
          <w:lang w:eastAsia="it-IT"/>
        </w:rPr>
        <w:t xml:space="preserve">:] </w:t>
      </w:r>
    </w:p>
    <w:p w:rsidR="003F18E9" w:rsidRDefault="003F18E9" w:rsidP="003F18E9">
      <w:pPr>
        <w:pStyle w:val="Pagrindinistekstas"/>
        <w:spacing w:after="0"/>
      </w:pPr>
      <w:r w:rsidRPr="00D41A20">
        <w:rPr>
          <w:highlight w:val="lightGray"/>
        </w:rPr>
        <w:t>Šiam vaistui</w:t>
      </w:r>
      <w:r w:rsidRPr="006668B5">
        <w:rPr>
          <w:highlight w:val="lightGray"/>
        </w:rPr>
        <w:t xml:space="preserve"> specialių </w:t>
      </w:r>
      <w:r w:rsidRPr="00F91CC8">
        <w:rPr>
          <w:highlight w:val="lightGray"/>
        </w:rPr>
        <w:t>temperatūrinių</w:t>
      </w:r>
      <w:r w:rsidRPr="00D41A20">
        <w:rPr>
          <w:highlight w:val="lightGray"/>
        </w:rPr>
        <w:t xml:space="preserve"> </w:t>
      </w:r>
      <w:r w:rsidRPr="006668B5">
        <w:rPr>
          <w:highlight w:val="lightGray"/>
        </w:rPr>
        <w:t>laikymo sąlygų nereikia.</w:t>
      </w:r>
      <w:r w:rsidRPr="00D41A20">
        <w:rPr>
          <w:highlight w:val="lightGray"/>
        </w:rPr>
        <w:t xml:space="preserve"> </w:t>
      </w:r>
      <w:r w:rsidRPr="00F91CC8">
        <w:rPr>
          <w:snapToGrid w:val="0"/>
          <w:highlight w:val="lightGray"/>
          <w:lang w:eastAsia="it-IT"/>
        </w:rPr>
        <w:t>La</w:t>
      </w:r>
      <w:r w:rsidRPr="00F91CC8">
        <w:rPr>
          <w:highlight w:val="lightGray"/>
        </w:rPr>
        <w:t>ikyti originalioje pakuotėje</w:t>
      </w:r>
      <w:r w:rsidRPr="00D41A20">
        <w:rPr>
          <w:highlight w:val="lightGray"/>
        </w:rPr>
        <w:t xml:space="preserve">, kad </w:t>
      </w:r>
      <w:r>
        <w:rPr>
          <w:highlight w:val="lightGray"/>
        </w:rPr>
        <w:t>vaistas</w:t>
      </w:r>
      <w:r w:rsidRPr="00D41A20">
        <w:rPr>
          <w:highlight w:val="lightGray"/>
        </w:rPr>
        <w:t xml:space="preserve"> būtų apsaugotas nuo šviesos.</w:t>
      </w:r>
    </w:p>
    <w:p w:rsidR="003F18E9" w:rsidRPr="00552CEF" w:rsidRDefault="003F18E9" w:rsidP="003F18E9">
      <w:pPr>
        <w:pStyle w:val="Pagrindinistekstas"/>
        <w:spacing w:after="0"/>
      </w:pPr>
    </w:p>
    <w:p w:rsidR="003F18E9" w:rsidRDefault="003F18E9" w:rsidP="003F18E9">
      <w:pPr>
        <w:pStyle w:val="BTEMEASMCA"/>
      </w:pPr>
      <w:r w:rsidRPr="00552CEF">
        <w:t>Vaistų negalima išmesti į kanalizaciją arba su buitinėmis atliekomis. Kaip išmesti nereikalingus</w:t>
      </w:r>
      <w:r>
        <w:t xml:space="preserve"> vaistus, klauskite vaistininko. Šios priemonės padės apsaugoti aplinką.</w:t>
      </w:r>
    </w:p>
    <w:p w:rsidR="003F18E9" w:rsidRDefault="003F18E9" w:rsidP="003F18E9">
      <w:pPr>
        <w:pStyle w:val="BTEMEASMCA"/>
      </w:pPr>
    </w:p>
    <w:p w:rsidR="003F18E9" w:rsidRDefault="003F18E9" w:rsidP="003F18E9">
      <w:pPr>
        <w:pStyle w:val="BTEMEASMCA"/>
      </w:pPr>
    </w:p>
    <w:p w:rsidR="003F18E9" w:rsidRDefault="003F18E9" w:rsidP="003F18E9">
      <w:pPr>
        <w:pStyle w:val="PI-1EMEASMCA"/>
      </w:pPr>
      <w:bookmarkStart w:id="22" w:name="_Toc129243144"/>
      <w:bookmarkStart w:id="23" w:name="_Toc129243269"/>
      <w:r>
        <w:t>6.</w:t>
      </w:r>
      <w:r>
        <w:tab/>
        <w:t>Pakuotės turinys ir kita informacija</w:t>
      </w:r>
      <w:bookmarkEnd w:id="22"/>
      <w:bookmarkEnd w:id="23"/>
    </w:p>
    <w:p w:rsidR="003F18E9" w:rsidRDefault="003F18E9" w:rsidP="003F18E9">
      <w:pPr>
        <w:pStyle w:val="BTEMEASMCA"/>
      </w:pPr>
    </w:p>
    <w:p w:rsidR="003F18E9" w:rsidRDefault="003F18E9" w:rsidP="003F18E9">
      <w:pPr>
        <w:pStyle w:val="PI-3EMEASMCA"/>
      </w:pPr>
      <w:proofErr w:type="spellStart"/>
      <w:r>
        <w:t>Ketesse</w:t>
      </w:r>
      <w:proofErr w:type="spellEnd"/>
      <w:r>
        <w:t xml:space="preserve"> sudėtis</w:t>
      </w:r>
    </w:p>
    <w:p w:rsidR="003F18E9" w:rsidRPr="00881DDF" w:rsidRDefault="003F18E9" w:rsidP="003F18E9">
      <w:pPr>
        <w:pStyle w:val="BT-EMEASMCA"/>
      </w:pPr>
      <w:r>
        <w:t xml:space="preserve">-         </w:t>
      </w:r>
      <w:r w:rsidRPr="00881DDF">
        <w:t>Veiklioji medžiaga yra deksketoprofen</w:t>
      </w:r>
      <w:r>
        <w:t xml:space="preserve">as (deksketoprofeno </w:t>
      </w:r>
      <w:r w:rsidRPr="00881DDF">
        <w:t>o trometamoli</w:t>
      </w:r>
      <w:r>
        <w:t>o pavidalu)</w:t>
      </w:r>
      <w:r w:rsidRPr="00881DDF">
        <w:t xml:space="preserve">. </w:t>
      </w:r>
      <w:r>
        <w:t>Kiekv</w:t>
      </w:r>
      <w:r w:rsidRPr="00881DDF">
        <w:t xml:space="preserve">ienoje  </w:t>
      </w:r>
      <w:r>
        <w:t xml:space="preserve">plėvele dengtoje </w:t>
      </w:r>
      <w:r w:rsidRPr="00881DDF">
        <w:t xml:space="preserve">tabletėje yra </w:t>
      </w:r>
      <w:r>
        <w:t>25</w:t>
      </w:r>
      <w:r w:rsidRPr="00881DDF">
        <w:t xml:space="preserve"> mg </w:t>
      </w:r>
      <w:r>
        <w:t>deksketoprofeno.</w:t>
      </w:r>
    </w:p>
    <w:p w:rsidR="003F18E9" w:rsidRDefault="003F18E9" w:rsidP="003F18E9">
      <w:pPr>
        <w:pStyle w:val="BT-EMEASMCA"/>
      </w:pPr>
      <w:r>
        <w:t xml:space="preserve">-         </w:t>
      </w:r>
      <w:r w:rsidRPr="00AF1451">
        <w:t>Pagalbinės medžiagos yra</w:t>
      </w:r>
      <w:r>
        <w:t>:</w:t>
      </w:r>
    </w:p>
    <w:p w:rsidR="003F18E9" w:rsidRDefault="003F18E9" w:rsidP="003F18E9">
      <w:pPr>
        <w:pStyle w:val="BT-EMEASMCA"/>
      </w:pPr>
      <w:r>
        <w:tab/>
      </w:r>
      <w:r>
        <w:tab/>
        <w:t>Tabletės šerdis:</w:t>
      </w:r>
      <w:r w:rsidRPr="00AF1451">
        <w:t xml:space="preserve"> kukurūzų krakmolas, mikrokristalinė celiuliozė, karboksimetilkrakmolo natrio druska, glicerolio distearatas</w:t>
      </w:r>
      <w:r>
        <w:t>.</w:t>
      </w:r>
    </w:p>
    <w:p w:rsidR="003F18E9" w:rsidRDefault="003F18E9" w:rsidP="003F18E9">
      <w:pPr>
        <w:pStyle w:val="BT-EMEASMCA"/>
      </w:pPr>
      <w:r>
        <w:tab/>
      </w:r>
      <w:r>
        <w:tab/>
        <w:t>Tabletės apvalkalas: sausasis lakas (sudarytas iš</w:t>
      </w:r>
      <w:r w:rsidRPr="00AF1451">
        <w:t xml:space="preserve"> hipromeliozė</w:t>
      </w:r>
      <w:r>
        <w:t>s</w:t>
      </w:r>
      <w:r w:rsidRPr="00AF1451">
        <w:t>, titano dioksid</w:t>
      </w:r>
      <w:r>
        <w:t>o</w:t>
      </w:r>
      <w:r w:rsidRPr="00AF1451">
        <w:t xml:space="preserve">, </w:t>
      </w:r>
      <w:r>
        <w:t xml:space="preserve">makrogolio 6000), </w:t>
      </w:r>
      <w:r w:rsidRPr="00AF1451">
        <w:t>propilenglikolis</w:t>
      </w:r>
      <w:r>
        <w:t>.</w:t>
      </w:r>
    </w:p>
    <w:p w:rsidR="003F18E9" w:rsidRDefault="003F18E9" w:rsidP="003F18E9">
      <w:pPr>
        <w:pStyle w:val="BTEMEASMCA"/>
      </w:pPr>
    </w:p>
    <w:p w:rsidR="003F18E9" w:rsidRDefault="003F18E9" w:rsidP="003F18E9">
      <w:pPr>
        <w:pStyle w:val="PI-3EMEASMCA"/>
      </w:pPr>
      <w:proofErr w:type="spellStart"/>
      <w:r>
        <w:t>Ketesse</w:t>
      </w:r>
      <w:proofErr w:type="spellEnd"/>
      <w:r>
        <w:t xml:space="preserve"> išvaizda ir kiekis pakuotėje</w:t>
      </w:r>
    </w:p>
    <w:p w:rsidR="003F18E9" w:rsidRDefault="003F18E9" w:rsidP="003F18E9">
      <w:pPr>
        <w:pStyle w:val="Pagrindinistekstas"/>
        <w:spacing w:after="0"/>
      </w:pPr>
      <w:r>
        <w:t>Baltos apvalios su išgaubtais šonais plėvele dengtos tabletės</w:t>
      </w:r>
      <w:r w:rsidRPr="00900F81">
        <w:t xml:space="preserve"> </w:t>
      </w:r>
      <w:r>
        <w:t>su vagele, tiekiamos lizdinėmis plokštelėmis.</w:t>
      </w:r>
    </w:p>
    <w:p w:rsidR="003F18E9" w:rsidRDefault="003F18E9" w:rsidP="003F18E9">
      <w:pPr>
        <w:pStyle w:val="Pagrindinistekstas"/>
        <w:spacing w:after="0"/>
      </w:pPr>
      <w:r>
        <w:t>Kartono dėžutėje yra 4, 10, 20, 30, 50 ir 500 plėvele dengtų tablečių.</w:t>
      </w:r>
    </w:p>
    <w:p w:rsidR="003F18E9" w:rsidRDefault="003F18E9" w:rsidP="003F18E9">
      <w:pPr>
        <w:pStyle w:val="BTEMEASMCA"/>
      </w:pPr>
      <w:r>
        <w:t>Gali būti tiekiamos ne visų dydžių pakuotės.</w:t>
      </w:r>
    </w:p>
    <w:p w:rsidR="003F18E9" w:rsidRDefault="003F18E9" w:rsidP="003F18E9">
      <w:pPr>
        <w:pStyle w:val="BTEMEASMCA"/>
      </w:pPr>
    </w:p>
    <w:p w:rsidR="003F18E9" w:rsidRDefault="003F18E9" w:rsidP="003F18E9">
      <w:pPr>
        <w:pStyle w:val="PI-3EMEASMCA"/>
      </w:pPr>
      <w:r>
        <w:t>Registruotojas</w:t>
      </w:r>
    </w:p>
    <w:p w:rsidR="003F18E9" w:rsidRDefault="003F18E9" w:rsidP="003F18E9">
      <w:pPr>
        <w:pStyle w:val="Pagrindinistekstas"/>
        <w:spacing w:after="0"/>
      </w:pPr>
      <w:r>
        <w:t xml:space="preserve">Menarini International </w:t>
      </w:r>
      <w:proofErr w:type="spellStart"/>
      <w:r>
        <w:t>Operations</w:t>
      </w:r>
      <w:proofErr w:type="spellEnd"/>
      <w:r>
        <w:t xml:space="preserve"> </w:t>
      </w:r>
      <w:proofErr w:type="spellStart"/>
      <w:r>
        <w:t>Luxembourg</w:t>
      </w:r>
      <w:proofErr w:type="spellEnd"/>
      <w:r>
        <w:t xml:space="preserve"> S.A..</w:t>
      </w:r>
    </w:p>
    <w:p w:rsidR="003F18E9" w:rsidRDefault="003F18E9" w:rsidP="003F18E9">
      <w:pPr>
        <w:pStyle w:val="Pagrindinistekstas"/>
        <w:spacing w:after="0"/>
      </w:pPr>
      <w:r>
        <w:t xml:space="preserve">1, </w:t>
      </w:r>
      <w:proofErr w:type="spellStart"/>
      <w:r>
        <w:t>Avenue</w:t>
      </w:r>
      <w:proofErr w:type="spellEnd"/>
      <w:r>
        <w:t xml:space="preserve"> de </w:t>
      </w:r>
      <w:proofErr w:type="spellStart"/>
      <w:r>
        <w:t>la</w:t>
      </w:r>
      <w:proofErr w:type="spellEnd"/>
      <w:r>
        <w:t xml:space="preserve"> Gare</w:t>
      </w:r>
    </w:p>
    <w:p w:rsidR="003F18E9" w:rsidRDefault="003F18E9" w:rsidP="003F18E9">
      <w:pPr>
        <w:pStyle w:val="Pagrindinistekstas"/>
        <w:spacing w:after="0"/>
      </w:pPr>
      <w:r>
        <w:t xml:space="preserve">L-1611 </w:t>
      </w:r>
      <w:proofErr w:type="spellStart"/>
      <w:r>
        <w:t>Luxembourg</w:t>
      </w:r>
      <w:proofErr w:type="spellEnd"/>
    </w:p>
    <w:p w:rsidR="003F18E9" w:rsidRDefault="003F18E9" w:rsidP="003F18E9">
      <w:pPr>
        <w:pStyle w:val="Pagrindinistekstas"/>
        <w:spacing w:after="0"/>
      </w:pPr>
      <w:r>
        <w:t>Liuksemburgas</w:t>
      </w:r>
    </w:p>
    <w:p w:rsidR="003F18E9" w:rsidRDefault="003F18E9" w:rsidP="003F18E9">
      <w:pPr>
        <w:pStyle w:val="Pagrindinistekstas"/>
        <w:spacing w:after="0"/>
        <w:rPr>
          <w:b/>
        </w:rPr>
      </w:pPr>
    </w:p>
    <w:p w:rsidR="003F18E9" w:rsidRDefault="003F18E9" w:rsidP="003F18E9">
      <w:pPr>
        <w:pStyle w:val="Pagrindinistekstas"/>
        <w:spacing w:after="0"/>
        <w:rPr>
          <w:b/>
        </w:rPr>
      </w:pPr>
      <w:r>
        <w:rPr>
          <w:b/>
        </w:rPr>
        <w:t>Gamintojai</w:t>
      </w:r>
    </w:p>
    <w:p w:rsidR="003F18E9" w:rsidRDefault="003F18E9" w:rsidP="003F18E9">
      <w:pPr>
        <w:pStyle w:val="Standard-Einzug1"/>
        <w:spacing w:after="0"/>
        <w:ind w:left="360" w:hanging="360"/>
        <w:rPr>
          <w:rFonts w:ascii="Times New Roman" w:hAnsi="Times New Roman"/>
          <w:sz w:val="22"/>
          <w:lang w:val="lt-LT"/>
        </w:rPr>
      </w:pPr>
      <w:proofErr w:type="spellStart"/>
      <w:r>
        <w:rPr>
          <w:rFonts w:ascii="Times New Roman" w:hAnsi="Times New Roman"/>
          <w:sz w:val="22"/>
          <w:lang w:val="lt-LT"/>
        </w:rPr>
        <w:t>Laboratorios</w:t>
      </w:r>
      <w:proofErr w:type="spellEnd"/>
      <w:r>
        <w:rPr>
          <w:rFonts w:ascii="Times New Roman" w:hAnsi="Times New Roman"/>
          <w:sz w:val="22"/>
          <w:lang w:val="lt-LT"/>
        </w:rPr>
        <w:t xml:space="preserve"> Menarini S.A.</w:t>
      </w:r>
    </w:p>
    <w:p w:rsidR="003F18E9" w:rsidRDefault="003F18E9" w:rsidP="003F18E9">
      <w:pPr>
        <w:pStyle w:val="Standard-Einzug1"/>
        <w:spacing w:after="0"/>
        <w:ind w:left="360" w:hanging="360"/>
        <w:rPr>
          <w:rFonts w:ascii="Times New Roman" w:hAnsi="Times New Roman"/>
          <w:sz w:val="22"/>
          <w:lang w:val="lt-LT"/>
        </w:rPr>
      </w:pPr>
      <w:r>
        <w:rPr>
          <w:rFonts w:ascii="Times New Roman" w:hAnsi="Times New Roman"/>
          <w:sz w:val="22"/>
          <w:lang w:val="lt-LT"/>
        </w:rPr>
        <w:t>C/Alfonso XII, 587-08918-Badalona, Barselona</w:t>
      </w:r>
    </w:p>
    <w:p w:rsidR="003F18E9" w:rsidRDefault="003F18E9" w:rsidP="003F18E9">
      <w:pPr>
        <w:pStyle w:val="Standard-Einzug1"/>
        <w:spacing w:after="0"/>
        <w:ind w:left="360" w:hanging="360"/>
        <w:rPr>
          <w:rFonts w:ascii="Times New Roman" w:hAnsi="Times New Roman"/>
          <w:sz w:val="22"/>
          <w:lang w:val="lt-LT"/>
        </w:rPr>
      </w:pPr>
      <w:r>
        <w:rPr>
          <w:rFonts w:ascii="Times New Roman" w:hAnsi="Times New Roman"/>
          <w:sz w:val="22"/>
          <w:lang w:val="lt-LT"/>
        </w:rPr>
        <w:t>Ispanija</w:t>
      </w:r>
    </w:p>
    <w:p w:rsidR="003F18E9" w:rsidRDefault="003F18E9" w:rsidP="003F18E9">
      <w:pPr>
        <w:pStyle w:val="Standard-Einzug1"/>
        <w:spacing w:after="0"/>
        <w:ind w:left="360" w:hanging="360"/>
        <w:rPr>
          <w:rFonts w:ascii="Times New Roman" w:hAnsi="Times New Roman"/>
          <w:sz w:val="22"/>
          <w:lang w:val="lt-LT"/>
        </w:rPr>
      </w:pPr>
    </w:p>
    <w:p w:rsidR="003F18E9" w:rsidRDefault="003F18E9" w:rsidP="003F18E9">
      <w:pPr>
        <w:pStyle w:val="Standard-Einzug1"/>
        <w:spacing w:after="0"/>
        <w:ind w:left="360" w:hanging="360"/>
        <w:rPr>
          <w:rFonts w:ascii="Times New Roman" w:hAnsi="Times New Roman"/>
          <w:sz w:val="22"/>
          <w:lang w:val="lt-LT"/>
        </w:rPr>
      </w:pPr>
      <w:r>
        <w:rPr>
          <w:rFonts w:ascii="Times New Roman" w:hAnsi="Times New Roman"/>
          <w:sz w:val="22"/>
          <w:lang w:val="lt-LT"/>
        </w:rPr>
        <w:t xml:space="preserve">arba </w:t>
      </w:r>
    </w:p>
    <w:p w:rsidR="003F18E9" w:rsidRDefault="003F18E9" w:rsidP="003F18E9">
      <w:pPr>
        <w:pStyle w:val="Standard-Einzug1"/>
        <w:spacing w:after="0"/>
        <w:ind w:left="360" w:hanging="360"/>
        <w:rPr>
          <w:rFonts w:ascii="Times New Roman" w:hAnsi="Times New Roman"/>
          <w:sz w:val="22"/>
          <w:lang w:val="lt-LT"/>
        </w:rPr>
      </w:pPr>
    </w:p>
    <w:p w:rsidR="003F18E9" w:rsidRDefault="003F18E9" w:rsidP="003F18E9">
      <w:pPr>
        <w:pStyle w:val="Standard-Einzug1"/>
        <w:spacing w:after="0"/>
        <w:ind w:left="360" w:hanging="360"/>
        <w:rPr>
          <w:rFonts w:ascii="Times New Roman" w:hAnsi="Times New Roman"/>
          <w:sz w:val="22"/>
          <w:lang w:val="lt-LT"/>
        </w:rPr>
      </w:pPr>
      <w:r>
        <w:rPr>
          <w:rFonts w:ascii="Times New Roman" w:hAnsi="Times New Roman"/>
          <w:sz w:val="22"/>
          <w:lang w:val="lt-LT"/>
        </w:rPr>
        <w:t xml:space="preserve">A. Menarini </w:t>
      </w:r>
      <w:proofErr w:type="spellStart"/>
      <w:r>
        <w:rPr>
          <w:rFonts w:ascii="Times New Roman" w:hAnsi="Times New Roman"/>
          <w:sz w:val="22"/>
          <w:lang w:val="lt-LT"/>
        </w:rPr>
        <w:t>Manufacturing</w:t>
      </w:r>
      <w:proofErr w:type="spellEnd"/>
      <w:r>
        <w:rPr>
          <w:rFonts w:ascii="Times New Roman" w:hAnsi="Times New Roman"/>
          <w:sz w:val="22"/>
          <w:lang w:val="lt-LT"/>
        </w:rPr>
        <w:t xml:space="preserve"> </w:t>
      </w:r>
      <w:proofErr w:type="spellStart"/>
      <w:r>
        <w:rPr>
          <w:rFonts w:ascii="Times New Roman" w:hAnsi="Times New Roman"/>
          <w:sz w:val="22"/>
          <w:lang w:val="lt-LT"/>
        </w:rPr>
        <w:t>Logistics</w:t>
      </w:r>
      <w:proofErr w:type="spellEnd"/>
      <w:r>
        <w:rPr>
          <w:rFonts w:ascii="Times New Roman" w:hAnsi="Times New Roman"/>
          <w:sz w:val="22"/>
          <w:lang w:val="lt-LT"/>
        </w:rPr>
        <w:t xml:space="preserve"> </w:t>
      </w:r>
      <w:proofErr w:type="spellStart"/>
      <w:r>
        <w:rPr>
          <w:rFonts w:ascii="Times New Roman" w:hAnsi="Times New Roman"/>
          <w:sz w:val="22"/>
          <w:lang w:val="lt-LT"/>
        </w:rPr>
        <w:t>and</w:t>
      </w:r>
      <w:proofErr w:type="spellEnd"/>
      <w:r>
        <w:rPr>
          <w:rFonts w:ascii="Times New Roman" w:hAnsi="Times New Roman"/>
          <w:sz w:val="22"/>
          <w:lang w:val="lt-LT"/>
        </w:rPr>
        <w:t xml:space="preserve"> </w:t>
      </w:r>
      <w:proofErr w:type="spellStart"/>
      <w:r>
        <w:rPr>
          <w:rFonts w:ascii="Times New Roman" w:hAnsi="Times New Roman"/>
          <w:sz w:val="22"/>
          <w:lang w:val="lt-LT"/>
        </w:rPr>
        <w:t>Services</w:t>
      </w:r>
      <w:proofErr w:type="spellEnd"/>
      <w:r>
        <w:rPr>
          <w:rFonts w:ascii="Times New Roman" w:hAnsi="Times New Roman"/>
          <w:sz w:val="22"/>
          <w:lang w:val="lt-LT"/>
        </w:rPr>
        <w:t> </w:t>
      </w:r>
      <w:proofErr w:type="spellStart"/>
      <w:r>
        <w:rPr>
          <w:rFonts w:ascii="Times New Roman" w:hAnsi="Times New Roman"/>
          <w:sz w:val="22"/>
          <w:lang w:val="lt-LT"/>
        </w:rPr>
        <w:t>s.r.l</w:t>
      </w:r>
      <w:proofErr w:type="spellEnd"/>
      <w:r>
        <w:rPr>
          <w:rFonts w:ascii="Times New Roman" w:hAnsi="Times New Roman"/>
          <w:sz w:val="22"/>
          <w:lang w:val="lt-LT"/>
        </w:rPr>
        <w:t>.</w:t>
      </w:r>
    </w:p>
    <w:p w:rsidR="003F18E9" w:rsidRPr="00B677C9" w:rsidRDefault="003F18E9" w:rsidP="003F18E9">
      <w:pPr>
        <w:pStyle w:val="Standard-Einzug1"/>
        <w:spacing w:after="0"/>
        <w:ind w:left="360" w:hanging="360"/>
        <w:rPr>
          <w:rFonts w:ascii="Times New Roman" w:hAnsi="Times New Roman"/>
          <w:sz w:val="22"/>
          <w:lang w:val="lt-LT"/>
        </w:rPr>
      </w:pPr>
      <w:proofErr w:type="spellStart"/>
      <w:r>
        <w:rPr>
          <w:rFonts w:ascii="Times New Roman" w:hAnsi="Times New Roman"/>
          <w:sz w:val="22"/>
          <w:lang w:val="lt-LT"/>
        </w:rPr>
        <w:t>Campo</w:t>
      </w:r>
      <w:proofErr w:type="spellEnd"/>
      <w:r>
        <w:rPr>
          <w:rFonts w:ascii="Times New Roman" w:hAnsi="Times New Roman"/>
          <w:sz w:val="22"/>
          <w:lang w:val="lt-LT"/>
        </w:rPr>
        <w:t xml:space="preserve"> di Pile-</w:t>
      </w:r>
      <w:proofErr w:type="spellStart"/>
      <w:r>
        <w:rPr>
          <w:rFonts w:ascii="Times New Roman" w:hAnsi="Times New Roman"/>
          <w:sz w:val="22"/>
          <w:lang w:val="lt-LT"/>
        </w:rPr>
        <w:t>L’Aquila</w:t>
      </w:r>
      <w:proofErr w:type="spellEnd"/>
    </w:p>
    <w:p w:rsidR="003F18E9" w:rsidRDefault="003F18E9" w:rsidP="003F18E9">
      <w:pPr>
        <w:pStyle w:val="Standard-Einzug1"/>
        <w:spacing w:after="0"/>
        <w:ind w:left="360" w:hanging="360"/>
        <w:rPr>
          <w:rFonts w:ascii="Times New Roman" w:hAnsi="Times New Roman"/>
          <w:sz w:val="22"/>
          <w:lang w:val="lt-LT"/>
        </w:rPr>
      </w:pPr>
      <w:r>
        <w:rPr>
          <w:rFonts w:ascii="Times New Roman" w:hAnsi="Times New Roman"/>
          <w:sz w:val="22"/>
          <w:lang w:val="lt-LT"/>
        </w:rPr>
        <w:t>Italija</w:t>
      </w:r>
    </w:p>
    <w:p w:rsidR="003F18E9" w:rsidRDefault="003F18E9" w:rsidP="003F18E9">
      <w:pPr>
        <w:pStyle w:val="BTEMEASMCA"/>
      </w:pPr>
    </w:p>
    <w:p w:rsidR="003F18E9" w:rsidRDefault="003F18E9" w:rsidP="003F18E9">
      <w:pPr>
        <w:pStyle w:val="BTEMEASMCA"/>
      </w:pPr>
      <w:r>
        <w:lastRenderedPageBreak/>
        <w:t>Jeigu apie šį vaistą norite sužinoti daugiau, kreipkitės į vietinį registruotojo atstovą.</w:t>
      </w:r>
    </w:p>
    <w:p w:rsidR="003F18E9" w:rsidRDefault="003F18E9" w:rsidP="003F18E9"/>
    <w:tbl>
      <w:tblPr>
        <w:tblW w:w="0" w:type="auto"/>
        <w:tblInd w:w="-34" w:type="dxa"/>
        <w:tblLayout w:type="fixed"/>
        <w:tblLook w:val="0000" w:firstRow="0" w:lastRow="0" w:firstColumn="0" w:lastColumn="0" w:noHBand="0" w:noVBand="0"/>
      </w:tblPr>
      <w:tblGrid>
        <w:gridCol w:w="4678"/>
      </w:tblGrid>
      <w:tr w:rsidR="003F18E9" w:rsidTr="002F31F7">
        <w:tc>
          <w:tcPr>
            <w:tcW w:w="4678" w:type="dxa"/>
          </w:tcPr>
          <w:p w:rsidR="003F18E9" w:rsidRDefault="003F18E9" w:rsidP="002F31F7">
            <w:pPr>
              <w:pStyle w:val="Pagrindinistekstas"/>
              <w:spacing w:after="0"/>
            </w:pPr>
            <w:r>
              <w:t>UAB „BERLIN CHEMIE MENARINI BALTIC“</w:t>
            </w:r>
          </w:p>
          <w:p w:rsidR="003F18E9" w:rsidRDefault="003F18E9" w:rsidP="002F31F7">
            <w:pPr>
              <w:pStyle w:val="Pagrindinistekstas"/>
              <w:spacing w:after="0"/>
            </w:pPr>
            <w:proofErr w:type="spellStart"/>
            <w:r>
              <w:t>J.Jasinskio</w:t>
            </w:r>
            <w:proofErr w:type="spellEnd"/>
            <w:r>
              <w:t xml:space="preserve"> g. 16A, Vilnius LT-03163</w:t>
            </w:r>
          </w:p>
          <w:p w:rsidR="003F18E9" w:rsidRDefault="003F18E9" w:rsidP="002F31F7">
            <w:pPr>
              <w:pStyle w:val="BTEMEASMCA"/>
            </w:pPr>
            <w:r>
              <w:t>Tel. +370 5 269 19 47</w:t>
            </w:r>
          </w:p>
          <w:p w:rsidR="003F18E9" w:rsidRDefault="003F18E9" w:rsidP="002F31F7">
            <w:pPr>
              <w:pStyle w:val="BTEMEASMCA"/>
            </w:pPr>
          </w:p>
        </w:tc>
      </w:tr>
    </w:tbl>
    <w:p w:rsidR="003F18E9" w:rsidRDefault="003F18E9" w:rsidP="003F18E9">
      <w:pPr>
        <w:pStyle w:val="BTEMEASMCA"/>
      </w:pPr>
    </w:p>
    <w:p w:rsidR="003F18E9" w:rsidRDefault="003F18E9" w:rsidP="003F18E9">
      <w:pPr>
        <w:pStyle w:val="BTEMEASMCA"/>
      </w:pPr>
      <w:r w:rsidRPr="007F2755">
        <w:rPr>
          <w:b/>
        </w:rPr>
        <w:t xml:space="preserve">Šis vaistas </w:t>
      </w:r>
      <w:r w:rsidRPr="007F2755">
        <w:rPr>
          <w:b/>
          <w:snapToGrid w:val="0"/>
        </w:rPr>
        <w:t>Europos ekonominės erdvės</w:t>
      </w:r>
      <w:r w:rsidRPr="007F2755">
        <w:rPr>
          <w:b/>
        </w:rPr>
        <w:t xml:space="preserve"> valstybėse narėse</w:t>
      </w:r>
      <w:r w:rsidRPr="007F2755">
        <w:rPr>
          <w:b/>
          <w:snapToGrid w:val="0"/>
        </w:rPr>
        <w:t xml:space="preserve"> ir Jungtinėje Karalystėje (Šiaurės Airijoje)</w:t>
      </w:r>
      <w:r w:rsidRPr="007F2755">
        <w:rPr>
          <w:b/>
        </w:rPr>
        <w:t xml:space="preserve"> registruotas tokiais pavadinimais</w:t>
      </w:r>
      <w:r w:rsidRPr="008D230F">
        <w:t>:</w:t>
      </w:r>
    </w:p>
    <w:p w:rsidR="003F18E9" w:rsidRDefault="003F18E9" w:rsidP="003F18E9">
      <w:pPr>
        <w:pStyle w:val="BTEMEASMCA"/>
      </w:pPr>
    </w:p>
    <w:p w:rsidR="003F18E9" w:rsidRPr="00E15B24" w:rsidRDefault="003F18E9" w:rsidP="003F18E9">
      <w:pPr>
        <w:jc w:val="both"/>
        <w:rPr>
          <w:sz w:val="22"/>
          <w:szCs w:val="22"/>
        </w:rPr>
      </w:pPr>
      <w:r w:rsidRPr="00E15B24">
        <w:rPr>
          <w:sz w:val="22"/>
          <w:szCs w:val="22"/>
        </w:rPr>
        <w:t xml:space="preserve">Ispanija, Vengrija, Italija, : </w:t>
      </w:r>
      <w:proofErr w:type="spellStart"/>
      <w:r w:rsidRPr="00E15B24">
        <w:rPr>
          <w:sz w:val="22"/>
          <w:szCs w:val="22"/>
        </w:rPr>
        <w:t>Enantyum</w:t>
      </w:r>
      <w:proofErr w:type="spellEnd"/>
    </w:p>
    <w:p w:rsidR="003F18E9" w:rsidRPr="00E15B24" w:rsidRDefault="003F18E9" w:rsidP="003F18E9">
      <w:pPr>
        <w:jc w:val="both"/>
        <w:rPr>
          <w:sz w:val="22"/>
          <w:szCs w:val="22"/>
        </w:rPr>
      </w:pPr>
      <w:r w:rsidRPr="00E15B24">
        <w:rPr>
          <w:sz w:val="22"/>
          <w:szCs w:val="22"/>
        </w:rPr>
        <w:t xml:space="preserve">Estija, Latvija, Lietuva, Lenkija, Slovakija, Slovėnija: </w:t>
      </w:r>
      <w:proofErr w:type="spellStart"/>
      <w:r w:rsidRPr="00E15B24">
        <w:rPr>
          <w:sz w:val="22"/>
          <w:szCs w:val="22"/>
        </w:rPr>
        <w:t>Ketesse</w:t>
      </w:r>
      <w:proofErr w:type="spellEnd"/>
    </w:p>
    <w:p w:rsidR="003F18E9" w:rsidRPr="00E15B24" w:rsidRDefault="003F18E9" w:rsidP="003F18E9">
      <w:pPr>
        <w:jc w:val="both"/>
        <w:rPr>
          <w:sz w:val="22"/>
          <w:szCs w:val="22"/>
        </w:rPr>
      </w:pPr>
      <w:r w:rsidRPr="00E15B24">
        <w:rPr>
          <w:sz w:val="22"/>
          <w:szCs w:val="22"/>
        </w:rPr>
        <w:t xml:space="preserve">Graikija: </w:t>
      </w:r>
      <w:proofErr w:type="spellStart"/>
      <w:r w:rsidRPr="00E15B24">
        <w:rPr>
          <w:sz w:val="22"/>
          <w:szCs w:val="22"/>
        </w:rPr>
        <w:t>Viaxal</w:t>
      </w:r>
      <w:proofErr w:type="spellEnd"/>
    </w:p>
    <w:p w:rsidR="003F18E9" w:rsidRDefault="003F18E9" w:rsidP="003F18E9">
      <w:pPr>
        <w:pStyle w:val="BTEMEASMCA"/>
      </w:pPr>
    </w:p>
    <w:p w:rsidR="003F18E9" w:rsidRPr="00860368" w:rsidRDefault="003F18E9" w:rsidP="003F18E9">
      <w:pPr>
        <w:pStyle w:val="BTbEMEASMCA"/>
      </w:pPr>
      <w:r>
        <w:t>Šis pakuotės lapelis paskutinį kartą peržiūrėtas 2023-08-07.</w:t>
      </w:r>
    </w:p>
    <w:p w:rsidR="003F18E9" w:rsidRDefault="003F18E9" w:rsidP="003F18E9"/>
    <w:p w:rsidR="003F18E9" w:rsidRDefault="003F18E9" w:rsidP="003F18E9">
      <w:pPr>
        <w:pStyle w:val="BTEMEASMCA"/>
      </w:pPr>
      <w:r w:rsidRPr="00B34FA1">
        <w:t>Išsami informacija apie šį vaistą pateikiama Valstybinės vaistų kontrolės tarnybos prie Lietuvos Respublikos sveikatos apsaugos ministerijos tinklalapyje</w:t>
      </w:r>
      <w:r w:rsidRPr="00B34FA1">
        <w:rPr>
          <w:i/>
          <w:iCs/>
        </w:rPr>
        <w:t xml:space="preserve"> </w:t>
      </w:r>
      <w:hyperlink r:id="rId7" w:history="1">
        <w:r w:rsidRPr="00FB18D7">
          <w:rPr>
            <w:rStyle w:val="Hipersaitas"/>
          </w:rPr>
          <w:t>http://www.vvkt.lt/</w:t>
        </w:r>
      </w:hyperlink>
      <w:r w:rsidRPr="00F70E65">
        <w:t>.</w:t>
      </w:r>
    </w:p>
    <w:p w:rsidR="003F18E9" w:rsidRDefault="003F18E9" w:rsidP="003F18E9">
      <w:pPr>
        <w:pStyle w:val="BTEMEASMCA"/>
      </w:pPr>
    </w:p>
    <w:p w:rsidR="003F18E9" w:rsidRDefault="003F18E9" w:rsidP="003F18E9"/>
    <w:p w:rsidR="003F18E9" w:rsidRDefault="003F18E9" w:rsidP="003F18E9"/>
    <w:p w:rsidR="009041DB" w:rsidRDefault="009041DB">
      <w:bookmarkStart w:id="24" w:name="_GoBack"/>
      <w:bookmarkEnd w:id="24"/>
    </w:p>
    <w:sectPr w:rsidR="009041DB" w:rsidSect="00CC6D7B">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8E9"/>
    <w:rsid w:val="00004415"/>
    <w:rsid w:val="00234094"/>
    <w:rsid w:val="002A211A"/>
    <w:rsid w:val="00344695"/>
    <w:rsid w:val="00356AB3"/>
    <w:rsid w:val="003F18E9"/>
    <w:rsid w:val="004216A4"/>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876B19-7A66-4C86-8106-C4A665BEF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F18E9"/>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3F18E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rsid w:val="003F18E9"/>
    <w:rPr>
      <w:color w:val="0000FF"/>
      <w:u w:val="single"/>
    </w:rPr>
  </w:style>
  <w:style w:type="paragraph" w:customStyle="1" w:styleId="PI-1EMEASMCA">
    <w:name w:val="PI-1 EMEA_SMCA"/>
    <w:basedOn w:val="Antrat2"/>
    <w:autoRedefine/>
    <w:rsid w:val="003F18E9"/>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3F18E9"/>
    <w:pPr>
      <w:tabs>
        <w:tab w:val="left" w:pos="426"/>
      </w:tabs>
    </w:pPr>
    <w:rPr>
      <w:rFonts w:eastAsia="Arial Unicode MS"/>
      <w:bCs/>
      <w:noProof/>
      <w:color w:val="000000"/>
      <w:sz w:val="22"/>
      <w:szCs w:val="22"/>
    </w:rPr>
  </w:style>
  <w:style w:type="character" w:customStyle="1" w:styleId="BTEMEASMCAChar">
    <w:name w:val="BT EMEA_SMCA Char"/>
    <w:basedOn w:val="Numatytasispastraiposriftas"/>
    <w:rsid w:val="003F18E9"/>
    <w:rPr>
      <w:bCs/>
      <w:noProof/>
      <w:sz w:val="22"/>
      <w:szCs w:val="22"/>
      <w:lang w:val="lt-LT" w:eastAsia="en-US" w:bidi="ar-SA"/>
    </w:rPr>
  </w:style>
  <w:style w:type="paragraph" w:customStyle="1" w:styleId="BT-EMEASMCA">
    <w:name w:val="BT- EMEA_SMCA"/>
    <w:basedOn w:val="BTEMEASMCA"/>
    <w:autoRedefine/>
    <w:rsid w:val="003F18E9"/>
  </w:style>
  <w:style w:type="character" w:customStyle="1" w:styleId="BT-EMEASMCAChar">
    <w:name w:val="BT- EMEA_SMCA Char"/>
    <w:basedOn w:val="BTEMEASMCAChar"/>
    <w:rsid w:val="003F18E9"/>
    <w:rPr>
      <w:bCs/>
      <w:noProof/>
      <w:sz w:val="22"/>
      <w:szCs w:val="22"/>
      <w:lang w:val="lt-LT" w:eastAsia="en-US" w:bidi="ar-SA"/>
    </w:rPr>
  </w:style>
  <w:style w:type="paragraph" w:customStyle="1" w:styleId="PI-3EMEASMCA">
    <w:name w:val="PI-3 EMEA_SMCA"/>
    <w:basedOn w:val="prastasis"/>
    <w:autoRedefine/>
    <w:rsid w:val="003F18E9"/>
    <w:pPr>
      <w:spacing w:line="220" w:lineRule="exact"/>
    </w:pPr>
    <w:rPr>
      <w:b/>
      <w:bCs/>
      <w:sz w:val="22"/>
      <w:szCs w:val="22"/>
    </w:rPr>
  </w:style>
  <w:style w:type="paragraph" w:customStyle="1" w:styleId="BTbEMEASMCA">
    <w:name w:val="BT(b) EMEA_SMCA"/>
    <w:basedOn w:val="BTEMEASMCA"/>
    <w:autoRedefine/>
    <w:rsid w:val="003F18E9"/>
    <w:rPr>
      <w:b/>
    </w:rPr>
  </w:style>
  <w:style w:type="paragraph" w:customStyle="1" w:styleId="BTbeEMEASMCA">
    <w:name w:val="BT(be) EMEA_SMCA"/>
    <w:basedOn w:val="BTEMEASMCA"/>
    <w:autoRedefine/>
    <w:rsid w:val="003F18E9"/>
    <w:pPr>
      <w:jc w:val="center"/>
    </w:pPr>
    <w:rPr>
      <w:b/>
    </w:rPr>
  </w:style>
  <w:style w:type="paragraph" w:styleId="Pagrindinistekstas">
    <w:name w:val="Body Text"/>
    <w:basedOn w:val="prastasis"/>
    <w:link w:val="PagrindinistekstasDiagrama"/>
    <w:rsid w:val="003F18E9"/>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3F18E9"/>
    <w:rPr>
      <w:rFonts w:ascii="Times New Roman" w:hAnsi="Times New Roman" w:cs="Times New Roman"/>
      <w:szCs w:val="20"/>
      <w:lang w:eastAsia="lt-LT"/>
    </w:rPr>
  </w:style>
  <w:style w:type="paragraph" w:customStyle="1" w:styleId="Standard-Einzug1">
    <w:name w:val="Standard-Einzug 1"/>
    <w:basedOn w:val="prastasis"/>
    <w:rsid w:val="003F18E9"/>
    <w:pPr>
      <w:spacing w:after="120"/>
      <w:ind w:left="709" w:hanging="709"/>
    </w:pPr>
    <w:rPr>
      <w:rFonts w:ascii="Arial" w:hAnsi="Arial"/>
      <w:szCs w:val="20"/>
      <w:lang w:val="de-DE" w:eastAsia="de-DE"/>
    </w:rPr>
  </w:style>
  <w:style w:type="character" w:customStyle="1" w:styleId="Antrat2Diagrama">
    <w:name w:val="Antraštė 2 Diagrama"/>
    <w:basedOn w:val="Numatytasispastraiposriftas"/>
    <w:link w:val="Antrat2"/>
    <w:uiPriority w:val="9"/>
    <w:semiHidden/>
    <w:rsid w:val="003F18E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vvkt.l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pageidaujamaR@vvkt.lt" TargetMode="External"/><Relationship Id="rId5" Type="http://schemas.openxmlformats.org/officeDocument/2006/relationships/hyperlink" Target="https://www.vvkt.lt/index.php?4004286486" TargetMode="External"/><Relationship Id="rId4" Type="http://schemas.openxmlformats.org/officeDocument/2006/relationships/hyperlink" Target="https://vapris.vvkt.lt/vvkt-web/public/nrv" TargetMode="Externa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13400</Words>
  <Characters>7638</Characters>
  <Application>Microsoft Office Word</Application>
  <DocSecurity>0</DocSecurity>
  <Lines>63</Lines>
  <Paragraphs>41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2023-10-10T05:46:00Z</dcterms:created>
  <dcterms:modified xsi:type="dcterms:W3CDTF">2023-10-10T05:46:00Z</dcterms:modified>
</cp:coreProperties>
</file>