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64F" w:rsidRPr="008C6926" w:rsidRDefault="001C064F" w:rsidP="001C064F">
      <w:pPr>
        <w:spacing w:after="0" w:line="240" w:lineRule="auto"/>
        <w:jc w:val="center"/>
        <w:rPr>
          <w:rFonts w:ascii="Times New Roman" w:eastAsia="Times New Roman" w:hAnsi="Times New Roman"/>
          <w:b/>
        </w:rPr>
      </w:pPr>
      <w:r w:rsidRPr="008C6926">
        <w:rPr>
          <w:rFonts w:ascii="Times New Roman" w:eastAsia="Times New Roman" w:hAnsi="Times New Roman"/>
          <w:b/>
        </w:rPr>
        <w:t>Pakuotės lapelis: informacija vartotojui</w:t>
      </w:r>
    </w:p>
    <w:p w:rsidR="001C064F" w:rsidRPr="008C6926" w:rsidRDefault="001C064F" w:rsidP="001C064F">
      <w:pPr>
        <w:spacing w:after="0" w:line="240" w:lineRule="auto"/>
        <w:jc w:val="center"/>
        <w:rPr>
          <w:rFonts w:ascii="Times New Roman" w:eastAsia="Times New Roman" w:hAnsi="Times New Roman"/>
        </w:rPr>
      </w:pPr>
    </w:p>
    <w:p w:rsidR="001C064F" w:rsidRPr="008C6926" w:rsidRDefault="001C064F" w:rsidP="001C064F">
      <w:pPr>
        <w:spacing w:after="0" w:line="240" w:lineRule="auto"/>
        <w:jc w:val="center"/>
        <w:rPr>
          <w:rFonts w:ascii="Times New Roman" w:eastAsia="Times New Roman" w:hAnsi="Times New Roman"/>
          <w:b/>
        </w:rPr>
      </w:pPr>
      <w:r w:rsidRPr="008C6926">
        <w:rPr>
          <w:rFonts w:ascii="Times New Roman" w:eastAsia="Times New Roman" w:hAnsi="Times New Roman"/>
          <w:b/>
        </w:rPr>
        <w:t>PK-Merz 100 mg plėvele dengtos tabletės</w:t>
      </w:r>
    </w:p>
    <w:p w:rsidR="001C064F" w:rsidRPr="008C6926" w:rsidRDefault="001C064F" w:rsidP="001C064F">
      <w:pPr>
        <w:spacing w:after="0" w:line="240" w:lineRule="auto"/>
        <w:jc w:val="center"/>
        <w:rPr>
          <w:rFonts w:ascii="Times New Roman" w:eastAsia="Times New Roman" w:hAnsi="Times New Roman"/>
        </w:rPr>
      </w:pPr>
      <w:r>
        <w:rPr>
          <w:rFonts w:ascii="Times New Roman" w:eastAsia="Times New Roman" w:hAnsi="Times New Roman"/>
        </w:rPr>
        <w:t>a</w:t>
      </w:r>
      <w:r w:rsidRPr="008C6926">
        <w:rPr>
          <w:rFonts w:ascii="Times New Roman" w:eastAsia="Times New Roman" w:hAnsi="Times New Roman"/>
        </w:rPr>
        <w:t>mantadino sulfatas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b/>
        </w:rPr>
      </w:pPr>
      <w:r w:rsidRPr="008C6926">
        <w:rPr>
          <w:rFonts w:ascii="Times New Roman" w:eastAsia="Times New Roman" w:hAnsi="Times New Roman"/>
          <w:b/>
        </w:rPr>
        <w:t>Atidžiai perskaitykite visą šį lapelį, prieš pradėdami vartoti vaistą, nes jame pateikiama Jums svarbi informacija.</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Neišmeskite šio lapelio, nes vėl gali prireikti jį perskaityti.</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Jeigu kiltų daugiau klausimų, kreipkitės į gydytoją arba vaistininką.</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Šis vaistas skirtas tik Jums, todėl kitiems žmonėms jo duoti negalima. Vaistas gali jiems pakenkti (net tiems, kurių ligos požymiai yra tokie patys kaip Jūsų).</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 xml:space="preserve">Jeigu pasireiškė šalutinis poveikis (net jeigu jis šiame lapelyje nenurodytas), kreipkitės į gydytoją arba vaistininką. </w:t>
      </w:r>
      <w:r w:rsidRPr="008C6926">
        <w:rPr>
          <w:rFonts w:ascii="Times New Roman" w:eastAsia="Times New Roman" w:hAnsi="Times New Roman"/>
          <w:noProof/>
        </w:rPr>
        <w:t>Žr. 4 skyrių.</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b/>
        </w:rPr>
      </w:pPr>
      <w:r w:rsidRPr="008C6926">
        <w:rPr>
          <w:rFonts w:ascii="Times New Roman" w:eastAsia="Times New Roman" w:hAnsi="Times New Roman"/>
          <w:b/>
        </w:rPr>
        <w:t>Apie ką rašoma šiame lapelyje?</w:t>
      </w:r>
    </w:p>
    <w:p w:rsidR="001C064F" w:rsidRPr="008C6926" w:rsidRDefault="001C064F" w:rsidP="001C064F">
      <w:pPr>
        <w:spacing w:after="0" w:line="240" w:lineRule="auto"/>
        <w:rPr>
          <w:rFonts w:ascii="Times New Roman" w:eastAsia="Times New Roman" w:hAnsi="Times New Roman"/>
          <w:b/>
        </w:rPr>
      </w:pP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1.</w:t>
      </w:r>
      <w:r w:rsidRPr="008C6926">
        <w:rPr>
          <w:rFonts w:ascii="Times New Roman" w:eastAsia="Times New Roman" w:hAnsi="Times New Roman"/>
        </w:rPr>
        <w:tab/>
        <w:t>Kas yra PK-Merz ir kam jis vartojamas</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2.</w:t>
      </w:r>
      <w:r w:rsidRPr="008C6926">
        <w:rPr>
          <w:rFonts w:ascii="Times New Roman" w:eastAsia="Times New Roman" w:hAnsi="Times New Roman"/>
        </w:rPr>
        <w:tab/>
        <w:t>Kas žinotina prieš vartojant PK-Merz</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3.</w:t>
      </w:r>
      <w:r w:rsidRPr="008C6926">
        <w:rPr>
          <w:rFonts w:ascii="Times New Roman" w:eastAsia="Times New Roman" w:hAnsi="Times New Roman"/>
        </w:rPr>
        <w:tab/>
        <w:t>Kaip vartoti PK-Merz</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4.</w:t>
      </w:r>
      <w:r w:rsidRPr="008C6926">
        <w:rPr>
          <w:rFonts w:ascii="Times New Roman" w:eastAsia="Times New Roman" w:hAnsi="Times New Roman"/>
        </w:rPr>
        <w:tab/>
        <w:t>Galimas šalutinis poveikis</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5.</w:t>
      </w:r>
      <w:r w:rsidRPr="008C6926">
        <w:rPr>
          <w:rFonts w:ascii="Times New Roman" w:eastAsia="Times New Roman" w:hAnsi="Times New Roman"/>
        </w:rPr>
        <w:tab/>
        <w:t>Kaip laikyti PK-Merz</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6.</w:t>
      </w:r>
      <w:r w:rsidRPr="008C6926">
        <w:rPr>
          <w:rFonts w:ascii="Times New Roman" w:eastAsia="Times New Roman" w:hAnsi="Times New Roman"/>
        </w:rPr>
        <w:tab/>
        <w:t>Pakuotės turinys ir kita informacija</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keepNext/>
        <w:tabs>
          <w:tab w:val="left" w:pos="567"/>
        </w:tabs>
        <w:spacing w:after="0" w:line="240" w:lineRule="auto"/>
        <w:ind w:left="567" w:hanging="567"/>
        <w:outlineLvl w:val="1"/>
        <w:rPr>
          <w:rFonts w:ascii="Times New Roman" w:eastAsia="Times New Roman" w:hAnsi="Times New Roman"/>
          <w:b/>
        </w:rPr>
      </w:pPr>
      <w:bookmarkStart w:id="0" w:name="_Toc129243139"/>
      <w:bookmarkStart w:id="1" w:name="_Toc129243264"/>
      <w:r w:rsidRPr="008C6926">
        <w:rPr>
          <w:rFonts w:ascii="Times New Roman" w:eastAsia="Times New Roman" w:hAnsi="Times New Roman"/>
          <w:b/>
        </w:rPr>
        <w:t>1.</w:t>
      </w:r>
      <w:r w:rsidRPr="008C6926">
        <w:rPr>
          <w:rFonts w:ascii="Times New Roman" w:eastAsia="Times New Roman" w:hAnsi="Times New Roman"/>
          <w:b/>
        </w:rPr>
        <w:tab/>
        <w:t>Kas yra PK-Merz ir kam jis vartojamas</w:t>
      </w:r>
      <w:bookmarkEnd w:id="0"/>
      <w:bookmarkEnd w:id="1"/>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PK-Merz tabletės yra vaistas, mažinantis Parkinsono ligos simptomus (</w:t>
      </w:r>
      <w:r>
        <w:rPr>
          <w:rFonts w:ascii="Times New Roman" w:eastAsia="Times New Roman" w:hAnsi="Times New Roman"/>
        </w:rPr>
        <w:t xml:space="preserve">vaistas </w:t>
      </w:r>
      <w:r w:rsidRPr="008C6926">
        <w:rPr>
          <w:rFonts w:ascii="Times New Roman" w:eastAsia="Times New Roman" w:hAnsi="Times New Roman"/>
        </w:rPr>
        <w:t xml:space="preserve"> nuo parkinsonizmo).</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Vaist</w:t>
      </w:r>
      <w:r>
        <w:rPr>
          <w:rFonts w:ascii="Times New Roman" w:eastAsia="Times New Roman" w:hAnsi="Times New Roman"/>
        </w:rPr>
        <w:t xml:space="preserve">u </w:t>
      </w:r>
      <w:r w:rsidRPr="008C6926">
        <w:rPr>
          <w:rFonts w:ascii="Times New Roman" w:eastAsia="Times New Roman" w:hAnsi="Times New Roman"/>
        </w:rPr>
        <w:t xml:space="preserve"> gydomi Parkinsono ligos simptomai: sustingimas, drebėjimas, sumažėjęs judėjimas ir nejudrumas bei tam tikrų </w:t>
      </w:r>
      <w:r>
        <w:rPr>
          <w:rFonts w:ascii="Times New Roman" w:eastAsia="Times New Roman" w:hAnsi="Times New Roman"/>
        </w:rPr>
        <w:t>vaistų</w:t>
      </w:r>
      <w:r w:rsidRPr="008C6926">
        <w:rPr>
          <w:rFonts w:ascii="Times New Roman" w:eastAsia="Times New Roman" w:hAnsi="Times New Roman"/>
        </w:rPr>
        <w:t xml:space="preserve"> (neuroleptikų ar panašiai veikiančių vaistų) sukelti į parkinsonizmą panašūs judėjimo sutrikimai, t.y. ekstrapiramidinės sistemos pažeidimo simptomai (ankstyvoji diskinezija, akatizija (nesugebėjimas išbūti vienoje vietoje)</w:t>
      </w:r>
      <w:r w:rsidRPr="008C6926" w:rsidDel="004C445F">
        <w:rPr>
          <w:rFonts w:ascii="Times New Roman" w:eastAsia="Times New Roman" w:hAnsi="Times New Roman"/>
        </w:rPr>
        <w:t xml:space="preserve"> </w:t>
      </w:r>
      <w:r w:rsidRPr="008C6926">
        <w:rPr>
          <w:rFonts w:ascii="Times New Roman" w:eastAsia="Times New Roman" w:hAnsi="Times New Roman"/>
        </w:rPr>
        <w:t>ir parkinsonizmas).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keepNext/>
        <w:tabs>
          <w:tab w:val="left" w:pos="567"/>
        </w:tabs>
        <w:spacing w:after="0" w:line="240" w:lineRule="auto"/>
        <w:ind w:left="567" w:hanging="567"/>
        <w:outlineLvl w:val="1"/>
        <w:rPr>
          <w:rFonts w:ascii="Times New Roman" w:eastAsia="Times New Roman" w:hAnsi="Times New Roman"/>
          <w:b/>
        </w:rPr>
      </w:pPr>
      <w:bookmarkStart w:id="2" w:name="_Toc129243140"/>
      <w:bookmarkStart w:id="3" w:name="_Toc129243265"/>
      <w:r w:rsidRPr="008C6926">
        <w:rPr>
          <w:rFonts w:ascii="Times New Roman" w:eastAsia="Times New Roman" w:hAnsi="Times New Roman"/>
          <w:b/>
        </w:rPr>
        <w:t>2.</w:t>
      </w:r>
      <w:r w:rsidRPr="008C6926">
        <w:rPr>
          <w:rFonts w:ascii="Times New Roman" w:eastAsia="Times New Roman" w:hAnsi="Times New Roman"/>
          <w:b/>
        </w:rPr>
        <w:tab/>
        <w:t xml:space="preserve">Kas žinotina prieš vartojant </w:t>
      </w:r>
      <w:bookmarkEnd w:id="2"/>
      <w:bookmarkEnd w:id="3"/>
      <w:r w:rsidRPr="008C6926">
        <w:rPr>
          <w:rFonts w:ascii="Times New Roman" w:eastAsia="Times New Roman" w:hAnsi="Times New Roman"/>
          <w:b/>
        </w:rPr>
        <w:t>PK-Merz</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 xml:space="preserve">PK-Merz vartoti </w:t>
      </w:r>
      <w:r>
        <w:rPr>
          <w:rFonts w:ascii="Times New Roman" w:eastAsia="Times New Roman" w:hAnsi="Times New Roman"/>
          <w:b/>
          <w:bCs/>
        </w:rPr>
        <w:t>draudžiama</w:t>
      </w:r>
      <w:r w:rsidRPr="008C6926">
        <w:rPr>
          <w:rFonts w:ascii="Times New Roman" w:eastAsia="Times New Roman" w:hAnsi="Times New Roman"/>
          <w:b/>
          <w:bCs/>
        </w:rPr>
        <w:t>:</w:t>
      </w:r>
    </w:p>
    <w:p w:rsidR="001C064F" w:rsidRPr="008C6926" w:rsidRDefault="001C064F" w:rsidP="001C064F">
      <w:pPr>
        <w:numPr>
          <w:ilvl w:val="0"/>
          <w:numId w:val="3"/>
        </w:numPr>
        <w:tabs>
          <w:tab w:val="num"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 xml:space="preserve">jeigu </w:t>
      </w:r>
      <w:r w:rsidRPr="008C6926">
        <w:rPr>
          <w:rFonts w:ascii="Times New Roman" w:eastAsia="Times New Roman" w:hAnsi="Times New Roman"/>
          <w:noProof/>
        </w:rPr>
        <w:t>jeigu yra alergija veikliajai medžiagai arba bet kuriai pagalbinei šio vaisto medžiagai (jos išvardytos 6 skyriuje)</w:t>
      </w:r>
      <w:r w:rsidRPr="008C6926">
        <w:rPr>
          <w:rFonts w:ascii="Times New Roman" w:eastAsia="Times New Roman" w:hAnsi="Times New Roman"/>
        </w:rPr>
        <w:t xml:space="preserve">; </w:t>
      </w:r>
    </w:p>
    <w:p w:rsidR="001C064F" w:rsidRPr="008C6926" w:rsidRDefault="001C064F" w:rsidP="001C064F">
      <w:pPr>
        <w:numPr>
          <w:ilvl w:val="0"/>
          <w:numId w:val="3"/>
        </w:numPr>
        <w:tabs>
          <w:tab w:val="num"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jeigu yra sunkus dekompensuotas širdies nepakankamumas (pagal NYHA klasifikaciją priklausantis IV funkcinio pajėgumo klasei);</w:t>
      </w:r>
    </w:p>
    <w:p w:rsidR="001C064F" w:rsidRPr="008C6926" w:rsidRDefault="001C064F" w:rsidP="001C064F">
      <w:pPr>
        <w:numPr>
          <w:ilvl w:val="0"/>
          <w:numId w:val="3"/>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jeigu yra tam tikros kitos širdies raumens ligos (kardiomiopatija, miokarditas);</w:t>
      </w:r>
    </w:p>
    <w:p w:rsidR="001C064F" w:rsidRPr="008C6926" w:rsidRDefault="001C064F" w:rsidP="001C064F">
      <w:pPr>
        <w:numPr>
          <w:ilvl w:val="0"/>
          <w:numId w:val="3"/>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jeigu yra laidumo širdyje sutrikimai (II arba III laipsnio atrioventrikulinė blokada);</w:t>
      </w:r>
    </w:p>
    <w:p w:rsidR="001C064F" w:rsidRPr="008C6926" w:rsidRDefault="001C064F" w:rsidP="001C064F">
      <w:pPr>
        <w:numPr>
          <w:ilvl w:val="0"/>
          <w:numId w:val="3"/>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jeigu yra širdies susitraukimų sulėtėjimas (širdis susitraukia rečiau kaip 55 kartus per minutę);</w:t>
      </w:r>
    </w:p>
    <w:p w:rsidR="001C064F" w:rsidRPr="008C6926" w:rsidRDefault="001C064F" w:rsidP="001C064F">
      <w:pPr>
        <w:numPr>
          <w:ilvl w:val="0"/>
          <w:numId w:val="3"/>
        </w:numPr>
        <w:tabs>
          <w:tab w:val="num"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jeigu yra nustatyta tam tikrų pastebimų elektrokardiogramos (EKG) pokyčių (ilgas Q - T intervalas arba pastebimas U dantelis);</w:t>
      </w:r>
    </w:p>
    <w:p w:rsidR="001C064F" w:rsidRPr="008C6926" w:rsidRDefault="001C064F" w:rsidP="001C064F">
      <w:pPr>
        <w:numPr>
          <w:ilvl w:val="0"/>
          <w:numId w:val="3"/>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jeigu yra kraujo giminaičiams įgimtas ilgojo Q - T intervalo sindromas;</w:t>
      </w:r>
    </w:p>
    <w:p w:rsidR="001C064F" w:rsidRPr="008C6926" w:rsidRDefault="001C064F" w:rsidP="001C064F">
      <w:pPr>
        <w:numPr>
          <w:ilvl w:val="0"/>
          <w:numId w:val="3"/>
        </w:numPr>
        <w:tabs>
          <w:tab w:val="num" w:pos="567"/>
        </w:tabs>
        <w:spacing w:after="0" w:line="240" w:lineRule="auto"/>
        <w:ind w:left="567" w:hanging="567"/>
        <w:rPr>
          <w:rFonts w:ascii="Times New Roman" w:eastAsia="Times New Roman" w:hAnsi="Times New Roman"/>
        </w:rPr>
      </w:pPr>
      <w:r w:rsidRPr="008C6926">
        <w:rPr>
          <w:rFonts w:ascii="Times New Roman" w:eastAsia="Times New Roman" w:hAnsi="Times New Roman"/>
        </w:rPr>
        <w:t>jeigu yra pasireiškęs sunkus širdies ritmo sutrikimas (skilvelių aritmija, įskaitant ir dvikryptę verpstinę skilvelių tachikardiją);</w:t>
      </w:r>
    </w:p>
    <w:p w:rsidR="001C064F" w:rsidRPr="008C6926" w:rsidRDefault="001C064F" w:rsidP="001C064F">
      <w:pPr>
        <w:numPr>
          <w:ilvl w:val="0"/>
          <w:numId w:val="3"/>
        </w:numPr>
        <w:tabs>
          <w:tab w:val="num" w:pos="567"/>
        </w:tabs>
        <w:spacing w:after="0" w:line="240" w:lineRule="auto"/>
        <w:ind w:hanging="1080"/>
        <w:rPr>
          <w:rFonts w:ascii="Times New Roman" w:eastAsia="Times New Roman" w:hAnsi="Times New Roman"/>
        </w:rPr>
      </w:pPr>
      <w:r w:rsidRPr="008C6926">
        <w:rPr>
          <w:rFonts w:ascii="Times New Roman" w:eastAsia="Times New Roman" w:hAnsi="Times New Roman"/>
        </w:rPr>
        <w:t xml:space="preserve">jeigu yra sumažėjęs kalio arba magnio kiekis kraujyje.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PK-Merz tablečių negalima vartoti kartu su budipinu ar kitokiais vaistais, ilginančiais Q - T intervalą (žr. skyrių “PK-Merz ir kiti vaistai”).</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PK-Merz tablečių tik labai atsargiai galima vartoti, jei yra:</w:t>
      </w:r>
    </w:p>
    <w:p w:rsidR="001C064F" w:rsidRPr="008C6926" w:rsidRDefault="001C064F" w:rsidP="001C064F">
      <w:pPr>
        <w:numPr>
          <w:ilvl w:val="0"/>
          <w:numId w:val="1"/>
        </w:numPr>
        <w:spacing w:after="0" w:line="240" w:lineRule="auto"/>
        <w:rPr>
          <w:rFonts w:ascii="Times New Roman" w:eastAsia="Times New Roman" w:hAnsi="Times New Roman"/>
        </w:rPr>
      </w:pPr>
      <w:r w:rsidRPr="008C6926">
        <w:rPr>
          <w:rFonts w:ascii="Times New Roman" w:eastAsia="Times New Roman" w:hAnsi="Times New Roman"/>
        </w:rPr>
        <w:t>prostatos padidėjimas;</w:t>
      </w:r>
    </w:p>
    <w:p w:rsidR="001C064F" w:rsidRPr="008C6926" w:rsidRDefault="001C064F" w:rsidP="001C064F">
      <w:pPr>
        <w:numPr>
          <w:ilvl w:val="0"/>
          <w:numId w:val="1"/>
        </w:numPr>
        <w:spacing w:after="0" w:line="240" w:lineRule="auto"/>
        <w:rPr>
          <w:rFonts w:ascii="Times New Roman" w:eastAsia="Times New Roman" w:hAnsi="Times New Roman"/>
        </w:rPr>
      </w:pPr>
      <w:r w:rsidRPr="008C6926">
        <w:rPr>
          <w:rFonts w:ascii="Times New Roman" w:eastAsia="Times New Roman" w:hAnsi="Times New Roman"/>
        </w:rPr>
        <w:t>padidėjęs akispūdis, pavyzdžiui, sergama uždaro kampo glaukoma;</w:t>
      </w:r>
    </w:p>
    <w:p w:rsidR="001C064F" w:rsidRPr="008C6926" w:rsidRDefault="001C064F" w:rsidP="001C064F">
      <w:pPr>
        <w:numPr>
          <w:ilvl w:val="0"/>
          <w:numId w:val="1"/>
        </w:numPr>
        <w:spacing w:after="0" w:line="240" w:lineRule="auto"/>
        <w:rPr>
          <w:rFonts w:ascii="Times New Roman" w:eastAsia="Times New Roman" w:hAnsi="Times New Roman"/>
        </w:rPr>
      </w:pPr>
      <w:r w:rsidRPr="008C6926">
        <w:rPr>
          <w:rFonts w:ascii="Times New Roman" w:eastAsia="Times New Roman" w:hAnsi="Times New Roman"/>
        </w:rPr>
        <w:lastRenderedPageBreak/>
        <w:t>inkstų funkcijos sutrikimas, t.y. įvairaus sunkumo inkstų nepakankamumas (žr. skyrių “Įspėjimai ir atsargumo priemonės”);</w:t>
      </w:r>
    </w:p>
    <w:p w:rsidR="001C064F" w:rsidRPr="008C6926" w:rsidRDefault="001C064F" w:rsidP="001C064F">
      <w:pPr>
        <w:numPr>
          <w:ilvl w:val="0"/>
          <w:numId w:val="1"/>
        </w:numPr>
        <w:spacing w:after="0" w:line="240" w:lineRule="auto"/>
        <w:rPr>
          <w:rFonts w:ascii="Times New Roman" w:eastAsia="Times New Roman" w:hAnsi="Times New Roman"/>
        </w:rPr>
      </w:pPr>
      <w:r w:rsidRPr="008C6926">
        <w:rPr>
          <w:rFonts w:ascii="Times New Roman" w:eastAsia="Times New Roman" w:hAnsi="Times New Roman"/>
        </w:rPr>
        <w:t xml:space="preserve">buvusi ar esama susijaudinimo (ažitacijos) ar suglumimo būklė; </w:t>
      </w:r>
    </w:p>
    <w:p w:rsidR="001C064F" w:rsidRPr="008C6926" w:rsidRDefault="001C064F" w:rsidP="001C064F">
      <w:pPr>
        <w:numPr>
          <w:ilvl w:val="0"/>
          <w:numId w:val="1"/>
        </w:numPr>
        <w:spacing w:after="0" w:line="240" w:lineRule="auto"/>
        <w:rPr>
          <w:rFonts w:ascii="Times New Roman" w:eastAsia="Times New Roman" w:hAnsi="Times New Roman"/>
        </w:rPr>
      </w:pPr>
      <w:r w:rsidRPr="008C6926">
        <w:rPr>
          <w:rFonts w:ascii="Times New Roman" w:eastAsia="Times New Roman" w:hAnsi="Times New Roman"/>
        </w:rPr>
        <w:t>kliedėjimo sindromas arba egzogeninė psichozė (sunkūs psichikos sutrikimai);</w:t>
      </w:r>
    </w:p>
    <w:p w:rsidR="001C064F" w:rsidRPr="008C6926" w:rsidRDefault="001C064F" w:rsidP="001C064F">
      <w:pPr>
        <w:numPr>
          <w:ilvl w:val="0"/>
          <w:numId w:val="1"/>
        </w:numPr>
        <w:spacing w:after="0" w:line="240" w:lineRule="auto"/>
        <w:rPr>
          <w:rFonts w:ascii="Times New Roman" w:eastAsia="Times New Roman" w:hAnsi="Times New Roman"/>
        </w:rPr>
      </w:pPr>
      <w:r w:rsidRPr="008C6926">
        <w:rPr>
          <w:rFonts w:ascii="Times New Roman" w:eastAsia="Times New Roman" w:hAnsi="Times New Roman"/>
        </w:rPr>
        <w:t>vartojama memantino (žr. skyrių “Kiti vaistai ir PK-Merz”).</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u w:val="single"/>
        </w:rPr>
      </w:pPr>
      <w:r w:rsidRPr="008C6926">
        <w:rPr>
          <w:rFonts w:ascii="Times New Roman" w:eastAsia="Times New Roman" w:hAnsi="Times New Roman"/>
          <w:u w:val="single"/>
        </w:rPr>
        <w:t>Vaikams ir paaugliams</w:t>
      </w:r>
    </w:p>
    <w:p w:rsidR="001C064F" w:rsidRPr="008C6926" w:rsidRDefault="001C064F" w:rsidP="001C064F">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 xml:space="preserve">Amantadino </w:t>
      </w:r>
      <w:r w:rsidRPr="008C6926">
        <w:rPr>
          <w:rFonts w:ascii="Times New Roman" w:eastAsia="Times New Roman" w:hAnsi="Times New Roman"/>
          <w:noProof/>
          <w:snapToGrid w:val="0"/>
        </w:rPr>
        <w:t>saugumas ir veiksmingumas vaikams ir paaugliams neištirtas</w:t>
      </w:r>
      <w:r w:rsidRPr="008C6926">
        <w:rPr>
          <w:rFonts w:ascii="Times New Roman" w:eastAsia="Times New Roman" w:hAnsi="Times New Roman"/>
        </w:rPr>
        <w:t>.</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u w:val="single"/>
        </w:rPr>
      </w:pPr>
      <w:r w:rsidRPr="008C6926">
        <w:rPr>
          <w:rFonts w:ascii="Times New Roman" w:eastAsia="Times New Roman" w:hAnsi="Times New Roman"/>
          <w:u w:val="single"/>
        </w:rPr>
        <w:t>Senyvi pacientai</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Senyvus žmones, ypač tuo atveju, jeigu yra sujaudinimas, sumišimas ar delyro sindromas, reikia gydyti mažesne doze (žr. skyrių „Kaip vartoti PK-Merz“).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b/>
        </w:rPr>
      </w:pPr>
      <w:r w:rsidRPr="008C6926">
        <w:rPr>
          <w:rFonts w:ascii="Times New Roman" w:eastAsia="Times New Roman" w:hAnsi="Times New Roman"/>
          <w:b/>
        </w:rPr>
        <w:t>Įspėjimai ir atsargumo priemonės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noProof/>
          <w:snapToGrid w:val="0"/>
        </w:rPr>
        <w:t xml:space="preserve">Pasitarkite su gydytoju arba vaistininku, prieš pradėdami vartoti </w:t>
      </w:r>
      <w:r w:rsidRPr="008C6926">
        <w:rPr>
          <w:rFonts w:ascii="Times New Roman" w:eastAsia="Times New Roman" w:hAnsi="Times New Roman"/>
        </w:rPr>
        <w:t>PK-Merz 100 mg plėvele dengtų tablečių.</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Prieš gydymą ir praėjus 1 ir 3 savaitėms nuo jo pradžios, Jūsų gydytojas atliks EKG (</w:t>
      </w:r>
      <w:smartTag w:uri="schemas-tilde-lv/tildestengine" w:element="metric">
        <w:smartTagPr>
          <w:attr w:name="metric_value" w:val="50"/>
          <w:attr w:name="metric_text" w:val="mm"/>
        </w:smartTagPr>
        <w:r w:rsidRPr="008C6926">
          <w:rPr>
            <w:rFonts w:ascii="Times New Roman" w:eastAsia="Times New Roman" w:hAnsi="Times New Roman"/>
          </w:rPr>
          <w:t>50 mm</w:t>
        </w:r>
      </w:smartTag>
      <w:r w:rsidRPr="008C6926">
        <w:rPr>
          <w:rFonts w:ascii="Times New Roman" w:eastAsia="Times New Roman" w:hAnsi="Times New Roman"/>
        </w:rPr>
        <w:t xml:space="preserve">/s greičiu) ir naudojantis Bazeto formule rankiniu būdu nustatys koreguoto Q - Tc intervalo laiką. Prieš kiekvieną dozės didinimą ir po to praėjus 2 savaitėms taip pat reikės atlikti EKG. Tolesnio gydymo metu ją reikės atlikti ne rečiau kaip kartą per metus.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Jeigu atsiranda stiprus širdies plakimas, galvos svaigimas ar silpnumo priepuolis, vaisto vartojimą būtina nutraukti ir kreiptis į gydantį arba greitosios pagalbos gydytoją.</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Jeigu implantuotas širdies stimuliatorius, tikslaus Q - T intervalo laiko nustatyti neįmanoma, todėl tokius pacientus gydyti PK-Merz tabletėmis galima tik  pritarus kardiologui.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Inkstų funkcijos nepakankamumu sergantiems ligoniams kyla pavojus, kad veiklioji medžiaga gali kauptis, kadangi blogėja jos išsiskyrimas pro inkstus. Dėl šios priežasties gali atsirasti perdozavimo simptomų, todėl gydydamas PK-Merz tabletėmis gydytojas privalo rūpestingai parinkti vaisto dozę, sekti ir matuoti glomerulų filtraciją (žr. skyrių “Kaip vartoti PK-Merz”).</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Jeigu yra organinis smegenų psichosindromas (smegenų veiklos sutrikimas) ar polinkis į traukulius, PK-Merz tablečių reikia vartoti labai atsargiai, kadangi gali paūmėti kai kurie simptomai, prasidėti traukulių priepuoliai.</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 pacientas serga širdies ir kraujagyslių liga, linkęs į traukulių priepuolius arba jų buvo anksčiau, PK-Merz tablečių vartojimo metu jo būklę būtinai turi reguliariai kontroliuoti gydytojas.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Jei atsiranda stiprus širdies plakimas, galvos svaigimas ar trumpam netenkama sąmonės, vaisto vartojimą būtina nedelsiant nutraukti ir kreiptis į gydytoją, kad jis ištirtų širdies ritmą. Jei nėra jokių širdies ritmo sutrikimų, PK-Merz tablečių vartojimą galima atnaujinti, tačiau reikia paisyti  kontraindikacijų ir atsižvelgti į galimą sąveiką su kitais vaistais (žr. skyrių “Galimas šalutinis poveikis”).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Reikia vengti staiga nutraukti vaisto vartojimą, kadangi Parkinsono liga sergantiems pacientams gali labai pablogėti judesiai (gali būti neįmanoma judėti).</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Jei ligonis kartu vartoja neuroleptikų (vaistų nuo psichikos ligų), staigiai nutraukus PK-Merz  tablečių vartojimą, kyla piktybinio neurolepsinio sindromo atsiradimo pavojus. Tokiu atveju staiga labai padidėja kūno temperatūra, sustingsta raumenys ir sutrinka vegetacinės nervų sistemos funkcija.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Parkinsono liga sergantiems ligoniams dažnai atsiranda hipotenzija, seilėtekis, prakaitavimas, karščiavimas, karščio pylimas, patinimas, depresija. Juos gydant, reikia atsižvelgti į nepageidaujamą PK-Merz tablečių šalutinį poveikį ir sąveiką su kitais vaistais. </w:t>
      </w:r>
    </w:p>
    <w:p w:rsidR="001C064F" w:rsidRPr="008C6926" w:rsidRDefault="001C064F" w:rsidP="001C064F">
      <w:pPr>
        <w:spacing w:after="0" w:line="240" w:lineRule="auto"/>
        <w:rPr>
          <w:rFonts w:ascii="Times New Roman" w:eastAsia="Times New Roman" w:hAnsi="Times New Roman"/>
        </w:rPr>
      </w:pPr>
    </w:p>
    <w:p w:rsidR="001C064F"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 atsiranda šlapinimosi sutrikimų, būtina pasikonsultuoti su gydančiu gydytoju.</w:t>
      </w:r>
    </w:p>
    <w:p w:rsidR="001C064F" w:rsidRDefault="001C064F" w:rsidP="001C064F">
      <w:pPr>
        <w:spacing w:after="0" w:line="240" w:lineRule="auto"/>
        <w:rPr>
          <w:rFonts w:ascii="Times New Roman" w:eastAsia="Times New Roman" w:hAnsi="Times New Roman"/>
        </w:rPr>
      </w:pPr>
    </w:p>
    <w:p w:rsidR="001C064F" w:rsidRDefault="001C064F" w:rsidP="001C064F">
      <w:pPr>
        <w:spacing w:after="0" w:line="240" w:lineRule="auto"/>
        <w:rPr>
          <w:rFonts w:ascii="Times New Roman" w:eastAsia="Times New Roman" w:hAnsi="Times New Roman"/>
        </w:rPr>
      </w:pPr>
      <w:r w:rsidRPr="00DA2780">
        <w:rPr>
          <w:rFonts w:ascii="Times New Roman" w:eastAsia="Times New Roman" w:hAnsi="Times New Roman"/>
        </w:rPr>
        <w:lastRenderedPageBreak/>
        <w:t>Jei pasireiškė neryškus matymas arba kiti regėjimo sutrikimai, nedelsdami kreipkitės į akių gydytoją.</w:t>
      </w:r>
      <w:r>
        <w:rPr>
          <w:rFonts w:ascii="Times New Roman" w:eastAsia="Times New Roman" w:hAnsi="Times New Roman"/>
        </w:rPr>
        <w:t xml:space="preserve"> </w:t>
      </w:r>
    </w:p>
    <w:p w:rsidR="001C064F" w:rsidRDefault="001C064F" w:rsidP="001C064F">
      <w:pPr>
        <w:spacing w:after="0" w:line="240" w:lineRule="auto"/>
        <w:rPr>
          <w:rFonts w:ascii="Times New Roman" w:eastAsia="Times New Roman" w:hAnsi="Times New Roman"/>
        </w:rPr>
      </w:pPr>
    </w:p>
    <w:p w:rsidR="001C064F" w:rsidRPr="00904A5D" w:rsidRDefault="001C064F" w:rsidP="001C064F">
      <w:pPr>
        <w:spacing w:after="0" w:line="240" w:lineRule="auto"/>
        <w:rPr>
          <w:rFonts w:ascii="Times New Roman" w:eastAsia="Times New Roman" w:hAnsi="Times New Roman"/>
        </w:rPr>
      </w:pPr>
      <w:r w:rsidRPr="00904A5D">
        <w:rPr>
          <w:rFonts w:ascii="Times New Roman" w:eastAsia="Times New Roman" w:hAnsi="Times New Roman"/>
        </w:rPr>
        <w:t xml:space="preserve">Pasakykite savo gydytojui, jei Jūs arba Jūsų šeimos narys ar globėjas pastebėjo, kad Jums vystosi poreikis arba nenumaldomas noras elgtis taip, kaip Jums neįprasta, ir Jūs negalite atsispirti impulsui, potraukiui arba pagundai užsiimti tam tikra veikla, kuri Jums arba kitiems gali pakenkti. Tai vadinama impulsų kontrolės sutrikimais ir tai gali būti toks elgesys kaip priklausomybė nuo lošimų, besaikis </w:t>
      </w:r>
    </w:p>
    <w:p w:rsidR="001C064F" w:rsidRPr="00904A5D" w:rsidRDefault="001C064F" w:rsidP="001C064F">
      <w:pPr>
        <w:spacing w:after="0" w:line="240" w:lineRule="auto"/>
        <w:rPr>
          <w:rFonts w:ascii="Times New Roman" w:eastAsia="Times New Roman" w:hAnsi="Times New Roman"/>
        </w:rPr>
      </w:pPr>
      <w:r w:rsidRPr="00904A5D">
        <w:rPr>
          <w:rFonts w:ascii="Times New Roman" w:eastAsia="Times New Roman" w:hAnsi="Times New Roman"/>
        </w:rPr>
        <w:t>valgymas arba išlaidavimas, nenormaliai stiprus lytinis potraukis arba padažnėjusios su lytiniais santykiais susijusios mintys ar pojūčiai.</w:t>
      </w:r>
    </w:p>
    <w:p w:rsidR="001C064F" w:rsidRPr="008C6926" w:rsidRDefault="001C064F" w:rsidP="001C064F">
      <w:pPr>
        <w:spacing w:after="0" w:line="240" w:lineRule="auto"/>
        <w:rPr>
          <w:rFonts w:ascii="Times New Roman" w:eastAsia="Times New Roman" w:hAnsi="Times New Roman"/>
        </w:rPr>
      </w:pPr>
      <w:r w:rsidRPr="00904A5D">
        <w:rPr>
          <w:rFonts w:ascii="Times New Roman" w:eastAsia="Times New Roman" w:hAnsi="Times New Roman"/>
        </w:rPr>
        <w:t>Jūsų gydytojui gali prireikti pakei</w:t>
      </w:r>
      <w:r>
        <w:rPr>
          <w:rFonts w:ascii="Times New Roman" w:eastAsia="Times New Roman" w:hAnsi="Times New Roman"/>
        </w:rPr>
        <w:t xml:space="preserve">sti vaisto dozę arba nutraukti PK-Merz tablečių </w:t>
      </w:r>
      <w:r w:rsidRPr="00904A5D">
        <w:rPr>
          <w:rFonts w:ascii="Times New Roman" w:eastAsia="Times New Roman" w:hAnsi="Times New Roman"/>
        </w:rPr>
        <w:t>vartojimą.</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Pr>
          <w:rFonts w:ascii="Times New Roman" w:eastAsia="Times New Roman" w:hAnsi="Times New Roman"/>
        </w:rPr>
        <w:t xml:space="preserve">Taikant gydymą amantadinu, gauta pranešimų apie savižudiškų minčių ir elgesio atvejus. Jeigu turite minčių apie savęs žalojimą arba savižudybę, nedelsdami kreipkitės į savo gydytoją.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Kiti vaistai ir PK-Merz</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Jeigu vartojate arba neseniai vartojote kitų vaistų arba dėl to nesate tikri, pasakykite gydytojui arba vaistininkui.</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PK-Merz tablečių negalima vartoti kartu su kitais </w:t>
      </w:r>
      <w:r>
        <w:rPr>
          <w:rFonts w:ascii="Times New Roman" w:eastAsia="Times New Roman" w:hAnsi="Times New Roman"/>
        </w:rPr>
        <w:t>vaistais</w:t>
      </w:r>
      <w:r w:rsidRPr="008C6926">
        <w:rPr>
          <w:rFonts w:ascii="Times New Roman" w:eastAsia="Times New Roman" w:hAnsi="Times New Roman"/>
        </w:rPr>
        <w:t>, kurie, kaip žinoma, ilgina Q - T intervalą. Jiems priklauso:</w:t>
      </w:r>
    </w:p>
    <w:p w:rsidR="001C064F" w:rsidRPr="008C6926" w:rsidRDefault="001C064F" w:rsidP="001C064F">
      <w:pPr>
        <w:numPr>
          <w:ilvl w:val="0"/>
          <w:numId w:val="2"/>
        </w:numPr>
        <w:spacing w:after="0" w:line="240" w:lineRule="auto"/>
        <w:rPr>
          <w:rFonts w:ascii="Times New Roman" w:eastAsia="Times New Roman" w:hAnsi="Times New Roman"/>
        </w:rPr>
      </w:pPr>
      <w:r w:rsidRPr="008C6926">
        <w:rPr>
          <w:rFonts w:ascii="Times New Roman" w:eastAsia="Times New Roman" w:hAnsi="Times New Roman"/>
        </w:rPr>
        <w:t xml:space="preserve">kai kurie vaistai nuo širdies ritmo sutrikimų (I A klasės antiaritminiai </w:t>
      </w:r>
      <w:r>
        <w:rPr>
          <w:rFonts w:ascii="Times New Roman" w:eastAsia="Times New Roman" w:hAnsi="Times New Roman"/>
        </w:rPr>
        <w:t xml:space="preserve"> vaistai</w:t>
      </w:r>
      <w:r w:rsidRPr="008C6926">
        <w:rPr>
          <w:rFonts w:ascii="Times New Roman" w:eastAsia="Times New Roman" w:hAnsi="Times New Roman"/>
        </w:rPr>
        <w:t>, pavyzdžiui, chinidinas, dizopiramidas, prokainamidas, bei III klasės, pavyzdžiui, amjodaronas, sotalolis);</w:t>
      </w:r>
    </w:p>
    <w:p w:rsidR="001C064F" w:rsidRPr="008C6926" w:rsidRDefault="001C064F" w:rsidP="001C064F">
      <w:pPr>
        <w:numPr>
          <w:ilvl w:val="0"/>
          <w:numId w:val="2"/>
        </w:numPr>
        <w:spacing w:after="0" w:line="240" w:lineRule="auto"/>
        <w:rPr>
          <w:rFonts w:ascii="Times New Roman" w:eastAsia="Times New Roman" w:hAnsi="Times New Roman"/>
        </w:rPr>
      </w:pPr>
      <w:r w:rsidRPr="008C6926">
        <w:rPr>
          <w:rFonts w:ascii="Times New Roman" w:eastAsia="Times New Roman" w:hAnsi="Times New Roman"/>
        </w:rPr>
        <w:t>kai kurie vaistai nuo kliedesių (</w:t>
      </w:r>
      <w:r>
        <w:rPr>
          <w:rFonts w:ascii="Times New Roman" w:eastAsia="Times New Roman" w:hAnsi="Times New Roman"/>
        </w:rPr>
        <w:t>vaistai</w:t>
      </w:r>
      <w:r w:rsidRPr="008C6926">
        <w:rPr>
          <w:rFonts w:ascii="Times New Roman" w:eastAsia="Times New Roman" w:hAnsi="Times New Roman"/>
        </w:rPr>
        <w:t xml:space="preserve"> nuo psichikos ligų: tioridazinas, chlorpromazinas, haloperidolis, pimozidas);</w:t>
      </w:r>
    </w:p>
    <w:p w:rsidR="001C064F" w:rsidRPr="008C6926" w:rsidRDefault="001C064F" w:rsidP="001C064F">
      <w:pPr>
        <w:numPr>
          <w:ilvl w:val="0"/>
          <w:numId w:val="2"/>
        </w:numPr>
        <w:spacing w:after="0" w:line="240" w:lineRule="auto"/>
        <w:rPr>
          <w:rFonts w:ascii="Times New Roman" w:eastAsia="Times New Roman" w:hAnsi="Times New Roman"/>
        </w:rPr>
      </w:pPr>
      <w:r w:rsidRPr="008C6926">
        <w:rPr>
          <w:rFonts w:ascii="Times New Roman" w:eastAsia="Times New Roman" w:hAnsi="Times New Roman"/>
        </w:rPr>
        <w:t>kai kurie vaistai nuo depresijos (tricikliai bei tetracikliai antidepresantai, pavyzdžiui, amitriptilinas);</w:t>
      </w:r>
    </w:p>
    <w:p w:rsidR="001C064F" w:rsidRPr="008C6926" w:rsidRDefault="001C064F" w:rsidP="001C064F">
      <w:pPr>
        <w:numPr>
          <w:ilvl w:val="0"/>
          <w:numId w:val="2"/>
        </w:numPr>
        <w:spacing w:after="0" w:line="240" w:lineRule="auto"/>
        <w:rPr>
          <w:rFonts w:ascii="Times New Roman" w:eastAsia="Times New Roman" w:hAnsi="Times New Roman"/>
        </w:rPr>
      </w:pPr>
      <w:r w:rsidRPr="008C6926">
        <w:rPr>
          <w:rFonts w:ascii="Times New Roman" w:eastAsia="Times New Roman" w:hAnsi="Times New Roman"/>
        </w:rPr>
        <w:t xml:space="preserve">kai kurie </w:t>
      </w:r>
      <w:r>
        <w:rPr>
          <w:rFonts w:ascii="Times New Roman" w:eastAsia="Times New Roman" w:hAnsi="Times New Roman"/>
        </w:rPr>
        <w:t>vaistai</w:t>
      </w:r>
      <w:r w:rsidRPr="008C6926">
        <w:rPr>
          <w:rFonts w:ascii="Times New Roman" w:eastAsia="Times New Roman" w:hAnsi="Times New Roman"/>
        </w:rPr>
        <w:t xml:space="preserve"> nuo šien</w:t>
      </w:r>
      <w:r>
        <w:rPr>
          <w:rFonts w:ascii="Times New Roman" w:eastAsia="Times New Roman" w:hAnsi="Times New Roman"/>
        </w:rPr>
        <w:t xml:space="preserve">ligės/sezoninės </w:t>
      </w:r>
      <w:r w:rsidRPr="008C6926">
        <w:rPr>
          <w:rFonts w:ascii="Times New Roman" w:eastAsia="Times New Roman" w:hAnsi="Times New Roman"/>
        </w:rPr>
        <w:t xml:space="preserve">slogos (antihistamininiai </w:t>
      </w:r>
      <w:r>
        <w:rPr>
          <w:rFonts w:ascii="Times New Roman" w:eastAsia="Times New Roman" w:hAnsi="Times New Roman"/>
        </w:rPr>
        <w:t>vaistai</w:t>
      </w:r>
      <w:r w:rsidRPr="008C6926">
        <w:rPr>
          <w:rFonts w:ascii="Times New Roman" w:eastAsia="Times New Roman" w:hAnsi="Times New Roman"/>
        </w:rPr>
        <w:t>, pavyzdžiui, astemizolas, terfenadinas);</w:t>
      </w:r>
    </w:p>
    <w:p w:rsidR="001C064F" w:rsidRPr="008C6926" w:rsidRDefault="001C064F" w:rsidP="001C064F">
      <w:pPr>
        <w:numPr>
          <w:ilvl w:val="0"/>
          <w:numId w:val="2"/>
        </w:numPr>
        <w:spacing w:after="0" w:line="240" w:lineRule="auto"/>
        <w:rPr>
          <w:rFonts w:ascii="Times New Roman" w:eastAsia="Times New Roman" w:hAnsi="Times New Roman"/>
        </w:rPr>
      </w:pPr>
      <w:r w:rsidRPr="008C6926">
        <w:rPr>
          <w:rFonts w:ascii="Times New Roman" w:eastAsia="Times New Roman" w:hAnsi="Times New Roman"/>
        </w:rPr>
        <w:t>kai kurie vaistai nuo grybelių ir bakterijų sukeltų infekcinių ligų  (makrolidų grupės antibiotikai, pavyzdžiui, eritromicinas, klaritromicinas);</w:t>
      </w:r>
    </w:p>
    <w:p w:rsidR="001C064F" w:rsidRPr="008C6926" w:rsidRDefault="001C064F" w:rsidP="001C064F">
      <w:pPr>
        <w:numPr>
          <w:ilvl w:val="0"/>
          <w:numId w:val="2"/>
        </w:numPr>
        <w:spacing w:after="0" w:line="240" w:lineRule="auto"/>
        <w:rPr>
          <w:rFonts w:ascii="Times New Roman" w:eastAsia="Times New Roman" w:hAnsi="Times New Roman"/>
        </w:rPr>
      </w:pPr>
      <w:r w:rsidRPr="008C6926">
        <w:rPr>
          <w:rFonts w:ascii="Times New Roman" w:eastAsia="Times New Roman" w:hAnsi="Times New Roman"/>
        </w:rPr>
        <w:t xml:space="preserve">kai kurie </w:t>
      </w:r>
      <w:r>
        <w:rPr>
          <w:rFonts w:ascii="Times New Roman" w:eastAsia="Times New Roman" w:hAnsi="Times New Roman"/>
        </w:rPr>
        <w:t>vaistai</w:t>
      </w:r>
      <w:r w:rsidRPr="008C6926">
        <w:rPr>
          <w:rFonts w:ascii="Times New Roman" w:eastAsia="Times New Roman" w:hAnsi="Times New Roman"/>
        </w:rPr>
        <w:t xml:space="preserve"> nuo bakterijų sukeltų ligų (girazės inhibitoriai, pavyzdžiui, sparfloksacinas);</w:t>
      </w:r>
    </w:p>
    <w:p w:rsidR="001C064F" w:rsidRPr="008C6926" w:rsidRDefault="001C064F" w:rsidP="001C064F">
      <w:pPr>
        <w:numPr>
          <w:ilvl w:val="0"/>
          <w:numId w:val="2"/>
        </w:numPr>
        <w:spacing w:after="0" w:line="240" w:lineRule="auto"/>
        <w:rPr>
          <w:rFonts w:ascii="Times New Roman" w:eastAsia="Times New Roman" w:hAnsi="Times New Roman"/>
        </w:rPr>
      </w:pPr>
      <w:r w:rsidRPr="008C6926">
        <w:rPr>
          <w:rFonts w:ascii="Times New Roman" w:eastAsia="Times New Roman" w:hAnsi="Times New Roman"/>
        </w:rPr>
        <w:t xml:space="preserve">kai kurie vaistai nuo grybelių sukeliamų infekcinių ligų (priešgrybeliniai </w:t>
      </w:r>
      <w:r>
        <w:rPr>
          <w:rFonts w:ascii="Times New Roman" w:eastAsia="Times New Roman" w:hAnsi="Times New Roman"/>
        </w:rPr>
        <w:t>vaistai,</w:t>
      </w:r>
      <w:r w:rsidRPr="008C6926">
        <w:rPr>
          <w:rFonts w:ascii="Times New Roman" w:eastAsia="Times New Roman" w:hAnsi="Times New Roman"/>
        </w:rPr>
        <w:t xml:space="preserve"> azolo dariniai);</w:t>
      </w:r>
    </w:p>
    <w:p w:rsidR="001C064F" w:rsidRPr="008C6926" w:rsidRDefault="001C064F" w:rsidP="001C064F">
      <w:pPr>
        <w:numPr>
          <w:ilvl w:val="0"/>
          <w:numId w:val="2"/>
        </w:numPr>
        <w:spacing w:after="0" w:line="240" w:lineRule="auto"/>
        <w:rPr>
          <w:rFonts w:ascii="Times New Roman" w:eastAsia="Times New Roman" w:hAnsi="Times New Roman"/>
        </w:rPr>
      </w:pPr>
      <w:r w:rsidRPr="008C6926">
        <w:rPr>
          <w:rFonts w:ascii="Times New Roman" w:eastAsia="Times New Roman" w:hAnsi="Times New Roman"/>
        </w:rPr>
        <w:t>kiti vaist</w:t>
      </w:r>
      <w:r>
        <w:rPr>
          <w:rFonts w:ascii="Times New Roman" w:eastAsia="Times New Roman" w:hAnsi="Times New Roman"/>
        </w:rPr>
        <w:t xml:space="preserve">ai </w:t>
      </w:r>
      <w:r w:rsidRPr="008C6926">
        <w:rPr>
          <w:rFonts w:ascii="Times New Roman" w:eastAsia="Times New Roman" w:hAnsi="Times New Roman"/>
        </w:rPr>
        <w:t>: budipinas, halofantrinas, kotrimoksazolas, pentamidinas, cisapridas ir bepridilis.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Čia paminėti ne visi </w:t>
      </w:r>
      <w:r>
        <w:rPr>
          <w:rFonts w:ascii="Times New Roman" w:eastAsia="Times New Roman" w:hAnsi="Times New Roman"/>
        </w:rPr>
        <w:t>vaistai</w:t>
      </w:r>
      <w:r w:rsidRPr="008C6926">
        <w:rPr>
          <w:rFonts w:ascii="Times New Roman" w:eastAsia="Times New Roman" w:hAnsi="Times New Roman"/>
        </w:rPr>
        <w:t>. Prieš paskirdamas kitą vaistą vartoti kartu su PK-Merz tabletėmis, gydytojas, remdamasis preparato charakteristikų santrauka, turi patikrinti, ar nebus sąveikos, dėl kurios gali pailgėti Q - T intervalas.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Pasakykite gydytojui arba vaistininkui, jeigu, be PK-Merz tablečių, vartojate ar neseniai vartojote kitų vaistų.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PK-Merz tabletes galima vartoti kartu su kitais vaistais nuo parkinsonizmo. Kad nepasireikštų nepageidaujamas poveikis, pavyzdžiui, psichozė, gali prireikti mažinti kito </w:t>
      </w:r>
      <w:r>
        <w:rPr>
          <w:rFonts w:ascii="Times New Roman" w:eastAsia="Times New Roman" w:hAnsi="Times New Roman"/>
        </w:rPr>
        <w:t>vaisto</w:t>
      </w:r>
      <w:r w:rsidRPr="008C6926">
        <w:rPr>
          <w:rFonts w:ascii="Times New Roman" w:eastAsia="Times New Roman" w:hAnsi="Times New Roman"/>
        </w:rPr>
        <w:t xml:space="preserve"> arba ir PK-Merz tablečių dozę. </w:t>
      </w:r>
      <w:r w:rsidRPr="008C6926">
        <w:rPr>
          <w:rFonts w:ascii="Times New Roman" w:eastAsia="Times New Roman" w:hAnsi="Times New Roman"/>
        </w:rPr>
        <w:cr/>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Papildomai PK-Merz tablečių vartoti A viruso sukeltam gripui gydyti ar jo profilaktikai nepatariama ir reikia vengti tai daryti, kadangi kyla perdozavimo pavojus.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Specifinių tyrimų, kurių metu būtų tirta PK-Merz tablečių ir kitų vaistų nuo parkinsonizmo (levodopos, bromokriptino, memantino, triheksifenidilio ir kt.) ar memantino sąveika, neatlikta (žr. 4 skyrių „Galimas šalutinis poveikis“).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Kartu vartojant PK-Merz tablečių ir nurodytų </w:t>
      </w:r>
      <w:r>
        <w:rPr>
          <w:rFonts w:ascii="Times New Roman" w:eastAsia="Times New Roman" w:hAnsi="Times New Roman"/>
        </w:rPr>
        <w:t>vaistų</w:t>
      </w:r>
      <w:r w:rsidRPr="008C6926">
        <w:rPr>
          <w:rFonts w:ascii="Times New Roman" w:eastAsia="Times New Roman" w:hAnsi="Times New Roman"/>
        </w:rPr>
        <w:t xml:space="preserve"> grupių arba veikliųjų medžiagų, galima  toliau aprašyta sąveika.</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 </w:t>
      </w:r>
    </w:p>
    <w:p w:rsidR="001C064F" w:rsidRPr="008C6926" w:rsidRDefault="001C064F" w:rsidP="001C064F">
      <w:pPr>
        <w:spacing w:after="0" w:line="240" w:lineRule="auto"/>
        <w:rPr>
          <w:rFonts w:ascii="Times New Roman" w:eastAsia="Times New Roman" w:hAnsi="Times New Roman"/>
          <w:i/>
        </w:rPr>
      </w:pPr>
      <w:r w:rsidRPr="008C6926">
        <w:rPr>
          <w:rFonts w:ascii="Times New Roman" w:eastAsia="Times New Roman" w:hAnsi="Times New Roman"/>
          <w:i/>
        </w:rPr>
        <w:t>Anticholinerginės medžiagos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lastRenderedPageBreak/>
        <w:t xml:space="preserve">PK-Merz tabletės gali stiprinti kartu vartojamų  anticholinerginių </w:t>
      </w:r>
      <w:r>
        <w:rPr>
          <w:rFonts w:ascii="Times New Roman" w:eastAsia="Times New Roman" w:hAnsi="Times New Roman"/>
        </w:rPr>
        <w:t>vaistų</w:t>
      </w:r>
      <w:r w:rsidRPr="008C6926">
        <w:rPr>
          <w:rFonts w:ascii="Times New Roman" w:eastAsia="Times New Roman" w:hAnsi="Times New Roman"/>
        </w:rPr>
        <w:t xml:space="preserve"> (pavyzdžiui, triheksifenidilio, benzatropino, skopolamino, biperideno, orfenadrino ir kt.) sukeliamą šalutinį poveikį (suglumimą, haliucinacijas).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 </w:t>
      </w:r>
    </w:p>
    <w:p w:rsidR="001C064F" w:rsidRPr="008C6926" w:rsidRDefault="001C064F" w:rsidP="001C064F">
      <w:pPr>
        <w:spacing w:after="0" w:line="240" w:lineRule="auto"/>
        <w:rPr>
          <w:rFonts w:ascii="Times New Roman" w:eastAsia="Times New Roman" w:hAnsi="Times New Roman"/>
          <w:i/>
        </w:rPr>
      </w:pPr>
      <w:r w:rsidRPr="008C6926">
        <w:rPr>
          <w:rFonts w:ascii="Times New Roman" w:eastAsia="Times New Roman" w:hAnsi="Times New Roman"/>
          <w:i/>
        </w:rPr>
        <w:t>Netiesioginio poveikio simpatikomimetikai, veikiantys centrinę nervų sistemą</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Stiprinaa amantadino poveikį centrinei nervų sistemai.</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i/>
        </w:rPr>
      </w:pPr>
      <w:r w:rsidRPr="008C6926">
        <w:rPr>
          <w:rFonts w:ascii="Times New Roman" w:eastAsia="Times New Roman" w:hAnsi="Times New Roman"/>
          <w:i/>
        </w:rPr>
        <w:t>Alkoholis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Mažiną alkoholio toleravimą.</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i/>
        </w:rPr>
        <w:t>Levodopa (vaistas nuo parkinsonizmo</w:t>
      </w:r>
      <w:r w:rsidRPr="008C6926">
        <w:rPr>
          <w:rFonts w:ascii="Times New Roman" w:eastAsia="Times New Roman" w:hAnsi="Times New Roman"/>
        </w:rPr>
        <w:t>)</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Vartojant levodopos ir PK-Merz tablečių, stiprėja terapinis abiejų preparatų poveikis, todėl jų vartoti kartu galima.</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i/>
        </w:rPr>
      </w:pPr>
      <w:r w:rsidRPr="008C6926">
        <w:rPr>
          <w:rFonts w:ascii="Times New Roman" w:eastAsia="Times New Roman" w:hAnsi="Times New Roman"/>
          <w:i/>
        </w:rPr>
        <w:t>Kiti vaistai nuo parkinsonizmo</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Memantinas gali stiprinti terapinį ir šalutinį PK-Merz tablečių poveikį (būtina atsižvelgti į kontraindikacijas).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i/>
        </w:rPr>
      </w:pPr>
      <w:r w:rsidRPr="008C6926">
        <w:rPr>
          <w:rFonts w:ascii="Times New Roman" w:eastAsia="Times New Roman" w:hAnsi="Times New Roman"/>
          <w:i/>
        </w:rPr>
        <w:t>Kiti vaistai</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Kartu vartojant kai kurių šlapimą varančių vaistų, pavyzdžiui, diuretikų, kuriuose yra triamtereno ir hidrochlortiazido, gali mažėti amantadino išsiskyrimas, todėl kraujyje gali atsirasti toksinį poveikį sukelianti amantadino koncentracija, galinti sutrikdyti judesius, sukelti traukulius ar suglumimą. Vadinasi, kartu su PK-Merz tabletėmis šių vaistų vartoti draudžiama.</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Negalima pamiršti, kad šių nurodymų būtina laikytis ir tuo atveju, jei vaistų buvo vartota neseniai.</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PK-Merz vartojimas su maistu ir gėrimais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Rekomenduojama negerti alkoholinių gėrimų, kadangi PK-Merz tabletės mažina alkoholio toleravimą.</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Nėštumas ir žindymo laikotarpis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u w:val="single"/>
        </w:rPr>
      </w:pPr>
      <w:r w:rsidRPr="008C6926">
        <w:rPr>
          <w:rFonts w:ascii="Times New Roman" w:eastAsia="Times New Roman" w:hAnsi="Times New Roman"/>
          <w:u w:val="single"/>
        </w:rPr>
        <w:t>Nėštumas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PK-Merz tablečių nėščioms moterims galima vartoti tik būtiniausiu atveju, kadangi trūksta tokios vartojimo patirties. Aprašyti atvejai, kai moterims vartojant amantadino nėštumo laikotarpiu gimė sveiki vaikai, ir atvejai, kai buvo nėštumo eigos komplikacijų ir raidos sutrikimų (širdies ir kraujagyslių defektų, galūnių pakitimų). Su gyvūnais atlikti tyrimai parodė amantadino kenksmingą poveikį vaisiui. Galimas pavojus žmogui nežinomas.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Jei moteris pirmą nėštumo trimestrą vartojo amantadino, patariama tirti vaisių ultragarsu.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Jei esate nėščia, manote, kad pastojote arba planuojate pastoti , būtinai apie tai pasakykite gydytojui.  Jis nuspręs, ar tęsti gydymą, ar pakeisti vaistą arba gydymą nutraukti.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u w:val="single"/>
        </w:rPr>
      </w:pPr>
      <w:r w:rsidRPr="008C6926">
        <w:rPr>
          <w:rFonts w:ascii="Times New Roman" w:eastAsia="Times New Roman" w:hAnsi="Times New Roman"/>
          <w:u w:val="single"/>
        </w:rPr>
        <w:t>Žindymas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Amantadino patenka į motinos pieną. Jei žindyves PK-Merz tabletėmis gydyti būtina, reikia stebėti, ar kūdikiui nepasireiškia vaisto poveikis (odos bėrimas, šlapimo susilaikymas, vėmimas). Prireikus žindymą reikia nutraukti.</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Vairavimas ir mechanizmų valdymas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Kad PK-Merz tabletės, ypač vartojamos kartu su kitais vaistais nuo parkinsonizmo, nesutrikdys dėmesio, budrumo ir akies prisitaikymo, teigti negalima, todėl gydymo pradžioje vaistas gali sustiprinti ligos sukeltą gebėjimo vairuoti ir valdyti mechanizmus sutrikimą.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Jūs negalite specifiškai reaguoti į staigius ir netikėtus įvykius. Todėl nepasitaręs su gydytoju, nevairuokite automobilio ar kitokių transporto priemonių ir nenaudokite elektrinių prietaisų arba įrenginių. Ypač atminkite, kad alkoholis gebėjimą vairuoti dar labiau pablogina.</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b/>
        </w:rPr>
      </w:pPr>
      <w:r w:rsidRPr="008C6926">
        <w:rPr>
          <w:rFonts w:ascii="Times New Roman" w:eastAsia="Times New Roman" w:hAnsi="Times New Roman"/>
          <w:b/>
        </w:rPr>
        <w:t>PK-Merz sudėtyje yra laktozės ir saulėlydžio geltonojo FCF</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Jeigu gydytojas Jums yra sakęs, kad netoleruojate kokių nors angliavandenių, kreipkitės į jį prieš pradėdami vartoti šį vaistą.</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PK-Merz tablečių sudėtyje yra saulėlydžio geltonojo FCF (E110), kuris gali sukelti alerginių reakcijų.</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keepNext/>
        <w:tabs>
          <w:tab w:val="left" w:pos="567"/>
        </w:tabs>
        <w:spacing w:after="0" w:line="240" w:lineRule="auto"/>
        <w:ind w:left="567" w:hanging="567"/>
        <w:outlineLvl w:val="1"/>
        <w:rPr>
          <w:rFonts w:ascii="Times New Roman" w:eastAsia="Times New Roman" w:hAnsi="Times New Roman"/>
          <w:b/>
        </w:rPr>
      </w:pPr>
      <w:bookmarkStart w:id="4" w:name="_Toc129243141"/>
      <w:bookmarkStart w:id="5" w:name="_Toc129243266"/>
      <w:r w:rsidRPr="008C6926">
        <w:rPr>
          <w:rFonts w:ascii="Times New Roman" w:eastAsia="Times New Roman" w:hAnsi="Times New Roman"/>
          <w:b/>
        </w:rPr>
        <w:t>3.</w:t>
      </w:r>
      <w:r w:rsidRPr="008C6926">
        <w:rPr>
          <w:rFonts w:ascii="Times New Roman" w:eastAsia="Times New Roman" w:hAnsi="Times New Roman"/>
          <w:b/>
        </w:rPr>
        <w:tab/>
        <w:t xml:space="preserve">Kaip vartoti </w:t>
      </w:r>
      <w:bookmarkEnd w:id="4"/>
      <w:bookmarkEnd w:id="5"/>
      <w:r w:rsidRPr="008C6926">
        <w:rPr>
          <w:rFonts w:ascii="Times New Roman" w:eastAsia="Times New Roman" w:hAnsi="Times New Roman"/>
          <w:b/>
        </w:rPr>
        <w:t>PK-Merz</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Visada vartokite šį vaistą tiksliai kaip nurodė gydytojas. Jeigu abejojate, kreipkitės į gydytoją arba vaistininką.</w:t>
      </w:r>
    </w:p>
    <w:p w:rsidR="001C064F" w:rsidRPr="008C6926" w:rsidRDefault="001C064F" w:rsidP="001C064F">
      <w:pPr>
        <w:spacing w:after="0" w:line="240" w:lineRule="auto"/>
        <w:rPr>
          <w:rFonts w:ascii="Times New Roman" w:eastAsia="Times New Roman" w:hAnsi="Times New Roman"/>
          <w:lang w:eastAsia="lt-LT"/>
        </w:rPr>
      </w:pPr>
      <w:r w:rsidRPr="008C6926">
        <w:rPr>
          <w:rFonts w:ascii="Times New Roman" w:eastAsia="Times New Roman" w:hAnsi="Times New Roman"/>
          <w:lang w:eastAsia="lt-LT"/>
        </w:rPr>
        <w:t>PK-Merz tabletės yra su vagele, todėl jas galima padalyti į lygias dozes.</w:t>
      </w:r>
    </w:p>
    <w:p w:rsidR="001C064F" w:rsidRPr="008C6926" w:rsidRDefault="001C064F" w:rsidP="001C064F">
      <w:pPr>
        <w:spacing w:after="0" w:line="240" w:lineRule="auto"/>
        <w:rPr>
          <w:rFonts w:ascii="Times New Roman" w:eastAsia="Times New Roman" w:hAnsi="Times New Roman"/>
          <w:lang w:eastAsia="lt-LT"/>
        </w:rPr>
      </w:pPr>
    </w:p>
    <w:p w:rsidR="001C064F" w:rsidRPr="008C6926" w:rsidRDefault="001C064F" w:rsidP="001C064F">
      <w:pPr>
        <w:spacing w:after="0" w:line="240" w:lineRule="auto"/>
        <w:rPr>
          <w:rFonts w:ascii="Times New Roman" w:eastAsia="Times New Roman" w:hAnsi="Times New Roman"/>
          <w:lang w:eastAsia="lt-LT"/>
        </w:rPr>
      </w:pPr>
      <w:r w:rsidRPr="008C6926">
        <w:rPr>
          <w:rFonts w:ascii="Times New Roman" w:eastAsia="Times New Roman" w:hAnsi="Times New Roman"/>
          <w:lang w:eastAsia="lt-LT"/>
        </w:rPr>
        <w:t>Vaistą geriausiai gerti ryte ir po pietų, užsigeriant nedideliu kiekiu skysčio. Paskutinę paros dozę reikia gerti ne vėliau kaip 16 valandą.</w:t>
      </w:r>
    </w:p>
    <w:p w:rsidR="001C064F" w:rsidRPr="008C6926" w:rsidRDefault="001C064F" w:rsidP="001C064F">
      <w:pPr>
        <w:spacing w:after="0" w:line="240" w:lineRule="auto"/>
        <w:ind w:right="32"/>
        <w:rPr>
          <w:rFonts w:ascii="Times New Roman" w:eastAsia="Times New Roman" w:hAnsi="Times New Roman"/>
        </w:rPr>
      </w:pPr>
    </w:p>
    <w:p w:rsidR="001C064F" w:rsidRPr="008C6926" w:rsidRDefault="001C064F" w:rsidP="001C064F">
      <w:pPr>
        <w:spacing w:after="0" w:line="240" w:lineRule="auto"/>
        <w:ind w:right="32"/>
        <w:rPr>
          <w:rFonts w:ascii="Times New Roman" w:eastAsia="Times New Roman" w:hAnsi="Times New Roman"/>
        </w:rPr>
      </w:pPr>
      <w:r w:rsidRPr="008C6926">
        <w:rPr>
          <w:rFonts w:ascii="Times New Roman" w:eastAsia="Times New Roman" w:hAnsi="Times New Roman"/>
        </w:rPr>
        <w:t>Parkinsono sindromas ir vaistų sukelti judėjimo sutrikimai paprastai gydomi vaisto dozę didinant palaipsniui. Reikiama dozė ir gydymo trukmė, kurią nustato gydytojas, priklauso nuo ligos pobūdžio ir sunkumo.</w:t>
      </w:r>
    </w:p>
    <w:p w:rsidR="001C064F" w:rsidRPr="008C6926" w:rsidRDefault="001C064F" w:rsidP="001C064F">
      <w:pPr>
        <w:spacing w:after="0" w:line="240" w:lineRule="auto"/>
        <w:ind w:right="32"/>
        <w:rPr>
          <w:rFonts w:ascii="Times New Roman" w:eastAsia="Times New Roman" w:hAnsi="Times New Roman"/>
        </w:rPr>
      </w:pPr>
    </w:p>
    <w:p w:rsidR="001C064F" w:rsidRPr="008C6926" w:rsidRDefault="001C064F" w:rsidP="001C064F">
      <w:pPr>
        <w:spacing w:after="0" w:line="240" w:lineRule="auto"/>
        <w:ind w:right="32"/>
        <w:rPr>
          <w:rFonts w:ascii="Times New Roman" w:eastAsia="Times New Roman" w:hAnsi="Times New Roman"/>
        </w:rPr>
      </w:pPr>
      <w:r w:rsidRPr="008C6926">
        <w:rPr>
          <w:rFonts w:ascii="Times New Roman" w:eastAsia="Times New Roman" w:hAnsi="Times New Roman"/>
        </w:rPr>
        <w:t xml:space="preserve">Pirmąsias 4 – 7 dienas kartą per </w:t>
      </w:r>
      <w:r>
        <w:rPr>
          <w:rFonts w:ascii="Times New Roman" w:eastAsia="Times New Roman" w:hAnsi="Times New Roman"/>
        </w:rPr>
        <w:t>parą</w:t>
      </w:r>
      <w:r w:rsidRPr="008C6926">
        <w:rPr>
          <w:rFonts w:ascii="Times New Roman" w:eastAsia="Times New Roman" w:hAnsi="Times New Roman"/>
        </w:rPr>
        <w:t xml:space="preserve"> reikia gerti vieną PK-Merz tabletę, t.y. 100 mg amantadino sulfato, po to kas savaitę dozę didinti po vieną tabletę tol, kol  dozė tampa palaikomoji, t.y. gerti 2 kartus per </w:t>
      </w:r>
      <w:r>
        <w:rPr>
          <w:rFonts w:ascii="Times New Roman" w:eastAsia="Times New Roman" w:hAnsi="Times New Roman"/>
        </w:rPr>
        <w:t>parą</w:t>
      </w:r>
      <w:r w:rsidRPr="008C6926">
        <w:rPr>
          <w:rFonts w:ascii="Times New Roman" w:eastAsia="Times New Roman" w:hAnsi="Times New Roman"/>
        </w:rPr>
        <w:t xml:space="preserve"> po 1 – 3 tabletes (200 – 600 mg amantadino sulfato per </w:t>
      </w:r>
      <w:r>
        <w:rPr>
          <w:rFonts w:ascii="Times New Roman" w:eastAsia="Times New Roman" w:hAnsi="Times New Roman"/>
        </w:rPr>
        <w:t>parą</w:t>
      </w:r>
      <w:r w:rsidRPr="008C6926">
        <w:rPr>
          <w:rFonts w:ascii="Times New Roman" w:eastAsia="Times New Roman" w:hAnsi="Times New Roman"/>
        </w:rPr>
        <w:t xml:space="preserve">). Gydytojui leidus, </w:t>
      </w:r>
      <w:r>
        <w:rPr>
          <w:rFonts w:ascii="Times New Roman" w:eastAsia="Times New Roman" w:hAnsi="Times New Roman"/>
        </w:rPr>
        <w:t>paros</w:t>
      </w:r>
      <w:r w:rsidRPr="008C6926">
        <w:rPr>
          <w:rFonts w:ascii="Times New Roman" w:eastAsia="Times New Roman" w:hAnsi="Times New Roman"/>
        </w:rPr>
        <w:t xml:space="preserve"> dozę galima išdalyti į 3 dalis.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Senyvus žmones, ypač tuos, kuriems pasireiškė sujaudinimas, suglumimas ar kliedėjimo sindromas, reikia pradėti gydyti mažesne doze.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Kartu su </w:t>
      </w:r>
      <w:r w:rsidRPr="008C6926">
        <w:rPr>
          <w:rFonts w:ascii="Times New Roman" w:eastAsia="Times New Roman" w:hAnsi="Times New Roman"/>
          <w:iCs/>
        </w:rPr>
        <w:t>PK-Merz</w:t>
      </w:r>
      <w:r w:rsidRPr="008C6926">
        <w:rPr>
          <w:rFonts w:ascii="Times New Roman" w:eastAsia="Times New Roman" w:hAnsi="Times New Roman"/>
        </w:rPr>
        <w:t xml:space="preserve"> tabletėmis vartojant kitų vaistų nuo parkinsonizmo, dozę kiekvienam ligoniui turi nustatyti gydytojas.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Jei prieš tai buvote gydytas amantadino infuziniu tirpalu, gydytojas gali skirti didesnę pradinę dozę. </w:t>
      </w:r>
    </w:p>
    <w:p w:rsidR="001C064F" w:rsidRPr="008C6926" w:rsidRDefault="001C064F" w:rsidP="001C064F">
      <w:pPr>
        <w:spacing w:after="0" w:line="240" w:lineRule="auto"/>
        <w:jc w:val="both"/>
        <w:rPr>
          <w:rFonts w:ascii="Times New Roman" w:eastAsia="Times New Roman" w:hAnsi="Times New Roman"/>
          <w:lang w:eastAsia="lt-LT"/>
        </w:rPr>
      </w:pPr>
      <w:r w:rsidRPr="008C6926">
        <w:rPr>
          <w:rFonts w:ascii="Times New Roman" w:eastAsia="Times New Roman" w:hAnsi="Times New Roman"/>
          <w:lang w:eastAsia="lt-LT"/>
        </w:rPr>
        <w:t>Jeigu staiga paūmėjus parkinsonizmui pasireiškia akinezinė krizė, reikia taikyti gydymą amantadino infuziniu tirpalu.</w:t>
      </w:r>
    </w:p>
    <w:p w:rsidR="001C064F" w:rsidRPr="008C6926" w:rsidRDefault="001C064F" w:rsidP="001C064F">
      <w:pPr>
        <w:spacing w:after="0" w:line="240" w:lineRule="auto"/>
        <w:rPr>
          <w:rFonts w:ascii="Times New Roman" w:eastAsia="Times New Roman" w:hAnsi="Times New Roman"/>
          <w:i/>
        </w:rPr>
      </w:pPr>
    </w:p>
    <w:p w:rsidR="001C064F" w:rsidRPr="008C6926" w:rsidRDefault="001C064F" w:rsidP="001C064F">
      <w:pPr>
        <w:spacing w:after="0" w:line="240" w:lineRule="auto"/>
        <w:rPr>
          <w:rFonts w:ascii="Times New Roman" w:eastAsia="Times New Roman" w:hAnsi="Times New Roman"/>
          <w:u w:val="single"/>
        </w:rPr>
      </w:pPr>
      <w:r w:rsidRPr="008C6926">
        <w:rPr>
          <w:rFonts w:ascii="Times New Roman" w:eastAsia="Times New Roman" w:hAnsi="Times New Roman"/>
          <w:u w:val="single"/>
        </w:rPr>
        <w:t>Dozavimas pacientams, kurių inkstų funkcija sutrikusi</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Jeigu Jums yra inkstų funkcijos nepakankamumas, dozę (žr. lentelę) gydytojas parinks atsižvelgiant į inkstų klirenso mažėjimą, apskaičiuotą pagal glomerulų filtracijos greitį (GFG).</w:t>
      </w:r>
    </w:p>
    <w:p w:rsidR="001C064F" w:rsidRPr="008C6926" w:rsidRDefault="001C064F" w:rsidP="001C064F">
      <w:pPr>
        <w:spacing w:after="0" w:line="240" w:lineRule="auto"/>
        <w:jc w:val="both"/>
        <w:rPr>
          <w:rFonts w:ascii="Times New Roman" w:eastAsia="Times New Roman" w:hAnsi="Times New Roman"/>
          <w:lang w:eastAsia="lt-LT"/>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0"/>
        <w:gridCol w:w="2841"/>
        <w:gridCol w:w="2841"/>
      </w:tblGrid>
      <w:tr w:rsidR="001C064F" w:rsidRPr="008C6926" w:rsidTr="00D66324">
        <w:tc>
          <w:tcPr>
            <w:tcW w:w="2840" w:type="dxa"/>
          </w:tcPr>
          <w:p w:rsidR="001C064F" w:rsidRPr="008C6926" w:rsidRDefault="001C064F" w:rsidP="00D66324">
            <w:pPr>
              <w:spacing w:after="0" w:line="240" w:lineRule="auto"/>
              <w:rPr>
                <w:rFonts w:ascii="Times New Roman" w:eastAsia="Times New Roman" w:hAnsi="Times New Roman"/>
                <w:bCs/>
              </w:rPr>
            </w:pPr>
            <w:r w:rsidRPr="008C6926">
              <w:rPr>
                <w:rFonts w:ascii="Times New Roman" w:eastAsia="Times New Roman" w:hAnsi="Times New Roman"/>
                <w:bCs/>
              </w:rPr>
              <w:t>GFG</w:t>
            </w:r>
          </w:p>
          <w:p w:rsidR="001C064F" w:rsidRPr="008C6926" w:rsidRDefault="001C064F" w:rsidP="00D66324">
            <w:pPr>
              <w:spacing w:after="0" w:line="240" w:lineRule="auto"/>
              <w:rPr>
                <w:rFonts w:ascii="Times New Roman" w:eastAsia="Times New Roman" w:hAnsi="Times New Roman"/>
                <w:bCs/>
              </w:rPr>
            </w:pPr>
            <w:r w:rsidRPr="008C6926">
              <w:rPr>
                <w:rFonts w:ascii="Times New Roman" w:eastAsia="Times New Roman" w:hAnsi="Times New Roman"/>
                <w:bCs/>
              </w:rPr>
              <w:t>(ml/min.)</w:t>
            </w:r>
          </w:p>
        </w:tc>
        <w:tc>
          <w:tcPr>
            <w:tcW w:w="2841" w:type="dxa"/>
          </w:tcPr>
          <w:p w:rsidR="001C064F" w:rsidRPr="008C6926" w:rsidRDefault="001C064F" w:rsidP="00D66324">
            <w:pPr>
              <w:spacing w:after="0" w:line="240" w:lineRule="auto"/>
              <w:rPr>
                <w:rFonts w:ascii="Times New Roman" w:eastAsia="Times New Roman" w:hAnsi="Times New Roman"/>
                <w:bCs/>
              </w:rPr>
            </w:pPr>
            <w:r w:rsidRPr="008C6926">
              <w:rPr>
                <w:rFonts w:ascii="Times New Roman" w:eastAsia="Times New Roman" w:hAnsi="Times New Roman"/>
                <w:bCs/>
              </w:rPr>
              <w:t>Amantadino sulfato dozė (mg)</w:t>
            </w:r>
          </w:p>
        </w:tc>
        <w:tc>
          <w:tcPr>
            <w:tcW w:w="2841" w:type="dxa"/>
          </w:tcPr>
          <w:p w:rsidR="001C064F" w:rsidRPr="008C6926" w:rsidRDefault="001C064F" w:rsidP="00D66324">
            <w:pPr>
              <w:spacing w:after="0" w:line="240" w:lineRule="auto"/>
              <w:jc w:val="both"/>
              <w:outlineLvl w:val="5"/>
              <w:rPr>
                <w:rFonts w:ascii="Times New Roman" w:eastAsia="Times New Roman" w:hAnsi="Times New Roman"/>
                <w:lang w:eastAsia="lt-LT"/>
              </w:rPr>
            </w:pPr>
            <w:r w:rsidRPr="008C6926">
              <w:rPr>
                <w:rFonts w:ascii="Times New Roman" w:eastAsia="Times New Roman" w:hAnsi="Times New Roman"/>
                <w:lang w:eastAsia="lt-LT"/>
              </w:rPr>
              <w:t>Vartojimo intervalas</w:t>
            </w:r>
          </w:p>
        </w:tc>
      </w:tr>
      <w:tr w:rsidR="001C064F" w:rsidRPr="008C6926" w:rsidTr="00D66324">
        <w:tc>
          <w:tcPr>
            <w:tcW w:w="2840"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80 – 60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Kas 12 valandų</w:t>
            </w:r>
          </w:p>
        </w:tc>
      </w:tr>
      <w:tr w:rsidR="001C064F" w:rsidRPr="008C6926" w:rsidTr="00D66324">
        <w:tc>
          <w:tcPr>
            <w:tcW w:w="2840"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60 – 50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100 ir 200*</w:t>
            </w:r>
          </w:p>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arba 150**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 xml:space="preserve">Kas antrą </w:t>
            </w:r>
            <w:r>
              <w:rPr>
                <w:rFonts w:ascii="Times New Roman" w:eastAsia="Times New Roman" w:hAnsi="Times New Roman"/>
              </w:rPr>
              <w:t>parą</w:t>
            </w:r>
            <w:r w:rsidRPr="008C6926">
              <w:rPr>
                <w:rFonts w:ascii="Times New Roman" w:eastAsia="Times New Roman" w:hAnsi="Times New Roman"/>
              </w:rPr>
              <w:t>*</w:t>
            </w:r>
          </w:p>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 xml:space="preserve">arba kartą per </w:t>
            </w:r>
            <w:r>
              <w:rPr>
                <w:rFonts w:ascii="Times New Roman" w:eastAsia="Times New Roman" w:hAnsi="Times New Roman"/>
              </w:rPr>
              <w:t>parą</w:t>
            </w:r>
            <w:r w:rsidRPr="008C6926">
              <w:rPr>
                <w:rFonts w:ascii="Times New Roman" w:eastAsia="Times New Roman" w:hAnsi="Times New Roman"/>
              </w:rPr>
              <w:t>**</w:t>
            </w:r>
          </w:p>
        </w:tc>
      </w:tr>
      <w:tr w:rsidR="001C064F" w:rsidRPr="008C6926" w:rsidTr="00D66324">
        <w:tc>
          <w:tcPr>
            <w:tcW w:w="2840"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50 – 30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 xml:space="preserve">Kartą per </w:t>
            </w:r>
            <w:r>
              <w:rPr>
                <w:rFonts w:ascii="Times New Roman" w:eastAsia="Times New Roman" w:hAnsi="Times New Roman"/>
              </w:rPr>
              <w:t>parą</w:t>
            </w:r>
          </w:p>
        </w:tc>
      </w:tr>
      <w:tr w:rsidR="001C064F" w:rsidRPr="008C6926" w:rsidTr="00D66324">
        <w:tc>
          <w:tcPr>
            <w:tcW w:w="2840"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30 – 20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200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2 kartus per savaitę</w:t>
            </w:r>
          </w:p>
        </w:tc>
      </w:tr>
      <w:tr w:rsidR="001C064F" w:rsidRPr="008C6926" w:rsidTr="00D66324">
        <w:tc>
          <w:tcPr>
            <w:tcW w:w="2840"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20 – 10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100</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3 kartus per savaitę</w:t>
            </w:r>
          </w:p>
        </w:tc>
      </w:tr>
      <w:tr w:rsidR="001C064F" w:rsidRPr="008C6926" w:rsidTr="00D66324">
        <w:tc>
          <w:tcPr>
            <w:tcW w:w="2840" w:type="dxa"/>
          </w:tcPr>
          <w:p w:rsidR="001C064F" w:rsidRPr="008C6926" w:rsidRDefault="001C064F" w:rsidP="00D66324">
            <w:pPr>
              <w:spacing w:after="0" w:line="240" w:lineRule="auto"/>
              <w:jc w:val="both"/>
              <w:rPr>
                <w:rFonts w:ascii="Times New Roman" w:eastAsia="Times New Roman" w:hAnsi="Times New Roman"/>
              </w:rPr>
            </w:pPr>
            <w:r w:rsidRPr="008C6926">
              <w:rPr>
                <w:rFonts w:ascii="Times New Roman" w:eastAsia="Times New Roman" w:hAnsi="Times New Roman"/>
              </w:rPr>
              <w:t>Mažiau kaip 10 ir</w:t>
            </w:r>
          </w:p>
          <w:p w:rsidR="001C064F" w:rsidRPr="008C6926" w:rsidRDefault="001C064F" w:rsidP="00D66324">
            <w:pPr>
              <w:spacing w:after="0" w:line="240" w:lineRule="auto"/>
              <w:jc w:val="both"/>
              <w:rPr>
                <w:rFonts w:ascii="Times New Roman" w:eastAsia="Times New Roman" w:hAnsi="Times New Roman"/>
              </w:rPr>
            </w:pPr>
            <w:r w:rsidRPr="008C6926">
              <w:rPr>
                <w:rFonts w:ascii="Times New Roman" w:eastAsia="Times New Roman" w:hAnsi="Times New Roman"/>
              </w:rPr>
              <w:t>hemodializuojamiems pacientams</w:t>
            </w: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200 ir 100</w:t>
            </w:r>
          </w:p>
          <w:p w:rsidR="001C064F" w:rsidRPr="008C6926" w:rsidRDefault="001C064F" w:rsidP="00D66324">
            <w:pPr>
              <w:spacing w:after="0" w:line="240" w:lineRule="auto"/>
              <w:rPr>
                <w:rFonts w:ascii="Times New Roman" w:eastAsia="Times New Roman" w:hAnsi="Times New Roman"/>
              </w:rPr>
            </w:pPr>
          </w:p>
          <w:p w:rsidR="001C064F" w:rsidRPr="008C6926" w:rsidRDefault="001C064F" w:rsidP="00D66324">
            <w:pPr>
              <w:spacing w:after="0" w:line="240" w:lineRule="auto"/>
              <w:rPr>
                <w:rFonts w:ascii="Times New Roman" w:eastAsia="Times New Roman" w:hAnsi="Times New Roman"/>
              </w:rPr>
            </w:pPr>
          </w:p>
        </w:tc>
        <w:tc>
          <w:tcPr>
            <w:tcW w:w="2841" w:type="dxa"/>
          </w:tcPr>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Kartą per savaitę arba</w:t>
            </w:r>
          </w:p>
          <w:p w:rsidR="001C064F" w:rsidRPr="008C6926" w:rsidRDefault="001C064F" w:rsidP="00D66324">
            <w:pPr>
              <w:spacing w:after="0" w:line="240" w:lineRule="auto"/>
              <w:rPr>
                <w:rFonts w:ascii="Times New Roman" w:eastAsia="Times New Roman" w:hAnsi="Times New Roman"/>
              </w:rPr>
            </w:pPr>
            <w:r w:rsidRPr="008C6926">
              <w:rPr>
                <w:rFonts w:ascii="Times New Roman" w:eastAsia="Times New Roman" w:hAnsi="Times New Roman"/>
              </w:rPr>
              <w:t>kas dvi savait</w:t>
            </w:r>
            <w:r>
              <w:rPr>
                <w:rFonts w:ascii="Times New Roman" w:eastAsia="Times New Roman" w:hAnsi="Times New Roman"/>
              </w:rPr>
              <w:t>e</w:t>
            </w:r>
            <w:r w:rsidRPr="008C6926">
              <w:rPr>
                <w:rFonts w:ascii="Times New Roman" w:eastAsia="Times New Roman" w:hAnsi="Times New Roman"/>
              </w:rPr>
              <w:t>s</w:t>
            </w:r>
          </w:p>
        </w:tc>
      </w:tr>
    </w:tbl>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 Pakaitomis vieną kartą reikia gerti vieną 100 mg amantadino sulfato tabletę, kitą kartą - dvi tabletes.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Reikia gerti vieną 150 mg amantadino sulfato tabletę.</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GFG galima apskaičiuoti taikant tokią formulę:</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Cl</w:t>
      </w:r>
      <w:r w:rsidRPr="008C6926">
        <w:rPr>
          <w:rFonts w:ascii="Times New Roman" w:eastAsia="Times New Roman" w:hAnsi="Times New Roman"/>
          <w:vertAlign w:val="subscript"/>
        </w:rPr>
        <w:t>Kr</w:t>
      </w:r>
      <w:r w:rsidRPr="008C6926">
        <w:rPr>
          <w:rFonts w:ascii="Times New Roman" w:eastAsia="Times New Roman" w:hAnsi="Times New Roman"/>
        </w:rPr>
        <w:t xml:space="preserve"> = </w:t>
      </w:r>
      <w:r w:rsidRPr="008C6926">
        <w:rPr>
          <w:rFonts w:ascii="Times New Roman" w:eastAsia="Times New Roman" w:hAnsi="Times New Roman"/>
          <w:u w:val="single"/>
        </w:rPr>
        <w:t>(140 – amžius) x kūno svoris</w:t>
      </w:r>
      <w:r w:rsidRPr="008C6926">
        <w:rPr>
          <w:rFonts w:ascii="Times New Roman" w:eastAsia="Times New Roman" w:hAnsi="Times New Roman"/>
        </w:rPr>
        <w:t xml:space="preserve">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                72 x kreatininas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Cl</w:t>
      </w:r>
      <w:r w:rsidRPr="008C6926">
        <w:rPr>
          <w:rFonts w:ascii="Times New Roman" w:eastAsia="Times New Roman" w:hAnsi="Times New Roman"/>
          <w:vertAlign w:val="subscript"/>
        </w:rPr>
        <w:t xml:space="preserve">Kr  </w:t>
      </w:r>
      <w:r w:rsidRPr="008C6926">
        <w:rPr>
          <w:rFonts w:ascii="Times New Roman" w:eastAsia="Times New Roman" w:hAnsi="Times New Roman"/>
        </w:rPr>
        <w:t>- kreatinino klirensas (ml/min.)</w:t>
      </w:r>
    </w:p>
    <w:p w:rsidR="001C064F" w:rsidRPr="008C6926" w:rsidRDefault="001C064F" w:rsidP="001C064F">
      <w:pPr>
        <w:spacing w:after="0" w:line="240" w:lineRule="auto"/>
        <w:jc w:val="both"/>
        <w:rPr>
          <w:rFonts w:ascii="Times New Roman" w:eastAsia="Times New Roman" w:hAnsi="Times New Roman"/>
          <w:lang w:eastAsia="lt-LT"/>
        </w:rPr>
      </w:pPr>
      <w:r w:rsidRPr="008C6926">
        <w:rPr>
          <w:rFonts w:ascii="Times New Roman" w:eastAsia="Times New Roman" w:hAnsi="Times New Roman"/>
          <w:lang w:eastAsia="lt-LT"/>
        </w:rPr>
        <w:t>Kreatininas, t.y. kreatinino serume kiekis (mg/100 ml)</w:t>
      </w:r>
    </w:p>
    <w:p w:rsidR="001C064F" w:rsidRPr="008C6926" w:rsidRDefault="001C064F" w:rsidP="001C064F">
      <w:pPr>
        <w:spacing w:after="0" w:line="240" w:lineRule="auto"/>
        <w:jc w:val="both"/>
        <w:rPr>
          <w:rFonts w:ascii="Times New Roman" w:eastAsia="Times New Roman" w:hAnsi="Times New Roman"/>
          <w:lang w:eastAsia="lt-LT"/>
        </w:rPr>
      </w:pPr>
      <w:r w:rsidRPr="008C6926">
        <w:rPr>
          <w:rFonts w:ascii="Times New Roman" w:eastAsia="Times New Roman" w:hAnsi="Times New Roman"/>
          <w:lang w:eastAsia="lt-LT"/>
        </w:rPr>
        <w:lastRenderedPageBreak/>
        <w:t>Taip apskaičiuojamas vyrų kreatinino klirensas. Moterų organizme jis yra 85 % gautos reikšmės ir nustatant GFG, laikomas lygiu inulino klirensui, kuris suaugusių žmonių organizme yra 120 ml/min.</w:t>
      </w:r>
    </w:p>
    <w:p w:rsidR="001C064F" w:rsidRPr="008C6926" w:rsidRDefault="001C064F" w:rsidP="001C064F">
      <w:pPr>
        <w:spacing w:after="0" w:line="240" w:lineRule="auto"/>
        <w:ind w:right="276"/>
        <w:rPr>
          <w:rFonts w:ascii="Times New Roman" w:eastAsia="Times New Roman" w:hAnsi="Times New Roman"/>
        </w:rPr>
      </w:pPr>
      <w:r w:rsidRPr="008C6926">
        <w:rPr>
          <w:rFonts w:ascii="Times New Roman" w:eastAsia="Times New Roman" w:hAnsi="Times New Roman"/>
        </w:rPr>
        <w:t>Dialize iš organizmo galima pašalinti tik apie 5 % amantadino.</w:t>
      </w:r>
    </w:p>
    <w:p w:rsidR="001C064F" w:rsidRPr="008C6926" w:rsidRDefault="001C064F" w:rsidP="001C064F">
      <w:pPr>
        <w:spacing w:after="0" w:line="240" w:lineRule="auto"/>
        <w:ind w:right="276"/>
        <w:rPr>
          <w:rFonts w:ascii="Times New Roman" w:eastAsia="Times New Roman" w:hAnsi="Times New Roman"/>
        </w:rPr>
      </w:pPr>
    </w:p>
    <w:p w:rsidR="001C064F" w:rsidRPr="008C6926" w:rsidRDefault="001C064F" w:rsidP="001C064F">
      <w:pPr>
        <w:spacing w:after="0" w:line="240" w:lineRule="auto"/>
        <w:ind w:right="278"/>
        <w:rPr>
          <w:rFonts w:ascii="Times New Roman" w:eastAsia="Times New Roman" w:hAnsi="Times New Roman"/>
          <w:iCs/>
          <w:u w:val="single"/>
        </w:rPr>
      </w:pPr>
      <w:r w:rsidRPr="008C6926">
        <w:rPr>
          <w:rFonts w:ascii="Times New Roman" w:eastAsia="Times New Roman" w:hAnsi="Times New Roman"/>
          <w:iCs/>
          <w:u w:val="single"/>
        </w:rPr>
        <w:t>Kiek laiko reikia vaisto vartoti</w:t>
      </w:r>
    </w:p>
    <w:p w:rsidR="001C064F" w:rsidRPr="008C6926" w:rsidRDefault="001C064F" w:rsidP="001C064F">
      <w:pPr>
        <w:tabs>
          <w:tab w:val="left" w:pos="567"/>
        </w:tabs>
        <w:spacing w:after="0" w:line="240" w:lineRule="auto"/>
        <w:rPr>
          <w:rFonts w:ascii="Times New Roman" w:eastAsia="Times New Roman" w:hAnsi="Times New Roman"/>
        </w:rPr>
      </w:pPr>
      <w:r w:rsidRPr="008C6926">
        <w:rPr>
          <w:rFonts w:ascii="Times New Roman" w:eastAsia="Times New Roman" w:hAnsi="Times New Roman"/>
        </w:rPr>
        <w:t>Savarankiškai vaisto vartojimo nutraukti negalima. Gydymo trukmę nustato gydytojas, atsižvelgdamas į ligą ir kiekvieno ligonio reakciją į vaistą.</w:t>
      </w:r>
    </w:p>
    <w:p w:rsidR="001C064F" w:rsidRPr="008C6926" w:rsidRDefault="001C064F" w:rsidP="001C064F">
      <w:pPr>
        <w:spacing w:after="0" w:line="240" w:lineRule="auto"/>
        <w:rPr>
          <w:rFonts w:ascii="Times New Roman" w:eastAsia="Times New Roman" w:hAnsi="Times New Roman"/>
          <w:lang w:eastAsia="lt-LT"/>
        </w:rPr>
      </w:pPr>
      <w:r w:rsidRPr="008C6926">
        <w:rPr>
          <w:rFonts w:ascii="Times New Roman" w:eastAsia="Times New Roman" w:hAnsi="Times New Roman"/>
          <w:lang w:eastAsia="lt-LT"/>
        </w:rPr>
        <w:t>Jei manote, kad šis vaistas veikia per stipriai arba per silpnai, apie tai pasakykite gydytojui arba vaistininkui.</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Ką daryti pavartojus per didelę PK-Merz dozę</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Jeigu atsirado ūminio apsinuodijimo požymiai, tokie kaip pykinimas, vėmimas, padidėjęs dirglumas, drebėjimas, netvirta eisena, regos sutrikimai (matymas lyg per miglą), mieguistumas, depresija, kalbos sutrikimai ir traukulių priepuoliai (vienam pacientui nustatytas piktybinės širdies aritmijos atvejis), reikia informuoti gydytoją (tai gali padaryti ir artimieji) ir kreiptis į gydymo įstaigą.</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Vartojant PK-Merz tablečių kartu su kitais vaistais nuo parkinsonizmo, gali atsirasti suglumimas ir  haliucinacijų arba net koma ir raumenų susitraukimų.</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Kadangi jokio specifinio gydymo ar priešnuodžio nėra, perdozavus PK-Merz tablečių, gydytojas  sukels vėmimą ir išplaus skrandį.</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Kad amantadinas greičiau išsiskirtų iš organizmo, reiks vartoti daugiau skysčių ir rūgštinti šlapimą. Gali prireikti raminamųjų </w:t>
      </w:r>
      <w:r>
        <w:rPr>
          <w:rFonts w:ascii="Times New Roman" w:eastAsia="Times New Roman" w:hAnsi="Times New Roman"/>
        </w:rPr>
        <w:t>vaistų</w:t>
      </w:r>
      <w:r w:rsidRPr="008C6926">
        <w:rPr>
          <w:rFonts w:ascii="Times New Roman" w:eastAsia="Times New Roman" w:hAnsi="Times New Roman"/>
        </w:rPr>
        <w:t xml:space="preserve"> ir vaistų nuo traukulių ar širdies ritmo sutrikimų (pvz., leisti į veną lidokaino).</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Pasireiškus toksiniam poveikiui nervų sistemai (jis aprašytas aukščiau), galima mėginti lėtai į veną švirkšti fizostigmino: suaugusiems žmonėms po 1 - 2 mg kas 2 valandas, vaikams - po 0,5 mg 2 kartus kas 5 – 10 minučių. Vaikams didžiausia bendra dozė yra 2 mg.  </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 reiks, gydytojas atliks EKG, bei atidžiai stebės ar neatsiranda veiksnių, skatinančių širdies ritmo sutrikimą: elektrolitų pusiausvyros sutrikimas (kalio arba magnio kiekio kraujyje sumažėjimas), širdies susitraukimų dažnio sulėtėjimas.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Pamiršus pavartoti PK-Merz</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Negalima vartoti dvigubos dozės norint kompensuoti praleistą dozę.</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Nustojus vartoti PK-Merz</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Pačiam nutraukti vaisto vartojimą jokiu būdu negalima.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Būtina informuoti gydytoją, jeigu dėl </w:t>
      </w:r>
      <w:r>
        <w:rPr>
          <w:rFonts w:ascii="Times New Roman" w:eastAsia="Times New Roman" w:hAnsi="Times New Roman"/>
        </w:rPr>
        <w:t>vaisto</w:t>
      </w:r>
      <w:r w:rsidRPr="008C6926">
        <w:rPr>
          <w:rFonts w:ascii="Times New Roman" w:eastAsia="Times New Roman" w:hAnsi="Times New Roman"/>
        </w:rPr>
        <w:t xml:space="preserve"> netoleravimo ar ligos simptomų pagerėjimo gydymą norima nutraukti. Vaisto vartojimo negalima nutraukti staiga, kadangi gali pablogėti ligos eiga ir atsirasti nutraukimo reiškinių.</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Jeigu kiltų daugiau klausimų dėl šio vaisto vartojimo, kreipkitės į gydytoją arba vaistininką.</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keepNext/>
        <w:tabs>
          <w:tab w:val="left" w:pos="567"/>
        </w:tabs>
        <w:spacing w:after="0" w:line="240" w:lineRule="auto"/>
        <w:ind w:left="567" w:hanging="567"/>
        <w:outlineLvl w:val="1"/>
        <w:rPr>
          <w:rFonts w:ascii="Times New Roman" w:eastAsia="Times New Roman" w:hAnsi="Times New Roman"/>
          <w:b/>
        </w:rPr>
      </w:pPr>
      <w:bookmarkStart w:id="6" w:name="_Toc129243142"/>
      <w:bookmarkStart w:id="7" w:name="_Toc129243267"/>
      <w:r w:rsidRPr="008C6926">
        <w:rPr>
          <w:rFonts w:ascii="Times New Roman" w:eastAsia="Times New Roman" w:hAnsi="Times New Roman"/>
          <w:b/>
        </w:rPr>
        <w:t>4.</w:t>
      </w:r>
      <w:r w:rsidRPr="008C6926">
        <w:rPr>
          <w:rFonts w:ascii="Times New Roman" w:eastAsia="Times New Roman" w:hAnsi="Times New Roman"/>
          <w:b/>
        </w:rPr>
        <w:tab/>
        <w:t>Galimas šalutinis poveikis</w:t>
      </w:r>
      <w:bookmarkEnd w:id="6"/>
      <w:bookmarkEnd w:id="7"/>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Šis vaistas, kaip ir visi kiti, gali sukelti šalutinį poveikį, nors jis pasireiškia ne visiems žmonėms.</w:t>
      </w:r>
    </w:p>
    <w:p w:rsidR="001C064F" w:rsidRPr="008C6926" w:rsidRDefault="001C064F" w:rsidP="001C064F">
      <w:pPr>
        <w:spacing w:after="0" w:line="240" w:lineRule="auto"/>
        <w:jc w:val="both"/>
        <w:rPr>
          <w:rFonts w:ascii="Times New Roman" w:eastAsia="Times New Roman" w:hAnsi="Times New Roman"/>
          <w:lang w:eastAsia="lt-LT"/>
        </w:rPr>
      </w:pPr>
    </w:p>
    <w:p w:rsidR="001C064F" w:rsidRDefault="001C064F" w:rsidP="001C064F">
      <w:pPr>
        <w:spacing w:after="0" w:line="240" w:lineRule="auto"/>
        <w:rPr>
          <w:rFonts w:ascii="Times New Roman" w:hAnsi="Times New Roman"/>
          <w:b/>
          <w:bCs/>
          <w:lang w:eastAsia="lt-LT"/>
        </w:rPr>
      </w:pPr>
      <w:bookmarkStart w:id="8" w:name="_Hlk193663152"/>
      <w:r w:rsidRPr="00FA35B7">
        <w:rPr>
          <w:rFonts w:ascii="Times New Roman" w:hAnsi="Times New Roman"/>
          <w:b/>
          <w:bCs/>
          <w:lang w:eastAsia="lt-LT"/>
        </w:rPr>
        <w:t>Dažni šalutinio poveikio reiškiniai (gali pasireikšti rečiau kaip 1 iš 10 asmenų):</w:t>
      </w:r>
      <w:bookmarkEnd w:id="8"/>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miego sutrikimas;</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 xml:space="preserve">neramumas ir sujaudinimas; </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su prostatos padidėjimu susijęs šlapimo susilaikymas.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Gali pasireikšti paranoidinė egzogeninė psichozė (suvokimo ir elgesio sutrikimas), kurios metu atsiranda regos haliucinacijų, ypač į tokią būklę linkusiems senyviems žmonėms.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Jei kartu su </w:t>
      </w:r>
      <w:r w:rsidRPr="008C6926">
        <w:rPr>
          <w:rFonts w:ascii="Times New Roman" w:eastAsia="Times New Roman" w:hAnsi="Times New Roman"/>
          <w:iCs/>
        </w:rPr>
        <w:t>PK-Merz</w:t>
      </w:r>
      <w:r w:rsidRPr="008C6926">
        <w:rPr>
          <w:rFonts w:ascii="Times New Roman" w:eastAsia="Times New Roman" w:hAnsi="Times New Roman"/>
        </w:rPr>
        <w:t xml:space="preserve"> tabletėmis vartojama kitokių vaistų nuo parkinsonizmo, pavyzdžiui, levodopos, bromokriptino ar memantino, minėtas poveikis pasireiškia dažniau. </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marmurinė oda (</w:t>
      </w:r>
      <w:r w:rsidRPr="008C6926">
        <w:rPr>
          <w:rFonts w:ascii="Times New Roman" w:eastAsia="Times New Roman" w:hAnsi="Times New Roman"/>
          <w:i/>
          <w:iCs/>
        </w:rPr>
        <w:t>Livedo reticularis</w:t>
      </w:r>
      <w:r w:rsidRPr="008C6926">
        <w:rPr>
          <w:rFonts w:ascii="Times New Roman" w:eastAsia="Times New Roman" w:hAnsi="Times New Roman"/>
        </w:rPr>
        <w:t>), kartais kartu gali patinti kulkšnys ir blauzdos,</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 xml:space="preserve">pykinimas, </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lastRenderedPageBreak/>
        <w:t>-</w:t>
      </w:r>
      <w:r w:rsidRPr="008C6926">
        <w:rPr>
          <w:rFonts w:ascii="Times New Roman" w:eastAsia="Times New Roman" w:hAnsi="Times New Roman"/>
        </w:rPr>
        <w:tab/>
        <w:t xml:space="preserve">galvos svaigimas, </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burnos sausmė,</w:t>
      </w:r>
    </w:p>
    <w:p w:rsidR="001C064F" w:rsidRPr="008C6926" w:rsidRDefault="001C064F" w:rsidP="001C064F">
      <w:pPr>
        <w:spacing w:after="0" w:line="240" w:lineRule="auto"/>
        <w:ind w:left="567" w:hanging="567"/>
        <w:rPr>
          <w:rFonts w:ascii="Times New Roman" w:eastAsia="Times New Roman" w:hAnsi="Times New Roman"/>
        </w:rPr>
      </w:pPr>
      <w:r w:rsidRPr="008C6926">
        <w:rPr>
          <w:rFonts w:ascii="Times New Roman" w:eastAsia="Times New Roman" w:hAnsi="Times New Roman"/>
        </w:rPr>
        <w:t>-</w:t>
      </w:r>
      <w:r w:rsidRPr="008C6926">
        <w:rPr>
          <w:rFonts w:ascii="Times New Roman" w:eastAsia="Times New Roman" w:hAnsi="Times New Roman"/>
        </w:rPr>
        <w:tab/>
        <w:t>ortostatinės reguliacijos sutrikimas (kraujotakos reguliacijos sutrikimas stovint arba atsistojant).</w:t>
      </w:r>
    </w:p>
    <w:p w:rsidR="001C064F" w:rsidRDefault="001C064F" w:rsidP="001C064F">
      <w:pPr>
        <w:spacing w:after="0" w:line="240" w:lineRule="auto"/>
        <w:rPr>
          <w:rFonts w:ascii="Times New Roman" w:eastAsia="Times New Roman" w:hAnsi="Times New Roman"/>
          <w:u w:val="single"/>
        </w:rPr>
      </w:pPr>
    </w:p>
    <w:p w:rsidR="001C064F" w:rsidRDefault="001C064F" w:rsidP="001C064F">
      <w:pPr>
        <w:spacing w:after="0" w:line="240" w:lineRule="auto"/>
        <w:rPr>
          <w:rFonts w:ascii="Times New Roman" w:eastAsia="Times New Roman" w:hAnsi="Times New Roman"/>
        </w:rPr>
      </w:pPr>
      <w:bookmarkStart w:id="9" w:name="_Hlk193663167"/>
      <w:r w:rsidRPr="00FA35B7">
        <w:rPr>
          <w:rFonts w:ascii="Times New Roman" w:hAnsi="Times New Roman"/>
          <w:b/>
          <w:bCs/>
          <w:lang w:eastAsia="lt-LT"/>
        </w:rPr>
        <w:t>Nedažni šalutinio poveikio reiškiniai (gali pasireikšti rečiau kaip 1 iš 100 asmenų)</w:t>
      </w:r>
      <w:bookmarkEnd w:id="9"/>
      <w:r w:rsidRPr="00FA35B7">
        <w:rPr>
          <w:rFonts w:ascii="Times New Roman" w:eastAsia="Times New Roman" w:hAnsi="Times New Roman"/>
          <w:b/>
          <w:bCs/>
        </w:rPr>
        <w:t>:</w:t>
      </w:r>
      <w:r w:rsidRPr="00FA35B7">
        <w:rPr>
          <w:rFonts w:ascii="Times New Roman" w:eastAsia="Times New Roman" w:hAnsi="Times New Roman"/>
        </w:rPr>
        <w:t xml:space="preserve"> </w:t>
      </w:r>
    </w:p>
    <w:p w:rsidR="001C064F" w:rsidRPr="00242EFD" w:rsidRDefault="001C064F" w:rsidP="001C064F">
      <w:pPr>
        <w:spacing w:after="0" w:line="240" w:lineRule="auto"/>
        <w:rPr>
          <w:rFonts w:ascii="Times New Roman" w:eastAsia="Times New Roman" w:hAnsi="Times New Roman"/>
        </w:rPr>
      </w:pPr>
      <w:r w:rsidRPr="00242EFD">
        <w:rPr>
          <w:rFonts w:ascii="Times New Roman" w:eastAsia="Times New Roman" w:hAnsi="Times New Roman"/>
        </w:rPr>
        <w:t>neryškus matymas</w:t>
      </w:r>
    </w:p>
    <w:p w:rsidR="001C064F" w:rsidRDefault="001C064F" w:rsidP="001C064F">
      <w:pPr>
        <w:spacing w:after="0" w:line="240" w:lineRule="auto"/>
        <w:rPr>
          <w:rFonts w:ascii="Times New Roman" w:eastAsia="Times New Roman" w:hAnsi="Times New Roman"/>
          <w:u w:val="single"/>
        </w:rPr>
      </w:pPr>
    </w:p>
    <w:p w:rsidR="001C064F" w:rsidRPr="008C6926" w:rsidRDefault="001C064F" w:rsidP="001C064F">
      <w:pPr>
        <w:spacing w:after="0" w:line="240" w:lineRule="auto"/>
        <w:rPr>
          <w:rFonts w:ascii="Times New Roman" w:eastAsia="Times New Roman" w:hAnsi="Times New Roman"/>
        </w:rPr>
      </w:pPr>
      <w:bookmarkStart w:id="10" w:name="_Hlk193663190"/>
      <w:r w:rsidRPr="00FA35B7">
        <w:rPr>
          <w:rFonts w:ascii="Times New Roman" w:hAnsi="Times New Roman"/>
          <w:b/>
          <w:bCs/>
          <w:lang w:eastAsia="lt-LT"/>
        </w:rPr>
        <w:t>Reti šalutinio poveikio reiškiniai (gali pasireikšti rečiau kaip 1 iš 1 000 asmenų):</w:t>
      </w:r>
      <w:bookmarkEnd w:id="10"/>
    </w:p>
    <w:p w:rsidR="001C064F" w:rsidRPr="008C6926" w:rsidRDefault="001C064F" w:rsidP="001C064F">
      <w:pPr>
        <w:numPr>
          <w:ilvl w:val="0"/>
          <w:numId w:val="3"/>
        </w:numPr>
        <w:tabs>
          <w:tab w:val="num" w:pos="540"/>
        </w:tabs>
        <w:spacing w:after="0" w:line="240" w:lineRule="auto"/>
        <w:ind w:left="540" w:hanging="540"/>
        <w:rPr>
          <w:rFonts w:ascii="Times New Roman" w:eastAsia="Times New Roman" w:hAnsi="Times New Roman"/>
        </w:rPr>
      </w:pPr>
      <w:r w:rsidRPr="00DA2780">
        <w:rPr>
          <w:rFonts w:ascii="Times New Roman" w:eastAsia="Times New Roman" w:hAnsi="Times New Roman"/>
        </w:rPr>
        <w:t>ragenos pažeidimas, ragenos edema, sumažėjęs regos aštrumas</w:t>
      </w:r>
      <w:r>
        <w:rPr>
          <w:rFonts w:ascii="Times New Roman" w:eastAsia="Times New Roman" w:hAnsi="Times New Roman"/>
        </w:rPr>
        <w:t>.</w:t>
      </w:r>
      <w:r w:rsidRPr="008C6926">
        <w:rPr>
          <w:rFonts w:ascii="Times New Roman" w:eastAsia="Times New Roman" w:hAnsi="Times New Roman"/>
        </w:rPr>
        <w:t xml:space="preserve"> </w:t>
      </w:r>
    </w:p>
    <w:p w:rsidR="001C064F" w:rsidRDefault="001C064F" w:rsidP="001C064F">
      <w:pPr>
        <w:spacing w:after="0" w:line="240" w:lineRule="auto"/>
        <w:rPr>
          <w:rFonts w:ascii="Times New Roman" w:hAnsi="Times New Roman"/>
          <w:b/>
          <w:bCs/>
          <w:lang w:eastAsia="lt-LT"/>
        </w:rPr>
      </w:pPr>
      <w:bookmarkStart w:id="11" w:name="_Hlk193663207"/>
      <w:r w:rsidRPr="00FA35B7">
        <w:rPr>
          <w:rFonts w:ascii="Times New Roman" w:hAnsi="Times New Roman"/>
          <w:b/>
          <w:bCs/>
          <w:lang w:eastAsia="lt-LT"/>
        </w:rPr>
        <w:t>Labai reti šalutinio poveikio reiškiniai (gali pasireikšti rečiau kaip 1 iš 10 000 asmenų):</w:t>
      </w:r>
      <w:bookmarkEnd w:id="11"/>
    </w:p>
    <w:p w:rsidR="001C064F" w:rsidRPr="008C6926" w:rsidRDefault="001C064F" w:rsidP="001C064F">
      <w:pPr>
        <w:numPr>
          <w:ilvl w:val="0"/>
          <w:numId w:val="3"/>
        </w:numPr>
        <w:tabs>
          <w:tab w:val="num" w:pos="540"/>
        </w:tabs>
        <w:spacing w:after="0" w:line="240" w:lineRule="auto"/>
        <w:ind w:left="540" w:hanging="540"/>
        <w:rPr>
          <w:rFonts w:ascii="Times New Roman" w:eastAsia="Times New Roman" w:hAnsi="Times New Roman"/>
        </w:rPr>
      </w:pPr>
      <w:bookmarkStart w:id="12" w:name="_Hlk193832406"/>
      <w:r w:rsidRPr="008C6926">
        <w:rPr>
          <w:rFonts w:ascii="Times New Roman" w:eastAsia="Times New Roman" w:hAnsi="Times New Roman"/>
        </w:rPr>
        <w:t>leukopenija, trombocitopenija</w:t>
      </w:r>
      <w:r>
        <w:rPr>
          <w:rFonts w:ascii="Times New Roman" w:eastAsia="Times New Roman" w:hAnsi="Times New Roman"/>
        </w:rPr>
        <w:t>;</w:t>
      </w:r>
      <w:r w:rsidRPr="008C6926">
        <w:rPr>
          <w:rFonts w:ascii="Times New Roman" w:eastAsia="Times New Roman" w:hAnsi="Times New Roman"/>
        </w:rPr>
        <w:t xml:space="preserve"> </w:t>
      </w:r>
    </w:p>
    <w:bookmarkEnd w:id="12"/>
    <w:p w:rsidR="001C064F" w:rsidRPr="008C6926" w:rsidRDefault="001C064F" w:rsidP="001C064F">
      <w:pPr>
        <w:numPr>
          <w:ilvl w:val="0"/>
          <w:numId w:val="3"/>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širdies ritmo sutrikimai, pavyzdžiui, skilvelių tachikardija, virpėjimas, dvikryptė verpstinė skilvelių tachikardija, Q - T intervalo pailgėjimas. Dauguma minėtų simptomų atsirado vaisto perdozavusiems, kai kurių kitokių vaistų vartojusiems ligoniams arba tiems pacientams, kuriems buvo kitokių širdies ritmo sutrikimo rizikos faktorių (žr. sk.“PK-Merz vartoti negalima” ir “Kiti vaistai ir PK-Merz”)</w:t>
      </w:r>
      <w:r>
        <w:rPr>
          <w:rFonts w:ascii="Times New Roman" w:eastAsia="Times New Roman" w:hAnsi="Times New Roman"/>
        </w:rPr>
        <w:t>;</w:t>
      </w:r>
    </w:p>
    <w:p w:rsidR="001C064F" w:rsidRPr="008C6926" w:rsidRDefault="001C064F" w:rsidP="001C064F">
      <w:pPr>
        <w:numPr>
          <w:ilvl w:val="0"/>
          <w:numId w:val="3"/>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galimas laikinas apakimas</w:t>
      </w:r>
      <w:r>
        <w:rPr>
          <w:rFonts w:ascii="Times New Roman" w:eastAsia="Times New Roman" w:hAnsi="Times New Roman"/>
        </w:rPr>
        <w:t>;</w:t>
      </w:r>
      <w:r w:rsidRPr="008C6926">
        <w:rPr>
          <w:rFonts w:ascii="Times New Roman" w:eastAsia="Times New Roman" w:hAnsi="Times New Roman"/>
        </w:rPr>
        <w:t xml:space="preserve"> </w:t>
      </w:r>
    </w:p>
    <w:p w:rsidR="001C064F" w:rsidRPr="008C6926" w:rsidRDefault="001C064F" w:rsidP="001C064F">
      <w:pPr>
        <w:numPr>
          <w:ilvl w:val="0"/>
          <w:numId w:val="3"/>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padidėjęs jautrumas šviesai</w:t>
      </w:r>
      <w:r>
        <w:rPr>
          <w:rFonts w:ascii="Times New Roman" w:eastAsia="Times New Roman" w:hAnsi="Times New Roman"/>
        </w:rPr>
        <w:t>;</w:t>
      </w:r>
      <w:r w:rsidRPr="008C6926">
        <w:rPr>
          <w:rFonts w:ascii="Times New Roman" w:eastAsia="Times New Roman" w:hAnsi="Times New Roman"/>
        </w:rPr>
        <w:t xml:space="preserve"> </w:t>
      </w:r>
    </w:p>
    <w:p w:rsidR="001C064F" w:rsidRPr="008C6926" w:rsidRDefault="001C064F" w:rsidP="001C064F">
      <w:pPr>
        <w:numPr>
          <w:ilvl w:val="0"/>
          <w:numId w:val="3"/>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širdies ritmo sutrikimas su kartu padažnėjusiais širdies susitraukimais</w:t>
      </w:r>
      <w:r>
        <w:rPr>
          <w:rFonts w:ascii="Times New Roman" w:eastAsia="Times New Roman" w:hAnsi="Times New Roman"/>
        </w:rPr>
        <w:t>;</w:t>
      </w:r>
    </w:p>
    <w:p w:rsidR="001C064F" w:rsidRPr="008C6926" w:rsidRDefault="001C064F" w:rsidP="001C064F">
      <w:pPr>
        <w:numPr>
          <w:ilvl w:val="0"/>
          <w:numId w:val="3"/>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galimas epilepsijos traukulių priepuolis, dažniausiai vartojant dozę, didesnę už rekomenduojamą</w:t>
      </w:r>
      <w:r>
        <w:rPr>
          <w:rFonts w:ascii="Times New Roman" w:eastAsia="Times New Roman" w:hAnsi="Times New Roman"/>
        </w:rPr>
        <w:t>;</w:t>
      </w:r>
      <w:r w:rsidRPr="008C6926">
        <w:rPr>
          <w:rFonts w:ascii="Times New Roman" w:eastAsia="Times New Roman" w:hAnsi="Times New Roman"/>
        </w:rPr>
        <w:t xml:space="preserve"> </w:t>
      </w:r>
    </w:p>
    <w:p w:rsidR="001C064F" w:rsidRPr="008C6926" w:rsidRDefault="001C064F" w:rsidP="001C064F">
      <w:pPr>
        <w:numPr>
          <w:ilvl w:val="0"/>
          <w:numId w:val="3"/>
        </w:numPr>
        <w:tabs>
          <w:tab w:val="num" w:pos="540"/>
        </w:tabs>
        <w:spacing w:after="0" w:line="240" w:lineRule="auto"/>
        <w:ind w:left="540" w:hanging="540"/>
        <w:rPr>
          <w:rFonts w:ascii="Times New Roman" w:eastAsia="Times New Roman" w:hAnsi="Times New Roman"/>
        </w:rPr>
      </w:pPr>
      <w:r w:rsidRPr="008C6926">
        <w:rPr>
          <w:rFonts w:ascii="Times New Roman" w:eastAsia="Times New Roman" w:hAnsi="Times New Roman"/>
        </w:rPr>
        <w:t>raumenų trūkčiojimai, galūnių jutimo sutrikimai.</w:t>
      </w:r>
    </w:p>
    <w:p w:rsidR="001C064F" w:rsidRPr="008C6926" w:rsidRDefault="001C064F" w:rsidP="001C064F">
      <w:pPr>
        <w:spacing w:after="0" w:line="240" w:lineRule="auto"/>
        <w:rPr>
          <w:rFonts w:ascii="Times New Roman" w:eastAsia="Times New Roman" w:hAnsi="Times New Roman"/>
        </w:rPr>
      </w:pPr>
    </w:p>
    <w:p w:rsidR="001C064F" w:rsidRPr="00FA35B7" w:rsidRDefault="001C064F" w:rsidP="001C064F">
      <w:pPr>
        <w:spacing w:after="0" w:line="240" w:lineRule="auto"/>
        <w:rPr>
          <w:rFonts w:ascii="Times New Roman" w:eastAsia="Times New Roman" w:hAnsi="Times New Roman"/>
          <w:b/>
          <w:bCs/>
        </w:rPr>
      </w:pPr>
      <w:r w:rsidRPr="00FA35B7">
        <w:rPr>
          <w:rFonts w:ascii="Times New Roman" w:eastAsia="Times New Roman" w:hAnsi="Times New Roman"/>
          <w:b/>
          <w:bCs/>
        </w:rPr>
        <w:t>Dažnis nežinomas (negali būti apskaičiuotas pagal turimus duomenis):</w:t>
      </w:r>
    </w:p>
    <w:p w:rsidR="001C064F" w:rsidRPr="00BC5BB6" w:rsidRDefault="001C064F" w:rsidP="001C064F">
      <w:pPr>
        <w:spacing w:after="0" w:line="240" w:lineRule="auto"/>
        <w:rPr>
          <w:rFonts w:ascii="Times New Roman" w:eastAsia="Times New Roman" w:hAnsi="Times New Roman"/>
        </w:rPr>
      </w:pPr>
      <w:r w:rsidRPr="00BC5BB6">
        <w:rPr>
          <w:rFonts w:ascii="Times New Roman" w:eastAsia="Times New Roman" w:hAnsi="Times New Roman"/>
        </w:rPr>
        <w:t>Nenumaldomas noras neįprastai elgtis – stiprus impulsas be saiko lošti, pakitęs arba padidėjęs lytinis potraukis, nekontroliuojamas besaikis apsipirkimas arba išlaidavimas, priepuolinis persivalgymas (kai per trumpą laiką suvalgoma daug maisto) arba nuolatinis noras valgyti (kai suvalgoma daugiau maisto negu įprastai ir daugiau nei reikia numalšinti alkį)</w:t>
      </w:r>
      <w:r>
        <w:rPr>
          <w:rFonts w:ascii="Times New Roman" w:eastAsia="Times New Roman" w:hAnsi="Times New Roman"/>
        </w:rPr>
        <w:t>.</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Saulėlydžio geltonasis FCF (E110) gali sukelti padidėjusio jautrumo reakciją.</w:t>
      </w:r>
    </w:p>
    <w:p w:rsidR="001C064F" w:rsidRPr="008C6926" w:rsidRDefault="001C064F" w:rsidP="001C064F">
      <w:pPr>
        <w:spacing w:after="0" w:line="240" w:lineRule="auto"/>
        <w:rPr>
          <w:rFonts w:ascii="Times New Roman" w:eastAsia="Times New Roman" w:hAnsi="Times New Roman"/>
          <w:i/>
          <w:iCs/>
        </w:rPr>
      </w:pPr>
    </w:p>
    <w:p w:rsidR="001C064F" w:rsidRPr="008C6926" w:rsidRDefault="001C064F" w:rsidP="001C064F">
      <w:pPr>
        <w:tabs>
          <w:tab w:val="left" w:pos="567"/>
        </w:tabs>
        <w:spacing w:after="0" w:line="240" w:lineRule="auto"/>
        <w:rPr>
          <w:rFonts w:ascii="Times New Roman" w:eastAsia="Times New Roman" w:hAnsi="Times New Roman"/>
          <w:b/>
          <w:snapToGrid w:val="0"/>
        </w:rPr>
      </w:pPr>
      <w:r w:rsidRPr="008C6926">
        <w:rPr>
          <w:rFonts w:ascii="Times New Roman" w:eastAsia="Times New Roman" w:hAnsi="Times New Roman"/>
          <w:b/>
          <w:noProof/>
          <w:snapToGrid w:val="0"/>
        </w:rPr>
        <w:t>Pranešimas apie šalutinį poveikį</w:t>
      </w:r>
    </w:p>
    <w:p w:rsidR="001C064F" w:rsidRPr="008C6926" w:rsidRDefault="001C064F" w:rsidP="001C064F">
      <w:pPr>
        <w:tabs>
          <w:tab w:val="left" w:pos="567"/>
        </w:tabs>
        <w:spacing w:after="0" w:line="240" w:lineRule="auto"/>
        <w:rPr>
          <w:rFonts w:ascii="Times New Roman" w:eastAsia="Times New Roman" w:hAnsi="Times New Roman"/>
          <w:noProof/>
          <w:snapToGrid w:val="0"/>
        </w:rPr>
      </w:pPr>
      <w:r w:rsidRPr="008C6926">
        <w:rPr>
          <w:rFonts w:ascii="Times New Roman" w:eastAsia="Times New Roman" w:hAnsi="Times New Roman"/>
          <w:noProof/>
          <w:snapToGrid w:val="0"/>
        </w:rPr>
        <w:t>Jeigu pasireiškė šalutinis poveikis, įskaitant šiame lapelyje nenurodytą, pasakykite gydytojui arba vaistininkui</w:t>
      </w:r>
      <w:r w:rsidRPr="008C6926">
        <w:rPr>
          <w:rFonts w:ascii="Times New Roman" w:eastAsia="Times New Roman" w:hAnsi="Times New Roman"/>
          <w:snapToGrid w:val="0"/>
        </w:rPr>
        <w:t>.</w:t>
      </w:r>
      <w:r w:rsidRPr="008C6926">
        <w:rPr>
          <w:rFonts w:ascii="Times New Roman" w:eastAsia="Times New Roman" w:hAnsi="Times New Roman"/>
          <w:noProof/>
          <w:snapToGrid w:val="0"/>
        </w:rPr>
        <w:t xml:space="preserve"> </w:t>
      </w:r>
      <w:r w:rsidRPr="0091765F">
        <w:rPr>
          <w:rFonts w:ascii="Times New Roman" w:hAnsi="Times New Roman"/>
          <w:lang w:eastAsia="lt-LT"/>
        </w:rPr>
        <w:t xml:space="preserve">Pranešimą apie šalutinį poveikį galite užpildyti ir pateikti Valstybinės vaistų kontrolės tarnybos prie Lietuvos Respublikos sveikatos apsaugos ministerijos tinklalapyje </w:t>
      </w:r>
      <w:r w:rsidRPr="0091765F">
        <w:rPr>
          <w:rFonts w:ascii="Times New Roman" w:hAnsi="Times New Roman"/>
          <w:color w:val="0000EE"/>
          <w:u w:val="single"/>
          <w:lang w:eastAsia="lt-LT"/>
        </w:rPr>
        <w:t>https://vvkt.lrv.lt/lt/</w:t>
      </w:r>
      <w:r w:rsidRPr="0091765F">
        <w:rPr>
          <w:rFonts w:ascii="Times New Roman" w:hAnsi="Times New Roman"/>
          <w:lang w:eastAsia="lt-LT"/>
        </w:rPr>
        <w:t xml:space="preserve"> nurodytais būdais arba paskambinti nemokamu telefonu 8 800 73 568</w:t>
      </w:r>
      <w:r w:rsidRPr="008C6926">
        <w:rPr>
          <w:rFonts w:ascii="Times New Roman" w:eastAsia="Times New Roman" w:hAnsi="Times New Roman"/>
          <w:noProof/>
          <w:snapToGrid w:val="0"/>
        </w:rPr>
        <w:t>. Pranešdami apie šalutinį poveikį galite mums padėti gauti daugiau informacijos apie šio vaisto saugumą.</w:t>
      </w:r>
    </w:p>
    <w:p w:rsidR="001C064F" w:rsidRPr="008C6926" w:rsidRDefault="001C064F" w:rsidP="001C064F">
      <w:pPr>
        <w:tabs>
          <w:tab w:val="left" w:pos="567"/>
        </w:tabs>
        <w:spacing w:after="0" w:line="260" w:lineRule="exact"/>
        <w:ind w:right="-449"/>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keepNext/>
        <w:tabs>
          <w:tab w:val="left" w:pos="567"/>
        </w:tabs>
        <w:spacing w:after="0" w:line="240" w:lineRule="auto"/>
        <w:ind w:left="567" w:hanging="567"/>
        <w:outlineLvl w:val="1"/>
        <w:rPr>
          <w:rFonts w:ascii="Times New Roman" w:eastAsia="Times New Roman" w:hAnsi="Times New Roman"/>
          <w:b/>
        </w:rPr>
      </w:pPr>
      <w:bookmarkStart w:id="13" w:name="_Toc129243143"/>
      <w:bookmarkStart w:id="14" w:name="_Toc129243268"/>
      <w:r w:rsidRPr="008C6926">
        <w:rPr>
          <w:rFonts w:ascii="Times New Roman" w:eastAsia="Times New Roman" w:hAnsi="Times New Roman"/>
          <w:b/>
        </w:rPr>
        <w:t>5.</w:t>
      </w:r>
      <w:r w:rsidRPr="008C6926">
        <w:rPr>
          <w:rFonts w:ascii="Times New Roman" w:eastAsia="Times New Roman" w:hAnsi="Times New Roman"/>
          <w:b/>
        </w:rPr>
        <w:tab/>
        <w:t xml:space="preserve">Kaip laikyti </w:t>
      </w:r>
      <w:bookmarkEnd w:id="13"/>
      <w:bookmarkEnd w:id="14"/>
      <w:r w:rsidRPr="008C6926">
        <w:rPr>
          <w:rFonts w:ascii="Times New Roman" w:eastAsia="Times New Roman" w:hAnsi="Times New Roman"/>
          <w:b/>
        </w:rPr>
        <w:t>PK-Merz</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Šį vaistą laikykite vaikams nepastebimoje ir nepasiekiamoje vietoje.</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Laikyti ne aukštesnėje kaip 25 °C temperatūroje.</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Ant dėžutės ir lizdinės plokštelės po „EXP“ nurodytam tinkamumo laikui pasibaigus, šio vaisto vartoti negalima. Vaistas tinkamas vartoti iki paskutinės nurodyto mėnesio dienos.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Vaistų negalima išmesti į kanalizaciją arba su buitinėmis atliekomis. Kaip išmesti nereikalingus vaistus, klauskite vaistininko. Šios priemonės padės apsaugoti aplinką.</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keepNext/>
        <w:tabs>
          <w:tab w:val="left" w:pos="567"/>
        </w:tabs>
        <w:spacing w:after="0" w:line="240" w:lineRule="auto"/>
        <w:ind w:left="567" w:hanging="567"/>
        <w:outlineLvl w:val="1"/>
        <w:rPr>
          <w:rFonts w:ascii="Times New Roman" w:eastAsia="Times New Roman" w:hAnsi="Times New Roman"/>
          <w:b/>
        </w:rPr>
      </w:pPr>
      <w:bookmarkStart w:id="15" w:name="_Toc129243144"/>
      <w:bookmarkStart w:id="16" w:name="_Toc129243269"/>
      <w:r w:rsidRPr="008C6926">
        <w:rPr>
          <w:rFonts w:ascii="Times New Roman" w:eastAsia="Times New Roman" w:hAnsi="Times New Roman"/>
          <w:b/>
        </w:rPr>
        <w:t>6.</w:t>
      </w:r>
      <w:r w:rsidRPr="008C6926">
        <w:rPr>
          <w:rFonts w:ascii="Times New Roman" w:eastAsia="Times New Roman" w:hAnsi="Times New Roman"/>
          <w:b/>
        </w:rPr>
        <w:tab/>
        <w:t>Pakuotės turinys ir kita informacija</w:t>
      </w:r>
      <w:bookmarkEnd w:id="15"/>
      <w:bookmarkEnd w:id="16"/>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PK-Merz sudėtis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Veiklioji medžiaga yra amantadino sulfatas. Vienoje plėvele dengtoje tabletėje jo yra 100 mg.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Pagalbinės medžiagos. </w:t>
      </w:r>
      <w:r w:rsidRPr="008C6926">
        <w:rPr>
          <w:rFonts w:ascii="Times New Roman" w:eastAsia="Times New Roman" w:hAnsi="Times New Roman"/>
          <w:i/>
        </w:rPr>
        <w:t>Tabletės branduolys</w:t>
      </w:r>
      <w:r w:rsidRPr="008C6926">
        <w:rPr>
          <w:rFonts w:ascii="Times New Roman" w:eastAsia="Times New Roman" w:hAnsi="Times New Roman"/>
        </w:rPr>
        <w:t>: laktozės monohidratas, mikrokristalinė celiuliozė</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lastRenderedPageBreak/>
        <w:t xml:space="preserve">(E460), bevandenis koloidinis silicio dioksidas, bulvių krakmolas, želatina, povidonas,  kroskarmeliozės natrio druska (E466), talkas, magnio stearatas (E572). </w:t>
      </w:r>
      <w:r w:rsidRPr="008C6926">
        <w:rPr>
          <w:rFonts w:ascii="Times New Roman" w:eastAsia="Times New Roman" w:hAnsi="Times New Roman"/>
          <w:i/>
        </w:rPr>
        <w:t>Tabletės plėvelė</w:t>
      </w:r>
      <w:r w:rsidRPr="008C6926">
        <w:rPr>
          <w:rFonts w:ascii="Times New Roman" w:eastAsia="Times New Roman" w:hAnsi="Times New Roman"/>
        </w:rPr>
        <w:t>: talkas,  butilmetakrilato, (2-dimetilaminoetil) metakrilato, metilmetakrilato kopolimeras (1:2:1) (Eudragit (E100)), saulėlydžio geltonasis FCF (E110), titano dioksidas (E171), magnio stearatas (E572).</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PK-Merz išvaizda ir kiekis pakuotėje</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PK-Merz tabletės yra apvalios, abipus išgaubtos, su vagele vienoje pusėje. Tabletę galima padalyti į lygias dozes.</w:t>
      </w:r>
    </w:p>
    <w:p w:rsidR="001C064F" w:rsidRPr="008C6926" w:rsidRDefault="001C064F" w:rsidP="001C064F">
      <w:pPr>
        <w:spacing w:after="0" w:line="220" w:lineRule="exact"/>
        <w:rPr>
          <w:rFonts w:ascii="Times New Roman" w:eastAsia="Times New Roman" w:hAnsi="Times New Roman"/>
          <w:bCs/>
        </w:rPr>
      </w:pPr>
    </w:p>
    <w:p w:rsidR="001C064F" w:rsidRPr="008C6926" w:rsidRDefault="001C064F" w:rsidP="001C064F">
      <w:pPr>
        <w:spacing w:after="0" w:line="220" w:lineRule="exact"/>
        <w:rPr>
          <w:rFonts w:ascii="Times New Roman" w:eastAsia="Times New Roman" w:hAnsi="Times New Roman"/>
          <w:bCs/>
        </w:rPr>
      </w:pPr>
      <w:r w:rsidRPr="008C6926">
        <w:rPr>
          <w:rFonts w:ascii="Times New Roman" w:eastAsia="Times New Roman" w:hAnsi="Times New Roman"/>
          <w:bCs/>
        </w:rPr>
        <w:t>Kartono dėžutėje yra 90 tablečių, supakuotų į lizdines plokšteles.</w:t>
      </w:r>
    </w:p>
    <w:p w:rsidR="001C064F" w:rsidRPr="008C6926" w:rsidRDefault="001C064F" w:rsidP="001C064F">
      <w:pPr>
        <w:spacing w:after="0" w:line="220" w:lineRule="exact"/>
        <w:rPr>
          <w:rFonts w:ascii="Times New Roman" w:eastAsia="Times New Roman" w:hAnsi="Times New Roman"/>
          <w:b/>
          <w:bCs/>
        </w:rPr>
      </w:pPr>
    </w:p>
    <w:p w:rsidR="001C064F" w:rsidRPr="008C6926" w:rsidRDefault="001C064F" w:rsidP="001C064F">
      <w:pPr>
        <w:spacing w:after="0" w:line="220" w:lineRule="exact"/>
        <w:rPr>
          <w:rFonts w:ascii="Times New Roman" w:eastAsia="Times New Roman" w:hAnsi="Times New Roman"/>
          <w:b/>
          <w:bCs/>
        </w:rPr>
      </w:pPr>
      <w:r w:rsidRPr="008C6926">
        <w:rPr>
          <w:rFonts w:ascii="Times New Roman" w:eastAsia="Times New Roman" w:hAnsi="Times New Roman"/>
          <w:b/>
          <w:bCs/>
        </w:rPr>
        <w:t>Registruotojas ir gamintojas</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Registruotojas</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Merz Pharmaceuticals GmbH</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Eckenheimer Landstraße 100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D-60318 Frankfurt/Main</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Vokietija</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 xml:space="preserve">Gamintojas </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Merz Pharma GmbH &amp; Co. KGaA</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Eckenheimer Landstraße 100</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D-60318 Frankfurt/Main</w:t>
      </w: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Vokietija</w:t>
      </w:r>
      <w:r w:rsidRPr="008C6926">
        <w:rPr>
          <w:rFonts w:ascii="Times New Roman" w:eastAsia="Times New Roman" w:hAnsi="Times New Roman"/>
        </w:rPr>
        <w:tab/>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b/>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b/>
          <w:bCs/>
        </w:rPr>
        <w:t>Šis pakuotės lapelis</w:t>
      </w:r>
      <w:r w:rsidRPr="008C6926">
        <w:rPr>
          <w:rFonts w:ascii="Times New Roman" w:eastAsia="Times New Roman" w:hAnsi="Times New Roman"/>
          <w:b/>
        </w:rPr>
        <w:t xml:space="preserve"> paskutinį kartą peržiūrėtas </w:t>
      </w:r>
      <w:r>
        <w:rPr>
          <w:rFonts w:ascii="Times New Roman" w:eastAsia="Times New Roman" w:hAnsi="Times New Roman"/>
          <w:b/>
        </w:rPr>
        <w:t>2025-04-09.</w:t>
      </w: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rPr>
      </w:pPr>
      <w:r w:rsidRPr="008C6926">
        <w:rPr>
          <w:rFonts w:ascii="Times New Roman" w:eastAsia="Times New Roman" w:hAnsi="Times New Roman"/>
        </w:rPr>
        <w:t>Išsami informacija apie šį vaistą pateikiama Valstybinės vaistų kontrolės tarnybos prie Lietuvos Respublikos sveikatos apsaugos ministerijos tinklalapyje</w:t>
      </w:r>
      <w:r>
        <w:rPr>
          <w:rFonts w:ascii="Times New Roman" w:eastAsia="Times New Roman" w:hAnsi="Times New Roman"/>
        </w:rPr>
        <w:t xml:space="preserve"> </w:t>
      </w:r>
      <w:bookmarkStart w:id="17" w:name="_Hlk193663404"/>
      <w:r w:rsidRPr="00FA35B7">
        <w:rPr>
          <w:rFonts w:ascii="Times New Roman" w:hAnsi="Times New Roman"/>
          <w:color w:val="0000EE"/>
          <w:u w:val="single"/>
          <w:lang w:eastAsia="lt-LT"/>
        </w:rPr>
        <w:t>https://vvkt.lrv.lt/lt/</w:t>
      </w:r>
      <w:bookmarkEnd w:id="17"/>
      <w:r w:rsidRPr="008C6926">
        <w:rPr>
          <w:rFonts w:ascii="Times New Roman" w:eastAsia="Times New Roman" w:hAnsi="Times New Roman"/>
        </w:rPr>
        <w:t>.</w:t>
      </w:r>
    </w:p>
    <w:p w:rsidR="001C064F" w:rsidRPr="008C6926" w:rsidRDefault="001C064F" w:rsidP="001C064F">
      <w:pPr>
        <w:spacing w:after="0" w:line="240" w:lineRule="auto"/>
        <w:rPr>
          <w:rFonts w:ascii="Times New Roman" w:eastAsia="Times New Roman" w:hAnsi="Times New Roman"/>
          <w:highlight w:val="yellow"/>
        </w:rPr>
      </w:pPr>
      <w:bookmarkStart w:id="18" w:name="_GoBack"/>
      <w:bookmarkEnd w:id="18"/>
    </w:p>
    <w:p w:rsidR="001C064F" w:rsidRPr="008C6926" w:rsidRDefault="001C064F" w:rsidP="001C064F">
      <w:pPr>
        <w:spacing w:after="0" w:line="240" w:lineRule="auto"/>
        <w:rPr>
          <w:rFonts w:ascii="Times New Roman" w:eastAsia="Times New Roman" w:hAnsi="Times New Roman"/>
        </w:rPr>
      </w:pPr>
    </w:p>
    <w:p w:rsidR="001C064F" w:rsidRPr="008C6926" w:rsidRDefault="001C064F" w:rsidP="001C064F">
      <w:pPr>
        <w:spacing w:after="0" w:line="240" w:lineRule="auto"/>
        <w:rPr>
          <w:rFonts w:ascii="Times New Roman" w:eastAsia="Times New Roman" w:hAnsi="Times New Roman"/>
          <w:highlight w:val="yellow"/>
        </w:rPr>
      </w:pPr>
    </w:p>
    <w:p w:rsidR="001C064F" w:rsidRDefault="001C064F" w:rsidP="001C064F"/>
    <w:sectPr w:rsidR="001C064F" w:rsidSect="003354BE">
      <w:footerReference w:type="default" r:id="rId5"/>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54BE" w:rsidRPr="00460733" w:rsidRDefault="001C064F">
    <w:pPr>
      <w:pStyle w:val="Porat"/>
      <w:jc w:val="right"/>
      <w:rPr>
        <w:sz w:val="22"/>
        <w:szCs w:val="22"/>
      </w:rPr>
    </w:pPr>
    <w:r w:rsidRPr="00460733">
      <w:rPr>
        <w:sz w:val="22"/>
        <w:szCs w:val="22"/>
      </w:rPr>
      <w:fldChar w:fldCharType="begin"/>
    </w:r>
    <w:r w:rsidRPr="00460733">
      <w:rPr>
        <w:sz w:val="22"/>
        <w:szCs w:val="22"/>
      </w:rPr>
      <w:instrText xml:space="preserve"> PAGE   \* MERGEFORMAT </w:instrText>
    </w:r>
    <w:r w:rsidRPr="00460733">
      <w:rPr>
        <w:sz w:val="22"/>
        <w:szCs w:val="22"/>
      </w:rPr>
      <w:fldChar w:fldCharType="separate"/>
    </w:r>
    <w:r>
      <w:rPr>
        <w:noProof/>
        <w:sz w:val="22"/>
        <w:szCs w:val="22"/>
      </w:rPr>
      <w:t>8</w:t>
    </w:r>
    <w:r w:rsidRPr="00460733">
      <w:rPr>
        <w:sz w:val="22"/>
        <w:szCs w:val="22"/>
      </w:rPr>
      <w:fldChar w:fldCharType="end"/>
    </w:r>
  </w:p>
  <w:p w:rsidR="003354BE" w:rsidRDefault="001C064F">
    <w:pPr>
      <w:pStyle w:val="Porat"/>
    </w:pPr>
  </w:p>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75636"/>
    <w:multiLevelType w:val="hybridMultilevel"/>
    <w:tmpl w:val="54AA7BB2"/>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2B357B6"/>
    <w:multiLevelType w:val="hybridMultilevel"/>
    <w:tmpl w:val="B86C9A06"/>
    <w:lvl w:ilvl="0" w:tplc="446C579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97C0599"/>
    <w:multiLevelType w:val="hybridMultilevel"/>
    <w:tmpl w:val="DE7AA586"/>
    <w:lvl w:ilvl="0" w:tplc="9E6286F6">
      <w:start w:val="8"/>
      <w:numFmt w:val="bullet"/>
      <w:lvlText w:val="-"/>
      <w:lvlJc w:val="left"/>
      <w:pPr>
        <w:tabs>
          <w:tab w:val="num" w:pos="1080"/>
        </w:tabs>
        <w:ind w:left="108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64F"/>
    <w:rsid w:val="00072F85"/>
    <w:rsid w:val="000A5E72"/>
    <w:rsid w:val="000A7B60"/>
    <w:rsid w:val="00181364"/>
    <w:rsid w:val="001C064F"/>
    <w:rsid w:val="002945D9"/>
    <w:rsid w:val="00305C48"/>
    <w:rsid w:val="003362C6"/>
    <w:rsid w:val="00497D4D"/>
    <w:rsid w:val="00742EBF"/>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
  <w:shapeDefaults>
    <o:shapedefaults v:ext="edit" spidmax="1026"/>
    <o:shapelayout v:ext="edit">
      <o:idmap v:ext="edit" data="1"/>
    </o:shapelayout>
  </w:shapeDefaults>
  <w:decimalSymbol w:val=","/>
  <w:listSeparator w:val=";"/>
  <w15:chartTrackingRefBased/>
  <w15:docId w15:val="{DCB16C55-C186-4B53-9463-A24567138F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C064F"/>
    <w:pPr>
      <w:spacing w:after="200" w:line="276" w:lineRule="auto"/>
    </w:pPr>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orat">
    <w:name w:val="footer"/>
    <w:basedOn w:val="prastasis"/>
    <w:link w:val="PoratDiagrama"/>
    <w:uiPriority w:val="99"/>
    <w:unhideWhenUsed/>
    <w:rsid w:val="001C064F"/>
    <w:pPr>
      <w:tabs>
        <w:tab w:val="center" w:pos="4819"/>
        <w:tab w:val="right" w:pos="9638"/>
      </w:tabs>
      <w:spacing w:after="0" w:line="240" w:lineRule="auto"/>
    </w:pPr>
    <w:rPr>
      <w:rFonts w:ascii="Times New Roman" w:eastAsia="Times New Roman" w:hAnsi="Times New Roman"/>
      <w:sz w:val="24"/>
      <w:szCs w:val="24"/>
    </w:rPr>
  </w:style>
  <w:style w:type="character" w:customStyle="1" w:styleId="PoratDiagrama">
    <w:name w:val="Poraštė Diagrama"/>
    <w:basedOn w:val="Numatytasispastraiposriftas"/>
    <w:link w:val="Porat"/>
    <w:uiPriority w:val="99"/>
    <w:rsid w:val="001C064F"/>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14159</Words>
  <Characters>8071</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2025-04-09T12:17:00Z</dcterms:created>
  <dcterms:modified xsi:type="dcterms:W3CDTF">2025-04-09T12:18:00Z</dcterms:modified>
</cp:coreProperties>
</file>