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3F341" w14:textId="77777777" w:rsidR="00FC483E" w:rsidRPr="00FC483E" w:rsidRDefault="00FC483E" w:rsidP="00FC483E">
      <w:pPr>
        <w:spacing w:after="0" w:line="240" w:lineRule="auto"/>
        <w:jc w:val="center"/>
        <w:rPr>
          <w:rFonts w:eastAsia="Times New Roman"/>
          <w:b/>
          <w:i/>
          <w:kern w:val="0"/>
          <w:szCs w:val="20"/>
          <w14:ligatures w14:val="none"/>
        </w:rPr>
      </w:pPr>
      <w:r w:rsidRPr="00FC483E">
        <w:rPr>
          <w:rFonts w:eastAsia="Times New Roman"/>
          <w:b/>
          <w:kern w:val="0"/>
          <w:szCs w:val="20"/>
          <w14:ligatures w14:val="none"/>
        </w:rPr>
        <w:t>Pakuotės lapelis: informacija vartotojui</w:t>
      </w:r>
    </w:p>
    <w:p w14:paraId="4477F7EE" w14:textId="77777777" w:rsidR="00FC483E" w:rsidRPr="00FC483E" w:rsidRDefault="00FC483E" w:rsidP="00FC483E">
      <w:pPr>
        <w:tabs>
          <w:tab w:val="left" w:pos="567"/>
        </w:tabs>
        <w:spacing w:after="0" w:line="240" w:lineRule="auto"/>
        <w:outlineLvl w:val="1"/>
        <w:rPr>
          <w:rFonts w:eastAsia="Calibri"/>
          <w:b/>
          <w:bCs/>
          <w:kern w:val="0"/>
          <w14:ligatures w14:val="none"/>
        </w:rPr>
      </w:pPr>
    </w:p>
    <w:p w14:paraId="496F2DEB" w14:textId="77777777" w:rsidR="00FC483E" w:rsidRPr="00FC483E" w:rsidRDefault="00FC483E" w:rsidP="00FC483E">
      <w:pPr>
        <w:tabs>
          <w:tab w:val="left" w:pos="567"/>
        </w:tabs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 60 </w:t>
      </w:r>
      <w:proofErr w:type="spellStart"/>
      <w:r w:rsidRPr="00FC483E">
        <w:rPr>
          <w:rFonts w:eastAsia="Times New Roman"/>
          <w:b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/>
          <w:kern w:val="0"/>
          <w14:ligatures w14:val="none"/>
        </w:rPr>
        <w:t xml:space="preserve"> geriamasis </w:t>
      </w:r>
      <w:proofErr w:type="spellStart"/>
      <w:r w:rsidRPr="00FC483E">
        <w:rPr>
          <w:rFonts w:eastAsia="Times New Roman"/>
          <w:b/>
          <w:kern w:val="0"/>
          <w14:ligatures w14:val="none"/>
        </w:rPr>
        <w:t>liofilizatas</w:t>
      </w:r>
      <w:proofErr w:type="spellEnd"/>
    </w:p>
    <w:p w14:paraId="49415CA6" w14:textId="77777777" w:rsidR="00FC483E" w:rsidRPr="00FC483E" w:rsidRDefault="00FC483E" w:rsidP="00FC483E">
      <w:pPr>
        <w:tabs>
          <w:tab w:val="left" w:pos="567"/>
        </w:tabs>
        <w:spacing w:after="0" w:line="240" w:lineRule="auto"/>
        <w:jc w:val="center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 120 </w:t>
      </w:r>
      <w:proofErr w:type="spellStart"/>
      <w:r w:rsidRPr="00FC483E">
        <w:rPr>
          <w:rFonts w:eastAsia="Times New Roman"/>
          <w:b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/>
          <w:kern w:val="0"/>
          <w14:ligatures w14:val="none"/>
        </w:rPr>
        <w:t xml:space="preserve"> geriamasis </w:t>
      </w:r>
      <w:proofErr w:type="spellStart"/>
      <w:r w:rsidRPr="00FC483E">
        <w:rPr>
          <w:rFonts w:eastAsia="Times New Roman"/>
          <w:b/>
          <w:kern w:val="0"/>
          <w14:ligatures w14:val="none"/>
        </w:rPr>
        <w:t>liofilizatas</w:t>
      </w:r>
      <w:proofErr w:type="spellEnd"/>
    </w:p>
    <w:p w14:paraId="6B8C22B2" w14:textId="77777777" w:rsidR="00FC483E" w:rsidRPr="00FC483E" w:rsidRDefault="00FC483E" w:rsidP="00FC483E">
      <w:pPr>
        <w:tabs>
          <w:tab w:val="left" w:pos="567"/>
        </w:tabs>
        <w:spacing w:after="0" w:line="240" w:lineRule="auto"/>
        <w:jc w:val="center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 240 </w:t>
      </w:r>
      <w:proofErr w:type="spellStart"/>
      <w:r w:rsidRPr="00FC483E">
        <w:rPr>
          <w:rFonts w:eastAsia="Times New Roman"/>
          <w:b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/>
          <w:kern w:val="0"/>
          <w14:ligatures w14:val="none"/>
        </w:rPr>
        <w:t xml:space="preserve"> geriamasis </w:t>
      </w:r>
      <w:proofErr w:type="spellStart"/>
      <w:r w:rsidRPr="00FC483E">
        <w:rPr>
          <w:rFonts w:eastAsia="Times New Roman"/>
          <w:b/>
          <w:kern w:val="0"/>
          <w14:ligatures w14:val="none"/>
        </w:rPr>
        <w:t>liofilizatas</w:t>
      </w:r>
      <w:proofErr w:type="spellEnd"/>
    </w:p>
    <w:p w14:paraId="7A1BF10F" w14:textId="77777777" w:rsidR="00FC483E" w:rsidRPr="00FC483E" w:rsidRDefault="00FC483E" w:rsidP="00FC483E">
      <w:pPr>
        <w:tabs>
          <w:tab w:val="left" w:pos="567"/>
        </w:tabs>
        <w:spacing w:after="0" w:line="240" w:lineRule="auto"/>
        <w:jc w:val="center"/>
        <w:rPr>
          <w:rFonts w:eastAsia="Times New Roman"/>
          <w:iCs/>
          <w:kern w:val="0"/>
          <w14:ligatures w14:val="none"/>
        </w:rPr>
      </w:pPr>
      <w:proofErr w:type="spellStart"/>
      <w:r w:rsidRPr="00FC483E">
        <w:rPr>
          <w:rFonts w:eastAsia="Times New Roman"/>
          <w:iCs/>
          <w:kern w:val="0"/>
          <w14:ligatures w14:val="none"/>
        </w:rPr>
        <w:t>Desmopresinas</w:t>
      </w:r>
      <w:proofErr w:type="spellEnd"/>
    </w:p>
    <w:p w14:paraId="1CFBC9F5" w14:textId="77777777" w:rsidR="00FC483E" w:rsidRPr="00FC483E" w:rsidRDefault="00FC483E" w:rsidP="00FC483E">
      <w:pPr>
        <w:tabs>
          <w:tab w:val="left" w:pos="567"/>
        </w:tabs>
        <w:spacing w:after="0" w:line="240" w:lineRule="auto"/>
        <w:rPr>
          <w:rFonts w:eastAsia="Times New Roman"/>
          <w:b/>
          <w:iCs/>
          <w:kern w:val="0"/>
          <w14:ligatures w14:val="none"/>
        </w:rPr>
      </w:pPr>
    </w:p>
    <w:p w14:paraId="027F7913" w14:textId="77777777" w:rsidR="00FC483E" w:rsidRPr="00FC483E" w:rsidRDefault="00FC483E" w:rsidP="00FC483E">
      <w:pPr>
        <w:tabs>
          <w:tab w:val="left" w:pos="567"/>
        </w:tabs>
        <w:spacing w:after="0" w:line="240" w:lineRule="auto"/>
        <w:rPr>
          <w:rFonts w:eastAsia="Times New Roman"/>
          <w:b/>
          <w:bCs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14:ligatures w14:val="none"/>
        </w:rPr>
        <w:t>Atidžiai perskaitykite visą šį lapelį, prieš pradėdami vartoti vaistą, nes jame pateikiama Jums svarbi informacija.</w:t>
      </w:r>
    </w:p>
    <w:p w14:paraId="6F5482CD" w14:textId="77777777" w:rsidR="00FC483E" w:rsidRPr="00FC483E" w:rsidRDefault="00FC483E" w:rsidP="00FC483E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Neišmeskite šio lapelio, nes vėl gali prireikti jį perskaityti.</w:t>
      </w:r>
    </w:p>
    <w:p w14:paraId="182AD575" w14:textId="77777777" w:rsidR="00FC483E" w:rsidRPr="00FC483E" w:rsidRDefault="00FC483E" w:rsidP="00FC483E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Jeigu kiltų daugiau klausimų, kreipkitės į gydytoją arba vaistininką.</w:t>
      </w:r>
    </w:p>
    <w:p w14:paraId="3E4BB1F6" w14:textId="77777777" w:rsidR="00FC483E" w:rsidRPr="00FC483E" w:rsidRDefault="00FC483E" w:rsidP="00FC483E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Šis vaistas skirtas tik Jums, todėl kitiems žmonėms jo duoti negalima. Vaistas gali jiems pakenkti (net tiems, kurių ligos požymiai yra tokie patys kaip Jūsų).</w:t>
      </w:r>
    </w:p>
    <w:p w14:paraId="78F6F6A4" w14:textId="77777777" w:rsidR="00FC483E" w:rsidRPr="00FC483E" w:rsidRDefault="00FC483E" w:rsidP="00FC483E">
      <w:pPr>
        <w:numPr>
          <w:ilvl w:val="0"/>
          <w:numId w:val="2"/>
        </w:numPr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Jeigu pasireiškė šalutinis poveikis (net jeigu jis šiame lapelyje nenurodytas), kreipkitės į gydytoją arba vaistininką. Žr. 4 skyrių.</w:t>
      </w:r>
    </w:p>
    <w:p w14:paraId="3560EE56" w14:textId="77777777" w:rsidR="00FC483E" w:rsidRPr="00FC483E" w:rsidRDefault="00FC483E" w:rsidP="00FC483E">
      <w:pPr>
        <w:tabs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62A41D5A" w14:textId="77777777" w:rsidR="00FC483E" w:rsidRPr="00FC483E" w:rsidRDefault="00FC483E" w:rsidP="00FC483E">
      <w:pPr>
        <w:keepNext/>
        <w:spacing w:after="0" w:line="240" w:lineRule="auto"/>
        <w:outlineLvl w:val="3"/>
        <w:rPr>
          <w:rFonts w:eastAsia="Calibri"/>
          <w:b/>
          <w:bCs/>
          <w:iCs/>
          <w:kern w:val="0"/>
          <w14:ligatures w14:val="none"/>
        </w:rPr>
      </w:pPr>
      <w:r w:rsidRPr="00FC483E">
        <w:rPr>
          <w:rFonts w:eastAsia="Calibri"/>
          <w:b/>
          <w:bCs/>
          <w:iCs/>
          <w:kern w:val="0"/>
          <w14:ligatures w14:val="none"/>
        </w:rPr>
        <w:t>Apie ką rašoma šiame lapelyje?</w:t>
      </w:r>
    </w:p>
    <w:p w14:paraId="4D06E3CE" w14:textId="77777777" w:rsidR="00FC483E" w:rsidRPr="00FC483E" w:rsidRDefault="00FC483E" w:rsidP="00FC483E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1C5E3513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Kas yra </w:t>
      </w:r>
      <w:r w:rsidRPr="00FC483E">
        <w:rPr>
          <w:rFonts w:eastAsia="Times New Roman"/>
          <w:bCs/>
          <w:kern w:val="0"/>
          <w14:ligatures w14:val="none"/>
        </w:rPr>
        <w:t>MINIRIN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 ir kam jis vartojamas</w:t>
      </w:r>
    </w:p>
    <w:p w14:paraId="6526C835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Kas žinotina prieš vartojant MINIRIN</w:t>
      </w:r>
    </w:p>
    <w:p w14:paraId="1BDB7CD6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Kaip vartoti MINIRIN</w:t>
      </w:r>
    </w:p>
    <w:p w14:paraId="4E50E094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Galimas šalutinis poveikis</w:t>
      </w:r>
    </w:p>
    <w:p w14:paraId="0FC46882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Kaip laikyti MINIRIN</w:t>
      </w:r>
    </w:p>
    <w:p w14:paraId="7CE9F56D" w14:textId="77777777" w:rsidR="00FC483E" w:rsidRPr="00FC483E" w:rsidRDefault="00FC483E" w:rsidP="00FC483E">
      <w:pPr>
        <w:numPr>
          <w:ilvl w:val="0"/>
          <w:numId w:val="1"/>
        </w:numPr>
        <w:tabs>
          <w:tab w:val="num" w:pos="284"/>
          <w:tab w:val="left" w:pos="851"/>
        </w:tabs>
        <w:spacing w:after="0" w:line="240" w:lineRule="auto"/>
        <w:ind w:left="284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Pakuotės turinys ir kita informacija</w:t>
      </w:r>
    </w:p>
    <w:p w14:paraId="36794B43" w14:textId="77777777" w:rsidR="00FC483E" w:rsidRPr="00FC483E" w:rsidRDefault="00FC483E" w:rsidP="00FC483E">
      <w:pPr>
        <w:tabs>
          <w:tab w:val="left" w:pos="567"/>
        </w:tabs>
        <w:spacing w:after="0" w:line="240" w:lineRule="auto"/>
        <w:jc w:val="both"/>
        <w:rPr>
          <w:rFonts w:eastAsia="Times New Roman"/>
          <w:kern w:val="0"/>
          <w14:ligatures w14:val="none"/>
        </w:rPr>
      </w:pPr>
    </w:p>
    <w:p w14:paraId="66491C22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bCs/>
          <w:iCs/>
          <w:kern w:val="0"/>
          <w14:ligatures w14:val="none"/>
        </w:rPr>
      </w:pPr>
    </w:p>
    <w:p w14:paraId="1DC9398B" w14:textId="77777777" w:rsidR="00FC483E" w:rsidRPr="00FC483E" w:rsidRDefault="00FC483E" w:rsidP="00FC483E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14:ligatures w14:val="none"/>
        </w:rPr>
      </w:pPr>
      <w:r w:rsidRPr="00FC483E">
        <w:rPr>
          <w:rFonts w:eastAsia="Times New Roman"/>
          <w:b/>
          <w:bCs/>
          <w:snapToGrid w:val="0"/>
          <w:kern w:val="0"/>
          <w14:ligatures w14:val="none"/>
        </w:rPr>
        <w:t>1.</w:t>
      </w:r>
      <w:r w:rsidRPr="00FC483E">
        <w:rPr>
          <w:rFonts w:eastAsia="Times New Roman"/>
          <w:b/>
          <w:bCs/>
          <w:snapToGrid w:val="0"/>
          <w:kern w:val="0"/>
          <w14:ligatures w14:val="none"/>
        </w:rPr>
        <w:tab/>
        <w:t>Kas yra MINIRIN ir kam jis vartojamas</w:t>
      </w:r>
    </w:p>
    <w:p w14:paraId="4BB14045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69FB6870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MINIRIN sudedamoji dalis dėl kurios tabletės veikia (veiklioji medžiaga) yra vadinama </w:t>
      </w:r>
      <w:proofErr w:type="spellStart"/>
      <w:r w:rsidRPr="00FC483E">
        <w:rPr>
          <w:rFonts w:eastAsia="Times New Roman"/>
          <w:kern w:val="0"/>
          <w14:ligatures w14:val="none"/>
        </w:rPr>
        <w:t>desmopresinu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. </w:t>
      </w:r>
      <w:proofErr w:type="spellStart"/>
      <w:r w:rsidRPr="00FC483E">
        <w:rPr>
          <w:rFonts w:eastAsia="Times New Roman"/>
          <w:kern w:val="0"/>
          <w14:ligatures w14:val="none"/>
        </w:rPr>
        <w:t>Desmopresinas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yra vaistas, mažinantis inkstuose gaminamo šlapimo kiekį.</w:t>
      </w:r>
    </w:p>
    <w:p w14:paraId="6CE27491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69EBD6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MINIRIN </w:t>
      </w:r>
      <w:r w:rsidRPr="00FC483E">
        <w:rPr>
          <w:rFonts w:eastAsia="Times New Roman"/>
          <w:iCs/>
          <w:kern w:val="0"/>
          <w14:ligatures w14:val="none"/>
        </w:rPr>
        <w:t>gydomos šios ligos:</w:t>
      </w:r>
    </w:p>
    <w:p w14:paraId="52D4493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Centrinės kilmės necukrinis diabetas</w:t>
      </w:r>
    </w:p>
    <w:p w14:paraId="3509C36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 xml:space="preserve">Pirminė naktinė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enurezė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(pirminis naktinio šlapimo nelaikymas) 5 metų ir vyresnių pacientų, kurių gebėjimas koncentruoti šlapimą yra normalus.</w:t>
      </w:r>
    </w:p>
    <w:p w14:paraId="529A535B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proofErr w:type="spellStart"/>
      <w:r w:rsidRPr="00FC483E">
        <w:rPr>
          <w:rFonts w:eastAsia="Times New Roman"/>
          <w:iCs/>
          <w:kern w:val="0"/>
          <w14:ligatures w14:val="none"/>
        </w:rPr>
        <w:t>Simtominė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suaugusiųjų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nikturija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(dažnas naktinis šlapinimasis), susijusi su naktine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poliurija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(gausiu šlapinimusi), kai nakties šlapimo gamyba yra didesnė nei šlapimo pūslės talpa.</w:t>
      </w:r>
    </w:p>
    <w:p w14:paraId="057CBD74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1D7CB421" w14:textId="77777777" w:rsidR="00FC483E" w:rsidRPr="00FC483E" w:rsidRDefault="00FC483E" w:rsidP="00FC483E">
      <w:pPr>
        <w:tabs>
          <w:tab w:val="left" w:pos="-142"/>
          <w:tab w:val="left" w:pos="567"/>
          <w:tab w:val="left" w:pos="3408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5417172D" w14:textId="77777777" w:rsidR="00FC483E" w:rsidRPr="00FC483E" w:rsidRDefault="00FC483E" w:rsidP="00FC483E">
      <w:pPr>
        <w:keepNext/>
        <w:tabs>
          <w:tab w:val="left" w:pos="567"/>
        </w:tabs>
        <w:spacing w:after="0" w:line="240" w:lineRule="auto"/>
        <w:jc w:val="both"/>
        <w:outlineLvl w:val="3"/>
        <w:rPr>
          <w:rFonts w:eastAsia="Times New Roman"/>
          <w:b/>
          <w:bCs/>
          <w:snapToGrid w:val="0"/>
          <w:kern w:val="0"/>
          <w14:ligatures w14:val="none"/>
        </w:rPr>
      </w:pPr>
      <w:r w:rsidRPr="00FC483E">
        <w:rPr>
          <w:rFonts w:eastAsia="Times New Roman"/>
          <w:b/>
          <w:bCs/>
          <w:snapToGrid w:val="0"/>
          <w:kern w:val="0"/>
          <w14:ligatures w14:val="none"/>
        </w:rPr>
        <w:t>2.</w:t>
      </w:r>
      <w:r w:rsidRPr="00FC483E">
        <w:rPr>
          <w:rFonts w:eastAsia="Times New Roman"/>
          <w:b/>
          <w:bCs/>
          <w:snapToGrid w:val="0"/>
          <w:kern w:val="0"/>
          <w14:ligatures w14:val="none"/>
        </w:rPr>
        <w:tab/>
        <w:t>Kas žinotina prieš vartojant MINIRIN</w:t>
      </w:r>
    </w:p>
    <w:p w14:paraId="14E0F43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  <w:tab w:val="left" w:pos="3408"/>
        </w:tabs>
        <w:spacing w:after="0" w:line="240" w:lineRule="auto"/>
        <w:rPr>
          <w:rFonts w:eastAsia="Times New Roman"/>
          <w:b/>
          <w:iCs/>
          <w:kern w:val="0"/>
          <w14:ligatures w14:val="none"/>
        </w:rPr>
      </w:pPr>
    </w:p>
    <w:p w14:paraId="1506884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</w:t>
      </w:r>
      <w:r w:rsidRPr="00FC483E">
        <w:rPr>
          <w:rFonts w:eastAsia="Times New Roman"/>
          <w:b/>
          <w:iCs/>
          <w:kern w:val="0"/>
          <w14:ligatures w14:val="none"/>
        </w:rPr>
        <w:t xml:space="preserve"> </w:t>
      </w:r>
      <w:proofErr w:type="spellStart"/>
      <w:r w:rsidRPr="00FC483E">
        <w:rPr>
          <w:rFonts w:eastAsia="Times New Roman"/>
          <w:b/>
          <w:iCs/>
          <w:kern w:val="0"/>
          <w14:ligatures w14:val="none"/>
        </w:rPr>
        <w:t>vartotidraudžiama</w:t>
      </w:r>
      <w:proofErr w:type="spellEnd"/>
      <w:r w:rsidRPr="00FC483E">
        <w:rPr>
          <w:rFonts w:eastAsia="Times New Roman"/>
          <w:b/>
          <w:iCs/>
          <w:kern w:val="0"/>
          <w14:ligatures w14:val="none"/>
        </w:rPr>
        <w:t>:</w:t>
      </w:r>
    </w:p>
    <w:p w14:paraId="36A7B808" w14:textId="77777777" w:rsidR="00FC483E" w:rsidRPr="00FC483E" w:rsidRDefault="00FC483E" w:rsidP="00FC483E">
      <w:pPr>
        <w:tabs>
          <w:tab w:val="num" w:pos="0"/>
          <w:tab w:val="left" w:pos="426"/>
          <w:tab w:val="left" w:pos="567"/>
        </w:tabs>
        <w:spacing w:after="0" w:line="240" w:lineRule="auto"/>
        <w:ind w:left="426" w:hanging="426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-</w:t>
      </w:r>
      <w:r w:rsidRPr="00FC483E">
        <w:rPr>
          <w:rFonts w:eastAsia="Times New Roman"/>
          <w:bCs/>
          <w:iCs/>
          <w:kern w:val="0"/>
          <w14:ligatures w14:val="none"/>
        </w:rPr>
        <w:tab/>
        <w:t>jeigu yra alergija veikliajai medžiagai arba bet kuriai pagalbinei šio vaisto medžiagai (jos išvardytos 6 skyriuje);</w:t>
      </w:r>
    </w:p>
    <w:p w14:paraId="5B4BDE60" w14:textId="77777777" w:rsidR="00FC483E" w:rsidRPr="00FC483E" w:rsidRDefault="00FC483E" w:rsidP="00FC483E">
      <w:pPr>
        <w:tabs>
          <w:tab w:val="num" w:pos="0"/>
          <w:tab w:val="left" w:pos="426"/>
          <w:tab w:val="left" w:pos="567"/>
        </w:tabs>
        <w:spacing w:after="0" w:line="240" w:lineRule="auto"/>
        <w:ind w:left="426" w:hanging="426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-</w:t>
      </w:r>
      <w:r w:rsidRPr="00FC483E">
        <w:rPr>
          <w:rFonts w:eastAsia="Times New Roman"/>
          <w:bCs/>
          <w:iCs/>
          <w:kern w:val="0"/>
          <w14:ligatures w14:val="none"/>
        </w:rPr>
        <w:tab/>
        <w:t>jeigu sergate kokia nors iš žemiau išvardytų ligų ar būklių:</w:t>
      </w:r>
    </w:p>
    <w:p w14:paraId="089EF00E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  <w:tab w:val="right" w:pos="8306"/>
        </w:tabs>
        <w:spacing w:after="0" w:line="240" w:lineRule="auto"/>
        <w:ind w:left="851" w:hanging="491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nuolatinė ar psichinės kilmės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polidipsija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(troškulys), dėl kurio šlapimo išsiskyrimas viršija 40 ml/kg/24 val.;</w:t>
      </w:r>
    </w:p>
    <w:p w14:paraId="546C0122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  <w:tab w:val="right" w:pos="8306"/>
        </w:tabs>
        <w:spacing w:after="0" w:line="240" w:lineRule="auto"/>
        <w:ind w:left="851" w:hanging="491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anksčiau buvęs ar įtariamas širdies nepakankamumas ar kita būklė, kai reikalingas gydymas diuretikais ( šlapimo išsiskyrimą didinančiais vaistais);</w:t>
      </w:r>
    </w:p>
    <w:p w14:paraId="4E744A18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  <w:tab w:val="right" w:pos="8306"/>
        </w:tabs>
        <w:spacing w:after="0" w:line="240" w:lineRule="auto"/>
        <w:ind w:left="851" w:hanging="491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vidutinio sunkumo ar sunkus inkstų nepakankamumas (kreatinino klirensas mažesnis kaip 50 ml/min.);</w:t>
      </w:r>
    </w:p>
    <w:p w14:paraId="5E4B6544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  <w:tab w:val="right" w:pos="8306"/>
        </w:tabs>
        <w:spacing w:after="0" w:line="240" w:lineRule="auto"/>
        <w:ind w:left="851" w:hanging="491"/>
        <w:rPr>
          <w:rFonts w:eastAsia="Times New Roman"/>
          <w:bCs/>
          <w:iCs/>
          <w:kern w:val="0"/>
          <w14:ligatures w14:val="none"/>
        </w:rPr>
      </w:pP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hiponatremija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(pernelyg mažas natrio kiekis kraujyje);</w:t>
      </w:r>
    </w:p>
    <w:p w14:paraId="0D78C6C9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  <w:tab w:val="right" w:pos="8306"/>
        </w:tabs>
        <w:spacing w:after="0" w:line="240" w:lineRule="auto"/>
        <w:ind w:left="851" w:hanging="491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netinkama ADH (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antidiuretinio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hormono) sekrecija</w:t>
      </w:r>
      <w:r w:rsidRPr="00FC483E">
        <w:rPr>
          <w:rFonts w:eastAsia="Times New Roman"/>
          <w:iCs/>
          <w:kern w:val="0"/>
          <w14:ligatures w14:val="none"/>
        </w:rPr>
        <w:t>;</w:t>
      </w:r>
    </w:p>
    <w:p w14:paraId="6D6EC1C4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</w:tabs>
        <w:spacing w:after="0" w:line="240" w:lineRule="auto"/>
        <w:ind w:left="851" w:hanging="491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jeigu esate vyresnis kaip 65 metų, o vaisto vartojama pirminiam naktiniam šlapimo nelaikymui ar naktiniam šlapinimuisi gydyti;</w:t>
      </w:r>
    </w:p>
    <w:p w14:paraId="4D0C779C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</w:tabs>
        <w:spacing w:after="0" w:line="240" w:lineRule="auto"/>
        <w:ind w:left="851" w:hanging="491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jeigu preparato vartojama pirminiam naktiniam šlapimo nelaikymui ar naktiniam šlapinimuisi gydyti ir yra padidėjęs kraujo spaudimas;</w:t>
      </w:r>
    </w:p>
    <w:p w14:paraId="72557BCD" w14:textId="77777777" w:rsidR="00FC483E" w:rsidRPr="00FC483E" w:rsidRDefault="00FC483E" w:rsidP="00FC483E">
      <w:pPr>
        <w:numPr>
          <w:ilvl w:val="0"/>
          <w:numId w:val="3"/>
        </w:numPr>
        <w:tabs>
          <w:tab w:val="left" w:pos="-142"/>
          <w:tab w:val="left" w:pos="851"/>
        </w:tabs>
        <w:spacing w:after="0" w:line="240" w:lineRule="auto"/>
        <w:ind w:left="851" w:hanging="491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lastRenderedPageBreak/>
        <w:t>jeigu vartojate neįprastai daug gėrimų, įskaitant alkoholinius.</w:t>
      </w:r>
    </w:p>
    <w:p w14:paraId="547B6966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1D8746B3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iCs/>
          <w:kern w:val="0"/>
          <w14:ligatures w14:val="none"/>
        </w:rPr>
        <w:t>Įspėjimai ir atsargumo priemonės</w:t>
      </w:r>
    </w:p>
    <w:p w14:paraId="69AFEFEE" w14:textId="77777777" w:rsidR="00FC483E" w:rsidRPr="00FC483E" w:rsidRDefault="00FC483E" w:rsidP="00FC483E">
      <w:pPr>
        <w:numPr>
          <w:ilvl w:val="12"/>
          <w:numId w:val="0"/>
        </w:numPr>
        <w:tabs>
          <w:tab w:val="left" w:pos="1296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Pasitarkite su gydytoju arba vaistininku, prieš pradėdami vartoti </w:t>
      </w:r>
      <w:r w:rsidRPr="00FC483E">
        <w:rPr>
          <w:rFonts w:eastAsia="Times New Roman"/>
          <w:bCs/>
          <w:kern w:val="0"/>
          <w14:ligatures w14:val="none"/>
        </w:rPr>
        <w:t>MINIRIN</w:t>
      </w:r>
      <w:r w:rsidRPr="00FC483E">
        <w:rPr>
          <w:rFonts w:eastAsia="Times New Roman"/>
          <w:kern w:val="0"/>
          <w14:ligatures w14:val="none"/>
        </w:rPr>
        <w:t>.</w:t>
      </w:r>
    </w:p>
    <w:p w14:paraId="1D94726D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62F687D4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Kai </w:t>
      </w:r>
      <w:r w:rsidRPr="00FC483E">
        <w:rPr>
          <w:rFonts w:eastAsia="Times New Roman"/>
          <w:bCs/>
          <w:kern w:val="0"/>
          <w14:ligatures w14:val="none"/>
        </w:rPr>
        <w:t>MINIRIN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 vartojamas pirminei naktinei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enurezei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ir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nikturijai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gydyti, skysčių vartojimą (1 val. prieš vartojant vaisto ir 8 val. po to) būtina apriboti iki minimumo. Jeigu skysčiai neribojami, jų gali kauptis ir (arba) pradės vystytis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hiponatremija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lydima (ne visuomet) įspėjamųjų požymių (galvos skausmo, pykinimo, vėmimo, svorio prieaugio ir, sunkiais atvejais, traukulių).</w:t>
      </w:r>
    </w:p>
    <w:p w14:paraId="26C5ADC1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Visi pacientai ir, kai reikia, juos prižiūrintys asmenys, bus informuojami griežtai riboti suvartojamų skysčių kiekį. </w:t>
      </w:r>
    </w:p>
    <w:p w14:paraId="08A78182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Prieš pradedant gydyti gydytojas norės įsitikinti, ar pacientas neserga sunkiu šlapimo pūslės funkcijos sutrikimu arba šlapimo takų obstrukcija (nepraeinamumu), širdies kraujagyslių ligomis, arterine hipertenzija.</w:t>
      </w:r>
    </w:p>
    <w:p w14:paraId="1D201B24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3BDEF6B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FC483E">
        <w:rPr>
          <w:rFonts w:eastAsia="Times New Roman"/>
          <w:kern w:val="0"/>
          <w14:ligatures w14:val="none"/>
        </w:rPr>
        <w:t>Hiponatremijos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rizika yra didesnė vyresniems žmonėms ir pacientams, kurių natrio koncentracija kraujo serume yra mažesnė nei normali.</w:t>
      </w:r>
    </w:p>
    <w:p w14:paraId="5896D6AD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Susirgus ligomis, kurių metu sutrinka skysčių ir elektrolitų pusiausvyra (pvz., sisteminėmis infekcijomis, virškinimo trakto uždegimu, karščiuojant), gydymą </w:t>
      </w:r>
      <w:proofErr w:type="spellStart"/>
      <w:r w:rsidRPr="00FC483E">
        <w:rPr>
          <w:rFonts w:eastAsia="Times New Roman"/>
          <w:kern w:val="0"/>
          <w14:ligatures w14:val="none"/>
        </w:rPr>
        <w:t>desmopresinu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reikia nutraukti.</w:t>
      </w:r>
    </w:p>
    <w:p w14:paraId="2DB69FF6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52237689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Atsargiai reikia gydyti pacientus, turinčius padidinto </w:t>
      </w:r>
      <w:proofErr w:type="spellStart"/>
      <w:r w:rsidRPr="00FC483E">
        <w:rPr>
          <w:rFonts w:eastAsia="Times New Roman"/>
          <w:kern w:val="0"/>
          <w14:ligatures w14:val="none"/>
        </w:rPr>
        <w:t>intrakranijinio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(kaukolės skysčių) spaudimo riziką.</w:t>
      </w:r>
    </w:p>
    <w:p w14:paraId="35873B44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1FF95CD9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Atsargiai reikia gydyti pacientus, kuriems yra būklės, pasireiškiančios sutrikusiu skysčių ir elektrolitų balansu.</w:t>
      </w:r>
    </w:p>
    <w:p w14:paraId="3C6BACB3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09CD2DE4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Kartu vartojant vaistų, kurie gali skatinti neadekvačią </w:t>
      </w:r>
      <w:proofErr w:type="spellStart"/>
      <w:r w:rsidRPr="00FC483E">
        <w:rPr>
          <w:rFonts w:eastAsia="Times New Roman"/>
          <w:kern w:val="0"/>
          <w14:ligatures w14:val="none"/>
        </w:rPr>
        <w:t>antidiuretinio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hormono gamybą (pvz., vaistus nuo depresijos (</w:t>
      </w:r>
      <w:proofErr w:type="spellStart"/>
      <w:r w:rsidRPr="00FC483E">
        <w:rPr>
          <w:rFonts w:eastAsia="Times New Roman"/>
          <w:kern w:val="0"/>
          <w14:ligatures w14:val="none"/>
        </w:rPr>
        <w:t>triciklius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antidepresantus, selektyvius </w:t>
      </w:r>
      <w:proofErr w:type="spellStart"/>
      <w:r w:rsidRPr="00FC483E">
        <w:rPr>
          <w:rFonts w:eastAsia="Times New Roman"/>
          <w:kern w:val="0"/>
          <w14:ligatures w14:val="none"/>
        </w:rPr>
        <w:t>serotonino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reabsorbcijos inhibitorius), </w:t>
      </w:r>
      <w:proofErr w:type="spellStart"/>
      <w:r w:rsidRPr="00FC483E">
        <w:rPr>
          <w:rFonts w:eastAsia="Times New Roman"/>
          <w:kern w:val="0"/>
          <w14:ligatures w14:val="none"/>
        </w:rPr>
        <w:t>chlorpromaziną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(vaistą nuo psichikos sutrikimų) ir </w:t>
      </w:r>
      <w:proofErr w:type="spellStart"/>
      <w:r w:rsidRPr="00FC483E">
        <w:rPr>
          <w:rFonts w:eastAsia="Times New Roman"/>
          <w:kern w:val="0"/>
          <w14:ligatures w14:val="none"/>
        </w:rPr>
        <w:t>karbamazepiną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(vaistą nuo epilepsijos), taip pat nesteroidinius vaistus nuo uždegimo), reikia imtis atsargumo priemonių. Pastarosioms priemonėms, kurių tikslas yra išvengti natrio kiekio sumažėjimo kraujyje, priklauso: skysčių ribojimas ir dažnesnis natrio kiekio kraujo serume nustatymas.</w:t>
      </w:r>
    </w:p>
    <w:p w14:paraId="1F6635A8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2F253FDB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Kiti vaistai ir MINIRIN</w:t>
      </w:r>
    </w:p>
    <w:p w14:paraId="430F758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i/>
          <w:iCs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>Jeigu vartojate ar neseniai vartojote kitų vaistų arba dėl to nesate tikri, apie tai pasakykite</w:t>
      </w:r>
      <w:r w:rsidRPr="00FC483E">
        <w:rPr>
          <w:rFonts w:eastAsia="Times New Roman"/>
          <w:iCs/>
          <w:kern w:val="0"/>
          <w14:ligatures w14:val="none"/>
        </w:rPr>
        <w:t xml:space="preserve"> gydytojui arba vaistininkui.</w:t>
      </w:r>
    </w:p>
    <w:p w14:paraId="431C5BAA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i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 xml:space="preserve">Jeigu pacientas vartoja vaistus, kurie didina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antidiuretinio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hormono išsiskyrimą (pvz., vaistus nuo depresijos (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triciklius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antidepresantus, selektyvius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serotonino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reabsorbcijos inhibitorius),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chlorpromaziną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(vaistą nuo psichikos sutrikimų) ir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karbamazepiną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(vaistą nuo epilepsijos), taip pat ir kai kuriuos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sulfonilšlapalo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grupės antidiabetinius vaistus, ypatingai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chlorpropamidą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), dėl papildomo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antidiuretinio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poveikio organizmas gali susilaikyti skysčiai.</w:t>
      </w:r>
    </w:p>
    <w:p w14:paraId="31F5554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i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 xml:space="preserve">Nesteroidiniai vaistai nuo uždegimo gali sulaikyti skysčius ir (arba) sukelti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hiponatremiją</w:t>
      </w:r>
      <w:proofErr w:type="spellEnd"/>
      <w:r w:rsidRPr="00FC483E">
        <w:rPr>
          <w:rFonts w:eastAsia="Times New Roman"/>
          <w:iCs/>
          <w:kern w:val="0"/>
          <w14:ligatures w14:val="none"/>
        </w:rPr>
        <w:t>.</w:t>
      </w:r>
    </w:p>
    <w:p w14:paraId="2BD4B04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i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 xml:space="preserve">MINIRIN vartojant kartu su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loperamidu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(vaistu nuo viduriavimo),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desmopresino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kiekis kraujo plazmoje gali padidėti 3 kartus; dėl to didėja skysčių susilaikymo organizme ir 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hiponatremijos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pavojus. Nors ir nėra ištirta, tačiau kiti vaistai, lėtinantys žarnyno motoriką, gali turėti tokį pat poveikį. </w:t>
      </w:r>
    </w:p>
    <w:p w14:paraId="197B4B78" w14:textId="77777777" w:rsidR="00FC483E" w:rsidRPr="00FC483E" w:rsidRDefault="00FC483E" w:rsidP="00FC483E">
      <w:pPr>
        <w:tabs>
          <w:tab w:val="left" w:pos="-142"/>
          <w:tab w:val="left" w:pos="567"/>
          <w:tab w:val="center" w:pos="4153"/>
          <w:tab w:val="right" w:pos="8306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2A0AEC7F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 vartojimas su maistu ir gėrimais</w:t>
      </w:r>
    </w:p>
    <w:p w14:paraId="001F9CEE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kern w:val="0"/>
          <w14:ligatures w14:val="none"/>
        </w:rPr>
        <w:t xml:space="preserve">Maisto vartojimas mažina </w:t>
      </w:r>
      <w:proofErr w:type="spellStart"/>
      <w:r w:rsidRPr="00FC483E">
        <w:rPr>
          <w:rFonts w:eastAsia="Times New Roman"/>
          <w:bCs/>
          <w:kern w:val="0"/>
          <w14:ligatures w14:val="none"/>
        </w:rPr>
        <w:t>desmopresino</w:t>
      </w:r>
      <w:proofErr w:type="spellEnd"/>
      <w:r w:rsidRPr="00FC483E">
        <w:rPr>
          <w:rFonts w:eastAsia="Times New Roman"/>
          <w:bCs/>
          <w:kern w:val="0"/>
          <w14:ligatures w14:val="none"/>
        </w:rPr>
        <w:t xml:space="preserve"> absorbciją. Siekiant užtikrinti, kad būtų absorbuota tinkama vaisto dozė, svarbu visada vartoti šį vaistą tuo pačiu metu valgymo atžvilgiu.</w:t>
      </w:r>
    </w:p>
    <w:p w14:paraId="57D4134D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7DF55DB1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Nėštumas ir žindymo laikotarpis</w:t>
      </w:r>
    </w:p>
    <w:p w14:paraId="49184D08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>Jeigu esate nėščia, žindote kūdikį, manote, kad galbūt esate nėščia, arba planuojate pastoti, tai prieš vartodama šį vaistą, pasitarkite su gydytoju arba vaistininku.</w:t>
      </w:r>
    </w:p>
    <w:p w14:paraId="444FFDF4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Nėštumo ir žindymo laikotarpiu reikėtų vengti vartoti bet kokius vaistus.</w:t>
      </w:r>
    </w:p>
    <w:p w14:paraId="4BCE4F82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4CD0E36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FC483E">
        <w:rPr>
          <w:rFonts w:eastAsia="Times New Roman"/>
          <w:kern w:val="0"/>
          <w14:ligatures w14:val="none"/>
        </w:rPr>
        <w:t>Desmopresino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išsiskiria į motinos pieną, bet nuo terapinių dozių poveikis kūdikiui mažai tikėtinas. </w:t>
      </w:r>
    </w:p>
    <w:p w14:paraId="09A6FB3F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Jeigu maitinate krūtimi ar ketinate pradėti žindyti, pasakykite gydytojui arba vaistininkui.</w:t>
      </w:r>
    </w:p>
    <w:p w14:paraId="66015A41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5CF05C8F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Vairavimas ir mechanizmų valdymas</w:t>
      </w:r>
    </w:p>
    <w:p w14:paraId="0C1BB7D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MINIRIN gebėjimo vairuoti ir valdyti mechanizmus neveikia arba poveikis nėra reikšmingas.</w:t>
      </w:r>
    </w:p>
    <w:p w14:paraId="1E68571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23E12E9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10C4797F" w14:textId="77777777" w:rsidR="00FC483E" w:rsidRPr="00FC483E" w:rsidRDefault="00FC483E" w:rsidP="00FC483E">
      <w:pPr>
        <w:numPr>
          <w:ilvl w:val="0"/>
          <w:numId w:val="4"/>
        </w:numPr>
        <w:tabs>
          <w:tab w:val="left" w:pos="-142"/>
          <w:tab w:val="left" w:pos="567"/>
        </w:tabs>
        <w:spacing w:after="0" w:line="240" w:lineRule="auto"/>
        <w:ind w:hanging="927"/>
        <w:jc w:val="both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iCs/>
          <w:kern w:val="0"/>
          <w14:ligatures w14:val="none"/>
        </w:rPr>
        <w:t>Kaip vartoti MINIRIN</w:t>
      </w:r>
    </w:p>
    <w:p w14:paraId="5C75CA8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2DE7DBF6" w14:textId="77777777" w:rsidR="00FC483E" w:rsidRPr="00FC483E" w:rsidRDefault="00FC483E" w:rsidP="00FC483E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>Visada vartokite šį vaistą tiksliai kaip nurodė gydytojas. Jeigu abejojate, kreipkitės į gydytoją arba vaistininką.</w:t>
      </w:r>
    </w:p>
    <w:p w14:paraId="32EE3F50" w14:textId="77777777" w:rsidR="00FC483E" w:rsidRPr="00FC483E" w:rsidRDefault="00FC483E" w:rsidP="00FC483E">
      <w:pPr>
        <w:numPr>
          <w:ilvl w:val="12"/>
          <w:numId w:val="0"/>
        </w:numPr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 xml:space="preserve">Vartokite šį vaistą tuo pačiu metu, atsižvelgiant į valgymą. Maistas gali sumažinti vaisto absorbciją ir sutrumpinti jo veikimo trukmę (žr. 2 skyrių ,,MINRIN vartojimas su maistu ir gėrimais“). </w:t>
      </w:r>
    </w:p>
    <w:p w14:paraId="78FFBCD2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05FBBF8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bCs/>
          <w:iCs/>
          <w:kern w:val="0"/>
          <w:u w:val="single"/>
          <w14:ligatures w14:val="none"/>
        </w:rPr>
      </w:pPr>
      <w:r w:rsidRPr="00FC483E">
        <w:rPr>
          <w:rFonts w:eastAsia="Times New Roman"/>
          <w:b/>
          <w:bCs/>
          <w:iCs/>
          <w:kern w:val="0"/>
          <w:u w:val="single"/>
          <w14:ligatures w14:val="none"/>
        </w:rPr>
        <w:t>Dozavimas</w:t>
      </w:r>
    </w:p>
    <w:p w14:paraId="25F0300F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0A706CE5" w14:textId="77777777" w:rsidR="00FC483E" w:rsidRPr="00FC483E" w:rsidRDefault="00FC483E" w:rsidP="00FC483E">
      <w:pPr>
        <w:spacing w:after="0" w:line="240" w:lineRule="auto"/>
        <w:rPr>
          <w:rFonts w:eastAsia="Times New Roman"/>
          <w:b/>
          <w:i/>
          <w:kern w:val="0"/>
          <w14:ligatures w14:val="none"/>
        </w:rPr>
      </w:pPr>
      <w:r w:rsidRPr="00FC483E">
        <w:rPr>
          <w:rFonts w:eastAsia="Times New Roman"/>
          <w:b/>
          <w:i/>
          <w:kern w:val="0"/>
          <w14:ligatures w14:val="none"/>
        </w:rPr>
        <w:t>Centrinis necukrinis diabetas</w:t>
      </w:r>
    </w:p>
    <w:p w14:paraId="160E3E92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Sergantiesiems necukriniu diabetu dozė parenkama individualiai, tačiau suminė paros dozė po liežuviu įvairuoja nuo 120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iki 720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. </w:t>
      </w:r>
    </w:p>
    <w:p w14:paraId="3B83356A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Pradinė dozė vaikams yra 60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vartojama 3 kartus per dieną po liežuviu. Dozė tikslinama, atsižvelgiant į paciento reakciją į gydymą.</w:t>
      </w:r>
    </w:p>
    <w:p w14:paraId="33A4FD3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Pradinė dozė suaugusiesiems yra 60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vartojama 3 kartus per dieną po liežuviu. Dozė tikslinama, atsižvelgiant į paciento reakciją į gydymą.</w:t>
      </w:r>
    </w:p>
    <w:p w14:paraId="5B92514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174458F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Daugeliui pacientų palaikomoji dozė yra nuo 60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iki 120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vartojama 3 kartus per parą po liežuviu.</w:t>
      </w:r>
    </w:p>
    <w:p w14:paraId="341615EF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4E54449F" w14:textId="77777777" w:rsidR="00FC483E" w:rsidRPr="00FC483E" w:rsidRDefault="00FC483E" w:rsidP="00FC483E">
      <w:pPr>
        <w:spacing w:after="0" w:line="240" w:lineRule="auto"/>
        <w:rPr>
          <w:rFonts w:eastAsia="Times New Roman"/>
          <w:b/>
          <w:i/>
          <w:kern w:val="0"/>
          <w14:ligatures w14:val="none"/>
        </w:rPr>
      </w:pPr>
      <w:r w:rsidRPr="00FC483E">
        <w:rPr>
          <w:rFonts w:eastAsia="Times New Roman"/>
          <w:b/>
          <w:i/>
          <w:kern w:val="0"/>
          <w14:ligatures w14:val="none"/>
        </w:rPr>
        <w:t xml:space="preserve">Pirminė naktinė </w:t>
      </w:r>
      <w:proofErr w:type="spellStart"/>
      <w:r w:rsidRPr="00FC483E">
        <w:rPr>
          <w:rFonts w:eastAsia="Times New Roman"/>
          <w:b/>
          <w:i/>
          <w:kern w:val="0"/>
          <w14:ligatures w14:val="none"/>
        </w:rPr>
        <w:t>enurezė</w:t>
      </w:r>
      <w:proofErr w:type="spellEnd"/>
    </w:p>
    <w:p w14:paraId="11D95697" w14:textId="77777777" w:rsidR="00FC483E" w:rsidRPr="00FC483E" w:rsidRDefault="00FC483E" w:rsidP="00FC483E">
      <w:pPr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FC483E">
        <w:rPr>
          <w:rFonts w:eastAsia="Times New Roman"/>
          <w:kern w:val="0"/>
          <w:u w:val="single"/>
          <w14:ligatures w14:val="none"/>
        </w:rPr>
        <w:t>5 metų ir vyresniems vaikams</w:t>
      </w:r>
    </w:p>
    <w:p w14:paraId="59DB95A0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Rekomenduojama vaisto dozė yra 120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suvartojama prieš miegą po liežuviu. Dozė tikslinama, atsižvelgiant į paciento reakciją į gydymą.</w:t>
      </w:r>
    </w:p>
    <w:p w14:paraId="580812DC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Būtina riboti suvartojamų skysčių kiekį.</w:t>
      </w:r>
    </w:p>
    <w:p w14:paraId="48C865C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4AF6482F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bCs/>
          <w:kern w:val="0"/>
          <w14:ligatures w14:val="none"/>
        </w:rPr>
        <w:t xml:space="preserve">MINIRIN 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rekomenduojama gydyti iki 3 mėnesių. Ar vaistu būtina gydyti toliau, sprendžiama pagal tyrimus, kurie atliekami nutraukus (nors savaitei) gydymą </w:t>
      </w:r>
      <w:r w:rsidRPr="00FC483E">
        <w:rPr>
          <w:rFonts w:eastAsia="Times New Roman"/>
          <w:bCs/>
          <w:kern w:val="0"/>
          <w14:ligatures w14:val="none"/>
        </w:rPr>
        <w:t>MINIRIN</w:t>
      </w:r>
      <w:r w:rsidRPr="00FC483E">
        <w:rPr>
          <w:rFonts w:eastAsia="Times New Roman"/>
          <w:iCs/>
          <w:kern w:val="0"/>
          <w14:ligatures w14:val="none"/>
        </w:rPr>
        <w:t>.</w:t>
      </w:r>
    </w:p>
    <w:p w14:paraId="653BFD54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49725994" w14:textId="77777777" w:rsidR="00FC483E" w:rsidRPr="00FC483E" w:rsidRDefault="00FC483E" w:rsidP="00FC483E">
      <w:pPr>
        <w:spacing w:after="0" w:line="240" w:lineRule="auto"/>
        <w:rPr>
          <w:rFonts w:eastAsia="Times New Roman"/>
          <w:b/>
          <w:i/>
          <w:kern w:val="0"/>
          <w14:ligatures w14:val="none"/>
        </w:rPr>
      </w:pPr>
      <w:r w:rsidRPr="00FC483E">
        <w:rPr>
          <w:rFonts w:eastAsia="Times New Roman"/>
          <w:b/>
          <w:i/>
          <w:kern w:val="0"/>
          <w14:ligatures w14:val="none"/>
        </w:rPr>
        <w:t xml:space="preserve">Suaugusiųjų </w:t>
      </w:r>
      <w:proofErr w:type="spellStart"/>
      <w:r w:rsidRPr="00FC483E">
        <w:rPr>
          <w:rFonts w:eastAsia="Times New Roman"/>
          <w:b/>
          <w:i/>
          <w:kern w:val="0"/>
          <w14:ligatures w14:val="none"/>
        </w:rPr>
        <w:t>nikturija</w:t>
      </w:r>
      <w:proofErr w:type="spellEnd"/>
    </w:p>
    <w:p w14:paraId="42E3695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iCs/>
          <w:kern w:val="0"/>
          <w14:ligatures w14:val="none"/>
        </w:rPr>
        <w:t>Rekomenduojama vaisto dozė yra 60 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iCs/>
          <w:kern w:val="0"/>
          <w14:ligatures w14:val="none"/>
        </w:rPr>
        <w:t>, suvartojama prieš miegą po liežuviu. Praėjus savaitei, dozę galima padidinti iki 120 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iCs/>
          <w:kern w:val="0"/>
          <w14:ligatures w14:val="none"/>
        </w:rPr>
        <w:t>. Po to, kas savaitę po truputį didinant dozę, ji gali būti padidinta iki maksimalios – 240 </w:t>
      </w:r>
      <w:proofErr w:type="spellStart"/>
      <w:r w:rsidRPr="00FC483E">
        <w:rPr>
          <w:rFonts w:eastAsia="Times New Roman"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iCs/>
          <w:kern w:val="0"/>
          <w14:ligatures w14:val="none"/>
        </w:rPr>
        <w:t xml:space="preserve"> po liežuviu. Būtina riboti suvartojamų skysčių kiekį.</w:t>
      </w:r>
    </w:p>
    <w:p w14:paraId="294D21FF" w14:textId="77777777" w:rsidR="00FC483E" w:rsidRPr="00FC483E" w:rsidRDefault="00FC483E" w:rsidP="00FC483E">
      <w:pPr>
        <w:tabs>
          <w:tab w:val="left" w:pos="-142"/>
          <w:tab w:val="num" w:pos="0"/>
          <w:tab w:val="left" w:pos="3105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0F1E02F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Ką daryti pavartojus per didelę MINIRIN dozę</w:t>
      </w:r>
    </w:p>
    <w:p w14:paraId="0D65651A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Jeigu Jūs išgėrėte didesnę </w:t>
      </w:r>
      <w:r w:rsidRPr="00FC483E">
        <w:rPr>
          <w:rFonts w:eastAsia="Times New Roman"/>
          <w:bCs/>
          <w:kern w:val="0"/>
          <w14:ligatures w14:val="none"/>
        </w:rPr>
        <w:t xml:space="preserve">MINIRIN </w:t>
      </w:r>
      <w:r w:rsidRPr="00FC483E">
        <w:rPr>
          <w:rFonts w:eastAsia="Times New Roman"/>
          <w:bCs/>
          <w:iCs/>
          <w:kern w:val="0"/>
          <w14:ligatures w14:val="none"/>
        </w:rPr>
        <w:t>dozę, nutraukite vaisto vartojimą, ribokite skysčių vartojimą ir kreipkitės į savo gydytoją.</w:t>
      </w:r>
    </w:p>
    <w:p w14:paraId="05E44AF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221CF299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Pamiršus pavartoti MINIRIN</w:t>
      </w:r>
    </w:p>
    <w:p w14:paraId="4B939DA4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 xml:space="preserve">Praleidus dozę, vėliau dvigubos dozės vartoti negalima. Dėl perdozavimo gali kauptis skysčiai ir vystytis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hiponatremija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.</w:t>
      </w:r>
    </w:p>
    <w:p w14:paraId="7913700C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79BE638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17FD5D42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iCs/>
          <w:kern w:val="0"/>
          <w14:ligatures w14:val="none"/>
        </w:rPr>
        <w:t>4.</w:t>
      </w:r>
      <w:r w:rsidRPr="00FC483E">
        <w:rPr>
          <w:rFonts w:eastAsia="Times New Roman"/>
          <w:b/>
          <w:iCs/>
          <w:kern w:val="0"/>
          <w14:ligatures w14:val="none"/>
        </w:rPr>
        <w:tab/>
        <w:t>Galimas šalutinis poveikis</w:t>
      </w:r>
    </w:p>
    <w:p w14:paraId="6DEF626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139ED074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Šis vaistas kaip ir visi kiti, gali sukelti šalutinį poveikį,</w:t>
      </w:r>
      <w:r w:rsidRPr="00FC483E">
        <w:rPr>
          <w:rFonts w:eastAsia="Times New Roman"/>
          <w:kern w:val="0"/>
          <w14:ligatures w14:val="none"/>
        </w:rPr>
        <w:t xml:space="preserve"> nors jis pasireiškia ne visiems žmonėms</w:t>
      </w:r>
      <w:r w:rsidRPr="00FC483E">
        <w:rPr>
          <w:rFonts w:eastAsia="Times New Roman"/>
          <w:bCs/>
          <w:iCs/>
          <w:kern w:val="0"/>
          <w14:ligatures w14:val="none"/>
        </w:rPr>
        <w:t>.</w:t>
      </w:r>
    </w:p>
    <w:p w14:paraId="4EAFAD1C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4490E32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r w:rsidRPr="00FC483E">
        <w:rPr>
          <w:rFonts w:eastAsia="Times New Roman"/>
          <w:b/>
          <w:bCs/>
          <w:kern w:val="0"/>
          <w14:ligatures w14:val="none"/>
        </w:rPr>
        <w:t>Šalutinis poveikis, kuris gali pasireikšti suaugusiems žmonėms</w:t>
      </w:r>
    </w:p>
    <w:p w14:paraId="05669900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C083BF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Labai dažni šalutinio poveikio reiškiniai (gali pasireikšti ne rečiau kaip 1 iš 10 asmenų):</w:t>
      </w:r>
    </w:p>
    <w:p w14:paraId="72F13796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Galvos skausmas</w:t>
      </w:r>
    </w:p>
    <w:p w14:paraId="2AEE72EC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18BBA44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lastRenderedPageBreak/>
        <w:t>Dažni šalutinio poveikio reiškiniai (gali pasireikšti rečiau kaip 1 iš 10 asmenų):</w:t>
      </w:r>
    </w:p>
    <w:p w14:paraId="7199D16A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Natrio kiekio sumažėjimas kraujyje, svaigulys, didelis kraujospūdis, pykinimas, pilvo skausmas, viduriavimas, vidurių užkietėjimas, vėmimas, šlapimo pūslės ir šlaplės sutrikimų simptomai (pvz., dažnas ar skausmingas šlapinimasis), patinimai, nuovargis.</w:t>
      </w:r>
    </w:p>
    <w:p w14:paraId="3503D45B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6EF682D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Nedažni šalutinio poveikio reiškiniai (gali pasireikšti rečiau kaip 1 iš 100 asmenų):</w:t>
      </w:r>
    </w:p>
    <w:p w14:paraId="020685DE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Nemiga, mieguistumas, jutimų sutrikimas (</w:t>
      </w:r>
      <w:proofErr w:type="spellStart"/>
      <w:r w:rsidRPr="00FC483E">
        <w:rPr>
          <w:rFonts w:eastAsia="Times New Roman"/>
          <w:kern w:val="0"/>
          <w14:ligatures w14:val="none"/>
        </w:rPr>
        <w:t>parestezija</w:t>
      </w:r>
      <w:proofErr w:type="spellEnd"/>
      <w:r w:rsidRPr="00FC483E">
        <w:rPr>
          <w:rFonts w:eastAsia="Times New Roman"/>
          <w:kern w:val="0"/>
          <w14:ligatures w14:val="none"/>
        </w:rPr>
        <w:t>), regos pablogėjimas, galvos svaigimas (</w:t>
      </w:r>
      <w:proofErr w:type="spellStart"/>
      <w:r w:rsidRPr="00FC483E">
        <w:rPr>
          <w:rFonts w:eastAsia="Times New Roman"/>
          <w:i/>
          <w:kern w:val="0"/>
          <w14:ligatures w14:val="none"/>
        </w:rPr>
        <w:t>vertigo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), širdies plakimo pojūtis, kraujospūdžio sumažėjimas stojantis, dusulys, </w:t>
      </w:r>
      <w:proofErr w:type="spellStart"/>
      <w:r w:rsidRPr="00FC483E">
        <w:rPr>
          <w:rFonts w:eastAsia="Times New Roman"/>
          <w:kern w:val="0"/>
          <w14:ligatures w14:val="none"/>
        </w:rPr>
        <w:t>nevirškinimas</w:t>
      </w:r>
      <w:proofErr w:type="spellEnd"/>
      <w:r w:rsidRPr="00FC483E">
        <w:rPr>
          <w:rFonts w:eastAsia="Times New Roman"/>
          <w:kern w:val="0"/>
          <w14:ligatures w14:val="none"/>
        </w:rPr>
        <w:t>, dujų kaupimasis žarnyne, vidurių pūtimas, prakaitavimas, niežėjimas, išbėrimas, dilgėlinė, raumenų spazmai, raumenų skausmas, bendrasis negalavimas, krūtinės skausmas, į gripą panašūs simptomai, padidėjęs svoris, padidėjęs kepenų fermentų aktyvumas, mažas kalio kiekis kraujyje.</w:t>
      </w:r>
    </w:p>
    <w:p w14:paraId="4F4A509E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103955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Reti šalutinio poveikio reiškiniai (gali pasireikšti rečiau kaip 1 iš 1 000 asmenų):</w:t>
      </w:r>
    </w:p>
    <w:p w14:paraId="31860B12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Minčių susipainiojimas, alerginis odos uždegimas (alerginis dermatitas).</w:t>
      </w:r>
    </w:p>
    <w:p w14:paraId="7E6375CC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48AAFF2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Šalutinio poveikio reiškiniai, kurių dažnis nežinomas (negali būti apskaičiuotas pagal turimus duomenis):</w:t>
      </w:r>
    </w:p>
    <w:p w14:paraId="630B78AC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Sunki alerginė reakcija (anafilaksinė reakcija), skysčio kiekio organizme sumažėjimas, natrio kiekio organizme sumažėjimas, traukuliai, silpnumas, sąmonės netekimas.</w:t>
      </w:r>
    </w:p>
    <w:p w14:paraId="4A2141D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78E7A966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b/>
          <w:bCs/>
          <w:kern w:val="0"/>
          <w14:ligatures w14:val="none"/>
        </w:rPr>
        <w:t xml:space="preserve">Šalutinis poveikis, kuris gali pasireikšti </w:t>
      </w:r>
      <w:r w:rsidRPr="00FC483E">
        <w:rPr>
          <w:rFonts w:eastAsia="Times New Roman"/>
          <w:b/>
          <w:bCs/>
          <w:snapToGrid w:val="0"/>
          <w:kern w:val="0"/>
          <w:szCs w:val="20"/>
          <w14:ligatures w14:val="none"/>
        </w:rPr>
        <w:t>vaikams</w:t>
      </w:r>
    </w:p>
    <w:p w14:paraId="6A5A952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3018F6F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Dažni šalutinio poveikio reiškiniai (gali pasireikšti rečiau kaip 1 iš 10 asmenų):</w:t>
      </w:r>
    </w:p>
    <w:p w14:paraId="48C78752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Galvos skausmas.</w:t>
      </w:r>
    </w:p>
    <w:p w14:paraId="299F3EF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5D3F4BF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Nedažni šalutinio poveikio reiškiniai (gali pasireikšti rečiau kaip 1 iš 100 asmenų):</w:t>
      </w:r>
    </w:p>
    <w:p w14:paraId="60523272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Kintanti sujaudinimo reakcija (afektas), agresyvumas, pilvo skausmas, pykinimas, vėmimas, viduriavimas, šlapimo pūslės ir šlaplės sutrikimų simptomai (pvz., dažnas ar skausmingas šlapinimasis), periferinė edema (patinimai), nuovargis.</w:t>
      </w:r>
    </w:p>
    <w:p w14:paraId="4C6638F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08A38D95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Reti šalutinio poveikio reiškiniai (gali pasireikšti rečiau kaip 1 iš 1 000 asmenų):</w:t>
      </w:r>
    </w:p>
    <w:p w14:paraId="057B55AA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pacing w:after="0" w:line="240" w:lineRule="auto"/>
        <w:ind w:left="567" w:hanging="567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Nerimo simptomai, košmariški sapnai, nuotaikos svyravimai, mieguistumas, didelis kraujospūdis, dirglumas.</w:t>
      </w:r>
    </w:p>
    <w:p w14:paraId="679207A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</w:p>
    <w:p w14:paraId="683BF0D9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:lang w:eastAsia="lt-LT"/>
          <w14:ligatures w14:val="none"/>
        </w:rPr>
        <w:t>Šalutinio poveikio reiškiniai, kurių dažnis nežinomas (negali būti apskaičiuotas pagal turimus duomenis):</w:t>
      </w:r>
    </w:p>
    <w:p w14:paraId="5E939F9A" w14:textId="77777777" w:rsidR="00FC483E" w:rsidRPr="00FC483E" w:rsidRDefault="00FC483E" w:rsidP="00FC483E">
      <w:pPr>
        <w:numPr>
          <w:ilvl w:val="0"/>
          <w:numId w:val="5"/>
        </w:numPr>
        <w:tabs>
          <w:tab w:val="left" w:pos="-142"/>
          <w:tab w:val="num" w:pos="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567" w:hanging="567"/>
        <w:contextualSpacing/>
        <w:rPr>
          <w:rFonts w:eastAsia="Times New Roman"/>
          <w:b/>
          <w:i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Sunki alerginė reakcija (anafilaksinė reakcija), mažas natrio kiekis kraujyje, nenormalus elgesys, emocinis sutrikimas, depresija, haliucinacijos, nemiga, dėmesio sutrikimas, </w:t>
      </w:r>
      <w:proofErr w:type="spellStart"/>
      <w:r w:rsidRPr="00FC483E">
        <w:rPr>
          <w:rFonts w:eastAsia="Times New Roman"/>
          <w:kern w:val="0"/>
          <w14:ligatures w14:val="none"/>
        </w:rPr>
        <w:t>psichomotorinis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hiperaktyvumas, traukuliai, kraujavimas iš nosies, išbėrimas, alerginis odos uždegimas (alerginis dermatitas), prakaitavimas, dilgėlinė.</w:t>
      </w:r>
    </w:p>
    <w:p w14:paraId="605ED0ED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30820936" w14:textId="77777777" w:rsidR="00FC483E" w:rsidRPr="00FC483E" w:rsidRDefault="00FC483E" w:rsidP="00FC483E">
      <w:pPr>
        <w:tabs>
          <w:tab w:val="left" w:pos="567"/>
        </w:tabs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  <w:r w:rsidRPr="00FC483E">
        <w:rPr>
          <w:rFonts w:eastAsia="Times New Roman"/>
          <w:b/>
          <w:snapToGrid w:val="0"/>
          <w:kern w:val="0"/>
          <w14:ligatures w14:val="none"/>
        </w:rPr>
        <w:t>Pranešimas apie šalutinį poveikį</w:t>
      </w:r>
    </w:p>
    <w:p w14:paraId="07A832CA" w14:textId="77777777" w:rsidR="00FC483E" w:rsidRPr="00FC483E" w:rsidRDefault="00FC483E" w:rsidP="00FC483E">
      <w:pPr>
        <w:tabs>
          <w:tab w:val="left" w:pos="567"/>
        </w:tabs>
        <w:spacing w:after="0" w:line="240" w:lineRule="auto"/>
        <w:ind w:right="-449"/>
        <w:rPr>
          <w:rFonts w:eastAsia="Times New Roman"/>
          <w:snapToGrid w:val="0"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 xml:space="preserve">Jeigu pasireiškė šalutinis poveikis, įskaitant šiame lapelyje nenurodytą, pasakykite gydytoju arba vaistininkui. 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FC483E">
        <w:rPr>
          <w:rFonts w:eastAsia="Times New Roman"/>
          <w:bCs/>
          <w:iCs/>
          <w:color w:val="0000EE"/>
          <w:kern w:val="0"/>
          <w:u w:val="single"/>
          <w14:ligatures w14:val="none"/>
        </w:rPr>
        <w:t>https://vvkt.lrv.lt/lt/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 nurodytais būdais arba paskambinti nemokamu telefonu +370 800 73 568.</w:t>
      </w:r>
      <w:r w:rsidRPr="00FC483E">
        <w:rPr>
          <w:rFonts w:eastAsia="Times New Roman"/>
          <w:snapToGrid w:val="0"/>
          <w:kern w:val="0"/>
          <w14:ligatures w14:val="none"/>
        </w:rPr>
        <w:t xml:space="preserve"> Pranešdami apie šalutinį poveikį galite mums padėti gauti daugiau informacijos apie šio vaisto saugumą.</w:t>
      </w:r>
    </w:p>
    <w:p w14:paraId="5AB11E8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57EC6B1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23D559F4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r w:rsidRPr="00FC483E">
        <w:rPr>
          <w:rFonts w:eastAsia="Times New Roman"/>
          <w:b/>
          <w:bCs/>
          <w:kern w:val="0"/>
          <w14:ligatures w14:val="none"/>
        </w:rPr>
        <w:t>5.</w:t>
      </w:r>
      <w:r w:rsidRPr="00FC483E">
        <w:rPr>
          <w:rFonts w:eastAsia="Times New Roman"/>
          <w:b/>
          <w:bCs/>
          <w:kern w:val="0"/>
          <w14:ligatures w14:val="none"/>
        </w:rPr>
        <w:tab/>
        <w:t>Kaip laikyti MINIRIN</w:t>
      </w:r>
    </w:p>
    <w:p w14:paraId="4AE89E23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59077CE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Šį vaistą laikykite vaikams nepastebimoje ir nepasiekiamoje vietoje.</w:t>
      </w:r>
    </w:p>
    <w:p w14:paraId="0F4FA21B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Laikyti gamintojo pakuotėje</w:t>
      </w:r>
      <w:r w:rsidRPr="00FC483E">
        <w:rPr>
          <w:rFonts w:eastAsia="Times New Roman"/>
          <w:bCs/>
          <w:iCs/>
          <w:kern w:val="0"/>
          <w14:ligatures w14:val="none"/>
        </w:rPr>
        <w:t xml:space="preserve">, kad vaistas būtų apsaugotas nuo šviesos ir drėgmės. </w:t>
      </w:r>
    </w:p>
    <w:p w14:paraId="7D0AA6C5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1CACBFEA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Ant dėžutės po „Tinka iki“ ir lizdinės plokštelės nurodytam tinkamumo laikui pasibaigus, šio vaisto vartoti negalima. Vaistas tinkamas vartoti iki paskutinės nurodyto mėnesio dienos.</w:t>
      </w:r>
    </w:p>
    <w:p w14:paraId="2A4B40A9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23FC6644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24EC147F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rPr>
          <w:rFonts w:eastAsia="Times New Roman"/>
          <w:iCs/>
          <w:kern w:val="0"/>
          <w14:ligatures w14:val="none"/>
        </w:rPr>
      </w:pPr>
    </w:p>
    <w:p w14:paraId="0FDB2528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652D1AEA" w14:textId="77777777" w:rsidR="00FC483E" w:rsidRPr="00FC483E" w:rsidRDefault="00FC483E" w:rsidP="00FC483E">
      <w:pPr>
        <w:keepNext/>
        <w:keepLines/>
        <w:tabs>
          <w:tab w:val="left" w:pos="567"/>
        </w:tabs>
        <w:spacing w:after="0" w:line="240" w:lineRule="auto"/>
        <w:outlineLvl w:val="2"/>
        <w:rPr>
          <w:rFonts w:eastAsia="Times New Roman"/>
          <w:b/>
          <w:bCs/>
          <w:snapToGrid w:val="0"/>
          <w:kern w:val="0"/>
          <w14:ligatures w14:val="none"/>
        </w:rPr>
      </w:pPr>
      <w:r w:rsidRPr="00FC483E">
        <w:rPr>
          <w:rFonts w:eastAsia="Times New Roman"/>
          <w:b/>
          <w:bCs/>
          <w:snapToGrid w:val="0"/>
          <w:kern w:val="0"/>
          <w14:ligatures w14:val="none"/>
        </w:rPr>
        <w:t>6.</w:t>
      </w:r>
      <w:r w:rsidRPr="00FC483E">
        <w:rPr>
          <w:rFonts w:eastAsia="Times New Roman"/>
          <w:bCs/>
          <w:snapToGrid w:val="0"/>
          <w:kern w:val="0"/>
          <w14:ligatures w14:val="none"/>
        </w:rPr>
        <w:tab/>
      </w:r>
      <w:r w:rsidRPr="00FC483E">
        <w:rPr>
          <w:rFonts w:eastAsia="Times New Roman"/>
          <w:b/>
          <w:bCs/>
          <w:snapToGrid w:val="0"/>
          <w:kern w:val="0"/>
          <w14:ligatures w14:val="none"/>
        </w:rPr>
        <w:t>Pakuotės turinys ir kita informacija</w:t>
      </w:r>
    </w:p>
    <w:p w14:paraId="0E6E635E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3BE6D741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b/>
          <w:iCs/>
          <w:kern w:val="0"/>
          <w14:ligatures w14:val="none"/>
        </w:rPr>
      </w:pPr>
      <w:r w:rsidRPr="00FC483E">
        <w:rPr>
          <w:rFonts w:eastAsia="Times New Roman"/>
          <w:b/>
          <w:iCs/>
          <w:kern w:val="0"/>
          <w14:ligatures w14:val="none"/>
        </w:rPr>
        <w:t>MINIRIN sudėtis</w:t>
      </w:r>
    </w:p>
    <w:p w14:paraId="21DCA4BE" w14:textId="77777777" w:rsidR="00FC483E" w:rsidRPr="00FC483E" w:rsidRDefault="00FC483E" w:rsidP="00FC483E">
      <w:pPr>
        <w:numPr>
          <w:ilvl w:val="0"/>
          <w:numId w:val="2"/>
        </w:numPr>
        <w:tabs>
          <w:tab w:val="left" w:pos="-142"/>
          <w:tab w:val="left" w:pos="567"/>
        </w:tabs>
        <w:spacing w:after="0" w:line="240" w:lineRule="auto"/>
        <w:contextualSpacing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Veiklioji medžiaga yra </w:t>
      </w:r>
      <w:proofErr w:type="spellStart"/>
      <w:r w:rsidRPr="00FC483E">
        <w:rPr>
          <w:rFonts w:eastAsia="Times New Roman"/>
          <w:kern w:val="0"/>
          <w14:ligatures w14:val="none"/>
        </w:rPr>
        <w:t>desmopresinas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. </w:t>
      </w:r>
      <w:r w:rsidRPr="00FC483E">
        <w:rPr>
          <w:rFonts w:eastAsia="Times New Roman"/>
          <w:bCs/>
          <w:kern w:val="0"/>
          <w14:ligatures w14:val="none"/>
        </w:rPr>
        <w:t xml:space="preserve">Kiekviename </w:t>
      </w:r>
      <w:proofErr w:type="spellStart"/>
      <w:r w:rsidRPr="00FC483E">
        <w:rPr>
          <w:rFonts w:eastAsia="Times New Roman"/>
          <w:bCs/>
          <w:kern w:val="0"/>
          <w14:ligatures w14:val="none"/>
        </w:rPr>
        <w:t>liofilizate</w:t>
      </w:r>
      <w:proofErr w:type="spellEnd"/>
      <w:r w:rsidRPr="00FC483E">
        <w:rPr>
          <w:rFonts w:eastAsia="Times New Roman"/>
          <w:bCs/>
          <w:kern w:val="0"/>
          <w14:ligatures w14:val="none"/>
        </w:rPr>
        <w:t xml:space="preserve"> </w:t>
      </w:r>
      <w:r w:rsidRPr="00FC483E">
        <w:rPr>
          <w:rFonts w:eastAsia="Times New Roman"/>
          <w:bCs/>
          <w:iCs/>
          <w:kern w:val="0"/>
          <w14:ligatures w14:val="none"/>
        </w:rPr>
        <w:t>yra 60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>, 120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arba 240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desmopresino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(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desmopresino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acetato pavidalu).</w:t>
      </w:r>
    </w:p>
    <w:p w14:paraId="28A8D57B" w14:textId="77777777" w:rsidR="00FC483E" w:rsidRPr="00FC483E" w:rsidRDefault="00FC483E" w:rsidP="00FC483E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Pagalbinės medžiagos yra želatina, </w:t>
      </w:r>
      <w:proofErr w:type="spellStart"/>
      <w:r w:rsidRPr="00FC483E">
        <w:rPr>
          <w:rFonts w:eastAsia="Times New Roman"/>
          <w:kern w:val="0"/>
          <w14:ligatures w14:val="none"/>
        </w:rPr>
        <w:t>manitolis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(E421), bevandenė citrinų rūgštis.</w:t>
      </w:r>
    </w:p>
    <w:p w14:paraId="70129BF5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14F602C3" w14:textId="77777777" w:rsidR="00FC483E" w:rsidRPr="00FC483E" w:rsidRDefault="00FC483E" w:rsidP="00FC483E">
      <w:pPr>
        <w:tabs>
          <w:tab w:val="center" w:pos="4153"/>
          <w:tab w:val="right" w:pos="8306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FC483E">
        <w:rPr>
          <w:rFonts w:eastAsia="Times New Roman"/>
          <w:b/>
          <w:kern w:val="0"/>
          <w14:ligatures w14:val="none"/>
        </w:rPr>
        <w:t>MINIRIN išvaizda ir kiekis pakuotėje</w:t>
      </w:r>
    </w:p>
    <w:p w14:paraId="3CD4B6F3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MINIRIN 60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yra baltas, apvalus geriamasis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liofilizatas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su lašo formos figūra (piešiniu) vienoje pusėje.</w:t>
      </w:r>
    </w:p>
    <w:p w14:paraId="477B6663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MINIRIN 120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yra baltas, apvalus geriamasis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liofilizatas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su 2 lašų formos figūra (piešiniu) vienoje pusėje.</w:t>
      </w:r>
    </w:p>
    <w:p w14:paraId="6413C332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FC483E">
        <w:rPr>
          <w:rFonts w:eastAsia="Times New Roman"/>
          <w:bCs/>
          <w:iCs/>
          <w:kern w:val="0"/>
          <w14:ligatures w14:val="none"/>
        </w:rPr>
        <w:t>MINIRIN 240 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mikrogramų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yra baltas, apvalus geriamasis </w:t>
      </w:r>
      <w:proofErr w:type="spellStart"/>
      <w:r w:rsidRPr="00FC483E">
        <w:rPr>
          <w:rFonts w:eastAsia="Times New Roman"/>
          <w:bCs/>
          <w:iCs/>
          <w:kern w:val="0"/>
          <w14:ligatures w14:val="none"/>
        </w:rPr>
        <w:t>liofilizatas</w:t>
      </w:r>
      <w:proofErr w:type="spellEnd"/>
      <w:r w:rsidRPr="00FC483E">
        <w:rPr>
          <w:rFonts w:eastAsia="Times New Roman"/>
          <w:bCs/>
          <w:iCs/>
          <w:kern w:val="0"/>
          <w14:ligatures w14:val="none"/>
        </w:rPr>
        <w:t xml:space="preserve"> su 3 lašų formos figūra (piešiniu) vienoje pusėje.</w:t>
      </w:r>
    </w:p>
    <w:p w14:paraId="65345032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</w:p>
    <w:p w14:paraId="22F571BF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Aliuminio folijos lizdinėje plokštelėje yra 10 geriamųjų </w:t>
      </w:r>
      <w:proofErr w:type="spellStart"/>
      <w:r w:rsidRPr="00FC483E">
        <w:rPr>
          <w:rFonts w:eastAsia="Times New Roman"/>
          <w:kern w:val="0"/>
          <w14:ligatures w14:val="none"/>
        </w:rPr>
        <w:t>liofilizatų</w:t>
      </w:r>
      <w:proofErr w:type="spellEnd"/>
      <w:r w:rsidRPr="00FC483E">
        <w:rPr>
          <w:rFonts w:eastAsia="Times New Roman"/>
          <w:kern w:val="0"/>
          <w14:ligatures w14:val="none"/>
        </w:rPr>
        <w:t>.</w:t>
      </w:r>
    </w:p>
    <w:p w14:paraId="3D196F39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Pakuotėje yra 30 arba 100 geriamųjų </w:t>
      </w:r>
      <w:proofErr w:type="spellStart"/>
      <w:r w:rsidRPr="00FC483E">
        <w:rPr>
          <w:rFonts w:eastAsia="Times New Roman"/>
          <w:kern w:val="0"/>
          <w14:ligatures w14:val="none"/>
        </w:rPr>
        <w:t>liofilizatų</w:t>
      </w:r>
      <w:proofErr w:type="spellEnd"/>
      <w:r w:rsidRPr="00FC483E">
        <w:rPr>
          <w:rFonts w:eastAsia="Times New Roman"/>
          <w:kern w:val="0"/>
          <w14:ligatures w14:val="none"/>
        </w:rPr>
        <w:t>.</w:t>
      </w:r>
    </w:p>
    <w:p w14:paraId="13CCB873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Gali būti tiekiamos ne visų dydžių pakuotės.</w:t>
      </w:r>
    </w:p>
    <w:p w14:paraId="2FCCC5FB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5DD3FC7B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  <w:r w:rsidRPr="00FC483E">
        <w:rPr>
          <w:rFonts w:eastAsia="Times New Roman"/>
          <w:b/>
          <w:iCs/>
          <w:kern w:val="0"/>
          <w14:ligatures w14:val="none"/>
        </w:rPr>
        <w:t>Registruotojas ir gamintojas</w:t>
      </w:r>
    </w:p>
    <w:p w14:paraId="2889F3C5" w14:textId="77777777" w:rsidR="00FC483E" w:rsidRPr="00FC483E" w:rsidRDefault="00FC483E" w:rsidP="00FC483E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FC483E">
        <w:rPr>
          <w:rFonts w:eastAsia="Times New Roman"/>
          <w:kern w:val="0"/>
          <w14:ligatures w14:val="none"/>
        </w:rPr>
        <w:t>Ferring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</w:t>
      </w:r>
      <w:proofErr w:type="spellStart"/>
      <w:r w:rsidRPr="00FC483E">
        <w:rPr>
          <w:rFonts w:eastAsia="Times New Roman"/>
          <w:kern w:val="0"/>
          <w14:ligatures w14:val="none"/>
        </w:rPr>
        <w:t>GmbH</w:t>
      </w:r>
      <w:proofErr w:type="spellEnd"/>
    </w:p>
    <w:p w14:paraId="4F59946C" w14:textId="77777777" w:rsidR="00FC483E" w:rsidRPr="00FC483E" w:rsidRDefault="00FC483E" w:rsidP="00FC483E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FC483E">
        <w:rPr>
          <w:rFonts w:eastAsia="Times New Roman"/>
          <w:kern w:val="0"/>
          <w14:ligatures w14:val="none"/>
        </w:rPr>
        <w:t>Wittland</w:t>
      </w:r>
      <w:proofErr w:type="spellEnd"/>
      <w:r w:rsidRPr="00FC483E">
        <w:rPr>
          <w:rFonts w:eastAsia="Times New Roman"/>
          <w:kern w:val="0"/>
          <w14:ligatures w14:val="none"/>
        </w:rPr>
        <w:t xml:space="preserve"> 11</w:t>
      </w:r>
    </w:p>
    <w:p w14:paraId="3A9FD47E" w14:textId="77777777" w:rsidR="00FC483E" w:rsidRPr="00FC483E" w:rsidRDefault="00FC483E" w:rsidP="00FC483E">
      <w:pPr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 xml:space="preserve">D-24109 </w:t>
      </w:r>
      <w:proofErr w:type="spellStart"/>
      <w:r w:rsidRPr="00FC483E">
        <w:rPr>
          <w:rFonts w:eastAsia="Times New Roman"/>
          <w:kern w:val="0"/>
          <w14:ligatures w14:val="none"/>
        </w:rPr>
        <w:t>Kiel</w:t>
      </w:r>
      <w:proofErr w:type="spellEnd"/>
    </w:p>
    <w:p w14:paraId="20A7B6C6" w14:textId="77777777" w:rsidR="00FC483E" w:rsidRPr="00FC483E" w:rsidRDefault="00FC483E" w:rsidP="00FC483E">
      <w:pPr>
        <w:spacing w:after="0" w:line="240" w:lineRule="auto"/>
        <w:rPr>
          <w:rFonts w:eastAsia="Times New Roman"/>
          <w:kern w:val="0"/>
          <w14:ligatures w14:val="none"/>
        </w:rPr>
      </w:pPr>
      <w:r w:rsidRPr="00FC483E">
        <w:rPr>
          <w:rFonts w:eastAsia="Times New Roman"/>
          <w:kern w:val="0"/>
          <w14:ligatures w14:val="none"/>
        </w:rPr>
        <w:t>Vokietija</w:t>
      </w:r>
    </w:p>
    <w:p w14:paraId="5D1B8AF7" w14:textId="77777777" w:rsidR="00FC483E" w:rsidRPr="00FC483E" w:rsidRDefault="00FC483E" w:rsidP="00FC483E">
      <w:pPr>
        <w:tabs>
          <w:tab w:val="left" w:pos="-142"/>
          <w:tab w:val="num" w:pos="0"/>
          <w:tab w:val="left" w:pos="567"/>
        </w:tabs>
        <w:spacing w:after="0" w:line="240" w:lineRule="auto"/>
        <w:jc w:val="both"/>
        <w:rPr>
          <w:rFonts w:eastAsia="Times New Roman"/>
          <w:iCs/>
          <w:kern w:val="0"/>
          <w14:ligatures w14:val="none"/>
        </w:rPr>
      </w:pPr>
    </w:p>
    <w:p w14:paraId="04AF190D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/>
          <w:bCs/>
          <w:iCs/>
          <w:kern w:val="0"/>
          <w14:ligatures w14:val="none"/>
        </w:rPr>
      </w:pPr>
      <w:r w:rsidRPr="00FC483E">
        <w:rPr>
          <w:rFonts w:eastAsia="Times New Roman"/>
          <w:b/>
          <w:bCs/>
          <w:iCs/>
          <w:kern w:val="0"/>
          <w14:ligatures w14:val="none"/>
        </w:rPr>
        <w:t>Šis pakuotės lapelis paskutinį kartą peržiūrėtas 2026-08-31.</w:t>
      </w:r>
    </w:p>
    <w:p w14:paraId="4C60A9BD" w14:textId="77777777" w:rsidR="00FC483E" w:rsidRPr="00FC483E" w:rsidRDefault="00FC483E" w:rsidP="00FC483E">
      <w:pPr>
        <w:tabs>
          <w:tab w:val="left" w:pos="-142"/>
          <w:tab w:val="left" w:pos="567"/>
        </w:tabs>
        <w:spacing w:after="0" w:line="240" w:lineRule="auto"/>
        <w:rPr>
          <w:rFonts w:eastAsia="Times New Roman"/>
          <w:bCs/>
          <w:iCs/>
          <w:kern w:val="0"/>
          <w14:ligatures w14:val="none"/>
        </w:rPr>
      </w:pPr>
    </w:p>
    <w:p w14:paraId="335CA355" w14:textId="77777777" w:rsidR="00FC483E" w:rsidRPr="00FC483E" w:rsidRDefault="00FC483E" w:rsidP="00FC483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eastAsia="Times New Roman"/>
          <w:snapToGrid w:val="0"/>
          <w:kern w:val="0"/>
          <w14:ligatures w14:val="none"/>
        </w:rPr>
      </w:pPr>
      <w:r w:rsidRPr="00FC483E">
        <w:rPr>
          <w:rFonts w:eastAsia="Times New Roman"/>
          <w:snapToGrid w:val="0"/>
          <w:kern w:val="0"/>
          <w14:ligatures w14:val="none"/>
        </w:rPr>
        <w:t>Išsami informacija apie šį vaistą pateikiama Valstybinės vaistų kontrolės tarnybos prie Lietuvos Respublikos sveikatos apsaugos ministerijos tinklalapyje</w:t>
      </w:r>
      <w:r w:rsidRPr="00FC483E">
        <w:rPr>
          <w:rFonts w:eastAsia="Times New Roman"/>
          <w:b/>
          <w:i/>
          <w:kern w:val="0"/>
          <w:szCs w:val="20"/>
          <w14:ligatures w14:val="none"/>
        </w:rPr>
        <w:t xml:space="preserve"> </w:t>
      </w:r>
      <w:r w:rsidRPr="00FC483E">
        <w:rPr>
          <w:rFonts w:eastAsia="Times New Roman"/>
          <w:bCs/>
          <w:iCs/>
          <w:color w:val="0000EE"/>
          <w:kern w:val="0"/>
          <w:u w:val="single"/>
          <w14:ligatures w14:val="none"/>
        </w:rPr>
        <w:t>https://vvkt.lrv.lt/lt/</w:t>
      </w:r>
      <w:r w:rsidRPr="00FC483E">
        <w:rPr>
          <w:rFonts w:eastAsia="Times New Roman"/>
          <w:bCs/>
          <w:iCs/>
          <w:snapToGrid w:val="0"/>
          <w:kern w:val="0"/>
          <w14:ligatures w14:val="none"/>
        </w:rPr>
        <w:t>.</w:t>
      </w:r>
    </w:p>
    <w:p w14:paraId="28EB4C6C" w14:textId="77777777" w:rsidR="00222FED" w:rsidRDefault="00222FED"/>
    <w:sectPr w:rsidR="00222FED" w:rsidSect="00EC0D97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6882"/>
    <w:multiLevelType w:val="hybridMultilevel"/>
    <w:tmpl w:val="287EC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9022D"/>
    <w:multiLevelType w:val="hybridMultilevel"/>
    <w:tmpl w:val="2BFCBD1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2" w15:restartNumberingAfterBreak="0">
    <w:nsid w:val="28475CE3"/>
    <w:multiLevelType w:val="hybridMultilevel"/>
    <w:tmpl w:val="5D10C47C"/>
    <w:lvl w:ilvl="0" w:tplc="B824F1F8">
      <w:start w:val="2"/>
      <w:numFmt w:val="bullet"/>
      <w:lvlText w:val="-"/>
      <w:lvlJc w:val="left"/>
      <w:pPr>
        <w:tabs>
          <w:tab w:val="num" w:pos="567"/>
        </w:tabs>
        <w:ind w:left="567" w:hanging="567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8794993"/>
    <w:multiLevelType w:val="hybridMultilevel"/>
    <w:tmpl w:val="3AFA0D38"/>
    <w:lvl w:ilvl="0" w:tplc="0427000F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 w15:restartNumberingAfterBreak="0">
    <w:nsid w:val="7447227E"/>
    <w:multiLevelType w:val="hybridMultilevel"/>
    <w:tmpl w:val="016CF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979387">
    <w:abstractNumId w:val="1"/>
  </w:num>
  <w:num w:numId="2" w16cid:durableId="419523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482208">
    <w:abstractNumId w:val="0"/>
  </w:num>
  <w:num w:numId="4" w16cid:durableId="503667770">
    <w:abstractNumId w:val="3"/>
  </w:num>
  <w:num w:numId="5" w16cid:durableId="226963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3E"/>
    <w:rsid w:val="000529D0"/>
    <w:rsid w:val="00222FED"/>
    <w:rsid w:val="005F173E"/>
    <w:rsid w:val="008B3AD4"/>
    <w:rsid w:val="00984A0A"/>
    <w:rsid w:val="00D047C4"/>
    <w:rsid w:val="00EC0D97"/>
    <w:rsid w:val="00FC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C7B9"/>
  <w15:chartTrackingRefBased/>
  <w15:docId w15:val="{04DFBC2F-6F27-4FE1-9BD3-AF32A39E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C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C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C48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48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48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48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48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48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48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C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C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C48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48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48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48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48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48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483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48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48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483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C483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C483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483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C48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8450</Words>
  <Characters>4818</Characters>
  <Application>Microsoft Office Word</Application>
  <DocSecurity>0</DocSecurity>
  <Lines>40</Lines>
  <Paragraphs>26</Paragraphs>
  <ScaleCrop>false</ScaleCrop>
  <Company/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2026-09-01T06:12:00Z</dcterms:created>
  <dcterms:modified xsi:type="dcterms:W3CDTF">2026-09-01T06:13:00Z</dcterms:modified>
</cp:coreProperties>
</file>