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A0" w:rsidRPr="00790D56" w:rsidRDefault="00F248A0" w:rsidP="00F248A0">
      <w:pPr>
        <w:jc w:val="center"/>
      </w:pPr>
      <w:r w:rsidRPr="00F17A91">
        <w:rPr>
          <w:i w:val="0"/>
        </w:rPr>
        <w:t>Pakuotės lapelis: informacija vartotojui</w:t>
      </w:r>
    </w:p>
    <w:p w:rsidR="00F248A0" w:rsidRPr="004336DD" w:rsidRDefault="00F248A0" w:rsidP="00F248A0">
      <w:pPr>
        <w:pStyle w:val="Antrat2"/>
      </w:pPr>
    </w:p>
    <w:p w:rsidR="00F248A0" w:rsidRPr="00F65A4B" w:rsidRDefault="00F248A0" w:rsidP="00F248A0">
      <w:pPr>
        <w:tabs>
          <w:tab w:val="left" w:pos="567"/>
        </w:tabs>
        <w:jc w:val="center"/>
        <w:rPr>
          <w:i w:val="0"/>
          <w:szCs w:val="22"/>
        </w:rPr>
      </w:pPr>
      <w:r w:rsidRPr="00F65A4B">
        <w:rPr>
          <w:i w:val="0"/>
          <w:szCs w:val="22"/>
        </w:rPr>
        <w:t>MINIRIN 60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:rsidR="00F248A0" w:rsidRPr="00F65A4B" w:rsidRDefault="00F248A0" w:rsidP="00F248A0">
      <w:pPr>
        <w:tabs>
          <w:tab w:val="left" w:pos="567"/>
        </w:tabs>
        <w:jc w:val="center"/>
        <w:rPr>
          <w:i w:val="0"/>
          <w:iCs/>
          <w:szCs w:val="22"/>
        </w:rPr>
      </w:pPr>
      <w:r w:rsidRPr="00F65A4B">
        <w:rPr>
          <w:i w:val="0"/>
          <w:szCs w:val="22"/>
        </w:rPr>
        <w:t>MINIRIN 120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:rsidR="00F248A0" w:rsidRPr="00F65A4B" w:rsidRDefault="00F248A0" w:rsidP="00F248A0">
      <w:pPr>
        <w:tabs>
          <w:tab w:val="left" w:pos="567"/>
        </w:tabs>
        <w:jc w:val="center"/>
        <w:rPr>
          <w:i w:val="0"/>
          <w:iCs/>
          <w:szCs w:val="22"/>
        </w:rPr>
      </w:pPr>
      <w:r w:rsidRPr="00F65A4B">
        <w:rPr>
          <w:i w:val="0"/>
          <w:szCs w:val="22"/>
        </w:rPr>
        <w:t>MINIRIN 240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:rsidR="00F248A0" w:rsidRPr="00F65A4B" w:rsidRDefault="00F248A0" w:rsidP="00F248A0">
      <w:pPr>
        <w:tabs>
          <w:tab w:val="left" w:pos="567"/>
        </w:tabs>
        <w:jc w:val="center"/>
        <w:rPr>
          <w:b w:val="0"/>
          <w:i w:val="0"/>
          <w:iCs/>
          <w:szCs w:val="22"/>
        </w:rPr>
      </w:pPr>
      <w:proofErr w:type="spellStart"/>
      <w:r w:rsidRPr="00F65A4B">
        <w:rPr>
          <w:b w:val="0"/>
          <w:i w:val="0"/>
          <w:iCs/>
          <w:szCs w:val="22"/>
        </w:rPr>
        <w:t>Desmopresinas</w:t>
      </w:r>
      <w:proofErr w:type="spellEnd"/>
    </w:p>
    <w:p w:rsidR="00F248A0" w:rsidRPr="00F65A4B" w:rsidRDefault="00F248A0" w:rsidP="00F248A0">
      <w:pPr>
        <w:tabs>
          <w:tab w:val="left" w:pos="567"/>
        </w:tabs>
        <w:rPr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567"/>
        </w:tabs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Atidžiai perskaitykite visą šį lapelį, prieš pradėdami vartoti vaistą, nes jame pateikiama Jums svarbi informacija.</w:t>
      </w:r>
    </w:p>
    <w:p w:rsidR="00F248A0" w:rsidRPr="00F65A4B" w:rsidRDefault="00F248A0" w:rsidP="00F248A0">
      <w:pPr>
        <w:numPr>
          <w:ilvl w:val="0"/>
          <w:numId w:val="2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Neišmeskite šio lapelio, nes vėl gali prireikti jį perskaityti.</w:t>
      </w:r>
    </w:p>
    <w:p w:rsidR="00F248A0" w:rsidRPr="00F65A4B" w:rsidRDefault="00F248A0" w:rsidP="00F248A0">
      <w:pPr>
        <w:numPr>
          <w:ilvl w:val="0"/>
          <w:numId w:val="2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Jeigu kiltų daugiau klausimų, kreipkitės į gydytoją arba vaistininką.</w:t>
      </w:r>
    </w:p>
    <w:p w:rsidR="00F248A0" w:rsidRPr="00F65A4B" w:rsidRDefault="00F248A0" w:rsidP="00F248A0">
      <w:pPr>
        <w:numPr>
          <w:ilvl w:val="0"/>
          <w:numId w:val="2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F248A0" w:rsidRPr="00F65A4B" w:rsidRDefault="00F248A0" w:rsidP="00F248A0">
      <w:pPr>
        <w:numPr>
          <w:ilvl w:val="0"/>
          <w:numId w:val="2"/>
        </w:numPr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Jeigu pasireiškė šalutinis poveikis (net jeigu jis šiame lapelyje nenurodytas), kreipkitės į gydytoją arba vaistininką. Žr. 4 skyrių.</w:t>
      </w:r>
    </w:p>
    <w:p w:rsidR="00F248A0" w:rsidRPr="00F65A4B" w:rsidRDefault="00F248A0" w:rsidP="00F248A0">
      <w:pPr>
        <w:tabs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4"/>
        <w:rPr>
          <w:i w:val="0"/>
          <w:sz w:val="22"/>
          <w:szCs w:val="22"/>
        </w:rPr>
      </w:pPr>
      <w:r w:rsidRPr="00F65A4B">
        <w:rPr>
          <w:i w:val="0"/>
          <w:sz w:val="22"/>
          <w:szCs w:val="22"/>
        </w:rPr>
        <w:t>Apie ką rašoma šiame lapelyje?</w:t>
      </w:r>
    </w:p>
    <w:p w:rsidR="00F248A0" w:rsidRPr="00F17A91" w:rsidRDefault="00F248A0" w:rsidP="00F248A0">
      <w:pPr>
        <w:numPr>
          <w:ilvl w:val="12"/>
          <w:numId w:val="0"/>
        </w:numPr>
        <w:ind w:right="-2"/>
        <w:rPr>
          <w:b w:val="0"/>
          <w:i w:val="0"/>
          <w:szCs w:val="22"/>
        </w:rPr>
      </w:pP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Kas yra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ir kam jis vartojamas</w:t>
      </w: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Kas žinotina prieš vartojant MINIRIN</w:t>
      </w: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Kaip vartoti MINIRIN</w:t>
      </w: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Galimas šalutinis poveikis</w:t>
      </w: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Kaip laikyti MINIRIN</w:t>
      </w:r>
    </w:p>
    <w:p w:rsidR="00F248A0" w:rsidRPr="00F65A4B" w:rsidRDefault="00F248A0" w:rsidP="00F248A0">
      <w:pPr>
        <w:numPr>
          <w:ilvl w:val="0"/>
          <w:numId w:val="1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Pakuotės turinys ir kita informacija</w:t>
      </w:r>
    </w:p>
    <w:p w:rsidR="00F248A0" w:rsidRPr="00F17A91" w:rsidRDefault="00F248A0" w:rsidP="00F248A0">
      <w:pPr>
        <w:tabs>
          <w:tab w:val="left" w:pos="567"/>
        </w:tabs>
        <w:jc w:val="both"/>
        <w:rPr>
          <w:b w:val="0"/>
          <w:i w:val="0"/>
          <w:szCs w:val="22"/>
        </w:rPr>
      </w:pPr>
    </w:p>
    <w:p w:rsidR="00F248A0" w:rsidRPr="00F17A91" w:rsidRDefault="00F248A0" w:rsidP="00F248A0">
      <w:pPr>
        <w:tabs>
          <w:tab w:val="left" w:pos="-142"/>
          <w:tab w:val="left" w:pos="567"/>
        </w:tabs>
        <w:jc w:val="both"/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keepNext/>
        <w:tabs>
          <w:tab w:val="left" w:pos="567"/>
        </w:tabs>
        <w:jc w:val="both"/>
        <w:outlineLvl w:val="3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1.</w:t>
      </w:r>
      <w:r w:rsidRPr="00F65A4B">
        <w:rPr>
          <w:bCs/>
          <w:i w:val="0"/>
          <w:snapToGrid w:val="0"/>
          <w:szCs w:val="22"/>
        </w:rPr>
        <w:tab/>
        <w:t>Kas yra MINIRIN ir kam jis vartojamas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MINIRIN sudedamoji dalis dėl kurios tabletės veikia (veiklioji medžiaga) yra vadinama </w:t>
      </w:r>
      <w:proofErr w:type="spellStart"/>
      <w:r w:rsidRPr="00F65A4B">
        <w:rPr>
          <w:sz w:val="22"/>
          <w:szCs w:val="22"/>
        </w:rPr>
        <w:t>desmopresinu</w:t>
      </w:r>
      <w:proofErr w:type="spellEnd"/>
      <w:r w:rsidRPr="00F65A4B">
        <w:rPr>
          <w:sz w:val="22"/>
          <w:szCs w:val="22"/>
        </w:rPr>
        <w:t xml:space="preserve">. </w:t>
      </w:r>
      <w:proofErr w:type="spellStart"/>
      <w:r w:rsidRPr="00F65A4B">
        <w:rPr>
          <w:sz w:val="22"/>
          <w:szCs w:val="22"/>
        </w:rPr>
        <w:t>Desmopresinas</w:t>
      </w:r>
      <w:proofErr w:type="spellEnd"/>
      <w:r w:rsidRPr="00F65A4B">
        <w:rPr>
          <w:sz w:val="22"/>
          <w:szCs w:val="22"/>
        </w:rPr>
        <w:t xml:space="preserve"> yra vaistas, mažinantis inkstuose gaminamo šlapimo kiekį.</w:t>
      </w: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sz w:val="22"/>
          <w:szCs w:val="22"/>
        </w:rPr>
      </w:pP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sz w:val="22"/>
          <w:szCs w:val="22"/>
        </w:rPr>
        <w:t>MINIRIN</w:t>
      </w:r>
      <w:r>
        <w:rPr>
          <w:sz w:val="22"/>
          <w:szCs w:val="22"/>
        </w:rPr>
        <w:t xml:space="preserve"> </w:t>
      </w:r>
      <w:r w:rsidRPr="00F65A4B">
        <w:rPr>
          <w:iCs/>
          <w:sz w:val="22"/>
          <w:szCs w:val="22"/>
        </w:rPr>
        <w:t>gydomos šios ligos:</w:t>
      </w: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>Centrinės kilmės necukrinis diabetas</w:t>
      </w: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 xml:space="preserve">Pirminė naktinė </w:t>
      </w:r>
      <w:proofErr w:type="spellStart"/>
      <w:r w:rsidRPr="00F65A4B">
        <w:rPr>
          <w:iCs/>
          <w:sz w:val="22"/>
          <w:szCs w:val="22"/>
        </w:rPr>
        <w:t>enurezė</w:t>
      </w:r>
      <w:proofErr w:type="spellEnd"/>
      <w:r w:rsidRPr="00F65A4B">
        <w:rPr>
          <w:iCs/>
          <w:sz w:val="22"/>
          <w:szCs w:val="22"/>
        </w:rPr>
        <w:t xml:space="preserve"> (pirminis naktinio šlapimo nelaikymas) 5 metų ir vyresnių pacientų, kurių gebėjimas koncentruoti šlapimą yra normalus.</w:t>
      </w: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proofErr w:type="spellStart"/>
      <w:r w:rsidRPr="00F65A4B">
        <w:rPr>
          <w:iCs/>
          <w:sz w:val="22"/>
          <w:szCs w:val="22"/>
        </w:rPr>
        <w:t>Simtominė</w:t>
      </w:r>
      <w:proofErr w:type="spellEnd"/>
      <w:r w:rsidRPr="00F65A4B">
        <w:rPr>
          <w:iCs/>
          <w:sz w:val="22"/>
          <w:szCs w:val="22"/>
        </w:rPr>
        <w:t xml:space="preserve"> suaugusiųjų </w:t>
      </w:r>
      <w:proofErr w:type="spellStart"/>
      <w:r w:rsidRPr="00F65A4B">
        <w:rPr>
          <w:iCs/>
          <w:sz w:val="22"/>
          <w:szCs w:val="22"/>
        </w:rPr>
        <w:t>nikturija</w:t>
      </w:r>
      <w:proofErr w:type="spellEnd"/>
      <w:r w:rsidRPr="00F65A4B">
        <w:rPr>
          <w:iCs/>
          <w:sz w:val="22"/>
          <w:szCs w:val="22"/>
        </w:rPr>
        <w:t xml:space="preserve"> (dažnas naktinis </w:t>
      </w:r>
      <w:proofErr w:type="spellStart"/>
      <w:r w:rsidRPr="00F65A4B">
        <w:rPr>
          <w:iCs/>
          <w:sz w:val="22"/>
          <w:szCs w:val="22"/>
        </w:rPr>
        <w:t>šlapinimasis</w:t>
      </w:r>
      <w:proofErr w:type="spellEnd"/>
      <w:r w:rsidRPr="00F65A4B">
        <w:rPr>
          <w:iCs/>
          <w:sz w:val="22"/>
          <w:szCs w:val="22"/>
        </w:rPr>
        <w:t xml:space="preserve">), susijusi su naktine </w:t>
      </w:r>
      <w:proofErr w:type="spellStart"/>
      <w:r w:rsidRPr="00F65A4B">
        <w:rPr>
          <w:iCs/>
          <w:sz w:val="22"/>
          <w:szCs w:val="22"/>
        </w:rPr>
        <w:t>poliurija</w:t>
      </w:r>
      <w:proofErr w:type="spellEnd"/>
      <w:r w:rsidRPr="00F65A4B">
        <w:rPr>
          <w:iCs/>
          <w:sz w:val="22"/>
          <w:szCs w:val="22"/>
        </w:rPr>
        <w:t xml:space="preserve"> (gausiu </w:t>
      </w:r>
      <w:proofErr w:type="spellStart"/>
      <w:r w:rsidRPr="00F65A4B">
        <w:rPr>
          <w:iCs/>
          <w:sz w:val="22"/>
          <w:szCs w:val="22"/>
        </w:rPr>
        <w:t>šlapinimusi</w:t>
      </w:r>
      <w:proofErr w:type="spellEnd"/>
      <w:r w:rsidRPr="00F65A4B">
        <w:rPr>
          <w:iCs/>
          <w:sz w:val="22"/>
          <w:szCs w:val="22"/>
        </w:rPr>
        <w:t>), kai nakties šlapimo gamyba yra didesnė nei šlapimo pūslės talpa.</w:t>
      </w:r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</w:p>
    <w:p w:rsidR="00F248A0" w:rsidRPr="00F17A91" w:rsidRDefault="00F248A0" w:rsidP="00F248A0">
      <w:pPr>
        <w:tabs>
          <w:tab w:val="left" w:pos="-142"/>
          <w:tab w:val="left" w:pos="567"/>
          <w:tab w:val="left" w:pos="3408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keepNext/>
        <w:tabs>
          <w:tab w:val="left" w:pos="567"/>
        </w:tabs>
        <w:jc w:val="both"/>
        <w:outlineLvl w:val="3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2.</w:t>
      </w:r>
      <w:r w:rsidRPr="00F65A4B">
        <w:rPr>
          <w:bCs/>
          <w:i w:val="0"/>
          <w:snapToGrid w:val="0"/>
          <w:szCs w:val="22"/>
        </w:rPr>
        <w:tab/>
        <w:t>Kas žinotina prieš vartojant MINIRIN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  <w:tab w:val="left" w:pos="3408"/>
        </w:tabs>
        <w:rPr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i w:val="0"/>
          <w:iCs/>
          <w:szCs w:val="22"/>
        </w:rPr>
      </w:pPr>
      <w:r w:rsidRPr="00F65A4B">
        <w:rPr>
          <w:i w:val="0"/>
          <w:szCs w:val="22"/>
        </w:rPr>
        <w:t>MINIRIN</w:t>
      </w:r>
      <w:r w:rsidRPr="00F65A4B">
        <w:rPr>
          <w:i w:val="0"/>
          <w:iCs/>
          <w:szCs w:val="22"/>
        </w:rPr>
        <w:t xml:space="preserve"> vartoti negalima:</w:t>
      </w:r>
    </w:p>
    <w:p w:rsidR="00F248A0" w:rsidRPr="00F65A4B" w:rsidRDefault="00F248A0" w:rsidP="00F248A0">
      <w:pPr>
        <w:tabs>
          <w:tab w:val="num" w:pos="0"/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-</w:t>
      </w:r>
      <w:r w:rsidRPr="00F65A4B">
        <w:rPr>
          <w:b w:val="0"/>
          <w:bCs/>
          <w:i w:val="0"/>
          <w:iCs/>
          <w:szCs w:val="22"/>
        </w:rPr>
        <w:tab/>
        <w:t>jeigu yra alergija veikliajai medžiagai arba bet kuriai pagalbinei šio vaisto medžiagai (jos išvardytos 6 skyriuje);</w:t>
      </w:r>
    </w:p>
    <w:p w:rsidR="00F248A0" w:rsidRPr="00F65A4B" w:rsidRDefault="00F248A0" w:rsidP="00F248A0">
      <w:pPr>
        <w:tabs>
          <w:tab w:val="num" w:pos="0"/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-</w:t>
      </w:r>
      <w:r w:rsidRPr="00F65A4B">
        <w:rPr>
          <w:b w:val="0"/>
          <w:bCs/>
          <w:i w:val="0"/>
          <w:iCs/>
          <w:szCs w:val="22"/>
        </w:rPr>
        <w:tab/>
        <w:t>jeigu sergate kokia nors iš žemiau išvardytų ligų ar būklių:</w:t>
      </w:r>
    </w:p>
    <w:p w:rsidR="00F248A0" w:rsidRPr="00F65A4B" w:rsidRDefault="00F248A0" w:rsidP="00F248A0">
      <w:pPr>
        <w:pStyle w:val="Antrats"/>
        <w:numPr>
          <w:ilvl w:val="0"/>
          <w:numId w:val="3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nuolatinė ar psichinės kilmės </w:t>
      </w:r>
      <w:proofErr w:type="spellStart"/>
      <w:r w:rsidRPr="00F65A4B">
        <w:rPr>
          <w:b w:val="0"/>
          <w:bCs/>
          <w:i w:val="0"/>
          <w:iCs/>
          <w:szCs w:val="22"/>
        </w:rPr>
        <w:t>polidipsija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(troškulys), dėl kurio šlapimo išsiskyrimas viršija 40 ml/kg/24 val.;</w:t>
      </w:r>
    </w:p>
    <w:p w:rsidR="00F248A0" w:rsidRPr="00F65A4B" w:rsidRDefault="00F248A0" w:rsidP="00F248A0">
      <w:pPr>
        <w:pStyle w:val="Antrats"/>
        <w:numPr>
          <w:ilvl w:val="0"/>
          <w:numId w:val="3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anksčiau buvęs ar įtariamas širdies nepakankamumas ar kita būklė, kai reikalingas gydymas diuretikais ( šlapimo išsiskyrimą didinančiais vaistais);</w:t>
      </w:r>
    </w:p>
    <w:p w:rsidR="00F248A0" w:rsidRPr="00F65A4B" w:rsidRDefault="00F248A0" w:rsidP="00F248A0">
      <w:pPr>
        <w:pStyle w:val="Antrats"/>
        <w:numPr>
          <w:ilvl w:val="0"/>
          <w:numId w:val="3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vidutinio sunkumo ar sunkus inkstų nepakankamumas (</w:t>
      </w:r>
      <w:proofErr w:type="spellStart"/>
      <w:r w:rsidRPr="00F65A4B">
        <w:rPr>
          <w:b w:val="0"/>
          <w:bCs/>
          <w:i w:val="0"/>
          <w:iCs/>
          <w:szCs w:val="22"/>
        </w:rPr>
        <w:t>kreatinino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klirensas mažesnis kaip 50 ml/min.);</w:t>
      </w:r>
    </w:p>
    <w:p w:rsidR="00F248A0" w:rsidRPr="00F65A4B" w:rsidRDefault="00F248A0" w:rsidP="00F248A0">
      <w:pPr>
        <w:pStyle w:val="Antrats"/>
        <w:numPr>
          <w:ilvl w:val="0"/>
          <w:numId w:val="3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(pernelyg mažas natrio kiekis kraujyje);</w:t>
      </w:r>
    </w:p>
    <w:p w:rsidR="00F248A0" w:rsidRPr="00F65A4B" w:rsidRDefault="00F248A0" w:rsidP="00F248A0">
      <w:pPr>
        <w:pStyle w:val="Antrats"/>
        <w:numPr>
          <w:ilvl w:val="0"/>
          <w:numId w:val="3"/>
        </w:numPr>
        <w:tabs>
          <w:tab w:val="clear" w:pos="4153"/>
          <w:tab w:val="left" w:pos="-142"/>
          <w:tab w:val="left" w:pos="851"/>
        </w:tabs>
        <w:ind w:left="851" w:hanging="491"/>
        <w:rPr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netinkama ADH (</w:t>
      </w:r>
      <w:proofErr w:type="spellStart"/>
      <w:r w:rsidRPr="00F65A4B">
        <w:rPr>
          <w:b w:val="0"/>
          <w:bCs/>
          <w:i w:val="0"/>
          <w:iCs/>
          <w:szCs w:val="22"/>
        </w:rPr>
        <w:t>antidiuretinio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hormono) sekrecija</w:t>
      </w:r>
      <w:r w:rsidRPr="00F65A4B">
        <w:rPr>
          <w:b w:val="0"/>
          <w:i w:val="0"/>
          <w:iCs/>
          <w:szCs w:val="22"/>
        </w:rPr>
        <w:t>;</w:t>
      </w:r>
    </w:p>
    <w:p w:rsidR="00F248A0" w:rsidRPr="00F65A4B" w:rsidRDefault="00F248A0" w:rsidP="00F248A0">
      <w:pPr>
        <w:numPr>
          <w:ilvl w:val="0"/>
          <w:numId w:val="3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lastRenderedPageBreak/>
        <w:t xml:space="preserve">jeigu esate vyresnis kaip 65 metų, o vaisto vartojama pirminiam naktiniam šlapimo nelaikymui ar naktiniam </w:t>
      </w:r>
      <w:proofErr w:type="spellStart"/>
      <w:r w:rsidRPr="00F65A4B">
        <w:rPr>
          <w:b w:val="0"/>
          <w:i w:val="0"/>
          <w:szCs w:val="22"/>
        </w:rPr>
        <w:t>šlapinimuisi</w:t>
      </w:r>
      <w:proofErr w:type="spellEnd"/>
      <w:r w:rsidRPr="00F65A4B">
        <w:rPr>
          <w:b w:val="0"/>
          <w:i w:val="0"/>
          <w:szCs w:val="22"/>
        </w:rPr>
        <w:t xml:space="preserve"> gydyti;</w:t>
      </w:r>
    </w:p>
    <w:p w:rsidR="00F248A0" w:rsidRPr="00F65A4B" w:rsidRDefault="00F248A0" w:rsidP="00F248A0">
      <w:pPr>
        <w:numPr>
          <w:ilvl w:val="0"/>
          <w:numId w:val="3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jeigu preparato vartojama pirminiam naktiniam šlapimo nelaikymui ar naktiniam </w:t>
      </w:r>
      <w:proofErr w:type="spellStart"/>
      <w:r w:rsidRPr="00F65A4B">
        <w:rPr>
          <w:b w:val="0"/>
          <w:i w:val="0"/>
          <w:szCs w:val="22"/>
        </w:rPr>
        <w:t>šlapinimuisi</w:t>
      </w:r>
      <w:proofErr w:type="spellEnd"/>
      <w:r w:rsidRPr="00F65A4B">
        <w:rPr>
          <w:b w:val="0"/>
          <w:i w:val="0"/>
          <w:szCs w:val="22"/>
        </w:rPr>
        <w:t xml:space="preserve"> gydyti ir yra padidėjęs kraujo spaudimas;</w:t>
      </w:r>
    </w:p>
    <w:p w:rsidR="00F248A0" w:rsidRPr="00F65A4B" w:rsidRDefault="00F248A0" w:rsidP="00F248A0">
      <w:pPr>
        <w:numPr>
          <w:ilvl w:val="0"/>
          <w:numId w:val="3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jeigu vartojate neįprastai daug gėrimų, įskaitant alkoholinius.</w:t>
      </w:r>
    </w:p>
    <w:p w:rsidR="00F248A0" w:rsidRPr="00F17A91" w:rsidRDefault="00F248A0" w:rsidP="00F248A0">
      <w:pPr>
        <w:pStyle w:val="Antrats"/>
        <w:tabs>
          <w:tab w:val="left" w:pos="-142"/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s"/>
        <w:tabs>
          <w:tab w:val="left" w:pos="-142"/>
          <w:tab w:val="left" w:pos="567"/>
        </w:tabs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Įspėjimai ir atsargumo priemonės</w:t>
      </w:r>
    </w:p>
    <w:p w:rsidR="00F248A0" w:rsidRPr="00F65A4B" w:rsidRDefault="00F248A0" w:rsidP="00F248A0">
      <w:pPr>
        <w:numPr>
          <w:ilvl w:val="12"/>
          <w:numId w:val="0"/>
        </w:numPr>
        <w:tabs>
          <w:tab w:val="left" w:pos="1296"/>
        </w:tabs>
        <w:snapToGrid w:val="0"/>
        <w:ind w:right="-2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Pasitarkite su gydytoju arba vaistininku, prieš pradėdami vartoti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i w:val="0"/>
          <w:szCs w:val="22"/>
        </w:rPr>
        <w:t>.</w:t>
      </w:r>
    </w:p>
    <w:p w:rsidR="00F248A0" w:rsidRPr="00F17A91" w:rsidRDefault="00F248A0" w:rsidP="00F248A0">
      <w:pPr>
        <w:pStyle w:val="Antrats"/>
        <w:tabs>
          <w:tab w:val="left" w:pos="-142"/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Kai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vartojamas pirminei naktinei </w:t>
      </w:r>
      <w:proofErr w:type="spellStart"/>
      <w:r w:rsidRPr="00F65A4B">
        <w:rPr>
          <w:b w:val="0"/>
          <w:bCs/>
          <w:i w:val="0"/>
          <w:iCs/>
          <w:szCs w:val="22"/>
        </w:rPr>
        <w:t>enurezei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ir </w:t>
      </w:r>
      <w:proofErr w:type="spellStart"/>
      <w:r w:rsidRPr="00F65A4B">
        <w:rPr>
          <w:b w:val="0"/>
          <w:bCs/>
          <w:i w:val="0"/>
          <w:iCs/>
          <w:szCs w:val="22"/>
        </w:rPr>
        <w:t>nikturijai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gydyti, skysčių vartojimą (1 val. prieš vartojant vaisto ir 8 val. po to) būtina apriboti iki minimumo. Jeigu skysčiai neribojami, jų gali kauptis ir (arba) pradės vystytis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>, lydima (ne visuomet) įspėjamųjų požymių (galvos skausmo, pykinimo, vėmimo, svorio prieaugio ir, sunkiais atvejais, traukulių).</w:t>
      </w:r>
    </w:p>
    <w:p w:rsidR="00F248A0" w:rsidRPr="00F65A4B" w:rsidRDefault="00F248A0" w:rsidP="00F248A0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Visi pacientai ir, kai reikia, juos prižiūrintys asmenys, bus informuojami griežtai riboti suvartojamų skysčių kiekį. 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Prieš pradedant gydyti gydytojas norės įsitikinti, ar pacientas neserga sunkiu šlapimo pūslės funkcijos sutrikimu arba šlapimo takų obstrukcija (nepraeinamumu), širdies kraujagyslių ligomis, arterine hipertenzija.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szCs w:val="22"/>
        </w:rPr>
        <w:t>Hiponatremijos</w:t>
      </w:r>
      <w:proofErr w:type="spellEnd"/>
      <w:r w:rsidRPr="00F65A4B">
        <w:rPr>
          <w:b w:val="0"/>
          <w:i w:val="0"/>
          <w:szCs w:val="22"/>
        </w:rPr>
        <w:t xml:space="preserve"> rizika yra didesnė vyresniems žmonėms ir pacientams, kurių natrio koncentracija kraujo serume yra mažesnė nei normali.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Susirgus ligomis, kurių metu sutrinka skysčių ir elektrolitų pusiausvyra (pvz., sisteminėmis infekcijomis, virškinimo trakto uždegimu, karščiuojant), gydymą </w:t>
      </w:r>
      <w:proofErr w:type="spellStart"/>
      <w:r w:rsidRPr="00F65A4B">
        <w:rPr>
          <w:b w:val="0"/>
          <w:i w:val="0"/>
          <w:szCs w:val="22"/>
        </w:rPr>
        <w:t>desmopresinu</w:t>
      </w:r>
      <w:proofErr w:type="spellEnd"/>
      <w:r w:rsidRPr="00F65A4B">
        <w:rPr>
          <w:b w:val="0"/>
          <w:i w:val="0"/>
          <w:szCs w:val="22"/>
        </w:rPr>
        <w:t xml:space="preserve"> reikia nutraukti.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Atsargiai reikia gydyti pacientus, turinčius padidinto </w:t>
      </w:r>
      <w:proofErr w:type="spellStart"/>
      <w:r w:rsidRPr="00F65A4B">
        <w:rPr>
          <w:b w:val="0"/>
          <w:i w:val="0"/>
          <w:szCs w:val="22"/>
        </w:rPr>
        <w:t>intrakranijinio</w:t>
      </w:r>
      <w:proofErr w:type="spellEnd"/>
      <w:r w:rsidRPr="00F65A4B">
        <w:rPr>
          <w:b w:val="0"/>
          <w:i w:val="0"/>
          <w:szCs w:val="22"/>
        </w:rPr>
        <w:t xml:space="preserve"> (kaukolės skysčių) spaudimo riziką.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Atsargiai reikia gydyti pacientus, kuriems yra būklės, pasireiškiančios sutrikusiu skysčių ir elektrolitų balansu.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Kartu vartojant vaistų, kurie gali skatinti neadekvačią </w:t>
      </w:r>
      <w:proofErr w:type="spellStart"/>
      <w:r w:rsidRPr="00F65A4B">
        <w:rPr>
          <w:b w:val="0"/>
          <w:i w:val="0"/>
          <w:szCs w:val="22"/>
        </w:rPr>
        <w:t>antidiuretinio</w:t>
      </w:r>
      <w:proofErr w:type="spellEnd"/>
      <w:r w:rsidRPr="00F65A4B">
        <w:rPr>
          <w:b w:val="0"/>
          <w:i w:val="0"/>
          <w:szCs w:val="22"/>
        </w:rPr>
        <w:t xml:space="preserve"> hormono gamybą (pvz., vaistus nuo depresijos (</w:t>
      </w:r>
      <w:proofErr w:type="spellStart"/>
      <w:r w:rsidRPr="00F65A4B">
        <w:rPr>
          <w:b w:val="0"/>
          <w:i w:val="0"/>
          <w:szCs w:val="22"/>
        </w:rPr>
        <w:t>triciklius</w:t>
      </w:r>
      <w:proofErr w:type="spellEnd"/>
      <w:r w:rsidRPr="00F65A4B">
        <w:rPr>
          <w:b w:val="0"/>
          <w:i w:val="0"/>
          <w:szCs w:val="22"/>
        </w:rPr>
        <w:t xml:space="preserve"> antidepresantus, selektyvius </w:t>
      </w:r>
      <w:proofErr w:type="spellStart"/>
      <w:r w:rsidRPr="00F65A4B">
        <w:rPr>
          <w:b w:val="0"/>
          <w:i w:val="0"/>
          <w:szCs w:val="22"/>
        </w:rPr>
        <w:t>serotonino</w:t>
      </w:r>
      <w:proofErr w:type="spellEnd"/>
      <w:r w:rsidRPr="00F65A4B">
        <w:rPr>
          <w:b w:val="0"/>
          <w:i w:val="0"/>
          <w:szCs w:val="22"/>
        </w:rPr>
        <w:t xml:space="preserve"> reabsorbcijos inhibitorius), </w:t>
      </w:r>
      <w:proofErr w:type="spellStart"/>
      <w:r w:rsidRPr="00F65A4B">
        <w:rPr>
          <w:b w:val="0"/>
          <w:i w:val="0"/>
          <w:szCs w:val="22"/>
        </w:rPr>
        <w:t>chlorpromaziną</w:t>
      </w:r>
      <w:proofErr w:type="spellEnd"/>
      <w:r w:rsidRPr="00F65A4B">
        <w:rPr>
          <w:b w:val="0"/>
          <w:i w:val="0"/>
          <w:szCs w:val="22"/>
        </w:rPr>
        <w:t xml:space="preserve"> (vaistą nuo psichikos sutrikimų) ir </w:t>
      </w:r>
      <w:proofErr w:type="spellStart"/>
      <w:r w:rsidRPr="00F65A4B">
        <w:rPr>
          <w:b w:val="0"/>
          <w:i w:val="0"/>
          <w:szCs w:val="22"/>
        </w:rPr>
        <w:t>karbamazepiną</w:t>
      </w:r>
      <w:proofErr w:type="spellEnd"/>
      <w:r w:rsidRPr="00F65A4B">
        <w:rPr>
          <w:b w:val="0"/>
          <w:i w:val="0"/>
          <w:szCs w:val="22"/>
        </w:rPr>
        <w:t xml:space="preserve"> (vaistą nuo epilepsijos), taip pat nesteroidinius vaistus nuo uždegimo), reikia imtis atsargumo priemonių. Pastarosioms priemonėms, kurių tikslas yra išvengti natrio kiekio sumažėjimo kraujyje, priklauso: skysčių ribojimas ir dažnesnis natrio kiekio kraujo serume nustatymas.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Kiti vaistai ir MINIRIN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snapToGrid w:val="0"/>
          <w:szCs w:val="22"/>
        </w:rPr>
        <w:t>Jeigu vartojate ar neseniai vartojote kitų vaistų arba dėl to nesate tikri, apie tai pasakykite</w:t>
      </w:r>
      <w:r w:rsidRPr="00F65A4B">
        <w:rPr>
          <w:b w:val="0"/>
          <w:i w:val="0"/>
          <w:iCs/>
          <w:szCs w:val="22"/>
        </w:rPr>
        <w:t xml:space="preserve"> gydytojui arba vaistininkui.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Jeigu pacientas vartoja vaistus, kurie didina </w:t>
      </w:r>
      <w:proofErr w:type="spellStart"/>
      <w:r w:rsidRPr="00F65A4B">
        <w:rPr>
          <w:b w:val="0"/>
          <w:i w:val="0"/>
          <w:iCs/>
          <w:szCs w:val="22"/>
        </w:rPr>
        <w:t>antidiuretinio</w:t>
      </w:r>
      <w:proofErr w:type="spellEnd"/>
      <w:r w:rsidRPr="00F65A4B">
        <w:rPr>
          <w:b w:val="0"/>
          <w:i w:val="0"/>
          <w:iCs/>
          <w:szCs w:val="22"/>
        </w:rPr>
        <w:t xml:space="preserve"> hormono išsiskyrimą (pvz., vaistus nuo depresijos (</w:t>
      </w:r>
      <w:proofErr w:type="spellStart"/>
      <w:r w:rsidRPr="00F65A4B">
        <w:rPr>
          <w:b w:val="0"/>
          <w:i w:val="0"/>
          <w:iCs/>
          <w:szCs w:val="22"/>
        </w:rPr>
        <w:t>triciklius</w:t>
      </w:r>
      <w:proofErr w:type="spellEnd"/>
      <w:r w:rsidRPr="00F65A4B">
        <w:rPr>
          <w:b w:val="0"/>
          <w:i w:val="0"/>
          <w:iCs/>
          <w:szCs w:val="22"/>
        </w:rPr>
        <w:t xml:space="preserve"> antidepresantus, selektyvius </w:t>
      </w:r>
      <w:proofErr w:type="spellStart"/>
      <w:r w:rsidRPr="00F65A4B">
        <w:rPr>
          <w:b w:val="0"/>
          <w:i w:val="0"/>
          <w:iCs/>
          <w:szCs w:val="22"/>
        </w:rPr>
        <w:t>serotonino</w:t>
      </w:r>
      <w:proofErr w:type="spellEnd"/>
      <w:r w:rsidRPr="00F65A4B">
        <w:rPr>
          <w:b w:val="0"/>
          <w:i w:val="0"/>
          <w:iCs/>
          <w:szCs w:val="22"/>
        </w:rPr>
        <w:t xml:space="preserve"> reabsorbcijos inhibitorius), </w:t>
      </w:r>
      <w:proofErr w:type="spellStart"/>
      <w:r w:rsidRPr="00F65A4B">
        <w:rPr>
          <w:b w:val="0"/>
          <w:i w:val="0"/>
          <w:iCs/>
          <w:szCs w:val="22"/>
        </w:rPr>
        <w:t>chlorpromaziną</w:t>
      </w:r>
      <w:proofErr w:type="spellEnd"/>
      <w:r w:rsidRPr="00F65A4B">
        <w:rPr>
          <w:b w:val="0"/>
          <w:i w:val="0"/>
          <w:iCs/>
          <w:szCs w:val="22"/>
        </w:rPr>
        <w:t xml:space="preserve"> (vaistą nuo psichikos sutrikimų) ir </w:t>
      </w:r>
      <w:proofErr w:type="spellStart"/>
      <w:r w:rsidRPr="00F65A4B">
        <w:rPr>
          <w:b w:val="0"/>
          <w:i w:val="0"/>
          <w:iCs/>
          <w:szCs w:val="22"/>
        </w:rPr>
        <w:t>karbamazepiną</w:t>
      </w:r>
      <w:proofErr w:type="spellEnd"/>
      <w:r w:rsidRPr="00F65A4B">
        <w:rPr>
          <w:b w:val="0"/>
          <w:i w:val="0"/>
          <w:iCs/>
          <w:szCs w:val="22"/>
        </w:rPr>
        <w:t xml:space="preserve"> (vaistą nuo epilepsijos), taip pat ir kai kuriuos </w:t>
      </w:r>
      <w:proofErr w:type="spellStart"/>
      <w:r w:rsidRPr="00F65A4B">
        <w:rPr>
          <w:b w:val="0"/>
          <w:i w:val="0"/>
          <w:iCs/>
          <w:szCs w:val="22"/>
        </w:rPr>
        <w:t>sulfonilšlapalo</w:t>
      </w:r>
      <w:proofErr w:type="spellEnd"/>
      <w:r w:rsidRPr="00F65A4B">
        <w:rPr>
          <w:b w:val="0"/>
          <w:i w:val="0"/>
          <w:iCs/>
          <w:szCs w:val="22"/>
        </w:rPr>
        <w:t xml:space="preserve"> grupės antidiabetinius vaistus, ypatingai </w:t>
      </w:r>
      <w:proofErr w:type="spellStart"/>
      <w:r w:rsidRPr="00F65A4B">
        <w:rPr>
          <w:b w:val="0"/>
          <w:i w:val="0"/>
          <w:iCs/>
          <w:szCs w:val="22"/>
        </w:rPr>
        <w:t>chlorpropamidą</w:t>
      </w:r>
      <w:proofErr w:type="spellEnd"/>
      <w:r w:rsidRPr="00F65A4B">
        <w:rPr>
          <w:b w:val="0"/>
          <w:i w:val="0"/>
          <w:iCs/>
          <w:szCs w:val="22"/>
        </w:rPr>
        <w:t xml:space="preserve">), dėl papildomo </w:t>
      </w:r>
      <w:proofErr w:type="spellStart"/>
      <w:r w:rsidRPr="00F65A4B">
        <w:rPr>
          <w:b w:val="0"/>
          <w:i w:val="0"/>
          <w:iCs/>
          <w:szCs w:val="22"/>
        </w:rPr>
        <w:t>antidiuretinio</w:t>
      </w:r>
      <w:proofErr w:type="spellEnd"/>
      <w:r w:rsidRPr="00F65A4B">
        <w:rPr>
          <w:b w:val="0"/>
          <w:i w:val="0"/>
          <w:iCs/>
          <w:szCs w:val="22"/>
        </w:rPr>
        <w:t xml:space="preserve"> poveikio organizmas gali susilaikyti skysčiai.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Nesteroidiniai vaistai nuo uždegimo gali sulaikyti skysčius ir (arba) sukelti </w:t>
      </w:r>
      <w:proofErr w:type="spellStart"/>
      <w:r w:rsidRPr="00F65A4B">
        <w:rPr>
          <w:b w:val="0"/>
          <w:i w:val="0"/>
          <w:iCs/>
          <w:szCs w:val="22"/>
        </w:rPr>
        <w:t>hiponatremiją</w:t>
      </w:r>
      <w:proofErr w:type="spellEnd"/>
      <w:r w:rsidRPr="00F65A4B">
        <w:rPr>
          <w:b w:val="0"/>
          <w:i w:val="0"/>
          <w:iCs/>
          <w:szCs w:val="22"/>
        </w:rPr>
        <w:t>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MINIRIN vartojant kartu su </w:t>
      </w:r>
      <w:proofErr w:type="spellStart"/>
      <w:r w:rsidRPr="00F65A4B">
        <w:rPr>
          <w:b w:val="0"/>
          <w:i w:val="0"/>
          <w:iCs/>
          <w:szCs w:val="22"/>
        </w:rPr>
        <w:t>loperamidu</w:t>
      </w:r>
      <w:proofErr w:type="spellEnd"/>
      <w:r w:rsidRPr="00F65A4B">
        <w:rPr>
          <w:b w:val="0"/>
          <w:i w:val="0"/>
          <w:iCs/>
          <w:szCs w:val="22"/>
        </w:rPr>
        <w:t xml:space="preserve"> (vaistu nuo viduriavimo), </w:t>
      </w:r>
      <w:proofErr w:type="spellStart"/>
      <w:r w:rsidRPr="00F65A4B">
        <w:rPr>
          <w:b w:val="0"/>
          <w:i w:val="0"/>
          <w:iCs/>
          <w:szCs w:val="22"/>
        </w:rPr>
        <w:t>desmopresino</w:t>
      </w:r>
      <w:proofErr w:type="spellEnd"/>
      <w:r w:rsidRPr="00F65A4B">
        <w:rPr>
          <w:b w:val="0"/>
          <w:i w:val="0"/>
          <w:iCs/>
          <w:szCs w:val="22"/>
        </w:rPr>
        <w:t xml:space="preserve"> kiekis kraujo plazmoje gali padidėti 3 kartus; dėl to didėja skysčių susilaikymo organizme ir </w:t>
      </w:r>
      <w:proofErr w:type="spellStart"/>
      <w:r w:rsidRPr="00F65A4B">
        <w:rPr>
          <w:b w:val="0"/>
          <w:i w:val="0"/>
          <w:iCs/>
          <w:szCs w:val="22"/>
        </w:rPr>
        <w:t>hiponatremijos</w:t>
      </w:r>
      <w:proofErr w:type="spellEnd"/>
      <w:r w:rsidRPr="00F65A4B">
        <w:rPr>
          <w:b w:val="0"/>
          <w:i w:val="0"/>
          <w:iCs/>
          <w:szCs w:val="22"/>
        </w:rPr>
        <w:t xml:space="preserve"> pavojus. Nors ir nėra ištirta, tačiau kiti vaistai, lėtinantys žarnyno motoriką, gali turėti tokį pat poveikį. </w:t>
      </w:r>
    </w:p>
    <w:p w:rsidR="00F248A0" w:rsidRPr="00F65A4B" w:rsidRDefault="00F248A0" w:rsidP="00F248A0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MINIRIN vartojimas su maistu ir gėrimais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galima vartoti su maistu. Kasdienis labai riebus maistas sumažina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įsisavinimą. Todėl gali sumažėti šlapimo </w:t>
      </w:r>
      <w:proofErr w:type="spellStart"/>
      <w:r w:rsidRPr="00F65A4B">
        <w:rPr>
          <w:b w:val="0"/>
          <w:bCs/>
          <w:i w:val="0"/>
          <w:iCs/>
          <w:szCs w:val="22"/>
        </w:rPr>
        <w:t>išsiskirimą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slopinantis poveikis.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Nėštumas ir žindymo laikotarpis</w:t>
      </w:r>
    </w:p>
    <w:p w:rsidR="00F248A0" w:rsidRPr="00F65A4B" w:rsidRDefault="00F248A0" w:rsidP="00F248A0">
      <w:pPr>
        <w:pStyle w:val="Antrats"/>
        <w:rPr>
          <w:b w:val="0"/>
          <w:i w:val="0"/>
          <w:szCs w:val="22"/>
        </w:rPr>
      </w:pPr>
      <w:r w:rsidRPr="00F65A4B">
        <w:rPr>
          <w:b w:val="0"/>
          <w:i w:val="0"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lastRenderedPageBreak/>
        <w:t>Nėštumo ir žindymo laikotarpiu reikėtų vengti vartoti bet kokius vaistus.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szCs w:val="22"/>
        </w:rPr>
        <w:t>Desmopresino</w:t>
      </w:r>
      <w:proofErr w:type="spellEnd"/>
      <w:r w:rsidRPr="00F65A4B">
        <w:rPr>
          <w:b w:val="0"/>
          <w:i w:val="0"/>
          <w:szCs w:val="22"/>
        </w:rPr>
        <w:t xml:space="preserve"> išsiskiria į motinos pieną, bet nuo terapinių dozių poveikis kūdikiui mažai tikėtinas. 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Jeigu maitinate krūtimi ar ketinate pradėti žindyti, pasakykite gydytojui arba vaistininkui.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Vairavimas ir mechanizmų valdymas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MINIRIN gebėjimo vairuoti ir valdyti mechanizmus neveikia arba poveikis nėra reikšmingas.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numPr>
          <w:ilvl w:val="0"/>
          <w:numId w:val="4"/>
        </w:numPr>
        <w:tabs>
          <w:tab w:val="left" w:pos="-142"/>
          <w:tab w:val="left" w:pos="567"/>
        </w:tabs>
        <w:ind w:hanging="927"/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Kaip vartoti MINIRIN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numPr>
          <w:ilvl w:val="12"/>
          <w:numId w:val="0"/>
        </w:numPr>
        <w:ind w:right="-2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>Visada vartokite šį vaistą tiksliai kaip nurodė gydytojas. Jeigu abejojate, kreipkitės į gydytoją arba vaistininką.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Cs/>
          <w:i w:val="0"/>
          <w:iCs/>
          <w:szCs w:val="22"/>
          <w:u w:val="single"/>
        </w:rPr>
      </w:pPr>
      <w:r w:rsidRPr="00F65A4B">
        <w:rPr>
          <w:bCs/>
          <w:i w:val="0"/>
          <w:iCs/>
          <w:szCs w:val="22"/>
          <w:u w:val="single"/>
        </w:rPr>
        <w:t>Dozavimas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rPr>
          <w:szCs w:val="22"/>
        </w:rPr>
      </w:pPr>
      <w:r w:rsidRPr="00F65A4B">
        <w:rPr>
          <w:szCs w:val="22"/>
        </w:rPr>
        <w:t>Centrinis necukrinis diabetas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Sergantiesiems necukriniu diabetu dozė parenkama individualiai, tačiau suminė paros dozė po liežuviu įvairuoja nuo 120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720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. 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Pradinė dozė vaikams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dieną po liežuviu. Dozė tikslinama, atsižvelgiant į paciento reakciją į gydymą.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Pradinė dozė suaugusiesiems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dieną po liežuviu. Dozė tikslinama, atsižvelgiant į paciento reakciją į gydymą.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Daugeliui pacientų palaikomoji dozė yra nuo 60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120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parą po liežuviu.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rPr>
          <w:szCs w:val="22"/>
        </w:rPr>
      </w:pPr>
      <w:r w:rsidRPr="00F65A4B">
        <w:rPr>
          <w:szCs w:val="22"/>
        </w:rPr>
        <w:t xml:space="preserve">Pirminė naktinė </w:t>
      </w:r>
      <w:proofErr w:type="spellStart"/>
      <w:r w:rsidRPr="00F65A4B">
        <w:rPr>
          <w:szCs w:val="22"/>
        </w:rPr>
        <w:t>enurezė</w:t>
      </w:r>
      <w:proofErr w:type="spellEnd"/>
    </w:p>
    <w:p w:rsidR="00F248A0" w:rsidRPr="00F65A4B" w:rsidRDefault="00F248A0" w:rsidP="00F248A0">
      <w:pPr>
        <w:rPr>
          <w:b w:val="0"/>
          <w:i w:val="0"/>
          <w:szCs w:val="22"/>
          <w:u w:val="single"/>
        </w:rPr>
      </w:pPr>
      <w:r w:rsidRPr="00F65A4B">
        <w:rPr>
          <w:b w:val="0"/>
          <w:i w:val="0"/>
          <w:szCs w:val="22"/>
          <w:u w:val="single"/>
        </w:rPr>
        <w:t>5 metų ir vyresniems vaikams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Rekomenduojama vaisto dozė yra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suvartojama prieš miegą po liežuviu. Dozė tikslinama, atsižvelgiant į paciento reakciją į gydymą.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Būtina riboti suvartojamų skysčių kiekį.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 xml:space="preserve">MINIRIN </w:t>
      </w:r>
      <w:r w:rsidRPr="00F65A4B">
        <w:rPr>
          <w:b w:val="0"/>
          <w:bCs/>
          <w:i w:val="0"/>
          <w:iCs/>
          <w:szCs w:val="22"/>
        </w:rPr>
        <w:t xml:space="preserve">rekomenduojama gydyti iki 3 mėnesių. Ar vaistu būtina gydyti toliau, sprendžiama pagal tyrimus, kurie atliekami nutraukus (nors savaitei) gydymą </w:t>
      </w:r>
      <w:r w:rsidRPr="00F65A4B">
        <w:rPr>
          <w:b w:val="0"/>
          <w:bCs/>
          <w:i w:val="0"/>
          <w:szCs w:val="22"/>
        </w:rPr>
        <w:t>MINIRIN</w:t>
      </w:r>
      <w:r w:rsidRPr="00F17A91">
        <w:rPr>
          <w:b w:val="0"/>
          <w:i w:val="0"/>
          <w:iCs/>
          <w:szCs w:val="22"/>
        </w:rPr>
        <w:t>.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rPr>
          <w:szCs w:val="22"/>
        </w:rPr>
      </w:pPr>
      <w:r w:rsidRPr="00F65A4B">
        <w:rPr>
          <w:szCs w:val="22"/>
        </w:rPr>
        <w:t xml:space="preserve">Suaugusiųjų </w:t>
      </w:r>
      <w:proofErr w:type="spellStart"/>
      <w:r w:rsidRPr="00F65A4B">
        <w:rPr>
          <w:szCs w:val="22"/>
        </w:rPr>
        <w:t>nikturija</w:t>
      </w:r>
      <w:proofErr w:type="spellEnd"/>
    </w:p>
    <w:p w:rsidR="00F248A0" w:rsidRPr="00F65A4B" w:rsidRDefault="00F248A0" w:rsidP="00F248A0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>Rekomenduojama vaisto dozė yra 60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>, suvartojama prieš miegą po liežuviu. Praėjus savaitei, dozę galima padidinti iki 120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>. Po to, kas savaitę po truputį didinant dozę, ji gali būti padidinta iki maksimalios – 240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 xml:space="preserve"> po liežuviu. Būtina riboti suvartojamų skysčių kiekį.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3105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Pagrindinistekstas2"/>
        <w:tabs>
          <w:tab w:val="left" w:pos="-142"/>
          <w:tab w:val="num" w:pos="0"/>
          <w:tab w:val="left" w:pos="567"/>
        </w:tabs>
        <w:rPr>
          <w:b/>
          <w:szCs w:val="22"/>
        </w:rPr>
      </w:pPr>
      <w:r w:rsidRPr="00F65A4B">
        <w:rPr>
          <w:b/>
          <w:szCs w:val="22"/>
        </w:rPr>
        <w:t>Ką daryti pavartojus per didelę MINIRIN dozę?</w:t>
      </w:r>
    </w:p>
    <w:p w:rsidR="00F248A0" w:rsidRPr="00F65A4B" w:rsidRDefault="00F248A0" w:rsidP="00F248A0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Jeigu Jūs išgėrėte didesnę </w:t>
      </w:r>
      <w:r w:rsidRPr="00F65A4B">
        <w:rPr>
          <w:bCs/>
          <w:szCs w:val="22"/>
        </w:rPr>
        <w:t xml:space="preserve">MINIRIN </w:t>
      </w:r>
      <w:r w:rsidRPr="00F65A4B">
        <w:rPr>
          <w:bCs/>
          <w:iCs/>
          <w:szCs w:val="22"/>
        </w:rPr>
        <w:t>dozę, nutraukite vaisto vartojimą, ribokite skysčių vartojimą ir kreipkitės į savo gydytoją.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Pamiršus pavartoti MINIRIN</w:t>
      </w:r>
    </w:p>
    <w:p w:rsidR="00F248A0" w:rsidRPr="00F65A4B" w:rsidRDefault="00F248A0" w:rsidP="00F248A0">
      <w:pPr>
        <w:pStyle w:val="Pagrindinistekstas3"/>
        <w:tabs>
          <w:tab w:val="left" w:pos="-142"/>
          <w:tab w:val="left" w:pos="567"/>
        </w:tabs>
        <w:rPr>
          <w:szCs w:val="22"/>
          <w:u w:val="none"/>
        </w:rPr>
      </w:pPr>
      <w:r w:rsidRPr="00F65A4B">
        <w:rPr>
          <w:szCs w:val="22"/>
          <w:u w:val="none"/>
        </w:rPr>
        <w:t xml:space="preserve">Praleidus dozę, vėliau dvigubos dozės vartoti negalima. Dėl perdozavimo gali kauptis skysčiai ir vystytis </w:t>
      </w:r>
      <w:proofErr w:type="spellStart"/>
      <w:r w:rsidRPr="00F65A4B">
        <w:rPr>
          <w:szCs w:val="22"/>
          <w:u w:val="none"/>
        </w:rPr>
        <w:t>hiponatremija</w:t>
      </w:r>
      <w:proofErr w:type="spellEnd"/>
      <w:r w:rsidRPr="00F65A4B">
        <w:rPr>
          <w:szCs w:val="22"/>
          <w:u w:val="none"/>
        </w:rPr>
        <w:t>.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4.</w:t>
      </w:r>
      <w:r w:rsidRPr="00F65A4B">
        <w:rPr>
          <w:i w:val="0"/>
          <w:iCs/>
          <w:szCs w:val="22"/>
        </w:rPr>
        <w:tab/>
        <w:t>Galimas šalutinis poveikis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Šis vaistas kaip ir visi kiti, gali sukelti šalutinį poveikį,</w:t>
      </w:r>
      <w:r w:rsidRPr="00F65A4B">
        <w:rPr>
          <w:b w:val="0"/>
          <w:i w:val="0"/>
          <w:szCs w:val="22"/>
        </w:rPr>
        <w:t xml:space="preserve"> nors jis pasireiškia ne visiems žmonėms</w:t>
      </w:r>
      <w:r w:rsidRPr="00F65A4B">
        <w:rPr>
          <w:b w:val="0"/>
          <w:bCs/>
          <w:i w:val="0"/>
          <w:iCs/>
          <w:szCs w:val="22"/>
        </w:rPr>
        <w:t>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Cs/>
          <w:i w:val="0"/>
          <w:szCs w:val="22"/>
        </w:rPr>
      </w:pPr>
      <w:r w:rsidRPr="00F65A4B">
        <w:rPr>
          <w:bCs/>
          <w:i w:val="0"/>
          <w:szCs w:val="22"/>
        </w:rPr>
        <w:t>Šalutinis poveikis, kuris gali pasireikšti suaugusiems žmonėms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Labai dažnas (gali pasireikšti daugiau kaip 1 vaisto vartojančiam žmogui iš 10)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Galvos skausmas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Dažnas (gali pasireikšti mažiau kaip 1 vaisto vartojančiam žmogui iš 10)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Natrio kiekio sumažėjimas kraujyje, svaigulys, didelis kraujospūdis, pykinimas, pilvo skausmas, viduriavimas, vidurių užkietėjimas, vėmimas, šlapimo pūslės ir šlaplės sutrikimų simptomai (pvz., dažnas ar skausmingas </w:t>
      </w:r>
      <w:proofErr w:type="spellStart"/>
      <w:r w:rsidRPr="00F65A4B">
        <w:rPr>
          <w:b w:val="0"/>
          <w:i w:val="0"/>
          <w:szCs w:val="22"/>
        </w:rPr>
        <w:t>šlapinimasis</w:t>
      </w:r>
      <w:proofErr w:type="spellEnd"/>
      <w:r w:rsidRPr="00F65A4B">
        <w:rPr>
          <w:b w:val="0"/>
          <w:i w:val="0"/>
          <w:szCs w:val="22"/>
        </w:rPr>
        <w:t>), patinimai, nuovargis.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Nedažnas (gali pasireikšti mažiau kaip 1 vaisto vartojančiam žmogui iš 100)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Nemiga, mieguistumas, jutimų sutrikimas (</w:t>
      </w:r>
      <w:proofErr w:type="spellStart"/>
      <w:r w:rsidRPr="00F65A4B">
        <w:rPr>
          <w:b w:val="0"/>
          <w:i w:val="0"/>
          <w:szCs w:val="22"/>
        </w:rPr>
        <w:t>parestezija</w:t>
      </w:r>
      <w:proofErr w:type="spellEnd"/>
      <w:r w:rsidRPr="00F65A4B">
        <w:rPr>
          <w:b w:val="0"/>
          <w:i w:val="0"/>
          <w:szCs w:val="22"/>
        </w:rPr>
        <w:t>), regos pablogėjimas, galvos svaigimas (</w:t>
      </w:r>
      <w:proofErr w:type="spellStart"/>
      <w:r w:rsidRPr="00F65A4B">
        <w:rPr>
          <w:b w:val="0"/>
          <w:szCs w:val="22"/>
        </w:rPr>
        <w:t>vertigo</w:t>
      </w:r>
      <w:proofErr w:type="spellEnd"/>
      <w:r w:rsidRPr="00F65A4B">
        <w:rPr>
          <w:b w:val="0"/>
          <w:i w:val="0"/>
          <w:szCs w:val="22"/>
        </w:rPr>
        <w:t xml:space="preserve">), širdies plakimo pojūtis, kraujospūdžio sumažėjimas stojantis, dusulys, </w:t>
      </w:r>
      <w:proofErr w:type="spellStart"/>
      <w:r w:rsidRPr="00F65A4B">
        <w:rPr>
          <w:b w:val="0"/>
          <w:i w:val="0"/>
          <w:szCs w:val="22"/>
        </w:rPr>
        <w:t>nevirškinimas</w:t>
      </w:r>
      <w:proofErr w:type="spellEnd"/>
      <w:r w:rsidRPr="00F65A4B">
        <w:rPr>
          <w:b w:val="0"/>
          <w:i w:val="0"/>
          <w:szCs w:val="22"/>
        </w:rPr>
        <w:t>, dujų kaupimasis žarnyne, vidurių pūtimas, prakaitavimas, niežėjimas, išbėrimas, dilgėlinė, raumenų spazmai, raumenų skausmas, bendrasis negalavimas, krūtinės skausmas, į gripą panašūs simptomai, padidėjęs svoris, padidėjęs kepenų fermentų aktyvumas, mažas kalio kiekis kraujyje.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Retas (gali pasireikšti mažiau kaip 1 vaisto vartojančiam žmogui iš 1 000)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Minčių susipainiojimas, alerginis odos uždegimas (alerginis dermatitas).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Dažnis nežinomas (negali būti apskaičiuotas pagal turimus duomenis)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Sunki alerginė reakcija (anafilaksinė reakcija), skysčio kiekio organizme sumažėjimas, natrio kiekio organizme sumažėjimas, traukuliai, silpnumas, sąmonės netekimas.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  <w:r w:rsidRPr="00F65A4B">
        <w:rPr>
          <w:bCs/>
          <w:i w:val="0"/>
          <w:szCs w:val="22"/>
        </w:rPr>
        <w:t xml:space="preserve">Šalutinis poveikis, kuris gali pasireikšti </w:t>
      </w:r>
      <w:r w:rsidRPr="00350B77">
        <w:rPr>
          <w:bCs/>
          <w:i w:val="0"/>
          <w:snapToGrid w:val="0"/>
        </w:rPr>
        <w:t>vaikams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Dažnas (gali pasireikšti mažiau kaip 1 vaisto vartojančiam žmogui iš 10)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Galvos skausmas.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Nedažnas (gali pasireikšti mažiau kaip 1 vaisto vartojančiam žmogui iš 100)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Kintanti sujaudinimo reakcija (afektas), agresyvumas, pilvo skausmas, pykinimas, vėmimas, viduriavimas, šlapimo pūslės ir šlaplės sutrikimų simptomai (pvz., dažnas ar skausmingas </w:t>
      </w:r>
      <w:proofErr w:type="spellStart"/>
      <w:r w:rsidRPr="00F65A4B">
        <w:rPr>
          <w:b w:val="0"/>
          <w:i w:val="0"/>
          <w:szCs w:val="22"/>
        </w:rPr>
        <w:t>šlapinimasis</w:t>
      </w:r>
      <w:proofErr w:type="spellEnd"/>
      <w:r w:rsidRPr="00F65A4B">
        <w:rPr>
          <w:b w:val="0"/>
          <w:i w:val="0"/>
          <w:szCs w:val="22"/>
        </w:rPr>
        <w:t>), periferinė edema (patinimai), nuovargis.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Retas (gali pasireikšti mažiau kaip 1 vaisto vartojančiam žmogui iš 1 000)</w:t>
      </w:r>
    </w:p>
    <w:p w:rsidR="00F248A0" w:rsidRPr="00F65A4B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Nerimo simptomai, košmariški sapnai, nuotaikos svyravimai, mieguistumas, didelis kraujospūdis, dirglumas.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Dažnis nežinomas (negali būti apskaičiuotas pagal turimus duomenis)</w:t>
      </w:r>
    </w:p>
    <w:p w:rsidR="00F248A0" w:rsidRPr="00B14541" w:rsidRDefault="00F248A0" w:rsidP="00F248A0">
      <w:pPr>
        <w:pStyle w:val="Sraopastraipa"/>
        <w:numPr>
          <w:ilvl w:val="0"/>
          <w:numId w:val="5"/>
        </w:numPr>
        <w:tabs>
          <w:tab w:val="left" w:pos="-142"/>
          <w:tab w:val="num" w:pos="0"/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rPr>
          <w:szCs w:val="22"/>
        </w:rPr>
      </w:pPr>
      <w:r w:rsidRPr="00F65A4B">
        <w:rPr>
          <w:b w:val="0"/>
          <w:i w:val="0"/>
          <w:szCs w:val="22"/>
        </w:rPr>
        <w:t xml:space="preserve">Sunki alerginė reakcija (anafilaksinė reakcija), mažas natrio kiekis kraujyje, nenormalus elgesys, emocinis sutrikimas, depresija, haliucinacijos, nemiga, dėmesio sutrikimas, </w:t>
      </w:r>
      <w:proofErr w:type="spellStart"/>
      <w:r w:rsidRPr="00F65A4B">
        <w:rPr>
          <w:b w:val="0"/>
          <w:i w:val="0"/>
          <w:szCs w:val="22"/>
        </w:rPr>
        <w:t>psichomotorinis</w:t>
      </w:r>
      <w:proofErr w:type="spellEnd"/>
      <w:r w:rsidRPr="00F65A4B">
        <w:rPr>
          <w:b w:val="0"/>
          <w:i w:val="0"/>
          <w:szCs w:val="22"/>
        </w:rPr>
        <w:t xml:space="preserve"> </w:t>
      </w:r>
      <w:proofErr w:type="spellStart"/>
      <w:r w:rsidRPr="00F65A4B">
        <w:rPr>
          <w:b w:val="0"/>
          <w:i w:val="0"/>
          <w:szCs w:val="22"/>
        </w:rPr>
        <w:t>hiperaktyvumas</w:t>
      </w:r>
      <w:proofErr w:type="spellEnd"/>
      <w:r w:rsidRPr="00F65A4B">
        <w:rPr>
          <w:b w:val="0"/>
          <w:i w:val="0"/>
          <w:szCs w:val="22"/>
        </w:rPr>
        <w:t>, traukuliai, kraujavimas iš nosies, išbėrimas, alerginis odos uždegimas (alerginis dermatitas), prakaitavimas, dilgėlinė.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567"/>
        </w:tabs>
        <w:rPr>
          <w:i w:val="0"/>
          <w:snapToGrid w:val="0"/>
          <w:szCs w:val="22"/>
        </w:rPr>
      </w:pPr>
      <w:r w:rsidRPr="00F65A4B">
        <w:rPr>
          <w:i w:val="0"/>
          <w:snapToGrid w:val="0"/>
          <w:szCs w:val="22"/>
        </w:rPr>
        <w:t>Pranešimas apie šalutinį poveikį</w:t>
      </w:r>
    </w:p>
    <w:p w:rsidR="00F248A0" w:rsidRPr="00F65A4B" w:rsidRDefault="00F248A0" w:rsidP="00F248A0">
      <w:pPr>
        <w:tabs>
          <w:tab w:val="left" w:pos="567"/>
        </w:tabs>
        <w:ind w:right="-449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 xml:space="preserve">Jeigu pasireiškė šalutinis poveikis, įskaitant šiame lapelyje nenurodytą, pasakykite gydytoju arba vaistininkui. Apie šalutinį poveikį taip pat galite pranešti </w:t>
      </w:r>
      <w:r w:rsidRPr="00F62FC9">
        <w:rPr>
          <w:b w:val="0"/>
          <w:i w:val="0"/>
          <w:snapToGrid w:val="0"/>
          <w:szCs w:val="22"/>
        </w:rPr>
        <w:t xml:space="preserve">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F62FC9">
        <w:rPr>
          <w:b w:val="0"/>
          <w:i w:val="0"/>
          <w:snapToGrid w:val="0"/>
          <w:szCs w:val="22"/>
        </w:rPr>
        <w:t>NepageidaujamaR@vvkt.lt</w:t>
      </w:r>
      <w:proofErr w:type="spellEnd"/>
      <w:r w:rsidRPr="00F62FC9">
        <w:rPr>
          <w:b w:val="0"/>
          <w:i w:val="0"/>
          <w:snapToGrid w:val="0"/>
          <w:szCs w:val="22"/>
        </w:rPr>
        <w:t>, taip pat per Valstybinės vaistų kontrolės tarnybos prie Lietuvos Respublikos sveikatos apsaugos ministerijos interneto svetainę (adresu http://www.vvkt.lt).</w:t>
      </w:r>
      <w:r w:rsidRPr="00F65A4B">
        <w:rPr>
          <w:b w:val="0"/>
          <w:i w:val="0"/>
          <w:snapToGrid w:val="0"/>
          <w:szCs w:val="22"/>
        </w:rPr>
        <w:t xml:space="preserve"> Pranešdami apie šalutinį poveikį galite mums padėti gauti daugiau informacijos apie šio vaisto saugumą.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pStyle w:val="Pagrindiniotekstotrauka2"/>
        <w:tabs>
          <w:tab w:val="left" w:pos="-142"/>
          <w:tab w:val="left" w:pos="567"/>
        </w:tabs>
        <w:ind w:firstLine="0"/>
        <w:rPr>
          <w:b/>
          <w:bCs/>
          <w:szCs w:val="22"/>
        </w:rPr>
      </w:pPr>
      <w:r w:rsidRPr="00F65A4B">
        <w:rPr>
          <w:b/>
          <w:bCs/>
          <w:szCs w:val="22"/>
        </w:rPr>
        <w:lastRenderedPageBreak/>
        <w:t>5.</w:t>
      </w:r>
      <w:r w:rsidRPr="00F65A4B">
        <w:rPr>
          <w:b/>
          <w:bCs/>
          <w:szCs w:val="22"/>
        </w:rPr>
        <w:tab/>
        <w:t>Kaip laikyti MINIRIN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Šį vaistą laikykite vaikams nepastebimoje ir nepasiekiamoje vietoje.</w:t>
      </w:r>
    </w:p>
    <w:p w:rsidR="00F248A0" w:rsidRPr="00F65A4B" w:rsidRDefault="00F248A0" w:rsidP="00F248A0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szCs w:val="22"/>
        </w:rPr>
        <w:t>Laikyti gamintojo pakuotėje</w:t>
      </w:r>
      <w:r w:rsidRPr="00F65A4B">
        <w:rPr>
          <w:bCs/>
          <w:iCs/>
          <w:szCs w:val="22"/>
        </w:rPr>
        <w:t xml:space="preserve">, kad </w:t>
      </w:r>
      <w:r>
        <w:rPr>
          <w:bCs/>
          <w:iCs/>
          <w:szCs w:val="22"/>
        </w:rPr>
        <w:t>vaistas</w:t>
      </w:r>
      <w:r w:rsidRPr="00F65A4B">
        <w:rPr>
          <w:bCs/>
          <w:iCs/>
          <w:szCs w:val="22"/>
        </w:rPr>
        <w:t xml:space="preserve"> būtų apsaugotas nuo šviesos ir drėgmės. </w:t>
      </w:r>
    </w:p>
    <w:p w:rsidR="00F248A0" w:rsidRPr="00F65A4B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:rsidR="00F248A0" w:rsidRPr="00F65A4B" w:rsidRDefault="00F248A0" w:rsidP="00F248A0">
      <w:pPr>
        <w:pStyle w:val="Pagrindinistekstas2"/>
        <w:tabs>
          <w:tab w:val="left" w:pos="-142"/>
          <w:tab w:val="num" w:pos="0"/>
          <w:tab w:val="left" w:pos="567"/>
        </w:tabs>
        <w:rPr>
          <w:szCs w:val="22"/>
        </w:rPr>
      </w:pPr>
      <w:r w:rsidRPr="00F65A4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keepNext/>
        <w:keepLines/>
        <w:tabs>
          <w:tab w:val="left" w:pos="567"/>
        </w:tabs>
        <w:outlineLvl w:val="2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6.</w:t>
      </w:r>
      <w:r w:rsidRPr="00F65A4B">
        <w:rPr>
          <w:b w:val="0"/>
          <w:bCs/>
          <w:i w:val="0"/>
          <w:snapToGrid w:val="0"/>
          <w:szCs w:val="22"/>
        </w:rPr>
        <w:tab/>
      </w:r>
      <w:r w:rsidRPr="00F65A4B">
        <w:rPr>
          <w:bCs/>
          <w:i w:val="0"/>
          <w:snapToGrid w:val="0"/>
          <w:szCs w:val="22"/>
        </w:rPr>
        <w:t>Pakuotės turinys ir kita informacija</w:t>
      </w:r>
    </w:p>
    <w:p w:rsidR="00F248A0" w:rsidRPr="00F17A91" w:rsidRDefault="00F248A0" w:rsidP="00F248A0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MINIRIN sudėtis</w:t>
      </w:r>
    </w:p>
    <w:p w:rsidR="00F248A0" w:rsidRPr="00F65A4B" w:rsidRDefault="00F248A0" w:rsidP="00F248A0">
      <w:pPr>
        <w:pStyle w:val="Sraopastraipa"/>
        <w:numPr>
          <w:ilvl w:val="0"/>
          <w:numId w:val="2"/>
        </w:numPr>
        <w:tabs>
          <w:tab w:val="left" w:pos="-142"/>
          <w:tab w:val="left" w:pos="567"/>
        </w:tabs>
        <w:ind w:left="0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i w:val="0"/>
          <w:szCs w:val="22"/>
        </w:rPr>
        <w:t xml:space="preserve">Veiklioji medžiaga yra </w:t>
      </w:r>
      <w:proofErr w:type="spellStart"/>
      <w:r w:rsidRPr="00F65A4B">
        <w:rPr>
          <w:b w:val="0"/>
          <w:i w:val="0"/>
          <w:szCs w:val="22"/>
        </w:rPr>
        <w:t>desmopresinas</w:t>
      </w:r>
      <w:proofErr w:type="spellEnd"/>
      <w:r w:rsidRPr="00F65A4B">
        <w:rPr>
          <w:b w:val="0"/>
          <w:i w:val="0"/>
          <w:szCs w:val="22"/>
        </w:rPr>
        <w:t xml:space="preserve">. </w:t>
      </w:r>
      <w:r w:rsidRPr="00F65A4B">
        <w:rPr>
          <w:b w:val="0"/>
          <w:bCs/>
          <w:i w:val="0"/>
          <w:szCs w:val="22"/>
        </w:rPr>
        <w:t xml:space="preserve">Kiekviename </w:t>
      </w:r>
      <w:proofErr w:type="spellStart"/>
      <w:r w:rsidRPr="00F65A4B">
        <w:rPr>
          <w:b w:val="0"/>
          <w:bCs/>
          <w:i w:val="0"/>
          <w:szCs w:val="22"/>
        </w:rPr>
        <w:t>liofilizate</w:t>
      </w:r>
      <w:proofErr w:type="spellEnd"/>
      <w:r w:rsidRPr="00F65A4B">
        <w:rPr>
          <w:b w:val="0"/>
          <w:bCs/>
          <w:i w:val="0"/>
          <w:szCs w:val="22"/>
        </w:rPr>
        <w:t xml:space="preserve"> </w:t>
      </w:r>
      <w:r w:rsidRPr="00F65A4B">
        <w:rPr>
          <w:b w:val="0"/>
          <w:bCs/>
          <w:i w:val="0"/>
          <w:iCs/>
          <w:szCs w:val="22"/>
        </w:rPr>
        <w:t>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arba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acetato pavidalu).</w:t>
      </w:r>
    </w:p>
    <w:p w:rsidR="00F248A0" w:rsidRPr="00F65A4B" w:rsidRDefault="00F248A0" w:rsidP="00F248A0">
      <w:pPr>
        <w:pStyle w:val="Sraopastraipa"/>
        <w:numPr>
          <w:ilvl w:val="0"/>
          <w:numId w:val="2"/>
        </w:num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Pagalbinės medžiagos yra želatina, </w:t>
      </w:r>
      <w:proofErr w:type="spellStart"/>
      <w:r w:rsidRPr="00F65A4B">
        <w:rPr>
          <w:b w:val="0"/>
          <w:i w:val="0"/>
          <w:szCs w:val="22"/>
        </w:rPr>
        <w:t>manitolis</w:t>
      </w:r>
      <w:proofErr w:type="spellEnd"/>
      <w:r w:rsidRPr="00F65A4B">
        <w:rPr>
          <w:b w:val="0"/>
          <w:i w:val="0"/>
          <w:szCs w:val="22"/>
        </w:rPr>
        <w:t xml:space="preserve"> (E421), bevandenė citrinų rūgštis.</w:t>
      </w:r>
    </w:p>
    <w:p w:rsidR="00F248A0" w:rsidRPr="00F17A91" w:rsidRDefault="00F248A0" w:rsidP="00F248A0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MINIRIN išvaizda ir kiekis pakuotėje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lašo formos figūra (piešiniu) vienoje pusėje.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2 lašų formos figūra (piešiniu) vienoje pusėje.</w:t>
      </w:r>
    </w:p>
    <w:p w:rsidR="00F248A0" w:rsidRPr="00F65A4B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3 lašų formos figūra (piešiniu) vienoje pusėje.</w:t>
      </w:r>
    </w:p>
    <w:p w:rsidR="00F248A0" w:rsidRPr="00F65A4B" w:rsidRDefault="00F248A0" w:rsidP="00F248A0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</w:p>
    <w:p w:rsidR="00F248A0" w:rsidRPr="00F65A4B" w:rsidRDefault="00F248A0" w:rsidP="00F248A0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Aliuminio folijos lizdinėje plokštelėje yra 10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>.</w:t>
      </w:r>
    </w:p>
    <w:p w:rsidR="00F248A0" w:rsidRPr="00F65A4B" w:rsidRDefault="00F248A0" w:rsidP="00F248A0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Pakuotėje yra 30 arba 100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>.</w:t>
      </w:r>
    </w:p>
    <w:p w:rsidR="00F248A0" w:rsidRPr="00F65A4B" w:rsidRDefault="00F248A0" w:rsidP="00F248A0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Gali būti tiekiamos ne visų dydžių pakuotės.</w:t>
      </w:r>
    </w:p>
    <w:p w:rsidR="00F248A0" w:rsidRPr="00F17A91" w:rsidRDefault="00F248A0" w:rsidP="00F248A0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17A91" w:rsidRDefault="00F248A0" w:rsidP="00F248A0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  <w:r w:rsidRPr="00514CFD">
        <w:rPr>
          <w:i w:val="0"/>
          <w:iCs/>
          <w:szCs w:val="22"/>
        </w:rPr>
        <w:t>Registruotojas</w:t>
      </w:r>
      <w:r w:rsidRPr="00F65A4B">
        <w:rPr>
          <w:i w:val="0"/>
          <w:iCs/>
          <w:szCs w:val="22"/>
        </w:rPr>
        <w:t xml:space="preserve"> ir gamintojas</w:t>
      </w:r>
    </w:p>
    <w:p w:rsidR="00F248A0" w:rsidRPr="00E5187A" w:rsidRDefault="00F248A0" w:rsidP="00F248A0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Ferring</w:t>
      </w:r>
      <w:proofErr w:type="spellEnd"/>
      <w:r w:rsidRPr="00E5187A">
        <w:rPr>
          <w:b w:val="0"/>
          <w:i w:val="0"/>
          <w:szCs w:val="22"/>
        </w:rPr>
        <w:t xml:space="preserve"> </w:t>
      </w:r>
      <w:proofErr w:type="spellStart"/>
      <w:r w:rsidRPr="00E5187A">
        <w:rPr>
          <w:b w:val="0"/>
          <w:i w:val="0"/>
          <w:szCs w:val="22"/>
        </w:rPr>
        <w:t>GmbH</w:t>
      </w:r>
      <w:proofErr w:type="spellEnd"/>
    </w:p>
    <w:p w:rsidR="00F248A0" w:rsidRPr="00E5187A" w:rsidRDefault="00F248A0" w:rsidP="00F248A0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Wittland</w:t>
      </w:r>
      <w:proofErr w:type="spellEnd"/>
      <w:r w:rsidRPr="00E5187A">
        <w:rPr>
          <w:b w:val="0"/>
          <w:i w:val="0"/>
          <w:szCs w:val="22"/>
        </w:rPr>
        <w:t xml:space="preserve"> 11</w:t>
      </w:r>
    </w:p>
    <w:p w:rsidR="00F248A0" w:rsidRPr="00E5187A" w:rsidRDefault="00F248A0" w:rsidP="00F248A0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 xml:space="preserve">D-24109 </w:t>
      </w:r>
      <w:proofErr w:type="spellStart"/>
      <w:r w:rsidRPr="00E5187A">
        <w:rPr>
          <w:b w:val="0"/>
          <w:i w:val="0"/>
          <w:szCs w:val="22"/>
        </w:rPr>
        <w:t>Kiel</w:t>
      </w:r>
      <w:proofErr w:type="spellEnd"/>
    </w:p>
    <w:p w:rsidR="00F248A0" w:rsidRPr="00E5187A" w:rsidRDefault="00F248A0" w:rsidP="00F248A0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>Vokietija</w:t>
      </w:r>
    </w:p>
    <w:p w:rsidR="00F248A0" w:rsidRPr="00F17A91" w:rsidRDefault="00F248A0" w:rsidP="00F248A0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:rsidR="00F248A0" w:rsidRPr="00F65A4B" w:rsidRDefault="00F248A0" w:rsidP="00F248A0">
      <w:pPr>
        <w:tabs>
          <w:tab w:val="left" w:pos="-142"/>
          <w:tab w:val="left" w:pos="567"/>
        </w:tabs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Šis pakuotės lapelis paskut</w:t>
      </w:r>
      <w:r>
        <w:rPr>
          <w:bCs/>
          <w:i w:val="0"/>
          <w:iCs/>
          <w:szCs w:val="22"/>
        </w:rPr>
        <w:t xml:space="preserve">inį kartą peržiūrėtas 2020-12-14. </w:t>
      </w:r>
    </w:p>
    <w:p w:rsidR="00F248A0" w:rsidRDefault="00F248A0" w:rsidP="00F248A0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:rsidR="00F248A0" w:rsidRPr="00217DFA" w:rsidRDefault="00F248A0" w:rsidP="00F248A0">
      <w:pPr>
        <w:numPr>
          <w:ilvl w:val="12"/>
          <w:numId w:val="0"/>
        </w:numPr>
        <w:tabs>
          <w:tab w:val="left" w:pos="567"/>
        </w:tabs>
        <w:ind w:right="-2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>Išsami informacija apie šį vaistą pateikiama Valstybinės vaistų kontrolės tarnybos prie Lietuvos Respublikos sveikatos apsaugos ministerijos tinklalapyje</w:t>
      </w:r>
      <w:hyperlink r:id="rId5" w:history="1">
        <w:r w:rsidRPr="00F65A4B">
          <w:rPr>
            <w:rFonts w:eastAsia="SimSun"/>
            <w:b w:val="0"/>
            <w:i w:val="0"/>
            <w:snapToGrid w:val="0"/>
            <w:color w:val="0000FF"/>
            <w:szCs w:val="22"/>
            <w:u w:val="single"/>
          </w:rPr>
          <w:t>http://www.vvkt.lt/</w:t>
        </w:r>
      </w:hyperlink>
      <w:r w:rsidRPr="00F65A4B">
        <w:rPr>
          <w:b w:val="0"/>
          <w:i w:val="0"/>
          <w:snapToGrid w:val="0"/>
          <w:szCs w:val="22"/>
        </w:rPr>
        <w:t>.</w:t>
      </w:r>
    </w:p>
    <w:p w:rsidR="009041DB" w:rsidRPr="00F248A0" w:rsidRDefault="009041DB">
      <w:pPr>
        <w:rPr>
          <w:b w:val="0"/>
          <w:i w:val="0"/>
        </w:rPr>
      </w:pPr>
      <w:bookmarkStart w:id="0" w:name="_GoBack"/>
      <w:bookmarkEnd w:id="0"/>
    </w:p>
    <w:sectPr w:rsidR="009041DB" w:rsidRPr="00F248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882"/>
    <w:multiLevelType w:val="hybridMultilevel"/>
    <w:tmpl w:val="287E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22D"/>
    <w:multiLevelType w:val="hybridMultilevel"/>
    <w:tmpl w:val="2BFCBD1C"/>
    <w:lvl w:ilvl="0" w:tplc="040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2" w15:restartNumberingAfterBreak="0">
    <w:nsid w:val="28475CE3"/>
    <w:multiLevelType w:val="hybridMultilevel"/>
    <w:tmpl w:val="5D10C47C"/>
    <w:lvl w:ilvl="0" w:tplc="B824F1F8">
      <w:start w:val="2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794993"/>
    <w:multiLevelType w:val="hybridMultilevel"/>
    <w:tmpl w:val="3AFA0D38"/>
    <w:lvl w:ilvl="0" w:tplc="0427000F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7447227E"/>
    <w:multiLevelType w:val="hybridMultilevel"/>
    <w:tmpl w:val="016C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A0"/>
    <w:rsid w:val="009041DB"/>
    <w:rsid w:val="00EE3634"/>
    <w:rsid w:val="00F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685E7-B389-40DA-9A67-35F2A54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48A0"/>
    <w:pPr>
      <w:spacing w:after="0" w:line="240" w:lineRule="auto"/>
    </w:pPr>
    <w:rPr>
      <w:rFonts w:ascii="Times New Roman" w:hAnsi="Times New Roman" w:cs="Times New Roman"/>
      <w:b/>
      <w:i/>
      <w:szCs w:val="20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F248A0"/>
    <w:pPr>
      <w:tabs>
        <w:tab w:val="left" w:pos="567"/>
      </w:tabs>
      <w:outlineLvl w:val="1"/>
    </w:pPr>
    <w:rPr>
      <w:rFonts w:eastAsia="Calibri"/>
      <w:bCs/>
      <w:i w:val="0"/>
      <w:szCs w:val="2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248A0"/>
    <w:pPr>
      <w:keepNext/>
      <w:outlineLvl w:val="3"/>
    </w:pPr>
    <w:rPr>
      <w:rFonts w:eastAsia="Calibri"/>
      <w:bCs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F248A0"/>
    <w:rPr>
      <w:rFonts w:ascii="Times New Roman" w:eastAsia="Calibri" w:hAnsi="Times New Roman" w:cs="Times New Roman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248A0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248A0"/>
    <w:pPr>
      <w:ind w:firstLine="567"/>
    </w:pPr>
    <w:rPr>
      <w:b w:val="0"/>
      <w:i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248A0"/>
    <w:rPr>
      <w:rFonts w:ascii="Times New Roman" w:hAnsi="Times New Roman" w:cs="Times New Roman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F248A0"/>
    <w:rPr>
      <w:b w:val="0"/>
      <w:i w:val="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248A0"/>
    <w:rPr>
      <w:rFonts w:ascii="Times New Roman" w:hAnsi="Times New Roman" w:cs="Times New Roman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F248A0"/>
    <w:pPr>
      <w:jc w:val="both"/>
    </w:pPr>
    <w:rPr>
      <w:b w:val="0"/>
      <w:i w:val="0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248A0"/>
    <w:rPr>
      <w:rFonts w:ascii="Times New Roman" w:hAnsi="Times New Roman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uiPriority w:val="99"/>
    <w:rsid w:val="00F248A0"/>
    <w:rPr>
      <w:b w:val="0"/>
      <w:bCs/>
      <w:i w:val="0"/>
      <w:iCs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248A0"/>
    <w:rPr>
      <w:rFonts w:ascii="Times New Roman" w:hAnsi="Times New Roman" w:cs="Times New Roman"/>
      <w:bCs/>
      <w:iCs/>
      <w:szCs w:val="20"/>
      <w:u w:val="single"/>
    </w:rPr>
  </w:style>
  <w:style w:type="paragraph" w:styleId="Antrats">
    <w:name w:val="header"/>
    <w:basedOn w:val="prastasis"/>
    <w:link w:val="AntratsDiagrama"/>
    <w:uiPriority w:val="99"/>
    <w:rsid w:val="00F248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8A0"/>
    <w:rPr>
      <w:rFonts w:ascii="Times New Roman" w:hAnsi="Times New Roman" w:cs="Times New Roman"/>
      <w:b/>
      <w:i/>
      <w:szCs w:val="20"/>
    </w:rPr>
  </w:style>
  <w:style w:type="paragraph" w:styleId="Sraopastraipa">
    <w:name w:val="List Paragraph"/>
    <w:basedOn w:val="prastasis"/>
    <w:uiPriority w:val="99"/>
    <w:qFormat/>
    <w:rsid w:val="00F2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8484</Words>
  <Characters>4836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2020-12-15T07:42:00Z</dcterms:created>
  <dcterms:modified xsi:type="dcterms:W3CDTF">2020-12-15T07:43:00Z</dcterms:modified>
</cp:coreProperties>
</file>