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AD6" w:rsidRPr="005522BC" w:rsidRDefault="00655AD6" w:rsidP="00655AD6">
      <w:pPr>
        <w:pStyle w:val="Pavadinimas"/>
      </w:pPr>
      <w:r w:rsidRPr="005522BC">
        <w:t>Pakuotės lapelis: informacija pacientui</w:t>
      </w:r>
    </w:p>
    <w:p w:rsidR="00655AD6" w:rsidRPr="005522BC" w:rsidRDefault="00655AD6" w:rsidP="00655AD6">
      <w:pPr>
        <w:autoSpaceDE w:val="0"/>
        <w:autoSpaceDN w:val="0"/>
        <w:adjustRightInd w:val="0"/>
        <w:jc w:val="center"/>
        <w:rPr>
          <w:szCs w:val="22"/>
        </w:rPr>
      </w:pPr>
    </w:p>
    <w:p w:rsidR="00655AD6" w:rsidRPr="005522BC" w:rsidRDefault="00655AD6" w:rsidP="00655AD6">
      <w:pPr>
        <w:autoSpaceDE w:val="0"/>
        <w:autoSpaceDN w:val="0"/>
        <w:adjustRightInd w:val="0"/>
        <w:jc w:val="center"/>
        <w:rPr>
          <w:b/>
          <w:bCs/>
          <w:szCs w:val="22"/>
        </w:rPr>
      </w:pPr>
      <w:r w:rsidRPr="005522BC">
        <w:rPr>
          <w:b/>
          <w:bCs/>
          <w:szCs w:val="22"/>
        </w:rPr>
        <w:t>FOSRENOL 250 mg kramtomosios tabletės</w:t>
      </w:r>
    </w:p>
    <w:p w:rsidR="00655AD6" w:rsidRPr="005522BC" w:rsidRDefault="00655AD6" w:rsidP="00655AD6">
      <w:pPr>
        <w:autoSpaceDE w:val="0"/>
        <w:autoSpaceDN w:val="0"/>
        <w:adjustRightInd w:val="0"/>
        <w:jc w:val="center"/>
        <w:rPr>
          <w:b/>
          <w:bCs/>
          <w:szCs w:val="22"/>
        </w:rPr>
      </w:pPr>
      <w:r w:rsidRPr="005522BC">
        <w:rPr>
          <w:b/>
          <w:bCs/>
          <w:szCs w:val="22"/>
        </w:rPr>
        <w:t>FOSRENOL 500 mg kramtomosios tabletės</w:t>
      </w:r>
    </w:p>
    <w:p w:rsidR="00655AD6" w:rsidRPr="005522BC" w:rsidRDefault="00655AD6" w:rsidP="00655AD6">
      <w:pPr>
        <w:autoSpaceDE w:val="0"/>
        <w:autoSpaceDN w:val="0"/>
        <w:adjustRightInd w:val="0"/>
        <w:jc w:val="center"/>
        <w:rPr>
          <w:b/>
          <w:bCs/>
          <w:szCs w:val="22"/>
        </w:rPr>
      </w:pPr>
      <w:r w:rsidRPr="005522BC">
        <w:rPr>
          <w:b/>
          <w:bCs/>
          <w:szCs w:val="22"/>
        </w:rPr>
        <w:t>FOSRENOL 750 mg kramtomosios tabletės</w:t>
      </w:r>
    </w:p>
    <w:p w:rsidR="00655AD6" w:rsidRPr="005522BC" w:rsidRDefault="00655AD6" w:rsidP="00655AD6">
      <w:pPr>
        <w:autoSpaceDE w:val="0"/>
        <w:autoSpaceDN w:val="0"/>
        <w:adjustRightInd w:val="0"/>
        <w:jc w:val="center"/>
        <w:rPr>
          <w:b/>
          <w:bCs/>
          <w:szCs w:val="22"/>
        </w:rPr>
      </w:pPr>
      <w:r w:rsidRPr="005522BC">
        <w:rPr>
          <w:b/>
          <w:bCs/>
          <w:szCs w:val="22"/>
        </w:rPr>
        <w:t>FOSRENOL 1000 mg kramtomosios tabletės</w:t>
      </w:r>
    </w:p>
    <w:p w:rsidR="00655AD6" w:rsidRPr="005522BC" w:rsidRDefault="00655AD6" w:rsidP="00655AD6">
      <w:pPr>
        <w:autoSpaceDE w:val="0"/>
        <w:autoSpaceDN w:val="0"/>
        <w:adjustRightInd w:val="0"/>
        <w:jc w:val="center"/>
        <w:rPr>
          <w:szCs w:val="22"/>
        </w:rPr>
      </w:pPr>
      <w:r w:rsidRPr="005522BC">
        <w:rPr>
          <w:szCs w:val="22"/>
        </w:rPr>
        <w:br/>
        <w:t>lantanas</w:t>
      </w:r>
    </w:p>
    <w:p w:rsidR="00655AD6" w:rsidRPr="005522BC" w:rsidRDefault="00655AD6" w:rsidP="00655AD6">
      <w:pPr>
        <w:autoSpaceDE w:val="0"/>
        <w:autoSpaceDN w:val="0"/>
        <w:adjustRightInd w:val="0"/>
        <w:rPr>
          <w:szCs w:val="22"/>
        </w:rPr>
      </w:pPr>
    </w:p>
    <w:p w:rsidR="00655AD6" w:rsidRPr="005522BC" w:rsidRDefault="00655AD6" w:rsidP="00655AD6">
      <w:pPr>
        <w:rPr>
          <w:b/>
          <w:bCs/>
          <w:szCs w:val="22"/>
        </w:rPr>
      </w:pPr>
      <w:r w:rsidRPr="005522BC">
        <w:rPr>
          <w:b/>
          <w:bCs/>
          <w:szCs w:val="22"/>
        </w:rPr>
        <w:t>Atidžiai perskaitykite visą šį lapelį, prieš pradėdami vartoti vaistą</w:t>
      </w:r>
      <w:r w:rsidRPr="005522BC">
        <w:rPr>
          <w:b/>
          <w:szCs w:val="24"/>
        </w:rPr>
        <w:t>, nes jame pateikiama Jums svarbi informacija</w:t>
      </w:r>
      <w:r w:rsidRPr="005522BC">
        <w:rPr>
          <w:b/>
          <w:bCs/>
          <w:szCs w:val="22"/>
        </w:rPr>
        <w:t>.</w:t>
      </w:r>
    </w:p>
    <w:p w:rsidR="00655AD6" w:rsidRPr="005522BC" w:rsidRDefault="00655AD6" w:rsidP="00655AD6">
      <w:pPr>
        <w:rPr>
          <w:bCs/>
          <w:szCs w:val="22"/>
        </w:rPr>
      </w:pPr>
    </w:p>
    <w:p w:rsidR="00655AD6" w:rsidRPr="005522BC" w:rsidRDefault="00655AD6" w:rsidP="00655AD6">
      <w:pPr>
        <w:numPr>
          <w:ilvl w:val="0"/>
          <w:numId w:val="4"/>
        </w:numPr>
        <w:ind w:left="567" w:hanging="567"/>
        <w:rPr>
          <w:szCs w:val="22"/>
        </w:rPr>
      </w:pPr>
      <w:r w:rsidRPr="005522BC">
        <w:rPr>
          <w:szCs w:val="22"/>
        </w:rPr>
        <w:t>Neišmeskite šio lapelio, nes vėl gali prireikti jį perskaityti.</w:t>
      </w:r>
    </w:p>
    <w:p w:rsidR="00655AD6" w:rsidRPr="005522BC" w:rsidRDefault="00655AD6" w:rsidP="00655AD6">
      <w:pPr>
        <w:numPr>
          <w:ilvl w:val="0"/>
          <w:numId w:val="4"/>
        </w:numPr>
        <w:ind w:left="567" w:hanging="567"/>
        <w:rPr>
          <w:szCs w:val="22"/>
        </w:rPr>
      </w:pPr>
      <w:r w:rsidRPr="005522BC">
        <w:rPr>
          <w:szCs w:val="22"/>
        </w:rPr>
        <w:t>Jeigu kiltų daugiau klausimų, kreipkitės į gydytoją arba vaistininką.</w:t>
      </w:r>
    </w:p>
    <w:p w:rsidR="00655AD6" w:rsidRPr="005522BC" w:rsidRDefault="00655AD6" w:rsidP="00655AD6">
      <w:pPr>
        <w:numPr>
          <w:ilvl w:val="0"/>
          <w:numId w:val="4"/>
        </w:numPr>
        <w:ind w:left="567" w:hanging="567"/>
        <w:rPr>
          <w:b/>
          <w:bCs/>
          <w:szCs w:val="22"/>
        </w:rPr>
      </w:pPr>
      <w:r w:rsidRPr="005522BC">
        <w:rPr>
          <w:szCs w:val="22"/>
        </w:rPr>
        <w:t xml:space="preserve">Šis vaistas skirtas tik Jums, todėl kitiems žmonėms jo duoti negalima. Vaistas gali jiems pakenkti (net tiems, kurių ligos </w:t>
      </w:r>
      <w:r w:rsidRPr="005522BC">
        <w:rPr>
          <w:szCs w:val="24"/>
        </w:rPr>
        <w:t xml:space="preserve">požymiai </w:t>
      </w:r>
      <w:r w:rsidRPr="005522BC">
        <w:rPr>
          <w:szCs w:val="22"/>
        </w:rPr>
        <w:t>yra tokie patys kaip Jūsų).</w:t>
      </w:r>
    </w:p>
    <w:p w:rsidR="00655AD6" w:rsidRPr="005522BC" w:rsidRDefault="00655AD6" w:rsidP="00655AD6">
      <w:pPr>
        <w:numPr>
          <w:ilvl w:val="0"/>
          <w:numId w:val="4"/>
        </w:numPr>
        <w:ind w:left="567" w:hanging="567"/>
        <w:rPr>
          <w:b/>
          <w:bCs/>
          <w:szCs w:val="22"/>
        </w:rPr>
      </w:pPr>
      <w:r w:rsidRPr="005522BC">
        <w:rPr>
          <w:szCs w:val="22"/>
        </w:rPr>
        <w:t>Jeigu pasireiškė šalutinis poveikis (net jeigu jis šiame lapelyje nenurodytas), kreipkitės į gydytoją arba vaistininką. Žr. 4 skyrių.</w:t>
      </w:r>
    </w:p>
    <w:p w:rsidR="00655AD6" w:rsidRPr="005522BC" w:rsidRDefault="00655AD6" w:rsidP="00655AD6">
      <w:pPr>
        <w:ind w:left="567" w:hanging="567"/>
      </w:pPr>
    </w:p>
    <w:p w:rsidR="00655AD6" w:rsidRPr="005522BC" w:rsidRDefault="00655AD6" w:rsidP="00655AD6">
      <w:pPr>
        <w:numPr>
          <w:ilvl w:val="12"/>
          <w:numId w:val="0"/>
        </w:numPr>
        <w:ind w:right="-2"/>
        <w:rPr>
          <w:b/>
          <w:szCs w:val="22"/>
        </w:rPr>
      </w:pPr>
      <w:r w:rsidRPr="005522BC">
        <w:rPr>
          <w:b/>
        </w:rPr>
        <w:t>Apie ką rašoma šiame lapelyje?</w:t>
      </w:r>
    </w:p>
    <w:p w:rsidR="00655AD6" w:rsidRPr="005522BC" w:rsidRDefault="00655AD6" w:rsidP="00655AD6">
      <w:pPr>
        <w:numPr>
          <w:ilvl w:val="12"/>
          <w:numId w:val="0"/>
        </w:numPr>
        <w:ind w:right="-2"/>
        <w:rPr>
          <w:szCs w:val="22"/>
        </w:rPr>
      </w:pPr>
    </w:p>
    <w:p w:rsidR="00655AD6" w:rsidRPr="005522BC" w:rsidRDefault="00655AD6" w:rsidP="00655AD6">
      <w:pPr>
        <w:ind w:left="562" w:right="-29" w:hanging="562"/>
        <w:rPr>
          <w:szCs w:val="22"/>
        </w:rPr>
      </w:pPr>
      <w:r w:rsidRPr="005522BC">
        <w:rPr>
          <w:szCs w:val="22"/>
        </w:rPr>
        <w:t>1.</w:t>
      </w:r>
      <w:r w:rsidRPr="005522BC">
        <w:rPr>
          <w:szCs w:val="22"/>
        </w:rPr>
        <w:tab/>
        <w:t>Kas yra FOSRENOL ir kam jis vartojamas</w:t>
      </w:r>
    </w:p>
    <w:p w:rsidR="00655AD6" w:rsidRPr="005522BC" w:rsidRDefault="00655AD6" w:rsidP="00655AD6">
      <w:pPr>
        <w:ind w:left="562" w:right="-29" w:hanging="562"/>
        <w:rPr>
          <w:szCs w:val="22"/>
        </w:rPr>
      </w:pPr>
      <w:r w:rsidRPr="005522BC">
        <w:rPr>
          <w:szCs w:val="22"/>
        </w:rPr>
        <w:t>2.</w:t>
      </w:r>
      <w:r w:rsidRPr="005522BC">
        <w:rPr>
          <w:szCs w:val="22"/>
        </w:rPr>
        <w:tab/>
        <w:t>Kas žinotina prieš vartojant FOSRENOL</w:t>
      </w:r>
    </w:p>
    <w:p w:rsidR="00655AD6" w:rsidRPr="005522BC" w:rsidRDefault="00655AD6" w:rsidP="00655AD6">
      <w:pPr>
        <w:ind w:left="562" w:right="-29" w:hanging="562"/>
        <w:rPr>
          <w:szCs w:val="22"/>
        </w:rPr>
      </w:pPr>
      <w:r w:rsidRPr="005522BC">
        <w:rPr>
          <w:szCs w:val="22"/>
        </w:rPr>
        <w:t>3.</w:t>
      </w:r>
      <w:r w:rsidRPr="005522BC">
        <w:rPr>
          <w:szCs w:val="22"/>
        </w:rPr>
        <w:tab/>
        <w:t>Kaip vartoti FOSRENOL</w:t>
      </w:r>
    </w:p>
    <w:p w:rsidR="00655AD6" w:rsidRPr="005522BC" w:rsidRDefault="00655AD6" w:rsidP="00655AD6">
      <w:pPr>
        <w:ind w:left="562" w:right="-29" w:hanging="562"/>
        <w:rPr>
          <w:szCs w:val="22"/>
        </w:rPr>
      </w:pPr>
      <w:r w:rsidRPr="005522BC">
        <w:rPr>
          <w:szCs w:val="22"/>
        </w:rPr>
        <w:t>4.</w:t>
      </w:r>
      <w:r w:rsidRPr="005522BC">
        <w:rPr>
          <w:szCs w:val="22"/>
        </w:rPr>
        <w:tab/>
        <w:t>Galimas šalutinis poveikis</w:t>
      </w:r>
    </w:p>
    <w:p w:rsidR="00655AD6" w:rsidRPr="005522BC" w:rsidRDefault="00655AD6" w:rsidP="00655AD6">
      <w:pPr>
        <w:ind w:left="561" w:right="-28" w:hanging="561"/>
        <w:rPr>
          <w:szCs w:val="22"/>
        </w:rPr>
      </w:pPr>
      <w:r w:rsidRPr="005522BC">
        <w:rPr>
          <w:szCs w:val="22"/>
        </w:rPr>
        <w:t>5.</w:t>
      </w:r>
      <w:r w:rsidRPr="005522BC">
        <w:rPr>
          <w:szCs w:val="22"/>
        </w:rPr>
        <w:tab/>
        <w:t>Kaip laikyti FOSRENOL</w:t>
      </w:r>
    </w:p>
    <w:p w:rsidR="00655AD6" w:rsidRPr="005522BC" w:rsidRDefault="00655AD6" w:rsidP="00655AD6">
      <w:pPr>
        <w:ind w:left="561" w:right="-28" w:hanging="561"/>
        <w:rPr>
          <w:szCs w:val="22"/>
        </w:rPr>
      </w:pPr>
      <w:r w:rsidRPr="005522BC">
        <w:rPr>
          <w:szCs w:val="22"/>
        </w:rPr>
        <w:t>6.</w:t>
      </w:r>
      <w:r w:rsidRPr="005522BC">
        <w:rPr>
          <w:szCs w:val="22"/>
        </w:rPr>
        <w:tab/>
      </w:r>
      <w:r w:rsidRPr="005522BC">
        <w:rPr>
          <w:szCs w:val="24"/>
        </w:rPr>
        <w:t>Pakuotės turinys ir k</w:t>
      </w:r>
      <w:r w:rsidRPr="005522BC">
        <w:rPr>
          <w:szCs w:val="22"/>
        </w:rPr>
        <w:t>ita informacija</w:t>
      </w:r>
    </w:p>
    <w:p w:rsidR="00655AD6" w:rsidRPr="005522BC" w:rsidRDefault="00655AD6" w:rsidP="00655AD6">
      <w:pPr>
        <w:ind w:left="561" w:right="-28" w:hanging="561"/>
        <w:rPr>
          <w:szCs w:val="22"/>
        </w:rPr>
      </w:pPr>
    </w:p>
    <w:p w:rsidR="00655AD6" w:rsidRPr="005522BC" w:rsidRDefault="00655AD6" w:rsidP="00655AD6">
      <w:pPr>
        <w:ind w:left="561" w:right="-28" w:hanging="561"/>
        <w:rPr>
          <w:szCs w:val="22"/>
        </w:rPr>
      </w:pPr>
    </w:p>
    <w:p w:rsidR="00655AD6" w:rsidRPr="005522BC" w:rsidRDefault="00655AD6" w:rsidP="00655AD6">
      <w:pPr>
        <w:rPr>
          <w:b/>
        </w:rPr>
      </w:pPr>
      <w:r w:rsidRPr="005522BC">
        <w:rPr>
          <w:b/>
        </w:rPr>
        <w:t>1.</w:t>
      </w:r>
      <w:r w:rsidRPr="005522BC">
        <w:rPr>
          <w:b/>
        </w:rPr>
        <w:tab/>
        <w:t>Kas yra FOSRENOL ir kam jis vartojamas</w:t>
      </w:r>
    </w:p>
    <w:p w:rsidR="00655AD6" w:rsidRPr="005522BC" w:rsidRDefault="00655AD6" w:rsidP="00655AD6"/>
    <w:p w:rsidR="00655AD6" w:rsidRPr="005522BC" w:rsidRDefault="00655AD6" w:rsidP="00655AD6">
      <w:bookmarkStart w:id="0" w:name="OLE_LINK1"/>
      <w:bookmarkStart w:id="1" w:name="OLE_LINK2"/>
      <w:r w:rsidRPr="005522BC">
        <w:t>FOSRENOL vartojamas fosfato kiekiui kraujyje mažinti suaugusiems pacientams su chroniška inkstų liga.</w:t>
      </w:r>
    </w:p>
    <w:p w:rsidR="00655AD6" w:rsidRPr="005522BC" w:rsidRDefault="00655AD6" w:rsidP="00655AD6"/>
    <w:bookmarkEnd w:id="0"/>
    <w:bookmarkEnd w:id="1"/>
    <w:p w:rsidR="00655AD6" w:rsidRPr="005522BC" w:rsidRDefault="00655AD6" w:rsidP="00655AD6">
      <w:r w:rsidRPr="005522BC">
        <w:t xml:space="preserve">Pacientų, kurių inkstų funkcija yra sutrikusi, fosfato kiekis kraujyje yra nekontroliuojamas. Todėl fosfato kiekis kraujyje padidėja (Jūsų gydytojas šį sutrikimą gali vadinti hiperfosfatemija). </w:t>
      </w:r>
    </w:p>
    <w:p w:rsidR="00655AD6" w:rsidRPr="005522BC" w:rsidRDefault="00655AD6" w:rsidP="00655AD6"/>
    <w:p w:rsidR="00655AD6" w:rsidRPr="005522BC" w:rsidRDefault="00655AD6" w:rsidP="00655AD6">
      <w:r w:rsidRPr="005522BC">
        <w:t>FOSRENOL yra vaistas, sumažinantis fosfato pasisavinimą iš maisto, sulaikantis jį virškinimo trakte. Prisijungęs prie FOSRENOL, fosfatas negali būti pasisavinamas pro žarnų sieneles.</w:t>
      </w:r>
    </w:p>
    <w:p w:rsidR="00655AD6" w:rsidRPr="005522BC" w:rsidRDefault="00655AD6" w:rsidP="00655AD6"/>
    <w:p w:rsidR="00655AD6" w:rsidRPr="005522BC" w:rsidRDefault="00655AD6" w:rsidP="00655AD6"/>
    <w:p w:rsidR="00655AD6" w:rsidRPr="005522BC" w:rsidRDefault="00655AD6" w:rsidP="00655AD6">
      <w:pPr>
        <w:rPr>
          <w:b/>
        </w:rPr>
      </w:pPr>
      <w:r w:rsidRPr="005522BC">
        <w:rPr>
          <w:b/>
        </w:rPr>
        <w:t>2.</w:t>
      </w:r>
      <w:r w:rsidRPr="005522BC">
        <w:rPr>
          <w:b/>
        </w:rPr>
        <w:tab/>
        <w:t>Kas žinotina prieš vartojant FOSRENOL</w:t>
      </w:r>
    </w:p>
    <w:p w:rsidR="00655AD6" w:rsidRPr="005522BC" w:rsidRDefault="00655AD6" w:rsidP="00655AD6"/>
    <w:p w:rsidR="00655AD6" w:rsidRPr="005522BC" w:rsidRDefault="00655AD6" w:rsidP="00655AD6">
      <w:pPr>
        <w:numPr>
          <w:ilvl w:val="12"/>
          <w:numId w:val="0"/>
        </w:numPr>
        <w:rPr>
          <w:b/>
          <w:bCs/>
          <w:szCs w:val="22"/>
        </w:rPr>
      </w:pPr>
      <w:r w:rsidRPr="005522BC">
        <w:rPr>
          <w:b/>
          <w:bCs/>
          <w:szCs w:val="22"/>
        </w:rPr>
        <w:t>FOSRENOL vartoti draudžiama</w:t>
      </w:r>
    </w:p>
    <w:p w:rsidR="00655AD6" w:rsidRPr="005522BC" w:rsidRDefault="00655AD6" w:rsidP="00655AD6">
      <w:pPr>
        <w:numPr>
          <w:ilvl w:val="12"/>
          <w:numId w:val="0"/>
        </w:numPr>
        <w:rPr>
          <w:b/>
          <w:bCs/>
          <w:szCs w:val="22"/>
        </w:rPr>
      </w:pPr>
    </w:p>
    <w:p w:rsidR="00655AD6" w:rsidRPr="005522BC" w:rsidRDefault="00655AD6" w:rsidP="00655AD6">
      <w:pPr>
        <w:numPr>
          <w:ilvl w:val="0"/>
          <w:numId w:val="2"/>
        </w:numPr>
        <w:tabs>
          <w:tab w:val="clear" w:pos="360"/>
        </w:tabs>
        <w:ind w:left="567" w:hanging="567"/>
        <w:rPr>
          <w:szCs w:val="22"/>
        </w:rPr>
      </w:pPr>
      <w:r w:rsidRPr="005522BC">
        <w:rPr>
          <w:szCs w:val="22"/>
        </w:rPr>
        <w:t>jeigu yra alergija lantano karbonato hidratui arba bet kuriai pagalbinei šio vaisto medžiagai (jos išvardytos 6 skyriuje);</w:t>
      </w:r>
    </w:p>
    <w:p w:rsidR="00655AD6" w:rsidRDefault="00655AD6" w:rsidP="00655AD6">
      <w:pPr>
        <w:numPr>
          <w:ilvl w:val="0"/>
          <w:numId w:val="2"/>
        </w:numPr>
        <w:tabs>
          <w:tab w:val="clear" w:pos="360"/>
        </w:tabs>
        <w:ind w:left="567" w:hanging="567"/>
        <w:rPr>
          <w:szCs w:val="22"/>
        </w:rPr>
      </w:pPr>
      <w:r w:rsidRPr="005522BC">
        <w:rPr>
          <w:szCs w:val="22"/>
        </w:rPr>
        <w:t>jeigu Jūsų fosfatų kiekis kraujyje per mažas (hipofosfatemija)</w:t>
      </w:r>
      <w:r>
        <w:rPr>
          <w:szCs w:val="22"/>
        </w:rPr>
        <w:t>;</w:t>
      </w:r>
    </w:p>
    <w:p w:rsidR="00655AD6" w:rsidRPr="005522BC" w:rsidRDefault="00655AD6" w:rsidP="00655AD6">
      <w:pPr>
        <w:numPr>
          <w:ilvl w:val="0"/>
          <w:numId w:val="2"/>
        </w:numPr>
        <w:tabs>
          <w:tab w:val="clear" w:pos="360"/>
        </w:tabs>
        <w:ind w:left="567" w:hanging="567"/>
        <w:rPr>
          <w:szCs w:val="22"/>
        </w:rPr>
      </w:pPr>
      <w:r w:rsidRPr="006A0C24">
        <w:rPr>
          <w:szCs w:val="22"/>
        </w:rPr>
        <w:t>jeigu Jūsų žarnynas užsikimšęs (žarnyno obstrukcija).</w:t>
      </w:r>
    </w:p>
    <w:p w:rsidR="00655AD6" w:rsidRPr="005522BC" w:rsidRDefault="00655AD6" w:rsidP="00655AD6">
      <w:pPr>
        <w:rPr>
          <w:szCs w:val="22"/>
        </w:rPr>
      </w:pPr>
    </w:p>
    <w:p w:rsidR="00655AD6" w:rsidRPr="005522BC" w:rsidRDefault="00655AD6" w:rsidP="00655AD6">
      <w:pPr>
        <w:numPr>
          <w:ilvl w:val="12"/>
          <w:numId w:val="0"/>
        </w:numPr>
        <w:ind w:right="-2"/>
        <w:rPr>
          <w:b/>
          <w:bCs/>
          <w:szCs w:val="22"/>
        </w:rPr>
      </w:pPr>
      <w:r w:rsidRPr="005522BC">
        <w:rPr>
          <w:b/>
        </w:rPr>
        <w:t>Įspėjimai ir atsargumo priemonės</w:t>
      </w:r>
    </w:p>
    <w:p w:rsidR="00655AD6" w:rsidRPr="005522BC" w:rsidRDefault="00655AD6" w:rsidP="00655AD6">
      <w:pPr>
        <w:numPr>
          <w:ilvl w:val="12"/>
          <w:numId w:val="0"/>
        </w:numPr>
        <w:ind w:right="-2"/>
        <w:rPr>
          <w:b/>
          <w:bCs/>
          <w:szCs w:val="22"/>
        </w:rPr>
      </w:pPr>
    </w:p>
    <w:p w:rsidR="00655AD6" w:rsidRPr="005522BC" w:rsidRDefault="00655AD6" w:rsidP="00655AD6">
      <w:pPr>
        <w:numPr>
          <w:ilvl w:val="12"/>
          <w:numId w:val="0"/>
        </w:numPr>
        <w:ind w:right="-2"/>
        <w:rPr>
          <w:szCs w:val="22"/>
        </w:rPr>
      </w:pPr>
      <w:r w:rsidRPr="005522BC">
        <w:t>Pasitarkite su gydytoju arba vaistininku prieš pradėdami vartoti FOSRENOL</w:t>
      </w:r>
      <w:r w:rsidRPr="005522BC">
        <w:rPr>
          <w:szCs w:val="22"/>
        </w:rPr>
        <w:t xml:space="preserve"> jeigu Jūs žinote, kad Jums yra arba buvo bet kuris iš toliau nurodytų:</w:t>
      </w:r>
    </w:p>
    <w:p w:rsidR="00655AD6" w:rsidRPr="005522BC" w:rsidRDefault="00655AD6" w:rsidP="00655AD6">
      <w:pPr>
        <w:numPr>
          <w:ilvl w:val="12"/>
          <w:numId w:val="0"/>
        </w:numPr>
        <w:ind w:right="-2"/>
        <w:rPr>
          <w:szCs w:val="22"/>
        </w:rPr>
      </w:pPr>
    </w:p>
    <w:p w:rsidR="00655AD6" w:rsidRPr="005522BC" w:rsidRDefault="00655AD6" w:rsidP="00655AD6">
      <w:pPr>
        <w:numPr>
          <w:ilvl w:val="0"/>
          <w:numId w:val="3"/>
        </w:numPr>
        <w:tabs>
          <w:tab w:val="clear" w:pos="360"/>
        </w:tabs>
        <w:ind w:left="567" w:right="-2" w:hanging="567"/>
        <w:rPr>
          <w:szCs w:val="22"/>
        </w:rPr>
      </w:pPr>
      <w:r w:rsidRPr="005522BC">
        <w:rPr>
          <w:szCs w:val="22"/>
        </w:rPr>
        <w:t>skrandžio arba žarnyno vėžys;</w:t>
      </w:r>
    </w:p>
    <w:p w:rsidR="00655AD6" w:rsidRPr="005522BC" w:rsidRDefault="00655AD6" w:rsidP="00655AD6">
      <w:pPr>
        <w:numPr>
          <w:ilvl w:val="0"/>
          <w:numId w:val="3"/>
        </w:numPr>
        <w:tabs>
          <w:tab w:val="clear" w:pos="360"/>
        </w:tabs>
        <w:ind w:left="567" w:right="-2" w:hanging="567"/>
        <w:rPr>
          <w:szCs w:val="22"/>
        </w:rPr>
      </w:pPr>
      <w:r w:rsidRPr="005522BC">
        <w:rPr>
          <w:szCs w:val="22"/>
        </w:rPr>
        <w:lastRenderedPageBreak/>
        <w:t>uždegiminė žarnyno liga, įskaitant opinį kolitą arba Krono (</w:t>
      </w:r>
      <w:r w:rsidRPr="005522BC">
        <w:rPr>
          <w:i/>
          <w:szCs w:val="22"/>
        </w:rPr>
        <w:t>Crohn</w:t>
      </w:r>
      <w:r w:rsidRPr="005522BC">
        <w:rPr>
          <w:szCs w:val="22"/>
        </w:rPr>
        <w:t>) ligą;</w:t>
      </w:r>
    </w:p>
    <w:p w:rsidR="00655AD6" w:rsidRPr="005522BC" w:rsidRDefault="00655AD6" w:rsidP="00655AD6">
      <w:pPr>
        <w:numPr>
          <w:ilvl w:val="0"/>
          <w:numId w:val="3"/>
        </w:numPr>
        <w:tabs>
          <w:tab w:val="clear" w:pos="360"/>
        </w:tabs>
        <w:ind w:left="567" w:right="-2" w:hanging="567"/>
        <w:rPr>
          <w:szCs w:val="22"/>
        </w:rPr>
      </w:pPr>
      <w:r w:rsidRPr="005522BC">
        <w:rPr>
          <w:szCs w:val="22"/>
        </w:rPr>
        <w:t>pilvo operacija arba pilvo/žarnyno infekcija ar uždegimas (peritonitas);</w:t>
      </w:r>
    </w:p>
    <w:p w:rsidR="00655AD6" w:rsidRPr="005522BC" w:rsidRDefault="00655AD6" w:rsidP="00655AD6">
      <w:pPr>
        <w:numPr>
          <w:ilvl w:val="0"/>
          <w:numId w:val="3"/>
        </w:numPr>
        <w:tabs>
          <w:tab w:val="clear" w:pos="360"/>
        </w:tabs>
        <w:ind w:left="567" w:right="-2" w:hanging="567"/>
        <w:rPr>
          <w:szCs w:val="22"/>
        </w:rPr>
      </w:pPr>
      <w:r w:rsidRPr="005522BC">
        <w:rPr>
          <w:szCs w:val="22"/>
        </w:rPr>
        <w:t>skrandžio arba žarnyno opos;</w:t>
      </w:r>
    </w:p>
    <w:p w:rsidR="00655AD6" w:rsidRPr="005522BC" w:rsidRDefault="00655AD6" w:rsidP="00655AD6">
      <w:pPr>
        <w:numPr>
          <w:ilvl w:val="0"/>
          <w:numId w:val="3"/>
        </w:numPr>
        <w:tabs>
          <w:tab w:val="clear" w:pos="360"/>
        </w:tabs>
        <w:ind w:left="567" w:right="-2" w:hanging="567"/>
        <w:rPr>
          <w:szCs w:val="22"/>
        </w:rPr>
      </w:pPr>
      <w:r w:rsidRPr="005522BC">
        <w:rPr>
          <w:szCs w:val="22"/>
        </w:rPr>
        <w:t>žarnų nepraeinamumas arba lėta peristaltika (judėjimas) žarnyne (pvz., vidurių užkietėjimas ir skrandžio komplikacijos dėl diabeto);</w:t>
      </w:r>
    </w:p>
    <w:p w:rsidR="00655AD6" w:rsidRPr="005522BC" w:rsidRDefault="00655AD6" w:rsidP="00655AD6">
      <w:pPr>
        <w:numPr>
          <w:ilvl w:val="0"/>
          <w:numId w:val="3"/>
        </w:numPr>
        <w:tabs>
          <w:tab w:val="clear" w:pos="360"/>
        </w:tabs>
        <w:ind w:left="567" w:right="-2" w:hanging="567"/>
        <w:rPr>
          <w:szCs w:val="22"/>
        </w:rPr>
      </w:pPr>
      <w:r w:rsidRPr="005522BC">
        <w:rPr>
          <w:szCs w:val="22"/>
        </w:rPr>
        <w:t>inkstų arba kepenų funkcijos sutrikimas.</w:t>
      </w:r>
    </w:p>
    <w:p w:rsidR="00655AD6" w:rsidRPr="005522BC" w:rsidRDefault="00655AD6" w:rsidP="00655AD6">
      <w:pPr>
        <w:numPr>
          <w:ilvl w:val="12"/>
          <w:numId w:val="0"/>
        </w:numPr>
        <w:ind w:right="-2"/>
        <w:rPr>
          <w:szCs w:val="22"/>
        </w:rPr>
      </w:pPr>
    </w:p>
    <w:p w:rsidR="00655AD6" w:rsidRPr="005522BC" w:rsidRDefault="00655AD6" w:rsidP="00655AD6">
      <w:pPr>
        <w:rPr>
          <w:szCs w:val="22"/>
        </w:rPr>
      </w:pPr>
      <w:r w:rsidRPr="005522BC">
        <w:rPr>
          <w:szCs w:val="22"/>
        </w:rPr>
        <w:t>Labai svarbu FOSRENOL tabletes visiškai sukramtyti, o ne nuryti nekramčius arba nepakankamai sukramčius. Tai sumažins nepageidaujamų virškinimo trakto komplikacijų, pvz., žarnyno sienelės plyšimo, žarnyno nepraeinamumo, vidurių užkietėjimo, riziką (žr. 4 skyrių).</w:t>
      </w:r>
    </w:p>
    <w:p w:rsidR="00655AD6" w:rsidRPr="005522BC" w:rsidRDefault="00655AD6" w:rsidP="00655AD6">
      <w:pPr>
        <w:rPr>
          <w:rFonts w:eastAsia="Verdana"/>
          <w:szCs w:val="22"/>
        </w:rPr>
      </w:pPr>
    </w:p>
    <w:p w:rsidR="00655AD6" w:rsidRPr="005522BC" w:rsidRDefault="00655AD6" w:rsidP="00655AD6">
      <w:pPr>
        <w:numPr>
          <w:ilvl w:val="12"/>
          <w:numId w:val="0"/>
        </w:numPr>
        <w:ind w:right="-2"/>
        <w:rPr>
          <w:szCs w:val="22"/>
        </w:rPr>
      </w:pPr>
      <w:r w:rsidRPr="005522BC">
        <w:rPr>
          <w:szCs w:val="22"/>
        </w:rPr>
        <w:t>Jeigu Jūsų inkstų funkcija yra sutrikusi, gydytojas gali nuspręsti retkarčiais išmatuoti kalcio kiekį Jūsų kraujyje. Jeigu kalcio trūksta, Jums gali būti papildomai skirta kalcio.</w:t>
      </w:r>
    </w:p>
    <w:p w:rsidR="00655AD6" w:rsidRPr="005522BC" w:rsidRDefault="00655AD6" w:rsidP="00655AD6">
      <w:pPr>
        <w:numPr>
          <w:ilvl w:val="12"/>
          <w:numId w:val="0"/>
        </w:numPr>
        <w:ind w:right="-2"/>
        <w:rPr>
          <w:szCs w:val="22"/>
        </w:rPr>
      </w:pPr>
    </w:p>
    <w:p w:rsidR="00655AD6" w:rsidRPr="005522BC" w:rsidRDefault="00655AD6" w:rsidP="00655AD6">
      <w:pPr>
        <w:numPr>
          <w:ilvl w:val="12"/>
          <w:numId w:val="0"/>
        </w:numPr>
        <w:ind w:right="-2"/>
        <w:rPr>
          <w:szCs w:val="22"/>
        </w:rPr>
      </w:pPr>
      <w:r w:rsidRPr="005522BC">
        <w:rPr>
          <w:szCs w:val="22"/>
        </w:rPr>
        <w:t>Jei Jums reikia tirtis rentgeno spinduliais, informuokite savo gydytoją, kad vartojate FOSRENOL, kadangi tai gali turėti įtakos tyrimo rezultatams.</w:t>
      </w:r>
    </w:p>
    <w:p w:rsidR="00655AD6" w:rsidRPr="005522BC" w:rsidRDefault="00655AD6" w:rsidP="00655AD6">
      <w:pPr>
        <w:numPr>
          <w:ilvl w:val="12"/>
          <w:numId w:val="0"/>
        </w:numPr>
        <w:ind w:right="-2"/>
        <w:rPr>
          <w:szCs w:val="22"/>
        </w:rPr>
      </w:pPr>
    </w:p>
    <w:p w:rsidR="00655AD6" w:rsidRPr="005522BC" w:rsidRDefault="00655AD6" w:rsidP="00655AD6">
      <w:pPr>
        <w:numPr>
          <w:ilvl w:val="12"/>
          <w:numId w:val="0"/>
        </w:numPr>
        <w:ind w:right="-2"/>
        <w:rPr>
          <w:szCs w:val="22"/>
        </w:rPr>
      </w:pPr>
      <w:r w:rsidRPr="005522BC">
        <w:rPr>
          <w:szCs w:val="22"/>
        </w:rPr>
        <w:t>Jeigu Jums reikia atlikti endoskopinį žarnyno tyrimą, praneškite gydytojui, kad vartojate FOSRENOL, nes endoskopuotojas virškinimo trakte gali aptikti lantano likučių.</w:t>
      </w:r>
    </w:p>
    <w:p w:rsidR="00655AD6" w:rsidRPr="005522BC" w:rsidRDefault="00655AD6" w:rsidP="00655AD6">
      <w:pPr>
        <w:numPr>
          <w:ilvl w:val="12"/>
          <w:numId w:val="0"/>
        </w:numPr>
        <w:ind w:right="-2"/>
        <w:rPr>
          <w:szCs w:val="22"/>
        </w:rPr>
      </w:pPr>
    </w:p>
    <w:p w:rsidR="00655AD6" w:rsidRPr="005522BC" w:rsidRDefault="00655AD6" w:rsidP="00655AD6">
      <w:pPr>
        <w:numPr>
          <w:ilvl w:val="12"/>
          <w:numId w:val="0"/>
        </w:numPr>
        <w:ind w:right="-2"/>
        <w:rPr>
          <w:b/>
          <w:bCs/>
          <w:szCs w:val="22"/>
        </w:rPr>
      </w:pPr>
      <w:r w:rsidRPr="005522BC">
        <w:rPr>
          <w:b/>
          <w:bCs/>
          <w:szCs w:val="22"/>
        </w:rPr>
        <w:t>Kiti vaistai ir FOSRENOL</w:t>
      </w:r>
    </w:p>
    <w:p w:rsidR="00655AD6" w:rsidRPr="005522BC" w:rsidRDefault="00655AD6" w:rsidP="00655AD6">
      <w:pPr>
        <w:numPr>
          <w:ilvl w:val="12"/>
          <w:numId w:val="0"/>
        </w:numPr>
        <w:ind w:right="-2"/>
        <w:rPr>
          <w:b/>
          <w:bCs/>
          <w:szCs w:val="22"/>
        </w:rPr>
      </w:pPr>
    </w:p>
    <w:p w:rsidR="00655AD6" w:rsidRPr="005522BC" w:rsidRDefault="00655AD6" w:rsidP="00655AD6">
      <w:pPr>
        <w:numPr>
          <w:ilvl w:val="12"/>
          <w:numId w:val="0"/>
        </w:numPr>
        <w:ind w:right="-2"/>
        <w:rPr>
          <w:szCs w:val="24"/>
        </w:rPr>
      </w:pPr>
      <w:r w:rsidRPr="005522BC">
        <w:rPr>
          <w:szCs w:val="24"/>
        </w:rPr>
        <w:t xml:space="preserve">Jeigu vartojate ar neseniai vartojote kitų vaistų </w:t>
      </w:r>
      <w:r w:rsidRPr="005522BC">
        <w:rPr>
          <w:szCs w:val="22"/>
        </w:rPr>
        <w:t>arba dėl to nesate tikri, apie tai</w:t>
      </w:r>
      <w:r w:rsidRPr="005522BC">
        <w:rPr>
          <w:szCs w:val="24"/>
        </w:rPr>
        <w:t xml:space="preserve"> pasakykite gydytojui arba vaistininkui.</w:t>
      </w:r>
    </w:p>
    <w:p w:rsidR="00655AD6" w:rsidRPr="005522BC" w:rsidRDefault="00655AD6" w:rsidP="00655AD6">
      <w:pPr>
        <w:numPr>
          <w:ilvl w:val="12"/>
          <w:numId w:val="0"/>
        </w:numPr>
        <w:ind w:right="-2"/>
        <w:rPr>
          <w:b/>
          <w:szCs w:val="22"/>
        </w:rPr>
      </w:pPr>
    </w:p>
    <w:p w:rsidR="00655AD6" w:rsidRPr="005522BC" w:rsidRDefault="00655AD6" w:rsidP="00655AD6">
      <w:pPr>
        <w:rPr>
          <w:szCs w:val="22"/>
        </w:rPr>
      </w:pPr>
      <w:r w:rsidRPr="005522BC">
        <w:rPr>
          <w:szCs w:val="22"/>
        </w:rPr>
        <w:t>FOSRENOL gali pakeisti tam tikrų vaistų absorbavimą virškinimo trakte. Jeigu vartojate chlorokviną (vaistą nuo reumatizmo ir maliarijos), ketokonazolą (vaistą nuo grybelinių infekcijų),</w:t>
      </w:r>
    </w:p>
    <w:p w:rsidR="00655AD6" w:rsidRPr="005522BC" w:rsidRDefault="00655AD6" w:rsidP="00655AD6">
      <w:pPr>
        <w:rPr>
          <w:szCs w:val="22"/>
        </w:rPr>
      </w:pPr>
      <w:r w:rsidRPr="005522BC">
        <w:rPr>
          <w:szCs w:val="22"/>
        </w:rPr>
        <w:t xml:space="preserve">antibiotikus tetracikliną ar doksicikliną, jų negalima vartoti 2 valandas prieš ar po </w:t>
      </w:r>
      <w:r w:rsidRPr="005522BC">
        <w:t xml:space="preserve">FOSRENOL </w:t>
      </w:r>
      <w:r w:rsidRPr="005522BC">
        <w:rPr>
          <w:szCs w:val="22"/>
        </w:rPr>
        <w:t>pavartojimo.</w:t>
      </w:r>
    </w:p>
    <w:p w:rsidR="00655AD6" w:rsidRPr="005522BC" w:rsidRDefault="00655AD6" w:rsidP="00655AD6">
      <w:pPr>
        <w:rPr>
          <w:szCs w:val="22"/>
        </w:rPr>
      </w:pPr>
    </w:p>
    <w:p w:rsidR="00655AD6" w:rsidRPr="005522BC" w:rsidRDefault="00655AD6" w:rsidP="00655AD6">
      <w:pPr>
        <w:rPr>
          <w:szCs w:val="22"/>
        </w:rPr>
      </w:pPr>
      <w:r w:rsidRPr="005522BC">
        <w:rPr>
          <w:szCs w:val="22"/>
        </w:rPr>
        <w:t xml:space="preserve">Nerekomenduojama vartoti geriamojo antibiotiko floksacino (įskaitant ciprofloksaciną) 2 valandas prieš ar 4 valandas po </w:t>
      </w:r>
      <w:r w:rsidRPr="005522BC">
        <w:t xml:space="preserve">FOSRENOL </w:t>
      </w:r>
      <w:r w:rsidRPr="005522BC">
        <w:rPr>
          <w:szCs w:val="22"/>
        </w:rPr>
        <w:t>pavartojimo.</w:t>
      </w:r>
    </w:p>
    <w:p w:rsidR="00655AD6" w:rsidRPr="005522BC" w:rsidRDefault="00655AD6" w:rsidP="00655AD6">
      <w:pPr>
        <w:rPr>
          <w:szCs w:val="22"/>
        </w:rPr>
      </w:pPr>
    </w:p>
    <w:p w:rsidR="00655AD6" w:rsidRPr="005522BC" w:rsidRDefault="00655AD6" w:rsidP="00655AD6">
      <w:pPr>
        <w:autoSpaceDE w:val="0"/>
        <w:autoSpaceDN w:val="0"/>
        <w:adjustRightInd w:val="0"/>
        <w:rPr>
          <w:szCs w:val="22"/>
        </w:rPr>
      </w:pPr>
      <w:r w:rsidRPr="005522BC">
        <w:rPr>
          <w:szCs w:val="22"/>
        </w:rPr>
        <w:t xml:space="preserve">Jei vartojate levotiroksiną (esant nepakankamai veikliai skydliaukei), jo negalima vartoti 2 valandas prieš ar po </w:t>
      </w:r>
      <w:r w:rsidRPr="005522BC">
        <w:t>FOSRENOL</w:t>
      </w:r>
      <w:r w:rsidRPr="005522BC">
        <w:rPr>
          <w:szCs w:val="22"/>
        </w:rPr>
        <w:t xml:space="preserve"> pavartojimo. Jūsų gydytojas gali pageidauti atidžiau stebėti skydliaukės veiklą skatinančio hormono tireotropino (TTH) kiekį kraujyje.</w:t>
      </w:r>
    </w:p>
    <w:p w:rsidR="00655AD6" w:rsidRPr="005522BC" w:rsidRDefault="00655AD6" w:rsidP="00655AD6">
      <w:pPr>
        <w:autoSpaceDE w:val="0"/>
        <w:autoSpaceDN w:val="0"/>
        <w:adjustRightInd w:val="0"/>
        <w:rPr>
          <w:szCs w:val="22"/>
        </w:rPr>
      </w:pPr>
    </w:p>
    <w:p w:rsidR="00655AD6" w:rsidRPr="005522BC" w:rsidRDefault="00655AD6" w:rsidP="00655AD6">
      <w:pPr>
        <w:numPr>
          <w:ilvl w:val="12"/>
          <w:numId w:val="0"/>
        </w:numPr>
        <w:ind w:right="-2"/>
        <w:rPr>
          <w:b/>
          <w:bCs/>
          <w:szCs w:val="22"/>
        </w:rPr>
      </w:pPr>
      <w:r w:rsidRPr="005522BC">
        <w:rPr>
          <w:b/>
          <w:bCs/>
          <w:szCs w:val="22"/>
        </w:rPr>
        <w:t>FOSRENOL vartojimas su maistu ir gėrimais</w:t>
      </w:r>
    </w:p>
    <w:p w:rsidR="00655AD6" w:rsidRPr="005522BC" w:rsidRDefault="00655AD6" w:rsidP="00655AD6">
      <w:pPr>
        <w:numPr>
          <w:ilvl w:val="12"/>
          <w:numId w:val="0"/>
        </w:numPr>
        <w:ind w:right="-2"/>
        <w:rPr>
          <w:b/>
          <w:bCs/>
          <w:szCs w:val="22"/>
        </w:rPr>
      </w:pPr>
    </w:p>
    <w:p w:rsidR="00655AD6" w:rsidRPr="005522BC" w:rsidRDefault="00655AD6" w:rsidP="00655AD6">
      <w:pPr>
        <w:numPr>
          <w:ilvl w:val="12"/>
          <w:numId w:val="0"/>
        </w:numPr>
        <w:ind w:right="-2"/>
        <w:rPr>
          <w:szCs w:val="22"/>
        </w:rPr>
      </w:pPr>
      <w:r w:rsidRPr="005522BC">
        <w:rPr>
          <w:szCs w:val="22"/>
        </w:rPr>
        <w:t>Vartokite iškart po valgio arba valgio metu. Žr. 3 skyrių, kur nurodyta, kaip vartoti FOSRENOL.</w:t>
      </w:r>
    </w:p>
    <w:p w:rsidR="00655AD6" w:rsidRPr="005522BC" w:rsidRDefault="00655AD6" w:rsidP="00655AD6">
      <w:pPr>
        <w:numPr>
          <w:ilvl w:val="12"/>
          <w:numId w:val="0"/>
        </w:numPr>
        <w:ind w:right="-2"/>
        <w:rPr>
          <w:szCs w:val="22"/>
        </w:rPr>
      </w:pPr>
    </w:p>
    <w:p w:rsidR="00655AD6" w:rsidRPr="005522BC" w:rsidRDefault="00655AD6" w:rsidP="00655AD6">
      <w:pPr>
        <w:numPr>
          <w:ilvl w:val="12"/>
          <w:numId w:val="0"/>
        </w:numPr>
        <w:ind w:right="-2"/>
        <w:rPr>
          <w:b/>
          <w:bCs/>
          <w:szCs w:val="22"/>
        </w:rPr>
      </w:pPr>
      <w:r w:rsidRPr="005522BC">
        <w:rPr>
          <w:b/>
          <w:bCs/>
          <w:szCs w:val="22"/>
        </w:rPr>
        <w:t>Nėštumas ir žindymo laikotarpis</w:t>
      </w:r>
    </w:p>
    <w:p w:rsidR="00655AD6" w:rsidRPr="005522BC" w:rsidRDefault="00655AD6" w:rsidP="00655AD6">
      <w:pPr>
        <w:numPr>
          <w:ilvl w:val="12"/>
          <w:numId w:val="0"/>
        </w:numPr>
        <w:ind w:right="-2"/>
        <w:rPr>
          <w:b/>
          <w:bCs/>
          <w:szCs w:val="22"/>
        </w:rPr>
      </w:pPr>
    </w:p>
    <w:p w:rsidR="00655AD6" w:rsidRPr="005522BC" w:rsidRDefault="00655AD6" w:rsidP="00655AD6">
      <w:pPr>
        <w:numPr>
          <w:ilvl w:val="12"/>
          <w:numId w:val="0"/>
        </w:numPr>
        <w:rPr>
          <w:szCs w:val="22"/>
        </w:rPr>
      </w:pPr>
      <w:r w:rsidRPr="005522BC">
        <w:rPr>
          <w:szCs w:val="22"/>
        </w:rPr>
        <w:t xml:space="preserve">FOSRENOL negalima vartoti nėštumo metu. </w:t>
      </w:r>
      <w:r w:rsidRPr="005522BC">
        <w:rPr>
          <w:szCs w:val="24"/>
        </w:rPr>
        <w:t>Jeigu esate nėščia, žindote kūdikį, manote, kad galbūt esate nėščia arba planuojate pastoti, tai prieš vartodama šį vaistą pasitarkite su gydytoju arba vaistininku.</w:t>
      </w:r>
    </w:p>
    <w:p w:rsidR="00655AD6" w:rsidRPr="005522BC" w:rsidRDefault="00655AD6" w:rsidP="00655AD6">
      <w:pPr>
        <w:numPr>
          <w:ilvl w:val="12"/>
          <w:numId w:val="0"/>
        </w:numPr>
        <w:rPr>
          <w:szCs w:val="22"/>
        </w:rPr>
      </w:pPr>
    </w:p>
    <w:p w:rsidR="00655AD6" w:rsidRPr="005522BC" w:rsidRDefault="00655AD6" w:rsidP="00655AD6">
      <w:pPr>
        <w:numPr>
          <w:ilvl w:val="12"/>
          <w:numId w:val="0"/>
        </w:numPr>
        <w:rPr>
          <w:szCs w:val="22"/>
        </w:rPr>
      </w:pPr>
      <w:r w:rsidRPr="005522BC">
        <w:rPr>
          <w:szCs w:val="22"/>
        </w:rPr>
        <w:t xml:space="preserve">Kadangi nežinoma, ar vaistas gali būti perduodamas vaikui su motinos pienu, vartojant FOSRENOL, vaiko žindyti negalima. Jeigu žindote </w:t>
      </w:r>
      <w:r w:rsidRPr="005522BC">
        <w:rPr>
          <w:szCs w:val="24"/>
        </w:rPr>
        <w:t>kūdikį</w:t>
      </w:r>
      <w:r w:rsidRPr="005522BC">
        <w:rPr>
          <w:szCs w:val="22"/>
        </w:rPr>
        <w:t>, tai prieš vartodama bet kokius vaistus pasitarkite su gydytoju arba vaistininku.</w:t>
      </w:r>
    </w:p>
    <w:p w:rsidR="00655AD6" w:rsidRPr="005522BC" w:rsidRDefault="00655AD6" w:rsidP="00655AD6">
      <w:pPr>
        <w:numPr>
          <w:ilvl w:val="12"/>
          <w:numId w:val="0"/>
        </w:numPr>
        <w:rPr>
          <w:szCs w:val="22"/>
        </w:rPr>
      </w:pPr>
    </w:p>
    <w:p w:rsidR="00655AD6" w:rsidRPr="005522BC" w:rsidRDefault="00655AD6" w:rsidP="00655AD6">
      <w:pPr>
        <w:numPr>
          <w:ilvl w:val="12"/>
          <w:numId w:val="0"/>
        </w:numPr>
        <w:ind w:right="-2"/>
        <w:rPr>
          <w:b/>
          <w:bCs/>
          <w:szCs w:val="22"/>
        </w:rPr>
      </w:pPr>
      <w:r w:rsidRPr="005522BC">
        <w:rPr>
          <w:b/>
          <w:bCs/>
          <w:szCs w:val="22"/>
        </w:rPr>
        <w:t>Vairavimas ir mechanizmų valdymas</w:t>
      </w:r>
    </w:p>
    <w:p w:rsidR="00655AD6" w:rsidRPr="005522BC" w:rsidRDefault="00655AD6" w:rsidP="00655AD6">
      <w:pPr>
        <w:numPr>
          <w:ilvl w:val="12"/>
          <w:numId w:val="0"/>
        </w:numPr>
        <w:ind w:right="-2"/>
        <w:rPr>
          <w:b/>
          <w:bCs/>
          <w:szCs w:val="22"/>
        </w:rPr>
      </w:pPr>
    </w:p>
    <w:p w:rsidR="00655AD6" w:rsidRPr="005522BC" w:rsidRDefault="00655AD6" w:rsidP="00655AD6">
      <w:pPr>
        <w:rPr>
          <w:szCs w:val="22"/>
        </w:rPr>
      </w:pPr>
      <w:r w:rsidRPr="005522BC">
        <w:rPr>
          <w:szCs w:val="22"/>
        </w:rPr>
        <w:t>Galvos svaigimas ir svaigulys yra nedažnai FOSRENOL preparatą vartojantiems pacientams pasireiškiantis šalutinis poveikis. Jei pasireiškia šis šalutinis poveikis, tai gali veikti Jūsų gebėjimą vairuoti ar valdyti mechanizmus.</w:t>
      </w:r>
    </w:p>
    <w:p w:rsidR="00655AD6" w:rsidRPr="005522BC" w:rsidRDefault="00655AD6" w:rsidP="00655AD6">
      <w:pPr>
        <w:rPr>
          <w:szCs w:val="22"/>
        </w:rPr>
      </w:pPr>
    </w:p>
    <w:p w:rsidR="00655AD6" w:rsidRPr="005522BC" w:rsidRDefault="00655AD6" w:rsidP="00655AD6">
      <w:pPr>
        <w:keepNext/>
        <w:rPr>
          <w:b/>
          <w:szCs w:val="22"/>
        </w:rPr>
      </w:pPr>
      <w:r w:rsidRPr="005522BC">
        <w:rPr>
          <w:b/>
          <w:szCs w:val="22"/>
        </w:rPr>
        <w:lastRenderedPageBreak/>
        <w:t>FOSRENOL sudėtyje yra gliukozės</w:t>
      </w:r>
    </w:p>
    <w:p w:rsidR="00655AD6" w:rsidRPr="005522BC" w:rsidRDefault="00655AD6" w:rsidP="00655AD6">
      <w:pPr>
        <w:keepNext/>
        <w:rPr>
          <w:b/>
          <w:szCs w:val="22"/>
        </w:rPr>
      </w:pPr>
    </w:p>
    <w:p w:rsidR="00655AD6" w:rsidRPr="005522BC" w:rsidRDefault="00655AD6" w:rsidP="00655AD6">
      <w:pPr>
        <w:keepNext/>
        <w:rPr>
          <w:szCs w:val="22"/>
        </w:rPr>
      </w:pPr>
      <w:r w:rsidRPr="005522BC">
        <w:t>Jeigu gydytojas Jums yra sakęs, kad netoleruojate kokių nors angliavandenių, kreipkitės į jį prieš pradėdami vartoti šį vaistą.</w:t>
      </w:r>
    </w:p>
    <w:p w:rsidR="00655AD6" w:rsidRPr="005522BC" w:rsidRDefault="00655AD6" w:rsidP="00655AD6">
      <w:pPr>
        <w:rPr>
          <w:szCs w:val="22"/>
        </w:rPr>
      </w:pPr>
    </w:p>
    <w:p w:rsidR="00655AD6" w:rsidRPr="005522BC" w:rsidRDefault="00655AD6" w:rsidP="00655AD6"/>
    <w:p w:rsidR="00655AD6" w:rsidRPr="005522BC" w:rsidRDefault="00655AD6" w:rsidP="00655AD6">
      <w:pPr>
        <w:keepNext/>
        <w:keepLines/>
        <w:rPr>
          <w:b/>
        </w:rPr>
      </w:pPr>
      <w:r w:rsidRPr="005522BC">
        <w:rPr>
          <w:b/>
        </w:rPr>
        <w:t>3.</w:t>
      </w:r>
      <w:r w:rsidRPr="005522BC">
        <w:rPr>
          <w:b/>
        </w:rPr>
        <w:tab/>
        <w:t>Kaip vartoti FOSRENOL</w:t>
      </w:r>
    </w:p>
    <w:p w:rsidR="00655AD6" w:rsidRPr="005522BC" w:rsidRDefault="00655AD6" w:rsidP="00655AD6">
      <w:pPr>
        <w:keepNext/>
        <w:keepLines/>
        <w:rPr>
          <w:szCs w:val="22"/>
        </w:rPr>
      </w:pPr>
    </w:p>
    <w:p w:rsidR="00655AD6" w:rsidRPr="005522BC" w:rsidRDefault="00655AD6" w:rsidP="00655AD6">
      <w:pPr>
        <w:keepNext/>
        <w:keepLines/>
        <w:numPr>
          <w:ilvl w:val="12"/>
          <w:numId w:val="0"/>
        </w:numPr>
        <w:ind w:right="-2"/>
        <w:rPr>
          <w:szCs w:val="22"/>
        </w:rPr>
      </w:pPr>
      <w:r w:rsidRPr="005522BC">
        <w:rPr>
          <w:szCs w:val="22"/>
        </w:rPr>
        <w:t>Visada vartokite šį vaistą tiksliai, kaip nurodė gydytojas arba vaistininkas. Jeigu abejojate, kreipkitės į gydytoją arba vaistininką.</w:t>
      </w:r>
    </w:p>
    <w:p w:rsidR="00655AD6" w:rsidRPr="005522BC" w:rsidRDefault="00655AD6" w:rsidP="00655AD6">
      <w:pPr>
        <w:keepNext/>
        <w:keepLines/>
        <w:numPr>
          <w:ilvl w:val="12"/>
          <w:numId w:val="0"/>
        </w:numPr>
        <w:ind w:right="-2"/>
        <w:rPr>
          <w:szCs w:val="22"/>
        </w:rPr>
      </w:pPr>
    </w:p>
    <w:p w:rsidR="00655AD6" w:rsidRPr="005522BC" w:rsidRDefault="00655AD6" w:rsidP="00655AD6">
      <w:pPr>
        <w:pStyle w:val="Dokumentoinaostekstas"/>
        <w:numPr>
          <w:ilvl w:val="12"/>
          <w:numId w:val="0"/>
        </w:numPr>
        <w:spacing w:after="0"/>
        <w:jc w:val="left"/>
        <w:rPr>
          <w:rFonts w:ascii="Times New Roman" w:hAnsi="Times New Roman" w:cs="Times New Roman"/>
          <w:lang w:val="lt-LT"/>
        </w:rPr>
      </w:pPr>
      <w:r w:rsidRPr="005522BC">
        <w:rPr>
          <w:rFonts w:ascii="Times New Roman" w:hAnsi="Times New Roman" w:cs="Times New Roman"/>
          <w:lang w:val="lt-LT"/>
        </w:rPr>
        <w:t>FOSRENOL vartokite iškart po valgio arba valgio metu. Jei FOSRENOL gersite prieš valgį, labiau tikėtinas toks šalutinis poveikis kaip pykinimas arba vėmimas.</w:t>
      </w:r>
    </w:p>
    <w:p w:rsidR="00655AD6" w:rsidRPr="005522BC" w:rsidRDefault="00655AD6" w:rsidP="00655AD6">
      <w:pPr>
        <w:pStyle w:val="Dokumentoinaostekstas"/>
        <w:numPr>
          <w:ilvl w:val="12"/>
          <w:numId w:val="0"/>
        </w:numPr>
        <w:spacing w:after="0"/>
        <w:jc w:val="left"/>
        <w:rPr>
          <w:rFonts w:ascii="Times New Roman" w:hAnsi="Times New Roman" w:cs="Times New Roman"/>
          <w:lang w:val="lt-LT"/>
        </w:rPr>
      </w:pPr>
    </w:p>
    <w:p w:rsidR="00655AD6" w:rsidRPr="005522BC" w:rsidRDefault="00655AD6" w:rsidP="00655AD6">
      <w:pPr>
        <w:pStyle w:val="Dokumentoinaostekstas"/>
        <w:numPr>
          <w:ilvl w:val="12"/>
          <w:numId w:val="0"/>
        </w:numPr>
        <w:spacing w:after="0"/>
        <w:jc w:val="left"/>
        <w:rPr>
          <w:rFonts w:ascii="Times New Roman" w:hAnsi="Times New Roman" w:cs="Times New Roman"/>
          <w:lang w:val="lt-LT"/>
        </w:rPr>
      </w:pPr>
      <w:r w:rsidRPr="005522BC">
        <w:rPr>
          <w:rFonts w:ascii="Times New Roman" w:hAnsi="Times New Roman" w:cs="Times New Roman"/>
          <w:lang w:val="lt-LT"/>
        </w:rPr>
        <w:t>Tabletes būtina visiškai sukramtyti prieš nuryjant. Kad lengviau būtų kramtyti, tabletes galima susmulkinti. Nebūtina užgerti skysčiu.</w:t>
      </w:r>
    </w:p>
    <w:p w:rsidR="00655AD6" w:rsidRPr="005522BC" w:rsidRDefault="00655AD6" w:rsidP="00655AD6">
      <w:pPr>
        <w:rPr>
          <w:lang w:eastAsia="en-US"/>
        </w:rPr>
      </w:pPr>
      <w:r w:rsidRPr="005522BC">
        <w:rPr>
          <w:lang w:eastAsia="en-US"/>
        </w:rPr>
        <w:t>Jeigu Jums sunku sukramtyti tabletes, p</w:t>
      </w:r>
      <w:r w:rsidRPr="005522BC">
        <w:rPr>
          <w:szCs w:val="22"/>
        </w:rPr>
        <w:t>asitarkite su gydytoju, nes šis vaistas tiekiamas ir geriamųjų miltelių forma.</w:t>
      </w:r>
    </w:p>
    <w:p w:rsidR="00655AD6" w:rsidRPr="005522BC" w:rsidRDefault="00655AD6" w:rsidP="00655AD6">
      <w:pPr>
        <w:rPr>
          <w:lang w:eastAsia="en-US"/>
        </w:rPr>
      </w:pPr>
    </w:p>
    <w:p w:rsidR="00655AD6" w:rsidRPr="005522BC" w:rsidRDefault="00655AD6" w:rsidP="00655AD6">
      <w:pPr>
        <w:pStyle w:val="Dokumentoinaostekstas"/>
        <w:numPr>
          <w:ilvl w:val="12"/>
          <w:numId w:val="0"/>
        </w:numPr>
        <w:spacing w:after="0"/>
        <w:jc w:val="left"/>
        <w:rPr>
          <w:rFonts w:ascii="Times New Roman" w:hAnsi="Times New Roman" w:cs="Times New Roman"/>
          <w:lang w:val="lt-LT"/>
        </w:rPr>
      </w:pPr>
      <w:r w:rsidRPr="005522BC">
        <w:rPr>
          <w:rFonts w:ascii="Times New Roman" w:hAnsi="Times New Roman" w:cs="Times New Roman"/>
          <w:lang w:val="lt-LT"/>
        </w:rPr>
        <w:t>Gydytojas nurodys Jums, kiek tablečių turite sukramtyti kiekvieno valgio metu (dienos dozė bus padalinta pagal valgių skaičių). Vartojamų tablečių skaičius priklausys nuo:</w:t>
      </w:r>
    </w:p>
    <w:p w:rsidR="00655AD6" w:rsidRPr="005522BC" w:rsidRDefault="00655AD6" w:rsidP="00655AD6"/>
    <w:p w:rsidR="00655AD6" w:rsidRPr="005522BC" w:rsidRDefault="00655AD6" w:rsidP="00655AD6">
      <w:pPr>
        <w:numPr>
          <w:ilvl w:val="0"/>
          <w:numId w:val="1"/>
        </w:numPr>
        <w:tabs>
          <w:tab w:val="clear" w:pos="360"/>
        </w:tabs>
        <w:ind w:left="567" w:hanging="567"/>
        <w:rPr>
          <w:szCs w:val="22"/>
        </w:rPr>
      </w:pPr>
      <w:r w:rsidRPr="005522BC">
        <w:rPr>
          <w:szCs w:val="22"/>
        </w:rPr>
        <w:t>vartojamo maisto (fosfato kiekio Jūsų suvartojamame maiste);</w:t>
      </w:r>
    </w:p>
    <w:p w:rsidR="00655AD6" w:rsidRPr="005522BC" w:rsidRDefault="00655AD6" w:rsidP="00655AD6">
      <w:pPr>
        <w:numPr>
          <w:ilvl w:val="0"/>
          <w:numId w:val="1"/>
        </w:numPr>
        <w:tabs>
          <w:tab w:val="clear" w:pos="360"/>
        </w:tabs>
        <w:ind w:left="567" w:hanging="567"/>
        <w:rPr>
          <w:szCs w:val="22"/>
        </w:rPr>
      </w:pPr>
      <w:r w:rsidRPr="005522BC">
        <w:rPr>
          <w:szCs w:val="22"/>
        </w:rPr>
        <w:t>fosfato kiekio kraujyje.</w:t>
      </w:r>
    </w:p>
    <w:p w:rsidR="00655AD6" w:rsidRPr="005522BC" w:rsidRDefault="00655AD6" w:rsidP="00655AD6">
      <w:pPr>
        <w:pStyle w:val="Dokumentoinaostekstas"/>
        <w:spacing w:after="0"/>
        <w:ind w:left="0" w:firstLine="0"/>
        <w:jc w:val="left"/>
        <w:rPr>
          <w:rFonts w:ascii="Times New Roman" w:hAnsi="Times New Roman" w:cs="Times New Roman"/>
          <w:lang w:val="lt-LT"/>
        </w:rPr>
      </w:pPr>
    </w:p>
    <w:p w:rsidR="00655AD6" w:rsidRPr="005522BC" w:rsidRDefault="00655AD6" w:rsidP="00655AD6">
      <w:pPr>
        <w:pStyle w:val="Dokumentoinaostekstas"/>
        <w:spacing w:after="0"/>
        <w:ind w:left="0" w:firstLine="0"/>
        <w:jc w:val="left"/>
        <w:rPr>
          <w:rFonts w:ascii="Times New Roman" w:hAnsi="Times New Roman" w:cs="Times New Roman"/>
          <w:lang w:val="lt-LT"/>
        </w:rPr>
      </w:pPr>
      <w:r w:rsidRPr="005522BC">
        <w:rPr>
          <w:rFonts w:ascii="Times New Roman" w:hAnsi="Times New Roman" w:cs="Times New Roman"/>
          <w:lang w:val="lt-LT"/>
        </w:rPr>
        <w:t>Pradedant vartoti FOSRENOL, paprastai skiriama 1 tabletė kiekvieno valgio metu (3 tabletės per dieną).</w:t>
      </w:r>
    </w:p>
    <w:p w:rsidR="00655AD6" w:rsidRPr="005522BC" w:rsidRDefault="00655AD6" w:rsidP="00655AD6">
      <w:pPr>
        <w:rPr>
          <w:lang w:eastAsia="en-US"/>
        </w:rPr>
      </w:pPr>
    </w:p>
    <w:p w:rsidR="00655AD6" w:rsidRPr="005522BC" w:rsidRDefault="00655AD6" w:rsidP="00655AD6">
      <w:pPr>
        <w:pStyle w:val="Dokumentoinaostekstas"/>
        <w:spacing w:after="0"/>
        <w:ind w:left="0" w:firstLine="0"/>
        <w:jc w:val="left"/>
        <w:rPr>
          <w:rFonts w:ascii="Times New Roman" w:hAnsi="Times New Roman" w:cs="Times New Roman"/>
          <w:lang w:val="lt-LT"/>
        </w:rPr>
      </w:pPr>
      <w:r w:rsidRPr="005522BC">
        <w:rPr>
          <w:rFonts w:ascii="Times New Roman" w:hAnsi="Times New Roman" w:cs="Times New Roman"/>
          <w:lang w:val="lt-LT"/>
        </w:rPr>
        <w:t>Kas 2 − 3 savaites Jūsų gydytojas išmatuos fosfato kiekį kraujyje ir tada galės padidinti šią dozę tinkamam fosfato lygiui kraujyje išlaikyti.</w:t>
      </w:r>
    </w:p>
    <w:p w:rsidR="00655AD6" w:rsidRPr="005522BC" w:rsidRDefault="00655AD6" w:rsidP="00655AD6">
      <w:pPr>
        <w:rPr>
          <w:lang w:eastAsia="en-US"/>
        </w:rPr>
      </w:pPr>
    </w:p>
    <w:p w:rsidR="00655AD6" w:rsidRPr="005522BC" w:rsidRDefault="00655AD6" w:rsidP="00655AD6">
      <w:pPr>
        <w:pStyle w:val="Dokumentoinaostekstas"/>
        <w:spacing w:after="0"/>
        <w:ind w:left="0" w:firstLine="0"/>
        <w:jc w:val="left"/>
        <w:rPr>
          <w:rFonts w:ascii="Times New Roman" w:hAnsi="Times New Roman" w:cs="Times New Roman"/>
          <w:lang w:val="lt-LT"/>
        </w:rPr>
      </w:pPr>
      <w:r w:rsidRPr="005522BC">
        <w:rPr>
          <w:rFonts w:ascii="Times New Roman" w:hAnsi="Times New Roman" w:cs="Times New Roman"/>
          <w:lang w:val="lt-LT"/>
        </w:rPr>
        <w:t>Virškinimo trakte FOSRENOL sujungia fosfatus esančius maiste. Labai svarbu FOSRENOL vartoti kiekvieno valgio metu. Jeigu pasikeičia Jūsų valgymo įpročiai, kreipkitės į gydytoją, nes Jums gali prireikti vartoti daugiau FOSRENOL tablečių. Jūsų gydytojas patars, ką tokiu atveju daryti.</w:t>
      </w:r>
    </w:p>
    <w:p w:rsidR="00655AD6" w:rsidRPr="005522BC" w:rsidRDefault="00655AD6" w:rsidP="00655AD6">
      <w:pPr>
        <w:rPr>
          <w:lang w:eastAsia="en-US"/>
        </w:rPr>
      </w:pPr>
    </w:p>
    <w:p w:rsidR="00655AD6" w:rsidRPr="005522BC" w:rsidRDefault="00655AD6" w:rsidP="00655AD6">
      <w:pPr>
        <w:numPr>
          <w:ilvl w:val="12"/>
          <w:numId w:val="0"/>
        </w:numPr>
        <w:ind w:right="-2"/>
        <w:rPr>
          <w:b/>
          <w:bCs/>
          <w:szCs w:val="22"/>
        </w:rPr>
      </w:pPr>
      <w:r w:rsidRPr="005522BC">
        <w:rPr>
          <w:b/>
        </w:rPr>
        <w:t>Ką daryti p</w:t>
      </w:r>
      <w:r w:rsidRPr="005522BC">
        <w:rPr>
          <w:b/>
          <w:bCs/>
          <w:szCs w:val="22"/>
        </w:rPr>
        <w:t>avartojus per didelę FOSRENOL dozę?</w:t>
      </w:r>
    </w:p>
    <w:p w:rsidR="00655AD6" w:rsidRPr="005522BC" w:rsidRDefault="00655AD6" w:rsidP="00655AD6">
      <w:pPr>
        <w:numPr>
          <w:ilvl w:val="12"/>
          <w:numId w:val="0"/>
        </w:numPr>
        <w:ind w:right="-2"/>
        <w:rPr>
          <w:b/>
          <w:bCs/>
          <w:szCs w:val="22"/>
        </w:rPr>
      </w:pPr>
    </w:p>
    <w:p w:rsidR="00655AD6" w:rsidRPr="005522BC" w:rsidRDefault="00655AD6" w:rsidP="00655AD6">
      <w:pPr>
        <w:pStyle w:val="Dokumentoinaostekstas"/>
        <w:numPr>
          <w:ilvl w:val="12"/>
          <w:numId w:val="0"/>
        </w:numPr>
        <w:spacing w:after="0"/>
        <w:jc w:val="left"/>
        <w:rPr>
          <w:rFonts w:ascii="Times New Roman" w:hAnsi="Times New Roman" w:cs="Times New Roman"/>
          <w:lang w:val="lt-LT"/>
        </w:rPr>
      </w:pPr>
      <w:r w:rsidRPr="005522BC">
        <w:rPr>
          <w:rFonts w:ascii="Times New Roman" w:hAnsi="Times New Roman" w:cs="Times New Roman"/>
          <w:lang w:val="lt-LT"/>
        </w:rPr>
        <w:t>Jei išgėrėte per daug tablečių, kreipkitės į gydytoją, kuris įvertins pavojų ir patars ką daryti toliau. Perdozavimo simptomai – pykinimas ir galvos skausmas.</w:t>
      </w:r>
    </w:p>
    <w:p w:rsidR="00655AD6" w:rsidRPr="005522BC" w:rsidRDefault="00655AD6" w:rsidP="00655AD6">
      <w:pPr>
        <w:rPr>
          <w:lang w:eastAsia="en-US"/>
        </w:rPr>
      </w:pPr>
    </w:p>
    <w:p w:rsidR="00655AD6" w:rsidRPr="005522BC" w:rsidRDefault="00655AD6" w:rsidP="00655AD6">
      <w:pPr>
        <w:numPr>
          <w:ilvl w:val="12"/>
          <w:numId w:val="0"/>
        </w:numPr>
        <w:ind w:right="-2"/>
        <w:rPr>
          <w:b/>
          <w:bCs/>
          <w:szCs w:val="22"/>
        </w:rPr>
      </w:pPr>
      <w:r w:rsidRPr="005522BC">
        <w:rPr>
          <w:b/>
          <w:bCs/>
          <w:szCs w:val="22"/>
        </w:rPr>
        <w:t>Pamiršus pavartoti FOSRENOL</w:t>
      </w:r>
    </w:p>
    <w:p w:rsidR="00655AD6" w:rsidRPr="005522BC" w:rsidRDefault="00655AD6" w:rsidP="00655AD6">
      <w:pPr>
        <w:numPr>
          <w:ilvl w:val="12"/>
          <w:numId w:val="0"/>
        </w:numPr>
        <w:ind w:right="-2"/>
        <w:rPr>
          <w:b/>
          <w:bCs/>
          <w:szCs w:val="22"/>
        </w:rPr>
      </w:pPr>
    </w:p>
    <w:p w:rsidR="00655AD6" w:rsidRPr="005522BC" w:rsidRDefault="00655AD6" w:rsidP="00655AD6">
      <w:r w:rsidRPr="005522BC">
        <w:t>Labai svarbu FOSRENOL vartoti kiekvieno valgio metu.</w:t>
      </w:r>
    </w:p>
    <w:p w:rsidR="00655AD6" w:rsidRPr="005522BC" w:rsidRDefault="00655AD6" w:rsidP="00655AD6"/>
    <w:p w:rsidR="00655AD6" w:rsidRPr="005522BC" w:rsidRDefault="00655AD6" w:rsidP="00655AD6">
      <w:pPr>
        <w:rPr>
          <w:szCs w:val="22"/>
        </w:rPr>
      </w:pPr>
      <w:r w:rsidRPr="005522BC">
        <w:rPr>
          <w:szCs w:val="22"/>
        </w:rPr>
        <w:t>Jei užmiršote išgerti FOSRENOL tabletes, tada kito valgio metu išgerkite kitą dozę. Negalima vartoti dvigubos dozės norint kompensuoti praleistą dozę.</w:t>
      </w:r>
    </w:p>
    <w:p w:rsidR="00655AD6" w:rsidRPr="005522BC" w:rsidRDefault="00655AD6" w:rsidP="00655AD6">
      <w:pPr>
        <w:rPr>
          <w:szCs w:val="22"/>
        </w:rPr>
      </w:pPr>
    </w:p>
    <w:p w:rsidR="00655AD6" w:rsidRPr="005522BC" w:rsidRDefault="00655AD6" w:rsidP="00655AD6">
      <w:pPr>
        <w:rPr>
          <w:szCs w:val="22"/>
        </w:rPr>
      </w:pPr>
    </w:p>
    <w:p w:rsidR="00655AD6" w:rsidRPr="005522BC" w:rsidRDefault="00655AD6" w:rsidP="00655AD6">
      <w:pPr>
        <w:rPr>
          <w:b/>
        </w:rPr>
      </w:pPr>
      <w:r w:rsidRPr="005522BC">
        <w:rPr>
          <w:b/>
        </w:rPr>
        <w:t>4.</w:t>
      </w:r>
      <w:r w:rsidRPr="005522BC">
        <w:rPr>
          <w:b/>
        </w:rPr>
        <w:tab/>
        <w:t xml:space="preserve">Galimas šalutinis poveikis </w:t>
      </w:r>
    </w:p>
    <w:p w:rsidR="00655AD6" w:rsidRPr="005522BC" w:rsidRDefault="00655AD6" w:rsidP="00655AD6">
      <w:pPr>
        <w:rPr>
          <w:szCs w:val="22"/>
        </w:rPr>
      </w:pPr>
    </w:p>
    <w:p w:rsidR="00655AD6" w:rsidRPr="005522BC" w:rsidRDefault="00655AD6" w:rsidP="00655AD6">
      <w:r w:rsidRPr="005522BC">
        <w:rPr>
          <w:szCs w:val="24"/>
        </w:rPr>
        <w:t>Šis vaistas, kaip ir visi kiti</w:t>
      </w:r>
      <w:r w:rsidRPr="005522BC">
        <w:t>, gali sukelti šalutinį poveikį, nors jis pasireiškia ne visiems žmonėms.</w:t>
      </w:r>
    </w:p>
    <w:p w:rsidR="00655AD6" w:rsidRPr="005522BC" w:rsidRDefault="00655AD6" w:rsidP="00655AD6"/>
    <w:p w:rsidR="00655AD6" w:rsidRPr="005522BC" w:rsidRDefault="00655AD6" w:rsidP="00655AD6">
      <w:pPr>
        <w:rPr>
          <w:b/>
        </w:rPr>
      </w:pPr>
      <w:r w:rsidRPr="005522BC">
        <w:rPr>
          <w:b/>
        </w:rPr>
        <w:t>Kai kuris šalutinis poveikis gali būti sunkus. Jeigu Jums pasireiškė toliau nurodytas šalutinis poveikis, kreipkitės skubios medicinos pagalbos:</w:t>
      </w:r>
    </w:p>
    <w:p w:rsidR="00655AD6" w:rsidRPr="005522BC" w:rsidRDefault="00655AD6" w:rsidP="00655AD6">
      <w:pPr>
        <w:rPr>
          <w:b/>
        </w:rPr>
      </w:pPr>
    </w:p>
    <w:p w:rsidR="00655AD6" w:rsidRPr="005522BC" w:rsidRDefault="00655AD6" w:rsidP="00655AD6">
      <w:pPr>
        <w:numPr>
          <w:ilvl w:val="0"/>
          <w:numId w:val="6"/>
        </w:numPr>
        <w:tabs>
          <w:tab w:val="clear" w:pos="360"/>
        </w:tabs>
        <w:ind w:left="567" w:hanging="567"/>
      </w:pPr>
      <w:r w:rsidRPr="005522BC">
        <w:lastRenderedPageBreak/>
        <w:t xml:space="preserve">Žarnyno sienelės plyšimas (požymiai: stiprus pilvo skausmas, šaltkrėtis, karščiavimas, pykinimas, vėmimas arba jautrus pilvas). Tai yra reti šalutinio poveikio reiškianiai (gali pasireikšti </w:t>
      </w:r>
      <w:r w:rsidRPr="005522BC">
        <w:rPr>
          <w:szCs w:val="22"/>
        </w:rPr>
        <w:t>rečiau kaip 1 iš 1 000 asmenų)</w:t>
      </w:r>
      <w:r w:rsidRPr="005522BC">
        <w:t>.</w:t>
      </w:r>
    </w:p>
    <w:p w:rsidR="00655AD6" w:rsidRPr="005522BC" w:rsidRDefault="00655AD6" w:rsidP="00655AD6">
      <w:pPr>
        <w:numPr>
          <w:ilvl w:val="0"/>
          <w:numId w:val="6"/>
        </w:numPr>
        <w:tabs>
          <w:tab w:val="clear" w:pos="360"/>
        </w:tabs>
        <w:ind w:left="567" w:hanging="567"/>
      </w:pPr>
      <w:r w:rsidRPr="005522BC">
        <w:t>Ž</w:t>
      </w:r>
      <w:r w:rsidRPr="005522BC">
        <w:rPr>
          <w:szCs w:val="22"/>
        </w:rPr>
        <w:t>arnyno nepraeinamumas</w:t>
      </w:r>
      <w:r w:rsidRPr="005522BC">
        <w:t xml:space="preserve"> (požymiai: stiprus vidurių pūtimas; pilvo skausmas, patinimas ar spazmai; sunkus vidurių užkietėjimas). Tai yra nedažni šalutinio poveikio reiškiniai (gali pasireikšti </w:t>
      </w:r>
      <w:r w:rsidRPr="005522BC">
        <w:rPr>
          <w:szCs w:val="22"/>
        </w:rPr>
        <w:t>rečiau kaip 1 iš 100 asmenų)</w:t>
      </w:r>
      <w:r w:rsidRPr="005522BC">
        <w:t>.</w:t>
      </w:r>
    </w:p>
    <w:p w:rsidR="00655AD6" w:rsidRPr="005522BC" w:rsidRDefault="00655AD6" w:rsidP="00655AD6">
      <w:pPr>
        <w:numPr>
          <w:ilvl w:val="0"/>
          <w:numId w:val="6"/>
        </w:numPr>
        <w:tabs>
          <w:tab w:val="clear" w:pos="360"/>
        </w:tabs>
        <w:ind w:left="567" w:hanging="567"/>
        <w:rPr>
          <w:rFonts w:eastAsia="Verdana"/>
          <w:szCs w:val="22"/>
        </w:rPr>
      </w:pPr>
      <w:r w:rsidRPr="005522BC">
        <w:rPr>
          <w:szCs w:val="22"/>
        </w:rPr>
        <w:t>Kreipkitės į gydytoją, jeigu Jums pasireiškė naujas arba sunkus vidurių užkietėjimas, tai gali būti ankstyvas žarnyno nepraeinamumo požymis. Vidurių užkietėjimas yra dažnas šalutinio poveikio reiškinys (gali pasireikšti rečiau kaip 1 iš 10 asmenų).</w:t>
      </w:r>
    </w:p>
    <w:p w:rsidR="00655AD6" w:rsidRPr="005522BC" w:rsidRDefault="00655AD6" w:rsidP="00655AD6">
      <w:pPr>
        <w:ind w:left="567" w:hanging="567"/>
      </w:pPr>
    </w:p>
    <w:p w:rsidR="00655AD6" w:rsidRPr="005522BC" w:rsidRDefault="00655AD6" w:rsidP="00655AD6">
      <w:pPr>
        <w:keepNext/>
        <w:rPr>
          <w:b/>
        </w:rPr>
      </w:pPr>
      <w:r w:rsidRPr="005522BC">
        <w:rPr>
          <w:b/>
        </w:rPr>
        <w:t>Kitas mažiau sunkus šalutinis poveikis</w:t>
      </w:r>
    </w:p>
    <w:p w:rsidR="00655AD6" w:rsidRPr="005522BC" w:rsidRDefault="00655AD6" w:rsidP="00655AD6">
      <w:pPr>
        <w:keepNext/>
      </w:pPr>
    </w:p>
    <w:p w:rsidR="00655AD6" w:rsidRPr="005522BC" w:rsidRDefault="00655AD6" w:rsidP="00655AD6">
      <w:pPr>
        <w:pStyle w:val="Pagrindiniotekstotrauka"/>
        <w:spacing w:after="0"/>
        <w:ind w:left="0" w:firstLine="11"/>
        <w:rPr>
          <w:szCs w:val="22"/>
        </w:rPr>
      </w:pPr>
      <w:r w:rsidRPr="005522BC">
        <w:rPr>
          <w:szCs w:val="22"/>
        </w:rPr>
        <w:t>Labai dažni šalutinio poveikio reiškiniai (gali pasireikšti ne rečiau kaip 1 iš 10 asmenų):</w:t>
      </w:r>
    </w:p>
    <w:p w:rsidR="00655AD6" w:rsidRPr="005522BC" w:rsidRDefault="00655AD6" w:rsidP="00655AD6">
      <w:pPr>
        <w:pStyle w:val="Pagrindiniotekstotrauka"/>
        <w:numPr>
          <w:ilvl w:val="0"/>
          <w:numId w:val="2"/>
        </w:numPr>
        <w:tabs>
          <w:tab w:val="clear" w:pos="360"/>
        </w:tabs>
        <w:spacing w:after="0"/>
        <w:ind w:left="567" w:hanging="567"/>
        <w:rPr>
          <w:szCs w:val="22"/>
        </w:rPr>
      </w:pPr>
      <w:r w:rsidRPr="005522BC">
        <w:rPr>
          <w:szCs w:val="22"/>
        </w:rPr>
        <w:t>pykinimas, vėmimas, viduriavimas, pilvo skausmai, galvos skausmas, niežulys, bėrimas.</w:t>
      </w:r>
    </w:p>
    <w:p w:rsidR="00655AD6" w:rsidRPr="005522BC" w:rsidRDefault="00655AD6" w:rsidP="00655AD6"/>
    <w:p w:rsidR="00655AD6" w:rsidRPr="005522BC" w:rsidRDefault="00655AD6" w:rsidP="00655AD6">
      <w:pPr>
        <w:pStyle w:val="Pagrindiniotekstotrauka"/>
        <w:spacing w:after="0"/>
        <w:ind w:left="0" w:firstLine="11"/>
        <w:rPr>
          <w:szCs w:val="22"/>
        </w:rPr>
      </w:pPr>
      <w:r w:rsidRPr="005522BC">
        <w:rPr>
          <w:szCs w:val="22"/>
        </w:rPr>
        <w:t>Dažni šalutinio poveikio reiškiniai (gali pasireikšti rečiau</w:t>
      </w:r>
      <w:r w:rsidRPr="005522BC" w:rsidDel="00C54740">
        <w:rPr>
          <w:szCs w:val="22"/>
        </w:rPr>
        <w:t xml:space="preserve"> </w:t>
      </w:r>
      <w:r w:rsidRPr="005522BC">
        <w:rPr>
          <w:szCs w:val="22"/>
        </w:rPr>
        <w:t>kaip 1 iš 10 asmenų):</w:t>
      </w:r>
    </w:p>
    <w:p w:rsidR="00655AD6" w:rsidRPr="005522BC" w:rsidRDefault="00655AD6" w:rsidP="00655AD6">
      <w:pPr>
        <w:pStyle w:val="Pagrindiniotekstotrauka"/>
        <w:numPr>
          <w:ilvl w:val="0"/>
          <w:numId w:val="2"/>
        </w:numPr>
        <w:tabs>
          <w:tab w:val="clear" w:pos="360"/>
        </w:tabs>
        <w:spacing w:after="0"/>
        <w:ind w:left="567" w:hanging="567"/>
        <w:rPr>
          <w:szCs w:val="22"/>
        </w:rPr>
      </w:pPr>
      <w:r w:rsidRPr="005522BC">
        <w:rPr>
          <w:szCs w:val="22"/>
        </w:rPr>
        <w:t>rėmuo, dujų kaupimasis;</w:t>
      </w:r>
    </w:p>
    <w:p w:rsidR="00655AD6" w:rsidRPr="005522BC" w:rsidRDefault="00655AD6" w:rsidP="00655AD6">
      <w:pPr>
        <w:numPr>
          <w:ilvl w:val="0"/>
          <w:numId w:val="2"/>
        </w:numPr>
        <w:tabs>
          <w:tab w:val="clear" w:pos="360"/>
        </w:tabs>
        <w:ind w:left="567" w:right="-2" w:hanging="567"/>
        <w:rPr>
          <w:szCs w:val="22"/>
        </w:rPr>
      </w:pPr>
      <w:r w:rsidRPr="005522BC">
        <w:rPr>
          <w:szCs w:val="22"/>
        </w:rPr>
        <w:t>hipokalcemija (per mažai</w:t>
      </w:r>
      <w:r w:rsidRPr="005522BC">
        <w:t xml:space="preserve"> </w:t>
      </w:r>
      <w:r w:rsidRPr="005522BC">
        <w:rPr>
          <w:szCs w:val="22"/>
        </w:rPr>
        <w:t>kalcio kraujyje) taip pat yra dažnai pasitaikantis šalutinis poveikis, kurio simptomai − rankų ir kojų dilgčiojimas, raumenų ir pilvo mėšlungis arba veido ar kojų raumenų spazmai.</w:t>
      </w:r>
    </w:p>
    <w:p w:rsidR="00655AD6" w:rsidRPr="005522BC" w:rsidRDefault="00655AD6" w:rsidP="00655AD6">
      <w:pPr>
        <w:numPr>
          <w:ilvl w:val="12"/>
          <w:numId w:val="0"/>
        </w:numPr>
        <w:ind w:left="330" w:right="-2"/>
        <w:rPr>
          <w:szCs w:val="22"/>
        </w:rPr>
      </w:pPr>
    </w:p>
    <w:p w:rsidR="00655AD6" w:rsidRPr="005522BC" w:rsidRDefault="00655AD6" w:rsidP="00655AD6">
      <w:pPr>
        <w:rPr>
          <w:rFonts w:eastAsia="MS Mincho"/>
        </w:rPr>
      </w:pPr>
      <w:r w:rsidRPr="005522BC">
        <w:rPr>
          <w:rFonts w:eastAsia="MS Mincho"/>
        </w:rPr>
        <w:t xml:space="preserve">Nedažni šalutinio poveikio </w:t>
      </w:r>
      <w:r w:rsidRPr="005522BC">
        <w:rPr>
          <w:szCs w:val="22"/>
        </w:rPr>
        <w:t>reiškiniai</w:t>
      </w:r>
      <w:r w:rsidRPr="005522BC">
        <w:rPr>
          <w:rFonts w:eastAsia="MS Mincho"/>
        </w:rPr>
        <w:t xml:space="preserve"> (gali pasireikšti </w:t>
      </w:r>
      <w:r w:rsidRPr="005522BC">
        <w:rPr>
          <w:szCs w:val="22"/>
        </w:rPr>
        <w:t>rečiau</w:t>
      </w:r>
      <w:r w:rsidRPr="005522BC" w:rsidDel="001E0F3C">
        <w:rPr>
          <w:rFonts w:eastAsia="MS Mincho"/>
        </w:rPr>
        <w:t xml:space="preserve"> </w:t>
      </w:r>
      <w:r w:rsidRPr="005522BC">
        <w:rPr>
          <w:rFonts w:eastAsia="MS Mincho"/>
        </w:rPr>
        <w:t>kaip 1 iš 100 asmenų):</w:t>
      </w:r>
    </w:p>
    <w:p w:rsidR="00655AD6" w:rsidRPr="005522BC" w:rsidRDefault="00655AD6" w:rsidP="00655AD6">
      <w:pPr>
        <w:numPr>
          <w:ilvl w:val="0"/>
          <w:numId w:val="5"/>
        </w:numPr>
        <w:tabs>
          <w:tab w:val="clear" w:pos="720"/>
        </w:tabs>
        <w:ind w:left="600" w:hanging="600"/>
      </w:pPr>
      <w:r w:rsidRPr="005522BC">
        <w:t>nuovargis; diskomforto jausmas; skausmas krūtinėje; silpnumas; patinusios rankos ir kojos; kūno skausmas; galvos svaigimas; svaigulys; raugėjimas; skrandžio ir žarnyno uždegimas (gastroenteritas); nevirškinimas; dirgliosios žarnos sindromas; burnos džiūvimas; dantų ligos; ryklės ar burnos uždegimas; laisvi viduriai; padidėja kai kurių kepenų fermentų, prieskydinės liaukos hormonų kiekis; aliuminio, kalcio ir gliukozės kiekis kraujyje; padidėjęs arba sumažėjęs fosfato kiekis kraujyje; troškulys; svorio sumažėjimas; sąnarių skausmas; raumenų skausmas; silpnumas ir kaulų retėjimas (osteoporozė); padidėjęs arba sumažėjęs apetitas; gerklų uždegimas; plaukų slinkimas; padidėjęs prakaitavimas; sutrikęs skonis ir padidėjęs baltųjų kraujo ląstelių kiekis.</w:t>
      </w:r>
    </w:p>
    <w:p w:rsidR="00655AD6" w:rsidRPr="005522BC" w:rsidRDefault="00655AD6" w:rsidP="00655AD6">
      <w:pPr>
        <w:tabs>
          <w:tab w:val="left" w:pos="567"/>
        </w:tabs>
        <w:ind w:right="-29"/>
        <w:rPr>
          <w:b/>
          <w:bCs/>
          <w:szCs w:val="22"/>
        </w:rPr>
      </w:pPr>
    </w:p>
    <w:p w:rsidR="00655AD6" w:rsidRPr="005522BC" w:rsidRDefault="00655AD6" w:rsidP="00655AD6">
      <w:pPr>
        <w:tabs>
          <w:tab w:val="left" w:pos="567"/>
        </w:tabs>
        <w:ind w:right="-29"/>
        <w:rPr>
          <w:szCs w:val="22"/>
        </w:rPr>
      </w:pPr>
      <w:r w:rsidRPr="005522BC">
        <w:rPr>
          <w:szCs w:val="22"/>
        </w:rPr>
        <w:t>Šalutinio poveikio reiškiniai, kurių dažnis nežinomas (negali būti apskaičiuotas pagal turimus duomenis):</w:t>
      </w:r>
    </w:p>
    <w:p w:rsidR="00655AD6" w:rsidRPr="005522BC" w:rsidRDefault="00655AD6" w:rsidP="00655AD6">
      <w:pPr>
        <w:pStyle w:val="Pagrindiniotekstotrauka"/>
        <w:numPr>
          <w:ilvl w:val="0"/>
          <w:numId w:val="2"/>
        </w:numPr>
        <w:tabs>
          <w:tab w:val="clear" w:pos="360"/>
          <w:tab w:val="left" w:pos="567"/>
        </w:tabs>
        <w:spacing w:after="0"/>
        <w:ind w:left="567" w:right="-29" w:hanging="567"/>
      </w:pPr>
      <w:r w:rsidRPr="005522BC">
        <w:rPr>
          <w:szCs w:val="22"/>
        </w:rPr>
        <w:t>virškinimo trakte yra vaisto likučių.</w:t>
      </w:r>
    </w:p>
    <w:p w:rsidR="00655AD6" w:rsidRPr="005522BC" w:rsidRDefault="00655AD6" w:rsidP="00655AD6">
      <w:pPr>
        <w:numPr>
          <w:ilvl w:val="12"/>
          <w:numId w:val="0"/>
        </w:numPr>
        <w:ind w:right="-2"/>
        <w:rPr>
          <w:szCs w:val="22"/>
        </w:rPr>
      </w:pPr>
    </w:p>
    <w:p w:rsidR="00655AD6" w:rsidRPr="005522BC" w:rsidRDefault="00655AD6" w:rsidP="00655AD6">
      <w:pPr>
        <w:numPr>
          <w:ilvl w:val="12"/>
          <w:numId w:val="0"/>
        </w:numPr>
        <w:ind w:right="-2"/>
        <w:rPr>
          <w:b/>
          <w:szCs w:val="24"/>
        </w:rPr>
      </w:pPr>
      <w:r w:rsidRPr="005522BC">
        <w:rPr>
          <w:b/>
          <w:szCs w:val="24"/>
        </w:rPr>
        <w:t>Pranešimas apie šalutinį poveikį</w:t>
      </w:r>
    </w:p>
    <w:p w:rsidR="00655AD6" w:rsidRPr="00136CA4" w:rsidRDefault="00655AD6" w:rsidP="00655AD6">
      <w:pPr>
        <w:tabs>
          <w:tab w:val="left" w:pos="567"/>
        </w:tabs>
        <w:spacing w:line="260" w:lineRule="exact"/>
        <w:ind w:right="-1"/>
      </w:pPr>
      <w:r>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Pranešdami apie šalutinį poveikį galite mums padėti gauti daugiau informacijos apie šio vaisto saugumą</w:t>
      </w:r>
      <w:r>
        <w:t>.</w:t>
      </w:r>
    </w:p>
    <w:p w:rsidR="00655AD6" w:rsidRPr="005522BC" w:rsidRDefault="00655AD6" w:rsidP="00655AD6">
      <w:pPr>
        <w:ind w:right="-2"/>
        <w:rPr>
          <w:szCs w:val="24"/>
        </w:rPr>
      </w:pPr>
    </w:p>
    <w:p w:rsidR="00655AD6" w:rsidRPr="005522BC" w:rsidRDefault="00655AD6" w:rsidP="00655AD6">
      <w:pPr>
        <w:numPr>
          <w:ilvl w:val="12"/>
          <w:numId w:val="0"/>
        </w:numPr>
        <w:ind w:right="-2"/>
        <w:rPr>
          <w:szCs w:val="24"/>
        </w:rPr>
      </w:pPr>
    </w:p>
    <w:p w:rsidR="00655AD6" w:rsidRPr="005522BC" w:rsidRDefault="00655AD6" w:rsidP="00655AD6">
      <w:pPr>
        <w:rPr>
          <w:b/>
        </w:rPr>
      </w:pPr>
      <w:r w:rsidRPr="005522BC">
        <w:rPr>
          <w:b/>
        </w:rPr>
        <w:t>5.</w:t>
      </w:r>
      <w:r w:rsidRPr="005522BC">
        <w:rPr>
          <w:b/>
        </w:rPr>
        <w:tab/>
        <w:t>Kaip laikyti FOSRENOL</w:t>
      </w:r>
    </w:p>
    <w:p w:rsidR="00655AD6" w:rsidRPr="005522BC" w:rsidRDefault="00655AD6" w:rsidP="00655AD6">
      <w:pPr>
        <w:rPr>
          <w:szCs w:val="22"/>
        </w:rPr>
      </w:pPr>
    </w:p>
    <w:p w:rsidR="00655AD6" w:rsidRPr="005522BC" w:rsidRDefault="00655AD6" w:rsidP="00655AD6">
      <w:pPr>
        <w:numPr>
          <w:ilvl w:val="12"/>
          <w:numId w:val="0"/>
        </w:numPr>
        <w:ind w:right="-2"/>
      </w:pPr>
      <w:r w:rsidRPr="005522BC">
        <w:rPr>
          <w:szCs w:val="24"/>
        </w:rPr>
        <w:t>Šį vaistą laikykite vaikams nepastebimoje ir nepasiekiamoje vietoje.</w:t>
      </w:r>
    </w:p>
    <w:p w:rsidR="00655AD6" w:rsidRPr="005522BC" w:rsidRDefault="00655AD6" w:rsidP="00655AD6">
      <w:pPr>
        <w:numPr>
          <w:ilvl w:val="12"/>
          <w:numId w:val="0"/>
        </w:numPr>
        <w:ind w:right="-2"/>
        <w:rPr>
          <w:szCs w:val="22"/>
        </w:rPr>
      </w:pPr>
    </w:p>
    <w:p w:rsidR="00655AD6" w:rsidRPr="005522BC" w:rsidRDefault="00655AD6" w:rsidP="00655AD6">
      <w:r w:rsidRPr="005522BC">
        <w:t>Šiam vaistui specialių laikymo sąlygų nereikia.</w:t>
      </w:r>
    </w:p>
    <w:p w:rsidR="00655AD6" w:rsidRPr="005522BC" w:rsidRDefault="00655AD6" w:rsidP="00655AD6"/>
    <w:p w:rsidR="00655AD6" w:rsidRPr="005522BC" w:rsidRDefault="00655AD6" w:rsidP="00655AD6">
      <w:pPr>
        <w:numPr>
          <w:ilvl w:val="12"/>
          <w:numId w:val="0"/>
        </w:numPr>
        <w:ind w:right="-2"/>
        <w:rPr>
          <w:szCs w:val="22"/>
        </w:rPr>
      </w:pPr>
      <w:r w:rsidRPr="005522BC">
        <w:rPr>
          <w:szCs w:val="22"/>
        </w:rPr>
        <w:t>Ant dėžutės ir buteliuko etiketės po „Tinka iki“ nurodytam tinkamumo laikui pasibaigus, šio vaisto vartoti negalima. Vaistas tinkamas vartoti iki paskutinės nurodyto mėnesio dienos.</w:t>
      </w:r>
    </w:p>
    <w:p w:rsidR="00655AD6" w:rsidRPr="005522BC" w:rsidRDefault="00655AD6" w:rsidP="00655AD6">
      <w:pPr>
        <w:numPr>
          <w:ilvl w:val="12"/>
          <w:numId w:val="0"/>
        </w:numPr>
        <w:ind w:right="-2"/>
        <w:rPr>
          <w:szCs w:val="22"/>
        </w:rPr>
      </w:pPr>
    </w:p>
    <w:p w:rsidR="00655AD6" w:rsidRPr="005522BC" w:rsidRDefault="00655AD6" w:rsidP="00655AD6">
      <w:pPr>
        <w:numPr>
          <w:ilvl w:val="12"/>
          <w:numId w:val="0"/>
        </w:numPr>
        <w:ind w:right="-2"/>
      </w:pPr>
      <w:r w:rsidRPr="005522BC">
        <w:t>Vaistų negalima išmesti į kanalizaciją arba su buitinėmis atliekomis. Kaip išmesti nereikalingus vaistus, klauskite vaistininko. Šios priemonės padės apsaugoti aplinką.</w:t>
      </w:r>
    </w:p>
    <w:p w:rsidR="00655AD6" w:rsidRPr="005522BC" w:rsidRDefault="00655AD6" w:rsidP="00655AD6">
      <w:pPr>
        <w:numPr>
          <w:ilvl w:val="12"/>
          <w:numId w:val="0"/>
        </w:numPr>
        <w:ind w:right="-2"/>
      </w:pPr>
    </w:p>
    <w:p w:rsidR="00655AD6" w:rsidRPr="005522BC" w:rsidRDefault="00655AD6" w:rsidP="00655AD6">
      <w:pPr>
        <w:numPr>
          <w:ilvl w:val="12"/>
          <w:numId w:val="0"/>
        </w:numPr>
        <w:ind w:right="-2"/>
      </w:pPr>
    </w:p>
    <w:p w:rsidR="00655AD6" w:rsidRPr="005522BC" w:rsidRDefault="00655AD6" w:rsidP="00655AD6">
      <w:pPr>
        <w:keepNext/>
        <w:rPr>
          <w:b/>
        </w:rPr>
      </w:pPr>
      <w:r w:rsidRPr="005522BC">
        <w:rPr>
          <w:b/>
        </w:rPr>
        <w:t>6.</w:t>
      </w:r>
      <w:r w:rsidRPr="005522BC">
        <w:rPr>
          <w:b/>
        </w:rPr>
        <w:tab/>
        <w:t xml:space="preserve">Pakuotės turinys ir kita informacija </w:t>
      </w:r>
    </w:p>
    <w:p w:rsidR="00655AD6" w:rsidRPr="005522BC" w:rsidRDefault="00655AD6" w:rsidP="00655AD6">
      <w:pPr>
        <w:keepNext/>
        <w:rPr>
          <w:szCs w:val="22"/>
        </w:rPr>
      </w:pPr>
    </w:p>
    <w:p w:rsidR="00655AD6" w:rsidRPr="005522BC" w:rsidRDefault="00655AD6" w:rsidP="00655AD6">
      <w:pPr>
        <w:keepNext/>
        <w:autoSpaceDE w:val="0"/>
        <w:autoSpaceDN w:val="0"/>
        <w:adjustRightInd w:val="0"/>
        <w:ind w:right="-1"/>
        <w:rPr>
          <w:b/>
          <w:bCs/>
          <w:szCs w:val="22"/>
        </w:rPr>
      </w:pPr>
      <w:r w:rsidRPr="005522BC">
        <w:rPr>
          <w:b/>
          <w:bCs/>
          <w:szCs w:val="22"/>
        </w:rPr>
        <w:t>FOSRENOL sudėtis</w:t>
      </w:r>
    </w:p>
    <w:p w:rsidR="00655AD6" w:rsidRPr="005522BC" w:rsidRDefault="00655AD6" w:rsidP="00655AD6">
      <w:pPr>
        <w:keepNext/>
        <w:autoSpaceDE w:val="0"/>
        <w:autoSpaceDN w:val="0"/>
        <w:adjustRightInd w:val="0"/>
        <w:ind w:right="-1"/>
        <w:rPr>
          <w:b/>
          <w:bCs/>
          <w:szCs w:val="22"/>
        </w:rPr>
      </w:pPr>
    </w:p>
    <w:p w:rsidR="00655AD6" w:rsidRPr="005522BC" w:rsidRDefault="00655AD6" w:rsidP="00655AD6">
      <w:pPr>
        <w:keepNext/>
        <w:ind w:left="567" w:right="-2" w:hanging="567"/>
        <w:rPr>
          <w:szCs w:val="22"/>
        </w:rPr>
      </w:pPr>
      <w:r w:rsidRPr="005522BC">
        <w:rPr>
          <w:szCs w:val="22"/>
        </w:rPr>
        <w:t>-</w:t>
      </w:r>
      <w:r w:rsidRPr="005522BC">
        <w:rPr>
          <w:szCs w:val="22"/>
        </w:rPr>
        <w:tab/>
        <w:t>Veiklioji medžiaga yra lantanas (lantano karbonato hidrato pavidalu). Kiekvienoje kramtomojoje tabletėje yra lantano karbonato hidrato kiekis, atitinkantis 250 mg, 500 mg, 750 mg arba 1000 mg lantano.</w:t>
      </w:r>
    </w:p>
    <w:p w:rsidR="00655AD6" w:rsidRPr="005522BC" w:rsidRDefault="00655AD6" w:rsidP="00655AD6">
      <w:pPr>
        <w:ind w:right="-2"/>
        <w:rPr>
          <w:szCs w:val="22"/>
        </w:rPr>
      </w:pPr>
    </w:p>
    <w:p w:rsidR="00655AD6" w:rsidRPr="005522BC" w:rsidRDefault="00655AD6" w:rsidP="00655AD6">
      <w:pPr>
        <w:ind w:left="567" w:right="-2" w:hanging="567"/>
        <w:rPr>
          <w:szCs w:val="22"/>
        </w:rPr>
      </w:pPr>
      <w:r w:rsidRPr="005522BC">
        <w:rPr>
          <w:szCs w:val="22"/>
        </w:rPr>
        <w:t>-</w:t>
      </w:r>
      <w:r w:rsidRPr="005522BC">
        <w:rPr>
          <w:szCs w:val="22"/>
        </w:rPr>
        <w:tab/>
        <w:t>Pagalbinės medžiagos yra hidratuoti dekstratai, koloidinis bevandenis silicio dioksidas ir magnio stearatas.</w:t>
      </w:r>
    </w:p>
    <w:p w:rsidR="00655AD6" w:rsidRPr="005522BC" w:rsidRDefault="00655AD6" w:rsidP="00655AD6">
      <w:pPr>
        <w:ind w:right="-2"/>
        <w:rPr>
          <w:bCs/>
          <w:szCs w:val="22"/>
        </w:rPr>
      </w:pPr>
    </w:p>
    <w:p w:rsidR="00655AD6" w:rsidRPr="005522BC" w:rsidRDefault="00655AD6" w:rsidP="00655AD6">
      <w:pPr>
        <w:autoSpaceDE w:val="0"/>
        <w:autoSpaceDN w:val="0"/>
        <w:adjustRightInd w:val="0"/>
        <w:ind w:right="-1"/>
        <w:rPr>
          <w:b/>
          <w:bCs/>
          <w:szCs w:val="22"/>
        </w:rPr>
      </w:pPr>
      <w:r w:rsidRPr="005522BC">
        <w:rPr>
          <w:b/>
          <w:bCs/>
          <w:szCs w:val="22"/>
        </w:rPr>
        <w:t>FOSRENOL išvaizda ir kiekis pakuotėje</w:t>
      </w:r>
    </w:p>
    <w:p w:rsidR="00655AD6" w:rsidRPr="005522BC" w:rsidRDefault="00655AD6" w:rsidP="00655AD6">
      <w:pPr>
        <w:autoSpaceDE w:val="0"/>
        <w:autoSpaceDN w:val="0"/>
        <w:adjustRightInd w:val="0"/>
        <w:ind w:right="-1"/>
        <w:rPr>
          <w:b/>
          <w:bCs/>
          <w:szCs w:val="22"/>
        </w:rPr>
      </w:pPr>
    </w:p>
    <w:p w:rsidR="00655AD6" w:rsidRPr="005522BC" w:rsidRDefault="00655AD6" w:rsidP="00655AD6">
      <w:r w:rsidRPr="005522BC">
        <w:t>FOSRENOL yra apvalios, baltos, plokščios kramtomosios tabletės nuožulniais kraštais, kurių vienoje pusėje įspaustas kodas: „S405/250” (250 mg), „S405/500” (500 mg), „S405/750” (750 mg) arba „S405/1000” (1000 mg).</w:t>
      </w:r>
    </w:p>
    <w:p w:rsidR="00655AD6" w:rsidRPr="005522BC" w:rsidRDefault="00655AD6" w:rsidP="00655AD6"/>
    <w:p w:rsidR="00655AD6" w:rsidRPr="005522BC" w:rsidRDefault="00655AD6" w:rsidP="00655AD6">
      <w:r w:rsidRPr="005522BC">
        <w:t>Tabletės tiekiamos plastikiniuose buteliukuose po 90 tablečių (250 mg); 20, 45 tablečių, arba sudėtinėje pakuotėje po 90 (2 pakuotės po 45) kramtomųjų tablečių (500 mg); 15, 45 tablečių, arba sudėtinėje pakuotėje po 90 (6 pakuotės po 15) kramtomųjų tablečių (750 mg); ir 10, 15 tablečių arba sudėtinėje pakuotėje po 90 (6 pakuotės po 15) kramtomųjų tablečių (1000 mg).</w:t>
      </w:r>
    </w:p>
    <w:p w:rsidR="00655AD6" w:rsidRPr="005522BC" w:rsidRDefault="00655AD6" w:rsidP="00655AD6"/>
    <w:p w:rsidR="00655AD6" w:rsidRPr="005522BC" w:rsidRDefault="00655AD6" w:rsidP="00655AD6">
      <w:r w:rsidRPr="005522BC">
        <w:t>Gali būti teikiamos ne visų dydžių pakuotės.</w:t>
      </w:r>
    </w:p>
    <w:p w:rsidR="00655AD6" w:rsidRPr="005522BC" w:rsidRDefault="00655AD6" w:rsidP="00655AD6"/>
    <w:p w:rsidR="00655AD6" w:rsidRPr="005522BC" w:rsidRDefault="00655AD6" w:rsidP="00655AD6">
      <w:pPr>
        <w:keepNext/>
        <w:autoSpaceDE w:val="0"/>
        <w:autoSpaceDN w:val="0"/>
        <w:adjustRightInd w:val="0"/>
        <w:ind w:right="-1"/>
        <w:rPr>
          <w:b/>
          <w:bCs/>
          <w:szCs w:val="22"/>
        </w:rPr>
      </w:pPr>
      <w:r w:rsidRPr="005522BC">
        <w:rPr>
          <w:b/>
          <w:bCs/>
          <w:szCs w:val="22"/>
        </w:rPr>
        <w:t>Registruotojas ir gamintojas</w:t>
      </w:r>
    </w:p>
    <w:p w:rsidR="00655AD6" w:rsidRPr="005522BC" w:rsidRDefault="00655AD6" w:rsidP="00655AD6">
      <w:pPr>
        <w:keepNext/>
        <w:ind w:right="-2"/>
        <w:rPr>
          <w:szCs w:val="22"/>
        </w:rPr>
      </w:pPr>
    </w:p>
    <w:p w:rsidR="00655AD6" w:rsidRPr="005522BC" w:rsidRDefault="00655AD6" w:rsidP="00655AD6">
      <w:pPr>
        <w:keepNext/>
        <w:rPr>
          <w:i/>
          <w:szCs w:val="22"/>
        </w:rPr>
      </w:pPr>
      <w:r w:rsidRPr="005522BC">
        <w:rPr>
          <w:bCs/>
          <w:i/>
          <w:szCs w:val="22"/>
        </w:rPr>
        <w:t>Registruotojas</w:t>
      </w:r>
    </w:p>
    <w:p w:rsidR="00655AD6" w:rsidRPr="005522BC" w:rsidRDefault="00655AD6" w:rsidP="00655AD6">
      <w:pPr>
        <w:rPr>
          <w:szCs w:val="22"/>
        </w:rPr>
      </w:pPr>
      <w:r w:rsidRPr="005522BC">
        <w:rPr>
          <w:szCs w:val="22"/>
        </w:rPr>
        <w:t>Takeda Pharmaceuticals International AG Ireland Branch,</w:t>
      </w:r>
    </w:p>
    <w:p w:rsidR="00655AD6" w:rsidRPr="005522BC" w:rsidRDefault="00655AD6" w:rsidP="00655AD6">
      <w:pPr>
        <w:rPr>
          <w:szCs w:val="22"/>
        </w:rPr>
      </w:pPr>
      <w:r w:rsidRPr="005522BC">
        <w:rPr>
          <w:sz w:val="21"/>
        </w:rPr>
        <w:t xml:space="preserve">Block </w:t>
      </w:r>
      <w:r w:rsidRPr="00123453">
        <w:rPr>
          <w:szCs w:val="22"/>
        </w:rPr>
        <w:t>2</w:t>
      </w:r>
      <w:r w:rsidRPr="00C84A9F">
        <w:rPr>
          <w:szCs w:val="22"/>
        </w:rPr>
        <w:t xml:space="preserve"> </w:t>
      </w:r>
      <w:r w:rsidRPr="005522BC">
        <w:rPr>
          <w:szCs w:val="22"/>
        </w:rPr>
        <w:t>Miesian Plaza</w:t>
      </w:r>
    </w:p>
    <w:p w:rsidR="00655AD6" w:rsidRPr="005522BC" w:rsidRDefault="00655AD6" w:rsidP="00655AD6">
      <w:pPr>
        <w:rPr>
          <w:szCs w:val="22"/>
        </w:rPr>
      </w:pPr>
      <w:r w:rsidRPr="005522BC">
        <w:rPr>
          <w:szCs w:val="22"/>
        </w:rPr>
        <w:t>50 – 58 Baggot Street Lower</w:t>
      </w:r>
    </w:p>
    <w:p w:rsidR="00655AD6" w:rsidRPr="005522BC" w:rsidRDefault="00655AD6" w:rsidP="00655AD6">
      <w:pPr>
        <w:rPr>
          <w:szCs w:val="22"/>
        </w:rPr>
      </w:pPr>
      <w:r w:rsidRPr="005522BC">
        <w:rPr>
          <w:szCs w:val="22"/>
        </w:rPr>
        <w:t xml:space="preserve">Dublin 2, </w:t>
      </w:r>
      <w:r w:rsidRPr="005522BC">
        <w:rPr>
          <w:sz w:val="21"/>
        </w:rPr>
        <w:t xml:space="preserve">D02 </w:t>
      </w:r>
      <w:r w:rsidRPr="005522BC">
        <w:rPr>
          <w:sz w:val="21"/>
          <w:szCs w:val="21"/>
        </w:rPr>
        <w:t>HW68</w:t>
      </w:r>
      <w:r w:rsidRPr="005522BC">
        <w:rPr>
          <w:szCs w:val="22"/>
        </w:rPr>
        <w:t>,</w:t>
      </w:r>
    </w:p>
    <w:p w:rsidR="00655AD6" w:rsidRPr="005522BC" w:rsidRDefault="00655AD6" w:rsidP="00655AD6">
      <w:pPr>
        <w:rPr>
          <w:szCs w:val="22"/>
        </w:rPr>
      </w:pPr>
      <w:r w:rsidRPr="005522BC">
        <w:rPr>
          <w:szCs w:val="22"/>
        </w:rPr>
        <w:t>Airija</w:t>
      </w:r>
    </w:p>
    <w:p w:rsidR="00655AD6" w:rsidRPr="005522BC" w:rsidRDefault="00655AD6" w:rsidP="00655AD6">
      <w:pPr>
        <w:rPr>
          <w:szCs w:val="22"/>
        </w:rPr>
      </w:pPr>
      <w:r w:rsidRPr="005522BC">
        <w:rPr>
          <w:szCs w:val="22"/>
        </w:rPr>
        <w:t>Tel. +800 6683 8470</w:t>
      </w:r>
    </w:p>
    <w:p w:rsidR="00655AD6" w:rsidRPr="005522BC" w:rsidRDefault="00655AD6" w:rsidP="00655AD6">
      <w:pPr>
        <w:rPr>
          <w:szCs w:val="22"/>
        </w:rPr>
      </w:pPr>
      <w:r w:rsidRPr="005522BC">
        <w:rPr>
          <w:szCs w:val="22"/>
        </w:rPr>
        <w:t xml:space="preserve">El. p. </w:t>
      </w:r>
      <w:hyperlink r:id="rId5" w:history="1">
        <w:r w:rsidRPr="006F06B9">
          <w:rPr>
            <w:rStyle w:val="Hipersaitas"/>
            <w:szCs w:val="22"/>
          </w:rPr>
          <w:t>medinfoemea@takeda.com</w:t>
        </w:r>
      </w:hyperlink>
    </w:p>
    <w:p w:rsidR="00655AD6" w:rsidRPr="005522BC" w:rsidRDefault="00655AD6" w:rsidP="00655AD6">
      <w:pPr>
        <w:rPr>
          <w:szCs w:val="22"/>
        </w:rPr>
      </w:pPr>
    </w:p>
    <w:p w:rsidR="00655AD6" w:rsidRPr="005522BC" w:rsidRDefault="00655AD6" w:rsidP="00655AD6">
      <w:pPr>
        <w:autoSpaceDE w:val="0"/>
        <w:autoSpaceDN w:val="0"/>
        <w:adjustRightInd w:val="0"/>
        <w:rPr>
          <w:i/>
          <w:szCs w:val="22"/>
        </w:rPr>
      </w:pPr>
      <w:r w:rsidRPr="005522BC">
        <w:rPr>
          <w:i/>
          <w:szCs w:val="22"/>
        </w:rPr>
        <w:t>Gamintojas</w:t>
      </w:r>
    </w:p>
    <w:p w:rsidR="00655AD6" w:rsidRPr="005522BC" w:rsidRDefault="00655AD6" w:rsidP="00655AD6">
      <w:pPr>
        <w:rPr>
          <w:szCs w:val="22"/>
        </w:rPr>
      </w:pPr>
      <w:r w:rsidRPr="005522BC">
        <w:rPr>
          <w:szCs w:val="22"/>
        </w:rPr>
        <w:t>RB NL Brands B.V.</w:t>
      </w:r>
    </w:p>
    <w:p w:rsidR="00655AD6" w:rsidRPr="005522BC" w:rsidRDefault="00655AD6" w:rsidP="00655AD6">
      <w:pPr>
        <w:rPr>
          <w:szCs w:val="22"/>
        </w:rPr>
      </w:pPr>
      <w:r w:rsidRPr="005522BC">
        <w:rPr>
          <w:szCs w:val="22"/>
        </w:rPr>
        <w:t>Schiphol Boulevard 207</w:t>
      </w:r>
    </w:p>
    <w:p w:rsidR="00655AD6" w:rsidRPr="005522BC" w:rsidRDefault="00655AD6" w:rsidP="00655AD6">
      <w:pPr>
        <w:rPr>
          <w:szCs w:val="22"/>
        </w:rPr>
      </w:pPr>
      <w:r w:rsidRPr="005522BC">
        <w:rPr>
          <w:szCs w:val="22"/>
        </w:rPr>
        <w:t>1118BH Schiphol</w:t>
      </w:r>
    </w:p>
    <w:p w:rsidR="00655AD6" w:rsidRPr="005522BC" w:rsidRDefault="00655AD6" w:rsidP="00655AD6">
      <w:pPr>
        <w:rPr>
          <w:szCs w:val="22"/>
        </w:rPr>
      </w:pPr>
      <w:r w:rsidRPr="005522BC">
        <w:rPr>
          <w:szCs w:val="22"/>
        </w:rPr>
        <w:t>Nyderlandai</w:t>
      </w:r>
    </w:p>
    <w:p w:rsidR="00655AD6" w:rsidRPr="005522BC" w:rsidRDefault="00655AD6" w:rsidP="00655AD6">
      <w:pPr>
        <w:rPr>
          <w:highlight w:val="lightGray"/>
        </w:rPr>
      </w:pPr>
    </w:p>
    <w:p w:rsidR="00655AD6" w:rsidRPr="005522BC" w:rsidRDefault="00655AD6" w:rsidP="00655AD6">
      <w:pPr>
        <w:ind w:right="-2"/>
        <w:rPr>
          <w:b/>
        </w:rPr>
      </w:pPr>
      <w:r w:rsidRPr="005522BC">
        <w:rPr>
          <w:b/>
        </w:rPr>
        <w:t>Šis vaistas Europos ekonominės erdvės valstybėse narėse ir Jungtinėje Karalystėje (Šiaurės Airijoje) registruotas tokiais pavadinimais:</w:t>
      </w:r>
    </w:p>
    <w:p w:rsidR="00655AD6" w:rsidRPr="005522BC" w:rsidRDefault="00655AD6" w:rsidP="00655AD6">
      <w:pPr>
        <w:ind w:righ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2"/>
        <w:gridCol w:w="998"/>
      </w:tblGrid>
      <w:tr w:rsidR="00655AD6" w:rsidRPr="005522BC" w:rsidTr="00E2221B">
        <w:trPr>
          <w:trHeight w:val="743"/>
        </w:trPr>
        <w:tc>
          <w:tcPr>
            <w:tcW w:w="8062" w:type="dxa"/>
          </w:tcPr>
          <w:p w:rsidR="00655AD6" w:rsidRPr="005522BC" w:rsidRDefault="00655AD6" w:rsidP="00E2221B">
            <w:pPr>
              <w:numPr>
                <w:ilvl w:val="12"/>
                <w:numId w:val="0"/>
              </w:numPr>
              <w:ind w:right="-2"/>
              <w:rPr>
                <w:rFonts w:cs="Arial"/>
                <w:szCs w:val="24"/>
                <w:lang w:eastAsia="en-GB"/>
              </w:rPr>
            </w:pPr>
            <w:r w:rsidRPr="005522BC">
              <w:rPr>
                <w:rFonts w:cs="Arial"/>
              </w:rPr>
              <w:t>Austrija, Belgija, Bulgarija, Čekija, Danija, Estija, Graikija, Islandija, Ispanija, Jungtinė Karalystė (Šiaurės Airija), Kipras, Latvija, Lietuva, Liuksemburgas, Norvegija, Nyderlandai, Portugalija, Prancūzija, Slovakija, Slovėnija, Suomija, Švedija, Vokietija</w:t>
            </w:r>
          </w:p>
        </w:tc>
        <w:tc>
          <w:tcPr>
            <w:tcW w:w="998" w:type="dxa"/>
          </w:tcPr>
          <w:p w:rsidR="00655AD6" w:rsidRPr="005522BC" w:rsidRDefault="00655AD6" w:rsidP="00E2221B">
            <w:pPr>
              <w:rPr>
                <w:rFonts w:cs="Arial"/>
              </w:rPr>
            </w:pPr>
          </w:p>
          <w:p w:rsidR="00655AD6" w:rsidRPr="005522BC" w:rsidRDefault="00655AD6" w:rsidP="00E2221B">
            <w:pPr>
              <w:numPr>
                <w:ilvl w:val="12"/>
                <w:numId w:val="0"/>
              </w:numPr>
              <w:ind w:right="-2"/>
              <w:rPr>
                <w:rFonts w:cs="Arial"/>
                <w:szCs w:val="24"/>
                <w:lang w:eastAsia="en-GB"/>
              </w:rPr>
            </w:pPr>
            <w:r w:rsidRPr="005522BC">
              <w:rPr>
                <w:rFonts w:cs="Arial"/>
              </w:rPr>
              <w:t>Fosrenol</w:t>
            </w:r>
          </w:p>
        </w:tc>
      </w:tr>
      <w:tr w:rsidR="00655AD6" w:rsidRPr="005522BC" w:rsidTr="00E2221B">
        <w:tc>
          <w:tcPr>
            <w:tcW w:w="8062" w:type="dxa"/>
          </w:tcPr>
          <w:p w:rsidR="00655AD6" w:rsidRPr="005522BC" w:rsidRDefault="00655AD6" w:rsidP="00E2221B">
            <w:pPr>
              <w:numPr>
                <w:ilvl w:val="12"/>
                <w:numId w:val="0"/>
              </w:numPr>
              <w:ind w:right="-2"/>
              <w:rPr>
                <w:rFonts w:cs="Arial"/>
                <w:szCs w:val="24"/>
                <w:lang w:eastAsia="en-GB"/>
              </w:rPr>
            </w:pPr>
            <w:r w:rsidRPr="005522BC">
              <w:rPr>
                <w:rFonts w:cs="Arial"/>
              </w:rPr>
              <w:t>Airija, Italija, Malta</w:t>
            </w:r>
          </w:p>
        </w:tc>
        <w:tc>
          <w:tcPr>
            <w:tcW w:w="998" w:type="dxa"/>
          </w:tcPr>
          <w:p w:rsidR="00655AD6" w:rsidRPr="005522BC" w:rsidRDefault="00655AD6" w:rsidP="00E2221B">
            <w:pPr>
              <w:numPr>
                <w:ilvl w:val="12"/>
                <w:numId w:val="0"/>
              </w:numPr>
              <w:ind w:right="-2"/>
              <w:rPr>
                <w:rFonts w:cs="Arial"/>
                <w:szCs w:val="24"/>
                <w:lang w:eastAsia="en-GB"/>
              </w:rPr>
            </w:pPr>
            <w:r w:rsidRPr="005522BC">
              <w:rPr>
                <w:rFonts w:cs="Arial"/>
              </w:rPr>
              <w:t>Foznol</w:t>
            </w:r>
          </w:p>
        </w:tc>
      </w:tr>
    </w:tbl>
    <w:p w:rsidR="00655AD6" w:rsidRPr="005522BC" w:rsidRDefault="00655AD6" w:rsidP="00655AD6">
      <w:pPr>
        <w:ind w:right="-2"/>
        <w:rPr>
          <w:szCs w:val="22"/>
        </w:rPr>
      </w:pPr>
    </w:p>
    <w:p w:rsidR="00655AD6" w:rsidRPr="005522BC" w:rsidRDefault="00655AD6" w:rsidP="00655AD6">
      <w:pPr>
        <w:rPr>
          <w:b/>
        </w:rPr>
      </w:pPr>
      <w:r w:rsidRPr="005522BC">
        <w:rPr>
          <w:b/>
        </w:rPr>
        <w:t>Šis pakuotės lapelis paskutinį kartą peržiūrėtas</w:t>
      </w:r>
      <w:r>
        <w:rPr>
          <w:b/>
        </w:rPr>
        <w:t xml:space="preserve"> 2025-04-04.</w:t>
      </w:r>
    </w:p>
    <w:p w:rsidR="00655AD6" w:rsidRPr="005522BC" w:rsidRDefault="00655AD6" w:rsidP="00655AD6"/>
    <w:p w:rsidR="00655AD6" w:rsidRPr="005522BC" w:rsidRDefault="00655AD6" w:rsidP="00655AD6">
      <w:pPr>
        <w:numPr>
          <w:ilvl w:val="12"/>
          <w:numId w:val="0"/>
        </w:numPr>
        <w:ind w:right="-2"/>
      </w:pPr>
      <w:r w:rsidRPr="005522BC">
        <w:t xml:space="preserve">Išsami informacija apie šį </w:t>
      </w:r>
      <w:r w:rsidRPr="005522BC">
        <w:rPr>
          <w:szCs w:val="24"/>
        </w:rPr>
        <w:t>vaistą</w:t>
      </w:r>
      <w:r w:rsidRPr="005522BC">
        <w:t xml:space="preserve"> pateikiama Valstybinės vaistų kontrolės tarnybos prie Lietuvos Respublikos sveikatos apsaugos ministerijos tinklalapyje</w:t>
      </w:r>
      <w:r w:rsidRPr="005522BC">
        <w:rPr>
          <w:i/>
          <w:szCs w:val="24"/>
        </w:rPr>
        <w:t xml:space="preserve"> </w:t>
      </w:r>
      <w:r w:rsidRPr="00590912">
        <w:t>https://vvkt.lrv.lt/lt/</w:t>
      </w:r>
      <w:r w:rsidRPr="005522BC">
        <w:t>.</w:t>
      </w:r>
    </w:p>
    <w:p w:rsidR="00BA6577" w:rsidRDefault="00BA6577">
      <w:bookmarkStart w:id="2" w:name="_GoBack"/>
      <w:bookmarkEnd w:id="2"/>
    </w:p>
    <w:sectPr w:rsidR="00BA6577">
      <w:headerReference w:type="even" r:id="rId6"/>
      <w:headerReference w:type="default" r:id="rId7"/>
      <w:footerReference w:type="even" r:id="rId8"/>
      <w:footerReference w:type="default" r:id="rId9"/>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BE9" w:rsidRDefault="00655AD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D3BE9" w:rsidRDefault="00655AD6">
    <w:pPr>
      <w:pStyle w:val="Porat"/>
      <w:ind w:right="360"/>
    </w:pPr>
  </w:p>
  <w:p w:rsidR="003D3BE9" w:rsidRDefault="00655AD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BE9" w:rsidRDefault="00655AD6" w:rsidP="006F06B9">
    <w:pPr>
      <w:pStyle w:val="Porat"/>
      <w:tabs>
        <w:tab w:val="clear" w:pos="4153"/>
        <w:tab w:val="clear" w:pos="8306"/>
      </w:tabs>
      <w:ind w:right="-2"/>
      <w:jc w:val="center"/>
    </w:pPr>
    <w:r>
      <w:rPr>
        <w:rStyle w:val="Puslapionumeris"/>
        <w:szCs w:val="22"/>
      </w:rPr>
      <w:fldChar w:fldCharType="begin"/>
    </w:r>
    <w:r>
      <w:rPr>
        <w:rStyle w:val="Puslapionumeris"/>
        <w:szCs w:val="22"/>
      </w:rPr>
      <w:instrText xml:space="preserve"> PAGE </w:instrText>
    </w:r>
    <w:r>
      <w:rPr>
        <w:rStyle w:val="Puslapionumeris"/>
        <w:szCs w:val="22"/>
      </w:rPr>
      <w:fldChar w:fldCharType="separate"/>
    </w:r>
    <w:r>
      <w:rPr>
        <w:rStyle w:val="Puslapionumeris"/>
        <w:noProof/>
        <w:szCs w:val="22"/>
      </w:rPr>
      <w:t>5</w:t>
    </w:r>
    <w:r>
      <w:rPr>
        <w:rStyle w:val="Puslapionumeris"/>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BE9" w:rsidRDefault="00655AD6">
    <w:pPr>
      <w:pStyle w:val="Antrats"/>
    </w:pPr>
  </w:p>
  <w:p w:rsidR="003D3BE9" w:rsidRDefault="00655AD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453" w:rsidRDefault="00655A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0110C"/>
    <w:multiLevelType w:val="multilevel"/>
    <w:tmpl w:val="5756E448"/>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308470DE"/>
    <w:multiLevelType w:val="hybridMultilevel"/>
    <w:tmpl w:val="7EFE44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705A7B"/>
    <w:multiLevelType w:val="hybridMultilevel"/>
    <w:tmpl w:val="640A6C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F8A00FE"/>
    <w:multiLevelType w:val="hybridMultilevel"/>
    <w:tmpl w:val="1B6695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F916670"/>
    <w:multiLevelType w:val="hybridMultilevel"/>
    <w:tmpl w:val="376CA9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Times New Roman" w:hAnsi="Times New Roman"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Times New Roman" w:hAnsi="Times New Roman"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7F4E398B"/>
    <w:multiLevelType w:val="hybridMultilevel"/>
    <w:tmpl w:val="9828B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AD6"/>
    <w:rsid w:val="00070BFA"/>
    <w:rsid w:val="00072F85"/>
    <w:rsid w:val="000A5E72"/>
    <w:rsid w:val="000A7B60"/>
    <w:rsid w:val="00181364"/>
    <w:rsid w:val="002945D9"/>
    <w:rsid w:val="00305C48"/>
    <w:rsid w:val="003362C6"/>
    <w:rsid w:val="00497D4D"/>
    <w:rsid w:val="005F6F06"/>
    <w:rsid w:val="00655AD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9DD00-CED6-4C5C-B6B0-8B3D1B8E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5AD6"/>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qFormat/>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rsid w:val="00655AD6"/>
    <w:pPr>
      <w:tabs>
        <w:tab w:val="center" w:pos="4153"/>
        <w:tab w:val="right" w:pos="8306"/>
      </w:tabs>
    </w:pPr>
  </w:style>
  <w:style w:type="character" w:customStyle="1" w:styleId="PoratDiagrama">
    <w:name w:val="Poraštė Diagrama"/>
    <w:basedOn w:val="Numatytasispastraiposriftas"/>
    <w:link w:val="Porat"/>
    <w:rsid w:val="00655AD6"/>
    <w:rPr>
      <w:rFonts w:ascii="Times New Roman" w:hAnsi="Times New Roman" w:cs="Times New Roman"/>
      <w:szCs w:val="20"/>
      <w:lang w:eastAsia="lt-LT"/>
    </w:rPr>
  </w:style>
  <w:style w:type="character" w:styleId="Puslapionumeris">
    <w:name w:val="page number"/>
    <w:basedOn w:val="Numatytasispastraiposriftas"/>
    <w:rsid w:val="00655AD6"/>
    <w:rPr>
      <w:rFonts w:ascii="Arial" w:hAnsi="Arial" w:cs="Times New Roman"/>
      <w:sz w:val="16"/>
    </w:rPr>
  </w:style>
  <w:style w:type="paragraph" w:styleId="Pagrindiniotekstotrauka">
    <w:name w:val="Body Text Indent"/>
    <w:basedOn w:val="prastasis"/>
    <w:link w:val="PagrindiniotekstotraukaDiagrama"/>
    <w:rsid w:val="00655AD6"/>
    <w:pPr>
      <w:spacing w:after="120"/>
      <w:ind w:left="283"/>
    </w:pPr>
  </w:style>
  <w:style w:type="character" w:customStyle="1" w:styleId="PagrindiniotekstotraukaDiagrama">
    <w:name w:val="Pagrindinio teksto įtrauka Diagrama"/>
    <w:basedOn w:val="Numatytasispastraiposriftas"/>
    <w:link w:val="Pagrindiniotekstotrauka"/>
    <w:rsid w:val="00655AD6"/>
    <w:rPr>
      <w:rFonts w:ascii="Times New Roman" w:hAnsi="Times New Roman" w:cs="Times New Roman"/>
      <w:szCs w:val="20"/>
      <w:lang w:eastAsia="lt-LT"/>
    </w:rPr>
  </w:style>
  <w:style w:type="paragraph" w:styleId="Dokumentoinaostekstas">
    <w:name w:val="endnote text"/>
    <w:basedOn w:val="prastasis"/>
    <w:next w:val="prastasis"/>
    <w:link w:val="DokumentoinaostekstasDiagrama"/>
    <w:semiHidden/>
    <w:rsid w:val="00655AD6"/>
    <w:pPr>
      <w:spacing w:after="120"/>
      <w:ind w:left="454" w:hanging="454"/>
      <w:jc w:val="both"/>
    </w:pPr>
    <w:rPr>
      <w:rFonts w:ascii="Arial" w:hAnsi="Arial" w:cs="Arial"/>
      <w:szCs w:val="22"/>
      <w:lang w:val="en-GB" w:eastAsia="en-US"/>
    </w:rPr>
  </w:style>
  <w:style w:type="character" w:customStyle="1" w:styleId="DokumentoinaostekstasDiagrama">
    <w:name w:val="Dokumento išnašos tekstas Diagrama"/>
    <w:basedOn w:val="Numatytasispastraiposriftas"/>
    <w:link w:val="Dokumentoinaostekstas"/>
    <w:semiHidden/>
    <w:rsid w:val="00655AD6"/>
    <w:rPr>
      <w:rFonts w:ascii="Arial" w:hAnsi="Arial" w:cs="Arial"/>
      <w:lang w:val="en-GB"/>
    </w:rPr>
  </w:style>
  <w:style w:type="character" w:styleId="Hipersaitas">
    <w:name w:val="Hyperlink"/>
    <w:basedOn w:val="Numatytasispastraiposriftas"/>
    <w:uiPriority w:val="99"/>
    <w:rsid w:val="00655AD6"/>
    <w:rPr>
      <w:rFonts w:cs="Times New Roman"/>
      <w:color w:val="0000FF"/>
      <w:u w:val="single"/>
    </w:rPr>
  </w:style>
  <w:style w:type="paragraph" w:styleId="Antrats">
    <w:name w:val="header"/>
    <w:basedOn w:val="prastasis"/>
    <w:link w:val="AntratsDiagrama"/>
    <w:rsid w:val="00655AD6"/>
    <w:pPr>
      <w:tabs>
        <w:tab w:val="center" w:pos="4819"/>
        <w:tab w:val="right" w:pos="9638"/>
      </w:tabs>
    </w:pPr>
  </w:style>
  <w:style w:type="character" w:customStyle="1" w:styleId="AntratsDiagrama">
    <w:name w:val="Antraštės Diagrama"/>
    <w:basedOn w:val="Numatytasispastraiposriftas"/>
    <w:link w:val="Antrats"/>
    <w:rsid w:val="00655AD6"/>
    <w:rPr>
      <w:rFonts w:ascii="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mailto:medinfoemea@takeda.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7922</Words>
  <Characters>4517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2025-06-11T06:02:00Z</dcterms:created>
  <dcterms:modified xsi:type="dcterms:W3CDTF">2025-06-11T06:03:00Z</dcterms:modified>
</cp:coreProperties>
</file>