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P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0018B3" w:rsidRDefault="000018B3" w:rsidP="00F622AC">
      <w:pPr>
        <w:tabs>
          <w:tab w:val="left" w:pos="567"/>
        </w:tabs>
        <w:spacing w:after="0" w:line="240" w:lineRule="auto"/>
        <w:ind w:left="567" w:hanging="567"/>
        <w:jc w:val="center"/>
        <w:rPr>
          <w:rFonts w:ascii="Times New Roman" w:eastAsia="Calibri" w:hAnsi="Times New Roman" w:cs="Times New Roman"/>
          <w:b/>
        </w:rPr>
      </w:pPr>
    </w:p>
    <w:p w:rsidR="000018B3" w:rsidRDefault="000018B3" w:rsidP="00F622AC">
      <w:pPr>
        <w:tabs>
          <w:tab w:val="left" w:pos="567"/>
        </w:tabs>
        <w:spacing w:after="0" w:line="240" w:lineRule="auto"/>
        <w:ind w:left="567" w:hanging="567"/>
        <w:jc w:val="center"/>
        <w:rPr>
          <w:rFonts w:ascii="Times New Roman" w:eastAsia="Calibri" w:hAnsi="Times New Roman" w:cs="Times New Roman"/>
          <w:b/>
        </w:rPr>
      </w:pPr>
    </w:p>
    <w:p w:rsidR="000018B3" w:rsidRDefault="000018B3" w:rsidP="00F622AC">
      <w:pPr>
        <w:tabs>
          <w:tab w:val="left" w:pos="567"/>
        </w:tabs>
        <w:spacing w:after="0" w:line="240" w:lineRule="auto"/>
        <w:ind w:left="567" w:hanging="567"/>
        <w:jc w:val="center"/>
        <w:rPr>
          <w:rFonts w:ascii="Times New Roman" w:eastAsia="Calibri" w:hAnsi="Times New Roman" w:cs="Times New Roman"/>
          <w:b/>
        </w:rPr>
      </w:pPr>
    </w:p>
    <w:p w:rsidR="00F622AC" w:rsidRPr="00F622AC" w:rsidRDefault="00F622AC" w:rsidP="00F622AC">
      <w:pPr>
        <w:tabs>
          <w:tab w:val="left" w:pos="567"/>
        </w:tabs>
        <w:spacing w:after="0" w:line="240" w:lineRule="auto"/>
        <w:ind w:left="567" w:hanging="567"/>
        <w:jc w:val="center"/>
        <w:rPr>
          <w:rFonts w:ascii="Times New Roman" w:eastAsia="Calibri" w:hAnsi="Times New Roman" w:cs="Times New Roman"/>
          <w:lang w:eastAsia="lt-LT"/>
        </w:rPr>
      </w:pPr>
      <w:r w:rsidRPr="00F622AC">
        <w:rPr>
          <w:rFonts w:ascii="Times New Roman" w:eastAsia="Calibri" w:hAnsi="Times New Roman" w:cs="Times New Roman"/>
          <w:b/>
        </w:rPr>
        <w:t>I PRIEDAS</w:t>
      </w:r>
    </w:p>
    <w:p w:rsidR="00F622AC" w:rsidRPr="00F622AC" w:rsidRDefault="00F622AC" w:rsidP="00F622AC">
      <w:pPr>
        <w:tabs>
          <w:tab w:val="left" w:pos="567"/>
        </w:tabs>
        <w:spacing w:after="0" w:line="240" w:lineRule="auto"/>
        <w:ind w:left="567" w:hanging="567"/>
        <w:jc w:val="center"/>
        <w:rPr>
          <w:rFonts w:ascii="Times New Roman" w:eastAsia="Calibri" w:hAnsi="Times New Roman" w:cs="Times New Roman"/>
          <w:b/>
        </w:rPr>
      </w:pPr>
    </w:p>
    <w:p w:rsidR="00F622AC" w:rsidRPr="00F622AC" w:rsidRDefault="00F622AC" w:rsidP="00F622AC">
      <w:pPr>
        <w:tabs>
          <w:tab w:val="left" w:pos="567"/>
        </w:tabs>
        <w:spacing w:after="0" w:line="240" w:lineRule="auto"/>
        <w:ind w:left="567" w:hanging="567"/>
        <w:jc w:val="center"/>
        <w:rPr>
          <w:rFonts w:ascii="Times New Roman" w:eastAsia="Calibri" w:hAnsi="Times New Roman" w:cs="Times New Roman"/>
          <w:b/>
          <w:lang w:eastAsia="lt-LT"/>
        </w:rPr>
      </w:pPr>
      <w:r w:rsidRPr="00F622AC">
        <w:rPr>
          <w:rFonts w:ascii="Times New Roman" w:eastAsia="Calibri" w:hAnsi="Times New Roman" w:cs="Times New Roman"/>
          <w:b/>
        </w:rPr>
        <w:t>PREPARATO CHARAKTERISTIKŲ SANTRAUKA</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r w:rsidRPr="00F622AC">
        <w:rPr>
          <w:rFonts w:ascii="Times New Roman" w:eastAsia="Calibri" w:hAnsi="Times New Roman" w:cs="Times New Roman"/>
        </w:rPr>
        <w:br w:type="page"/>
      </w: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lastRenderedPageBreak/>
        <w:t>1.</w:t>
      </w:r>
      <w:r w:rsidRPr="00F622AC">
        <w:rPr>
          <w:rFonts w:ascii="Times New Roman" w:eastAsia="Calibri" w:hAnsi="Times New Roman" w:cs="Times New Roman"/>
          <w:b/>
        </w:rPr>
        <w:tab/>
        <w:t>VAISTINIO PREPARATO PAVADINIMAS</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400 mg plėvele dengtos tabletės</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2.</w:t>
      </w:r>
      <w:r w:rsidRPr="00F622AC">
        <w:rPr>
          <w:rFonts w:ascii="Times New Roman" w:eastAsia="Calibri" w:hAnsi="Times New Roman" w:cs="Times New Roman"/>
          <w:b/>
        </w:rPr>
        <w:tab/>
        <w:t>KOKYBINĖ IR KIEKYBINĖ SUDĖTIS</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Kiekvienoje plėvele dengtoje tabletėje yra 400 mg ribavirino.</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Visos pagalbinės medžiagos išvardytos 6.1 skyriuje.</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3.</w:t>
      </w:r>
      <w:r w:rsidRPr="00F622AC">
        <w:rPr>
          <w:rFonts w:ascii="Times New Roman" w:eastAsia="Calibri" w:hAnsi="Times New Roman" w:cs="Times New Roman"/>
          <w:b/>
        </w:rPr>
        <w:tab/>
        <w:t>FARMACINĖ FORMA</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Plėvele dengta tabletė</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Rausvai ruda, plokščia, ovalios formos, plėvele dengta tabletė (turinti vienoje pusėje žymę RIB 400, kitoje – ROCHE).</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4.</w:t>
      </w:r>
      <w:r w:rsidRPr="00F622AC">
        <w:rPr>
          <w:rFonts w:ascii="Times New Roman" w:eastAsia="Calibri" w:hAnsi="Times New Roman" w:cs="Times New Roman"/>
          <w:b/>
        </w:rPr>
        <w:tab/>
        <w:t>KLINIKINĖ INFORMACIJA</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4.1</w:t>
      </w:r>
      <w:r w:rsidRPr="00F622AC">
        <w:rPr>
          <w:rFonts w:ascii="Times New Roman" w:eastAsia="Calibri" w:hAnsi="Times New Roman" w:cs="Times New Roman"/>
          <w:b/>
        </w:rPr>
        <w:tab/>
        <w:t>Terapinės indikacijos</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kartu su kitais vaistiniais preparatais yra</w:t>
      </w:r>
      <w:r w:rsidRPr="00F622AC">
        <w:rPr>
          <w:rFonts w:ascii="Times New Roman" w:eastAsia="Calibri" w:hAnsi="Times New Roman" w:cs="Times New Roman"/>
          <w:i/>
        </w:rPr>
        <w:t xml:space="preserve"> </w:t>
      </w:r>
      <w:r w:rsidRPr="00F622AC">
        <w:rPr>
          <w:rFonts w:ascii="Times New Roman" w:eastAsia="Calibri" w:hAnsi="Times New Roman" w:cs="Times New Roman"/>
        </w:rPr>
        <w:t>skiriamas lėtiniam hepatitui C (toliau - LHC) gydyti.</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4.2</w:t>
      </w:r>
      <w:r w:rsidRPr="00F622AC">
        <w:rPr>
          <w:rFonts w:ascii="Times New Roman" w:eastAsia="Calibri" w:hAnsi="Times New Roman" w:cs="Times New Roman"/>
          <w:b/>
        </w:rPr>
        <w:tab/>
        <w:t>Dozavimas ir vartojimo metodas</w:t>
      </w:r>
    </w:p>
    <w:p w:rsidR="00F622AC" w:rsidRPr="00F622AC" w:rsidRDefault="00F622AC" w:rsidP="00F622AC">
      <w:pPr>
        <w:spacing w:after="0" w:line="240" w:lineRule="auto"/>
        <w:jc w:val="both"/>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Gydymą turi pradėti ir pacientą nuolat stebėti sergančiųjų lėtiniu hepatitu C gydymo patirties turintis gydytojas.</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Be to, žiūrėkite kitų kartu su Copegus lėtinio hepatito C gydymui skiriamų vaistinių preparatų PCS.</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keepNext/>
        <w:spacing w:after="0" w:line="240" w:lineRule="auto"/>
        <w:outlineLvl w:val="2"/>
        <w:rPr>
          <w:rFonts w:ascii="Times New Roman" w:eastAsia="Calibri" w:hAnsi="Times New Roman" w:cs="Times New Roman"/>
          <w:b/>
          <w:lang w:eastAsia="lt-LT"/>
        </w:rPr>
      </w:pPr>
      <w:r w:rsidRPr="00F622AC">
        <w:rPr>
          <w:rFonts w:ascii="Times New Roman" w:eastAsia="Calibri" w:hAnsi="Times New Roman" w:cs="Times New Roman"/>
          <w:b/>
        </w:rPr>
        <w:t>Vartojimo metodas</w:t>
      </w:r>
    </w:p>
    <w:p w:rsidR="00F622AC" w:rsidRPr="00F622AC" w:rsidRDefault="00F622AC" w:rsidP="00F622AC">
      <w:pPr>
        <w:spacing w:after="0" w:line="240" w:lineRule="auto"/>
        <w:rPr>
          <w:rFonts w:ascii="Times New Roman" w:eastAsia="Calibri" w:hAnsi="Times New Roman" w:cs="Times New Roman"/>
          <w:i/>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plėvele dengtos tabletės, padalijus paros dozę į dvi dalis, geriama valgant (iš ryto ir vakare). Dėl galimo ribavirino teratogeninio poveikio tablečių negalima laužyti ar traiškyti.</w:t>
      </w:r>
      <w:r w:rsidRPr="00F622AC">
        <w:rPr>
          <w:rFonts w:ascii="Times New Roman" w:eastAsia="Calibri" w:hAnsi="Times New Roman" w:cs="Times New Roman"/>
          <w:lang w:val="en-US"/>
        </w:rPr>
        <w:t>. Kadangi Copegus tiekiamas ir 200 mg tabletėmis, 400 mg tablečių dalyti ar pjaustyti perpus nereikia.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Dozavimas</w:t>
      </w:r>
    </w:p>
    <w:p w:rsidR="00F622AC" w:rsidRPr="00F622AC" w:rsidRDefault="00F622AC" w:rsidP="00F622AC">
      <w:pPr>
        <w:keepNext/>
        <w:keepLines/>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Skirtina dozė</w:t>
      </w: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Copegus dozė, kuri vartojama derinyje, priklauso nuo paciento kūno masės, </w:t>
      </w:r>
      <w:r w:rsidRPr="00F622AC">
        <w:rPr>
          <w:rFonts w:ascii="Times New Roman" w:eastAsia="Calibri" w:hAnsi="Times New Roman" w:cs="Times New Roman"/>
          <w:i/>
        </w:rPr>
        <w:t>viruso genotipo ir kito kartu vartojamo vaistinio preparato</w:t>
      </w:r>
      <w:r w:rsidRPr="00F622AC">
        <w:rPr>
          <w:rFonts w:ascii="Times New Roman" w:eastAsia="Calibri" w:hAnsi="Times New Roman" w:cs="Times New Roman"/>
        </w:rPr>
        <w:t xml:space="preserve"> (žr. 1 lentelę). </w:t>
      </w:r>
      <w:r w:rsidRPr="00F622AC">
        <w:rPr>
          <w:rFonts w:ascii="Times New Roman" w:eastAsia="Calibri" w:hAnsi="Times New Roman" w:cs="Times New Roman"/>
          <w:lang w:val="en-US"/>
        </w:rPr>
        <w:t>Copegus tabletės, padalijus paros dozę į dvi dalis (ryto ir vakaro), geriamos valgio metu kiekvieną dieną.</w:t>
      </w:r>
    </w:p>
    <w:p w:rsidR="00F622AC" w:rsidRPr="00F622AC" w:rsidRDefault="00F622AC" w:rsidP="00F622AC">
      <w:pPr>
        <w:tabs>
          <w:tab w:val="left" w:pos="567"/>
        </w:tabs>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5"/>
        <w:gridCol w:w="4003"/>
        <w:gridCol w:w="3022"/>
      </w:tblGrid>
      <w:tr w:rsidR="00F622AC" w:rsidRPr="00F622AC" w:rsidTr="002A1D7B">
        <w:trPr>
          <w:cantSplit/>
        </w:trPr>
        <w:tc>
          <w:tcPr>
            <w:tcW w:w="5000" w:type="pct"/>
            <w:gridSpan w:val="3"/>
          </w:tcPr>
          <w:p w:rsidR="00F622AC" w:rsidRPr="00F622AC" w:rsidRDefault="00F622AC" w:rsidP="00F622AC">
            <w:pPr>
              <w:tabs>
                <w:tab w:val="left" w:pos="567"/>
              </w:tabs>
              <w:spacing w:after="0" w:line="240" w:lineRule="auto"/>
              <w:rPr>
                <w:rFonts w:ascii="Times New Roman" w:eastAsia="Calibri" w:hAnsi="Times New Roman" w:cs="Times New Roman"/>
                <w:b/>
              </w:rPr>
            </w:pPr>
            <w:r w:rsidRPr="00F622AC">
              <w:rPr>
                <w:rFonts w:ascii="Times New Roman" w:eastAsia="Calibri" w:hAnsi="Times New Roman" w:cs="Times New Roman"/>
                <w:b/>
              </w:rPr>
              <w:t>1 lentelė. Copegus dozavimo rekomendacijos atsižvelgiant į kartu skiriamą vaistinį preparatą</w:t>
            </w:r>
          </w:p>
          <w:p w:rsidR="00F622AC" w:rsidRPr="00F622AC" w:rsidRDefault="00F622AC" w:rsidP="00F622AC">
            <w:pPr>
              <w:tabs>
                <w:tab w:val="left" w:pos="567"/>
              </w:tabs>
              <w:spacing w:after="0" w:line="240" w:lineRule="auto"/>
              <w:rPr>
                <w:rFonts w:ascii="Times New Roman" w:eastAsia="Calibri" w:hAnsi="Times New Roman" w:cs="Times New Roman"/>
                <w:b/>
              </w:rPr>
            </w:pPr>
          </w:p>
        </w:tc>
      </w:tr>
      <w:tr w:rsidR="00F622AC" w:rsidRPr="00F622AC" w:rsidTr="002A1D7B">
        <w:trPr>
          <w:cantSplit/>
        </w:trPr>
        <w:tc>
          <w:tcPr>
            <w:tcW w:w="1123" w:type="pct"/>
          </w:tcPr>
          <w:p w:rsidR="00F622AC" w:rsidRPr="00F622AC" w:rsidRDefault="00F622AC" w:rsidP="00F622AC">
            <w:pPr>
              <w:tabs>
                <w:tab w:val="left" w:pos="567"/>
              </w:tabs>
              <w:spacing w:after="0" w:line="240" w:lineRule="auto"/>
              <w:rPr>
                <w:rFonts w:ascii="Times New Roman" w:eastAsia="Calibri" w:hAnsi="Times New Roman" w:cs="Times New Roman"/>
                <w:b/>
              </w:rPr>
            </w:pPr>
            <w:r w:rsidRPr="00F622AC">
              <w:rPr>
                <w:rFonts w:ascii="Times New Roman" w:eastAsia="Calibri" w:hAnsi="Times New Roman" w:cs="Times New Roman"/>
                <w:b/>
              </w:rPr>
              <w:t>Kartu skiriamąs vaistinis preparatas</w:t>
            </w:r>
          </w:p>
        </w:tc>
        <w:tc>
          <w:tcPr>
            <w:tcW w:w="2209" w:type="pct"/>
          </w:tcPr>
          <w:p w:rsidR="00F622AC" w:rsidRPr="00F622AC" w:rsidRDefault="00F622AC" w:rsidP="00F622AC">
            <w:pPr>
              <w:keepNext/>
              <w:tabs>
                <w:tab w:val="left" w:pos="567"/>
              </w:tabs>
              <w:spacing w:after="0" w:line="240" w:lineRule="auto"/>
              <w:outlineLvl w:val="1"/>
              <w:rPr>
                <w:rFonts w:ascii="Times New Roman" w:eastAsia="Calibri" w:hAnsi="Times New Roman" w:cs="Times New Roman"/>
                <w:b/>
                <w:lang w:eastAsia="lt-LT"/>
              </w:rPr>
            </w:pPr>
            <w:r w:rsidRPr="00F622AC">
              <w:rPr>
                <w:rFonts w:ascii="Times New Roman" w:eastAsia="Calibri" w:hAnsi="Times New Roman" w:cs="Times New Roman"/>
                <w:b/>
              </w:rPr>
              <w:t>Copegus paros dozė</w:t>
            </w:r>
          </w:p>
        </w:tc>
        <w:tc>
          <w:tcPr>
            <w:tcW w:w="1668" w:type="pct"/>
          </w:tcPr>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Tablečių po 200/400 mg skaičius</w:t>
            </w:r>
          </w:p>
        </w:tc>
      </w:tr>
      <w:tr w:rsidR="00F622AC" w:rsidRPr="00F622AC" w:rsidTr="002A1D7B">
        <w:trPr>
          <w:cantSplit/>
        </w:trPr>
        <w:tc>
          <w:tcPr>
            <w:tcW w:w="1123" w:type="pct"/>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Tiesiogiai veikiantys priešvirusiniai vaistiniai preparatai (TVP)</w:t>
            </w:r>
          </w:p>
        </w:tc>
        <w:tc>
          <w:tcPr>
            <w:tcW w:w="2209"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&lt; 75 kg = 1000 mg</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sym w:font="Symbol" w:char="F0B3"/>
            </w:r>
            <w:r w:rsidRPr="00F622AC">
              <w:rPr>
                <w:rFonts w:ascii="Times New Roman" w:eastAsia="Calibri" w:hAnsi="Times New Roman" w:cs="Times New Roman"/>
              </w:rPr>
              <w:t> 75 kg = 1200 mg</w:t>
            </w:r>
          </w:p>
        </w:tc>
        <w:tc>
          <w:tcPr>
            <w:tcW w:w="1668"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5 x 200 mg</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(2 ryte, 3 vakare)</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6 x 200 mg</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(3 ryte, 3 vakare)</w:t>
            </w:r>
          </w:p>
        </w:tc>
      </w:tr>
      <w:tr w:rsidR="00F622AC" w:rsidRPr="00F622AC" w:rsidTr="002A1D7B">
        <w:trPr>
          <w:cantSplit/>
        </w:trPr>
        <w:tc>
          <w:tcPr>
            <w:tcW w:w="1123" w:type="pct"/>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lang w:val="en-US"/>
              </w:rPr>
              <w:lastRenderedPageBreak/>
              <w:t>PegIFN alfa-2a</w:t>
            </w:r>
            <w:r w:rsidRPr="00F622AC">
              <w:rPr>
                <w:rFonts w:ascii="Times New Roman" w:eastAsia="Calibri" w:hAnsi="Times New Roman" w:cs="Times New Roman"/>
                <w:b/>
                <w:lang w:val="en-US"/>
              </w:rPr>
              <w:t> </w:t>
            </w:r>
            <w:r w:rsidRPr="00F622AC">
              <w:rPr>
                <w:rFonts w:ascii="Times New Roman" w:eastAsia="Calibri" w:hAnsi="Times New Roman" w:cs="Times New Roman"/>
                <w:b/>
                <w:i/>
                <w:lang w:val="en-US"/>
              </w:rPr>
              <w:t>kartu su TVP</w:t>
            </w:r>
          </w:p>
        </w:tc>
        <w:tc>
          <w:tcPr>
            <w:tcW w:w="2209"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&lt; 75 kg = 1000 mg</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sym w:font="Symbol" w:char="F0B3"/>
            </w:r>
            <w:r w:rsidRPr="00F622AC">
              <w:rPr>
                <w:rFonts w:ascii="Times New Roman" w:eastAsia="Calibri" w:hAnsi="Times New Roman" w:cs="Times New Roman"/>
              </w:rPr>
              <w:t> 75 kg = 1200 mg</w:t>
            </w:r>
          </w:p>
        </w:tc>
        <w:tc>
          <w:tcPr>
            <w:tcW w:w="1668"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5 x 200 mg</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(2 ryte, 3 vakare)</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6 x 200 mg</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(3 ryte, 3 vakare)</w:t>
            </w:r>
          </w:p>
        </w:tc>
      </w:tr>
      <w:tr w:rsidR="00F622AC" w:rsidRPr="00F622AC" w:rsidTr="002A1D7B">
        <w:trPr>
          <w:cantSplit/>
          <w:trHeight w:val="981"/>
        </w:trPr>
        <w:tc>
          <w:tcPr>
            <w:tcW w:w="1123" w:type="pct"/>
            <w:vMerge w:val="restart"/>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lang w:val="en-US"/>
              </w:rPr>
              <w:t>PegIFN alfa-2a</w:t>
            </w:r>
            <w:r w:rsidRPr="00F622AC">
              <w:rPr>
                <w:rFonts w:ascii="Times New Roman" w:eastAsia="Calibri" w:hAnsi="Times New Roman" w:cs="Times New Roman"/>
                <w:b/>
                <w:lang w:val="en-US"/>
              </w:rPr>
              <w:t> be</w:t>
            </w:r>
            <w:r w:rsidRPr="00F622AC">
              <w:rPr>
                <w:rFonts w:ascii="Times New Roman" w:eastAsia="Calibri" w:hAnsi="Times New Roman" w:cs="Times New Roman"/>
                <w:b/>
                <w:i/>
                <w:lang w:val="en-US"/>
              </w:rPr>
              <w:t xml:space="preserve"> TVP</w:t>
            </w:r>
          </w:p>
        </w:tc>
        <w:tc>
          <w:tcPr>
            <w:tcW w:w="2209"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b/>
              </w:rPr>
              <w:t>2 ar 3 genotipo HCV užsikrėtę negydyti pacientai</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b/>
              </w:rPr>
              <w:t>2, 3 ar 4 genotipo HCV ir ŽIV užsikrėtę pacientai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800 mg</w:t>
            </w:r>
          </w:p>
        </w:tc>
        <w:tc>
          <w:tcPr>
            <w:tcW w:w="1668" w:type="pct"/>
          </w:tcPr>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4 x 200 mg</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(2 ryte, 2 vakare)</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arba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2 x 400 mg</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(1 ryte, 1 vakare)</w:t>
            </w:r>
          </w:p>
        </w:tc>
      </w:tr>
      <w:tr w:rsidR="00F622AC" w:rsidRPr="00F622AC" w:rsidTr="002A1D7B">
        <w:trPr>
          <w:cantSplit/>
          <w:trHeight w:val="690"/>
        </w:trPr>
        <w:tc>
          <w:tcPr>
            <w:tcW w:w="1123" w:type="pct"/>
            <w:vMerge/>
          </w:tcPr>
          <w:p w:rsidR="00F622AC" w:rsidRPr="00F622AC" w:rsidRDefault="00F622AC" w:rsidP="00F622AC">
            <w:pPr>
              <w:tabs>
                <w:tab w:val="left" w:pos="567"/>
              </w:tabs>
              <w:spacing w:after="0" w:line="240" w:lineRule="auto"/>
              <w:rPr>
                <w:rFonts w:ascii="Times New Roman" w:eastAsia="Calibri" w:hAnsi="Times New Roman" w:cs="Times New Roman"/>
                <w:lang w:val="en-US"/>
              </w:rPr>
            </w:pPr>
          </w:p>
        </w:tc>
        <w:tc>
          <w:tcPr>
            <w:tcW w:w="2209"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b/>
              </w:rPr>
              <w:t>1 ar 4 genotipo HCV užsikrėtę pacientai</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b/>
              </w:rPr>
              <w:t>2 ar 3 genotipo HCV užsikrėtę jau gydyti pacientai</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b/>
              </w:rPr>
              <w:t>1 genotipo HCV ir ŽIV užsikrėtę pacientai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&lt; 75 kg = 1000 mg</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sym w:font="Symbol" w:char="F0B3"/>
            </w:r>
            <w:r w:rsidRPr="00F622AC">
              <w:rPr>
                <w:rFonts w:ascii="Times New Roman" w:eastAsia="Calibri" w:hAnsi="Times New Roman" w:cs="Times New Roman"/>
              </w:rPr>
              <w:t> 75 kg = 1200 mg</w:t>
            </w:r>
          </w:p>
          <w:p w:rsidR="00F622AC" w:rsidRPr="00F622AC" w:rsidRDefault="00F622AC" w:rsidP="00F622AC">
            <w:pPr>
              <w:tabs>
                <w:tab w:val="left" w:pos="567"/>
              </w:tabs>
              <w:spacing w:after="0" w:line="240" w:lineRule="auto"/>
              <w:rPr>
                <w:rFonts w:ascii="Times New Roman" w:eastAsia="Calibri" w:hAnsi="Times New Roman" w:cs="Times New Roman"/>
              </w:rPr>
            </w:pPr>
          </w:p>
        </w:tc>
        <w:tc>
          <w:tcPr>
            <w:tcW w:w="1668" w:type="pct"/>
          </w:tcPr>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5 x 200 mg</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(2 ryte, 3 vakare)</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6 x 200 mg</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(3 ryte, 3 vakare)</w:t>
            </w:r>
          </w:p>
        </w:tc>
      </w:tr>
      <w:tr w:rsidR="00F622AC" w:rsidRPr="00F622AC" w:rsidTr="002A1D7B">
        <w:trPr>
          <w:cantSplit/>
        </w:trPr>
        <w:tc>
          <w:tcPr>
            <w:tcW w:w="1123" w:type="pct"/>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lang w:val="en-US"/>
              </w:rPr>
              <w:t>IFN alfa-2a</w:t>
            </w:r>
            <w:r w:rsidRPr="00F622AC">
              <w:rPr>
                <w:rFonts w:ascii="Times New Roman" w:eastAsia="Calibri" w:hAnsi="Times New Roman" w:cs="Times New Roman"/>
                <w:b/>
                <w:lang w:val="en-US"/>
              </w:rPr>
              <w:t> be</w:t>
            </w:r>
            <w:r w:rsidRPr="00F622AC">
              <w:rPr>
                <w:rFonts w:ascii="Times New Roman" w:eastAsia="Calibri" w:hAnsi="Times New Roman" w:cs="Times New Roman"/>
                <w:b/>
                <w:i/>
                <w:lang w:val="en-US"/>
              </w:rPr>
              <w:t xml:space="preserve"> TVP</w:t>
            </w:r>
          </w:p>
        </w:tc>
        <w:tc>
          <w:tcPr>
            <w:tcW w:w="2209"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&lt;75 kg = 1000 mg</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sym w:font="Symbol" w:char="F0B3"/>
            </w:r>
            <w:r w:rsidRPr="00F622AC">
              <w:rPr>
                <w:rFonts w:ascii="Times New Roman" w:eastAsia="Calibri" w:hAnsi="Times New Roman" w:cs="Times New Roman"/>
              </w:rPr>
              <w:t>75 kg = 1200 mg</w:t>
            </w:r>
          </w:p>
        </w:tc>
        <w:tc>
          <w:tcPr>
            <w:tcW w:w="1668"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5 x 200 mg</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(2 ryte, 3 vakare)</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6 x 200 mg</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(3 ryte, 3 vakare)</w:t>
            </w:r>
          </w:p>
        </w:tc>
      </w:tr>
      <w:tr w:rsidR="00F622AC" w:rsidRPr="00F622AC" w:rsidTr="002A1D7B">
        <w:trPr>
          <w:cantSplit/>
          <w:trHeight w:val="250"/>
        </w:trPr>
        <w:tc>
          <w:tcPr>
            <w:tcW w:w="1123" w:type="pct"/>
            <w:vMerge w:val="restart"/>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lang w:val="en-US"/>
              </w:rPr>
              <w:t xml:space="preserve">PegIFN alfa-2b </w:t>
            </w:r>
            <w:r w:rsidRPr="00F622AC">
              <w:rPr>
                <w:rFonts w:ascii="Times New Roman" w:eastAsia="Calibri" w:hAnsi="Times New Roman" w:cs="Times New Roman"/>
                <w:b/>
                <w:i/>
                <w:lang w:val="en-US"/>
              </w:rPr>
              <w:t>kartu su arba be TVP</w:t>
            </w:r>
          </w:p>
        </w:tc>
        <w:tc>
          <w:tcPr>
            <w:tcW w:w="2209" w:type="pct"/>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Times New Roman" w:hAnsi="Times New Roman" w:cs="Times New Roman"/>
                <w:lang w:val="en-GB" w:eastAsia="lt-LT"/>
              </w:rPr>
              <w:t xml:space="preserve">&lt; 65 kg = </w:t>
            </w:r>
            <w:r w:rsidRPr="00F622AC">
              <w:rPr>
                <w:rFonts w:ascii="Times New Roman" w:eastAsia="Calibri" w:hAnsi="Times New Roman" w:cs="Times New Roman"/>
              </w:rPr>
              <w:t>800 mg</w:t>
            </w:r>
          </w:p>
        </w:tc>
        <w:tc>
          <w:tcPr>
            <w:tcW w:w="1668"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4 x 200 mg  (2 ryte, 2 vakare) arba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2 x 400 mg (1 ryte, 1 vakare)</w:t>
            </w:r>
          </w:p>
        </w:tc>
      </w:tr>
      <w:tr w:rsidR="00F622AC" w:rsidRPr="00F622AC" w:rsidTr="002A1D7B">
        <w:trPr>
          <w:cantSplit/>
          <w:trHeight w:val="252"/>
        </w:trPr>
        <w:tc>
          <w:tcPr>
            <w:tcW w:w="1123" w:type="pct"/>
            <w:vMerge/>
          </w:tcPr>
          <w:p w:rsidR="00F622AC" w:rsidRPr="00F622AC" w:rsidRDefault="00F622AC" w:rsidP="00F622AC">
            <w:pPr>
              <w:tabs>
                <w:tab w:val="left" w:pos="567"/>
              </w:tabs>
              <w:spacing w:after="0" w:line="240" w:lineRule="auto"/>
              <w:rPr>
                <w:rFonts w:ascii="Times New Roman" w:eastAsia="Calibri" w:hAnsi="Times New Roman" w:cs="Times New Roman"/>
                <w:lang w:val="en-US"/>
              </w:rPr>
            </w:pPr>
          </w:p>
        </w:tc>
        <w:tc>
          <w:tcPr>
            <w:tcW w:w="2209" w:type="pct"/>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Times New Roman" w:hAnsi="Times New Roman" w:cs="Times New Roman"/>
                <w:lang w:val="en-GB" w:eastAsia="lt-LT"/>
              </w:rPr>
              <w:t>65 – 80 kg = 10</w:t>
            </w:r>
            <w:r w:rsidRPr="00F622AC">
              <w:rPr>
                <w:rFonts w:ascii="Times New Roman" w:eastAsia="Calibri" w:hAnsi="Times New Roman" w:cs="Times New Roman"/>
              </w:rPr>
              <w:t>00 mg</w:t>
            </w:r>
          </w:p>
        </w:tc>
        <w:tc>
          <w:tcPr>
            <w:tcW w:w="1668"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5 (2 ryte, 3 vakare)</w:t>
            </w:r>
          </w:p>
        </w:tc>
      </w:tr>
      <w:tr w:rsidR="00F622AC" w:rsidRPr="00F622AC" w:rsidTr="002A1D7B">
        <w:trPr>
          <w:cantSplit/>
          <w:trHeight w:val="260"/>
        </w:trPr>
        <w:tc>
          <w:tcPr>
            <w:tcW w:w="1123" w:type="pct"/>
            <w:vMerge/>
          </w:tcPr>
          <w:p w:rsidR="00F622AC" w:rsidRPr="00F622AC" w:rsidRDefault="00F622AC" w:rsidP="00F622AC">
            <w:pPr>
              <w:tabs>
                <w:tab w:val="left" w:pos="567"/>
              </w:tabs>
              <w:spacing w:after="0" w:line="240" w:lineRule="auto"/>
              <w:rPr>
                <w:rFonts w:ascii="Times New Roman" w:eastAsia="Calibri" w:hAnsi="Times New Roman" w:cs="Times New Roman"/>
                <w:lang w:val="en-US"/>
              </w:rPr>
            </w:pPr>
          </w:p>
        </w:tc>
        <w:tc>
          <w:tcPr>
            <w:tcW w:w="2209" w:type="pct"/>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Times New Roman" w:hAnsi="Times New Roman" w:cs="Times New Roman"/>
                <w:lang w:val="en-GB" w:eastAsia="lt-LT"/>
              </w:rPr>
              <w:t>81 – 105 kg = 12</w:t>
            </w:r>
            <w:r w:rsidRPr="00F622AC">
              <w:rPr>
                <w:rFonts w:ascii="Times New Roman" w:eastAsia="Calibri" w:hAnsi="Times New Roman" w:cs="Times New Roman"/>
              </w:rPr>
              <w:t>00 mg</w:t>
            </w:r>
          </w:p>
        </w:tc>
        <w:tc>
          <w:tcPr>
            <w:tcW w:w="1668"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6 (3 ryte, 3 vakare)</w:t>
            </w:r>
          </w:p>
        </w:tc>
      </w:tr>
      <w:tr w:rsidR="00F622AC" w:rsidRPr="00F622AC" w:rsidTr="002A1D7B">
        <w:trPr>
          <w:cantSplit/>
          <w:trHeight w:val="194"/>
        </w:trPr>
        <w:tc>
          <w:tcPr>
            <w:tcW w:w="1123" w:type="pct"/>
            <w:vMerge/>
          </w:tcPr>
          <w:p w:rsidR="00F622AC" w:rsidRPr="00F622AC" w:rsidRDefault="00F622AC" w:rsidP="00F622AC">
            <w:pPr>
              <w:tabs>
                <w:tab w:val="left" w:pos="567"/>
              </w:tabs>
              <w:spacing w:after="0" w:line="240" w:lineRule="auto"/>
              <w:rPr>
                <w:rFonts w:ascii="Times New Roman" w:eastAsia="Calibri" w:hAnsi="Times New Roman" w:cs="Times New Roman"/>
                <w:lang w:val="en-US"/>
              </w:rPr>
            </w:pPr>
          </w:p>
        </w:tc>
        <w:tc>
          <w:tcPr>
            <w:tcW w:w="2209" w:type="pct"/>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Times New Roman" w:hAnsi="Times New Roman" w:cs="Times New Roman"/>
                <w:lang w:val="en-GB" w:eastAsia="lt-LT"/>
              </w:rPr>
              <w:t>&gt; 105kg = 14</w:t>
            </w:r>
            <w:r w:rsidRPr="00F622AC">
              <w:rPr>
                <w:rFonts w:ascii="Times New Roman" w:eastAsia="Calibri" w:hAnsi="Times New Roman" w:cs="Times New Roman"/>
              </w:rPr>
              <w:t>00 mg</w:t>
            </w:r>
          </w:p>
        </w:tc>
        <w:tc>
          <w:tcPr>
            <w:tcW w:w="1668"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7 (3 ryte, 4 vakare)</w:t>
            </w:r>
          </w:p>
        </w:tc>
      </w:tr>
    </w:tbl>
    <w:p w:rsidR="00F622AC" w:rsidRPr="00F622AC" w:rsidRDefault="00F622AC" w:rsidP="00F622AC">
      <w:pPr>
        <w:tabs>
          <w:tab w:val="left" w:pos="567"/>
        </w:tabs>
        <w:spacing w:after="0" w:line="240" w:lineRule="auto"/>
        <w:rPr>
          <w:rFonts w:ascii="Times New Roman" w:eastAsia="Calibri" w:hAnsi="Times New Roman" w:cs="Times New Roman"/>
          <w:i/>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Gydymo trukmė</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Gydymo trukmė priklauso nuo kartu skiriamo vaistinio preparato ir gali priklausyti nuo įvairių paciento ar viruso savybių, tokių kaip viruso genotipas, gretutinių infekcijų būklė, anksčiau taikytas gydymas, atsakas į taikomą gydymą.</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Žiūrėkite kitų kartu su Copegus skiriamų vaistinių preparatų PCS.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u w:val="single"/>
          <w:lang w:eastAsia="lt-LT"/>
        </w:rPr>
      </w:pPr>
      <w:r w:rsidRPr="00F622AC">
        <w:rPr>
          <w:rFonts w:ascii="Times New Roman" w:eastAsia="Calibri" w:hAnsi="Times New Roman" w:cs="Times New Roman"/>
          <w:u w:val="single"/>
        </w:rPr>
        <w:t>Dozavimo tikslinimas dėl nepageidaujamų reakcijų</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dozės keitimas priklauso nuo kartu skiriamų vaistinių preparatų.</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pacientui pasireiškia sunki nepageidaujama reakcija, galimai susijusi su ribavirinu, jei reikia, kol nepageidaujama reakcija išnyks arba susilpnės ribavirino dozę reikia pakeisti arba jo vartojimą nutraukti. Dozės modifikavimo ir gydymo nutraukimo gairės,  atsižvelgiant į paciento hemoglobino koncentraciją ir širdies būklę,, yra pateiktos 2 lentelėje.</w:t>
      </w:r>
    </w:p>
    <w:p w:rsidR="00F622AC" w:rsidRPr="00F622AC" w:rsidRDefault="00F622AC" w:rsidP="00F622AC">
      <w:pPr>
        <w:tabs>
          <w:tab w:val="left" w:pos="567"/>
        </w:tabs>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4497"/>
        <w:gridCol w:w="2481"/>
      </w:tblGrid>
      <w:tr w:rsidR="00F622AC" w:rsidRPr="00F622AC" w:rsidTr="002A1D7B">
        <w:tc>
          <w:tcPr>
            <w:tcW w:w="5000" w:type="pct"/>
            <w:gridSpan w:val="3"/>
          </w:tcPr>
          <w:p w:rsidR="00F622AC" w:rsidRPr="00F622AC" w:rsidRDefault="00F622AC" w:rsidP="00F622AC">
            <w:pPr>
              <w:spacing w:after="0" w:line="240" w:lineRule="auto"/>
              <w:ind w:left="1134" w:hanging="1134"/>
              <w:rPr>
                <w:rFonts w:ascii="Times New Roman" w:eastAsia="Calibri" w:hAnsi="Times New Roman" w:cs="Times New Roman"/>
                <w:b/>
              </w:rPr>
            </w:pPr>
            <w:r w:rsidRPr="00F622AC">
              <w:rPr>
                <w:rFonts w:ascii="Times New Roman" w:eastAsia="Calibri" w:hAnsi="Times New Roman" w:cs="Times New Roman"/>
                <w:b/>
              </w:rPr>
              <w:t>2 lentelė.</w:t>
            </w:r>
            <w:r w:rsidRPr="00F622AC">
              <w:rPr>
                <w:rFonts w:ascii="Times New Roman" w:eastAsia="Calibri" w:hAnsi="Times New Roman" w:cs="Times New Roman"/>
                <w:b/>
              </w:rPr>
              <w:tab/>
              <w:t>Dozavimo modifikavimo dėl su gydymu susijusios anemijos rekomendacijos</w:t>
            </w:r>
          </w:p>
        </w:tc>
      </w:tr>
      <w:tr w:rsidR="00F622AC" w:rsidRPr="00F622AC" w:rsidTr="002A1D7B">
        <w:tc>
          <w:tcPr>
            <w:tcW w:w="1149" w:type="pct"/>
          </w:tcPr>
          <w:p w:rsidR="00F622AC" w:rsidRPr="00F622AC" w:rsidRDefault="00F622AC" w:rsidP="00F622AC">
            <w:pPr>
              <w:tabs>
                <w:tab w:val="left" w:pos="567"/>
              </w:tabs>
              <w:spacing w:after="0" w:line="240" w:lineRule="auto"/>
              <w:rPr>
                <w:rFonts w:ascii="Times New Roman" w:eastAsia="Calibri" w:hAnsi="Times New Roman" w:cs="Times New Roman"/>
                <w:u w:val="single"/>
              </w:rPr>
            </w:pPr>
            <w:r w:rsidRPr="00F622AC">
              <w:rPr>
                <w:rFonts w:ascii="Times New Roman" w:eastAsia="Calibri" w:hAnsi="Times New Roman" w:cs="Times New Roman"/>
                <w:u w:val="single"/>
              </w:rPr>
              <w:t>Laboratorinių tyrimų rodmenys</w:t>
            </w:r>
          </w:p>
        </w:tc>
        <w:tc>
          <w:tcPr>
            <w:tcW w:w="2482"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Sumažinti tik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rPr>
              <w:t>dozę iki [1] [2], jei:</w:t>
            </w:r>
          </w:p>
        </w:tc>
        <w:tc>
          <w:tcPr>
            <w:tcW w:w="1368"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Nebevartoti Copegus</w:t>
            </w:r>
            <w:r w:rsidRPr="00F622AC">
              <w:rPr>
                <w:rFonts w:ascii="Times New Roman" w:eastAsia="Calibri" w:hAnsi="Times New Roman" w:cs="Times New Roman"/>
                <w:i/>
              </w:rPr>
              <w:t xml:space="preserve">, </w:t>
            </w:r>
            <w:r w:rsidRPr="00F622AC">
              <w:rPr>
                <w:rFonts w:ascii="Times New Roman" w:eastAsia="Calibri" w:hAnsi="Times New Roman" w:cs="Times New Roman"/>
                <w:lang w:val="en-US"/>
              </w:rPr>
              <w:t>jei:</w:t>
            </w:r>
          </w:p>
        </w:tc>
      </w:tr>
      <w:tr w:rsidR="00F622AC" w:rsidRPr="00F622AC" w:rsidTr="002A1D7B">
        <w:tc>
          <w:tcPr>
            <w:tcW w:w="1149" w:type="pct"/>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Hemoglobinas, kai pacientai neserga jokia širdies liga</w:t>
            </w:r>
          </w:p>
        </w:tc>
        <w:tc>
          <w:tcPr>
            <w:tcW w:w="2482" w:type="pct"/>
          </w:tcPr>
          <w:p w:rsidR="00F622AC" w:rsidRPr="00F622AC" w:rsidRDefault="00F622AC" w:rsidP="00F622AC">
            <w:pPr>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&lt; 10 g/dl</w:t>
            </w:r>
          </w:p>
        </w:tc>
        <w:tc>
          <w:tcPr>
            <w:tcW w:w="1368" w:type="pct"/>
          </w:tcPr>
          <w:p w:rsidR="00F622AC" w:rsidRPr="00F622AC" w:rsidRDefault="00F622AC" w:rsidP="00F622AC">
            <w:pPr>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&lt; 8,5 g/dl</w:t>
            </w:r>
          </w:p>
        </w:tc>
      </w:tr>
      <w:tr w:rsidR="00F622AC" w:rsidRPr="00F622AC" w:rsidTr="002A1D7B">
        <w:tc>
          <w:tcPr>
            <w:tcW w:w="1149" w:type="pct"/>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Hemoglobinas, kai pacientai serga stabilia širdies liga</w:t>
            </w:r>
          </w:p>
        </w:tc>
        <w:tc>
          <w:tcPr>
            <w:tcW w:w="2482"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hemoglobino kiekis per bet kurias 4 gydymo savaites sumažėjo </w:t>
            </w:r>
            <w:r w:rsidRPr="00F622AC">
              <w:rPr>
                <w:rFonts w:ascii="Times New Roman" w:eastAsia="Calibri" w:hAnsi="Times New Roman" w:cs="Times New Roman"/>
              </w:rPr>
              <w:sym w:font="Symbol" w:char="F0B3"/>
            </w:r>
            <w:r w:rsidRPr="00F622AC">
              <w:rPr>
                <w:rFonts w:ascii="Times New Roman" w:eastAsia="Calibri" w:hAnsi="Times New Roman" w:cs="Times New Roman"/>
              </w:rPr>
              <w:t> 2 g/dl (ilgalaikis dozės mažinimas)</w:t>
            </w:r>
          </w:p>
        </w:tc>
        <w:tc>
          <w:tcPr>
            <w:tcW w:w="1368" w:type="pct"/>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&lt; 12 g/dl, nors jau 4 savaites dozė sumažinta</w:t>
            </w:r>
          </w:p>
        </w:tc>
      </w:tr>
    </w:tbl>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lastRenderedPageBreak/>
        <w:t>[1] Pacientams, vartojantiems po 1000</w:t>
      </w:r>
      <w:r w:rsidRPr="00F622AC">
        <w:rPr>
          <w:rFonts w:ascii="Times New Roman" w:eastAsia="Calibri" w:hAnsi="Times New Roman" w:cs="Times New Roman"/>
          <w:lang w:val="en-US"/>
        </w:rPr>
        <w:t> </w:t>
      </w:r>
      <w:r w:rsidRPr="00F622AC">
        <w:rPr>
          <w:rFonts w:ascii="Times New Roman" w:eastAsia="Calibri" w:hAnsi="Times New Roman" w:cs="Times New Roman"/>
        </w:rPr>
        <w:t>mg</w:t>
      </w:r>
      <w:r w:rsidRPr="00F622AC">
        <w:rPr>
          <w:rFonts w:ascii="Times New Roman" w:eastAsia="Calibri" w:hAnsi="Times New Roman" w:cs="Times New Roman"/>
          <w:lang w:val="en-US"/>
        </w:rPr>
        <w:t xml:space="preserve"> (&lt; 75 kg</w:t>
      </w:r>
      <w:bookmarkStart w:id="0" w:name="OLE_LINK1"/>
      <w:bookmarkStart w:id="1" w:name="OLE_LINK2"/>
      <w:r w:rsidRPr="00F622AC">
        <w:rPr>
          <w:rFonts w:ascii="Times New Roman" w:eastAsia="Calibri" w:hAnsi="Times New Roman" w:cs="Times New Roman"/>
          <w:lang w:val="en-US"/>
        </w:rPr>
        <w:t>)</w:t>
      </w:r>
      <w:r w:rsidRPr="00F622AC">
        <w:rPr>
          <w:rFonts w:ascii="Times New Roman" w:eastAsia="Calibri" w:hAnsi="Times New Roman" w:cs="Times New Roman"/>
        </w:rPr>
        <w:t xml:space="preserve"> arba </w:t>
      </w:r>
      <w:bookmarkEnd w:id="0"/>
      <w:bookmarkEnd w:id="1"/>
      <w:r w:rsidRPr="00F622AC">
        <w:rPr>
          <w:rFonts w:ascii="Times New Roman" w:eastAsia="Calibri" w:hAnsi="Times New Roman" w:cs="Times New Roman"/>
        </w:rPr>
        <w:t xml:space="preserve">1200 mg </w:t>
      </w:r>
      <w:r w:rsidRPr="00F622AC">
        <w:rPr>
          <w:rFonts w:ascii="Times New Roman" w:eastAsia="Calibri" w:hAnsi="Times New Roman" w:cs="Times New Roman"/>
          <w:lang w:val="en-US"/>
        </w:rPr>
        <w:t>(&gt; 75 kg),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rPr>
        <w:t>dozę reikia sumažinti iki 600 mg per parą (geriama po vieną 200 mg tabletę ryte ir po dvi 200 mg tabletes arba po vieną 400 mg tabletę vakare). Jeigu šis nuokrypis išnyksta, Copegus</w:t>
      </w:r>
      <w:r w:rsidRPr="00F622AC">
        <w:rPr>
          <w:rFonts w:ascii="Times New Roman" w:eastAsia="Calibri" w:hAnsi="Times New Roman" w:cs="Times New Roman"/>
          <w:i/>
        </w:rPr>
        <w:t xml:space="preserve"> </w:t>
      </w:r>
      <w:r w:rsidRPr="00F622AC">
        <w:rPr>
          <w:rFonts w:ascii="Times New Roman" w:eastAsia="Calibri" w:hAnsi="Times New Roman" w:cs="Times New Roman"/>
        </w:rPr>
        <w:t>vėl galima pradėti gerti po 600 mg per parą, o vėliau, gydančiojo gydytojo nuožiūra, paros dozę padidinti iki 800 mg. Tačiau vėl paskirti didesnių dozių nerekomenduojama.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[2] Pacientams, vartojantiems po 800 mg (&lt; 65 kg), 1000 mg (65 – 80 kg), 1200 mg (81 – 105 kg) arba 1400 mg (&gt; 105 kg), pirmąją Copegus dozę reikia  sumažinti  200 mg / per parą (išskyrus 1400 mg dozę vartojančius pacientus, kuriems dozė turi būti sumažinta iki 400 mg / per parą). Jeigu reikia, antrą kartą Copegus dozė sumažinama papildomai dar 200 mg / per parą. Pacientai, kuriems Copegus doz</w:t>
      </w:r>
      <w:r w:rsidRPr="00F622AC">
        <w:rPr>
          <w:rFonts w:ascii="Times New Roman" w:eastAsia="Calibri" w:hAnsi="Times New Roman" w:cs="Times New Roman"/>
          <w:lang w:val="en-US"/>
        </w:rPr>
        <w:t>ė yra sumažinta iki 600 mg per parą, turi gerti po vieną 200 mg tabletę ryte ir po dvi 200 mg tabletes vakare.</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Kaip keisti peginterferono alfa arba interferono alfa dozę ir/ar gydymą jais nutraukti sunkių nepageidaujamų reakcijų, galimai susijusių su gydymu minėtais vaistiniais preparatais, atvejais, žiūrėkite šių vaistinių preparatų PCS.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i/>
          <w:u w:val="single"/>
          <w:lang w:eastAsia="lt-LT"/>
        </w:rPr>
      </w:pPr>
      <w:r w:rsidRPr="00F622AC">
        <w:rPr>
          <w:rFonts w:ascii="Times New Roman" w:eastAsia="Calibri" w:hAnsi="Times New Roman" w:cs="Times New Roman"/>
          <w:i/>
          <w:u w:val="single"/>
        </w:rPr>
        <w:t>Specialios gyventojų grupės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u w:val="single"/>
        </w:rPr>
        <w:t>Vartojimas, kai susilpnėjusi inkstų funkcija.</w:t>
      </w:r>
      <w:r w:rsidRPr="00F622AC">
        <w:rPr>
          <w:rFonts w:ascii="Times New Roman" w:eastAsia="Calibri" w:hAnsi="Times New Roman" w:cs="Times New Roman"/>
        </w:rPr>
        <w:t xml:space="preserve"> Pacientams, kurių inkstų veikla susilpnėjusi, vartojant rekomenduojamas ribavirino dozes (patikslintas pagal kūno svorį, esant 75 kg skiriamajai ribai), reikšmingai padidėja ribavirino koncentracijos plazmoje. Pacientams, kurių kreatinino klirensas yra 50 ml/min. ar mažesnis, Copegus bendrąją paros dozę reikia sumažinti kaip nurodyta 3 lentelėje (taip pat žr. 5.2 skyrių).</w:t>
      </w:r>
    </w:p>
    <w:p w:rsidR="00F622AC" w:rsidRPr="00F622AC" w:rsidRDefault="00F622AC" w:rsidP="00F622AC">
      <w:pPr>
        <w:tabs>
          <w:tab w:val="left" w:pos="567"/>
        </w:tabs>
        <w:spacing w:after="0" w:line="240" w:lineRule="auto"/>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6282"/>
      </w:tblGrid>
      <w:tr w:rsidR="00F622AC" w:rsidRPr="00F622AC" w:rsidTr="002A1D7B">
        <w:trPr>
          <w:cantSplit/>
          <w:trHeight w:val="227"/>
        </w:trPr>
        <w:tc>
          <w:tcPr>
            <w:tcW w:w="9072" w:type="dxa"/>
            <w:gridSpan w:val="2"/>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b/>
                <w:lang w:val="en-US"/>
              </w:rPr>
            </w:pPr>
            <w:r w:rsidRPr="00F622AC">
              <w:rPr>
                <w:rFonts w:ascii="Times New Roman" w:eastAsia="Times New Roman" w:hAnsi="Times New Roman" w:cs="Times New Roman"/>
                <w:b/>
                <w:lang w:val="en-GB" w:eastAsia="lt-LT"/>
              </w:rPr>
              <w:t>3 lentelė. Dozės keitimas, kai inkstų veikla yra susilpnėjusi</w:t>
            </w:r>
          </w:p>
        </w:tc>
      </w:tr>
      <w:tr w:rsidR="00F622AC" w:rsidRPr="00F622AC" w:rsidTr="002A1D7B">
        <w:trPr>
          <w:cantSplit/>
          <w:trHeight w:val="246"/>
        </w:trPr>
        <w:tc>
          <w:tcPr>
            <w:tcW w:w="2694" w:type="dxa"/>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b/>
                <w:lang w:val="en-US"/>
              </w:rPr>
            </w:pPr>
            <w:r w:rsidRPr="00F622AC">
              <w:rPr>
                <w:rFonts w:ascii="Times New Roman" w:eastAsia="Calibri" w:hAnsi="Times New Roman" w:cs="Times New Roman"/>
                <w:b/>
                <w:lang w:val="en-US"/>
              </w:rPr>
              <w:t>Kreatinino klirensas</w:t>
            </w:r>
          </w:p>
        </w:tc>
        <w:tc>
          <w:tcPr>
            <w:tcW w:w="6378" w:type="dxa"/>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jc w:val="center"/>
              <w:rPr>
                <w:rFonts w:ascii="Times New Roman" w:eastAsia="Calibri" w:hAnsi="Times New Roman" w:cs="Times New Roman"/>
                <w:b/>
                <w:lang w:val="en-US"/>
              </w:rPr>
            </w:pPr>
            <w:r w:rsidRPr="00F622AC">
              <w:rPr>
                <w:rFonts w:ascii="Times New Roman" w:eastAsia="Calibri" w:hAnsi="Times New Roman" w:cs="Times New Roman"/>
                <w:b/>
                <w:lang w:val="en-US"/>
              </w:rPr>
              <w:t>Copegus dozė (per parą)</w:t>
            </w:r>
          </w:p>
        </w:tc>
      </w:tr>
      <w:tr w:rsidR="00F622AC" w:rsidRPr="00F622AC" w:rsidTr="002A1D7B">
        <w:trPr>
          <w:cantSplit/>
          <w:trHeight w:val="122"/>
        </w:trPr>
        <w:tc>
          <w:tcPr>
            <w:tcW w:w="2694" w:type="dxa"/>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val="en-US"/>
              </w:rPr>
            </w:pPr>
            <w:r w:rsidRPr="00F622AC">
              <w:rPr>
                <w:rFonts w:ascii="Times New Roman" w:eastAsia="Calibri" w:hAnsi="Times New Roman" w:cs="Times New Roman"/>
                <w:lang w:val="en-US"/>
              </w:rPr>
              <w:t>Nuo 30 iki 50 ml/min</w:t>
            </w:r>
          </w:p>
        </w:tc>
        <w:tc>
          <w:tcPr>
            <w:tcW w:w="6378" w:type="dxa"/>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jc w:val="center"/>
              <w:rPr>
                <w:rFonts w:ascii="Times New Roman" w:eastAsia="Calibri" w:hAnsi="Times New Roman" w:cs="Times New Roman"/>
                <w:lang w:val="en-US"/>
              </w:rPr>
            </w:pPr>
            <w:r w:rsidRPr="00F622AC">
              <w:rPr>
                <w:rFonts w:ascii="Times New Roman" w:eastAsia="Calibri" w:hAnsi="Times New Roman" w:cs="Times New Roman"/>
                <w:lang w:val="en-US"/>
              </w:rPr>
              <w:t>Keičiant 200 mg ir 400 mg dozes kas antrą dieną</w:t>
            </w:r>
          </w:p>
        </w:tc>
      </w:tr>
      <w:tr w:rsidR="00F622AC" w:rsidRPr="00F622AC" w:rsidTr="002A1D7B">
        <w:trPr>
          <w:cantSplit/>
          <w:trHeight w:val="153"/>
        </w:trPr>
        <w:tc>
          <w:tcPr>
            <w:tcW w:w="2694" w:type="dxa"/>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val="en-US"/>
              </w:rPr>
            </w:pPr>
            <w:r w:rsidRPr="00F622AC">
              <w:rPr>
                <w:rFonts w:ascii="Times New Roman" w:eastAsia="Calibri" w:hAnsi="Times New Roman" w:cs="Times New Roman"/>
                <w:lang w:val="en-US"/>
              </w:rPr>
              <w:t>Mažesnis nei 30 ml/min</w:t>
            </w:r>
          </w:p>
        </w:tc>
        <w:tc>
          <w:tcPr>
            <w:tcW w:w="6378" w:type="dxa"/>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jc w:val="center"/>
              <w:rPr>
                <w:rFonts w:ascii="Times New Roman" w:eastAsia="Calibri" w:hAnsi="Times New Roman" w:cs="Times New Roman"/>
                <w:lang w:val="en-US"/>
              </w:rPr>
            </w:pPr>
            <w:r w:rsidRPr="00F622AC">
              <w:rPr>
                <w:rFonts w:ascii="Times New Roman" w:eastAsia="Calibri" w:hAnsi="Times New Roman" w:cs="Times New Roman"/>
                <w:lang w:val="en-US"/>
              </w:rPr>
              <w:t>200 mg per parą</w:t>
            </w:r>
          </w:p>
        </w:tc>
      </w:tr>
      <w:tr w:rsidR="00F622AC" w:rsidRPr="00F622AC" w:rsidTr="002A1D7B">
        <w:trPr>
          <w:cantSplit/>
          <w:trHeight w:val="172"/>
        </w:trPr>
        <w:tc>
          <w:tcPr>
            <w:tcW w:w="2694" w:type="dxa"/>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val="en-US"/>
              </w:rPr>
            </w:pPr>
            <w:r w:rsidRPr="00F622AC">
              <w:rPr>
                <w:rFonts w:ascii="Times New Roman" w:eastAsia="Calibri" w:hAnsi="Times New Roman" w:cs="Times New Roman"/>
                <w:lang w:val="en-US"/>
              </w:rPr>
              <w:t>Hemodializė</w:t>
            </w:r>
          </w:p>
        </w:tc>
        <w:tc>
          <w:tcPr>
            <w:tcW w:w="6378" w:type="dxa"/>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jc w:val="center"/>
              <w:rPr>
                <w:rFonts w:ascii="Times New Roman" w:eastAsia="Calibri" w:hAnsi="Times New Roman" w:cs="Times New Roman"/>
                <w:lang w:val="en-US"/>
              </w:rPr>
            </w:pPr>
            <w:r w:rsidRPr="00F622AC">
              <w:rPr>
                <w:rFonts w:ascii="Times New Roman" w:eastAsia="Calibri" w:hAnsi="Times New Roman" w:cs="Times New Roman"/>
                <w:lang w:val="en-US"/>
              </w:rPr>
              <w:t>200 mg per parą</w:t>
            </w:r>
          </w:p>
        </w:tc>
      </w:tr>
    </w:tbl>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Gydymą reikia pradėti (ar tęsti, jeigu inkstų veikla sutrinka gydymo metu) itin atsargiai, intensyviai kontroliuoti hemoglobino koncentraciją, taip pat, jeigu prireiktų, per visą gydymo laikotarpį taikyti koregavimo veiksmus (žr. 4.4 skyrių).</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atsiranda sunkių nepageidaujamų reakcijų arba laboratorinių nuokrypių, jeigu reikia, kol nepageidaujamos reakcijos išnyks arba palengvės, gydymą Copegus reikia nutraukti. Jeigu atnaujinus gydymą Copegus netoleravimas išlieka, Copegus vartojimą reikia nutraukti. Duomenų apie vaikus, kurių inkstų veikla sutrikusi, nėra.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Vartojimas, kai susilpnėjusi kepenų funkcija.</w:t>
      </w:r>
      <w:r w:rsidRPr="00F622AC">
        <w:rPr>
          <w:rFonts w:ascii="Times New Roman" w:eastAsia="Calibri" w:hAnsi="Times New Roman" w:cs="Times New Roman"/>
          <w:b/>
        </w:rPr>
        <w:t xml:space="preserve"> </w:t>
      </w:r>
      <w:r w:rsidRPr="00F622AC">
        <w:rPr>
          <w:rFonts w:ascii="Times New Roman" w:eastAsia="Calibri" w:hAnsi="Times New Roman" w:cs="Times New Roman"/>
        </w:rPr>
        <w:t xml:space="preserve">Ribavirino farmakokinetikai kepenų funkcija poveikio neturi (žr. 5.2 skyrių). </w:t>
      </w:r>
      <w:r w:rsidRPr="00F622AC">
        <w:rPr>
          <w:rFonts w:ascii="Times New Roman" w:eastAsia="Calibri" w:hAnsi="Times New Roman" w:cs="Times New Roman"/>
          <w:lang w:val="en-US"/>
        </w:rPr>
        <w:t>Dėl to, kai pacientų kepenų funkcija pablogėjusi,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rPr>
        <w:t>dozės tikslinti nereikia.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Vartojimas pagyvenusiems, vyresniems nei 65 metų pacientams.</w:t>
      </w:r>
      <w:r w:rsidRPr="00F622AC">
        <w:rPr>
          <w:rFonts w:ascii="Times New Roman" w:eastAsia="Calibri" w:hAnsi="Times New Roman" w:cs="Times New Roman"/>
          <w:b/>
          <w:i/>
        </w:rPr>
        <w:t xml:space="preserve"> </w:t>
      </w:r>
      <w:r w:rsidRPr="00F622AC">
        <w:rPr>
          <w:rFonts w:ascii="Times New Roman" w:eastAsia="Calibri" w:hAnsi="Times New Roman" w:cs="Times New Roman"/>
        </w:rPr>
        <w:t>Atrodo, kad amžius neturi didelės reikšmės ribavirino farmakokinetikai. Tačiau šiems pacientams, kaip ir jaunesniems, prieš paskiriant Copegus</w:t>
      </w:r>
      <w:r w:rsidRPr="00F622AC">
        <w:rPr>
          <w:rFonts w:ascii="Times New Roman" w:eastAsia="Calibri" w:hAnsi="Times New Roman" w:cs="Times New Roman"/>
          <w:i/>
        </w:rPr>
        <w:t xml:space="preserve"> </w:t>
      </w:r>
      <w:r w:rsidRPr="00F622AC">
        <w:rPr>
          <w:rFonts w:ascii="Times New Roman" w:eastAsia="Calibri" w:hAnsi="Times New Roman" w:cs="Times New Roman"/>
        </w:rPr>
        <w:t>būtina ištirti inkstų veiklą.</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i/>
        </w:rPr>
        <w:t>Vartojimas jaunesniems kaip 18 metų pacientams.</w:t>
      </w:r>
      <w:r w:rsidRPr="00F622AC">
        <w:rPr>
          <w:rFonts w:ascii="Times New Roman" w:eastAsia="Calibri" w:hAnsi="Times New Roman" w:cs="Times New Roman"/>
        </w:rPr>
        <w:t xml:space="preserve"> Copegus nerekomenduojama skirti jaunesniems kaip 18 metų vaikams ir paaugliams, nes duomenų apie hepatito C gydymui skiriamo derinio su kitais vaistiniais preparatais saugumą ir veiksmingumą nepakanka. Apie vartojimo kartu su peginterferonu alfa-2a saugumą ir veiksmingumą vaikams ir paaugliams (nuo 6 iki 18 metų) duomenų turima mažai. </w:t>
      </w:r>
      <w:r w:rsidRPr="00F622AC">
        <w:rPr>
          <w:rFonts w:ascii="Times New Roman" w:eastAsia="Calibri" w:hAnsi="Times New Roman" w:cs="Times New Roman"/>
          <w:lang w:val="en-US"/>
        </w:rPr>
        <w:t>Copegus skiriant vaikui rizikos ir naudos santykį kiekvienu atveju reikia įvertinti individualiai (žr. 4.4 skyrių).</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4.3</w:t>
      </w:r>
      <w:r w:rsidRPr="00F622AC">
        <w:rPr>
          <w:rFonts w:ascii="Times New Roman" w:eastAsia="Calibri" w:hAnsi="Times New Roman" w:cs="Times New Roman"/>
          <w:b/>
        </w:rPr>
        <w:tab/>
        <w:t>Kontraindikacijos</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Copegus skirti draudžiama šiais atvejais: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Padidėjęs jautrumas ribavirinui arba bet kuriai 6.1 skyriuje nurodytai pagalbinei medžiagai.</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lastRenderedPageBreak/>
        <w:t>-</w:t>
      </w:r>
      <w:r w:rsidRPr="00F622AC">
        <w:rPr>
          <w:rFonts w:ascii="Times New Roman" w:eastAsia="Calibri" w:hAnsi="Times New Roman" w:cs="Times New Roman"/>
        </w:rPr>
        <w:tab/>
        <w:t>Nėščioms moterims (žr. 4.4 skyrių). Draudžiama pradėti vartoti Copegus</w:t>
      </w:r>
      <w:r w:rsidRPr="00F622AC">
        <w:rPr>
          <w:rFonts w:ascii="Times New Roman" w:eastAsia="Calibri" w:hAnsi="Times New Roman" w:cs="Times New Roman"/>
          <w:i/>
        </w:rPr>
        <w:t xml:space="preserve"> </w:t>
      </w:r>
      <w:r w:rsidRPr="00F622AC">
        <w:rPr>
          <w:rFonts w:ascii="Times New Roman" w:eastAsia="Calibri" w:hAnsi="Times New Roman" w:cs="Times New Roman"/>
        </w:rPr>
        <w:t>tol, kol bus pateiktas neigiamas nėštumo mėginys, atliktas prieš pat gydymo pradžią.</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 xml:space="preserve">Krūtimi maitinančioms motinoms (žr. </w:t>
      </w:r>
      <w:r w:rsidRPr="00F622AC">
        <w:rPr>
          <w:rFonts w:ascii="Times New Roman" w:eastAsia="Calibri" w:hAnsi="Times New Roman" w:cs="Times New Roman"/>
          <w:lang w:val="en-US"/>
        </w:rPr>
        <w:t>4.6 skyrių).</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Per paskutiniuosius šešis mėnesius sirgusiems sunkia širdies liga, įskaitant ir nestabilią ar nekontroliuojamą širdies ligą.</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Serg</w:t>
      </w:r>
      <w:r w:rsidRPr="00F622AC">
        <w:rPr>
          <w:rFonts w:ascii="Times New Roman" w:eastAsia="Calibri" w:hAnsi="Times New Roman" w:cs="Times New Roman"/>
          <w:lang w:val="en-US"/>
        </w:rPr>
        <w:t>antiesiems hemoglobinopatijomis (pvz., talasemija, pjautuvine anemija).</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Be to, kontraindikacijas kitiems kartu su Copegus skiriamiems vaistiniams preparatams žiūrėkite šių vaistinių preparatų PCS.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4.4</w:t>
      </w:r>
      <w:r w:rsidRPr="00F622AC">
        <w:rPr>
          <w:rFonts w:ascii="Times New Roman" w:eastAsia="Calibri" w:hAnsi="Times New Roman" w:cs="Times New Roman"/>
          <w:b/>
        </w:rPr>
        <w:tab/>
        <w:t>Specialūs įspėjimai ir atsargumo priemonės</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Monoterapiją Copegus skirti draudžiama.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i/>
          <w:u w:val="single"/>
          <w:lang w:eastAsia="lt-LT"/>
        </w:rPr>
      </w:pPr>
      <w:r w:rsidRPr="00F622AC">
        <w:rPr>
          <w:rFonts w:ascii="Times New Roman" w:eastAsia="Calibri" w:hAnsi="Times New Roman" w:cs="Times New Roman"/>
          <w:i/>
          <w:u w:val="single"/>
        </w:rPr>
        <w:t>Gydymas ribavirino ir (peg)interferono alfa deriniu</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Yra keletas sunkių nepageidaujamų reakcijų, susijusių su gydymu ribavirino ir (peg)interferono alfa deriniu. Tai yra: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Sunkus poveikis psichikai ir centrinei nervų sistemai (pavyzdžiui, depresija, mintys apie savižudybę, bandymas nusižudyti, agresyvus elgesys ir t.t.);</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Sunkūs akių sutrikimai;</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Dantų ir periodonto sutrikimai;</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Vaikų ir paauglių augimo slopinimas, kuris kai kuriems pacientams gali būti negrįžtamas.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Prieš paskirdami gydymą perskaitykite (peg)interferono alfa charakteristikų santraukoje informaciją apie šių nepageidaujamų reakcijų stebėsenos ir valdymo rekomendacijas.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tabs>
          <w:tab w:val="left" w:pos="567"/>
        </w:tabs>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i/>
        </w:rPr>
        <w:t>Teratogeninis pavojus.</w:t>
      </w:r>
      <w:r w:rsidRPr="00F622AC">
        <w:rPr>
          <w:rFonts w:ascii="Times New Roman" w:eastAsia="Calibri" w:hAnsi="Times New Roman" w:cs="Times New Roman"/>
        </w:rPr>
        <w:t xml:space="preserve"> Žr. 4.6 skyrių.</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Prieš pradėdamas gydyti ribavirinu, gydytojas privalo suprantamai paaiškinti pacientui apie ribavirino teratogeninio poveikio riziką, būtiną veiksmingą ir nuolatinę kontracepciją, galimą neefektyvią kontracepciją ir nėštumo, prasidėjusio gydymo ribavirinu metu, galimas neigiamas pasekmes. Apie</w:t>
      </w:r>
      <w:r w:rsidRPr="00F622AC">
        <w:rPr>
          <w:rFonts w:ascii="Times New Roman" w:eastAsia="Calibri" w:hAnsi="Times New Roman" w:cs="Times New Roman"/>
          <w:lang w:val="en-US"/>
        </w:rPr>
        <w:t xml:space="preserve"> nuolatinius nėštumo laboratorinius tyrimus žiūrėkite skirsnį „Laboratoriniai tyrimai“.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Kancerogeniškumas.</w:t>
      </w:r>
      <w:r w:rsidRPr="00F622AC">
        <w:rPr>
          <w:rFonts w:ascii="Times New Roman" w:eastAsia="Calibri" w:hAnsi="Times New Roman" w:cs="Times New Roman"/>
        </w:rPr>
        <w:t xml:space="preserve"> Kai kuriais </w:t>
      </w:r>
      <w:r w:rsidRPr="00F622AC">
        <w:rPr>
          <w:rFonts w:ascii="Times New Roman" w:eastAsia="Calibri" w:hAnsi="Times New Roman" w:cs="Times New Roman"/>
          <w:i/>
          <w:lang w:val="en-US"/>
        </w:rPr>
        <w:t>in vivo</w:t>
      </w:r>
      <w:r w:rsidRPr="00F622AC">
        <w:rPr>
          <w:rFonts w:ascii="Times New Roman" w:eastAsia="Calibri" w:hAnsi="Times New Roman" w:cs="Times New Roman"/>
          <w:lang w:val="en-US"/>
        </w:rPr>
        <w:t xml:space="preserve"> ir </w:t>
      </w:r>
      <w:r w:rsidRPr="00F622AC">
        <w:rPr>
          <w:rFonts w:ascii="Times New Roman" w:eastAsia="Calibri" w:hAnsi="Times New Roman" w:cs="Times New Roman"/>
          <w:i/>
          <w:lang w:val="en-US"/>
        </w:rPr>
        <w:t>in vitro</w:t>
      </w:r>
      <w:r w:rsidRPr="00F622AC">
        <w:rPr>
          <w:rFonts w:ascii="Times New Roman" w:eastAsia="Calibri" w:hAnsi="Times New Roman" w:cs="Times New Roman"/>
          <w:lang w:val="en-US"/>
        </w:rPr>
        <w:t xml:space="preserve"> genotoksiškumo tyrimais nustatyta, kad ribavirinas pasižymi mutageniniu poveikiu. Negalima atmesti ribavirino kancerogeninio poveikio galimybės (žr. 5.3 skyrių).</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Hemolizė, širdies ir kraujagyslių sistema. </w:t>
      </w:r>
      <w:r w:rsidRPr="00F622AC">
        <w:rPr>
          <w:rFonts w:ascii="Times New Roman" w:eastAsia="Calibri" w:hAnsi="Times New Roman" w:cs="Times New Roman"/>
        </w:rPr>
        <w:t>Pastebėta, kad iki 15 % pacientų, 48 savaites gydytų Copegus po 1000 mg arba 1200 mg ir peginterferono alfa-2a deriniu, ir iki 19 % pacientų, gydytų Copegus</w:t>
      </w:r>
      <w:r w:rsidRPr="00F622AC">
        <w:rPr>
          <w:rFonts w:ascii="Times New Roman" w:eastAsia="Calibri" w:hAnsi="Times New Roman" w:cs="Times New Roman"/>
          <w:i/>
        </w:rPr>
        <w:t xml:space="preserve"> </w:t>
      </w:r>
      <w:r w:rsidRPr="00F622AC">
        <w:rPr>
          <w:rFonts w:ascii="Times New Roman" w:eastAsia="Calibri" w:hAnsi="Times New Roman" w:cs="Times New Roman"/>
        </w:rPr>
        <w:t>ir interferono alfa-2a deriniu, hemoglobino koncentracija sumažėjo iki &lt;10 g/dl. Kai kartu su peginterferonu alfa-2a 24 savaites skirta 800 mg Copeg</w:t>
      </w:r>
      <w:r w:rsidRPr="00F622AC">
        <w:rPr>
          <w:rFonts w:ascii="Times New Roman" w:eastAsia="Calibri" w:hAnsi="Times New Roman" w:cs="Times New Roman"/>
          <w:lang w:val="en-US"/>
        </w:rPr>
        <w:t>us dozė, hemoglobino koncentracija iki &lt;10 g/dl sumažėjo 3 % pacientų. Rizika anemijai išsivystyti didesnė moterų tarpe. Nors ribavirinas tiesiogiai neveikia širdies ir kraujagyslių funkcijos, nuo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rPr>
        <w:t>dėl su jo vartojimu susijusios anemijos gali sutrik</w:t>
      </w:r>
      <w:r w:rsidRPr="00F622AC">
        <w:rPr>
          <w:rFonts w:ascii="Times New Roman" w:eastAsia="Calibri" w:hAnsi="Times New Roman" w:cs="Times New Roman"/>
          <w:lang w:val="en-US"/>
        </w:rPr>
        <w:t>ti širdies veikla, paūmėti vainikinių arterijų ligos simptomai ar pasunkėti abi ligos. Todėl pacientams, sergantiems širdies liga,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rPr>
        <w:t>būtina skirti atsargiai. Prieš pradedant gydymą, reikia įvertinti jų širdies veiklą ir gydymo metu pacientą nuolat kl</w:t>
      </w:r>
      <w:r w:rsidRPr="00F622AC">
        <w:rPr>
          <w:rFonts w:ascii="Times New Roman" w:eastAsia="Calibri" w:hAnsi="Times New Roman" w:cs="Times New Roman"/>
          <w:lang w:val="en-US"/>
        </w:rPr>
        <w:t>iniškai tirti; jei jo būklė bent kiek pablogėja, vaisto vartoti reikia liautis (žr. 4.2 skyrių). Pacientus, kurie sirgo staziniu širdies nepakankamumu, miokardo infarktu ir (arba) kurių širdies ritmas buvo sutrikęs anksčiau ar dabar sutriko, būtina atidžiai stebėti. Tiems pacientams, kurių širdies funkcija nenormali, prieš gydymo kursą ir jo metu patartina užrašyti elektrokardiogramą. Širdies aritmijos (pirmiausia supraventrikulinė) paprastai sėkmingai gydomos tradiciniu būdu, bet kartais gali tekti gydymo šiuo vaistu kursą nutraukti.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Literatūroje buvo pranešimų, kad per 3-7 savaites po peginterferono ir ribavirino kartu su azatioprinu vartojimo pasitaikė pancitopenija ir kaulų čiulpų slopinimas. Nutraukus HCV antivirusinį ir kartu azatioprino vartojimą, šis toksinis poveikis kaulų čiulpams per 4-6 savaites buvo grįžtamas ir, vėl pradėjus gydyti bet kuriuo vienu šių preparatų, nebepasikartojo (žr. 4.5 skyrių).</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lastRenderedPageBreak/>
        <w:t>Copegus ir peginterferono alfa-2a derinio vartojimas pacientams, kurie į ankstesnį gydymą nereagavo ir kuriems ankstesnis gydymas nutrauktas dėl nepageidaujamų hematologinių reiškinių, ištirtas nepakankamai. Gydytojai, svarstantys tų pacientų gydymo klausimą, turi rūpestingai įvertinti pakartotinio jų gydymo riziką ir naudą.</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Ūminė padidėjusio jautrumo reakcija. </w:t>
      </w:r>
      <w:r w:rsidRPr="00F622AC">
        <w:rPr>
          <w:rFonts w:ascii="Times New Roman" w:eastAsia="Calibri" w:hAnsi="Times New Roman" w:cs="Times New Roman"/>
        </w:rPr>
        <w:t>Jei atsiranda ūminė padidėjusio jautrumo reakcija (pvz., dilgėlinė, angioedema, bronchų spazmas, anafilaksija), nedelsiant reikia liautis skirti Copegus</w:t>
      </w:r>
      <w:r w:rsidRPr="00F622AC">
        <w:rPr>
          <w:rFonts w:ascii="Times New Roman" w:eastAsia="Calibri" w:hAnsi="Times New Roman" w:cs="Times New Roman"/>
          <w:i/>
        </w:rPr>
        <w:t xml:space="preserve"> </w:t>
      </w:r>
      <w:r w:rsidRPr="00F622AC">
        <w:rPr>
          <w:rFonts w:ascii="Times New Roman" w:eastAsia="Calibri" w:hAnsi="Times New Roman" w:cs="Times New Roman"/>
        </w:rPr>
        <w:t>ir suteikti atitinkamą medicininę pagalbą. Dėl trumpalaikių bėrimų nutraukti gydymą nebūtina.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Kepenų funkcija.</w:t>
      </w:r>
      <w:r w:rsidRPr="00F622AC">
        <w:rPr>
          <w:rFonts w:ascii="Times New Roman" w:eastAsia="Calibri" w:hAnsi="Times New Roman" w:cs="Times New Roman"/>
        </w:rPr>
        <w:t xml:space="preserve"> Pacientams, kuriems gydymo metu atsiranda kepenų dekompensacijos požymių, Copegus</w:t>
      </w:r>
      <w:r w:rsidRPr="00F622AC">
        <w:rPr>
          <w:rFonts w:ascii="Times New Roman" w:eastAsia="Calibri" w:hAnsi="Times New Roman" w:cs="Times New Roman"/>
          <w:i/>
        </w:rPr>
        <w:t xml:space="preserve"> </w:t>
      </w:r>
      <w:r w:rsidRPr="00F622AC">
        <w:rPr>
          <w:rFonts w:ascii="Times New Roman" w:eastAsia="Calibri" w:hAnsi="Times New Roman" w:cs="Times New Roman"/>
        </w:rPr>
        <w:t>kartu su kitais vaistiniais preparatais vartojimą reikia nutraukti. Kai padidėjęs ALT aktyvumas, neatsižvelgiant į sumažintą vaisto dozę, progresuoja ir tampa kliniškai reikšmingas, ar kartu padidėja tiesioginio bilirubino koncentracija, gydymą reikia nutraukti.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Susilpnėjusi inkstų funkcija.</w:t>
      </w:r>
      <w:r w:rsidRPr="00F622AC">
        <w:rPr>
          <w:rFonts w:ascii="Times New Roman" w:eastAsia="Calibri" w:hAnsi="Times New Roman" w:cs="Times New Roman"/>
        </w:rPr>
        <w:t xml:space="preserve"> Kai pacientų inkstų funkcija sutrikusi, dėl akivaizdaus klirenso mažėjimo ribavirino farmakokinetika pakinta. Dėl to</w:t>
      </w:r>
      <w:r w:rsidRPr="00F622AC">
        <w:rPr>
          <w:rFonts w:ascii="Times New Roman" w:eastAsia="Calibri" w:hAnsi="Times New Roman" w:cs="Times New Roman"/>
          <w:lang w:val="en-US"/>
        </w:rPr>
        <w:t>, prieš pradedant vartoti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lang w:val="en-US"/>
        </w:rPr>
        <w:t>visiems pacientams patartina įvertinti inkstų funkciją – geriausia nustatyti paciento kreatinino klirensą. Pacientams, kurių serume kreatinino kiekis yra &gt;2 mg/dl ar kreatinino klirensas mažesnis nei 50 ml per minutę, ribavirino koncentracijos plazmoje reikšmingai padidėja, todėl tokiems pacientams Copegus dozę rekomenduojama patikslinti (žr. 4.2 ir 5.2 skyrius).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Gydymo metu būtina nuolat tirti hemoglobino koncentraciją ir, jei reikia, taikyti koregavimo veiksmus (žr. 4.2 skyrių).</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Transplantacija. </w:t>
      </w:r>
      <w:r w:rsidRPr="00F622AC">
        <w:rPr>
          <w:rFonts w:ascii="Times New Roman" w:eastAsia="Calibri" w:hAnsi="Times New Roman" w:cs="Times New Roman"/>
        </w:rPr>
        <w:t xml:space="preserve">Ar saugu ir veiksminga vartoti peginterferono alfa-2a bei Copegus pacientams, kuriems persodintos kepenys ar kiti organai, nenustatyta. Skiriant vien tik peginterferono alfa-2a arba jo skiriant kartu su Copegus, gauta pranešimų </w:t>
      </w:r>
      <w:r w:rsidRPr="00F622AC">
        <w:rPr>
          <w:rFonts w:ascii="Times New Roman" w:eastAsia="Calibri" w:hAnsi="Times New Roman" w:cs="Times New Roman"/>
          <w:lang w:val="en-US"/>
        </w:rPr>
        <w:t>apie kepenų ir inkstų transplantatų atmetimo atvejus.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ŽIV-HCV koinfekcija. </w:t>
      </w:r>
      <w:r w:rsidRPr="00F622AC">
        <w:rPr>
          <w:rFonts w:ascii="Times New Roman" w:eastAsia="Calibri" w:hAnsi="Times New Roman" w:cs="Times New Roman"/>
        </w:rPr>
        <w:t xml:space="preserve">Būtina perskaityti atitinkamų antiretrovirusinių vaistinių preparatų, numatomų vartoti kartu su HCV infekcijai gydyti skiriamais vaistais, charakteristikų santraukas, kad būtų žinomi ir tinkamai gydomi toksiniai reiškiniai, kurie yra specifiniai kiekvienam preparatui ir gali iš dalies sutapti su ribavirino arba kito vaistinio preparato toksiniu poveikiu. </w:t>
      </w:r>
      <w:r w:rsidRPr="00F622AC">
        <w:rPr>
          <w:rFonts w:ascii="Times New Roman" w:eastAsia="Calibri" w:hAnsi="Times New Roman" w:cs="Times New Roman"/>
          <w:lang w:val="en-US"/>
        </w:rPr>
        <w:t>Atliekant NR15961 tyrimą, kai pacientai tuo pat metu gydyti stavudinu ir interferonu su ribavirinu arba be jo, pankreatitas ir (arba) pieno rūgšties acidozė atsirado 3 % (12/398) pacientų.</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Lėtiniu hepatitu C sergantiems pacientams, kurie dar užsikrėtę ŽIV ir gauna labai aktyvų antiretrovirusinį gydymą (LAARG), gali padidėti sunkaus nepageidaujamo poveikio pavojus (pvz., pieno rūgšties acidozė; periferinė neuropatija; pankreatitas).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Gaunantiems LAARG koinfekuotiems pacientams, kurių cirozė toli pažengusi, gydant juos Copegus ir interferonų deriniu, taip pat gali grėsti didesnis kepenų funkcijos dekompensacijos ir galbūt mirties pavojus. Koinfekuotų, ciroze sergančių pacientų pradiniai tyrimų rodmenys yra nepastovūs; jie galbūt susiję su kepenų dekompensacija, pvz., padidėjusi bilirubino koncentracija serume, sumažėjusi hemoglobino koncentracija, padidėjęs šarminės fosfatazės aktyvumas ar sumažėjęs trombocitų skaičius, taip pat su gydymu didanozinu (ddl). </w:t>
      </w:r>
      <w:r w:rsidRPr="00F622AC">
        <w:rPr>
          <w:rFonts w:ascii="Times New Roman" w:eastAsia="Calibri" w:hAnsi="Times New Roman" w:cs="Times New Roman"/>
          <w:lang w:val="en-US"/>
        </w:rPr>
        <w:t>Dėl to, kai taikant LAARG dar skiriama peginterferono alfa-2a ir Copegus, reikalingas atsargumas (žr. 4.5 skyrių).</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Dėl padidėjusio anemijos pavojaus ribavirino kartu su zidovudinu vartoti nerekomenduojama (žr. 4.5 skyrių).</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Gydymo metu koinfekuotus pacientus reikia atidžiai stebėti – ar neatsirado kepenų dekompensacijos požymių ir simptomų (įskaitant ascitą, encefalopatiją, kraujavimą iš veninių mazgų, pablogėjusią kepenų sintezės funkciją: pvz., Child-Pugh balų skaičiaus padidėjimą iki 7 ar daugiau). Child-Pugh balų skaičių gali keisti su gydymu susiję veiksniai (t. y., netiesioginė hiperbilirubinemija, sumažėjusi albumino koncentracija), kurie nebūtinai priskirtini kepenų dekompensacijai. </w:t>
      </w:r>
      <w:r w:rsidRPr="00F622AC">
        <w:rPr>
          <w:rFonts w:ascii="Times New Roman" w:eastAsia="Calibri" w:hAnsi="Times New Roman" w:cs="Times New Roman"/>
          <w:lang w:val="en-US"/>
        </w:rPr>
        <w:t>Pacientams, kuriems atsiranda kepenų dekompensacija, gydymą Copegus ir kito vaistinio preparato deriniu reikia tuoj pat nutraukti.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Dėl toksinio poveikio mitochondrijoms rizikos nerekomenduojama Copegus vartoti kartu su didanozidu (žr. 4.5 skyrių). Be to, siekiant sumažinti iš dalies sutampančio toksinio poveikio mitochondrijoms riziką, reikia vengti vartoti Copegus kartu su stavudinu.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Laboratoriniai tyrimai. </w:t>
      </w:r>
      <w:r w:rsidRPr="00F622AC">
        <w:rPr>
          <w:rFonts w:ascii="Times New Roman" w:eastAsia="Calibri" w:hAnsi="Times New Roman" w:cs="Times New Roman"/>
        </w:rPr>
        <w:t>Prieš pradedant gydyti, visiems pacientams būtina atlikti standartinį hematologinį ir biocheminį ištyrimą (nustatyti bendrą ir diferencinį kraujo ląstelių ir trombocitų skaičių, elektrolitų, gliukozės, serumo kreatinino koncentracijas, kepenų funkcijos mėginius, šlapimo rūgšties koncentraciją). Priimtini pradiniai dydžiai, kurie prieš paskiriant Copegus gali būti laikomi rekomenduojamais, yra: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hemoglobino</w:t>
      </w:r>
      <w:r w:rsidRPr="00F622AC">
        <w:rPr>
          <w:rFonts w:ascii="Times New Roman" w:eastAsia="Calibri" w:hAnsi="Times New Roman" w:cs="Times New Roman"/>
        </w:rPr>
        <w:tab/>
      </w:r>
      <w:r w:rsidRPr="00F622AC">
        <w:rPr>
          <w:rFonts w:ascii="Times New Roman" w:eastAsia="Calibri" w:hAnsi="Times New Roman" w:cs="Times New Roman"/>
        </w:rPr>
        <w:sym w:font="Symbol" w:char="F0B3"/>
      </w:r>
      <w:r w:rsidRPr="00F622AC">
        <w:rPr>
          <w:rFonts w:ascii="Times New Roman" w:eastAsia="Calibri" w:hAnsi="Times New Roman" w:cs="Times New Roman"/>
        </w:rPr>
        <w:t xml:space="preserve">12 g/dl (moterims); </w:t>
      </w:r>
      <w:r w:rsidRPr="00F622AC">
        <w:rPr>
          <w:rFonts w:ascii="Times New Roman" w:eastAsia="Calibri" w:hAnsi="Times New Roman" w:cs="Times New Roman"/>
          <w:lang w:val="en-US"/>
        </w:rPr>
        <w:sym w:font="Symbol" w:char="F0B3"/>
      </w:r>
      <w:r w:rsidRPr="00F622AC">
        <w:rPr>
          <w:rFonts w:ascii="Times New Roman" w:eastAsia="Calibri" w:hAnsi="Times New Roman" w:cs="Times New Roman"/>
        </w:rPr>
        <w:t>13 g/dl (vyrams).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Duomenų apie preparato veiksmingumą ir saugumą ŽIV-HCV koinfekuotiems pacientams, kurių CD4 ląstelių skaičius mažesnis nei 200 ląstelių/mkl, turima mažai. Dėl to pacientai, kurių CD4 ląstelių skaičius mažas, gydytini atsargiai.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Laboratorinius tyrimus reikia atlikti 2-tą ir 4-tą gydymo savaitę, vėliau periodiškai, atsižvelgiant į klinikinę ligos eigą.</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Nuoroda vaisingo amžiaus moterims: pacientės moterys privalo daryti įprastą nėštumo mėginį kas mėnesį gydymo metu ir dar </w:t>
      </w:r>
      <w:r w:rsidR="00E86133">
        <w:rPr>
          <w:rFonts w:ascii="Times New Roman" w:eastAsia="Calibri" w:hAnsi="Times New Roman" w:cs="Times New Roman"/>
        </w:rPr>
        <w:t>9</w:t>
      </w:r>
      <w:r w:rsidRPr="00F622AC">
        <w:rPr>
          <w:rFonts w:ascii="Times New Roman" w:eastAsia="Calibri" w:hAnsi="Times New Roman" w:cs="Times New Roman"/>
        </w:rPr>
        <w:t xml:space="preserve"> mėnesius, kai jį baigia. Vyrų pacientų partnerės moterys irgi privalo atlikti įprastą nėštumo mėginį kas mėnesį, kol gydomas vyras ir dar </w:t>
      </w:r>
      <w:r w:rsidR="00E86133">
        <w:rPr>
          <w:rFonts w:ascii="Times New Roman" w:eastAsia="Calibri" w:hAnsi="Times New Roman" w:cs="Times New Roman"/>
        </w:rPr>
        <w:t>6</w:t>
      </w:r>
      <w:r w:rsidRPr="00F622AC">
        <w:rPr>
          <w:rFonts w:ascii="Times New Roman" w:eastAsia="Calibri" w:hAnsi="Times New Roman" w:cs="Times New Roman"/>
        </w:rPr>
        <w:t xml:space="preserve"> mėnesius po jo gydymo pabaigos.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Dėl su Copegus vartojimu susijusios hemolizės gali didėti šlapimo rūgšties koncentracija ir dėl to išryškėti podagra, todėl į tai linkusius pacientus būtina nuolat atidžiai stebėti.</w:t>
      </w:r>
    </w:p>
    <w:p w:rsidR="00F622AC" w:rsidRPr="00F622AC" w:rsidRDefault="00F622AC" w:rsidP="00F622AC">
      <w:pPr>
        <w:tabs>
          <w:tab w:val="left" w:pos="567"/>
        </w:tabs>
        <w:spacing w:after="0" w:line="240" w:lineRule="auto"/>
        <w:rPr>
          <w:rFonts w:ascii="Times New Roman" w:eastAsia="Calibri" w:hAnsi="Times New Roman" w:cs="Times New Roman"/>
          <w:u w:val="single"/>
        </w:rPr>
      </w:pPr>
    </w:p>
    <w:p w:rsidR="00F622AC" w:rsidRPr="00F622AC" w:rsidRDefault="00F622AC" w:rsidP="00F622AC">
      <w:pPr>
        <w:tabs>
          <w:tab w:val="left" w:pos="567"/>
        </w:tabs>
        <w:spacing w:after="0" w:line="240" w:lineRule="auto"/>
        <w:rPr>
          <w:rFonts w:ascii="Times New Roman" w:eastAsia="Calibri" w:hAnsi="Times New Roman" w:cs="Times New Roman"/>
          <w:u w:val="single"/>
          <w:lang w:eastAsia="lt-LT"/>
        </w:rPr>
      </w:pPr>
      <w:r w:rsidRPr="00F622AC">
        <w:rPr>
          <w:rFonts w:ascii="Times New Roman" w:eastAsia="Calibri" w:hAnsi="Times New Roman" w:cs="Times New Roman"/>
          <w:u w:val="single"/>
          <w:lang w:eastAsia="lt-LT"/>
        </w:rPr>
        <w:t>Pagalbinės medžiagos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lang w:eastAsia="lt-LT"/>
        </w:rPr>
        <w:t>Copegus 400 mg plėvele dengtoje tabletėje</w:t>
      </w:r>
      <w:r w:rsidRPr="00F622AC">
        <w:rPr>
          <w:rFonts w:ascii="Calibri" w:eastAsia="Calibri" w:hAnsi="Calibri" w:cs="Times New Roman"/>
          <w:lang w:val="en-US"/>
        </w:rPr>
        <w:t xml:space="preserve"> </w:t>
      </w:r>
      <w:r w:rsidRPr="00F622AC">
        <w:rPr>
          <w:rFonts w:ascii="Times New Roman" w:eastAsia="Calibri" w:hAnsi="Times New Roman" w:cs="Times New Roman"/>
          <w:lang w:eastAsia="lt-LT"/>
        </w:rPr>
        <w:t>yra mažiau nei 1 mmol natrio (23 mg), t. y. iš esmės „beveik neturi  natrio“.</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4.5</w:t>
      </w:r>
      <w:r w:rsidRPr="00F622AC">
        <w:rPr>
          <w:rFonts w:ascii="Times New Roman" w:eastAsia="Calibri" w:hAnsi="Times New Roman" w:cs="Times New Roman"/>
          <w:b/>
        </w:rPr>
        <w:tab/>
        <w:t xml:space="preserve">Sąveika su kitais </w:t>
      </w:r>
      <w:r w:rsidRPr="00F622AC">
        <w:rPr>
          <w:rFonts w:ascii="Times New Roman" w:eastAsia="Calibri" w:hAnsi="Times New Roman" w:cs="Times New Roman"/>
          <w:b/>
          <w:lang w:val="en-US"/>
        </w:rPr>
        <w:t>vaistiniais preparatais ir kitokia sąveika</w:t>
      </w:r>
    </w:p>
    <w:p w:rsidR="00F622AC" w:rsidRPr="00F622AC" w:rsidRDefault="00F622AC" w:rsidP="00F622AC">
      <w:pPr>
        <w:keepNext/>
        <w:keepLines/>
        <w:tabs>
          <w:tab w:val="left" w:pos="567"/>
        </w:tabs>
        <w:spacing w:after="0" w:line="240" w:lineRule="auto"/>
        <w:jc w:val="both"/>
        <w:rPr>
          <w:rFonts w:ascii="Times New Roman" w:eastAsia="Calibri" w:hAnsi="Times New Roman" w:cs="Times New Roman"/>
          <w:b/>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Tirta ribavirino, vartojamo kartu su peginterferonu alfa-2a arba interferonu alfa-2b, ir antacidų sąveika. Ribavirino koncentracijos būna panašios, kai jis vartojamas vienas arba derinant jį su interferonu alfa-2b ar peginterferonu alfa-2a.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Nustojus vartoti Copegus</w:t>
      </w:r>
      <w:r w:rsidRPr="00F622AC">
        <w:rPr>
          <w:rFonts w:ascii="Times New Roman" w:eastAsia="Calibri" w:hAnsi="Times New Roman" w:cs="Times New Roman"/>
          <w:i/>
        </w:rPr>
        <w:t>,</w:t>
      </w:r>
      <w:r w:rsidRPr="00F622AC">
        <w:rPr>
          <w:rFonts w:ascii="Times New Roman" w:eastAsia="Calibri" w:hAnsi="Times New Roman" w:cs="Times New Roman"/>
        </w:rPr>
        <w:t xml:space="preserve"> dėl ilgo jo pusinės eliminacijos periodo kokios nors sąveikos galimybė išlieka iki 2 mėnesių (ribavirino pusinės eliminacijos 5 periodų trukmės).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In vitro</w:t>
      </w:r>
      <w:r w:rsidRPr="00F622AC">
        <w:rPr>
          <w:rFonts w:ascii="Times New Roman" w:eastAsia="Calibri" w:hAnsi="Times New Roman" w:cs="Times New Roman"/>
        </w:rPr>
        <w:t xml:space="preserve"> tyrimų duomenys, vartojant ir žmogaus, ir žiurkių kepenų mikrosomų preparatus, neparodė jokio su citochromo P450 fermento aktyvumu susijusio poveikio ribavirino metabolizmui. Ribavirinas citochromo P450 fermentų aktyvumo neslopina. Toksiškumo tyrimais nenustatyta, kad ribavirinas indukuotų kepenų fermentus. </w:t>
      </w:r>
      <w:r w:rsidRPr="00F622AC">
        <w:rPr>
          <w:rFonts w:ascii="Times New Roman" w:eastAsia="Calibri" w:hAnsi="Times New Roman" w:cs="Times New Roman"/>
          <w:lang w:val="en-US"/>
        </w:rPr>
        <w:t>Dėl to susijusios su P450 fermentų aktyvumu sąveikos galimybė labai menka.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Antacidai</w:t>
      </w:r>
      <w:r w:rsidRPr="00F622AC">
        <w:rPr>
          <w:rFonts w:ascii="Times New Roman" w:eastAsia="Calibri" w:hAnsi="Times New Roman" w:cs="Times New Roman"/>
        </w:rPr>
        <w:t>. Kai ribavirino vartota kartu su antacidu, turinčiu magnio, aliuminio ir metikono, ribavirino 600 mg biologinis prieinamumas sumažėjo; AUC</w:t>
      </w:r>
      <w:r w:rsidRPr="00F622AC">
        <w:rPr>
          <w:rFonts w:ascii="Times New Roman" w:eastAsia="Calibri" w:hAnsi="Times New Roman" w:cs="Times New Roman"/>
          <w:vertAlign w:val="subscript"/>
          <w:lang w:val="en-US"/>
        </w:rPr>
        <w:t>tf</w:t>
      </w:r>
      <w:r w:rsidRPr="00F622AC">
        <w:rPr>
          <w:rFonts w:ascii="Times New Roman" w:eastAsia="Calibri" w:hAnsi="Times New Roman" w:cs="Times New Roman"/>
          <w:lang w:val="en-US"/>
        </w:rPr>
        <w:t xml:space="preserve"> sumažėjo 14 %. Gali būti, kad šio tyrimo metu ribavirino biologinis prieinamumas sumažėjo dėl lėtesnio jo transporto ar pakitusio pH. Manoma, kad ši sąveika kliniškai nereikšminga.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Nukleozidų analogai</w:t>
      </w:r>
      <w:r w:rsidRPr="00F622AC">
        <w:rPr>
          <w:rFonts w:ascii="Times New Roman" w:eastAsia="Calibri" w:hAnsi="Times New Roman" w:cs="Times New Roman"/>
        </w:rPr>
        <w:t xml:space="preserve">. Nustatyta, kad ribavirinas </w:t>
      </w:r>
      <w:r w:rsidRPr="00F622AC">
        <w:rPr>
          <w:rFonts w:ascii="Times New Roman" w:eastAsia="Calibri" w:hAnsi="Times New Roman" w:cs="Times New Roman"/>
          <w:i/>
          <w:lang w:val="en-US"/>
        </w:rPr>
        <w:t>in vitro</w:t>
      </w:r>
      <w:r w:rsidRPr="00F622AC">
        <w:rPr>
          <w:rFonts w:ascii="Times New Roman" w:eastAsia="Calibri" w:hAnsi="Times New Roman" w:cs="Times New Roman"/>
          <w:lang w:val="en-US"/>
        </w:rPr>
        <w:t xml:space="preserve"> slopina zidovudino ir stavudino fosforilinimą. Šių duomenų klinikinė reikšmė nežinoma. Tačiau dėl šių </w:t>
      </w:r>
      <w:r w:rsidRPr="00F622AC">
        <w:rPr>
          <w:rFonts w:ascii="Times New Roman" w:eastAsia="Calibri" w:hAnsi="Times New Roman" w:cs="Times New Roman"/>
          <w:i/>
          <w:lang w:val="en-US"/>
        </w:rPr>
        <w:t>in vitro</w:t>
      </w:r>
      <w:r w:rsidRPr="00F622AC">
        <w:rPr>
          <w:rFonts w:ascii="Times New Roman" w:eastAsia="Calibri" w:hAnsi="Times New Roman" w:cs="Times New Roman"/>
          <w:lang w:val="en-US"/>
        </w:rPr>
        <w:t xml:space="preserve"> gautų duomenų kyla klausimas, ar kartu su zidovudinu ar stavudinu vartojant Copegus, negali didėti ŽIV viremija plazmoje. Todėl patartina nuolat tikrinti ŽIV RNR koncentraciją plazmoje tų pacientų, kurie tuo pat metu gydomi </w:t>
      </w:r>
      <w:r w:rsidRPr="00F622AC">
        <w:rPr>
          <w:rFonts w:ascii="Times New Roman" w:eastAsia="Calibri" w:hAnsi="Times New Roman" w:cs="Times New Roman"/>
          <w:lang w:val="en-US"/>
        </w:rPr>
        <w:lastRenderedPageBreak/>
        <w:t>Copegus preparatu ir vienu šių vaistų. Jei jų ŽIV RNR koncentracijos didėja, būtina iš naujo apsvarstyti, ar vartoti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rPr>
        <w:t>kartu su atvirkštinės transkriptazės inhibitoriais.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Didanozinas</w:t>
      </w:r>
      <w:r w:rsidRPr="00F622AC">
        <w:rPr>
          <w:rFonts w:ascii="Times New Roman" w:eastAsia="Calibri" w:hAnsi="Times New Roman" w:cs="Times New Roman"/>
        </w:rPr>
        <w:t xml:space="preserve"> </w:t>
      </w:r>
      <w:r w:rsidRPr="00F622AC">
        <w:rPr>
          <w:rFonts w:ascii="Times New Roman" w:eastAsia="Calibri" w:hAnsi="Times New Roman" w:cs="Times New Roman"/>
          <w:i/>
        </w:rPr>
        <w:t>(ddI).</w:t>
      </w:r>
      <w:r w:rsidRPr="00F622AC">
        <w:rPr>
          <w:rFonts w:ascii="Times New Roman" w:eastAsia="Calibri" w:hAnsi="Times New Roman" w:cs="Times New Roman"/>
          <w:lang w:val="en-US"/>
        </w:rPr>
        <w:t xml:space="preserve"> Ribavirino ir didanozino kartu vartoti nerekomenduojama. Kai didanozino vartojama kartu su ribavirinu, </w:t>
      </w:r>
      <w:r w:rsidRPr="00F622AC">
        <w:rPr>
          <w:rFonts w:ascii="Times New Roman" w:eastAsia="Calibri" w:hAnsi="Times New Roman" w:cs="Times New Roman"/>
          <w:i/>
          <w:lang w:val="en-US"/>
        </w:rPr>
        <w:t>in vitro</w:t>
      </w:r>
      <w:r w:rsidRPr="00F622AC">
        <w:rPr>
          <w:rFonts w:ascii="Times New Roman" w:eastAsia="Calibri" w:hAnsi="Times New Roman" w:cs="Times New Roman"/>
          <w:lang w:val="en-US"/>
        </w:rPr>
        <w:t xml:space="preserve"> ekspozicija didanozinui arba jo aktyviam metabolitui </w:t>
      </w:r>
      <w:r w:rsidRPr="00F622AC">
        <w:rPr>
          <w:rFonts w:ascii="Times New Roman" w:eastAsia="Calibri" w:hAnsi="Times New Roman" w:cs="Times New Roman"/>
        </w:rPr>
        <w:t>(dideoksadenozino 5’-trifosfatui) padidėja. Kartu vartojant ribavirino, gauta pranešimų apie mirtiną kepenų nepakankamumą, taip pat periferinę neuropatiją, pankreatitą ir simptominę hiperlaktatemiją/pieno rūgšties acidozę.</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Azatioprinas.</w:t>
      </w:r>
      <w:r w:rsidRPr="00F622AC">
        <w:rPr>
          <w:rFonts w:ascii="Times New Roman" w:eastAsia="Calibri" w:hAnsi="Times New Roman" w:cs="Times New Roman"/>
        </w:rPr>
        <w:t xml:space="preserve"> Ribavirinas, pasižymėdamas slopinančiu poveikiu inozinmonofosfato dehidrogenazei, gali paveikti azatioprino metabolizmą galbūt sukeldamas 6-metiltioinozinmonofosfato (6-MTIMF) kaupimąsi, kuris gali būti susijęs su toksiniu poveikiu azatioprinu gydomų pacientų kaulų čiulpams. </w:t>
      </w:r>
      <w:r w:rsidRPr="00F622AC">
        <w:rPr>
          <w:rFonts w:ascii="Times New Roman" w:eastAsia="Calibri" w:hAnsi="Times New Roman" w:cs="Times New Roman"/>
          <w:lang w:val="en-US"/>
        </w:rPr>
        <w:t>Turi būti vengiama Copegus ir peginterferono alfa-2a vartojimo kartu su azatioprinu. Atskirais atvejais, kai Copegus ir azatioprino derinio vartojimo nauda pateisina galimą riziką, kartu vartojant azatioprino rekomenduojama atlikti atidų hematologinį monitoringą, siekiant nustatyti toksinio poveikio kaulų čiulpams požymius, kuriems atsiradus gydyti šiais vaistais turi būti liaujamasi (žr. 4.4 skyrių).</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i/>
        </w:rPr>
        <w:t>ŽIV-HCV koinfekuoti pacientai</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Kai 47 ŽIV-HCV koinfekuotiems pacientams atlikta 12 savaičių trukusi farmakokinetinių tyrimų dalis, nagrinėjanti ribavirino poveikį intraląsteliniam kai kurių nukleozidų atvirkštinės transkriptazės inhibitorių (lamivudino ir zidovudino ar stavudino) fosforilinimui, jokių aiškių vaistų sąveikos požymių nepastebėta. </w:t>
      </w:r>
      <w:r w:rsidRPr="00F622AC">
        <w:rPr>
          <w:rFonts w:ascii="Times New Roman" w:eastAsia="Calibri" w:hAnsi="Times New Roman" w:cs="Times New Roman"/>
          <w:lang w:val="en-US"/>
        </w:rPr>
        <w:t>Tačiau dėl didelio duomenų nepastovumo, patikimumo intervalai buvo labai platūs. Kartu vartojami nukleozidų atvirkštinės transkriptazės inhibitoriai (NATI) plazmos ekspozicijos ribavirinui atrodo nepaveikė.</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Gauta pranešimų, kad nuo ribavirino paūmėja anemija, kai ŽIV gydymo režimo metu kartu vartojama zidovudino, nors tikslus poveikio mechanizmas dar neišaiškintas. Dėl padidėjusio anemijos pavojaus ribavirino kartu su zidovudinu vartoti nerekomenduojama (žr. 4.4 skyrių). Jeigu anemija jau nustatyta, būtina apsvarstyti, ar taikant kombinuotą ARG (antiretrovirusinį gydymą) nepakeisti zidovudino. Tai yra ypač svarbu pacientams, kuriems zidovudinas sukėlė anemiją.</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4.6</w:t>
      </w:r>
      <w:r w:rsidRPr="00F622AC">
        <w:rPr>
          <w:rFonts w:ascii="Times New Roman" w:eastAsia="Calibri" w:hAnsi="Times New Roman" w:cs="Times New Roman"/>
          <w:b/>
        </w:rPr>
        <w:tab/>
        <w:t>Vaisingumas, nėštumo ir žindymo laikotarpis</w:t>
      </w:r>
    </w:p>
    <w:p w:rsidR="00F622AC" w:rsidRPr="00F622AC" w:rsidRDefault="00F622AC" w:rsidP="00F622AC">
      <w:pPr>
        <w:keepNext/>
        <w:keepLines/>
        <w:tabs>
          <w:tab w:val="left" w:pos="567"/>
        </w:tabs>
        <w:spacing w:after="0" w:line="240" w:lineRule="auto"/>
        <w:rPr>
          <w:rFonts w:ascii="Times New Roman" w:eastAsia="Calibri" w:hAnsi="Times New Roman" w:cs="Times New Roman"/>
          <w:b/>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Ikiklinikiniai duomenys</w:t>
      </w:r>
      <w:r w:rsidRPr="00F622AC">
        <w:rPr>
          <w:rFonts w:ascii="Times New Roman" w:eastAsia="Calibri" w:hAnsi="Times New Roman" w:cs="Times New Roman"/>
        </w:rPr>
        <w:t xml:space="preserve">. Įrodyta, kad ribavirinas gali sukelti reikšmingą teratogeninį ir (arba) embriocidinį poveikį visoms gyvūnų rūšims, kurioms atitinkamas poveikis tirtas, duodant daug mažesnes, nei rekomenduojama žmonėms, dozes. Buvo pastebėta kaukolės, gomurio, akių, žandikaulio, rankų ir kojų, griaučių, taip pat virškinimo trakto anomalijų. </w:t>
      </w:r>
      <w:r w:rsidRPr="00F622AC">
        <w:rPr>
          <w:rFonts w:ascii="Times New Roman" w:eastAsia="Calibri" w:hAnsi="Times New Roman" w:cs="Times New Roman"/>
          <w:lang w:val="en-US"/>
        </w:rPr>
        <w:t>Didinant ribavirino dozę, jo teratogeninio poveikio dažnis ir sunkumas didėjo. Sumažėjo vaisių ir jauniklių išgyvenamumas.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Moterys pacientės</w:t>
      </w:r>
      <w:r w:rsidRPr="00F622AC">
        <w:rPr>
          <w:rFonts w:ascii="Times New Roman" w:eastAsia="Calibri" w:hAnsi="Times New Roman" w:cs="Times New Roman"/>
        </w:rPr>
        <w:t>. Nėščioms moterims vartoti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rPr>
        <w:t xml:space="preserve">draudžiama (žr. </w:t>
      </w:r>
      <w:r w:rsidRPr="00F622AC">
        <w:rPr>
          <w:rFonts w:ascii="Times New Roman" w:eastAsia="Calibri" w:hAnsi="Times New Roman" w:cs="Times New Roman"/>
          <w:lang w:val="en-US"/>
        </w:rPr>
        <w:t>4.3 ir 4.4 skyrius). Moterims pacientėms privalu itin rūpestingai stengtis nepastoti. Draudžiama pradėti vartoti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rPr>
        <w:t xml:space="preserve">kol neįsitikinta, kad prieš pat gydymo pradžią atliktas nėštumo mėginys yra neigiamas. Bet kuris gimdymo reguliavimo metodas gali būti nesėkmingas. Todėl labai svarbu, kad vaisingo amžiaus moterys būtinai vartotų veiksmingas kontracepcines priemones per visą gydymo laikotarpį ir </w:t>
      </w:r>
      <w:r w:rsidR="00E86133">
        <w:rPr>
          <w:rFonts w:ascii="Times New Roman" w:eastAsia="Calibri" w:hAnsi="Times New Roman" w:cs="Times New Roman"/>
        </w:rPr>
        <w:t>9</w:t>
      </w:r>
      <w:r w:rsidRPr="00F622AC">
        <w:rPr>
          <w:rFonts w:ascii="Times New Roman" w:eastAsia="Calibri" w:hAnsi="Times New Roman" w:cs="Times New Roman"/>
        </w:rPr>
        <w:t xml:space="preserve"> mėnesius po jo; visu šiuo laikotarpiu būtina kas mėnesį daryti įprastą nėštumo nustatymo mėginį. Jei gydymo metu ar per </w:t>
      </w:r>
      <w:r w:rsidR="00E86133">
        <w:rPr>
          <w:rFonts w:ascii="Times New Roman" w:eastAsia="Calibri" w:hAnsi="Times New Roman" w:cs="Times New Roman"/>
        </w:rPr>
        <w:t>9</w:t>
      </w:r>
      <w:r w:rsidRPr="00F622AC">
        <w:rPr>
          <w:rFonts w:ascii="Times New Roman" w:eastAsia="Calibri" w:hAnsi="Times New Roman" w:cs="Times New Roman"/>
        </w:rPr>
        <w:t xml:space="preserve"> mėnesius po jo pabaigos pacientė pastoja, jai būtina paaiškinti apie reikšmingą ribavirino teratogeninio poveikio vaisiui riziką.</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Pacientai vyrai ir jų partnerės moterys</w:t>
      </w:r>
      <w:r w:rsidRPr="00F622AC">
        <w:rPr>
          <w:rFonts w:ascii="Times New Roman" w:eastAsia="Calibri" w:hAnsi="Times New Roman" w:cs="Times New Roman"/>
        </w:rPr>
        <w:t>. Privalu itin rūpintis, kad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rPr>
        <w:t>vartojančių pacientų vyrų partnerės nepastotų.</w:t>
      </w:r>
      <w:r w:rsidRPr="00F622AC">
        <w:rPr>
          <w:rFonts w:ascii="Times New Roman" w:eastAsia="Calibri" w:hAnsi="Times New Roman" w:cs="Times New Roman"/>
          <w:lang w:val="en-US"/>
        </w:rPr>
        <w:t xml:space="preserve"> Ribavirinas kaupiasi ląstelių viduje ir labai lėtai pasišalina iš organizmo. Tyrimų su gyvūnais metu ribavirinas sukėlė spermos pokyčių, duodant mažesnes nei klinikines jo dozes. Ar esantis spermoje ribavirinas sukels jam būdingą teratogeninį poveikį per kiaušinėlių apvaisinimą, nežinoma. Todėl būtina pacientams vyrams arba jų vaisingo amžiaus partnerėms moterims patarti, kad jie gydymo laikotarpiu ir dar </w:t>
      </w:r>
      <w:r w:rsidR="00E86133">
        <w:rPr>
          <w:rFonts w:ascii="Times New Roman" w:eastAsia="Calibri" w:hAnsi="Times New Roman" w:cs="Times New Roman"/>
          <w:lang w:val="en-US"/>
        </w:rPr>
        <w:t>6</w:t>
      </w:r>
      <w:r w:rsidRPr="00F622AC">
        <w:rPr>
          <w:rFonts w:ascii="Times New Roman" w:eastAsia="Calibri" w:hAnsi="Times New Roman" w:cs="Times New Roman"/>
          <w:lang w:val="en-US"/>
        </w:rPr>
        <w:t xml:space="preserve"> mėnesius po jo vartotų veiksmingas kontracepcines priemones. Prieš pradedant gydyti būtina atlikti nėštumo mėginį. Vyrams, kurių partnerės yra nėščios, būtina nurodyti, jog jie, siekdami, kad kiek galima mažiau ribavirino patektų partnerei, naudotų prezervatyvą.</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Žindymas.</w:t>
      </w:r>
      <w:r w:rsidRPr="00F622AC">
        <w:rPr>
          <w:rFonts w:ascii="Times New Roman" w:eastAsia="Calibri" w:hAnsi="Times New Roman" w:cs="Times New Roman"/>
        </w:rPr>
        <w:t xml:space="preserve"> Ar ribavirino patenka į moters pieną, nežinoma. Dėl galimų nepageidaujamų reakcijų žindomiems kūdikiams, prieš pradedant gydymą kūdikį žindyti reikia liautis.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4.7</w:t>
      </w:r>
      <w:r w:rsidRPr="00F622AC">
        <w:rPr>
          <w:rFonts w:ascii="Times New Roman" w:eastAsia="Calibri" w:hAnsi="Times New Roman" w:cs="Times New Roman"/>
          <w:b/>
        </w:rPr>
        <w:tab/>
        <w:t>Poveikis gebėjimui vairuoti ir valdyti mechanizmus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gebėjimo vairuoti ir valdyti mechanizmus neveikia arba veikia nereikšmingai. Vis dėlto kartu su Copegus vartojamas peginterferonas alfa, interferonas alfa-2a arba kitas vaistinis preparatas tai gali trikdyti. Daugiau informacijos apie kartu su Copegus skiriamą vaistinį preparatą rasite jo PCS.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4.8</w:t>
      </w:r>
      <w:r w:rsidRPr="00F622AC">
        <w:rPr>
          <w:rFonts w:ascii="Times New Roman" w:eastAsia="Calibri" w:hAnsi="Times New Roman" w:cs="Times New Roman"/>
          <w:b/>
        </w:rPr>
        <w:tab/>
        <w:t>Nepageidaujamas poveikis</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Svarbiausia ribavirino saugos problema, pasireiškianti per pirmąsias gydymo savaites, yra hemolizinė anemija. Ši su gydymu ribavirinu susijusi hemolizinė anemija gali pabloginti širdies veiklą ir (arba) pasunkinti jau esančią širdies ligą. Be to, kai kuriems pacientams buvo pastebėtas šlapimo rūgšties ir netiesioginio bilirubino verčių, susijusių su hemolize, padidėjimas (žr. žemiau ir 4.4 skyrių).</w:t>
      </w:r>
    </w:p>
    <w:p w:rsidR="00F622AC" w:rsidRDefault="00F622AC" w:rsidP="00F622AC">
      <w:pPr>
        <w:tabs>
          <w:tab w:val="left" w:pos="567"/>
        </w:tabs>
        <w:spacing w:after="0" w:line="240" w:lineRule="auto"/>
        <w:rPr>
          <w:rFonts w:ascii="Times New Roman" w:eastAsia="Calibri" w:hAnsi="Times New Roman" w:cs="Times New Roman"/>
        </w:rPr>
      </w:pPr>
    </w:p>
    <w:p w:rsidR="00374254" w:rsidRPr="00374254" w:rsidRDefault="00374254" w:rsidP="00374254">
      <w:pPr>
        <w:tabs>
          <w:tab w:val="left" w:pos="567"/>
        </w:tabs>
        <w:spacing w:after="0" w:line="240" w:lineRule="auto"/>
        <w:rPr>
          <w:rFonts w:ascii="Times New Roman" w:eastAsia="Calibri" w:hAnsi="Times New Roman" w:cs="Times New Roman"/>
        </w:rPr>
      </w:pPr>
      <w:r w:rsidRPr="00374254">
        <w:rPr>
          <w:rFonts w:ascii="Times New Roman" w:eastAsia="Calibri" w:hAnsi="Times New Roman" w:cs="Times New Roman"/>
        </w:rPr>
        <w:t>Ribavirino vartojimas kartu su tiesiogiai veikiančiais priešvirusiniais vaistiniais preparatais (TVP)</w:t>
      </w:r>
    </w:p>
    <w:p w:rsidR="00374254" w:rsidRPr="00374254" w:rsidRDefault="00374254" w:rsidP="00374254">
      <w:pPr>
        <w:tabs>
          <w:tab w:val="left" w:pos="567"/>
        </w:tabs>
        <w:spacing w:after="0" w:line="240" w:lineRule="auto"/>
        <w:rPr>
          <w:rFonts w:ascii="Times New Roman" w:eastAsia="Calibri" w:hAnsi="Times New Roman" w:cs="Times New Roman"/>
        </w:rPr>
      </w:pPr>
    </w:p>
    <w:p w:rsidR="00374254" w:rsidRPr="00374254" w:rsidRDefault="00374254" w:rsidP="00374254">
      <w:pPr>
        <w:tabs>
          <w:tab w:val="left" w:pos="567"/>
        </w:tabs>
        <w:spacing w:after="0" w:line="240" w:lineRule="auto"/>
        <w:rPr>
          <w:rFonts w:ascii="Times New Roman" w:eastAsia="Calibri" w:hAnsi="Times New Roman" w:cs="Times New Roman"/>
        </w:rPr>
      </w:pPr>
      <w:r w:rsidRPr="00374254">
        <w:rPr>
          <w:rFonts w:ascii="Times New Roman" w:eastAsia="Calibri" w:hAnsi="Times New Roman" w:cs="Times New Roman"/>
        </w:rPr>
        <w:t>Remiantis klinikinių tyrimų su suaugusiais pacientais, vartojusiais TVP kartu su ribavirinu, saugumo duomenimis, dažniausios nepageidaujamos reakcijos, nustatytos kaip susijusios su ribavirinu, buvo anemija, pykinimas, vėmimas, astenija, nuovargis, nemiga, kosulys, dusulys, niežėjimas ir bėrimas. Išskyrus anemiją, dauguma šių nepageidaujamų reakcijų buvo nesunkios ir išnyko nenutraukus gydymo.</w:t>
      </w:r>
    </w:p>
    <w:p w:rsidR="00374254" w:rsidRPr="00374254" w:rsidRDefault="00374254" w:rsidP="00374254">
      <w:pPr>
        <w:tabs>
          <w:tab w:val="left" w:pos="567"/>
        </w:tabs>
        <w:spacing w:after="0" w:line="240" w:lineRule="auto"/>
        <w:rPr>
          <w:rFonts w:ascii="Times New Roman" w:eastAsia="Calibri" w:hAnsi="Times New Roman" w:cs="Times New Roman"/>
        </w:rPr>
      </w:pPr>
    </w:p>
    <w:p w:rsidR="00374254" w:rsidRDefault="00374254" w:rsidP="00374254">
      <w:pPr>
        <w:tabs>
          <w:tab w:val="left" w:pos="567"/>
        </w:tabs>
        <w:spacing w:after="0" w:line="240" w:lineRule="auto"/>
        <w:rPr>
          <w:rFonts w:ascii="Times New Roman" w:eastAsia="Calibri" w:hAnsi="Times New Roman" w:cs="Times New Roman"/>
        </w:rPr>
      </w:pPr>
      <w:r w:rsidRPr="00374254">
        <w:rPr>
          <w:rFonts w:ascii="Times New Roman" w:eastAsia="Calibri" w:hAnsi="Times New Roman" w:cs="Times New Roman"/>
        </w:rPr>
        <w:t>Ribavirino vartojimas kartu su interferonu alfa-2a arba peginterferonu alfa-2a</w:t>
      </w:r>
    </w:p>
    <w:p w:rsidR="00374254" w:rsidRPr="00F622AC" w:rsidRDefault="00374254"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Šiame skyriuje išvardinti nepageidaujami reiškiniai yra pastebėti klinikinių tyrimų metu ir (arba) kaip nepageidaujamos reakcijos į vaistą užfiksuotos spontaniniais pranešimais daugiausia kai Copegus buvo vartojamas kartu su interferonu alfa-2a arba peginterferonu alfa-2a.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Nepageidaujami reiškiniai pacientams, vartojantiems Copegus ir interferono alfa-2a derinį, iš esmės yra tokie pat, kaip ir vartojant Copegus kartu su peginterferonu alfa-2a.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Kiekvienoje dažnio grupėje nepageidaujamas poveikis pateikiamas mažėjančio sunkumo tvarka.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Daugiau apie kitų kartu su Copegus vartojamų vaistinių preparatų pastebėtus nepageidaujamus poveikius, rasite šių vaistinių preparatų PCS.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u w:val="single"/>
          <w:lang w:eastAsia="lt-LT"/>
        </w:rPr>
      </w:pPr>
      <w:r w:rsidRPr="00F622AC">
        <w:rPr>
          <w:rFonts w:ascii="Times New Roman" w:eastAsia="Calibri" w:hAnsi="Times New Roman" w:cs="Times New Roman"/>
          <w:u w:val="single"/>
        </w:rPr>
        <w:t>Lėtinis hepatitas C</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Dažniausiai aprašomi nepageidaujami reiškiniai, atsiradę vartojant Copegus kartu su 180 mkg peginterferono alfa-2a, paprastai buvo lengvi arba vidutinio sunkumo. Dauguma jų buvo įveikiami ir nutraukti gydymą neprireikė.</w:t>
      </w:r>
    </w:p>
    <w:p w:rsidR="00F622AC" w:rsidRPr="00F622AC" w:rsidRDefault="00F622AC" w:rsidP="00F622AC">
      <w:pPr>
        <w:tabs>
          <w:tab w:val="left" w:pos="567"/>
        </w:tabs>
        <w:spacing w:after="0" w:line="240" w:lineRule="auto"/>
        <w:rPr>
          <w:rFonts w:ascii="Times New Roman" w:eastAsia="Calibri" w:hAnsi="Times New Roman" w:cs="Times New Roman"/>
          <w:i/>
        </w:rPr>
      </w:pPr>
    </w:p>
    <w:p w:rsidR="00F622AC" w:rsidRPr="00F622AC" w:rsidRDefault="00F622AC" w:rsidP="00F622AC">
      <w:pPr>
        <w:spacing w:after="0" w:line="240" w:lineRule="auto"/>
        <w:rPr>
          <w:rFonts w:ascii="Times New Roman" w:eastAsia="Calibri" w:hAnsi="Times New Roman" w:cs="Times New Roman"/>
          <w:u w:val="single"/>
          <w:lang w:eastAsia="lt-LT"/>
        </w:rPr>
      </w:pPr>
      <w:r w:rsidRPr="00F622AC">
        <w:rPr>
          <w:rFonts w:ascii="Times New Roman" w:eastAsia="Calibri" w:hAnsi="Times New Roman" w:cs="Times New Roman"/>
          <w:u w:val="single"/>
        </w:rPr>
        <w:t>Lėtinis hepatitas C į ankstesnį gydymą nereagavusiems pacientams</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Apskritai, į ankstesnį gydymą nereagavusiems pacientams ir dar negydytiems pacientams Copegus ir peginterferono alfa-2a derinio saugumo pobūdis buvo panašus. Nereagavusių į ankstesnį gydymą pegiliuotu interferonu alfa-2b ir ribavirinu pacientų klinikinio tyrimo metu, gydant juos 48 arba 72 savaites, dėl nepageidaujamų reiškinių ar laboratorinių tyrimų nenormalių rodmenų gydymo nutraukimo dažnis dėl peginterferono alfa-2a ir Copegus vartojimo, gydant 48 savaites, buvo atitinkamai 6 % ir 7 %, o gydant 72 savaites – 12 % ir 13 %. Panašiai, gydant 72 savaites ciroze sergančius pacientus arba pacientus perėjimo į cirozę laikotarpiu, gydymas peginterferoniu alfa-2a ir gydymas Copegus buvo nutraukiamas dažniau (13 % ir 15 %) nei gydant 48 savaites (6 % ir 6 %). Pacientai, kuriems ankstesnis gydymas pegiliuotu interferonu alfa-2b ir ribavirinu nutrauktas dėl toksinio poveikio kraujodarai, į tyrimą nebuvo įtraukti.</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Kito klinikinio tyrimo metu nereagavusieji į ankstesnį gydymą pacientai, kurie sirgo progresuojančia kepenų fibroze arba ciroze (</w:t>
      </w:r>
      <w:r w:rsidRPr="00F622AC">
        <w:rPr>
          <w:rFonts w:ascii="Times New Roman" w:eastAsia="Calibri" w:hAnsi="Times New Roman" w:cs="Times New Roman"/>
          <w:i/>
        </w:rPr>
        <w:t>Ishak</w:t>
      </w:r>
      <w:r w:rsidRPr="00F622AC">
        <w:rPr>
          <w:rFonts w:ascii="Times New Roman" w:eastAsia="Calibri" w:hAnsi="Times New Roman" w:cs="Times New Roman"/>
        </w:rPr>
        <w:t xml:space="preserve"> balai nuo 3 iki 6) ir kurių pradiniai trombocitų skaičiai buvo tokie maži kaip 50 000/ mm</w:t>
      </w:r>
      <w:r w:rsidRPr="00F622AC">
        <w:rPr>
          <w:rFonts w:ascii="Times New Roman" w:eastAsia="Calibri" w:hAnsi="Times New Roman" w:cs="Times New Roman"/>
          <w:vertAlign w:val="superscript"/>
        </w:rPr>
        <w:t>3</w:t>
      </w:r>
      <w:r w:rsidRPr="00F622AC">
        <w:rPr>
          <w:rFonts w:ascii="Times New Roman" w:eastAsia="Calibri" w:hAnsi="Times New Roman" w:cs="Times New Roman"/>
        </w:rPr>
        <w:t>, gydyti 48 savaites. Hematologinių laboratorinių tyrimų nenormalūs rodmenys, pastebėti pirmųjų 20 gydymo savaičių laikotarpiu, buvo: anemija (26 % pacientų hemoglobino kiekis &lt;10 g/dl), neutropenija (30 % pacientų ANS &lt;750/mm</w:t>
      </w:r>
      <w:r w:rsidRPr="00F622AC">
        <w:rPr>
          <w:rFonts w:ascii="Times New Roman" w:eastAsia="Calibri" w:hAnsi="Times New Roman" w:cs="Times New Roman"/>
          <w:vertAlign w:val="superscript"/>
        </w:rPr>
        <w:t>3</w:t>
      </w:r>
      <w:r w:rsidRPr="00F622AC">
        <w:rPr>
          <w:rFonts w:ascii="Times New Roman" w:eastAsia="Calibri" w:hAnsi="Times New Roman" w:cs="Times New Roman"/>
        </w:rPr>
        <w:t>) ir trombocitopenija (13 % pacientų trombocitų skaičius &lt;50 000/ mm</w:t>
      </w:r>
      <w:r w:rsidRPr="00F622AC">
        <w:rPr>
          <w:rFonts w:ascii="Times New Roman" w:eastAsia="Calibri" w:hAnsi="Times New Roman" w:cs="Times New Roman"/>
          <w:vertAlign w:val="superscript"/>
        </w:rPr>
        <w:t>3</w:t>
      </w:r>
      <w:r w:rsidRPr="00F622AC">
        <w:rPr>
          <w:rFonts w:ascii="Times New Roman" w:eastAsia="Calibri" w:hAnsi="Times New Roman" w:cs="Times New Roman"/>
        </w:rPr>
        <w:t>) (žr. 4.4 skyrių).</w:t>
      </w:r>
    </w:p>
    <w:p w:rsidR="00F622AC" w:rsidRPr="00F622AC" w:rsidRDefault="00F622AC" w:rsidP="00F622AC">
      <w:pPr>
        <w:tabs>
          <w:tab w:val="left" w:pos="567"/>
        </w:tabs>
        <w:spacing w:after="0" w:line="240" w:lineRule="auto"/>
        <w:rPr>
          <w:rFonts w:ascii="Times New Roman" w:eastAsia="Calibri" w:hAnsi="Times New Roman" w:cs="Times New Roman"/>
          <w:i/>
        </w:rPr>
      </w:pPr>
    </w:p>
    <w:p w:rsidR="00F622AC" w:rsidRPr="00F622AC" w:rsidRDefault="00F622AC" w:rsidP="00F622AC">
      <w:pPr>
        <w:tabs>
          <w:tab w:val="left" w:pos="567"/>
        </w:tabs>
        <w:spacing w:after="0" w:line="240" w:lineRule="auto"/>
        <w:rPr>
          <w:rFonts w:ascii="Times New Roman" w:eastAsia="Calibri" w:hAnsi="Times New Roman" w:cs="Times New Roman"/>
          <w:u w:val="single"/>
          <w:lang w:eastAsia="lt-LT"/>
        </w:rPr>
      </w:pPr>
      <w:r w:rsidRPr="00F622AC">
        <w:rPr>
          <w:rFonts w:ascii="Times New Roman" w:eastAsia="Calibri" w:hAnsi="Times New Roman" w:cs="Times New Roman"/>
          <w:u w:val="single"/>
        </w:rPr>
        <w:t>Lėtinis hepatitas C ir žmogaus imunodeficito viruso koinfekcija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ŽIV-HCV koinfekuotiems pacientams vien peginterferono alfa-2a arba jo derinio su ribavirinu sukeliamų klinikinių nepageidaujamų reiškinių pobūdis buvo panašus į tą, kuris pastebėtas gydant HCV monoinfekuotus pacientus. ŽIV-HCV koinfekuotiems pacientams, gydomiems Copegus ir peginterferono alfa-2a deriniu, kitas aprašytas nepageidaujamas poveikis, atsiradęs nuo ≥ 1 % iki ≤ 2 % pacientų, buvo: hiperlaktacidemija /pieno rūgšties acidozė, gripas, pneumonija, nepastovi emocinė reakcija, apatija, ryklės ir gerklų skausmas, lūpos uždegimas, įgyta lipodistrofija ir chromaturija. Su peginterferono alfa-2a vartojimu pirmosiomis 4 savaitėmis buvo susijęs sumažėjęs absoliutus CD4+ ląstelių skaičius, nesumažėjus CD4+ ląstelių procentui. Sumažinus vaisto dozę arba  nustojus jo vartoti, CD4+ ląstelių skaičius vėl tapo toks pat, kaip anksčiau. Peginterferonas alfa-2a gydymo juo ir vėlesnio stebėjimo laikotarpiu ŽIV viremijos kontrolei pastebimo neigiamo poveikio neturėjo. Peginterferono saugumo koinfekuotiems pacientams, kurių CD4+ ląstelių skaičius &lt; 200/mkl, duomenų turima mažai (žr. peginterferono alfa-2a PCS).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4 entelėje pateikiamas nepageidaujamas poveikis pacientams, kurie gydyti Copegus daugiausia kartu su peginterferonu alfa-2a arba interferonu alfa-2a</w:t>
      </w:r>
    </w:p>
    <w:p w:rsidR="00F622AC" w:rsidRPr="00F622AC" w:rsidRDefault="00F622AC" w:rsidP="00F622A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rPr>
          <w:rFonts w:ascii="Times New Roman" w:eastAsia="Calibri" w:hAnsi="Times New Roman" w:cs="Times New Roman"/>
          <w:lang w:eastAsia="lt-LT"/>
        </w:rPr>
      </w:pPr>
      <w:r w:rsidRPr="00F622AC">
        <w:rPr>
          <w:rFonts w:ascii="Times New Roman" w:eastAsia="Calibri" w:hAnsi="Times New Roman" w:cs="Times New Roman"/>
          <w:b/>
          <w:kern w:val="28"/>
        </w:rPr>
        <w:t>4 lentelė.</w:t>
      </w:r>
      <w:r w:rsidRPr="00F622AC">
        <w:rPr>
          <w:rFonts w:ascii="Times New Roman" w:eastAsia="Calibri" w:hAnsi="Times New Roman" w:cs="Times New Roman"/>
          <w:b/>
          <w:kern w:val="28"/>
        </w:rPr>
        <w:tab/>
        <w:t>Nep</w:t>
      </w:r>
      <w:r w:rsidRPr="00F622AC">
        <w:rPr>
          <w:rFonts w:ascii="Times New Roman" w:eastAsia="Calibri" w:hAnsi="Times New Roman" w:cs="Times New Roman"/>
          <w:b/>
          <w:kern w:val="28"/>
          <w:lang w:val="en-US"/>
        </w:rPr>
        <w:t>ageidaujamas poveikis HCV infekuotiems pacientams, kurie gydyti Copegus</w:t>
      </w:r>
      <w:r w:rsidRPr="00F622AC">
        <w:rPr>
          <w:rFonts w:ascii="Times New Roman" w:eastAsia="Calibri" w:hAnsi="Times New Roman" w:cs="Times New Roman"/>
          <w:lang w:val="en-US"/>
        </w:rPr>
        <w:t xml:space="preserve"> </w:t>
      </w:r>
      <w:r w:rsidRPr="00F622AC">
        <w:rPr>
          <w:rFonts w:ascii="Times New Roman" w:eastAsia="Calibri" w:hAnsi="Times New Roman" w:cs="Times New Roman"/>
          <w:b/>
          <w:kern w:val="28"/>
        </w:rPr>
        <w:t>daugiausia kartu su peginterferonu alfa-2a arba interferonu alfa-2a</w:t>
      </w:r>
    </w:p>
    <w:tbl>
      <w:tblPr>
        <w:tblW w:w="5045" w:type="pct"/>
        <w:tblLayout w:type="fixed"/>
        <w:tblLook w:val="0000" w:firstRow="0" w:lastRow="0" w:firstColumn="0" w:lastColumn="0" w:noHBand="0" w:noVBand="0"/>
      </w:tblPr>
      <w:tblGrid>
        <w:gridCol w:w="1158"/>
        <w:gridCol w:w="1216"/>
        <w:gridCol w:w="1578"/>
        <w:gridCol w:w="1410"/>
        <w:gridCol w:w="1388"/>
        <w:gridCol w:w="1240"/>
        <w:gridCol w:w="1152"/>
      </w:tblGrid>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b/>
              </w:rPr>
            </w:pPr>
            <w:r w:rsidRPr="00F622AC">
              <w:rPr>
                <w:rFonts w:ascii="Times New Roman" w:eastAsia="Calibri" w:hAnsi="Times New Roman" w:cs="Times New Roman"/>
                <w:b/>
              </w:rPr>
              <w:t>Organizmo sistema</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Labai dažnas ≥1/10</w:t>
            </w: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Dažnas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≥1/100 iki &lt;1/10</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Nedažnas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≥1/1000 iki &lt;1/100</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Retas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≥1/10 000 iki &lt;1/1000</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Labai retas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rPr>
            </w:pPr>
            <w:r w:rsidRPr="00F622AC">
              <w:rPr>
                <w:rFonts w:ascii="Times New Roman" w:eastAsia="Calibri" w:hAnsi="Times New Roman" w:cs="Times New Roman"/>
                <w:b/>
              </w:rPr>
              <w:t>&lt;1/10000</w:t>
            </w: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Dažnis nežinomas*</w:t>
            </w: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Infekcijos ir infestacijos</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Viršutinių kvėpavimo takų infekcija, bronchitas, burnos kandidozė, paprastoji pūslelinė</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val="sv-SE" w:eastAsia="lt-LT"/>
              </w:rPr>
            </w:pPr>
            <w:r w:rsidRPr="00F622AC">
              <w:rPr>
                <w:rFonts w:ascii="Times New Roman" w:eastAsia="Calibri" w:hAnsi="Times New Roman" w:cs="Times New Roman"/>
                <w:lang w:val="sv-SE" w:eastAsia="lt-LT"/>
              </w:rPr>
              <w:t>Apatinių kvėpavimo takų infekcija, pneumonija, šlapimo takų infekcija, odos infekcija</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val="sv-SE" w:eastAsia="lt-LT"/>
              </w:rPr>
            </w:pPr>
            <w:r w:rsidRPr="00F622AC">
              <w:rPr>
                <w:rFonts w:ascii="Times New Roman" w:eastAsia="Calibri" w:hAnsi="Times New Roman" w:cs="Times New Roman"/>
                <w:lang w:val="sv-SE" w:eastAsia="lt-LT"/>
              </w:rPr>
              <w:t>Endokarditas, išorinės ausies uždegimas</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val="sv-SE" w:eastAsia="lt-LT"/>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val="sv-SE" w:eastAsia="lt-LT"/>
              </w:rPr>
            </w:pP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Kraujo ir limfinės sistemos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Anemija, neutropenija</w:t>
            </w: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Trombocitopenija, limfadenopatija</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Pancitopenija</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Aplazinė anemija</w:t>
            </w:r>
          </w:p>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Grynoji eritrocitų aplazija</w:t>
            </w: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Imuninės sistemos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Sarkoidozė,</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Tiroiditas</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Anafilaksija, sisteminė raudonoji vilkligė, reumatoidinis artritas</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Idiopatinė arba trombozinė trombocitopeninė purpura</w:t>
            </w: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Persodintų kepenų ar inkstų atmetimas, Vogt-Koyanagi-Harada liga</w:t>
            </w: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Endokrininiai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Hipotirozė, hipertirozė</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Diabetas</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lastRenderedPageBreak/>
              <w:t>Metabolizmo ir mitybos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Anoreksija</w:t>
            </w: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Dehidracija</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Psichikos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Depresija, nemiga </w:t>
            </w: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Pakitusi nuotaika, sutrikusios emocijos, nerimas, agresija, nervuotumas, susilpnėjęs lytinis potraukis</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Mintys apie savižudybę, haliucinacijos, pyktis</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lang w:val="fr-FR" w:eastAsia="lt-LT"/>
              </w:rPr>
              <w:t>Savižudybė, psichozinis sutrikimas</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Manija, bipolinis sutrikimas, mintys apie nužudymą</w:t>
            </w: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Nervų sistemos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Galvos skausmas, svaigulys, pablogėjęs dėmesio koncentravimas</w:t>
            </w: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Atminties (pa)blogėjimas, alpulys, silpnumas, migrena, hipestezija, hiperestezija, parestezija, drebulys, sutrikęs skonio pojūtis, košmarai, mieguistumas</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val="fr-FR" w:eastAsia="lt-LT"/>
              </w:rPr>
            </w:pPr>
            <w:r w:rsidRPr="00F622AC">
              <w:rPr>
                <w:rFonts w:ascii="Times New Roman" w:eastAsia="Calibri" w:hAnsi="Times New Roman" w:cs="Times New Roman"/>
                <w:lang w:val="fr-FR" w:eastAsia="lt-LT"/>
              </w:rPr>
              <w:t>Periferinė neuropatija</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val="it-IT" w:eastAsia="lt-LT"/>
              </w:rPr>
            </w:pPr>
            <w:r w:rsidRPr="00F622AC">
              <w:rPr>
                <w:rFonts w:ascii="Times New Roman" w:eastAsia="Calibri" w:hAnsi="Times New Roman" w:cs="Times New Roman"/>
                <w:lang w:val="it-IT" w:eastAsia="lt-LT"/>
              </w:rPr>
              <w:t>Koma, traukuliai, veidinio nervo paralyžius</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val="it-IT" w:eastAsia="lt-LT"/>
              </w:rPr>
            </w:pPr>
            <w:r w:rsidRPr="00F622AC">
              <w:rPr>
                <w:rFonts w:ascii="Times New Roman" w:eastAsia="Times New Roman" w:hAnsi="Times New Roman" w:cs="Times New Roman"/>
                <w:lang w:val="it-IT" w:eastAsia="lt-LT"/>
              </w:rPr>
              <w:t>Galvos smegenų išemija</w:t>
            </w: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val="it-IT" w:eastAsia="lt-LT"/>
              </w:rPr>
            </w:pP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Akių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Miglotas regėjimas, akies skausmas, akies uždegimas, kseroftalmija</w:t>
            </w:r>
          </w:p>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Kraujo išsiliejimas į tinklainę</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Regimojo nervo neuropatija, regimojo nervo spenelio pabrinkimas, tinklainės kraujagyslių sutrikimas, retinopatija, ragenos opa</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Apakimas</w:t>
            </w: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Serozinė tinklainės atšoka</w:t>
            </w: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Ausų ir labirintų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Galvos svaigimas, ausies skausmas</w:t>
            </w:r>
            <w:r w:rsidRPr="00F622AC">
              <w:rPr>
                <w:rFonts w:ascii="Times New Roman" w:eastAsia="Calibri" w:hAnsi="Times New Roman" w:cs="Times New Roman"/>
                <w:lang w:val="en-US"/>
              </w:rPr>
              <w:t>, spengimas ausyse</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lang w:val="fr-FR" w:eastAsia="lt-LT"/>
              </w:rPr>
              <w:t>Klausos netekimas</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lastRenderedPageBreak/>
              <w:t>Širdies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Tachikardija, palpitacijos, periferinė edema</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Miokardo infarktas, stazinis širdies nepakankamumas, krūtinės angina, supraventrikulinė tachikardija, aritmija, prieširdžių virpėjimas, perikarditas</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Kraujagyslių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Karščio pylimas, hipotenzija</w:t>
            </w:r>
          </w:p>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Hipertenzija</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Kraujo išsiliejimas į smegenis, vaskulitas</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Kvėpavimo sistemos, krūtinės ląstos ir tarpuplaučio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Dusulys, kosulys</w:t>
            </w: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Įtampos dusulys, kraujavimas iš nosies, nosiaryklės uždegimas, pabrinkę prienosiniai ančiai, pabrinkusi nosies gleivinė, rinitas, skaudama ryklė</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Švokštimas</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Intersticinis pneumonitas, nuo kurio mirštama; plaučių embolija</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Virškinimo trakto sutrikimai</w:t>
            </w:r>
          </w:p>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Viduriavimas, pykinimas, pilvo skausmas</w:t>
            </w: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Vėmimas, dispepsija, sutrikęs rijimas, burnos išopėjimas, dantenų kraujavimas, liežuvio uždegimas, stomatitas, dujų kaupimasis žarnyne, vidurių užkietėjimas, burnos džiūvimas</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Kraujavimas iš virškinimo trakto, lūpos uždegimas, dantenų uždegimas</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Pepsinė opa, pankreatitas</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Išeminis kolitas, opinis kolitas, liežuvio pigmentacija</w:t>
            </w: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lastRenderedPageBreak/>
              <w:t>Kepenų, tulžies pūslės ir latakų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Sutrikusi kepenų funkcija</w:t>
            </w: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Kepenų funkcijos nepakankamumas, cholangitas, kepenų riebalinė infiltracija</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r>
      <w:tr w:rsidR="00F622AC" w:rsidRPr="00F622AC" w:rsidTr="002A1D7B">
        <w:trPr>
          <w:cantSplit/>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Odos ir poodinio audinio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Alopecija, odos uždegimas, niežulys, odos sausėjimas</w:t>
            </w: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Bėrimas, padidėjęs prakaitavimas, psoriazė, dilgėlinė, egzema, odos pažeidimas, fotosensibili reakcija, prakaitavimas naktį</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Toksinė epidermio nekrolizė, Stivenso-Džonsono (Stevens-Johnson) sindromas, angioedema, daugiaformė eritema</w:t>
            </w: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r>
      <w:tr w:rsidR="00F622AC" w:rsidRPr="00F622AC" w:rsidTr="002A1D7B">
        <w:trPr>
          <w:cantSplit/>
          <w:trHeight w:val="306"/>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Skeleto, raumenų ir jungiamojo audinio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Raumenų skausmas, sąnarių skausmas</w:t>
            </w: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Nugaros skausmas, artritas, raumenų silpnumas, kaulų skausmas, sprando skausmas, skeleto raumenų skausmas, mėšlungis</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Miozitas</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Rabdomiolizė</w:t>
            </w:r>
          </w:p>
        </w:tc>
      </w:tr>
      <w:tr w:rsidR="00F622AC" w:rsidRPr="00F622AC" w:rsidTr="002A1D7B">
        <w:trPr>
          <w:cantSplit/>
          <w:trHeight w:val="306"/>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Inkstų ir šlapimų takų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Inkstų veiklos nepakankamumas, nefrozinis sindromas</w:t>
            </w:r>
          </w:p>
        </w:tc>
      </w:tr>
      <w:tr w:rsidR="00F622AC" w:rsidRPr="00F622AC" w:rsidTr="002A1D7B">
        <w:trPr>
          <w:cantSplit/>
          <w:trHeight w:val="306"/>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Lytinės sistemos ir krūties sutrikimai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Lytinė bejėgystė</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r>
      <w:tr w:rsidR="00F622AC" w:rsidRPr="00F622AC" w:rsidTr="002A1D7B">
        <w:trPr>
          <w:cantSplit/>
          <w:trHeight w:val="306"/>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Bendrieji sutrikimai ir vartojimo vietos pažeidimai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Karščiavimas, sustingimas, skausmas, astenija, nuovargis, irzlumas</w:t>
            </w: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Krūtinės skausmas, į gripą panaši liga, negalavimas, letargija, karščio pylimas, troškulys</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r>
      <w:tr w:rsidR="00F622AC" w:rsidRPr="00F622AC" w:rsidTr="002A1D7B">
        <w:trPr>
          <w:cantSplit/>
          <w:trHeight w:val="267"/>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 xml:space="preserve">Tyrimai </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Sumažėjęs svoris</w:t>
            </w: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r>
      <w:tr w:rsidR="00F622AC" w:rsidRPr="00F622AC" w:rsidTr="002A1D7B">
        <w:trPr>
          <w:cantSplit/>
          <w:trHeight w:val="306"/>
        </w:trPr>
        <w:tc>
          <w:tcPr>
            <w:tcW w:w="63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lastRenderedPageBreak/>
              <w:t>Sužalojimai ir apsinuodijimai</w:t>
            </w: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863"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7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75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Vaistinės medžiagos perdozavimas</w:t>
            </w:r>
          </w:p>
        </w:tc>
        <w:tc>
          <w:tcPr>
            <w:tcW w:w="67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c>
          <w:tcPr>
            <w:tcW w:w="630"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rPr>
                <w:rFonts w:ascii="Times New Roman" w:eastAsia="Calibri" w:hAnsi="Times New Roman" w:cs="Times New Roman"/>
              </w:rPr>
            </w:pPr>
          </w:p>
        </w:tc>
      </w:tr>
    </w:tbl>
    <w:p w:rsidR="00F622AC" w:rsidRPr="00F622AC" w:rsidRDefault="00F622AC" w:rsidP="00F622AC">
      <w:pPr>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pastebėti poregistraciniu laikotarpiu.</w:t>
      </w:r>
    </w:p>
    <w:p w:rsidR="00F622AC" w:rsidRPr="00F622AC" w:rsidRDefault="00F622AC" w:rsidP="00F622AC">
      <w:pPr>
        <w:autoSpaceDE w:val="0"/>
        <w:autoSpaceDN w:val="0"/>
        <w:adjustRightInd w:val="0"/>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Laboratorinių tyrimų rodmenys. </w:t>
      </w:r>
      <w:r w:rsidRPr="00F622AC">
        <w:rPr>
          <w:rFonts w:ascii="Times New Roman" w:eastAsia="Calibri" w:hAnsi="Times New Roman" w:cs="Times New Roman"/>
        </w:rPr>
        <w:t xml:space="preserve">Klinikinių tyrimų metu, kai Copegus vartota kartu su peginterferonu alfa-2a arba interferonu alfa-2a, dauguma nenormaliai pakitusių laboratorinių tyrimų rodmenų tapo normalūs pakeitus dozę (žr. 4.2 skyrių). </w:t>
      </w:r>
      <w:r w:rsidRPr="00F622AC">
        <w:rPr>
          <w:rFonts w:ascii="Times New Roman" w:eastAsia="Calibri" w:hAnsi="Times New Roman" w:cs="Times New Roman"/>
          <w:lang w:val="en-US"/>
        </w:rPr>
        <w:t>Gydant peginterferono alfa-2a ir Copegus deriniu, iki 2 % pacientų padidėjo ALT aktyvumas, dėl to reikėjo keisti dozę arba nutraukti gydymą.</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Gydymo metu dozę apribojantis ribavirino toksiškumo požymis yra hemolizė. Pastebėta, kad iki 15 % pacientų, 48 savaites gydytų Copegus</w:t>
      </w:r>
      <w:r w:rsidRPr="00F622AC">
        <w:rPr>
          <w:rFonts w:ascii="Times New Roman" w:eastAsia="Calibri" w:hAnsi="Times New Roman" w:cs="Times New Roman"/>
          <w:i/>
        </w:rPr>
        <w:t xml:space="preserve"> </w:t>
      </w:r>
      <w:r w:rsidRPr="00F622AC">
        <w:rPr>
          <w:rFonts w:ascii="Times New Roman" w:eastAsia="Calibri" w:hAnsi="Times New Roman" w:cs="Times New Roman"/>
        </w:rPr>
        <w:t>1000/1200 mg ir peginterferono alfa-2a deriniu, taip pat iki 19 % pacientų, gydytų Copegus</w:t>
      </w:r>
      <w:r w:rsidRPr="00F622AC">
        <w:rPr>
          <w:rFonts w:ascii="Times New Roman" w:eastAsia="Calibri" w:hAnsi="Times New Roman" w:cs="Times New Roman"/>
          <w:i/>
        </w:rPr>
        <w:t xml:space="preserve"> </w:t>
      </w:r>
      <w:r w:rsidRPr="00F622AC">
        <w:rPr>
          <w:rFonts w:ascii="Times New Roman" w:eastAsia="Calibri" w:hAnsi="Times New Roman" w:cs="Times New Roman"/>
        </w:rPr>
        <w:t xml:space="preserve">ir interferono alfa-2a deriniu, hemoglobino koncentracija sumažėjo iki &lt;10 g/dl. Kai kartu su peginterferonu alfa-2a 24 savaites vartota 800 mg </w:t>
      </w:r>
      <w:r w:rsidRPr="00F622AC">
        <w:rPr>
          <w:rFonts w:ascii="Times New Roman" w:eastAsia="Calibri" w:hAnsi="Times New Roman" w:cs="Times New Roman"/>
          <w:lang w:val="en-US"/>
        </w:rPr>
        <w:t>Copegus dozė, hemoglobino koncentracija iki &lt;10 g/dl sumažėjo 3 % pacientų. Dažniausiai hemoglobino sumažėja ankstyvuoju gydymo periodu; vėliau dėl tuo pat metu atsiradusio kompensacinio retikulocitų pagausėjimo tai išsilygina.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Dažniausiai anemija, leukopenija ir trombocitopenija buvo neryškios (I laipsnio pagal PSO). II laipsnio pagal PSO laboratorinių pokyčių pastebėta: hemoglobino (4 % pacientų), leukocitų (24 % pacientų) ir trombocitų (2 % pacientų). Vidutinė (absoliutus neutrofilų skaičius, ANS: 0,749</w:t>
      </w:r>
      <w:r w:rsidRPr="00F622AC">
        <w:rPr>
          <w:rFonts w:ascii="Times New Roman" w:eastAsia="Calibri" w:hAnsi="Times New Roman" w:cs="Times New Roman"/>
          <w:lang w:val="en-US"/>
        </w:rPr>
        <w:t xml:space="preserve">-0,5 x </w:t>
      </w:r>
      <w:r w:rsidRPr="00F622AC">
        <w:rPr>
          <w:rFonts w:ascii="Times New Roman" w:eastAsia="Calibri" w:hAnsi="Times New Roman" w:cs="Times New Roman"/>
        </w:rPr>
        <w:t>10</w:t>
      </w:r>
      <w:r w:rsidRPr="00F622AC">
        <w:rPr>
          <w:rFonts w:ascii="Times New Roman" w:eastAsia="Calibri" w:hAnsi="Times New Roman" w:cs="Times New Roman"/>
          <w:vertAlign w:val="superscript"/>
          <w:lang w:val="en-US"/>
        </w:rPr>
        <w:t>9</w:t>
      </w:r>
      <w:r w:rsidRPr="00F622AC">
        <w:rPr>
          <w:rFonts w:ascii="Times New Roman" w:eastAsia="Calibri" w:hAnsi="Times New Roman" w:cs="Times New Roman"/>
        </w:rPr>
        <w:t>/l) ir ryški (ANS&lt;0,5 x 10</w:t>
      </w:r>
      <w:r w:rsidRPr="00F622AC">
        <w:rPr>
          <w:rFonts w:ascii="Times New Roman" w:eastAsia="Calibri" w:hAnsi="Times New Roman" w:cs="Times New Roman"/>
          <w:vertAlign w:val="superscript"/>
          <w:lang w:val="en-US"/>
        </w:rPr>
        <w:t>9</w:t>
      </w:r>
      <w:r w:rsidRPr="00F622AC">
        <w:rPr>
          <w:rFonts w:ascii="Times New Roman" w:eastAsia="Calibri" w:hAnsi="Times New Roman" w:cs="Times New Roman"/>
        </w:rPr>
        <w:t>/l) neutropenija rasta 24 % (216 iš 887) ir 5 % (41 iš 887) pacientų, 48 savaites gydytų Copegus po 1000/1200 mg ir  peginterferono alfa-2a deriniu.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Pastebėta, kad kai kuriems pacientams, gydytiems Copegus ir peginterferono alfa-2a arba interferono alfa-2a deriniu, padidėjo šlapimo rūgšties ir netiesioginio bilirubino koncentracijos, kurios buvo susijusios su hemolize, bet, baigus gydyti, per 4 savaites jos vėl tapdavo tokios pat kaip prieš gydymą. Labai retai (2 pacientams iš 755) su tuo buvo susiję klinikiniai reiškiniai (ūminė podagra).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i/>
        </w:rPr>
        <w:t>ŽIV-HCV koinfekuotų pacientų laboratorinių tyrimų duomenys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Nors toksinis poveikis kraujodarai – neutropenija, trombocitopenija ir anemija – dažniau pasitaikė ŽIV-HCV koinfekuotiems pacientams, daugumai jų tai pavyko pašalinti pakeitus dozę ir pavartojus kraujodarą aktyvinančių faktorių; prieš laiką liautis gydyti reikėjo retai. Mažesnis nei 500 ląstelių/mm</w:t>
      </w:r>
      <w:r w:rsidRPr="00F622AC">
        <w:rPr>
          <w:rFonts w:ascii="Times New Roman" w:eastAsia="Calibri" w:hAnsi="Times New Roman" w:cs="Times New Roman"/>
          <w:vertAlign w:val="superscript"/>
          <w:lang w:val="en-US"/>
        </w:rPr>
        <w:t>3</w:t>
      </w:r>
      <w:r w:rsidRPr="00F622AC">
        <w:rPr>
          <w:rFonts w:ascii="Times New Roman" w:eastAsia="Calibri" w:hAnsi="Times New Roman" w:cs="Times New Roman"/>
        </w:rPr>
        <w:t xml:space="preserve"> ANS nustatytas 13 % pacientų, kuriems taikyta peginterferono alfa-2a monoterapi</w:t>
      </w:r>
      <w:r w:rsidRPr="00F622AC">
        <w:rPr>
          <w:rFonts w:ascii="Times New Roman" w:eastAsia="Calibri" w:hAnsi="Times New Roman" w:cs="Times New Roman"/>
          <w:lang w:val="en-US"/>
        </w:rPr>
        <w:t>ja, ir 11 % pacientų, gydytų vaistų deriniu. Mažesnis nei 50 000/mm</w:t>
      </w:r>
      <w:r w:rsidRPr="00F622AC">
        <w:rPr>
          <w:rFonts w:ascii="Times New Roman" w:eastAsia="Calibri" w:hAnsi="Times New Roman" w:cs="Times New Roman"/>
          <w:vertAlign w:val="superscript"/>
          <w:lang w:val="en-US"/>
        </w:rPr>
        <w:t>3</w:t>
      </w:r>
      <w:r w:rsidRPr="00F622AC">
        <w:rPr>
          <w:rFonts w:ascii="Times New Roman" w:eastAsia="Calibri" w:hAnsi="Times New Roman" w:cs="Times New Roman"/>
        </w:rPr>
        <w:t xml:space="preserve"> trombocitų skaičius nustatytas 10 % pacientų, vartojusių vien peginterferono alfa-2a, ir 8 % pacientų, gydytų vaistų deriniu. Pranešama, kad anemija (hemoglobino &lt; 10g/dl) nustatyta 7 % p</w:t>
      </w:r>
      <w:r w:rsidRPr="00F622AC">
        <w:rPr>
          <w:rFonts w:ascii="Times New Roman" w:eastAsia="Calibri" w:hAnsi="Times New Roman" w:cs="Times New Roman"/>
          <w:lang w:val="en-US"/>
        </w:rPr>
        <w:t>acientų, kai taikyta peginterferono alfa-2a monoterapija, ir 14 % pacientų, gydytų vaistinių preparatų deriniu.</w:t>
      </w:r>
    </w:p>
    <w:p w:rsidR="00F622AC" w:rsidRPr="00F622AC" w:rsidRDefault="00F622AC" w:rsidP="00F622AC">
      <w:pPr>
        <w:tabs>
          <w:tab w:val="left" w:pos="567"/>
        </w:tabs>
        <w:spacing w:after="0" w:line="240" w:lineRule="auto"/>
        <w:rPr>
          <w:rFonts w:ascii="Times New Roman" w:eastAsia="Calibri" w:hAnsi="Times New Roman" w:cs="Times New Roman"/>
          <w:u w:val="single"/>
        </w:rPr>
      </w:pPr>
    </w:p>
    <w:p w:rsidR="00F622AC" w:rsidRPr="00F622AC" w:rsidRDefault="00F622AC" w:rsidP="00F622AC">
      <w:pPr>
        <w:tabs>
          <w:tab w:val="left" w:pos="567"/>
        </w:tabs>
        <w:spacing w:after="0" w:line="240" w:lineRule="auto"/>
        <w:rPr>
          <w:rFonts w:ascii="Times New Roman" w:eastAsia="Calibri" w:hAnsi="Times New Roman" w:cs="Times New Roman"/>
          <w:u w:val="single"/>
          <w:lang w:eastAsia="lt-LT"/>
        </w:rPr>
      </w:pPr>
      <w:r w:rsidRPr="00F622AC">
        <w:rPr>
          <w:rFonts w:ascii="Times New Roman" w:eastAsia="Calibri" w:hAnsi="Times New Roman" w:cs="Times New Roman"/>
          <w:u w:val="single"/>
        </w:rPr>
        <w:t>Pranešimas apie įtariamas nepageidaujamas reakcijas</w:t>
      </w:r>
    </w:p>
    <w:p w:rsidR="00F622AC" w:rsidRPr="00F622AC" w:rsidRDefault="00F622AC" w:rsidP="00F622AC">
      <w:pPr>
        <w:keepNext/>
        <w:keepLines/>
        <w:tabs>
          <w:tab w:val="left" w:pos="567"/>
        </w:tabs>
        <w:autoSpaceDE w:val="0"/>
        <w:autoSpaceDN w:val="0"/>
        <w:adjustRightInd w:val="0"/>
        <w:spacing w:after="0" w:line="240" w:lineRule="auto"/>
        <w:rPr>
          <w:rFonts w:ascii="Times New Roman" w:eastAsia="Times New Roman" w:hAnsi="Times New Roman" w:cs="Times New Roman"/>
          <w:noProof/>
          <w:snapToGrid w:val="0"/>
          <w:szCs w:val="24"/>
        </w:rPr>
      </w:pPr>
      <w:r w:rsidRPr="00F622AC">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5" w:history="1">
        <w:r w:rsidRPr="00F622AC">
          <w:rPr>
            <w:rFonts w:ascii="Times New Roman" w:eastAsia="Times New Roman" w:hAnsi="Times New Roman" w:cs="Times New Roman"/>
            <w:noProof/>
            <w:snapToGrid w:val="0"/>
            <w:color w:val="0000FF"/>
            <w:szCs w:val="24"/>
          </w:rPr>
          <w:t>http://www.vvkt.lt</w:t>
        </w:r>
      </w:hyperlink>
      <w:r w:rsidRPr="00F622AC">
        <w:rPr>
          <w:rFonts w:ascii="Times New Roman" w:eastAsia="Times New Roman" w:hAnsi="Times New Roman" w:cs="Times New Roman"/>
          <w:noProof/>
          <w:snapToGrid w:val="0"/>
          <w:szCs w:val="24"/>
        </w:rPr>
        <w:t>).</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4.9</w:t>
      </w:r>
      <w:r w:rsidRPr="00F622AC">
        <w:rPr>
          <w:rFonts w:ascii="Times New Roman" w:eastAsia="Calibri" w:hAnsi="Times New Roman" w:cs="Times New Roman"/>
          <w:b/>
        </w:rPr>
        <w:tab/>
        <w:t>Perdozavimas</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Apie Copegus perdozavimo atvejus klinikinių tyrimų metu nepranešama. Žmonėms, suvartojusiems daugiau nei keturis kartus didesnes negu didžiausios rekomenduojamos dozes, pastebėta hipokalcemija ir hipomagnezemija. Daugeliu šių atvejų ribavirino vartota į veną. Kadangi ribavirino pasiskirstymo tūris yra didelis, hemodialize pašalinti reikšmingą ribavirino kiekį nėra efektyvu.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lastRenderedPageBreak/>
        <w:t>5.</w:t>
      </w:r>
      <w:r w:rsidRPr="00F622AC">
        <w:rPr>
          <w:rFonts w:ascii="Times New Roman" w:eastAsia="Calibri" w:hAnsi="Times New Roman" w:cs="Times New Roman"/>
          <w:b/>
        </w:rPr>
        <w:tab/>
        <w:t>FARMAKOLOGINĖS SAVYBĖS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5.1</w:t>
      </w:r>
      <w:r w:rsidRPr="00F622AC">
        <w:rPr>
          <w:rFonts w:ascii="Times New Roman" w:eastAsia="Calibri" w:hAnsi="Times New Roman" w:cs="Times New Roman"/>
          <w:b/>
        </w:rPr>
        <w:tab/>
        <w:t>Farmakodinaminės savybės</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Farmakoterapinė grupė – nukleozidai ir nukleotidai (tiksliau – atvirkštinės transkriptazės inhibitoriai), ATC kodas – </w:t>
      </w:r>
      <w:r w:rsidRPr="00F622AC">
        <w:rPr>
          <w:rFonts w:ascii="Calibri" w:eastAsia="Calibri" w:hAnsi="Calibri" w:cs="Times New Roman"/>
        </w:rPr>
        <w:t>J05A P01</w:t>
      </w:r>
      <w:r w:rsidRPr="00F622AC">
        <w:rPr>
          <w:rFonts w:ascii="Times New Roman" w:eastAsia="Calibri" w:hAnsi="Times New Roman" w:cs="Times New Roman"/>
        </w:rPr>
        <w:t>.</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Veikimo mechanizmas. </w:t>
      </w:r>
      <w:r w:rsidRPr="00F622AC">
        <w:rPr>
          <w:rFonts w:ascii="Times New Roman" w:eastAsia="Calibri" w:hAnsi="Times New Roman" w:cs="Times New Roman"/>
          <w:lang w:val="en-US"/>
        </w:rPr>
        <w:t xml:space="preserve">Ribavirinas yra sintetinis nukleozidų analogas, kuris </w:t>
      </w:r>
      <w:r w:rsidRPr="00F622AC">
        <w:rPr>
          <w:rFonts w:ascii="Times New Roman" w:eastAsia="Calibri" w:hAnsi="Times New Roman" w:cs="Times New Roman"/>
          <w:i/>
          <w:lang w:val="en-US"/>
        </w:rPr>
        <w:t>in vitro</w:t>
      </w:r>
      <w:r w:rsidRPr="00F622AC">
        <w:rPr>
          <w:rFonts w:ascii="Times New Roman" w:eastAsia="Calibri" w:hAnsi="Times New Roman" w:cs="Times New Roman"/>
          <w:lang w:val="en-US"/>
        </w:rPr>
        <w:t xml:space="preserve"> veikia kai kuriuos RNR ir DNR virusus. Kokiu būdu ribavirinas veikia HCV, nežinoma.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Sergantiems hepatitu C pacientams, kurie vartodami po 180 mkg peginterferono alfa-2a į gydymą reagavo, HCV RNR mažėjo dvifaziškai. Pacientams, kuriems pasiseka sukelti ilgalaikį atsaką, pirmoji mažėjimo fazė esti praėjus 24-36 valandoms po pirmosios peginterferono alfa-2a dozės; po to seka antroji mažėjimo fazė, kuri trunka sekančias 4-16 savaites. Copegus per pirmąsias 4-6 savaites pacientų, gydomų Copegus ir pegiliuoto i</w:t>
      </w:r>
      <w:r w:rsidRPr="00F622AC">
        <w:rPr>
          <w:rFonts w:ascii="Times New Roman" w:eastAsia="Calibri" w:hAnsi="Times New Roman" w:cs="Times New Roman"/>
          <w:lang w:val="en-US"/>
        </w:rPr>
        <w:t>nterferono alfa-2a arba interferono alfa deriniu,  pradinei virusų kinetikai reikšmingo poveikio neturėjo.</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Keleto klinikinių tyrimų metu bandyta gydyti lėtinį hepatitą C vien geriamu ribavirinu. Šių tyrimų rezultatai parodė, kad ribavirino monoterapija, kai pacientai buvo gydomi 6-12 mėnesių ir 6 mėnesius stebimi, neturėjo jokio poveikio hepatitą sukeliančių virusų (HCV RNR) išnykimui, taip pat nepagerino kepenų histologinių pokyčių.</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tabs>
          <w:tab w:val="left" w:pos="567"/>
        </w:tabs>
        <w:spacing w:after="0" w:line="240" w:lineRule="auto"/>
        <w:rPr>
          <w:rFonts w:ascii="Times New Roman" w:eastAsia="Calibri" w:hAnsi="Times New Roman" w:cs="Times New Roman"/>
          <w:i/>
          <w:u w:val="single"/>
          <w:lang w:eastAsia="lt-LT"/>
        </w:rPr>
      </w:pPr>
      <w:r w:rsidRPr="00F622AC">
        <w:rPr>
          <w:rFonts w:ascii="Times New Roman" w:eastAsia="Calibri" w:hAnsi="Times New Roman" w:cs="Times New Roman"/>
          <w:i/>
          <w:u w:val="single"/>
        </w:rPr>
        <w:t>Klinikinis veiksmingumas ir saugumas</w:t>
      </w:r>
    </w:p>
    <w:p w:rsidR="00F622AC" w:rsidRPr="00F622AC" w:rsidRDefault="00F622AC" w:rsidP="00F622AC">
      <w:pPr>
        <w:tabs>
          <w:tab w:val="left" w:pos="567"/>
        </w:tabs>
        <w:spacing w:after="0" w:line="240" w:lineRule="auto"/>
        <w:rPr>
          <w:rFonts w:ascii="Times New Roman" w:eastAsia="Calibri" w:hAnsi="Times New Roman" w:cs="Times New Roman"/>
          <w:i/>
          <w:u w:val="single"/>
        </w:rPr>
      </w:pPr>
    </w:p>
    <w:p w:rsidR="00F622AC" w:rsidRPr="00F622AC" w:rsidRDefault="00F622AC" w:rsidP="00F622AC">
      <w:pPr>
        <w:tabs>
          <w:tab w:val="left" w:pos="567"/>
        </w:tabs>
        <w:spacing w:after="0" w:line="240" w:lineRule="auto"/>
        <w:rPr>
          <w:rFonts w:ascii="Times New Roman" w:eastAsia="Calibri" w:hAnsi="Times New Roman" w:cs="Times New Roman"/>
          <w:i/>
          <w:u w:val="single"/>
          <w:lang w:eastAsia="lt-LT"/>
        </w:rPr>
      </w:pPr>
      <w:r w:rsidRPr="00F622AC">
        <w:rPr>
          <w:rFonts w:ascii="Times New Roman" w:eastAsia="Calibri" w:hAnsi="Times New Roman" w:cs="Times New Roman"/>
          <w:i/>
          <w:u w:val="single"/>
        </w:rPr>
        <w:t>Copegus derinys su TVP</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Išsamų tokio derinio klinikinių duomenų aprašą rasite atitinkamo tiesiogiai veikiančio priešvirusinio (TVP) vaistinio preparato PCS. Šioje PCS yra išsamiai aprašytas tik Copegus skyrimas kartu su (peg)interferonu.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i/>
          <w:u w:val="single"/>
          <w:lang w:eastAsia="lt-LT"/>
        </w:rPr>
      </w:pPr>
      <w:r w:rsidRPr="00F622AC">
        <w:rPr>
          <w:rFonts w:ascii="Times New Roman" w:eastAsia="Calibri" w:hAnsi="Times New Roman" w:cs="Times New Roman"/>
          <w:i/>
          <w:u w:val="single"/>
        </w:rPr>
        <w:t>Copegus derinys su peginterferonu alfa-2a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i/>
        </w:rPr>
        <w:t>Atsako nuspėjamumas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Žiūrėkite peginterferono alfa-2a PCS.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Tyrimų rezultatai gydant dar negydytus pacientus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ir peginterferono alfa-2a derinio efektyvumas ir saugumas nustatytas dviejų centrinių tyrimų (NV15801+NV15942) metu, kai iš viso gydyti 2 405 pacientai. Visiems klinikiniams tyrimams buvo atrinkti interferonu negydyti pacientai, sergantys lėtiniu hepatitu C, kurį patvirtino nustatomos HCV RNR koncentracijos serume, padidėjęs ALT aktyvumas ir kepenų biopsija, rodanti lėtinio hepatito C infekciją atitinkančius pokyčius. Į NR15961 tyrimą buvo įtraukti tik ŽIV-HCV koinfekuoti pacientai (žr. 15 lentelę). Šių pacientų ŽIV infekcija buvo stabili, ir vidutinis CD4 ląstelių skaičius - apie 500 ląstelių/mkl.</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Atliekant NV15801 tyrimą (gydytas 1 121 pacientas), palygintas 48 savaites trukusio gydymo peginterferono alfa-2a (po 180 mkg kartą per savaitę) ir Copegus (po 1000 arba 1200 mg per parą) derinio efektyvumas su peginterferono alfa-2a monoterapijos arba kombinuoto gydymo interferonu alfa-2b ir ribavirinu efektyvumu. </w:t>
      </w:r>
      <w:r w:rsidRPr="00F622AC">
        <w:rPr>
          <w:rFonts w:ascii="Times New Roman" w:eastAsia="Calibri" w:hAnsi="Times New Roman" w:cs="Times New Roman"/>
          <w:lang w:val="en-US"/>
        </w:rPr>
        <w:t>Nustatyta, kad peginterferono alfa-2a ir Copegus derinys buvo ryškiai efektyvesnis negu interferono alfa-2b ir ribavirino derinys arba peginterferono alfa-2a monoterapija.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Atliekant NV15942 tyrimą (gydyti 1 284 pacientai), palygintas dviejų gydymo trukmių (24 savaičių ir 48 savaičių) ir dviejų Copegus dozavimo (po 800 mg ir 1000/1200 mg) režimų veiksmingumas.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Apie HCV monoinfekuotų ir ŽIV-HVC koinfekuotų pacientų gydymo režimus, gydymo trukmę ir tyrimo rezultatus žiūrėkite atitinkamai 5, 6, 7 ir 13 lenteles. Virusologinis atsakas apibūdinamas kaip būklė, kai matuojant COBAS AMPLICOR</w:t>
      </w:r>
      <w:r w:rsidRPr="00F622AC">
        <w:rPr>
          <w:rFonts w:ascii="Times New Roman" w:eastAsia="Calibri" w:hAnsi="Times New Roman" w:cs="Times New Roman"/>
          <w:vertAlign w:val="superscript"/>
        </w:rPr>
        <w:t>TM</w:t>
      </w:r>
      <w:r w:rsidRPr="00F622AC">
        <w:rPr>
          <w:rFonts w:ascii="Times New Roman" w:eastAsia="Calibri" w:hAnsi="Times New Roman" w:cs="Times New Roman"/>
        </w:rPr>
        <w:t xml:space="preserve"> HCV testu, 2,0 variantu (susekimo ribos 100 kopijų/ml, </w:t>
      </w:r>
      <w:r w:rsidRPr="00F622AC">
        <w:rPr>
          <w:rFonts w:ascii="Times New Roman" w:eastAsia="Calibri" w:hAnsi="Times New Roman" w:cs="Times New Roman"/>
        </w:rPr>
        <w:lastRenderedPageBreak/>
        <w:t>ekvivalentiškų 50 tarptautinių vienetų/ml), HCV RNR neberandama, o ilgalaikis atsakas – kai praėjus maždaug 6 mėnesiams nuo gydymo pabaigos, vienas mėginys būna neigiamas.</w:t>
      </w:r>
    </w:p>
    <w:p w:rsidR="00F622AC" w:rsidRPr="00F622AC" w:rsidRDefault="00F622AC" w:rsidP="00F622AC">
      <w:pPr>
        <w:tabs>
          <w:tab w:val="left" w:pos="567"/>
        </w:tabs>
        <w:spacing w:after="0" w:line="240" w:lineRule="auto"/>
        <w:rPr>
          <w:rFonts w:ascii="Times New Roman" w:eastAsia="Calibri" w:hAnsi="Times New Roman" w:cs="Times New Roman"/>
        </w:rPr>
      </w:pPr>
    </w:p>
    <w:tbl>
      <w:tblPr>
        <w:tblW w:w="5000" w:type="pct"/>
        <w:tblLayout w:type="fixed"/>
        <w:tblLook w:val="0000" w:firstRow="0" w:lastRow="0" w:firstColumn="0" w:lastColumn="0" w:noHBand="0" w:noVBand="0"/>
      </w:tblPr>
      <w:tblGrid>
        <w:gridCol w:w="1951"/>
        <w:gridCol w:w="2508"/>
        <w:gridCol w:w="2370"/>
        <w:gridCol w:w="2231"/>
      </w:tblGrid>
      <w:tr w:rsidR="00F622AC" w:rsidRPr="00F622AC" w:rsidTr="002A1D7B">
        <w:trPr>
          <w:trHeight w:val="350"/>
        </w:trPr>
        <w:tc>
          <w:tcPr>
            <w:tcW w:w="5000" w:type="pct"/>
            <w:gridSpan w:val="4"/>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ind w:left="1080" w:hanging="1080"/>
              <w:rPr>
                <w:rFonts w:ascii="Times New Roman" w:eastAsia="Calibri" w:hAnsi="Times New Roman" w:cs="Times New Roman"/>
                <w:b/>
                <w:color w:val="000000"/>
              </w:rPr>
            </w:pPr>
            <w:r w:rsidRPr="00F622AC">
              <w:rPr>
                <w:rFonts w:ascii="Times New Roman" w:eastAsia="Calibri" w:hAnsi="Times New Roman" w:cs="Times New Roman"/>
                <w:b/>
              </w:rPr>
              <w:t>5 lentelė.</w:t>
            </w:r>
            <w:r w:rsidRPr="00F622AC">
              <w:rPr>
                <w:rFonts w:ascii="Times New Roman" w:eastAsia="Calibri" w:hAnsi="Times New Roman" w:cs="Times New Roman"/>
                <w:b/>
              </w:rPr>
              <w:tab/>
              <w:t>Visos populiacijos (įskaitant nesergančius ir sergančius kepenų ciroze pacientus) virusologinis atsakas</w:t>
            </w:r>
          </w:p>
        </w:tc>
      </w:tr>
      <w:tr w:rsidR="00F622AC" w:rsidRPr="00F622AC" w:rsidTr="002A1D7B">
        <w:trPr>
          <w:trHeight w:val="350"/>
        </w:trPr>
        <w:tc>
          <w:tcPr>
            <w:tcW w:w="1077"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rPr>
                <w:rFonts w:ascii="Times New Roman" w:eastAsia="Calibri" w:hAnsi="Times New Roman" w:cs="Times New Roman"/>
              </w:rPr>
            </w:pPr>
          </w:p>
        </w:tc>
        <w:tc>
          <w:tcPr>
            <w:tcW w:w="1384"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color w:val="000000"/>
              </w:rPr>
              <w:t xml:space="preserve"> NV15942 tyrimas</w:t>
            </w:r>
          </w:p>
        </w:tc>
        <w:tc>
          <w:tcPr>
            <w:tcW w:w="2539" w:type="pct"/>
            <w:gridSpan w:val="2"/>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 xml:space="preserve"> NV15801 tyrimas</w:t>
            </w:r>
          </w:p>
          <w:p w:rsidR="00F622AC" w:rsidRPr="00F622AC" w:rsidRDefault="00F622AC" w:rsidP="00F622AC">
            <w:pPr>
              <w:keepNext/>
              <w:tabs>
                <w:tab w:val="left" w:pos="567"/>
              </w:tabs>
              <w:spacing w:after="0" w:line="240" w:lineRule="auto"/>
              <w:rPr>
                <w:rFonts w:ascii="Times New Roman" w:eastAsia="Calibri" w:hAnsi="Times New Roman" w:cs="Times New Roman"/>
                <w:b/>
              </w:rPr>
            </w:pPr>
          </w:p>
        </w:tc>
      </w:tr>
      <w:tr w:rsidR="00F622AC" w:rsidRPr="00F622AC" w:rsidTr="002A1D7B">
        <w:tc>
          <w:tcPr>
            <w:tcW w:w="1077"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rPr>
            </w:pPr>
          </w:p>
        </w:tc>
        <w:tc>
          <w:tcPr>
            <w:tcW w:w="1384"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Copegus</w:t>
            </w:r>
          </w:p>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1000/1200</w:t>
            </w:r>
            <w:r w:rsidRPr="00F622AC">
              <w:rPr>
                <w:rFonts w:ascii="Times New Roman" w:eastAsia="Calibri" w:hAnsi="Times New Roman" w:cs="Times New Roman"/>
              </w:rPr>
              <w:t> </w:t>
            </w:r>
            <w:r w:rsidRPr="00F622AC">
              <w:rPr>
                <w:rFonts w:ascii="Times New Roman" w:eastAsia="Calibri" w:hAnsi="Times New Roman" w:cs="Times New Roman"/>
                <w:color w:val="000000"/>
              </w:rPr>
              <w:t>mg</w:t>
            </w:r>
          </w:p>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ir</w:t>
            </w:r>
          </w:p>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rPr>
              <w:t>peginterferonas alfa-2a</w:t>
            </w:r>
          </w:p>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180</w:t>
            </w:r>
            <w:r w:rsidRPr="00F622AC">
              <w:rPr>
                <w:rFonts w:ascii="Times New Roman" w:eastAsia="Calibri" w:hAnsi="Times New Roman" w:cs="Times New Roman"/>
              </w:rPr>
              <w:t> </w:t>
            </w:r>
            <w:r w:rsidRPr="00F622AC">
              <w:rPr>
                <w:rFonts w:ascii="Times New Roman" w:eastAsia="Calibri" w:hAnsi="Times New Roman" w:cs="Times New Roman"/>
                <w:color w:val="000000"/>
              </w:rPr>
              <w:t>mkg</w:t>
            </w:r>
          </w:p>
          <w:p w:rsidR="00F622AC" w:rsidRPr="00F622AC" w:rsidRDefault="00F622AC" w:rsidP="00F622AC">
            <w:pPr>
              <w:keepNext/>
              <w:tabs>
                <w:tab w:val="left" w:pos="567"/>
              </w:tabs>
              <w:spacing w:after="0" w:line="240" w:lineRule="auto"/>
              <w:jc w:val="center"/>
              <w:rPr>
                <w:rFonts w:ascii="Times New Roman" w:eastAsia="Calibri" w:hAnsi="Times New Roman" w:cs="Times New Roman"/>
              </w:rPr>
            </w:pPr>
          </w:p>
        </w:tc>
        <w:tc>
          <w:tcPr>
            <w:tcW w:w="130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Copegus</w:t>
            </w:r>
          </w:p>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1000/1200</w:t>
            </w:r>
            <w:r w:rsidRPr="00F622AC">
              <w:rPr>
                <w:rFonts w:ascii="Times New Roman" w:eastAsia="Calibri" w:hAnsi="Times New Roman" w:cs="Times New Roman"/>
              </w:rPr>
              <w:t> </w:t>
            </w:r>
            <w:r w:rsidRPr="00F622AC">
              <w:rPr>
                <w:rFonts w:ascii="Times New Roman" w:eastAsia="Calibri" w:hAnsi="Times New Roman" w:cs="Times New Roman"/>
                <w:color w:val="000000"/>
              </w:rPr>
              <w:t>mg</w:t>
            </w:r>
          </w:p>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ir</w:t>
            </w:r>
          </w:p>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rPr>
              <w:t>peginterferonas alfa-2a</w:t>
            </w:r>
          </w:p>
          <w:p w:rsidR="00F622AC" w:rsidRPr="00F622AC" w:rsidRDefault="00F622AC" w:rsidP="00F622AC">
            <w:pPr>
              <w:keepNext/>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color w:val="000000"/>
              </w:rPr>
              <w:t>180</w:t>
            </w:r>
            <w:r w:rsidRPr="00F622AC">
              <w:rPr>
                <w:rFonts w:ascii="Times New Roman" w:eastAsia="Calibri" w:hAnsi="Times New Roman" w:cs="Times New Roman"/>
              </w:rPr>
              <w:t> </w:t>
            </w:r>
            <w:r w:rsidRPr="00F622AC">
              <w:rPr>
                <w:rFonts w:ascii="Times New Roman" w:eastAsia="Calibri" w:hAnsi="Times New Roman" w:cs="Times New Roman"/>
                <w:color w:val="000000"/>
              </w:rPr>
              <w:t>mkg</w:t>
            </w:r>
          </w:p>
        </w:tc>
        <w:tc>
          <w:tcPr>
            <w:tcW w:w="123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Ribavirinas</w:t>
            </w:r>
          </w:p>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1000/1200</w:t>
            </w:r>
            <w:r w:rsidRPr="00F622AC">
              <w:rPr>
                <w:rFonts w:ascii="Times New Roman" w:eastAsia="Calibri" w:hAnsi="Times New Roman" w:cs="Times New Roman"/>
              </w:rPr>
              <w:t> </w:t>
            </w:r>
            <w:r w:rsidRPr="00F622AC">
              <w:rPr>
                <w:rFonts w:ascii="Times New Roman" w:eastAsia="Calibri" w:hAnsi="Times New Roman" w:cs="Times New Roman"/>
                <w:color w:val="000000"/>
              </w:rPr>
              <w:t>mg</w:t>
            </w:r>
          </w:p>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 xml:space="preserve">ir </w:t>
            </w:r>
          </w:p>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interferonas alfa-2b</w:t>
            </w:r>
          </w:p>
          <w:p w:rsidR="00F622AC" w:rsidRPr="00F622AC" w:rsidRDefault="00F622AC" w:rsidP="00F622AC">
            <w:pPr>
              <w:keepNext/>
              <w:tabs>
                <w:tab w:val="left" w:pos="567"/>
              </w:tabs>
              <w:spacing w:after="0" w:line="240" w:lineRule="auto"/>
              <w:jc w:val="center"/>
              <w:rPr>
                <w:rFonts w:ascii="Times New Roman" w:eastAsia="Calibri" w:hAnsi="Times New Roman" w:cs="Times New Roman"/>
              </w:rPr>
            </w:pPr>
            <w:r w:rsidRPr="00F622AC">
              <w:rPr>
                <w:rFonts w:ascii="Times New Roman" w:eastAsia="Calibri" w:hAnsi="Times New Roman" w:cs="Times New Roman"/>
                <w:color w:val="000000"/>
              </w:rPr>
              <w:t>3</w:t>
            </w:r>
            <w:r w:rsidRPr="00F622AC">
              <w:rPr>
                <w:rFonts w:ascii="Times New Roman" w:eastAsia="Calibri" w:hAnsi="Times New Roman" w:cs="Times New Roman"/>
              </w:rPr>
              <w:t> </w:t>
            </w:r>
            <w:r w:rsidRPr="00F622AC">
              <w:rPr>
                <w:rFonts w:ascii="Times New Roman" w:eastAsia="Calibri" w:hAnsi="Times New Roman" w:cs="Times New Roman"/>
                <w:color w:val="000000"/>
              </w:rPr>
              <w:t>milijonai TV</w:t>
            </w:r>
          </w:p>
        </w:tc>
      </w:tr>
      <w:tr w:rsidR="00F622AC" w:rsidRPr="00F622AC" w:rsidTr="002A1D7B">
        <w:tc>
          <w:tcPr>
            <w:tcW w:w="1077"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rPr>
            </w:pPr>
          </w:p>
        </w:tc>
        <w:tc>
          <w:tcPr>
            <w:tcW w:w="1384"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(N = 436)</w:t>
            </w:r>
          </w:p>
          <w:p w:rsidR="00F622AC" w:rsidRPr="00F622AC" w:rsidRDefault="00F622AC" w:rsidP="00F622AC">
            <w:pPr>
              <w:keepNext/>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color w:val="000000"/>
              </w:rPr>
              <w:t>48 savaitės</w:t>
            </w:r>
          </w:p>
        </w:tc>
        <w:tc>
          <w:tcPr>
            <w:tcW w:w="130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(N = 453)</w:t>
            </w:r>
          </w:p>
          <w:p w:rsidR="00F622AC" w:rsidRPr="00F622AC" w:rsidRDefault="00F622AC" w:rsidP="00F622AC">
            <w:pPr>
              <w:keepNext/>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color w:val="000000"/>
              </w:rPr>
              <w:t>48 savaitės</w:t>
            </w:r>
          </w:p>
        </w:tc>
        <w:tc>
          <w:tcPr>
            <w:tcW w:w="123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(N = 444)</w:t>
            </w:r>
          </w:p>
          <w:p w:rsidR="00F622AC" w:rsidRPr="00F622AC" w:rsidRDefault="00F622AC" w:rsidP="00F622AC">
            <w:pPr>
              <w:keepNext/>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color w:val="000000"/>
              </w:rPr>
              <w:t>48 savaitės</w:t>
            </w:r>
          </w:p>
        </w:tc>
      </w:tr>
      <w:tr w:rsidR="00F622AC" w:rsidRPr="00F622AC" w:rsidTr="002A1D7B">
        <w:tc>
          <w:tcPr>
            <w:tcW w:w="1077"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rPr>
            </w:pPr>
            <w:r w:rsidRPr="00F622AC">
              <w:rPr>
                <w:rFonts w:ascii="Times New Roman" w:eastAsia="Calibri" w:hAnsi="Times New Roman" w:cs="Times New Roman"/>
              </w:rPr>
              <w:t>Atsakas baigus gydyti</w:t>
            </w:r>
          </w:p>
        </w:tc>
        <w:tc>
          <w:tcPr>
            <w:tcW w:w="1384"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68 %</w:t>
            </w:r>
          </w:p>
        </w:tc>
        <w:tc>
          <w:tcPr>
            <w:tcW w:w="130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69 %</w:t>
            </w:r>
          </w:p>
        </w:tc>
        <w:tc>
          <w:tcPr>
            <w:tcW w:w="123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color w:val="000000"/>
              </w:rPr>
              <w:t>52 %</w:t>
            </w:r>
          </w:p>
        </w:tc>
      </w:tr>
      <w:tr w:rsidR="00F622AC" w:rsidRPr="00F622AC" w:rsidTr="002A1D7B">
        <w:tc>
          <w:tcPr>
            <w:tcW w:w="1077"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rPr>
            </w:pPr>
            <w:r w:rsidRPr="00F622AC">
              <w:rPr>
                <w:rFonts w:ascii="Times New Roman" w:eastAsia="Calibri" w:hAnsi="Times New Roman" w:cs="Times New Roman"/>
              </w:rPr>
              <w:t>Bendrasis tvarus atsakas</w:t>
            </w:r>
          </w:p>
        </w:tc>
        <w:tc>
          <w:tcPr>
            <w:tcW w:w="1384"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color w:val="000000"/>
              </w:rPr>
              <w:t>63 %</w:t>
            </w:r>
          </w:p>
        </w:tc>
        <w:tc>
          <w:tcPr>
            <w:tcW w:w="130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54 %*</w:t>
            </w:r>
          </w:p>
        </w:tc>
        <w:tc>
          <w:tcPr>
            <w:tcW w:w="123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color w:val="000000"/>
              </w:rPr>
              <w:t>45 %*</w:t>
            </w:r>
          </w:p>
        </w:tc>
      </w:tr>
      <w:tr w:rsidR="00F622AC" w:rsidRPr="00F622AC" w:rsidTr="002A1D7B">
        <w:tc>
          <w:tcPr>
            <w:tcW w:w="5000" w:type="pct"/>
            <w:gridSpan w:val="4"/>
            <w:tcBorders>
              <w:top w:val="single" w:sz="4" w:space="0" w:color="auto"/>
            </w:tcBorders>
          </w:tcPr>
          <w:p w:rsidR="00F622AC" w:rsidRPr="00F622AC" w:rsidRDefault="00F622AC" w:rsidP="00F622AC">
            <w:pPr>
              <w:keepNext/>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 xml:space="preserve">*skirtumo 95 % pasikliautinasis intervalas - nuo 3 % iki 16 % , p reikšmė (stratifikuotas </w:t>
            </w:r>
            <w:r w:rsidRPr="00F622AC">
              <w:rPr>
                <w:rFonts w:ascii="Times New Roman" w:eastAsia="Calibri" w:hAnsi="Times New Roman" w:cs="Times New Roman"/>
                <w:i/>
                <w:lang w:val="en-US"/>
              </w:rPr>
              <w:t>Cochran-Mantel-Haenszel</w:t>
            </w:r>
            <w:r w:rsidRPr="00F622AC">
              <w:rPr>
                <w:rFonts w:ascii="Times New Roman" w:eastAsia="Calibri" w:hAnsi="Times New Roman" w:cs="Times New Roman"/>
                <w:lang w:val="en-US"/>
              </w:rPr>
              <w:t xml:space="preserve"> testas) = 0,003</w:t>
            </w:r>
          </w:p>
        </w:tc>
      </w:tr>
    </w:tbl>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HCV monoinfekuotų pacientų, gydytų Copegus ir peginterferono alfa-2a deriniu, virusologinio atsako, atsižvelgiant į genotipą ir prieš gydymą esančią viremiją, taip pat atsižvelgiant į genotipą, prieš gydymą esančią viremiją ir greitą virusologinį atsaką 4</w:t>
      </w:r>
      <w:r w:rsidRPr="00F622AC">
        <w:rPr>
          <w:rFonts w:ascii="Times New Roman" w:eastAsia="Calibri" w:hAnsi="Times New Roman" w:cs="Times New Roman"/>
        </w:rPr>
        <w:noBreakHyphen/>
        <w:t>ąją savaitę, apibendrinimas pateiktas, atitinkamai, 6 ir 7 lentelėje. NV15942 tyrimo rezultatai suteikia loginį pagrindą rekomenduojamiems gydymo, atsižvelgiant į genotipą, pradinę viremiją ir virusologinį atsaką 4</w:t>
      </w:r>
      <w:r w:rsidRPr="00F622AC">
        <w:rPr>
          <w:rFonts w:ascii="Times New Roman" w:eastAsia="Calibri" w:hAnsi="Times New Roman" w:cs="Times New Roman"/>
        </w:rPr>
        <w:noBreakHyphen/>
        <w:t>ąją savaitę, režimams (žr. 1, 6 ir 7 lenteles).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Esanti arba nesanti cirozė apskritai neturėjo įtakos gydymo režimų skirtumui; dėl to, kai yra 1, 2 ar 3 virusų genotipas, gydymo rekomendacijos nuo šios charakteristikos pradinio lygmens nepriklauso.</w:t>
      </w:r>
    </w:p>
    <w:p w:rsidR="00F622AC" w:rsidRPr="00F622AC" w:rsidRDefault="00F622AC" w:rsidP="00F622AC">
      <w:pPr>
        <w:tabs>
          <w:tab w:val="left" w:pos="567"/>
        </w:tabs>
        <w:spacing w:after="0" w:line="240" w:lineRule="auto"/>
        <w:rPr>
          <w:rFonts w:ascii="Times New Roman" w:eastAsia="Calibri" w:hAnsi="Times New Roman" w:cs="Times New Roman"/>
        </w:rPr>
      </w:pPr>
    </w:p>
    <w:tbl>
      <w:tblPr>
        <w:tblW w:w="5019" w:type="pct"/>
        <w:tblLayout w:type="fixed"/>
        <w:tblLook w:val="0000" w:firstRow="0" w:lastRow="0" w:firstColumn="0" w:lastColumn="0" w:noHBand="0" w:noVBand="0"/>
      </w:tblPr>
      <w:tblGrid>
        <w:gridCol w:w="1390"/>
        <w:gridCol w:w="1210"/>
        <w:gridCol w:w="1235"/>
        <w:gridCol w:w="1251"/>
        <w:gridCol w:w="1350"/>
        <w:gridCol w:w="1239"/>
        <w:gridCol w:w="1419"/>
      </w:tblGrid>
      <w:tr w:rsidR="00F622AC" w:rsidRPr="00F622AC" w:rsidTr="002A1D7B">
        <w:tc>
          <w:tcPr>
            <w:tcW w:w="5000" w:type="pct"/>
            <w:gridSpan w:val="7"/>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ind w:left="999" w:hanging="999"/>
              <w:rPr>
                <w:rFonts w:ascii="Times New Roman" w:eastAsia="Calibri" w:hAnsi="Times New Roman" w:cs="Times New Roman"/>
                <w:b/>
                <w:color w:val="000000"/>
              </w:rPr>
            </w:pPr>
            <w:r w:rsidRPr="00F622AC">
              <w:rPr>
                <w:rFonts w:ascii="Times New Roman" w:eastAsia="Calibri" w:hAnsi="Times New Roman" w:cs="Times New Roman"/>
                <w:b/>
              </w:rPr>
              <w:lastRenderedPageBreak/>
              <w:t>6 lentelė.</w:t>
            </w:r>
            <w:r w:rsidRPr="00F622AC">
              <w:rPr>
                <w:rFonts w:ascii="Times New Roman" w:eastAsia="Calibri" w:hAnsi="Times New Roman" w:cs="Times New Roman"/>
                <w:b/>
              </w:rPr>
              <w:tab/>
              <w:t>Ilgalaikis virusologinis atsakas, atsižvelgiant į genotipą ir prieš gydymą esančios viremijos dydį, po gydymo Copegus ir peginterferono alfa-2a deriniu</w:t>
            </w:r>
          </w:p>
        </w:tc>
      </w:tr>
      <w:tr w:rsidR="00F622AC" w:rsidRPr="00F622AC" w:rsidTr="002A1D7B">
        <w:tc>
          <w:tcPr>
            <w:tcW w:w="7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rPr>
            </w:pPr>
          </w:p>
        </w:tc>
        <w:tc>
          <w:tcPr>
            <w:tcW w:w="2774" w:type="pct"/>
            <w:gridSpan w:val="4"/>
            <w:tcBorders>
              <w:top w:val="single" w:sz="4" w:space="0" w:color="auto"/>
              <w:left w:val="single" w:sz="4" w:space="0" w:color="auto"/>
              <w:bottom w:val="single" w:sz="4" w:space="0" w:color="auto"/>
              <w:right w:val="single" w:sz="4" w:space="0" w:color="auto"/>
            </w:tcBorders>
          </w:tcPr>
          <w:p w:rsidR="00F622AC" w:rsidRPr="00F622AC" w:rsidRDefault="00F622AC" w:rsidP="00F622AC">
            <w:pPr>
              <w:tabs>
                <w:tab w:val="left" w:pos="567"/>
              </w:tabs>
              <w:spacing w:after="0" w:line="240" w:lineRule="auto"/>
              <w:jc w:val="center"/>
              <w:outlineLvl w:val="8"/>
              <w:rPr>
                <w:rFonts w:ascii="Times New Roman" w:eastAsia="Calibri" w:hAnsi="Times New Roman" w:cs="Times New Roman"/>
                <w:b/>
                <w:lang w:eastAsia="lt-LT"/>
              </w:rPr>
            </w:pPr>
            <w:r w:rsidRPr="00F622AC">
              <w:rPr>
                <w:rFonts w:ascii="Times New Roman" w:eastAsia="Calibri" w:hAnsi="Times New Roman" w:cs="Times New Roman"/>
                <w:b/>
              </w:rPr>
              <w:t>NV15942 tyrimas</w:t>
            </w:r>
          </w:p>
        </w:tc>
        <w:tc>
          <w:tcPr>
            <w:tcW w:w="1461" w:type="pct"/>
            <w:gridSpan w:val="2"/>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NV15801 tyrimas</w:t>
            </w:r>
          </w:p>
        </w:tc>
      </w:tr>
      <w:tr w:rsidR="00F622AC" w:rsidRPr="00F622AC" w:rsidTr="002A1D7B">
        <w:tc>
          <w:tcPr>
            <w:tcW w:w="7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rPr>
            </w:pP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b/>
                <w:color w:val="000000"/>
              </w:rPr>
              <w:t>Copegus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800</w:t>
            </w:r>
            <w:r w:rsidRPr="00F622AC">
              <w:rPr>
                <w:rFonts w:ascii="Times New Roman" w:eastAsia="Calibri" w:hAnsi="Times New Roman" w:cs="Times New Roman"/>
              </w:rPr>
              <w:t> </w:t>
            </w:r>
            <w:r w:rsidRPr="00F622AC">
              <w:rPr>
                <w:rFonts w:ascii="Times New Roman" w:eastAsia="Calibri" w:hAnsi="Times New Roman" w:cs="Times New Roman"/>
                <w:color w:val="000000"/>
              </w:rPr>
              <w:t>mg</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rPr>
            </w:pP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ir</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PEG-IFN alfa-2a</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180</w:t>
            </w:r>
            <w:r w:rsidRPr="00F622AC">
              <w:rPr>
                <w:rFonts w:ascii="Times New Roman" w:eastAsia="Calibri" w:hAnsi="Times New Roman" w:cs="Times New Roman"/>
              </w:rPr>
              <w:t> </w:t>
            </w:r>
            <w:r w:rsidRPr="00F622AC">
              <w:rPr>
                <w:rFonts w:ascii="Times New Roman" w:eastAsia="Calibri" w:hAnsi="Times New Roman" w:cs="Times New Roman"/>
                <w:color w:val="000000"/>
              </w:rPr>
              <w:t>mkg</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rPr>
            </w:pP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color w:val="000000"/>
              </w:rPr>
              <w:t>24 savaitės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rPr>
            </w:pPr>
          </w:p>
        </w:tc>
        <w:tc>
          <w:tcPr>
            <w:tcW w:w="67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Copegus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1000/ 1200 mg</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ir</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PEG-IFN alfa-2a</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180</w:t>
            </w:r>
            <w:r w:rsidRPr="00F622AC">
              <w:rPr>
                <w:rFonts w:ascii="Times New Roman" w:eastAsia="Calibri" w:hAnsi="Times New Roman" w:cs="Times New Roman"/>
              </w:rPr>
              <w:t> mk</w:t>
            </w:r>
            <w:r w:rsidRPr="00F622AC">
              <w:rPr>
                <w:rFonts w:ascii="Times New Roman" w:eastAsia="Calibri" w:hAnsi="Times New Roman" w:cs="Times New Roman"/>
                <w:color w:val="000000"/>
                <w:lang w:val="en-US"/>
              </w:rPr>
              <w:t>g</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rPr>
            </w:pP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color w:val="000000"/>
              </w:rPr>
              <w:t>24 savaitės</w:t>
            </w:r>
          </w:p>
        </w:tc>
        <w:tc>
          <w:tcPr>
            <w:tcW w:w="68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b/>
                <w:color w:val="000000"/>
              </w:rPr>
              <w:t>Copegus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800</w:t>
            </w:r>
            <w:r w:rsidRPr="00F622AC">
              <w:rPr>
                <w:rFonts w:ascii="Times New Roman" w:eastAsia="Calibri" w:hAnsi="Times New Roman" w:cs="Times New Roman"/>
              </w:rPr>
              <w:t> </w:t>
            </w:r>
            <w:r w:rsidRPr="00F622AC">
              <w:rPr>
                <w:rFonts w:ascii="Times New Roman" w:eastAsia="Calibri" w:hAnsi="Times New Roman" w:cs="Times New Roman"/>
                <w:color w:val="000000"/>
              </w:rPr>
              <w:t>mg</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rPr>
            </w:pP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ir</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PEG-IFN alfa-2a</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180</w:t>
            </w:r>
            <w:r w:rsidRPr="00F622AC">
              <w:rPr>
                <w:rFonts w:ascii="Times New Roman" w:eastAsia="Calibri" w:hAnsi="Times New Roman" w:cs="Times New Roman"/>
              </w:rPr>
              <w:t> </w:t>
            </w:r>
            <w:r w:rsidRPr="00F622AC">
              <w:rPr>
                <w:rFonts w:ascii="Times New Roman" w:eastAsia="Calibri" w:hAnsi="Times New Roman" w:cs="Times New Roman"/>
                <w:color w:val="000000"/>
              </w:rPr>
              <w:t>mkg</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rPr>
            </w:pP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48 savaitės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rPr>
            </w:pPr>
          </w:p>
        </w:tc>
        <w:tc>
          <w:tcPr>
            <w:tcW w:w="742"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Copegus</w:t>
            </w:r>
          </w:p>
          <w:p w:rsidR="00F622AC" w:rsidRPr="00F622AC" w:rsidRDefault="00F622AC" w:rsidP="00F622AC">
            <w:pPr>
              <w:keepNext/>
              <w:keepLine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1000/1200 mg</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ir</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 xml:space="preserve">PEG-IFN </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alfa-2a</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180</w:t>
            </w:r>
            <w:r w:rsidRPr="00F622AC">
              <w:rPr>
                <w:rFonts w:ascii="Times New Roman" w:eastAsia="Calibri" w:hAnsi="Times New Roman" w:cs="Times New Roman"/>
              </w:rPr>
              <w:t> </w:t>
            </w:r>
            <w:r w:rsidRPr="00F622AC">
              <w:rPr>
                <w:rFonts w:ascii="Times New Roman" w:eastAsia="Calibri" w:hAnsi="Times New Roman" w:cs="Times New Roman"/>
                <w:color w:val="000000"/>
              </w:rPr>
              <w:t>mkg</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rPr>
            </w:pP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48 savaitės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rPr>
            </w:pPr>
          </w:p>
        </w:tc>
        <w:tc>
          <w:tcPr>
            <w:tcW w:w="68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Copegus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1000/ 1200 mg</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ir</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PEG-IFN alfa-2a</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color w:val="000000"/>
              </w:rPr>
              <w:t>180</w:t>
            </w:r>
            <w:r w:rsidRPr="00F622AC">
              <w:rPr>
                <w:rFonts w:ascii="Times New Roman" w:eastAsia="Calibri" w:hAnsi="Times New Roman" w:cs="Times New Roman"/>
              </w:rPr>
              <w:t> </w:t>
            </w:r>
            <w:r w:rsidRPr="00F622AC">
              <w:rPr>
                <w:rFonts w:ascii="Times New Roman" w:eastAsia="Calibri" w:hAnsi="Times New Roman" w:cs="Times New Roman"/>
                <w:color w:val="000000"/>
              </w:rPr>
              <w:t>mkg</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rPr>
            </w:pP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48 savaitės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rPr>
            </w:pPr>
          </w:p>
        </w:tc>
        <w:tc>
          <w:tcPr>
            <w:tcW w:w="77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Ribavirinas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1000/1200</w:t>
            </w:r>
            <w:r w:rsidRPr="00F622AC">
              <w:rPr>
                <w:rFonts w:ascii="Times New Roman" w:eastAsia="Calibri" w:hAnsi="Times New Roman" w:cs="Times New Roman"/>
              </w:rPr>
              <w:t> </w:t>
            </w:r>
            <w:r w:rsidRPr="00F622AC">
              <w:rPr>
                <w:rFonts w:ascii="Times New Roman" w:eastAsia="Calibri" w:hAnsi="Times New Roman" w:cs="Times New Roman"/>
                <w:color w:val="000000"/>
              </w:rPr>
              <w:t>mg</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rPr>
            </w:pP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ir</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interferonas</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alfa-2b</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rPr>
            </w:pPr>
            <w:r w:rsidRPr="00F622AC">
              <w:rPr>
                <w:rFonts w:ascii="Times New Roman" w:eastAsia="Calibri" w:hAnsi="Times New Roman" w:cs="Times New Roman"/>
                <w:color w:val="000000"/>
              </w:rPr>
              <w:t>3</w:t>
            </w:r>
            <w:r w:rsidRPr="00F622AC">
              <w:rPr>
                <w:rFonts w:ascii="Times New Roman" w:eastAsia="Calibri" w:hAnsi="Times New Roman" w:cs="Times New Roman"/>
              </w:rPr>
              <w:t> mln</w:t>
            </w:r>
            <w:r w:rsidRPr="00F622AC">
              <w:rPr>
                <w:rFonts w:ascii="Times New Roman" w:eastAsia="Calibri" w:hAnsi="Times New Roman" w:cs="Times New Roman"/>
                <w:color w:val="000000"/>
                <w:lang w:val="en-US"/>
              </w:rPr>
              <w:t xml:space="preserve"> TV</w:t>
            </w: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rPr>
            </w:pPr>
          </w:p>
          <w:p w:rsidR="00F622AC" w:rsidRPr="00F622AC" w:rsidRDefault="00F622AC" w:rsidP="00F622AC">
            <w:pPr>
              <w:keepNext/>
              <w:keepLines/>
              <w:tabs>
                <w:tab w:val="left" w:pos="567"/>
              </w:tabs>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48 savaitės</w:t>
            </w:r>
          </w:p>
          <w:p w:rsidR="00F622AC" w:rsidRPr="00F622AC" w:rsidRDefault="00F622AC" w:rsidP="00F622AC">
            <w:pPr>
              <w:keepNext/>
              <w:keepLines/>
              <w:tabs>
                <w:tab w:val="left" w:pos="567"/>
              </w:tabs>
              <w:spacing w:after="0" w:line="240" w:lineRule="auto"/>
              <w:ind w:firstLine="34"/>
              <w:jc w:val="center"/>
              <w:rPr>
                <w:rFonts w:ascii="Times New Roman" w:eastAsia="Calibri" w:hAnsi="Times New Roman" w:cs="Times New Roman"/>
                <w:b/>
              </w:rPr>
            </w:pPr>
          </w:p>
        </w:tc>
      </w:tr>
      <w:tr w:rsidR="00F622AC" w:rsidRPr="00F622AC" w:rsidTr="002A1D7B">
        <w:tc>
          <w:tcPr>
            <w:tcW w:w="7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b/>
              </w:rPr>
            </w:pPr>
            <w:r w:rsidRPr="00F622AC">
              <w:rPr>
                <w:rFonts w:ascii="Times New Roman" w:eastAsia="Calibri" w:hAnsi="Times New Roman" w:cs="Times New Roman"/>
                <w:b/>
              </w:rPr>
              <w:t>Genotipas 1</w:t>
            </w:r>
          </w:p>
          <w:p w:rsidR="00F622AC" w:rsidRPr="00F622AC" w:rsidRDefault="00F622AC" w:rsidP="00F622AC">
            <w:pPr>
              <w:keepNext/>
              <w:keepLines/>
              <w:tabs>
                <w:tab w:val="left" w:pos="567"/>
              </w:tabs>
              <w:spacing w:after="0" w:line="240" w:lineRule="auto"/>
              <w:rPr>
                <w:rFonts w:ascii="Times New Roman" w:eastAsia="Calibri" w:hAnsi="Times New Roman" w:cs="Times New Roman"/>
                <w:b/>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Neryški viremija</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Ryški viremija</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29 % (29/101)</w:t>
            </w: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41 % (21/51)</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16 % (8/50)</w:t>
            </w:r>
          </w:p>
        </w:tc>
        <w:tc>
          <w:tcPr>
            <w:tcW w:w="67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42 % (49/118)</w:t>
            </w:r>
            <w:r w:rsidRPr="00F622AC">
              <w:rPr>
                <w:rFonts w:ascii="Times New Roman" w:eastAsia="Calibri" w:hAnsi="Times New Roman" w:cs="Times New Roman"/>
                <w:color w:val="000000"/>
              </w:rPr>
              <w:t>†</w:t>
            </w: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52 % (37/71)</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26 % (12/47)</w:t>
            </w:r>
          </w:p>
        </w:tc>
        <w:tc>
          <w:tcPr>
            <w:tcW w:w="68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41 % (102/250)*</w:t>
            </w: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55 % (33/60)</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36 %</w:t>
            </w: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(69/190)</w:t>
            </w:r>
          </w:p>
        </w:tc>
        <w:tc>
          <w:tcPr>
            <w:tcW w:w="742"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b/>
              </w:rPr>
              <w:t>52 %</w:t>
            </w:r>
            <w:r w:rsidRPr="00F622AC">
              <w:rPr>
                <w:rFonts w:ascii="Times New Roman" w:eastAsia="Calibri" w:hAnsi="Times New Roman" w:cs="Times New Roman"/>
              </w:rPr>
              <w:t xml:space="preserve"> (142/271)*</w:t>
            </w:r>
            <w:r w:rsidRPr="00F622AC">
              <w:rPr>
                <w:rFonts w:ascii="Times New Roman" w:eastAsia="Calibri" w:hAnsi="Times New Roman" w:cs="Times New Roman"/>
                <w:color w:val="000000"/>
                <w:lang w:val="en-US"/>
              </w:rPr>
              <w:t>†</w:t>
            </w: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b/>
              </w:rPr>
              <w:t>65 %</w:t>
            </w:r>
            <w:r w:rsidRPr="00F622AC">
              <w:rPr>
                <w:rFonts w:ascii="Times New Roman" w:eastAsia="Calibri" w:hAnsi="Times New Roman" w:cs="Times New Roman"/>
              </w:rPr>
              <w:t xml:space="preserve"> (55/85)</w:t>
            </w:r>
          </w:p>
          <w:p w:rsidR="00F622AC" w:rsidRPr="00F622AC" w:rsidRDefault="00F622AC" w:rsidP="00F622AC">
            <w:pPr>
              <w:keepNext/>
              <w:keepLines/>
              <w:tabs>
                <w:tab w:val="left" w:pos="567"/>
              </w:tabs>
              <w:spacing w:after="0" w:line="240" w:lineRule="auto"/>
              <w:rPr>
                <w:rFonts w:ascii="Times New Roman" w:eastAsia="Calibri" w:hAnsi="Times New Roman" w:cs="Times New Roman"/>
                <w:b/>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b/>
              </w:rPr>
              <w:t>47 %</w:t>
            </w:r>
            <w:r w:rsidRPr="00F622AC">
              <w:rPr>
                <w:rFonts w:ascii="Times New Roman" w:eastAsia="Calibri" w:hAnsi="Times New Roman" w:cs="Times New Roman"/>
              </w:rPr>
              <w:t xml:space="preserve"> (87/186)</w:t>
            </w:r>
          </w:p>
        </w:tc>
        <w:tc>
          <w:tcPr>
            <w:tcW w:w="68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45 % (134/298)</w:t>
            </w: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53 % (61/115)</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40 % (73/182)</w:t>
            </w:r>
          </w:p>
        </w:tc>
        <w:tc>
          <w:tcPr>
            <w:tcW w:w="77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36 % (103/285)</w:t>
            </w: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44 % (41/94)</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33 % (62/189)</w:t>
            </w:r>
          </w:p>
        </w:tc>
      </w:tr>
      <w:tr w:rsidR="00F622AC" w:rsidRPr="00F622AC" w:rsidTr="002A1D7B">
        <w:tc>
          <w:tcPr>
            <w:tcW w:w="7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b/>
              </w:rPr>
            </w:pPr>
            <w:r w:rsidRPr="00F622AC">
              <w:rPr>
                <w:rFonts w:ascii="Times New Roman" w:eastAsia="Calibri" w:hAnsi="Times New Roman" w:cs="Times New Roman"/>
                <w:b/>
              </w:rPr>
              <w:t>Genotipas 2 arba 3</w:t>
            </w:r>
          </w:p>
          <w:p w:rsidR="00F622AC" w:rsidRPr="00F622AC" w:rsidRDefault="00F622AC" w:rsidP="00F622AC">
            <w:pPr>
              <w:keepNext/>
              <w:keepLines/>
              <w:tabs>
                <w:tab w:val="left" w:pos="567"/>
              </w:tabs>
              <w:spacing w:after="0" w:line="240" w:lineRule="auto"/>
              <w:rPr>
                <w:rFonts w:ascii="Times New Roman" w:eastAsia="Calibri" w:hAnsi="Times New Roman" w:cs="Times New Roman"/>
                <w:b/>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Neryški viremija</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Ryški viremija</w:t>
            </w:r>
          </w:p>
          <w:p w:rsidR="00F622AC" w:rsidRPr="00F622AC" w:rsidRDefault="00F622AC" w:rsidP="00F622AC">
            <w:pPr>
              <w:keepNext/>
              <w:keepLines/>
              <w:tabs>
                <w:tab w:val="left" w:pos="567"/>
              </w:tabs>
              <w:spacing w:after="0" w:line="240" w:lineRule="auto"/>
              <w:rPr>
                <w:rFonts w:ascii="Times New Roman" w:eastAsia="Calibri" w:hAnsi="Times New Roman" w:cs="Times New Roman"/>
                <w:b/>
              </w:rPr>
            </w:pP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b/>
              </w:rPr>
              <w:t>84 %</w:t>
            </w:r>
            <w:r w:rsidRPr="00F622AC">
              <w:rPr>
                <w:rFonts w:ascii="Times New Roman" w:eastAsia="Calibri" w:hAnsi="Times New Roman" w:cs="Times New Roman"/>
              </w:rPr>
              <w:t xml:space="preserve"> (81/96)</w:t>
            </w:r>
          </w:p>
          <w:p w:rsidR="00F622AC" w:rsidRPr="00F622AC" w:rsidRDefault="00F622AC" w:rsidP="00F622AC">
            <w:pPr>
              <w:keepNext/>
              <w:keepLines/>
              <w:tabs>
                <w:tab w:val="left" w:pos="567"/>
              </w:tabs>
              <w:spacing w:after="0" w:line="240" w:lineRule="auto"/>
              <w:rPr>
                <w:rFonts w:ascii="Times New Roman" w:eastAsia="Calibri" w:hAnsi="Times New Roman" w:cs="Times New Roman"/>
                <w:b/>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b/>
              </w:rPr>
              <w:t>85 %</w:t>
            </w:r>
            <w:r w:rsidRPr="00F622AC">
              <w:rPr>
                <w:rFonts w:ascii="Times New Roman" w:eastAsia="Calibri" w:hAnsi="Times New Roman" w:cs="Times New Roman"/>
              </w:rPr>
              <w:t xml:space="preserve"> (29/34)</w:t>
            </w:r>
          </w:p>
          <w:p w:rsidR="00F622AC" w:rsidRPr="00F622AC" w:rsidRDefault="00F622AC" w:rsidP="00F622AC">
            <w:pPr>
              <w:keepNext/>
              <w:keepLines/>
              <w:tabs>
                <w:tab w:val="left" w:pos="567"/>
              </w:tabs>
              <w:spacing w:after="0" w:line="240" w:lineRule="auto"/>
              <w:rPr>
                <w:rFonts w:ascii="Times New Roman" w:eastAsia="Calibri" w:hAnsi="Times New Roman" w:cs="Times New Roman"/>
                <w:b/>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b/>
              </w:rPr>
              <w:t>84 %</w:t>
            </w:r>
            <w:r w:rsidRPr="00F622AC">
              <w:rPr>
                <w:rFonts w:ascii="Times New Roman" w:eastAsia="Calibri" w:hAnsi="Times New Roman" w:cs="Times New Roman"/>
              </w:rPr>
              <w:t xml:space="preserve"> (52/62)</w:t>
            </w:r>
          </w:p>
        </w:tc>
        <w:tc>
          <w:tcPr>
            <w:tcW w:w="67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81 % (117/144)</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83 % (39/47)</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80 % (78/97)</w:t>
            </w:r>
          </w:p>
        </w:tc>
        <w:tc>
          <w:tcPr>
            <w:tcW w:w="68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79 % (78/99)</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88 % (29/33)</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74 % (49/66)</w:t>
            </w:r>
          </w:p>
        </w:tc>
        <w:tc>
          <w:tcPr>
            <w:tcW w:w="742"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80 % (123/153)</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77 % (37/48)</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82 % (86/105)</w:t>
            </w:r>
          </w:p>
        </w:tc>
        <w:tc>
          <w:tcPr>
            <w:tcW w:w="68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71 % (100/140)</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76 % (28/37)</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70 % (72/103)</w:t>
            </w:r>
          </w:p>
        </w:tc>
        <w:tc>
          <w:tcPr>
            <w:tcW w:w="77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61 % (88/145)</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65 % (34/52)</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58 % (54/93)</w:t>
            </w:r>
          </w:p>
        </w:tc>
      </w:tr>
      <w:tr w:rsidR="00F622AC" w:rsidRPr="00F622AC" w:rsidTr="002A1D7B">
        <w:tc>
          <w:tcPr>
            <w:tcW w:w="7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b/>
              </w:rPr>
            </w:pPr>
            <w:r w:rsidRPr="00F622AC">
              <w:rPr>
                <w:rFonts w:ascii="Times New Roman" w:eastAsia="Calibri" w:hAnsi="Times New Roman" w:cs="Times New Roman"/>
                <w:b/>
              </w:rPr>
              <w:t>Genotipas 4</w:t>
            </w:r>
          </w:p>
          <w:p w:rsidR="00F622AC" w:rsidRPr="00F622AC" w:rsidRDefault="00F622AC" w:rsidP="00F622AC">
            <w:pPr>
              <w:keepNext/>
              <w:keepLines/>
              <w:tabs>
                <w:tab w:val="left" w:pos="567"/>
              </w:tabs>
              <w:spacing w:after="0" w:line="240" w:lineRule="auto"/>
              <w:rPr>
                <w:rFonts w:ascii="Times New Roman" w:eastAsia="Calibri" w:hAnsi="Times New Roman" w:cs="Times New Roman"/>
              </w:rPr>
            </w:pPr>
          </w:p>
        </w:tc>
        <w:tc>
          <w:tcPr>
            <w:tcW w:w="665"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0 % (0/5)</w:t>
            </w:r>
          </w:p>
        </w:tc>
        <w:tc>
          <w:tcPr>
            <w:tcW w:w="67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67 % (8/12)</w:t>
            </w:r>
          </w:p>
        </w:tc>
        <w:tc>
          <w:tcPr>
            <w:tcW w:w="688"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63 % (5/8)</w:t>
            </w:r>
          </w:p>
        </w:tc>
        <w:tc>
          <w:tcPr>
            <w:tcW w:w="742"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82 % (9/11)</w:t>
            </w:r>
          </w:p>
        </w:tc>
        <w:tc>
          <w:tcPr>
            <w:tcW w:w="681"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77 % (10/13)</w:t>
            </w:r>
          </w:p>
        </w:tc>
        <w:tc>
          <w:tcPr>
            <w:tcW w:w="779" w:type="pct"/>
            <w:tcBorders>
              <w:top w:val="single" w:sz="4" w:space="0" w:color="auto"/>
              <w:left w:val="single" w:sz="4" w:space="0" w:color="auto"/>
              <w:bottom w:val="single" w:sz="4" w:space="0" w:color="auto"/>
              <w:right w:val="single" w:sz="4" w:space="0" w:color="auto"/>
            </w:tcBorders>
          </w:tcPr>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45 % (5/11)</w:t>
            </w:r>
          </w:p>
        </w:tc>
      </w:tr>
    </w:tbl>
    <w:p w:rsidR="00F622AC" w:rsidRPr="00F622AC" w:rsidRDefault="00F622AC" w:rsidP="00F622AC">
      <w:pPr>
        <w:tabs>
          <w:tab w:val="left" w:pos="567"/>
        </w:tabs>
        <w:spacing w:after="0" w:line="240" w:lineRule="auto"/>
        <w:ind w:left="142" w:hanging="142"/>
        <w:rPr>
          <w:rFonts w:ascii="Times New Roman" w:eastAsia="Calibri" w:hAnsi="Times New Roman" w:cs="Times New Roman"/>
          <w:lang w:eastAsia="lt-LT"/>
        </w:rPr>
      </w:pPr>
      <w:r w:rsidRPr="00F622AC">
        <w:rPr>
          <w:rFonts w:ascii="Times New Roman" w:eastAsia="Calibri" w:hAnsi="Times New Roman" w:cs="Times New Roman"/>
        </w:rPr>
        <w:t>Neryški viremija = ≤ 800000 TV/ml; ryški viremija = &gt; 800000 TV/ml.</w:t>
      </w:r>
    </w:p>
    <w:p w:rsidR="00F622AC" w:rsidRPr="00F622AC" w:rsidRDefault="00F622AC" w:rsidP="00F622AC">
      <w:pPr>
        <w:tabs>
          <w:tab w:val="left" w:pos="567"/>
        </w:tabs>
        <w:spacing w:after="0" w:line="240" w:lineRule="auto"/>
        <w:ind w:left="142" w:hanging="142"/>
        <w:rPr>
          <w:rFonts w:ascii="Times New Roman" w:eastAsia="Calibri" w:hAnsi="Times New Roman" w:cs="Times New Roman"/>
          <w:lang w:eastAsia="lt-LT"/>
        </w:rPr>
      </w:pPr>
      <w:r w:rsidRPr="00F622AC">
        <w:rPr>
          <w:rFonts w:ascii="Times New Roman" w:eastAsia="Calibri" w:hAnsi="Times New Roman" w:cs="Times New Roman"/>
        </w:rPr>
        <w:t xml:space="preserve">*Copegus 1000/1200 mg + peginterferono alfa-2a 180 mkg 48 savaites, palyginti su Copegus 800 mg + peginterferono alfa-2a 180 mkg 48 savaites: pranašumo santykis (esant 95 % PI) </w:t>
      </w:r>
      <w:r w:rsidRPr="00F622AC">
        <w:rPr>
          <w:rFonts w:ascii="Times New Roman" w:eastAsia="Calibri" w:hAnsi="Times New Roman" w:cs="Times New Roman"/>
          <w:color w:val="000000"/>
        </w:rPr>
        <w:t xml:space="preserve">= 1,52 (1,07-2,17); </w:t>
      </w:r>
      <w:r w:rsidRPr="00F622AC">
        <w:rPr>
          <w:rFonts w:ascii="Times New Roman" w:eastAsia="Calibri" w:hAnsi="Times New Roman" w:cs="Times New Roman"/>
          <w:i/>
          <w:lang w:val="en-US"/>
        </w:rPr>
        <w:t>p</w:t>
      </w:r>
      <w:r w:rsidRPr="00F622AC">
        <w:rPr>
          <w:rFonts w:ascii="Times New Roman" w:eastAsia="Calibri" w:hAnsi="Times New Roman" w:cs="Times New Roman"/>
        </w:rPr>
        <w:t xml:space="preserve"> reikšmė (stratifikuotas </w:t>
      </w:r>
      <w:r w:rsidRPr="00F622AC">
        <w:rPr>
          <w:rFonts w:ascii="Times New Roman" w:eastAsia="Calibri" w:hAnsi="Times New Roman" w:cs="Times New Roman"/>
          <w:i/>
          <w:lang w:val="en-US"/>
        </w:rPr>
        <w:t>Cochran-Mantel-Haenszel</w:t>
      </w:r>
      <w:r w:rsidRPr="00F622AC">
        <w:rPr>
          <w:rFonts w:ascii="Times New Roman" w:eastAsia="Calibri" w:hAnsi="Times New Roman" w:cs="Times New Roman"/>
          <w:lang w:val="en-US"/>
        </w:rPr>
        <w:t xml:space="preserve"> testas) = 0,020.</w:t>
      </w:r>
    </w:p>
    <w:p w:rsidR="00F622AC" w:rsidRPr="00F622AC" w:rsidRDefault="00F622AC" w:rsidP="00F622AC">
      <w:pPr>
        <w:tabs>
          <w:tab w:val="left" w:pos="567"/>
        </w:tabs>
        <w:spacing w:after="0" w:line="240" w:lineRule="auto"/>
        <w:ind w:left="142" w:hanging="142"/>
        <w:rPr>
          <w:rFonts w:ascii="Times New Roman" w:eastAsia="Calibri" w:hAnsi="Times New Roman" w:cs="Times New Roman"/>
        </w:rPr>
      </w:pPr>
      <w:r w:rsidRPr="00F622AC">
        <w:rPr>
          <w:rFonts w:ascii="Times New Roman" w:eastAsia="Calibri" w:hAnsi="Times New Roman" w:cs="Times New Roman"/>
          <w:color w:val="000000"/>
        </w:rPr>
        <w:t>†</w:t>
      </w:r>
      <w:r w:rsidRPr="00F622AC">
        <w:rPr>
          <w:rFonts w:ascii="Times New Roman" w:eastAsia="Calibri" w:hAnsi="Times New Roman" w:cs="Times New Roman"/>
        </w:rPr>
        <w:t xml:space="preserve">Copegus 1000/1200 mg + peginterferono alfa-2a 180 mkg 48 savaites, palyginti su Copegus 1000/1200 mg + peginterferono alfa-2a 180 mkg 24 savaites: pranašumo santykis (esant 95 % PI) </w:t>
      </w:r>
      <w:r w:rsidRPr="00F622AC">
        <w:rPr>
          <w:rFonts w:ascii="Times New Roman" w:eastAsia="Calibri" w:hAnsi="Times New Roman" w:cs="Times New Roman"/>
          <w:color w:val="000000"/>
          <w:lang w:val="en-US"/>
        </w:rPr>
        <w:t xml:space="preserve">= 2,12 (1,30-3,46); </w:t>
      </w:r>
      <w:r w:rsidRPr="00F622AC">
        <w:rPr>
          <w:rFonts w:ascii="Times New Roman" w:eastAsia="Calibri" w:hAnsi="Times New Roman" w:cs="Times New Roman"/>
          <w:i/>
          <w:lang w:val="en-US"/>
        </w:rPr>
        <w:t>p</w:t>
      </w:r>
      <w:r w:rsidRPr="00F622AC">
        <w:rPr>
          <w:rFonts w:ascii="Times New Roman" w:eastAsia="Calibri" w:hAnsi="Times New Roman" w:cs="Times New Roman"/>
        </w:rPr>
        <w:t xml:space="preserve"> reikšmė (stratifikuotas </w:t>
      </w:r>
      <w:r w:rsidRPr="00F622AC">
        <w:rPr>
          <w:rFonts w:ascii="Times New Roman" w:eastAsia="Calibri" w:hAnsi="Times New Roman" w:cs="Times New Roman"/>
          <w:i/>
          <w:lang w:val="en-US"/>
        </w:rPr>
        <w:t>Cochran-Mantel-Haenszel</w:t>
      </w:r>
      <w:r w:rsidRPr="00F622AC">
        <w:rPr>
          <w:rFonts w:ascii="Times New Roman" w:eastAsia="Calibri" w:hAnsi="Times New Roman" w:cs="Times New Roman"/>
          <w:lang w:val="en-US"/>
        </w:rPr>
        <w:t xml:space="preserve"> testas) = 0,002.</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Galimybė svarstyti gydymo sutrumpinimą iki 24 savaičių genotipų 1 ir 4 virusais infekuotiems pacientams nagrinėta, remiantis NV15942 ir ML17131 tyrimų metu pastebėtu ilgai išliekančiu greitu virusologiniu atsaku, nustatytu 4</w:t>
      </w:r>
      <w:r w:rsidRPr="00F622AC">
        <w:rPr>
          <w:rFonts w:ascii="Times New Roman" w:eastAsia="Calibri" w:hAnsi="Times New Roman" w:cs="Times New Roman"/>
        </w:rPr>
        <w:noBreakHyphen/>
        <w:t>ąją savaitę (žr. 7 lentelę).</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1080" w:hanging="1080"/>
        <w:rPr>
          <w:rFonts w:ascii="Times New Roman" w:eastAsia="Calibri" w:hAnsi="Times New Roman" w:cs="Times New Roman"/>
          <w:b/>
          <w:lang w:eastAsia="lt-LT"/>
        </w:rPr>
      </w:pPr>
      <w:r w:rsidRPr="00F622AC">
        <w:rPr>
          <w:rFonts w:ascii="Times New Roman" w:eastAsia="Calibri" w:hAnsi="Times New Roman" w:cs="Times New Roman"/>
          <w:b/>
        </w:rPr>
        <w:lastRenderedPageBreak/>
        <w:t>7 lentelė.</w:t>
      </w:r>
      <w:r w:rsidRPr="00F622AC">
        <w:rPr>
          <w:rFonts w:ascii="Times New Roman" w:eastAsia="Calibri" w:hAnsi="Times New Roman" w:cs="Times New Roman"/>
          <w:b/>
        </w:rPr>
        <w:tab/>
        <w:t>Ilgalaikis virusologinis atsakas po pacientų, infekuotų genotipo 1 ir 4 HCV, gydymo Copegus ir peginterferono alfa-2a deriniu, atsižvelgiant į greitą virusologinį atsaką 4</w:t>
      </w:r>
      <w:r w:rsidRPr="00F622AC">
        <w:rPr>
          <w:rFonts w:ascii="Times New Roman" w:eastAsia="Calibri" w:hAnsi="Times New Roman" w:cs="Times New Roman"/>
          <w:b/>
        </w:rPr>
        <w:noBreakHyphen/>
        <w:t>ąją savaitę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6"/>
        <w:gridCol w:w="2334"/>
        <w:gridCol w:w="2334"/>
        <w:gridCol w:w="2366"/>
      </w:tblGrid>
      <w:tr w:rsidR="00F622AC" w:rsidRPr="00F622AC" w:rsidTr="002A1D7B">
        <w:tc>
          <w:tcPr>
            <w:tcW w:w="3694" w:type="pct"/>
            <w:gridSpan w:val="3"/>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rPr>
            </w:pPr>
            <w:r w:rsidRPr="00F622AC">
              <w:rPr>
                <w:rFonts w:ascii="Times New Roman" w:eastAsia="Calibri" w:hAnsi="Times New Roman" w:cs="Times New Roman"/>
                <w:b/>
              </w:rPr>
              <w:t xml:space="preserve">                                         NV15942 tyrimas</w:t>
            </w:r>
          </w:p>
        </w:tc>
        <w:tc>
          <w:tcPr>
            <w:tcW w:w="1306"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ML17131 tyrimas</w:t>
            </w:r>
          </w:p>
        </w:tc>
      </w:tr>
      <w:tr w:rsidR="00F622AC" w:rsidRPr="00F622AC" w:rsidTr="002A1D7B">
        <w:tc>
          <w:tcPr>
            <w:tcW w:w="1118"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p>
        </w:tc>
        <w:tc>
          <w:tcPr>
            <w:tcW w:w="1288"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Copegus</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1000/1200 mg</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ir</w:t>
            </w:r>
          </w:p>
          <w:p w:rsidR="00F622AC" w:rsidRPr="00F622AC" w:rsidRDefault="00F622AC" w:rsidP="00F622AC">
            <w:pPr>
              <w:keepNext/>
              <w:tabs>
                <w:tab w:val="left" w:pos="567"/>
              </w:tabs>
              <w:autoSpaceDE w:val="0"/>
              <w:autoSpaceDN w:val="0"/>
              <w:adjustRightInd w:val="0"/>
              <w:spacing w:after="0" w:line="240" w:lineRule="auto"/>
              <w:ind w:firstLine="57"/>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 xml:space="preserve"> peginterferonas alfa-2a</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r w:rsidRPr="00F622AC">
              <w:rPr>
                <w:rFonts w:ascii="Times New Roman" w:eastAsia="Calibri" w:hAnsi="Times New Roman" w:cs="Times New Roman"/>
                <w:lang w:val="it-IT" w:eastAsia="lt-LT"/>
              </w:rPr>
              <w:t>180 mkg</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rPr>
              <w:t>24 savaitės</w:t>
            </w:r>
          </w:p>
        </w:tc>
        <w:tc>
          <w:tcPr>
            <w:tcW w:w="1288"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Copegus</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1000/1200 mg</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ir</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 xml:space="preserve"> peginterferonas alfa-2a</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r w:rsidRPr="00F622AC">
              <w:rPr>
                <w:rFonts w:ascii="Times New Roman" w:eastAsia="Calibri" w:hAnsi="Times New Roman" w:cs="Times New Roman"/>
                <w:lang w:val="it-IT" w:eastAsia="lt-LT"/>
              </w:rPr>
              <w:t>180 mkg</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rPr>
              <w:t>48 savaitės</w:t>
            </w:r>
          </w:p>
        </w:tc>
        <w:tc>
          <w:tcPr>
            <w:tcW w:w="1306"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Copegus</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1000/1200 mg</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ir</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 xml:space="preserve"> peginterferonas alfa-2a</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r w:rsidRPr="00F622AC">
              <w:rPr>
                <w:rFonts w:ascii="Times New Roman" w:eastAsia="Calibri" w:hAnsi="Times New Roman" w:cs="Times New Roman"/>
                <w:lang w:val="it-IT" w:eastAsia="lt-LT"/>
              </w:rPr>
              <w:t>180 mkg</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24 savaitės</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p>
        </w:tc>
      </w:tr>
      <w:tr w:rsidR="00F622AC" w:rsidRPr="00F622AC" w:rsidTr="002A1D7B">
        <w:tc>
          <w:tcPr>
            <w:tcW w:w="1118" w:type="pct"/>
          </w:tcPr>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b/>
              </w:rPr>
            </w:pPr>
            <w:r w:rsidRPr="00F622AC">
              <w:rPr>
                <w:rFonts w:ascii="Times New Roman" w:eastAsia="Calibri" w:hAnsi="Times New Roman" w:cs="Times New Roman"/>
                <w:b/>
              </w:rPr>
              <w:t>Genotipas 1, GVA</w:t>
            </w:r>
          </w:p>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Neryški viremija</w:t>
            </w:r>
          </w:p>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Ryški viremija</w:t>
            </w:r>
          </w:p>
        </w:tc>
        <w:tc>
          <w:tcPr>
            <w:tcW w:w="1288"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90 % (28/31)</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93 % (25/27)</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75 % (3/4)</w:t>
            </w:r>
          </w:p>
        </w:tc>
        <w:tc>
          <w:tcPr>
            <w:tcW w:w="1288"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92 % (47/51)</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96 % (26/27)</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88 % (21/24)</w:t>
            </w:r>
          </w:p>
        </w:tc>
        <w:tc>
          <w:tcPr>
            <w:tcW w:w="1306"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77 % (59/77)</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80 % (52/65)</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58 % (7/12)</w:t>
            </w:r>
          </w:p>
        </w:tc>
      </w:tr>
      <w:tr w:rsidR="00F622AC" w:rsidRPr="00F622AC" w:rsidTr="002A1D7B">
        <w:tc>
          <w:tcPr>
            <w:tcW w:w="1118" w:type="pct"/>
          </w:tcPr>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b/>
              </w:rPr>
            </w:pPr>
            <w:r w:rsidRPr="00F622AC">
              <w:rPr>
                <w:rFonts w:ascii="Times New Roman" w:eastAsia="Calibri" w:hAnsi="Times New Roman" w:cs="Times New Roman"/>
                <w:b/>
              </w:rPr>
              <w:t>Genotipas 1, nėra GVA</w:t>
            </w:r>
          </w:p>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Neryški viremija</w:t>
            </w:r>
          </w:p>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Ryški viremija</w:t>
            </w:r>
          </w:p>
        </w:tc>
        <w:tc>
          <w:tcPr>
            <w:tcW w:w="1288"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24 % (21/87)</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27 % (12/44)</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21 % (9/43)</w:t>
            </w:r>
          </w:p>
        </w:tc>
        <w:tc>
          <w:tcPr>
            <w:tcW w:w="1288"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43 % (95/220)</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50 % (31/62)</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41 % (64/158)</w:t>
            </w:r>
          </w:p>
        </w:tc>
        <w:tc>
          <w:tcPr>
            <w:tcW w:w="1306"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r w:rsidRPr="00F622AC">
              <w:rPr>
                <w:rFonts w:ascii="Times New Roman" w:eastAsia="Calibri" w:hAnsi="Times New Roman" w:cs="Times New Roman"/>
              </w:rPr>
              <w:t>-</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r w:rsidRPr="00F622AC">
              <w:rPr>
                <w:rFonts w:ascii="Times New Roman" w:eastAsia="Calibri" w:hAnsi="Times New Roman" w:cs="Times New Roman"/>
              </w:rPr>
              <w:t>-</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r w:rsidRPr="00F622AC">
              <w:rPr>
                <w:rFonts w:ascii="Times New Roman" w:eastAsia="Calibri" w:hAnsi="Times New Roman" w:cs="Times New Roman"/>
              </w:rPr>
              <w:t>-</w:t>
            </w:r>
          </w:p>
        </w:tc>
      </w:tr>
      <w:tr w:rsidR="00F622AC" w:rsidRPr="00F622AC" w:rsidTr="002A1D7B">
        <w:tc>
          <w:tcPr>
            <w:tcW w:w="1118" w:type="pct"/>
          </w:tcPr>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b/>
              </w:rPr>
            </w:pPr>
            <w:r w:rsidRPr="00F622AC">
              <w:rPr>
                <w:rFonts w:ascii="Times New Roman" w:eastAsia="Calibri" w:hAnsi="Times New Roman" w:cs="Times New Roman"/>
                <w:b/>
              </w:rPr>
              <w:t>Genotipas 4, GVA</w:t>
            </w:r>
          </w:p>
        </w:tc>
        <w:tc>
          <w:tcPr>
            <w:tcW w:w="1288"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(5/6)</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p>
        </w:tc>
        <w:tc>
          <w:tcPr>
            <w:tcW w:w="1288"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(5/5)</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p>
        </w:tc>
        <w:tc>
          <w:tcPr>
            <w:tcW w:w="1306"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92 % (22/24)</w:t>
            </w:r>
          </w:p>
        </w:tc>
      </w:tr>
      <w:tr w:rsidR="00F622AC" w:rsidRPr="00F622AC" w:rsidTr="002A1D7B">
        <w:tc>
          <w:tcPr>
            <w:tcW w:w="1118" w:type="pct"/>
          </w:tcPr>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b/>
              </w:rPr>
            </w:pPr>
            <w:r w:rsidRPr="00F622AC">
              <w:rPr>
                <w:rFonts w:ascii="Times New Roman" w:eastAsia="Calibri" w:hAnsi="Times New Roman" w:cs="Times New Roman"/>
                <w:b/>
              </w:rPr>
              <w:t>Genotipas 4, nėra GVA</w:t>
            </w:r>
          </w:p>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b/>
              </w:rPr>
            </w:pPr>
          </w:p>
        </w:tc>
        <w:tc>
          <w:tcPr>
            <w:tcW w:w="1288"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(3/6)</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p>
        </w:tc>
        <w:tc>
          <w:tcPr>
            <w:tcW w:w="1288"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(4/6)</w:t>
            </w:r>
          </w:p>
        </w:tc>
        <w:tc>
          <w:tcPr>
            <w:tcW w:w="1306"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r w:rsidRPr="00F622AC">
              <w:rPr>
                <w:rFonts w:ascii="Times New Roman" w:eastAsia="Calibri" w:hAnsi="Times New Roman" w:cs="Times New Roman"/>
              </w:rPr>
              <w:t>-</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p>
        </w:tc>
      </w:tr>
    </w:tbl>
    <w:p w:rsidR="00F622AC" w:rsidRPr="00F622AC" w:rsidRDefault="00F622AC" w:rsidP="00F622AC">
      <w:pPr>
        <w:tabs>
          <w:tab w:val="left" w:pos="567"/>
        </w:tabs>
        <w:spacing w:after="0" w:line="240" w:lineRule="auto"/>
        <w:ind w:left="142" w:hanging="142"/>
        <w:rPr>
          <w:rFonts w:ascii="Times New Roman" w:eastAsia="Calibri" w:hAnsi="Times New Roman" w:cs="Times New Roman"/>
          <w:i/>
          <w:lang w:eastAsia="lt-LT"/>
        </w:rPr>
      </w:pPr>
      <w:r w:rsidRPr="00F622AC">
        <w:rPr>
          <w:rFonts w:ascii="Times New Roman" w:eastAsia="Calibri" w:hAnsi="Times New Roman" w:cs="Times New Roman"/>
          <w:i/>
        </w:rPr>
        <w:t>Neryški viremija = ≤ 800000 TV/ml; ryški viremija</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i/>
        </w:rPr>
        <w:t>= &gt; 800000 TV/ml</w:t>
      </w:r>
    </w:p>
    <w:p w:rsidR="00F622AC" w:rsidRPr="00F622AC" w:rsidRDefault="00F622AC" w:rsidP="00F622AC">
      <w:pPr>
        <w:keepNext/>
        <w:keepLines/>
        <w:tabs>
          <w:tab w:val="left" w:pos="567"/>
        </w:tabs>
        <w:spacing w:after="0" w:line="240" w:lineRule="auto"/>
        <w:ind w:left="142" w:hanging="142"/>
        <w:rPr>
          <w:rFonts w:ascii="Times New Roman" w:eastAsia="Calibri" w:hAnsi="Times New Roman" w:cs="Times New Roman"/>
          <w:i/>
          <w:lang w:eastAsia="lt-LT"/>
        </w:rPr>
      </w:pPr>
      <w:r w:rsidRPr="00F622AC">
        <w:rPr>
          <w:rFonts w:ascii="Times New Roman" w:eastAsia="Calibri" w:hAnsi="Times New Roman" w:cs="Times New Roman"/>
          <w:i/>
        </w:rPr>
        <w:t>GVA = greitas virusologinis atsakas (HCV RNR neaptinkama) 4</w:t>
      </w:r>
      <w:r w:rsidRPr="00F622AC">
        <w:rPr>
          <w:rFonts w:ascii="Times New Roman" w:eastAsia="Calibri" w:hAnsi="Times New Roman" w:cs="Times New Roman"/>
          <w:i/>
        </w:rPr>
        <w:noBreakHyphen/>
        <w:t>ąją savaitę ir HCV RNR neaptinkama 24</w:t>
      </w:r>
      <w:r w:rsidRPr="00F622AC">
        <w:rPr>
          <w:rFonts w:ascii="Times New Roman" w:eastAsia="Calibri" w:hAnsi="Times New Roman" w:cs="Times New Roman"/>
          <w:i/>
        </w:rPr>
        <w:noBreakHyphen/>
        <w:t>ąją savaitę</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Nors ir riboti, tyrimų duomenys parodė, kad gydymo sutrumpinimas iki 24 savaičių gali būti susijęs su didesne atkryčio rizika (žr. 8 lentelę).</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1080" w:hanging="1080"/>
        <w:rPr>
          <w:rFonts w:ascii="Times New Roman" w:eastAsia="Calibri" w:hAnsi="Times New Roman" w:cs="Times New Roman"/>
          <w:b/>
          <w:lang w:eastAsia="lt-LT"/>
        </w:rPr>
      </w:pPr>
      <w:r w:rsidRPr="00F622AC">
        <w:rPr>
          <w:rFonts w:ascii="Times New Roman" w:eastAsia="Calibri" w:hAnsi="Times New Roman" w:cs="Times New Roman"/>
          <w:b/>
        </w:rPr>
        <w:t>8 lentelė.</w:t>
      </w:r>
      <w:r w:rsidRPr="00F622AC">
        <w:rPr>
          <w:rFonts w:ascii="Times New Roman" w:eastAsia="Calibri" w:hAnsi="Times New Roman" w:cs="Times New Roman"/>
          <w:b/>
        </w:rPr>
        <w:tab/>
        <w:t>Virusologinės reakcijos recidyvas pabaigus gydymą pacientų, kuriems buvo greitas virusologinis atsakas, populiacijoje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160"/>
        <w:gridCol w:w="2218"/>
        <w:gridCol w:w="2361"/>
      </w:tblGrid>
      <w:tr w:rsidR="00F622AC" w:rsidRPr="00F622AC" w:rsidTr="002A1D7B">
        <w:tc>
          <w:tcPr>
            <w:tcW w:w="1281"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p>
        </w:tc>
        <w:tc>
          <w:tcPr>
            <w:tcW w:w="2416" w:type="pct"/>
            <w:gridSpan w:val="2"/>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rPr>
            </w:pPr>
            <w:r w:rsidRPr="00F622AC">
              <w:rPr>
                <w:rFonts w:ascii="Times New Roman" w:eastAsia="Calibri" w:hAnsi="Times New Roman" w:cs="Times New Roman"/>
                <w:b/>
              </w:rPr>
              <w:t>NV15942 tyrimas</w:t>
            </w:r>
          </w:p>
        </w:tc>
        <w:tc>
          <w:tcPr>
            <w:tcW w:w="1303"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NV15801 tyrimas</w:t>
            </w:r>
          </w:p>
        </w:tc>
      </w:tr>
      <w:tr w:rsidR="00F622AC" w:rsidRPr="00F622AC" w:rsidTr="002A1D7B">
        <w:tc>
          <w:tcPr>
            <w:tcW w:w="1281"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p>
        </w:tc>
        <w:tc>
          <w:tcPr>
            <w:tcW w:w="1192"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Copegus</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1000/1200 mg</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ir</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 xml:space="preserve"> peginterferonas alfa-2a</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r w:rsidRPr="00F622AC">
              <w:rPr>
                <w:rFonts w:ascii="Times New Roman" w:eastAsia="Calibri" w:hAnsi="Times New Roman" w:cs="Times New Roman"/>
                <w:lang w:val="it-IT" w:eastAsia="lt-LT"/>
              </w:rPr>
              <w:t>180 mkg</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24 savaitės</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rPr>
            </w:pPr>
          </w:p>
        </w:tc>
        <w:tc>
          <w:tcPr>
            <w:tcW w:w="1224"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Copegus</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1000/1200 mg</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ir</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 xml:space="preserve"> peginterferonas alfa-2a</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r w:rsidRPr="00F622AC">
              <w:rPr>
                <w:rFonts w:ascii="Times New Roman" w:eastAsia="Calibri" w:hAnsi="Times New Roman" w:cs="Times New Roman"/>
                <w:lang w:val="it-IT" w:eastAsia="lt-LT"/>
              </w:rPr>
              <w:t>180 mkg</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48 savaitės</w:t>
            </w:r>
          </w:p>
        </w:tc>
        <w:tc>
          <w:tcPr>
            <w:tcW w:w="1303"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Copegus</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1000/1200 mg</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ir</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 xml:space="preserve"> peginterferonas alfa-2a</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r w:rsidRPr="00F622AC">
              <w:rPr>
                <w:rFonts w:ascii="Times New Roman" w:eastAsia="Calibri" w:hAnsi="Times New Roman" w:cs="Times New Roman"/>
                <w:lang w:val="it-IT" w:eastAsia="lt-LT"/>
              </w:rPr>
              <w:t>180 mkg</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rPr>
              <w:t>48 savaitės</w:t>
            </w:r>
          </w:p>
        </w:tc>
      </w:tr>
      <w:tr w:rsidR="00F622AC" w:rsidRPr="00F622AC" w:rsidTr="002A1D7B">
        <w:tc>
          <w:tcPr>
            <w:tcW w:w="1281" w:type="pct"/>
          </w:tcPr>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b/>
              </w:rPr>
            </w:pPr>
            <w:r w:rsidRPr="00F622AC">
              <w:rPr>
                <w:rFonts w:ascii="Times New Roman" w:eastAsia="Calibri" w:hAnsi="Times New Roman" w:cs="Times New Roman"/>
                <w:b/>
              </w:rPr>
              <w:t>Genotipas 1, GVA</w:t>
            </w:r>
          </w:p>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b/>
              </w:rPr>
            </w:pPr>
          </w:p>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Neryški viremija</w:t>
            </w:r>
          </w:p>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Ryški viremija</w:t>
            </w:r>
          </w:p>
        </w:tc>
        <w:tc>
          <w:tcPr>
            <w:tcW w:w="1192"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6,7 % (2/30)</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rPr>
            </w:pP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3,8 % (1/26)</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25 % (1/4)</w:t>
            </w:r>
          </w:p>
        </w:tc>
        <w:tc>
          <w:tcPr>
            <w:tcW w:w="1224"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F622AC">
              <w:rPr>
                <w:rFonts w:ascii="Times New Roman" w:eastAsia="Calibri" w:hAnsi="Times New Roman" w:cs="Times New Roman"/>
                <w:lang w:val="fr-FR" w:eastAsia="lt-LT"/>
              </w:rPr>
              <w:t>4,3 % (2/47)</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F622AC">
              <w:rPr>
                <w:rFonts w:ascii="Times New Roman" w:eastAsia="Calibri" w:hAnsi="Times New Roman" w:cs="Times New Roman"/>
                <w:lang w:val="fr-FR" w:eastAsia="lt-LT"/>
              </w:rPr>
              <w:t>0 % (0/25)</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F622AC">
              <w:rPr>
                <w:rFonts w:ascii="Times New Roman" w:eastAsia="Calibri" w:hAnsi="Times New Roman" w:cs="Times New Roman"/>
                <w:lang w:val="fr-FR" w:eastAsia="lt-LT"/>
              </w:rPr>
              <w:t>9,1 % (2/22)</w:t>
            </w:r>
          </w:p>
        </w:tc>
        <w:tc>
          <w:tcPr>
            <w:tcW w:w="1303"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F622AC">
              <w:rPr>
                <w:rFonts w:ascii="Times New Roman" w:eastAsia="Calibri" w:hAnsi="Times New Roman" w:cs="Times New Roman"/>
                <w:lang w:val="fr-FR" w:eastAsia="lt-LT"/>
              </w:rPr>
              <w:t>0 % (0/24)</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F622AC">
              <w:rPr>
                <w:rFonts w:ascii="Times New Roman" w:eastAsia="Calibri" w:hAnsi="Times New Roman" w:cs="Times New Roman"/>
                <w:lang w:val="fr-FR" w:eastAsia="lt-LT"/>
              </w:rPr>
              <w:t>0 % (0/17)</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F622AC">
              <w:rPr>
                <w:rFonts w:ascii="Times New Roman" w:eastAsia="Calibri" w:hAnsi="Times New Roman" w:cs="Times New Roman"/>
                <w:lang w:val="fr-FR" w:eastAsia="lt-LT"/>
              </w:rPr>
              <w:t>0 % (0/7)</w:t>
            </w:r>
          </w:p>
        </w:tc>
      </w:tr>
      <w:tr w:rsidR="00F622AC" w:rsidRPr="00F622AC" w:rsidTr="002A1D7B">
        <w:tc>
          <w:tcPr>
            <w:tcW w:w="1281" w:type="pct"/>
          </w:tcPr>
          <w:p w:rsidR="00F622AC" w:rsidRPr="00F622AC" w:rsidRDefault="00F622AC" w:rsidP="00F622AC">
            <w:pPr>
              <w:keepNext/>
              <w:tabs>
                <w:tab w:val="left" w:pos="567"/>
              </w:tabs>
              <w:autoSpaceDE w:val="0"/>
              <w:autoSpaceDN w:val="0"/>
              <w:adjustRightInd w:val="0"/>
              <w:spacing w:after="0" w:line="240" w:lineRule="auto"/>
              <w:rPr>
                <w:rFonts w:ascii="Times New Roman" w:eastAsia="Calibri" w:hAnsi="Times New Roman" w:cs="Times New Roman"/>
                <w:b/>
                <w:lang w:val="fr-FR" w:eastAsia="lt-LT"/>
              </w:rPr>
            </w:pPr>
            <w:r w:rsidRPr="00F622AC">
              <w:rPr>
                <w:rFonts w:ascii="Times New Roman" w:eastAsia="Calibri" w:hAnsi="Times New Roman" w:cs="Times New Roman"/>
                <w:b/>
                <w:lang w:val="fr-FR" w:eastAsia="lt-LT"/>
              </w:rPr>
              <w:t>Genotipas 4, GVA</w:t>
            </w:r>
          </w:p>
        </w:tc>
        <w:tc>
          <w:tcPr>
            <w:tcW w:w="1192"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F622AC">
              <w:rPr>
                <w:rFonts w:ascii="Times New Roman" w:eastAsia="Calibri" w:hAnsi="Times New Roman" w:cs="Times New Roman"/>
                <w:lang w:val="fr-FR" w:eastAsia="lt-LT"/>
              </w:rPr>
              <w:t>(0/5)</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p>
        </w:tc>
        <w:tc>
          <w:tcPr>
            <w:tcW w:w="1224"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F622AC">
              <w:rPr>
                <w:rFonts w:ascii="Times New Roman" w:eastAsia="Calibri" w:hAnsi="Times New Roman" w:cs="Times New Roman"/>
                <w:lang w:val="fr-FR" w:eastAsia="lt-LT"/>
              </w:rPr>
              <w:t>(0/5)</w:t>
            </w:r>
          </w:p>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p>
        </w:tc>
        <w:tc>
          <w:tcPr>
            <w:tcW w:w="1303" w:type="pct"/>
          </w:tcPr>
          <w:p w:rsidR="00F622AC" w:rsidRPr="00F622AC" w:rsidRDefault="00F622AC" w:rsidP="00F622AC">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F622AC">
              <w:rPr>
                <w:rFonts w:ascii="Times New Roman" w:eastAsia="Calibri" w:hAnsi="Times New Roman" w:cs="Times New Roman"/>
                <w:lang w:val="fr-FR" w:eastAsia="lt-LT"/>
              </w:rPr>
              <w:t>0 % (0/4)</w:t>
            </w:r>
          </w:p>
        </w:tc>
      </w:tr>
    </w:tbl>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Gydymo trukmės sutrumpinimo iki 16 savaičių galimybė pacientams, infekuotiems genotipo 2 arba 3 virusais, tirta remiantis pastebėtu ilgai trunkančiu virusologiniu atsaku pacientams, kuriems NV17317 tyrimo metu buvo greitas virusologinis atsakas 4</w:t>
      </w:r>
      <w:r w:rsidRPr="00F622AC">
        <w:rPr>
          <w:rFonts w:ascii="Times New Roman" w:eastAsia="Calibri" w:hAnsi="Times New Roman" w:cs="Times New Roman"/>
        </w:rPr>
        <w:noBreakHyphen/>
        <w:t>ąją savaitę (žr. 9 lentelę).</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lastRenderedPageBreak/>
        <w:t>NV17317 tyrimo metu, kai gydyti genotipo 2 arba 3 virusais infekuoti pacientai, visiems pacientams skirta peginterferono alfa-2a po 180 mikrogramų kas savaitę ir Copegus po 800 mg; pacientai buvo atrinkti į gydomus 16 arba 24 savaites. Apskritai, gydant 16 savaičių, ilgalaikis virusologinis atsakas pasiektas rečiau (65 %) nei gydant 24 savaites (76 %) (p &lt; 0,0001).</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Ilgalaikis virusologinis atsakas, pasiektas gydant 16 savaičių ir gydant 24 savaites, taip pat buvo nagrinėjamas, atliekant pacientų, kurių HCV RNR rodmuo 4 savaitę buvo neigiamas ir pradinė NRV, pogrupių retrospektyvinę analizę (žr. 9 lentelę).</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keepNext/>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080" w:hanging="1080"/>
        <w:rPr>
          <w:rFonts w:ascii="Times New Roman" w:eastAsia="Calibri" w:hAnsi="Times New Roman" w:cs="Times New Roman"/>
          <w:b/>
          <w:lang w:eastAsia="lt-LT"/>
        </w:rPr>
      </w:pPr>
      <w:r w:rsidRPr="00F622AC">
        <w:rPr>
          <w:rFonts w:ascii="Times New Roman" w:eastAsia="Calibri" w:hAnsi="Times New Roman" w:cs="Times New Roman"/>
          <w:b/>
        </w:rPr>
        <w:t>9 lentelė.</w:t>
      </w:r>
      <w:r w:rsidRPr="00F622AC">
        <w:rPr>
          <w:rFonts w:ascii="Times New Roman" w:eastAsia="Calibri" w:hAnsi="Times New Roman" w:cs="Times New Roman"/>
          <w:b/>
        </w:rPr>
        <w:tab/>
        <w:t>Ilgalaikis virusologinis atsakas bendrai ir atsižvelgiant į greitą virusologinį atsaką 4</w:t>
      </w:r>
      <w:r w:rsidRPr="00F622AC">
        <w:rPr>
          <w:rFonts w:ascii="Times New Roman" w:eastAsia="Calibri" w:hAnsi="Times New Roman" w:cs="Times New Roman"/>
          <w:b/>
        </w:rPr>
        <w:noBreakHyphen/>
        <w:t>ąją savaitę po pacientų, infekuotų 2 arba 3 genotipo HCV, gydymo Copegus ir peginterferono alfa-2a deriniu</w:t>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1843"/>
        <w:gridCol w:w="1778"/>
        <w:gridCol w:w="2086"/>
        <w:gridCol w:w="1151"/>
      </w:tblGrid>
      <w:tr w:rsidR="00F622AC" w:rsidRPr="00F622AC" w:rsidTr="002A1D7B">
        <w:tc>
          <w:tcPr>
            <w:tcW w:w="5000" w:type="pct"/>
            <w:gridSpan w:val="5"/>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rPr>
            </w:pPr>
            <w:r w:rsidRPr="00F622AC">
              <w:rPr>
                <w:rFonts w:ascii="Times New Roman" w:eastAsia="Calibri" w:hAnsi="Times New Roman" w:cs="Times New Roman"/>
                <w:b/>
              </w:rPr>
              <w:t>NV17317 tyrimas</w:t>
            </w:r>
          </w:p>
        </w:tc>
      </w:tr>
      <w:tr w:rsidR="00F622AC" w:rsidRPr="00F622AC" w:rsidTr="002A1D7B">
        <w:tc>
          <w:tcPr>
            <w:tcW w:w="1235"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highlight w:val="green"/>
              </w:rPr>
            </w:pPr>
          </w:p>
        </w:tc>
        <w:tc>
          <w:tcPr>
            <w:tcW w:w="1012"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Copegus</w:t>
            </w:r>
            <w:r w:rsidRPr="00F622AC">
              <w:rPr>
                <w:rFonts w:ascii="Times New Roman" w:eastAsia="Calibri" w:hAnsi="Times New Roman" w:cs="Times New Roman"/>
                <w:lang w:val="pt-BR" w:eastAsia="lt-LT"/>
              </w:rPr>
              <w:t xml:space="preserve"> 800 mg</w:t>
            </w:r>
            <w:r w:rsidRPr="00F622AC">
              <w:rPr>
                <w:rFonts w:ascii="Times New Roman" w:eastAsia="Calibri" w:hAnsi="Times New Roman" w:cs="Times New Roman"/>
                <w:lang w:val="pt-BR" w:eastAsia="lt-LT"/>
              </w:rPr>
              <w:br/>
              <w:t>ir</w:t>
            </w:r>
            <w:r w:rsidRPr="00F622AC">
              <w:rPr>
                <w:rFonts w:ascii="Times New Roman" w:eastAsia="Calibri" w:hAnsi="Times New Roman" w:cs="Times New Roman"/>
                <w:lang w:val="pt-BR" w:eastAsia="lt-LT"/>
              </w:rPr>
              <w:br/>
            </w:r>
            <w:r w:rsidRPr="00F622AC">
              <w:rPr>
                <w:rFonts w:ascii="Times New Roman" w:eastAsia="Calibri" w:hAnsi="Times New Roman" w:cs="Times New Roman"/>
                <w:b/>
                <w:lang w:val="pt-BR" w:eastAsia="lt-LT"/>
              </w:rPr>
              <w:t xml:space="preserve">peginterferonas </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b/>
                <w:lang w:val="pt-BR" w:eastAsia="lt-LT"/>
              </w:rPr>
              <w:t xml:space="preserve">alfa-2a </w:t>
            </w:r>
            <w:r w:rsidRPr="00F622AC">
              <w:rPr>
                <w:rFonts w:ascii="Times New Roman" w:eastAsia="Calibri" w:hAnsi="Times New Roman" w:cs="Times New Roman"/>
                <w:lang w:val="pt-BR" w:eastAsia="lt-LT"/>
              </w:rPr>
              <w:t>180 mkg</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16 savaičių</w:t>
            </w:r>
          </w:p>
        </w:tc>
        <w:tc>
          <w:tcPr>
            <w:tcW w:w="976"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Copegus</w:t>
            </w:r>
            <w:r w:rsidRPr="00F622AC">
              <w:rPr>
                <w:rFonts w:ascii="Times New Roman" w:eastAsia="Calibri" w:hAnsi="Times New Roman" w:cs="Times New Roman"/>
                <w:lang w:val="pt-BR" w:eastAsia="lt-LT"/>
              </w:rPr>
              <w:t xml:space="preserve"> 800 mg</w:t>
            </w:r>
            <w:r w:rsidRPr="00F622AC">
              <w:rPr>
                <w:rFonts w:ascii="Times New Roman" w:eastAsia="Calibri" w:hAnsi="Times New Roman" w:cs="Times New Roman"/>
                <w:lang w:val="pt-BR" w:eastAsia="lt-LT"/>
              </w:rPr>
              <w:br/>
              <w:t>ir</w:t>
            </w:r>
            <w:r w:rsidRPr="00F622AC">
              <w:rPr>
                <w:rFonts w:ascii="Times New Roman" w:eastAsia="Calibri" w:hAnsi="Times New Roman" w:cs="Times New Roman"/>
                <w:lang w:val="pt-BR" w:eastAsia="lt-LT"/>
              </w:rPr>
              <w:br/>
            </w:r>
            <w:r w:rsidRPr="00F622AC">
              <w:rPr>
                <w:rFonts w:ascii="Times New Roman" w:eastAsia="Calibri" w:hAnsi="Times New Roman" w:cs="Times New Roman"/>
                <w:b/>
                <w:lang w:val="pt-BR" w:eastAsia="lt-LT"/>
              </w:rPr>
              <w:t xml:space="preserve">peginterferonas </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b/>
                <w:lang w:val="pt-BR" w:eastAsia="lt-LT"/>
              </w:rPr>
              <w:t xml:space="preserve">alfa-2a </w:t>
            </w:r>
            <w:r w:rsidRPr="00F622AC">
              <w:rPr>
                <w:rFonts w:ascii="Times New Roman" w:eastAsia="Calibri" w:hAnsi="Times New Roman" w:cs="Times New Roman"/>
                <w:lang w:val="pt-BR" w:eastAsia="lt-LT"/>
              </w:rPr>
              <w:t>180 mkg</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24 savaitės</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p>
        </w:tc>
        <w:tc>
          <w:tcPr>
            <w:tcW w:w="1145"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b/>
                <w:kern w:val="2"/>
                <w:lang w:eastAsia="lt-LT"/>
              </w:rPr>
            </w:pPr>
            <w:r w:rsidRPr="00F622AC">
              <w:rPr>
                <w:rFonts w:ascii="Times New Roman" w:eastAsia="Calibri" w:hAnsi="Times New Roman" w:cs="Times New Roman"/>
                <w:b/>
                <w:kern w:val="2"/>
              </w:rPr>
              <w:t>Gydymo rezultatų skirtumas</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b/>
                <w:kern w:val="2"/>
                <w:lang w:eastAsia="lt-LT"/>
              </w:rPr>
            </w:pPr>
            <w:r w:rsidRPr="00F622AC">
              <w:rPr>
                <w:rFonts w:ascii="Times New Roman" w:eastAsia="Calibri" w:hAnsi="Times New Roman" w:cs="Times New Roman"/>
                <w:b/>
              </w:rPr>
              <w:t>95 %</w:t>
            </w:r>
            <w:r w:rsidRPr="00F622AC">
              <w:rPr>
                <w:rFonts w:ascii="Times New Roman" w:eastAsia="Calibri" w:hAnsi="Times New Roman" w:cs="Times New Roman"/>
                <w:b/>
                <w:kern w:val="2"/>
              </w:rPr>
              <w:t>PI</w:t>
            </w:r>
          </w:p>
        </w:tc>
        <w:tc>
          <w:tcPr>
            <w:tcW w:w="633"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p reikšmė</w:t>
            </w:r>
          </w:p>
        </w:tc>
      </w:tr>
      <w:tr w:rsidR="00F622AC" w:rsidRPr="00F622AC" w:rsidTr="002A1D7B">
        <w:tc>
          <w:tcPr>
            <w:tcW w:w="1235" w:type="pct"/>
          </w:tcPr>
          <w:p w:rsidR="00F622AC" w:rsidRPr="00F622AC" w:rsidRDefault="00F622AC" w:rsidP="00F622AC">
            <w:pPr>
              <w:keepNext/>
              <w:autoSpaceDE w:val="0"/>
              <w:autoSpaceDN w:val="0"/>
              <w:adjustRightInd w:val="0"/>
              <w:spacing w:after="0" w:line="240" w:lineRule="auto"/>
              <w:rPr>
                <w:rFonts w:ascii="Times New Roman" w:eastAsia="Calibri" w:hAnsi="Times New Roman" w:cs="Times New Roman"/>
                <w:highlight w:val="green"/>
              </w:rPr>
            </w:pPr>
            <w:r w:rsidRPr="00F622AC">
              <w:rPr>
                <w:rFonts w:ascii="Times New Roman" w:eastAsia="Calibri" w:hAnsi="Times New Roman" w:cs="Times New Roman"/>
                <w:b/>
              </w:rPr>
              <w:t>Genotipas 2 arba 3</w:t>
            </w:r>
          </w:p>
        </w:tc>
        <w:tc>
          <w:tcPr>
            <w:tcW w:w="1012"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rPr>
              <w:t xml:space="preserve">65 % (443/679) </w:t>
            </w:r>
          </w:p>
        </w:tc>
        <w:tc>
          <w:tcPr>
            <w:tcW w:w="976"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rPr>
              <w:t>76 % (478/630)</w:t>
            </w:r>
          </w:p>
        </w:tc>
        <w:tc>
          <w:tcPr>
            <w:tcW w:w="1145"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kern w:val="2"/>
                <w:lang w:eastAsia="lt-LT"/>
              </w:rPr>
            </w:pPr>
            <w:r w:rsidRPr="00F622AC">
              <w:rPr>
                <w:rFonts w:ascii="Times New Roman" w:eastAsia="Calibri" w:hAnsi="Times New Roman" w:cs="Times New Roman"/>
                <w:kern w:val="2"/>
              </w:rPr>
              <w:t>-10,6 % [-15,5 %; -0,06 %]</w:t>
            </w:r>
          </w:p>
        </w:tc>
        <w:tc>
          <w:tcPr>
            <w:tcW w:w="633"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P &lt; 0,0001</w:t>
            </w:r>
          </w:p>
        </w:tc>
      </w:tr>
      <w:tr w:rsidR="00F622AC" w:rsidRPr="00F622AC" w:rsidTr="002A1D7B">
        <w:tc>
          <w:tcPr>
            <w:tcW w:w="1235" w:type="pct"/>
          </w:tcPr>
          <w:p w:rsidR="00F622AC" w:rsidRPr="00F622AC" w:rsidRDefault="00F622AC" w:rsidP="00F622AC">
            <w:pPr>
              <w:keepNext/>
              <w:autoSpaceDE w:val="0"/>
              <w:autoSpaceDN w:val="0"/>
              <w:adjustRightInd w:val="0"/>
              <w:spacing w:after="0" w:line="240" w:lineRule="auto"/>
              <w:rPr>
                <w:rFonts w:ascii="Times New Roman" w:eastAsia="Calibri" w:hAnsi="Times New Roman" w:cs="Times New Roman"/>
                <w:b/>
              </w:rPr>
            </w:pPr>
            <w:r w:rsidRPr="00F622AC">
              <w:rPr>
                <w:rFonts w:ascii="Times New Roman" w:eastAsia="Calibri" w:hAnsi="Times New Roman" w:cs="Times New Roman"/>
                <w:b/>
              </w:rPr>
              <w:t>Genotipas 2 arba 3, GVA</w:t>
            </w:r>
          </w:p>
          <w:p w:rsidR="00F622AC" w:rsidRPr="00F622AC" w:rsidRDefault="00F622AC" w:rsidP="00F622AC">
            <w:pPr>
              <w:keepNext/>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Neryški viremija</w:t>
            </w:r>
          </w:p>
          <w:p w:rsidR="00F622AC" w:rsidRPr="00F622AC" w:rsidRDefault="00F622AC" w:rsidP="00F622AC">
            <w:pPr>
              <w:keepNext/>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Ryški viremija</w:t>
            </w:r>
          </w:p>
          <w:p w:rsidR="00F622AC" w:rsidRPr="00F622AC" w:rsidRDefault="00F622AC" w:rsidP="00F622AC">
            <w:pPr>
              <w:keepNext/>
              <w:autoSpaceDE w:val="0"/>
              <w:autoSpaceDN w:val="0"/>
              <w:adjustRightInd w:val="0"/>
              <w:spacing w:after="0" w:line="240" w:lineRule="auto"/>
              <w:rPr>
                <w:rFonts w:ascii="Times New Roman" w:eastAsia="Calibri" w:hAnsi="Times New Roman" w:cs="Times New Roman"/>
                <w:highlight w:val="green"/>
              </w:rPr>
            </w:pPr>
          </w:p>
        </w:tc>
        <w:tc>
          <w:tcPr>
            <w:tcW w:w="1012"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82 % (378/461)</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89 % (147/166)</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78 % (231/295)</w:t>
            </w:r>
          </w:p>
        </w:tc>
        <w:tc>
          <w:tcPr>
            <w:tcW w:w="976"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90 % (370/410)</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94 % (141/150)</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88 % (229/260)</w:t>
            </w:r>
          </w:p>
        </w:tc>
        <w:tc>
          <w:tcPr>
            <w:tcW w:w="1145"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kern w:val="2"/>
                <w:lang w:eastAsia="lt-LT"/>
              </w:rPr>
            </w:pPr>
            <w:r w:rsidRPr="00F622AC">
              <w:rPr>
                <w:rFonts w:ascii="Times New Roman" w:eastAsia="Calibri" w:hAnsi="Times New Roman" w:cs="Times New Roman"/>
                <w:kern w:val="2"/>
              </w:rPr>
              <w:t>-8,2 % [-12,8 %;</w:t>
            </w:r>
            <w:r w:rsidRPr="00F622AC">
              <w:rPr>
                <w:rFonts w:ascii="Times New Roman" w:eastAsia="Calibri" w:hAnsi="Times New Roman" w:cs="Times New Roman"/>
                <w:kern w:val="2"/>
                <w:lang w:val="en-US"/>
              </w:rPr>
              <w:t xml:space="preserve"> -3,7 %]</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kern w:val="2"/>
                <w:lang w:eastAsia="lt-LT"/>
              </w:rPr>
            </w:pPr>
            <w:r w:rsidRPr="00F622AC">
              <w:rPr>
                <w:rFonts w:ascii="Times New Roman" w:eastAsia="Calibri" w:hAnsi="Times New Roman" w:cs="Times New Roman"/>
                <w:kern w:val="2"/>
              </w:rPr>
              <w:t>-5,4 % [-12 %;</w:t>
            </w:r>
            <w:r w:rsidRPr="00F622AC">
              <w:rPr>
                <w:rFonts w:ascii="Times New Roman" w:eastAsia="Calibri" w:hAnsi="Times New Roman" w:cs="Times New Roman"/>
                <w:kern w:val="2"/>
                <w:lang w:val="en-US"/>
              </w:rPr>
              <w:t xml:space="preserve"> 0,9 %]</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kern w:val="2"/>
                <w:lang w:eastAsia="lt-LT"/>
              </w:rPr>
            </w:pPr>
            <w:r w:rsidRPr="00F622AC">
              <w:rPr>
                <w:rFonts w:ascii="Times New Roman" w:eastAsia="Calibri" w:hAnsi="Times New Roman" w:cs="Times New Roman"/>
                <w:kern w:val="2"/>
              </w:rPr>
              <w:t>-9,7 % [-15,9 %;-</w:t>
            </w:r>
            <w:r w:rsidRPr="00F622AC">
              <w:rPr>
                <w:rFonts w:ascii="Times New Roman" w:eastAsia="Calibri" w:hAnsi="Times New Roman" w:cs="Times New Roman"/>
                <w:kern w:val="2"/>
                <w:lang w:val="en-US"/>
              </w:rPr>
              <w:t>3,6 %]</w:t>
            </w:r>
          </w:p>
        </w:tc>
        <w:tc>
          <w:tcPr>
            <w:tcW w:w="633"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P = 0,0006</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P = 0,11</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P = 0,002</w:t>
            </w:r>
          </w:p>
        </w:tc>
      </w:tr>
    </w:tbl>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Neryški viremija = ≤ 800000 TV/ml; Ryški viremija = &gt; 800000 TV/ml</w:t>
      </w: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GVA = greitas virusologinis atsakas (HCV RNR neaptinkama) 4</w:t>
      </w:r>
      <w:r w:rsidRPr="00F622AC">
        <w:rPr>
          <w:rFonts w:ascii="Times New Roman" w:eastAsia="Calibri" w:hAnsi="Times New Roman" w:cs="Times New Roman"/>
          <w:lang w:val="en-US"/>
        </w:rPr>
        <w:noBreakHyphen/>
        <w:t>ąją savaitę</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Šiuo metu nėra aišku, ar aukštesnė Copegus dozė (1000/1200 mg/d pagal kūno svorį) lemia didesnį IVR dažnį, nei sutrumpintas iki 16 savaičių gydymas 800 mg/per parą doze.</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Žemiau pateikti duomenys rodo, kad gydymo sutrumpinimas iki 16 savaičių yra susijęs su didesne recidyvo rizika (žr. 10 lentelę).</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keepNext/>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080" w:hanging="1080"/>
        <w:rPr>
          <w:rFonts w:ascii="Times New Roman" w:eastAsia="Calibri" w:hAnsi="Times New Roman" w:cs="Times New Roman"/>
          <w:b/>
          <w:lang w:eastAsia="lt-LT"/>
        </w:rPr>
      </w:pPr>
      <w:r w:rsidRPr="00F622AC">
        <w:rPr>
          <w:rFonts w:ascii="Times New Roman" w:eastAsia="Calibri" w:hAnsi="Times New Roman" w:cs="Times New Roman"/>
          <w:b/>
        </w:rPr>
        <w:t>10 lentelė.</w:t>
      </w:r>
      <w:r w:rsidRPr="00F622AC">
        <w:rPr>
          <w:rFonts w:ascii="Times New Roman" w:eastAsia="Calibri" w:hAnsi="Times New Roman" w:cs="Times New Roman"/>
          <w:b/>
        </w:rPr>
        <w:tab/>
        <w:t>Virusologinio atsako recidyvas, pabaigus gydyti 2 arba 3 genotipo virusais  infekuotus pacientus, kuriems buvo greitas virusologinis</w:t>
      </w:r>
      <w:r w:rsidRPr="00F622AC">
        <w:rPr>
          <w:rFonts w:ascii="Times New Roman" w:eastAsia="Calibri" w:hAnsi="Times New Roman" w:cs="Times New Roman"/>
          <w:b/>
          <w:lang w:val="en-US"/>
        </w:rPr>
        <w:t xml:space="preserve"> atsakas</w:t>
      </w:r>
    </w:p>
    <w:p w:rsidR="00F622AC" w:rsidRPr="00F622AC" w:rsidRDefault="00F622AC" w:rsidP="00F622AC">
      <w:pPr>
        <w:keepNext/>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080" w:hanging="1080"/>
        <w:rPr>
          <w:rFonts w:ascii="Times New Roman" w:eastAsia="Calibri"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1718"/>
        <w:gridCol w:w="1727"/>
        <w:gridCol w:w="1984"/>
        <w:gridCol w:w="1287"/>
      </w:tblGrid>
      <w:tr w:rsidR="00F622AC" w:rsidRPr="00F622AC" w:rsidTr="002A1D7B">
        <w:tc>
          <w:tcPr>
            <w:tcW w:w="1294"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rPr>
            </w:pPr>
          </w:p>
        </w:tc>
        <w:tc>
          <w:tcPr>
            <w:tcW w:w="3706" w:type="pct"/>
            <w:gridSpan w:val="4"/>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rPr>
            </w:pPr>
            <w:r w:rsidRPr="00F622AC">
              <w:rPr>
                <w:rFonts w:ascii="Times New Roman" w:eastAsia="Calibri" w:hAnsi="Times New Roman" w:cs="Times New Roman"/>
                <w:b/>
              </w:rPr>
              <w:t>NV17317 tyrimas</w:t>
            </w:r>
          </w:p>
        </w:tc>
      </w:tr>
      <w:tr w:rsidR="00F622AC" w:rsidRPr="00F622AC" w:rsidTr="002A1D7B">
        <w:tc>
          <w:tcPr>
            <w:tcW w:w="1294"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rPr>
            </w:pPr>
          </w:p>
        </w:tc>
        <w:tc>
          <w:tcPr>
            <w:tcW w:w="948"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Copegus</w:t>
            </w:r>
            <w:r w:rsidRPr="00F622AC">
              <w:rPr>
                <w:rFonts w:ascii="Times New Roman" w:eastAsia="Calibri" w:hAnsi="Times New Roman" w:cs="Times New Roman"/>
                <w:lang w:val="pt-BR" w:eastAsia="lt-LT"/>
              </w:rPr>
              <w:t xml:space="preserve"> 800 mg</w:t>
            </w:r>
            <w:r w:rsidRPr="00F622AC">
              <w:rPr>
                <w:rFonts w:ascii="Times New Roman" w:eastAsia="Calibri" w:hAnsi="Times New Roman" w:cs="Times New Roman"/>
                <w:lang w:val="pt-BR" w:eastAsia="lt-LT"/>
              </w:rPr>
              <w:br/>
              <w:t>ir</w:t>
            </w:r>
            <w:r w:rsidRPr="00F622AC">
              <w:rPr>
                <w:rFonts w:ascii="Times New Roman" w:eastAsia="Calibri" w:hAnsi="Times New Roman" w:cs="Times New Roman"/>
                <w:lang w:val="pt-BR" w:eastAsia="lt-LT"/>
              </w:rPr>
              <w:br/>
            </w:r>
            <w:r w:rsidRPr="00F622AC">
              <w:rPr>
                <w:rFonts w:ascii="Times New Roman" w:eastAsia="Calibri" w:hAnsi="Times New Roman" w:cs="Times New Roman"/>
                <w:b/>
                <w:lang w:val="pt-BR" w:eastAsia="lt-LT"/>
              </w:rPr>
              <w:t xml:space="preserve">peginterferonas </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b/>
                <w:lang w:val="pt-BR" w:eastAsia="lt-LT"/>
              </w:rPr>
              <w:t xml:space="preserve">alfa-2a </w:t>
            </w:r>
            <w:r w:rsidRPr="00F622AC">
              <w:rPr>
                <w:rFonts w:ascii="Times New Roman" w:eastAsia="Calibri" w:hAnsi="Times New Roman" w:cs="Times New Roman"/>
                <w:lang w:val="pt-BR" w:eastAsia="lt-LT"/>
              </w:rPr>
              <w:t>180 mkg</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16 savaičių</w:t>
            </w:r>
          </w:p>
        </w:tc>
        <w:tc>
          <w:tcPr>
            <w:tcW w:w="953"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val="pt-BR" w:eastAsia="lt-LT"/>
              </w:rPr>
            </w:pPr>
            <w:r w:rsidRPr="00F622AC">
              <w:rPr>
                <w:rFonts w:ascii="Times New Roman" w:eastAsia="Calibri" w:hAnsi="Times New Roman" w:cs="Times New Roman"/>
                <w:b/>
                <w:lang w:val="pt-BR" w:eastAsia="lt-LT"/>
              </w:rPr>
              <w:t>Copegus</w:t>
            </w:r>
            <w:r w:rsidRPr="00F622AC">
              <w:rPr>
                <w:rFonts w:ascii="Times New Roman" w:eastAsia="Calibri" w:hAnsi="Times New Roman" w:cs="Times New Roman"/>
                <w:lang w:val="pt-BR" w:eastAsia="lt-LT"/>
              </w:rPr>
              <w:t xml:space="preserve"> 800 mg</w:t>
            </w:r>
            <w:r w:rsidRPr="00F622AC">
              <w:rPr>
                <w:rFonts w:ascii="Times New Roman" w:eastAsia="Calibri" w:hAnsi="Times New Roman" w:cs="Times New Roman"/>
                <w:lang w:val="pt-BR" w:eastAsia="lt-LT"/>
              </w:rPr>
              <w:br/>
              <w:t>ir</w:t>
            </w:r>
            <w:r w:rsidRPr="00F622AC">
              <w:rPr>
                <w:rFonts w:ascii="Times New Roman" w:eastAsia="Calibri" w:hAnsi="Times New Roman" w:cs="Times New Roman"/>
                <w:lang w:val="pt-BR" w:eastAsia="lt-LT"/>
              </w:rPr>
              <w:br/>
            </w:r>
            <w:r w:rsidRPr="00F622AC">
              <w:rPr>
                <w:rFonts w:ascii="Times New Roman" w:eastAsia="Calibri" w:hAnsi="Times New Roman" w:cs="Times New Roman"/>
                <w:b/>
                <w:lang w:val="pt-BR" w:eastAsia="lt-LT"/>
              </w:rPr>
              <w:t xml:space="preserve">peginterferonas </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b/>
                <w:lang w:val="pt-BR" w:eastAsia="lt-LT"/>
              </w:rPr>
              <w:t xml:space="preserve">alfa-2a </w:t>
            </w:r>
            <w:r w:rsidRPr="00F622AC">
              <w:rPr>
                <w:rFonts w:ascii="Times New Roman" w:eastAsia="Calibri" w:hAnsi="Times New Roman" w:cs="Times New Roman"/>
                <w:lang w:val="pt-BR" w:eastAsia="lt-LT"/>
              </w:rPr>
              <w:t>180 mkg</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val="pt-BR" w:eastAsia="lt-LT"/>
              </w:rPr>
            </w:pPr>
            <w:r w:rsidRPr="00F622AC">
              <w:rPr>
                <w:rFonts w:ascii="Times New Roman" w:eastAsia="Calibri" w:hAnsi="Times New Roman" w:cs="Times New Roman"/>
                <w:lang w:val="pt-BR" w:eastAsia="lt-LT"/>
              </w:rPr>
              <w:t>24 savaitės</w:t>
            </w:r>
          </w:p>
        </w:tc>
        <w:tc>
          <w:tcPr>
            <w:tcW w:w="1095"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b/>
                <w:kern w:val="2"/>
                <w:lang w:eastAsia="lt-LT"/>
              </w:rPr>
            </w:pPr>
            <w:r w:rsidRPr="00F622AC">
              <w:rPr>
                <w:rFonts w:ascii="Times New Roman" w:eastAsia="Calibri" w:hAnsi="Times New Roman" w:cs="Times New Roman"/>
                <w:b/>
                <w:kern w:val="2"/>
              </w:rPr>
              <w:t>Gydymo rezultatų skirtumas</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95 %</w:t>
            </w:r>
            <w:r w:rsidRPr="00F622AC">
              <w:rPr>
                <w:rFonts w:ascii="Times New Roman" w:eastAsia="Calibri" w:hAnsi="Times New Roman" w:cs="Times New Roman"/>
                <w:b/>
                <w:kern w:val="2"/>
              </w:rPr>
              <w:t>PI</w:t>
            </w:r>
          </w:p>
        </w:tc>
        <w:tc>
          <w:tcPr>
            <w:tcW w:w="710"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p reikšmė</w:t>
            </w:r>
          </w:p>
        </w:tc>
      </w:tr>
      <w:tr w:rsidR="00F622AC" w:rsidRPr="00F622AC" w:rsidTr="002A1D7B">
        <w:tc>
          <w:tcPr>
            <w:tcW w:w="1294" w:type="pct"/>
          </w:tcPr>
          <w:p w:rsidR="00F622AC" w:rsidRPr="00F622AC" w:rsidRDefault="00F622AC" w:rsidP="00F622AC">
            <w:pPr>
              <w:keepNext/>
              <w:autoSpaceDE w:val="0"/>
              <w:autoSpaceDN w:val="0"/>
              <w:adjustRightInd w:val="0"/>
              <w:spacing w:after="0" w:line="240" w:lineRule="auto"/>
              <w:rPr>
                <w:rFonts w:ascii="Times New Roman" w:eastAsia="Calibri" w:hAnsi="Times New Roman" w:cs="Times New Roman"/>
                <w:b/>
              </w:rPr>
            </w:pPr>
            <w:r w:rsidRPr="00F622AC">
              <w:rPr>
                <w:rFonts w:ascii="Times New Roman" w:eastAsia="Calibri" w:hAnsi="Times New Roman" w:cs="Times New Roman"/>
                <w:b/>
              </w:rPr>
              <w:t>Genotipas 2 arba 3, GVA</w:t>
            </w:r>
          </w:p>
          <w:p w:rsidR="00F622AC" w:rsidRPr="00F622AC" w:rsidRDefault="00F622AC" w:rsidP="00F622AC">
            <w:pPr>
              <w:keepNext/>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Neryški viremija</w:t>
            </w:r>
          </w:p>
          <w:p w:rsidR="00F622AC" w:rsidRPr="00F622AC" w:rsidRDefault="00F622AC" w:rsidP="00F622AC">
            <w:pPr>
              <w:keepNext/>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Ryški viremija</w:t>
            </w:r>
          </w:p>
          <w:p w:rsidR="00F622AC" w:rsidRPr="00F622AC" w:rsidRDefault="00F622AC" w:rsidP="00F622AC">
            <w:pPr>
              <w:keepNext/>
              <w:autoSpaceDE w:val="0"/>
              <w:autoSpaceDN w:val="0"/>
              <w:adjustRightInd w:val="0"/>
              <w:spacing w:after="0" w:line="240" w:lineRule="auto"/>
              <w:rPr>
                <w:rFonts w:ascii="Times New Roman" w:eastAsia="Calibri" w:hAnsi="Times New Roman" w:cs="Times New Roman"/>
              </w:rPr>
            </w:pPr>
          </w:p>
        </w:tc>
        <w:tc>
          <w:tcPr>
            <w:tcW w:w="948"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15 % (67/439)</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6 % (10/155)</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20 % (57/284)</w:t>
            </w:r>
          </w:p>
        </w:tc>
        <w:tc>
          <w:tcPr>
            <w:tcW w:w="953"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6 % (23/386)</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1 % (2/141)</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9 % (21/245)</w:t>
            </w:r>
          </w:p>
        </w:tc>
        <w:tc>
          <w:tcPr>
            <w:tcW w:w="1095"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9,3 % [5,2 %; 13,6 %]</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5 % [0,6 %; 10,3 %]</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11,5 % [5,6 %; 17,4 %]</w:t>
            </w:r>
          </w:p>
        </w:tc>
        <w:tc>
          <w:tcPr>
            <w:tcW w:w="710"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P &lt; 0,0001</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P = 0,04</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P = 0,0002</w:t>
            </w:r>
          </w:p>
        </w:tc>
      </w:tr>
    </w:tbl>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spacing w:after="0" w:line="240" w:lineRule="auto"/>
        <w:rPr>
          <w:rFonts w:ascii="Times New Roman" w:eastAsia="Calibri" w:hAnsi="Times New Roman" w:cs="Times New Roman"/>
          <w:i/>
          <w:u w:val="single"/>
          <w:lang w:eastAsia="lt-LT"/>
        </w:rPr>
      </w:pPr>
      <w:r w:rsidRPr="00F622AC">
        <w:rPr>
          <w:rFonts w:ascii="Times New Roman" w:eastAsia="Calibri" w:hAnsi="Times New Roman" w:cs="Times New Roman"/>
          <w:i/>
          <w:u w:val="single"/>
        </w:rPr>
        <w:lastRenderedPageBreak/>
        <w:t>Lėtinis hepatitas C į ankstesnį gydymą nereagavusiems pacientams</w:t>
      </w:r>
    </w:p>
    <w:p w:rsidR="00F622AC" w:rsidRPr="00F622AC" w:rsidRDefault="00F622AC" w:rsidP="00F622AC">
      <w:pPr>
        <w:keepNext/>
        <w:keepLines/>
        <w:spacing w:after="0" w:line="240" w:lineRule="auto"/>
        <w:rPr>
          <w:rFonts w:ascii="Times New Roman" w:eastAsia="Calibri" w:hAnsi="Times New Roman" w:cs="Times New Roman"/>
        </w:rPr>
      </w:pPr>
    </w:p>
    <w:p w:rsidR="00F622AC" w:rsidRPr="00F622AC" w:rsidRDefault="00F622AC" w:rsidP="00F622AC">
      <w:pPr>
        <w:keepNext/>
        <w:keepLine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MV17150 tyrimo metu pacientai, kurie nereagavo į ankstesnį gydymą pegiliuotu interferonu alfa-2b ir ribavirinu, buvo atsitiktine tvarka suskirstyti į keturias skirtingai gydomų pacientų grupes: </w:t>
      </w:r>
    </w:p>
    <w:p w:rsidR="00F622AC" w:rsidRPr="00F622AC" w:rsidRDefault="00F622AC" w:rsidP="00F622AC">
      <w:pPr>
        <w:numPr>
          <w:ilvl w:val="0"/>
          <w:numId w:val="31"/>
        </w:numPr>
        <w:tabs>
          <w:tab w:val="num" w:pos="284"/>
        </w:tabs>
        <w:spacing w:after="0" w:line="240" w:lineRule="auto"/>
        <w:ind w:left="284" w:hanging="284"/>
        <w:rPr>
          <w:rFonts w:ascii="Times New Roman" w:eastAsia="Calibri" w:hAnsi="Times New Roman" w:cs="Times New Roman"/>
        </w:rPr>
      </w:pPr>
      <w:r w:rsidRPr="00F622AC">
        <w:rPr>
          <w:rFonts w:ascii="Times New Roman" w:eastAsia="Calibri" w:hAnsi="Times New Roman" w:cs="Times New Roman"/>
        </w:rPr>
        <w:t>peginterferonas alfa-2a po 360 mkg per savaitę 12 savaičių, paskui po 180 mkg per savaitę kitas 60 savaičių;</w:t>
      </w:r>
    </w:p>
    <w:p w:rsidR="00F622AC" w:rsidRPr="00F622AC" w:rsidRDefault="00F622AC" w:rsidP="00F622AC">
      <w:pPr>
        <w:numPr>
          <w:ilvl w:val="0"/>
          <w:numId w:val="31"/>
        </w:numPr>
        <w:tabs>
          <w:tab w:val="num" w:pos="284"/>
        </w:tabs>
        <w:spacing w:after="0" w:line="240" w:lineRule="auto"/>
        <w:ind w:left="284" w:hanging="284"/>
        <w:rPr>
          <w:rFonts w:ascii="Times New Roman" w:eastAsia="Calibri" w:hAnsi="Times New Roman" w:cs="Times New Roman"/>
        </w:rPr>
      </w:pPr>
      <w:r w:rsidRPr="00F622AC">
        <w:rPr>
          <w:rFonts w:ascii="Times New Roman" w:eastAsia="Calibri" w:hAnsi="Times New Roman" w:cs="Times New Roman"/>
        </w:rPr>
        <w:t>peginterferonas alfa-2a po 360 mkg per savaitę 12 savaičių, paskui po 180 mkg per savaitę kitas 36 savaites;</w:t>
      </w:r>
    </w:p>
    <w:p w:rsidR="00F622AC" w:rsidRPr="00F622AC" w:rsidRDefault="00F622AC" w:rsidP="00F622AC">
      <w:pPr>
        <w:numPr>
          <w:ilvl w:val="0"/>
          <w:numId w:val="31"/>
        </w:numPr>
        <w:tabs>
          <w:tab w:val="num" w:pos="284"/>
        </w:tabs>
        <w:spacing w:after="0" w:line="240" w:lineRule="auto"/>
        <w:ind w:left="284" w:hanging="284"/>
        <w:rPr>
          <w:rFonts w:ascii="Times New Roman" w:eastAsia="Calibri" w:hAnsi="Times New Roman" w:cs="Times New Roman"/>
        </w:rPr>
      </w:pPr>
      <w:r w:rsidRPr="00F622AC">
        <w:rPr>
          <w:rFonts w:ascii="Times New Roman" w:eastAsia="Calibri" w:hAnsi="Times New Roman" w:cs="Times New Roman"/>
        </w:rPr>
        <w:t>peginterferonas alfa-2a po 180 mkg per savaitę 72 savaites;</w:t>
      </w:r>
    </w:p>
    <w:p w:rsidR="00F622AC" w:rsidRPr="00F622AC" w:rsidRDefault="00F622AC" w:rsidP="00F622AC">
      <w:pPr>
        <w:numPr>
          <w:ilvl w:val="0"/>
          <w:numId w:val="31"/>
        </w:numPr>
        <w:tabs>
          <w:tab w:val="num" w:pos="284"/>
        </w:tabs>
        <w:spacing w:after="0" w:line="240" w:lineRule="auto"/>
        <w:ind w:left="284" w:hanging="284"/>
        <w:rPr>
          <w:rFonts w:ascii="Times New Roman" w:eastAsia="Calibri" w:hAnsi="Times New Roman" w:cs="Times New Roman"/>
        </w:rPr>
      </w:pPr>
      <w:r w:rsidRPr="00F622AC">
        <w:rPr>
          <w:rFonts w:ascii="Times New Roman" w:eastAsia="Calibri" w:hAnsi="Times New Roman" w:cs="Times New Roman"/>
        </w:rPr>
        <w:t>peginterferonas alfa-2a po 180 mkg per savaitę 48 savaites.</w:t>
      </w: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Visiems pacientams buvo skiriama Copegus (1000 arba 1200 mg per parą) kartu su peginterferonu alfa-2a. Pabaigus gydymą visų grupių pacientai buvo stebimi 24 savaites.</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Daugeriopa regresija ir bendros grupių duomenų analizės, įvertinus gydymo trukmės ir indukcinio dozavimo įtaką, aiškiai nustatė, kad siekiant sukelti ilgalaikį virusologinį atsaką, 72 savaičių gydymo trukmė buvo svarbiausia. Ilgalaikio virusologinio atsako (IVA) skirtumai, atsižvelgiant į gydymo trukmę, demografiją ir geriausią atsaką į ankstesnį gydymą, pateikti 11 lentelėje.</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11 lentelė.</w:t>
      </w:r>
      <w:r w:rsidRPr="00F622AC">
        <w:rPr>
          <w:rFonts w:ascii="Times New Roman" w:eastAsia="Calibri" w:hAnsi="Times New Roman" w:cs="Times New Roman"/>
          <w:b/>
        </w:rPr>
        <w:tab/>
        <w:t>Virusologinis atsakas (VA) 12</w:t>
      </w:r>
      <w:r w:rsidRPr="00F622AC">
        <w:rPr>
          <w:rFonts w:ascii="Times New Roman" w:eastAsia="Calibri" w:hAnsi="Times New Roman" w:cs="Times New Roman"/>
          <w:b/>
        </w:rPr>
        <w:noBreakHyphen/>
        <w:t>ąją savaitę ir ilgalaikis virusologinis atsakas (IVA) pacientams, kuriems po gydymo Copegus ir peginterferono alfa-2a deriniu 12 savaitę buvo virusologinis atsakas ir kurie ankščiau į gydymą peginterferonu alfa-2b+ribavirinu nereagavo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51"/>
        <w:gridCol w:w="1966"/>
        <w:gridCol w:w="1966"/>
      </w:tblGrid>
      <w:tr w:rsidR="00F622AC" w:rsidRPr="00F622AC" w:rsidTr="002A1D7B">
        <w:tc>
          <w:tcPr>
            <w:tcW w:w="1643" w:type="pct"/>
          </w:tcPr>
          <w:p w:rsidR="00F622AC" w:rsidRPr="00F622AC" w:rsidRDefault="00F622AC" w:rsidP="00F622AC">
            <w:pPr>
              <w:keepNext/>
              <w:spacing w:after="0" w:line="240" w:lineRule="auto"/>
              <w:rPr>
                <w:rFonts w:ascii="Times New Roman" w:eastAsia="Calibri" w:hAnsi="Times New Roman" w:cs="Times New Roman"/>
                <w:i/>
              </w:rPr>
            </w:pPr>
          </w:p>
        </w:tc>
        <w:tc>
          <w:tcPr>
            <w:tcW w:w="1187" w:type="pct"/>
          </w:tcPr>
          <w:p w:rsidR="00F622AC" w:rsidRPr="00F622AC" w:rsidRDefault="00F622AC" w:rsidP="00F622AC">
            <w:pPr>
              <w:spacing w:after="0" w:line="240" w:lineRule="auto"/>
              <w:jc w:val="center"/>
              <w:rPr>
                <w:rFonts w:ascii="Times New Roman" w:eastAsia="Times New Roman" w:hAnsi="Times New Roman" w:cs="Times New Roman"/>
                <w:b/>
                <w:lang w:val="pt-BR"/>
              </w:rPr>
            </w:pPr>
            <w:r w:rsidRPr="00F622AC">
              <w:rPr>
                <w:rFonts w:ascii="Times New Roman" w:eastAsia="Times New Roman" w:hAnsi="Times New Roman" w:cs="Times New Roman"/>
                <w:b/>
                <w:lang w:val="pt-BR"/>
              </w:rPr>
              <w:t xml:space="preserve">Copegus </w:t>
            </w:r>
          </w:p>
          <w:p w:rsidR="00F622AC" w:rsidRPr="00F622AC" w:rsidRDefault="00F622AC" w:rsidP="00F622AC">
            <w:pPr>
              <w:spacing w:after="0" w:line="240" w:lineRule="auto"/>
              <w:jc w:val="center"/>
              <w:rPr>
                <w:rFonts w:ascii="Times New Roman" w:eastAsia="Times New Roman" w:hAnsi="Times New Roman" w:cs="Times New Roman"/>
                <w:lang w:val="pt-BR"/>
              </w:rPr>
            </w:pPr>
            <w:r w:rsidRPr="00F622AC">
              <w:rPr>
                <w:rFonts w:ascii="Times New Roman" w:eastAsia="Times New Roman" w:hAnsi="Times New Roman" w:cs="Times New Roman"/>
                <w:lang w:val="pt-BR"/>
              </w:rPr>
              <w:t>1000/1200 mg</w:t>
            </w:r>
          </w:p>
          <w:p w:rsidR="00F622AC" w:rsidRPr="00F622AC" w:rsidRDefault="00F622AC" w:rsidP="00F622AC">
            <w:pPr>
              <w:spacing w:after="0" w:line="240" w:lineRule="auto"/>
              <w:jc w:val="center"/>
              <w:rPr>
                <w:rFonts w:ascii="Times New Roman" w:eastAsia="Times New Roman" w:hAnsi="Times New Roman" w:cs="Times New Roman"/>
                <w:b/>
                <w:lang w:val="pt-BR"/>
              </w:rPr>
            </w:pPr>
            <w:r w:rsidRPr="00F622AC">
              <w:rPr>
                <w:rFonts w:ascii="Times New Roman" w:eastAsia="Times New Roman" w:hAnsi="Times New Roman" w:cs="Times New Roman"/>
                <w:b/>
                <w:lang w:val="pt-BR"/>
              </w:rPr>
              <w:t>ir</w:t>
            </w:r>
          </w:p>
          <w:p w:rsidR="00F622AC" w:rsidRPr="00F622AC" w:rsidRDefault="00F622AC" w:rsidP="00F622AC">
            <w:pPr>
              <w:spacing w:after="0" w:line="240" w:lineRule="auto"/>
              <w:jc w:val="center"/>
              <w:rPr>
                <w:rFonts w:ascii="Times New Roman" w:eastAsia="Times New Roman" w:hAnsi="Times New Roman" w:cs="Times New Roman"/>
                <w:b/>
                <w:lang w:val="pt-BR"/>
              </w:rPr>
            </w:pPr>
            <w:r w:rsidRPr="00F622AC">
              <w:rPr>
                <w:rFonts w:ascii="Times New Roman" w:eastAsia="Times New Roman" w:hAnsi="Times New Roman" w:cs="Times New Roman"/>
                <w:b/>
                <w:lang w:val="pt-BR"/>
              </w:rPr>
              <w:t xml:space="preserve">peginterferonas </w:t>
            </w:r>
          </w:p>
          <w:p w:rsidR="00F622AC" w:rsidRPr="00F622AC" w:rsidRDefault="00F622AC" w:rsidP="00F622AC">
            <w:pPr>
              <w:spacing w:after="0" w:line="240" w:lineRule="auto"/>
              <w:jc w:val="center"/>
              <w:rPr>
                <w:rFonts w:ascii="Times New Roman" w:eastAsia="Times New Roman" w:hAnsi="Times New Roman" w:cs="Times New Roman"/>
                <w:lang w:val="pt-BR"/>
              </w:rPr>
            </w:pPr>
            <w:r w:rsidRPr="00F622AC">
              <w:rPr>
                <w:rFonts w:ascii="Times New Roman" w:eastAsia="Times New Roman" w:hAnsi="Times New Roman" w:cs="Times New Roman"/>
                <w:b/>
                <w:lang w:val="pt-BR"/>
              </w:rPr>
              <w:t xml:space="preserve">alfa-2a </w:t>
            </w:r>
            <w:r w:rsidRPr="00F622AC">
              <w:rPr>
                <w:rFonts w:ascii="Times New Roman" w:eastAsia="Times New Roman" w:hAnsi="Times New Roman" w:cs="Times New Roman"/>
                <w:lang w:val="pt-BR"/>
              </w:rPr>
              <w:t>360/180 arba 180</w:t>
            </w:r>
            <w:r w:rsidRPr="00F622AC">
              <w:rPr>
                <w:rFonts w:ascii="Times New Roman" w:eastAsia="Calibri" w:hAnsi="Times New Roman" w:cs="Times New Roman"/>
              </w:rPr>
              <w:t> mk</w:t>
            </w:r>
            <w:r w:rsidRPr="00F622AC">
              <w:rPr>
                <w:rFonts w:ascii="Times New Roman" w:eastAsia="Times New Roman" w:hAnsi="Times New Roman" w:cs="Times New Roman"/>
                <w:lang w:val="pt-BR"/>
              </w:rPr>
              <w:t>g</w:t>
            </w:r>
            <w:r w:rsidRPr="00F622AC">
              <w:rPr>
                <w:rFonts w:ascii="Times New Roman" w:eastAsia="Times New Roman" w:hAnsi="Times New Roman" w:cs="Times New Roman"/>
                <w:b/>
                <w:lang w:val="pt-BR"/>
              </w:rPr>
              <w:t xml:space="preserve"> </w:t>
            </w:r>
            <w:r w:rsidRPr="00F622AC">
              <w:rPr>
                <w:rFonts w:ascii="Times New Roman" w:eastAsia="Times New Roman" w:hAnsi="Times New Roman" w:cs="Times New Roman"/>
                <w:b/>
                <w:lang w:val="pt-BR"/>
              </w:rPr>
              <w:br/>
            </w:r>
            <w:r w:rsidRPr="00F622AC">
              <w:rPr>
                <w:rFonts w:ascii="Times New Roman" w:eastAsia="Times New Roman" w:hAnsi="Times New Roman" w:cs="Times New Roman"/>
                <w:lang w:val="pt-BR"/>
              </w:rPr>
              <w:t>72 arba 48 savaitės</w:t>
            </w:r>
            <w:r w:rsidRPr="00F622AC">
              <w:rPr>
                <w:rFonts w:ascii="Times New Roman" w:eastAsia="Times New Roman" w:hAnsi="Times New Roman" w:cs="Times New Roman"/>
                <w:lang w:val="pt-BR"/>
              </w:rPr>
              <w:br/>
              <w:t>(N = 942)</w:t>
            </w:r>
          </w:p>
          <w:p w:rsidR="00F622AC" w:rsidRPr="00F622AC" w:rsidRDefault="00F622AC" w:rsidP="00F622AC">
            <w:pPr>
              <w:spacing w:after="0" w:line="240" w:lineRule="auto"/>
              <w:jc w:val="center"/>
              <w:rPr>
                <w:rFonts w:ascii="Times New Roman" w:eastAsia="Times New Roman" w:hAnsi="Times New Roman" w:cs="Times New Roman"/>
                <w:b/>
                <w:lang w:val="fi-FI"/>
              </w:rPr>
            </w:pPr>
            <w:r w:rsidRPr="00F622AC">
              <w:rPr>
                <w:rFonts w:ascii="Times New Roman" w:eastAsia="Times New Roman" w:hAnsi="Times New Roman" w:cs="Times New Roman"/>
                <w:b/>
                <w:lang w:val="fi-FI"/>
              </w:rPr>
              <w:t>Pacientai, kuriems yra</w:t>
            </w:r>
          </w:p>
          <w:p w:rsidR="00F622AC" w:rsidRPr="00F622AC" w:rsidRDefault="00F622AC" w:rsidP="00F622AC">
            <w:pPr>
              <w:keepNext/>
              <w:spacing w:after="0" w:line="240" w:lineRule="auto"/>
              <w:jc w:val="center"/>
              <w:rPr>
                <w:rFonts w:ascii="Times New Roman" w:eastAsia="Times New Roman" w:hAnsi="Times New Roman" w:cs="Times New Roman"/>
                <w:i/>
                <w:iCs/>
                <w:lang w:val="fr-FR" w:eastAsia="lt-LT"/>
              </w:rPr>
            </w:pPr>
            <w:r w:rsidRPr="00F622AC">
              <w:rPr>
                <w:rFonts w:ascii="Times New Roman" w:eastAsia="Times New Roman" w:hAnsi="Times New Roman" w:cs="Times New Roman"/>
                <w:b/>
                <w:lang w:val="fr-FR" w:eastAsia="lt-LT"/>
              </w:rPr>
              <w:t>VA 12 savaitę</w:t>
            </w:r>
            <w:r w:rsidRPr="00F622AC">
              <w:rPr>
                <w:rFonts w:ascii="Times New Roman" w:eastAsia="Times New Roman" w:hAnsi="Times New Roman" w:cs="Times New Roman"/>
                <w:b/>
                <w:vertAlign w:val="superscript"/>
                <w:lang w:val="fr-FR" w:eastAsia="lt-LT"/>
              </w:rPr>
              <w:t xml:space="preserve"> a</w:t>
            </w:r>
            <w:r w:rsidRPr="00F622AC">
              <w:rPr>
                <w:rFonts w:ascii="Times New Roman" w:eastAsia="Times New Roman" w:hAnsi="Times New Roman" w:cs="Times New Roman"/>
                <w:b/>
                <w:lang w:val="fr-FR" w:eastAsia="lt-LT"/>
              </w:rPr>
              <w:br/>
              <w:t>(N = 876)</w:t>
            </w:r>
          </w:p>
        </w:tc>
        <w:tc>
          <w:tcPr>
            <w:tcW w:w="1085" w:type="pct"/>
          </w:tcPr>
          <w:p w:rsidR="00F622AC" w:rsidRPr="00F622AC" w:rsidRDefault="00F622AC" w:rsidP="00F622AC">
            <w:pPr>
              <w:spacing w:after="0" w:line="240" w:lineRule="auto"/>
              <w:jc w:val="center"/>
              <w:rPr>
                <w:rFonts w:ascii="Times New Roman" w:eastAsia="Times New Roman" w:hAnsi="Times New Roman" w:cs="Times New Roman"/>
                <w:b/>
                <w:lang w:val="pt-BR"/>
              </w:rPr>
            </w:pPr>
            <w:r w:rsidRPr="00F622AC">
              <w:rPr>
                <w:rFonts w:ascii="Times New Roman" w:eastAsia="Times New Roman" w:hAnsi="Times New Roman" w:cs="Times New Roman"/>
                <w:b/>
                <w:lang w:val="pt-BR"/>
              </w:rPr>
              <w:t xml:space="preserve">Copegus </w:t>
            </w:r>
          </w:p>
          <w:p w:rsidR="00F622AC" w:rsidRPr="00F622AC" w:rsidRDefault="00F622AC" w:rsidP="00F622AC">
            <w:pPr>
              <w:spacing w:after="0" w:line="240" w:lineRule="auto"/>
              <w:jc w:val="center"/>
              <w:rPr>
                <w:rFonts w:ascii="Times New Roman" w:eastAsia="Times New Roman" w:hAnsi="Times New Roman" w:cs="Times New Roman"/>
                <w:lang w:val="pt-BR"/>
              </w:rPr>
            </w:pPr>
            <w:r w:rsidRPr="00F622AC">
              <w:rPr>
                <w:rFonts w:ascii="Times New Roman" w:eastAsia="Times New Roman" w:hAnsi="Times New Roman" w:cs="Times New Roman"/>
                <w:lang w:val="pt-BR"/>
              </w:rPr>
              <w:t>1000/1200 mg</w:t>
            </w:r>
          </w:p>
          <w:p w:rsidR="00F622AC" w:rsidRPr="00F622AC" w:rsidRDefault="00F622AC" w:rsidP="00F622AC">
            <w:pPr>
              <w:spacing w:after="0" w:line="240" w:lineRule="auto"/>
              <w:jc w:val="center"/>
              <w:rPr>
                <w:rFonts w:ascii="Times New Roman" w:eastAsia="Times New Roman" w:hAnsi="Times New Roman" w:cs="Times New Roman"/>
                <w:b/>
                <w:lang w:val="pt-BR"/>
              </w:rPr>
            </w:pPr>
            <w:r w:rsidRPr="00F622AC">
              <w:rPr>
                <w:rFonts w:ascii="Times New Roman" w:eastAsia="Times New Roman" w:hAnsi="Times New Roman" w:cs="Times New Roman"/>
                <w:b/>
                <w:lang w:val="pt-BR"/>
              </w:rPr>
              <w:t>ir</w:t>
            </w:r>
          </w:p>
          <w:p w:rsidR="00F622AC" w:rsidRPr="00F622AC" w:rsidRDefault="00F622AC" w:rsidP="00F622AC">
            <w:pPr>
              <w:keepNext/>
              <w:spacing w:after="0" w:line="240" w:lineRule="auto"/>
              <w:jc w:val="center"/>
              <w:rPr>
                <w:rFonts w:ascii="Times New Roman" w:eastAsia="Times New Roman" w:hAnsi="Times New Roman" w:cs="Times New Roman"/>
                <w:b/>
                <w:lang w:val="pt-BR" w:eastAsia="lt-LT"/>
              </w:rPr>
            </w:pPr>
            <w:r w:rsidRPr="00F622AC">
              <w:rPr>
                <w:rFonts w:ascii="Times New Roman" w:eastAsia="Times New Roman" w:hAnsi="Times New Roman" w:cs="Times New Roman"/>
                <w:b/>
                <w:lang w:val="pt-BR" w:eastAsia="lt-LT"/>
              </w:rPr>
              <w:t xml:space="preserve">peginterferonas alfa-2a </w:t>
            </w:r>
            <w:r w:rsidRPr="00F622AC">
              <w:rPr>
                <w:rFonts w:ascii="Times New Roman" w:eastAsia="Times New Roman" w:hAnsi="Times New Roman" w:cs="Times New Roman"/>
                <w:lang w:val="pt-BR" w:eastAsia="lt-LT"/>
              </w:rPr>
              <w:t>360/180 arba 180</w:t>
            </w:r>
            <w:r w:rsidRPr="00F622AC">
              <w:rPr>
                <w:rFonts w:ascii="Times New Roman" w:eastAsia="Calibri" w:hAnsi="Times New Roman" w:cs="Times New Roman"/>
              </w:rPr>
              <w:t> mk</w:t>
            </w:r>
            <w:r w:rsidRPr="00F622AC">
              <w:rPr>
                <w:rFonts w:ascii="Times New Roman" w:eastAsia="Times New Roman" w:hAnsi="Times New Roman" w:cs="Times New Roman"/>
                <w:lang w:val="pt-BR"/>
              </w:rPr>
              <w:t>g</w:t>
            </w:r>
            <w:r w:rsidRPr="00F622AC">
              <w:rPr>
                <w:rFonts w:ascii="Times New Roman" w:eastAsia="Times New Roman" w:hAnsi="Times New Roman" w:cs="Times New Roman"/>
                <w:b/>
                <w:lang w:val="pt-BR" w:eastAsia="lt-LT"/>
              </w:rPr>
              <w:t xml:space="preserve"> </w:t>
            </w:r>
          </w:p>
          <w:p w:rsidR="00F622AC" w:rsidRPr="00F622AC" w:rsidRDefault="00F622AC" w:rsidP="00F622AC">
            <w:pPr>
              <w:keepNext/>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72 savaitės</w:t>
            </w:r>
            <w:r w:rsidRPr="00F622AC">
              <w:rPr>
                <w:rFonts w:ascii="Times New Roman" w:eastAsia="Calibri" w:hAnsi="Times New Roman" w:cs="Times New Roman"/>
              </w:rPr>
              <w:br/>
              <w:t>(N = 473)</w:t>
            </w:r>
          </w:p>
          <w:p w:rsidR="00F622AC" w:rsidRPr="00F622AC" w:rsidRDefault="00F622AC" w:rsidP="00F622AC">
            <w:pPr>
              <w:keepNext/>
              <w:spacing w:after="0" w:line="240" w:lineRule="auto"/>
              <w:jc w:val="center"/>
              <w:rPr>
                <w:rFonts w:ascii="Times New Roman" w:eastAsia="Times New Roman" w:hAnsi="Times New Roman" w:cs="Times New Roman"/>
                <w:b/>
                <w:i/>
                <w:iCs/>
                <w:lang w:val="pt-BR" w:eastAsia="lt-LT"/>
              </w:rPr>
            </w:pPr>
            <w:r w:rsidRPr="00F622AC">
              <w:rPr>
                <w:rFonts w:ascii="Times New Roman" w:eastAsia="Times New Roman" w:hAnsi="Times New Roman" w:cs="Times New Roman"/>
                <w:b/>
                <w:lang w:val="pt-BR" w:eastAsia="lt-LT"/>
              </w:rPr>
              <w:t>IVA pacientams, kuriems yra VA 12 savaitę</w:t>
            </w:r>
            <w:r w:rsidRPr="00F622AC">
              <w:rPr>
                <w:rFonts w:ascii="Times New Roman" w:eastAsia="Times New Roman" w:hAnsi="Times New Roman" w:cs="Times New Roman"/>
                <w:b/>
                <w:vertAlign w:val="superscript"/>
                <w:lang w:val="pt-BR" w:eastAsia="lt-LT"/>
              </w:rPr>
              <w:t xml:space="preserve"> b</w:t>
            </w:r>
            <w:r w:rsidRPr="00F622AC">
              <w:rPr>
                <w:rFonts w:ascii="Times New Roman" w:eastAsia="Times New Roman" w:hAnsi="Times New Roman" w:cs="Times New Roman"/>
                <w:b/>
                <w:lang w:val="pt-BR" w:eastAsia="lt-LT"/>
              </w:rPr>
              <w:br/>
              <w:t>(N = 100)</w:t>
            </w:r>
          </w:p>
        </w:tc>
        <w:tc>
          <w:tcPr>
            <w:tcW w:w="1085" w:type="pct"/>
          </w:tcPr>
          <w:p w:rsidR="00F622AC" w:rsidRPr="00F622AC" w:rsidRDefault="00F622AC" w:rsidP="00F622AC">
            <w:pPr>
              <w:spacing w:after="0" w:line="240" w:lineRule="auto"/>
              <w:jc w:val="center"/>
              <w:rPr>
                <w:rFonts w:ascii="Times New Roman" w:eastAsia="Times New Roman" w:hAnsi="Times New Roman" w:cs="Times New Roman"/>
                <w:lang w:val="pt-BR"/>
              </w:rPr>
            </w:pPr>
            <w:r w:rsidRPr="00F622AC">
              <w:rPr>
                <w:rFonts w:ascii="Times New Roman" w:eastAsia="Times New Roman" w:hAnsi="Times New Roman" w:cs="Times New Roman"/>
                <w:b/>
                <w:lang w:val="pt-BR"/>
              </w:rPr>
              <w:t>Copegus</w:t>
            </w:r>
            <w:r w:rsidRPr="00F622AC">
              <w:rPr>
                <w:rFonts w:ascii="Times New Roman" w:eastAsia="Times New Roman" w:hAnsi="Times New Roman" w:cs="Times New Roman"/>
                <w:lang w:val="pt-BR"/>
              </w:rPr>
              <w:t xml:space="preserve"> </w:t>
            </w:r>
          </w:p>
          <w:p w:rsidR="00F622AC" w:rsidRPr="00F622AC" w:rsidRDefault="00F622AC" w:rsidP="00F622AC">
            <w:pPr>
              <w:spacing w:after="0" w:line="240" w:lineRule="auto"/>
              <w:jc w:val="center"/>
              <w:rPr>
                <w:rFonts w:ascii="Times New Roman" w:eastAsia="Times New Roman" w:hAnsi="Times New Roman" w:cs="Times New Roman"/>
                <w:lang w:val="pt-BR"/>
              </w:rPr>
            </w:pPr>
            <w:r w:rsidRPr="00F622AC">
              <w:rPr>
                <w:rFonts w:ascii="Times New Roman" w:eastAsia="Times New Roman" w:hAnsi="Times New Roman" w:cs="Times New Roman"/>
                <w:lang w:val="pt-BR"/>
              </w:rPr>
              <w:t>1000/1200 mg</w:t>
            </w:r>
          </w:p>
          <w:p w:rsidR="00F622AC" w:rsidRPr="00F622AC" w:rsidRDefault="00F622AC" w:rsidP="00F622AC">
            <w:pPr>
              <w:spacing w:after="0" w:line="240" w:lineRule="auto"/>
              <w:jc w:val="center"/>
              <w:rPr>
                <w:rFonts w:ascii="Times New Roman" w:eastAsia="Times New Roman" w:hAnsi="Times New Roman" w:cs="Times New Roman"/>
                <w:b/>
                <w:lang w:val="pt-BR"/>
              </w:rPr>
            </w:pPr>
            <w:r w:rsidRPr="00F622AC">
              <w:rPr>
                <w:rFonts w:ascii="Times New Roman" w:eastAsia="Times New Roman" w:hAnsi="Times New Roman" w:cs="Times New Roman"/>
                <w:b/>
                <w:lang w:val="pt-BR"/>
              </w:rPr>
              <w:t>ir</w:t>
            </w:r>
          </w:p>
          <w:p w:rsidR="00F622AC" w:rsidRPr="00F622AC" w:rsidRDefault="00F622AC" w:rsidP="00F622AC">
            <w:pPr>
              <w:keepNext/>
              <w:spacing w:after="0" w:line="240" w:lineRule="auto"/>
              <w:jc w:val="center"/>
              <w:rPr>
                <w:rFonts w:ascii="Times New Roman" w:eastAsia="Times New Roman" w:hAnsi="Times New Roman" w:cs="Times New Roman"/>
                <w:b/>
                <w:lang w:val="pt-BR" w:eastAsia="lt-LT"/>
              </w:rPr>
            </w:pPr>
            <w:r w:rsidRPr="00F622AC">
              <w:rPr>
                <w:rFonts w:ascii="Times New Roman" w:eastAsia="Times New Roman" w:hAnsi="Times New Roman" w:cs="Times New Roman"/>
                <w:b/>
                <w:lang w:val="pt-BR" w:eastAsia="lt-LT"/>
              </w:rPr>
              <w:t>peginterferonas alfa-2a</w:t>
            </w:r>
            <w:r w:rsidRPr="00F622AC">
              <w:rPr>
                <w:rFonts w:ascii="Times New Roman" w:eastAsia="Times New Roman" w:hAnsi="Times New Roman" w:cs="Times New Roman"/>
                <w:lang w:val="pt-BR" w:eastAsia="lt-LT"/>
              </w:rPr>
              <w:t xml:space="preserve"> 360/180 arba 180</w:t>
            </w:r>
            <w:r w:rsidRPr="00F622AC">
              <w:rPr>
                <w:rFonts w:ascii="Times New Roman" w:eastAsia="Calibri" w:hAnsi="Times New Roman" w:cs="Times New Roman"/>
              </w:rPr>
              <w:t> mk</w:t>
            </w:r>
            <w:r w:rsidRPr="00F622AC">
              <w:rPr>
                <w:rFonts w:ascii="Times New Roman" w:eastAsia="Times New Roman" w:hAnsi="Times New Roman" w:cs="Times New Roman"/>
                <w:lang w:val="pt-BR"/>
              </w:rPr>
              <w:t>g</w:t>
            </w:r>
            <w:r w:rsidRPr="00F622AC">
              <w:rPr>
                <w:rFonts w:ascii="Times New Roman" w:eastAsia="Times New Roman" w:hAnsi="Times New Roman" w:cs="Times New Roman"/>
                <w:b/>
                <w:lang w:val="pt-BR" w:eastAsia="lt-LT"/>
              </w:rPr>
              <w:t xml:space="preserve"> </w:t>
            </w:r>
          </w:p>
          <w:p w:rsidR="00F622AC" w:rsidRPr="00F622AC" w:rsidRDefault="00F622AC" w:rsidP="00F622AC">
            <w:pPr>
              <w:keepNext/>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48 savaitės</w:t>
            </w:r>
            <w:r w:rsidRPr="00F622AC">
              <w:rPr>
                <w:rFonts w:ascii="Times New Roman" w:eastAsia="Calibri" w:hAnsi="Times New Roman" w:cs="Times New Roman"/>
              </w:rPr>
              <w:br/>
              <w:t>(N = 469)</w:t>
            </w:r>
          </w:p>
          <w:p w:rsidR="00F622AC" w:rsidRPr="00F622AC" w:rsidRDefault="00F622AC" w:rsidP="00F622AC">
            <w:pPr>
              <w:keepNext/>
              <w:spacing w:after="0" w:line="240" w:lineRule="auto"/>
              <w:jc w:val="center"/>
              <w:rPr>
                <w:rFonts w:ascii="Times New Roman" w:eastAsia="Times New Roman" w:hAnsi="Times New Roman" w:cs="Times New Roman"/>
                <w:b/>
                <w:i/>
                <w:iCs/>
                <w:lang w:val="pt-BR" w:eastAsia="lt-LT"/>
              </w:rPr>
            </w:pPr>
            <w:r w:rsidRPr="00F622AC">
              <w:rPr>
                <w:rFonts w:ascii="Times New Roman" w:eastAsia="Times New Roman" w:hAnsi="Times New Roman" w:cs="Times New Roman"/>
                <w:b/>
                <w:lang w:val="pt-BR" w:eastAsia="lt-LT"/>
              </w:rPr>
              <w:t>IVA pacientams, kuriems yra VA 12 savaitę</w:t>
            </w:r>
            <w:r w:rsidRPr="00F622AC">
              <w:rPr>
                <w:rFonts w:ascii="Times New Roman" w:eastAsia="Times New Roman" w:hAnsi="Times New Roman" w:cs="Times New Roman"/>
                <w:b/>
                <w:vertAlign w:val="superscript"/>
                <w:lang w:val="pt-BR" w:eastAsia="lt-LT"/>
              </w:rPr>
              <w:t xml:space="preserve"> b </w:t>
            </w:r>
            <w:r w:rsidRPr="00F622AC">
              <w:rPr>
                <w:rFonts w:ascii="Times New Roman" w:eastAsia="Times New Roman" w:hAnsi="Times New Roman" w:cs="Times New Roman"/>
                <w:b/>
                <w:lang w:val="pt-BR" w:eastAsia="lt-LT"/>
              </w:rPr>
              <w:br/>
              <w:t>(N = 57)</w:t>
            </w:r>
          </w:p>
        </w:tc>
      </w:tr>
      <w:tr w:rsidR="00F622AC" w:rsidRPr="00F622AC" w:rsidTr="002A1D7B">
        <w:trPr>
          <w:trHeight w:val="785"/>
        </w:trPr>
        <w:tc>
          <w:tcPr>
            <w:tcW w:w="1643" w:type="pct"/>
          </w:tcPr>
          <w:p w:rsidR="00F622AC" w:rsidRPr="00F622AC" w:rsidRDefault="00F622AC" w:rsidP="00F622AC">
            <w:pPr>
              <w:keepNext/>
              <w:spacing w:after="0" w:line="240" w:lineRule="auto"/>
              <w:rPr>
                <w:rFonts w:ascii="Times New Roman" w:eastAsia="Times New Roman" w:hAnsi="Times New Roman" w:cs="Times New Roman"/>
                <w:b/>
                <w:i/>
                <w:iCs/>
                <w:lang w:val="pt-BR" w:eastAsia="lt-LT"/>
              </w:rPr>
            </w:pPr>
            <w:r w:rsidRPr="00F622AC">
              <w:rPr>
                <w:rFonts w:ascii="Times New Roman" w:eastAsia="Times New Roman" w:hAnsi="Times New Roman" w:cs="Times New Roman"/>
                <w:b/>
                <w:lang w:val="pt-BR" w:eastAsia="lt-LT"/>
              </w:rPr>
              <w:t>Iš viso</w:t>
            </w:r>
          </w:p>
          <w:p w:rsidR="00F622AC" w:rsidRPr="00F622AC" w:rsidRDefault="00F622AC" w:rsidP="00F622AC">
            <w:pPr>
              <w:keepNext/>
              <w:spacing w:after="0" w:line="240" w:lineRule="auto"/>
              <w:rPr>
                <w:rFonts w:ascii="Times New Roman" w:eastAsia="Times New Roman" w:hAnsi="Times New Roman" w:cs="Times New Roman"/>
                <w:i/>
                <w:iCs/>
                <w:lang w:val="pt-BR" w:eastAsia="lt-LT"/>
              </w:rPr>
            </w:pPr>
            <w:r w:rsidRPr="00F622AC">
              <w:rPr>
                <w:rFonts w:ascii="Times New Roman" w:eastAsia="Times New Roman" w:hAnsi="Times New Roman" w:cs="Times New Roman"/>
                <w:lang w:val="pt-BR" w:eastAsia="lt-LT"/>
              </w:rPr>
              <w:t xml:space="preserve">    Neryški viremija</w:t>
            </w:r>
          </w:p>
          <w:p w:rsidR="00F622AC" w:rsidRPr="00F622AC" w:rsidRDefault="00F622AC" w:rsidP="00F622AC">
            <w:pPr>
              <w:keepNext/>
              <w:spacing w:after="0" w:line="240" w:lineRule="auto"/>
              <w:rPr>
                <w:rFonts w:ascii="Times New Roman" w:eastAsia="Times New Roman" w:hAnsi="Times New Roman" w:cs="Times New Roman"/>
                <w:i/>
                <w:iCs/>
                <w:lang w:val="pt-BR" w:eastAsia="lt-LT"/>
              </w:rPr>
            </w:pPr>
            <w:r w:rsidRPr="00F622AC">
              <w:rPr>
                <w:rFonts w:ascii="Times New Roman" w:eastAsia="Times New Roman" w:hAnsi="Times New Roman" w:cs="Times New Roman"/>
                <w:lang w:val="pt-BR" w:eastAsia="lt-LT"/>
              </w:rPr>
              <w:t xml:space="preserve">    Ryški viremija</w:t>
            </w:r>
          </w:p>
        </w:tc>
        <w:tc>
          <w:tcPr>
            <w:tcW w:w="1187" w:type="pct"/>
          </w:tcPr>
          <w:p w:rsidR="00F622AC" w:rsidRPr="00F622AC" w:rsidRDefault="00F622AC" w:rsidP="00F622AC">
            <w:pPr>
              <w:keepNext/>
              <w:spacing w:after="0" w:line="240" w:lineRule="auto"/>
              <w:rPr>
                <w:rFonts w:ascii="Times New Roman" w:eastAsia="Calibri" w:hAnsi="Times New Roman" w:cs="Times New Roman"/>
                <w:i/>
              </w:rPr>
            </w:pPr>
            <w:r w:rsidRPr="00F622AC">
              <w:rPr>
                <w:rFonts w:ascii="Times New Roman" w:eastAsia="Times New Roman" w:hAnsi="Times New Roman" w:cs="Times New Roman"/>
                <w:lang w:val="pt-BR" w:eastAsia="lt-LT"/>
              </w:rPr>
              <w:t xml:space="preserve">   </w:t>
            </w:r>
            <w:r w:rsidRPr="00F622AC">
              <w:rPr>
                <w:rFonts w:ascii="Times New Roman" w:eastAsia="Calibri" w:hAnsi="Times New Roman" w:cs="Times New Roman"/>
              </w:rPr>
              <w:t>18 % (157/876)</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35 % (56/159)</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14 % (97/686)</w:t>
            </w:r>
          </w:p>
        </w:tc>
        <w:tc>
          <w:tcPr>
            <w:tcW w:w="1085" w:type="pct"/>
          </w:tcPr>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57 % (57/100)</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63 % (22/35)</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54 % (34/63)</w:t>
            </w:r>
          </w:p>
        </w:tc>
        <w:tc>
          <w:tcPr>
            <w:tcW w:w="1085" w:type="pct"/>
          </w:tcPr>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35 % (20/57)</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38 % (8/21)</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32 % (11/34)</w:t>
            </w:r>
          </w:p>
        </w:tc>
      </w:tr>
      <w:tr w:rsidR="00F622AC" w:rsidRPr="00F622AC" w:rsidTr="002A1D7B">
        <w:tc>
          <w:tcPr>
            <w:tcW w:w="1643" w:type="pct"/>
          </w:tcPr>
          <w:p w:rsidR="00F622AC" w:rsidRPr="00F622AC" w:rsidRDefault="00F622AC" w:rsidP="00F622AC">
            <w:pPr>
              <w:keepNext/>
              <w:spacing w:after="0" w:line="240" w:lineRule="auto"/>
              <w:rPr>
                <w:rFonts w:ascii="Times New Roman" w:eastAsia="Calibri" w:hAnsi="Times New Roman" w:cs="Times New Roman"/>
                <w:b/>
              </w:rPr>
            </w:pPr>
            <w:r w:rsidRPr="00F622AC">
              <w:rPr>
                <w:rFonts w:ascii="Times New Roman" w:eastAsia="Calibri" w:hAnsi="Times New Roman" w:cs="Times New Roman"/>
                <w:b/>
              </w:rPr>
              <w:t>Genotipas 1/4</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Neryški viremija</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Ryški viremija</w:t>
            </w:r>
          </w:p>
        </w:tc>
        <w:tc>
          <w:tcPr>
            <w:tcW w:w="1187" w:type="pct"/>
          </w:tcPr>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17 % (140/846)</w:t>
            </w:r>
          </w:p>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35 % (54/154)</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13 % (84/663)</w:t>
            </w:r>
          </w:p>
        </w:tc>
        <w:tc>
          <w:tcPr>
            <w:tcW w:w="1085" w:type="pct"/>
          </w:tcPr>
          <w:p w:rsidR="00F622AC" w:rsidRPr="00F622AC" w:rsidRDefault="00F622AC" w:rsidP="00F622AC">
            <w:pPr>
              <w:keepNext/>
              <w:spacing w:after="0" w:line="240" w:lineRule="auto"/>
              <w:ind w:firstLine="240"/>
              <w:rPr>
                <w:rFonts w:ascii="Times New Roman" w:eastAsia="Calibri" w:hAnsi="Times New Roman" w:cs="Times New Roman"/>
                <w:lang w:eastAsia="lt-LT"/>
              </w:rPr>
            </w:pPr>
            <w:r w:rsidRPr="00F622AC">
              <w:rPr>
                <w:rFonts w:ascii="Times New Roman" w:eastAsia="Calibri" w:hAnsi="Times New Roman" w:cs="Times New Roman"/>
              </w:rPr>
              <w:t>55 % (52/94)</w:t>
            </w:r>
          </w:p>
          <w:p w:rsidR="00F622AC" w:rsidRPr="00F622AC" w:rsidRDefault="00F622AC" w:rsidP="00F622AC">
            <w:pPr>
              <w:keepNext/>
              <w:spacing w:after="0" w:line="240" w:lineRule="auto"/>
              <w:ind w:firstLine="240"/>
              <w:rPr>
                <w:rFonts w:ascii="Times New Roman" w:eastAsia="Calibri" w:hAnsi="Times New Roman" w:cs="Times New Roman"/>
                <w:lang w:eastAsia="lt-LT"/>
              </w:rPr>
            </w:pPr>
            <w:r w:rsidRPr="00F622AC">
              <w:rPr>
                <w:rFonts w:ascii="Times New Roman" w:eastAsia="Calibri" w:hAnsi="Times New Roman" w:cs="Times New Roman"/>
              </w:rPr>
              <w:t>63 % (22/35)</w:t>
            </w:r>
          </w:p>
          <w:p w:rsidR="00F622AC" w:rsidRPr="00F622AC" w:rsidRDefault="00F622AC" w:rsidP="00F622AC">
            <w:pPr>
              <w:keepNext/>
              <w:spacing w:after="0" w:line="240" w:lineRule="auto"/>
              <w:ind w:firstLine="240"/>
              <w:rPr>
                <w:rFonts w:ascii="Times New Roman" w:eastAsia="Calibri" w:hAnsi="Times New Roman" w:cs="Times New Roman"/>
                <w:i/>
                <w:lang w:eastAsia="lt-LT"/>
              </w:rPr>
            </w:pPr>
            <w:r w:rsidRPr="00F622AC">
              <w:rPr>
                <w:rFonts w:ascii="Times New Roman" w:eastAsia="Calibri" w:hAnsi="Times New Roman" w:cs="Times New Roman"/>
              </w:rPr>
              <w:t>52 % (30/58)</w:t>
            </w:r>
          </w:p>
        </w:tc>
        <w:tc>
          <w:tcPr>
            <w:tcW w:w="1085" w:type="pct"/>
          </w:tcPr>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35 % (16/46)</w:t>
            </w:r>
          </w:p>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37 % (7/19)</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35 % (9/26)</w:t>
            </w:r>
          </w:p>
        </w:tc>
      </w:tr>
      <w:tr w:rsidR="00F622AC" w:rsidRPr="00F622AC" w:rsidTr="002A1D7B">
        <w:tc>
          <w:tcPr>
            <w:tcW w:w="1643" w:type="pct"/>
          </w:tcPr>
          <w:p w:rsidR="00F622AC" w:rsidRPr="00F622AC" w:rsidRDefault="00F622AC" w:rsidP="00F622AC">
            <w:pPr>
              <w:keepNext/>
              <w:spacing w:after="0" w:line="240" w:lineRule="auto"/>
              <w:rPr>
                <w:rFonts w:ascii="Times New Roman" w:eastAsia="Calibri" w:hAnsi="Times New Roman" w:cs="Times New Roman"/>
                <w:b/>
              </w:rPr>
            </w:pPr>
            <w:r w:rsidRPr="00F622AC">
              <w:rPr>
                <w:rFonts w:ascii="Times New Roman" w:eastAsia="Calibri" w:hAnsi="Times New Roman" w:cs="Times New Roman"/>
                <w:b/>
              </w:rPr>
              <w:t>Genotipas 2/3</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Neryški viremija</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Ryški viremija</w:t>
            </w:r>
          </w:p>
        </w:tc>
        <w:tc>
          <w:tcPr>
            <w:tcW w:w="1187" w:type="pct"/>
          </w:tcPr>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58 % (15/26)</w:t>
            </w:r>
          </w:p>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(2/5)</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(11/19)</w:t>
            </w:r>
          </w:p>
        </w:tc>
        <w:tc>
          <w:tcPr>
            <w:tcW w:w="1085" w:type="pct"/>
          </w:tcPr>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(4/5)</w:t>
            </w:r>
          </w:p>
          <w:p w:rsidR="00F622AC" w:rsidRPr="00F622AC" w:rsidRDefault="00F622AC" w:rsidP="00F622AC">
            <w:pPr>
              <w:keepNext/>
              <w:spacing w:after="0" w:line="240" w:lineRule="auto"/>
              <w:ind w:firstLine="225"/>
              <w:rPr>
                <w:rFonts w:ascii="Times New Roman" w:eastAsia="Calibri" w:hAnsi="Times New Roman" w:cs="Times New Roman"/>
              </w:rPr>
            </w:pPr>
            <w:r w:rsidRPr="00F622AC">
              <w:rPr>
                <w:rFonts w:ascii="Times New Roman" w:eastAsia="Calibri" w:hAnsi="Times New Roman" w:cs="Times New Roman"/>
              </w:rPr>
              <w:t>—</w:t>
            </w:r>
          </w:p>
          <w:p w:rsidR="00F622AC" w:rsidRPr="00F622AC" w:rsidRDefault="00F622AC" w:rsidP="00F622AC">
            <w:pPr>
              <w:keepNext/>
              <w:spacing w:after="0" w:line="240" w:lineRule="auto"/>
              <w:ind w:firstLine="225"/>
              <w:rPr>
                <w:rFonts w:ascii="Times New Roman" w:eastAsia="Calibri" w:hAnsi="Times New Roman" w:cs="Times New Roman"/>
                <w:lang w:eastAsia="lt-LT"/>
              </w:rPr>
            </w:pPr>
            <w:r w:rsidRPr="00F622AC">
              <w:rPr>
                <w:rFonts w:ascii="Times New Roman" w:eastAsia="Calibri" w:hAnsi="Times New Roman" w:cs="Times New Roman"/>
              </w:rPr>
              <w:t xml:space="preserve">         (3/4)</w:t>
            </w:r>
          </w:p>
        </w:tc>
        <w:tc>
          <w:tcPr>
            <w:tcW w:w="1085" w:type="pct"/>
          </w:tcPr>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(3/10)</w:t>
            </w:r>
          </w:p>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(1/2)</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(1/7)</w:t>
            </w:r>
          </w:p>
        </w:tc>
      </w:tr>
      <w:tr w:rsidR="00F622AC" w:rsidRPr="00F622AC" w:rsidTr="002A1D7B">
        <w:tc>
          <w:tcPr>
            <w:tcW w:w="1643" w:type="pct"/>
          </w:tcPr>
          <w:p w:rsidR="00F622AC" w:rsidRPr="00F622AC" w:rsidRDefault="00F622AC" w:rsidP="00F622AC">
            <w:pPr>
              <w:keepNext/>
              <w:spacing w:after="0" w:line="240" w:lineRule="auto"/>
              <w:rPr>
                <w:rFonts w:ascii="Times New Roman" w:eastAsia="Calibri" w:hAnsi="Times New Roman" w:cs="Times New Roman"/>
                <w:b/>
              </w:rPr>
            </w:pPr>
            <w:r w:rsidRPr="00F622AC">
              <w:rPr>
                <w:rFonts w:ascii="Times New Roman" w:eastAsia="Calibri" w:hAnsi="Times New Roman" w:cs="Times New Roman"/>
                <w:b/>
              </w:rPr>
              <w:t>Cirozės būklė</w:t>
            </w:r>
          </w:p>
          <w:p w:rsidR="00F622AC" w:rsidRPr="00F622AC" w:rsidRDefault="00F622AC" w:rsidP="00F622AC">
            <w:pPr>
              <w:keepNext/>
              <w:spacing w:after="0" w:line="240" w:lineRule="auto"/>
              <w:ind w:firstLine="225"/>
              <w:rPr>
                <w:rFonts w:ascii="Times New Roman" w:eastAsia="Calibri" w:hAnsi="Times New Roman" w:cs="Times New Roman"/>
                <w:lang w:eastAsia="lt-LT"/>
              </w:rPr>
            </w:pPr>
            <w:r w:rsidRPr="00F622AC">
              <w:rPr>
                <w:rFonts w:ascii="Times New Roman" w:eastAsia="Calibri" w:hAnsi="Times New Roman" w:cs="Times New Roman"/>
              </w:rPr>
              <w:t>Cirozė yra</w:t>
            </w:r>
          </w:p>
          <w:p w:rsidR="00F622AC" w:rsidRPr="00F622AC" w:rsidRDefault="00F622AC" w:rsidP="00F622AC">
            <w:pPr>
              <w:keepNext/>
              <w:spacing w:after="0" w:line="240" w:lineRule="auto"/>
              <w:ind w:firstLine="225"/>
              <w:rPr>
                <w:rFonts w:ascii="Times New Roman" w:eastAsia="Calibri" w:hAnsi="Times New Roman" w:cs="Times New Roman"/>
                <w:lang w:eastAsia="lt-LT"/>
              </w:rPr>
            </w:pPr>
            <w:r w:rsidRPr="00F622AC">
              <w:rPr>
                <w:rFonts w:ascii="Times New Roman" w:eastAsia="Calibri" w:hAnsi="Times New Roman" w:cs="Times New Roman"/>
              </w:rPr>
              <w:t>Cirozės nėra</w:t>
            </w:r>
          </w:p>
        </w:tc>
        <w:tc>
          <w:tcPr>
            <w:tcW w:w="1187" w:type="pct"/>
          </w:tcPr>
          <w:p w:rsidR="00F622AC" w:rsidRPr="00F622AC" w:rsidRDefault="00F622AC" w:rsidP="00F622AC">
            <w:pPr>
              <w:keepNext/>
              <w:spacing w:after="0" w:line="240" w:lineRule="auto"/>
              <w:rPr>
                <w:rFonts w:ascii="Times New Roman" w:eastAsia="Calibri" w:hAnsi="Times New Roman" w:cs="Times New Roman"/>
              </w:rPr>
            </w:pPr>
          </w:p>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8 % (19/239)</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22 % (137/633)</w:t>
            </w:r>
          </w:p>
        </w:tc>
        <w:tc>
          <w:tcPr>
            <w:tcW w:w="1085" w:type="pct"/>
          </w:tcPr>
          <w:p w:rsidR="00F622AC" w:rsidRPr="00F622AC" w:rsidRDefault="00F622AC" w:rsidP="00F622AC">
            <w:pPr>
              <w:keepNext/>
              <w:spacing w:after="0" w:line="240" w:lineRule="auto"/>
              <w:rPr>
                <w:rFonts w:ascii="Times New Roman" w:eastAsia="Calibri" w:hAnsi="Times New Roman" w:cs="Times New Roman"/>
              </w:rPr>
            </w:pPr>
          </w:p>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(6/13)</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59 % (51/87)</w:t>
            </w:r>
          </w:p>
        </w:tc>
        <w:tc>
          <w:tcPr>
            <w:tcW w:w="1085" w:type="pct"/>
          </w:tcPr>
          <w:p w:rsidR="00F622AC" w:rsidRPr="00F622AC" w:rsidRDefault="00F622AC" w:rsidP="00F622AC">
            <w:pPr>
              <w:keepNext/>
              <w:spacing w:after="0" w:line="240" w:lineRule="auto"/>
              <w:rPr>
                <w:rFonts w:ascii="Times New Roman" w:eastAsia="Calibri" w:hAnsi="Times New Roman" w:cs="Times New Roman"/>
              </w:rPr>
            </w:pPr>
          </w:p>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(3/6)</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34 % (17/50)</w:t>
            </w:r>
          </w:p>
        </w:tc>
      </w:tr>
      <w:tr w:rsidR="00F622AC" w:rsidRPr="00F622AC" w:rsidTr="002A1D7B">
        <w:tc>
          <w:tcPr>
            <w:tcW w:w="1643" w:type="pct"/>
          </w:tcPr>
          <w:p w:rsidR="00F622AC" w:rsidRPr="00F622AC" w:rsidRDefault="00F622AC" w:rsidP="00F622AC">
            <w:pPr>
              <w:keepNext/>
              <w:spacing w:after="0" w:line="240" w:lineRule="auto"/>
              <w:rPr>
                <w:rFonts w:ascii="Times New Roman" w:eastAsia="Calibri" w:hAnsi="Times New Roman" w:cs="Times New Roman"/>
                <w:b/>
              </w:rPr>
            </w:pPr>
            <w:r w:rsidRPr="00F622AC">
              <w:rPr>
                <w:rFonts w:ascii="Times New Roman" w:eastAsia="Calibri" w:hAnsi="Times New Roman" w:cs="Times New Roman"/>
                <w:b/>
              </w:rPr>
              <w:t>Geriausias atsakas ankstesnio gydymo metu</w:t>
            </w:r>
          </w:p>
          <w:p w:rsidR="00F622AC" w:rsidRPr="00F622AC" w:rsidRDefault="00F622AC" w:rsidP="00F622AC">
            <w:pPr>
              <w:keepNext/>
              <w:spacing w:after="0" w:line="240" w:lineRule="auto"/>
              <w:rPr>
                <w:rFonts w:ascii="Times New Roman" w:eastAsia="Times New Roman" w:hAnsi="Times New Roman" w:cs="Times New Roman"/>
                <w:lang w:val="nl-BE" w:eastAsia="lt-LT"/>
              </w:rPr>
            </w:pPr>
            <w:r w:rsidRPr="00F622AC">
              <w:rPr>
                <w:rFonts w:ascii="Times New Roman" w:eastAsia="Times New Roman" w:hAnsi="Times New Roman" w:cs="Times New Roman"/>
                <w:lang w:val="nl-BE" w:eastAsia="lt-LT"/>
              </w:rPr>
              <w:t>HCV RNR</w:t>
            </w:r>
            <w:r w:rsidRPr="00F622AC">
              <w:rPr>
                <w:rFonts w:ascii="Times New Roman" w:eastAsia="Calibri" w:hAnsi="Times New Roman" w:cs="Times New Roman"/>
              </w:rPr>
              <w:t xml:space="preserve"> </w:t>
            </w:r>
            <w:r w:rsidRPr="00F622AC">
              <w:rPr>
                <w:rFonts w:ascii="Times New Roman" w:eastAsia="Times New Roman" w:hAnsi="Times New Roman" w:cs="Times New Roman"/>
                <w:lang w:val="nl-BE" w:eastAsia="lt-LT"/>
              </w:rPr>
              <w:t>sumažėjo</w:t>
            </w:r>
            <w:r w:rsidRPr="00F622AC">
              <w:rPr>
                <w:rFonts w:ascii="Times New Roman" w:eastAsia="Calibri" w:hAnsi="Times New Roman" w:cs="Times New Roman"/>
              </w:rPr>
              <w:t> </w:t>
            </w:r>
            <w:r w:rsidRPr="00F622AC">
              <w:rPr>
                <w:rFonts w:ascii="Times New Roman" w:eastAsia="Calibri" w:hAnsi="Times New Roman" w:cs="Times New Roman"/>
              </w:rPr>
              <w:sym w:font="Symbol" w:char="F0B3"/>
            </w:r>
            <w:r w:rsidRPr="00F622AC">
              <w:rPr>
                <w:rFonts w:ascii="Times New Roman" w:eastAsia="Times New Roman" w:hAnsi="Times New Roman" w:cs="Times New Roman"/>
                <w:lang w:val="nl-BE" w:eastAsia="lt-LT"/>
              </w:rPr>
              <w:t>2log</w:t>
            </w:r>
            <w:r w:rsidRPr="00F622AC">
              <w:rPr>
                <w:rFonts w:ascii="Times New Roman" w:eastAsia="Times New Roman" w:hAnsi="Times New Roman" w:cs="Times New Roman"/>
                <w:vertAlign w:val="subscript"/>
                <w:lang w:val="nl-BE" w:eastAsia="lt-LT"/>
              </w:rPr>
              <w:t>10</w:t>
            </w:r>
          </w:p>
          <w:p w:rsidR="00F622AC" w:rsidRPr="00F622AC" w:rsidRDefault="00F622AC" w:rsidP="00F622AC">
            <w:pPr>
              <w:keepNext/>
              <w:spacing w:after="0" w:line="240" w:lineRule="auto"/>
              <w:rPr>
                <w:rFonts w:ascii="Times New Roman" w:eastAsia="Times New Roman" w:hAnsi="Times New Roman" w:cs="Times New Roman"/>
                <w:lang w:val="nl-BE" w:eastAsia="lt-LT"/>
              </w:rPr>
            </w:pPr>
            <w:r w:rsidRPr="00F622AC">
              <w:rPr>
                <w:rFonts w:ascii="Times New Roman" w:eastAsia="Times New Roman" w:hAnsi="Times New Roman" w:cs="Times New Roman"/>
                <w:lang w:val="nl-BE" w:eastAsia="lt-LT"/>
              </w:rPr>
              <w:t>HCV RNR</w:t>
            </w:r>
            <w:r w:rsidRPr="00F622AC">
              <w:rPr>
                <w:rFonts w:ascii="Times New Roman" w:eastAsia="Calibri" w:hAnsi="Times New Roman" w:cs="Times New Roman"/>
              </w:rPr>
              <w:t xml:space="preserve"> </w:t>
            </w:r>
            <w:r w:rsidRPr="00F622AC">
              <w:rPr>
                <w:rFonts w:ascii="Times New Roman" w:eastAsia="Times New Roman" w:hAnsi="Times New Roman" w:cs="Times New Roman"/>
                <w:lang w:val="nl-BE" w:eastAsia="lt-LT"/>
              </w:rPr>
              <w:t>sumažėjo</w:t>
            </w:r>
            <w:r w:rsidRPr="00F622AC">
              <w:rPr>
                <w:rFonts w:ascii="Times New Roman" w:eastAsia="Calibri" w:hAnsi="Times New Roman" w:cs="Times New Roman"/>
              </w:rPr>
              <w:t> </w:t>
            </w:r>
            <w:r w:rsidRPr="00F622AC">
              <w:rPr>
                <w:rFonts w:ascii="Times New Roman" w:eastAsia="Times New Roman" w:hAnsi="Times New Roman" w:cs="Times New Roman"/>
                <w:lang w:val="nl-BE" w:eastAsia="lt-LT"/>
              </w:rPr>
              <w:t xml:space="preserve"> &lt;2log</w:t>
            </w:r>
            <w:r w:rsidRPr="00F622AC">
              <w:rPr>
                <w:rFonts w:ascii="Times New Roman" w:eastAsia="Times New Roman" w:hAnsi="Times New Roman" w:cs="Times New Roman"/>
                <w:vertAlign w:val="subscript"/>
                <w:lang w:val="nl-BE" w:eastAsia="lt-LT"/>
              </w:rPr>
              <w:t>10</w:t>
            </w:r>
          </w:p>
          <w:p w:rsidR="00F622AC" w:rsidRPr="00F622AC" w:rsidRDefault="00F622AC" w:rsidP="00F622AC">
            <w:pPr>
              <w:keepNext/>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Geriausio ankstesnio atsako nebuvo</w:t>
            </w:r>
          </w:p>
        </w:tc>
        <w:tc>
          <w:tcPr>
            <w:tcW w:w="1187" w:type="pct"/>
          </w:tcPr>
          <w:p w:rsidR="00F622AC" w:rsidRPr="00F622AC" w:rsidRDefault="00F622AC" w:rsidP="00F622AC">
            <w:pPr>
              <w:keepNext/>
              <w:spacing w:after="0" w:line="240" w:lineRule="auto"/>
              <w:rPr>
                <w:rFonts w:ascii="Times New Roman" w:eastAsia="Times New Roman" w:hAnsi="Times New Roman" w:cs="Times New Roman"/>
                <w:lang w:val="nl-BE" w:eastAsia="lt-LT"/>
              </w:rPr>
            </w:pPr>
          </w:p>
          <w:p w:rsidR="00F622AC" w:rsidRPr="00F622AC" w:rsidRDefault="00F622AC" w:rsidP="00F622AC">
            <w:pPr>
              <w:keepNext/>
              <w:spacing w:after="0" w:line="240" w:lineRule="auto"/>
              <w:rPr>
                <w:rFonts w:ascii="Times New Roman" w:eastAsia="Times New Roman" w:hAnsi="Times New Roman" w:cs="Times New Roman"/>
                <w:lang w:val="nl-BE" w:eastAsia="lt-LT"/>
              </w:rPr>
            </w:pPr>
          </w:p>
          <w:p w:rsidR="00F622AC" w:rsidRPr="00F622AC" w:rsidRDefault="00F622AC" w:rsidP="00F622AC">
            <w:pPr>
              <w:keepNext/>
              <w:spacing w:after="0" w:line="240" w:lineRule="auto"/>
              <w:rPr>
                <w:rFonts w:ascii="Times New Roman" w:eastAsia="Times New Roman" w:hAnsi="Times New Roman" w:cs="Times New Roman"/>
                <w:lang w:val="nl-BE" w:eastAsia="lt-LT"/>
              </w:rPr>
            </w:pPr>
            <w:r w:rsidRPr="00F622AC">
              <w:rPr>
                <w:rFonts w:ascii="Times New Roman" w:eastAsia="Times New Roman" w:hAnsi="Times New Roman" w:cs="Times New Roman"/>
                <w:lang w:val="nl-BE" w:eastAsia="lt-LT"/>
              </w:rPr>
              <w:t xml:space="preserve">   28 % (34/121)</w:t>
            </w:r>
          </w:p>
          <w:p w:rsidR="00F622AC" w:rsidRPr="00F622AC" w:rsidRDefault="00F622AC" w:rsidP="00F622AC">
            <w:pPr>
              <w:keepNext/>
              <w:spacing w:after="0" w:line="240" w:lineRule="auto"/>
              <w:rPr>
                <w:rFonts w:ascii="Times New Roman" w:eastAsia="Times New Roman" w:hAnsi="Times New Roman" w:cs="Times New Roman"/>
                <w:lang w:val="nl-BE" w:eastAsia="lt-LT"/>
              </w:rPr>
            </w:pPr>
            <w:r w:rsidRPr="00F622AC">
              <w:rPr>
                <w:rFonts w:ascii="Times New Roman" w:eastAsia="Times New Roman" w:hAnsi="Times New Roman" w:cs="Times New Roman"/>
                <w:lang w:val="nl-BE" w:eastAsia="lt-LT"/>
              </w:rPr>
              <w:t xml:space="preserve">   12 % (39/323)</w:t>
            </w:r>
          </w:p>
          <w:p w:rsidR="00F622AC" w:rsidRPr="00F622AC" w:rsidRDefault="00F622AC" w:rsidP="00F622AC">
            <w:pPr>
              <w:keepNext/>
              <w:spacing w:after="0" w:line="240" w:lineRule="auto"/>
              <w:rPr>
                <w:rFonts w:ascii="Times New Roman" w:eastAsia="Times New Roman" w:hAnsi="Times New Roman" w:cs="Times New Roman"/>
                <w:lang w:val="nl-BE" w:eastAsia="lt-LT"/>
              </w:rPr>
            </w:pPr>
            <w:r w:rsidRPr="00F622AC">
              <w:rPr>
                <w:rFonts w:ascii="Times New Roman" w:eastAsia="Calibri" w:hAnsi="Times New Roman" w:cs="Times New Roman"/>
              </w:rPr>
              <w:t xml:space="preserve">   19 % (84/432)</w:t>
            </w:r>
          </w:p>
          <w:p w:rsidR="00F622AC" w:rsidRPr="00F622AC" w:rsidRDefault="00F622AC" w:rsidP="00F622AC">
            <w:pPr>
              <w:keepNext/>
              <w:spacing w:after="0" w:line="240" w:lineRule="auto"/>
              <w:rPr>
                <w:rFonts w:ascii="Times New Roman" w:eastAsia="Calibri" w:hAnsi="Times New Roman" w:cs="Times New Roman"/>
                <w:i/>
              </w:rPr>
            </w:pPr>
          </w:p>
        </w:tc>
        <w:tc>
          <w:tcPr>
            <w:tcW w:w="1085" w:type="pct"/>
          </w:tcPr>
          <w:p w:rsidR="00F622AC" w:rsidRPr="00F622AC" w:rsidRDefault="00F622AC" w:rsidP="00F622AC">
            <w:pPr>
              <w:keepNext/>
              <w:spacing w:after="0" w:line="240" w:lineRule="auto"/>
              <w:rPr>
                <w:rFonts w:ascii="Times New Roman" w:eastAsia="Times New Roman" w:hAnsi="Times New Roman" w:cs="Times New Roman"/>
                <w:lang w:val="nl-BE" w:eastAsia="lt-LT"/>
              </w:rPr>
            </w:pPr>
          </w:p>
          <w:p w:rsidR="00F622AC" w:rsidRPr="00F622AC" w:rsidRDefault="00F622AC" w:rsidP="00F622AC">
            <w:pPr>
              <w:keepNext/>
              <w:spacing w:after="0" w:line="240" w:lineRule="auto"/>
              <w:rPr>
                <w:rFonts w:ascii="Times New Roman" w:eastAsia="Times New Roman" w:hAnsi="Times New Roman" w:cs="Times New Roman"/>
                <w:lang w:val="nl-BE" w:eastAsia="lt-LT"/>
              </w:rPr>
            </w:pPr>
          </w:p>
          <w:p w:rsidR="00F622AC" w:rsidRPr="00F622AC" w:rsidRDefault="00F622AC" w:rsidP="00F622AC">
            <w:pPr>
              <w:keepNext/>
              <w:spacing w:after="0" w:line="240" w:lineRule="auto"/>
              <w:ind w:firstLine="240"/>
              <w:rPr>
                <w:rFonts w:ascii="Times New Roman" w:eastAsia="Times New Roman" w:hAnsi="Times New Roman" w:cs="Times New Roman"/>
                <w:lang w:val="nl-BE" w:eastAsia="lt-LT"/>
              </w:rPr>
            </w:pPr>
            <w:r w:rsidRPr="00F622AC">
              <w:rPr>
                <w:rFonts w:ascii="Times New Roman" w:eastAsia="Times New Roman" w:hAnsi="Times New Roman" w:cs="Times New Roman"/>
                <w:lang w:val="nl-BE" w:eastAsia="lt-LT"/>
              </w:rPr>
              <w:t xml:space="preserve">    68 % (15/22)</w:t>
            </w:r>
          </w:p>
          <w:p w:rsidR="00F622AC" w:rsidRPr="00F622AC" w:rsidRDefault="00F622AC" w:rsidP="00F622AC">
            <w:pPr>
              <w:keepNext/>
              <w:spacing w:after="0" w:line="240" w:lineRule="auto"/>
              <w:ind w:firstLine="240"/>
              <w:rPr>
                <w:rFonts w:ascii="Times New Roman" w:eastAsia="Times New Roman" w:hAnsi="Times New Roman" w:cs="Times New Roman"/>
                <w:lang w:val="nl-BE" w:eastAsia="lt-LT"/>
              </w:rPr>
            </w:pPr>
            <w:r w:rsidRPr="00F622AC">
              <w:rPr>
                <w:rFonts w:ascii="Times New Roman" w:eastAsia="Times New Roman" w:hAnsi="Times New Roman" w:cs="Times New Roman"/>
                <w:lang w:val="nl-BE" w:eastAsia="lt-LT"/>
              </w:rPr>
              <w:t xml:space="preserve">    64 % (16/25)</w:t>
            </w:r>
          </w:p>
          <w:p w:rsidR="00F622AC" w:rsidRPr="00F622AC" w:rsidRDefault="00F622AC" w:rsidP="00F622AC">
            <w:pPr>
              <w:keepNext/>
              <w:spacing w:after="0" w:line="240" w:lineRule="auto"/>
              <w:ind w:firstLine="240"/>
              <w:rPr>
                <w:rFonts w:ascii="Times New Roman" w:eastAsia="Calibri" w:hAnsi="Times New Roman" w:cs="Times New Roman"/>
                <w:i/>
                <w:lang w:eastAsia="lt-LT"/>
              </w:rPr>
            </w:pPr>
            <w:r w:rsidRPr="00F622AC">
              <w:rPr>
                <w:rFonts w:ascii="Times New Roman" w:eastAsia="Calibri" w:hAnsi="Times New Roman" w:cs="Times New Roman"/>
              </w:rPr>
              <w:t xml:space="preserve">    49 % (26/53)</w:t>
            </w:r>
          </w:p>
        </w:tc>
        <w:tc>
          <w:tcPr>
            <w:tcW w:w="1085" w:type="pct"/>
          </w:tcPr>
          <w:p w:rsidR="00F622AC" w:rsidRPr="00F622AC" w:rsidRDefault="00F622AC" w:rsidP="00F622AC">
            <w:pPr>
              <w:keepNext/>
              <w:spacing w:after="0" w:line="240" w:lineRule="auto"/>
              <w:rPr>
                <w:rFonts w:ascii="Times New Roman" w:eastAsia="Times New Roman" w:hAnsi="Times New Roman" w:cs="Times New Roman"/>
                <w:lang w:val="nl-BE" w:eastAsia="lt-LT"/>
              </w:rPr>
            </w:pPr>
          </w:p>
          <w:p w:rsidR="00F622AC" w:rsidRPr="00F622AC" w:rsidRDefault="00F622AC" w:rsidP="00F622AC">
            <w:pPr>
              <w:keepNext/>
              <w:spacing w:after="0" w:line="240" w:lineRule="auto"/>
              <w:rPr>
                <w:rFonts w:ascii="Times New Roman" w:eastAsia="Times New Roman" w:hAnsi="Times New Roman" w:cs="Times New Roman"/>
                <w:lang w:val="nl-BE" w:eastAsia="lt-LT"/>
              </w:rPr>
            </w:pPr>
          </w:p>
          <w:p w:rsidR="00F622AC" w:rsidRPr="00F622AC" w:rsidRDefault="00F622AC" w:rsidP="00F622AC">
            <w:pPr>
              <w:keepNext/>
              <w:spacing w:after="0" w:line="240" w:lineRule="auto"/>
              <w:rPr>
                <w:rFonts w:ascii="Times New Roman" w:eastAsia="Times New Roman" w:hAnsi="Times New Roman" w:cs="Times New Roman"/>
                <w:lang w:val="nl-BE" w:eastAsia="lt-LT"/>
              </w:rPr>
            </w:pPr>
            <w:r w:rsidRPr="00F622AC">
              <w:rPr>
                <w:rFonts w:ascii="Times New Roman" w:eastAsia="Times New Roman" w:hAnsi="Times New Roman" w:cs="Times New Roman"/>
                <w:lang w:val="nl-BE" w:eastAsia="lt-LT"/>
              </w:rPr>
              <w:t xml:space="preserve">              (6/12)</w:t>
            </w:r>
          </w:p>
          <w:p w:rsidR="00F622AC" w:rsidRPr="00F622AC" w:rsidRDefault="00F622AC" w:rsidP="00F622AC">
            <w:pPr>
              <w:keepNext/>
              <w:spacing w:after="0" w:line="240" w:lineRule="auto"/>
              <w:rPr>
                <w:rFonts w:ascii="Times New Roman" w:eastAsia="Times New Roman" w:hAnsi="Times New Roman" w:cs="Times New Roman"/>
                <w:lang w:val="nl-BE" w:eastAsia="lt-LT"/>
              </w:rPr>
            </w:pPr>
            <w:r w:rsidRPr="00F622AC">
              <w:rPr>
                <w:rFonts w:ascii="Times New Roman" w:eastAsia="Times New Roman" w:hAnsi="Times New Roman" w:cs="Times New Roman"/>
                <w:lang w:val="nl-BE" w:eastAsia="lt-LT"/>
              </w:rPr>
              <w:t xml:space="preserve">              (5/14)</w:t>
            </w:r>
          </w:p>
          <w:p w:rsidR="00F622AC" w:rsidRPr="00F622AC" w:rsidRDefault="00F622AC" w:rsidP="00F622AC">
            <w:pPr>
              <w:keepNext/>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rPr>
              <w:t xml:space="preserve">     29 % (9/31)</w:t>
            </w:r>
          </w:p>
        </w:tc>
      </w:tr>
    </w:tbl>
    <w:p w:rsidR="00F622AC" w:rsidRPr="00F622AC" w:rsidRDefault="00F622AC" w:rsidP="00F622AC">
      <w:pPr>
        <w:keepNext/>
        <w:keepLines/>
        <w:spacing w:after="0" w:line="240" w:lineRule="auto"/>
        <w:ind w:left="142" w:hanging="142"/>
        <w:rPr>
          <w:rFonts w:ascii="Times New Roman" w:eastAsia="Calibri" w:hAnsi="Times New Roman" w:cs="Times New Roman"/>
          <w:lang w:eastAsia="lt-LT"/>
        </w:rPr>
      </w:pPr>
      <w:r w:rsidRPr="00F622AC">
        <w:rPr>
          <w:rFonts w:ascii="Times New Roman" w:eastAsia="Calibri" w:hAnsi="Times New Roman" w:cs="Times New Roman"/>
        </w:rPr>
        <w:t>Ryški viremija = &gt; 800000</w:t>
      </w:r>
      <w:r w:rsidRPr="00F622AC">
        <w:rPr>
          <w:rFonts w:ascii="Times New Roman" w:eastAsia="Calibri" w:hAnsi="Times New Roman" w:cs="Times New Roman"/>
          <w:lang w:val="en-US"/>
        </w:rPr>
        <w:t> </w:t>
      </w:r>
      <w:r w:rsidRPr="00F622AC">
        <w:rPr>
          <w:rFonts w:ascii="Times New Roman" w:eastAsia="Calibri" w:hAnsi="Times New Roman" w:cs="Times New Roman"/>
        </w:rPr>
        <w:t>TV/m, neryški viremija = ≤ 800000</w:t>
      </w:r>
      <w:r w:rsidRPr="00F622AC">
        <w:rPr>
          <w:rFonts w:ascii="Times New Roman" w:eastAsia="Calibri" w:hAnsi="Times New Roman" w:cs="Times New Roman"/>
          <w:lang w:val="en-US"/>
        </w:rPr>
        <w:t> </w:t>
      </w:r>
      <w:r w:rsidRPr="00F622AC">
        <w:rPr>
          <w:rFonts w:ascii="Times New Roman" w:eastAsia="Calibri" w:hAnsi="Times New Roman" w:cs="Times New Roman"/>
        </w:rPr>
        <w:t>TV/ml;</w:t>
      </w:r>
    </w:p>
    <w:p w:rsidR="00F622AC" w:rsidRPr="00F622AC" w:rsidRDefault="00F622AC" w:rsidP="00F622AC">
      <w:pPr>
        <w:spacing w:after="0" w:line="240" w:lineRule="auto"/>
        <w:ind w:left="142" w:hanging="142"/>
        <w:rPr>
          <w:rFonts w:ascii="Times New Roman" w:eastAsia="Calibri" w:hAnsi="Times New Roman" w:cs="Times New Roman"/>
          <w:lang w:eastAsia="lt-LT"/>
        </w:rPr>
      </w:pPr>
      <w:r w:rsidRPr="00F622AC">
        <w:rPr>
          <w:rFonts w:ascii="Times New Roman" w:eastAsia="Calibri" w:hAnsi="Times New Roman" w:cs="Times New Roman"/>
        </w:rPr>
        <w:t>a Pacientai, kuriems 12-ąją savaitę virusų nuslopinimas pasiektas (HCV RNR neaptinkama, &lt;50 TV/ml), t.y. pacientai, kuriems, kaip manoma, 12</w:t>
      </w:r>
      <w:r w:rsidRPr="00F622AC">
        <w:rPr>
          <w:rFonts w:ascii="Times New Roman" w:eastAsia="Calibri" w:hAnsi="Times New Roman" w:cs="Times New Roman"/>
        </w:rPr>
        <w:noBreakHyphen/>
        <w:t>ąją savaitę yra virusologinis atsakas. Pacientų, kurių HCV RNR rezultatų 12 savaitę nėra, duomenys į analizę neįtraukti.</w:t>
      </w:r>
    </w:p>
    <w:p w:rsidR="00F622AC" w:rsidRPr="00F622AC" w:rsidRDefault="00F622AC" w:rsidP="00F622AC">
      <w:pPr>
        <w:spacing w:after="0" w:line="240" w:lineRule="auto"/>
        <w:ind w:left="142" w:hanging="142"/>
        <w:rPr>
          <w:rFonts w:ascii="Times New Roman" w:eastAsia="Calibri" w:hAnsi="Times New Roman" w:cs="Times New Roman"/>
          <w:lang w:eastAsia="lt-LT"/>
        </w:rPr>
      </w:pPr>
      <w:r w:rsidRPr="00F622AC">
        <w:rPr>
          <w:rFonts w:ascii="Times New Roman" w:eastAsia="Calibri" w:hAnsi="Times New Roman" w:cs="Times New Roman"/>
        </w:rPr>
        <w:lastRenderedPageBreak/>
        <w:t>b Pacientai, kuriems 12-ąją savaitę virusų nuslopinimas pasiektas, bet nėra HCV RNR rezultatų stebėjimo periodo pabaigoje, jie laikomi nereagavusiais.</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HALT-C tyrimo metu lėtiniu hepatitu C ir kepenų progresuojančia fibroze arba ciroze sergantys pacientai, kurie nereagavo į ankstesnę monoterapiją interferonu alfa arba pegiliuotu interferonu alfa, taip pat derinant gydymą jais su ribavirinu, buvo gydyti peginterferonu alfa-2a po 180 µg per savaitę ir Copegus po 1000/1200 mg dozėmis per parą. Pacientai, kuriems po 20 savaičių gydymo HCV RNR buvo neaptinkama, toliau buvo gydomi peginterferono alfa-2a ir Copegus deriniu iš viso 48 savaites, paskui, baigus gydymą, stebimi 24 savaites. Ilgalaikio virusologinio atsako tikimybė, atsižvelgiant į ankstesnio gydymo režimą, yra skirtinga; žr. 12 lentelę.</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keepNext/>
        <w:spacing w:after="0" w:line="240" w:lineRule="auto"/>
        <w:outlineLvl w:val="0"/>
        <w:rPr>
          <w:rFonts w:ascii="Times New Roman" w:eastAsia="Calibri" w:hAnsi="Times New Roman" w:cs="Times New Roman"/>
          <w:b/>
          <w:lang w:eastAsia="lt-LT"/>
        </w:rPr>
      </w:pPr>
      <w:r w:rsidRPr="00F622AC">
        <w:rPr>
          <w:rFonts w:ascii="Times New Roman" w:eastAsia="Calibri" w:hAnsi="Times New Roman" w:cs="Times New Roman"/>
          <w:b/>
        </w:rPr>
        <w:t>12 lentelė.</w:t>
      </w:r>
      <w:r w:rsidRPr="00F622AC">
        <w:rPr>
          <w:rFonts w:ascii="Times New Roman" w:eastAsia="Calibri" w:hAnsi="Times New Roman" w:cs="Times New Roman"/>
          <w:b/>
        </w:rPr>
        <w:tab/>
        <w:t>Ilgalaikis virusologinis atsakas HALT-C klinikinio tyrimo metu, atsižvelgiant į nereagavusios į ankstesnį gydymą populiacijos gydymo režimą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4838"/>
      </w:tblGrid>
      <w:tr w:rsidR="00F622AC" w:rsidRPr="00F622AC" w:rsidTr="002A1D7B">
        <w:tc>
          <w:tcPr>
            <w:tcW w:w="2330" w:type="pct"/>
          </w:tcPr>
          <w:p w:rsidR="00F622AC" w:rsidRPr="00F622AC" w:rsidRDefault="00F622AC" w:rsidP="00F622AC">
            <w:pPr>
              <w:keepNext/>
              <w:spacing w:after="0" w:line="240" w:lineRule="auto"/>
              <w:outlineLvl w:val="0"/>
              <w:rPr>
                <w:rFonts w:ascii="Times New Roman" w:eastAsia="Calibri" w:hAnsi="Times New Roman" w:cs="Times New Roman"/>
                <w:b/>
              </w:rPr>
            </w:pPr>
          </w:p>
          <w:p w:rsidR="00F622AC" w:rsidRPr="00F622AC" w:rsidRDefault="00F622AC" w:rsidP="00F622AC">
            <w:pPr>
              <w:keepNext/>
              <w:spacing w:after="0" w:line="240" w:lineRule="auto"/>
              <w:outlineLvl w:val="0"/>
              <w:rPr>
                <w:rFonts w:ascii="Times New Roman" w:eastAsia="Calibri" w:hAnsi="Times New Roman" w:cs="Times New Roman"/>
                <w:b/>
              </w:rPr>
            </w:pPr>
          </w:p>
          <w:p w:rsidR="00F622AC" w:rsidRPr="00F622AC" w:rsidRDefault="00F622AC" w:rsidP="00F622AC">
            <w:pPr>
              <w:keepNext/>
              <w:spacing w:after="0" w:line="240" w:lineRule="auto"/>
              <w:outlineLvl w:val="0"/>
              <w:rPr>
                <w:rFonts w:ascii="Times New Roman" w:eastAsia="Calibri" w:hAnsi="Times New Roman" w:cs="Times New Roman"/>
                <w:b/>
              </w:rPr>
            </w:pPr>
          </w:p>
          <w:p w:rsidR="00F622AC" w:rsidRPr="00F622AC" w:rsidRDefault="00F622AC" w:rsidP="00F622AC">
            <w:pPr>
              <w:keepNext/>
              <w:spacing w:after="40" w:line="240" w:lineRule="auto"/>
              <w:outlineLvl w:val="0"/>
              <w:rPr>
                <w:rFonts w:ascii="Times New Roman" w:eastAsia="Calibri" w:hAnsi="Times New Roman" w:cs="Times New Roman"/>
                <w:b/>
                <w:lang w:eastAsia="lt-LT"/>
              </w:rPr>
            </w:pPr>
            <w:r w:rsidRPr="00F622AC">
              <w:rPr>
                <w:rFonts w:ascii="Times New Roman" w:eastAsia="Calibri" w:hAnsi="Times New Roman" w:cs="Times New Roman"/>
                <w:b/>
              </w:rPr>
              <w:t>Ankstesnis gydymas</w:t>
            </w:r>
          </w:p>
        </w:tc>
        <w:tc>
          <w:tcPr>
            <w:tcW w:w="2670" w:type="pct"/>
          </w:tcPr>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 xml:space="preserve">Copegus </w:t>
            </w:r>
            <w:r w:rsidRPr="00F622AC">
              <w:rPr>
                <w:rFonts w:ascii="Times New Roman" w:eastAsia="Calibri" w:hAnsi="Times New Roman" w:cs="Times New Roman"/>
              </w:rPr>
              <w:t>1000/1200 mg</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ir</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peginterferonas alfa-2a</w:t>
            </w:r>
            <w:r w:rsidRPr="00F622AC">
              <w:rPr>
                <w:rFonts w:ascii="Times New Roman" w:eastAsia="Calibri" w:hAnsi="Times New Roman" w:cs="Times New Roman"/>
              </w:rPr>
              <w:t xml:space="preserve"> 180 mkg</w:t>
            </w:r>
          </w:p>
          <w:p w:rsidR="00F622AC" w:rsidRPr="00F622AC" w:rsidRDefault="00F622AC" w:rsidP="00F622AC">
            <w:pPr>
              <w:keepNext/>
              <w:autoSpaceDE w:val="0"/>
              <w:autoSpaceDN w:val="0"/>
              <w:adjustRightInd w:val="0"/>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rPr>
              <w:t>48 savaites</w:t>
            </w:r>
          </w:p>
        </w:tc>
      </w:tr>
      <w:tr w:rsidR="00F622AC" w:rsidRPr="00F622AC" w:rsidTr="002A1D7B">
        <w:tc>
          <w:tcPr>
            <w:tcW w:w="2330" w:type="pct"/>
          </w:tcPr>
          <w:p w:rsidR="00F622AC" w:rsidRPr="00F622AC" w:rsidRDefault="00F622AC" w:rsidP="00F622AC">
            <w:pPr>
              <w:keepNext/>
              <w:spacing w:before="60" w:after="60" w:line="240" w:lineRule="auto"/>
              <w:outlineLvl w:val="0"/>
              <w:rPr>
                <w:rFonts w:ascii="Times New Roman" w:eastAsia="Calibri" w:hAnsi="Times New Roman" w:cs="Times New Roman"/>
                <w:b/>
              </w:rPr>
            </w:pPr>
            <w:r w:rsidRPr="00F622AC">
              <w:rPr>
                <w:rFonts w:ascii="Times New Roman" w:eastAsia="Calibri" w:hAnsi="Times New Roman" w:cs="Times New Roman"/>
                <w:b/>
              </w:rPr>
              <w:t>Interferonas</w:t>
            </w:r>
          </w:p>
        </w:tc>
        <w:tc>
          <w:tcPr>
            <w:tcW w:w="2670" w:type="pct"/>
          </w:tcPr>
          <w:p w:rsidR="00F622AC" w:rsidRPr="00F622AC" w:rsidRDefault="00F622AC" w:rsidP="00F622AC">
            <w:pPr>
              <w:keepNext/>
              <w:spacing w:before="60" w:after="60" w:line="240" w:lineRule="auto"/>
              <w:jc w:val="center"/>
              <w:outlineLvl w:val="0"/>
              <w:rPr>
                <w:rFonts w:ascii="Times New Roman" w:eastAsia="Calibri" w:hAnsi="Times New Roman" w:cs="Times New Roman"/>
                <w:b/>
                <w:lang w:eastAsia="lt-LT"/>
              </w:rPr>
            </w:pPr>
            <w:r w:rsidRPr="00F622AC">
              <w:rPr>
                <w:rFonts w:ascii="Times New Roman" w:eastAsia="Calibri" w:hAnsi="Times New Roman" w:cs="Times New Roman"/>
              </w:rPr>
              <w:t>27 % (70/255)</w:t>
            </w:r>
          </w:p>
        </w:tc>
      </w:tr>
      <w:tr w:rsidR="00F622AC" w:rsidRPr="00F622AC" w:rsidTr="002A1D7B">
        <w:tc>
          <w:tcPr>
            <w:tcW w:w="2330" w:type="pct"/>
          </w:tcPr>
          <w:p w:rsidR="00F622AC" w:rsidRPr="00F622AC" w:rsidRDefault="00F622AC" w:rsidP="00F622AC">
            <w:pPr>
              <w:keepNext/>
              <w:spacing w:after="60" w:line="240" w:lineRule="auto"/>
              <w:outlineLvl w:val="0"/>
              <w:rPr>
                <w:rFonts w:ascii="Times New Roman" w:eastAsia="Calibri" w:hAnsi="Times New Roman" w:cs="Times New Roman"/>
                <w:b/>
              </w:rPr>
            </w:pPr>
            <w:r w:rsidRPr="00F622AC">
              <w:rPr>
                <w:rFonts w:ascii="Times New Roman" w:eastAsia="Calibri" w:hAnsi="Times New Roman" w:cs="Times New Roman"/>
                <w:b/>
              </w:rPr>
              <w:t>Pegiliuotas interferonas</w:t>
            </w:r>
          </w:p>
        </w:tc>
        <w:tc>
          <w:tcPr>
            <w:tcW w:w="2670" w:type="pct"/>
          </w:tcPr>
          <w:p w:rsidR="00F622AC" w:rsidRPr="00F622AC" w:rsidRDefault="00F622AC" w:rsidP="00F622AC">
            <w:pPr>
              <w:keepNext/>
              <w:spacing w:after="60" w:line="240" w:lineRule="auto"/>
              <w:jc w:val="center"/>
              <w:outlineLvl w:val="0"/>
              <w:rPr>
                <w:rFonts w:ascii="Times New Roman" w:eastAsia="Calibri" w:hAnsi="Times New Roman" w:cs="Times New Roman"/>
                <w:b/>
                <w:lang w:eastAsia="lt-LT"/>
              </w:rPr>
            </w:pPr>
            <w:r w:rsidRPr="00F622AC">
              <w:rPr>
                <w:rFonts w:ascii="Times New Roman" w:eastAsia="Calibri" w:hAnsi="Times New Roman" w:cs="Times New Roman"/>
              </w:rPr>
              <w:t>34 % (13/38)</w:t>
            </w:r>
          </w:p>
        </w:tc>
      </w:tr>
      <w:tr w:rsidR="00F622AC" w:rsidRPr="00F622AC" w:rsidTr="002A1D7B">
        <w:tc>
          <w:tcPr>
            <w:tcW w:w="2330" w:type="pct"/>
          </w:tcPr>
          <w:p w:rsidR="00F622AC" w:rsidRPr="00F622AC" w:rsidRDefault="00F622AC" w:rsidP="00F622AC">
            <w:pPr>
              <w:keepNext/>
              <w:spacing w:after="60" w:line="240" w:lineRule="auto"/>
              <w:outlineLvl w:val="0"/>
              <w:rPr>
                <w:rFonts w:ascii="Times New Roman" w:eastAsia="Calibri" w:hAnsi="Times New Roman" w:cs="Times New Roman"/>
                <w:b/>
              </w:rPr>
            </w:pPr>
            <w:r w:rsidRPr="00F622AC">
              <w:rPr>
                <w:rFonts w:ascii="Times New Roman" w:eastAsia="Calibri" w:hAnsi="Times New Roman" w:cs="Times New Roman"/>
                <w:b/>
              </w:rPr>
              <w:t>Interferonas + ribavirinas</w:t>
            </w:r>
          </w:p>
        </w:tc>
        <w:tc>
          <w:tcPr>
            <w:tcW w:w="2670" w:type="pct"/>
          </w:tcPr>
          <w:p w:rsidR="00F622AC" w:rsidRPr="00F622AC" w:rsidRDefault="00F622AC" w:rsidP="00F622AC">
            <w:pPr>
              <w:keepNext/>
              <w:spacing w:after="60" w:line="240" w:lineRule="auto"/>
              <w:jc w:val="center"/>
              <w:outlineLvl w:val="0"/>
              <w:rPr>
                <w:rFonts w:ascii="Times New Roman" w:eastAsia="Calibri" w:hAnsi="Times New Roman" w:cs="Times New Roman"/>
                <w:b/>
                <w:lang w:eastAsia="lt-LT"/>
              </w:rPr>
            </w:pPr>
            <w:r w:rsidRPr="00F622AC">
              <w:rPr>
                <w:rFonts w:ascii="Times New Roman" w:eastAsia="Calibri" w:hAnsi="Times New Roman" w:cs="Times New Roman"/>
              </w:rPr>
              <w:t>13 % (90/692)</w:t>
            </w:r>
          </w:p>
        </w:tc>
      </w:tr>
      <w:tr w:rsidR="00F622AC" w:rsidRPr="00F622AC" w:rsidTr="002A1D7B">
        <w:tc>
          <w:tcPr>
            <w:tcW w:w="2330" w:type="pct"/>
          </w:tcPr>
          <w:p w:rsidR="00F622AC" w:rsidRPr="00F622AC" w:rsidRDefault="00F622AC" w:rsidP="00F622AC">
            <w:pPr>
              <w:spacing w:after="60" w:line="240" w:lineRule="auto"/>
              <w:outlineLvl w:val="0"/>
              <w:rPr>
                <w:rFonts w:ascii="Times New Roman" w:eastAsia="Calibri" w:hAnsi="Times New Roman" w:cs="Times New Roman"/>
                <w:b/>
              </w:rPr>
            </w:pPr>
            <w:r w:rsidRPr="00F622AC">
              <w:rPr>
                <w:rFonts w:ascii="Times New Roman" w:eastAsia="Calibri" w:hAnsi="Times New Roman" w:cs="Times New Roman"/>
                <w:b/>
              </w:rPr>
              <w:t>Pegiliuotas interferonas + ribavirinas</w:t>
            </w:r>
          </w:p>
        </w:tc>
        <w:tc>
          <w:tcPr>
            <w:tcW w:w="2670" w:type="pct"/>
          </w:tcPr>
          <w:p w:rsidR="00F622AC" w:rsidRPr="00F622AC" w:rsidRDefault="00F622AC" w:rsidP="00F622AC">
            <w:pPr>
              <w:spacing w:after="60" w:line="240" w:lineRule="auto"/>
              <w:jc w:val="center"/>
              <w:outlineLvl w:val="0"/>
              <w:rPr>
                <w:rFonts w:ascii="Times New Roman" w:eastAsia="Calibri" w:hAnsi="Times New Roman" w:cs="Times New Roman"/>
                <w:b/>
                <w:lang w:eastAsia="lt-LT"/>
              </w:rPr>
            </w:pPr>
            <w:r w:rsidRPr="00F622AC">
              <w:rPr>
                <w:rFonts w:ascii="Times New Roman" w:eastAsia="Calibri" w:hAnsi="Times New Roman" w:cs="Times New Roman"/>
              </w:rPr>
              <w:t>11 % (7/61)</w:t>
            </w:r>
          </w:p>
        </w:tc>
      </w:tr>
    </w:tbl>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i/>
        </w:rPr>
        <w:t>HCV infekuoti pacientai, kurių ALT aktyvumas normalus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NR16071 tyrimo metu HCV infekuoti pacientai, kurių ALT aktyvumas buvo normalus, atlikus jų atranką, gydyti peginterferonu alfa-2a po 180 mkg per savaitę ir Copegus po 800 mg per parą deriniu 24 arba 48 savaites, o baigus gydyti stebėti 24 savaites arba išvis negydyti 72 savaites (kontrolinė grupė). Pranešama, kad šio tyrimo metu taikyti gydymo režimai sukėlė panašų ilgalaikį virusologinį atsaką (IVA) kaip atitinkamas gydymas NV15942 tyrimo metu.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autoSpaceDE w:val="0"/>
        <w:autoSpaceDN w:val="0"/>
        <w:adjustRightInd w:val="0"/>
        <w:spacing w:after="0" w:line="240" w:lineRule="auto"/>
        <w:rPr>
          <w:rFonts w:ascii="Times New Roman" w:eastAsia="Calibri" w:hAnsi="Times New Roman" w:cs="Times New Roman"/>
          <w:color w:val="000000"/>
          <w:lang w:eastAsia="lt-LT"/>
        </w:rPr>
      </w:pPr>
      <w:r w:rsidRPr="00F622AC">
        <w:rPr>
          <w:rFonts w:ascii="Times New Roman" w:eastAsia="Calibri" w:hAnsi="Times New Roman" w:cs="Times New Roman"/>
          <w:i/>
          <w:color w:val="000000"/>
        </w:rPr>
        <w:t>Vaikai ir paaugliai</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Tyrėjų remiamo CHIPS tyrimo (Lėtinio hepatito C tarptautinio pediatrinio tyrimo) metu 65 vaikai ir paaugliai (6-18 metų), infekuoti lėtinio hepatito C virusais, buvo gydyti peginterferonu alfa-2a po 100 mkg/m</w:t>
      </w:r>
      <w:r w:rsidRPr="00F622AC">
        <w:rPr>
          <w:rFonts w:ascii="Times New Roman" w:eastAsia="Calibri" w:hAnsi="Times New Roman" w:cs="Times New Roman"/>
          <w:vertAlign w:val="superscript"/>
        </w:rPr>
        <w:t>2</w:t>
      </w:r>
      <w:r w:rsidRPr="00F622AC">
        <w:rPr>
          <w:rFonts w:ascii="Times New Roman" w:eastAsia="Calibri" w:hAnsi="Times New Roman" w:cs="Times New Roman"/>
        </w:rPr>
        <w:t xml:space="preserve"> į poodį kartą per savaitę ir Copegus po 15 mg/kg per parą 24 savaites (2 ir 3 genotipas) arba 48 savaites (visi kiti genotipai). Preliminarūs ir negausūs saugumo duomenys parodė, kad akivaizdaus nukrypimo nuo šio derinio žinomo saugumo profilio infekuotiems lėtiniu HCV suaugusiesiems nėra, bet, svarbu, kad negauta pranešimų apie galimą poveikį augimui. Veiksmingumo rezultatai buvo panašūs į tuos, kurie nustatyti suaugusiesiems.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tabs>
          <w:tab w:val="left" w:pos="567"/>
        </w:tabs>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i/>
        </w:rPr>
        <w:t>ŽIV-HCV koinfekuoti pacientai</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ŽIV-HCV koinfekuotų pacientų, kurie gydyti Copegus ir peginterferono alfa-2a deriniu, virusologinių atsakų, atsižvelgiant į genotipą ir prieš gydymą buvusią viremiją, suma pateikta 13 lentelėje toliau.</w:t>
      </w:r>
    </w:p>
    <w:p w:rsidR="00F622AC" w:rsidRPr="00F622AC" w:rsidRDefault="00F622AC" w:rsidP="00F622AC">
      <w:pPr>
        <w:keepNext/>
        <w:tabs>
          <w:tab w:val="left" w:pos="567"/>
        </w:tabs>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2178"/>
        <w:gridCol w:w="2452"/>
        <w:gridCol w:w="2647"/>
      </w:tblGrid>
      <w:tr w:rsidR="00F622AC" w:rsidRPr="00F622AC" w:rsidTr="002A1D7B">
        <w:tc>
          <w:tcPr>
            <w:tcW w:w="5000" w:type="pct"/>
            <w:gridSpan w:val="4"/>
          </w:tcPr>
          <w:p w:rsidR="00F622AC" w:rsidRPr="00F622AC" w:rsidRDefault="00F622AC" w:rsidP="00F622AC">
            <w:pPr>
              <w:keepNext/>
              <w:tabs>
                <w:tab w:val="left" w:pos="567"/>
              </w:tabs>
              <w:spacing w:after="0" w:line="240" w:lineRule="auto"/>
              <w:ind w:left="1152" w:hanging="1152"/>
              <w:rPr>
                <w:rFonts w:ascii="Times New Roman" w:eastAsia="Calibri" w:hAnsi="Times New Roman" w:cs="Times New Roman"/>
                <w:b/>
              </w:rPr>
            </w:pPr>
            <w:r w:rsidRPr="00F622AC">
              <w:rPr>
                <w:rFonts w:ascii="Times New Roman" w:eastAsia="Calibri" w:hAnsi="Times New Roman" w:cs="Times New Roman"/>
                <w:b/>
              </w:rPr>
              <w:t>13 lentelė.    Ilgalaikis virusologinis atsakas, atsižvelgiant į genotipą ir prieš gydymą buvusią viremiją, po ŽIV-HCV koinfekuotų pacientų gydymo Copegus ir peginterferono alfa-2a deriniu</w:t>
            </w:r>
          </w:p>
        </w:tc>
      </w:tr>
      <w:tr w:rsidR="00F622AC" w:rsidRPr="00F622AC" w:rsidTr="002A1D7B">
        <w:tc>
          <w:tcPr>
            <w:tcW w:w="5000" w:type="pct"/>
            <w:gridSpan w:val="4"/>
          </w:tcPr>
          <w:p w:rsidR="00F622AC" w:rsidRPr="00F622AC" w:rsidRDefault="00F622AC" w:rsidP="00F622AC">
            <w:pPr>
              <w:keepNext/>
              <w:tabs>
                <w:tab w:val="left" w:pos="567"/>
              </w:tabs>
              <w:spacing w:after="0" w:line="240" w:lineRule="auto"/>
              <w:jc w:val="center"/>
              <w:rPr>
                <w:rFonts w:ascii="Times New Roman" w:eastAsia="Calibri" w:hAnsi="Times New Roman" w:cs="Times New Roman"/>
                <w:b/>
              </w:rPr>
            </w:pPr>
            <w:r w:rsidRPr="00F622AC">
              <w:rPr>
                <w:rFonts w:ascii="Times New Roman" w:eastAsia="Calibri" w:hAnsi="Times New Roman" w:cs="Times New Roman"/>
                <w:b/>
              </w:rPr>
              <w:t>NR15961 tyrimas</w:t>
            </w:r>
          </w:p>
        </w:tc>
      </w:tr>
      <w:tr w:rsidR="00F622AC" w:rsidRPr="00F622AC" w:rsidTr="002A1D7B">
        <w:trPr>
          <w:trHeight w:val="890"/>
        </w:trPr>
        <w:tc>
          <w:tcPr>
            <w:tcW w:w="984"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b/>
                <w:color w:val="000000"/>
              </w:rPr>
            </w:pPr>
          </w:p>
        </w:tc>
        <w:tc>
          <w:tcPr>
            <w:tcW w:w="1202"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b/>
                <w:color w:val="000000"/>
              </w:rPr>
              <w:t>Interferonas alfa-2</w:t>
            </w:r>
            <w:r w:rsidRPr="00F622AC">
              <w:rPr>
                <w:rFonts w:ascii="Times New Roman" w:eastAsia="Calibri" w:hAnsi="Times New Roman" w:cs="Times New Roman"/>
                <w:color w:val="000000"/>
              </w:rPr>
              <w:t>a</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3 milijonai TV</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ir</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Copegus 800 mg</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48 savaitės</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b/>
                <w:color w:val="000000"/>
              </w:rPr>
            </w:pPr>
          </w:p>
        </w:tc>
        <w:tc>
          <w:tcPr>
            <w:tcW w:w="1353"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Peginterferonas alfa-2a</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180 mkg</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ir</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placebas</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48 savaitės</w:t>
            </w:r>
          </w:p>
        </w:tc>
        <w:tc>
          <w:tcPr>
            <w:tcW w:w="1461"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Peginterferonas alfa-2a</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180 mkg</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ir</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b/>
                <w:color w:val="000000"/>
                <w:lang w:eastAsia="lt-LT"/>
              </w:rPr>
            </w:pPr>
            <w:r w:rsidRPr="00F622AC">
              <w:rPr>
                <w:rFonts w:ascii="Times New Roman" w:eastAsia="Calibri" w:hAnsi="Times New Roman" w:cs="Times New Roman"/>
                <w:b/>
                <w:color w:val="000000"/>
              </w:rPr>
              <w:t>Copegus 800 mg</w:t>
            </w:r>
          </w:p>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48 savaitės</w:t>
            </w:r>
          </w:p>
        </w:tc>
      </w:tr>
      <w:tr w:rsidR="00F622AC" w:rsidRPr="00F622AC" w:rsidTr="002A1D7B">
        <w:trPr>
          <w:trHeight w:val="381"/>
        </w:trPr>
        <w:tc>
          <w:tcPr>
            <w:tcW w:w="984" w:type="pct"/>
          </w:tcPr>
          <w:p w:rsidR="00F622AC" w:rsidRPr="00F622AC" w:rsidRDefault="00F622AC" w:rsidP="00F622AC">
            <w:pPr>
              <w:autoSpaceDE w:val="0"/>
              <w:autoSpaceDN w:val="0"/>
              <w:adjustRightInd w:val="0"/>
              <w:spacing w:after="0" w:line="240" w:lineRule="auto"/>
              <w:rPr>
                <w:rFonts w:ascii="Times New Roman" w:eastAsia="Calibri" w:hAnsi="Times New Roman" w:cs="Times New Roman"/>
                <w:b/>
                <w:color w:val="000000"/>
              </w:rPr>
            </w:pPr>
            <w:r w:rsidRPr="00F622AC">
              <w:rPr>
                <w:rFonts w:ascii="Times New Roman" w:eastAsia="Calibri" w:hAnsi="Times New Roman" w:cs="Times New Roman"/>
                <w:b/>
                <w:color w:val="000000"/>
              </w:rPr>
              <w:t>Iš viso pacientų</w:t>
            </w:r>
          </w:p>
        </w:tc>
        <w:tc>
          <w:tcPr>
            <w:tcW w:w="1202"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12 % (33/285)*</w:t>
            </w:r>
          </w:p>
        </w:tc>
        <w:tc>
          <w:tcPr>
            <w:tcW w:w="1353"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20 % (58/286)*</w:t>
            </w:r>
          </w:p>
        </w:tc>
        <w:tc>
          <w:tcPr>
            <w:tcW w:w="1461"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40 % (116/289)*</w:t>
            </w:r>
          </w:p>
        </w:tc>
      </w:tr>
      <w:tr w:rsidR="00F622AC" w:rsidRPr="00F622AC" w:rsidTr="002A1D7B">
        <w:tc>
          <w:tcPr>
            <w:tcW w:w="984" w:type="pct"/>
          </w:tcPr>
          <w:p w:rsidR="00F622AC" w:rsidRPr="00F622AC" w:rsidRDefault="00F622AC" w:rsidP="00F622AC">
            <w:pPr>
              <w:autoSpaceDE w:val="0"/>
              <w:autoSpaceDN w:val="0"/>
              <w:adjustRightInd w:val="0"/>
              <w:spacing w:after="0" w:line="240" w:lineRule="auto"/>
              <w:rPr>
                <w:rFonts w:ascii="Times New Roman" w:eastAsia="Calibri" w:hAnsi="Times New Roman" w:cs="Times New Roman"/>
                <w:b/>
                <w:color w:val="000000"/>
              </w:rPr>
            </w:pPr>
            <w:r w:rsidRPr="00F622AC">
              <w:rPr>
                <w:rFonts w:ascii="Times New Roman" w:eastAsia="Calibri" w:hAnsi="Times New Roman" w:cs="Times New Roman"/>
                <w:b/>
                <w:color w:val="000000"/>
              </w:rPr>
              <w:t>Genotipas 1</w:t>
            </w:r>
          </w:p>
        </w:tc>
        <w:tc>
          <w:tcPr>
            <w:tcW w:w="1202"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7 % (12/171)</w:t>
            </w:r>
          </w:p>
        </w:tc>
        <w:tc>
          <w:tcPr>
            <w:tcW w:w="1353"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14 % (24/175)</w:t>
            </w:r>
          </w:p>
        </w:tc>
        <w:tc>
          <w:tcPr>
            <w:tcW w:w="1461"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29 % (51/176)</w:t>
            </w:r>
          </w:p>
        </w:tc>
      </w:tr>
      <w:tr w:rsidR="00F622AC" w:rsidRPr="00F622AC" w:rsidTr="002A1D7B">
        <w:tc>
          <w:tcPr>
            <w:tcW w:w="984" w:type="pct"/>
          </w:tcPr>
          <w:p w:rsidR="00F622AC" w:rsidRPr="00F622AC" w:rsidRDefault="00F622AC" w:rsidP="00F622AC">
            <w:pPr>
              <w:autoSpaceDE w:val="0"/>
              <w:autoSpaceDN w:val="0"/>
              <w:adjustRightInd w:val="0"/>
              <w:spacing w:after="0" w:line="240" w:lineRule="auto"/>
              <w:rPr>
                <w:rFonts w:ascii="Times New Roman" w:eastAsia="Calibri" w:hAnsi="Times New Roman" w:cs="Times New Roman"/>
                <w:color w:val="000000"/>
              </w:rPr>
            </w:pPr>
            <w:r w:rsidRPr="00F622AC">
              <w:rPr>
                <w:rFonts w:ascii="Times New Roman" w:eastAsia="Calibri" w:hAnsi="Times New Roman" w:cs="Times New Roman"/>
                <w:color w:val="000000"/>
              </w:rPr>
              <w:t>Neryški viremija</w:t>
            </w:r>
          </w:p>
        </w:tc>
        <w:tc>
          <w:tcPr>
            <w:tcW w:w="1202"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19 % (8/42)</w:t>
            </w:r>
          </w:p>
        </w:tc>
        <w:tc>
          <w:tcPr>
            <w:tcW w:w="1353"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38 % (17/45)</w:t>
            </w:r>
          </w:p>
        </w:tc>
        <w:tc>
          <w:tcPr>
            <w:tcW w:w="1461"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61 % (28/46)</w:t>
            </w:r>
          </w:p>
        </w:tc>
      </w:tr>
      <w:tr w:rsidR="00F622AC" w:rsidRPr="00F622AC" w:rsidTr="002A1D7B">
        <w:tc>
          <w:tcPr>
            <w:tcW w:w="984" w:type="pct"/>
          </w:tcPr>
          <w:p w:rsidR="00F622AC" w:rsidRPr="00F622AC" w:rsidRDefault="00F622AC" w:rsidP="00F622AC">
            <w:pPr>
              <w:autoSpaceDE w:val="0"/>
              <w:autoSpaceDN w:val="0"/>
              <w:adjustRightInd w:val="0"/>
              <w:spacing w:after="0" w:line="240" w:lineRule="auto"/>
              <w:rPr>
                <w:rFonts w:ascii="Times New Roman" w:eastAsia="Calibri" w:hAnsi="Times New Roman" w:cs="Times New Roman"/>
                <w:color w:val="000000"/>
              </w:rPr>
            </w:pPr>
            <w:r w:rsidRPr="00F622AC">
              <w:rPr>
                <w:rFonts w:ascii="Times New Roman" w:eastAsia="Calibri" w:hAnsi="Times New Roman" w:cs="Times New Roman"/>
                <w:color w:val="000000"/>
              </w:rPr>
              <w:lastRenderedPageBreak/>
              <w:t xml:space="preserve">Ryški viremija </w:t>
            </w:r>
          </w:p>
        </w:tc>
        <w:tc>
          <w:tcPr>
            <w:tcW w:w="1202"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3 % (4/129)</w:t>
            </w:r>
          </w:p>
        </w:tc>
        <w:tc>
          <w:tcPr>
            <w:tcW w:w="1353"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5 % (7/130)</w:t>
            </w:r>
          </w:p>
        </w:tc>
        <w:tc>
          <w:tcPr>
            <w:tcW w:w="1461"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18 % (23/130)</w:t>
            </w:r>
          </w:p>
        </w:tc>
      </w:tr>
      <w:tr w:rsidR="00F622AC" w:rsidRPr="00F622AC" w:rsidTr="002A1D7B">
        <w:tc>
          <w:tcPr>
            <w:tcW w:w="984" w:type="pct"/>
          </w:tcPr>
          <w:p w:rsidR="00F622AC" w:rsidRPr="00F622AC" w:rsidRDefault="00F622AC" w:rsidP="00F622AC">
            <w:pPr>
              <w:autoSpaceDE w:val="0"/>
              <w:autoSpaceDN w:val="0"/>
              <w:adjustRightInd w:val="0"/>
              <w:spacing w:after="0" w:line="240" w:lineRule="auto"/>
              <w:rPr>
                <w:rFonts w:ascii="Times New Roman" w:eastAsia="Calibri" w:hAnsi="Times New Roman" w:cs="Times New Roman"/>
                <w:color w:val="000000"/>
              </w:rPr>
            </w:pPr>
          </w:p>
        </w:tc>
        <w:tc>
          <w:tcPr>
            <w:tcW w:w="1202"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rPr>
            </w:pPr>
          </w:p>
        </w:tc>
        <w:tc>
          <w:tcPr>
            <w:tcW w:w="1353"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rPr>
            </w:pPr>
          </w:p>
        </w:tc>
        <w:tc>
          <w:tcPr>
            <w:tcW w:w="1461"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rPr>
            </w:pPr>
          </w:p>
        </w:tc>
      </w:tr>
      <w:tr w:rsidR="00F622AC" w:rsidRPr="00F622AC" w:rsidTr="002A1D7B">
        <w:tc>
          <w:tcPr>
            <w:tcW w:w="984" w:type="pct"/>
          </w:tcPr>
          <w:p w:rsidR="00F622AC" w:rsidRPr="00F622AC" w:rsidRDefault="00F622AC" w:rsidP="00F622AC">
            <w:pPr>
              <w:autoSpaceDE w:val="0"/>
              <w:autoSpaceDN w:val="0"/>
              <w:adjustRightInd w:val="0"/>
              <w:spacing w:after="0" w:line="240" w:lineRule="auto"/>
              <w:rPr>
                <w:rFonts w:ascii="Times New Roman" w:eastAsia="Calibri" w:hAnsi="Times New Roman" w:cs="Times New Roman"/>
                <w:b/>
                <w:color w:val="000000"/>
              </w:rPr>
            </w:pPr>
            <w:r w:rsidRPr="00F622AC">
              <w:rPr>
                <w:rFonts w:ascii="Times New Roman" w:eastAsia="Calibri" w:hAnsi="Times New Roman" w:cs="Times New Roman"/>
                <w:b/>
                <w:color w:val="000000"/>
              </w:rPr>
              <w:t>Genotipas 2/3</w:t>
            </w:r>
          </w:p>
        </w:tc>
        <w:tc>
          <w:tcPr>
            <w:tcW w:w="1202"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20 % (18/89)</w:t>
            </w:r>
          </w:p>
        </w:tc>
        <w:tc>
          <w:tcPr>
            <w:tcW w:w="1353"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36 % (32/90)</w:t>
            </w:r>
          </w:p>
        </w:tc>
        <w:tc>
          <w:tcPr>
            <w:tcW w:w="1461"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62 % (59/95)</w:t>
            </w:r>
          </w:p>
        </w:tc>
      </w:tr>
      <w:tr w:rsidR="00F622AC" w:rsidRPr="00F622AC" w:rsidTr="002A1D7B">
        <w:tc>
          <w:tcPr>
            <w:tcW w:w="984" w:type="pct"/>
          </w:tcPr>
          <w:p w:rsidR="00F622AC" w:rsidRPr="00F622AC" w:rsidRDefault="00F622AC" w:rsidP="00F622AC">
            <w:pPr>
              <w:autoSpaceDE w:val="0"/>
              <w:autoSpaceDN w:val="0"/>
              <w:adjustRightInd w:val="0"/>
              <w:spacing w:after="0" w:line="240" w:lineRule="auto"/>
              <w:rPr>
                <w:rFonts w:ascii="Times New Roman" w:eastAsia="Calibri" w:hAnsi="Times New Roman" w:cs="Times New Roman"/>
                <w:color w:val="000000"/>
              </w:rPr>
            </w:pPr>
            <w:r w:rsidRPr="00F622AC">
              <w:rPr>
                <w:rFonts w:ascii="Times New Roman" w:eastAsia="Calibri" w:hAnsi="Times New Roman" w:cs="Times New Roman"/>
                <w:color w:val="000000"/>
              </w:rPr>
              <w:t>Neryški viremija</w:t>
            </w:r>
          </w:p>
        </w:tc>
        <w:tc>
          <w:tcPr>
            <w:tcW w:w="1202"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27 % (8/30)</w:t>
            </w:r>
          </w:p>
        </w:tc>
        <w:tc>
          <w:tcPr>
            <w:tcW w:w="1353"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38 % (9/24)</w:t>
            </w:r>
          </w:p>
        </w:tc>
        <w:tc>
          <w:tcPr>
            <w:tcW w:w="1461"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61 % (17/28)</w:t>
            </w:r>
          </w:p>
        </w:tc>
      </w:tr>
      <w:tr w:rsidR="00F622AC" w:rsidRPr="00F622AC" w:rsidTr="002A1D7B">
        <w:tc>
          <w:tcPr>
            <w:tcW w:w="984" w:type="pct"/>
          </w:tcPr>
          <w:p w:rsidR="00F622AC" w:rsidRPr="00F622AC" w:rsidRDefault="00F622AC" w:rsidP="00F622AC">
            <w:pPr>
              <w:autoSpaceDE w:val="0"/>
              <w:autoSpaceDN w:val="0"/>
              <w:adjustRightInd w:val="0"/>
              <w:spacing w:after="0" w:line="240" w:lineRule="auto"/>
              <w:rPr>
                <w:rFonts w:ascii="Times New Roman" w:eastAsia="Calibri" w:hAnsi="Times New Roman" w:cs="Times New Roman"/>
                <w:color w:val="000000"/>
              </w:rPr>
            </w:pPr>
            <w:r w:rsidRPr="00F622AC">
              <w:rPr>
                <w:rFonts w:ascii="Times New Roman" w:eastAsia="Calibri" w:hAnsi="Times New Roman" w:cs="Times New Roman"/>
                <w:color w:val="000000"/>
              </w:rPr>
              <w:t>Ryški viremija</w:t>
            </w:r>
          </w:p>
        </w:tc>
        <w:tc>
          <w:tcPr>
            <w:tcW w:w="1202"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17 % (10/59)</w:t>
            </w:r>
          </w:p>
        </w:tc>
        <w:tc>
          <w:tcPr>
            <w:tcW w:w="1353"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35 % (23/66)</w:t>
            </w:r>
          </w:p>
        </w:tc>
        <w:tc>
          <w:tcPr>
            <w:tcW w:w="1461" w:type="pct"/>
          </w:tcPr>
          <w:p w:rsidR="00F622AC" w:rsidRPr="00F622AC" w:rsidRDefault="00F622AC" w:rsidP="00F622AC">
            <w:pPr>
              <w:autoSpaceDE w:val="0"/>
              <w:autoSpaceDN w:val="0"/>
              <w:adjustRightInd w:val="0"/>
              <w:spacing w:after="0" w:line="240" w:lineRule="auto"/>
              <w:jc w:val="center"/>
              <w:rPr>
                <w:rFonts w:ascii="Times New Roman" w:eastAsia="Calibri" w:hAnsi="Times New Roman" w:cs="Times New Roman"/>
                <w:color w:val="000000"/>
                <w:lang w:eastAsia="lt-LT"/>
              </w:rPr>
            </w:pPr>
            <w:r w:rsidRPr="00F622AC">
              <w:rPr>
                <w:rFonts w:ascii="Times New Roman" w:eastAsia="Calibri" w:hAnsi="Times New Roman" w:cs="Times New Roman"/>
                <w:color w:val="000000"/>
              </w:rPr>
              <w:t>63 % (42/67)</w:t>
            </w:r>
          </w:p>
        </w:tc>
      </w:tr>
      <w:tr w:rsidR="00F622AC" w:rsidRPr="00F622AC" w:rsidTr="002A1D7B">
        <w:tc>
          <w:tcPr>
            <w:tcW w:w="984" w:type="pct"/>
          </w:tcPr>
          <w:p w:rsidR="00F622AC" w:rsidRPr="00F622AC" w:rsidRDefault="00F622AC" w:rsidP="00F622AC">
            <w:pPr>
              <w:autoSpaceDE w:val="0"/>
              <w:autoSpaceDN w:val="0"/>
              <w:adjustRightInd w:val="0"/>
              <w:spacing w:after="0" w:line="240" w:lineRule="auto"/>
              <w:rPr>
                <w:rFonts w:ascii="Times New Roman" w:eastAsia="Calibri" w:hAnsi="Times New Roman" w:cs="Times New Roman"/>
                <w:color w:val="000000"/>
              </w:rPr>
            </w:pPr>
          </w:p>
        </w:tc>
        <w:tc>
          <w:tcPr>
            <w:tcW w:w="1202" w:type="pct"/>
          </w:tcPr>
          <w:p w:rsidR="00F622AC" w:rsidRPr="00F622AC" w:rsidRDefault="00F622AC" w:rsidP="00F622AC">
            <w:pPr>
              <w:autoSpaceDE w:val="0"/>
              <w:autoSpaceDN w:val="0"/>
              <w:adjustRightInd w:val="0"/>
              <w:spacing w:after="0" w:line="240" w:lineRule="auto"/>
              <w:rPr>
                <w:rFonts w:ascii="Times New Roman" w:eastAsia="Calibri" w:hAnsi="Times New Roman" w:cs="Times New Roman"/>
                <w:color w:val="000000"/>
              </w:rPr>
            </w:pPr>
          </w:p>
        </w:tc>
        <w:tc>
          <w:tcPr>
            <w:tcW w:w="1353" w:type="pct"/>
          </w:tcPr>
          <w:p w:rsidR="00F622AC" w:rsidRPr="00F622AC" w:rsidRDefault="00F622AC" w:rsidP="00F622AC">
            <w:pPr>
              <w:autoSpaceDE w:val="0"/>
              <w:autoSpaceDN w:val="0"/>
              <w:adjustRightInd w:val="0"/>
              <w:spacing w:after="0" w:line="240" w:lineRule="auto"/>
              <w:rPr>
                <w:rFonts w:ascii="Times New Roman" w:eastAsia="Calibri" w:hAnsi="Times New Roman" w:cs="Times New Roman"/>
                <w:color w:val="000000"/>
              </w:rPr>
            </w:pPr>
          </w:p>
        </w:tc>
        <w:tc>
          <w:tcPr>
            <w:tcW w:w="1461" w:type="pct"/>
          </w:tcPr>
          <w:p w:rsidR="00F622AC" w:rsidRPr="00F622AC" w:rsidRDefault="00F622AC" w:rsidP="00F622AC">
            <w:pPr>
              <w:autoSpaceDE w:val="0"/>
              <w:autoSpaceDN w:val="0"/>
              <w:adjustRightInd w:val="0"/>
              <w:spacing w:after="0" w:line="240" w:lineRule="auto"/>
              <w:rPr>
                <w:rFonts w:ascii="Times New Roman" w:eastAsia="Calibri" w:hAnsi="Times New Roman" w:cs="Times New Roman"/>
                <w:color w:val="000000"/>
              </w:rPr>
            </w:pPr>
          </w:p>
        </w:tc>
      </w:tr>
    </w:tbl>
    <w:p w:rsidR="00F622AC" w:rsidRPr="00F622AC" w:rsidRDefault="00F622AC" w:rsidP="00F622AC">
      <w:pPr>
        <w:keepNext/>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Neryški viremija= ≤ 800000 TV/ml; ryški viremija= &gt; 800000 TV/ml</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*Peginterferono alfa-2a 180 mkg ir Copegus 800 mg, palyginti su interferono alfa-2a 3 milijonai TV ir ribavirino 800 mg: pranašumo santykis (esant 95 % PI) = 5,40 (3,42 - 8,54); p reikšmė (stratifikuotas </w:t>
      </w:r>
      <w:r w:rsidRPr="00F622AC">
        <w:rPr>
          <w:rFonts w:ascii="Times New Roman" w:eastAsia="Calibri" w:hAnsi="Times New Roman" w:cs="Times New Roman"/>
          <w:i/>
        </w:rPr>
        <w:t>Coc</w:t>
      </w:r>
      <w:r w:rsidRPr="00F622AC">
        <w:rPr>
          <w:rFonts w:ascii="Times New Roman" w:eastAsia="Calibri" w:hAnsi="Times New Roman" w:cs="Times New Roman"/>
          <w:i/>
          <w:lang w:val="en-US"/>
        </w:rPr>
        <w:t>hran-Mantel-Haenszel</w:t>
      </w:r>
      <w:r w:rsidRPr="00F622AC">
        <w:rPr>
          <w:rFonts w:ascii="Times New Roman" w:eastAsia="Calibri" w:hAnsi="Times New Roman" w:cs="Times New Roman"/>
          <w:lang w:val="en-US"/>
        </w:rPr>
        <w:t xml:space="preserve"> testas) = &lt; 0,0001</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Peginterferono alfa-2a 180 mkg ir Copegus 800 mg, palyginti su peginterferono 180 mkg: pranašumo santykis (esant 95 % PI) = 2,89 (1,93 - 4,32); p reikšmė (stratifikuotas </w:t>
      </w:r>
      <w:r w:rsidRPr="00F622AC">
        <w:rPr>
          <w:rFonts w:ascii="Times New Roman" w:eastAsia="Calibri" w:hAnsi="Times New Roman" w:cs="Times New Roman"/>
          <w:i/>
        </w:rPr>
        <w:t>Cochran-Mantel-Haenszel</w:t>
      </w:r>
      <w:r w:rsidRPr="00F622AC">
        <w:rPr>
          <w:rFonts w:ascii="Times New Roman" w:eastAsia="Calibri" w:hAnsi="Times New Roman" w:cs="Times New Roman"/>
          <w:lang w:val="en-US"/>
        </w:rPr>
        <w:t xml:space="preserve"> testas) = &lt; 0,0001</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 Interferono alfa-2a 3 MTV ir Copegus 800 mg, palyginti su peginterferono alfa-2a 180 mkg: pranašumo santykis (esant 95 % PI) = 0,53 (0,33 - 0,85); p reikšmė (stratifikuotas </w:t>
      </w:r>
      <w:r w:rsidRPr="00F622AC">
        <w:rPr>
          <w:rFonts w:ascii="Times New Roman" w:eastAsia="Calibri" w:hAnsi="Times New Roman" w:cs="Times New Roman"/>
          <w:i/>
        </w:rPr>
        <w:t>Cochran-Mantel-Haenszel</w:t>
      </w:r>
      <w:r w:rsidRPr="00F622AC">
        <w:rPr>
          <w:rFonts w:ascii="Times New Roman" w:eastAsia="Calibri" w:hAnsi="Times New Roman" w:cs="Times New Roman"/>
          <w:lang w:val="en-US"/>
        </w:rPr>
        <w:t xml:space="preserve"> testas) = &lt; 0,0084</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spacing w:after="0" w:line="240" w:lineRule="auto"/>
        <w:outlineLvl w:val="0"/>
        <w:rPr>
          <w:rFonts w:ascii="Times New Roman" w:eastAsia="Calibri" w:hAnsi="Times New Roman" w:cs="Times New Roman"/>
          <w:lang w:eastAsia="lt-LT"/>
        </w:rPr>
      </w:pPr>
      <w:r w:rsidRPr="00F622AC">
        <w:rPr>
          <w:rFonts w:ascii="Times New Roman" w:eastAsia="Calibri" w:hAnsi="Times New Roman" w:cs="Times New Roman"/>
        </w:rPr>
        <w:t>Paskesnio tyrimo (NV18209) metu buvo lyginamas ŽIV ir genotipo 1 HCV koinfekuotų pacientų gydymas, skiriant peginterferono alfa-2a po 180 mikrogramų per savaitę ir Copegus 800 mg ar 1000 mg (&lt; 75 kg)/1200 mg (</w:t>
      </w:r>
      <w:r w:rsidRPr="00F622AC">
        <w:rPr>
          <w:rFonts w:ascii="Times New Roman" w:eastAsia="Calibri" w:hAnsi="Times New Roman" w:cs="Times New Roman"/>
          <w:lang w:val="en-US"/>
        </w:rPr>
        <w:sym w:font="Symbol" w:char="F0B3"/>
      </w:r>
      <w:r w:rsidRPr="00F622AC">
        <w:rPr>
          <w:rFonts w:ascii="Times New Roman" w:eastAsia="Calibri" w:hAnsi="Times New Roman" w:cs="Times New Roman"/>
        </w:rPr>
        <w:t> 75 kg) per parą 48 savaites. Šis tyrimas neturėjo įtakos efektyvumo vertinimui. Saugumo pobūdis abiejose Copegus grupėse atitiko žinomą gydymo peginterferono alfa-2a ir Copegus deriniu saugumo pobūdį ir jokių svarbių skirtumų neparodė, išskyrus nežymų anemijos atvejų padidėjimą grupėje, gaunančioje didelę Copegus dozę.</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i/>
          <w:u w:val="single"/>
          <w:lang w:eastAsia="lt-LT"/>
        </w:rPr>
      </w:pPr>
      <w:r w:rsidRPr="00F622AC">
        <w:rPr>
          <w:rFonts w:ascii="Times New Roman" w:eastAsia="Calibri" w:hAnsi="Times New Roman" w:cs="Times New Roman"/>
          <w:i/>
          <w:u w:val="single"/>
        </w:rPr>
        <w:t>Ribavirinas derinant su interferonu alfa-2a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Klinikinių tyrimų metu palygintas vien interferono alfa-2a ir jo derinio su geriamu ribavirinu gydomasis efektyvumas, gydant pacientus, kuriems virusologiškai, biochemiškai ir histologiškai patvirtintas lėtinis hepatitas C ir kurie anksčiau nebuvo gydyti arba kurių liga recidyvavo. Ilgalaikis biocheminis ir virusologinis atsakas, taip pat histologinių pokyčių pagerėjimas vertinti, praėjus šešiems mėnesiams po gydymo pabaigos.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Statistiškai reikšmingai 10 kartų (nuo 4 % iki 43 %; p &lt; 0,01) daugiau buvo stebėtas ilgalaikis virusologinis ir biocheminis atsakas, gydant pacientus, kurių liga recidyvavo (M23136; N = 99). Gydant vaistų deriniu, taip pat buvo palankesnis atsako dažnis, atsižvelgiant į HCV genotipą ir pradinę viremiją. Užsikrėtusius 1 genotipo HCV pacientus gydant vaistų deriniu ir vien interferonu (monoterapija), ilgalaikių reakcijų buvo atitinkamai 28 % ir 0 %, o užsikrėtusius ne 1 genotipo HCV – atitinkamai 58 % ir 8 %. Be to, nuo vaistų derinio labiau pagerėjo histologiniai pokyčiai. Tai patvirtinta palankiais (monoterapiją palyginus su vaistų derinio veiksmingumu – 6 % ir 48 %; p &lt; 0,04) mažo paskelbto klinikinio tyrimo duomenimis, kai anksčiau negydyti pacientai (N = 40) vartojo interferono alfa-2a (po 3 milijonus TV 3 kartus per savaitę) kartu su ribavirinu.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5.2</w:t>
      </w:r>
      <w:r w:rsidRPr="00F622AC">
        <w:rPr>
          <w:rFonts w:ascii="Times New Roman" w:eastAsia="Calibri" w:hAnsi="Times New Roman" w:cs="Times New Roman"/>
          <w:b/>
        </w:rPr>
        <w:tab/>
        <w:t>Farmakokinetinės savybės</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Išgėrus vienkartinę Copegus</w:t>
      </w:r>
      <w:r w:rsidRPr="00F622AC">
        <w:rPr>
          <w:rFonts w:ascii="Times New Roman" w:eastAsia="Calibri" w:hAnsi="Times New Roman" w:cs="Times New Roman"/>
          <w:i/>
        </w:rPr>
        <w:t xml:space="preserve"> </w:t>
      </w:r>
      <w:r w:rsidRPr="00F622AC">
        <w:rPr>
          <w:rFonts w:ascii="Times New Roman" w:eastAsia="Calibri" w:hAnsi="Times New Roman" w:cs="Times New Roman"/>
        </w:rPr>
        <w:t>dozę, ribavirinas greitai rezorbuojamas (vidutinė T</w:t>
      </w:r>
      <w:r w:rsidRPr="00F622AC">
        <w:rPr>
          <w:rFonts w:ascii="Times New Roman" w:eastAsia="Calibri" w:hAnsi="Times New Roman" w:cs="Times New Roman"/>
          <w:vertAlign w:val="subscript"/>
        </w:rPr>
        <w:t xml:space="preserve">max </w:t>
      </w:r>
      <w:r w:rsidRPr="00F622AC">
        <w:rPr>
          <w:rFonts w:ascii="Times New Roman" w:eastAsia="Calibri" w:hAnsi="Times New Roman" w:cs="Times New Roman"/>
        </w:rPr>
        <w:t xml:space="preserve">= 1-2 valandos). </w:t>
      </w:r>
      <w:r w:rsidRPr="00F622AC">
        <w:rPr>
          <w:rFonts w:ascii="Times New Roman" w:eastAsia="Calibri" w:hAnsi="Times New Roman" w:cs="Times New Roman"/>
          <w:lang w:val="en-US"/>
        </w:rPr>
        <w:t>Po vienkartinių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rPr>
        <w:t>dozių vidutinis galutinės fazės ribavirino pusinės eli</w:t>
      </w:r>
      <w:r w:rsidRPr="00F622AC">
        <w:rPr>
          <w:rFonts w:ascii="Times New Roman" w:eastAsia="Calibri" w:hAnsi="Times New Roman" w:cs="Times New Roman"/>
          <w:lang w:val="en-US"/>
        </w:rPr>
        <w:t>minacijos periodas yra 140-160 valandų. Literatūros duomenimis, ribavirino absorbcija vyksta ekstensyviai; apie 10 % radioaktyviu elementu žymėtos dozės pašalinama su išmatomis. Tačiau matyt dėl ikisisteminio metabolizmo absoliutus biologinis prieinamumas yra apytikriai 45 % - 65 %. Po vienkartinių 200-1200 miligramų ribavirino dozių priklausomybė tarp dozės ir AUC</w:t>
      </w:r>
      <w:r w:rsidRPr="00F622AC">
        <w:rPr>
          <w:rFonts w:ascii="Times New Roman" w:eastAsia="Calibri" w:hAnsi="Times New Roman" w:cs="Times New Roman"/>
          <w:vertAlign w:val="subscript"/>
          <w:lang w:val="en-US"/>
        </w:rPr>
        <w:t>tf</w:t>
      </w:r>
      <w:r w:rsidRPr="00F622AC">
        <w:rPr>
          <w:rFonts w:ascii="Times New Roman" w:eastAsia="Calibri" w:hAnsi="Times New Roman" w:cs="Times New Roman"/>
          <w:lang w:val="en-US"/>
        </w:rPr>
        <w:t xml:space="preserve"> yra apytikriai linijinė. Po vienkartinės 600 miligramų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rPr>
        <w:t>dozės vidutinis menamas geriamo ribavirino klirensas yra 22-29 litrai per valan</w:t>
      </w:r>
      <w:r w:rsidRPr="00F622AC">
        <w:rPr>
          <w:rFonts w:ascii="Times New Roman" w:eastAsia="Calibri" w:hAnsi="Times New Roman" w:cs="Times New Roman"/>
          <w:lang w:val="en-US"/>
        </w:rPr>
        <w:t>dą. Išgerto Copegus</w:t>
      </w:r>
      <w:r w:rsidRPr="00F622AC">
        <w:rPr>
          <w:rFonts w:ascii="Times New Roman" w:eastAsia="Calibri" w:hAnsi="Times New Roman" w:cs="Times New Roman"/>
          <w:i/>
          <w:lang w:val="en-US"/>
        </w:rPr>
        <w:t xml:space="preserve"> </w:t>
      </w:r>
      <w:r w:rsidRPr="00F622AC">
        <w:rPr>
          <w:rFonts w:ascii="Times New Roman" w:eastAsia="Calibri" w:hAnsi="Times New Roman" w:cs="Times New Roman"/>
        </w:rPr>
        <w:t>pasiskirstymo tūris yra apytikriai 4500 litrų. Ribavirinas su plazmos baltymais nesijungia.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Nustatyta, kad po išgertų vienkartinių Copegus</w:t>
      </w:r>
      <w:r w:rsidRPr="00F622AC">
        <w:rPr>
          <w:rFonts w:ascii="Times New Roman" w:eastAsia="Calibri" w:hAnsi="Times New Roman" w:cs="Times New Roman"/>
          <w:i/>
        </w:rPr>
        <w:t xml:space="preserve"> </w:t>
      </w:r>
      <w:r w:rsidRPr="00F622AC">
        <w:rPr>
          <w:rFonts w:ascii="Times New Roman" w:eastAsia="Calibri" w:hAnsi="Times New Roman" w:cs="Times New Roman"/>
        </w:rPr>
        <w:t>dozių ribavirino farmakokinetika atskirų žmonių ir to paties žmogaus organizme nėra pastovi (ir AUC ir C</w:t>
      </w:r>
      <w:r w:rsidRPr="00F622AC">
        <w:rPr>
          <w:rFonts w:ascii="Times New Roman" w:eastAsia="Calibri" w:hAnsi="Times New Roman" w:cs="Times New Roman"/>
          <w:vertAlign w:val="subscript"/>
        </w:rPr>
        <w:t>max</w:t>
      </w:r>
      <w:r w:rsidRPr="00F622AC">
        <w:rPr>
          <w:rFonts w:ascii="Times New Roman" w:eastAsia="Calibri" w:hAnsi="Times New Roman" w:cs="Times New Roman"/>
        </w:rPr>
        <w:t xml:space="preserve"> tam pačiam žmogui kinta </w:t>
      </w:r>
      <w:r w:rsidRPr="00F622AC">
        <w:rPr>
          <w:rFonts w:ascii="Times New Roman" w:eastAsia="Calibri" w:hAnsi="Times New Roman" w:cs="Times New Roman"/>
          <w:lang w:val="en-US"/>
        </w:rPr>
        <w:sym w:font="Symbol" w:char="F0A3"/>
      </w:r>
      <w:r w:rsidRPr="00F622AC">
        <w:rPr>
          <w:rFonts w:ascii="Times New Roman" w:eastAsia="Calibri" w:hAnsi="Times New Roman" w:cs="Times New Roman"/>
        </w:rPr>
        <w:t xml:space="preserve"> 25 %), tai gali būti susiję su ekstensyviu ikisisteminiu metabolizmu ir vaisto pernešimu į kraują ir iš jo.</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Ribavirino transportas, išskyrus plazmą, plačiausiai ištirtas eritrocituose ir nustatyta, kad pirmiausia jis vyksta per e</w:t>
      </w:r>
      <w:r w:rsidRPr="00F622AC">
        <w:rPr>
          <w:rFonts w:ascii="Times New Roman" w:eastAsia="Calibri" w:hAnsi="Times New Roman" w:cs="Times New Roman"/>
          <w:vertAlign w:val="subscript"/>
        </w:rPr>
        <w:t>s</w:t>
      </w:r>
      <w:r w:rsidRPr="00F622AC">
        <w:rPr>
          <w:rFonts w:ascii="Times New Roman" w:eastAsia="Calibri" w:hAnsi="Times New Roman" w:cs="Times New Roman"/>
        </w:rPr>
        <w:t>-tipo balansuojantį nukleozidų pernešimą. Šis pernešimo tipas virtualiai būdingas visoms ląstelių rūšims ir galbūt dėl to ribavirinas pasižymi dideliu pasiskirstymo tūriu. Visame kraujyje ir plazmoje esančio ribavirino santykis yra 60:1; pernelyg daug ribavirino kraujyje būna dėl ribavirino nukleotidų kaupimosi eritrocituose.</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Ribavirinas metabolizuojamas dviem būdais: 1) vykstant grįžtamajam fosforilinimui, 2) vykstant irimui, apimančiam dezriboksilinimą ir amido hidrolizę, dėl kurių susidaro triazolo karboksirūgšties metabolitas. Ir ribavirinas, ir abu jo triazolo karboksiamido bei triazolo karboksirūgšties metabolitai šalinami per inkstus.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Literatūros duomenimis, vartojant kartotines ribavirino dozes, jis ekstensyviai kaupiasi plazmoje – tuomet jo AUC</w:t>
      </w:r>
      <w:r w:rsidRPr="00F622AC">
        <w:rPr>
          <w:rFonts w:ascii="Times New Roman" w:eastAsia="Calibri" w:hAnsi="Times New Roman" w:cs="Times New Roman"/>
          <w:vertAlign w:val="subscript"/>
        </w:rPr>
        <w:t>12h</w:t>
      </w:r>
      <w:r w:rsidRPr="00F622AC">
        <w:rPr>
          <w:rFonts w:ascii="Times New Roman" w:eastAsia="Calibri" w:hAnsi="Times New Roman" w:cs="Times New Roman"/>
        </w:rPr>
        <w:t xml:space="preserve"> yra 6 kartus didesnis, palyginti su vienkartinės dozės atitinkamais rodmenimis. </w:t>
      </w:r>
      <w:r w:rsidRPr="00F622AC">
        <w:rPr>
          <w:rFonts w:ascii="Times New Roman" w:eastAsia="Calibri" w:hAnsi="Times New Roman" w:cs="Times New Roman"/>
          <w:lang w:val="en-US"/>
        </w:rPr>
        <w:t>Geriant po 600 mg du kartus per parą, pastovi koncentracija – vidutiniškai apie 2200 ng/ml – susidaro maždaug per 4 savaites. Nustojus vartoti vaisto, pusinės eliminacijos periodas buvo maždaug 300 valandų; tai tikriausiai atspindi lėtą eliminaciją iš kitų nei plazma audinių.</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Maisto poveikis. </w:t>
      </w:r>
      <w:r w:rsidRPr="00F622AC">
        <w:rPr>
          <w:rFonts w:ascii="Times New Roman" w:eastAsia="Calibri" w:hAnsi="Times New Roman" w:cs="Times New Roman"/>
        </w:rPr>
        <w:t>Išgertos vienkartinės 600 mg Copegus dozės biologinis prieinamumas padidėjo, kai kartu buvo valgoma labai riebaus maisto. Kai Copegus</w:t>
      </w:r>
      <w:r w:rsidRPr="00F622AC">
        <w:rPr>
          <w:rFonts w:ascii="Times New Roman" w:eastAsia="Calibri" w:hAnsi="Times New Roman" w:cs="Times New Roman"/>
          <w:i/>
        </w:rPr>
        <w:t xml:space="preserve"> </w:t>
      </w:r>
      <w:r w:rsidRPr="00F622AC">
        <w:rPr>
          <w:rFonts w:ascii="Times New Roman" w:eastAsia="Calibri" w:hAnsi="Times New Roman" w:cs="Times New Roman"/>
        </w:rPr>
        <w:t>išgerta valgant ypač riebius pusryčius, palyginti su išgertu nevalgius, organizmo ekspozicijos ribavirinui parametrai – AUC</w:t>
      </w:r>
      <w:r w:rsidRPr="00F622AC">
        <w:rPr>
          <w:rFonts w:ascii="Times New Roman" w:eastAsia="Calibri" w:hAnsi="Times New Roman" w:cs="Times New Roman"/>
          <w:vertAlign w:val="subscript"/>
        </w:rPr>
        <w:t>(0-192h)</w:t>
      </w:r>
      <w:r w:rsidRPr="00F622AC">
        <w:rPr>
          <w:rFonts w:ascii="Times New Roman" w:eastAsia="Calibri" w:hAnsi="Times New Roman" w:cs="Times New Roman"/>
        </w:rPr>
        <w:t xml:space="preserve"> ir C</w:t>
      </w:r>
      <w:r w:rsidRPr="00F622AC">
        <w:rPr>
          <w:rFonts w:ascii="Times New Roman" w:eastAsia="Calibri" w:hAnsi="Times New Roman" w:cs="Times New Roman"/>
          <w:vertAlign w:val="subscript"/>
        </w:rPr>
        <w:t>max</w:t>
      </w:r>
      <w:r w:rsidRPr="00F622AC">
        <w:rPr>
          <w:rFonts w:ascii="Times New Roman" w:eastAsia="Calibri" w:hAnsi="Times New Roman" w:cs="Times New Roman"/>
        </w:rPr>
        <w:t xml:space="preserve"> – padidėjo atitinkamai 42 % ir 66 %. Šių vienkartinės dozės tyrimų rezultatų klinikinė reikšmė nežinoma. Ekspozicija ribavirinui po kartotinių dozių, kai vaisto buvo geriama valgant, pacientų, vartojusių peginterferono alfa-2a kartu su Copegus ir interferono alfa-2b kartu su ribavirinu, buvo panaši. </w:t>
      </w:r>
      <w:r w:rsidRPr="00F622AC">
        <w:rPr>
          <w:rFonts w:ascii="Times New Roman" w:eastAsia="Calibri" w:hAnsi="Times New Roman" w:cs="Times New Roman"/>
          <w:lang w:val="en-US"/>
        </w:rPr>
        <w:t>Siekiant sudaryti optimalią ribavirino koncentraciją plazmoje, rekomenduojama vartoti ribavirino valgymo metu.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Inkstų veikla. </w:t>
      </w:r>
      <w:r w:rsidRPr="00F622AC">
        <w:rPr>
          <w:rFonts w:ascii="Times New Roman" w:eastAsia="Calibri" w:hAnsi="Times New Roman" w:cs="Times New Roman"/>
        </w:rPr>
        <w:t>Pacientų, kurių kreatinino klirensas yra 50 ml/min ir mažesnis, įskaitant GSIL sergančius ir nuolat dializuojamus pacientus, organizme ribavirino tariamasis klirensas yra mažesnis ir siekia maždaug 30 % klirenso pacientų, kurių inkstų veikla yra normali. Remiantis nedideliu tyrimu su pacientais, kuriems buvo vidutinio sunkumo ar sunkus inkstų pažeidimas (kreatinino klirensas 50 ml/min ir mažesnis), Copegus vartojusiais sumažintomis paros dozėmis, atitinkamai, po 600 mg ir 400 mg, ribavirino ekspozicija plazmoje (AUC) buvo nuo 20 % iki 30 % didesnė, lyginant su įprastą Copegus dozę vartojusiais pacientais, kurių inkstų veikla buvo normali (kreatinino klirensas &gt; 80 ml/min). GSIL sirgusiems ir nuolat dializuojamiems pacientams, vartojusiems 200 mg Copegus paros dozę, vidutinė ribavirino ekspozicija (AUC) buvo maždaug 20 % mažesnė už ekspozicijos įprastą 1000 mg ar 1200 mg Copegus paros dozę vartojusių pacientų, kurių inkstų veikla buvo normali, organizme. Hemodialize iš plazmos galima pašalinti maždaug 50 % ribavirino, nes dėl jo didelio pasiskirstymo tūrio hemodialize pašalinti reikšmingą ribavirino kiekį nėra efektyvu. Šiame tyrime tirtas dozes vartojusiems pacientams, kuriems buvo vidutinio sunkumo ar sunkus inkstų pažeidimas, buvo stebėtas padidėjęs nepageidaujamų reakcijų į vaistą dažnis.</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Remiantis farmakokinetikos modeliavimu ir imitavimu, pacientams, kuriems yra reikšminga inkstų pažaida, rekomenduojama patikslinti dozę (žr. 4.2 skyrių). Tikėtina, kad pakoreguotos dozės lems ribavirino koncentraciją plazmoje, panašią į įprastą Copegus dozę vartojančių pacientų, kurių inkstų veikla normali, organizme. Dauguma rekomenduojamųjų dozių buvo nustatytos FK modeliavimo ir imitavimo būdu, jos klinikinių tyrimų metu nėra ištirtos.</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Kepenų funkcija. </w:t>
      </w:r>
      <w:r w:rsidRPr="00F622AC">
        <w:rPr>
          <w:rFonts w:ascii="Times New Roman" w:eastAsia="Calibri" w:hAnsi="Times New Roman" w:cs="Times New Roman"/>
        </w:rPr>
        <w:t xml:space="preserve">Vienkartinių ribavirino dozių farmakokinetika, kai pacientų kepenų funkcija yra šiek tiek, vidutiniškai ar ryškiai sutrikusi (pagal </w:t>
      </w:r>
      <w:r w:rsidRPr="00F622AC">
        <w:rPr>
          <w:rFonts w:ascii="Times New Roman" w:eastAsia="Calibri" w:hAnsi="Times New Roman" w:cs="Times New Roman"/>
          <w:i/>
        </w:rPr>
        <w:t>Child-Pugh</w:t>
      </w:r>
      <w:r w:rsidRPr="00F622AC">
        <w:rPr>
          <w:rFonts w:ascii="Times New Roman" w:eastAsia="Calibri" w:hAnsi="Times New Roman" w:cs="Times New Roman"/>
        </w:rPr>
        <w:t xml:space="preserve"> klasifikaciją A, B, C laipsnis), panaši kaip kontrolinės grupės žmonių, kurių kepenų funkcija normali.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Pagyvenę (vyresni nei 65 metų) pacientai. </w:t>
      </w:r>
      <w:r w:rsidRPr="00F622AC">
        <w:rPr>
          <w:rFonts w:ascii="Times New Roman" w:eastAsia="Calibri" w:hAnsi="Times New Roman" w:cs="Times New Roman"/>
          <w:lang w:val="en-US"/>
        </w:rPr>
        <w:t>Vaisto farmakokinetika pagyvenusių žmonių organizme specifiškai nebuvo įvertinta. Tačiau paskelbtais populiacijos farmakokinetinių tyrimų duomenimis, ne amžius, o inkstų funkcija buvo svarbiausias ribavirino kinetiką lemiantis veiksnys.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lastRenderedPageBreak/>
        <w:t>Jaunesni nei 18 metų pacientai.</w:t>
      </w:r>
      <w:r w:rsidRPr="00F622AC">
        <w:rPr>
          <w:rFonts w:ascii="Times New Roman" w:eastAsia="Calibri" w:hAnsi="Times New Roman" w:cs="Times New Roman"/>
        </w:rPr>
        <w:t xml:space="preserve"> Žiūrėkite vaistinio preparato, skirto šiai populiacijai vartoti kartu su Copegus, PCS. Jaunesni</w:t>
      </w:r>
      <w:r w:rsidRPr="00F622AC">
        <w:rPr>
          <w:rFonts w:ascii="Times New Roman" w:eastAsia="Calibri" w:hAnsi="Times New Roman" w:cs="Times New Roman"/>
          <w:lang w:val="en-US"/>
        </w:rPr>
        <w:t>ems nei 18 metų pacientams ribavirino farmakokinetikos analizė nėra atlikta.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Populiacijos farmakokinetika. </w:t>
      </w:r>
      <w:r w:rsidRPr="00F622AC">
        <w:rPr>
          <w:rFonts w:ascii="Times New Roman" w:eastAsia="Calibri" w:hAnsi="Times New Roman" w:cs="Times New Roman"/>
        </w:rPr>
        <w:t xml:space="preserve">Populiacijos farmakokinetikos analizė atlikta remiantis penkių klinikinių tyrimų metu nustatytomis vaisto koncentracijų plazmoje reikšmėmis. Nors kūno svoris ir rasė statistiškai keitė vienas kito klirenso modelį, bet kliniškai reikšmingas buvo tik kūno svorio poveikis. Klirensas didėjo kaip kūno svorio funkcija, ir buvo apskaičiuota, kad, kintant kūno svoriui nuo 44 iki 155 kg, jis kito nuo 17,7 iki 24,8 l/val. </w:t>
      </w:r>
      <w:r w:rsidRPr="00F622AC">
        <w:rPr>
          <w:rFonts w:ascii="Times New Roman" w:eastAsia="Calibri" w:hAnsi="Times New Roman" w:cs="Times New Roman"/>
          <w:lang w:val="en-US"/>
        </w:rPr>
        <w:t>Kreatinino klirensas (net toks mažas kaip 34 ml/min.) ribavirino klirensui poveikio neturėjo.</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i/>
        </w:rPr>
        <w:t xml:space="preserve">Patekimas į sėklos skystį. </w:t>
      </w:r>
      <w:r w:rsidRPr="00F622AC">
        <w:rPr>
          <w:rFonts w:ascii="Times New Roman" w:eastAsia="Calibri" w:hAnsi="Times New Roman" w:cs="Times New Roman"/>
        </w:rPr>
        <w:t>Buvo tirtas ribavirino patekimas į spermą. Ribavirino koncentracija sėklos skystyje yra maždaug du kartus didesnė nei seru</w:t>
      </w:r>
      <w:r w:rsidRPr="00F622AC">
        <w:rPr>
          <w:rFonts w:ascii="Times New Roman" w:eastAsia="Calibri" w:hAnsi="Times New Roman" w:cs="Times New Roman"/>
          <w:lang w:val="en-US"/>
        </w:rPr>
        <w:t>me. Vis dėlto moters sisteminė ekspozicija ribavirinu po lytinių santykių su gydomu pacientu yra apytikriai apskaičiuota ir, lyginant su terapine ribavirino koncentracija plazmoje, yra ypač maža.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5.3</w:t>
      </w:r>
      <w:r w:rsidRPr="00F622AC">
        <w:rPr>
          <w:rFonts w:ascii="Times New Roman" w:eastAsia="Calibri" w:hAnsi="Times New Roman" w:cs="Times New Roman"/>
          <w:b/>
        </w:rPr>
        <w:tab/>
        <w:t>Ikiklinikinių saugumo tyrimų duomenys</w:t>
      </w:r>
    </w:p>
    <w:p w:rsidR="00F622AC" w:rsidRPr="00F622AC" w:rsidRDefault="00F622AC" w:rsidP="00F622AC">
      <w:pPr>
        <w:keepNext/>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Ribavirinas veikia embriotoksiškai ir (arba) teratogeniškai visas gyvūnų rūšis, kurioms šie poveikiai tirti, duodant daug mažesnes negu rekomenduojamas žmonėms dozes. Pastebėta kaukolės, gomurio, akių, žandikaulių, rankų ir kojų, skeleto ir virškinimo trakto anomalijų. Didėjant dozei, teratogeninis poveikis dažnėja ir sunkėja. Mažėja vaisių ir jauniklių išgyvenamumas.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Tiriant poveikį gyvūnams, tarp jų šunims ir beždžionėms, nustatyta, kad ribavirinas pirmiausia toksiškai veikia eritrocitus. Pradėjus duoti vaisto, netrukus atsiranda anemija, bet, kai vaisto nustojama duoti, ji greitai išnyksta. Hipoplazinė anemija pastebėta tik žiurkėms, kai poūmio tyrimo metu duotos didelės 160 mg/kg per parą dozės.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Ribavirino toksiškumo tyrimų metu nuo kartotinių dozių sumažėjęs leukocitų ir (arba) limfocitų skaičius nuolat pastebėtas graužikams bei šunims ir laikinai – poūmio toksiškumo tyrimų metu – beždžionėms. Kartotinių dozių toksiškumo žiurkėms tyrimai parodė, kad sunyko užkrūčio liaukos limfoidinis audinys ir (arba) nuo užkrūčio liaukos priklausančios blužnies zonos (periarteriolių limfoidinis dangalas, baltoji pulpa) ir mezenteriniai  limfmazgiai. Buvo pastebėta, kad nuo kartotinių ribavirino dozių šunims labiau išsiplėtė arba nekrozavo dvylikapirštės žarnos žarninės kriptos, taip pat atsirado plonųjų žarnų lėtinis uždegimas ir klubinės žarnos erozijų.</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Tiriant kartotinių ribavirino dozių pelėms sukeliamus sėklidžių ir spermos pokyčius, nustatyta, kad spermos anomalijų pasitaiko nuo dozių, kurios gyvūnams daug mažesnės nei gydomosios. Nustojus duoti vaisto, sėklidžių funkcija nuo ribavirino sukelto toksinio poveikio visiškai atsitaiso per vieną ar du spermatogenezės ciklus.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Genotoksiškumo tyrimai parodė, kad ribavirinas šiek tiek pasižymi genotoksiniu aktyvumu. Ribavirinas turėjo poveikį, atliekant </w:t>
      </w:r>
      <w:r w:rsidRPr="00F622AC">
        <w:rPr>
          <w:rFonts w:ascii="Times New Roman" w:eastAsia="Calibri" w:hAnsi="Times New Roman" w:cs="Times New Roman"/>
          <w:i/>
        </w:rPr>
        <w:t>in vitro</w:t>
      </w:r>
      <w:r w:rsidRPr="00F622AC">
        <w:rPr>
          <w:rFonts w:ascii="Times New Roman" w:eastAsia="Calibri" w:hAnsi="Times New Roman" w:cs="Times New Roman"/>
          <w:lang w:val="en-US"/>
        </w:rPr>
        <w:t xml:space="preserve"> transformacijos bandinį. Genotoksinis aktyvumas pastebėtas, atliekant </w:t>
      </w:r>
      <w:r w:rsidRPr="00F622AC">
        <w:rPr>
          <w:rFonts w:ascii="Times New Roman" w:eastAsia="Calibri" w:hAnsi="Times New Roman" w:cs="Times New Roman"/>
          <w:i/>
          <w:lang w:val="en-US"/>
        </w:rPr>
        <w:t>in vivo</w:t>
      </w:r>
      <w:r w:rsidRPr="00F622AC">
        <w:rPr>
          <w:rFonts w:ascii="Times New Roman" w:eastAsia="Calibri" w:hAnsi="Times New Roman" w:cs="Times New Roman"/>
          <w:lang w:val="en-US"/>
        </w:rPr>
        <w:t xml:space="preserve"> jo poveikio pelių mikrobranduoliui bandymus. Dominantinio letalinio paveldimumo bandymo su žiurkėmis duomenys buvo neigiami; tai rodo, kad, jei žiurkėms atsiranda mutacijų, jos neperduodamos per patinų gametas. Gali būti, kad ribavirinas žmogų veikia kancerogeniškai.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Ribavirino ir peginterferono alfa-2a derinys beždžionėms kokio nors netikėto toksinio poveikio nesukėlė. Svarbiausias su gydymu susijęs pokytis buvo laikina lengva ar apysunkė anemija, kuri buvo sunkesnė už anemiją, sukeliamą kiekvienos šių medžiagų, kai jos vartojamos atskirai.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6.</w:t>
      </w:r>
      <w:r w:rsidRPr="00F622AC">
        <w:rPr>
          <w:rFonts w:ascii="Times New Roman" w:eastAsia="Calibri" w:hAnsi="Times New Roman" w:cs="Times New Roman"/>
          <w:b/>
        </w:rPr>
        <w:tab/>
        <w:t>FARMACINĖ INFORMACIJA</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6.1</w:t>
      </w:r>
      <w:r w:rsidRPr="00F622AC">
        <w:rPr>
          <w:rFonts w:ascii="Times New Roman" w:eastAsia="Calibri" w:hAnsi="Times New Roman" w:cs="Times New Roman"/>
          <w:b/>
        </w:rPr>
        <w:tab/>
        <w:t>Pagalbinių medžiagų sąrašas</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i/>
        </w:rPr>
        <w:t>Tabletės branduolys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lastRenderedPageBreak/>
        <w:t>Pregelifikuotas kukurūzų krakmolas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Karboksimetilkrakmolo A natrio druska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Mikrokristalinė celiuliozė</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Kukurūzų krakmolas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Magnio stearatas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i/>
          <w:lang w:eastAsia="lt-LT"/>
        </w:rPr>
      </w:pPr>
      <w:r w:rsidRPr="00F622AC">
        <w:rPr>
          <w:rFonts w:ascii="Times New Roman" w:eastAsia="Calibri" w:hAnsi="Times New Roman" w:cs="Times New Roman"/>
          <w:i/>
        </w:rPr>
        <w:t>Tabletės plėvelė</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Hipromeliozė</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Talkas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Titano dioksidas (E171)</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Geltonasis geležies oksidas (E172)</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Raudonasis geležies oksidas (E172)</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Triacetinas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6.2</w:t>
      </w:r>
      <w:r w:rsidRPr="00F622AC">
        <w:rPr>
          <w:rFonts w:ascii="Times New Roman" w:eastAsia="Calibri" w:hAnsi="Times New Roman" w:cs="Times New Roman"/>
          <w:b/>
        </w:rPr>
        <w:tab/>
        <w:t>Nesuderinamumas</w:t>
      </w:r>
    </w:p>
    <w:p w:rsidR="00F622AC" w:rsidRPr="00F622AC" w:rsidRDefault="00F622AC" w:rsidP="00F622AC">
      <w:pPr>
        <w:keepNext/>
        <w:keepLines/>
        <w:tabs>
          <w:tab w:val="left" w:pos="567"/>
        </w:tabs>
        <w:spacing w:after="0" w:line="240" w:lineRule="auto"/>
        <w:jc w:val="both"/>
        <w:rPr>
          <w:rFonts w:ascii="Times New Roman" w:eastAsia="Calibri" w:hAnsi="Times New Roman" w:cs="Times New Roman"/>
          <w:b/>
        </w:rPr>
      </w:pPr>
    </w:p>
    <w:p w:rsidR="00F622AC" w:rsidRPr="00F622AC" w:rsidRDefault="00F622AC" w:rsidP="00F622AC">
      <w:pPr>
        <w:keepNext/>
        <w:keepLines/>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Duomenys nebūtini.</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6.3</w:t>
      </w:r>
      <w:r w:rsidRPr="00F622AC">
        <w:rPr>
          <w:rFonts w:ascii="Times New Roman" w:eastAsia="Calibri" w:hAnsi="Times New Roman" w:cs="Times New Roman"/>
          <w:b/>
        </w:rPr>
        <w:tab/>
        <w:t>Tinkamumo laikas</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4 metai.</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6.4</w:t>
      </w:r>
      <w:r w:rsidRPr="00F622AC">
        <w:rPr>
          <w:rFonts w:ascii="Times New Roman" w:eastAsia="Calibri" w:hAnsi="Times New Roman" w:cs="Times New Roman"/>
          <w:b/>
        </w:rPr>
        <w:tab/>
        <w:t>Specialios laikymo sąlygos</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Šiam vaistiniam preparatui specialių laikymo </w:t>
      </w:r>
      <w:r w:rsidRPr="00F622AC">
        <w:rPr>
          <w:rFonts w:ascii="Times New Roman" w:eastAsia="Calibri" w:hAnsi="Times New Roman" w:cs="Times New Roman"/>
          <w:lang w:val="en-US"/>
        </w:rPr>
        <w:t>sąlygų nereikia.</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6.5</w:t>
      </w:r>
      <w:r w:rsidRPr="00F622AC">
        <w:rPr>
          <w:rFonts w:ascii="Times New Roman" w:eastAsia="Calibri" w:hAnsi="Times New Roman" w:cs="Times New Roman"/>
          <w:b/>
        </w:rPr>
        <w:tab/>
        <w:t>Talpyklės pobūdis ir jos turinys</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tiekiamas didelio tankio polietileno (DTPE) buteliuose, uždarytuose vaikų neatidaromais užsukamais polipropileno dangteliais, po 14 arba 56 tabletes.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Gali būti tiekiamos ne visų dydžių pakuotės.</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6.6</w:t>
      </w:r>
      <w:r w:rsidRPr="00F622AC">
        <w:rPr>
          <w:rFonts w:ascii="Times New Roman" w:eastAsia="Calibri" w:hAnsi="Times New Roman" w:cs="Times New Roman"/>
          <w:b/>
        </w:rPr>
        <w:tab/>
        <w:t>Specialūs reikalavimai atliekoms tvarkyti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Specialių reikalavimų nėra.</w:t>
      </w:r>
    </w:p>
    <w:p w:rsidR="00F622AC" w:rsidRPr="00F622AC" w:rsidRDefault="00F622AC" w:rsidP="00F622AC">
      <w:pPr>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Nesuvartotą preparatą ar atliekas reikia tvarkyti laikantis vietinių reikalavimų.</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b/>
        </w:rPr>
      </w:pPr>
      <w:r w:rsidRPr="00F622AC">
        <w:rPr>
          <w:rFonts w:ascii="Times New Roman" w:eastAsia="Calibri" w:hAnsi="Times New Roman" w:cs="Times New Roman"/>
          <w:b/>
        </w:rPr>
        <w:t>7.</w:t>
      </w:r>
      <w:r w:rsidRPr="00F622AC">
        <w:rPr>
          <w:rFonts w:ascii="Times New Roman" w:eastAsia="Calibri" w:hAnsi="Times New Roman" w:cs="Times New Roman"/>
          <w:b/>
        </w:rPr>
        <w:tab/>
      </w:r>
      <w:r w:rsidRPr="00F622AC">
        <w:rPr>
          <w:rFonts w:ascii="Times New Roman" w:eastAsia="Times New Roman" w:hAnsi="Times New Roman" w:cs="Times New Roman"/>
          <w:b/>
          <w:lang w:eastAsia="lt-LT"/>
        </w:rPr>
        <w:t>REGISTRUOTOJAS</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UAB „Roche Lietuva“</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J.Jasinskio g. 16b</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LT-01112 Vilnius</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Lietuva</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b/>
        </w:rPr>
      </w:pPr>
      <w:r w:rsidRPr="00F622AC">
        <w:rPr>
          <w:rFonts w:ascii="Times New Roman" w:eastAsia="Calibri" w:hAnsi="Times New Roman" w:cs="Times New Roman"/>
          <w:b/>
        </w:rPr>
        <w:t>8.</w:t>
      </w:r>
      <w:r w:rsidRPr="00F622AC">
        <w:rPr>
          <w:rFonts w:ascii="Times New Roman" w:eastAsia="Calibri" w:hAnsi="Times New Roman" w:cs="Times New Roman"/>
          <w:b/>
        </w:rPr>
        <w:tab/>
        <w:t>REGISTRACIJOS PAŽYMĖJIMO NUMERIAI</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N14 – LT/1/04/0111/005</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N56 – LT/1/04/0111/006</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jc w:val="both"/>
        <w:rPr>
          <w:rFonts w:ascii="Times New Roman" w:eastAsia="Calibri" w:hAnsi="Times New Roman" w:cs="Times New Roman"/>
          <w:b/>
        </w:rPr>
      </w:pPr>
      <w:r w:rsidRPr="00F622AC">
        <w:rPr>
          <w:rFonts w:ascii="Times New Roman" w:eastAsia="Calibri" w:hAnsi="Times New Roman" w:cs="Times New Roman"/>
          <w:b/>
        </w:rPr>
        <w:t>9.</w:t>
      </w:r>
      <w:r w:rsidRPr="00F622AC">
        <w:rPr>
          <w:rFonts w:ascii="Times New Roman" w:eastAsia="Calibri" w:hAnsi="Times New Roman" w:cs="Times New Roman"/>
          <w:b/>
        </w:rPr>
        <w:tab/>
        <w:t>REGISTRAVIMO / PERREGISTRAVIMO DATA</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Registravimo data  2007 m. lapkričio 30 d.</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lastRenderedPageBreak/>
        <w:t>10.</w:t>
      </w:r>
      <w:r w:rsidRPr="00F622AC">
        <w:rPr>
          <w:rFonts w:ascii="Times New Roman" w:eastAsia="Calibri" w:hAnsi="Times New Roman" w:cs="Times New Roman"/>
          <w:b/>
        </w:rPr>
        <w:tab/>
        <w:t>TEKSTO PERŽIŪROS DATA</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283E03" w:rsidRDefault="00283E03" w:rsidP="00F622AC">
      <w:pPr>
        <w:tabs>
          <w:tab w:val="left" w:pos="567"/>
        </w:tabs>
        <w:spacing w:after="0" w:line="240" w:lineRule="auto"/>
        <w:jc w:val="both"/>
        <w:rPr>
          <w:rFonts w:ascii="Times New Roman" w:eastAsia="Calibri" w:hAnsi="Times New Roman" w:cs="Times New Roman"/>
          <w:lang w:val="en-US"/>
        </w:rPr>
      </w:pPr>
      <w:r w:rsidRPr="00283E03">
        <w:rPr>
          <w:rFonts w:ascii="Times New Roman" w:eastAsia="Calibri" w:hAnsi="Times New Roman" w:cs="Times New Roman"/>
        </w:rPr>
        <w:t xml:space="preserve">2021 m. </w:t>
      </w:r>
      <w:r w:rsidR="00697C5E">
        <w:rPr>
          <w:rFonts w:ascii="Times New Roman" w:eastAsia="Calibri" w:hAnsi="Times New Roman" w:cs="Times New Roman"/>
          <w:lang w:val="en-US"/>
        </w:rPr>
        <w:t>rugpjūčio 22</w:t>
      </w:r>
      <w:r w:rsidRPr="00283E03">
        <w:rPr>
          <w:rFonts w:ascii="Times New Roman" w:eastAsia="Calibri" w:hAnsi="Times New Roman" w:cs="Times New Roman"/>
          <w:lang w:val="en-US"/>
        </w:rPr>
        <w:t xml:space="preserve"> d.</w:t>
      </w:r>
    </w:p>
    <w:p w:rsidR="008D1F4A" w:rsidRDefault="008D1F4A"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color w:val="0000FF"/>
          <w:lang w:eastAsia="lt-LT"/>
        </w:rPr>
      </w:pPr>
      <w:r w:rsidRPr="00F622AC">
        <w:rPr>
          <w:rFonts w:ascii="Times New Roman" w:eastAsia="Calibri" w:hAnsi="Times New Roman" w:cs="Times New Roman"/>
        </w:rPr>
        <w:t xml:space="preserve">Išsami informacija apie šį vaistinį preparatą pateikiama Valstybinės vaistų kontrolės tarnybos prie Lietuvos Respublikos sveikatos apsaugos ministerijos (VVKT) interneto svetainėje </w:t>
      </w:r>
      <w:hyperlink r:id="rId6" w:history="1">
        <w:r w:rsidRPr="00F622AC">
          <w:rPr>
            <w:rFonts w:ascii="Times New Roman" w:eastAsia="Calibri" w:hAnsi="Times New Roman" w:cs="Times New Roman"/>
            <w:color w:val="0000FF"/>
            <w:u w:val="single"/>
          </w:rPr>
          <w:t>http://www.</w:t>
        </w:r>
        <w:bookmarkStart w:id="2" w:name="_Hlt98560650"/>
        <w:bookmarkStart w:id="3" w:name="_Hlt98560651"/>
        <w:r w:rsidRPr="00F622AC">
          <w:rPr>
            <w:rFonts w:ascii="Times New Roman" w:eastAsia="Calibri" w:hAnsi="Times New Roman" w:cs="Times New Roman"/>
            <w:color w:val="0000FF"/>
            <w:u w:val="single"/>
          </w:rPr>
          <w:t>vvkt</w:t>
        </w:r>
        <w:bookmarkEnd w:id="2"/>
        <w:bookmarkEnd w:id="3"/>
        <w:r w:rsidRPr="00F622AC">
          <w:rPr>
            <w:rFonts w:ascii="Times New Roman" w:eastAsia="Calibri" w:hAnsi="Times New Roman" w:cs="Times New Roman"/>
            <w:color w:val="0000FF"/>
            <w:u w:val="single"/>
          </w:rPr>
          <w:t>.lt</w:t>
        </w:r>
        <w:bookmarkStart w:id="4" w:name="_Hlt98580098"/>
        <w:bookmarkStart w:id="5" w:name="_Hlt98580099"/>
        <w:r w:rsidRPr="00F622AC">
          <w:rPr>
            <w:rFonts w:ascii="Times New Roman" w:eastAsia="Calibri" w:hAnsi="Times New Roman" w:cs="Times New Roman"/>
            <w:color w:val="0000FF"/>
            <w:u w:val="single"/>
          </w:rPr>
          <w:t>/</w:t>
        </w:r>
        <w:bookmarkEnd w:id="4"/>
        <w:bookmarkEnd w:id="5"/>
      </w:hyperlink>
    </w:p>
    <w:p w:rsidR="00F622AC" w:rsidRPr="00F622AC" w:rsidRDefault="00F622AC" w:rsidP="00F622AC">
      <w:pPr>
        <w:tabs>
          <w:tab w:val="left" w:pos="567"/>
        </w:tabs>
        <w:spacing w:after="200" w:line="276"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p>
    <w:p w:rsidR="00F622AC" w:rsidRPr="00F622AC" w:rsidRDefault="00F622AC" w:rsidP="00F622AC">
      <w:pPr>
        <w:tabs>
          <w:tab w:val="left" w:pos="567"/>
        </w:tabs>
        <w:spacing w:after="0" w:line="240" w:lineRule="auto"/>
        <w:jc w:val="center"/>
        <w:rPr>
          <w:rFonts w:ascii="Times New Roman" w:eastAsia="Calibri" w:hAnsi="Times New Roman" w:cs="Times New Roman"/>
          <w:b/>
          <w:noProof/>
          <w:lang w:val="pt-BR" w:eastAsia="lt-LT"/>
        </w:rPr>
      </w:pPr>
      <w:r w:rsidRPr="00F622AC">
        <w:rPr>
          <w:rFonts w:ascii="Times New Roman" w:eastAsia="Calibri" w:hAnsi="Times New Roman" w:cs="Times New Roman"/>
          <w:b/>
          <w:noProof/>
          <w:lang w:val="pt-BR" w:eastAsia="lt-LT"/>
        </w:rPr>
        <w:t>II PRIEDAS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F622AC">
        <w:rPr>
          <w:rFonts w:ascii="Times New Roman" w:eastAsia="Calibri" w:hAnsi="Times New Roman" w:cs="Times New Roman"/>
          <w:b/>
          <w:caps/>
        </w:rPr>
        <w:t>REGISTRACIJOS SĄLYGOS</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tabs>
          <w:tab w:val="left" w:pos="1701"/>
        </w:tabs>
        <w:spacing w:after="0" w:line="240" w:lineRule="auto"/>
        <w:ind w:left="1701" w:hanging="567"/>
        <w:rPr>
          <w:rFonts w:ascii="Times New Roman" w:eastAsia="Calibri" w:hAnsi="Times New Roman" w:cs="Times New Roman"/>
          <w:b/>
          <w:highlight w:val="yellow"/>
          <w:lang w:eastAsia="lt-LT"/>
        </w:rPr>
      </w:pPr>
      <w:r w:rsidRPr="00F622AC">
        <w:rPr>
          <w:rFonts w:ascii="Times New Roman" w:eastAsia="Calibri" w:hAnsi="Times New Roman" w:cs="Times New Roman"/>
          <w:b/>
        </w:rPr>
        <w:t>A.</w:t>
      </w:r>
      <w:r w:rsidRPr="00F622AC">
        <w:rPr>
          <w:rFonts w:ascii="Times New Roman" w:eastAsia="Calibri" w:hAnsi="Times New Roman" w:cs="Times New Roman"/>
          <w:b/>
        </w:rPr>
        <w:tab/>
        <w:t>BIOLOGINĖS VEIKLIOSIOS MEDŽIAGOS GAMINTOJAS IR GAMYBOS LICENCIJOS TURĖTOJAS, ATSAKINGAS UŽ SERIJŲ IŠLEIDIMĄ</w:t>
      </w:r>
    </w:p>
    <w:p w:rsidR="00F622AC" w:rsidRPr="00F622AC" w:rsidRDefault="00F622AC" w:rsidP="00F622AC">
      <w:pPr>
        <w:spacing w:after="0" w:line="240" w:lineRule="auto"/>
        <w:rPr>
          <w:rFonts w:ascii="Times New Roman" w:eastAsia="Calibri" w:hAnsi="Times New Roman" w:cs="Times New Roman"/>
          <w:highlight w:val="yellow"/>
        </w:rPr>
      </w:pPr>
    </w:p>
    <w:p w:rsidR="00F622AC" w:rsidRPr="00F622AC" w:rsidRDefault="00F622AC" w:rsidP="00F622AC">
      <w:pPr>
        <w:tabs>
          <w:tab w:val="left" w:pos="1701"/>
        </w:tabs>
        <w:spacing w:after="0" w:line="240" w:lineRule="auto"/>
        <w:ind w:left="1701" w:hanging="567"/>
        <w:rPr>
          <w:rFonts w:ascii="Times New Roman" w:eastAsia="Calibri" w:hAnsi="Times New Roman" w:cs="Times New Roman"/>
          <w:b/>
        </w:rPr>
      </w:pPr>
      <w:r w:rsidRPr="00F622AC">
        <w:rPr>
          <w:rFonts w:ascii="Times New Roman" w:eastAsia="Calibri" w:hAnsi="Times New Roman" w:cs="Times New Roman"/>
          <w:b/>
        </w:rPr>
        <w:t>B.</w:t>
      </w:r>
      <w:r w:rsidRPr="00F622AC">
        <w:rPr>
          <w:rFonts w:ascii="Times New Roman" w:eastAsia="Calibri" w:hAnsi="Times New Roman" w:cs="Times New Roman"/>
          <w:b/>
        </w:rPr>
        <w:tab/>
        <w:t>TIEKIMO IR VARTOJIMO SĄLYGOS AR APRIBOJIMAI</w:t>
      </w:r>
    </w:p>
    <w:p w:rsidR="00F622AC" w:rsidRPr="00F622AC" w:rsidRDefault="00F622AC" w:rsidP="00F622AC">
      <w:pPr>
        <w:spacing w:after="0" w:line="240" w:lineRule="auto"/>
        <w:rPr>
          <w:rFonts w:ascii="Times New Roman" w:eastAsia="Calibri" w:hAnsi="Times New Roman" w:cs="Times New Roman"/>
          <w:highlight w:val="yellow"/>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tabs>
          <w:tab w:val="left" w:pos="180"/>
        </w:tabs>
        <w:spacing w:after="0" w:line="240" w:lineRule="auto"/>
        <w:ind w:left="180" w:hanging="180"/>
        <w:outlineLvl w:val="1"/>
        <w:rPr>
          <w:rFonts w:ascii="Times New Roman" w:eastAsia="Calibri" w:hAnsi="Times New Roman" w:cs="Times New Roman"/>
          <w:b/>
        </w:rPr>
      </w:pPr>
      <w:r w:rsidRPr="00F622AC">
        <w:rPr>
          <w:rFonts w:ascii="Times New Roman" w:eastAsia="Calibri" w:hAnsi="Times New Roman" w:cs="Times New Roman"/>
          <w:b/>
        </w:rPr>
        <w:br w:type="page"/>
      </w:r>
      <w:r w:rsidRPr="00F622AC">
        <w:rPr>
          <w:rFonts w:ascii="Times New Roman" w:eastAsia="Calibri" w:hAnsi="Times New Roman" w:cs="Times New Roman"/>
          <w:b/>
        </w:rPr>
        <w:lastRenderedPageBreak/>
        <w:t>A</w:t>
      </w:r>
      <w:r w:rsidRPr="00F622AC">
        <w:rPr>
          <w:rFonts w:ascii="Times New Roman" w:eastAsia="Calibri" w:hAnsi="Times New Roman" w:cs="Times New Roman"/>
        </w:rPr>
        <w:t xml:space="preserve">. </w:t>
      </w:r>
      <w:r w:rsidRPr="00F622AC">
        <w:rPr>
          <w:rFonts w:ascii="Times New Roman" w:eastAsia="Calibri" w:hAnsi="Times New Roman" w:cs="Times New Roman"/>
          <w:b/>
        </w:rPr>
        <w:t>BIOLOGINĖS VEIKLIOSIOS MEDŽIAGOS GAMINTOJAS IR GAMYBOS LICENCIJOS TURĖTOJAS, ATSAKINGAS UŽ SERIJŲ IŠLEIDIMĄ</w:t>
      </w:r>
    </w:p>
    <w:p w:rsidR="00F622AC" w:rsidRPr="00F622AC" w:rsidRDefault="00F622AC" w:rsidP="00F622AC">
      <w:pPr>
        <w:spacing w:after="0" w:line="240" w:lineRule="auto"/>
        <w:rPr>
          <w:rFonts w:ascii="Times New Roman" w:eastAsia="Calibri" w:hAnsi="Times New Roman" w:cs="Times New Roman"/>
          <w:highlight w:val="yellow"/>
        </w:rPr>
      </w:pPr>
    </w:p>
    <w:p w:rsidR="00F622AC" w:rsidRPr="00F622AC" w:rsidRDefault="00F622AC" w:rsidP="00F622AC">
      <w:pPr>
        <w:tabs>
          <w:tab w:val="left" w:pos="567"/>
        </w:tabs>
        <w:spacing w:after="0" w:line="240" w:lineRule="auto"/>
        <w:rPr>
          <w:rFonts w:ascii="Times New Roman" w:eastAsia="Calibri" w:hAnsi="Times New Roman" w:cs="Times New Roman"/>
          <w:u w:val="single"/>
          <w:lang w:eastAsia="lt-LT"/>
        </w:rPr>
      </w:pPr>
      <w:r w:rsidRPr="00F622AC">
        <w:rPr>
          <w:rFonts w:ascii="Times New Roman" w:eastAsia="Calibri" w:hAnsi="Times New Roman" w:cs="Times New Roman"/>
          <w:u w:val="single"/>
        </w:rPr>
        <w:t>Gamintojo, atsakingo už serijų išleidimą, pavadinimas ir adresas</w:t>
      </w:r>
    </w:p>
    <w:p w:rsidR="00F622AC" w:rsidRPr="00F622AC" w:rsidRDefault="00F622AC" w:rsidP="00F622AC">
      <w:pPr>
        <w:tabs>
          <w:tab w:val="left" w:pos="567"/>
        </w:tabs>
        <w:spacing w:after="0" w:line="240" w:lineRule="auto"/>
        <w:rPr>
          <w:rFonts w:ascii="Times New Roman" w:eastAsia="Calibri" w:hAnsi="Times New Roman" w:cs="Times New Roman"/>
          <w:i/>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Roche Pharma AG</w:t>
      </w:r>
    </w:p>
    <w:p w:rsidR="00F622AC" w:rsidRPr="00F622AC" w:rsidRDefault="00F622AC" w:rsidP="00F622AC">
      <w:pPr>
        <w:numPr>
          <w:ilvl w:val="12"/>
          <w:numId w:val="0"/>
        </w:numPr>
        <w:spacing w:after="0" w:line="240" w:lineRule="auto"/>
        <w:ind w:right="-2"/>
        <w:rPr>
          <w:rFonts w:ascii="Times New Roman" w:eastAsia="Calibri" w:hAnsi="Times New Roman" w:cs="Times New Roman"/>
          <w:lang w:eastAsia="lt-LT"/>
        </w:rPr>
      </w:pPr>
      <w:r w:rsidRPr="00F622AC">
        <w:rPr>
          <w:rFonts w:ascii="Times New Roman" w:eastAsia="Calibri" w:hAnsi="Times New Roman" w:cs="Times New Roman"/>
        </w:rPr>
        <w:t>Emil-Barell-Strasse 1</w:t>
      </w:r>
    </w:p>
    <w:p w:rsidR="00F622AC" w:rsidRPr="00F622AC" w:rsidRDefault="00F622AC" w:rsidP="00F622AC">
      <w:pPr>
        <w:numPr>
          <w:ilvl w:val="12"/>
          <w:numId w:val="0"/>
        </w:numPr>
        <w:spacing w:after="0" w:line="240" w:lineRule="auto"/>
        <w:ind w:right="-2"/>
        <w:rPr>
          <w:rFonts w:ascii="Times New Roman" w:eastAsia="Calibri" w:hAnsi="Times New Roman" w:cs="Times New Roman"/>
          <w:lang w:eastAsia="lt-LT"/>
        </w:rPr>
      </w:pPr>
      <w:r w:rsidRPr="00F622AC">
        <w:rPr>
          <w:rFonts w:ascii="Times New Roman" w:eastAsia="Calibri" w:hAnsi="Times New Roman" w:cs="Times New Roman"/>
        </w:rPr>
        <w:t>D-79639 Grenzach-Wyhlen</w:t>
      </w: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Vokietija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i/>
        </w:rPr>
      </w:pPr>
    </w:p>
    <w:p w:rsidR="00F622AC" w:rsidRPr="00F622AC" w:rsidRDefault="00F622AC" w:rsidP="00F622AC">
      <w:pPr>
        <w:tabs>
          <w:tab w:val="left" w:pos="567"/>
        </w:tabs>
        <w:spacing w:after="0" w:line="240" w:lineRule="auto"/>
        <w:rPr>
          <w:rFonts w:ascii="Times New Roman" w:eastAsia="Calibri" w:hAnsi="Times New Roman" w:cs="Times New Roman"/>
          <w:i/>
        </w:rPr>
      </w:pPr>
      <w:r w:rsidRPr="00F622AC">
        <w:rPr>
          <w:rFonts w:ascii="Times New Roman" w:eastAsia="Calibri" w:hAnsi="Times New Roman" w:cs="Times New Roman"/>
          <w:b/>
        </w:rPr>
        <w:t xml:space="preserve">B. </w:t>
      </w:r>
      <w:r w:rsidRPr="00F622AC">
        <w:rPr>
          <w:rFonts w:ascii="Times New Roman" w:eastAsia="Calibri" w:hAnsi="Times New Roman" w:cs="Times New Roman"/>
          <w:b/>
          <w:lang w:eastAsia="lt-LT"/>
        </w:rPr>
        <w:t xml:space="preserve">REGISTRACIJOS </w:t>
      </w:r>
      <w:r w:rsidRPr="00F622AC">
        <w:rPr>
          <w:rFonts w:ascii="Times New Roman" w:eastAsia="Calibri" w:hAnsi="Times New Roman" w:cs="Times New Roman"/>
          <w:b/>
        </w:rPr>
        <w:t>SĄLYGOS</w:t>
      </w:r>
    </w:p>
    <w:p w:rsidR="00F622AC" w:rsidRPr="00F622AC" w:rsidRDefault="00F622AC" w:rsidP="00F622AC">
      <w:pPr>
        <w:tabs>
          <w:tab w:val="left" w:pos="567"/>
        </w:tabs>
        <w:spacing w:after="0" w:line="240" w:lineRule="auto"/>
        <w:rPr>
          <w:rFonts w:ascii="Times New Roman" w:eastAsia="Calibri" w:hAnsi="Times New Roman" w:cs="Times New Roman"/>
          <w:i/>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 xml:space="preserve">TIEKIMO IR VARTOJIMO SĄLYGOS AR APRIBOJIMAI, TAIKOMI </w:t>
      </w:r>
      <w:r w:rsidRPr="00F622AC">
        <w:rPr>
          <w:rFonts w:ascii="Times New Roman" w:eastAsia="Calibri" w:hAnsi="Times New Roman" w:cs="Times New Roman"/>
          <w:b/>
          <w:lang w:eastAsia="lt-LT"/>
        </w:rPr>
        <w:t xml:space="preserve"> REGISTRUOTOJUI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Receptinis vaistinis preparatas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keepLines/>
        <w:tabs>
          <w:tab w:val="left" w:pos="0"/>
        </w:tabs>
        <w:spacing w:after="0" w:line="240" w:lineRule="auto"/>
        <w:outlineLvl w:val="2"/>
        <w:rPr>
          <w:rFonts w:ascii="Times New Roman" w:eastAsia="Calibri" w:hAnsi="Times New Roman" w:cs="Times New Roman"/>
          <w:b/>
          <w:kern w:val="28"/>
          <w:lang w:eastAsia="lt-LT"/>
        </w:rPr>
      </w:pPr>
      <w:r w:rsidRPr="00F622AC">
        <w:rPr>
          <w:rFonts w:ascii="Times New Roman" w:eastAsia="Calibri" w:hAnsi="Times New Roman" w:cs="Times New Roman"/>
          <w:b/>
          <w:kern w:val="28"/>
        </w:rPr>
        <w:t>SĄLYGOS AR APRIBOJIMAI, SKIRTI SAUGIAM IR VEIKSMINGAM VAISTINIO PREPARATO VARTOJIMUI UŽTIKRINTI</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Nebūtini.</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noProof/>
          <w:lang w:val="pt-BR" w:eastAsia="lt-LT"/>
        </w:rPr>
        <w:br w:type="page"/>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III PRIEDAS</w:t>
      </w:r>
    </w:p>
    <w:p w:rsidR="00F622AC" w:rsidRPr="00F622AC" w:rsidRDefault="00F622AC" w:rsidP="00F622AC">
      <w:pPr>
        <w:tabs>
          <w:tab w:val="left" w:pos="567"/>
        </w:tabs>
        <w:spacing w:after="0" w:line="240" w:lineRule="auto"/>
        <w:jc w:val="center"/>
        <w:rPr>
          <w:rFonts w:ascii="Times New Roman" w:eastAsia="Calibri" w:hAnsi="Times New Roman" w:cs="Times New Roman"/>
        </w:rPr>
      </w:pPr>
    </w:p>
    <w:p w:rsidR="00F622AC" w:rsidRPr="00F622AC" w:rsidRDefault="00F622AC" w:rsidP="00F622AC">
      <w:pPr>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ŽENKLINIMAS IR PAKUOTĖS LAPELIS</w:t>
      </w:r>
    </w:p>
    <w:p w:rsidR="00F622AC" w:rsidRPr="00F622AC" w:rsidRDefault="00F622AC" w:rsidP="00F622AC">
      <w:pPr>
        <w:spacing w:after="200" w:line="276" w:lineRule="auto"/>
        <w:rPr>
          <w:rFonts w:ascii="Times New Roman" w:eastAsia="Calibri" w:hAnsi="Times New Roman" w:cs="Times New Roman"/>
        </w:rPr>
      </w:pPr>
      <w:r w:rsidRPr="00F622AC">
        <w:rPr>
          <w:rFonts w:ascii="Times New Roman" w:eastAsia="Calibri" w:hAnsi="Times New Roman" w:cs="Times New Roman"/>
        </w:rPr>
        <w:br w:type="page"/>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A. ŽENKLINIMAS</w:t>
      </w: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F622AC">
        <w:rPr>
          <w:rFonts w:ascii="Times New Roman" w:eastAsia="Calibri" w:hAnsi="Times New Roman" w:cs="Times New Roman"/>
          <w:b/>
        </w:rPr>
        <w:br w:type="page"/>
      </w:r>
      <w:r w:rsidRPr="00F622AC">
        <w:rPr>
          <w:rFonts w:ascii="Times New Roman" w:eastAsia="Calibri" w:hAnsi="Times New Roman" w:cs="Times New Roman"/>
          <w:b/>
        </w:rPr>
        <w:lastRenderedPageBreak/>
        <w:t>INFORMACIJA ANT IŠORINĖS IR VIDINĖS PAKUOTĖS</w:t>
      </w: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caps/>
          <w:lang w:eastAsia="lt-LT"/>
        </w:rPr>
      </w:pPr>
      <w:r w:rsidRPr="00F622AC">
        <w:rPr>
          <w:rFonts w:ascii="Times New Roman" w:eastAsia="Calibri" w:hAnsi="Times New Roman" w:cs="Times New Roman"/>
          <w:b/>
          <w:caps/>
        </w:rPr>
        <w:t>Išorinė dėžutė ir butelio etiketė/400 mg plėvele dengtA tabletė</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eastAsia="lt-LT"/>
        </w:rPr>
      </w:pPr>
      <w:r w:rsidRPr="00F622AC">
        <w:rPr>
          <w:rFonts w:ascii="Times New Roman" w:eastAsia="Calibri" w:hAnsi="Times New Roman" w:cs="Times New Roman"/>
          <w:b/>
        </w:rPr>
        <w:t>1.</w:t>
      </w:r>
      <w:r w:rsidRPr="00F622AC">
        <w:rPr>
          <w:rFonts w:ascii="Times New Roman" w:eastAsia="Calibri" w:hAnsi="Times New Roman" w:cs="Times New Roman"/>
          <w:b/>
        </w:rPr>
        <w:tab/>
        <w:t>VAISTINIO PREPARATO PAVADINIMAS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400 mg plėvele dengtos tabletės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Ribavirinum</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lang w:eastAsia="lt-LT"/>
        </w:rPr>
      </w:pPr>
      <w:r w:rsidRPr="00F622AC">
        <w:rPr>
          <w:rFonts w:ascii="Times New Roman" w:eastAsia="Calibri" w:hAnsi="Times New Roman" w:cs="Times New Roman"/>
          <w:b/>
        </w:rPr>
        <w:t>2.</w:t>
      </w:r>
      <w:r w:rsidRPr="00F622AC">
        <w:rPr>
          <w:rFonts w:ascii="Times New Roman" w:eastAsia="Calibri" w:hAnsi="Times New Roman" w:cs="Times New Roman"/>
          <w:b/>
        </w:rPr>
        <w:tab/>
        <w:t>VEIKLIOJI MEDŽIAGA IR JOS KIEKIS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Vienoje plėvele dengtoje tabletėje yra 400 mg ribavirino.</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eastAsia="lt-LT"/>
        </w:rPr>
      </w:pPr>
      <w:r w:rsidRPr="00F622AC">
        <w:rPr>
          <w:rFonts w:ascii="Times New Roman" w:eastAsia="Calibri" w:hAnsi="Times New Roman" w:cs="Times New Roman"/>
          <w:b/>
        </w:rPr>
        <w:t>3.</w:t>
      </w:r>
      <w:r w:rsidRPr="00F622AC">
        <w:rPr>
          <w:rFonts w:ascii="Times New Roman" w:eastAsia="Calibri" w:hAnsi="Times New Roman" w:cs="Times New Roman"/>
          <w:b/>
        </w:rPr>
        <w:tab/>
        <w:t>PAGALBINIŲ MEDŽIAGŲ SĄRAŠAS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eastAsia="lt-LT"/>
        </w:rPr>
      </w:pPr>
      <w:r w:rsidRPr="00F622AC">
        <w:rPr>
          <w:rFonts w:ascii="Times New Roman" w:eastAsia="Calibri" w:hAnsi="Times New Roman" w:cs="Times New Roman"/>
          <w:b/>
        </w:rPr>
        <w:t>4.</w:t>
      </w:r>
      <w:r w:rsidRPr="00F622AC">
        <w:rPr>
          <w:rFonts w:ascii="Times New Roman" w:eastAsia="Calibri" w:hAnsi="Times New Roman" w:cs="Times New Roman"/>
          <w:b/>
        </w:rPr>
        <w:tab/>
        <w:t>FARMACINĖ FORMA</w:t>
      </w:r>
      <w:r w:rsidRPr="00F622AC">
        <w:rPr>
          <w:rFonts w:ascii="Times New Roman" w:eastAsia="Calibri" w:hAnsi="Times New Roman" w:cs="Times New Roman"/>
        </w:rPr>
        <w:t xml:space="preserve"> </w:t>
      </w:r>
      <w:r w:rsidRPr="00F622AC">
        <w:rPr>
          <w:rFonts w:ascii="Times New Roman" w:eastAsia="Calibri" w:hAnsi="Times New Roman" w:cs="Times New Roman"/>
          <w:b/>
        </w:rPr>
        <w:t>IR KIEKIS PAKUOTĖJE</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14 plėvele dengtų tablečių</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highlight w:val="lightGray"/>
        </w:rPr>
        <w:t>56 plėvele dengtos tabletės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eastAsia="lt-LT"/>
        </w:rPr>
      </w:pPr>
      <w:r w:rsidRPr="00F622AC">
        <w:rPr>
          <w:rFonts w:ascii="Times New Roman" w:eastAsia="Calibri" w:hAnsi="Times New Roman" w:cs="Times New Roman"/>
          <w:b/>
        </w:rPr>
        <w:t>5.</w:t>
      </w:r>
      <w:r w:rsidRPr="00F622AC">
        <w:rPr>
          <w:rFonts w:ascii="Times New Roman" w:eastAsia="Calibri" w:hAnsi="Times New Roman" w:cs="Times New Roman"/>
          <w:b/>
        </w:rPr>
        <w:tab/>
        <w:t>VARTOJIMO METODAS IR BŪDAS</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Vartoti per burną.</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Prieš vartojimą perskaitykite pakuotės lapelį.</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eastAsia="lt-LT"/>
        </w:rPr>
      </w:pPr>
      <w:r w:rsidRPr="00F622AC">
        <w:rPr>
          <w:rFonts w:ascii="Times New Roman" w:eastAsia="Calibri" w:hAnsi="Times New Roman" w:cs="Times New Roman"/>
          <w:b/>
        </w:rPr>
        <w:t>6.</w:t>
      </w:r>
      <w:r w:rsidRPr="00F622AC">
        <w:rPr>
          <w:rFonts w:ascii="Times New Roman" w:eastAsia="Calibri" w:hAnsi="Times New Roman" w:cs="Times New Roman"/>
          <w:b/>
        </w:rPr>
        <w:tab/>
        <w:t>SPECIALUS ĮSPĖJIMAS, KAD VAISTINĮ PREPARATĄ BŪTINA LAIKYTI VAIKAMS NEPASTEBIMOJE IR NEPASIEKIAMOJE VIETOJE</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Laikyti vaikams nepastebimoje ir nepasiekiamoje vietoje.</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eastAsia="lt-LT"/>
        </w:rPr>
      </w:pPr>
      <w:r w:rsidRPr="00F622AC">
        <w:rPr>
          <w:rFonts w:ascii="Times New Roman" w:eastAsia="Calibri" w:hAnsi="Times New Roman" w:cs="Times New Roman"/>
          <w:b/>
        </w:rPr>
        <w:t>7.</w:t>
      </w:r>
      <w:r w:rsidRPr="00F622AC">
        <w:rPr>
          <w:rFonts w:ascii="Times New Roman" w:eastAsia="Calibri" w:hAnsi="Times New Roman" w:cs="Times New Roman"/>
          <w:b/>
        </w:rPr>
        <w:tab/>
        <w:t>KITAS SPECIALUS ĮSPĖJIMAS (JEI REIKIA)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Tablečių negalima smulkinti arba laužyti. Reikia nuryti visą tabletę.</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eastAsia="lt-LT"/>
        </w:rPr>
      </w:pPr>
      <w:r w:rsidRPr="00F622AC">
        <w:rPr>
          <w:rFonts w:ascii="Times New Roman" w:eastAsia="Calibri" w:hAnsi="Times New Roman" w:cs="Times New Roman"/>
          <w:b/>
        </w:rPr>
        <w:t>8.</w:t>
      </w:r>
      <w:r w:rsidRPr="00F622AC">
        <w:rPr>
          <w:rFonts w:ascii="Times New Roman" w:eastAsia="Calibri" w:hAnsi="Times New Roman" w:cs="Times New Roman"/>
          <w:b/>
        </w:rPr>
        <w:tab/>
        <w:t>TINKAMUMO LAIKAS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Tinka iki {mm/MMMM}</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eastAsia="lt-LT"/>
        </w:rPr>
      </w:pPr>
      <w:r w:rsidRPr="00F622AC">
        <w:rPr>
          <w:rFonts w:ascii="Times New Roman" w:eastAsia="Calibri" w:hAnsi="Times New Roman" w:cs="Times New Roman"/>
          <w:b/>
        </w:rPr>
        <w:t>9.</w:t>
      </w:r>
      <w:r w:rsidRPr="00F622AC">
        <w:rPr>
          <w:rFonts w:ascii="Times New Roman" w:eastAsia="Calibri" w:hAnsi="Times New Roman" w:cs="Times New Roman"/>
          <w:b/>
        </w:rPr>
        <w:tab/>
      </w:r>
      <w:r w:rsidRPr="00F622AC">
        <w:rPr>
          <w:rFonts w:ascii="Times New Roman" w:eastAsia="Calibri" w:hAnsi="Times New Roman" w:cs="Times New Roman"/>
          <w:b/>
          <w:caps/>
        </w:rPr>
        <w:t>SPECIALIOS laikymo sąlygos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10.</w:t>
      </w:r>
      <w:r w:rsidRPr="00F622AC">
        <w:rPr>
          <w:rFonts w:ascii="Times New Roman" w:eastAsia="Calibri" w:hAnsi="Times New Roman" w:cs="Times New Roman"/>
          <w:b/>
        </w:rPr>
        <w:tab/>
        <w:t xml:space="preserve">SPECIALIOS ATSARGUMO PRIEMONĖS DĖL </w:t>
      </w:r>
      <w:r w:rsidRPr="00F622AC">
        <w:rPr>
          <w:rFonts w:ascii="Times New Roman" w:eastAsia="Calibri" w:hAnsi="Times New Roman" w:cs="Times New Roman"/>
          <w:b/>
          <w:lang w:val="en-US"/>
        </w:rPr>
        <w:t>NESUVARTOTO VAISTINIO PREPARATO AR JO ATLIEKŲ TVARKYMO (JEI REIKIA)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eastAsia="lt-LT"/>
        </w:rPr>
      </w:pPr>
      <w:r w:rsidRPr="00F622AC">
        <w:rPr>
          <w:rFonts w:ascii="Times New Roman" w:eastAsia="Calibri" w:hAnsi="Times New Roman" w:cs="Times New Roman"/>
          <w:b/>
        </w:rPr>
        <w:lastRenderedPageBreak/>
        <w:t>11.</w:t>
      </w:r>
      <w:r w:rsidRPr="00F622AC">
        <w:rPr>
          <w:rFonts w:ascii="Times New Roman" w:eastAsia="Calibri" w:hAnsi="Times New Roman" w:cs="Times New Roman"/>
          <w:b/>
        </w:rPr>
        <w:tab/>
      </w:r>
      <w:r w:rsidRPr="00F622AC">
        <w:rPr>
          <w:rFonts w:ascii="Times New Roman" w:eastAsia="Calibri" w:hAnsi="Times New Roman" w:cs="Times New Roman"/>
          <w:b/>
          <w:caps/>
        </w:rPr>
        <w:t>REGISTRUOTOJO</w:t>
      </w:r>
      <w:r w:rsidRPr="00F622AC">
        <w:rPr>
          <w:rFonts w:ascii="Times New Roman" w:eastAsia="Calibri" w:hAnsi="Times New Roman" w:cs="Times New Roman"/>
          <w:b/>
          <w:caps/>
          <w:lang w:val="en-US"/>
        </w:rPr>
        <w:t xml:space="preserve"> pavadinimas ir adresas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UAB „Roche Lietuva“,</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 xml:space="preserve">J.Jasinskio 16b, </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 xml:space="preserve">LT-01112 Vilnius, </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Lietuva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eastAsia="lt-LT"/>
        </w:rPr>
      </w:pPr>
      <w:r w:rsidRPr="00F622AC">
        <w:rPr>
          <w:rFonts w:ascii="Times New Roman" w:eastAsia="Calibri" w:hAnsi="Times New Roman" w:cs="Times New Roman"/>
          <w:b/>
        </w:rPr>
        <w:t>12.</w:t>
      </w:r>
      <w:r w:rsidRPr="00F622AC">
        <w:rPr>
          <w:rFonts w:ascii="Times New Roman" w:eastAsia="Calibri" w:hAnsi="Times New Roman" w:cs="Times New Roman"/>
          <w:b/>
        </w:rPr>
        <w:tab/>
      </w:r>
      <w:r w:rsidRPr="00F622AC">
        <w:rPr>
          <w:rFonts w:ascii="Times New Roman" w:eastAsia="Calibri" w:hAnsi="Times New Roman" w:cs="Times New Roman"/>
          <w:b/>
          <w:caps/>
        </w:rPr>
        <w:t>REGISTRACIJOS PAŽYMĖJIMO</w:t>
      </w:r>
      <w:r w:rsidRPr="00F622AC">
        <w:rPr>
          <w:rFonts w:ascii="Times New Roman" w:eastAsia="Calibri" w:hAnsi="Times New Roman" w:cs="Times New Roman"/>
          <w:b/>
          <w:caps/>
          <w:lang w:val="en-US"/>
        </w:rPr>
        <w:t xml:space="preserve"> numeri</w:t>
      </w:r>
      <w:r w:rsidRPr="00F622AC">
        <w:rPr>
          <w:rFonts w:ascii="Times New Roman" w:eastAsia="Calibri" w:hAnsi="Times New Roman" w:cs="Times New Roman"/>
          <w:b/>
          <w:lang w:val="en-US"/>
        </w:rPr>
        <w:t>AI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N14 – LT/1/04/0111/005</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N56 – LT/1/04/0111/006</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eastAsia="lt-LT"/>
        </w:rPr>
      </w:pPr>
      <w:r w:rsidRPr="00F622AC">
        <w:rPr>
          <w:rFonts w:ascii="Times New Roman" w:eastAsia="Calibri" w:hAnsi="Times New Roman" w:cs="Times New Roman"/>
          <w:b/>
        </w:rPr>
        <w:t>13.</w:t>
      </w:r>
      <w:r w:rsidRPr="00F622AC">
        <w:rPr>
          <w:rFonts w:ascii="Times New Roman" w:eastAsia="Calibri" w:hAnsi="Times New Roman" w:cs="Times New Roman"/>
          <w:b/>
        </w:rPr>
        <w:tab/>
        <w:t>SERIJOS NUMERIS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Serija [numeris}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eastAsia="lt-LT"/>
        </w:rPr>
      </w:pPr>
      <w:r w:rsidRPr="00F622AC">
        <w:rPr>
          <w:rFonts w:ascii="Times New Roman" w:eastAsia="Calibri" w:hAnsi="Times New Roman" w:cs="Times New Roman"/>
          <w:b/>
        </w:rPr>
        <w:t>14.</w:t>
      </w:r>
      <w:r w:rsidRPr="00F622AC">
        <w:rPr>
          <w:rFonts w:ascii="Times New Roman" w:eastAsia="Calibri" w:hAnsi="Times New Roman" w:cs="Times New Roman"/>
          <w:b/>
        </w:rPr>
        <w:tab/>
      </w:r>
      <w:r w:rsidRPr="00F622AC">
        <w:rPr>
          <w:rFonts w:ascii="Times New Roman" w:eastAsia="Calibri" w:hAnsi="Times New Roman" w:cs="Times New Roman"/>
          <w:b/>
          <w:caps/>
        </w:rPr>
        <w:t>PARDAVIMO (iŠDAVIMO) tvarka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Receptinis vaistas.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0" w:color="auto"/>
          <w:right w:val="single" w:sz="4" w:space="4" w:color="auto"/>
        </w:pBdr>
        <w:tabs>
          <w:tab w:val="left" w:pos="567"/>
        </w:tabs>
        <w:spacing w:after="0" w:line="240" w:lineRule="auto"/>
        <w:outlineLvl w:val="0"/>
        <w:rPr>
          <w:rFonts w:ascii="Times New Roman" w:eastAsia="Calibri" w:hAnsi="Times New Roman" w:cs="Times New Roman"/>
          <w:lang w:eastAsia="lt-LT"/>
        </w:rPr>
      </w:pPr>
      <w:r w:rsidRPr="00F622AC">
        <w:rPr>
          <w:rFonts w:ascii="Times New Roman" w:eastAsia="Calibri" w:hAnsi="Times New Roman" w:cs="Times New Roman"/>
          <w:b/>
        </w:rPr>
        <w:t>15.</w:t>
      </w:r>
      <w:r w:rsidRPr="00F622AC">
        <w:rPr>
          <w:rFonts w:ascii="Times New Roman" w:eastAsia="Calibri" w:hAnsi="Times New Roman" w:cs="Times New Roman"/>
          <w:b/>
        </w:rPr>
        <w:tab/>
      </w:r>
      <w:r w:rsidRPr="00F622AC">
        <w:rPr>
          <w:rFonts w:ascii="Times New Roman" w:eastAsia="Calibri" w:hAnsi="Times New Roman" w:cs="Times New Roman"/>
          <w:b/>
          <w:caps/>
        </w:rPr>
        <w:t>vartojimo instrukcijA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eastAsia="lt-LT"/>
        </w:rPr>
      </w:pPr>
      <w:r w:rsidRPr="00F622AC">
        <w:rPr>
          <w:rFonts w:ascii="Times New Roman" w:eastAsia="Calibri" w:hAnsi="Times New Roman" w:cs="Times New Roman"/>
          <w:b/>
        </w:rPr>
        <w:t>16.</w:t>
      </w:r>
      <w:r w:rsidRPr="00F622AC">
        <w:rPr>
          <w:rFonts w:ascii="Times New Roman" w:eastAsia="Calibri" w:hAnsi="Times New Roman" w:cs="Times New Roman"/>
          <w:b/>
        </w:rPr>
        <w:tab/>
        <w:t>INFORMACIJA BRAILIO RAŠTU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400 mg (tik ant išorinės pakuotės)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shd w:val="clear" w:color="auto" w:fill="CCCCCC"/>
        </w:rPr>
      </w:pPr>
    </w:p>
    <w:p w:rsidR="00F622AC" w:rsidRPr="00F622AC" w:rsidRDefault="00F622AC" w:rsidP="00F622AC">
      <w:pPr>
        <w:keepNext/>
        <w:numPr>
          <w:ilvl w:val="1"/>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i/>
          <w:lang w:eastAsia="lt-LT"/>
        </w:rPr>
      </w:pPr>
      <w:r w:rsidRPr="00F622AC">
        <w:rPr>
          <w:rFonts w:ascii="Times New Roman" w:eastAsia="Calibri" w:hAnsi="Times New Roman" w:cs="Times New Roman"/>
          <w:b/>
        </w:rPr>
        <w:t>UNIKALUS IDENTIFIKATORIUS – 2D BRŪKŠNINIS KODAS</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shd w:val="clear" w:color="auto" w:fill="CCCCCC"/>
          <w:lang w:eastAsia="lt-LT"/>
        </w:rPr>
      </w:pPr>
      <w:r w:rsidRPr="00F622AC">
        <w:rPr>
          <w:rFonts w:ascii="Times New Roman" w:eastAsia="Calibri" w:hAnsi="Times New Roman" w:cs="Times New Roman"/>
          <w:highlight w:val="lightGray"/>
        </w:rPr>
        <w:t>2D brūkšninis kodas su nurodytu unikaliu identifikatoriumi.</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keepNext/>
        <w:numPr>
          <w:ilvl w:val="1"/>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Calibri" w:hAnsi="Times New Roman" w:cs="Times New Roman"/>
          <w:i/>
          <w:lang w:eastAsia="lt-LT"/>
        </w:rPr>
      </w:pPr>
      <w:r w:rsidRPr="00F622AC">
        <w:rPr>
          <w:rFonts w:ascii="Times New Roman" w:eastAsia="Calibri" w:hAnsi="Times New Roman" w:cs="Times New Roman"/>
          <w:b/>
        </w:rPr>
        <w:t>UNIKALUS IDENTIFIKATORIUS – ŽMONĖMS SUPRANTAMI DUOMENYS</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60" w:lineRule="exact"/>
        <w:rPr>
          <w:rFonts w:ascii="Times New Roman" w:eastAsia="Calibri" w:hAnsi="Times New Roman" w:cs="Times New Roman"/>
          <w:color w:val="008000"/>
          <w:lang w:eastAsia="lt-LT"/>
        </w:rPr>
      </w:pPr>
      <w:r w:rsidRPr="00F622AC">
        <w:rPr>
          <w:rFonts w:ascii="Times New Roman" w:eastAsia="Calibri" w:hAnsi="Times New Roman" w:cs="Times New Roman"/>
        </w:rPr>
        <w:t>PC:</w:t>
      </w:r>
    </w:p>
    <w:p w:rsidR="00F622AC" w:rsidRPr="00F622AC" w:rsidRDefault="00F622AC" w:rsidP="00F622AC">
      <w:pPr>
        <w:tabs>
          <w:tab w:val="left" w:pos="567"/>
        </w:tabs>
        <w:spacing w:after="0" w:line="260" w:lineRule="exact"/>
        <w:rPr>
          <w:rFonts w:ascii="Times New Roman" w:eastAsia="Calibri" w:hAnsi="Times New Roman" w:cs="Times New Roman"/>
          <w:lang w:eastAsia="lt-LT"/>
        </w:rPr>
      </w:pPr>
      <w:r w:rsidRPr="00F622AC">
        <w:rPr>
          <w:rFonts w:ascii="Times New Roman" w:eastAsia="Calibri" w:hAnsi="Times New Roman" w:cs="Times New Roman"/>
        </w:rPr>
        <w:t>SN:</w:t>
      </w:r>
    </w:p>
    <w:p w:rsidR="00F622AC" w:rsidRPr="00F622AC" w:rsidRDefault="00F622AC" w:rsidP="00F622AC">
      <w:pPr>
        <w:tabs>
          <w:tab w:val="left" w:pos="567"/>
        </w:tabs>
        <w:spacing w:after="0" w:line="260" w:lineRule="exact"/>
        <w:rPr>
          <w:rFonts w:ascii="Times New Roman" w:eastAsia="Calibri" w:hAnsi="Times New Roman" w:cs="Times New Roman"/>
          <w:lang w:eastAsia="lt-LT"/>
        </w:rPr>
      </w:pPr>
      <w:r w:rsidRPr="00F622AC">
        <w:rPr>
          <w:rFonts w:ascii="Times New Roman" w:eastAsia="Calibri" w:hAnsi="Times New Roman" w:cs="Times New Roman"/>
        </w:rPr>
        <w:t>NN:</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r w:rsidRPr="00F622AC">
        <w:rPr>
          <w:rFonts w:ascii="Times New Roman" w:eastAsia="Calibri" w:hAnsi="Times New Roman" w:cs="Times New Roman"/>
        </w:rPr>
        <w:br w:type="page"/>
      </w: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Times New Roman" w:hAnsi="Times New Roman" w:cs="Times New Roman"/>
          <w:b/>
          <w:noProof/>
          <w:lang w:val="pt-BR" w:eastAsia="ja-JP"/>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B. PAKUOTĖS LAPELIS</w:t>
      </w:r>
    </w:p>
    <w:p w:rsidR="00F622AC" w:rsidRPr="00F622AC" w:rsidRDefault="00F622AC" w:rsidP="00F622AC">
      <w:pPr>
        <w:tabs>
          <w:tab w:val="left" w:pos="567"/>
        </w:tabs>
        <w:spacing w:after="0" w:line="240" w:lineRule="auto"/>
        <w:jc w:val="center"/>
        <w:outlineLvl w:val="0"/>
        <w:rPr>
          <w:rFonts w:ascii="Times New Roman" w:eastAsia="Calibri" w:hAnsi="Times New Roman" w:cs="Times New Roman"/>
          <w:b/>
        </w:rPr>
      </w:pPr>
      <w:r w:rsidRPr="00F622AC">
        <w:rPr>
          <w:rFonts w:ascii="Times New Roman" w:eastAsia="Calibri" w:hAnsi="Times New Roman" w:cs="Times New Roman"/>
        </w:rPr>
        <w:br w:type="page"/>
      </w:r>
      <w:r w:rsidRPr="00F622AC">
        <w:rPr>
          <w:rFonts w:ascii="Times New Roman" w:eastAsia="Calibri" w:hAnsi="Times New Roman" w:cs="Times New Roman"/>
          <w:b/>
        </w:rPr>
        <w:lastRenderedPageBreak/>
        <w:t>Pakuotės lapelis: informacija vartotojui</w:t>
      </w:r>
    </w:p>
    <w:p w:rsidR="00F622AC" w:rsidRPr="00F622AC" w:rsidRDefault="00F622AC" w:rsidP="00F622AC">
      <w:pPr>
        <w:tabs>
          <w:tab w:val="left" w:pos="567"/>
        </w:tabs>
        <w:spacing w:after="0" w:line="240" w:lineRule="auto"/>
        <w:jc w:val="center"/>
        <w:outlineLvl w:val="0"/>
        <w:rPr>
          <w:rFonts w:ascii="Times New Roman" w:eastAsia="Calibri" w:hAnsi="Times New Roman" w:cs="Times New Roman"/>
          <w:b/>
        </w:rPr>
      </w:pPr>
    </w:p>
    <w:p w:rsidR="00F622AC" w:rsidRPr="00F622AC" w:rsidRDefault="00F622AC" w:rsidP="00F622AC">
      <w:pPr>
        <w:tabs>
          <w:tab w:val="left" w:pos="567"/>
        </w:tabs>
        <w:spacing w:after="0" w:line="240" w:lineRule="auto"/>
        <w:jc w:val="center"/>
        <w:rPr>
          <w:rFonts w:ascii="Times New Roman" w:eastAsia="Calibri" w:hAnsi="Times New Roman" w:cs="Times New Roman"/>
          <w:b/>
          <w:lang w:eastAsia="lt-LT"/>
        </w:rPr>
      </w:pPr>
      <w:r w:rsidRPr="00F622AC">
        <w:rPr>
          <w:rFonts w:ascii="Times New Roman" w:eastAsia="Calibri" w:hAnsi="Times New Roman" w:cs="Times New Roman"/>
          <w:b/>
        </w:rPr>
        <w:t>Copegus 400 mg plėvele dengtos tabletės</w:t>
      </w:r>
    </w:p>
    <w:p w:rsidR="00F622AC" w:rsidRPr="00F622AC" w:rsidRDefault="00F622AC" w:rsidP="00F622AC">
      <w:pPr>
        <w:tabs>
          <w:tab w:val="left" w:pos="567"/>
        </w:tabs>
        <w:spacing w:after="0" w:line="240" w:lineRule="auto"/>
        <w:jc w:val="center"/>
        <w:rPr>
          <w:rFonts w:ascii="Times New Roman" w:eastAsia="Calibri" w:hAnsi="Times New Roman" w:cs="Times New Roman"/>
          <w:lang w:eastAsia="lt-LT"/>
        </w:rPr>
      </w:pPr>
      <w:r w:rsidRPr="00F622AC">
        <w:rPr>
          <w:rFonts w:ascii="Times New Roman" w:eastAsia="Calibri" w:hAnsi="Times New Roman" w:cs="Times New Roman"/>
        </w:rPr>
        <w:t>Ribavirinas</w:t>
      </w:r>
    </w:p>
    <w:p w:rsidR="00F622AC" w:rsidRPr="00F622AC" w:rsidRDefault="00F622AC" w:rsidP="00F622AC">
      <w:pPr>
        <w:tabs>
          <w:tab w:val="left" w:pos="567"/>
        </w:tabs>
        <w:spacing w:after="0" w:line="240" w:lineRule="auto"/>
        <w:jc w:val="center"/>
        <w:rPr>
          <w:rFonts w:ascii="Times New Roman" w:eastAsia="Calibri" w:hAnsi="Times New Roman" w:cs="Times New Roman"/>
        </w:rPr>
      </w:pPr>
    </w:p>
    <w:p w:rsidR="00F622AC" w:rsidRPr="00F622AC" w:rsidRDefault="00F622AC" w:rsidP="00F622AC">
      <w:pPr>
        <w:tabs>
          <w:tab w:val="left" w:pos="0"/>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Atidžiai perskaitykite visą šį lapelį, prieš pradėdami vartoti vaistą, nes jame pateikiama Jums svarbi informacija.</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Neišmeskite lapelio, nes vėl gali prireikti jį perskaityti.</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Jeigu kiltų daugiau klausimų, kreipkitės į gydytoją arba vaistininką.</w:t>
      </w:r>
    </w:p>
    <w:p w:rsidR="00F622AC" w:rsidRPr="00F622AC" w:rsidRDefault="00F622AC" w:rsidP="00F622AC">
      <w:pPr>
        <w:numPr>
          <w:ilvl w:val="0"/>
          <w:numId w:val="3"/>
        </w:numPr>
        <w:tabs>
          <w:tab w:val="left" w:pos="567"/>
        </w:tabs>
        <w:spacing w:after="0" w:line="260" w:lineRule="exact"/>
        <w:ind w:left="567" w:hanging="567"/>
        <w:rPr>
          <w:rFonts w:ascii="Times New Roman" w:eastAsia="Calibri" w:hAnsi="Times New Roman" w:cs="Times New Roman"/>
          <w:lang w:eastAsia="lt-LT"/>
        </w:rPr>
      </w:pPr>
      <w:r w:rsidRPr="00F622AC">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F622AC" w:rsidRPr="00F622AC" w:rsidRDefault="00F622AC" w:rsidP="00F622AC">
      <w:pPr>
        <w:numPr>
          <w:ilvl w:val="0"/>
          <w:numId w:val="3"/>
        </w:numPr>
        <w:tabs>
          <w:tab w:val="left" w:pos="567"/>
        </w:tabs>
        <w:spacing w:after="0" w:line="260" w:lineRule="exact"/>
        <w:ind w:left="567" w:hanging="567"/>
        <w:rPr>
          <w:rFonts w:ascii="Times New Roman" w:eastAsia="Calibri" w:hAnsi="Times New Roman" w:cs="Times New Roman"/>
          <w:lang w:eastAsia="lt-LT"/>
        </w:rPr>
      </w:pPr>
      <w:r w:rsidRPr="00F622AC">
        <w:rPr>
          <w:rFonts w:ascii="Times New Roman" w:eastAsia="Calibri" w:hAnsi="Times New Roman" w:cs="Times New Roman"/>
        </w:rPr>
        <w:t>Jeigu pasireiškė šalutinis poveikis (net jeigu jis šiame lapelyje nenurodytas), kreipkitės į gydytoją arba vaistininką. Žr. 4 skyrių.</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keepNext/>
        <w:tabs>
          <w:tab w:val="left" w:pos="567"/>
        </w:tabs>
        <w:spacing w:after="0" w:line="260" w:lineRule="exact"/>
        <w:jc w:val="both"/>
        <w:outlineLvl w:val="3"/>
        <w:rPr>
          <w:rFonts w:ascii="Times New Roman" w:eastAsia="Calibri" w:hAnsi="Times New Roman" w:cs="Times New Roman"/>
          <w:b/>
          <w:lang w:eastAsia="lt-LT"/>
        </w:rPr>
      </w:pPr>
      <w:r w:rsidRPr="00F622AC">
        <w:rPr>
          <w:rFonts w:ascii="Times New Roman" w:eastAsia="Calibri" w:hAnsi="Times New Roman" w:cs="Times New Roman"/>
          <w:b/>
        </w:rPr>
        <w:t>Apie ką rašoma šiame lapelyje?</w:t>
      </w:r>
    </w:p>
    <w:p w:rsidR="00F622AC" w:rsidRPr="00F622AC" w:rsidRDefault="00F622AC" w:rsidP="00F622AC">
      <w:pPr>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1.</w:t>
      </w:r>
      <w:r w:rsidRPr="00F622AC">
        <w:rPr>
          <w:rFonts w:ascii="Times New Roman" w:eastAsia="Calibri" w:hAnsi="Times New Roman" w:cs="Times New Roman"/>
        </w:rPr>
        <w:tab/>
        <w:t>Kas yra Copegus ir kam jis vartojamas</w:t>
      </w:r>
    </w:p>
    <w:p w:rsidR="00F622AC" w:rsidRPr="00F622AC" w:rsidRDefault="00F622AC" w:rsidP="00F622AC">
      <w:pPr>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2.</w:t>
      </w:r>
      <w:r w:rsidRPr="00F622AC">
        <w:rPr>
          <w:rFonts w:ascii="Times New Roman" w:eastAsia="Calibri" w:hAnsi="Times New Roman" w:cs="Times New Roman"/>
        </w:rPr>
        <w:tab/>
        <w:t>Kas žinotina prieš vartojant Copegus</w:t>
      </w:r>
    </w:p>
    <w:p w:rsidR="00F622AC" w:rsidRPr="00F622AC" w:rsidRDefault="00F622AC" w:rsidP="00F622AC">
      <w:pPr>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3.</w:t>
      </w:r>
      <w:r w:rsidRPr="00F622AC">
        <w:rPr>
          <w:rFonts w:ascii="Times New Roman" w:eastAsia="Calibri" w:hAnsi="Times New Roman" w:cs="Times New Roman"/>
        </w:rPr>
        <w:tab/>
        <w:t>Kaip vartoti Copegus</w:t>
      </w:r>
    </w:p>
    <w:p w:rsidR="00F622AC" w:rsidRPr="00F622AC" w:rsidRDefault="00F622AC" w:rsidP="00F622AC">
      <w:pPr>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4.</w:t>
      </w:r>
      <w:r w:rsidRPr="00F622AC">
        <w:rPr>
          <w:rFonts w:ascii="Times New Roman" w:eastAsia="Calibri" w:hAnsi="Times New Roman" w:cs="Times New Roman"/>
        </w:rPr>
        <w:tab/>
        <w:t>Galimas šalutinis poveikis</w:t>
      </w:r>
    </w:p>
    <w:p w:rsidR="00F622AC" w:rsidRPr="00F622AC" w:rsidRDefault="00F622AC" w:rsidP="00F622AC">
      <w:pPr>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5.</w:t>
      </w:r>
      <w:r w:rsidRPr="00F622AC">
        <w:rPr>
          <w:rFonts w:ascii="Times New Roman" w:eastAsia="Calibri" w:hAnsi="Times New Roman" w:cs="Times New Roman"/>
        </w:rPr>
        <w:tab/>
        <w:t xml:space="preserve">Kaip </w:t>
      </w:r>
      <w:r w:rsidRPr="00F622AC">
        <w:rPr>
          <w:rFonts w:ascii="Times New Roman" w:eastAsia="Calibri" w:hAnsi="Times New Roman" w:cs="Times New Roman"/>
          <w:lang w:val="en-US"/>
        </w:rPr>
        <w:t>laikyti Copegus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6.</w:t>
      </w:r>
      <w:r w:rsidRPr="00F622AC">
        <w:rPr>
          <w:rFonts w:ascii="Times New Roman" w:eastAsia="Calibri" w:hAnsi="Times New Roman" w:cs="Times New Roman"/>
        </w:rPr>
        <w:tab/>
        <w:t>Pakuotės turinys ir kita informacija</w:t>
      </w:r>
    </w:p>
    <w:p w:rsidR="00F622AC" w:rsidRPr="00F622AC" w:rsidRDefault="00F622AC" w:rsidP="00F622AC">
      <w:pPr>
        <w:keepNext/>
        <w:spacing w:after="0" w:line="240" w:lineRule="auto"/>
        <w:outlineLvl w:val="1"/>
        <w:rPr>
          <w:rFonts w:ascii="Times New Roman" w:eastAsia="Calibri" w:hAnsi="Times New Roman" w:cs="Times New Roman"/>
        </w:rPr>
      </w:pPr>
    </w:p>
    <w:p w:rsidR="00F622AC" w:rsidRPr="00F622AC" w:rsidRDefault="00F622AC" w:rsidP="00F622AC">
      <w:pPr>
        <w:tabs>
          <w:tab w:val="left" w:pos="567"/>
        </w:tabs>
        <w:spacing w:after="0" w:line="240" w:lineRule="auto"/>
        <w:ind w:left="567" w:hanging="567"/>
        <w:jc w:val="both"/>
        <w:rPr>
          <w:rFonts w:ascii="Times New Roman" w:eastAsia="Calibri" w:hAnsi="Times New Roman" w:cs="Times New Roman"/>
        </w:rPr>
      </w:pPr>
    </w:p>
    <w:p w:rsidR="00F622AC" w:rsidRPr="00F622AC" w:rsidRDefault="00F622AC" w:rsidP="00F622AC">
      <w:pPr>
        <w:tabs>
          <w:tab w:val="left" w:pos="567"/>
        </w:tabs>
        <w:spacing w:after="0" w:line="240" w:lineRule="auto"/>
        <w:ind w:left="540" w:hanging="540"/>
        <w:jc w:val="both"/>
        <w:rPr>
          <w:rFonts w:ascii="Times New Roman" w:eastAsia="Calibri" w:hAnsi="Times New Roman" w:cs="Times New Roman"/>
          <w:b/>
          <w:lang w:eastAsia="lt-LT"/>
        </w:rPr>
      </w:pPr>
      <w:r w:rsidRPr="00F622AC">
        <w:rPr>
          <w:rFonts w:ascii="Times New Roman" w:eastAsia="Calibri" w:hAnsi="Times New Roman" w:cs="Times New Roman"/>
          <w:b/>
        </w:rPr>
        <w:t>1.</w:t>
      </w:r>
      <w:r w:rsidRPr="00F622AC">
        <w:rPr>
          <w:rFonts w:ascii="Times New Roman" w:eastAsia="Calibri" w:hAnsi="Times New Roman" w:cs="Times New Roman"/>
          <w:b/>
        </w:rPr>
        <w:tab/>
        <w:t>Kas yra Copegus ir kam jis vartojamas</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Ribavirinas, kuris yra Copegus veiklioji virusus veikianti medžiaga, slopina daugelio virusų tipų, tarp jų hepatito C virusų (galinčių sukelti kepenų infekcinę ligą, vadinamą hepatitu C), dauginimąsi.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vartojama kartu su kitasi vaistais kai kurioms lėtinio hepatito C formoms gydyti.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vartojamas tik kartu su kitais hepatitui C gydyti skirtais vaistais. Vieną Copegus vartoti draudžiama.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Be to, perskaitykite kitų kartu su Copegus vartojamų vaistų pakuočių lapelius.</w:t>
      </w:r>
    </w:p>
    <w:p w:rsidR="00F622AC" w:rsidRPr="00F622AC" w:rsidRDefault="00F622AC" w:rsidP="00F622AC">
      <w:pPr>
        <w:tabs>
          <w:tab w:val="left" w:pos="567"/>
        </w:tabs>
        <w:spacing w:after="0" w:line="240" w:lineRule="auto"/>
        <w:ind w:left="540" w:hanging="540"/>
        <w:jc w:val="both"/>
        <w:rPr>
          <w:rFonts w:ascii="Times New Roman" w:eastAsia="Calibri" w:hAnsi="Times New Roman" w:cs="Times New Roman"/>
        </w:rPr>
      </w:pPr>
    </w:p>
    <w:p w:rsidR="00F622AC" w:rsidRPr="00F622AC" w:rsidRDefault="00F622AC" w:rsidP="00F622AC">
      <w:pPr>
        <w:tabs>
          <w:tab w:val="left" w:pos="567"/>
        </w:tabs>
        <w:spacing w:after="0" w:line="240" w:lineRule="auto"/>
        <w:ind w:left="540" w:hanging="540"/>
        <w:jc w:val="both"/>
        <w:rPr>
          <w:rFonts w:ascii="Times New Roman" w:eastAsia="Calibri" w:hAnsi="Times New Roman" w:cs="Times New Roman"/>
        </w:rPr>
      </w:pPr>
    </w:p>
    <w:p w:rsidR="00F622AC" w:rsidRPr="00F622AC" w:rsidRDefault="00F622AC" w:rsidP="00F622AC">
      <w:pPr>
        <w:tabs>
          <w:tab w:val="left" w:pos="567"/>
        </w:tabs>
        <w:spacing w:after="0" w:line="240" w:lineRule="auto"/>
        <w:ind w:left="540" w:hanging="540"/>
        <w:jc w:val="both"/>
        <w:rPr>
          <w:rFonts w:ascii="Times New Roman" w:eastAsia="Calibri" w:hAnsi="Times New Roman" w:cs="Times New Roman"/>
          <w:b/>
          <w:i/>
          <w:lang w:eastAsia="lt-LT"/>
        </w:rPr>
      </w:pPr>
      <w:r w:rsidRPr="00F622AC">
        <w:rPr>
          <w:rFonts w:ascii="Times New Roman" w:eastAsia="Calibri" w:hAnsi="Times New Roman" w:cs="Times New Roman"/>
          <w:b/>
        </w:rPr>
        <w:t>2.</w:t>
      </w:r>
      <w:r w:rsidRPr="00F622AC">
        <w:rPr>
          <w:rFonts w:ascii="Times New Roman" w:eastAsia="Calibri" w:hAnsi="Times New Roman" w:cs="Times New Roman"/>
          <w:b/>
        </w:rPr>
        <w:tab/>
        <w:t>Kas žinotina prieš vartojant Copegus</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Copegus vartoti negalima:</w:t>
      </w:r>
    </w:p>
    <w:p w:rsidR="00F622AC" w:rsidRPr="00F622AC" w:rsidRDefault="00F622AC" w:rsidP="00F622AC">
      <w:pPr>
        <w:tabs>
          <w:tab w:val="left" w:pos="567"/>
        </w:tabs>
        <w:spacing w:after="0" w:line="240" w:lineRule="auto"/>
        <w:rPr>
          <w:rFonts w:ascii="Times New Roman" w:eastAsia="Calibri" w:hAnsi="Times New Roman" w:cs="Times New Roman"/>
          <w:u w:val="single"/>
        </w:rPr>
      </w:pPr>
    </w:p>
    <w:p w:rsidR="00F622AC" w:rsidRPr="00F622AC" w:rsidRDefault="00F622AC" w:rsidP="00F622AC">
      <w:pPr>
        <w:numPr>
          <w:ilvl w:val="0"/>
          <w:numId w:val="30"/>
        </w:num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yra alergija ribavirinui arba bet kuriai pagalbinei šio vaisto medžiagai (jos išvardytos 6 skyriuje),</w:t>
      </w:r>
    </w:p>
    <w:p w:rsidR="00F622AC" w:rsidRPr="00F622AC" w:rsidRDefault="00F622AC" w:rsidP="00F622AC">
      <w:pPr>
        <w:numPr>
          <w:ilvl w:val="0"/>
          <w:numId w:val="30"/>
        </w:num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esate nėščia ar maitinate krūtimi (žr. skyrių „Nėštumas ir žindymo laikotarpis”),</w:t>
      </w:r>
    </w:p>
    <w:p w:rsidR="00F622AC" w:rsidRPr="00F622AC" w:rsidRDefault="00F622AC" w:rsidP="00F622AC">
      <w:pPr>
        <w:numPr>
          <w:ilvl w:val="0"/>
          <w:numId w:val="30"/>
        </w:num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turėjote širdies priepuolį arba per paskutiniuosius šešis mėnesius Jus kamavo kokia nors kita sunki širdies liga,</w:t>
      </w:r>
    </w:p>
    <w:p w:rsidR="00F622AC" w:rsidRPr="00F622AC" w:rsidRDefault="00F622AC" w:rsidP="00F622AC">
      <w:pPr>
        <w:numPr>
          <w:ilvl w:val="0"/>
          <w:numId w:val="30"/>
        </w:num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Jums yra kraujo sutrikimas, toks kaip pjautuvinų ląstelių anemija ar talasemija (raudonųjų kraujo kūnelių susilpnėjimas ar suirimas).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Be to, perskaitykite kitų kartu su Copegus vartojamų vaistų pakuočių lapelius.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sergate pažengusia kepenų liga (pvz., Jūsų oda yra pageltusi, o pilve yra susikaupę pernelyg daug skysčio), nevartokite Copegus kartu su vaistais, vadinamais interferonu arba pegiliuotu interferonu.</w:t>
      </w:r>
    </w:p>
    <w:p w:rsidR="00F622AC" w:rsidRPr="00F622AC" w:rsidRDefault="00F622AC" w:rsidP="00F622AC">
      <w:pPr>
        <w:spacing w:after="0" w:line="240" w:lineRule="auto"/>
        <w:ind w:left="540" w:hanging="540"/>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Įspėjimai ir atsargumo priemonės</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Pasitarkite su gydytoju, prieš pradėdami vartoti Copegus: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 xml:space="preserve">Jeigu esate vaisingo amžiaus moteris (žr. </w:t>
      </w:r>
      <w:r w:rsidRPr="00F622AC">
        <w:rPr>
          <w:rFonts w:ascii="Times New Roman" w:eastAsia="Calibri" w:hAnsi="Times New Roman" w:cs="Times New Roman"/>
          <w:lang w:val="en-US"/>
        </w:rPr>
        <w:t>skyrių „</w:t>
      </w:r>
      <w:r w:rsidRPr="00F622AC">
        <w:rPr>
          <w:rFonts w:ascii="Times New Roman" w:eastAsia="Calibri" w:hAnsi="Times New Roman" w:cs="Times New Roman"/>
        </w:rPr>
        <w:t>Nėštumas ir žindymo laikotarpis”).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lastRenderedPageBreak/>
        <w:sym w:font="Symbol" w:char="F0B7"/>
      </w:r>
      <w:r w:rsidRPr="00F622AC">
        <w:rPr>
          <w:rFonts w:ascii="Times New Roman" w:eastAsia="Calibri" w:hAnsi="Times New Roman" w:cs="Times New Roman"/>
        </w:rPr>
        <w:tab/>
        <w:t>Jeigu esate vyras ir Jūsų partnerė yra vaisingo amžiaus moteris (žr. skyrių „Nėštumas ir žindymo laikotarpis”).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turite skundų dėl širdies veiklos. Šiuo atveju Jus reikės nuolat atidžiai stebėti. Rekomenduojama prieš gydymą ir jo metu registruoti elektrokardiogramą (EKG).</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atsiranda širdies veiklos sutrikimų kartu su dideliu nuovargiu. Tai gali būti dėl Copegus sukeltos mažakraujystės.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kada nors sirgote mažakraujyste (bendrai, mažakraujystės rizika didesnė moterims nei vyrams).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turite skundų dėl inkstų veiklos. Gali prireikti sumažinti Copegus dozę.</w:t>
      </w:r>
    </w:p>
    <w:p w:rsidR="00F622AC" w:rsidRPr="00F622AC" w:rsidRDefault="00F622AC" w:rsidP="00F622AC">
      <w:pPr>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Jums buvo persodintas organas (kepenys ar inkstas) arba artimiausioje ateityje planuojama atlikti organo persodinimo operaciją.</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atsiranda alerginės reakcijos simptomų, tokių kaip pasunkėjęs kvėpavimas, švokštimas, staiga pabrinkusi oda ir gleivinės, niežulys ar bėrimai. Nedelsdami nustokite vartoti Copegus ir tuoj pat ieškokite medicininės pagalbos.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kada nors sirgote depresija arba gydymosi Copegus preparatu metu atsiranda simptomų, susijusių su depresija (pvz., liūdesys, prislėgta nuotaika ir t.t.) (žr. 4 skyrių).</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esate suaugęs pacientas, piktnaudžiaujantis arba praeityje piktnaudžiavęs psichiką veikiančiomis medžiagomis (pvz., alkoholiu ar narkotikais).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esate jaunesni nei 18 metų. Copegus ir peginterferono alfa-2a arba interferono alfa-2a derinio veiksmingumas ir saugumas jaunesniems nei 18 metų pacientams įvertintas nepakankamai.</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esate dar užsikrėtę ŽIV ir gydotės bet kokiu vaistiniu preparatu nuo ŽIV.</w:t>
      </w:r>
    </w:p>
    <w:p w:rsidR="00F622AC" w:rsidRPr="00F622AC" w:rsidRDefault="00F622AC" w:rsidP="00F622AC">
      <w:pPr>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Jūsų ankstesnis gydymas nuo hepatito C nutrauktas dėl mažakraujystės ar mažo kraujo kūnelių skaičiaus.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Prieš gydymą Copegus preparatu būtina visiems pacientams ištirti inkstų veiklą. Prieš pradedant gydyti Copegus preparatu gydytojas taip pat būtinai turi ištirti Jūsų kraują. Kraujo tyrimai turi būti kartojami po 2 ir 4 gydymo savaičių, vėliau - taip dažnai kaip, gydytojo nuomone, tai būtina.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esate vaisingo amžiau moteris, Jums būtina prieš gydymosi Copegus preparatu pradžią, gydymosi juo metu ir </w:t>
      </w:r>
      <w:r w:rsidR="00E86133">
        <w:rPr>
          <w:rFonts w:ascii="Times New Roman" w:eastAsia="Calibri" w:hAnsi="Times New Roman" w:cs="Times New Roman"/>
        </w:rPr>
        <w:t>9</w:t>
      </w:r>
      <w:r w:rsidRPr="00F622AC">
        <w:rPr>
          <w:rFonts w:ascii="Times New Roman" w:eastAsia="Calibri" w:hAnsi="Times New Roman" w:cs="Times New Roman"/>
        </w:rPr>
        <w:t xml:space="preserve"> mėnesius po gydymo kiekvieną mėnesį daryti nėštumo nustatymo mėginį (žr. skyrių „Nėštumas ir žindymo laikotarpis”).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Žemiau išvardinti sunkūs šalutiniai poveikiai yra susiję visų pirma su Copegus vartojimu kartu su interferonu alfa-2a arba peginterferonu alfa-2a, o daugiau informacijos apie šias saugumo problemas rasite šių vaistų pakuotės lapeliuose:</w:t>
      </w:r>
    </w:p>
    <w:p w:rsidR="00F622AC" w:rsidRPr="00F622AC" w:rsidRDefault="00F622AC" w:rsidP="00F622AC">
      <w:pPr>
        <w:numPr>
          <w:ilvl w:val="0"/>
          <w:numId w:val="45"/>
        </w:numPr>
        <w:tabs>
          <w:tab w:val="left" w:pos="567"/>
        </w:tabs>
        <w:spacing w:after="0" w:line="240" w:lineRule="auto"/>
        <w:contextualSpacing/>
        <w:rPr>
          <w:rFonts w:ascii="Times New Roman" w:eastAsia="Calibri" w:hAnsi="Times New Roman" w:cs="Times New Roman"/>
          <w:lang w:eastAsia="lt-LT"/>
        </w:rPr>
      </w:pPr>
      <w:r w:rsidRPr="00F622AC">
        <w:rPr>
          <w:rFonts w:ascii="Times New Roman" w:eastAsia="Calibri" w:hAnsi="Times New Roman" w:cs="Times New Roman"/>
        </w:rPr>
        <w:t>Poveikis psichikai ir centrinei nervų sistemai (pavyzdžiui, depresija, mintys apie savižudybę, bandymas nusižudyti, agresyvus elgesys ir t. t.). Pastebėję, kad Jus kamuoja depresija, turite minčių apie savižudybę ar pasikeitė Jūsų elgesys, būtinai kreipkitės pagalbos. Jūs galbūt norėsite paprašyti šeimos nario ar artimo draugo, kad jis padėtų Jums išlikti budriems įvertinant depresijos požymius ar Jūsų elgesio pokyčius;</w:t>
      </w:r>
    </w:p>
    <w:p w:rsidR="00F622AC" w:rsidRPr="00F622AC" w:rsidRDefault="00F622AC" w:rsidP="00F622AC">
      <w:pPr>
        <w:numPr>
          <w:ilvl w:val="0"/>
          <w:numId w:val="45"/>
        </w:numPr>
        <w:tabs>
          <w:tab w:val="left" w:pos="567"/>
        </w:tabs>
        <w:spacing w:after="0" w:line="240" w:lineRule="auto"/>
        <w:contextualSpacing/>
        <w:rPr>
          <w:rFonts w:ascii="Times New Roman" w:eastAsia="Calibri" w:hAnsi="Times New Roman" w:cs="Times New Roman"/>
          <w:lang w:eastAsia="lt-LT"/>
        </w:rPr>
      </w:pPr>
      <w:r w:rsidRPr="00F622AC">
        <w:rPr>
          <w:rFonts w:ascii="Times New Roman" w:eastAsia="Calibri" w:hAnsi="Times New Roman" w:cs="Times New Roman"/>
        </w:rPr>
        <w:t>Sunkus akių sutrikimas;</w:t>
      </w:r>
    </w:p>
    <w:p w:rsidR="00F622AC" w:rsidRPr="00F622AC" w:rsidRDefault="00F622AC" w:rsidP="00F622AC">
      <w:pPr>
        <w:numPr>
          <w:ilvl w:val="0"/>
          <w:numId w:val="45"/>
        </w:numPr>
        <w:tabs>
          <w:tab w:val="left" w:pos="567"/>
        </w:tabs>
        <w:spacing w:after="0" w:line="240" w:lineRule="auto"/>
        <w:contextualSpacing/>
        <w:rPr>
          <w:rFonts w:ascii="Times New Roman" w:eastAsia="Calibri" w:hAnsi="Times New Roman" w:cs="Times New Roman"/>
          <w:lang w:val="en-US"/>
        </w:rPr>
      </w:pPr>
      <w:r w:rsidRPr="00F622AC">
        <w:rPr>
          <w:rFonts w:ascii="Times New Roman" w:eastAsia="Calibri" w:hAnsi="Times New Roman" w:cs="Times New Roman"/>
        </w:rPr>
        <w:t>Dantų ir periodonto sutrikimai. Copegus kartu su peginterferonu alfa-2a gydytiems pacientams yra pastebėta dantų ir dantenų sutrikimų. Jūs turite kruopščiai valytis dantis du kartus per parą ir reguliariai juos tikrintis. Be to, kai kurie pacientai gali vemti. Jeigu Jums pasitaikytų ši reakcija, būtinai po to kruopščiai praskalaukite burną.</w:t>
      </w:r>
    </w:p>
    <w:p w:rsidR="00F622AC" w:rsidRPr="00F622AC" w:rsidRDefault="00F622AC" w:rsidP="00F622AC">
      <w:pPr>
        <w:numPr>
          <w:ilvl w:val="0"/>
          <w:numId w:val="45"/>
        </w:numPr>
        <w:tabs>
          <w:tab w:val="left" w:pos="567"/>
        </w:tabs>
        <w:spacing w:after="0" w:line="240" w:lineRule="auto"/>
        <w:contextualSpacing/>
        <w:rPr>
          <w:rFonts w:ascii="Times New Roman" w:eastAsia="Calibri" w:hAnsi="Times New Roman" w:cs="Times New Roman"/>
          <w:lang w:val="en-US"/>
        </w:rPr>
      </w:pPr>
      <w:r w:rsidRPr="00F622AC">
        <w:rPr>
          <w:rFonts w:ascii="Times New Roman" w:eastAsia="Calibri" w:hAnsi="Times New Roman" w:cs="Times New Roman"/>
        </w:rPr>
        <w:t>Vaikų ir paauglių augimo slopinimas, kurie kai kuriems pacientams gali būti negrįžtamas.</w:t>
      </w:r>
    </w:p>
    <w:p w:rsidR="00F622AC" w:rsidRPr="00F622AC" w:rsidRDefault="00F622AC" w:rsidP="00F622AC">
      <w:pPr>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Kiti vaistai ir Copegus</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vartojate arba neseniai vartojote kitų vaistų, įskaitant įsigytus be recepto, pasakykite gydytojui arba vaistininkui.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Pacientams, kurie dar užsikrėtę ir ŽIV: pasakykite savo gydytojui, jei Jūs gydotės vaistais nuo ŽIV.</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lastRenderedPageBreak/>
        <w:t>Su labai aktyviais antiretrovirusiniais vaistais (LAARV), kuriais gydoma ŽIV, yra susiję šalutiniai poveikiai - pieno rūgšties acidozė (organizme daugėja pieno rūgšties, dėl to rūgštėja kraujas) ir pablogėjusi kepenų veikla. Jei Jūs vartojate LAARV, peginterferono alfa-2a arba interferono alfa-2a ir papildomai pradėsite vartoti Copegus, gali didėti pieno rūgšties acidozės ar kepenų veiklos nepakankamumo pavojus. Jūsų gydytojas nuolat stebės, ar neatsirado šių šalutinių reiškinių požymių ar simptomų.</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vartojate zidovudino ar stavudino, nes esate užsikrėtę ŽIV arba sergate AIDS, Copegus gali susilpninti šių vaistų poveikį. Todėl reguliariai bus tiriamas Jūsų kraujas, norint įsitikinti, kad ŽIV infekcija nestiprėja. Jeigu ji stiprėtų, gydytojas gali nuspęsti nutraukti Jūsų gydymą Copegus preparatu. Be to, pacientams, kurie vartoja zidovudino kartu su Copegus ir alfa interferonais, yra padidėjusi anemijos atsiradimo rizika.</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ir didanozino (kuriuo gydoma ŽIV ) kartu vartoti nerekomenduojama. Kai kuris šalutinis didanozino poveikis (pvz., kepenų pažeidimas, plaštakų ir (arba) pėdų dilgčiojimas bei skausmingumas, kasos uždegimas) gali pasitaikyti daug dažniau.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Pacientams, kurie vartoja azatioprino kartu su Copegus ir peginterferonu, yra padidėjusi sunkių kraujo sutrikimų atsiradimo rizika.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Be to, perskaitykite kitų kartu su Copegus vartojamų vaistų pakuočių lapelius.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Ribavirino gali išlikti Jūsų organizme iki 2 mėnesių, todėl prieš pradėdami gydytis bet kuriuo kitu šiame lapelyje paminėtu vaistu turite pasitarti su gydytoju arba vaistininku.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Copegus vartojimas su maistu ir gėrimais</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plėvele dengtos tabletės paprastai geriamos du kartus per dieną valgant (rytą ir vakare) ir jas reikia nuryti nekramtytas.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Nėštumas ir žindymo laikotarpis</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Prieš vartojant bet kokį vaistą būtina pasitarti su gydytoju ar vaistininku.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Copegus gali būti labai žalingas negimusiam kūdikiui; jis gali sukelti apsigimimų. Todėl, jeigu Jūs esate </w:t>
      </w:r>
      <w:r w:rsidRPr="00F622AC">
        <w:rPr>
          <w:rFonts w:ascii="Times New Roman" w:eastAsia="Calibri" w:hAnsi="Times New Roman" w:cs="Times New Roman"/>
          <w:b/>
        </w:rPr>
        <w:t>pacientė moteris</w:t>
      </w:r>
      <w:r w:rsidRPr="00F622AC">
        <w:rPr>
          <w:rFonts w:ascii="Times New Roman" w:eastAsia="Calibri" w:hAnsi="Times New Roman" w:cs="Times New Roman"/>
        </w:rPr>
        <w:t xml:space="preserve">, labai svarbu, kad nepastotumėte gydymosi metu ir </w:t>
      </w:r>
      <w:r w:rsidR="00E86133">
        <w:rPr>
          <w:rFonts w:ascii="Times New Roman" w:eastAsia="Calibri" w:hAnsi="Times New Roman" w:cs="Times New Roman"/>
        </w:rPr>
        <w:t>9</w:t>
      </w:r>
      <w:r w:rsidRPr="00F622AC">
        <w:rPr>
          <w:rFonts w:ascii="Times New Roman" w:eastAsia="Calibri" w:hAnsi="Times New Roman" w:cs="Times New Roman"/>
        </w:rPr>
        <w:t xml:space="preserve"> mėnesius po gydymosi. Copegus gali pažeisti spermą ir pakenkti gemalui (negimusiam kūdikiui). Todėl, jeigu Jūs esate </w:t>
      </w:r>
      <w:r w:rsidRPr="00F622AC">
        <w:rPr>
          <w:rFonts w:ascii="Times New Roman" w:eastAsia="Calibri" w:hAnsi="Times New Roman" w:cs="Times New Roman"/>
          <w:b/>
        </w:rPr>
        <w:t>pacientas vyras</w:t>
      </w:r>
      <w:r w:rsidRPr="00F622AC">
        <w:rPr>
          <w:rFonts w:ascii="Times New Roman" w:eastAsia="Calibri" w:hAnsi="Times New Roman" w:cs="Times New Roman"/>
        </w:rPr>
        <w:t xml:space="preserve">, labai svarbu, kad Jūsų partnerė nepastotų Jūsų gydymosi metu ir </w:t>
      </w:r>
      <w:r w:rsidR="00E86133">
        <w:rPr>
          <w:rFonts w:ascii="Times New Roman" w:eastAsia="Calibri" w:hAnsi="Times New Roman" w:cs="Times New Roman"/>
        </w:rPr>
        <w:t>6</w:t>
      </w:r>
      <w:r w:rsidRPr="00F622AC">
        <w:rPr>
          <w:rFonts w:ascii="Times New Roman" w:eastAsia="Calibri" w:hAnsi="Times New Roman" w:cs="Times New Roman"/>
        </w:rPr>
        <w:t xml:space="preserve"> mėnesius baigus Jūsų gydymą.</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esate vaisingo amžiaus </w:t>
      </w:r>
      <w:r w:rsidRPr="00F622AC">
        <w:rPr>
          <w:rFonts w:ascii="Times New Roman" w:eastAsia="Calibri" w:hAnsi="Times New Roman" w:cs="Times New Roman"/>
          <w:b/>
        </w:rPr>
        <w:t>moteris</w:t>
      </w:r>
      <w:r w:rsidRPr="00F622AC">
        <w:rPr>
          <w:rFonts w:ascii="Times New Roman" w:eastAsia="Calibri" w:hAnsi="Times New Roman" w:cs="Times New Roman"/>
        </w:rPr>
        <w:t xml:space="preserve">, kuri gydoma Copegus preparatu, būtina, kad Jūsų nėštumo nustatymo mėginys būtų neigiamas prieš pradedant gydytis Copegus, kiekvieną mėnesį gydymosi metu ir </w:t>
      </w:r>
      <w:r w:rsidR="00E86133">
        <w:rPr>
          <w:rFonts w:ascii="Times New Roman" w:eastAsia="Calibri" w:hAnsi="Times New Roman" w:cs="Times New Roman"/>
        </w:rPr>
        <w:t>9</w:t>
      </w:r>
      <w:r w:rsidRPr="00F622AC">
        <w:rPr>
          <w:rFonts w:ascii="Times New Roman" w:eastAsia="Calibri" w:hAnsi="Times New Roman" w:cs="Times New Roman"/>
        </w:rPr>
        <w:t xml:space="preserve"> mėnesius po gydymosi. Jūs būtinai turite naudoti veiksmingą kontracepcijos priemonę Jūsų gydymosi metu ir </w:t>
      </w:r>
      <w:r w:rsidR="00E86133">
        <w:rPr>
          <w:rFonts w:ascii="Times New Roman" w:eastAsia="Calibri" w:hAnsi="Times New Roman" w:cs="Times New Roman"/>
        </w:rPr>
        <w:t>9</w:t>
      </w:r>
      <w:r w:rsidRPr="00F622AC">
        <w:rPr>
          <w:rFonts w:ascii="Times New Roman" w:eastAsia="Calibri" w:hAnsi="Times New Roman" w:cs="Times New Roman"/>
        </w:rPr>
        <w:t xml:space="preserve"> mėnesius baigus gydytis. Tai galite aptarti su savo gydytoju. Jeigu Copegus preparatu gydomas Jūsų partneris vyras, prašom skaityti skirsnį „Jeigu esate </w:t>
      </w:r>
      <w:r w:rsidRPr="00F622AC">
        <w:rPr>
          <w:rFonts w:ascii="Times New Roman" w:eastAsia="Calibri" w:hAnsi="Times New Roman" w:cs="Times New Roman"/>
          <w:b/>
        </w:rPr>
        <w:t>vyras</w:t>
      </w:r>
      <w:r w:rsidRPr="00F622AC">
        <w:rPr>
          <w:rFonts w:ascii="Times New Roman" w:eastAsia="Calibri" w:hAnsi="Times New Roman" w:cs="Times New Roman"/>
        </w:rPr>
        <w:t>”.</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esate </w:t>
      </w:r>
      <w:r w:rsidRPr="00F622AC">
        <w:rPr>
          <w:rFonts w:ascii="Times New Roman" w:eastAsia="Calibri" w:hAnsi="Times New Roman" w:cs="Times New Roman"/>
          <w:b/>
        </w:rPr>
        <w:t>vyras</w:t>
      </w:r>
      <w:r w:rsidRPr="00F622AC">
        <w:rPr>
          <w:rFonts w:ascii="Times New Roman" w:eastAsia="Calibri" w:hAnsi="Times New Roman" w:cs="Times New Roman"/>
          <w:lang w:val="en-US"/>
        </w:rPr>
        <w:t xml:space="preserve">, kuris vartoja Copegus, Jums negalima turėti lytinių santykių su nėščia moterimi, nebent naudojate prezervatyvą. Tai sumažina galimybę ribavirinui patekti į moters organizmą. Jeigu Jūsų partnerė nėra nėščia, bet yra vaisingo amžiaus moteris, ji būtinai turi daryti nėštumo mėginį kiekvieną mėnesį Jūsų gydymosi metu ir </w:t>
      </w:r>
      <w:r w:rsidR="00E86133">
        <w:rPr>
          <w:rFonts w:ascii="Times New Roman" w:eastAsia="Calibri" w:hAnsi="Times New Roman" w:cs="Times New Roman"/>
          <w:lang w:val="en-US"/>
        </w:rPr>
        <w:t>6</w:t>
      </w:r>
      <w:r w:rsidRPr="00F622AC">
        <w:rPr>
          <w:rFonts w:ascii="Times New Roman" w:eastAsia="Calibri" w:hAnsi="Times New Roman" w:cs="Times New Roman"/>
          <w:lang w:val="en-US"/>
        </w:rPr>
        <w:t xml:space="preserve"> mėnesius po gydymo pabaigos. Jūs arba Jūsų partnerė būtinai turi naudoti veiksmingą kontracepcijos priemonę Jūsų gydymosi metu ir </w:t>
      </w:r>
      <w:r w:rsidR="00E86133">
        <w:rPr>
          <w:rFonts w:ascii="Times New Roman" w:eastAsia="Calibri" w:hAnsi="Times New Roman" w:cs="Times New Roman"/>
          <w:lang w:val="en-US"/>
        </w:rPr>
        <w:t>6</w:t>
      </w:r>
      <w:r w:rsidRPr="00F622AC">
        <w:rPr>
          <w:rFonts w:ascii="Times New Roman" w:eastAsia="Calibri" w:hAnsi="Times New Roman" w:cs="Times New Roman"/>
          <w:lang w:val="en-US"/>
        </w:rPr>
        <w:t xml:space="preserve"> mėnesius baigus gydymą. Tai galite aptarti su savo gydytoju. Jeigu Jūsų partnerė moteris gydoma Copegus preparatu, skaitykite skirsnį „</w:t>
      </w:r>
      <w:r w:rsidRPr="00F622AC">
        <w:rPr>
          <w:rFonts w:ascii="Times New Roman" w:eastAsia="Calibri" w:hAnsi="Times New Roman" w:cs="Times New Roman"/>
        </w:rPr>
        <w:t xml:space="preserve">Jeigu esate </w:t>
      </w:r>
      <w:r w:rsidRPr="00F622AC">
        <w:rPr>
          <w:rFonts w:ascii="Times New Roman" w:eastAsia="Calibri" w:hAnsi="Times New Roman" w:cs="Times New Roman"/>
          <w:b/>
          <w:lang w:val="en-US"/>
        </w:rPr>
        <w:t>moteris</w:t>
      </w:r>
      <w:r w:rsidRPr="00F622AC">
        <w:rPr>
          <w:rFonts w:ascii="Times New Roman" w:eastAsia="Calibri" w:hAnsi="Times New Roman" w:cs="Times New Roman"/>
          <w:lang w:val="en-US"/>
        </w:rPr>
        <w:t>”.</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Prieš vartojant bet kokį vaistą, būtina pasitarti su gydytoju arba vaistininku.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Ar Copegus patenka į moters pieną, nežinoma. Kadangi Copegus gali pažeisti kūdikį, jį vartojant kūdikio žindyti negalima. Jeigu gydymas Copegus preparatu būtinas, kūdikį žindyti reikia liautis.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Be to, perskaitykite kitų kartu su Copegus hepatitui C gydyti vartojamų vaistų pakuočių lapelius.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keepNext/>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Vairavimas ir mechanizmų valdymas</w:t>
      </w:r>
    </w:p>
    <w:p w:rsidR="00F622AC" w:rsidRPr="00F622AC" w:rsidRDefault="00F622AC" w:rsidP="00F622AC">
      <w:pPr>
        <w:keepNext/>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Jūsų gebėjimą vairuoti ir valdyti mechanizmus veikia nereikšmingai.</w:t>
      </w:r>
    </w:p>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Tačiau kiti kartu su Copegus vartojami vaistai tokį poveikį gali turėti. Perskaitykite kitų kartu su Copegus vartojamų vaistų pakuočių lapelius.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lang w:eastAsia="lt-LT"/>
        </w:rPr>
        <w:t>Natris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lang w:eastAsia="lt-LT"/>
        </w:rPr>
        <w:t>Copegus 400 mg plėvele dengtoje tabletėje yra mažiau nei 1 mmol natrio (23 mg), t. y. iš esmės „beveik neturi  natrio“.</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keepNext/>
        <w:keepLines/>
        <w:spacing w:after="0" w:line="240" w:lineRule="auto"/>
        <w:ind w:left="540" w:hanging="540"/>
        <w:rPr>
          <w:rFonts w:ascii="Times New Roman" w:eastAsia="Calibri" w:hAnsi="Times New Roman" w:cs="Times New Roman"/>
          <w:b/>
          <w:i/>
          <w:lang w:eastAsia="lt-LT"/>
        </w:rPr>
      </w:pPr>
      <w:r w:rsidRPr="00F622AC">
        <w:rPr>
          <w:rFonts w:ascii="Times New Roman" w:eastAsia="Calibri" w:hAnsi="Times New Roman" w:cs="Times New Roman"/>
          <w:b/>
        </w:rPr>
        <w:t>3.</w:t>
      </w:r>
      <w:r w:rsidRPr="00F622AC">
        <w:rPr>
          <w:rFonts w:ascii="Times New Roman" w:eastAsia="Calibri" w:hAnsi="Times New Roman" w:cs="Times New Roman"/>
          <w:b/>
        </w:rPr>
        <w:tab/>
        <w:t>Kaip vartoti Copegus</w:t>
      </w:r>
    </w:p>
    <w:p w:rsidR="00F622AC" w:rsidRPr="00F622AC" w:rsidRDefault="00F622AC" w:rsidP="00F622AC">
      <w:pPr>
        <w:keepNext/>
        <w:keepLines/>
        <w:spacing w:after="0" w:line="240" w:lineRule="auto"/>
        <w:rPr>
          <w:rFonts w:ascii="Times New Roman" w:eastAsia="Calibri" w:hAnsi="Times New Roman" w:cs="Times New Roman"/>
          <w:b/>
          <w:i/>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Visada vartokite šį vaistą tiksliai kaip nurodė gydytojas, Jeigu abejojate, kreipkitės į gydytoją arba vaistininką. Gydytojas parinks Jums tinkamą dozę, atsižvelgdamas į Jūsų kūno masę, viruso tipą ir kitą kartu su Copegus skiriamą vaistą.</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Rekomenduojamoji dozė svyruoja nuo 800 mg iki 1400 mg per parą ir priklauso nuo kitų vaistų, kuriuos Jūs vartojate kartu su Copegus: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800 mg per parą: gerkite 1 Copegus 400 mg tabletę ryte ir 1 tabletę vakare;</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1000 mg per parą: pacientams patariama gerti Copegus 200 mg table</w:t>
      </w:r>
      <w:r w:rsidRPr="00F622AC">
        <w:rPr>
          <w:rFonts w:ascii="Times New Roman" w:eastAsia="Calibri" w:hAnsi="Times New Roman" w:cs="Times New Roman"/>
          <w:lang w:val="en-US"/>
        </w:rPr>
        <w:t>tes;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1200 mg per parą: pacientams patariama gerti Copegus 200 mg tabletes;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1400 mg per parą: pacientams patariama gerti Copegus 200 mg tabletes.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vartojate vaistų derinį, laikykitės dozavimo režimo, kurį nurodė Jūsų gydytojas ir taip pat perskaitykite kitų vaistų pakuočių lapelius.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Tabletes nurykite nekramtytas ir vartokite jas valgant.</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Kadangi ribavirinas yra teratogeniškas (gali sukelti negimusio kūdikio nenormalumų), su tabletėmis reikia elgtis atsargiai -</w:t>
      </w:r>
      <w:r w:rsidRPr="00F622AC">
        <w:rPr>
          <w:rFonts w:ascii="Times New Roman" w:eastAsia="Calibri" w:hAnsi="Times New Roman" w:cs="Times New Roman"/>
          <w:b/>
        </w:rPr>
        <w:t xml:space="preserve"> jų negalima laužyti ar traiškyti</w:t>
      </w:r>
      <w:r w:rsidRPr="00F622AC">
        <w:rPr>
          <w:rFonts w:ascii="Times New Roman" w:eastAsia="Calibri" w:hAnsi="Times New Roman" w:cs="Times New Roman"/>
        </w:rPr>
        <w:t xml:space="preserve">. Jeigu netyčia palietėte aplūžusiais tabletes, visas kūno vietas, kuriomis prisilietėte prie tablečių, kruopščiai nuplaukite vandeniu su muilu. </w:t>
      </w:r>
      <w:r w:rsidRPr="00F622AC">
        <w:rPr>
          <w:rFonts w:ascii="Times New Roman" w:eastAsia="Calibri" w:hAnsi="Times New Roman" w:cs="Times New Roman"/>
          <w:lang w:val="en-US"/>
        </w:rPr>
        <w:t>Jeigu kiek nors tablečių miltelių pateko į akis, rūpestingai išplaukite jas steriliu arba, jei sterilaus neturite, paprastu vandeniu.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Kiek laiko turėsite vartoti Copegus plėvele dengtas tabletes, priklauso nuo viruso, kuriuo Jūs užsikrėtę, tipo, kito vaisto, kuriuo dar esate gydomas, atsako į gydymą ir nuo to, ar jau buvote anksčiau gydytas. Prašome pasitarti su gydytoju ir gydytis jo rekomenduotą laiką.</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Jums daugiau nei 65 metai, prieš Copegus vartojimą turite pasitarti su gydytoju.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Jums atrodo, kad Copegus veikia pernelyg stipriai arba pernelyg silpnai, pasakykite gydytojui arba vaistininkui.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šalutinis poveikis atsiranda gydymo metu, gydytojas gali patikslinti vaisto dozę arba išvis nutraukti gydymą.</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Be to, perskaitykite kitų su Copegus hepatitui C gydyti vartojamų vaistų pakuočių lapelius.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Ką daryti pavartojus per didelę Copegus dozę?</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Kiek galima greičiau kreipkitės į gydytoją arba vaistininką.</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lastRenderedPageBreak/>
        <w:t>Pamiršus pavartoti Copegus</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Negalima vartoti dvigubos dozės, norint kompensuoti praleistą dozę.</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pamiršote išgerti vieną dozę, kai tik prisiminsite ją išgerkite, o kitą dozę gerkite įprastu laiku.</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Nustojus vartoti Copegus</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Tik gydytojas gali nuspręsti, kada gydymą reikia užbaigti. Niekada nenutraukite gydymo savo nuožiūra, nes liga, nuo kurios Jūs gydoma(s), gali atsinaujinti ar pablogėti.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kiltų daugiau klausimų dėl šio vaisto vartojimo, kreipkitės į gydytoją arba vaistininką.</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keepNext/>
        <w:keepLines/>
        <w:tabs>
          <w:tab w:val="left" w:pos="567"/>
        </w:tabs>
        <w:spacing w:after="0" w:line="240" w:lineRule="auto"/>
        <w:ind w:left="539" w:hanging="539"/>
        <w:jc w:val="both"/>
        <w:rPr>
          <w:rFonts w:ascii="Times New Roman" w:eastAsia="Calibri" w:hAnsi="Times New Roman" w:cs="Times New Roman"/>
          <w:b/>
          <w:lang w:eastAsia="lt-LT"/>
        </w:rPr>
      </w:pPr>
      <w:r w:rsidRPr="00F622AC">
        <w:rPr>
          <w:rFonts w:ascii="Times New Roman" w:eastAsia="Calibri" w:hAnsi="Times New Roman" w:cs="Times New Roman"/>
          <w:b/>
        </w:rPr>
        <w:t>4.</w:t>
      </w:r>
      <w:r w:rsidRPr="00F622AC">
        <w:rPr>
          <w:rFonts w:ascii="Times New Roman" w:eastAsia="Calibri" w:hAnsi="Times New Roman" w:cs="Times New Roman"/>
          <w:b/>
        </w:rPr>
        <w:tab/>
        <w:t>Galimas šalutinis poveikis</w:t>
      </w:r>
    </w:p>
    <w:p w:rsidR="00F622AC" w:rsidRPr="00F622AC" w:rsidRDefault="00F622AC" w:rsidP="00F622AC">
      <w:pPr>
        <w:keepNext/>
        <w:keepLines/>
        <w:tabs>
          <w:tab w:val="left" w:pos="567"/>
        </w:tabs>
        <w:spacing w:after="0" w:line="240" w:lineRule="auto"/>
        <w:jc w:val="both"/>
        <w:rPr>
          <w:rFonts w:ascii="Times New Roman" w:eastAsia="Calibri" w:hAnsi="Times New Roman" w:cs="Times New Roman"/>
          <w:b/>
        </w:rPr>
      </w:pPr>
    </w:p>
    <w:p w:rsidR="00F622AC" w:rsidRPr="00F622AC" w:rsidRDefault="00F622AC" w:rsidP="00F622AC">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Šis vaistas, kaip ir visi kiti, gali sukelti šalutinį poveikį, nors jis pasireiškia ne visiems žmonėms.</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Pranešimas apie šalutinį poveikį</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tiesiogiai, užpildę interneto svetainėje </w:t>
      </w:r>
      <w:hyperlink r:id="rId7" w:history="1">
        <w:r w:rsidRPr="00F622AC">
          <w:rPr>
            <w:rFonts w:ascii="Calibri" w:eastAsia="Calibri" w:hAnsi="Calibri" w:cs="Times New Roman"/>
          </w:rPr>
          <w:t>www.vvkt.lt</w:t>
        </w:r>
      </w:hyperlink>
      <w:r w:rsidRPr="00F622AC">
        <w:rPr>
          <w:rFonts w:ascii="Times New Roman" w:eastAsia="Calibri" w:hAnsi="Times New Roman" w:cs="Times New Roman"/>
        </w:rPr>
        <w:t xml:space="preserve"> esančią formą, paštu Valstybinei vaistų kontrolės tarnybai prie Lietuvos Respublikos sveikatos apsaugos ministerijos, Žirmūnų g. 139A, LT 09120 Vilnius, tel: 8 800 73568, faksu 8 800 20131 arba el. paštu </w:t>
      </w:r>
      <w:hyperlink r:id="rId8" w:history="1">
        <w:r w:rsidRPr="00F622AC">
          <w:rPr>
            <w:rFonts w:ascii="Calibri" w:eastAsia="Calibri" w:hAnsi="Calibri" w:cs="Times New Roman"/>
          </w:rPr>
          <w:t>NepageidaujamaR@vvkt.lt</w:t>
        </w:r>
      </w:hyperlink>
      <w:r w:rsidRPr="00F622AC">
        <w:rPr>
          <w:rFonts w:ascii="Times New Roman" w:eastAsia="Calibri" w:hAnsi="Times New Roman" w:cs="Times New Roman"/>
        </w:rPr>
        <w:t>. Pranešdami apie šalutinį poveikį galite mums padėti gauti daugiau informacijos apie šio vaisto saugumą.</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Gydymo metu gydytojas reguliariai paims Jūsų kraujo, norėdamas stebėti baltųjų kraujo kūnelių (ląstelių, kurios kovoja su infekcija), raudonųjų kraujo kūnelių (ląstelių, kurios perneša deguonį), trombocitų (kurie skatina kraują krešėti), kepenų veiklos ar kitų laboratorinių tyrimų rodmenų pokyčius.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Nedelsdami kreipkitės į gydytoją, jeigu pastebėjote, kad atsirado bet kuris šių šalutinių poveikių: stiprus krūtinės skausmas; nepaliaujamas kosulys; nereguliarus širdies plakimas; sutrikęs kvėpavimas; sumišimas; depresija; stiprus skrandžio skausmas; kraujas išmatose (arba juodos, deguto spalvos išmatos); stiprus kraujavimas iš nosies; karščiavimas ar šaltkrėtis; sutrikęs regėjimas. Šie šalutiniai poveikiai gali būti sunkūs ir Jums gali prireikti skubios medicininės pagalbos.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Labai dažnas (galintis pasireikšti daugiau nei 1 iš 10 pacientų) šalutinis poveikis, vartojant pegiliuoto interferono ir ribavirino derinį, yra: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Kraujo sutrikimai: anemija (mažas raudonųjų kraujo kūnelių skaičius), neutropenija (mažas baltųjų kraujo kūnelių skaičius).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Metabolizmo sutrikimai: prastas apetitas.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Psichikos sutrikimas: depresija (prislėgta nuotaika, bloga nuomonė apie save ar beviltiškumo jausmas), nemiga.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Nervų sistemos sutrikimai: galvos skausmas, sutrikęs dėmesio koncentravimas ir svaigulys.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Kvėpavimo sistemos sutrikimai: kosulys, dusulys.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Virškinimo trakto sutrikimai: viduriavimas, pykinimas, pilvo skausmas.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Odos sutrikimai: plaukų slinkimas ir odos reakcijos (įskaitant niežulį, odos uždegimą ir odos sausmę).</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Skeleto raumenų sutrikimai: sąnarių ir raumenų skausmas.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Bendrieji sutrikimai: karščiavimas, silpnumas, nuovargis, drebulys, šaltkrėtis, skausmas ir padidėjęs jaudrumas (tampa lengva nuliūdinti).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Dažnas (galintis pasireikšti mažiau nei 1 iš 10 pacientų) šalutinis poveikis, vartojant pegiliuoto alfa interferono ir ribavirino derinį, yra: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Infekcijos: viršutinių kvėpavimo takų infekcinės ligos, bronchitas, burnos grybelinė infekcija ir pūslelinė (dažna pasikartojanti virusinė infekcija, kuri pažeidžia lūpas, burną).</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Kraujo sutrikimai: sumažėjęs trombocitų (skatinančių kraują krešėti) skaičius ir padidėję limfmazgiai.</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Endokrininiai sutrikimai: sustiprėjusi ir susilpnėjusi skydliaukės veikla.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lastRenderedPageBreak/>
        <w:t>Psichikos sutrikimai: nuotaikos ar emocijų pokyčiai, nerimas, agresija, nervuotumas, susilpnėjęs lytinis potraukis.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Nervų sistemos sutrikimai: pablogėjusi atmintis, apalpimas, susilpnėjusi raumenų jėga, migrena, sustingimas, dilgčiojimo, deginimo pojūtis, drebulys, skonio pojūčio pokyčiai, košmarai, mieguistumas.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Akių sutrikimai: miglotas regėjimas, akių skausmas, akių uždegimas ir akių džiūvimas.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Ausų sutrikimai: kambario sukimosi pojūtis, ausies skausmas, skambėjimas ausyse.</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Širdies sutrikimai: greitas širdies ritmas, širdies susitraukimų pulsacija, rankų ir kojų tinimas.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Kraujagyslių sutrikimai: karščio pylimas, kraujospūdžio sumažėjimas.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Kvėpavimo sistemos sutrikimai: dusulys fizinio krūvio metu, kraujavimas iš nosies, nosies ir ryklės uždegimas, nosies ir prienosinių ančių (oru užpildytų ertmių, esančių galvos ir veido kauluose) infekcijos, sloga, skaudama ryklė.</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Virškinimo trakto sutrikimai: vėmimas, sutrikęs virškinimas, pasunkėjęs rijimas, burnos opėjimas, kraujuojančios dantenos, liežuvio ir burnos gleivinės uždegimas, dujų kaupimasis (pernelyg didelis oro ir dujų kiekis) žarnyne, vidurių užkietėjimas, burnos džiūvimas.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Odos sutrikimai: bėrimas, padidėjęs prakaitavimas, žvynelinė (psoriazė), dilgėlinė, egzema, padidėjęs jautrumas saulės spinduliams, prakaitavimas naktį.</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Skeleto ir raumenų sutrikimai: nugaros skausmas, sąnarių uždegimas, raumenų silpnumas, kaulų skausmas, sprando skausmas, raumenų skausmas, mėšlungiai.</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Lytinės sistemos sutrikimai: impotencija (lytinė bejėgystė).</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Bendrieji sutrikimai: krūtinės skausmas, į gripą panašus susirgimas, negalavimas, letargija (panaši į ilgą miegą būsena), karščio pylimai, troškulys, sumažėjęs svoris.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Nedažnas (galintis pasireikšti mažiau nei 1 iš 100 pacientų) šalutinis poveikis, vartojant pegiliuoto alfa interferono ir ribavirino derinį, yra: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Infekcijos: apatinių kvėpavimo takų infekcijos, šlapimo takų infekcija, odos infekcija.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Imuninės sistemos sutrikimai: sarkoidozė (uždegimo apimti audinių plotai po visą kūną), skydliaukės uždegimas.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Endokrininiai sutrikimai: diabetas (padidėjęs cukraus kiekis kraujyje).</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Metabolizmo sutrikimai: dehidracija.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Psichikos sutrikimai: mintys apie savižudybę, haliucinacijos (nenormalus suvokimas), pyktis.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Nervų sistemos sutrikimai: periferinė neuropatija (galūnes įnervuojančių nervų veiklos sutrikimas).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Akių sutrikimai: kraujo išsiliejimas į tinklainę (užpakalinę akies dalį).</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Ausų ir labirintų sutrikimai: apkurtimas.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Kraujagyslių sutrikimai: padidėjęs kraujospūdis.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Kvėpavimo sistemos sutrikimai: švokštimas.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Virškinimo trakto sutrikimai: kraujavimas iš virškinimo trakto, lūpų uždegimas, dantenų uždegimas.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Kepenų sutrikimai: sutrikusi kepenų veikla.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Retas (galintis pasireikšti mažiau nei 1 iš 1000 pacientų) šalutinis poveikis, vartojant pegiliuoto alfa interferono ir ribavirino derinį, yra: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Infekcijos: širdies infekcija, išorinės ausies infekcija.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Kraujo sutrikimai: labai sumažėjęs raudonųjų kraujo kūnelių, baltųjų kraujo kūnelių ir trombocitų skaičius.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Imuninės sistemos sutrikimai: sunki alerginė reakcija, sisteminė raudonoji vilkligė (liga, kai kūną pažeidžia jo paties ląstelės), reumatoidinis artritas (autoimuninė liga).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Psichikos sutrikimai: savižudybė, psichoziniai sutrikimai (sunkūs asmenybės pažeidimai ir pablogėjusi įprasta socialinė veikla).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Nervų sistemos sutrikimai: koma (gili ilgalaikė būklė be sąmonės), priepuoliai, veidinio nervo paralyžius.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Akių sutrikimai: regos nervo uždegimas ir pabrinkimas, tinklainės uždegimas, ragenos opėjimas.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Širdies sutrikimai: širdies priepuolis, širdies veiklos nepakankamumas, širdies skausmas, greitas širdies ritmas, širdies ritmo sutrikimai arba širdiplėvės uždegimas.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Kraujagyslių sutrikimai: kraujo išsiliejimas į smegenis, vaskulitas (kraujagyslių uždegimas).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Kvėpavimo sistemos sutrikimai: intersticinė pneumonija (plaučių uždegimas, nuo kurio mirštama), kraujo krešuliai plaučiuose.</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Virškinimo trakto sutrikimai: skrandžio opa, kasos uždegimas.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lastRenderedPageBreak/>
        <w:t>Kepenų sutrikimai: kepenų veiklos nepakankamumas, tulžies latako uždegimas, kepenų riebalinė infiltracija.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Skeleto ir raumenų sutrikimai: raumenų uždegimas.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Sužalojimai ar apsinuodijimai: veikliosios medžiagos perdozavimas.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Labai retas (galintis pasireikšti mažiau nei 1 iš 10 000 pacientų) šalutinis poveikis, vartojant pegiliuoto alfa interferono ir ribavirino derinį, yra:</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Imuninės sistemos sutrikimai: idiopatinė (arba trombozinė) trombocitopeninė purpura (greičiau atsiranda mėlynių, kraujavimas, sumažėja trombocitų skaičius, išryškėja mažakraujystė ir ypatingas silpnumas).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Akių sutrikimai: regėjimo netekimas.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Nervų sistemos sutrikimai: insultas.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Odos sutrikimai: toksinė epidermio nekrolizė / Stivenso-Džonsono sindromas / daugiaformė eritema (įvairūs daugiau ar mažiau sunkūs bėrimai, kurie gali būti susiję su pūslėmis burnos, nosies, akių ir kitose gleivinėse), angioedema (odos ir gleivinių pabrinkimas).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Nepageidaujami reiškiniai, kurių dažnis nežinomas:</w:t>
      </w: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Kraujo sutrikimai: gryna raudonųjų kraujo kūnelių aplazija (sunki anemijos forma, kai raudonųjų kraujo kūnelių gamyba yra sumažėjusi ar išvis nevyksta); ji gali pasireikšti tokiais simptomais, kaip didelio nuovargio pojūtis ir energijos stoka.</w:t>
      </w: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Imuninės sistemos sutrikimai: persodintų kepenų ar inksto atmetimo reakcija, Vogt Koyangi Harada sindromas-reta liga, pasireiškianti klausos ir regos praradimu, bei odos pigmentacija.</w:t>
      </w: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Psichikos sutrikimai: manija (nenormaliai pakilios nuotaikos epizodai) ir bipoliniai sutrikimai (nenormaliai pakilios nuotaikos epizodai, besikaitaliojantys su liūdesiu ar beviltiškumu).</w:t>
      </w:r>
    </w:p>
    <w:p w:rsidR="00F622AC" w:rsidRPr="00F622AC" w:rsidRDefault="00F622AC" w:rsidP="00F622AC">
      <w:pPr>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Akių sutrikimai: reta tinklainės atšokos forma, kai į tinklainę patenka skysčio.</w:t>
      </w: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Virškinimo trakto sutrikimai: išeminis kolitas (nepakankama kraujotaka storojoje žarnoje), opinis kolitas (storosios žarnos uždegimas, sąlygojant išopėjimą, dėl ko atsiranda viduriavimas), liežuvio spalvos pokyčiai.</w:t>
      </w: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Skeleto ir raumenų sutrikimai: sunkus raumenų pažeidimas ir skausmas.</w:t>
      </w: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Inkstų sutrikimai: inkstai nustoja tinkamai veikę, kiti inkstų ligas rodantys nusiskundimai.</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Jūs esate užsikrėtę abiem virusais - ir HCV, ir ŽIV bei gydomi LAARV (labai aktyviais antiretrovirusiniais vaistais), papildomai prie peginterferono alfa-2a arba interferono alfa-2a paskirtas Copegus gali sukelti mirtiną kepenų veiklos nepakankamumą, periferinę neuropatiją (plaštakų ar pėdų sustingimą, dilgčiojimą ar skausmą), kasos uždegimą (galimi simptomai - skrandžio skausmas, pykinimas ir vėmimas), pieno rūgšties acidozę (padidėjusį pieno rūgšties kiekį organizme, dėl ko rūgštėja kraujas), gripą, plaučių uždegimą, afekto labilumą (nuotaikos kitimus), apatiją (letargiją), ryklės ir gerklų skausmą (užpakalinės burnos pusės ir ryklės skausmą), cheilitą (lūpų džiūvimą ir įtrūkimus), įgytą lipodistrofiją (riebalų padaugėjimą viršutinėje nugaros ir sprando srityje) ir chromaturiją (šlapimo spalvos pakitimą).</w:t>
      </w:r>
    </w:p>
    <w:p w:rsidR="00F622AC" w:rsidRDefault="00F622AC" w:rsidP="00F622AC">
      <w:pPr>
        <w:tabs>
          <w:tab w:val="left" w:pos="567"/>
        </w:tabs>
        <w:spacing w:after="0" w:line="240" w:lineRule="auto"/>
        <w:rPr>
          <w:rFonts w:ascii="Times New Roman" w:eastAsia="Calibri" w:hAnsi="Times New Roman" w:cs="Times New Roman"/>
        </w:rPr>
      </w:pPr>
    </w:p>
    <w:p w:rsidR="00697C5E" w:rsidRPr="00697C5E" w:rsidRDefault="00697C5E" w:rsidP="00697C5E">
      <w:pPr>
        <w:tabs>
          <w:tab w:val="left" w:pos="567"/>
        </w:tabs>
        <w:spacing w:after="0" w:line="240" w:lineRule="auto"/>
        <w:rPr>
          <w:rFonts w:ascii="Times New Roman" w:eastAsia="Calibri" w:hAnsi="Times New Roman" w:cs="Times New Roman"/>
        </w:rPr>
      </w:pPr>
      <w:r w:rsidRPr="00697C5E">
        <w:rPr>
          <w:rFonts w:ascii="Times New Roman" w:eastAsia="Calibri" w:hAnsi="Times New Roman" w:cs="Times New Roman"/>
        </w:rPr>
        <w:t>Šiame skyriuje išvardyti šalutiniai poveikiai buvo pastebėti daugiausia Copegus vartojant kartu su vaistais, kurių sudėtyje yra interferono.</w:t>
      </w:r>
    </w:p>
    <w:p w:rsidR="00697C5E" w:rsidRPr="00697C5E" w:rsidRDefault="00697C5E" w:rsidP="00697C5E">
      <w:pPr>
        <w:tabs>
          <w:tab w:val="left" w:pos="567"/>
        </w:tabs>
        <w:spacing w:after="0" w:line="240" w:lineRule="auto"/>
        <w:rPr>
          <w:rFonts w:ascii="Times New Roman" w:eastAsia="Calibri" w:hAnsi="Times New Roman" w:cs="Times New Roman"/>
        </w:rPr>
      </w:pPr>
    </w:p>
    <w:p w:rsidR="00697C5E" w:rsidRPr="00697C5E" w:rsidRDefault="00697C5E" w:rsidP="00697C5E">
      <w:pPr>
        <w:tabs>
          <w:tab w:val="left" w:pos="567"/>
        </w:tabs>
        <w:spacing w:after="0" w:line="240" w:lineRule="auto"/>
        <w:rPr>
          <w:rFonts w:ascii="Times New Roman" w:eastAsia="Calibri" w:hAnsi="Times New Roman" w:cs="Times New Roman"/>
        </w:rPr>
      </w:pPr>
      <w:r w:rsidRPr="00697C5E">
        <w:rPr>
          <w:rFonts w:ascii="Times New Roman" w:eastAsia="Calibri" w:hAnsi="Times New Roman" w:cs="Times New Roman"/>
        </w:rPr>
        <w:t>Kai klinikinių tyrimų su suaugusiais pacientais metu šis vaistas buvo vartojamas kartu su kitais vaistais hepatitui C gydyti (dar vadinamais tiesiogiai veikiančiais priešvirusiniais vaistais), dažniausiai stebėti šio vaisto šalutiniai poveikiai buvo anemija (mažas eritrocitų skaičius), pykinimas, vėmimas, nuovargis, bendras silpnumas, nemiga (sunku miegoti), kosulys, dusulys, niežėjimas ir bėrimas.</w:t>
      </w:r>
    </w:p>
    <w:p w:rsidR="00697C5E" w:rsidRPr="00697C5E" w:rsidRDefault="00697C5E" w:rsidP="00697C5E">
      <w:pPr>
        <w:tabs>
          <w:tab w:val="left" w:pos="567"/>
        </w:tabs>
        <w:spacing w:after="0" w:line="240" w:lineRule="auto"/>
        <w:rPr>
          <w:rFonts w:ascii="Times New Roman" w:eastAsia="Calibri" w:hAnsi="Times New Roman" w:cs="Times New Roman"/>
        </w:rPr>
      </w:pPr>
    </w:p>
    <w:p w:rsidR="00697C5E" w:rsidRDefault="00697C5E" w:rsidP="00697C5E">
      <w:pPr>
        <w:tabs>
          <w:tab w:val="left" w:pos="567"/>
        </w:tabs>
        <w:spacing w:after="0" w:line="240" w:lineRule="auto"/>
        <w:rPr>
          <w:rFonts w:ascii="Times New Roman" w:eastAsia="Calibri" w:hAnsi="Times New Roman" w:cs="Times New Roman"/>
        </w:rPr>
      </w:pPr>
      <w:r w:rsidRPr="00697C5E">
        <w:rPr>
          <w:rFonts w:ascii="Times New Roman" w:eastAsia="Calibri" w:hAnsi="Times New Roman" w:cs="Times New Roman"/>
        </w:rPr>
        <w:t>Informacijos apie kitų kartu su Copegus vartojamų vaistų šalutinį poveikį taip pat rasite šių vaistų pakuočių lapeliuose.</w:t>
      </w:r>
    </w:p>
    <w:p w:rsidR="00697C5E" w:rsidRPr="00F622AC" w:rsidRDefault="00697C5E" w:rsidP="00697C5E">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pasireiškė šalutinis poveikis, įskaitant šiame lapelyje nenurodytą, pasakykite gydytojui arba vaistininkui.</w:t>
      </w: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ind w:left="540" w:hanging="540"/>
        <w:jc w:val="both"/>
        <w:rPr>
          <w:rFonts w:ascii="Times New Roman" w:eastAsia="Calibri" w:hAnsi="Times New Roman" w:cs="Times New Roman"/>
          <w:b/>
          <w:lang w:eastAsia="lt-LT"/>
        </w:rPr>
      </w:pPr>
      <w:r w:rsidRPr="00F622AC">
        <w:rPr>
          <w:rFonts w:ascii="Times New Roman" w:eastAsia="Calibri" w:hAnsi="Times New Roman" w:cs="Times New Roman"/>
          <w:b/>
        </w:rPr>
        <w:t>5.</w:t>
      </w:r>
      <w:r w:rsidRPr="00F622AC">
        <w:rPr>
          <w:rFonts w:ascii="Times New Roman" w:eastAsia="Calibri" w:hAnsi="Times New Roman" w:cs="Times New Roman"/>
          <w:b/>
        </w:rPr>
        <w:tab/>
        <w:t>Kaip laikyti Copegus</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Šį vaistą laikykite vaikams nepastebimoje ir nepasiekiamoje vietoje.</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 xml:space="preserve">Ant dėžutės ir buteliuko po „Tinka iki“ nurodytam tinkamumo laikui </w:t>
      </w:r>
      <w:r w:rsidRPr="00F622AC">
        <w:rPr>
          <w:rFonts w:ascii="Times New Roman" w:eastAsia="Calibri" w:hAnsi="Times New Roman" w:cs="Times New Roman"/>
          <w:lang w:val="en-US"/>
        </w:rPr>
        <w:t>pasibaigus, Copegus vartoti negalima. Vaistas tinka vartoti iki paskutinės nurodyto mėnesio dienos.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Šiam vaistiniam preparatui specialių laikymo sąlygų nereikia.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buteliukas arba pakuotė pažeista, Copegus vartoti negalima.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Vaistų negalima išmesti į kanalizaciją arba su buitinėmis</w:t>
      </w:r>
      <w:r w:rsidRPr="00F622AC">
        <w:rPr>
          <w:rFonts w:ascii="Times New Roman" w:eastAsia="Calibri" w:hAnsi="Times New Roman" w:cs="Times New Roman"/>
          <w:color w:val="993366"/>
          <w:lang w:val="en-US"/>
        </w:rPr>
        <w:t xml:space="preserve"> </w:t>
      </w:r>
      <w:r w:rsidRPr="00F622AC">
        <w:rPr>
          <w:rFonts w:ascii="Times New Roman" w:eastAsia="Calibri" w:hAnsi="Times New Roman" w:cs="Times New Roman"/>
        </w:rPr>
        <w:t>atliekomis. Kaip išmesti nereikalingus vaistus, klauskite vaistininko. Šios priemonės padės apsaugoti aplinką.</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i/>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6.</w:t>
      </w:r>
      <w:r w:rsidRPr="00F622AC">
        <w:rPr>
          <w:rFonts w:ascii="Times New Roman" w:eastAsia="Calibri" w:hAnsi="Times New Roman" w:cs="Times New Roman"/>
          <w:b/>
        </w:rPr>
        <w:tab/>
        <w:t>Pakuotės turinys ir kita informacija</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ind w:left="540" w:hanging="540"/>
        <w:jc w:val="both"/>
        <w:rPr>
          <w:rFonts w:ascii="Times New Roman" w:eastAsia="Calibri" w:hAnsi="Times New Roman" w:cs="Times New Roman"/>
          <w:b/>
          <w:lang w:eastAsia="lt-LT"/>
        </w:rPr>
      </w:pPr>
      <w:r w:rsidRPr="00F622AC">
        <w:rPr>
          <w:rFonts w:ascii="Times New Roman" w:eastAsia="Calibri" w:hAnsi="Times New Roman" w:cs="Times New Roman"/>
          <w:b/>
        </w:rPr>
        <w:t>Copegus sudėtis</w:t>
      </w:r>
    </w:p>
    <w:p w:rsidR="00F622AC" w:rsidRPr="00F622AC" w:rsidRDefault="00F622AC" w:rsidP="00F622AC">
      <w:pPr>
        <w:tabs>
          <w:tab w:val="left" w:pos="567"/>
        </w:tabs>
        <w:spacing w:after="0" w:line="240" w:lineRule="auto"/>
        <w:ind w:left="540" w:hanging="540"/>
        <w:jc w:val="both"/>
        <w:rPr>
          <w:rFonts w:ascii="Times New Roman" w:eastAsia="Calibri" w:hAnsi="Times New Roman" w:cs="Times New Roman"/>
          <w:b/>
        </w:rPr>
      </w:pP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 xml:space="preserve">Kiekvienoje plėvele dengtoje tabletėje yra 400 mg </w:t>
      </w:r>
      <w:r w:rsidRPr="00F622AC">
        <w:rPr>
          <w:rFonts w:ascii="Times New Roman" w:eastAsia="Calibri" w:hAnsi="Times New Roman" w:cs="Times New Roman"/>
          <w:lang w:val="en-US"/>
        </w:rPr>
        <w:t>ribavirino.</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Pagalbinės medžiagos: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ab/>
        <w:t>Tabletės branduolys: pregelifikuotas kukurūzų krakmolas, karboksimetilkrakmolo A natrio druska, mikrokristalinė celiuliozė, kukurūzų krakmolas, magnio stearatas.</w:t>
      </w:r>
    </w:p>
    <w:p w:rsidR="00F622AC" w:rsidRPr="00F622AC" w:rsidRDefault="00F622AC" w:rsidP="00F622AC">
      <w:pPr>
        <w:tabs>
          <w:tab w:val="left" w:pos="567"/>
        </w:tabs>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ab/>
        <w:t>Tabletės plėvelė: hipromeliozė, talkas, titano dioksidas (E171), geltonasis geležies oksidas (E172), raudonasis geležies oksidas (E172), triacetinas.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Copegus išvaizda ir kiekis pakuotėje</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Rausvai rudos, plokščios, ovalios formos, plėvele dengtos tabletės (turinčios vienoje pusėje žymę RIB 400, kitoje – ROCHE).</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Copegus 400 mg plėvele dengtos tabletės tiekiamos buteliuose, kuriuose yra po 14 arba 56 tabletes. Gali būti tiekiamos ne visų dydžių pakuotės.</w:t>
      </w:r>
    </w:p>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rPr>
      </w:pPr>
      <w:r w:rsidRPr="00F622AC">
        <w:rPr>
          <w:rFonts w:ascii="Times New Roman" w:eastAsia="Calibri" w:hAnsi="Times New Roman" w:cs="Times New Roman"/>
          <w:b/>
        </w:rPr>
        <w:t>Registruotojas</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UAB „Roche Lietuva“</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J.Jasinskio g. 16b</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LT-01112 Vilnius</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Lietuva</w:t>
      </w:r>
    </w:p>
    <w:p w:rsidR="00F622AC" w:rsidRPr="00F622AC" w:rsidRDefault="00F622AC" w:rsidP="00F622AC">
      <w:pPr>
        <w:tabs>
          <w:tab w:val="left" w:pos="567"/>
        </w:tabs>
        <w:spacing w:after="0" w:line="240" w:lineRule="auto"/>
        <w:jc w:val="both"/>
        <w:rPr>
          <w:rFonts w:ascii="Times New Roman" w:eastAsia="Calibri" w:hAnsi="Times New Roman" w:cs="Times New Roman"/>
          <w:b/>
        </w:rPr>
      </w:pPr>
    </w:p>
    <w:p w:rsidR="00F622AC" w:rsidRPr="00F622AC" w:rsidRDefault="00F622AC" w:rsidP="00F622AC">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Gamintojas</w:t>
      </w: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Roche Pharma AG</w:t>
      </w: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Emil-Barell-Strasse 1</w:t>
      </w: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D-79639 Grenzach-Wyhlen</w:t>
      </w:r>
    </w:p>
    <w:p w:rsidR="00F622AC" w:rsidRPr="00F622AC" w:rsidRDefault="00F622AC" w:rsidP="00F622AC">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Vokietija</w:t>
      </w:r>
    </w:p>
    <w:p w:rsidR="00F622AC" w:rsidRPr="00F622AC" w:rsidRDefault="00F622AC" w:rsidP="00F622AC">
      <w:pPr>
        <w:tabs>
          <w:tab w:val="left" w:pos="567"/>
        </w:tabs>
        <w:spacing w:after="0" w:line="240" w:lineRule="auto"/>
        <w:jc w:val="both"/>
        <w:rPr>
          <w:rFonts w:ascii="Times New Roman" w:eastAsia="Calibri" w:hAnsi="Times New Roman" w:cs="Times New Roman"/>
        </w:rPr>
      </w:pPr>
    </w:p>
    <w:p w:rsidR="00F622AC" w:rsidRPr="00F622AC" w:rsidRDefault="00F622AC" w:rsidP="00F622AC">
      <w:pPr>
        <w:tabs>
          <w:tab w:val="left" w:pos="567"/>
        </w:tabs>
        <w:spacing w:after="0" w:line="240" w:lineRule="auto"/>
        <w:ind w:left="540" w:hanging="540"/>
        <w:jc w:val="both"/>
        <w:rPr>
          <w:rFonts w:ascii="Times New Roman" w:eastAsia="Calibri" w:hAnsi="Times New Roman" w:cs="Times New Roman"/>
        </w:rPr>
      </w:pPr>
    </w:p>
    <w:p w:rsidR="00F622AC" w:rsidRPr="00F622AC" w:rsidRDefault="00F622AC" w:rsidP="00F622AC">
      <w:pPr>
        <w:spacing w:after="0" w:line="240" w:lineRule="auto"/>
        <w:rPr>
          <w:rFonts w:ascii="Times New Roman" w:eastAsia="Calibri" w:hAnsi="Times New Roman" w:cs="Times New Roman"/>
        </w:rPr>
      </w:pPr>
      <w:r w:rsidRPr="00F622AC">
        <w:rPr>
          <w:rFonts w:ascii="Times New Roman" w:eastAsia="Calibri" w:hAnsi="Times New Roman" w:cs="Times New Roman"/>
        </w:rPr>
        <w:t xml:space="preserve">Jeigu apie šį vaistą norite sužinoti daugiau, kreipkitės į </w:t>
      </w:r>
      <w:r w:rsidRPr="00F622AC">
        <w:rPr>
          <w:rFonts w:ascii="Times New Roman" w:eastAsia="Calibri" w:hAnsi="Times New Roman" w:cs="Times New Roman"/>
          <w:b/>
        </w:rPr>
        <w:t>registruotoją</w:t>
      </w:r>
      <w:r w:rsidRPr="00F622AC">
        <w:rPr>
          <w:rFonts w:ascii="Times New Roman" w:eastAsia="Calibri" w:hAnsi="Times New Roman" w:cs="Times New Roman"/>
        </w:rPr>
        <w:t>.</w:t>
      </w:r>
    </w:p>
    <w:p w:rsidR="00F622AC" w:rsidRPr="00F622AC" w:rsidRDefault="00F622AC" w:rsidP="00F622AC">
      <w:pPr>
        <w:spacing w:after="0" w:line="240" w:lineRule="auto"/>
        <w:rPr>
          <w:rFonts w:ascii="Times New Roman" w:eastAsia="Calibri" w:hAnsi="Times New Roman" w:cs="Times New Roman"/>
        </w:rPr>
      </w:pPr>
    </w:p>
    <w:tbl>
      <w:tblPr>
        <w:tblW w:w="4678" w:type="dxa"/>
        <w:tblInd w:w="-34" w:type="dxa"/>
        <w:tblLayout w:type="fixed"/>
        <w:tblLook w:val="0000" w:firstRow="0" w:lastRow="0" w:firstColumn="0" w:lastColumn="0" w:noHBand="0" w:noVBand="0"/>
      </w:tblPr>
      <w:tblGrid>
        <w:gridCol w:w="4678"/>
      </w:tblGrid>
      <w:tr w:rsidR="00F622AC" w:rsidRPr="00F622AC" w:rsidTr="002A1D7B">
        <w:tc>
          <w:tcPr>
            <w:tcW w:w="4678" w:type="dxa"/>
          </w:tcPr>
          <w:p w:rsidR="00F622AC" w:rsidRPr="00F622AC" w:rsidRDefault="00F622AC" w:rsidP="00F622AC">
            <w:pPr>
              <w:suppressAutoHyphens/>
              <w:spacing w:after="0" w:line="240" w:lineRule="auto"/>
              <w:rPr>
                <w:rFonts w:ascii="Times New Roman" w:eastAsia="Calibri" w:hAnsi="Times New Roman" w:cs="Times New Roman"/>
              </w:rPr>
            </w:pPr>
            <w:r w:rsidRPr="00F622AC">
              <w:rPr>
                <w:rFonts w:ascii="Times New Roman" w:eastAsia="Calibri" w:hAnsi="Times New Roman" w:cs="Times New Roman"/>
              </w:rPr>
              <w:t>UAB „Roche Lietuva”</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J.Jasinskio g. 16b</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LT-01112 Vilnius</w:t>
            </w:r>
          </w:p>
          <w:p w:rsidR="00F622AC" w:rsidRPr="00F622AC" w:rsidRDefault="00F622AC" w:rsidP="00F622AC">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Tel. +370 5 2546799</w:t>
            </w:r>
          </w:p>
        </w:tc>
      </w:tr>
    </w:tbl>
    <w:p w:rsidR="00F622AC" w:rsidRPr="00F622AC" w:rsidRDefault="00F622AC" w:rsidP="00F622AC">
      <w:pPr>
        <w:tabs>
          <w:tab w:val="left" w:pos="567"/>
        </w:tabs>
        <w:spacing w:after="0" w:line="240" w:lineRule="auto"/>
        <w:rPr>
          <w:rFonts w:ascii="Times New Roman" w:eastAsia="Calibri" w:hAnsi="Times New Roman" w:cs="Times New Roman"/>
        </w:rPr>
      </w:pPr>
    </w:p>
    <w:p w:rsidR="00F622AC" w:rsidRPr="00F622AC" w:rsidRDefault="00F622AC" w:rsidP="00F622AC">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 xml:space="preserve">Šis pakuotės lapelis paskutinį kartą patvirtintas </w:t>
      </w:r>
      <w:r w:rsidR="00283E03">
        <w:rPr>
          <w:rFonts w:ascii="Times New Roman" w:eastAsia="Calibri" w:hAnsi="Times New Roman" w:cs="Times New Roman"/>
          <w:b/>
        </w:rPr>
        <w:t>2021-0</w:t>
      </w:r>
      <w:r w:rsidR="00697C5E">
        <w:rPr>
          <w:rFonts w:ascii="Times New Roman" w:eastAsia="Calibri" w:hAnsi="Times New Roman" w:cs="Times New Roman"/>
          <w:b/>
        </w:rPr>
        <w:t>8</w:t>
      </w:r>
      <w:r w:rsidR="00283E03">
        <w:rPr>
          <w:rFonts w:ascii="Times New Roman" w:eastAsia="Calibri" w:hAnsi="Times New Roman" w:cs="Times New Roman"/>
          <w:b/>
        </w:rPr>
        <w:t>-</w:t>
      </w:r>
      <w:r w:rsidR="00697C5E">
        <w:rPr>
          <w:rFonts w:ascii="Times New Roman" w:eastAsia="Calibri" w:hAnsi="Times New Roman" w:cs="Times New Roman"/>
          <w:b/>
        </w:rPr>
        <w:t>22</w:t>
      </w:r>
      <w:r w:rsidR="00283E03">
        <w:rPr>
          <w:rFonts w:ascii="Times New Roman" w:eastAsia="Calibri" w:hAnsi="Times New Roman" w:cs="Times New Roman"/>
          <w:b/>
        </w:rPr>
        <w:t>.</w:t>
      </w:r>
    </w:p>
    <w:p w:rsidR="00F622AC" w:rsidRPr="00F622AC" w:rsidRDefault="00F622AC" w:rsidP="00F622AC">
      <w:pPr>
        <w:tabs>
          <w:tab w:val="left" w:pos="567"/>
        </w:tabs>
        <w:spacing w:after="0" w:line="240" w:lineRule="auto"/>
        <w:rPr>
          <w:rFonts w:ascii="Times New Roman" w:eastAsia="Calibri" w:hAnsi="Times New Roman" w:cs="Times New Roman"/>
          <w:b/>
        </w:rPr>
      </w:pPr>
    </w:p>
    <w:p w:rsidR="00A408EF" w:rsidRDefault="00F622AC" w:rsidP="0015242A">
      <w:pPr>
        <w:spacing w:after="0" w:line="240" w:lineRule="auto"/>
      </w:pPr>
      <w:r w:rsidRPr="00F622AC">
        <w:rPr>
          <w:rFonts w:ascii="Times New Roman" w:eastAsia="Calibri" w:hAnsi="Times New Roman" w:cs="Times New Roman"/>
        </w:rPr>
        <w:t xml:space="preserve">Išsami informacija apie šį vaistą pateikiama Valstybinės vaistų kontrolės tarnybos prie Lietuvos Respublikos  sveikatos apsaugos ministerijos </w:t>
      </w:r>
      <w:r w:rsidR="00697C5E" w:rsidRPr="00697C5E">
        <w:rPr>
          <w:rFonts w:ascii="Times New Roman" w:eastAsia="Calibri" w:hAnsi="Times New Roman" w:cs="Times New Roman"/>
        </w:rPr>
        <w:t xml:space="preserve">(VVKT) interneto svetainėje </w:t>
      </w:r>
      <w:hyperlink r:id="rId9" w:history="1">
        <w:r w:rsidR="0015242A" w:rsidRPr="00836D41">
          <w:rPr>
            <w:rStyle w:val="Hipersaitas"/>
            <w:rFonts w:ascii="Times New Roman" w:eastAsia="Calibri" w:hAnsi="Times New Roman"/>
          </w:rPr>
          <w:t>http://www.vvkt.lt/</w:t>
        </w:r>
      </w:hyperlink>
      <w:r w:rsidR="0015242A">
        <w:rPr>
          <w:rFonts w:ascii="Times New Roman" w:eastAsia="Calibri" w:hAnsi="Times New Roman" w:cs="Times New Roman"/>
        </w:rPr>
        <w:t xml:space="preserve">         </w:t>
      </w:r>
      <w:bookmarkStart w:id="6" w:name="_GoBack"/>
      <w:bookmarkEnd w:id="6"/>
    </w:p>
    <w:sectPr w:rsidR="00A408EF" w:rsidSect="002822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100C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4E403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7E1D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D4DC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7435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802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5073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D467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CCE4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2C3F2A"/>
    <w:multiLevelType w:val="multilevel"/>
    <w:tmpl w:val="B22E07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B005E5"/>
    <w:multiLevelType w:val="hybridMultilevel"/>
    <w:tmpl w:val="CC7A06C0"/>
    <w:lvl w:ilvl="0" w:tplc="35BAA74E">
      <w:start w:val="1"/>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2525E"/>
    <w:multiLevelType w:val="hybridMultilevel"/>
    <w:tmpl w:val="71AA139E"/>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09559B"/>
    <w:multiLevelType w:val="multilevel"/>
    <w:tmpl w:val="1930AC62"/>
    <w:lvl w:ilvl="0">
      <w:start w:val="1"/>
      <w:numFmt w:val="bullet"/>
      <w:lvlText w:val=""/>
      <w:lvlJc w:val="left"/>
      <w:pPr>
        <w:tabs>
          <w:tab w:val="num" w:pos="720"/>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648E4"/>
    <w:multiLevelType w:val="multilevel"/>
    <w:tmpl w:val="69BCCAC0"/>
    <w:lvl w:ilvl="0">
      <w:start w:val="1"/>
      <w:numFmt w:val="bullet"/>
      <w:lvlText w:val=""/>
      <w:lvlJc w:val="left"/>
      <w:pPr>
        <w:tabs>
          <w:tab w:val="num" w:pos="72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971F0A"/>
    <w:multiLevelType w:val="hybridMultilevel"/>
    <w:tmpl w:val="1970493A"/>
    <w:lvl w:ilvl="0" w:tplc="990E41F2">
      <w:start w:val="1"/>
      <w:numFmt w:val="bullet"/>
      <w:lvlText w:val=""/>
      <w:lvlJc w:val="left"/>
      <w:pPr>
        <w:tabs>
          <w:tab w:val="num" w:pos="567"/>
        </w:tabs>
        <w:ind w:left="454" w:hanging="454"/>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F73D0A"/>
    <w:multiLevelType w:val="hybridMultilevel"/>
    <w:tmpl w:val="B22E07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9D62E2"/>
    <w:multiLevelType w:val="multilevel"/>
    <w:tmpl w:val="1970493A"/>
    <w:lvl w:ilvl="0">
      <w:start w:val="1"/>
      <w:numFmt w:val="bullet"/>
      <w:lvlText w:val=""/>
      <w:lvlJc w:val="left"/>
      <w:pPr>
        <w:tabs>
          <w:tab w:val="num" w:pos="567"/>
        </w:tabs>
        <w:ind w:left="454" w:hanging="45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3B0EBF"/>
    <w:multiLevelType w:val="hybridMultilevel"/>
    <w:tmpl w:val="B622D57A"/>
    <w:lvl w:ilvl="0" w:tplc="E96EAAEC">
      <w:start w:val="1"/>
      <w:numFmt w:val="bullet"/>
      <w:lvlText w:val=""/>
      <w:lvlJc w:val="left"/>
      <w:pPr>
        <w:tabs>
          <w:tab w:val="num" w:pos="720"/>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3A4907"/>
    <w:multiLevelType w:val="hybridMultilevel"/>
    <w:tmpl w:val="907EA160"/>
    <w:lvl w:ilvl="0" w:tplc="E96EAAEC">
      <w:start w:val="1"/>
      <w:numFmt w:val="bullet"/>
      <w:lvlText w:val=""/>
      <w:lvlJc w:val="left"/>
      <w:pPr>
        <w:tabs>
          <w:tab w:val="num" w:pos="720"/>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7B45A6"/>
    <w:multiLevelType w:val="hybridMultilevel"/>
    <w:tmpl w:val="5A444276"/>
    <w:lvl w:ilvl="0" w:tplc="608C3888">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7129B9"/>
    <w:multiLevelType w:val="hybridMultilevel"/>
    <w:tmpl w:val="D6C4B18C"/>
    <w:lvl w:ilvl="0" w:tplc="0226CC2A">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E24575"/>
    <w:multiLevelType w:val="singleLevel"/>
    <w:tmpl w:val="AA5ADB5A"/>
    <w:lvl w:ilvl="0">
      <w:start w:val="1"/>
      <w:numFmt w:val="decimal"/>
      <w:lvlText w:val="%1."/>
      <w:lvlJc w:val="left"/>
      <w:pPr>
        <w:tabs>
          <w:tab w:val="num" w:pos="570"/>
        </w:tabs>
        <w:ind w:left="570" w:hanging="570"/>
      </w:pPr>
      <w:rPr>
        <w:rFonts w:cs="Times New Roman" w:hint="default"/>
      </w:rPr>
    </w:lvl>
  </w:abstractNum>
  <w:abstractNum w:abstractNumId="24" w15:restartNumberingAfterBreak="0">
    <w:nsid w:val="38C22602"/>
    <w:multiLevelType w:val="hybridMultilevel"/>
    <w:tmpl w:val="CB065CDC"/>
    <w:lvl w:ilvl="0" w:tplc="BE48659A">
      <w:start w:val="1"/>
      <w:numFmt w:val="bullet"/>
      <w:lvlText w:val=""/>
      <w:lvlJc w:val="left"/>
      <w:pPr>
        <w:tabs>
          <w:tab w:val="num" w:pos="567"/>
        </w:tabs>
        <w:ind w:left="454" w:hanging="454"/>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FD11D7"/>
    <w:multiLevelType w:val="hybridMultilevel"/>
    <w:tmpl w:val="0D4EAD6C"/>
    <w:lvl w:ilvl="0" w:tplc="2400556C">
      <w:start w:val="1"/>
      <w:numFmt w:val="bullet"/>
      <w:lvlText w:val=""/>
      <w:lvlJc w:val="left"/>
      <w:pPr>
        <w:tabs>
          <w:tab w:val="num" w:pos="720"/>
        </w:tabs>
        <w:ind w:left="720" w:hanging="363"/>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397B2C"/>
    <w:multiLevelType w:val="hybridMultilevel"/>
    <w:tmpl w:val="1930AC62"/>
    <w:lvl w:ilvl="0" w:tplc="E96EAAEC">
      <w:start w:val="1"/>
      <w:numFmt w:val="bullet"/>
      <w:lvlText w:val=""/>
      <w:lvlJc w:val="left"/>
      <w:pPr>
        <w:tabs>
          <w:tab w:val="num" w:pos="720"/>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EA4D88"/>
    <w:multiLevelType w:val="hybridMultilevel"/>
    <w:tmpl w:val="70F499CA"/>
    <w:lvl w:ilvl="0" w:tplc="A2122F3C">
      <w:start w:val="10"/>
      <w:numFmt w:val="decimal"/>
      <w:lvlText w:val="%1."/>
      <w:lvlJc w:val="left"/>
      <w:pPr>
        <w:tabs>
          <w:tab w:val="num" w:pos="1065"/>
        </w:tabs>
        <w:ind w:left="1065" w:hanging="705"/>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876E53"/>
    <w:multiLevelType w:val="hybridMultilevel"/>
    <w:tmpl w:val="5FA4777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51B6B"/>
    <w:multiLevelType w:val="hybridMultilevel"/>
    <w:tmpl w:val="20A253F8"/>
    <w:lvl w:ilvl="0" w:tplc="C64E1428">
      <w:start w:val="5"/>
      <w:numFmt w:val="bullet"/>
      <w:lvlText w:val="-"/>
      <w:lvlJc w:val="left"/>
      <w:pPr>
        <w:tabs>
          <w:tab w:val="num" w:pos="567"/>
        </w:tabs>
        <w:ind w:left="567"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9F78F2"/>
    <w:multiLevelType w:val="hybridMultilevel"/>
    <w:tmpl w:val="59F8095A"/>
    <w:lvl w:ilvl="0" w:tplc="84DC6F66">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7431B"/>
    <w:multiLevelType w:val="hybridMultilevel"/>
    <w:tmpl w:val="69BCCAC0"/>
    <w:lvl w:ilvl="0" w:tplc="0226CC2A">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EA04C4"/>
    <w:multiLevelType w:val="hybridMultilevel"/>
    <w:tmpl w:val="E7EA84D6"/>
    <w:lvl w:ilvl="0" w:tplc="E96EAAEC">
      <w:start w:val="1"/>
      <w:numFmt w:val="bullet"/>
      <w:lvlText w:val=""/>
      <w:lvlJc w:val="left"/>
      <w:pPr>
        <w:tabs>
          <w:tab w:val="num" w:pos="720"/>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71794D"/>
    <w:multiLevelType w:val="hybridMultilevel"/>
    <w:tmpl w:val="0B16C36C"/>
    <w:lvl w:ilvl="0" w:tplc="3B0C88E4">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D833E7"/>
    <w:multiLevelType w:val="hybridMultilevel"/>
    <w:tmpl w:val="3EC0B95E"/>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0110EC6"/>
    <w:multiLevelType w:val="hybridMultilevel"/>
    <w:tmpl w:val="036EF3C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F44A4"/>
    <w:multiLevelType w:val="hybridMultilevel"/>
    <w:tmpl w:val="0270F87E"/>
    <w:lvl w:ilvl="0" w:tplc="0226CC2A">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E55DE1"/>
    <w:multiLevelType w:val="hybridMultilevel"/>
    <w:tmpl w:val="60702966"/>
    <w:lvl w:ilvl="0" w:tplc="C64E1428">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D00C8"/>
    <w:multiLevelType w:val="hybridMultilevel"/>
    <w:tmpl w:val="7076B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702B23"/>
    <w:multiLevelType w:val="multilevel"/>
    <w:tmpl w:val="59F8095A"/>
    <w:lvl w:ilvl="0">
      <w:start w:val="1"/>
      <w:numFmt w:val="bullet"/>
      <w:lvlText w:val=""/>
      <w:lvlJc w:val="left"/>
      <w:pPr>
        <w:tabs>
          <w:tab w:val="num" w:pos="72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BE79E4"/>
    <w:multiLevelType w:val="hybridMultilevel"/>
    <w:tmpl w:val="D6D08304"/>
    <w:lvl w:ilvl="0" w:tplc="A5CADD6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A6164B"/>
    <w:multiLevelType w:val="hybridMultilevel"/>
    <w:tmpl w:val="8BAA84C2"/>
    <w:lvl w:ilvl="0" w:tplc="B00C5A30">
      <w:start w:val="1"/>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00D28"/>
    <w:multiLevelType w:val="hybridMultilevel"/>
    <w:tmpl w:val="4E1A9C08"/>
    <w:lvl w:ilvl="0" w:tplc="FD788292">
      <w:start w:val="1"/>
      <w:numFmt w:val="upperLetter"/>
      <w:lvlText w:val="%1."/>
      <w:lvlJc w:val="left"/>
      <w:pPr>
        <w:ind w:left="5670" w:hanging="5670"/>
      </w:pPr>
      <w:rPr>
        <w:rFonts w:hint="default"/>
        <w:b/>
      </w:rPr>
    </w:lvl>
    <w:lvl w:ilvl="1" w:tplc="C988F3B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41"/>
  </w:num>
  <w:num w:numId="2">
    <w:abstractNumId w:val="42"/>
  </w:num>
  <w:num w:numId="3">
    <w:abstractNumId w:val="10"/>
    <w:lvlOverride w:ilvl="0">
      <w:lvl w:ilvl="0">
        <w:start w:val="1"/>
        <w:numFmt w:val="bullet"/>
        <w:lvlText w:val="-"/>
        <w:legacy w:legacy="1" w:legacySpace="0" w:legacyIndent="360"/>
        <w:lvlJc w:val="left"/>
        <w:pPr>
          <w:ind w:left="360" w:hanging="360"/>
        </w:pPr>
      </w:lvl>
    </w:lvlOverride>
  </w:num>
  <w:num w:numId="4">
    <w:abstractNumId w:val="16"/>
  </w:num>
  <w:num w:numId="5">
    <w:abstractNumId w:val="18"/>
  </w:num>
  <w:num w:numId="6">
    <w:abstractNumId w:val="24"/>
  </w:num>
  <w:num w:numId="7">
    <w:abstractNumId w:val="32"/>
  </w:num>
  <w:num w:numId="8">
    <w:abstractNumId w:val="19"/>
  </w:num>
  <w:num w:numId="9">
    <w:abstractNumId w:val="20"/>
  </w:num>
  <w:num w:numId="10">
    <w:abstractNumId w:val="26"/>
  </w:num>
  <w:num w:numId="11">
    <w:abstractNumId w:val="14"/>
  </w:num>
  <w:num w:numId="12">
    <w:abstractNumId w:val="29"/>
  </w:num>
  <w:num w:numId="13">
    <w:abstractNumId w:val="38"/>
  </w:num>
  <w:num w:numId="14">
    <w:abstractNumId w:val="1"/>
  </w:num>
  <w:num w:numId="15">
    <w:abstractNumId w:val="23"/>
  </w:num>
  <w:num w:numId="16">
    <w:abstractNumId w:val="34"/>
  </w:num>
  <w:num w:numId="17">
    <w:abstractNumId w:val="28"/>
  </w:num>
  <w:num w:numId="18">
    <w:abstractNumId w:val="13"/>
  </w:num>
  <w:num w:numId="19">
    <w:abstractNumId w:val="36"/>
  </w:num>
  <w:num w:numId="2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7"/>
  </w:num>
  <w:num w:numId="22">
    <w:abstractNumId w:val="11"/>
  </w:num>
  <w:num w:numId="23">
    <w:abstractNumId w:val="30"/>
  </w:num>
  <w:num w:numId="24">
    <w:abstractNumId w:val="40"/>
  </w:num>
  <w:num w:numId="25">
    <w:abstractNumId w:val="22"/>
  </w:num>
  <w:num w:numId="26">
    <w:abstractNumId w:val="12"/>
  </w:num>
  <w:num w:numId="27">
    <w:abstractNumId w:val="37"/>
  </w:num>
  <w:num w:numId="28">
    <w:abstractNumId w:val="31"/>
  </w:num>
  <w:num w:numId="29">
    <w:abstractNumId w:val="15"/>
  </w:num>
  <w:num w:numId="30">
    <w:abstractNumId w:val="21"/>
  </w:num>
  <w:num w:numId="31">
    <w:abstractNumId w:val="25"/>
  </w:num>
  <w:num w:numId="32">
    <w:abstractNumId w:val="33"/>
  </w:num>
  <w:num w:numId="33">
    <w:abstractNumId w:val="27"/>
  </w:num>
  <w:num w:numId="34">
    <w:abstractNumId w:val="35"/>
  </w:num>
  <w:num w:numId="35">
    <w:abstractNumId w:val="10"/>
    <w:lvlOverride w:ilvl="0">
      <w:lvl w:ilvl="0">
        <w:start w:val="4"/>
        <w:numFmt w:val="bullet"/>
        <w:lvlText w:val="-"/>
        <w:legacy w:legacy="1" w:legacySpace="0" w:legacyIndent="583"/>
        <w:lvlJc w:val="left"/>
        <w:pPr>
          <w:ind w:left="583" w:hanging="583"/>
        </w:pPr>
        <w:rPr>
          <w:b/>
        </w:rPr>
      </w:lvl>
    </w:lvlOverride>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0"/>
  </w:num>
  <w:num w:numId="45">
    <w:abstractNumId w:val="39"/>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AC"/>
    <w:rsid w:val="000018B3"/>
    <w:rsid w:val="000B1339"/>
    <w:rsid w:val="0015242A"/>
    <w:rsid w:val="00210C20"/>
    <w:rsid w:val="00282297"/>
    <w:rsid w:val="00283E03"/>
    <w:rsid w:val="00374254"/>
    <w:rsid w:val="00460760"/>
    <w:rsid w:val="00697C5E"/>
    <w:rsid w:val="0078649E"/>
    <w:rsid w:val="007865CC"/>
    <w:rsid w:val="008D1F4A"/>
    <w:rsid w:val="008D5289"/>
    <w:rsid w:val="00C84F99"/>
    <w:rsid w:val="00D62911"/>
    <w:rsid w:val="00E5271B"/>
    <w:rsid w:val="00E86133"/>
    <w:rsid w:val="00F622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BC2E"/>
  <w15:chartTrackingRefBased/>
  <w15:docId w15:val="{DBBAD65E-EABC-41A9-9777-37DA893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F622AC"/>
    <w:pPr>
      <w:spacing w:after="0" w:line="240" w:lineRule="auto"/>
      <w:ind w:left="567" w:hanging="567"/>
      <w:outlineLvl w:val="0"/>
    </w:pPr>
    <w:rPr>
      <w:rFonts w:ascii="Times New Roman" w:eastAsia="Calibri" w:hAnsi="Times New Roman" w:cs="Times New Roman"/>
      <w:b/>
      <w:caps/>
      <w:kern w:val="28"/>
      <w:szCs w:val="20"/>
      <w:lang w:val="en-US" w:eastAsia="ja-JP"/>
    </w:rPr>
  </w:style>
  <w:style w:type="paragraph" w:styleId="Antrat2">
    <w:name w:val="heading 2"/>
    <w:basedOn w:val="Antrat1"/>
    <w:next w:val="prastasis"/>
    <w:link w:val="Antrat2Diagrama"/>
    <w:qFormat/>
    <w:rsid w:val="00F622AC"/>
    <w:pPr>
      <w:outlineLvl w:val="1"/>
    </w:pPr>
    <w:rPr>
      <w:caps w:val="0"/>
    </w:rPr>
  </w:style>
  <w:style w:type="paragraph" w:styleId="Antrat3">
    <w:name w:val="heading 3"/>
    <w:basedOn w:val="prastasis"/>
    <w:next w:val="prastasis"/>
    <w:link w:val="Antrat3Diagrama"/>
    <w:autoRedefine/>
    <w:qFormat/>
    <w:rsid w:val="00F622AC"/>
    <w:pPr>
      <w:keepNext/>
      <w:spacing w:after="0" w:line="240" w:lineRule="auto"/>
      <w:outlineLvl w:val="2"/>
    </w:pPr>
    <w:rPr>
      <w:rFonts w:ascii="Times New Roman" w:eastAsia="Calibri" w:hAnsi="Times New Roman" w:cs="Times New Roman"/>
      <w:b/>
      <w:lang w:eastAsia="ja-JP"/>
    </w:rPr>
  </w:style>
  <w:style w:type="paragraph" w:styleId="Antrat4">
    <w:name w:val="heading 4"/>
    <w:basedOn w:val="prastasis"/>
    <w:next w:val="prastasis"/>
    <w:link w:val="Antrat4Diagrama"/>
    <w:qFormat/>
    <w:rsid w:val="00F622AC"/>
    <w:pPr>
      <w:keepNext/>
      <w:spacing w:after="0" w:line="240" w:lineRule="auto"/>
      <w:jc w:val="both"/>
      <w:outlineLvl w:val="3"/>
    </w:pPr>
    <w:rPr>
      <w:rFonts w:ascii="Times New Roman" w:eastAsia="Calibri" w:hAnsi="Times New Roman" w:cs="Times New Roman"/>
      <w:szCs w:val="20"/>
      <w:u w:val="single"/>
      <w:lang w:eastAsia="lt-LT"/>
    </w:rPr>
  </w:style>
  <w:style w:type="paragraph" w:styleId="Antrat5">
    <w:name w:val="heading 5"/>
    <w:basedOn w:val="prastasis"/>
    <w:next w:val="prastasis"/>
    <w:link w:val="Antrat5Diagrama"/>
    <w:qFormat/>
    <w:rsid w:val="00F622AC"/>
    <w:pPr>
      <w:spacing w:before="240" w:after="60" w:line="240" w:lineRule="auto"/>
      <w:outlineLvl w:val="4"/>
    </w:pPr>
    <w:rPr>
      <w:rFonts w:ascii="Times New Roman" w:eastAsia="Calibri" w:hAnsi="Times New Roman" w:cs="Times New Roman"/>
      <w:b/>
      <w:bCs/>
      <w:i/>
      <w:iCs/>
      <w:sz w:val="26"/>
      <w:szCs w:val="26"/>
      <w:lang w:eastAsia="lt-LT"/>
    </w:rPr>
  </w:style>
  <w:style w:type="paragraph" w:styleId="Antrat6">
    <w:name w:val="heading 6"/>
    <w:basedOn w:val="prastasis"/>
    <w:next w:val="prastasis"/>
    <w:link w:val="Antrat6Diagrama"/>
    <w:qFormat/>
    <w:rsid w:val="00F622AC"/>
    <w:pPr>
      <w:spacing w:before="240" w:after="60" w:line="240" w:lineRule="auto"/>
      <w:outlineLvl w:val="5"/>
    </w:pPr>
    <w:rPr>
      <w:rFonts w:ascii="Times New Roman" w:eastAsia="Calibri" w:hAnsi="Times New Roman" w:cs="Times New Roman"/>
      <w:b/>
      <w:bCs/>
      <w:lang w:eastAsia="lt-LT"/>
    </w:rPr>
  </w:style>
  <w:style w:type="paragraph" w:styleId="Antrat7">
    <w:name w:val="heading 7"/>
    <w:basedOn w:val="prastasis"/>
    <w:next w:val="prastasis"/>
    <w:link w:val="Antrat7Diagrama"/>
    <w:qFormat/>
    <w:rsid w:val="00F622AC"/>
    <w:pPr>
      <w:spacing w:before="240" w:after="60" w:line="240" w:lineRule="auto"/>
      <w:outlineLvl w:val="6"/>
    </w:pPr>
    <w:rPr>
      <w:rFonts w:ascii="Times New Roman" w:eastAsia="Calibri" w:hAnsi="Times New Roman" w:cs="Times New Roman"/>
      <w:sz w:val="24"/>
      <w:szCs w:val="24"/>
      <w:lang w:eastAsia="lt-LT"/>
    </w:rPr>
  </w:style>
  <w:style w:type="paragraph" w:styleId="Antrat8">
    <w:name w:val="heading 8"/>
    <w:basedOn w:val="prastasis"/>
    <w:next w:val="prastasis"/>
    <w:link w:val="Antrat8Diagrama"/>
    <w:qFormat/>
    <w:rsid w:val="00F622AC"/>
    <w:pPr>
      <w:spacing w:before="240" w:after="60" w:line="240" w:lineRule="auto"/>
      <w:outlineLvl w:val="7"/>
    </w:pPr>
    <w:rPr>
      <w:rFonts w:ascii="Times New Roman" w:eastAsia="Calibri" w:hAnsi="Times New Roman" w:cs="Times New Roman"/>
      <w:i/>
      <w:iCs/>
      <w:sz w:val="24"/>
      <w:szCs w:val="24"/>
      <w:lang w:eastAsia="lt-LT"/>
    </w:rPr>
  </w:style>
  <w:style w:type="paragraph" w:styleId="Antrat9">
    <w:name w:val="heading 9"/>
    <w:basedOn w:val="prastasis"/>
    <w:next w:val="prastasis"/>
    <w:link w:val="Antrat9Diagrama"/>
    <w:qFormat/>
    <w:rsid w:val="00F622AC"/>
    <w:pPr>
      <w:spacing w:before="240" w:after="60" w:line="240" w:lineRule="auto"/>
      <w:outlineLvl w:val="8"/>
    </w:pPr>
    <w:rPr>
      <w:rFonts w:ascii="Arial" w:eastAsia="Calibri" w:hAnsi="Arial" w:cs="Arial"/>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22AC"/>
    <w:rPr>
      <w:rFonts w:ascii="Times New Roman" w:eastAsia="Calibri" w:hAnsi="Times New Roman" w:cs="Times New Roman"/>
      <w:b/>
      <w:caps/>
      <w:kern w:val="28"/>
      <w:szCs w:val="20"/>
      <w:lang w:val="en-US" w:eastAsia="ja-JP"/>
    </w:rPr>
  </w:style>
  <w:style w:type="character" w:customStyle="1" w:styleId="Antrat2Diagrama">
    <w:name w:val="Antraštė 2 Diagrama"/>
    <w:basedOn w:val="Numatytasispastraiposriftas"/>
    <w:link w:val="Antrat2"/>
    <w:rsid w:val="00F622AC"/>
    <w:rPr>
      <w:rFonts w:ascii="Times New Roman" w:eastAsia="Calibri" w:hAnsi="Times New Roman" w:cs="Times New Roman"/>
      <w:b/>
      <w:kern w:val="28"/>
      <w:szCs w:val="20"/>
      <w:lang w:val="en-US" w:eastAsia="ja-JP"/>
    </w:rPr>
  </w:style>
  <w:style w:type="character" w:customStyle="1" w:styleId="Antrat3Diagrama">
    <w:name w:val="Antraštė 3 Diagrama"/>
    <w:basedOn w:val="Numatytasispastraiposriftas"/>
    <w:link w:val="Antrat3"/>
    <w:rsid w:val="00F622AC"/>
    <w:rPr>
      <w:rFonts w:ascii="Times New Roman" w:eastAsia="Calibri" w:hAnsi="Times New Roman" w:cs="Times New Roman"/>
      <w:b/>
      <w:lang w:eastAsia="ja-JP"/>
    </w:rPr>
  </w:style>
  <w:style w:type="character" w:customStyle="1" w:styleId="Antrat4Diagrama">
    <w:name w:val="Antraštė 4 Diagrama"/>
    <w:basedOn w:val="Numatytasispastraiposriftas"/>
    <w:link w:val="Antrat4"/>
    <w:rsid w:val="00F622AC"/>
    <w:rPr>
      <w:rFonts w:ascii="Times New Roman" w:eastAsia="Calibri" w:hAnsi="Times New Roman" w:cs="Times New Roman"/>
      <w:szCs w:val="20"/>
      <w:u w:val="single"/>
      <w:lang w:eastAsia="lt-LT"/>
    </w:rPr>
  </w:style>
  <w:style w:type="character" w:customStyle="1" w:styleId="Antrat5Diagrama">
    <w:name w:val="Antraštė 5 Diagrama"/>
    <w:basedOn w:val="Numatytasispastraiposriftas"/>
    <w:link w:val="Antrat5"/>
    <w:rsid w:val="00F622AC"/>
    <w:rPr>
      <w:rFonts w:ascii="Times New Roman" w:eastAsia="Calibri" w:hAnsi="Times New Roman" w:cs="Times New Roman"/>
      <w:b/>
      <w:bCs/>
      <w:i/>
      <w:iCs/>
      <w:sz w:val="26"/>
      <w:szCs w:val="26"/>
      <w:lang w:eastAsia="lt-LT"/>
    </w:rPr>
  </w:style>
  <w:style w:type="character" w:customStyle="1" w:styleId="Antrat6Diagrama">
    <w:name w:val="Antraštė 6 Diagrama"/>
    <w:basedOn w:val="Numatytasispastraiposriftas"/>
    <w:link w:val="Antrat6"/>
    <w:rsid w:val="00F622AC"/>
    <w:rPr>
      <w:rFonts w:ascii="Times New Roman" w:eastAsia="Calibri" w:hAnsi="Times New Roman" w:cs="Times New Roman"/>
      <w:b/>
      <w:bCs/>
      <w:lang w:eastAsia="lt-LT"/>
    </w:rPr>
  </w:style>
  <w:style w:type="character" w:customStyle="1" w:styleId="Antrat7Diagrama">
    <w:name w:val="Antraštė 7 Diagrama"/>
    <w:basedOn w:val="Numatytasispastraiposriftas"/>
    <w:link w:val="Antrat7"/>
    <w:rsid w:val="00F622AC"/>
    <w:rPr>
      <w:rFonts w:ascii="Times New Roman" w:eastAsia="Calibri" w:hAnsi="Times New Roman" w:cs="Times New Roman"/>
      <w:sz w:val="24"/>
      <w:szCs w:val="24"/>
      <w:lang w:eastAsia="lt-LT"/>
    </w:rPr>
  </w:style>
  <w:style w:type="character" w:customStyle="1" w:styleId="Antrat8Diagrama">
    <w:name w:val="Antraštė 8 Diagrama"/>
    <w:basedOn w:val="Numatytasispastraiposriftas"/>
    <w:link w:val="Antrat8"/>
    <w:rsid w:val="00F622AC"/>
    <w:rPr>
      <w:rFonts w:ascii="Times New Roman" w:eastAsia="Calibri" w:hAnsi="Times New Roman" w:cs="Times New Roman"/>
      <w:i/>
      <w:iCs/>
      <w:sz w:val="24"/>
      <w:szCs w:val="24"/>
      <w:lang w:eastAsia="lt-LT"/>
    </w:rPr>
  </w:style>
  <w:style w:type="character" w:customStyle="1" w:styleId="Antrat9Diagrama">
    <w:name w:val="Antraštė 9 Diagrama"/>
    <w:basedOn w:val="Numatytasispastraiposriftas"/>
    <w:link w:val="Antrat9"/>
    <w:rsid w:val="00F622AC"/>
    <w:rPr>
      <w:rFonts w:ascii="Arial" w:eastAsia="Calibri" w:hAnsi="Arial" w:cs="Arial"/>
      <w:lang w:val="en-US" w:eastAsia="ja-JP"/>
    </w:rPr>
  </w:style>
  <w:style w:type="numbering" w:customStyle="1" w:styleId="NoList1">
    <w:name w:val="No List1"/>
    <w:next w:val="Sraonra"/>
    <w:uiPriority w:val="99"/>
    <w:semiHidden/>
    <w:unhideWhenUsed/>
    <w:rsid w:val="00F622AC"/>
  </w:style>
  <w:style w:type="paragraph" w:styleId="Debesliotekstas">
    <w:name w:val="Balloon Text"/>
    <w:basedOn w:val="prastasis"/>
    <w:link w:val="DebesliotekstasDiagrama"/>
    <w:semiHidden/>
    <w:rsid w:val="00F622AC"/>
    <w:pPr>
      <w:spacing w:after="0" w:line="240" w:lineRule="auto"/>
    </w:pPr>
    <w:rPr>
      <w:sz w:val="16"/>
      <w:lang w:val="en-US" w:eastAsia="ja-JP"/>
    </w:rPr>
  </w:style>
  <w:style w:type="character" w:customStyle="1" w:styleId="DebesliotekstasDiagrama">
    <w:name w:val="Debesėlio tekstas Diagrama"/>
    <w:basedOn w:val="Numatytasispastraiposriftas"/>
    <w:link w:val="Debesliotekstas"/>
    <w:semiHidden/>
    <w:rsid w:val="00F622AC"/>
    <w:rPr>
      <w:sz w:val="16"/>
      <w:lang w:val="en-US" w:eastAsia="ja-JP"/>
    </w:rPr>
  </w:style>
  <w:style w:type="numbering" w:customStyle="1" w:styleId="Sraonra1">
    <w:name w:val="Sąrašo nėra1"/>
    <w:next w:val="Sraonra"/>
    <w:semiHidden/>
    <w:unhideWhenUsed/>
    <w:rsid w:val="00F622AC"/>
  </w:style>
  <w:style w:type="numbering" w:customStyle="1" w:styleId="Sraonra11">
    <w:name w:val="Sąrašo nėra11"/>
    <w:next w:val="Sraonra"/>
    <w:semiHidden/>
    <w:rsid w:val="00F622AC"/>
  </w:style>
  <w:style w:type="paragraph" w:styleId="Pagrindinistekstas">
    <w:name w:val="Body Text"/>
    <w:basedOn w:val="prastasis"/>
    <w:link w:val="PagrindinistekstasDiagrama"/>
    <w:rsid w:val="00F622AC"/>
    <w:pPr>
      <w:spacing w:after="120" w:line="240" w:lineRule="auto"/>
    </w:pPr>
    <w:rPr>
      <w:rFonts w:ascii="Times New Roman" w:eastAsia="Calibri" w:hAnsi="Times New Roman" w:cs="Times New Roman"/>
      <w:szCs w:val="20"/>
      <w:lang w:val="en-US" w:eastAsia="ja-JP"/>
    </w:rPr>
  </w:style>
  <w:style w:type="character" w:customStyle="1" w:styleId="PagrindinistekstasDiagrama">
    <w:name w:val="Pagrindinis tekstas Diagrama"/>
    <w:basedOn w:val="Numatytasispastraiposriftas"/>
    <w:link w:val="Pagrindinistekstas"/>
    <w:rsid w:val="00F622AC"/>
    <w:rPr>
      <w:rFonts w:ascii="Times New Roman" w:eastAsia="Calibri" w:hAnsi="Times New Roman" w:cs="Times New Roman"/>
      <w:szCs w:val="20"/>
      <w:lang w:val="en-US" w:eastAsia="ja-JP"/>
    </w:rPr>
  </w:style>
  <w:style w:type="paragraph" w:styleId="Porat">
    <w:name w:val="footer"/>
    <w:basedOn w:val="prastasis"/>
    <w:link w:val="PoratDiagrama"/>
    <w:rsid w:val="00F622AC"/>
    <w:pPr>
      <w:spacing w:after="0" w:line="240" w:lineRule="auto"/>
    </w:pPr>
    <w:rPr>
      <w:rFonts w:ascii="Arial" w:eastAsia="Calibri" w:hAnsi="Arial" w:cs="Times New Roman"/>
      <w:sz w:val="16"/>
      <w:szCs w:val="20"/>
      <w:lang w:val="en-US" w:eastAsia="ja-JP"/>
    </w:rPr>
  </w:style>
  <w:style w:type="character" w:customStyle="1" w:styleId="PoratDiagrama">
    <w:name w:val="Poraštė Diagrama"/>
    <w:basedOn w:val="Numatytasispastraiposriftas"/>
    <w:link w:val="Porat"/>
    <w:rsid w:val="00F622AC"/>
    <w:rPr>
      <w:rFonts w:ascii="Arial" w:eastAsia="Calibri" w:hAnsi="Arial" w:cs="Times New Roman"/>
      <w:sz w:val="16"/>
      <w:szCs w:val="20"/>
      <w:lang w:val="en-US" w:eastAsia="ja-JP"/>
    </w:rPr>
  </w:style>
  <w:style w:type="character" w:styleId="Puslapionumeris">
    <w:name w:val="page number"/>
    <w:rsid w:val="00F622AC"/>
    <w:rPr>
      <w:rFonts w:ascii="Arial" w:hAnsi="Arial" w:cs="Times New Roman"/>
      <w:sz w:val="16"/>
    </w:rPr>
  </w:style>
  <w:style w:type="character" w:styleId="Hipersaitas">
    <w:name w:val="Hyperlink"/>
    <w:rsid w:val="00F622AC"/>
    <w:rPr>
      <w:rFonts w:cs="Times New Roman"/>
      <w:color w:val="0000FF"/>
      <w:u w:val="single"/>
    </w:rPr>
  </w:style>
  <w:style w:type="paragraph" w:styleId="Pagrindinistekstas2">
    <w:name w:val="Body Text 2"/>
    <w:basedOn w:val="prastasis"/>
    <w:link w:val="Pagrindinistekstas2Diagrama"/>
    <w:rsid w:val="00F622AC"/>
    <w:pPr>
      <w:spacing w:after="120" w:line="480" w:lineRule="auto"/>
    </w:pPr>
    <w:rPr>
      <w:rFonts w:ascii="Times New Roman" w:eastAsia="Calibri" w:hAnsi="Times New Roman" w:cs="Times New Roman"/>
      <w:szCs w:val="20"/>
      <w:lang w:val="en-US" w:eastAsia="ja-JP"/>
    </w:rPr>
  </w:style>
  <w:style w:type="character" w:customStyle="1" w:styleId="Pagrindinistekstas2Diagrama">
    <w:name w:val="Pagrindinis tekstas 2 Diagrama"/>
    <w:basedOn w:val="Numatytasispastraiposriftas"/>
    <w:link w:val="Pagrindinistekstas2"/>
    <w:rsid w:val="00F622AC"/>
    <w:rPr>
      <w:rFonts w:ascii="Times New Roman" w:eastAsia="Calibri" w:hAnsi="Times New Roman" w:cs="Times New Roman"/>
      <w:szCs w:val="20"/>
      <w:lang w:val="en-US" w:eastAsia="ja-JP"/>
    </w:rPr>
  </w:style>
  <w:style w:type="paragraph" w:customStyle="1" w:styleId="TextTi10">
    <w:name w:val="Text:Ti10"/>
    <w:basedOn w:val="prastasis"/>
    <w:rsid w:val="00F622AC"/>
    <w:pPr>
      <w:spacing w:after="0" w:line="240" w:lineRule="auto"/>
    </w:pPr>
    <w:rPr>
      <w:rFonts w:ascii="Times New Roman" w:eastAsia="Calibri" w:hAnsi="Times New Roman" w:cs="Times New Roman"/>
      <w:szCs w:val="20"/>
      <w:lang w:val="en-US"/>
    </w:rPr>
  </w:style>
  <w:style w:type="paragraph" w:styleId="Dokumentoinaostekstas">
    <w:name w:val="endnote text"/>
    <w:basedOn w:val="prastasis"/>
    <w:link w:val="DokumentoinaostekstasDiagrama"/>
    <w:semiHidden/>
    <w:rsid w:val="00F622AC"/>
    <w:pPr>
      <w:tabs>
        <w:tab w:val="left" w:pos="567"/>
      </w:tabs>
      <w:spacing w:after="0" w:line="240" w:lineRule="auto"/>
    </w:pPr>
    <w:rPr>
      <w:rFonts w:ascii="Times New Roman" w:eastAsia="Calibri"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F622AC"/>
    <w:rPr>
      <w:rFonts w:ascii="Times New Roman" w:eastAsia="Calibri" w:hAnsi="Times New Roman" w:cs="Times New Roman"/>
      <w:szCs w:val="20"/>
      <w:lang w:val="en-GB"/>
    </w:rPr>
  </w:style>
  <w:style w:type="paragraph" w:customStyle="1" w:styleId="StyleTextTi12AsianMSMincho9ptBold">
    <w:name w:val="Style Text:Ti12 + (Asian) MS Mincho 9 pt Bold"/>
    <w:basedOn w:val="prastasis"/>
    <w:rsid w:val="00F622AC"/>
    <w:pPr>
      <w:spacing w:after="0" w:line="280" w:lineRule="atLeast"/>
    </w:pPr>
    <w:rPr>
      <w:rFonts w:ascii="Times New Roman" w:eastAsia="MS Mincho" w:hAnsi="Times New Roman" w:cs="Times New Roman"/>
      <w:b/>
      <w:bCs/>
      <w:sz w:val="18"/>
      <w:szCs w:val="24"/>
      <w:lang w:val="en-US" w:eastAsia="de-DE"/>
    </w:rPr>
  </w:style>
  <w:style w:type="paragraph" w:customStyle="1" w:styleId="HangingIndent">
    <w:name w:val="HangingIndent"/>
    <w:basedOn w:val="prastasis"/>
    <w:link w:val="HangingIndentChar"/>
    <w:rsid w:val="00F622AC"/>
    <w:pPr>
      <w:spacing w:after="0" w:line="240" w:lineRule="auto"/>
      <w:ind w:left="567" w:hanging="567"/>
    </w:pPr>
    <w:rPr>
      <w:rFonts w:ascii="Times New Roman" w:eastAsia="Times New Roman" w:hAnsi="Times New Roman" w:cs="Times New Roman"/>
      <w:sz w:val="20"/>
      <w:szCs w:val="20"/>
      <w:lang w:val="en-US" w:eastAsia="ja-JP"/>
    </w:rPr>
  </w:style>
  <w:style w:type="character" w:customStyle="1" w:styleId="HangingIndentChar">
    <w:name w:val="HangingIndent Char"/>
    <w:link w:val="HangingIndent"/>
    <w:locked/>
    <w:rsid w:val="00F622AC"/>
    <w:rPr>
      <w:rFonts w:ascii="Times New Roman" w:eastAsia="Times New Roman" w:hAnsi="Times New Roman" w:cs="Times New Roman"/>
      <w:sz w:val="20"/>
      <w:szCs w:val="20"/>
      <w:lang w:val="en-US" w:eastAsia="ja-JP"/>
    </w:rPr>
  </w:style>
  <w:style w:type="paragraph" w:customStyle="1" w:styleId="BTEMEASMCA">
    <w:name w:val="BT EMEA_SMCA"/>
    <w:basedOn w:val="prastasis"/>
    <w:link w:val="BTEMEASMCAChar"/>
    <w:autoRedefine/>
    <w:rsid w:val="00F622AC"/>
    <w:pPr>
      <w:spacing w:after="0" w:line="240" w:lineRule="auto"/>
    </w:pPr>
    <w:rPr>
      <w:rFonts w:ascii="Times New Roman" w:eastAsia="Times New Roman" w:hAnsi="Times New Roman" w:cs="Times New Roman"/>
      <w:noProof/>
      <w:sz w:val="20"/>
      <w:szCs w:val="20"/>
      <w:lang w:eastAsia="lt-LT"/>
    </w:rPr>
  </w:style>
  <w:style w:type="character" w:customStyle="1" w:styleId="BTEMEASMCAChar">
    <w:name w:val="BT EMEA_SMCA Char"/>
    <w:link w:val="BTEMEASMCA"/>
    <w:locked/>
    <w:rsid w:val="00F622AC"/>
    <w:rPr>
      <w:rFonts w:ascii="Times New Roman" w:eastAsia="Times New Roman" w:hAnsi="Times New Roman" w:cs="Times New Roman"/>
      <w:noProof/>
      <w:sz w:val="20"/>
      <w:szCs w:val="20"/>
      <w:lang w:eastAsia="lt-LT"/>
    </w:rPr>
  </w:style>
  <w:style w:type="paragraph" w:customStyle="1" w:styleId="TTEMEASMCA">
    <w:name w:val="TT EMEA_SMCA"/>
    <w:basedOn w:val="Antrat1"/>
    <w:link w:val="TTEMEASMCAChar"/>
    <w:autoRedefine/>
    <w:rsid w:val="00F622AC"/>
    <w:pPr>
      <w:tabs>
        <w:tab w:val="left" w:pos="567"/>
      </w:tabs>
      <w:jc w:val="center"/>
    </w:pPr>
    <w:rPr>
      <w:rFonts w:eastAsia="Times New Roman"/>
      <w:kern w:val="0"/>
      <w:sz w:val="20"/>
      <w:lang w:eastAsia="lt-LT"/>
    </w:rPr>
  </w:style>
  <w:style w:type="character" w:customStyle="1" w:styleId="TTEMEASMCAChar">
    <w:name w:val="TT EMEA_SMCA Char"/>
    <w:link w:val="TTEMEASMCA"/>
    <w:locked/>
    <w:rsid w:val="00F622AC"/>
    <w:rPr>
      <w:rFonts w:ascii="Times New Roman" w:eastAsia="Times New Roman" w:hAnsi="Times New Roman" w:cs="Times New Roman"/>
      <w:b/>
      <w:caps/>
      <w:sz w:val="20"/>
      <w:szCs w:val="20"/>
      <w:lang w:val="en-US" w:eastAsia="lt-LT"/>
    </w:rPr>
  </w:style>
  <w:style w:type="paragraph" w:customStyle="1" w:styleId="BTAnIIEMEASMCA">
    <w:name w:val="BT(AnII) EMEA_SMCA"/>
    <w:basedOn w:val="Debesliotekstas"/>
    <w:autoRedefine/>
    <w:rsid w:val="00F622AC"/>
    <w:pPr>
      <w:tabs>
        <w:tab w:val="left" w:pos="1701"/>
      </w:tabs>
      <w:ind w:left="1701" w:hanging="567"/>
    </w:pPr>
    <w:rPr>
      <w:rFonts w:ascii="Times New Roman" w:eastAsia="Calibri" w:hAnsi="Times New Roman" w:cs="Tahoma"/>
      <w:b/>
      <w:sz w:val="22"/>
      <w:lang w:val="en-GB" w:eastAsia="en-US"/>
    </w:rPr>
  </w:style>
  <w:style w:type="paragraph" w:customStyle="1" w:styleId="PI-1EMEASMCA">
    <w:name w:val="PI-1 EMEA_SMCA"/>
    <w:basedOn w:val="Antrat2"/>
    <w:autoRedefine/>
    <w:rsid w:val="00F622AC"/>
    <w:pPr>
      <w:keepNext/>
      <w:tabs>
        <w:tab w:val="left" w:pos="567"/>
      </w:tabs>
    </w:pPr>
    <w:rPr>
      <w:kern w:val="0"/>
      <w:szCs w:val="22"/>
      <w:lang w:val="lt-LT" w:eastAsia="en-US"/>
    </w:rPr>
  </w:style>
  <w:style w:type="paragraph" w:customStyle="1" w:styleId="PI-2EMEASMCA">
    <w:name w:val="PI-2 EMEA_SMCA"/>
    <w:basedOn w:val="Antrat3"/>
    <w:autoRedefine/>
    <w:rsid w:val="00F622AC"/>
    <w:pPr>
      <w:keepLines/>
      <w:tabs>
        <w:tab w:val="left" w:pos="0"/>
      </w:tabs>
    </w:pPr>
    <w:rPr>
      <w:kern w:val="28"/>
      <w:lang w:eastAsia="en-US"/>
    </w:rPr>
  </w:style>
  <w:style w:type="paragraph" w:customStyle="1" w:styleId="PI-1labEMEASMCA">
    <w:name w:val="PI-1_lab EMEA_SMCA"/>
    <w:basedOn w:val="prastasis"/>
    <w:link w:val="PI-1labEMEASMCAChar"/>
    <w:autoRedefine/>
    <w:rsid w:val="00F622A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link w:val="PI-1labEMEASMCA"/>
    <w:locked/>
    <w:rsid w:val="00F622AC"/>
    <w:rPr>
      <w:rFonts w:ascii="Times New Roman" w:eastAsia="Times New Roman" w:hAnsi="Times New Roman" w:cs="Times New Roman"/>
      <w:b/>
      <w:noProof/>
      <w:sz w:val="20"/>
      <w:szCs w:val="20"/>
      <w:lang w:eastAsia="lt-LT"/>
    </w:rPr>
  </w:style>
  <w:style w:type="table" w:styleId="Lentelstinklelis">
    <w:name w:val="Table Grid"/>
    <w:basedOn w:val="prastojilentel"/>
    <w:rsid w:val="00F622AC"/>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F622AC"/>
    <w:pPr>
      <w:tabs>
        <w:tab w:val="center" w:pos="4320"/>
        <w:tab w:val="right" w:pos="8640"/>
      </w:tabs>
      <w:spacing w:after="0" w:line="240" w:lineRule="auto"/>
    </w:pPr>
    <w:rPr>
      <w:rFonts w:ascii="Times New Roman" w:eastAsia="Calibri" w:hAnsi="Times New Roman" w:cs="Times New Roman"/>
      <w:szCs w:val="20"/>
      <w:lang w:val="en-US" w:eastAsia="ja-JP"/>
    </w:rPr>
  </w:style>
  <w:style w:type="character" w:customStyle="1" w:styleId="AntratsDiagrama">
    <w:name w:val="Antraštės Diagrama"/>
    <w:basedOn w:val="Numatytasispastraiposriftas"/>
    <w:link w:val="Antrats"/>
    <w:rsid w:val="00F622AC"/>
    <w:rPr>
      <w:rFonts w:ascii="Times New Roman" w:eastAsia="Calibri" w:hAnsi="Times New Roman" w:cs="Times New Roman"/>
      <w:szCs w:val="20"/>
      <w:lang w:val="en-US" w:eastAsia="ja-JP"/>
    </w:rPr>
  </w:style>
  <w:style w:type="paragraph" w:customStyle="1" w:styleId="Default">
    <w:name w:val="Default"/>
    <w:rsid w:val="00F622AC"/>
    <w:pPr>
      <w:autoSpaceDE w:val="0"/>
      <w:autoSpaceDN w:val="0"/>
      <w:adjustRightInd w:val="0"/>
      <w:spacing w:after="0" w:line="240" w:lineRule="auto"/>
    </w:pPr>
    <w:rPr>
      <w:rFonts w:ascii="Times New Roman" w:eastAsia="PMingLiU" w:hAnsi="Times New Roman" w:cs="Times New Roman"/>
      <w:color w:val="000000"/>
      <w:sz w:val="24"/>
      <w:szCs w:val="24"/>
      <w:lang w:val="en-US" w:eastAsia="zh-CN"/>
    </w:rPr>
  </w:style>
  <w:style w:type="paragraph" w:styleId="Komentarotekstas">
    <w:name w:val="annotation text"/>
    <w:basedOn w:val="prastasis"/>
    <w:link w:val="KomentarotekstasDiagrama"/>
    <w:rsid w:val="00F622AC"/>
    <w:pPr>
      <w:spacing w:after="0" w:line="240" w:lineRule="auto"/>
    </w:pPr>
    <w:rPr>
      <w:rFonts w:ascii="Calibri" w:eastAsia="Times New Roman" w:hAnsi="Calibri" w:cs="Times New Roman"/>
      <w:sz w:val="20"/>
      <w:szCs w:val="20"/>
      <w:lang w:val="en-US" w:eastAsia="ja-JP"/>
    </w:rPr>
  </w:style>
  <w:style w:type="character" w:customStyle="1" w:styleId="KomentarotekstasDiagrama">
    <w:name w:val="Komentaro tekstas Diagrama"/>
    <w:basedOn w:val="Numatytasispastraiposriftas"/>
    <w:link w:val="Komentarotekstas"/>
    <w:rsid w:val="00F622AC"/>
    <w:rPr>
      <w:rFonts w:ascii="Calibri" w:eastAsia="Times New Roman" w:hAnsi="Calibri" w:cs="Times New Roman"/>
      <w:sz w:val="20"/>
      <w:szCs w:val="20"/>
      <w:lang w:val="en-US" w:eastAsia="ja-JP"/>
    </w:rPr>
  </w:style>
  <w:style w:type="paragraph" w:styleId="Komentarotema">
    <w:name w:val="annotation subject"/>
    <w:basedOn w:val="Komentarotekstas"/>
    <w:next w:val="Komentarotekstas"/>
    <w:link w:val="KomentarotemaDiagrama"/>
    <w:rsid w:val="00F622AC"/>
    <w:rPr>
      <w:b/>
    </w:rPr>
  </w:style>
  <w:style w:type="character" w:customStyle="1" w:styleId="KomentarotemaDiagrama">
    <w:name w:val="Komentaro tema Diagrama"/>
    <w:basedOn w:val="KomentarotekstasDiagrama"/>
    <w:link w:val="Komentarotema"/>
    <w:rsid w:val="00F622AC"/>
    <w:rPr>
      <w:rFonts w:ascii="Calibri" w:eastAsia="Times New Roman" w:hAnsi="Calibri" w:cs="Times New Roman"/>
      <w:b/>
      <w:sz w:val="20"/>
      <w:szCs w:val="20"/>
      <w:lang w:val="en-US" w:eastAsia="ja-JP"/>
    </w:rPr>
  </w:style>
  <w:style w:type="paragraph" w:styleId="Data">
    <w:name w:val="Date"/>
    <w:basedOn w:val="prastasis"/>
    <w:next w:val="prastasis"/>
    <w:link w:val="DataDiagrama"/>
    <w:rsid w:val="00F622AC"/>
    <w:pPr>
      <w:spacing w:after="0" w:line="240" w:lineRule="auto"/>
    </w:pPr>
    <w:rPr>
      <w:rFonts w:ascii="Calibri" w:eastAsia="Times New Roman" w:hAnsi="Calibri" w:cs="Times New Roman"/>
      <w:szCs w:val="20"/>
      <w:lang w:val="en-US" w:eastAsia="ja-JP"/>
    </w:rPr>
  </w:style>
  <w:style w:type="character" w:customStyle="1" w:styleId="DataDiagrama">
    <w:name w:val="Data Diagrama"/>
    <w:basedOn w:val="Numatytasispastraiposriftas"/>
    <w:link w:val="Data"/>
    <w:rsid w:val="00F622AC"/>
    <w:rPr>
      <w:rFonts w:ascii="Calibri" w:eastAsia="Times New Roman" w:hAnsi="Calibri" w:cs="Times New Roman"/>
      <w:szCs w:val="20"/>
      <w:lang w:val="en-US" w:eastAsia="ja-JP"/>
    </w:rPr>
  </w:style>
  <w:style w:type="character" w:styleId="Komentaronuoroda">
    <w:name w:val="annotation reference"/>
    <w:rsid w:val="00F622AC"/>
    <w:rPr>
      <w:rFonts w:cs="Times New Roman"/>
      <w:sz w:val="16"/>
    </w:rPr>
  </w:style>
  <w:style w:type="paragraph" w:styleId="Pavadinimas">
    <w:name w:val="Title"/>
    <w:basedOn w:val="prastasis"/>
    <w:link w:val="PavadinimasDiagrama"/>
    <w:autoRedefine/>
    <w:qFormat/>
    <w:rsid w:val="00F622AC"/>
    <w:pPr>
      <w:spacing w:after="0" w:line="240" w:lineRule="auto"/>
      <w:jc w:val="center"/>
      <w:outlineLvl w:val="0"/>
    </w:pPr>
    <w:rPr>
      <w:rFonts w:ascii="Times New Roman" w:eastAsia="Calibri" w:hAnsi="Times New Roman" w:cs="Times New Roman"/>
      <w:b/>
      <w:kern w:val="28"/>
      <w:szCs w:val="20"/>
      <w:lang w:eastAsia="lt-LT"/>
    </w:rPr>
  </w:style>
  <w:style w:type="character" w:customStyle="1" w:styleId="PavadinimasDiagrama">
    <w:name w:val="Pavadinimas Diagrama"/>
    <w:basedOn w:val="Numatytasispastraiposriftas"/>
    <w:link w:val="Pavadinimas"/>
    <w:rsid w:val="00F622AC"/>
    <w:rPr>
      <w:rFonts w:ascii="Times New Roman" w:eastAsia="Calibri" w:hAnsi="Times New Roman" w:cs="Times New Roman"/>
      <w:b/>
      <w:kern w:val="28"/>
      <w:szCs w:val="20"/>
      <w:lang w:eastAsia="lt-LT"/>
    </w:rPr>
  </w:style>
  <w:style w:type="paragraph" w:customStyle="1" w:styleId="Annex">
    <w:name w:val="Annex"/>
    <w:basedOn w:val="prastasis"/>
    <w:next w:val="prastasis"/>
    <w:rsid w:val="00F622AC"/>
    <w:pPr>
      <w:spacing w:after="0" w:line="240" w:lineRule="auto"/>
      <w:jc w:val="center"/>
    </w:pPr>
    <w:rPr>
      <w:rFonts w:ascii="Times New Roman" w:eastAsia="Calibri" w:hAnsi="Times New Roman" w:cs="Times New Roman"/>
      <w:b/>
      <w:szCs w:val="20"/>
      <w:lang w:val="en-US" w:eastAsia="ja-JP"/>
    </w:rPr>
  </w:style>
  <w:style w:type="paragraph" w:customStyle="1" w:styleId="Description">
    <w:name w:val="Description"/>
    <w:basedOn w:val="prastasis"/>
    <w:next w:val="prastasis"/>
    <w:rsid w:val="00F622AC"/>
    <w:pPr>
      <w:spacing w:after="0" w:line="240" w:lineRule="auto"/>
    </w:pPr>
    <w:rPr>
      <w:rFonts w:ascii="Times New Roman" w:eastAsia="Calibri" w:hAnsi="Times New Roman" w:cs="Times New Roman"/>
      <w:szCs w:val="20"/>
      <w:lang w:val="en-US" w:eastAsia="ja-JP"/>
    </w:rPr>
  </w:style>
  <w:style w:type="paragraph" w:customStyle="1" w:styleId="BTuEMEASMCA">
    <w:name w:val="BT(u) EMEA_SMCA"/>
    <w:basedOn w:val="BTEMEASMCA"/>
    <w:autoRedefine/>
    <w:rsid w:val="00F622AC"/>
    <w:rPr>
      <w:u w:val="single"/>
    </w:rPr>
  </w:style>
  <w:style w:type="paragraph" w:styleId="Paantrat">
    <w:name w:val="Subtitle"/>
    <w:basedOn w:val="prastasis"/>
    <w:link w:val="PaantratDiagrama"/>
    <w:qFormat/>
    <w:rsid w:val="00F622AC"/>
    <w:pPr>
      <w:autoSpaceDE w:val="0"/>
      <w:autoSpaceDN w:val="0"/>
      <w:adjustRightInd w:val="0"/>
      <w:spacing w:after="0" w:line="240" w:lineRule="auto"/>
      <w:jc w:val="center"/>
    </w:pPr>
    <w:rPr>
      <w:rFonts w:ascii="TimesNewRoman,Bold" w:eastAsia="Calibri"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F622AC"/>
    <w:rPr>
      <w:rFonts w:ascii="TimesNewRoman,Bold" w:eastAsia="Calibri" w:hAnsi="TimesNewRoman,Bold" w:cs="Times New Roman"/>
      <w:b/>
      <w:color w:val="000000"/>
      <w:szCs w:val="20"/>
      <w:lang w:val="en-US" w:eastAsia="lt-LT"/>
    </w:rPr>
  </w:style>
  <w:style w:type="paragraph" w:styleId="Pagrindiniotekstotrauka">
    <w:name w:val="Body Text Indent"/>
    <w:basedOn w:val="prastasis"/>
    <w:link w:val="PagrindiniotekstotraukaDiagrama"/>
    <w:rsid w:val="00F622AC"/>
    <w:pPr>
      <w:spacing w:after="120" w:line="240" w:lineRule="auto"/>
      <w:ind w:left="283"/>
    </w:pPr>
    <w:rPr>
      <w:rFonts w:ascii="Times New Roman" w:eastAsia="Calibri"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rsid w:val="00F622AC"/>
    <w:rPr>
      <w:rFonts w:ascii="Times New Roman" w:eastAsia="Calibri" w:hAnsi="Times New Roman" w:cs="Times New Roman"/>
      <w:szCs w:val="20"/>
      <w:lang w:eastAsia="lt-LT"/>
    </w:rPr>
  </w:style>
  <w:style w:type="paragraph" w:styleId="Pagrindinistekstas3">
    <w:name w:val="Body Text 3"/>
    <w:basedOn w:val="prastasis"/>
    <w:link w:val="Pagrindinistekstas3Diagrama"/>
    <w:rsid w:val="00F622AC"/>
    <w:pPr>
      <w:spacing w:after="0" w:line="240" w:lineRule="auto"/>
      <w:jc w:val="center"/>
    </w:pPr>
    <w:rPr>
      <w:rFonts w:ascii="Times New Roman" w:eastAsia="Calibri" w:hAnsi="Times New Roman" w:cs="Times New Roman"/>
      <w:b/>
      <w:bCs/>
      <w:sz w:val="24"/>
      <w:szCs w:val="24"/>
    </w:rPr>
  </w:style>
  <w:style w:type="character" w:customStyle="1" w:styleId="Pagrindinistekstas3Diagrama">
    <w:name w:val="Pagrindinis tekstas 3 Diagrama"/>
    <w:basedOn w:val="Numatytasispastraiposriftas"/>
    <w:link w:val="Pagrindinistekstas3"/>
    <w:rsid w:val="00F622AC"/>
    <w:rPr>
      <w:rFonts w:ascii="Times New Roman" w:eastAsia="Calibri" w:hAnsi="Times New Roman" w:cs="Times New Roman"/>
      <w:b/>
      <w:bCs/>
      <w:sz w:val="24"/>
      <w:szCs w:val="24"/>
    </w:rPr>
  </w:style>
  <w:style w:type="paragraph" w:styleId="Sraopastraipa">
    <w:name w:val="List Paragraph"/>
    <w:basedOn w:val="prastasis"/>
    <w:qFormat/>
    <w:rsid w:val="00F622AC"/>
    <w:pPr>
      <w:spacing w:after="200" w:line="276" w:lineRule="auto"/>
      <w:ind w:left="720"/>
      <w:contextualSpacing/>
    </w:pPr>
    <w:rPr>
      <w:rFonts w:ascii="Calibri" w:eastAsia="Times New Roman" w:hAnsi="Calibri" w:cs="Times New Roman"/>
    </w:rPr>
  </w:style>
  <w:style w:type="character" w:customStyle="1" w:styleId="CharChar2">
    <w:name w:val="Char Char2"/>
    <w:locked/>
    <w:rsid w:val="00F622AC"/>
    <w:rPr>
      <w:lang w:val="en-US" w:eastAsia="ja-JP"/>
    </w:rPr>
  </w:style>
  <w:style w:type="character" w:customStyle="1" w:styleId="CharChar1">
    <w:name w:val="Char Char1"/>
    <w:locked/>
    <w:rsid w:val="00F622AC"/>
    <w:rPr>
      <w:b/>
      <w:lang w:val="en-US" w:eastAsia="ja-JP"/>
    </w:rPr>
  </w:style>
  <w:style w:type="character" w:customStyle="1" w:styleId="CharChar">
    <w:name w:val="Char Char"/>
    <w:locked/>
    <w:rsid w:val="00F622AC"/>
    <w:rPr>
      <w:sz w:val="22"/>
      <w:lang w:val="en-US" w:eastAsia="ja-JP"/>
    </w:rPr>
  </w:style>
  <w:style w:type="paragraph" w:customStyle="1" w:styleId="Sraopastraipa1">
    <w:name w:val="Sąrašo pastraipa1"/>
    <w:basedOn w:val="prastasis"/>
    <w:rsid w:val="00F622AC"/>
    <w:pPr>
      <w:spacing w:after="200" w:line="276" w:lineRule="auto"/>
      <w:ind w:left="720"/>
      <w:contextualSpacing/>
    </w:pPr>
    <w:rPr>
      <w:rFonts w:ascii="Calibri" w:eastAsia="Times New Roman" w:hAnsi="Calibri" w:cs="Times New Roman"/>
    </w:rPr>
  </w:style>
  <w:style w:type="paragraph" w:styleId="Pataisymai">
    <w:name w:val="Revision"/>
    <w:hidden/>
    <w:uiPriority w:val="99"/>
    <w:semiHidden/>
    <w:rsid w:val="00F622AC"/>
    <w:pPr>
      <w:spacing w:after="0" w:line="240" w:lineRule="auto"/>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60715</Words>
  <Characters>34609</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95134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Kuodiene, Liucija {MWJC~Vilnius}</dc:creator>
  <cp:keywords/>
  <dc:description/>
  <cp:lastModifiedBy>Albina Burkauskaitė</cp:lastModifiedBy>
  <cp:revision>3</cp:revision>
  <cp:lastPrinted>2020-12-16T06:34:00Z</cp:lastPrinted>
  <dcterms:created xsi:type="dcterms:W3CDTF">2021-10-26T07:43:00Z</dcterms:created>
  <dcterms:modified xsi:type="dcterms:W3CDTF">2021-10-26T07:44:00Z</dcterms:modified>
</cp:coreProperties>
</file>