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405" w:rsidRPr="000D6942" w:rsidRDefault="00F97405" w:rsidP="00F97405">
      <w:pPr>
        <w:ind w:right="-57"/>
        <w:jc w:val="center"/>
        <w:rPr>
          <w:b/>
          <w:szCs w:val="22"/>
        </w:rPr>
      </w:pPr>
      <w:r w:rsidRPr="000D6942">
        <w:rPr>
          <w:b/>
          <w:iCs/>
          <w:szCs w:val="22"/>
        </w:rPr>
        <w:t>Pakuotės lapelis: informacija vartotojui</w:t>
      </w:r>
    </w:p>
    <w:p w:rsidR="00F97405" w:rsidRPr="000D6942" w:rsidRDefault="00F97405" w:rsidP="00F97405">
      <w:pPr>
        <w:jc w:val="center"/>
        <w:rPr>
          <w:b/>
          <w:szCs w:val="22"/>
        </w:rPr>
      </w:pPr>
    </w:p>
    <w:p w:rsidR="00F97405" w:rsidRPr="000D6942" w:rsidRDefault="00F97405" w:rsidP="00F97405">
      <w:pPr>
        <w:jc w:val="center"/>
        <w:rPr>
          <w:b/>
          <w:szCs w:val="22"/>
        </w:rPr>
      </w:pPr>
      <w:proofErr w:type="spellStart"/>
      <w:r w:rsidRPr="000D6942">
        <w:rPr>
          <w:b/>
          <w:szCs w:val="22"/>
        </w:rPr>
        <w:t>Ferinject</w:t>
      </w:r>
      <w:proofErr w:type="spellEnd"/>
      <w:r w:rsidRPr="000D6942">
        <w:rPr>
          <w:b/>
          <w:szCs w:val="22"/>
        </w:rPr>
        <w:t xml:space="preserve"> 50 mg/ml injekcinis/infuzinis tirpalas</w:t>
      </w:r>
    </w:p>
    <w:p w:rsidR="00F97405" w:rsidRPr="000D6942" w:rsidRDefault="00F97405" w:rsidP="00F97405">
      <w:pPr>
        <w:jc w:val="center"/>
        <w:rPr>
          <w:b/>
          <w:szCs w:val="22"/>
        </w:rPr>
      </w:pPr>
      <w:r w:rsidRPr="000D6942">
        <w:rPr>
          <w:b/>
          <w:szCs w:val="22"/>
        </w:rPr>
        <w:t xml:space="preserve">Geležies </w:t>
      </w:r>
      <w:proofErr w:type="spellStart"/>
      <w:r w:rsidRPr="000D6942">
        <w:rPr>
          <w:b/>
          <w:szCs w:val="22"/>
        </w:rPr>
        <w:t>karboksimaltozė</w:t>
      </w:r>
      <w:proofErr w:type="spellEnd"/>
    </w:p>
    <w:p w:rsidR="00F97405" w:rsidRPr="000D6942" w:rsidRDefault="00F97405" w:rsidP="00F97405">
      <w:pPr>
        <w:jc w:val="center"/>
        <w:rPr>
          <w:b/>
          <w:szCs w:val="22"/>
        </w:rPr>
      </w:pPr>
    </w:p>
    <w:p w:rsidR="00F97405" w:rsidRPr="000D6942" w:rsidRDefault="00F97405" w:rsidP="00F97405">
      <w:pPr>
        <w:rPr>
          <w:rFonts w:eastAsia="SimSun"/>
          <w:szCs w:val="22"/>
        </w:rPr>
      </w:pPr>
      <w:r>
        <w:rPr>
          <w:rFonts w:eastAsia="SimSun"/>
          <w:noProof/>
          <w:szCs w:val="22"/>
          <w:lang w:eastAsia="lt-LT"/>
        </w:rPr>
        <w:drawing>
          <wp:inline distT="0" distB="0" distL="0" distR="0" wp14:anchorId="523E2505" wp14:editId="351F1871">
            <wp:extent cx="193675" cy="165100"/>
            <wp:effectExtent l="0" t="0" r="0" b="6350"/>
            <wp:docPr id="2" name="Paveikslėlis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T_1000x858p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675" cy="165100"/>
                    </a:xfrm>
                    <a:prstGeom prst="rect">
                      <a:avLst/>
                    </a:prstGeom>
                    <a:noFill/>
                    <a:ln>
                      <a:noFill/>
                    </a:ln>
                  </pic:spPr>
                </pic:pic>
              </a:graphicData>
            </a:graphic>
          </wp:inline>
        </w:drawing>
      </w:r>
      <w:r w:rsidRPr="000D6942">
        <w:rPr>
          <w:rFonts w:eastAsia="SimSun"/>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F97405" w:rsidRPr="000D6942" w:rsidRDefault="00F97405" w:rsidP="00F97405">
      <w:pPr>
        <w:jc w:val="both"/>
        <w:rPr>
          <w:b/>
          <w:szCs w:val="22"/>
        </w:rPr>
      </w:pPr>
    </w:p>
    <w:p w:rsidR="00F97405" w:rsidRPr="000D6942" w:rsidRDefault="00F97405" w:rsidP="00F97405">
      <w:pPr>
        <w:suppressAutoHyphens/>
        <w:ind w:left="142" w:hanging="142"/>
        <w:rPr>
          <w:szCs w:val="22"/>
        </w:rPr>
      </w:pPr>
      <w:r w:rsidRPr="000D6942">
        <w:rPr>
          <w:b/>
          <w:szCs w:val="22"/>
        </w:rPr>
        <w:t>Atidžiai perskaitykite visą šį lapelį, prieš pradėdami vartoti vaistą, nes jame pateikiama Jums svarbi informacija.</w:t>
      </w:r>
    </w:p>
    <w:p w:rsidR="00F97405" w:rsidRPr="000D6942" w:rsidRDefault="00F97405" w:rsidP="00F97405">
      <w:pPr>
        <w:numPr>
          <w:ilvl w:val="0"/>
          <w:numId w:val="1"/>
        </w:numPr>
        <w:ind w:hanging="720"/>
        <w:rPr>
          <w:szCs w:val="22"/>
        </w:rPr>
      </w:pPr>
      <w:r w:rsidRPr="000D6942">
        <w:rPr>
          <w:szCs w:val="22"/>
        </w:rPr>
        <w:t>Neišmeskite šio lapelio, nes vėl gali prireikti jį perskaityti.</w:t>
      </w:r>
    </w:p>
    <w:p w:rsidR="00F97405" w:rsidRPr="000D6942" w:rsidRDefault="00F97405" w:rsidP="00F97405">
      <w:pPr>
        <w:numPr>
          <w:ilvl w:val="0"/>
          <w:numId w:val="1"/>
        </w:numPr>
        <w:ind w:hanging="720"/>
        <w:rPr>
          <w:szCs w:val="22"/>
        </w:rPr>
      </w:pPr>
      <w:r w:rsidRPr="000D6942">
        <w:rPr>
          <w:szCs w:val="22"/>
        </w:rPr>
        <w:t>Jeigu kiltų daugiau klausimų, kreipkitės į gydytoją.</w:t>
      </w:r>
    </w:p>
    <w:p w:rsidR="00F97405" w:rsidRPr="000D6942" w:rsidRDefault="00F97405" w:rsidP="00F97405">
      <w:pPr>
        <w:numPr>
          <w:ilvl w:val="0"/>
          <w:numId w:val="1"/>
        </w:numPr>
        <w:ind w:hanging="720"/>
        <w:rPr>
          <w:szCs w:val="22"/>
        </w:rPr>
      </w:pPr>
      <w:r w:rsidRPr="000D6942">
        <w:rPr>
          <w:szCs w:val="22"/>
        </w:rPr>
        <w:t>Jeigu pasireiškė šalutinis poveikis (net jeigu jis šiame lapelyje nenurodytas), kreipkitės į gydytoją. Žr. 4 skyrių.</w:t>
      </w:r>
    </w:p>
    <w:p w:rsidR="00F97405" w:rsidRPr="000D6942" w:rsidRDefault="00F97405" w:rsidP="00F97405">
      <w:pPr>
        <w:rPr>
          <w:szCs w:val="22"/>
        </w:rPr>
      </w:pPr>
    </w:p>
    <w:p w:rsidR="00F97405" w:rsidRPr="000D6942" w:rsidRDefault="00F97405" w:rsidP="00F97405">
      <w:pPr>
        <w:rPr>
          <w:szCs w:val="22"/>
        </w:rPr>
      </w:pPr>
    </w:p>
    <w:p w:rsidR="00F97405" w:rsidRPr="000D6942" w:rsidRDefault="00F97405" w:rsidP="00F97405">
      <w:pPr>
        <w:pStyle w:val="Antrat4"/>
        <w:spacing w:before="0" w:after="0"/>
        <w:rPr>
          <w:sz w:val="22"/>
          <w:szCs w:val="22"/>
        </w:rPr>
      </w:pPr>
      <w:r w:rsidRPr="000D6942">
        <w:rPr>
          <w:sz w:val="22"/>
          <w:szCs w:val="22"/>
        </w:rPr>
        <w:t>Apie ką rašoma šiame lapelyje?</w:t>
      </w:r>
    </w:p>
    <w:p w:rsidR="00F97405" w:rsidRPr="000D6942" w:rsidRDefault="00F97405" w:rsidP="00F97405">
      <w:pPr>
        <w:pStyle w:val="Pagrindinistekstas"/>
        <w:ind w:left="540" w:hanging="540"/>
        <w:rPr>
          <w:rFonts w:ascii="Times New Roman" w:hAnsi="Times New Roman"/>
          <w:i w:val="0"/>
          <w:sz w:val="22"/>
          <w:szCs w:val="22"/>
          <w:lang w:val="lt-LT"/>
        </w:rPr>
      </w:pPr>
      <w:r w:rsidRPr="000D6942">
        <w:rPr>
          <w:rFonts w:ascii="Times New Roman" w:hAnsi="Times New Roman"/>
          <w:i w:val="0"/>
          <w:sz w:val="22"/>
          <w:szCs w:val="22"/>
          <w:lang w:val="lt-LT"/>
        </w:rPr>
        <w:t>1.</w:t>
      </w:r>
      <w:r w:rsidRPr="000D6942">
        <w:rPr>
          <w:rFonts w:ascii="Times New Roman" w:hAnsi="Times New Roman"/>
          <w:i w:val="0"/>
          <w:sz w:val="22"/>
          <w:szCs w:val="22"/>
          <w:lang w:val="lt-LT"/>
        </w:rPr>
        <w:tab/>
        <w:t xml:space="preserve">Kas yra </w:t>
      </w:r>
      <w:proofErr w:type="spellStart"/>
      <w:r w:rsidRPr="000D6942">
        <w:rPr>
          <w:rFonts w:ascii="Times New Roman" w:hAnsi="Times New Roman"/>
          <w:i w:val="0"/>
          <w:sz w:val="22"/>
          <w:szCs w:val="22"/>
          <w:lang w:val="lt-LT"/>
        </w:rPr>
        <w:t>Ferinject</w:t>
      </w:r>
      <w:proofErr w:type="spellEnd"/>
      <w:r w:rsidRPr="000D6942">
        <w:rPr>
          <w:rFonts w:ascii="Times New Roman" w:hAnsi="Times New Roman"/>
          <w:i w:val="0"/>
          <w:sz w:val="22"/>
          <w:szCs w:val="22"/>
          <w:lang w:val="lt-LT"/>
        </w:rPr>
        <w:t xml:space="preserve"> ir kam jis vartojamas</w:t>
      </w:r>
    </w:p>
    <w:p w:rsidR="00F97405" w:rsidRPr="000D6942" w:rsidRDefault="00F97405" w:rsidP="00F97405">
      <w:pPr>
        <w:ind w:left="540" w:hanging="540"/>
        <w:rPr>
          <w:szCs w:val="22"/>
        </w:rPr>
      </w:pPr>
      <w:r w:rsidRPr="000D6942">
        <w:rPr>
          <w:szCs w:val="22"/>
        </w:rPr>
        <w:t>2.</w:t>
      </w:r>
      <w:r w:rsidRPr="000D6942">
        <w:rPr>
          <w:szCs w:val="22"/>
        </w:rPr>
        <w:tab/>
        <w:t xml:space="preserve">Kas žinotina prieš vartojant </w:t>
      </w:r>
      <w:proofErr w:type="spellStart"/>
      <w:r w:rsidRPr="000D6942">
        <w:rPr>
          <w:szCs w:val="22"/>
        </w:rPr>
        <w:t>Ferinject</w:t>
      </w:r>
      <w:proofErr w:type="spellEnd"/>
    </w:p>
    <w:p w:rsidR="00F97405" w:rsidRPr="000D6942" w:rsidRDefault="00F97405" w:rsidP="00F97405">
      <w:pPr>
        <w:ind w:left="540" w:hanging="540"/>
        <w:rPr>
          <w:szCs w:val="22"/>
        </w:rPr>
      </w:pPr>
      <w:r w:rsidRPr="000D6942">
        <w:rPr>
          <w:szCs w:val="22"/>
        </w:rPr>
        <w:t>3.</w:t>
      </w:r>
      <w:r w:rsidRPr="000D6942">
        <w:rPr>
          <w:szCs w:val="22"/>
        </w:rPr>
        <w:tab/>
        <w:t xml:space="preserve">Kaip vartoti </w:t>
      </w:r>
      <w:proofErr w:type="spellStart"/>
      <w:r w:rsidRPr="000D6942">
        <w:rPr>
          <w:szCs w:val="22"/>
        </w:rPr>
        <w:t>Ferinject</w:t>
      </w:r>
      <w:proofErr w:type="spellEnd"/>
    </w:p>
    <w:p w:rsidR="00F97405" w:rsidRPr="000D6942" w:rsidRDefault="00F97405" w:rsidP="00F97405">
      <w:pPr>
        <w:ind w:left="540" w:hanging="540"/>
        <w:rPr>
          <w:szCs w:val="22"/>
        </w:rPr>
      </w:pPr>
      <w:r w:rsidRPr="000D6942">
        <w:rPr>
          <w:szCs w:val="22"/>
        </w:rPr>
        <w:t>4.</w:t>
      </w:r>
      <w:r w:rsidRPr="000D6942">
        <w:rPr>
          <w:szCs w:val="22"/>
        </w:rPr>
        <w:tab/>
        <w:t>Galimas šalutinis poveikis</w:t>
      </w:r>
    </w:p>
    <w:p w:rsidR="00F97405" w:rsidRPr="000D6942" w:rsidRDefault="00F97405" w:rsidP="00F97405">
      <w:pPr>
        <w:numPr>
          <w:ilvl w:val="0"/>
          <w:numId w:val="2"/>
        </w:numPr>
        <w:tabs>
          <w:tab w:val="clear" w:pos="2880"/>
          <w:tab w:val="num" w:pos="0"/>
        </w:tabs>
        <w:ind w:left="540" w:hanging="540"/>
        <w:rPr>
          <w:szCs w:val="22"/>
        </w:rPr>
      </w:pPr>
      <w:r w:rsidRPr="000D6942">
        <w:rPr>
          <w:szCs w:val="22"/>
        </w:rPr>
        <w:t xml:space="preserve">Kaip laikyti </w:t>
      </w:r>
      <w:proofErr w:type="spellStart"/>
      <w:r w:rsidRPr="000D6942">
        <w:rPr>
          <w:szCs w:val="22"/>
        </w:rPr>
        <w:t>Ferinject</w:t>
      </w:r>
      <w:proofErr w:type="spellEnd"/>
    </w:p>
    <w:p w:rsidR="00F97405" w:rsidRPr="000D6942" w:rsidRDefault="00F97405" w:rsidP="00F97405">
      <w:pPr>
        <w:numPr>
          <w:ilvl w:val="0"/>
          <w:numId w:val="2"/>
        </w:numPr>
        <w:tabs>
          <w:tab w:val="clear" w:pos="2880"/>
          <w:tab w:val="num" w:pos="0"/>
        </w:tabs>
        <w:ind w:left="540" w:hanging="540"/>
        <w:rPr>
          <w:szCs w:val="22"/>
        </w:rPr>
      </w:pPr>
      <w:r w:rsidRPr="000D6942">
        <w:rPr>
          <w:szCs w:val="22"/>
        </w:rPr>
        <w:t>Pakuotės turinys ir kita informacija</w:t>
      </w:r>
    </w:p>
    <w:p w:rsidR="00F97405" w:rsidRPr="000D6942" w:rsidRDefault="00F97405" w:rsidP="00F97405">
      <w:pPr>
        <w:rPr>
          <w:szCs w:val="22"/>
        </w:rPr>
      </w:pPr>
    </w:p>
    <w:p w:rsidR="00F97405" w:rsidRPr="000D6942" w:rsidRDefault="00F97405" w:rsidP="00F97405">
      <w:pPr>
        <w:ind w:left="567" w:hanging="567"/>
        <w:rPr>
          <w:szCs w:val="22"/>
        </w:rPr>
      </w:pPr>
    </w:p>
    <w:p w:rsidR="00F97405" w:rsidRPr="000D6942" w:rsidRDefault="00F97405" w:rsidP="00F97405">
      <w:pPr>
        <w:ind w:left="567" w:hanging="567"/>
        <w:rPr>
          <w:b/>
          <w:szCs w:val="22"/>
        </w:rPr>
      </w:pPr>
      <w:r w:rsidRPr="000D6942">
        <w:rPr>
          <w:b/>
          <w:szCs w:val="22"/>
        </w:rPr>
        <w:t>1.</w:t>
      </w:r>
      <w:r w:rsidRPr="000D6942">
        <w:rPr>
          <w:b/>
          <w:szCs w:val="22"/>
        </w:rPr>
        <w:tab/>
        <w:t xml:space="preserve">Kas yra </w:t>
      </w:r>
      <w:proofErr w:type="spellStart"/>
      <w:r w:rsidRPr="000D6942">
        <w:rPr>
          <w:b/>
          <w:szCs w:val="22"/>
        </w:rPr>
        <w:t>Ferinject</w:t>
      </w:r>
      <w:proofErr w:type="spellEnd"/>
      <w:r w:rsidRPr="000D6942">
        <w:rPr>
          <w:b/>
          <w:szCs w:val="22"/>
        </w:rPr>
        <w:t xml:space="preserve"> ir kam jis vartojamas</w:t>
      </w:r>
    </w:p>
    <w:p w:rsidR="00F97405" w:rsidRPr="000D6942" w:rsidRDefault="00F97405" w:rsidP="00F97405">
      <w:pPr>
        <w:ind w:left="567" w:hanging="567"/>
        <w:rPr>
          <w:szCs w:val="22"/>
        </w:rPr>
      </w:pPr>
    </w:p>
    <w:p w:rsidR="00F97405" w:rsidRPr="000D6942" w:rsidRDefault="00F97405" w:rsidP="00F97405">
      <w:pPr>
        <w:pStyle w:val="Pagrindinistekstas"/>
        <w:rPr>
          <w:rFonts w:ascii="Times New Roman" w:hAnsi="Times New Roman"/>
          <w:i w:val="0"/>
          <w:sz w:val="22"/>
          <w:szCs w:val="22"/>
          <w:lang w:val="lt-LT"/>
        </w:rPr>
      </w:pPr>
      <w:proofErr w:type="spellStart"/>
      <w:r w:rsidRPr="000D6942">
        <w:rPr>
          <w:rFonts w:ascii="Times New Roman" w:hAnsi="Times New Roman"/>
          <w:i w:val="0"/>
          <w:sz w:val="22"/>
          <w:szCs w:val="22"/>
          <w:lang w:val="lt-LT"/>
        </w:rPr>
        <w:t>Ferinject</w:t>
      </w:r>
      <w:proofErr w:type="spellEnd"/>
      <w:r w:rsidRPr="000D6942">
        <w:rPr>
          <w:rFonts w:ascii="Times New Roman" w:hAnsi="Times New Roman"/>
          <w:i w:val="0"/>
          <w:sz w:val="22"/>
          <w:szCs w:val="22"/>
          <w:lang w:val="lt-LT"/>
        </w:rPr>
        <w:t xml:space="preserve"> yra </w:t>
      </w:r>
      <w:proofErr w:type="spellStart"/>
      <w:r w:rsidRPr="000D6942">
        <w:rPr>
          <w:rFonts w:ascii="Times New Roman" w:hAnsi="Times New Roman"/>
          <w:i w:val="0"/>
          <w:sz w:val="22"/>
          <w:szCs w:val="22"/>
          <w:lang w:val="lt-LT"/>
        </w:rPr>
        <w:t>antianeminis</w:t>
      </w:r>
      <w:proofErr w:type="spellEnd"/>
      <w:r w:rsidRPr="000D6942">
        <w:rPr>
          <w:rFonts w:ascii="Times New Roman" w:hAnsi="Times New Roman"/>
          <w:i w:val="0"/>
          <w:sz w:val="22"/>
          <w:szCs w:val="22"/>
          <w:lang w:val="lt-LT"/>
        </w:rPr>
        <w:t xml:space="preserve"> preparatas, t. y., vaistinis preparatas, skirtas mažakraujystei gydyti. Jo sudėtyje yra geležies (geležies angliavandenio forma). Geležis yra būtinas elementas, reikalingas raudonuosiuose kraujo kūneliuose esančiam hemoglobinui pernešti deguonį, ir </w:t>
      </w:r>
      <w:proofErr w:type="spellStart"/>
      <w:r w:rsidRPr="000D6942">
        <w:rPr>
          <w:rFonts w:ascii="Times New Roman" w:hAnsi="Times New Roman"/>
          <w:i w:val="0"/>
          <w:sz w:val="22"/>
          <w:szCs w:val="22"/>
          <w:lang w:val="lt-LT"/>
        </w:rPr>
        <w:t>mioglobinui</w:t>
      </w:r>
      <w:proofErr w:type="spellEnd"/>
      <w:r w:rsidRPr="000D6942">
        <w:rPr>
          <w:rFonts w:ascii="Times New Roman" w:hAnsi="Times New Roman"/>
          <w:i w:val="0"/>
          <w:sz w:val="22"/>
          <w:szCs w:val="22"/>
          <w:lang w:val="lt-LT"/>
        </w:rPr>
        <w:t>, esančiam raumenyse. Geležis taip pat dalyvauja daugelyje kitų gyvybinių žmogaus organizmo funkcijų.</w:t>
      </w:r>
    </w:p>
    <w:p w:rsidR="00F97405" w:rsidRPr="000D6942" w:rsidRDefault="00F97405" w:rsidP="00F97405">
      <w:pPr>
        <w:pStyle w:val="Antrat9"/>
        <w:keepNext w:val="0"/>
        <w:jc w:val="left"/>
        <w:rPr>
          <w:color w:val="auto"/>
          <w:sz w:val="22"/>
          <w:szCs w:val="22"/>
          <w:lang w:val="lt-LT"/>
        </w:rPr>
      </w:pPr>
      <w:proofErr w:type="spellStart"/>
      <w:r w:rsidRPr="000D6942">
        <w:rPr>
          <w:color w:val="auto"/>
          <w:sz w:val="22"/>
          <w:szCs w:val="22"/>
          <w:lang w:val="lt-LT"/>
        </w:rPr>
        <w:t>Ferinject</w:t>
      </w:r>
      <w:proofErr w:type="spellEnd"/>
      <w:r w:rsidRPr="000D6942">
        <w:rPr>
          <w:color w:val="auto"/>
          <w:sz w:val="22"/>
          <w:szCs w:val="22"/>
          <w:lang w:val="lt-LT"/>
        </w:rPr>
        <w:t xml:space="preserve"> yra naudojamas pacientams, kuriems trūksta geležies, gydyti, kai geriamieji geležies preparatai nėra veiksmingi arba jų negalima vartoti. Gydymo tikslas – papildyti organizmo geležies atsargas ir pašalinti anemiją, raudonųjų kraujo kūnelių trūkumą dėl geležies stokos.</w:t>
      </w:r>
    </w:p>
    <w:p w:rsidR="00F97405" w:rsidRPr="000D6942" w:rsidRDefault="00F97405" w:rsidP="00F97405">
      <w:pPr>
        <w:pStyle w:val="Pagrindinistekstas"/>
        <w:ind w:left="567" w:hanging="567"/>
        <w:rPr>
          <w:rFonts w:ascii="Times New Roman" w:hAnsi="Times New Roman"/>
          <w:i w:val="0"/>
          <w:sz w:val="22"/>
          <w:szCs w:val="22"/>
          <w:lang w:val="lt-LT"/>
        </w:rPr>
      </w:pPr>
    </w:p>
    <w:p w:rsidR="00F97405" w:rsidRPr="000D6942" w:rsidRDefault="00F97405" w:rsidP="00F97405">
      <w:pPr>
        <w:pStyle w:val="Pagrindinistekstas"/>
        <w:ind w:left="567" w:hanging="567"/>
        <w:rPr>
          <w:rFonts w:ascii="Times New Roman" w:hAnsi="Times New Roman"/>
          <w:i w:val="0"/>
          <w:sz w:val="22"/>
          <w:szCs w:val="22"/>
          <w:lang w:val="lt-LT"/>
        </w:rPr>
      </w:pPr>
      <w:r w:rsidRPr="000D6942">
        <w:rPr>
          <w:rFonts w:ascii="Times New Roman" w:hAnsi="Times New Roman"/>
          <w:i w:val="0"/>
          <w:sz w:val="22"/>
          <w:szCs w:val="22"/>
          <w:lang w:val="lt-LT"/>
        </w:rPr>
        <w:t xml:space="preserve">Prieš vartojant gydytojas atliks kraujo tyrimą, kad </w:t>
      </w:r>
      <w:r w:rsidRPr="000D6942">
        <w:rPr>
          <w:rFonts w:ascii="Times New Roman" w:hAnsi="Times New Roman"/>
          <w:i w:val="0"/>
          <w:iCs w:val="0"/>
          <w:sz w:val="22"/>
          <w:szCs w:val="22"/>
          <w:lang w:val="lt-LT"/>
        </w:rPr>
        <w:t>nustatytų</w:t>
      </w:r>
      <w:r w:rsidRPr="000D6942">
        <w:rPr>
          <w:rFonts w:ascii="Times New Roman" w:hAnsi="Times New Roman"/>
          <w:i w:val="0"/>
          <w:sz w:val="22"/>
          <w:szCs w:val="22"/>
          <w:lang w:val="lt-LT"/>
        </w:rPr>
        <w:t xml:space="preserve"> jums reikalingą </w:t>
      </w:r>
      <w:proofErr w:type="spellStart"/>
      <w:r w:rsidRPr="000D6942">
        <w:rPr>
          <w:rFonts w:ascii="Times New Roman" w:hAnsi="Times New Roman"/>
          <w:i w:val="0"/>
          <w:sz w:val="22"/>
          <w:szCs w:val="22"/>
          <w:lang w:val="lt-LT"/>
        </w:rPr>
        <w:t>Ferinject</w:t>
      </w:r>
      <w:proofErr w:type="spellEnd"/>
      <w:r w:rsidRPr="000D6942">
        <w:rPr>
          <w:rFonts w:ascii="Times New Roman" w:hAnsi="Times New Roman"/>
          <w:i w:val="0"/>
          <w:sz w:val="22"/>
          <w:szCs w:val="22"/>
          <w:lang w:val="lt-LT"/>
        </w:rPr>
        <w:t xml:space="preserve"> dozę.</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r w:rsidRPr="000D6942">
        <w:rPr>
          <w:color w:val="auto"/>
        </w:rPr>
        <w:t>2.</w:t>
      </w:r>
      <w:r w:rsidRPr="000D6942">
        <w:rPr>
          <w:color w:val="auto"/>
        </w:rPr>
        <w:tab/>
        <w:t xml:space="preserve">Kas žinotina prieš vartojant </w:t>
      </w:r>
      <w:proofErr w:type="spellStart"/>
      <w:r w:rsidRPr="000D6942">
        <w:rPr>
          <w:color w:val="auto"/>
        </w:rPr>
        <w:t>Ferinject</w:t>
      </w:r>
      <w:proofErr w:type="spellEnd"/>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proofErr w:type="spellStart"/>
      <w:r w:rsidRPr="000D6942">
        <w:rPr>
          <w:color w:val="auto"/>
        </w:rPr>
        <w:t>Ferinject</w:t>
      </w:r>
      <w:proofErr w:type="spellEnd"/>
      <w:r w:rsidRPr="000D6942">
        <w:rPr>
          <w:color w:val="auto"/>
        </w:rPr>
        <w:t xml:space="preserve"> vartoti negalima</w:t>
      </w:r>
    </w:p>
    <w:p w:rsidR="00F97405" w:rsidRPr="000D6942" w:rsidRDefault="00F97405" w:rsidP="00F97405">
      <w:pPr>
        <w:pStyle w:val="NormalRight-0cm"/>
        <w:spacing w:line="240" w:lineRule="auto"/>
        <w:rPr>
          <w:b w:val="0"/>
          <w:color w:val="auto"/>
        </w:rPr>
      </w:pPr>
      <w:r w:rsidRPr="000D6942">
        <w:rPr>
          <w:b w:val="0"/>
          <w:color w:val="auto"/>
        </w:rPr>
        <w:t>-</w:t>
      </w:r>
      <w:r w:rsidRPr="000D6942">
        <w:rPr>
          <w:b w:val="0"/>
          <w:color w:val="auto"/>
        </w:rPr>
        <w:tab/>
        <w:t xml:space="preserve">jeigu yra alergija (padidėjęs jautrumas) geležies </w:t>
      </w:r>
      <w:proofErr w:type="spellStart"/>
      <w:r w:rsidRPr="000D6942">
        <w:rPr>
          <w:b w:val="0"/>
          <w:color w:val="auto"/>
        </w:rPr>
        <w:t>karboksimaltoz</w:t>
      </w:r>
      <w:r>
        <w:rPr>
          <w:b w:val="0"/>
          <w:color w:val="auto"/>
        </w:rPr>
        <w:t>ei</w:t>
      </w:r>
      <w:proofErr w:type="spellEnd"/>
      <w:r w:rsidRPr="00AF288D">
        <w:rPr>
          <w:b w:val="0"/>
          <w:color w:val="auto"/>
        </w:rPr>
        <w:t xml:space="preserve"> </w:t>
      </w:r>
      <w:r w:rsidRPr="000D6942">
        <w:rPr>
          <w:rFonts w:eastAsia="SimSun"/>
          <w:b w:val="0"/>
        </w:rPr>
        <w:t>ar bet kuriai pagalbinei šio vaisto</w:t>
      </w:r>
      <w:r w:rsidRPr="000D6942">
        <w:rPr>
          <w:rFonts w:eastAsia="SimSun"/>
        </w:rPr>
        <w:t xml:space="preserve"> </w:t>
      </w:r>
      <w:r w:rsidRPr="000D6942">
        <w:rPr>
          <w:b w:val="0"/>
          <w:color w:val="auto"/>
        </w:rPr>
        <w:t>medžiagai (jos išvardytos 6 skyriuje);</w:t>
      </w:r>
    </w:p>
    <w:p w:rsidR="00F97405" w:rsidRPr="000D6942" w:rsidRDefault="00F97405" w:rsidP="00F97405">
      <w:pPr>
        <w:pStyle w:val="NormalRight-0cm"/>
        <w:spacing w:line="240" w:lineRule="auto"/>
        <w:rPr>
          <w:rFonts w:eastAsia="SimSun"/>
          <w:b w:val="0"/>
        </w:rPr>
      </w:pPr>
      <w:r w:rsidRPr="000D6942">
        <w:rPr>
          <w:rFonts w:eastAsia="SimSun"/>
        </w:rPr>
        <w:t xml:space="preserve">- </w:t>
      </w:r>
      <w:r w:rsidRPr="000D6942">
        <w:rPr>
          <w:rFonts w:eastAsia="SimSun"/>
          <w:b w:val="0"/>
        </w:rPr>
        <w:t>jeigu yra pasireiškusi sunki alerginė (padidėjusio jautrumo) reakcija kitiems leidžiamiesiems geležies preparatams;.</w:t>
      </w:r>
    </w:p>
    <w:p w:rsidR="00F97405" w:rsidRPr="000D6942" w:rsidRDefault="00F97405" w:rsidP="00F97405">
      <w:pPr>
        <w:pStyle w:val="NormalRight-0cm"/>
        <w:spacing w:line="240" w:lineRule="auto"/>
        <w:rPr>
          <w:b w:val="0"/>
          <w:color w:val="auto"/>
        </w:rPr>
      </w:pPr>
      <w:r w:rsidRPr="000D6942">
        <w:rPr>
          <w:b w:val="0"/>
          <w:color w:val="auto"/>
        </w:rPr>
        <w:t>-</w:t>
      </w:r>
      <w:r w:rsidRPr="000D6942">
        <w:rPr>
          <w:b w:val="0"/>
          <w:color w:val="auto"/>
        </w:rPr>
        <w:tab/>
        <w:t xml:space="preserve">jeigu yra anemija, sukelta </w:t>
      </w:r>
      <w:r w:rsidRPr="000D6942">
        <w:rPr>
          <w:color w:val="auto"/>
          <w:u w:val="single"/>
        </w:rPr>
        <w:t>ne</w:t>
      </w:r>
      <w:r w:rsidRPr="000D6942">
        <w:rPr>
          <w:b w:val="0"/>
          <w:color w:val="auto"/>
        </w:rPr>
        <w:t xml:space="preserve"> geležies trūkumo;</w:t>
      </w:r>
    </w:p>
    <w:p w:rsidR="00F97405" w:rsidRPr="000D6942" w:rsidRDefault="00F97405" w:rsidP="00F97405">
      <w:pPr>
        <w:pStyle w:val="NormalRight-0cm"/>
        <w:spacing w:line="240" w:lineRule="auto"/>
        <w:rPr>
          <w:b w:val="0"/>
          <w:color w:val="auto"/>
        </w:rPr>
      </w:pPr>
      <w:r w:rsidRPr="000D6942">
        <w:rPr>
          <w:b w:val="0"/>
          <w:color w:val="auto"/>
        </w:rPr>
        <w:t>-</w:t>
      </w:r>
      <w:r w:rsidRPr="000D6942">
        <w:rPr>
          <w:b w:val="0"/>
          <w:color w:val="auto"/>
        </w:rPr>
        <w:tab/>
        <w:t>jeigu yra geležies perteklius (per daug geležies jūsų organizme) arba sutrikęs geležies pasisavinimas.</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r w:rsidRPr="000D6942">
        <w:t>Įspėjimai ir atsargumo priemonės</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r w:rsidRPr="000D6942">
        <w:rPr>
          <w:rFonts w:eastAsia="SimSun"/>
          <w:b w:val="0"/>
        </w:rPr>
        <w:t xml:space="preserve">Pasitarkite su gydytoju arba slaugytoja prieš pradėdami vartoti </w:t>
      </w:r>
      <w:proofErr w:type="spellStart"/>
      <w:r w:rsidRPr="000D6942">
        <w:rPr>
          <w:b w:val="0"/>
          <w:color w:val="auto"/>
        </w:rPr>
        <w:t>Ferinject</w:t>
      </w:r>
      <w:proofErr w:type="spellEnd"/>
      <w:r w:rsidRPr="000D6942">
        <w:rPr>
          <w:b w:val="0"/>
          <w:color w:val="auto"/>
        </w:rPr>
        <w:t>:</w:t>
      </w:r>
    </w:p>
    <w:p w:rsidR="00F97405" w:rsidRPr="000D6942" w:rsidRDefault="00F97405" w:rsidP="00F97405">
      <w:pPr>
        <w:pStyle w:val="NormalRight-0cm"/>
        <w:numPr>
          <w:ilvl w:val="0"/>
          <w:numId w:val="3"/>
        </w:numPr>
        <w:spacing w:line="240" w:lineRule="auto"/>
        <w:ind w:left="567" w:hanging="567"/>
        <w:rPr>
          <w:b w:val="0"/>
          <w:color w:val="auto"/>
        </w:rPr>
      </w:pPr>
      <w:r w:rsidRPr="000D6942">
        <w:rPr>
          <w:rFonts w:eastAsia="SimSun"/>
          <w:b w:val="0"/>
        </w:rPr>
        <w:t>jeigu yra pasireiškusi alergija vaistams;</w:t>
      </w:r>
    </w:p>
    <w:p w:rsidR="00F97405" w:rsidRPr="000D6942" w:rsidRDefault="00F97405" w:rsidP="00F97405">
      <w:pPr>
        <w:numPr>
          <w:ilvl w:val="0"/>
          <w:numId w:val="3"/>
        </w:numPr>
        <w:ind w:left="567" w:right="73" w:hanging="567"/>
        <w:rPr>
          <w:rFonts w:eastAsia="SimSun"/>
          <w:szCs w:val="22"/>
        </w:rPr>
      </w:pPr>
      <w:r w:rsidRPr="000D6942">
        <w:rPr>
          <w:rFonts w:eastAsia="SimSun"/>
          <w:szCs w:val="22"/>
        </w:rPr>
        <w:t>jeigu sergate sistemine raudonąja vilklige;</w:t>
      </w:r>
    </w:p>
    <w:p w:rsidR="00F97405" w:rsidRPr="000D6942" w:rsidRDefault="00F97405" w:rsidP="00F97405">
      <w:pPr>
        <w:numPr>
          <w:ilvl w:val="0"/>
          <w:numId w:val="3"/>
        </w:numPr>
        <w:ind w:left="567" w:right="73" w:hanging="567"/>
        <w:rPr>
          <w:rFonts w:eastAsia="SimSun"/>
          <w:szCs w:val="22"/>
        </w:rPr>
      </w:pPr>
      <w:r w:rsidRPr="000D6942">
        <w:rPr>
          <w:rFonts w:eastAsia="SimSun"/>
          <w:szCs w:val="22"/>
        </w:rPr>
        <w:lastRenderedPageBreak/>
        <w:t>jeigu sergate reumatoidiniu artritu;</w:t>
      </w:r>
    </w:p>
    <w:p w:rsidR="00F97405" w:rsidRPr="000D6942" w:rsidRDefault="00F97405" w:rsidP="00F97405">
      <w:pPr>
        <w:numPr>
          <w:ilvl w:val="0"/>
          <w:numId w:val="3"/>
        </w:numPr>
        <w:ind w:left="567" w:right="73" w:hanging="567"/>
        <w:rPr>
          <w:rFonts w:eastAsia="SimSun"/>
          <w:szCs w:val="22"/>
        </w:rPr>
      </w:pPr>
      <w:r w:rsidRPr="000D6942">
        <w:rPr>
          <w:rFonts w:eastAsia="SimSun"/>
          <w:szCs w:val="22"/>
        </w:rPr>
        <w:t>jeigu sergate sunkios formos astma, egzema ar kitomis alergijomis.</w:t>
      </w:r>
    </w:p>
    <w:p w:rsidR="00F97405" w:rsidRPr="000D6942" w:rsidRDefault="00F97405" w:rsidP="00F97405">
      <w:pPr>
        <w:pStyle w:val="NormalRight-0cm"/>
        <w:numPr>
          <w:ilvl w:val="0"/>
          <w:numId w:val="3"/>
        </w:numPr>
        <w:spacing w:line="240" w:lineRule="auto"/>
        <w:ind w:left="567" w:hanging="567"/>
        <w:rPr>
          <w:b w:val="0"/>
          <w:color w:val="auto"/>
        </w:rPr>
      </w:pPr>
      <w:r w:rsidRPr="000D6942">
        <w:rPr>
          <w:b w:val="0"/>
          <w:color w:val="auto"/>
        </w:rPr>
        <w:t>jeigu sergate infekcija;</w:t>
      </w:r>
    </w:p>
    <w:p w:rsidR="00F97405" w:rsidRDefault="00F97405" w:rsidP="00F97405">
      <w:pPr>
        <w:pStyle w:val="NormalRight-0cm"/>
        <w:numPr>
          <w:ilvl w:val="0"/>
          <w:numId w:val="3"/>
        </w:numPr>
        <w:spacing w:line="240" w:lineRule="auto"/>
        <w:ind w:left="567" w:hanging="567"/>
        <w:rPr>
          <w:b w:val="0"/>
          <w:color w:val="auto"/>
        </w:rPr>
      </w:pPr>
      <w:r w:rsidRPr="000D6942">
        <w:rPr>
          <w:b w:val="0"/>
          <w:color w:val="auto"/>
        </w:rPr>
        <w:t>jeigu sutrikusi kepenų veikla</w:t>
      </w:r>
      <w:r>
        <w:rPr>
          <w:b w:val="0"/>
          <w:color w:val="auto"/>
        </w:rPr>
        <w:t>;</w:t>
      </w:r>
    </w:p>
    <w:p w:rsidR="00F97405" w:rsidRPr="000D6942" w:rsidRDefault="00F97405" w:rsidP="00F97405">
      <w:pPr>
        <w:pStyle w:val="NormalRight-0cm"/>
        <w:numPr>
          <w:ilvl w:val="0"/>
          <w:numId w:val="3"/>
        </w:numPr>
        <w:spacing w:line="240" w:lineRule="auto"/>
        <w:ind w:left="567" w:hanging="567"/>
        <w:rPr>
          <w:b w:val="0"/>
          <w:color w:val="auto"/>
        </w:rPr>
      </w:pPr>
      <w:r>
        <w:rPr>
          <w:b w:val="0"/>
          <w:color w:val="auto"/>
        </w:rPr>
        <w:t>jeigu dabar arba anksčiau buvo nustatytas mažas fosfatų kiekis kraujyje</w:t>
      </w:r>
      <w:r w:rsidRPr="000D6942">
        <w:rPr>
          <w:b w:val="0"/>
          <w:color w:val="auto"/>
        </w:rPr>
        <w:t>.</w:t>
      </w:r>
    </w:p>
    <w:p w:rsidR="00F97405" w:rsidRPr="000D6942" w:rsidRDefault="00F97405" w:rsidP="00F97405">
      <w:pPr>
        <w:pStyle w:val="NormalRight-0cm"/>
        <w:spacing w:line="240" w:lineRule="auto"/>
        <w:ind w:left="0" w:firstLine="0"/>
        <w:rPr>
          <w:b w:val="0"/>
          <w:color w:val="auto"/>
        </w:rPr>
      </w:pPr>
    </w:p>
    <w:p w:rsidR="00F97405" w:rsidRPr="000D6942" w:rsidRDefault="00F97405" w:rsidP="00F97405">
      <w:pPr>
        <w:pStyle w:val="NormalRight-0cm"/>
        <w:spacing w:line="240" w:lineRule="auto"/>
        <w:ind w:left="0" w:firstLine="0"/>
        <w:rPr>
          <w:b w:val="0"/>
          <w:color w:val="auto"/>
        </w:rPr>
      </w:pPr>
      <w:proofErr w:type="spellStart"/>
      <w:r w:rsidRPr="000D6942">
        <w:rPr>
          <w:b w:val="0"/>
          <w:color w:val="auto"/>
        </w:rPr>
        <w:t>Ferinject</w:t>
      </w:r>
      <w:proofErr w:type="spellEnd"/>
      <w:r w:rsidRPr="000D6942">
        <w:rPr>
          <w:b w:val="0"/>
          <w:color w:val="auto"/>
        </w:rPr>
        <w:t xml:space="preserve"> negalima skirti vaikams, jaunesniems nei 14 metų.</w:t>
      </w:r>
    </w:p>
    <w:p w:rsidR="00F97405" w:rsidRPr="000D6942" w:rsidRDefault="00F97405" w:rsidP="00F97405">
      <w:pPr>
        <w:pStyle w:val="NormalRight-0cm"/>
        <w:spacing w:line="240" w:lineRule="auto"/>
        <w:ind w:left="0" w:firstLine="0"/>
        <w:rPr>
          <w:b w:val="0"/>
          <w:color w:val="auto"/>
        </w:rPr>
      </w:pPr>
      <w:r w:rsidRPr="000D6942">
        <w:rPr>
          <w:b w:val="0"/>
          <w:color w:val="auto"/>
        </w:rPr>
        <w:t xml:space="preserve">Neteisingai leidžiant </w:t>
      </w:r>
      <w:proofErr w:type="spellStart"/>
      <w:r w:rsidRPr="000D6942">
        <w:rPr>
          <w:b w:val="0"/>
          <w:color w:val="auto"/>
        </w:rPr>
        <w:t>Ferinject</w:t>
      </w:r>
      <w:proofErr w:type="spellEnd"/>
      <w:r w:rsidRPr="000D6942">
        <w:rPr>
          <w:b w:val="0"/>
          <w:color w:val="auto"/>
        </w:rPr>
        <w:t xml:space="preserve">, preparato gali ištekėti </w:t>
      </w:r>
      <w:r>
        <w:rPr>
          <w:b w:val="0"/>
          <w:color w:val="auto"/>
        </w:rPr>
        <w:t xml:space="preserve">vartojimo </w:t>
      </w:r>
      <w:r w:rsidRPr="000D6942">
        <w:rPr>
          <w:b w:val="0"/>
          <w:color w:val="auto"/>
        </w:rPr>
        <w:t xml:space="preserve">vietoje ir sukelti odos sudirginimą bei gali atsirasti ilgai išliekanti ruda dėmė </w:t>
      </w:r>
      <w:r>
        <w:rPr>
          <w:b w:val="0"/>
          <w:color w:val="auto"/>
        </w:rPr>
        <w:t>vartojimo</w:t>
      </w:r>
      <w:r w:rsidRPr="000D6942">
        <w:rPr>
          <w:b w:val="0"/>
          <w:color w:val="auto"/>
        </w:rPr>
        <w:t xml:space="preserve"> vietoje. Jei taip įvyksta, reikia tuoj pat nutraukti vaisto leidimą.</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rFonts w:eastAsia="SimSun"/>
          <w:bCs w:val="0"/>
        </w:rPr>
      </w:pPr>
      <w:r w:rsidRPr="000D6942">
        <w:rPr>
          <w:rFonts w:eastAsia="SimSun"/>
          <w:bCs w:val="0"/>
        </w:rPr>
        <w:t xml:space="preserve">Kaip vartoti </w:t>
      </w:r>
      <w:proofErr w:type="spellStart"/>
      <w:r w:rsidRPr="000D6942">
        <w:rPr>
          <w:rFonts w:eastAsia="SimSun"/>
          <w:bCs w:val="0"/>
        </w:rPr>
        <w:t>Ferinject</w:t>
      </w:r>
      <w:proofErr w:type="spellEnd"/>
    </w:p>
    <w:p w:rsidR="00F97405" w:rsidRPr="000D6942" w:rsidRDefault="00F97405" w:rsidP="00F97405">
      <w:pPr>
        <w:pStyle w:val="NormalRight-0cm"/>
        <w:spacing w:line="240" w:lineRule="auto"/>
        <w:rPr>
          <w:rFonts w:eastAsia="SimSun"/>
          <w:b w:val="0"/>
        </w:rPr>
      </w:pPr>
      <w:r w:rsidRPr="000D6942">
        <w:rPr>
          <w:rFonts w:eastAsia="SimSun"/>
          <w:b w:val="0"/>
        </w:rPr>
        <w:t xml:space="preserve">Gydytojas arba slaugytoja paskirs vartoti </w:t>
      </w:r>
      <w:proofErr w:type="spellStart"/>
      <w:r w:rsidRPr="000D6942">
        <w:rPr>
          <w:rFonts w:eastAsia="SimSun"/>
          <w:b w:val="0"/>
        </w:rPr>
        <w:t>Ferinject</w:t>
      </w:r>
      <w:proofErr w:type="spellEnd"/>
      <w:r w:rsidRPr="000D6942">
        <w:rPr>
          <w:rFonts w:eastAsia="SimSun"/>
          <w:b w:val="0"/>
        </w:rPr>
        <w:t xml:space="preserve"> nepraskiestą injekcija, dializės metu arba praskiestą infuzija. </w:t>
      </w:r>
      <w:proofErr w:type="spellStart"/>
      <w:r w:rsidRPr="000D6942">
        <w:rPr>
          <w:rFonts w:eastAsia="SimSun"/>
          <w:b w:val="0"/>
        </w:rPr>
        <w:t>Ferinject</w:t>
      </w:r>
      <w:proofErr w:type="spellEnd"/>
      <w:r w:rsidRPr="000D6942">
        <w:rPr>
          <w:rFonts w:eastAsia="SimSun"/>
          <w:b w:val="0"/>
        </w:rPr>
        <w:t xml:space="preserve"> bus leidžiamas aplinkoje, kurioje bus prieinama tinkama skubi pagalba imuninių-alerginių reiškinių atveju.</w:t>
      </w:r>
    </w:p>
    <w:p w:rsidR="00F97405" w:rsidRPr="000D6942" w:rsidRDefault="00F97405" w:rsidP="00F97405">
      <w:pPr>
        <w:pStyle w:val="NormalRight-0cm"/>
        <w:spacing w:line="240" w:lineRule="auto"/>
        <w:rPr>
          <w:rFonts w:eastAsia="SimSun"/>
        </w:rPr>
      </w:pPr>
    </w:p>
    <w:p w:rsidR="00F97405" w:rsidRPr="000D6942" w:rsidRDefault="00F97405" w:rsidP="00F97405">
      <w:pPr>
        <w:pStyle w:val="NormalRight-0cm"/>
        <w:spacing w:line="240" w:lineRule="auto"/>
        <w:rPr>
          <w:rFonts w:eastAsia="SimSun"/>
          <w:b w:val="0"/>
        </w:rPr>
      </w:pPr>
      <w:r w:rsidRPr="000D6942">
        <w:rPr>
          <w:rFonts w:eastAsia="SimSun"/>
          <w:b w:val="0"/>
        </w:rPr>
        <w:t>Kiekvieną kartą po vaisto vartojimo gydytojas arba slaugytoja jus stebės mažiausiai 30 minučių.</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pPr>
      <w:r w:rsidRPr="000D6942">
        <w:t>Kiti vaistai ir</w:t>
      </w:r>
      <w:r w:rsidRPr="000D6942">
        <w:rPr>
          <w:color w:val="auto"/>
        </w:rPr>
        <w:t xml:space="preserve"> </w:t>
      </w:r>
      <w:proofErr w:type="spellStart"/>
      <w:r w:rsidRPr="000D6942">
        <w:rPr>
          <w:color w:val="auto"/>
        </w:rPr>
        <w:t>Ferinject</w:t>
      </w:r>
      <w:proofErr w:type="spellEnd"/>
    </w:p>
    <w:p w:rsidR="00F97405" w:rsidRPr="000D6942" w:rsidRDefault="00F97405" w:rsidP="00F97405">
      <w:pPr>
        <w:pStyle w:val="NormalRight-0cm"/>
        <w:spacing w:line="240" w:lineRule="auto"/>
        <w:rPr>
          <w:b w:val="0"/>
          <w:color w:val="auto"/>
        </w:rPr>
      </w:pPr>
      <w:r w:rsidRPr="000D6942">
        <w:rPr>
          <w:b w:val="0"/>
          <w:color w:val="auto"/>
        </w:rPr>
        <w:t>Jeigu vartojate ar neseniai vartojote kitų vaistų arba dėl to nesate tikri, apie tai pasakykite gydytojui.</w:t>
      </w:r>
    </w:p>
    <w:p w:rsidR="00F97405" w:rsidRPr="000D6942" w:rsidRDefault="00F97405" w:rsidP="00F97405">
      <w:pPr>
        <w:pStyle w:val="NormalRight-0cm"/>
        <w:numPr>
          <w:ilvl w:val="0"/>
          <w:numId w:val="4"/>
        </w:numPr>
        <w:spacing w:line="240" w:lineRule="auto"/>
        <w:ind w:left="567" w:hanging="567"/>
        <w:rPr>
          <w:b w:val="0"/>
          <w:color w:val="auto"/>
        </w:rPr>
      </w:pPr>
      <w:r w:rsidRPr="000D6942">
        <w:rPr>
          <w:b w:val="0"/>
          <w:color w:val="auto"/>
        </w:rPr>
        <w:t xml:space="preserve">Jei </w:t>
      </w:r>
      <w:proofErr w:type="spellStart"/>
      <w:r w:rsidRPr="000D6942">
        <w:rPr>
          <w:b w:val="0"/>
          <w:color w:val="auto"/>
        </w:rPr>
        <w:t>Ferinject</w:t>
      </w:r>
      <w:proofErr w:type="spellEnd"/>
      <w:r w:rsidRPr="000D6942">
        <w:rPr>
          <w:b w:val="0"/>
          <w:color w:val="auto"/>
        </w:rPr>
        <w:t xml:space="preserve"> yra skiriamas kartu su geriamais geležies preparatais, šie geriami preparatai gali būti mažiau veiksmingi.</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rFonts w:eastAsia="SimSun"/>
        </w:rPr>
      </w:pPr>
      <w:r w:rsidRPr="000D6942">
        <w:rPr>
          <w:rFonts w:eastAsia="SimSun"/>
        </w:rPr>
        <w:t>Nėštumas</w:t>
      </w:r>
    </w:p>
    <w:p w:rsidR="00F97405" w:rsidRPr="000D6942" w:rsidRDefault="00F97405" w:rsidP="00F97405">
      <w:pPr>
        <w:pStyle w:val="NormalRight-0cm"/>
        <w:spacing w:line="240" w:lineRule="auto"/>
        <w:ind w:left="0" w:firstLine="0"/>
        <w:rPr>
          <w:rFonts w:eastAsia="SimSun"/>
          <w:b w:val="0"/>
        </w:rPr>
      </w:pPr>
      <w:r w:rsidRPr="000D6942">
        <w:rPr>
          <w:rFonts w:eastAsia="SimSun"/>
          <w:b w:val="0"/>
        </w:rPr>
        <w:t xml:space="preserve">Duomenų apie </w:t>
      </w:r>
      <w:proofErr w:type="spellStart"/>
      <w:r w:rsidRPr="000D6942">
        <w:rPr>
          <w:rFonts w:eastAsia="SimSun"/>
          <w:b w:val="0"/>
        </w:rPr>
        <w:t>Ferinject</w:t>
      </w:r>
      <w:proofErr w:type="spellEnd"/>
      <w:r w:rsidRPr="000D6942">
        <w:rPr>
          <w:rFonts w:eastAsia="SimSun"/>
          <w:b w:val="0"/>
        </w:rPr>
        <w:t xml:space="preserve"> vartojimą nėštumo laikotarpiu nepakanka. Jeigu esate nėščia, manote, kad galbūt esate nėščia, arba planuojate pastoti, būtinai pasakykite apie tai gydytojui.</w:t>
      </w:r>
    </w:p>
    <w:p w:rsidR="00F97405" w:rsidRPr="000D6942" w:rsidRDefault="00F97405" w:rsidP="00F97405">
      <w:pPr>
        <w:pStyle w:val="NormalRight-0cm"/>
        <w:spacing w:line="240" w:lineRule="auto"/>
        <w:rPr>
          <w:rFonts w:eastAsia="SimSun"/>
          <w:b w:val="0"/>
        </w:rPr>
      </w:pPr>
      <w:r w:rsidRPr="000D6942">
        <w:rPr>
          <w:rFonts w:eastAsia="SimSun"/>
          <w:b w:val="0"/>
        </w:rPr>
        <w:t>Jei pastojote gydymo metu, pasitarkite su gydytoju. Gydytojas nuspręs, ar jums galima vartoti šio vaisto.</w:t>
      </w:r>
    </w:p>
    <w:p w:rsidR="00F97405" w:rsidRPr="000D6942" w:rsidRDefault="00F97405" w:rsidP="00F97405">
      <w:pPr>
        <w:pStyle w:val="NormalRight-0cm"/>
        <w:spacing w:line="240" w:lineRule="auto"/>
        <w:rPr>
          <w:b w:val="0"/>
          <w:bCs w:val="0"/>
          <w:color w:val="auto"/>
          <w:lang w:eastAsia="en-US"/>
        </w:rPr>
      </w:pPr>
    </w:p>
    <w:p w:rsidR="00F97405" w:rsidRPr="000D6942" w:rsidRDefault="00F97405" w:rsidP="00F97405">
      <w:pPr>
        <w:autoSpaceDE w:val="0"/>
        <w:autoSpaceDN w:val="0"/>
        <w:adjustRightInd w:val="0"/>
        <w:ind w:left="709" w:hanging="709"/>
        <w:rPr>
          <w:rFonts w:eastAsia="SimSun"/>
          <w:b/>
          <w:bCs/>
          <w:szCs w:val="22"/>
        </w:rPr>
      </w:pPr>
      <w:r w:rsidRPr="000D6942">
        <w:rPr>
          <w:rFonts w:eastAsia="SimSun"/>
          <w:b/>
          <w:bCs/>
          <w:szCs w:val="22"/>
        </w:rPr>
        <w:t>Žindymo laikotarpis</w:t>
      </w:r>
    </w:p>
    <w:p w:rsidR="00F97405" w:rsidRPr="000D6942" w:rsidRDefault="00F97405" w:rsidP="00F97405">
      <w:pPr>
        <w:pStyle w:val="NormalRight-0cm"/>
        <w:spacing w:line="240" w:lineRule="auto"/>
        <w:ind w:left="0" w:firstLine="0"/>
        <w:rPr>
          <w:b w:val="0"/>
          <w:color w:val="auto"/>
        </w:rPr>
      </w:pPr>
      <w:r w:rsidRPr="000D6942">
        <w:rPr>
          <w:b w:val="0"/>
          <w:color w:val="auto"/>
        </w:rPr>
        <w:t xml:space="preserve">Jeigu žindote kūdikį, tai prieš vartodama </w:t>
      </w:r>
      <w:proofErr w:type="spellStart"/>
      <w:r w:rsidRPr="000D6942">
        <w:rPr>
          <w:b w:val="0"/>
          <w:color w:val="auto"/>
        </w:rPr>
        <w:t>Ferinject</w:t>
      </w:r>
      <w:proofErr w:type="spellEnd"/>
      <w:r w:rsidRPr="000D6942">
        <w:rPr>
          <w:b w:val="0"/>
          <w:color w:val="auto"/>
        </w:rPr>
        <w:t xml:space="preserve"> pasitarkite su gydytoju.</w:t>
      </w:r>
    </w:p>
    <w:p w:rsidR="00F97405" w:rsidRPr="000D6942" w:rsidRDefault="00F97405" w:rsidP="00F97405">
      <w:pPr>
        <w:pStyle w:val="NormalRight-0cm"/>
        <w:spacing w:line="240" w:lineRule="auto"/>
        <w:ind w:left="0" w:firstLine="0"/>
        <w:rPr>
          <w:b w:val="0"/>
          <w:color w:val="auto"/>
        </w:rPr>
      </w:pPr>
      <w:r w:rsidRPr="000D6942">
        <w:rPr>
          <w:b w:val="0"/>
          <w:color w:val="auto"/>
        </w:rPr>
        <w:t xml:space="preserve">Žindomam vaikui </w:t>
      </w:r>
      <w:proofErr w:type="spellStart"/>
      <w:r w:rsidRPr="000D6942">
        <w:rPr>
          <w:b w:val="0"/>
          <w:color w:val="auto"/>
        </w:rPr>
        <w:t>Ferinject</w:t>
      </w:r>
      <w:proofErr w:type="spellEnd"/>
      <w:r w:rsidRPr="000D6942">
        <w:rPr>
          <w:b w:val="0"/>
          <w:color w:val="auto"/>
        </w:rPr>
        <w:t xml:space="preserve"> vartojimas rizikos kelti neturėtų.</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r w:rsidRPr="000D6942">
        <w:rPr>
          <w:color w:val="auto"/>
        </w:rPr>
        <w:t>Vairavimas ir mechanizmų valdymas</w:t>
      </w:r>
    </w:p>
    <w:p w:rsidR="00F97405" w:rsidRPr="000D6942" w:rsidRDefault="00F97405" w:rsidP="00F97405">
      <w:pPr>
        <w:pStyle w:val="NormalRight-0cm"/>
        <w:spacing w:line="240" w:lineRule="auto"/>
        <w:rPr>
          <w:color w:val="auto"/>
        </w:rPr>
      </w:pPr>
    </w:p>
    <w:p w:rsidR="00F97405" w:rsidRPr="000D6942" w:rsidRDefault="00F97405" w:rsidP="00F97405">
      <w:pPr>
        <w:pStyle w:val="NormalRight-0cm"/>
        <w:spacing w:line="240" w:lineRule="auto"/>
        <w:rPr>
          <w:b w:val="0"/>
          <w:color w:val="auto"/>
        </w:rPr>
      </w:pPr>
      <w:proofErr w:type="spellStart"/>
      <w:r w:rsidRPr="000D6942">
        <w:rPr>
          <w:b w:val="0"/>
          <w:color w:val="auto"/>
        </w:rPr>
        <w:t>Ferinject</w:t>
      </w:r>
      <w:proofErr w:type="spellEnd"/>
      <w:r w:rsidRPr="000D6942">
        <w:rPr>
          <w:b w:val="0"/>
          <w:color w:val="auto"/>
        </w:rPr>
        <w:t xml:space="preserve"> gebėjimo vairuoti ir valdyti mechanizmus veikti neturėtų.</w:t>
      </w:r>
    </w:p>
    <w:p w:rsidR="00F97405" w:rsidRPr="000D6942" w:rsidRDefault="00F97405" w:rsidP="00F97405">
      <w:pPr>
        <w:pStyle w:val="NormalRight-0cm"/>
        <w:spacing w:line="240" w:lineRule="auto"/>
        <w:rPr>
          <w:color w:val="auto"/>
        </w:rPr>
      </w:pPr>
    </w:p>
    <w:p w:rsidR="00F97405" w:rsidRPr="000D6942" w:rsidRDefault="00F97405" w:rsidP="00F97405">
      <w:pPr>
        <w:pStyle w:val="NormalRight-0cm"/>
        <w:spacing w:line="240" w:lineRule="auto"/>
        <w:rPr>
          <w:color w:val="auto"/>
        </w:rPr>
      </w:pPr>
      <w:r w:rsidRPr="000D6942">
        <w:rPr>
          <w:color w:val="auto"/>
        </w:rPr>
        <w:t xml:space="preserve">Svarbi informacija apie kai kurias pagalbines </w:t>
      </w:r>
      <w:proofErr w:type="spellStart"/>
      <w:r w:rsidRPr="000D6942">
        <w:rPr>
          <w:color w:val="auto"/>
        </w:rPr>
        <w:t>Ferinject</w:t>
      </w:r>
      <w:proofErr w:type="spellEnd"/>
      <w:r w:rsidRPr="000D6942">
        <w:rPr>
          <w:color w:val="auto"/>
        </w:rPr>
        <w:t xml:space="preserve"> medžiagas</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ind w:left="0" w:firstLine="0"/>
        <w:rPr>
          <w:b w:val="0"/>
          <w:color w:val="auto"/>
        </w:rPr>
      </w:pPr>
      <w:r w:rsidRPr="000D6942">
        <w:rPr>
          <w:b w:val="0"/>
          <w:color w:val="auto"/>
        </w:rPr>
        <w:t xml:space="preserve">Šio vaistinio preparato sudėtyje yra 0,24 </w:t>
      </w:r>
      <w:proofErr w:type="spellStart"/>
      <w:r w:rsidRPr="000D6942">
        <w:rPr>
          <w:b w:val="0"/>
          <w:color w:val="auto"/>
        </w:rPr>
        <w:t>mmol</w:t>
      </w:r>
      <w:proofErr w:type="spellEnd"/>
      <w:r w:rsidRPr="000D6942">
        <w:rPr>
          <w:b w:val="0"/>
          <w:color w:val="auto"/>
        </w:rPr>
        <w:t xml:space="preserve"> (5,5 mg) natrio viename nepraskiesto tirpalo mililitre. Į tai turi atsižvelgti pacientai, kurie laikosi dietos, kurioje yra mažai natrio.</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r w:rsidRPr="000D6942">
        <w:rPr>
          <w:color w:val="auto"/>
        </w:rPr>
        <w:t>3.</w:t>
      </w:r>
      <w:r w:rsidRPr="000D6942">
        <w:rPr>
          <w:color w:val="auto"/>
        </w:rPr>
        <w:tab/>
        <w:t xml:space="preserve">Kaip vartoti </w:t>
      </w:r>
      <w:proofErr w:type="spellStart"/>
      <w:r w:rsidRPr="000D6942">
        <w:rPr>
          <w:color w:val="auto"/>
        </w:rPr>
        <w:t>Ferinject</w:t>
      </w:r>
      <w:proofErr w:type="spellEnd"/>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ind w:left="0" w:firstLine="0"/>
        <w:rPr>
          <w:b w:val="0"/>
          <w:color w:val="auto"/>
        </w:rPr>
      </w:pPr>
      <w:r w:rsidRPr="000D6942">
        <w:rPr>
          <w:b w:val="0"/>
          <w:color w:val="auto"/>
        </w:rPr>
        <w:t xml:space="preserve">Jūsų gydytojas gali skirti </w:t>
      </w:r>
      <w:proofErr w:type="spellStart"/>
      <w:r w:rsidRPr="000D6942">
        <w:rPr>
          <w:b w:val="0"/>
          <w:color w:val="auto"/>
        </w:rPr>
        <w:t>Ferinject</w:t>
      </w:r>
      <w:proofErr w:type="spellEnd"/>
      <w:r w:rsidRPr="000D6942">
        <w:rPr>
          <w:b w:val="0"/>
          <w:color w:val="auto"/>
        </w:rPr>
        <w:t xml:space="preserve"> trimis būdais: nepraskiestą injekcija, dializės metu arba praskiestą lašeline infuzija.</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ind w:left="0" w:firstLine="0"/>
        <w:rPr>
          <w:b w:val="0"/>
          <w:color w:val="auto"/>
        </w:rPr>
      </w:pPr>
      <w:r w:rsidRPr="000D6942">
        <w:rPr>
          <w:b w:val="0"/>
          <w:color w:val="auto"/>
        </w:rPr>
        <w:t xml:space="preserve">Injekcija gali būti skiriama iki 20 ml </w:t>
      </w:r>
      <w:proofErr w:type="spellStart"/>
      <w:r w:rsidRPr="000D6942">
        <w:rPr>
          <w:b w:val="0"/>
          <w:color w:val="auto"/>
        </w:rPr>
        <w:t>Ferinject</w:t>
      </w:r>
      <w:proofErr w:type="spellEnd"/>
      <w:r w:rsidRPr="000D6942">
        <w:rPr>
          <w:b w:val="0"/>
          <w:color w:val="auto"/>
        </w:rPr>
        <w:t xml:space="preserve">, atitinkančio 1000 mg geležies </w:t>
      </w:r>
      <w:r w:rsidRPr="000D6942">
        <w:rPr>
          <w:b w:val="0"/>
          <w:bCs w:val="0"/>
          <w:color w:val="auto"/>
        </w:rPr>
        <w:t xml:space="preserve">kartą </w:t>
      </w:r>
      <w:r w:rsidRPr="000D6942">
        <w:rPr>
          <w:b w:val="0"/>
          <w:color w:val="auto"/>
        </w:rPr>
        <w:t xml:space="preserve">per </w:t>
      </w:r>
      <w:r w:rsidRPr="000D6942">
        <w:rPr>
          <w:b w:val="0"/>
          <w:bCs w:val="0"/>
          <w:color w:val="auto"/>
        </w:rPr>
        <w:t>savaitę</w:t>
      </w:r>
      <w:r w:rsidRPr="000D6942">
        <w:rPr>
          <w:b w:val="0"/>
          <w:color w:val="auto"/>
        </w:rPr>
        <w:t xml:space="preserve"> tiesiai į veną.</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r w:rsidRPr="000D6942">
        <w:rPr>
          <w:b w:val="0"/>
          <w:color w:val="auto"/>
        </w:rPr>
        <w:t xml:space="preserve">Jei taikoma dializė, </w:t>
      </w:r>
      <w:proofErr w:type="spellStart"/>
      <w:r w:rsidRPr="000D6942">
        <w:rPr>
          <w:b w:val="0"/>
          <w:color w:val="auto"/>
        </w:rPr>
        <w:t>Ferinject</w:t>
      </w:r>
      <w:proofErr w:type="spellEnd"/>
      <w:r w:rsidRPr="000D6942">
        <w:rPr>
          <w:b w:val="0"/>
          <w:color w:val="auto"/>
        </w:rPr>
        <w:t xml:space="preserve"> gali būti skiriamas hemodializės metu per dializatorių.</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ind w:left="0" w:firstLine="0"/>
        <w:rPr>
          <w:b w:val="0"/>
          <w:color w:val="auto"/>
        </w:rPr>
      </w:pPr>
      <w:r w:rsidRPr="000D6942">
        <w:rPr>
          <w:b w:val="0"/>
          <w:color w:val="auto"/>
        </w:rPr>
        <w:t xml:space="preserve">Lašeline infuzija gali būti skiriama iki 20 ml </w:t>
      </w:r>
      <w:proofErr w:type="spellStart"/>
      <w:r w:rsidRPr="000D6942">
        <w:rPr>
          <w:b w:val="0"/>
          <w:color w:val="auto"/>
        </w:rPr>
        <w:t>Ferinject</w:t>
      </w:r>
      <w:proofErr w:type="spellEnd"/>
      <w:r w:rsidRPr="000D6942">
        <w:rPr>
          <w:b w:val="0"/>
          <w:color w:val="auto"/>
        </w:rPr>
        <w:t xml:space="preserve">, t. y., 1000 mg geležies kartą per savaitę tiesiai į veną. Kadangi lašelinei infuzijai </w:t>
      </w:r>
      <w:proofErr w:type="spellStart"/>
      <w:r w:rsidRPr="000D6942">
        <w:rPr>
          <w:b w:val="0"/>
          <w:color w:val="auto"/>
        </w:rPr>
        <w:t>Ferinject</w:t>
      </w:r>
      <w:proofErr w:type="spellEnd"/>
      <w:r w:rsidRPr="000D6942">
        <w:rPr>
          <w:b w:val="0"/>
          <w:color w:val="auto"/>
        </w:rPr>
        <w:t xml:space="preserve"> praskiedžiamas natrio chlorido tirpalu, skiriamo tirpalo tūris gali būti iki 250 ml, o spalva – ruda.</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r w:rsidRPr="000D6942">
        <w:rPr>
          <w:color w:val="auto"/>
        </w:rPr>
        <w:t xml:space="preserve">Ką daryti pavartojus per didelę </w:t>
      </w:r>
      <w:proofErr w:type="spellStart"/>
      <w:r w:rsidRPr="000D6942">
        <w:rPr>
          <w:color w:val="auto"/>
        </w:rPr>
        <w:t>Ferinject</w:t>
      </w:r>
      <w:proofErr w:type="spellEnd"/>
      <w:r w:rsidRPr="000D6942">
        <w:rPr>
          <w:color w:val="auto"/>
        </w:rPr>
        <w:t xml:space="preserve"> dozę?</w:t>
      </w:r>
    </w:p>
    <w:p w:rsidR="00F97405" w:rsidRPr="000D6942" w:rsidRDefault="00F97405" w:rsidP="00F97405">
      <w:pPr>
        <w:pStyle w:val="NormalRight-0cm"/>
        <w:spacing w:line="240" w:lineRule="auto"/>
        <w:ind w:left="0" w:firstLine="0"/>
        <w:rPr>
          <w:b w:val="0"/>
          <w:color w:val="auto"/>
        </w:rPr>
      </w:pPr>
    </w:p>
    <w:p w:rsidR="00F97405" w:rsidRPr="000D6942" w:rsidRDefault="00F97405" w:rsidP="00F97405">
      <w:pPr>
        <w:pStyle w:val="NormalRight-0cm"/>
        <w:spacing w:line="240" w:lineRule="auto"/>
        <w:ind w:left="0" w:firstLine="0"/>
        <w:rPr>
          <w:b w:val="0"/>
          <w:color w:val="auto"/>
        </w:rPr>
      </w:pPr>
      <w:r w:rsidRPr="000D6942">
        <w:rPr>
          <w:b w:val="0"/>
          <w:color w:val="auto"/>
        </w:rPr>
        <w:t xml:space="preserve">Jūsų gydytojas </w:t>
      </w:r>
      <w:r w:rsidRPr="000D6942">
        <w:rPr>
          <w:b w:val="0"/>
          <w:bCs w:val="0"/>
          <w:color w:val="auto"/>
        </w:rPr>
        <w:t>nustatys</w:t>
      </w:r>
      <w:r w:rsidRPr="000D6942">
        <w:rPr>
          <w:b w:val="0"/>
          <w:color w:val="auto"/>
        </w:rPr>
        <w:t xml:space="preserve"> reikiamą dozę bei parinks gydymo būdą, dažnį ir trukmę. Perdozavus organizme gali kauptis geležis. Geležies kaupimuisi išvengti jūsų gydytojas stebės geležies parametrus, pvz., </w:t>
      </w:r>
      <w:proofErr w:type="spellStart"/>
      <w:r w:rsidRPr="000D6942">
        <w:rPr>
          <w:b w:val="0"/>
          <w:color w:val="auto"/>
        </w:rPr>
        <w:t>feritino</w:t>
      </w:r>
      <w:proofErr w:type="spellEnd"/>
      <w:r w:rsidRPr="000D6942">
        <w:rPr>
          <w:b w:val="0"/>
          <w:color w:val="auto"/>
        </w:rPr>
        <w:t xml:space="preserve"> ir </w:t>
      </w:r>
      <w:proofErr w:type="spellStart"/>
      <w:r w:rsidRPr="000D6942">
        <w:rPr>
          <w:b w:val="0"/>
          <w:color w:val="auto"/>
        </w:rPr>
        <w:t>transferino</w:t>
      </w:r>
      <w:proofErr w:type="spellEnd"/>
      <w:r w:rsidRPr="000D6942">
        <w:rPr>
          <w:b w:val="0"/>
          <w:color w:val="auto"/>
        </w:rPr>
        <w:t xml:space="preserve"> koncentraciją serume.</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r w:rsidRPr="000D6942">
        <w:rPr>
          <w:color w:val="auto"/>
        </w:rPr>
        <w:t>4.</w:t>
      </w:r>
      <w:r w:rsidRPr="000D6942">
        <w:rPr>
          <w:color w:val="auto"/>
        </w:rPr>
        <w:tab/>
        <w:t>Galimas šalutinis poveikis</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r w:rsidRPr="000D6942">
        <w:rPr>
          <w:b w:val="0"/>
          <w:color w:val="auto"/>
        </w:rPr>
        <w:t>Šis vaistas, kaip ir</w:t>
      </w:r>
      <w:r>
        <w:rPr>
          <w:b w:val="0"/>
          <w:color w:val="auto"/>
        </w:rPr>
        <w:t xml:space="preserve"> visi</w:t>
      </w:r>
      <w:r w:rsidRPr="000D6942">
        <w:rPr>
          <w:b w:val="0"/>
          <w:color w:val="auto"/>
        </w:rPr>
        <w:t xml:space="preserve"> kiti, gali sukelti šalutinį poveikį, nors jis pasireiškia ne visiems žmonėms.</w:t>
      </w:r>
    </w:p>
    <w:p w:rsidR="00F97405" w:rsidRPr="000D6942" w:rsidRDefault="00F97405" w:rsidP="00F97405">
      <w:pPr>
        <w:pStyle w:val="NormalRight-0cm"/>
        <w:spacing w:line="240" w:lineRule="auto"/>
        <w:rPr>
          <w:b w:val="0"/>
          <w:color w:val="auto"/>
        </w:rPr>
      </w:pPr>
    </w:p>
    <w:p w:rsidR="00F97405" w:rsidRPr="000D6942" w:rsidRDefault="00F97405" w:rsidP="00F97405">
      <w:pPr>
        <w:autoSpaceDE w:val="0"/>
        <w:autoSpaceDN w:val="0"/>
        <w:adjustRightInd w:val="0"/>
        <w:rPr>
          <w:b/>
          <w:i/>
          <w:szCs w:val="22"/>
        </w:rPr>
      </w:pPr>
      <w:r w:rsidRPr="000D6942">
        <w:rPr>
          <w:b/>
          <w:i/>
          <w:szCs w:val="22"/>
        </w:rPr>
        <w:t>Sunkus šalutinis poveikis:</w:t>
      </w:r>
    </w:p>
    <w:p w:rsidR="00F97405" w:rsidRPr="000D6942" w:rsidRDefault="00F97405" w:rsidP="00F97405">
      <w:pPr>
        <w:autoSpaceDE w:val="0"/>
        <w:autoSpaceDN w:val="0"/>
        <w:adjustRightInd w:val="0"/>
        <w:rPr>
          <w:szCs w:val="22"/>
        </w:rPr>
      </w:pPr>
      <w:r w:rsidRPr="000D6942">
        <w:rPr>
          <w:szCs w:val="22"/>
        </w:rPr>
        <w:t>Nedelsdami pasakykite gydytojui, jei Jums pasireiškė bet kuris iš šių požymių ar simptomų, nes jie gali reikšti sunkią alerginę reakciją: bėrimas (</w:t>
      </w:r>
      <w:r w:rsidRPr="000D6942">
        <w:rPr>
          <w:bCs/>
          <w:szCs w:val="22"/>
        </w:rPr>
        <w:t>pvz., dilgėlinė), niežulys, pasunkėjęs kvėpavimas, švokštimas ir (arba) lūpų, liežuvio, gerklės ar kūno tinimas.</w:t>
      </w:r>
    </w:p>
    <w:p w:rsidR="00F97405" w:rsidRPr="000D6942" w:rsidRDefault="00F97405" w:rsidP="00F97405">
      <w:pPr>
        <w:numPr>
          <w:ilvl w:val="12"/>
          <w:numId w:val="0"/>
        </w:numPr>
        <w:ind w:right="-2"/>
        <w:rPr>
          <w:szCs w:val="22"/>
        </w:rPr>
      </w:pPr>
    </w:p>
    <w:p w:rsidR="00F97405" w:rsidRPr="000D6942" w:rsidRDefault="00F97405" w:rsidP="00F97405">
      <w:pPr>
        <w:autoSpaceDE w:val="0"/>
        <w:autoSpaceDN w:val="0"/>
        <w:adjustRightInd w:val="0"/>
        <w:rPr>
          <w:szCs w:val="22"/>
        </w:rPr>
      </w:pPr>
      <w:r w:rsidRPr="000D6942">
        <w:rPr>
          <w:szCs w:val="22"/>
        </w:rPr>
        <w:t xml:space="preserve">Kai kuriems pacientams šios alerginės reakcijos (pasireiškiančios mažiau nei 1 iš 1000 pacientų) gali būti sunkios ar kelti grėsmę gyvybei (vadinamosios </w:t>
      </w:r>
      <w:proofErr w:type="spellStart"/>
      <w:r w:rsidRPr="000D6942">
        <w:rPr>
          <w:szCs w:val="22"/>
        </w:rPr>
        <w:t>anafilaktoidinės</w:t>
      </w:r>
      <w:proofErr w:type="spellEnd"/>
      <w:r>
        <w:rPr>
          <w:szCs w:val="22"/>
        </w:rPr>
        <w:t xml:space="preserve">/anafilaksinės </w:t>
      </w:r>
      <w:r w:rsidRPr="000D6942">
        <w:rPr>
          <w:szCs w:val="22"/>
        </w:rPr>
        <w:t>reakcijos). Jos gali būti susijusios su širdies veiklos ir kraujotakos sutrikimais, sąmonės praradimu.</w:t>
      </w:r>
    </w:p>
    <w:p w:rsidR="00F97405" w:rsidRPr="000D6942" w:rsidRDefault="00F97405" w:rsidP="00F97405">
      <w:pPr>
        <w:autoSpaceDE w:val="0"/>
        <w:autoSpaceDN w:val="0"/>
        <w:adjustRightInd w:val="0"/>
        <w:rPr>
          <w:szCs w:val="22"/>
        </w:rPr>
      </w:pPr>
    </w:p>
    <w:p w:rsidR="00F97405" w:rsidRPr="000D6942" w:rsidRDefault="00F97405" w:rsidP="00F97405">
      <w:pPr>
        <w:autoSpaceDE w:val="0"/>
        <w:autoSpaceDN w:val="0"/>
        <w:adjustRightInd w:val="0"/>
        <w:rPr>
          <w:szCs w:val="22"/>
        </w:rPr>
      </w:pPr>
      <w:r w:rsidRPr="000D6942">
        <w:rPr>
          <w:szCs w:val="22"/>
        </w:rPr>
        <w:t xml:space="preserve">Jūsų gydytojas žino apie šį galimą šalutinį poveikį ir stebės Jus </w:t>
      </w:r>
      <w:proofErr w:type="spellStart"/>
      <w:r w:rsidRPr="000D6942">
        <w:rPr>
          <w:szCs w:val="22"/>
        </w:rPr>
        <w:t>Ferinject</w:t>
      </w:r>
      <w:proofErr w:type="spellEnd"/>
      <w:r w:rsidRPr="000D6942">
        <w:rPr>
          <w:szCs w:val="22"/>
        </w:rPr>
        <w:t xml:space="preserve"> injekcijos metu ir po jos.</w:t>
      </w:r>
    </w:p>
    <w:p w:rsidR="00F97405" w:rsidRPr="000D6942" w:rsidRDefault="00F97405" w:rsidP="00F97405">
      <w:pPr>
        <w:numPr>
          <w:ilvl w:val="12"/>
          <w:numId w:val="0"/>
        </w:numPr>
        <w:ind w:right="-2"/>
        <w:rPr>
          <w:szCs w:val="22"/>
        </w:rPr>
      </w:pPr>
    </w:p>
    <w:p w:rsidR="00F97405" w:rsidRPr="000D6942" w:rsidRDefault="00F97405" w:rsidP="00F97405">
      <w:pPr>
        <w:autoSpaceDE w:val="0"/>
        <w:autoSpaceDN w:val="0"/>
        <w:adjustRightInd w:val="0"/>
        <w:rPr>
          <w:b/>
          <w:i/>
          <w:szCs w:val="22"/>
        </w:rPr>
      </w:pPr>
      <w:r w:rsidRPr="000D6942">
        <w:rPr>
          <w:b/>
          <w:i/>
          <w:szCs w:val="22"/>
        </w:rPr>
        <w:t>Kitas šalutinis poveikis, apie kurį turite pranešti gydytojui, jei jis tampa sunkus:</w:t>
      </w:r>
    </w:p>
    <w:p w:rsidR="00F97405" w:rsidRPr="000D6942" w:rsidRDefault="00F97405" w:rsidP="00F97405">
      <w:pPr>
        <w:numPr>
          <w:ilvl w:val="12"/>
          <w:numId w:val="0"/>
        </w:numPr>
        <w:ind w:right="-2"/>
        <w:rPr>
          <w:szCs w:val="22"/>
        </w:rPr>
      </w:pPr>
      <w:r w:rsidRPr="000D6942">
        <w:rPr>
          <w:b/>
          <w:szCs w:val="22"/>
        </w:rPr>
        <w:t>Dažnas šalutinis poveikis</w:t>
      </w:r>
      <w:r w:rsidRPr="000D6942">
        <w:rPr>
          <w:szCs w:val="22"/>
        </w:rPr>
        <w:t xml:space="preserve"> (gali pasireikšti ne daugiau kaip 1 iš 10 pacientų): galvos skausmas, galvos svaigimas, karščio pojūtis (paraudimas), aukštas kraujospūdis, pykinimas ir reakcijos injekcijos/infuzijos vietoje (taip pat žr. 2 skyrių).</w:t>
      </w:r>
    </w:p>
    <w:p w:rsidR="00F97405" w:rsidRPr="000D6942" w:rsidRDefault="00F97405" w:rsidP="00F97405">
      <w:pPr>
        <w:numPr>
          <w:ilvl w:val="12"/>
          <w:numId w:val="0"/>
        </w:numPr>
        <w:ind w:right="-2"/>
        <w:rPr>
          <w:szCs w:val="22"/>
        </w:rPr>
      </w:pPr>
    </w:p>
    <w:p w:rsidR="00F97405" w:rsidRPr="000D6942" w:rsidRDefault="00F97405" w:rsidP="00F97405">
      <w:pPr>
        <w:numPr>
          <w:ilvl w:val="12"/>
          <w:numId w:val="0"/>
        </w:numPr>
        <w:ind w:right="-2"/>
        <w:rPr>
          <w:szCs w:val="22"/>
        </w:rPr>
      </w:pPr>
      <w:r w:rsidRPr="000D6942">
        <w:rPr>
          <w:b/>
          <w:szCs w:val="22"/>
        </w:rPr>
        <w:t>Nedažnas šalutinis poveikis</w:t>
      </w:r>
      <w:r w:rsidRPr="000D6942">
        <w:rPr>
          <w:szCs w:val="22"/>
        </w:rPr>
        <w:t xml:space="preserve"> (gali pasireikšti ne daugiau kaip 1 iš 100 pacientų): sustingimas, dilgčiojimo pojūtis odoje, skonio pokyčiai, dažnas širdies plakimas, žemas kraujospūdis, pasunkėjęs kvėpavimas, vėmimas, virškinimo sutrikimas, pilvo skausmas, vidurių užkietėjimas, viduriavimas, niežulys, dilgėlinė, odos paraudimas, bėrimas, raumenų, sąnarių ir (arba) nugaros skausmas, rankų arba kojų skausmas, raumenų spazmai, karščiavimas, nuovargis, krūtinės skausmas, rankų ir (arba) kojų tinimas, drebulys.</w:t>
      </w:r>
    </w:p>
    <w:p w:rsidR="00F97405" w:rsidRPr="000D6942" w:rsidRDefault="00F97405" w:rsidP="00F97405">
      <w:pPr>
        <w:numPr>
          <w:ilvl w:val="12"/>
          <w:numId w:val="0"/>
        </w:numPr>
        <w:tabs>
          <w:tab w:val="left" w:pos="567"/>
        </w:tabs>
        <w:ind w:right="-2"/>
        <w:rPr>
          <w:bCs/>
          <w:szCs w:val="22"/>
        </w:rPr>
      </w:pPr>
    </w:p>
    <w:p w:rsidR="00F97405" w:rsidRDefault="00F97405" w:rsidP="00F97405">
      <w:pPr>
        <w:pStyle w:val="NormalRight-0cm"/>
        <w:spacing w:line="240" w:lineRule="auto"/>
        <w:ind w:left="0" w:firstLine="0"/>
        <w:rPr>
          <w:b w:val="0"/>
          <w:color w:val="auto"/>
          <w:lang w:eastAsia="en-US"/>
        </w:rPr>
      </w:pPr>
      <w:r w:rsidRPr="000D6942">
        <w:rPr>
          <w:color w:val="auto"/>
          <w:lang w:eastAsia="en-US"/>
        </w:rPr>
        <w:t xml:space="preserve">Retas šalutinis poveikis </w:t>
      </w:r>
      <w:r w:rsidRPr="000D6942">
        <w:rPr>
          <w:b w:val="0"/>
          <w:bCs w:val="0"/>
          <w:color w:val="auto"/>
          <w:lang w:eastAsia="en-US"/>
        </w:rPr>
        <w:t>(gali pasireikšti ne daugiau kaip 1 iš 1000 pacientų)</w:t>
      </w:r>
      <w:r w:rsidRPr="000D6942">
        <w:rPr>
          <w:b w:val="0"/>
          <w:color w:val="auto"/>
          <w:lang w:eastAsia="en-US"/>
        </w:rPr>
        <w:t>: venos uždegimas, bendras nemalonus pojūtis, sąmonės netekimas, nerimas, alpulys, silpnumo pojūtis, švokštimas kvėpuojant, stiprus pilvo pūtimas (</w:t>
      </w:r>
      <w:proofErr w:type="spellStart"/>
      <w:r w:rsidRPr="000D6942">
        <w:rPr>
          <w:b w:val="0"/>
          <w:color w:val="auto"/>
          <w:lang w:eastAsia="en-US"/>
        </w:rPr>
        <w:t>meteorizmas</w:t>
      </w:r>
      <w:proofErr w:type="spellEnd"/>
      <w:r w:rsidRPr="000D6942">
        <w:rPr>
          <w:b w:val="0"/>
          <w:color w:val="auto"/>
          <w:lang w:eastAsia="en-US"/>
        </w:rPr>
        <w:t>), staigus veido, burnos, liežuvio ar ryklės tinimas, dėl kurio gali būti sunku kvėpuoti, išblyškimas</w:t>
      </w:r>
      <w:r w:rsidRPr="00134E36">
        <w:rPr>
          <w:b w:val="0"/>
          <w:color w:val="auto"/>
          <w:lang w:eastAsia="en-US"/>
        </w:rPr>
        <w:t xml:space="preserve"> </w:t>
      </w:r>
      <w:r>
        <w:rPr>
          <w:b w:val="0"/>
          <w:color w:val="auto"/>
          <w:lang w:eastAsia="en-US"/>
        </w:rPr>
        <w:t>ir</w:t>
      </w:r>
      <w:r w:rsidRPr="000D6942">
        <w:rPr>
          <w:b w:val="0"/>
          <w:color w:val="auto"/>
          <w:lang w:eastAsia="en-US"/>
        </w:rPr>
        <w:t xml:space="preserve"> veido tinimas</w:t>
      </w:r>
      <w:r>
        <w:rPr>
          <w:b w:val="0"/>
          <w:color w:val="auto"/>
          <w:lang w:eastAsia="en-US"/>
        </w:rPr>
        <w:t>.</w:t>
      </w:r>
    </w:p>
    <w:p w:rsidR="00F97405" w:rsidRPr="000D6942" w:rsidRDefault="00F97405" w:rsidP="00F97405">
      <w:pPr>
        <w:pStyle w:val="NormalRight-0cm"/>
        <w:spacing w:line="240" w:lineRule="auto"/>
        <w:ind w:left="0" w:firstLine="0"/>
        <w:rPr>
          <w:b w:val="0"/>
          <w:color w:val="auto"/>
        </w:rPr>
      </w:pPr>
    </w:p>
    <w:p w:rsidR="00F97405" w:rsidRDefault="00F97405" w:rsidP="00F97405">
      <w:pPr>
        <w:pStyle w:val="NormalRight-0cm"/>
        <w:spacing w:line="240" w:lineRule="auto"/>
        <w:ind w:left="0" w:firstLine="0"/>
        <w:rPr>
          <w:b w:val="0"/>
          <w:color w:val="auto"/>
        </w:rPr>
      </w:pPr>
      <w:r>
        <w:rPr>
          <w:b w:val="0"/>
          <w:color w:val="auto"/>
        </w:rPr>
        <w:t xml:space="preserve">Į gripą panaši liga (gali pasireikšti ne daugiau kaip 1 iš 1000 pacientų) </w:t>
      </w:r>
      <w:r w:rsidRPr="008B31F0">
        <w:rPr>
          <w:b w:val="0"/>
          <w:color w:val="auto"/>
        </w:rPr>
        <w:t>gali pasireikšti po kelių</w:t>
      </w:r>
      <w:r>
        <w:rPr>
          <w:b w:val="0"/>
          <w:color w:val="auto"/>
        </w:rPr>
        <w:t xml:space="preserve"> </w:t>
      </w:r>
      <w:r w:rsidRPr="008B31F0">
        <w:rPr>
          <w:b w:val="0"/>
          <w:color w:val="auto"/>
        </w:rPr>
        <w:t>valandų</w:t>
      </w:r>
      <w:r>
        <w:rPr>
          <w:b w:val="0"/>
          <w:color w:val="auto"/>
        </w:rPr>
        <w:t> </w:t>
      </w:r>
      <w:r w:rsidRPr="008B31F0">
        <w:rPr>
          <w:b w:val="0"/>
          <w:color w:val="auto"/>
        </w:rPr>
        <w:t>/ dienų po injekcijos ir jai paprastai būdingi tokie simptomai kaip aukšta temperatūra</w:t>
      </w:r>
      <w:r>
        <w:rPr>
          <w:b w:val="0"/>
          <w:color w:val="auto"/>
        </w:rPr>
        <w:t xml:space="preserve"> </w:t>
      </w:r>
      <w:r w:rsidRPr="008B31F0">
        <w:rPr>
          <w:b w:val="0"/>
          <w:color w:val="auto"/>
        </w:rPr>
        <w:t>ir raumenų bei sąnarių skausmai</w:t>
      </w:r>
      <w:r>
        <w:rPr>
          <w:b w:val="0"/>
          <w:color w:val="auto"/>
        </w:rPr>
        <w:t>.</w:t>
      </w:r>
    </w:p>
    <w:p w:rsidR="00F97405" w:rsidRPr="000D6942" w:rsidRDefault="00F97405" w:rsidP="00F97405">
      <w:pPr>
        <w:pStyle w:val="NormalRight-0cm"/>
        <w:spacing w:line="240" w:lineRule="auto"/>
        <w:ind w:left="0" w:firstLine="0"/>
        <w:rPr>
          <w:b w:val="0"/>
          <w:color w:val="auto"/>
        </w:rPr>
      </w:pPr>
    </w:p>
    <w:p w:rsidR="00F97405" w:rsidRPr="000D6942" w:rsidRDefault="00F97405" w:rsidP="00F97405">
      <w:pPr>
        <w:pStyle w:val="NormalRight-0cm"/>
        <w:spacing w:line="240" w:lineRule="auto"/>
        <w:ind w:left="0" w:firstLine="0"/>
        <w:rPr>
          <w:b w:val="0"/>
          <w:color w:val="auto"/>
        </w:rPr>
      </w:pPr>
      <w:r w:rsidRPr="000D6942">
        <w:rPr>
          <w:b w:val="0"/>
          <w:color w:val="auto"/>
        </w:rPr>
        <w:t>Kai kurie kraujo parametrai gali laikinai pasikeisti; šiuos pokyčius gali rodyti laboratoriniai tyrimai.</w:t>
      </w:r>
    </w:p>
    <w:p w:rsidR="00F97405" w:rsidRPr="000D6942" w:rsidRDefault="00F97405" w:rsidP="00F97405">
      <w:pPr>
        <w:pStyle w:val="NormalRight-0cm"/>
        <w:spacing w:line="240" w:lineRule="auto"/>
        <w:ind w:left="0" w:firstLine="0"/>
        <w:rPr>
          <w:b w:val="0"/>
          <w:color w:val="auto"/>
        </w:rPr>
      </w:pPr>
      <w:r w:rsidRPr="000D6942">
        <w:rPr>
          <w:b w:val="0"/>
          <w:color w:val="auto"/>
        </w:rPr>
        <w:t>Šie kraujo parametrų pokyčiai yra dažni: sumažėjęs fosforo kiekis kraujyje.</w:t>
      </w:r>
    </w:p>
    <w:p w:rsidR="00F97405" w:rsidRPr="000D6942" w:rsidRDefault="00F97405" w:rsidP="00F97405">
      <w:pPr>
        <w:pStyle w:val="NormalRight-0cm"/>
        <w:spacing w:line="240" w:lineRule="auto"/>
        <w:ind w:left="0" w:firstLine="0"/>
        <w:rPr>
          <w:b w:val="0"/>
          <w:color w:val="auto"/>
        </w:rPr>
      </w:pPr>
      <w:r w:rsidRPr="000D6942">
        <w:rPr>
          <w:b w:val="0"/>
          <w:color w:val="auto"/>
        </w:rPr>
        <w:t xml:space="preserve">Šie kraujo parametrų pokyčiai yra nedažni: padidėjęs tam tikrų kepenų fermentų, vadinamų </w:t>
      </w:r>
      <w:proofErr w:type="spellStart"/>
      <w:r w:rsidRPr="000D6942">
        <w:rPr>
          <w:b w:val="0"/>
          <w:color w:val="auto"/>
        </w:rPr>
        <w:t>alanino</w:t>
      </w:r>
      <w:proofErr w:type="spellEnd"/>
      <w:r w:rsidRPr="000D6942">
        <w:rPr>
          <w:b w:val="0"/>
          <w:color w:val="auto"/>
        </w:rPr>
        <w:t xml:space="preserve"> </w:t>
      </w:r>
      <w:proofErr w:type="spellStart"/>
      <w:r w:rsidRPr="000D6942">
        <w:rPr>
          <w:b w:val="0"/>
          <w:color w:val="auto"/>
        </w:rPr>
        <w:t>aminotransferaze</w:t>
      </w:r>
      <w:proofErr w:type="spellEnd"/>
      <w:r w:rsidRPr="000D6942">
        <w:rPr>
          <w:b w:val="0"/>
          <w:color w:val="auto"/>
        </w:rPr>
        <w:t xml:space="preserve">, </w:t>
      </w:r>
      <w:proofErr w:type="spellStart"/>
      <w:r w:rsidRPr="000D6942">
        <w:rPr>
          <w:b w:val="0"/>
          <w:color w:val="auto"/>
        </w:rPr>
        <w:t>aspartato</w:t>
      </w:r>
      <w:proofErr w:type="spellEnd"/>
      <w:r w:rsidRPr="000D6942">
        <w:rPr>
          <w:b w:val="0"/>
          <w:color w:val="auto"/>
        </w:rPr>
        <w:t xml:space="preserve"> </w:t>
      </w:r>
      <w:proofErr w:type="spellStart"/>
      <w:r w:rsidRPr="000D6942">
        <w:rPr>
          <w:b w:val="0"/>
          <w:color w:val="auto"/>
        </w:rPr>
        <w:t>aminotransferaze</w:t>
      </w:r>
      <w:proofErr w:type="spellEnd"/>
      <w:r w:rsidRPr="000D6942">
        <w:rPr>
          <w:b w:val="0"/>
          <w:color w:val="auto"/>
        </w:rPr>
        <w:t>, gama-</w:t>
      </w:r>
      <w:proofErr w:type="spellStart"/>
      <w:r w:rsidRPr="000D6942">
        <w:rPr>
          <w:b w:val="0"/>
          <w:color w:val="auto"/>
        </w:rPr>
        <w:t>glutamiltransferaze</w:t>
      </w:r>
      <w:proofErr w:type="spellEnd"/>
      <w:r w:rsidRPr="000D6942">
        <w:rPr>
          <w:b w:val="0"/>
          <w:color w:val="auto"/>
        </w:rPr>
        <w:t xml:space="preserve"> ir šarmine </w:t>
      </w:r>
      <w:proofErr w:type="spellStart"/>
      <w:r w:rsidRPr="000D6942">
        <w:rPr>
          <w:b w:val="0"/>
          <w:color w:val="auto"/>
        </w:rPr>
        <w:t>fosfataze</w:t>
      </w:r>
      <w:proofErr w:type="spellEnd"/>
      <w:r w:rsidRPr="000D6942">
        <w:rPr>
          <w:b w:val="0"/>
          <w:color w:val="auto"/>
        </w:rPr>
        <w:t xml:space="preserve">, kiekis ir padidėjęs fermento, vadinamo laktato </w:t>
      </w:r>
      <w:proofErr w:type="spellStart"/>
      <w:r w:rsidRPr="000D6942">
        <w:rPr>
          <w:b w:val="0"/>
          <w:color w:val="auto"/>
        </w:rPr>
        <w:t>dehidrogenaze</w:t>
      </w:r>
      <w:proofErr w:type="spellEnd"/>
      <w:r w:rsidRPr="000D6942">
        <w:rPr>
          <w:b w:val="0"/>
          <w:color w:val="auto"/>
        </w:rPr>
        <w:t>, kiekis.</w:t>
      </w:r>
    </w:p>
    <w:p w:rsidR="00F97405" w:rsidRPr="000D6942" w:rsidRDefault="00F97405" w:rsidP="00F97405">
      <w:pPr>
        <w:pStyle w:val="NormalRight-0cm"/>
        <w:spacing w:line="240" w:lineRule="auto"/>
        <w:ind w:left="0" w:firstLine="0"/>
        <w:rPr>
          <w:b w:val="0"/>
          <w:color w:val="auto"/>
        </w:rPr>
      </w:pPr>
    </w:p>
    <w:p w:rsidR="00F97405" w:rsidRPr="000D6942" w:rsidRDefault="00F97405" w:rsidP="00F97405">
      <w:pPr>
        <w:pStyle w:val="NormalRight-0cm"/>
        <w:spacing w:line="240" w:lineRule="auto"/>
        <w:rPr>
          <w:b w:val="0"/>
          <w:color w:val="auto"/>
        </w:rPr>
      </w:pPr>
      <w:r w:rsidRPr="000D6942">
        <w:rPr>
          <w:b w:val="0"/>
          <w:color w:val="auto"/>
        </w:rPr>
        <w:t>Daugiau informacijos gali pateikti gydytojas.</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ind w:left="0" w:firstLine="0"/>
        <w:rPr>
          <w:b w:val="0"/>
          <w:color w:val="auto"/>
        </w:rPr>
      </w:pPr>
      <w:r w:rsidRPr="000D6942">
        <w:rPr>
          <w:rFonts w:eastAsia="SimSun"/>
        </w:rPr>
        <w:t>Pranešimas apie šalutinį poveikį</w:t>
      </w:r>
    </w:p>
    <w:p w:rsidR="00F97405" w:rsidRPr="000D6942" w:rsidRDefault="00F97405" w:rsidP="00F97405">
      <w:pPr>
        <w:ind w:right="-449"/>
        <w:rPr>
          <w:b/>
        </w:rPr>
      </w:pPr>
      <w:r w:rsidRPr="000D6942">
        <w:rPr>
          <w:szCs w:val="22"/>
        </w:rPr>
        <w:t xml:space="preserve">Jeigu pasireiškė šalutinis poveikis, įskaitant šiame lapelyje nenurodytą, pasakykite gydytojui arba slaugytojai. Apie šalutinį poveikį taip pat galite pranešti Valstybinei vaistų kontrolės tarnybai prie Lietuvos Respublikos sveikatos apsaugos ministerijos nemokamu telefonu 8 800 73568 arba užpildyti interneto svetainėje </w:t>
      </w:r>
      <w:hyperlink r:id="rId6" w:history="1">
        <w:r w:rsidRPr="000D6942">
          <w:rPr>
            <w:rStyle w:val="Hipersaitas"/>
            <w:szCs w:val="22"/>
          </w:rPr>
          <w:t>www.vvkt.lt</w:t>
        </w:r>
      </w:hyperlink>
      <w:r w:rsidRPr="000D6942">
        <w:rPr>
          <w:szCs w:val="22"/>
        </w:rPr>
        <w:t xml:space="preserve"> esančią formą ir pateikti ją Valstybinei vaistų kontrolės tarnybai prie Lietuvos Respublikos sveikatos apsaugos ministerijos vienu iš šių būdų: raštu (adresu Žirmūnų g. 139A, LT 09120 Vilnius), nemokamu fakso numeriu 8 </w:t>
      </w:r>
      <w:r w:rsidRPr="000D6942">
        <w:rPr>
          <w:szCs w:val="22"/>
        </w:rPr>
        <w:lastRenderedPageBreak/>
        <w:t xml:space="preserve">800 20131, el. paštu </w:t>
      </w:r>
      <w:hyperlink r:id="rId7" w:history="1">
        <w:r w:rsidRPr="000D6942">
          <w:rPr>
            <w:rStyle w:val="Hipersaitas"/>
            <w:szCs w:val="22"/>
          </w:rPr>
          <w:t>NepageidaujamaR@vvkt.lt</w:t>
        </w:r>
      </w:hyperlink>
      <w:r w:rsidRPr="000D6942">
        <w:rPr>
          <w:szCs w:val="22"/>
        </w:rPr>
        <w:t xml:space="preserve">, taip pat per Valstybinės vaistų kontrolės tarnybos prie Lietuvos Respublikos sveikatos apsaugos ministerijos interneto svetainę (adresu </w:t>
      </w:r>
      <w:hyperlink r:id="rId8" w:history="1">
        <w:r w:rsidRPr="000D6942">
          <w:rPr>
            <w:rStyle w:val="Hipersaitas"/>
            <w:szCs w:val="22"/>
          </w:rPr>
          <w:t>http://www.vvkt.lt</w:t>
        </w:r>
      </w:hyperlink>
      <w:r w:rsidRPr="000D6942">
        <w:rPr>
          <w:szCs w:val="22"/>
        </w:rPr>
        <w:t>). Pranešdami apie šalutinį poveikį galite mums padėti gauti daugiau informacijos apie šio vaisto saugumą.</w:t>
      </w:r>
    </w:p>
    <w:p w:rsidR="00F97405" w:rsidRPr="002A0D89" w:rsidRDefault="00F97405" w:rsidP="00F97405">
      <w:pPr>
        <w:pStyle w:val="NormalRight-0cm"/>
        <w:spacing w:line="240" w:lineRule="auto"/>
        <w:rPr>
          <w:b w:val="0"/>
        </w:rPr>
      </w:pP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r w:rsidRPr="000D6942">
        <w:rPr>
          <w:color w:val="auto"/>
        </w:rPr>
        <w:t>5.</w:t>
      </w:r>
      <w:r w:rsidRPr="000D6942">
        <w:rPr>
          <w:color w:val="auto"/>
        </w:rPr>
        <w:tab/>
        <w:t xml:space="preserve">Kaip laikyti </w:t>
      </w:r>
      <w:proofErr w:type="spellStart"/>
      <w:r w:rsidRPr="000D6942">
        <w:rPr>
          <w:color w:val="auto"/>
        </w:rPr>
        <w:t>Ferinject</w:t>
      </w:r>
      <w:proofErr w:type="spellEnd"/>
    </w:p>
    <w:p w:rsidR="00F97405" w:rsidRPr="000D6942" w:rsidRDefault="00F97405" w:rsidP="00F97405">
      <w:pPr>
        <w:pStyle w:val="NormalRight-0cm"/>
        <w:spacing w:line="240" w:lineRule="auto"/>
        <w:rPr>
          <w:b w:val="0"/>
          <w:color w:val="auto"/>
        </w:rPr>
      </w:pPr>
    </w:p>
    <w:p w:rsidR="00F97405" w:rsidRPr="000D6942" w:rsidRDefault="00F97405" w:rsidP="00F97405">
      <w:pPr>
        <w:numPr>
          <w:ilvl w:val="12"/>
          <w:numId w:val="0"/>
        </w:numPr>
        <w:ind w:right="-2"/>
        <w:rPr>
          <w:szCs w:val="22"/>
        </w:rPr>
      </w:pPr>
      <w:r w:rsidRPr="000D6942">
        <w:rPr>
          <w:szCs w:val="22"/>
        </w:rPr>
        <w:t>Šį vaistą laikykite vaikams nepastebimoje ir nepasiekiamoje vietoje.</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ind w:left="0" w:firstLine="0"/>
        <w:rPr>
          <w:b w:val="0"/>
          <w:color w:val="auto"/>
        </w:rPr>
      </w:pPr>
      <w:r w:rsidRPr="000D6942">
        <w:rPr>
          <w:b w:val="0"/>
          <w:color w:val="auto"/>
        </w:rPr>
        <w:t xml:space="preserve">Ant etiketės nurodytam </w:t>
      </w:r>
      <w:r>
        <w:rPr>
          <w:b w:val="0"/>
          <w:color w:val="auto"/>
        </w:rPr>
        <w:t xml:space="preserve">po „EXP“ </w:t>
      </w:r>
      <w:r w:rsidRPr="000D6942">
        <w:rPr>
          <w:b w:val="0"/>
          <w:color w:val="auto"/>
        </w:rPr>
        <w:t xml:space="preserve">tinkamumo laikui pasibaigus, </w:t>
      </w:r>
      <w:proofErr w:type="spellStart"/>
      <w:r w:rsidRPr="000D6942">
        <w:rPr>
          <w:b w:val="0"/>
          <w:color w:val="auto"/>
        </w:rPr>
        <w:t>Ferinject</w:t>
      </w:r>
      <w:proofErr w:type="spellEnd"/>
      <w:r w:rsidRPr="000D6942">
        <w:rPr>
          <w:b w:val="0"/>
          <w:color w:val="auto"/>
        </w:rPr>
        <w:t xml:space="preserve"> vartoti negalima. Vaistas tinkamas vartoti iki paskutinės nurodyto mėnesio dienos.</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ind w:left="0" w:firstLine="0"/>
        <w:rPr>
          <w:b w:val="0"/>
          <w:color w:val="auto"/>
        </w:rPr>
      </w:pPr>
      <w:r w:rsidRPr="000D6942">
        <w:rPr>
          <w:b w:val="0"/>
          <w:color w:val="auto"/>
        </w:rPr>
        <w:t xml:space="preserve">Laikyti gamintojo pakuotėje, kad preparatas būtų apsaugotas nuo šviesos. Laikyti ne aukštesnėje kaip 30 </w:t>
      </w:r>
      <w:r w:rsidRPr="000D6942">
        <w:rPr>
          <w:b w:val="0"/>
          <w:color w:val="auto"/>
        </w:rPr>
        <w:sym w:font="Symbol" w:char="F0B0"/>
      </w:r>
      <w:r w:rsidRPr="000D6942">
        <w:rPr>
          <w:b w:val="0"/>
          <w:color w:val="auto"/>
        </w:rPr>
        <w:t>C temperatūroje. Negalima užšaldyti.</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r w:rsidRPr="000D6942">
        <w:rPr>
          <w:b w:val="0"/>
          <w:color w:val="auto"/>
        </w:rPr>
        <w:t xml:space="preserve">Atidarius </w:t>
      </w:r>
      <w:proofErr w:type="spellStart"/>
      <w:r w:rsidRPr="000D6942">
        <w:rPr>
          <w:b w:val="0"/>
          <w:color w:val="auto"/>
        </w:rPr>
        <w:t>Ferinject</w:t>
      </w:r>
      <w:proofErr w:type="spellEnd"/>
      <w:r w:rsidRPr="000D6942">
        <w:rPr>
          <w:b w:val="0"/>
          <w:color w:val="auto"/>
        </w:rPr>
        <w:t xml:space="preserve"> flakonus, tirpalą reikia vartoti nedelsiant.</w:t>
      </w:r>
    </w:p>
    <w:p w:rsidR="00F97405" w:rsidRPr="000D6942" w:rsidRDefault="00F97405" w:rsidP="00F97405">
      <w:pPr>
        <w:pStyle w:val="NormalRight-0cm"/>
        <w:spacing w:line="240" w:lineRule="auto"/>
        <w:rPr>
          <w:b w:val="0"/>
          <w:color w:val="auto"/>
        </w:rPr>
      </w:pPr>
      <w:r w:rsidRPr="000D6942">
        <w:rPr>
          <w:b w:val="0"/>
          <w:color w:val="auto"/>
        </w:rPr>
        <w:t>Praskiedus natrio chlorido tirpalu, praskiestą tirpalą reikia vartoti nedelsiant.</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proofErr w:type="spellStart"/>
      <w:r w:rsidRPr="000D6942">
        <w:rPr>
          <w:b w:val="0"/>
          <w:color w:val="auto"/>
        </w:rPr>
        <w:t>Ferinject</w:t>
      </w:r>
      <w:proofErr w:type="spellEnd"/>
      <w:r w:rsidRPr="000D6942">
        <w:rPr>
          <w:b w:val="0"/>
          <w:color w:val="auto"/>
        </w:rPr>
        <w:t xml:space="preserve"> paprastai yra laikomas pas gydytoją arba gydymo įstaigoje.</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r w:rsidRPr="000D6942">
        <w:rPr>
          <w:color w:val="auto"/>
        </w:rPr>
        <w:t>6.</w:t>
      </w:r>
      <w:r w:rsidRPr="000D6942">
        <w:rPr>
          <w:color w:val="auto"/>
        </w:rPr>
        <w:tab/>
      </w:r>
      <w:r w:rsidRPr="000D6942">
        <w:t>Pakuotės turinys ir kita informacija</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proofErr w:type="spellStart"/>
      <w:r w:rsidRPr="000D6942">
        <w:rPr>
          <w:color w:val="auto"/>
        </w:rPr>
        <w:t>Ferinject</w:t>
      </w:r>
      <w:proofErr w:type="spellEnd"/>
      <w:r w:rsidRPr="000D6942">
        <w:rPr>
          <w:color w:val="auto"/>
        </w:rPr>
        <w:t xml:space="preserve"> sudėtis</w:t>
      </w:r>
    </w:p>
    <w:p w:rsidR="00F97405" w:rsidRPr="000D6942" w:rsidRDefault="00F97405" w:rsidP="00F97405">
      <w:pPr>
        <w:pStyle w:val="NormalRight-0cm"/>
        <w:spacing w:line="240" w:lineRule="auto"/>
        <w:rPr>
          <w:b w:val="0"/>
          <w:color w:val="auto"/>
        </w:rPr>
      </w:pPr>
      <w:r w:rsidRPr="000D6942">
        <w:rPr>
          <w:b w:val="0"/>
          <w:color w:val="auto"/>
        </w:rPr>
        <w:t>-</w:t>
      </w:r>
      <w:r w:rsidRPr="000D6942">
        <w:rPr>
          <w:b w:val="0"/>
          <w:color w:val="auto"/>
        </w:rPr>
        <w:tab/>
        <w:t xml:space="preserve">Veiklioji medžiaga yra geležis (geležies </w:t>
      </w:r>
      <w:proofErr w:type="spellStart"/>
      <w:r w:rsidRPr="000D6942">
        <w:rPr>
          <w:b w:val="0"/>
          <w:color w:val="auto"/>
        </w:rPr>
        <w:t>karboksimaltozės</w:t>
      </w:r>
      <w:proofErr w:type="spellEnd"/>
      <w:r w:rsidRPr="000D6942">
        <w:rPr>
          <w:b w:val="0"/>
          <w:color w:val="auto"/>
        </w:rPr>
        <w:t xml:space="preserve"> pavidalu, tai geležies ir angliavandenio junginys). Geležies koncentracija preparate – 50 mg geležies viename mililitre tirpalo.</w:t>
      </w:r>
    </w:p>
    <w:p w:rsidR="00F97405" w:rsidRPr="000D6942" w:rsidRDefault="00F97405" w:rsidP="00F97405">
      <w:pPr>
        <w:pStyle w:val="NormalRight-0cm"/>
        <w:spacing w:line="240" w:lineRule="auto"/>
        <w:rPr>
          <w:b w:val="0"/>
          <w:color w:val="auto"/>
        </w:rPr>
      </w:pPr>
      <w:r w:rsidRPr="000D6942">
        <w:rPr>
          <w:b w:val="0"/>
          <w:color w:val="auto"/>
        </w:rPr>
        <w:t>-</w:t>
      </w:r>
      <w:r w:rsidRPr="000D6942">
        <w:rPr>
          <w:b w:val="0"/>
          <w:color w:val="auto"/>
        </w:rPr>
        <w:tab/>
        <w:t xml:space="preserve">Pagalbinės medžiagos yra natrio </w:t>
      </w:r>
      <w:proofErr w:type="spellStart"/>
      <w:r w:rsidRPr="000D6942">
        <w:rPr>
          <w:b w:val="0"/>
          <w:color w:val="auto"/>
        </w:rPr>
        <w:t>hidroksidas</w:t>
      </w:r>
      <w:proofErr w:type="spellEnd"/>
      <w:r w:rsidRPr="000D6942">
        <w:rPr>
          <w:b w:val="0"/>
          <w:color w:val="auto"/>
        </w:rPr>
        <w:t xml:space="preserve"> (pH reguliuoti), vandenilio chlorido rūgštis (pH reguliuoti) ir injekcinis vanduo.</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rPr>
          <w:color w:val="auto"/>
        </w:rPr>
      </w:pPr>
      <w:proofErr w:type="spellStart"/>
      <w:r w:rsidRPr="000D6942">
        <w:rPr>
          <w:color w:val="auto"/>
        </w:rPr>
        <w:t>Ferinject</w:t>
      </w:r>
      <w:proofErr w:type="spellEnd"/>
      <w:r w:rsidRPr="000D6942">
        <w:rPr>
          <w:color w:val="auto"/>
        </w:rPr>
        <w:t xml:space="preserve"> išvaizda ir kiekis pakuotėje</w:t>
      </w:r>
    </w:p>
    <w:p w:rsidR="00F97405" w:rsidRPr="000D6942" w:rsidRDefault="00F97405" w:rsidP="00F97405">
      <w:pPr>
        <w:pStyle w:val="NormalRight-0cm"/>
        <w:spacing w:line="240" w:lineRule="auto"/>
        <w:rPr>
          <w:b w:val="0"/>
          <w:color w:val="auto"/>
        </w:rPr>
      </w:pPr>
    </w:p>
    <w:p w:rsidR="00F97405" w:rsidRPr="002A0D89" w:rsidRDefault="00F97405" w:rsidP="00F97405">
      <w:pPr>
        <w:pStyle w:val="NormalRight-0cm"/>
        <w:spacing w:line="240" w:lineRule="auto"/>
        <w:rPr>
          <w:b w:val="0"/>
          <w:color w:val="auto"/>
        </w:rPr>
      </w:pPr>
      <w:proofErr w:type="spellStart"/>
      <w:r w:rsidRPr="002A0D89">
        <w:rPr>
          <w:b w:val="0"/>
          <w:color w:val="auto"/>
        </w:rPr>
        <w:t>Ferinject</w:t>
      </w:r>
      <w:proofErr w:type="spellEnd"/>
      <w:r w:rsidRPr="002A0D89">
        <w:rPr>
          <w:b w:val="0"/>
          <w:color w:val="auto"/>
        </w:rPr>
        <w:t xml:space="preserve"> yra tamsiai rudos spalvos, neskaidrus injekcinis/infuzinis tirpalas.</w:t>
      </w:r>
    </w:p>
    <w:p w:rsidR="00F97405" w:rsidRPr="000D6942" w:rsidRDefault="00F97405" w:rsidP="00F97405">
      <w:pPr>
        <w:pStyle w:val="NormalRight-0cm"/>
        <w:spacing w:line="240" w:lineRule="auto"/>
        <w:rPr>
          <w:b w:val="0"/>
          <w:color w:val="auto"/>
        </w:rPr>
      </w:pPr>
    </w:p>
    <w:p w:rsidR="00F97405" w:rsidRPr="000D6942" w:rsidRDefault="00F97405" w:rsidP="00F97405">
      <w:pPr>
        <w:rPr>
          <w:szCs w:val="22"/>
        </w:rPr>
      </w:pPr>
      <w:proofErr w:type="spellStart"/>
      <w:r w:rsidRPr="002A0D89">
        <w:t>Ferinject</w:t>
      </w:r>
      <w:proofErr w:type="spellEnd"/>
      <w:r w:rsidRPr="002A0D89">
        <w:t xml:space="preserve"> tiekiamas stikliniuose flakonuose, kuriuose yra:</w:t>
      </w:r>
    </w:p>
    <w:p w:rsidR="00F97405" w:rsidRPr="000D6942" w:rsidRDefault="00F97405" w:rsidP="00F97405">
      <w:pPr>
        <w:numPr>
          <w:ilvl w:val="0"/>
          <w:numId w:val="1"/>
        </w:numPr>
        <w:ind w:hanging="720"/>
        <w:rPr>
          <w:szCs w:val="22"/>
        </w:rPr>
      </w:pPr>
      <w:r w:rsidRPr="002A0D89">
        <w:t xml:space="preserve">2 ml tirpalo, atitinkančio </w:t>
      </w:r>
      <w:r w:rsidRPr="000D6942">
        <w:rPr>
          <w:szCs w:val="22"/>
        </w:rPr>
        <w:t>100 mg geležies. Pakuotėje yra 1, 2 arba 5 flakonai.</w:t>
      </w:r>
    </w:p>
    <w:p w:rsidR="00F97405" w:rsidRPr="000D6942" w:rsidRDefault="00F97405" w:rsidP="00F97405">
      <w:pPr>
        <w:numPr>
          <w:ilvl w:val="0"/>
          <w:numId w:val="1"/>
        </w:numPr>
        <w:ind w:hanging="720"/>
        <w:rPr>
          <w:szCs w:val="22"/>
        </w:rPr>
      </w:pPr>
      <w:r w:rsidRPr="000D6942">
        <w:rPr>
          <w:color w:val="000000"/>
          <w:szCs w:val="22"/>
        </w:rPr>
        <w:t>10 ml tirpalo</w:t>
      </w:r>
      <w:r w:rsidRPr="000D6942">
        <w:rPr>
          <w:szCs w:val="22"/>
        </w:rPr>
        <w:t>, atitinkančio</w:t>
      </w:r>
      <w:r w:rsidRPr="000D6942">
        <w:rPr>
          <w:color w:val="000000"/>
          <w:szCs w:val="22"/>
        </w:rPr>
        <w:t xml:space="preserve"> 500 mg geležies</w:t>
      </w:r>
      <w:r w:rsidRPr="000D6942">
        <w:rPr>
          <w:szCs w:val="22"/>
        </w:rPr>
        <w:t>. Pakuotėje yra 1, 2 arba 5 flakonai.</w:t>
      </w:r>
    </w:p>
    <w:p w:rsidR="00F97405" w:rsidRPr="000D6942" w:rsidRDefault="00F97405" w:rsidP="00F97405">
      <w:pPr>
        <w:numPr>
          <w:ilvl w:val="0"/>
          <w:numId w:val="1"/>
        </w:numPr>
        <w:ind w:hanging="720"/>
        <w:rPr>
          <w:szCs w:val="22"/>
        </w:rPr>
      </w:pPr>
      <w:r w:rsidRPr="000D6942">
        <w:rPr>
          <w:szCs w:val="22"/>
        </w:rPr>
        <w:t>20 ml tirpalo, atitinkančio 1000 mg</w:t>
      </w:r>
      <w:r w:rsidRPr="002A0D89">
        <w:t xml:space="preserve"> geležies. Pakuotėje yra 1 flakonas.</w:t>
      </w:r>
    </w:p>
    <w:p w:rsidR="00F97405" w:rsidRPr="000D6942" w:rsidRDefault="00F97405" w:rsidP="00F97405">
      <w:pPr>
        <w:pStyle w:val="NormalRight-0cm"/>
        <w:spacing w:line="240" w:lineRule="auto"/>
        <w:rPr>
          <w:b w:val="0"/>
          <w:color w:val="auto"/>
        </w:rPr>
      </w:pPr>
    </w:p>
    <w:p w:rsidR="00F97405" w:rsidRPr="000D6942" w:rsidRDefault="00F97405" w:rsidP="00F97405">
      <w:pPr>
        <w:pStyle w:val="NormalRight-0cm"/>
        <w:spacing w:line="240" w:lineRule="auto"/>
        <w:ind w:left="0" w:firstLine="0"/>
        <w:rPr>
          <w:color w:val="auto"/>
        </w:rPr>
      </w:pPr>
      <w:bookmarkStart w:id="0" w:name="OLE_LINK6"/>
      <w:r w:rsidRPr="000D6942">
        <w:rPr>
          <w:color w:val="auto"/>
        </w:rPr>
        <w:t>Registruotojas ir gamintojas</w:t>
      </w:r>
    </w:p>
    <w:bookmarkEnd w:id="0"/>
    <w:p w:rsidR="00F97405" w:rsidRPr="002A0D89" w:rsidRDefault="00F97405" w:rsidP="00F97405">
      <w:pPr>
        <w:numPr>
          <w:ilvl w:val="12"/>
          <w:numId w:val="0"/>
        </w:numPr>
        <w:ind w:right="-2"/>
      </w:pPr>
      <w:proofErr w:type="spellStart"/>
      <w:r w:rsidRPr="000D6942">
        <w:rPr>
          <w:szCs w:val="20"/>
        </w:rPr>
        <w:t>Vifor</w:t>
      </w:r>
      <w:proofErr w:type="spellEnd"/>
      <w:r w:rsidRPr="000D6942">
        <w:rPr>
          <w:szCs w:val="20"/>
        </w:rPr>
        <w:t xml:space="preserve"> France </w:t>
      </w:r>
    </w:p>
    <w:p w:rsidR="00F97405" w:rsidRPr="000D6942" w:rsidRDefault="00F97405" w:rsidP="00F97405">
      <w:pPr>
        <w:numPr>
          <w:ilvl w:val="12"/>
          <w:numId w:val="0"/>
        </w:numPr>
        <w:ind w:right="-2"/>
        <w:rPr>
          <w:szCs w:val="20"/>
        </w:rPr>
      </w:pPr>
      <w:r w:rsidRPr="000D6942">
        <w:rPr>
          <w:szCs w:val="20"/>
        </w:rPr>
        <w:t xml:space="preserve">100-101 </w:t>
      </w:r>
      <w:proofErr w:type="spellStart"/>
      <w:r w:rsidRPr="000D6942">
        <w:rPr>
          <w:szCs w:val="20"/>
        </w:rPr>
        <w:t>Terrasse</w:t>
      </w:r>
      <w:proofErr w:type="spellEnd"/>
      <w:r w:rsidRPr="000D6942">
        <w:rPr>
          <w:szCs w:val="20"/>
        </w:rPr>
        <w:t xml:space="preserve"> </w:t>
      </w:r>
      <w:proofErr w:type="spellStart"/>
      <w:r w:rsidRPr="000D6942">
        <w:rPr>
          <w:szCs w:val="20"/>
        </w:rPr>
        <w:t>Boieldieu</w:t>
      </w:r>
      <w:proofErr w:type="spellEnd"/>
      <w:r w:rsidRPr="000D6942">
        <w:rPr>
          <w:szCs w:val="20"/>
        </w:rPr>
        <w:t xml:space="preserve"> </w:t>
      </w:r>
    </w:p>
    <w:p w:rsidR="00F97405" w:rsidRPr="000D6942" w:rsidRDefault="00F97405" w:rsidP="00F97405">
      <w:pPr>
        <w:numPr>
          <w:ilvl w:val="12"/>
          <w:numId w:val="0"/>
        </w:numPr>
        <w:ind w:right="-2"/>
        <w:rPr>
          <w:szCs w:val="20"/>
        </w:rPr>
      </w:pPr>
      <w:proofErr w:type="spellStart"/>
      <w:r w:rsidRPr="000D6942">
        <w:rPr>
          <w:szCs w:val="20"/>
        </w:rPr>
        <w:t>Tour</w:t>
      </w:r>
      <w:proofErr w:type="spellEnd"/>
      <w:r w:rsidRPr="000D6942">
        <w:rPr>
          <w:szCs w:val="20"/>
        </w:rPr>
        <w:t xml:space="preserve"> </w:t>
      </w:r>
      <w:proofErr w:type="spellStart"/>
      <w:r w:rsidRPr="000D6942">
        <w:rPr>
          <w:szCs w:val="20"/>
        </w:rPr>
        <w:t>Franklin</w:t>
      </w:r>
      <w:proofErr w:type="spellEnd"/>
      <w:r w:rsidRPr="000D6942">
        <w:rPr>
          <w:szCs w:val="20"/>
        </w:rPr>
        <w:t xml:space="preserve"> La </w:t>
      </w:r>
      <w:proofErr w:type="spellStart"/>
      <w:r w:rsidRPr="000D6942">
        <w:rPr>
          <w:szCs w:val="20"/>
        </w:rPr>
        <w:t>Défense</w:t>
      </w:r>
      <w:proofErr w:type="spellEnd"/>
      <w:r w:rsidRPr="000D6942">
        <w:rPr>
          <w:szCs w:val="20"/>
        </w:rPr>
        <w:t xml:space="preserve"> 8</w:t>
      </w:r>
    </w:p>
    <w:p w:rsidR="00F97405" w:rsidRPr="000D6942" w:rsidRDefault="00F97405" w:rsidP="00F97405">
      <w:pPr>
        <w:pStyle w:val="NormalRight-0cm"/>
        <w:spacing w:line="240" w:lineRule="auto"/>
        <w:rPr>
          <w:rFonts w:eastAsia="Arial Unicode MS"/>
          <w:b w:val="0"/>
          <w:color w:val="auto"/>
        </w:rPr>
      </w:pPr>
      <w:r w:rsidRPr="000D6942">
        <w:rPr>
          <w:szCs w:val="20"/>
        </w:rPr>
        <w:t xml:space="preserve">92042 Paris La </w:t>
      </w:r>
      <w:proofErr w:type="spellStart"/>
      <w:r w:rsidRPr="000D6942">
        <w:rPr>
          <w:szCs w:val="20"/>
        </w:rPr>
        <w:t>Défense</w:t>
      </w:r>
      <w:proofErr w:type="spellEnd"/>
      <w:r w:rsidRPr="000D6942">
        <w:rPr>
          <w:szCs w:val="20"/>
        </w:rPr>
        <w:t xml:space="preserve"> </w:t>
      </w:r>
      <w:proofErr w:type="spellStart"/>
      <w:r w:rsidRPr="000D6942">
        <w:rPr>
          <w:szCs w:val="20"/>
        </w:rPr>
        <w:t>Cedex</w:t>
      </w:r>
      <w:proofErr w:type="spellEnd"/>
    </w:p>
    <w:p w:rsidR="00F97405" w:rsidRPr="000D6942" w:rsidRDefault="00F97405" w:rsidP="00F97405">
      <w:pPr>
        <w:pStyle w:val="NormalRight-0cm"/>
        <w:spacing w:line="240" w:lineRule="auto"/>
        <w:rPr>
          <w:rFonts w:eastAsia="Arial Unicode MS"/>
          <w:b w:val="0"/>
          <w:color w:val="auto"/>
        </w:rPr>
      </w:pPr>
      <w:r w:rsidRPr="000D6942">
        <w:rPr>
          <w:rFonts w:eastAsia="Arial Unicode MS"/>
          <w:b w:val="0"/>
          <w:color w:val="auto"/>
        </w:rPr>
        <w:t>Prancūzija</w:t>
      </w:r>
    </w:p>
    <w:p w:rsidR="00F97405" w:rsidRPr="000D6942" w:rsidRDefault="00F97405" w:rsidP="00F97405">
      <w:pPr>
        <w:pStyle w:val="NormalRight-0cm"/>
        <w:spacing w:line="240" w:lineRule="auto"/>
        <w:rPr>
          <w:b w:val="0"/>
          <w:color w:val="auto"/>
        </w:rPr>
      </w:pPr>
      <w:r w:rsidRPr="000D6942">
        <w:rPr>
          <w:b w:val="0"/>
          <w:color w:val="auto"/>
        </w:rPr>
        <w:t>Tel. +33 (0)1 41 06 58 90</w:t>
      </w:r>
    </w:p>
    <w:p w:rsidR="00F97405" w:rsidRPr="000D6942" w:rsidRDefault="00F97405" w:rsidP="00F97405">
      <w:pPr>
        <w:pStyle w:val="NormalRight-0cm"/>
        <w:spacing w:line="240" w:lineRule="auto"/>
        <w:rPr>
          <w:b w:val="0"/>
          <w:color w:val="auto"/>
        </w:rPr>
      </w:pPr>
      <w:r w:rsidRPr="000D6942">
        <w:rPr>
          <w:b w:val="0"/>
          <w:color w:val="auto"/>
        </w:rPr>
        <w:t>Faks. +33 (0)1 41 06 58 99</w:t>
      </w:r>
    </w:p>
    <w:p w:rsidR="00F97405" w:rsidRPr="000D6942" w:rsidRDefault="00F97405" w:rsidP="00F97405">
      <w:pPr>
        <w:pStyle w:val="NormalRight-0cm"/>
        <w:spacing w:line="240" w:lineRule="auto"/>
        <w:rPr>
          <w:b w:val="0"/>
          <w:color w:val="auto"/>
        </w:rPr>
      </w:pPr>
      <w:r w:rsidRPr="000D6942">
        <w:rPr>
          <w:b w:val="0"/>
          <w:color w:val="auto"/>
        </w:rPr>
        <w:t xml:space="preserve">El. paštas: </w:t>
      </w:r>
      <w:hyperlink r:id="rId9" w:history="1">
        <w:r w:rsidRPr="00920D28">
          <w:rPr>
            <w:rStyle w:val="Hipersaitas"/>
            <w:b w:val="0"/>
          </w:rPr>
          <w:t>contact-fr@viforpharma.com</w:t>
        </w:r>
      </w:hyperlink>
    </w:p>
    <w:p w:rsidR="00F97405" w:rsidRPr="000D6942" w:rsidRDefault="00F97405" w:rsidP="00F97405">
      <w:pPr>
        <w:pStyle w:val="NormalRight-0cm"/>
        <w:spacing w:line="240" w:lineRule="auto"/>
        <w:rPr>
          <w:b w:val="0"/>
          <w:color w:val="auto"/>
        </w:rPr>
      </w:pPr>
    </w:p>
    <w:p w:rsidR="00F97405" w:rsidRPr="000D6942" w:rsidRDefault="00F97405" w:rsidP="00F97405">
      <w:pPr>
        <w:rPr>
          <w:b/>
          <w:szCs w:val="22"/>
        </w:rPr>
      </w:pPr>
      <w:r w:rsidRPr="000D6942">
        <w:rPr>
          <w:b/>
          <w:szCs w:val="22"/>
        </w:rPr>
        <w:t>Šio vaistinio preparato registracijos pažymėjimas EEE valstybėse narėse suteiktas tokiais pavadinimais</w:t>
      </w:r>
      <w:r w:rsidRPr="000D6942">
        <w:rPr>
          <w:szCs w:val="22"/>
        </w:rPr>
        <w:t>:</w:t>
      </w:r>
    </w:p>
    <w:p w:rsidR="00F97405" w:rsidRPr="000D6942" w:rsidRDefault="00F97405" w:rsidP="00F97405">
      <w:pPr>
        <w:pStyle w:val="NormalRight-0cm"/>
        <w:spacing w:line="240" w:lineRule="auto"/>
        <w:ind w:left="0" w:firstLine="0"/>
        <w:rPr>
          <w:b w:val="0"/>
          <w:color w:val="auto"/>
        </w:rPr>
      </w:pPr>
      <w:r w:rsidRPr="000D6942">
        <w:rPr>
          <w:b w:val="0"/>
          <w:color w:val="auto"/>
        </w:rPr>
        <w:t xml:space="preserve">Austrija, Bulgarija, Kroatija, Kipras, Čekija, Danija, Estija, Suomija, Prancūzija, Vokietija, Graikija, Vengrija, Islandija, Airija, Italija, Latvija, Lietuva, Nyderlandai, Norvegija, Lenkija, Portugalija, Rumunija, Slovakija, Ispanija, Švedija, Jungtinė Karalystė: </w:t>
      </w:r>
      <w:proofErr w:type="spellStart"/>
      <w:r w:rsidRPr="000D6942">
        <w:rPr>
          <w:b w:val="0"/>
          <w:color w:val="auto"/>
        </w:rPr>
        <w:t>Ferinject</w:t>
      </w:r>
      <w:proofErr w:type="spellEnd"/>
      <w:r w:rsidRPr="000D6942">
        <w:rPr>
          <w:b w:val="0"/>
          <w:color w:val="auto"/>
        </w:rPr>
        <w:t xml:space="preserve">. Belgija, Liuksemburgas: </w:t>
      </w:r>
      <w:proofErr w:type="spellStart"/>
      <w:r w:rsidRPr="000D6942">
        <w:rPr>
          <w:b w:val="0"/>
          <w:color w:val="auto"/>
        </w:rPr>
        <w:t>Injectafer</w:t>
      </w:r>
      <w:proofErr w:type="spellEnd"/>
      <w:r w:rsidRPr="000D6942">
        <w:rPr>
          <w:b w:val="0"/>
          <w:color w:val="auto"/>
        </w:rPr>
        <w:t xml:space="preserve">. Slovėnija: </w:t>
      </w:r>
      <w:proofErr w:type="spellStart"/>
      <w:r w:rsidRPr="000D6942">
        <w:rPr>
          <w:b w:val="0"/>
          <w:color w:val="auto"/>
        </w:rPr>
        <w:t>Iroprem</w:t>
      </w:r>
      <w:proofErr w:type="spellEnd"/>
      <w:r w:rsidRPr="000D6942">
        <w:rPr>
          <w:b w:val="0"/>
          <w:color w:val="auto"/>
        </w:rPr>
        <w:t>.</w:t>
      </w:r>
    </w:p>
    <w:p w:rsidR="00F97405" w:rsidRPr="000D6942" w:rsidRDefault="00F97405" w:rsidP="00F97405">
      <w:pPr>
        <w:pStyle w:val="NormalRight-0cm"/>
        <w:spacing w:line="240" w:lineRule="auto"/>
      </w:pPr>
    </w:p>
    <w:p w:rsidR="00F97405" w:rsidRPr="000D6942" w:rsidRDefault="00F97405" w:rsidP="00F97405">
      <w:pPr>
        <w:pStyle w:val="NormalRight-0cm"/>
        <w:spacing w:line="240" w:lineRule="auto"/>
      </w:pPr>
      <w:r w:rsidRPr="000D6942">
        <w:lastRenderedPageBreak/>
        <w:t>Šis pakuotės lapelis paskutinį kartą peržiūrėtas</w:t>
      </w:r>
      <w:r>
        <w:t xml:space="preserve"> 2018-12-28.</w:t>
      </w:r>
    </w:p>
    <w:p w:rsidR="00F97405" w:rsidRPr="000D6942" w:rsidRDefault="00F97405" w:rsidP="00F97405">
      <w:pPr>
        <w:pStyle w:val="NormalRight-0cm"/>
        <w:spacing w:line="240" w:lineRule="auto"/>
        <w:ind w:left="0" w:firstLine="0"/>
      </w:pPr>
    </w:p>
    <w:p w:rsidR="00F97405" w:rsidRPr="000D6942" w:rsidRDefault="00F97405" w:rsidP="00F97405">
      <w:pPr>
        <w:pStyle w:val="BTEMEASMCA"/>
        <w:jc w:val="left"/>
        <w:rPr>
          <w:noProof w:val="0"/>
        </w:rPr>
      </w:pPr>
      <w:r w:rsidRPr="000D6942">
        <w:rPr>
          <w:noProof w:val="0"/>
        </w:rPr>
        <w:t xml:space="preserve">Išsami informacija apie šį vaistą pateikiama Valstybinės vaistų kontrolės tarnybos prie Lietuvos Respublikos sveikatos apsaugos ministerijos tinklalapyje  </w:t>
      </w:r>
      <w:hyperlink r:id="rId10" w:history="1">
        <w:r w:rsidRPr="000D6942">
          <w:rPr>
            <w:rStyle w:val="Hipersaitas"/>
            <w:noProof w:val="0"/>
          </w:rPr>
          <w:t>http://www.vvkt.lt/</w:t>
        </w:r>
      </w:hyperlink>
      <w:r w:rsidRPr="000D6942">
        <w:rPr>
          <w:noProof w:val="0"/>
        </w:rPr>
        <w:t>.</w:t>
      </w:r>
    </w:p>
    <w:p w:rsidR="00C20A46" w:rsidRDefault="00C20A46">
      <w:bookmarkStart w:id="1" w:name="_GoBack"/>
      <w:bookmarkEnd w:id="1"/>
    </w:p>
    <w:sectPr w:rsidR="00C20A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0F65"/>
    <w:multiLevelType w:val="hybridMultilevel"/>
    <w:tmpl w:val="A8D46DF8"/>
    <w:lvl w:ilvl="0" w:tplc="6116F7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D2EBB"/>
    <w:multiLevelType w:val="hybridMultilevel"/>
    <w:tmpl w:val="F97A753E"/>
    <w:lvl w:ilvl="0" w:tplc="6116F7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33227"/>
    <w:multiLevelType w:val="hybridMultilevel"/>
    <w:tmpl w:val="87D43E5C"/>
    <w:lvl w:ilvl="0" w:tplc="0807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Courier New"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Courier New"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77072256"/>
    <w:multiLevelType w:val="hybridMultilevel"/>
    <w:tmpl w:val="C2105AD2"/>
    <w:lvl w:ilvl="0" w:tplc="FFFFFFFF">
      <w:start w:val="5"/>
      <w:numFmt w:val="decimal"/>
      <w:lvlText w:val="%1."/>
      <w:lvlJc w:val="left"/>
      <w:pPr>
        <w:tabs>
          <w:tab w:val="num" w:pos="2880"/>
        </w:tabs>
        <w:ind w:left="2880" w:hanging="450"/>
      </w:pPr>
      <w:rPr>
        <w:rFonts w:hint="default"/>
      </w:rPr>
    </w:lvl>
    <w:lvl w:ilvl="1" w:tplc="FFFFFFFF">
      <w:start w:val="1"/>
      <w:numFmt w:val="lowerLetter"/>
      <w:lvlText w:val="%2."/>
      <w:lvlJc w:val="left"/>
      <w:pPr>
        <w:tabs>
          <w:tab w:val="num" w:pos="3510"/>
        </w:tabs>
        <w:ind w:left="3510" w:hanging="360"/>
      </w:pPr>
    </w:lvl>
    <w:lvl w:ilvl="2" w:tplc="FFFFFFFF">
      <w:start w:val="1"/>
      <w:numFmt w:val="lowerRoman"/>
      <w:lvlText w:val="%3."/>
      <w:lvlJc w:val="right"/>
      <w:pPr>
        <w:tabs>
          <w:tab w:val="num" w:pos="4230"/>
        </w:tabs>
        <w:ind w:left="4230" w:hanging="180"/>
      </w:pPr>
    </w:lvl>
    <w:lvl w:ilvl="3" w:tplc="FFFFFFFF">
      <w:start w:val="1"/>
      <w:numFmt w:val="decimal"/>
      <w:lvlText w:val="%4."/>
      <w:lvlJc w:val="left"/>
      <w:pPr>
        <w:tabs>
          <w:tab w:val="num" w:pos="4950"/>
        </w:tabs>
        <w:ind w:left="4950" w:hanging="360"/>
      </w:pPr>
    </w:lvl>
    <w:lvl w:ilvl="4" w:tplc="FFFFFFFF">
      <w:start w:val="1"/>
      <w:numFmt w:val="lowerLetter"/>
      <w:lvlText w:val="%5."/>
      <w:lvlJc w:val="left"/>
      <w:pPr>
        <w:tabs>
          <w:tab w:val="num" w:pos="5670"/>
        </w:tabs>
        <w:ind w:left="5670" w:hanging="360"/>
      </w:pPr>
    </w:lvl>
    <w:lvl w:ilvl="5" w:tplc="FFFFFFFF">
      <w:start w:val="1"/>
      <w:numFmt w:val="lowerRoman"/>
      <w:lvlText w:val="%6."/>
      <w:lvlJc w:val="right"/>
      <w:pPr>
        <w:tabs>
          <w:tab w:val="num" w:pos="6390"/>
        </w:tabs>
        <w:ind w:left="6390" w:hanging="180"/>
      </w:pPr>
    </w:lvl>
    <w:lvl w:ilvl="6" w:tplc="FFFFFFFF">
      <w:start w:val="1"/>
      <w:numFmt w:val="decimal"/>
      <w:lvlText w:val="%7."/>
      <w:lvlJc w:val="left"/>
      <w:pPr>
        <w:tabs>
          <w:tab w:val="num" w:pos="7110"/>
        </w:tabs>
        <w:ind w:left="7110" w:hanging="360"/>
      </w:pPr>
    </w:lvl>
    <w:lvl w:ilvl="7" w:tplc="FFFFFFFF">
      <w:start w:val="1"/>
      <w:numFmt w:val="lowerLetter"/>
      <w:lvlText w:val="%8."/>
      <w:lvlJc w:val="left"/>
      <w:pPr>
        <w:tabs>
          <w:tab w:val="num" w:pos="7830"/>
        </w:tabs>
        <w:ind w:left="7830" w:hanging="360"/>
      </w:pPr>
    </w:lvl>
    <w:lvl w:ilvl="8" w:tplc="FFFFFFFF">
      <w:start w:val="1"/>
      <w:numFmt w:val="lowerRoman"/>
      <w:lvlText w:val="%9."/>
      <w:lvlJc w:val="right"/>
      <w:pPr>
        <w:tabs>
          <w:tab w:val="num" w:pos="8550"/>
        </w:tabs>
        <w:ind w:left="855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05"/>
    <w:rsid w:val="00C20A46"/>
    <w:rsid w:val="00F97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D598B-FFBF-4C69-8F02-255F7A4E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7405"/>
    <w:pPr>
      <w:spacing w:after="0" w:line="240" w:lineRule="auto"/>
    </w:pPr>
    <w:rPr>
      <w:rFonts w:ascii="Times New Roman" w:eastAsia="Times New Roman" w:hAnsi="Times New Roman" w:cs="Times New Roman"/>
      <w:szCs w:val="24"/>
    </w:rPr>
  </w:style>
  <w:style w:type="paragraph" w:styleId="Antrat4">
    <w:name w:val="heading 4"/>
    <w:basedOn w:val="prastasis"/>
    <w:next w:val="prastasis"/>
    <w:link w:val="Antrat4Diagrama"/>
    <w:qFormat/>
    <w:rsid w:val="00F97405"/>
    <w:pPr>
      <w:keepNext/>
      <w:spacing w:before="240" w:after="60"/>
      <w:outlineLvl w:val="3"/>
    </w:pPr>
    <w:rPr>
      <w:b/>
      <w:bCs/>
      <w:sz w:val="28"/>
      <w:szCs w:val="28"/>
    </w:rPr>
  </w:style>
  <w:style w:type="paragraph" w:styleId="Antrat9">
    <w:name w:val="heading 9"/>
    <w:basedOn w:val="prastasis"/>
    <w:next w:val="prastasis"/>
    <w:link w:val="Antrat9Diagrama"/>
    <w:qFormat/>
    <w:rsid w:val="00F97405"/>
    <w:pPr>
      <w:keepNext/>
      <w:jc w:val="both"/>
      <w:outlineLvl w:val="8"/>
    </w:pPr>
    <w:rPr>
      <w:color w:val="000000"/>
      <w:sz w:val="24"/>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F97405"/>
    <w:rPr>
      <w:rFonts w:ascii="Times New Roman" w:eastAsia="Times New Roman" w:hAnsi="Times New Roman" w:cs="Times New Roman"/>
      <w:b/>
      <w:bCs/>
      <w:sz w:val="28"/>
      <w:szCs w:val="28"/>
    </w:rPr>
  </w:style>
  <w:style w:type="character" w:customStyle="1" w:styleId="Antrat9Diagrama">
    <w:name w:val="Antraštė 9 Diagrama"/>
    <w:basedOn w:val="Numatytasispastraiposriftas"/>
    <w:link w:val="Antrat9"/>
    <w:rsid w:val="00F97405"/>
    <w:rPr>
      <w:rFonts w:ascii="Times New Roman" w:eastAsia="Times New Roman" w:hAnsi="Times New Roman" w:cs="Times New Roman"/>
      <w:color w:val="000000"/>
      <w:sz w:val="24"/>
      <w:szCs w:val="24"/>
      <w:lang w:val="en-GB" w:eastAsia="lt-LT"/>
    </w:rPr>
  </w:style>
  <w:style w:type="character" w:styleId="Hipersaitas">
    <w:name w:val="Hyperlink"/>
    <w:uiPriority w:val="99"/>
    <w:rsid w:val="00F97405"/>
    <w:rPr>
      <w:color w:val="0000FF"/>
      <w:u w:val="single"/>
    </w:rPr>
  </w:style>
  <w:style w:type="paragraph" w:customStyle="1" w:styleId="BTEMEASMCA">
    <w:name w:val="BT EMEA_SMCA"/>
    <w:basedOn w:val="prastasis"/>
    <w:link w:val="BTEMEASMCAChar"/>
    <w:autoRedefine/>
    <w:rsid w:val="00F97405"/>
    <w:pPr>
      <w:jc w:val="center"/>
    </w:pPr>
    <w:rPr>
      <w:noProof/>
      <w:szCs w:val="22"/>
    </w:rPr>
  </w:style>
  <w:style w:type="character" w:customStyle="1" w:styleId="BTEMEASMCAChar">
    <w:name w:val="BT EMEA_SMCA Char"/>
    <w:link w:val="BTEMEASMCA"/>
    <w:rsid w:val="00F97405"/>
    <w:rPr>
      <w:rFonts w:ascii="Times New Roman" w:eastAsia="Times New Roman" w:hAnsi="Times New Roman" w:cs="Times New Roman"/>
      <w:noProof/>
    </w:rPr>
  </w:style>
  <w:style w:type="paragraph" w:styleId="Pagrindinistekstas">
    <w:name w:val="Body Text"/>
    <w:basedOn w:val="prastasis"/>
    <w:link w:val="PagrindinistekstasDiagrama"/>
    <w:uiPriority w:val="99"/>
    <w:rsid w:val="00F97405"/>
    <w:rPr>
      <w:rFonts w:ascii="Arial" w:hAnsi="Arial"/>
      <w:i/>
      <w:iCs/>
      <w:sz w:val="24"/>
      <w:lang w:val="en-GB"/>
    </w:rPr>
  </w:style>
  <w:style w:type="character" w:customStyle="1" w:styleId="PagrindinistekstasDiagrama">
    <w:name w:val="Pagrindinis tekstas Diagrama"/>
    <w:basedOn w:val="Numatytasispastraiposriftas"/>
    <w:link w:val="Pagrindinistekstas"/>
    <w:uiPriority w:val="99"/>
    <w:rsid w:val="00F97405"/>
    <w:rPr>
      <w:rFonts w:ascii="Arial" w:eastAsia="Times New Roman" w:hAnsi="Arial" w:cs="Times New Roman"/>
      <w:i/>
      <w:iCs/>
      <w:sz w:val="24"/>
      <w:szCs w:val="24"/>
      <w:lang w:val="en-GB"/>
    </w:rPr>
  </w:style>
  <w:style w:type="paragraph" w:customStyle="1" w:styleId="NormalRight-0cm">
    <w:name w:val="Normal + Right:  -0 cm"/>
    <w:aliases w:val="Line spacing:  single"/>
    <w:basedOn w:val="prastasis"/>
    <w:rsid w:val="00F97405"/>
    <w:pPr>
      <w:spacing w:line="260" w:lineRule="atLeast"/>
      <w:ind w:left="567" w:hanging="567"/>
    </w:pPr>
    <w:rPr>
      <w:b/>
      <w:bCs/>
      <w:color w:val="000000"/>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contact-fr@viforpharm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7291</Words>
  <Characters>4157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2019-01-16T08:05:00Z</dcterms:created>
  <dcterms:modified xsi:type="dcterms:W3CDTF">2019-01-16T08:05:00Z</dcterms:modified>
</cp:coreProperties>
</file>