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D52AC" w14:textId="77777777" w:rsidR="004C2CCC" w:rsidRPr="000D6942" w:rsidRDefault="004C2CCC" w:rsidP="00CF38FA">
      <w:pPr>
        <w:rPr>
          <w:szCs w:val="22"/>
        </w:rPr>
      </w:pPr>
      <w:bookmarkStart w:id="0" w:name="_GoBack"/>
      <w:bookmarkEnd w:id="0"/>
    </w:p>
    <w:p w14:paraId="5CC97D21" w14:textId="77777777" w:rsidR="004C2CCC" w:rsidRPr="000D6942" w:rsidRDefault="004C2CCC" w:rsidP="00CF38FA">
      <w:pPr>
        <w:rPr>
          <w:szCs w:val="22"/>
        </w:rPr>
      </w:pPr>
    </w:p>
    <w:p w14:paraId="38D2435D" w14:textId="77777777" w:rsidR="004C2CCC" w:rsidRPr="000D6942" w:rsidRDefault="004C2CCC" w:rsidP="00CF38FA">
      <w:pPr>
        <w:rPr>
          <w:szCs w:val="22"/>
        </w:rPr>
      </w:pPr>
    </w:p>
    <w:p w14:paraId="756F2198" w14:textId="77777777" w:rsidR="004C2CCC" w:rsidRPr="000D6942" w:rsidRDefault="004C2CCC" w:rsidP="00CF38FA">
      <w:pPr>
        <w:rPr>
          <w:szCs w:val="22"/>
        </w:rPr>
      </w:pPr>
    </w:p>
    <w:p w14:paraId="4368CA1E" w14:textId="77777777" w:rsidR="004C2CCC" w:rsidRPr="000D6942" w:rsidRDefault="004C2CCC" w:rsidP="00CF38FA">
      <w:pPr>
        <w:rPr>
          <w:szCs w:val="22"/>
        </w:rPr>
      </w:pPr>
    </w:p>
    <w:p w14:paraId="261EAB27" w14:textId="77777777" w:rsidR="004C2CCC" w:rsidRPr="000D6942" w:rsidRDefault="004C2CCC" w:rsidP="00CF38FA">
      <w:pPr>
        <w:rPr>
          <w:szCs w:val="22"/>
        </w:rPr>
      </w:pPr>
    </w:p>
    <w:p w14:paraId="0198D13C" w14:textId="77777777" w:rsidR="004C2CCC" w:rsidRPr="000D6942" w:rsidRDefault="004C2CCC" w:rsidP="00CF38FA">
      <w:pPr>
        <w:rPr>
          <w:szCs w:val="22"/>
        </w:rPr>
      </w:pPr>
    </w:p>
    <w:p w14:paraId="5E9FAB02" w14:textId="77777777" w:rsidR="004C2CCC" w:rsidRPr="000D6942" w:rsidRDefault="004C2CCC" w:rsidP="00CF38FA">
      <w:pPr>
        <w:rPr>
          <w:szCs w:val="22"/>
        </w:rPr>
      </w:pPr>
    </w:p>
    <w:p w14:paraId="2E705F1E" w14:textId="77777777" w:rsidR="004C2CCC" w:rsidRPr="000D6942" w:rsidRDefault="004C2CCC" w:rsidP="00CF38FA">
      <w:pPr>
        <w:rPr>
          <w:szCs w:val="22"/>
        </w:rPr>
      </w:pPr>
    </w:p>
    <w:p w14:paraId="27FDDCB7" w14:textId="77777777" w:rsidR="004C2CCC" w:rsidRPr="000D6942" w:rsidRDefault="004C2CCC" w:rsidP="00CF38FA">
      <w:pPr>
        <w:rPr>
          <w:szCs w:val="22"/>
        </w:rPr>
      </w:pPr>
    </w:p>
    <w:p w14:paraId="510911A6" w14:textId="77777777" w:rsidR="004C2CCC" w:rsidRPr="000D6942" w:rsidRDefault="004C2CCC" w:rsidP="00C03D6C">
      <w:pPr>
        <w:pStyle w:val="BTEMEASMCA"/>
        <w:rPr>
          <w:noProof w:val="0"/>
        </w:rPr>
      </w:pPr>
    </w:p>
    <w:p w14:paraId="63F6FDD8" w14:textId="77777777" w:rsidR="004C2CCC" w:rsidRPr="000D6942" w:rsidRDefault="004C2CCC" w:rsidP="00CF38FA">
      <w:pPr>
        <w:pStyle w:val="BTEMEASMCA"/>
        <w:rPr>
          <w:noProof w:val="0"/>
        </w:rPr>
      </w:pPr>
    </w:p>
    <w:p w14:paraId="157540EE" w14:textId="77777777" w:rsidR="004C2CCC" w:rsidRPr="000D6942" w:rsidRDefault="004C2CCC" w:rsidP="00CF38FA">
      <w:pPr>
        <w:pStyle w:val="BTEMEASMCA"/>
        <w:rPr>
          <w:noProof w:val="0"/>
        </w:rPr>
      </w:pPr>
    </w:p>
    <w:p w14:paraId="4E48AECC" w14:textId="77777777" w:rsidR="004C2CCC" w:rsidRPr="000D6942" w:rsidRDefault="004C2CCC" w:rsidP="00CF38FA">
      <w:pPr>
        <w:pStyle w:val="BTEMEASMCA"/>
        <w:rPr>
          <w:noProof w:val="0"/>
        </w:rPr>
      </w:pPr>
    </w:p>
    <w:p w14:paraId="556694C3" w14:textId="77777777" w:rsidR="004C2CCC" w:rsidRPr="000D6942" w:rsidRDefault="004C2CCC" w:rsidP="00CF38FA">
      <w:pPr>
        <w:pStyle w:val="BTEMEASMCA"/>
        <w:rPr>
          <w:noProof w:val="0"/>
        </w:rPr>
      </w:pPr>
    </w:p>
    <w:p w14:paraId="5B65CFB6" w14:textId="77777777" w:rsidR="004C2CCC" w:rsidRPr="000D6942" w:rsidRDefault="004C2CCC" w:rsidP="00CF38FA">
      <w:pPr>
        <w:pStyle w:val="BTEMEASMCA"/>
        <w:rPr>
          <w:noProof w:val="0"/>
        </w:rPr>
      </w:pPr>
    </w:p>
    <w:p w14:paraId="6BDE4EE8" w14:textId="77777777" w:rsidR="004C2CCC" w:rsidRPr="000D6942" w:rsidRDefault="004C2CCC" w:rsidP="00CF38FA">
      <w:pPr>
        <w:pStyle w:val="BTEMEASMCA"/>
        <w:rPr>
          <w:noProof w:val="0"/>
        </w:rPr>
      </w:pPr>
    </w:p>
    <w:p w14:paraId="4A8619A9" w14:textId="77777777" w:rsidR="004C2CCC" w:rsidRPr="000D6942" w:rsidRDefault="004C2CCC" w:rsidP="00CF38FA">
      <w:pPr>
        <w:pStyle w:val="BTEMEASMCA"/>
        <w:rPr>
          <w:noProof w:val="0"/>
        </w:rPr>
      </w:pPr>
    </w:p>
    <w:p w14:paraId="15933A25" w14:textId="77777777" w:rsidR="004C2CCC" w:rsidRPr="000D6942" w:rsidRDefault="004C2CCC" w:rsidP="00CF38FA">
      <w:pPr>
        <w:pStyle w:val="BTEMEASMCA"/>
        <w:rPr>
          <w:noProof w:val="0"/>
        </w:rPr>
      </w:pPr>
    </w:p>
    <w:p w14:paraId="4C2A576F" w14:textId="77777777" w:rsidR="004C2CCC" w:rsidRPr="000D6942" w:rsidRDefault="004C2CCC" w:rsidP="00CF38FA">
      <w:pPr>
        <w:pStyle w:val="BTEMEASMCA"/>
        <w:rPr>
          <w:noProof w:val="0"/>
        </w:rPr>
      </w:pPr>
    </w:p>
    <w:p w14:paraId="0F692DCB" w14:textId="77777777" w:rsidR="004C2CCC" w:rsidRPr="000D6942" w:rsidRDefault="004C2CCC" w:rsidP="00CF38FA">
      <w:pPr>
        <w:pStyle w:val="BTEMEASMCA"/>
        <w:rPr>
          <w:noProof w:val="0"/>
        </w:rPr>
      </w:pPr>
    </w:p>
    <w:p w14:paraId="510E90DF" w14:textId="77777777" w:rsidR="004C2CCC" w:rsidRPr="000D6942" w:rsidRDefault="004C2CCC" w:rsidP="00CF38FA">
      <w:pPr>
        <w:pStyle w:val="BTEMEASMCA"/>
        <w:rPr>
          <w:noProof w:val="0"/>
        </w:rPr>
      </w:pPr>
    </w:p>
    <w:p w14:paraId="36D8A9D5" w14:textId="77777777" w:rsidR="004C2CCC" w:rsidRPr="000D6942" w:rsidRDefault="004C2CCC" w:rsidP="00CF38FA">
      <w:pPr>
        <w:pStyle w:val="BTEMEASMCA"/>
        <w:rPr>
          <w:noProof w:val="0"/>
        </w:rPr>
      </w:pPr>
    </w:p>
    <w:p w14:paraId="30F81CA8" w14:textId="77777777" w:rsidR="004C2CCC" w:rsidRPr="000D6942" w:rsidRDefault="004C2CCC" w:rsidP="00CF38FA">
      <w:pPr>
        <w:pStyle w:val="TTEMEASMCA"/>
        <w:rPr>
          <w:lang w:val="lt-LT"/>
        </w:rPr>
      </w:pPr>
      <w:bookmarkStart w:id="1" w:name="_Toc129243096"/>
      <w:bookmarkStart w:id="2" w:name="_Toc129243221"/>
      <w:r w:rsidRPr="000D6942">
        <w:rPr>
          <w:lang w:val="lt-LT"/>
        </w:rPr>
        <w:t>I PRIEDAS</w:t>
      </w:r>
      <w:bookmarkEnd w:id="1"/>
      <w:bookmarkEnd w:id="2"/>
    </w:p>
    <w:p w14:paraId="39702F6D" w14:textId="77777777" w:rsidR="004C2CCC" w:rsidRPr="000D6942" w:rsidRDefault="004C2CCC" w:rsidP="00CF38FA">
      <w:pPr>
        <w:pStyle w:val="BTEMEASMCA"/>
        <w:rPr>
          <w:noProof w:val="0"/>
        </w:rPr>
      </w:pPr>
    </w:p>
    <w:p w14:paraId="1FD82CA3" w14:textId="77777777" w:rsidR="004C2CCC" w:rsidRPr="000D6942" w:rsidRDefault="004C2CCC" w:rsidP="00CF38FA">
      <w:pPr>
        <w:pStyle w:val="TTEMEASMCA"/>
        <w:rPr>
          <w:lang w:val="lt-LT"/>
        </w:rPr>
      </w:pPr>
      <w:bookmarkStart w:id="3" w:name="_Toc129243097"/>
      <w:bookmarkStart w:id="4" w:name="_Toc129243222"/>
      <w:r w:rsidRPr="000D6942">
        <w:rPr>
          <w:lang w:val="lt-LT"/>
        </w:rPr>
        <w:t>PREPARATO CHARAKTERISTIKŲ SANTRAUKA</w:t>
      </w:r>
      <w:bookmarkEnd w:id="3"/>
      <w:bookmarkEnd w:id="4"/>
    </w:p>
    <w:p w14:paraId="433519FE" w14:textId="2AA39DCD" w:rsidR="004C2CCC" w:rsidRPr="000D6942" w:rsidRDefault="004C2CCC" w:rsidP="00CF38FA">
      <w:pPr>
        <w:widowControl w:val="0"/>
        <w:rPr>
          <w:rFonts w:eastAsia="SimSun"/>
          <w:szCs w:val="22"/>
          <w:lang w:eastAsia="zh-CN"/>
        </w:rPr>
      </w:pPr>
      <w:r w:rsidRPr="000D6942">
        <w:rPr>
          <w:szCs w:val="22"/>
        </w:rPr>
        <w:br w:type="page"/>
      </w:r>
      <w:r w:rsidR="00F107EF">
        <w:rPr>
          <w:rFonts w:eastAsia="SimSun"/>
          <w:noProof/>
          <w:szCs w:val="22"/>
          <w:lang w:eastAsia="lt-LT"/>
        </w:rPr>
        <w:lastRenderedPageBreak/>
        <w:drawing>
          <wp:inline distT="0" distB="0" distL="0" distR="0" wp14:anchorId="36A8C670" wp14:editId="30F43C1E">
            <wp:extent cx="193675" cy="165100"/>
            <wp:effectExtent l="0" t="0" r="0" b="635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675" cy="165100"/>
                    </a:xfrm>
                    <a:prstGeom prst="rect">
                      <a:avLst/>
                    </a:prstGeom>
                    <a:noFill/>
                    <a:ln>
                      <a:noFill/>
                    </a:ln>
                  </pic:spPr>
                </pic:pic>
              </a:graphicData>
            </a:graphic>
          </wp:inline>
        </w:drawing>
      </w:r>
      <w:r w:rsidRPr="000D6942">
        <w:rPr>
          <w:rFonts w:eastAsia="SimSun"/>
          <w:szCs w:val="22"/>
          <w:lang w:eastAsia="zh-CN"/>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673308A0" w14:textId="77777777" w:rsidR="004C2CCC" w:rsidRPr="000D6942" w:rsidRDefault="004C2CCC" w:rsidP="00CF38FA">
      <w:pPr>
        <w:ind w:left="540" w:hanging="540"/>
        <w:rPr>
          <w:szCs w:val="22"/>
        </w:rPr>
      </w:pPr>
    </w:p>
    <w:p w14:paraId="2BDEDCC9" w14:textId="77777777" w:rsidR="004C2CCC" w:rsidRPr="000D6942" w:rsidRDefault="004C2CCC" w:rsidP="00CF38FA">
      <w:pPr>
        <w:ind w:left="540" w:hanging="540"/>
        <w:rPr>
          <w:szCs w:val="22"/>
        </w:rPr>
      </w:pPr>
    </w:p>
    <w:p w14:paraId="1FC8CBC3" w14:textId="77777777" w:rsidR="004C2CCC" w:rsidRPr="000D6942" w:rsidRDefault="004C2CCC" w:rsidP="00CF38FA">
      <w:pPr>
        <w:ind w:left="540" w:hanging="540"/>
        <w:rPr>
          <w:b/>
          <w:caps/>
          <w:szCs w:val="22"/>
        </w:rPr>
      </w:pPr>
      <w:r w:rsidRPr="000D6942">
        <w:rPr>
          <w:b/>
          <w:caps/>
          <w:szCs w:val="22"/>
        </w:rPr>
        <w:t>1.</w:t>
      </w:r>
      <w:r w:rsidRPr="000D6942">
        <w:rPr>
          <w:b/>
          <w:caps/>
          <w:szCs w:val="22"/>
        </w:rPr>
        <w:tab/>
        <w:t>vaistinio preparato pavadinimas</w:t>
      </w:r>
    </w:p>
    <w:p w14:paraId="753DA8EA" w14:textId="77777777" w:rsidR="004C2CCC" w:rsidRPr="000D6942" w:rsidRDefault="004C2CCC" w:rsidP="00CF38FA">
      <w:pPr>
        <w:pStyle w:val="Pagrindinistekstas2"/>
        <w:ind w:left="0"/>
        <w:rPr>
          <w:rFonts w:ascii="Times New Roman" w:hAnsi="Times New Roman"/>
          <w:sz w:val="22"/>
          <w:szCs w:val="22"/>
          <w:lang w:val="lt-LT"/>
        </w:rPr>
      </w:pPr>
    </w:p>
    <w:p w14:paraId="5986183C" w14:textId="5BF9B1DC" w:rsidR="00CF38FA" w:rsidRPr="000D6942" w:rsidRDefault="004C2CCC" w:rsidP="00CF38FA">
      <w:pPr>
        <w:rPr>
          <w:szCs w:val="22"/>
        </w:rPr>
      </w:pPr>
      <w:r w:rsidRPr="000D6942">
        <w:rPr>
          <w:szCs w:val="22"/>
        </w:rPr>
        <w:t>Ferinject 50 mg /ml injekcinis/infuzinis tirpalas</w:t>
      </w:r>
    </w:p>
    <w:p w14:paraId="085C9FF9" w14:textId="77777777" w:rsidR="004C2CCC" w:rsidRPr="000D6942" w:rsidRDefault="004C2CCC" w:rsidP="00CF38FA">
      <w:pPr>
        <w:pStyle w:val="Pagrindinistekstas2"/>
        <w:ind w:left="0"/>
        <w:rPr>
          <w:rFonts w:ascii="Times New Roman" w:hAnsi="Times New Roman"/>
          <w:color w:val="auto"/>
          <w:sz w:val="22"/>
          <w:szCs w:val="22"/>
          <w:lang w:val="lt-LT"/>
        </w:rPr>
      </w:pPr>
    </w:p>
    <w:p w14:paraId="6471D5B1" w14:textId="77777777" w:rsidR="004C2CCC" w:rsidRPr="000D6942" w:rsidRDefault="004C2CCC" w:rsidP="00CF38FA">
      <w:pPr>
        <w:pStyle w:val="Pagrindinistekstas2"/>
        <w:ind w:left="0"/>
        <w:rPr>
          <w:rFonts w:ascii="Times New Roman" w:hAnsi="Times New Roman"/>
          <w:color w:val="auto"/>
          <w:sz w:val="22"/>
          <w:szCs w:val="22"/>
          <w:lang w:val="lt-LT"/>
        </w:rPr>
      </w:pPr>
    </w:p>
    <w:p w14:paraId="7E1FD704" w14:textId="77777777" w:rsidR="004C2CCC" w:rsidRPr="000D6942" w:rsidRDefault="004C2CCC" w:rsidP="00CF38FA">
      <w:pPr>
        <w:ind w:left="540" w:hanging="540"/>
        <w:rPr>
          <w:b/>
          <w:caps/>
          <w:szCs w:val="22"/>
        </w:rPr>
      </w:pPr>
      <w:r w:rsidRPr="000D6942">
        <w:rPr>
          <w:b/>
          <w:caps/>
          <w:szCs w:val="22"/>
        </w:rPr>
        <w:t>2.</w:t>
      </w:r>
      <w:r w:rsidRPr="000D6942">
        <w:rPr>
          <w:b/>
          <w:caps/>
          <w:szCs w:val="22"/>
        </w:rPr>
        <w:tab/>
        <w:t>kokybinė ir kiekybinė sudėtis</w:t>
      </w:r>
    </w:p>
    <w:p w14:paraId="2688ADFD" w14:textId="77777777" w:rsidR="004C2CCC" w:rsidRPr="000D6942" w:rsidRDefault="004C2CCC" w:rsidP="00CF38FA">
      <w:pPr>
        <w:pStyle w:val="Pagrindinistekstas2"/>
        <w:ind w:left="0"/>
        <w:rPr>
          <w:rFonts w:ascii="Times New Roman" w:hAnsi="Times New Roman"/>
          <w:color w:val="auto"/>
          <w:sz w:val="22"/>
          <w:szCs w:val="22"/>
          <w:lang w:val="lt-LT"/>
        </w:rPr>
      </w:pPr>
    </w:p>
    <w:p w14:paraId="64878E36" w14:textId="77777777"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Viename tirpalo ml yra 50 mg geležies (geležies karboksimaltozės pavidalu).</w:t>
      </w:r>
    </w:p>
    <w:p w14:paraId="3F679C83" w14:textId="77777777" w:rsidR="004C2CCC" w:rsidRPr="000D6942" w:rsidRDefault="004C2CCC" w:rsidP="00CF38FA">
      <w:pPr>
        <w:pStyle w:val="Pagrindinistekstas2"/>
        <w:ind w:left="0"/>
        <w:rPr>
          <w:rFonts w:ascii="Times New Roman" w:hAnsi="Times New Roman"/>
          <w:color w:val="auto"/>
          <w:sz w:val="22"/>
          <w:szCs w:val="22"/>
          <w:lang w:val="lt-LT"/>
        </w:rPr>
      </w:pPr>
    </w:p>
    <w:p w14:paraId="04EC20D7" w14:textId="77777777"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Kiekviename 2 ml flakone yra 100 mg geležies (geležies karboksimaltozės pavidalu).</w:t>
      </w:r>
    </w:p>
    <w:p w14:paraId="71B48403" w14:textId="77777777"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Kiekviename 10 ml flakone yra 500 mg geležies (geležies karboksimaltozės pavidalu).</w:t>
      </w:r>
    </w:p>
    <w:p w14:paraId="353951DD" w14:textId="0791FE50"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Kiekviename 20</w:t>
      </w:r>
      <w:r w:rsidR="00F60852" w:rsidRPr="000D6942">
        <w:rPr>
          <w:rFonts w:ascii="Times New Roman" w:hAnsi="Times New Roman"/>
          <w:color w:val="auto"/>
          <w:sz w:val="22"/>
          <w:szCs w:val="22"/>
          <w:lang w:val="lt-LT"/>
        </w:rPr>
        <w:t> </w:t>
      </w:r>
      <w:r w:rsidRPr="000D6942">
        <w:rPr>
          <w:rFonts w:ascii="Times New Roman" w:hAnsi="Times New Roman"/>
          <w:color w:val="auto"/>
          <w:sz w:val="22"/>
          <w:szCs w:val="22"/>
          <w:lang w:val="lt-LT"/>
        </w:rPr>
        <w:t>ml flakone yra 1000 mg geležies (geležies karboksimaltozės pavidalu).</w:t>
      </w:r>
    </w:p>
    <w:p w14:paraId="73065EFA" w14:textId="77777777" w:rsidR="004C2CCC" w:rsidRPr="000D6942" w:rsidRDefault="004C2CCC" w:rsidP="00CF38FA">
      <w:pPr>
        <w:rPr>
          <w:szCs w:val="22"/>
        </w:rPr>
      </w:pPr>
    </w:p>
    <w:p w14:paraId="567698E7" w14:textId="77777777" w:rsidR="00CF38FA" w:rsidRPr="000D6942" w:rsidRDefault="004C2CCC" w:rsidP="00CF38FA">
      <w:pPr>
        <w:rPr>
          <w:szCs w:val="22"/>
        </w:rPr>
      </w:pPr>
      <w:r w:rsidRPr="000D6942">
        <w:rPr>
          <w:szCs w:val="22"/>
        </w:rPr>
        <w:t>Viename ml tirpalo yra iki 5,5 mg (0,24 mmol) natrio (žr. 4.4 skyrių).</w:t>
      </w:r>
    </w:p>
    <w:p w14:paraId="1ED4A7F8" w14:textId="77777777" w:rsidR="004C2CCC" w:rsidRPr="000D6942" w:rsidRDefault="004C2CCC" w:rsidP="00CF38FA">
      <w:pPr>
        <w:rPr>
          <w:szCs w:val="22"/>
        </w:rPr>
      </w:pPr>
      <w:r w:rsidRPr="000D6942">
        <w:rPr>
          <w:szCs w:val="22"/>
        </w:rPr>
        <w:t>Visos pagalbinės medžiagos išvardytos 6.1 skyriuje.</w:t>
      </w:r>
    </w:p>
    <w:p w14:paraId="5F3C8499" w14:textId="77777777" w:rsidR="004C2CCC" w:rsidRPr="000D6942" w:rsidRDefault="004C2CCC" w:rsidP="00CF38FA">
      <w:pPr>
        <w:pStyle w:val="Pagrindinistekstas2"/>
        <w:ind w:left="0"/>
        <w:rPr>
          <w:rFonts w:ascii="Times New Roman" w:hAnsi="Times New Roman"/>
          <w:color w:val="auto"/>
          <w:sz w:val="22"/>
          <w:szCs w:val="22"/>
          <w:lang w:val="lt-LT"/>
        </w:rPr>
      </w:pPr>
    </w:p>
    <w:p w14:paraId="2FB7C191" w14:textId="77777777" w:rsidR="004C2CCC" w:rsidRPr="000D6942" w:rsidRDefault="004C2CCC" w:rsidP="00CF38FA">
      <w:pPr>
        <w:pStyle w:val="Pagrindinistekstas2"/>
        <w:ind w:left="0"/>
        <w:rPr>
          <w:rFonts w:ascii="Times New Roman" w:hAnsi="Times New Roman"/>
          <w:color w:val="auto"/>
          <w:sz w:val="22"/>
          <w:szCs w:val="22"/>
          <w:lang w:val="lt-LT"/>
        </w:rPr>
      </w:pPr>
    </w:p>
    <w:p w14:paraId="3789A54D" w14:textId="77777777" w:rsidR="004C2CCC" w:rsidRPr="000D6942" w:rsidRDefault="004C2CCC" w:rsidP="00CF38FA">
      <w:pPr>
        <w:ind w:left="540" w:hanging="540"/>
        <w:rPr>
          <w:b/>
          <w:caps/>
          <w:szCs w:val="22"/>
        </w:rPr>
      </w:pPr>
      <w:r w:rsidRPr="000D6942">
        <w:rPr>
          <w:b/>
          <w:caps/>
          <w:szCs w:val="22"/>
        </w:rPr>
        <w:t>3.</w:t>
      </w:r>
      <w:r w:rsidRPr="000D6942">
        <w:rPr>
          <w:b/>
          <w:caps/>
          <w:szCs w:val="22"/>
        </w:rPr>
        <w:tab/>
        <w:t>Farmacinė forma</w:t>
      </w:r>
    </w:p>
    <w:p w14:paraId="36975BB5" w14:textId="77777777" w:rsidR="004C2CCC" w:rsidRPr="000D6942" w:rsidRDefault="004C2CCC" w:rsidP="00CF38FA">
      <w:pPr>
        <w:pStyle w:val="Pagrindinistekstas2"/>
        <w:ind w:left="0"/>
        <w:rPr>
          <w:rFonts w:ascii="Times New Roman" w:hAnsi="Times New Roman"/>
          <w:color w:val="auto"/>
          <w:sz w:val="22"/>
          <w:szCs w:val="22"/>
          <w:lang w:val="lt-LT"/>
        </w:rPr>
      </w:pPr>
    </w:p>
    <w:p w14:paraId="67A5F556" w14:textId="77777777" w:rsidR="00CF38FA"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Injekcinis/infuzinis tirpalas.</w:t>
      </w:r>
    </w:p>
    <w:p w14:paraId="64C1C220" w14:textId="77777777"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Tamsiai rudas, neskaidrus vandeninis tirpalas.</w:t>
      </w:r>
    </w:p>
    <w:p w14:paraId="78413650" w14:textId="77777777" w:rsidR="004C2CCC" w:rsidRPr="000D6942" w:rsidRDefault="004C2CCC" w:rsidP="00CF38FA">
      <w:pPr>
        <w:pStyle w:val="Pagrindinistekstas2"/>
        <w:ind w:left="0"/>
        <w:rPr>
          <w:rFonts w:ascii="Times New Roman" w:hAnsi="Times New Roman"/>
          <w:color w:val="auto"/>
          <w:sz w:val="22"/>
          <w:szCs w:val="22"/>
          <w:lang w:val="lt-LT"/>
        </w:rPr>
      </w:pPr>
    </w:p>
    <w:p w14:paraId="78CDA274" w14:textId="77777777" w:rsidR="004C2CCC" w:rsidRPr="000D6942" w:rsidRDefault="004C2CCC" w:rsidP="00CF38FA">
      <w:pPr>
        <w:pStyle w:val="Pagrindinistekstas2"/>
        <w:ind w:left="0"/>
        <w:rPr>
          <w:rFonts w:ascii="Times New Roman" w:hAnsi="Times New Roman"/>
          <w:color w:val="auto"/>
          <w:sz w:val="22"/>
          <w:szCs w:val="22"/>
          <w:lang w:val="lt-LT"/>
        </w:rPr>
      </w:pPr>
    </w:p>
    <w:p w14:paraId="03DE450A" w14:textId="77777777" w:rsidR="004C2CCC" w:rsidRPr="000D6942" w:rsidRDefault="004C2CCC" w:rsidP="00CF38FA">
      <w:pPr>
        <w:ind w:left="540" w:hanging="540"/>
        <w:rPr>
          <w:b/>
          <w:bCs/>
          <w:caps/>
          <w:szCs w:val="22"/>
        </w:rPr>
      </w:pPr>
      <w:r w:rsidRPr="000D6942">
        <w:rPr>
          <w:b/>
          <w:caps/>
          <w:szCs w:val="22"/>
        </w:rPr>
        <w:t>4.</w:t>
      </w:r>
      <w:r w:rsidRPr="000D6942">
        <w:rPr>
          <w:b/>
          <w:caps/>
          <w:szCs w:val="22"/>
        </w:rPr>
        <w:tab/>
        <w:t>klinikinĖ informacija</w:t>
      </w:r>
    </w:p>
    <w:p w14:paraId="010B3EB8" w14:textId="77777777" w:rsidR="004C2CCC" w:rsidRPr="000D6942" w:rsidRDefault="004C2CCC" w:rsidP="00CF38FA">
      <w:pPr>
        <w:ind w:left="540" w:hanging="540"/>
        <w:rPr>
          <w:caps/>
          <w:szCs w:val="22"/>
        </w:rPr>
      </w:pPr>
    </w:p>
    <w:p w14:paraId="2771C128" w14:textId="77777777" w:rsidR="004C2CCC" w:rsidRPr="000D6942" w:rsidRDefault="004C2CCC" w:rsidP="00CF38FA">
      <w:pPr>
        <w:ind w:left="540" w:hanging="540"/>
        <w:rPr>
          <w:b/>
          <w:szCs w:val="22"/>
        </w:rPr>
      </w:pPr>
      <w:r w:rsidRPr="000D6942">
        <w:rPr>
          <w:b/>
          <w:szCs w:val="22"/>
        </w:rPr>
        <w:t>4.1</w:t>
      </w:r>
      <w:r w:rsidRPr="000D6942">
        <w:rPr>
          <w:b/>
          <w:bCs/>
          <w:szCs w:val="22"/>
        </w:rPr>
        <w:tab/>
      </w:r>
      <w:r w:rsidRPr="000D6942">
        <w:rPr>
          <w:b/>
          <w:szCs w:val="22"/>
        </w:rPr>
        <w:t>Terapinės indikacijos</w:t>
      </w:r>
    </w:p>
    <w:p w14:paraId="520BEABB" w14:textId="77777777" w:rsidR="004C2CCC" w:rsidRPr="000D6942" w:rsidRDefault="004C2CCC" w:rsidP="00CF38FA">
      <w:pPr>
        <w:rPr>
          <w:szCs w:val="22"/>
        </w:rPr>
      </w:pPr>
    </w:p>
    <w:p w14:paraId="2E38ED0D" w14:textId="77777777" w:rsidR="00CF38FA" w:rsidRPr="000D6942" w:rsidRDefault="004C2CCC" w:rsidP="00CF38FA">
      <w:pPr>
        <w:rPr>
          <w:szCs w:val="22"/>
        </w:rPr>
      </w:pPr>
      <w:r w:rsidRPr="000D6942">
        <w:rPr>
          <w:szCs w:val="22"/>
        </w:rPr>
        <w:t>Ferinject yra skirtas geležies trūkumui gydyti, kai geriamieji geležies preparatai nėra veiksmingi arba jų negalima vartoti.</w:t>
      </w:r>
    </w:p>
    <w:p w14:paraId="58EAD72D" w14:textId="77777777" w:rsidR="004C2CCC" w:rsidRPr="000D6942" w:rsidRDefault="00F60852" w:rsidP="00CF38FA">
      <w:pPr>
        <w:rPr>
          <w:szCs w:val="22"/>
        </w:rPr>
      </w:pPr>
      <w:r w:rsidRPr="000D6942">
        <w:rPr>
          <w:szCs w:val="22"/>
        </w:rPr>
        <w:t>Geležies trūkumo d</w:t>
      </w:r>
      <w:r w:rsidR="004C2CCC" w:rsidRPr="000D6942">
        <w:rPr>
          <w:szCs w:val="22"/>
        </w:rPr>
        <w:t>iagnozė turi būti pagrįsta laboratoriniais tyrimais.</w:t>
      </w:r>
    </w:p>
    <w:p w14:paraId="444DAFD1" w14:textId="77777777" w:rsidR="004C2CCC" w:rsidRPr="000D6942" w:rsidRDefault="004C2CCC" w:rsidP="00CF38FA">
      <w:pPr>
        <w:rPr>
          <w:szCs w:val="22"/>
        </w:rPr>
      </w:pPr>
    </w:p>
    <w:p w14:paraId="735EAFED" w14:textId="77777777" w:rsidR="004C2CCC" w:rsidRPr="000D6942" w:rsidRDefault="004C2CCC" w:rsidP="00CF38FA">
      <w:pPr>
        <w:ind w:left="540" w:hanging="540"/>
        <w:rPr>
          <w:b/>
          <w:szCs w:val="22"/>
        </w:rPr>
      </w:pPr>
      <w:r w:rsidRPr="000D6942">
        <w:rPr>
          <w:b/>
          <w:szCs w:val="22"/>
        </w:rPr>
        <w:t>4.2</w:t>
      </w:r>
      <w:r w:rsidRPr="000D6942">
        <w:rPr>
          <w:b/>
          <w:szCs w:val="22"/>
        </w:rPr>
        <w:tab/>
        <w:t>Dozavimas ir vartojimo metodas</w:t>
      </w:r>
    </w:p>
    <w:p w14:paraId="1290107C" w14:textId="77777777" w:rsidR="004C2CCC" w:rsidRPr="000D6942" w:rsidRDefault="004C2CCC" w:rsidP="00CF38FA">
      <w:pPr>
        <w:ind w:left="540" w:hanging="540"/>
        <w:rPr>
          <w:b/>
          <w:szCs w:val="22"/>
        </w:rPr>
      </w:pPr>
    </w:p>
    <w:p w14:paraId="3BD5226A" w14:textId="77777777" w:rsidR="004C2CCC" w:rsidRPr="000D6942" w:rsidRDefault="004C2CCC" w:rsidP="00CF38FA">
      <w:pPr>
        <w:rPr>
          <w:szCs w:val="22"/>
        </w:rPr>
      </w:pPr>
      <w:r w:rsidRPr="000D6942">
        <w:rPr>
          <w:szCs w:val="22"/>
        </w:rPr>
        <w:t>Kiekvieną kartą atidžiai stebėkite, ar Ferinject vartojimo metu ir po vartojimo pacientams nepasireiškė padidėjusio jautrumo požymių ar simptomų.</w:t>
      </w:r>
    </w:p>
    <w:p w14:paraId="7A960D47" w14:textId="77777777" w:rsidR="004C2CCC" w:rsidRPr="000D6942" w:rsidRDefault="004C2CCC" w:rsidP="00CF38FA">
      <w:pPr>
        <w:rPr>
          <w:szCs w:val="22"/>
        </w:rPr>
      </w:pPr>
    </w:p>
    <w:p w14:paraId="698855A6" w14:textId="052ABFF7" w:rsidR="004C2CCC" w:rsidRPr="000D6942" w:rsidRDefault="004C2CCC" w:rsidP="00024A58">
      <w:pPr>
        <w:rPr>
          <w:szCs w:val="22"/>
        </w:rPr>
      </w:pPr>
      <w:r w:rsidRPr="000D6942">
        <w:rPr>
          <w:szCs w:val="22"/>
        </w:rPr>
        <w:t xml:space="preserve">Ferinject turėtų būti vartojamas tik visa būtina gaivinimo įranga aprūpintoje aplinkoje ir kai netoliese yra personalo, išmokyto atpažinti ir suvaldyti anafilaktines reakcijas. Mažiausiai 30 minučių po kiekvieno Ferinject </w:t>
      </w:r>
      <w:r w:rsidR="00024A58" w:rsidRPr="000D6942">
        <w:rPr>
          <w:szCs w:val="22"/>
        </w:rPr>
        <w:t>vartojimo</w:t>
      </w:r>
      <w:r w:rsidRPr="000D6942">
        <w:rPr>
          <w:szCs w:val="22"/>
        </w:rPr>
        <w:t xml:space="preserve"> reikia stebėti, ar pacientui nepasireiškė nepageidaujamas poveikis (žr. 4.4 skyrių).</w:t>
      </w:r>
    </w:p>
    <w:p w14:paraId="2E4AC10F" w14:textId="77777777" w:rsidR="004C2CCC" w:rsidRPr="000D6942" w:rsidRDefault="004C2CCC" w:rsidP="00CF38FA">
      <w:pPr>
        <w:ind w:left="2891" w:hanging="2891"/>
        <w:rPr>
          <w:i/>
          <w:iCs/>
          <w:szCs w:val="22"/>
        </w:rPr>
      </w:pPr>
    </w:p>
    <w:p w14:paraId="04DD2AAE" w14:textId="77777777" w:rsidR="004C2CCC" w:rsidRPr="000D6942" w:rsidRDefault="004C2CCC" w:rsidP="00CF38FA">
      <w:pPr>
        <w:ind w:left="2891" w:hanging="2891"/>
        <w:rPr>
          <w:iCs/>
          <w:szCs w:val="22"/>
          <w:u w:val="single"/>
        </w:rPr>
      </w:pPr>
      <w:r w:rsidRPr="000D6942">
        <w:rPr>
          <w:iCs/>
          <w:szCs w:val="22"/>
          <w:u w:val="single"/>
        </w:rPr>
        <w:t>Dozavimas</w:t>
      </w:r>
    </w:p>
    <w:p w14:paraId="33BAFA9A" w14:textId="77777777" w:rsidR="00F60852" w:rsidRPr="000D6942" w:rsidRDefault="00F60852" w:rsidP="00CF38FA">
      <w:pPr>
        <w:ind w:left="2891" w:hanging="2891"/>
        <w:rPr>
          <w:u w:val="single"/>
        </w:rPr>
      </w:pPr>
    </w:p>
    <w:p w14:paraId="272CB1ED" w14:textId="77777777" w:rsidR="00F60852" w:rsidRPr="000D6942" w:rsidRDefault="00F60852" w:rsidP="00CF38FA">
      <w:pPr>
        <w:rPr>
          <w:iCs/>
          <w:szCs w:val="22"/>
        </w:rPr>
      </w:pPr>
      <w:r w:rsidRPr="000D6942">
        <w:rPr>
          <w:iCs/>
          <w:szCs w:val="22"/>
        </w:rPr>
        <w:t>Dozuojant Ferinject, taikomas nuoseklusis metodas: [1] nustatomas individualus geležies poreikis, [2] apskaičiuojama (-os) ir skiriama (-os) geležies dozė (-ės), [3] atliekamas vertinimas papildžius geležies atsargas. Šie etapai paaiškinti toliau.</w:t>
      </w:r>
    </w:p>
    <w:p w14:paraId="78B28B9D" w14:textId="77777777" w:rsidR="004C2CCC" w:rsidRPr="000D6942" w:rsidRDefault="004C2CCC" w:rsidP="00CF38FA">
      <w:pPr>
        <w:ind w:left="2891" w:hanging="2891"/>
        <w:rPr>
          <w:i/>
          <w:iCs/>
          <w:szCs w:val="22"/>
        </w:rPr>
      </w:pPr>
    </w:p>
    <w:p w14:paraId="74A300EA" w14:textId="77777777" w:rsidR="004C2CCC" w:rsidRPr="000D6942" w:rsidRDefault="00F60852" w:rsidP="00CF38FA">
      <w:pPr>
        <w:ind w:left="2891" w:hanging="2891"/>
        <w:rPr>
          <w:i/>
          <w:iCs/>
          <w:szCs w:val="22"/>
        </w:rPr>
      </w:pPr>
      <w:r w:rsidRPr="000D6942">
        <w:rPr>
          <w:i/>
          <w:iCs/>
          <w:szCs w:val="22"/>
        </w:rPr>
        <w:t>1 etapas. G</w:t>
      </w:r>
      <w:r w:rsidR="004C2CCC" w:rsidRPr="000D6942">
        <w:rPr>
          <w:i/>
          <w:iCs/>
          <w:szCs w:val="22"/>
        </w:rPr>
        <w:t xml:space="preserve">eležies </w:t>
      </w:r>
      <w:r w:rsidRPr="000D6942">
        <w:rPr>
          <w:i/>
          <w:iCs/>
          <w:szCs w:val="22"/>
        </w:rPr>
        <w:t xml:space="preserve">poreikio </w:t>
      </w:r>
      <w:r w:rsidR="004C2CCC" w:rsidRPr="000D6942">
        <w:rPr>
          <w:i/>
          <w:iCs/>
          <w:szCs w:val="22"/>
        </w:rPr>
        <w:t>nustatymas</w:t>
      </w:r>
    </w:p>
    <w:p w14:paraId="2C670D04" w14:textId="77777777" w:rsidR="004C2CCC" w:rsidRPr="000D6942" w:rsidRDefault="00F60852" w:rsidP="00CF38FA">
      <w:pPr>
        <w:rPr>
          <w:szCs w:val="22"/>
        </w:rPr>
      </w:pPr>
      <w:r w:rsidRPr="000D6942">
        <w:rPr>
          <w:szCs w:val="22"/>
        </w:rPr>
        <w:t>Individualus geležies atsargų papildymo vartojant Ferinject poreikis nustatomas</w:t>
      </w:r>
      <w:r w:rsidR="004C2CCC" w:rsidRPr="000D6942">
        <w:rPr>
          <w:szCs w:val="22"/>
        </w:rPr>
        <w:t xml:space="preserve"> pagal paciento kūno svorį ir hemoglobino kiekį (Hb). </w:t>
      </w:r>
      <w:r w:rsidRPr="000D6942">
        <w:rPr>
          <w:szCs w:val="22"/>
        </w:rPr>
        <w:t xml:space="preserve">Norėdami nustatyti geležies poreikį, žr. </w:t>
      </w:r>
      <w:r w:rsidR="00720915" w:rsidRPr="000D6942">
        <w:fldChar w:fldCharType="begin"/>
      </w:r>
      <w:r w:rsidR="00720915" w:rsidRPr="000D6942">
        <w:instrText xml:space="preserve"> REF _Ref338684503 \h  \* MERGEFORMAT </w:instrText>
      </w:r>
      <w:r w:rsidR="00720915" w:rsidRPr="000D6942">
        <w:fldChar w:fldCharType="separate"/>
      </w:r>
      <w:r w:rsidRPr="000D6942">
        <w:t>1</w:t>
      </w:r>
      <w:r w:rsidR="00720915" w:rsidRPr="000D6942">
        <w:fldChar w:fldCharType="end"/>
      </w:r>
      <w:r w:rsidR="00582828" w:rsidRPr="000D6942">
        <w:rPr>
          <w:szCs w:val="22"/>
        </w:rPr>
        <w:t> lentelę:</w:t>
      </w:r>
    </w:p>
    <w:p w14:paraId="086B1D9C" w14:textId="77777777" w:rsidR="004C2CCC" w:rsidRPr="000D6942" w:rsidRDefault="004C2CCC" w:rsidP="00CF38FA">
      <w:pPr>
        <w:rPr>
          <w:szCs w:val="22"/>
        </w:rPr>
      </w:pPr>
    </w:p>
    <w:p w14:paraId="105BA445" w14:textId="77777777" w:rsidR="004C2CCC" w:rsidRPr="000D6942" w:rsidRDefault="004C2CCC" w:rsidP="00CF38FA">
      <w:pPr>
        <w:rPr>
          <w:szCs w:val="22"/>
        </w:rPr>
      </w:pPr>
      <w:r w:rsidRPr="000D6942">
        <w:rPr>
          <w:b/>
        </w:rPr>
        <w:t>1 lentelė</w:t>
      </w:r>
      <w:r w:rsidR="000234B0" w:rsidRPr="000D6942">
        <w:rPr>
          <w:b/>
          <w:szCs w:val="22"/>
        </w:rPr>
        <w:t>.</w:t>
      </w:r>
      <w:r w:rsidRPr="000D6942">
        <w:rPr>
          <w:b/>
          <w:szCs w:val="22"/>
        </w:rPr>
        <w:tab/>
      </w:r>
      <w:r w:rsidR="000234B0" w:rsidRPr="000D6942">
        <w:rPr>
          <w:b/>
          <w:szCs w:val="22"/>
        </w:rPr>
        <w:t>Geležies poreikio</w:t>
      </w:r>
      <w:r w:rsidR="000234B0" w:rsidRPr="000D6942">
        <w:rPr>
          <w:b/>
        </w:rPr>
        <w:t xml:space="preserve"> nustatymas</w:t>
      </w:r>
    </w:p>
    <w:tbl>
      <w:tblPr>
        <w:tblW w:w="8174" w:type="dxa"/>
        <w:tblInd w:w="14" w:type="dxa"/>
        <w:tblLayout w:type="fixed"/>
        <w:tblCellMar>
          <w:left w:w="0" w:type="dxa"/>
          <w:right w:w="0" w:type="dxa"/>
        </w:tblCellMar>
        <w:tblLook w:val="00A0" w:firstRow="1" w:lastRow="0" w:firstColumn="1" w:lastColumn="0" w:noHBand="0" w:noVBand="0"/>
      </w:tblPr>
      <w:tblGrid>
        <w:gridCol w:w="1033"/>
        <w:gridCol w:w="1613"/>
        <w:gridCol w:w="1276"/>
        <w:gridCol w:w="1701"/>
        <w:gridCol w:w="2551"/>
      </w:tblGrid>
      <w:tr w:rsidR="000234B0" w:rsidRPr="000D6942" w14:paraId="4260C09B" w14:textId="77777777" w:rsidTr="00705434">
        <w:trPr>
          <w:trHeight w:val="326"/>
        </w:trPr>
        <w:tc>
          <w:tcPr>
            <w:tcW w:w="264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B9A031" w14:textId="77777777" w:rsidR="000234B0" w:rsidRPr="000D6942" w:rsidRDefault="000234B0" w:rsidP="00CF38FA">
            <w:pPr>
              <w:jc w:val="center"/>
              <w:rPr>
                <w:szCs w:val="22"/>
              </w:rPr>
            </w:pPr>
            <w:r w:rsidRPr="000D6942">
              <w:rPr>
                <w:b/>
                <w:bCs/>
                <w:szCs w:val="22"/>
              </w:rPr>
              <w:t>Hb</w:t>
            </w:r>
          </w:p>
        </w:tc>
        <w:tc>
          <w:tcPr>
            <w:tcW w:w="552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3A434953" w14:textId="77777777" w:rsidR="000234B0" w:rsidRPr="000D6942" w:rsidRDefault="000234B0" w:rsidP="00CF38FA">
            <w:pPr>
              <w:jc w:val="center"/>
              <w:rPr>
                <w:szCs w:val="22"/>
              </w:rPr>
            </w:pPr>
            <w:r w:rsidRPr="000D6942">
              <w:rPr>
                <w:b/>
                <w:bCs/>
                <w:szCs w:val="22"/>
              </w:rPr>
              <w:t>Paciento kūno svoris</w:t>
            </w:r>
          </w:p>
        </w:tc>
      </w:tr>
      <w:tr w:rsidR="001E37F2" w:rsidRPr="000D6942" w14:paraId="71DB8164" w14:textId="77777777" w:rsidTr="00705434">
        <w:trPr>
          <w:trHeight w:val="450"/>
        </w:trPr>
        <w:tc>
          <w:tcPr>
            <w:tcW w:w="10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C9D0C7" w14:textId="77777777" w:rsidR="000234B0" w:rsidRPr="000D6942" w:rsidRDefault="000234B0" w:rsidP="0087234B">
            <w:pPr>
              <w:jc w:val="center"/>
              <w:rPr>
                <w:szCs w:val="22"/>
              </w:rPr>
            </w:pPr>
            <w:r w:rsidRPr="000D6942">
              <w:rPr>
                <w:b/>
              </w:rPr>
              <w:t>g/dl</w:t>
            </w:r>
          </w:p>
        </w:tc>
        <w:tc>
          <w:tcPr>
            <w:tcW w:w="1613" w:type="dxa"/>
            <w:tcBorders>
              <w:top w:val="single" w:sz="8" w:space="0" w:color="auto"/>
              <w:left w:val="single" w:sz="8" w:space="0" w:color="auto"/>
              <w:bottom w:val="single" w:sz="8" w:space="0" w:color="auto"/>
              <w:right w:val="single" w:sz="8" w:space="0" w:color="auto"/>
            </w:tcBorders>
          </w:tcPr>
          <w:p w14:paraId="1D5B2D4C" w14:textId="77777777" w:rsidR="000234B0" w:rsidRPr="000D6942" w:rsidRDefault="000234B0" w:rsidP="00CF38FA">
            <w:pPr>
              <w:jc w:val="center"/>
              <w:rPr>
                <w:b/>
                <w:szCs w:val="22"/>
              </w:rPr>
            </w:pPr>
            <w:r w:rsidRPr="000D6942">
              <w:rPr>
                <w:b/>
                <w:szCs w:val="22"/>
              </w:rPr>
              <w:t>mmol/l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E58FA1" w14:textId="77777777" w:rsidR="000234B0" w:rsidRPr="000D6942" w:rsidRDefault="000234B0" w:rsidP="00CF38FA">
            <w:pPr>
              <w:jc w:val="center"/>
              <w:rPr>
                <w:szCs w:val="22"/>
              </w:rPr>
            </w:pPr>
            <w:r w:rsidRPr="000D6942">
              <w:rPr>
                <w:b/>
                <w:bCs/>
                <w:szCs w:val="22"/>
              </w:rPr>
              <w:t>mažiau nei 35 kg</w:t>
            </w:r>
          </w:p>
        </w:tc>
        <w:tc>
          <w:tcPr>
            <w:tcW w:w="1701" w:type="dxa"/>
            <w:tcBorders>
              <w:top w:val="single" w:sz="8" w:space="0" w:color="auto"/>
              <w:left w:val="nil"/>
              <w:bottom w:val="single" w:sz="8" w:space="0" w:color="auto"/>
              <w:right w:val="single" w:sz="8" w:space="0" w:color="auto"/>
            </w:tcBorders>
          </w:tcPr>
          <w:p w14:paraId="7AC3F737" w14:textId="77777777" w:rsidR="000234B0" w:rsidRPr="000D6942" w:rsidRDefault="000234B0" w:rsidP="0087234B">
            <w:pPr>
              <w:jc w:val="center"/>
              <w:rPr>
                <w:szCs w:val="22"/>
              </w:rPr>
            </w:pPr>
            <w:r w:rsidRPr="000D6942">
              <w:rPr>
                <w:b/>
              </w:rPr>
              <w:t>nuo 35 kg iki &lt; 70 kg</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EFF01E" w14:textId="77777777" w:rsidR="000234B0" w:rsidRPr="000D6942" w:rsidRDefault="000234B0" w:rsidP="0087234B">
            <w:pPr>
              <w:jc w:val="center"/>
              <w:rPr>
                <w:szCs w:val="22"/>
              </w:rPr>
            </w:pPr>
            <w:r w:rsidRPr="000D6942">
              <w:rPr>
                <w:b/>
              </w:rPr>
              <w:t>70 kg</w:t>
            </w:r>
            <w:r w:rsidRPr="000D6942">
              <w:rPr>
                <w:szCs w:val="22"/>
              </w:rPr>
              <w:t xml:space="preserve"> </w:t>
            </w:r>
            <w:r w:rsidRPr="000D6942">
              <w:rPr>
                <w:b/>
                <w:bCs/>
                <w:szCs w:val="22"/>
              </w:rPr>
              <w:t>ir daugiau</w:t>
            </w:r>
          </w:p>
        </w:tc>
      </w:tr>
      <w:tr w:rsidR="001E37F2" w:rsidRPr="000D6942" w14:paraId="319C6391" w14:textId="77777777" w:rsidTr="00705434">
        <w:trPr>
          <w:trHeight w:val="407"/>
        </w:trPr>
        <w:tc>
          <w:tcPr>
            <w:tcW w:w="10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FFD902" w14:textId="77777777" w:rsidR="000234B0" w:rsidRPr="000D6942" w:rsidRDefault="000234B0" w:rsidP="00CF38FA">
            <w:pPr>
              <w:jc w:val="center"/>
              <w:rPr>
                <w:szCs w:val="22"/>
              </w:rPr>
            </w:pPr>
            <w:r w:rsidRPr="000D6942">
              <w:rPr>
                <w:szCs w:val="22"/>
              </w:rPr>
              <w:t>&lt; 10</w:t>
            </w:r>
          </w:p>
        </w:tc>
        <w:tc>
          <w:tcPr>
            <w:tcW w:w="1613" w:type="dxa"/>
            <w:tcBorders>
              <w:top w:val="nil"/>
              <w:left w:val="single" w:sz="8" w:space="0" w:color="auto"/>
              <w:bottom w:val="single" w:sz="8" w:space="0" w:color="auto"/>
              <w:right w:val="single" w:sz="8" w:space="0" w:color="auto"/>
            </w:tcBorders>
          </w:tcPr>
          <w:p w14:paraId="4E34E8FC" w14:textId="77777777" w:rsidR="000234B0" w:rsidRPr="000D6942" w:rsidRDefault="000234B0" w:rsidP="00CF38FA">
            <w:pPr>
              <w:jc w:val="center"/>
              <w:rPr>
                <w:szCs w:val="22"/>
              </w:rPr>
            </w:pPr>
            <w:r w:rsidRPr="000D6942">
              <w:rPr>
                <w:szCs w:val="22"/>
              </w:rPr>
              <w:t>&lt; 6,2</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5EDADB6B" w14:textId="77777777" w:rsidR="000234B0" w:rsidRPr="000D6942" w:rsidRDefault="000234B0" w:rsidP="00CF38FA">
            <w:pPr>
              <w:jc w:val="center"/>
              <w:rPr>
                <w:szCs w:val="22"/>
              </w:rPr>
            </w:pPr>
            <w:r w:rsidRPr="000D6942">
              <w:rPr>
                <w:szCs w:val="22"/>
              </w:rPr>
              <w:t>500 mg</w:t>
            </w:r>
          </w:p>
        </w:tc>
        <w:tc>
          <w:tcPr>
            <w:tcW w:w="1701" w:type="dxa"/>
            <w:tcBorders>
              <w:top w:val="nil"/>
              <w:left w:val="nil"/>
              <w:bottom w:val="single" w:sz="8" w:space="0" w:color="auto"/>
              <w:right w:val="single" w:sz="8" w:space="0" w:color="auto"/>
            </w:tcBorders>
          </w:tcPr>
          <w:p w14:paraId="0D2089D7" w14:textId="06D5E6A8" w:rsidR="000234B0" w:rsidRPr="000D6942" w:rsidRDefault="000234B0" w:rsidP="00CF38FA">
            <w:pPr>
              <w:jc w:val="center"/>
              <w:rPr>
                <w:szCs w:val="22"/>
              </w:rPr>
            </w:pPr>
            <w:r w:rsidRPr="000D6942">
              <w:rPr>
                <w:szCs w:val="22"/>
              </w:rPr>
              <w:t>1500 mg</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3454BB26" w14:textId="56FE7938" w:rsidR="000234B0" w:rsidRPr="000D6942" w:rsidRDefault="000234B0" w:rsidP="00691187">
            <w:pPr>
              <w:jc w:val="center"/>
              <w:rPr>
                <w:szCs w:val="22"/>
              </w:rPr>
            </w:pPr>
            <w:r w:rsidRPr="000D6942">
              <w:rPr>
                <w:szCs w:val="22"/>
              </w:rPr>
              <w:t>2000 mg</w:t>
            </w:r>
          </w:p>
        </w:tc>
      </w:tr>
      <w:tr w:rsidR="00F849AB" w:rsidRPr="000D6942" w14:paraId="4682E2C9" w14:textId="77777777" w:rsidTr="00705434">
        <w:trPr>
          <w:trHeight w:val="546"/>
        </w:trPr>
        <w:tc>
          <w:tcPr>
            <w:tcW w:w="1033"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7A48572" w14:textId="54132645" w:rsidR="000234B0" w:rsidRPr="000D6942" w:rsidRDefault="00024A58" w:rsidP="00024A58">
            <w:pPr>
              <w:jc w:val="center"/>
              <w:rPr>
                <w:szCs w:val="22"/>
              </w:rPr>
            </w:pPr>
            <w:r w:rsidRPr="000D6942">
              <w:rPr>
                <w:szCs w:val="22"/>
              </w:rPr>
              <w:t xml:space="preserve">Nuo </w:t>
            </w:r>
            <w:r w:rsidR="000234B0" w:rsidRPr="000D6942">
              <w:rPr>
                <w:szCs w:val="22"/>
              </w:rPr>
              <w:t>10</w:t>
            </w:r>
            <w:r w:rsidRPr="000D6942">
              <w:rPr>
                <w:szCs w:val="22"/>
              </w:rPr>
              <w:t xml:space="preserve"> iki &lt;</w:t>
            </w:r>
            <w:r w:rsidR="000234B0" w:rsidRPr="000D6942">
              <w:rPr>
                <w:szCs w:val="22"/>
              </w:rPr>
              <w:t>14</w:t>
            </w:r>
          </w:p>
        </w:tc>
        <w:tc>
          <w:tcPr>
            <w:tcW w:w="1613" w:type="dxa"/>
            <w:tcBorders>
              <w:top w:val="nil"/>
              <w:left w:val="single" w:sz="8" w:space="0" w:color="auto"/>
              <w:bottom w:val="single" w:sz="4" w:space="0" w:color="auto"/>
              <w:right w:val="single" w:sz="8" w:space="0" w:color="auto"/>
            </w:tcBorders>
          </w:tcPr>
          <w:p w14:paraId="5DA04319" w14:textId="7DB0001A" w:rsidR="000234B0" w:rsidRPr="000D6942" w:rsidRDefault="00024A58" w:rsidP="00024A58">
            <w:pPr>
              <w:jc w:val="center"/>
              <w:rPr>
                <w:szCs w:val="22"/>
              </w:rPr>
            </w:pPr>
            <w:r w:rsidRPr="000D6942">
              <w:rPr>
                <w:szCs w:val="22"/>
              </w:rPr>
              <w:t xml:space="preserve">Nuo </w:t>
            </w:r>
            <w:r w:rsidR="000234B0" w:rsidRPr="000D6942">
              <w:rPr>
                <w:szCs w:val="22"/>
              </w:rPr>
              <w:t>6,2</w:t>
            </w:r>
            <w:r w:rsidRPr="000D6942">
              <w:rPr>
                <w:szCs w:val="22"/>
              </w:rPr>
              <w:t xml:space="preserve"> iki &lt;</w:t>
            </w:r>
            <w:r w:rsidR="000234B0" w:rsidRPr="000D6942">
              <w:rPr>
                <w:szCs w:val="22"/>
              </w:rPr>
              <w:t>8,7</w:t>
            </w:r>
          </w:p>
        </w:tc>
        <w:tc>
          <w:tcPr>
            <w:tcW w:w="1276" w:type="dxa"/>
            <w:tcBorders>
              <w:top w:val="nil"/>
              <w:left w:val="nil"/>
              <w:bottom w:val="single" w:sz="4" w:space="0" w:color="auto"/>
              <w:right w:val="single" w:sz="8" w:space="0" w:color="auto"/>
            </w:tcBorders>
            <w:tcMar>
              <w:top w:w="0" w:type="dxa"/>
              <w:left w:w="108" w:type="dxa"/>
              <w:bottom w:w="0" w:type="dxa"/>
              <w:right w:w="108" w:type="dxa"/>
            </w:tcMar>
          </w:tcPr>
          <w:p w14:paraId="683B0A5E" w14:textId="77777777" w:rsidR="000234B0" w:rsidRPr="000D6942" w:rsidRDefault="005D3E8F" w:rsidP="00CF38FA">
            <w:pPr>
              <w:jc w:val="center"/>
              <w:rPr>
                <w:szCs w:val="22"/>
              </w:rPr>
            </w:pPr>
            <w:r w:rsidRPr="000D6942">
              <w:rPr>
                <w:szCs w:val="22"/>
              </w:rPr>
              <w:t>500 mg</w:t>
            </w:r>
          </w:p>
        </w:tc>
        <w:tc>
          <w:tcPr>
            <w:tcW w:w="1701" w:type="dxa"/>
            <w:tcBorders>
              <w:top w:val="nil"/>
              <w:left w:val="nil"/>
              <w:bottom w:val="single" w:sz="4" w:space="0" w:color="auto"/>
              <w:right w:val="single" w:sz="8" w:space="0" w:color="auto"/>
            </w:tcBorders>
          </w:tcPr>
          <w:p w14:paraId="3C09B4C1" w14:textId="5441C122" w:rsidR="000234B0" w:rsidRPr="000D6942" w:rsidRDefault="000234B0" w:rsidP="00CF38FA">
            <w:pPr>
              <w:jc w:val="center"/>
              <w:rPr>
                <w:szCs w:val="22"/>
              </w:rPr>
            </w:pPr>
            <w:r w:rsidRPr="000D6942">
              <w:rPr>
                <w:szCs w:val="22"/>
              </w:rPr>
              <w:t>1000 mg</w:t>
            </w:r>
          </w:p>
        </w:tc>
        <w:tc>
          <w:tcPr>
            <w:tcW w:w="2551" w:type="dxa"/>
            <w:tcBorders>
              <w:top w:val="nil"/>
              <w:left w:val="nil"/>
              <w:bottom w:val="single" w:sz="4" w:space="0" w:color="auto"/>
              <w:right w:val="single" w:sz="8" w:space="0" w:color="auto"/>
            </w:tcBorders>
            <w:tcMar>
              <w:top w:w="0" w:type="dxa"/>
              <w:left w:w="108" w:type="dxa"/>
              <w:bottom w:w="0" w:type="dxa"/>
              <w:right w:w="108" w:type="dxa"/>
            </w:tcMar>
          </w:tcPr>
          <w:p w14:paraId="5B682C93" w14:textId="2696C91B" w:rsidR="000234B0" w:rsidRPr="000D6942" w:rsidRDefault="000234B0" w:rsidP="00CF38FA">
            <w:pPr>
              <w:jc w:val="center"/>
              <w:rPr>
                <w:szCs w:val="22"/>
              </w:rPr>
            </w:pPr>
            <w:r w:rsidRPr="000D6942">
              <w:rPr>
                <w:szCs w:val="22"/>
              </w:rPr>
              <w:t>1500 mg</w:t>
            </w:r>
          </w:p>
        </w:tc>
      </w:tr>
      <w:tr w:rsidR="00705434" w:rsidRPr="000D6942" w14:paraId="4F928EBB" w14:textId="77777777" w:rsidTr="00344747">
        <w:trPr>
          <w:trHeight w:val="353"/>
        </w:trPr>
        <w:tc>
          <w:tcPr>
            <w:tcW w:w="103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6431BA1" w14:textId="6400D9E2" w:rsidR="005D3E8F" w:rsidRPr="000D6942" w:rsidDel="000234B0" w:rsidRDefault="00024A58" w:rsidP="00CF38FA">
            <w:pPr>
              <w:jc w:val="center"/>
              <w:rPr>
                <w:szCs w:val="22"/>
              </w:rPr>
            </w:pPr>
            <w:r w:rsidRPr="000D6942">
              <w:rPr>
                <w:szCs w:val="22"/>
              </w:rPr>
              <w:t>≥ </w:t>
            </w:r>
            <w:r w:rsidR="005D3E8F" w:rsidRPr="000D6942">
              <w:rPr>
                <w:szCs w:val="22"/>
              </w:rPr>
              <w:t>14</w:t>
            </w:r>
          </w:p>
        </w:tc>
        <w:tc>
          <w:tcPr>
            <w:tcW w:w="1613" w:type="dxa"/>
            <w:tcBorders>
              <w:top w:val="single" w:sz="4" w:space="0" w:color="auto"/>
              <w:left w:val="single" w:sz="8" w:space="0" w:color="auto"/>
              <w:bottom w:val="single" w:sz="4" w:space="0" w:color="auto"/>
              <w:right w:val="single" w:sz="8" w:space="0" w:color="auto"/>
            </w:tcBorders>
          </w:tcPr>
          <w:p w14:paraId="7787A476" w14:textId="0FB3976F" w:rsidR="005D3E8F" w:rsidRPr="000D6942" w:rsidRDefault="00024A58" w:rsidP="00CF38FA">
            <w:pPr>
              <w:jc w:val="center"/>
              <w:rPr>
                <w:szCs w:val="22"/>
              </w:rPr>
            </w:pPr>
            <w:r w:rsidRPr="000D6942">
              <w:rPr>
                <w:szCs w:val="22"/>
              </w:rPr>
              <w:t>≥ </w:t>
            </w:r>
            <w:r w:rsidR="005D3E8F" w:rsidRPr="000D6942">
              <w:rPr>
                <w:szCs w:val="22"/>
              </w:rPr>
              <w:t>8,7</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BD2CD1" w14:textId="77777777" w:rsidR="005D3E8F" w:rsidRPr="000D6942" w:rsidRDefault="005D3E8F" w:rsidP="00CF38FA">
            <w:pPr>
              <w:jc w:val="center"/>
              <w:rPr>
                <w:szCs w:val="22"/>
              </w:rPr>
            </w:pPr>
            <w:r w:rsidRPr="000D6942">
              <w:rPr>
                <w:szCs w:val="22"/>
              </w:rPr>
              <w:t>500 mg</w:t>
            </w:r>
          </w:p>
        </w:tc>
        <w:tc>
          <w:tcPr>
            <w:tcW w:w="1701" w:type="dxa"/>
            <w:tcBorders>
              <w:top w:val="single" w:sz="4" w:space="0" w:color="auto"/>
              <w:left w:val="nil"/>
              <w:bottom w:val="single" w:sz="4" w:space="0" w:color="auto"/>
              <w:right w:val="single" w:sz="8" w:space="0" w:color="auto"/>
            </w:tcBorders>
          </w:tcPr>
          <w:p w14:paraId="596D219F" w14:textId="77777777" w:rsidR="005D3E8F" w:rsidRPr="000D6942" w:rsidRDefault="005D3E8F" w:rsidP="00CF38FA">
            <w:pPr>
              <w:jc w:val="center"/>
              <w:rPr>
                <w:szCs w:val="22"/>
              </w:rPr>
            </w:pPr>
            <w:r w:rsidRPr="000D6942">
              <w:rPr>
                <w:szCs w:val="22"/>
              </w:rPr>
              <w:t>500 mg</w:t>
            </w:r>
          </w:p>
        </w:tc>
        <w:tc>
          <w:tcPr>
            <w:tcW w:w="2551"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AAFA67B" w14:textId="77777777" w:rsidR="005D3E8F" w:rsidRPr="000D6942" w:rsidDel="005D3E8F" w:rsidRDefault="005D3E8F" w:rsidP="00CF38FA">
            <w:pPr>
              <w:jc w:val="center"/>
              <w:rPr>
                <w:szCs w:val="22"/>
              </w:rPr>
            </w:pPr>
            <w:r w:rsidRPr="000D6942">
              <w:rPr>
                <w:szCs w:val="22"/>
              </w:rPr>
              <w:t>500 mg</w:t>
            </w:r>
          </w:p>
        </w:tc>
      </w:tr>
    </w:tbl>
    <w:p w14:paraId="447A71CD" w14:textId="77777777" w:rsidR="004C2CCC" w:rsidRPr="000D6942" w:rsidRDefault="004C2CCC" w:rsidP="00CF38FA">
      <w:pPr>
        <w:rPr>
          <w:i/>
          <w:iCs/>
          <w:szCs w:val="22"/>
        </w:rPr>
      </w:pPr>
    </w:p>
    <w:p w14:paraId="286CA575" w14:textId="77777777" w:rsidR="005D3E8F" w:rsidRPr="000D6942" w:rsidRDefault="005D3E8F" w:rsidP="00CF38FA">
      <w:pPr>
        <w:rPr>
          <w:szCs w:val="22"/>
        </w:rPr>
      </w:pPr>
      <w:r w:rsidRPr="000D6942">
        <w:rPr>
          <w:szCs w:val="22"/>
        </w:rPr>
        <w:t>Geležies trūkumas turi būti patvirtintas laboratoriniais tyrimais, kaip nurodyta 4.1 skyriuje.</w:t>
      </w:r>
    </w:p>
    <w:p w14:paraId="6B144721" w14:textId="77777777" w:rsidR="005D3E8F" w:rsidRPr="000D6942" w:rsidRDefault="005D3E8F" w:rsidP="00CF38FA">
      <w:pPr>
        <w:rPr>
          <w:szCs w:val="22"/>
        </w:rPr>
      </w:pPr>
    </w:p>
    <w:p w14:paraId="03F99DBA" w14:textId="77777777" w:rsidR="004C2CCC" w:rsidRPr="000D6942" w:rsidRDefault="005D3E8F" w:rsidP="00CF38FA">
      <w:pPr>
        <w:rPr>
          <w:i/>
          <w:iCs/>
          <w:szCs w:val="22"/>
        </w:rPr>
      </w:pPr>
      <w:r w:rsidRPr="000D6942">
        <w:rPr>
          <w:i/>
          <w:iCs/>
          <w:szCs w:val="22"/>
        </w:rPr>
        <w:t>2 etapas. Didžiausios (-ių) individualios (-ių)</w:t>
      </w:r>
      <w:r w:rsidRPr="000D6942">
        <w:rPr>
          <w:i/>
        </w:rPr>
        <w:t xml:space="preserve"> geležies dozės</w:t>
      </w:r>
      <w:r w:rsidRPr="000D6942">
        <w:rPr>
          <w:i/>
          <w:iCs/>
          <w:szCs w:val="22"/>
        </w:rPr>
        <w:t xml:space="preserve"> (-ių) apskaičiavimas ir skyrimas</w:t>
      </w:r>
    </w:p>
    <w:p w14:paraId="1A2488DE" w14:textId="77777777" w:rsidR="005D3E8F" w:rsidRPr="000D6942" w:rsidRDefault="005D3E8F" w:rsidP="00CF38FA">
      <w:pPr>
        <w:rPr>
          <w:szCs w:val="22"/>
        </w:rPr>
      </w:pPr>
      <w:r w:rsidRPr="000D6942">
        <w:rPr>
          <w:szCs w:val="22"/>
        </w:rPr>
        <w:t>Atsižvelgiant į geležies poreikį, nustatytą pagal anksčiau pateiktą lentelę, reikia skirti tinkamą (-as) Ferinject dozę (-es), atsižvelgiant į toliau nurodytus veiksnius.</w:t>
      </w:r>
    </w:p>
    <w:p w14:paraId="06A36B24" w14:textId="77777777" w:rsidR="005D3E8F" w:rsidRPr="000D6942" w:rsidRDefault="005D3E8F" w:rsidP="00CF38FA">
      <w:pPr>
        <w:rPr>
          <w:szCs w:val="22"/>
        </w:rPr>
      </w:pPr>
    </w:p>
    <w:p w14:paraId="46520A49" w14:textId="77777777" w:rsidR="005D3E8F" w:rsidRPr="000D6942" w:rsidRDefault="005D3E8F" w:rsidP="00CF38FA">
      <w:pPr>
        <w:rPr>
          <w:szCs w:val="22"/>
        </w:rPr>
      </w:pPr>
      <w:r w:rsidRPr="000D6942">
        <w:rPr>
          <w:szCs w:val="22"/>
        </w:rPr>
        <w:t>Viena skiriama Ferinject dozė negali viršyti:</w:t>
      </w:r>
    </w:p>
    <w:p w14:paraId="546173ED" w14:textId="77777777" w:rsidR="005D3E8F" w:rsidRPr="000D6942" w:rsidRDefault="005D3E8F" w:rsidP="0087234B">
      <w:pPr>
        <w:pStyle w:val="Sraopastraipa"/>
        <w:numPr>
          <w:ilvl w:val="0"/>
          <w:numId w:val="14"/>
        </w:numPr>
        <w:ind w:left="567" w:hanging="567"/>
        <w:rPr>
          <w:szCs w:val="22"/>
        </w:rPr>
      </w:pPr>
      <w:r w:rsidRPr="000D6942">
        <w:rPr>
          <w:szCs w:val="22"/>
        </w:rPr>
        <w:t>15 mg geležies viename kilograme kūno svorio (leidžiant į veną) arba 20 mg geležies viename kilograme kūno svorio (infuzuojant į veną)</w:t>
      </w:r>
    </w:p>
    <w:p w14:paraId="39A92A08" w14:textId="01ADD3F3" w:rsidR="005D3E8F" w:rsidRPr="000D6942" w:rsidRDefault="005D3E8F" w:rsidP="00344747">
      <w:pPr>
        <w:pStyle w:val="Sraopastraipa"/>
        <w:numPr>
          <w:ilvl w:val="0"/>
          <w:numId w:val="14"/>
        </w:numPr>
        <w:ind w:left="567" w:hanging="567"/>
        <w:rPr>
          <w:szCs w:val="22"/>
        </w:rPr>
      </w:pPr>
      <w:r w:rsidRPr="000D6942">
        <w:rPr>
          <w:szCs w:val="22"/>
        </w:rPr>
        <w:t>1000 mg geležies (20 ml Ferinject)</w:t>
      </w:r>
    </w:p>
    <w:p w14:paraId="29BE5411" w14:textId="77777777" w:rsidR="005D3E8F" w:rsidRPr="000D6942" w:rsidRDefault="005D3E8F" w:rsidP="00CF38FA">
      <w:pPr>
        <w:rPr>
          <w:szCs w:val="22"/>
        </w:rPr>
      </w:pPr>
    </w:p>
    <w:p w14:paraId="05ABDDE1" w14:textId="04A8BB2B" w:rsidR="005D3E8F" w:rsidRPr="000D6942" w:rsidRDefault="005D3E8F" w:rsidP="00CF38FA">
      <w:pPr>
        <w:rPr>
          <w:szCs w:val="22"/>
        </w:rPr>
      </w:pPr>
      <w:r w:rsidRPr="000D6942">
        <w:rPr>
          <w:szCs w:val="22"/>
        </w:rPr>
        <w:t>Didžiausia rekomenduojama Ferinject dozė yra 1000 mg geležies (20 ml Ferinject) per savaitę.</w:t>
      </w:r>
    </w:p>
    <w:p w14:paraId="2D6BC214" w14:textId="77777777" w:rsidR="005D3E8F" w:rsidRPr="000D6942" w:rsidRDefault="005D3E8F" w:rsidP="00CF38FA">
      <w:pPr>
        <w:rPr>
          <w:szCs w:val="22"/>
        </w:rPr>
      </w:pPr>
    </w:p>
    <w:p w14:paraId="1A013BBB" w14:textId="77777777" w:rsidR="005D3E8F" w:rsidRPr="000D6942" w:rsidRDefault="005D3E8F" w:rsidP="00CF38FA">
      <w:pPr>
        <w:rPr>
          <w:szCs w:val="22"/>
        </w:rPr>
      </w:pPr>
      <w:r w:rsidRPr="000D6942">
        <w:rPr>
          <w:i/>
          <w:iCs/>
          <w:szCs w:val="22"/>
        </w:rPr>
        <w:t>3 etapas. Vertinimas papildžius</w:t>
      </w:r>
      <w:r w:rsidRPr="000D6942">
        <w:rPr>
          <w:i/>
        </w:rPr>
        <w:t xml:space="preserve"> geležies atsargas</w:t>
      </w:r>
    </w:p>
    <w:p w14:paraId="3C5D2CD5" w14:textId="77777777" w:rsidR="004C2CCC" w:rsidRPr="000D6942" w:rsidRDefault="00785024" w:rsidP="00CF38FA">
      <w:pPr>
        <w:rPr>
          <w:szCs w:val="22"/>
        </w:rPr>
      </w:pPr>
      <w:r w:rsidRPr="000D6942">
        <w:rPr>
          <w:szCs w:val="22"/>
        </w:rPr>
        <w:t>Gydytojas turi atlikti pakartotinį vertinimą, atsižvelgdamas į konkretaus paciento būklę. Hb koncentraciją pakartotinai vertinti reikia praėjus ne mažiau nei 4 savaitėms po paskutinės suvartotos Ferinject dozės, kad būtų pakankamai laiko eritrocitams pasigaminti ir geležiai įsisavinti.</w:t>
      </w:r>
      <w:r w:rsidR="005D3E8F" w:rsidRPr="000D6942">
        <w:rPr>
          <w:szCs w:val="22"/>
        </w:rPr>
        <w:t>Jei pacientui reikia papildyti geležies atsargas, geležies poreikį reikia iš naujo apskaičiuoti naudojant anksčiau pateiktą 1 lentelę.</w:t>
      </w:r>
      <w:r w:rsidRPr="000D6942">
        <w:rPr>
          <w:szCs w:val="22"/>
        </w:rPr>
        <w:t xml:space="preserve"> (Žr. 5.1 skyrių.)</w:t>
      </w:r>
      <w:r w:rsidR="005242CA" w:rsidRPr="000D6942">
        <w:rPr>
          <w:szCs w:val="22"/>
        </w:rPr>
        <w:t>.</w:t>
      </w:r>
    </w:p>
    <w:p w14:paraId="5D8DAE2F" w14:textId="77777777" w:rsidR="005D3E8F" w:rsidRPr="000D6942" w:rsidRDefault="005D3E8F" w:rsidP="009D4D9A"/>
    <w:p w14:paraId="1F6033DE" w14:textId="77777777" w:rsidR="005D3E8F" w:rsidRPr="000D6942" w:rsidRDefault="005D3E8F" w:rsidP="0087234B">
      <w:pPr>
        <w:rPr>
          <w:i/>
        </w:rPr>
      </w:pPr>
      <w:r w:rsidRPr="000D6942">
        <w:rPr>
          <w:i/>
          <w:iCs/>
          <w:szCs w:val="22"/>
        </w:rPr>
        <w:t>Specialių grupių pacientai – nuo</w:t>
      </w:r>
      <w:r w:rsidRPr="000D6942">
        <w:rPr>
          <w:i/>
        </w:rPr>
        <w:t xml:space="preserve"> hemodializės </w:t>
      </w:r>
      <w:r w:rsidRPr="000D6942">
        <w:rPr>
          <w:i/>
          <w:iCs/>
          <w:szCs w:val="22"/>
        </w:rPr>
        <w:t>priklausantys</w:t>
      </w:r>
      <w:r w:rsidRPr="000D6942">
        <w:rPr>
          <w:i/>
        </w:rPr>
        <w:t xml:space="preserve"> lėtine inkstų liga sergantys pacientai</w:t>
      </w:r>
    </w:p>
    <w:p w14:paraId="48B2899D" w14:textId="50BE1228" w:rsidR="005D3E8F" w:rsidRPr="000D6942" w:rsidRDefault="005D3E8F" w:rsidP="0087234B">
      <w:r w:rsidRPr="000D6942">
        <w:t>Nuo hemodializės priklausomiems lėtine inkstų liga sergantiems pacientams negalima viršyti vienos didžiausios 200 mg geležies per parą dozės (</w:t>
      </w:r>
      <w:r w:rsidRPr="000D6942">
        <w:rPr>
          <w:szCs w:val="22"/>
        </w:rPr>
        <w:t>taip pat</w:t>
      </w:r>
      <w:r w:rsidRPr="000D6942">
        <w:t xml:space="preserve"> žr.</w:t>
      </w:r>
      <w:r w:rsidRPr="000D6942">
        <w:rPr>
          <w:szCs w:val="22"/>
        </w:rPr>
        <w:t> </w:t>
      </w:r>
      <w:r w:rsidRPr="000D6942">
        <w:t>4.4 skyrių).</w:t>
      </w:r>
    </w:p>
    <w:p w14:paraId="04562E32" w14:textId="77777777" w:rsidR="005D3E8F" w:rsidRPr="000D6942" w:rsidRDefault="005D3E8F" w:rsidP="0087234B"/>
    <w:p w14:paraId="7936E5B0" w14:textId="77777777" w:rsidR="005D3E8F" w:rsidRPr="000D6942" w:rsidRDefault="005D3E8F" w:rsidP="0087234B">
      <w:pPr>
        <w:rPr>
          <w:i/>
        </w:rPr>
      </w:pPr>
      <w:r w:rsidRPr="000D6942">
        <w:rPr>
          <w:i/>
        </w:rPr>
        <w:t>Vaikų populiacija</w:t>
      </w:r>
    </w:p>
    <w:p w14:paraId="4A16939D" w14:textId="77777777" w:rsidR="005D3E8F" w:rsidRPr="000D6942" w:rsidRDefault="005D3E8F" w:rsidP="0087234B">
      <w:r w:rsidRPr="000D6942">
        <w:t>Ferinject vartojimas vaikams netirtas, todėl nerekomenduojama vartoti vaikams, jaunesniems nei 14</w:t>
      </w:r>
      <w:r w:rsidRPr="000D6942">
        <w:rPr>
          <w:szCs w:val="22"/>
        </w:rPr>
        <w:t> </w:t>
      </w:r>
      <w:r w:rsidRPr="000D6942">
        <w:t>metų</w:t>
      </w:r>
      <w:r w:rsidRPr="000D6942">
        <w:rPr>
          <w:szCs w:val="22"/>
        </w:rPr>
        <w:t xml:space="preserve"> amžiaus</w:t>
      </w:r>
      <w:r w:rsidRPr="000D6942">
        <w:t>.</w:t>
      </w:r>
    </w:p>
    <w:p w14:paraId="5F29BF7B" w14:textId="77777777" w:rsidR="004C2CCC" w:rsidRPr="000D6942" w:rsidRDefault="004C2CCC" w:rsidP="00CF38FA">
      <w:pPr>
        <w:rPr>
          <w:b/>
          <w:szCs w:val="22"/>
        </w:rPr>
      </w:pPr>
    </w:p>
    <w:p w14:paraId="5FA3BC88" w14:textId="77777777" w:rsidR="004C2CCC" w:rsidRPr="000D6942" w:rsidRDefault="004C2CCC" w:rsidP="00CF38FA">
      <w:pPr>
        <w:rPr>
          <w:i/>
          <w:szCs w:val="22"/>
        </w:rPr>
      </w:pPr>
      <w:r w:rsidRPr="000D6942">
        <w:rPr>
          <w:i/>
          <w:szCs w:val="22"/>
        </w:rPr>
        <w:t>Vartojimo metodas</w:t>
      </w:r>
    </w:p>
    <w:p w14:paraId="278487FF" w14:textId="77777777" w:rsidR="00643FFD" w:rsidRPr="000D6942" w:rsidRDefault="00643FFD"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Ferinject turi būti vartojamas tik į veną</w:t>
      </w:r>
      <w:r w:rsidR="004C2CCC" w:rsidRPr="000D6942">
        <w:rPr>
          <w:rFonts w:ascii="Times New Roman" w:hAnsi="Times New Roman"/>
          <w:color w:val="auto"/>
          <w:sz w:val="22"/>
          <w:szCs w:val="22"/>
          <w:lang w:val="lt-LT"/>
        </w:rPr>
        <w:t>:</w:t>
      </w:r>
    </w:p>
    <w:p w14:paraId="22620C44" w14:textId="77777777" w:rsidR="00643FFD" w:rsidRPr="000D6942" w:rsidRDefault="00643FFD" w:rsidP="00344747">
      <w:pPr>
        <w:pStyle w:val="Pagrindinistekstas2"/>
        <w:numPr>
          <w:ilvl w:val="0"/>
          <w:numId w:val="15"/>
        </w:numPr>
        <w:ind w:left="567" w:hanging="567"/>
        <w:rPr>
          <w:rFonts w:ascii="Times New Roman" w:hAnsi="Times New Roman"/>
          <w:color w:val="auto"/>
          <w:sz w:val="22"/>
          <w:szCs w:val="22"/>
          <w:lang w:val="lt-LT"/>
        </w:rPr>
      </w:pPr>
      <w:r w:rsidRPr="000D6942">
        <w:rPr>
          <w:rFonts w:ascii="Times New Roman" w:hAnsi="Times New Roman"/>
          <w:color w:val="auto"/>
          <w:sz w:val="22"/>
          <w:szCs w:val="22"/>
          <w:lang w:val="lt-LT"/>
        </w:rPr>
        <w:t>leidžiant,</w:t>
      </w:r>
    </w:p>
    <w:p w14:paraId="267D633F" w14:textId="77777777" w:rsidR="00643FFD" w:rsidRPr="000D6942" w:rsidRDefault="00643FFD" w:rsidP="00344747">
      <w:pPr>
        <w:pStyle w:val="Pagrindinistekstas2"/>
        <w:numPr>
          <w:ilvl w:val="0"/>
          <w:numId w:val="15"/>
        </w:numPr>
        <w:ind w:left="567" w:hanging="567"/>
        <w:rPr>
          <w:rFonts w:ascii="Times New Roman" w:hAnsi="Times New Roman"/>
          <w:color w:val="auto"/>
          <w:sz w:val="22"/>
          <w:szCs w:val="22"/>
          <w:lang w:val="lt-LT"/>
        </w:rPr>
      </w:pPr>
      <w:r w:rsidRPr="000D6942">
        <w:rPr>
          <w:rFonts w:ascii="Times New Roman" w:hAnsi="Times New Roman"/>
          <w:color w:val="auto"/>
          <w:sz w:val="22"/>
          <w:szCs w:val="22"/>
          <w:lang w:val="lt-LT"/>
        </w:rPr>
        <w:lastRenderedPageBreak/>
        <w:t>infuzuojant arba</w:t>
      </w:r>
    </w:p>
    <w:p w14:paraId="335539DC" w14:textId="77777777" w:rsidR="00CF38FA" w:rsidRPr="000D6942" w:rsidRDefault="004C2CCC" w:rsidP="00CF38FA">
      <w:pPr>
        <w:pStyle w:val="Pagrindinistekstas2"/>
        <w:numPr>
          <w:ilvl w:val="0"/>
          <w:numId w:val="15"/>
        </w:numPr>
        <w:ind w:left="567" w:hanging="567"/>
        <w:rPr>
          <w:rFonts w:ascii="Times New Roman" w:hAnsi="Times New Roman"/>
          <w:color w:val="auto"/>
          <w:sz w:val="22"/>
          <w:szCs w:val="22"/>
          <w:lang w:val="lt-LT"/>
        </w:rPr>
      </w:pPr>
      <w:r w:rsidRPr="000D6942">
        <w:rPr>
          <w:rFonts w:ascii="Times New Roman" w:hAnsi="Times New Roman"/>
          <w:color w:val="auto"/>
          <w:sz w:val="22"/>
          <w:szCs w:val="22"/>
          <w:lang w:val="lt-LT"/>
        </w:rPr>
        <w:t>hemodializės seanso metu nepraskiestą tiesiai į dializatoriaus veninę dalį</w:t>
      </w:r>
      <w:r w:rsidR="00CF38FA" w:rsidRPr="000D6942">
        <w:rPr>
          <w:rFonts w:ascii="Times New Roman" w:hAnsi="Times New Roman"/>
          <w:color w:val="auto"/>
          <w:sz w:val="22"/>
          <w:szCs w:val="22"/>
          <w:lang w:val="lt-LT"/>
        </w:rPr>
        <w:t>.</w:t>
      </w:r>
    </w:p>
    <w:p w14:paraId="67997BD2" w14:textId="77777777" w:rsidR="00643FFD" w:rsidRPr="000D6942" w:rsidRDefault="00643FFD" w:rsidP="00CF38FA">
      <w:pPr>
        <w:pStyle w:val="Pagrindinistekstas2"/>
        <w:ind w:left="0"/>
        <w:rPr>
          <w:rFonts w:ascii="Times New Roman" w:hAnsi="Times New Roman"/>
          <w:color w:val="auto"/>
          <w:sz w:val="22"/>
          <w:szCs w:val="22"/>
          <w:lang w:val="lt-LT"/>
        </w:rPr>
      </w:pPr>
    </w:p>
    <w:p w14:paraId="06300B66" w14:textId="77777777" w:rsidR="00643FFD" w:rsidRPr="000D6942" w:rsidRDefault="00643FFD"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Ferinject draudžiama vartoti po oda arba į raumenis.</w:t>
      </w:r>
    </w:p>
    <w:p w14:paraId="7C31EEF0" w14:textId="77777777" w:rsidR="00643FFD" w:rsidRPr="000D6942" w:rsidRDefault="00643FFD" w:rsidP="00CF38FA">
      <w:pPr>
        <w:pStyle w:val="Pagrindinistekstas2"/>
        <w:ind w:left="0"/>
        <w:rPr>
          <w:rFonts w:ascii="Times New Roman" w:hAnsi="Times New Roman"/>
          <w:color w:val="auto"/>
          <w:sz w:val="22"/>
          <w:szCs w:val="22"/>
          <w:lang w:val="lt-LT"/>
        </w:rPr>
      </w:pPr>
    </w:p>
    <w:p w14:paraId="22A877CF" w14:textId="77777777" w:rsidR="00643FFD" w:rsidRPr="000D6942" w:rsidRDefault="00643FFD" w:rsidP="00CF38FA">
      <w:pPr>
        <w:pStyle w:val="Pagrindinistekstas2"/>
        <w:ind w:left="0"/>
        <w:rPr>
          <w:rFonts w:ascii="Times New Roman" w:hAnsi="Times New Roman"/>
          <w:i/>
          <w:color w:val="auto"/>
          <w:sz w:val="22"/>
          <w:szCs w:val="22"/>
          <w:lang w:val="lt-LT"/>
        </w:rPr>
      </w:pPr>
      <w:r w:rsidRPr="000D6942">
        <w:rPr>
          <w:rFonts w:ascii="Times New Roman" w:hAnsi="Times New Roman"/>
          <w:i/>
          <w:color w:val="auto"/>
          <w:sz w:val="22"/>
          <w:lang w:val="lt-LT"/>
        </w:rPr>
        <w:t>Injekcija į veną</w:t>
      </w:r>
    </w:p>
    <w:p w14:paraId="3408F506" w14:textId="58210257" w:rsidR="00643FFD" w:rsidRPr="000D6942" w:rsidRDefault="00643FFD"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 xml:space="preserve">Ferinject galima skirti intraveninėmis injekcijomis, naudojant nepraskiestą tirpalą. Didžiausia viena dozė yra 15 mg geležies viename kilograme kūno svorio, tačiau ji negali viršyti 1000 mg geležies. Injekcijos normos nurodytos </w:t>
      </w:r>
      <w:r w:rsidR="00720915" w:rsidRPr="00AF288D">
        <w:rPr>
          <w:rFonts w:ascii="Times New Roman" w:hAnsi="Times New Roman"/>
          <w:sz w:val="22"/>
          <w:lang w:val="lt-LT"/>
        </w:rPr>
        <w:fldChar w:fldCharType="begin"/>
      </w:r>
      <w:r w:rsidR="00720915" w:rsidRPr="00AF288D">
        <w:rPr>
          <w:rFonts w:ascii="Times New Roman" w:hAnsi="Times New Roman"/>
          <w:sz w:val="22"/>
          <w:lang w:val="lt-LT"/>
        </w:rPr>
        <w:instrText xml:space="preserve"> REF _Ref402882616 \h  \* MERGEFORMAT </w:instrText>
      </w:r>
      <w:r w:rsidR="00720915" w:rsidRPr="00AF288D">
        <w:rPr>
          <w:rFonts w:ascii="Times New Roman" w:hAnsi="Times New Roman"/>
          <w:sz w:val="22"/>
          <w:lang w:val="lt-LT"/>
        </w:rPr>
      </w:r>
      <w:r w:rsidR="00720915" w:rsidRPr="00AF288D">
        <w:rPr>
          <w:rFonts w:ascii="Times New Roman" w:hAnsi="Times New Roman"/>
          <w:sz w:val="22"/>
          <w:lang w:val="lt-LT"/>
        </w:rPr>
        <w:fldChar w:fldCharType="separate"/>
      </w:r>
      <w:r w:rsidRPr="00AF288D">
        <w:rPr>
          <w:rFonts w:ascii="Times New Roman" w:hAnsi="Times New Roman"/>
          <w:sz w:val="22"/>
          <w:lang w:val="lt-LT"/>
        </w:rPr>
        <w:t>2</w:t>
      </w:r>
      <w:r w:rsidR="00720915" w:rsidRPr="00AF288D">
        <w:rPr>
          <w:rFonts w:ascii="Times New Roman" w:hAnsi="Times New Roman"/>
          <w:sz w:val="22"/>
          <w:lang w:val="lt-LT"/>
        </w:rPr>
        <w:fldChar w:fldCharType="end"/>
      </w:r>
      <w:r w:rsidR="00582828" w:rsidRPr="000D6942">
        <w:rPr>
          <w:rFonts w:ascii="Times New Roman" w:hAnsi="Times New Roman"/>
          <w:color w:val="auto"/>
          <w:sz w:val="22"/>
          <w:szCs w:val="22"/>
          <w:lang w:val="lt-LT"/>
        </w:rPr>
        <w:t> lentelėje</w:t>
      </w:r>
      <w:r w:rsidRPr="000D6942">
        <w:rPr>
          <w:rFonts w:ascii="Times New Roman" w:hAnsi="Times New Roman"/>
          <w:color w:val="auto"/>
          <w:sz w:val="22"/>
          <w:szCs w:val="22"/>
          <w:lang w:val="lt-LT"/>
        </w:rPr>
        <w:t>:</w:t>
      </w:r>
    </w:p>
    <w:p w14:paraId="56ACC331" w14:textId="77777777" w:rsidR="00643FFD" w:rsidRPr="000D6942" w:rsidRDefault="00643FFD" w:rsidP="00CF38FA">
      <w:pPr>
        <w:pStyle w:val="Pagrindinistekstas2"/>
        <w:ind w:left="0"/>
        <w:rPr>
          <w:rFonts w:ascii="Times New Roman" w:hAnsi="Times New Roman"/>
          <w:color w:val="auto"/>
          <w:sz w:val="22"/>
          <w:szCs w:val="22"/>
          <w:lang w:val="lt-LT"/>
        </w:rPr>
      </w:pPr>
    </w:p>
    <w:p w14:paraId="3CC90ABD" w14:textId="77777777" w:rsidR="00E23245" w:rsidRPr="000D6942" w:rsidRDefault="00887DA5" w:rsidP="00CF38FA">
      <w:pPr>
        <w:pStyle w:val="Pagrindinistekstas2"/>
        <w:ind w:left="0"/>
        <w:rPr>
          <w:rFonts w:ascii="Times New Roman" w:hAnsi="Times New Roman"/>
          <w:b/>
          <w:color w:val="auto"/>
          <w:sz w:val="22"/>
          <w:szCs w:val="22"/>
          <w:lang w:val="lt-LT"/>
        </w:rPr>
      </w:pPr>
      <w:r w:rsidRPr="000D6942">
        <w:rPr>
          <w:rFonts w:ascii="Times New Roman" w:hAnsi="Times New Roman"/>
          <w:b/>
          <w:color w:val="auto"/>
          <w:sz w:val="22"/>
          <w:szCs w:val="22"/>
          <w:lang w:val="lt-LT"/>
        </w:rPr>
        <w:fldChar w:fldCharType="begin"/>
      </w:r>
      <w:r w:rsidR="00643FFD" w:rsidRPr="000D6942">
        <w:rPr>
          <w:rFonts w:ascii="Times New Roman" w:hAnsi="Times New Roman"/>
          <w:b/>
          <w:color w:val="auto"/>
          <w:sz w:val="22"/>
          <w:szCs w:val="22"/>
          <w:lang w:val="lt-LT"/>
        </w:rPr>
        <w:instrText xml:space="preserve"> SEQ Table \* ARABIC </w:instrText>
      </w:r>
      <w:r w:rsidRPr="000D6942">
        <w:rPr>
          <w:rFonts w:ascii="Times New Roman" w:hAnsi="Times New Roman"/>
          <w:b/>
          <w:color w:val="auto"/>
          <w:sz w:val="22"/>
          <w:szCs w:val="22"/>
          <w:lang w:val="lt-LT"/>
        </w:rPr>
        <w:fldChar w:fldCharType="separate"/>
      </w:r>
      <w:r w:rsidR="00643FFD" w:rsidRPr="000D6942">
        <w:rPr>
          <w:rFonts w:ascii="Times New Roman" w:hAnsi="Times New Roman"/>
          <w:b/>
          <w:color w:val="auto"/>
          <w:sz w:val="22"/>
          <w:szCs w:val="22"/>
          <w:lang w:val="lt-LT"/>
        </w:rPr>
        <w:t>2</w:t>
      </w:r>
      <w:r w:rsidRPr="000D6942">
        <w:rPr>
          <w:rFonts w:ascii="Times New Roman" w:hAnsi="Times New Roman"/>
          <w:b/>
          <w:color w:val="auto"/>
          <w:sz w:val="22"/>
          <w:szCs w:val="22"/>
          <w:lang w:val="lt-LT"/>
        </w:rPr>
        <w:fldChar w:fldCharType="end"/>
      </w:r>
      <w:r w:rsidR="00EA40BB" w:rsidRPr="000D6942">
        <w:rPr>
          <w:rFonts w:ascii="Times New Roman" w:hAnsi="Times New Roman"/>
          <w:b/>
          <w:color w:val="auto"/>
          <w:sz w:val="22"/>
          <w:szCs w:val="22"/>
          <w:lang w:val="lt-LT"/>
        </w:rPr>
        <w:t xml:space="preserve"> lentelė.</w:t>
      </w:r>
      <w:r w:rsidR="00EA40BB" w:rsidRPr="000D6942">
        <w:rPr>
          <w:rFonts w:ascii="Times New Roman" w:hAnsi="Times New Roman"/>
          <w:b/>
          <w:color w:val="auto"/>
          <w:sz w:val="22"/>
          <w:szCs w:val="22"/>
          <w:lang w:val="lt-LT"/>
        </w:rPr>
        <w:tab/>
      </w:r>
      <w:r w:rsidR="00643FFD" w:rsidRPr="000D6942">
        <w:rPr>
          <w:rFonts w:ascii="Times New Roman" w:hAnsi="Times New Roman"/>
          <w:b/>
          <w:color w:val="auto"/>
          <w:sz w:val="22"/>
          <w:szCs w:val="22"/>
          <w:lang w:val="lt-LT"/>
        </w:rPr>
        <w:t>Ferinject injekcijos į veną normos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19"/>
        <w:gridCol w:w="3023"/>
      </w:tblGrid>
      <w:tr w:rsidR="00E23245" w:rsidRPr="000D6942" w14:paraId="2305E6EC" w14:textId="77777777" w:rsidTr="00705434">
        <w:trPr>
          <w:cantSplit/>
        </w:trPr>
        <w:tc>
          <w:tcPr>
            <w:tcW w:w="3095" w:type="dxa"/>
            <w:shd w:val="clear" w:color="auto" w:fill="auto"/>
          </w:tcPr>
          <w:p w14:paraId="07ADC9A2" w14:textId="77777777" w:rsidR="00E23245" w:rsidRPr="000D6942" w:rsidRDefault="00E23245" w:rsidP="00CF38FA">
            <w:pPr>
              <w:pStyle w:val="Pagrindinistekstas2"/>
              <w:ind w:left="0"/>
              <w:rPr>
                <w:rFonts w:ascii="Times New Roman" w:hAnsi="Times New Roman"/>
                <w:b/>
                <w:color w:val="auto"/>
                <w:sz w:val="22"/>
                <w:szCs w:val="22"/>
                <w:lang w:val="lt-LT"/>
              </w:rPr>
            </w:pPr>
            <w:r w:rsidRPr="000D6942">
              <w:rPr>
                <w:rFonts w:ascii="Times New Roman" w:hAnsi="Times New Roman"/>
                <w:b/>
                <w:color w:val="auto"/>
                <w:sz w:val="22"/>
                <w:szCs w:val="22"/>
                <w:lang w:val="lt-LT"/>
              </w:rPr>
              <w:t>Reikiamas Ferinject kiekis</w:t>
            </w:r>
          </w:p>
        </w:tc>
        <w:tc>
          <w:tcPr>
            <w:tcW w:w="3095" w:type="dxa"/>
            <w:shd w:val="clear" w:color="auto" w:fill="auto"/>
          </w:tcPr>
          <w:p w14:paraId="311CFE94" w14:textId="77777777" w:rsidR="00E23245" w:rsidRPr="000D6942" w:rsidRDefault="00E23245" w:rsidP="00CF38FA">
            <w:pPr>
              <w:pStyle w:val="Pagrindinistekstas2"/>
              <w:ind w:left="0"/>
              <w:rPr>
                <w:rFonts w:ascii="Times New Roman" w:hAnsi="Times New Roman"/>
                <w:b/>
                <w:color w:val="auto"/>
                <w:sz w:val="22"/>
                <w:szCs w:val="22"/>
                <w:lang w:val="lt-LT"/>
              </w:rPr>
            </w:pPr>
            <w:r w:rsidRPr="000D6942">
              <w:rPr>
                <w:rFonts w:ascii="Times New Roman" w:hAnsi="Times New Roman"/>
                <w:b/>
                <w:color w:val="auto"/>
                <w:sz w:val="22"/>
                <w:szCs w:val="22"/>
                <w:lang w:val="lt-LT"/>
              </w:rPr>
              <w:t>Lygiavertė geležies dozė</w:t>
            </w:r>
          </w:p>
        </w:tc>
        <w:tc>
          <w:tcPr>
            <w:tcW w:w="3096" w:type="dxa"/>
            <w:shd w:val="clear" w:color="auto" w:fill="auto"/>
          </w:tcPr>
          <w:p w14:paraId="405F4C7B" w14:textId="77777777" w:rsidR="00E23245" w:rsidRPr="000D6942" w:rsidRDefault="00E23245" w:rsidP="00CF38FA">
            <w:pPr>
              <w:pStyle w:val="Pagrindinistekstas2"/>
              <w:ind w:left="0"/>
              <w:rPr>
                <w:rFonts w:ascii="Times New Roman" w:hAnsi="Times New Roman"/>
                <w:b/>
                <w:color w:val="auto"/>
                <w:sz w:val="22"/>
                <w:szCs w:val="22"/>
                <w:lang w:val="lt-LT"/>
              </w:rPr>
            </w:pPr>
            <w:r w:rsidRPr="000D6942">
              <w:rPr>
                <w:rFonts w:ascii="Times New Roman" w:hAnsi="Times New Roman"/>
                <w:b/>
                <w:color w:val="auto"/>
                <w:sz w:val="22"/>
                <w:szCs w:val="22"/>
                <w:lang w:val="lt-LT"/>
              </w:rPr>
              <w:t>Injekcijos norma / minimalus injekcijos laikas</w:t>
            </w:r>
          </w:p>
        </w:tc>
      </w:tr>
      <w:tr w:rsidR="00E23245" w:rsidRPr="000D6942" w14:paraId="4EF0B5E7" w14:textId="77777777" w:rsidTr="00705434">
        <w:trPr>
          <w:cantSplit/>
        </w:trPr>
        <w:tc>
          <w:tcPr>
            <w:tcW w:w="3095" w:type="dxa"/>
            <w:shd w:val="clear" w:color="auto" w:fill="auto"/>
          </w:tcPr>
          <w:p w14:paraId="3478B637" w14:textId="77777777" w:rsidR="00E23245" w:rsidRPr="000D6942" w:rsidRDefault="00E23245"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nuo 2 iki 4 ml</w:t>
            </w:r>
          </w:p>
        </w:tc>
        <w:tc>
          <w:tcPr>
            <w:tcW w:w="3095" w:type="dxa"/>
            <w:shd w:val="clear" w:color="auto" w:fill="auto"/>
          </w:tcPr>
          <w:p w14:paraId="15F32497" w14:textId="77777777" w:rsidR="00E23245" w:rsidRPr="000D6942" w:rsidRDefault="00E23245"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nuo 100 iki 200 mg</w:t>
            </w:r>
          </w:p>
        </w:tc>
        <w:tc>
          <w:tcPr>
            <w:tcW w:w="3096" w:type="dxa"/>
            <w:shd w:val="clear" w:color="auto" w:fill="auto"/>
          </w:tcPr>
          <w:p w14:paraId="2BCF68B5" w14:textId="77777777" w:rsidR="00E23245" w:rsidRPr="000D6942" w:rsidRDefault="00E23245"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Minimalus laikas nenurodytas</w:t>
            </w:r>
          </w:p>
        </w:tc>
      </w:tr>
      <w:tr w:rsidR="00E23245" w:rsidRPr="000D6942" w14:paraId="25C3463B" w14:textId="77777777" w:rsidTr="00705434">
        <w:trPr>
          <w:cantSplit/>
        </w:trPr>
        <w:tc>
          <w:tcPr>
            <w:tcW w:w="3095" w:type="dxa"/>
            <w:shd w:val="clear" w:color="auto" w:fill="auto"/>
          </w:tcPr>
          <w:p w14:paraId="037F4A12" w14:textId="77777777" w:rsidR="00E23245" w:rsidRPr="000D6942" w:rsidRDefault="00E23245"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nuo &gt; 4 iki 10 ml</w:t>
            </w:r>
          </w:p>
        </w:tc>
        <w:tc>
          <w:tcPr>
            <w:tcW w:w="3095" w:type="dxa"/>
            <w:shd w:val="clear" w:color="auto" w:fill="auto"/>
          </w:tcPr>
          <w:p w14:paraId="45493E46" w14:textId="77777777" w:rsidR="00E23245" w:rsidRPr="000D6942" w:rsidRDefault="00E23245"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nuo &gt; 200 iki 500 mg</w:t>
            </w:r>
          </w:p>
        </w:tc>
        <w:tc>
          <w:tcPr>
            <w:tcW w:w="3096" w:type="dxa"/>
            <w:shd w:val="clear" w:color="auto" w:fill="auto"/>
          </w:tcPr>
          <w:p w14:paraId="25E6E3F0" w14:textId="77777777" w:rsidR="00E23245" w:rsidRPr="000D6942" w:rsidRDefault="00E23245"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100 mg geležies / min.</w:t>
            </w:r>
          </w:p>
        </w:tc>
      </w:tr>
      <w:tr w:rsidR="00E23245" w:rsidRPr="000D6942" w14:paraId="1408BC8F" w14:textId="77777777" w:rsidTr="00705434">
        <w:trPr>
          <w:cantSplit/>
        </w:trPr>
        <w:tc>
          <w:tcPr>
            <w:tcW w:w="3095" w:type="dxa"/>
            <w:shd w:val="clear" w:color="auto" w:fill="auto"/>
          </w:tcPr>
          <w:p w14:paraId="4F6A0951" w14:textId="77777777" w:rsidR="00E23245" w:rsidRPr="000D6942" w:rsidRDefault="00E23245"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nuo &gt; 10 iki 20 ml</w:t>
            </w:r>
          </w:p>
        </w:tc>
        <w:tc>
          <w:tcPr>
            <w:tcW w:w="3095" w:type="dxa"/>
            <w:shd w:val="clear" w:color="auto" w:fill="auto"/>
          </w:tcPr>
          <w:p w14:paraId="31F457FF" w14:textId="0563AA67" w:rsidR="00E23245" w:rsidRPr="000D6942" w:rsidRDefault="00E23245"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nuo &gt; 500 iki 1000 mg</w:t>
            </w:r>
          </w:p>
        </w:tc>
        <w:tc>
          <w:tcPr>
            <w:tcW w:w="3096" w:type="dxa"/>
            <w:shd w:val="clear" w:color="auto" w:fill="auto"/>
          </w:tcPr>
          <w:p w14:paraId="05E096E0" w14:textId="77777777" w:rsidR="00E23245" w:rsidRPr="000D6942" w:rsidRDefault="00E23245"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15 minučių</w:t>
            </w:r>
          </w:p>
        </w:tc>
      </w:tr>
    </w:tbl>
    <w:p w14:paraId="2E3681BB" w14:textId="77777777" w:rsidR="00E23245" w:rsidRPr="000D6942" w:rsidRDefault="00E23245" w:rsidP="00CF38FA">
      <w:pPr>
        <w:pStyle w:val="Pagrindinistekstas2"/>
        <w:ind w:left="0"/>
        <w:rPr>
          <w:rFonts w:ascii="Times New Roman" w:hAnsi="Times New Roman"/>
          <w:color w:val="auto"/>
          <w:sz w:val="22"/>
          <w:szCs w:val="22"/>
          <w:lang w:val="lt-LT"/>
        </w:rPr>
      </w:pPr>
    </w:p>
    <w:p w14:paraId="7C1BBD38" w14:textId="77777777" w:rsidR="00E23245" w:rsidRPr="000D6942" w:rsidRDefault="00E23245" w:rsidP="00CF38FA">
      <w:pPr>
        <w:pStyle w:val="Pagrindinistekstas2"/>
        <w:ind w:left="0"/>
        <w:rPr>
          <w:rFonts w:ascii="Times New Roman" w:hAnsi="Times New Roman"/>
          <w:i/>
          <w:color w:val="auto"/>
          <w:sz w:val="22"/>
          <w:szCs w:val="22"/>
          <w:lang w:val="lt-LT"/>
        </w:rPr>
      </w:pPr>
      <w:r w:rsidRPr="000D6942">
        <w:rPr>
          <w:rFonts w:ascii="Times New Roman" w:hAnsi="Times New Roman"/>
          <w:i/>
          <w:color w:val="auto"/>
          <w:sz w:val="22"/>
          <w:lang w:val="lt-LT"/>
        </w:rPr>
        <w:t>Intraveninė infuzija</w:t>
      </w:r>
    </w:p>
    <w:p w14:paraId="4F3708D3" w14:textId="5B8CDDB3" w:rsidR="00E23245" w:rsidRPr="000D6942" w:rsidRDefault="00E23245"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Ferinject galima skirti intraveninėmis infuzijomis. Tokiu atveju jį reikia atskiesti. Didžiausia viena dozė yra 20 mg geležies viename kilograme kūno svorio, tačiau ji negali viršyti 1000 mg geležies.</w:t>
      </w:r>
    </w:p>
    <w:p w14:paraId="0D5A6DAF" w14:textId="77777777" w:rsidR="00E23245" w:rsidRPr="000D6942" w:rsidRDefault="00E23245" w:rsidP="00CF38FA">
      <w:pPr>
        <w:pStyle w:val="Pagrindinistekstas2"/>
        <w:ind w:left="0"/>
        <w:rPr>
          <w:rFonts w:ascii="Times New Roman" w:hAnsi="Times New Roman"/>
          <w:color w:val="auto"/>
          <w:sz w:val="22"/>
          <w:szCs w:val="22"/>
          <w:lang w:val="lt-LT"/>
        </w:rPr>
      </w:pPr>
    </w:p>
    <w:p w14:paraId="612E7CAF" w14:textId="77777777" w:rsidR="00E23245" w:rsidRPr="000D6942" w:rsidRDefault="00E23245"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 xml:space="preserve">Taikant infuziją, Ferinject reikia praskiesti tik steriliu 0,9 % m/V natrio chlorido tirpalu, kaip parodyta </w:t>
      </w:r>
      <w:r w:rsidR="00720915" w:rsidRPr="00AF288D">
        <w:rPr>
          <w:rFonts w:ascii="Times New Roman" w:hAnsi="Times New Roman"/>
          <w:sz w:val="22"/>
          <w:lang w:val="lt-LT"/>
        </w:rPr>
        <w:fldChar w:fldCharType="begin"/>
      </w:r>
      <w:r w:rsidR="00720915" w:rsidRPr="00AF288D">
        <w:rPr>
          <w:rFonts w:ascii="Times New Roman" w:hAnsi="Times New Roman"/>
          <w:sz w:val="22"/>
          <w:lang w:val="lt-LT"/>
        </w:rPr>
        <w:instrText xml:space="preserve"> REF _Ref338684598 \h  \* MERGEFORMAT </w:instrText>
      </w:r>
      <w:r w:rsidR="00720915" w:rsidRPr="00AF288D">
        <w:rPr>
          <w:rFonts w:ascii="Times New Roman" w:hAnsi="Times New Roman"/>
          <w:sz w:val="22"/>
          <w:lang w:val="lt-LT"/>
        </w:rPr>
      </w:r>
      <w:r w:rsidR="00720915" w:rsidRPr="00AF288D">
        <w:rPr>
          <w:rFonts w:ascii="Times New Roman" w:hAnsi="Times New Roman"/>
          <w:sz w:val="22"/>
          <w:lang w:val="lt-LT"/>
        </w:rPr>
        <w:fldChar w:fldCharType="separate"/>
      </w:r>
      <w:r w:rsidRPr="00AF288D">
        <w:rPr>
          <w:rFonts w:ascii="Times New Roman" w:hAnsi="Times New Roman"/>
          <w:sz w:val="22"/>
          <w:lang w:val="lt-LT"/>
        </w:rPr>
        <w:t>3</w:t>
      </w:r>
      <w:r w:rsidR="00720915" w:rsidRPr="00AF288D">
        <w:rPr>
          <w:rFonts w:ascii="Times New Roman" w:hAnsi="Times New Roman"/>
          <w:sz w:val="22"/>
          <w:lang w:val="lt-LT"/>
        </w:rPr>
        <w:fldChar w:fldCharType="end"/>
      </w:r>
      <w:r w:rsidR="00582828" w:rsidRPr="000D6942">
        <w:rPr>
          <w:rFonts w:ascii="Times New Roman" w:hAnsi="Times New Roman"/>
          <w:color w:val="auto"/>
          <w:sz w:val="22"/>
          <w:szCs w:val="22"/>
          <w:lang w:val="lt-LT"/>
        </w:rPr>
        <w:t> lentelėje</w:t>
      </w:r>
      <w:r w:rsidRPr="000D6942">
        <w:rPr>
          <w:rFonts w:ascii="Times New Roman" w:hAnsi="Times New Roman"/>
          <w:color w:val="auto"/>
          <w:sz w:val="22"/>
          <w:szCs w:val="22"/>
          <w:lang w:val="lt-LT"/>
        </w:rPr>
        <w:t>. Pastaba: dėl stabilumo Ferinject negalima skiesti iki mažesnės nei 2 mg geležies viename mililitre koncentracijos (neįskaitant geležies karboksimaltozės tirpalo kiekio).</w:t>
      </w:r>
    </w:p>
    <w:p w14:paraId="4F72228F" w14:textId="77777777" w:rsidR="004C2CCC" w:rsidRPr="000D6942" w:rsidRDefault="004C2CCC" w:rsidP="00344747">
      <w:pPr>
        <w:pStyle w:val="Pagrindinistekstas2"/>
        <w:ind w:left="0"/>
        <w:rPr>
          <w:rFonts w:ascii="Times New Roman" w:hAnsi="Times New Roman"/>
          <w:sz w:val="22"/>
          <w:szCs w:val="22"/>
          <w:lang w:val="lt-LT"/>
        </w:rPr>
      </w:pPr>
    </w:p>
    <w:p w14:paraId="68A4B1BF" w14:textId="77777777" w:rsidR="004C2CCC" w:rsidRPr="000D6942" w:rsidRDefault="00582828" w:rsidP="00CF38FA">
      <w:pPr>
        <w:pStyle w:val="Pagrindinistekstas2"/>
        <w:ind w:left="0"/>
        <w:rPr>
          <w:rFonts w:ascii="Times New Roman" w:hAnsi="Times New Roman"/>
          <w:b/>
          <w:i/>
          <w:color w:val="auto"/>
          <w:sz w:val="22"/>
          <w:szCs w:val="22"/>
          <w:lang w:val="lt-LT"/>
        </w:rPr>
      </w:pPr>
      <w:r w:rsidRPr="000D6942">
        <w:rPr>
          <w:rFonts w:ascii="Times New Roman" w:hAnsi="Times New Roman"/>
          <w:b/>
          <w:bCs/>
          <w:color w:val="auto"/>
          <w:sz w:val="22"/>
          <w:szCs w:val="22"/>
          <w:lang w:val="lt-LT"/>
        </w:rPr>
        <w:t>3</w:t>
      </w:r>
      <w:r w:rsidR="004C2CCC" w:rsidRPr="000D6942">
        <w:rPr>
          <w:rFonts w:ascii="Times New Roman" w:hAnsi="Times New Roman"/>
          <w:b/>
          <w:bCs/>
          <w:color w:val="auto"/>
          <w:sz w:val="22"/>
          <w:szCs w:val="22"/>
          <w:lang w:val="lt-LT"/>
        </w:rPr>
        <w:t xml:space="preserve"> lentelė</w:t>
      </w:r>
      <w:r w:rsidR="00EA40BB" w:rsidRPr="000D6942">
        <w:rPr>
          <w:rFonts w:ascii="Times New Roman" w:hAnsi="Times New Roman"/>
          <w:b/>
          <w:bCs/>
          <w:color w:val="auto"/>
          <w:sz w:val="22"/>
          <w:szCs w:val="22"/>
          <w:lang w:val="lt-LT"/>
        </w:rPr>
        <w:t>.</w:t>
      </w:r>
      <w:r w:rsidR="00CF38FA" w:rsidRPr="000D6942">
        <w:rPr>
          <w:rFonts w:ascii="Times New Roman" w:hAnsi="Times New Roman"/>
          <w:b/>
          <w:bCs/>
          <w:color w:val="auto"/>
          <w:sz w:val="22"/>
          <w:szCs w:val="22"/>
          <w:lang w:val="lt-LT"/>
        </w:rPr>
        <w:tab/>
        <w:t>F</w:t>
      </w:r>
      <w:r w:rsidR="004C2CCC" w:rsidRPr="000D6942">
        <w:rPr>
          <w:rFonts w:ascii="Times New Roman" w:hAnsi="Times New Roman"/>
          <w:b/>
          <w:bCs/>
          <w:color w:val="auto"/>
          <w:sz w:val="22"/>
          <w:szCs w:val="22"/>
          <w:lang w:val="lt-LT"/>
        </w:rPr>
        <w:t>erinject</w:t>
      </w:r>
      <w:r w:rsidR="004C2CCC" w:rsidRPr="000D6942">
        <w:rPr>
          <w:rFonts w:ascii="Times New Roman" w:hAnsi="Times New Roman"/>
          <w:b/>
          <w:color w:val="auto"/>
          <w:sz w:val="22"/>
          <w:szCs w:val="22"/>
          <w:lang w:val="lt-LT"/>
        </w:rPr>
        <w:t xml:space="preserve"> praskiedimas l intraveninei infuzijai</w:t>
      </w:r>
    </w:p>
    <w:tbl>
      <w:tblPr>
        <w:tblW w:w="0" w:type="auto"/>
        <w:tblLayout w:type="fixed"/>
        <w:tblLook w:val="0000" w:firstRow="0" w:lastRow="0" w:firstColumn="0" w:lastColumn="0" w:noHBand="0" w:noVBand="0"/>
      </w:tblPr>
      <w:tblGrid>
        <w:gridCol w:w="959"/>
        <w:gridCol w:w="567"/>
        <w:gridCol w:w="850"/>
        <w:gridCol w:w="1134"/>
        <w:gridCol w:w="567"/>
        <w:gridCol w:w="1134"/>
        <w:gridCol w:w="1276"/>
        <w:gridCol w:w="851"/>
        <w:gridCol w:w="1231"/>
        <w:gridCol w:w="532"/>
      </w:tblGrid>
      <w:tr w:rsidR="004C2CCC" w:rsidRPr="000D6942" w14:paraId="73B5F9CC" w14:textId="77777777" w:rsidTr="00705434">
        <w:tc>
          <w:tcPr>
            <w:tcW w:w="2376" w:type="dxa"/>
            <w:gridSpan w:val="3"/>
            <w:tcBorders>
              <w:top w:val="single" w:sz="4" w:space="0" w:color="auto"/>
              <w:left w:val="single" w:sz="4" w:space="0" w:color="auto"/>
              <w:bottom w:val="single" w:sz="4" w:space="0" w:color="auto"/>
              <w:right w:val="single" w:sz="4" w:space="0" w:color="auto"/>
            </w:tcBorders>
          </w:tcPr>
          <w:p w14:paraId="1143D883" w14:textId="77777777" w:rsidR="004C2CCC" w:rsidRPr="000D6942" w:rsidRDefault="004C2CCC" w:rsidP="00CF38FA">
            <w:pPr>
              <w:pStyle w:val="Pagrindinistekstas2"/>
              <w:ind w:left="0"/>
              <w:jc w:val="center"/>
              <w:rPr>
                <w:rFonts w:ascii="Times New Roman" w:hAnsi="Times New Roman"/>
                <w:color w:val="auto"/>
                <w:sz w:val="22"/>
                <w:szCs w:val="22"/>
                <w:lang w:val="lt-LT" w:eastAsia="lt-LT"/>
              </w:rPr>
            </w:pPr>
          </w:p>
          <w:p w14:paraId="72D5D12F" w14:textId="77777777" w:rsidR="004C2CCC" w:rsidRPr="000D6942" w:rsidRDefault="00C048F6" w:rsidP="00CF38FA">
            <w:pPr>
              <w:pStyle w:val="Pagrindinistekstas2"/>
              <w:ind w:left="0"/>
              <w:jc w:val="center"/>
              <w:rPr>
                <w:rFonts w:ascii="Times New Roman" w:hAnsi="Times New Roman"/>
                <w:b/>
                <w:color w:val="auto"/>
                <w:sz w:val="22"/>
                <w:szCs w:val="22"/>
                <w:lang w:val="lt-LT" w:eastAsia="lt-LT"/>
              </w:rPr>
            </w:pPr>
            <w:r w:rsidRPr="000D6942">
              <w:rPr>
                <w:rFonts w:ascii="Times New Roman" w:hAnsi="Times New Roman"/>
                <w:b/>
                <w:color w:val="auto"/>
                <w:sz w:val="22"/>
                <w:szCs w:val="22"/>
                <w:lang w:val="lt-LT" w:eastAsia="lt-LT"/>
              </w:rPr>
              <w:t xml:space="preserve">Reikiamas </w:t>
            </w:r>
            <w:r w:rsidR="004C2CCC" w:rsidRPr="000D6942">
              <w:rPr>
                <w:rFonts w:ascii="Times New Roman" w:hAnsi="Times New Roman"/>
                <w:b/>
                <w:color w:val="auto"/>
                <w:sz w:val="22"/>
                <w:szCs w:val="22"/>
                <w:lang w:val="lt-LT" w:eastAsia="lt-LT"/>
              </w:rPr>
              <w:t>Ferinject</w:t>
            </w:r>
            <w:r w:rsidRPr="000D6942">
              <w:rPr>
                <w:rFonts w:ascii="Times New Roman" w:hAnsi="Times New Roman"/>
                <w:b/>
                <w:color w:val="auto"/>
                <w:sz w:val="22"/>
                <w:szCs w:val="22"/>
                <w:lang w:val="lt-LT" w:eastAsia="lt-LT"/>
              </w:rPr>
              <w:t xml:space="preserve"> kiekis</w:t>
            </w:r>
          </w:p>
        </w:tc>
        <w:tc>
          <w:tcPr>
            <w:tcW w:w="2835" w:type="dxa"/>
            <w:gridSpan w:val="3"/>
            <w:tcBorders>
              <w:top w:val="single" w:sz="4" w:space="0" w:color="auto"/>
              <w:left w:val="single" w:sz="4" w:space="0" w:color="auto"/>
              <w:bottom w:val="single" w:sz="4" w:space="0" w:color="auto"/>
              <w:right w:val="single" w:sz="4" w:space="0" w:color="auto"/>
            </w:tcBorders>
          </w:tcPr>
          <w:p w14:paraId="0FC6EFBD" w14:textId="77777777" w:rsidR="004C2CCC" w:rsidRPr="000D6942" w:rsidRDefault="004C2CCC" w:rsidP="00CF38FA">
            <w:pPr>
              <w:pStyle w:val="Pagrindinistekstas2"/>
              <w:ind w:left="0"/>
              <w:jc w:val="center"/>
              <w:rPr>
                <w:rFonts w:ascii="Times New Roman" w:hAnsi="Times New Roman"/>
                <w:color w:val="auto"/>
                <w:sz w:val="22"/>
                <w:szCs w:val="22"/>
                <w:lang w:val="lt-LT" w:eastAsia="lt-LT"/>
              </w:rPr>
            </w:pPr>
          </w:p>
          <w:p w14:paraId="5DE7DC48" w14:textId="77777777" w:rsidR="004C2CCC" w:rsidRPr="000D6942" w:rsidRDefault="00C048F6" w:rsidP="00CF38FA">
            <w:pPr>
              <w:pStyle w:val="Pagrindinistekstas2"/>
              <w:ind w:left="0"/>
              <w:jc w:val="center"/>
              <w:rPr>
                <w:rFonts w:ascii="Times New Roman" w:hAnsi="Times New Roman"/>
                <w:color w:val="auto"/>
                <w:sz w:val="22"/>
                <w:szCs w:val="22"/>
                <w:lang w:val="lt-LT" w:eastAsia="lt-LT"/>
              </w:rPr>
            </w:pPr>
            <w:r w:rsidRPr="000D6942">
              <w:rPr>
                <w:rFonts w:ascii="Times New Roman" w:hAnsi="Times New Roman"/>
                <w:b/>
                <w:color w:val="auto"/>
                <w:sz w:val="22"/>
                <w:szCs w:val="22"/>
                <w:lang w:val="lt-LT" w:eastAsia="lt-LT"/>
              </w:rPr>
              <w:t>Lygiavertė geležies dozė</w:t>
            </w:r>
          </w:p>
        </w:tc>
        <w:tc>
          <w:tcPr>
            <w:tcW w:w="2127" w:type="dxa"/>
            <w:gridSpan w:val="2"/>
            <w:tcBorders>
              <w:top w:val="single" w:sz="4" w:space="0" w:color="auto"/>
              <w:left w:val="single" w:sz="4" w:space="0" w:color="auto"/>
              <w:bottom w:val="single" w:sz="4" w:space="0" w:color="auto"/>
              <w:right w:val="single" w:sz="4" w:space="0" w:color="auto"/>
            </w:tcBorders>
          </w:tcPr>
          <w:p w14:paraId="22FA9FF5" w14:textId="77777777" w:rsidR="004C2CCC" w:rsidRPr="000D6942" w:rsidRDefault="004C2CCC" w:rsidP="00CF38FA">
            <w:pPr>
              <w:pStyle w:val="Pagrindinistekstas2"/>
              <w:ind w:left="0"/>
              <w:jc w:val="center"/>
              <w:rPr>
                <w:rFonts w:ascii="Times New Roman" w:hAnsi="Times New Roman"/>
                <w:b/>
                <w:color w:val="auto"/>
                <w:sz w:val="22"/>
                <w:szCs w:val="22"/>
                <w:lang w:val="lt-LT" w:eastAsia="lt-LT"/>
              </w:rPr>
            </w:pPr>
            <w:r w:rsidRPr="000D6942">
              <w:rPr>
                <w:rFonts w:ascii="Times New Roman" w:hAnsi="Times New Roman"/>
                <w:b/>
                <w:color w:val="auto"/>
                <w:sz w:val="22"/>
                <w:szCs w:val="22"/>
                <w:lang w:val="lt-LT" w:eastAsia="lt-LT"/>
              </w:rPr>
              <w:t>Didžiausias sterilaus 0,9 % m/V natrio chlorido tirpalo kiekis</w:t>
            </w:r>
          </w:p>
        </w:tc>
        <w:tc>
          <w:tcPr>
            <w:tcW w:w="1763" w:type="dxa"/>
            <w:gridSpan w:val="2"/>
            <w:tcBorders>
              <w:top w:val="single" w:sz="4" w:space="0" w:color="auto"/>
              <w:left w:val="single" w:sz="4" w:space="0" w:color="auto"/>
              <w:bottom w:val="single" w:sz="4" w:space="0" w:color="auto"/>
              <w:right w:val="single" w:sz="4" w:space="0" w:color="auto"/>
            </w:tcBorders>
          </w:tcPr>
          <w:p w14:paraId="03D73FC4" w14:textId="77777777" w:rsidR="004C2CCC" w:rsidRPr="000D6942" w:rsidRDefault="004C2CCC" w:rsidP="00CF38FA">
            <w:pPr>
              <w:pStyle w:val="Pagrindinistekstas2"/>
              <w:ind w:left="0"/>
              <w:jc w:val="center"/>
              <w:rPr>
                <w:rFonts w:ascii="Times New Roman" w:hAnsi="Times New Roman"/>
                <w:b/>
                <w:color w:val="auto"/>
                <w:sz w:val="22"/>
                <w:szCs w:val="22"/>
                <w:lang w:val="lt-LT" w:eastAsia="lt-LT"/>
              </w:rPr>
            </w:pPr>
            <w:r w:rsidRPr="000D6942">
              <w:rPr>
                <w:rFonts w:ascii="Times New Roman" w:hAnsi="Times New Roman"/>
                <w:b/>
                <w:color w:val="auto"/>
                <w:sz w:val="22"/>
                <w:szCs w:val="22"/>
                <w:lang w:val="lt-LT" w:eastAsia="lt-LT"/>
              </w:rPr>
              <w:t>Minimalus infuzijos laikas</w:t>
            </w:r>
          </w:p>
        </w:tc>
      </w:tr>
      <w:tr w:rsidR="00AF288D" w:rsidRPr="000D6942" w14:paraId="502E3E57" w14:textId="77777777" w:rsidTr="00705434">
        <w:tc>
          <w:tcPr>
            <w:tcW w:w="959" w:type="dxa"/>
            <w:tcBorders>
              <w:top w:val="single" w:sz="4" w:space="0" w:color="auto"/>
              <w:left w:val="single" w:sz="4" w:space="0" w:color="auto"/>
            </w:tcBorders>
          </w:tcPr>
          <w:p w14:paraId="273CFEC6" w14:textId="77777777" w:rsidR="004C2CCC" w:rsidRPr="000D6942" w:rsidRDefault="004C2CCC" w:rsidP="00CF38FA">
            <w:pPr>
              <w:pStyle w:val="Pagrindinistekstas2"/>
              <w:ind w:left="0"/>
              <w:jc w:val="right"/>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nuo 2</w:t>
            </w:r>
          </w:p>
        </w:tc>
        <w:tc>
          <w:tcPr>
            <w:tcW w:w="567" w:type="dxa"/>
            <w:tcBorders>
              <w:top w:val="single" w:sz="4" w:space="0" w:color="auto"/>
            </w:tcBorders>
          </w:tcPr>
          <w:p w14:paraId="6A06A88D" w14:textId="77777777" w:rsidR="004C2CCC" w:rsidRPr="000D6942" w:rsidRDefault="004C2CCC" w:rsidP="00CF38FA">
            <w:pPr>
              <w:pStyle w:val="Pagrindinistekstas2"/>
              <w:ind w:left="0"/>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iki</w:t>
            </w:r>
          </w:p>
        </w:tc>
        <w:tc>
          <w:tcPr>
            <w:tcW w:w="850" w:type="dxa"/>
            <w:tcBorders>
              <w:top w:val="single" w:sz="4" w:space="0" w:color="auto"/>
              <w:right w:val="single" w:sz="4" w:space="0" w:color="auto"/>
            </w:tcBorders>
          </w:tcPr>
          <w:p w14:paraId="1C7D1306" w14:textId="77777777" w:rsidR="004C2CCC" w:rsidRPr="000D6942" w:rsidRDefault="004C2CCC" w:rsidP="00CF38FA">
            <w:pPr>
              <w:pStyle w:val="Pagrindinistekstas2"/>
              <w:ind w:left="0"/>
              <w:jc w:val="right"/>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4 ml</w:t>
            </w:r>
          </w:p>
        </w:tc>
        <w:tc>
          <w:tcPr>
            <w:tcW w:w="1134" w:type="dxa"/>
            <w:tcBorders>
              <w:top w:val="single" w:sz="4" w:space="0" w:color="auto"/>
              <w:left w:val="single" w:sz="4" w:space="0" w:color="auto"/>
            </w:tcBorders>
          </w:tcPr>
          <w:p w14:paraId="054F92F1" w14:textId="77777777" w:rsidR="004C2CCC" w:rsidRPr="000D6942" w:rsidRDefault="004C2CCC" w:rsidP="00CF38FA">
            <w:pPr>
              <w:pStyle w:val="Pagrindinistekstas2"/>
              <w:ind w:left="0"/>
              <w:jc w:val="right"/>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nuo 100</w:t>
            </w:r>
          </w:p>
        </w:tc>
        <w:tc>
          <w:tcPr>
            <w:tcW w:w="567" w:type="dxa"/>
            <w:tcBorders>
              <w:top w:val="single" w:sz="4" w:space="0" w:color="auto"/>
            </w:tcBorders>
          </w:tcPr>
          <w:p w14:paraId="58C4DF25" w14:textId="77777777" w:rsidR="004C2CCC" w:rsidRPr="000D6942" w:rsidRDefault="004C2CCC" w:rsidP="00CF38FA">
            <w:pPr>
              <w:pStyle w:val="Pagrindinistekstas2"/>
              <w:ind w:left="0"/>
              <w:jc w:val="center"/>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iki</w:t>
            </w:r>
          </w:p>
        </w:tc>
        <w:tc>
          <w:tcPr>
            <w:tcW w:w="1134" w:type="dxa"/>
            <w:tcBorders>
              <w:top w:val="single" w:sz="4" w:space="0" w:color="auto"/>
              <w:right w:val="single" w:sz="4" w:space="0" w:color="auto"/>
            </w:tcBorders>
          </w:tcPr>
          <w:p w14:paraId="13B1861B" w14:textId="77777777" w:rsidR="004C2CCC" w:rsidRPr="000D6942" w:rsidRDefault="004C2CCC" w:rsidP="00CF38FA">
            <w:pPr>
              <w:pStyle w:val="Pagrindinistekstas2"/>
              <w:ind w:left="0"/>
              <w:jc w:val="right"/>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200 mg</w:t>
            </w:r>
          </w:p>
        </w:tc>
        <w:tc>
          <w:tcPr>
            <w:tcW w:w="1276" w:type="dxa"/>
            <w:tcBorders>
              <w:top w:val="single" w:sz="4" w:space="0" w:color="auto"/>
              <w:left w:val="single" w:sz="4" w:space="0" w:color="auto"/>
            </w:tcBorders>
          </w:tcPr>
          <w:p w14:paraId="1C72705C" w14:textId="77777777" w:rsidR="004C2CCC" w:rsidRPr="000D6942" w:rsidRDefault="004C2CCC" w:rsidP="00CF38FA">
            <w:pPr>
              <w:pStyle w:val="Pagrindinistekstas2"/>
              <w:ind w:left="0"/>
              <w:jc w:val="right"/>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50 ml</w:t>
            </w:r>
          </w:p>
        </w:tc>
        <w:tc>
          <w:tcPr>
            <w:tcW w:w="851" w:type="dxa"/>
            <w:tcBorders>
              <w:top w:val="single" w:sz="4" w:space="0" w:color="auto"/>
              <w:right w:val="single" w:sz="4" w:space="0" w:color="auto"/>
            </w:tcBorders>
          </w:tcPr>
          <w:p w14:paraId="6D4D35E3" w14:textId="77777777" w:rsidR="004C2CCC" w:rsidRPr="000D6942" w:rsidRDefault="004C2CCC" w:rsidP="00CF38FA">
            <w:pPr>
              <w:pStyle w:val="Pagrindinistekstas2"/>
              <w:ind w:left="0"/>
              <w:jc w:val="center"/>
              <w:rPr>
                <w:rFonts w:ascii="Times New Roman" w:hAnsi="Times New Roman"/>
                <w:color w:val="auto"/>
                <w:sz w:val="22"/>
                <w:szCs w:val="22"/>
                <w:lang w:val="lt-LT" w:eastAsia="lt-LT"/>
              </w:rPr>
            </w:pPr>
          </w:p>
        </w:tc>
        <w:tc>
          <w:tcPr>
            <w:tcW w:w="1763" w:type="dxa"/>
            <w:gridSpan w:val="2"/>
            <w:tcBorders>
              <w:top w:val="single" w:sz="4" w:space="0" w:color="auto"/>
              <w:left w:val="single" w:sz="4" w:space="0" w:color="auto"/>
              <w:right w:val="single" w:sz="4" w:space="0" w:color="auto"/>
            </w:tcBorders>
          </w:tcPr>
          <w:p w14:paraId="461935B5" w14:textId="4B2DF643" w:rsidR="004C2CCC" w:rsidRPr="000D6942" w:rsidRDefault="00F77311" w:rsidP="00CF38FA">
            <w:pPr>
              <w:pStyle w:val="Pagrindinistekstas2"/>
              <w:ind w:left="0"/>
              <w:jc w:val="center"/>
              <w:rPr>
                <w:rFonts w:ascii="Times New Roman" w:hAnsi="Times New Roman"/>
                <w:color w:val="auto"/>
                <w:sz w:val="22"/>
                <w:szCs w:val="22"/>
                <w:lang w:val="lt-LT" w:eastAsia="lt-LT"/>
              </w:rPr>
            </w:pPr>
            <w:r w:rsidRPr="00A7457B">
              <w:rPr>
                <w:rFonts w:ascii="Times New Roman" w:hAnsi="Times New Roman"/>
                <w:color w:val="auto"/>
                <w:sz w:val="22"/>
                <w:szCs w:val="22"/>
                <w:lang w:val="lt-LT" w:eastAsia="lt-LT"/>
              </w:rPr>
              <w:t>Minimalus laikas nenurodytas</w:t>
            </w:r>
            <w:r w:rsidRPr="000D6942" w:rsidDel="00F77311">
              <w:rPr>
                <w:rFonts w:ascii="Times New Roman" w:hAnsi="Times New Roman"/>
                <w:color w:val="auto"/>
                <w:sz w:val="22"/>
                <w:szCs w:val="22"/>
                <w:lang w:val="lt-LT" w:eastAsia="lt-LT"/>
              </w:rPr>
              <w:t xml:space="preserve"> </w:t>
            </w:r>
          </w:p>
        </w:tc>
      </w:tr>
      <w:tr w:rsidR="004C2CCC" w:rsidRPr="000D6942" w14:paraId="0015DF14" w14:textId="77777777" w:rsidTr="00705434">
        <w:tc>
          <w:tcPr>
            <w:tcW w:w="959" w:type="dxa"/>
            <w:tcBorders>
              <w:left w:val="single" w:sz="4" w:space="0" w:color="auto"/>
            </w:tcBorders>
          </w:tcPr>
          <w:p w14:paraId="191A646D" w14:textId="77777777" w:rsidR="004C2CCC" w:rsidRPr="000D6942" w:rsidRDefault="004C2CCC" w:rsidP="00CF38FA">
            <w:pPr>
              <w:pStyle w:val="Pagrindinistekstas2"/>
              <w:ind w:left="0"/>
              <w:jc w:val="right"/>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nuo &gt; 4</w:t>
            </w:r>
          </w:p>
        </w:tc>
        <w:tc>
          <w:tcPr>
            <w:tcW w:w="567" w:type="dxa"/>
          </w:tcPr>
          <w:p w14:paraId="248B74C1" w14:textId="77777777" w:rsidR="004C2CCC" w:rsidRPr="000D6942" w:rsidRDefault="004C2CCC" w:rsidP="00CF38FA">
            <w:pPr>
              <w:pStyle w:val="Pagrindinistekstas2"/>
              <w:ind w:left="0"/>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iki</w:t>
            </w:r>
          </w:p>
        </w:tc>
        <w:tc>
          <w:tcPr>
            <w:tcW w:w="850" w:type="dxa"/>
            <w:tcBorders>
              <w:right w:val="single" w:sz="4" w:space="0" w:color="auto"/>
            </w:tcBorders>
          </w:tcPr>
          <w:p w14:paraId="150ACAB6" w14:textId="77777777" w:rsidR="004C2CCC" w:rsidRPr="000D6942" w:rsidRDefault="004C2CCC" w:rsidP="00CF38FA">
            <w:pPr>
              <w:pStyle w:val="Pagrindinistekstas2"/>
              <w:ind w:left="0"/>
              <w:jc w:val="right"/>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10 ml</w:t>
            </w:r>
          </w:p>
        </w:tc>
        <w:tc>
          <w:tcPr>
            <w:tcW w:w="1134" w:type="dxa"/>
            <w:tcBorders>
              <w:left w:val="single" w:sz="4" w:space="0" w:color="auto"/>
            </w:tcBorders>
          </w:tcPr>
          <w:p w14:paraId="5A0F5D3D" w14:textId="77777777" w:rsidR="004C2CCC" w:rsidRPr="000D6942" w:rsidRDefault="004C2CCC" w:rsidP="00CF38FA">
            <w:pPr>
              <w:pStyle w:val="Pagrindinistekstas2"/>
              <w:ind w:left="0"/>
              <w:jc w:val="right"/>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nuo &gt; 200</w:t>
            </w:r>
          </w:p>
        </w:tc>
        <w:tc>
          <w:tcPr>
            <w:tcW w:w="567" w:type="dxa"/>
          </w:tcPr>
          <w:p w14:paraId="1A78E50C" w14:textId="77777777" w:rsidR="004C2CCC" w:rsidRPr="000D6942" w:rsidRDefault="004C2CCC" w:rsidP="00CF38FA">
            <w:pPr>
              <w:pStyle w:val="Pagrindinistekstas2"/>
              <w:ind w:left="0"/>
              <w:jc w:val="center"/>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iki</w:t>
            </w:r>
          </w:p>
        </w:tc>
        <w:tc>
          <w:tcPr>
            <w:tcW w:w="1134" w:type="dxa"/>
            <w:tcBorders>
              <w:right w:val="single" w:sz="4" w:space="0" w:color="auto"/>
            </w:tcBorders>
          </w:tcPr>
          <w:p w14:paraId="2AF7C8D0" w14:textId="77777777" w:rsidR="004C2CCC" w:rsidRPr="000D6942" w:rsidRDefault="004C2CCC" w:rsidP="00CF38FA">
            <w:pPr>
              <w:pStyle w:val="Pagrindinistekstas2"/>
              <w:ind w:left="0"/>
              <w:jc w:val="right"/>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500 mg</w:t>
            </w:r>
          </w:p>
        </w:tc>
        <w:tc>
          <w:tcPr>
            <w:tcW w:w="1276" w:type="dxa"/>
            <w:tcBorders>
              <w:left w:val="single" w:sz="4" w:space="0" w:color="auto"/>
            </w:tcBorders>
          </w:tcPr>
          <w:p w14:paraId="7EDFAA07" w14:textId="77777777" w:rsidR="004C2CCC" w:rsidRPr="000D6942" w:rsidRDefault="004C2CCC" w:rsidP="00CF38FA">
            <w:pPr>
              <w:pStyle w:val="Pagrindinistekstas2"/>
              <w:ind w:left="0"/>
              <w:jc w:val="right"/>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100 ml</w:t>
            </w:r>
          </w:p>
        </w:tc>
        <w:tc>
          <w:tcPr>
            <w:tcW w:w="851" w:type="dxa"/>
            <w:tcBorders>
              <w:right w:val="single" w:sz="4" w:space="0" w:color="auto"/>
            </w:tcBorders>
          </w:tcPr>
          <w:p w14:paraId="658ABFE8" w14:textId="77777777" w:rsidR="004C2CCC" w:rsidRPr="000D6942" w:rsidRDefault="004C2CCC" w:rsidP="00CF38FA">
            <w:pPr>
              <w:pStyle w:val="Pagrindinistekstas2"/>
              <w:ind w:left="0"/>
              <w:jc w:val="center"/>
              <w:rPr>
                <w:rFonts w:ascii="Times New Roman" w:hAnsi="Times New Roman"/>
                <w:color w:val="auto"/>
                <w:sz w:val="22"/>
                <w:szCs w:val="22"/>
                <w:lang w:val="lt-LT" w:eastAsia="lt-LT"/>
              </w:rPr>
            </w:pPr>
          </w:p>
        </w:tc>
        <w:tc>
          <w:tcPr>
            <w:tcW w:w="1231" w:type="dxa"/>
            <w:tcBorders>
              <w:left w:val="single" w:sz="4" w:space="0" w:color="auto"/>
            </w:tcBorders>
          </w:tcPr>
          <w:p w14:paraId="16F120BE" w14:textId="77777777" w:rsidR="004C2CCC" w:rsidRPr="000D6942" w:rsidRDefault="004C2CCC" w:rsidP="00CF38FA">
            <w:pPr>
              <w:pStyle w:val="Pagrindinistekstas2"/>
              <w:ind w:left="0"/>
              <w:jc w:val="right"/>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6 minutės</w:t>
            </w:r>
          </w:p>
        </w:tc>
        <w:tc>
          <w:tcPr>
            <w:tcW w:w="532" w:type="dxa"/>
            <w:tcBorders>
              <w:right w:val="single" w:sz="4" w:space="0" w:color="auto"/>
            </w:tcBorders>
          </w:tcPr>
          <w:p w14:paraId="3B81DD5C" w14:textId="77777777" w:rsidR="004C2CCC" w:rsidRPr="000D6942" w:rsidRDefault="004C2CCC" w:rsidP="00CF38FA">
            <w:pPr>
              <w:pStyle w:val="Pagrindinistekstas2"/>
              <w:ind w:left="0"/>
              <w:rPr>
                <w:rFonts w:ascii="Times New Roman" w:hAnsi="Times New Roman"/>
                <w:color w:val="auto"/>
                <w:sz w:val="22"/>
                <w:szCs w:val="22"/>
                <w:lang w:val="lt-LT" w:eastAsia="lt-LT"/>
              </w:rPr>
            </w:pPr>
          </w:p>
        </w:tc>
      </w:tr>
      <w:tr w:rsidR="00705434" w:rsidRPr="000D6942" w14:paraId="36B83967" w14:textId="77777777" w:rsidTr="000234B0">
        <w:tc>
          <w:tcPr>
            <w:tcW w:w="959" w:type="dxa"/>
            <w:tcBorders>
              <w:left w:val="single" w:sz="4" w:space="0" w:color="auto"/>
              <w:bottom w:val="single" w:sz="4" w:space="0" w:color="auto"/>
            </w:tcBorders>
          </w:tcPr>
          <w:p w14:paraId="621BAEC5" w14:textId="77777777" w:rsidR="004C2CCC" w:rsidRPr="000D6942" w:rsidRDefault="004C2CCC" w:rsidP="00CF38FA">
            <w:pPr>
              <w:pStyle w:val="Pagrindinistekstas2"/>
              <w:ind w:left="0"/>
              <w:jc w:val="right"/>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&gt; 10</w:t>
            </w:r>
          </w:p>
        </w:tc>
        <w:tc>
          <w:tcPr>
            <w:tcW w:w="567" w:type="dxa"/>
            <w:tcBorders>
              <w:bottom w:val="single" w:sz="4" w:space="0" w:color="auto"/>
            </w:tcBorders>
          </w:tcPr>
          <w:p w14:paraId="5B0CB7B9" w14:textId="77777777" w:rsidR="004C2CCC" w:rsidRPr="000D6942" w:rsidRDefault="004C2CCC" w:rsidP="00CF38FA">
            <w:pPr>
              <w:pStyle w:val="Pagrindinistekstas2"/>
              <w:ind w:left="0"/>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iki</w:t>
            </w:r>
          </w:p>
        </w:tc>
        <w:tc>
          <w:tcPr>
            <w:tcW w:w="850" w:type="dxa"/>
            <w:tcBorders>
              <w:bottom w:val="single" w:sz="4" w:space="0" w:color="auto"/>
              <w:right w:val="single" w:sz="4" w:space="0" w:color="auto"/>
            </w:tcBorders>
          </w:tcPr>
          <w:p w14:paraId="11F11ADD" w14:textId="77777777" w:rsidR="004C2CCC" w:rsidRPr="000D6942" w:rsidRDefault="004C2CCC" w:rsidP="00CF38FA">
            <w:pPr>
              <w:pStyle w:val="Pagrindinistekstas2"/>
              <w:ind w:left="0"/>
              <w:jc w:val="right"/>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20 ml</w:t>
            </w:r>
          </w:p>
        </w:tc>
        <w:tc>
          <w:tcPr>
            <w:tcW w:w="1134" w:type="dxa"/>
            <w:tcBorders>
              <w:left w:val="single" w:sz="4" w:space="0" w:color="auto"/>
              <w:bottom w:val="single" w:sz="4" w:space="0" w:color="auto"/>
            </w:tcBorders>
          </w:tcPr>
          <w:p w14:paraId="69A03DEA" w14:textId="77777777" w:rsidR="004C2CCC" w:rsidRPr="000D6942" w:rsidRDefault="004C2CCC" w:rsidP="00CF38FA">
            <w:pPr>
              <w:pStyle w:val="Pagrindinistekstas2"/>
              <w:ind w:left="0"/>
              <w:jc w:val="right"/>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nuo &gt; 500</w:t>
            </w:r>
          </w:p>
        </w:tc>
        <w:tc>
          <w:tcPr>
            <w:tcW w:w="567" w:type="dxa"/>
            <w:tcBorders>
              <w:bottom w:val="single" w:sz="4" w:space="0" w:color="auto"/>
            </w:tcBorders>
          </w:tcPr>
          <w:p w14:paraId="43742B99" w14:textId="77777777" w:rsidR="004C2CCC" w:rsidRPr="000D6942" w:rsidRDefault="004C2CCC" w:rsidP="00CF38FA">
            <w:pPr>
              <w:pStyle w:val="Pagrindinistekstas2"/>
              <w:ind w:left="0"/>
              <w:jc w:val="center"/>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iki</w:t>
            </w:r>
          </w:p>
        </w:tc>
        <w:tc>
          <w:tcPr>
            <w:tcW w:w="1134" w:type="dxa"/>
            <w:tcBorders>
              <w:bottom w:val="single" w:sz="4" w:space="0" w:color="auto"/>
              <w:right w:val="single" w:sz="4" w:space="0" w:color="auto"/>
            </w:tcBorders>
          </w:tcPr>
          <w:p w14:paraId="5AB97482" w14:textId="77777777" w:rsidR="004C2CCC" w:rsidRPr="000D6942" w:rsidRDefault="004C2CCC" w:rsidP="00CF38FA">
            <w:pPr>
              <w:pStyle w:val="Pagrindinistekstas2"/>
              <w:ind w:left="0"/>
              <w:jc w:val="right"/>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1000 mg</w:t>
            </w:r>
          </w:p>
        </w:tc>
        <w:tc>
          <w:tcPr>
            <w:tcW w:w="1276" w:type="dxa"/>
            <w:tcBorders>
              <w:left w:val="single" w:sz="4" w:space="0" w:color="auto"/>
              <w:bottom w:val="single" w:sz="4" w:space="0" w:color="auto"/>
            </w:tcBorders>
          </w:tcPr>
          <w:p w14:paraId="17B77699" w14:textId="77777777" w:rsidR="004C2CCC" w:rsidRPr="000D6942" w:rsidRDefault="004C2CCC" w:rsidP="00CF38FA">
            <w:pPr>
              <w:pStyle w:val="Pagrindinistekstas2"/>
              <w:ind w:left="0"/>
              <w:jc w:val="right"/>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250 ml</w:t>
            </w:r>
          </w:p>
        </w:tc>
        <w:tc>
          <w:tcPr>
            <w:tcW w:w="851" w:type="dxa"/>
            <w:tcBorders>
              <w:bottom w:val="single" w:sz="4" w:space="0" w:color="auto"/>
              <w:right w:val="single" w:sz="4" w:space="0" w:color="auto"/>
            </w:tcBorders>
          </w:tcPr>
          <w:p w14:paraId="744D771D" w14:textId="77777777" w:rsidR="004C2CCC" w:rsidRPr="000D6942" w:rsidRDefault="004C2CCC" w:rsidP="00CF38FA">
            <w:pPr>
              <w:pStyle w:val="Pagrindinistekstas2"/>
              <w:ind w:left="0"/>
              <w:jc w:val="center"/>
              <w:rPr>
                <w:rFonts w:ascii="Times New Roman" w:hAnsi="Times New Roman"/>
                <w:color w:val="auto"/>
                <w:sz w:val="22"/>
                <w:szCs w:val="22"/>
                <w:lang w:val="lt-LT" w:eastAsia="lt-LT"/>
              </w:rPr>
            </w:pPr>
          </w:p>
        </w:tc>
        <w:tc>
          <w:tcPr>
            <w:tcW w:w="1231" w:type="dxa"/>
            <w:tcBorders>
              <w:left w:val="single" w:sz="4" w:space="0" w:color="auto"/>
              <w:bottom w:val="single" w:sz="4" w:space="0" w:color="auto"/>
            </w:tcBorders>
          </w:tcPr>
          <w:p w14:paraId="5ADF81D4" w14:textId="77777777" w:rsidR="004C2CCC" w:rsidRPr="000D6942" w:rsidRDefault="004C2CCC" w:rsidP="00CF38FA">
            <w:pPr>
              <w:pStyle w:val="Pagrindinistekstas2"/>
              <w:ind w:left="0"/>
              <w:jc w:val="right"/>
              <w:rPr>
                <w:rFonts w:ascii="Times New Roman" w:hAnsi="Times New Roman"/>
                <w:color w:val="auto"/>
                <w:sz w:val="22"/>
                <w:szCs w:val="22"/>
                <w:lang w:val="lt-LT" w:eastAsia="lt-LT"/>
              </w:rPr>
            </w:pPr>
            <w:r w:rsidRPr="000D6942">
              <w:rPr>
                <w:rFonts w:ascii="Times New Roman" w:hAnsi="Times New Roman"/>
                <w:color w:val="auto"/>
                <w:sz w:val="22"/>
                <w:szCs w:val="22"/>
                <w:lang w:val="lt-LT" w:eastAsia="lt-LT"/>
              </w:rPr>
              <w:t>15 minučių</w:t>
            </w:r>
          </w:p>
        </w:tc>
        <w:tc>
          <w:tcPr>
            <w:tcW w:w="532" w:type="dxa"/>
            <w:tcBorders>
              <w:bottom w:val="single" w:sz="4" w:space="0" w:color="auto"/>
              <w:right w:val="single" w:sz="4" w:space="0" w:color="auto"/>
            </w:tcBorders>
          </w:tcPr>
          <w:p w14:paraId="4B848A3E" w14:textId="77777777" w:rsidR="004C2CCC" w:rsidRPr="000D6942" w:rsidRDefault="004C2CCC" w:rsidP="00CF38FA">
            <w:pPr>
              <w:pStyle w:val="Pagrindinistekstas2"/>
              <w:ind w:left="0"/>
              <w:rPr>
                <w:rFonts w:ascii="Times New Roman" w:hAnsi="Times New Roman"/>
                <w:color w:val="auto"/>
                <w:sz w:val="22"/>
                <w:szCs w:val="22"/>
                <w:lang w:val="lt-LT" w:eastAsia="lt-LT"/>
              </w:rPr>
            </w:pPr>
          </w:p>
        </w:tc>
      </w:tr>
    </w:tbl>
    <w:p w14:paraId="547EE5D4" w14:textId="77777777" w:rsidR="004C2CCC" w:rsidRPr="000D6942" w:rsidRDefault="004C2CCC" w:rsidP="0087234B">
      <w:pPr>
        <w:pStyle w:val="Pagrindinistekstas2"/>
        <w:ind w:left="0"/>
        <w:rPr>
          <w:rFonts w:ascii="Times New Roman" w:hAnsi="Times New Roman"/>
          <w:color w:val="auto"/>
          <w:sz w:val="22"/>
          <w:szCs w:val="22"/>
          <w:lang w:val="lt-LT"/>
        </w:rPr>
      </w:pPr>
    </w:p>
    <w:p w14:paraId="2343E5D0" w14:textId="77777777" w:rsidR="004C2CCC" w:rsidRPr="000D6942" w:rsidRDefault="004C2CCC" w:rsidP="00CF38FA">
      <w:pPr>
        <w:ind w:left="540" w:hanging="540"/>
        <w:rPr>
          <w:b/>
          <w:szCs w:val="22"/>
        </w:rPr>
      </w:pPr>
      <w:r w:rsidRPr="000D6942">
        <w:rPr>
          <w:b/>
          <w:szCs w:val="22"/>
        </w:rPr>
        <w:t>4.3</w:t>
      </w:r>
      <w:r w:rsidRPr="000D6942">
        <w:rPr>
          <w:b/>
          <w:szCs w:val="22"/>
        </w:rPr>
        <w:tab/>
        <w:t>Kontraindikacijos</w:t>
      </w:r>
    </w:p>
    <w:p w14:paraId="7ED41056" w14:textId="77777777" w:rsidR="004C2CCC" w:rsidRPr="000D6942" w:rsidRDefault="004C2CCC" w:rsidP="0087234B">
      <w:pPr>
        <w:keepNext/>
        <w:keepLines/>
        <w:rPr>
          <w:szCs w:val="22"/>
        </w:rPr>
      </w:pPr>
    </w:p>
    <w:p w14:paraId="2883A0CA" w14:textId="77777777" w:rsidR="004C2CCC" w:rsidRPr="000D6942" w:rsidRDefault="004C2CCC" w:rsidP="00CF38FA">
      <w:pPr>
        <w:rPr>
          <w:szCs w:val="22"/>
        </w:rPr>
      </w:pPr>
      <w:r w:rsidRPr="000D6942">
        <w:rPr>
          <w:szCs w:val="22"/>
        </w:rPr>
        <w:t>Ferinject kontraindikuotinas šiais atvejais:</w:t>
      </w:r>
    </w:p>
    <w:p w14:paraId="5CBC2E49" w14:textId="77777777" w:rsidR="004C2CCC" w:rsidRPr="000D6942" w:rsidRDefault="004C2CCC" w:rsidP="00CF38FA">
      <w:pPr>
        <w:numPr>
          <w:ilvl w:val="0"/>
          <w:numId w:val="6"/>
        </w:numPr>
        <w:ind w:hanging="720"/>
        <w:rPr>
          <w:szCs w:val="22"/>
        </w:rPr>
      </w:pPr>
      <w:r w:rsidRPr="000D6942">
        <w:rPr>
          <w:szCs w:val="22"/>
        </w:rPr>
        <w:t>padidėjęs jautrumas veikliajai arba bet kuriai 6.1 skyriuje nurodytai pagalbinei Ferinject medžiagai;</w:t>
      </w:r>
    </w:p>
    <w:p w14:paraId="3A489C9B" w14:textId="77777777" w:rsidR="004C2CCC" w:rsidRPr="000D6942" w:rsidRDefault="004C2CCC" w:rsidP="00CF38FA">
      <w:pPr>
        <w:numPr>
          <w:ilvl w:val="0"/>
          <w:numId w:val="6"/>
        </w:numPr>
        <w:ind w:hanging="720"/>
        <w:rPr>
          <w:szCs w:val="22"/>
        </w:rPr>
      </w:pPr>
      <w:r w:rsidRPr="000D6942">
        <w:rPr>
          <w:szCs w:val="22"/>
        </w:rPr>
        <w:t>nustatytas padidėjęs jautrumas kitiems parenteraliai vartojamiems geležies preparatams;</w:t>
      </w:r>
    </w:p>
    <w:p w14:paraId="0EACCA57" w14:textId="77777777" w:rsidR="004C2CCC" w:rsidRPr="000D6942" w:rsidRDefault="004C2CCC" w:rsidP="00CF38FA">
      <w:pPr>
        <w:numPr>
          <w:ilvl w:val="0"/>
          <w:numId w:val="6"/>
        </w:numPr>
        <w:ind w:hanging="720"/>
        <w:rPr>
          <w:szCs w:val="22"/>
        </w:rPr>
      </w:pPr>
      <w:r w:rsidRPr="000D6942">
        <w:rPr>
          <w:szCs w:val="22"/>
        </w:rPr>
        <w:t>anemija ne dėl geležies trūkumo, pvz., kita mikrocitinė anemija;</w:t>
      </w:r>
    </w:p>
    <w:p w14:paraId="15DB31E4" w14:textId="77777777" w:rsidR="004C2CCC" w:rsidRPr="000D6942" w:rsidRDefault="004C2CCC" w:rsidP="00CF38FA">
      <w:pPr>
        <w:numPr>
          <w:ilvl w:val="0"/>
          <w:numId w:val="6"/>
        </w:numPr>
        <w:ind w:hanging="720"/>
        <w:rPr>
          <w:szCs w:val="22"/>
        </w:rPr>
      </w:pPr>
      <w:r w:rsidRPr="000D6942">
        <w:rPr>
          <w:szCs w:val="22"/>
        </w:rPr>
        <w:t>geležies pertekliaus požymiai ar sutrikęs geležies pasisavinimas.</w:t>
      </w:r>
    </w:p>
    <w:p w14:paraId="1515B9D8" w14:textId="77777777" w:rsidR="004C2CCC" w:rsidRPr="000D6942" w:rsidRDefault="004C2CCC" w:rsidP="00CF38FA">
      <w:pPr>
        <w:rPr>
          <w:b/>
          <w:szCs w:val="22"/>
        </w:rPr>
      </w:pPr>
    </w:p>
    <w:p w14:paraId="7D8747EA" w14:textId="77777777" w:rsidR="004C2CCC" w:rsidRPr="000D6942" w:rsidRDefault="004C2CCC" w:rsidP="00CF38FA">
      <w:pPr>
        <w:ind w:left="540" w:hanging="540"/>
        <w:rPr>
          <w:b/>
          <w:szCs w:val="22"/>
        </w:rPr>
      </w:pPr>
      <w:r w:rsidRPr="000D6942">
        <w:rPr>
          <w:b/>
          <w:szCs w:val="22"/>
        </w:rPr>
        <w:t>4.4</w:t>
      </w:r>
      <w:r w:rsidRPr="000D6942">
        <w:rPr>
          <w:b/>
          <w:szCs w:val="22"/>
        </w:rPr>
        <w:tab/>
        <w:t>Specialūs įspėjimai ir atsargumo priemonės</w:t>
      </w:r>
    </w:p>
    <w:p w14:paraId="49DEE1E8" w14:textId="77777777" w:rsidR="004C2CCC" w:rsidRPr="000D6942" w:rsidRDefault="004C2CCC" w:rsidP="00CF38FA">
      <w:pPr>
        <w:rPr>
          <w:szCs w:val="22"/>
        </w:rPr>
      </w:pPr>
    </w:p>
    <w:p w14:paraId="068D4B8A" w14:textId="77777777" w:rsidR="00C048F6" w:rsidRPr="000D6942" w:rsidRDefault="00C048F6" w:rsidP="00CF38FA">
      <w:pPr>
        <w:rPr>
          <w:szCs w:val="22"/>
        </w:rPr>
      </w:pPr>
      <w:r w:rsidRPr="000D6942">
        <w:rPr>
          <w:i/>
          <w:iCs/>
          <w:szCs w:val="22"/>
        </w:rPr>
        <w:t>Padidėjusio jautrumo reakcijos</w:t>
      </w:r>
    </w:p>
    <w:p w14:paraId="7597A0D5" w14:textId="77777777" w:rsidR="004C2CCC" w:rsidRPr="000D6942" w:rsidRDefault="004C2CCC" w:rsidP="00CF38FA">
      <w:pPr>
        <w:rPr>
          <w:szCs w:val="22"/>
        </w:rPr>
      </w:pPr>
      <w:r w:rsidRPr="000D6942">
        <w:rPr>
          <w:szCs w:val="22"/>
        </w:rPr>
        <w:lastRenderedPageBreak/>
        <w:t>Parenteraliai skiriami geležies preparatai gali sukelti padidėjusio jautrumo reakcijas, įskaitant sunkias ir galimai mirtinas anafilaksines ar anafilaktoidines reakcijas. Pranešama apie padidėjusio jautrumo reakcijas, pasireiškusias po anksčiau pasekmių nesukėlusios parenteraliai vartojamų geležies preparatų dozės.</w:t>
      </w:r>
    </w:p>
    <w:p w14:paraId="5501F1F4" w14:textId="77777777" w:rsidR="004C2CCC" w:rsidRPr="000D6942" w:rsidRDefault="004C2CCC" w:rsidP="00CF38FA">
      <w:pPr>
        <w:rPr>
          <w:szCs w:val="22"/>
        </w:rPr>
      </w:pPr>
    </w:p>
    <w:p w14:paraId="46AC111B" w14:textId="77777777" w:rsidR="004C2CCC" w:rsidRPr="000D6942" w:rsidRDefault="004C2CCC" w:rsidP="00CF38FA">
      <w:pPr>
        <w:rPr>
          <w:szCs w:val="22"/>
        </w:rPr>
      </w:pPr>
      <w:r w:rsidRPr="000D6942">
        <w:rPr>
          <w:szCs w:val="22"/>
        </w:rPr>
        <w:t>Ši rizika yra didesnė pacientams, kuriems yra nustatytos alergijos, įskaitant alergijas vaistiniams preparatams, ir pacientams, sirgusiems sunkia astmos forma, egzema ar kita atopine alergija.</w:t>
      </w:r>
    </w:p>
    <w:p w14:paraId="52190F20" w14:textId="77777777" w:rsidR="004C2CCC" w:rsidRPr="000D6942" w:rsidRDefault="004C2CCC" w:rsidP="00CF38FA">
      <w:pPr>
        <w:rPr>
          <w:szCs w:val="22"/>
        </w:rPr>
      </w:pPr>
      <w:r w:rsidRPr="000D6942">
        <w:rPr>
          <w:szCs w:val="22"/>
        </w:rPr>
        <w:t>Be to, padidėjusio jautrumo reakcijų į parenteraliai vartojamus geležies preparatus rizika yra didesnė pacientams, kuriems yra imuninės ar uždegiminės būklės (pvz., serga sistemine raudonąja vilklige, reumatoidiniu artritu).</w:t>
      </w:r>
    </w:p>
    <w:p w14:paraId="2666220F" w14:textId="77777777" w:rsidR="004C2CCC" w:rsidRPr="000D6942" w:rsidRDefault="004C2CCC" w:rsidP="00CF38FA">
      <w:pPr>
        <w:rPr>
          <w:szCs w:val="22"/>
        </w:rPr>
      </w:pPr>
    </w:p>
    <w:p w14:paraId="37354E59" w14:textId="642D0BCA" w:rsidR="00CF38FA" w:rsidRPr="000D6942" w:rsidRDefault="004C2CCC" w:rsidP="00024A58">
      <w:pPr>
        <w:pStyle w:val="Pagrindinistekstas2"/>
        <w:ind w:left="0"/>
        <w:rPr>
          <w:rFonts w:ascii="Times New Roman" w:hAnsi="Times New Roman"/>
          <w:sz w:val="22"/>
          <w:szCs w:val="22"/>
          <w:lang w:val="lt-LT"/>
        </w:rPr>
      </w:pPr>
      <w:r w:rsidRPr="000D6942">
        <w:rPr>
          <w:rFonts w:ascii="Times New Roman" w:hAnsi="Times New Roman"/>
          <w:sz w:val="22"/>
          <w:szCs w:val="22"/>
          <w:lang w:val="lt-LT"/>
        </w:rPr>
        <w:t>Ferinject turėtų būti vartojamas tik visa būtina gaivinimo įranga aprūpintoje aplinkoje ir kai netoliese yra personalo, išmokyto</w:t>
      </w:r>
      <w:r w:rsidR="00CF38FA" w:rsidRPr="000D6942">
        <w:rPr>
          <w:rFonts w:ascii="Times New Roman" w:hAnsi="Times New Roman"/>
          <w:sz w:val="22"/>
          <w:szCs w:val="22"/>
          <w:lang w:val="lt-LT"/>
        </w:rPr>
        <w:t xml:space="preserve"> a</w:t>
      </w:r>
      <w:r w:rsidRPr="000D6942">
        <w:rPr>
          <w:rFonts w:ascii="Times New Roman" w:hAnsi="Times New Roman"/>
          <w:sz w:val="22"/>
          <w:szCs w:val="22"/>
          <w:lang w:val="lt-LT"/>
        </w:rPr>
        <w:t xml:space="preserve">tpažinti ir suvaldyti anafilaktines reakcijas. Mažiausiai 30 minučių po kiekvieno Ferinject </w:t>
      </w:r>
      <w:r w:rsidR="00024A58" w:rsidRPr="000D6942">
        <w:rPr>
          <w:rFonts w:ascii="Times New Roman" w:hAnsi="Times New Roman"/>
          <w:sz w:val="22"/>
          <w:szCs w:val="22"/>
          <w:lang w:val="lt-LT"/>
        </w:rPr>
        <w:t>vartojimo</w:t>
      </w:r>
      <w:r w:rsidRPr="000D6942">
        <w:rPr>
          <w:rFonts w:ascii="Times New Roman" w:hAnsi="Times New Roman"/>
          <w:sz w:val="22"/>
          <w:szCs w:val="22"/>
          <w:lang w:val="lt-LT"/>
        </w:rPr>
        <w:t xml:space="preserve"> reikia stebėti, ar pacientui nepasireiškė nepageidaujamas poveikis. Jei vartojimo metu pasireiškė padidėjusio jautrumo reakcijų arba netoleravimo požymių, gydymą reikia nedelsiant nutraukti. Reikia būti pasiruošus priemones širdies ir kvėpavimo veiklai atstatyti ir įrangą, reikalingą ūminių anafilaksinių ar anafilaktoidinių reakcijų atveju, įskaitant 1:1000 adrenalino injekcinį tirpalą. Po to atitinkamai turėtų būti taikomas papildomas gydymas antihistamininiais vaistiniais preparatais ir (arba) kortikosteroidais.</w:t>
      </w:r>
    </w:p>
    <w:p w14:paraId="130B8F51" w14:textId="77777777" w:rsidR="004C2CCC" w:rsidRPr="000D6942" w:rsidRDefault="004C2CCC" w:rsidP="00CF38FA">
      <w:pPr>
        <w:pStyle w:val="Pagrindinistekstas2"/>
        <w:ind w:left="0"/>
        <w:rPr>
          <w:rFonts w:ascii="Times New Roman" w:hAnsi="Times New Roman"/>
          <w:sz w:val="22"/>
          <w:szCs w:val="22"/>
          <w:lang w:val="lt-LT"/>
        </w:rPr>
      </w:pPr>
    </w:p>
    <w:p w14:paraId="59ED6914" w14:textId="56D37914" w:rsidR="008E228F" w:rsidRPr="008E228F" w:rsidRDefault="008E228F" w:rsidP="008E228F">
      <w:pPr>
        <w:pStyle w:val="BodyText21"/>
        <w:ind w:left="0"/>
        <w:rPr>
          <w:rFonts w:ascii="Times New Roman" w:hAnsi="Times New Roman" w:cs="Times New Roman"/>
          <w:i/>
          <w:color w:val="auto"/>
          <w:szCs w:val="22"/>
          <w:lang w:val="lt-LT"/>
        </w:rPr>
      </w:pPr>
      <w:r w:rsidRPr="008E228F">
        <w:rPr>
          <w:rFonts w:ascii="Times New Roman" w:hAnsi="Times New Roman" w:cs="Times New Roman"/>
          <w:i/>
          <w:color w:val="auto"/>
          <w:szCs w:val="22"/>
          <w:lang w:val="lt-LT"/>
        </w:rPr>
        <w:t xml:space="preserve">Hipofosfatemija </w:t>
      </w:r>
    </w:p>
    <w:p w14:paraId="71A76E44" w14:textId="33A2E3D1" w:rsidR="008E228F" w:rsidRPr="008E228F" w:rsidRDefault="008E228F" w:rsidP="008E228F">
      <w:pPr>
        <w:pStyle w:val="Pagrindinistekstas2"/>
        <w:ind w:left="0"/>
        <w:rPr>
          <w:rFonts w:ascii="Times New Roman" w:hAnsi="Times New Roman"/>
          <w:i/>
          <w:sz w:val="22"/>
          <w:szCs w:val="22"/>
          <w:lang w:val="lt-LT"/>
        </w:rPr>
      </w:pPr>
      <w:r w:rsidRPr="008E228F">
        <w:rPr>
          <w:rFonts w:ascii="Times New Roman" w:hAnsi="Times New Roman"/>
          <w:sz w:val="22"/>
          <w:szCs w:val="22"/>
          <w:lang w:val="lt-LT" w:eastAsia="de-DE"/>
        </w:rPr>
        <w:t>P</w:t>
      </w:r>
      <w:r w:rsidR="000908F1">
        <w:rPr>
          <w:rFonts w:ascii="Times New Roman" w:hAnsi="Times New Roman"/>
          <w:sz w:val="22"/>
          <w:szCs w:val="22"/>
          <w:lang w:val="lt-LT" w:eastAsia="de-DE"/>
        </w:rPr>
        <w:t>a</w:t>
      </w:r>
      <w:r w:rsidRPr="008E228F">
        <w:rPr>
          <w:rFonts w:ascii="Times New Roman" w:hAnsi="Times New Roman"/>
          <w:sz w:val="22"/>
          <w:szCs w:val="22"/>
          <w:lang w:val="lt-LT" w:eastAsia="de-DE"/>
        </w:rPr>
        <w:t xml:space="preserve">renteraliai skiriami geležies preparatai gali sukelti hipofosfatemiją, kuri dažniausiai būna laikina ir be klinikinių simptomų. </w:t>
      </w:r>
      <w:r w:rsidR="003D2B21" w:rsidRPr="003D2B21">
        <w:rPr>
          <w:rFonts w:ascii="Times New Roman" w:hAnsi="Times New Roman"/>
          <w:sz w:val="22"/>
          <w:szCs w:val="22"/>
          <w:lang w:val="lt-LT" w:eastAsia="de-DE"/>
        </w:rPr>
        <w:t xml:space="preserve">Gauta pranešimų apie hipofosfatemijos atvejus, </w:t>
      </w:r>
      <w:r w:rsidR="00F77311">
        <w:rPr>
          <w:rFonts w:ascii="Times New Roman" w:hAnsi="Times New Roman"/>
          <w:sz w:val="22"/>
          <w:szCs w:val="22"/>
          <w:lang w:val="lt-LT" w:eastAsia="de-DE"/>
        </w:rPr>
        <w:t xml:space="preserve">dėl </w:t>
      </w:r>
      <w:r w:rsidR="003D2B21" w:rsidRPr="003D2B21">
        <w:rPr>
          <w:rFonts w:ascii="Times New Roman" w:hAnsi="Times New Roman"/>
          <w:sz w:val="22"/>
          <w:szCs w:val="22"/>
          <w:lang w:val="lt-LT" w:eastAsia="de-DE"/>
        </w:rPr>
        <w:t>kuri</w:t>
      </w:r>
      <w:r w:rsidR="00F77311">
        <w:rPr>
          <w:rFonts w:ascii="Times New Roman" w:hAnsi="Times New Roman"/>
          <w:sz w:val="22"/>
          <w:szCs w:val="22"/>
          <w:lang w:val="lt-LT" w:eastAsia="de-DE"/>
        </w:rPr>
        <w:t>ų</w:t>
      </w:r>
      <w:r w:rsidR="003D2B21" w:rsidRPr="003D2B21">
        <w:rPr>
          <w:rFonts w:ascii="Times New Roman" w:hAnsi="Times New Roman"/>
          <w:sz w:val="22"/>
          <w:szCs w:val="22"/>
          <w:lang w:val="lt-LT" w:eastAsia="de-DE"/>
        </w:rPr>
        <w:t xml:space="preserve"> buvo reikalinga medicininė priežiūra, jie dažniausiai pasireiškė pacientams, kurie turėjo kitų rizikos veiksnių ir ilgą laiką vartojo dideles geležies dozes į veną</w:t>
      </w:r>
      <w:r w:rsidRPr="008E228F">
        <w:rPr>
          <w:rFonts w:ascii="Times New Roman" w:hAnsi="Times New Roman"/>
          <w:sz w:val="22"/>
          <w:szCs w:val="22"/>
          <w:lang w:val="lt-LT" w:eastAsia="de-DE"/>
        </w:rPr>
        <w:t>.</w:t>
      </w:r>
    </w:p>
    <w:p w14:paraId="4C0E9F22" w14:textId="77777777" w:rsidR="008E228F" w:rsidRDefault="008E228F" w:rsidP="00CF38FA">
      <w:pPr>
        <w:pStyle w:val="Pagrindinistekstas2"/>
        <w:ind w:left="0"/>
        <w:rPr>
          <w:rFonts w:ascii="Times New Roman" w:hAnsi="Times New Roman"/>
          <w:i/>
          <w:sz w:val="22"/>
          <w:szCs w:val="22"/>
          <w:lang w:val="lt-LT"/>
        </w:rPr>
      </w:pPr>
    </w:p>
    <w:p w14:paraId="3D85C7E1" w14:textId="3F3E173F" w:rsidR="00C048F6" w:rsidRPr="000D6942" w:rsidRDefault="00C048F6" w:rsidP="00CF38FA">
      <w:pPr>
        <w:pStyle w:val="Pagrindinistekstas2"/>
        <w:ind w:left="0"/>
        <w:rPr>
          <w:rFonts w:ascii="Times New Roman" w:hAnsi="Times New Roman"/>
          <w:i/>
          <w:sz w:val="22"/>
          <w:szCs w:val="22"/>
          <w:lang w:val="lt-LT"/>
        </w:rPr>
      </w:pPr>
      <w:r w:rsidRPr="000D6942">
        <w:rPr>
          <w:rFonts w:ascii="Times New Roman" w:hAnsi="Times New Roman"/>
          <w:i/>
          <w:sz w:val="22"/>
          <w:szCs w:val="22"/>
          <w:lang w:val="lt-LT"/>
        </w:rPr>
        <w:t>Kepenų arba inkstų funkcijos sutrikimas</w:t>
      </w:r>
    </w:p>
    <w:p w14:paraId="5051D815" w14:textId="77777777"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 xml:space="preserve">Pacientams, kuriems sutrikusi kepenų veikla, parenteraliai geležį reikia vartoti tik gerai įvertinus galimą riziką ir naudą. Nerekomenduojama parenteraliai skirti geležį pacientams, kuriems sutrikusi kepenų veikla, jei galimas geležies perteklius, ypač sergant vėlyvąja odos porfirija </w:t>
      </w:r>
      <w:r w:rsidRPr="000D6942">
        <w:rPr>
          <w:rFonts w:ascii="Times New Roman" w:hAnsi="Times New Roman"/>
          <w:i/>
          <w:color w:val="auto"/>
          <w:sz w:val="22"/>
          <w:szCs w:val="22"/>
          <w:lang w:val="lt-LT"/>
        </w:rPr>
        <w:t>(Porphyria Cutanea Tarda, PCT)</w:t>
      </w:r>
      <w:r w:rsidRPr="000D6942">
        <w:rPr>
          <w:rFonts w:ascii="Times New Roman" w:hAnsi="Times New Roman"/>
          <w:color w:val="auto"/>
          <w:sz w:val="22"/>
          <w:szCs w:val="22"/>
          <w:lang w:val="lt-LT"/>
        </w:rPr>
        <w:t>. Geležies pertekliui išvengti rekomenduojama atidžiai stebėti geležies kiekį.</w:t>
      </w:r>
    </w:p>
    <w:p w14:paraId="6EDB7332" w14:textId="77777777" w:rsidR="004C2CCC" w:rsidRPr="000D6942" w:rsidRDefault="004C2CCC" w:rsidP="00CF38FA">
      <w:pPr>
        <w:pStyle w:val="Pagrindinistekstas2"/>
        <w:ind w:left="0"/>
        <w:rPr>
          <w:rFonts w:ascii="Times New Roman" w:hAnsi="Times New Roman"/>
          <w:color w:val="auto"/>
          <w:sz w:val="22"/>
          <w:szCs w:val="22"/>
          <w:lang w:val="lt-LT"/>
        </w:rPr>
      </w:pPr>
    </w:p>
    <w:p w14:paraId="73DF2FA2" w14:textId="77777777"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Saugumo duomenų apie pacientus, sergančius lėtine inkstų liga ir priklausomus nuo hemodializės, kuriems būtų skirtos vienkartinės didesnės nei 200 mg geležies dozės, nėra.</w:t>
      </w:r>
    </w:p>
    <w:p w14:paraId="54335E66" w14:textId="77777777" w:rsidR="004C2CCC" w:rsidRPr="000D6942" w:rsidRDefault="004C2CCC" w:rsidP="00CF38FA">
      <w:pPr>
        <w:pStyle w:val="Pagrindinistekstas2"/>
        <w:ind w:left="0"/>
        <w:rPr>
          <w:rFonts w:ascii="Times New Roman" w:hAnsi="Times New Roman"/>
          <w:color w:val="auto"/>
          <w:sz w:val="22"/>
          <w:szCs w:val="22"/>
          <w:lang w:val="lt-LT"/>
        </w:rPr>
      </w:pPr>
    </w:p>
    <w:p w14:paraId="51B95555" w14:textId="77777777" w:rsidR="00C048F6" w:rsidRPr="000D6942" w:rsidRDefault="00C048F6" w:rsidP="00CF38FA">
      <w:pPr>
        <w:pStyle w:val="Pagrindinistekstas2"/>
        <w:ind w:left="0"/>
        <w:rPr>
          <w:rFonts w:ascii="Times New Roman" w:hAnsi="Times New Roman"/>
          <w:i/>
          <w:color w:val="auto"/>
          <w:sz w:val="22"/>
          <w:szCs w:val="22"/>
          <w:lang w:val="lt-LT"/>
        </w:rPr>
      </w:pPr>
      <w:r w:rsidRPr="000D6942">
        <w:rPr>
          <w:rFonts w:ascii="Times New Roman" w:hAnsi="Times New Roman"/>
          <w:i/>
          <w:color w:val="auto"/>
          <w:sz w:val="22"/>
          <w:szCs w:val="22"/>
          <w:lang w:val="lt-LT"/>
        </w:rPr>
        <w:t>Infekcija</w:t>
      </w:r>
    </w:p>
    <w:p w14:paraId="4E0B7565" w14:textId="77777777"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Esant ūminei ar lėtinei infekcijai, astmai, egzemai ar atopinėms alergijoms, parenteraliai geležį reikia vartoti atsargiai. Rekomenduojama nutraukti Ferinject vartojimą pacientams, sergantiems bakteremija. Lėtine infekcija sergantiems pacientams reikia įvertinti galimą riziką ir naudą, atsižvelgiant į eritropoezės slopinimą.</w:t>
      </w:r>
    </w:p>
    <w:p w14:paraId="28A38387" w14:textId="77777777" w:rsidR="004C2CCC" w:rsidRPr="000D6942" w:rsidRDefault="004C2CCC" w:rsidP="00CF38FA">
      <w:pPr>
        <w:pStyle w:val="Pagrindinistekstas2"/>
        <w:ind w:left="0"/>
        <w:rPr>
          <w:rFonts w:ascii="Times New Roman" w:hAnsi="Times New Roman"/>
          <w:color w:val="auto"/>
          <w:sz w:val="22"/>
          <w:szCs w:val="22"/>
          <w:lang w:val="lt-LT"/>
        </w:rPr>
      </w:pPr>
    </w:p>
    <w:p w14:paraId="23F991BC" w14:textId="77777777" w:rsidR="00C048F6" w:rsidRPr="000D6942" w:rsidRDefault="00C048F6" w:rsidP="00CF38FA">
      <w:pPr>
        <w:pStyle w:val="Pagrindinistekstas2"/>
        <w:ind w:left="0"/>
        <w:rPr>
          <w:rFonts w:ascii="Times New Roman" w:hAnsi="Times New Roman"/>
          <w:i/>
          <w:color w:val="auto"/>
          <w:sz w:val="22"/>
          <w:szCs w:val="22"/>
          <w:lang w:val="lt-LT"/>
        </w:rPr>
      </w:pPr>
      <w:r w:rsidRPr="000D6942">
        <w:rPr>
          <w:rFonts w:ascii="Times New Roman" w:hAnsi="Times New Roman"/>
          <w:i/>
          <w:color w:val="auto"/>
          <w:sz w:val="22"/>
          <w:szCs w:val="22"/>
          <w:lang w:val="lt-LT"/>
        </w:rPr>
        <w:t>Ekstravazacija</w:t>
      </w:r>
    </w:p>
    <w:p w14:paraId="38589BE9" w14:textId="3D4D3F7B"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 xml:space="preserve">Leidžiant Ferinject reikia būti atsargiems, kad preparato nepatektų į aplinkinius audinius. </w:t>
      </w:r>
      <w:r w:rsidR="008E228F">
        <w:rPr>
          <w:rFonts w:ascii="Times New Roman" w:hAnsi="Times New Roman"/>
          <w:color w:val="auto"/>
          <w:sz w:val="22"/>
          <w:szCs w:val="22"/>
          <w:lang w:val="lt-LT"/>
        </w:rPr>
        <w:t xml:space="preserve">Vartojimo </w:t>
      </w:r>
      <w:r w:rsidRPr="000D6942">
        <w:rPr>
          <w:rFonts w:ascii="Times New Roman" w:hAnsi="Times New Roman"/>
          <w:color w:val="auto"/>
          <w:sz w:val="22"/>
          <w:szCs w:val="22"/>
          <w:lang w:val="lt-LT"/>
        </w:rPr>
        <w:t>vietoje Ferinject patekus į aplinkinius audinius, oda gali sudirgti ir ilgam laikui paruduoti. Patekus į aplinkinius audinius, Ferinject vartojimą reikia nedelsiant nutraukti.</w:t>
      </w:r>
    </w:p>
    <w:p w14:paraId="3A61FF7A" w14:textId="77777777" w:rsidR="004C2CCC" w:rsidRPr="000D6942" w:rsidRDefault="004C2CCC" w:rsidP="00CF38FA">
      <w:pPr>
        <w:pStyle w:val="Pagrindinistekstas2"/>
        <w:ind w:left="0"/>
        <w:rPr>
          <w:rFonts w:ascii="Times New Roman" w:hAnsi="Times New Roman"/>
          <w:color w:val="auto"/>
          <w:sz w:val="22"/>
          <w:szCs w:val="22"/>
          <w:lang w:val="lt-LT"/>
        </w:rPr>
      </w:pPr>
    </w:p>
    <w:p w14:paraId="5C92D03F" w14:textId="77777777" w:rsidR="00C048F6" w:rsidRPr="000D6942" w:rsidRDefault="00C048F6" w:rsidP="00CF38FA">
      <w:pPr>
        <w:pStyle w:val="Pagrindinistekstas2"/>
        <w:ind w:left="0"/>
        <w:rPr>
          <w:rFonts w:ascii="Times New Roman" w:hAnsi="Times New Roman"/>
          <w:i/>
          <w:color w:val="auto"/>
          <w:sz w:val="22"/>
          <w:szCs w:val="22"/>
          <w:lang w:val="lt-LT"/>
        </w:rPr>
      </w:pPr>
      <w:r w:rsidRPr="000D6942">
        <w:rPr>
          <w:rFonts w:ascii="Times New Roman" w:hAnsi="Times New Roman"/>
          <w:i/>
          <w:color w:val="auto"/>
          <w:sz w:val="22"/>
          <w:szCs w:val="22"/>
          <w:lang w:val="lt-LT"/>
        </w:rPr>
        <w:t>Pagalbinės medžiagos</w:t>
      </w:r>
    </w:p>
    <w:p w14:paraId="074BF46E" w14:textId="77777777"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lastRenderedPageBreak/>
        <w:t>Viename ml nepraskiesto Ferinject yra iki 5,5 mg (0,24 mmol) natrio. Į tai reikia atsižvelgti skiriant preparatą pacientams, kurie laikosi mažai natrio turinčios dietos.</w:t>
      </w:r>
    </w:p>
    <w:p w14:paraId="07ECD6E3" w14:textId="77777777" w:rsidR="004C2CCC" w:rsidRPr="000D6942" w:rsidRDefault="004C2CCC" w:rsidP="00CF38FA">
      <w:pPr>
        <w:pStyle w:val="Pagrindinistekstas2"/>
        <w:ind w:left="0"/>
        <w:rPr>
          <w:rFonts w:ascii="Times New Roman" w:hAnsi="Times New Roman"/>
          <w:color w:val="auto"/>
          <w:sz w:val="22"/>
          <w:szCs w:val="22"/>
          <w:lang w:val="lt-LT"/>
        </w:rPr>
      </w:pPr>
    </w:p>
    <w:p w14:paraId="23FC7B6A" w14:textId="77777777" w:rsidR="00C048F6" w:rsidRPr="000D6942" w:rsidRDefault="00C048F6" w:rsidP="00CF38FA">
      <w:pPr>
        <w:pStyle w:val="Pagrindinistekstas2"/>
        <w:ind w:left="0"/>
        <w:rPr>
          <w:rFonts w:ascii="Times New Roman" w:hAnsi="Times New Roman"/>
          <w:i/>
          <w:color w:val="auto"/>
          <w:sz w:val="22"/>
          <w:szCs w:val="22"/>
          <w:lang w:val="lt-LT"/>
        </w:rPr>
      </w:pPr>
      <w:r w:rsidRPr="000D6942">
        <w:rPr>
          <w:rFonts w:ascii="Times New Roman" w:hAnsi="Times New Roman"/>
          <w:i/>
          <w:color w:val="auto"/>
          <w:sz w:val="22"/>
          <w:szCs w:val="22"/>
          <w:lang w:val="lt-LT"/>
        </w:rPr>
        <w:t>Vaikų populiacija</w:t>
      </w:r>
    </w:p>
    <w:p w14:paraId="281746C9" w14:textId="77777777"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Ferinject vartojimas vaikams netirtas.</w:t>
      </w:r>
    </w:p>
    <w:p w14:paraId="2003461E" w14:textId="77777777" w:rsidR="004C2CCC" w:rsidRPr="000D6942" w:rsidRDefault="004C2CCC" w:rsidP="00CF38FA">
      <w:pPr>
        <w:pStyle w:val="Pagrindinistekstas2"/>
        <w:ind w:left="0"/>
        <w:rPr>
          <w:rFonts w:ascii="Times New Roman" w:hAnsi="Times New Roman"/>
          <w:color w:val="auto"/>
          <w:sz w:val="22"/>
          <w:szCs w:val="22"/>
          <w:lang w:val="lt-LT"/>
        </w:rPr>
      </w:pPr>
    </w:p>
    <w:p w14:paraId="38A5B01C" w14:textId="77777777" w:rsidR="004C2CCC" w:rsidRPr="000D6942" w:rsidRDefault="004C2CCC" w:rsidP="00CF38FA">
      <w:pPr>
        <w:ind w:left="540" w:hanging="540"/>
        <w:rPr>
          <w:b/>
          <w:szCs w:val="22"/>
        </w:rPr>
      </w:pPr>
      <w:r w:rsidRPr="000D6942">
        <w:rPr>
          <w:b/>
          <w:szCs w:val="22"/>
        </w:rPr>
        <w:t>4.5</w:t>
      </w:r>
      <w:r w:rsidRPr="000D6942">
        <w:rPr>
          <w:b/>
          <w:szCs w:val="22"/>
        </w:rPr>
        <w:tab/>
        <w:t>Sąveika su kitais vaistiniais preparatais ir kitokia sąveika</w:t>
      </w:r>
    </w:p>
    <w:p w14:paraId="4761F963" w14:textId="77777777" w:rsidR="004C2CCC" w:rsidRPr="000D6942" w:rsidRDefault="004C2CCC" w:rsidP="00CF38FA">
      <w:pPr>
        <w:rPr>
          <w:szCs w:val="22"/>
        </w:rPr>
      </w:pPr>
    </w:p>
    <w:p w14:paraId="14A9354B" w14:textId="77777777" w:rsidR="004C2CCC" w:rsidRPr="000D6942" w:rsidRDefault="00A01A87" w:rsidP="00CF38FA">
      <w:pPr>
        <w:rPr>
          <w:szCs w:val="22"/>
        </w:rPr>
      </w:pPr>
      <w:r w:rsidRPr="000D6942">
        <w:rPr>
          <w:szCs w:val="22"/>
        </w:rPr>
        <w:t>Geriamąją geležį vartojant kartu su parenteraliniais geležies preparatais, jos absorbcija sumažėja.</w:t>
      </w:r>
    </w:p>
    <w:p w14:paraId="3A6E280F" w14:textId="77777777" w:rsidR="004C2CCC" w:rsidRPr="000D6942" w:rsidRDefault="004C2CCC" w:rsidP="00CF38FA">
      <w:pPr>
        <w:rPr>
          <w:szCs w:val="22"/>
        </w:rPr>
      </w:pPr>
    </w:p>
    <w:p w14:paraId="2F038890" w14:textId="45C494ED" w:rsidR="00CF38FA" w:rsidRPr="000D6942" w:rsidRDefault="004C2CCC" w:rsidP="00CF38FA">
      <w:pPr>
        <w:rPr>
          <w:szCs w:val="22"/>
        </w:rPr>
      </w:pPr>
      <w:r w:rsidRPr="000D6942">
        <w:rPr>
          <w:szCs w:val="22"/>
        </w:rPr>
        <w:t xml:space="preserve">Todėl geriamosios geležies vartojimą (jei reikalingas) reikia pradėti ne anksčiau kaip praėjus 5 dienoms po </w:t>
      </w:r>
      <w:r w:rsidR="008E228F" w:rsidRPr="000D6942">
        <w:rPr>
          <w:szCs w:val="22"/>
        </w:rPr>
        <w:t>paskutin</w:t>
      </w:r>
      <w:r w:rsidR="008E228F">
        <w:rPr>
          <w:szCs w:val="22"/>
        </w:rPr>
        <w:t>io</w:t>
      </w:r>
      <w:r w:rsidR="008E228F" w:rsidRPr="000D6942">
        <w:rPr>
          <w:szCs w:val="22"/>
        </w:rPr>
        <w:t xml:space="preserve"> </w:t>
      </w:r>
      <w:r w:rsidRPr="000D6942">
        <w:rPr>
          <w:szCs w:val="22"/>
        </w:rPr>
        <w:t>Ferinject</w:t>
      </w:r>
      <w:r w:rsidR="00F77311">
        <w:rPr>
          <w:szCs w:val="22"/>
        </w:rPr>
        <w:t xml:space="preserve"> </w:t>
      </w:r>
      <w:r w:rsidR="008E228F">
        <w:rPr>
          <w:szCs w:val="22"/>
        </w:rPr>
        <w:t>vartojimo</w:t>
      </w:r>
      <w:r w:rsidRPr="000D6942">
        <w:rPr>
          <w:szCs w:val="22"/>
        </w:rPr>
        <w:t>.</w:t>
      </w:r>
    </w:p>
    <w:p w14:paraId="359AD03C" w14:textId="77777777" w:rsidR="004C2CCC" w:rsidRPr="000D6942" w:rsidRDefault="004C2CCC" w:rsidP="00CF38FA">
      <w:pPr>
        <w:rPr>
          <w:szCs w:val="22"/>
        </w:rPr>
      </w:pPr>
    </w:p>
    <w:p w14:paraId="0F33520F" w14:textId="77777777" w:rsidR="004C2CCC" w:rsidRPr="000D6942" w:rsidRDefault="004C2CCC" w:rsidP="00CF38FA">
      <w:pPr>
        <w:ind w:left="540" w:hanging="540"/>
        <w:rPr>
          <w:b/>
          <w:szCs w:val="22"/>
        </w:rPr>
      </w:pPr>
      <w:r w:rsidRPr="000D6942">
        <w:rPr>
          <w:b/>
          <w:szCs w:val="22"/>
        </w:rPr>
        <w:t>4.6</w:t>
      </w:r>
      <w:r w:rsidRPr="000D6942">
        <w:rPr>
          <w:b/>
          <w:szCs w:val="22"/>
        </w:rPr>
        <w:tab/>
      </w:r>
      <w:r w:rsidRPr="000D6942">
        <w:rPr>
          <w:b/>
          <w:bCs/>
          <w:szCs w:val="22"/>
        </w:rPr>
        <w:t xml:space="preserve">Vaisingumas, nėštumo </w:t>
      </w:r>
      <w:r w:rsidRPr="000D6942">
        <w:rPr>
          <w:b/>
          <w:szCs w:val="22"/>
        </w:rPr>
        <w:t>ir žindymo laikotarpis</w:t>
      </w:r>
    </w:p>
    <w:p w14:paraId="3EDFCF22" w14:textId="77777777" w:rsidR="004C2CCC" w:rsidRPr="000D6942" w:rsidRDefault="004C2CCC" w:rsidP="00CF38FA">
      <w:pPr>
        <w:rPr>
          <w:szCs w:val="22"/>
        </w:rPr>
      </w:pPr>
    </w:p>
    <w:p w14:paraId="2B1A2258" w14:textId="77777777" w:rsidR="004C2CCC" w:rsidRPr="000D6942" w:rsidRDefault="004C2CCC" w:rsidP="00CF38FA">
      <w:pPr>
        <w:rPr>
          <w:szCs w:val="22"/>
        </w:rPr>
      </w:pPr>
      <w:bookmarkStart w:id="5" w:name="pregnancy"/>
      <w:r w:rsidRPr="000D6942">
        <w:rPr>
          <w:szCs w:val="22"/>
        </w:rPr>
        <w:t>Nėštumas</w:t>
      </w:r>
    </w:p>
    <w:p w14:paraId="24A45F64" w14:textId="2EBA01AF" w:rsidR="00CF38FA" w:rsidRPr="000D6942" w:rsidRDefault="00024A58" w:rsidP="00024A58">
      <w:pPr>
        <w:rPr>
          <w:szCs w:val="22"/>
        </w:rPr>
      </w:pPr>
      <w:bookmarkStart w:id="6" w:name="OLE_LINK3"/>
      <w:r w:rsidRPr="000D6942">
        <w:rPr>
          <w:szCs w:val="22"/>
        </w:rPr>
        <w:t>Duomenų apie</w:t>
      </w:r>
      <w:r w:rsidR="004C2CCC" w:rsidRPr="000D6942">
        <w:rPr>
          <w:szCs w:val="22"/>
        </w:rPr>
        <w:t xml:space="preserve"> Ferinject </w:t>
      </w:r>
      <w:bookmarkEnd w:id="6"/>
      <w:r w:rsidR="004C2CCC" w:rsidRPr="000D6942">
        <w:rPr>
          <w:szCs w:val="22"/>
        </w:rPr>
        <w:t>vartojim</w:t>
      </w:r>
      <w:r w:rsidRPr="000D6942">
        <w:rPr>
          <w:szCs w:val="22"/>
        </w:rPr>
        <w:t>ą</w:t>
      </w:r>
      <w:r w:rsidR="004C2CCC" w:rsidRPr="000D6942">
        <w:rPr>
          <w:szCs w:val="22"/>
        </w:rPr>
        <w:t xml:space="preserve"> nėštumo metu </w:t>
      </w:r>
      <w:r w:rsidRPr="000D6942">
        <w:rPr>
          <w:szCs w:val="22"/>
        </w:rPr>
        <w:t>nepakanka (žr. 5.1 skyrių)</w:t>
      </w:r>
      <w:r w:rsidR="004C2CCC" w:rsidRPr="000D6942">
        <w:rPr>
          <w:szCs w:val="22"/>
        </w:rPr>
        <w:t>. Prieš vartojant nėštumo metu reikia gerai įvertinti rizikos ir naudos santykį, Ferinject negalima vartoti nėštumo metu, išskyrus neabejotinai būtinus atvejus.</w:t>
      </w:r>
      <w:bookmarkEnd w:id="5"/>
    </w:p>
    <w:p w14:paraId="50EC3580" w14:textId="77777777" w:rsidR="004C2CCC" w:rsidRPr="000D6942" w:rsidRDefault="004C2CCC" w:rsidP="00CF38FA">
      <w:pPr>
        <w:rPr>
          <w:szCs w:val="22"/>
        </w:rPr>
      </w:pPr>
    </w:p>
    <w:p w14:paraId="10CD55DB" w14:textId="77777777"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Daugeliu atvejų geležies stokos anemiją pirmąjį nėštumo trimestrą galima gydyti geriamaisiais geležies preparatais. Jeigu manoma, kad gydymo Ferinject nauda didesnė už galimą pavojų motinai ir vaisiui, gydymas turėtų apsiriboti tik antruoju ir trečiuoju trimestrais.</w:t>
      </w:r>
    </w:p>
    <w:p w14:paraId="30636AAE" w14:textId="77777777" w:rsidR="004C2CCC" w:rsidRPr="000D6942" w:rsidRDefault="004C2CCC" w:rsidP="00CF38FA">
      <w:pPr>
        <w:pStyle w:val="Pagrindinistekstas2"/>
        <w:ind w:left="0"/>
        <w:rPr>
          <w:rFonts w:ascii="Times New Roman" w:hAnsi="Times New Roman"/>
          <w:color w:val="auto"/>
          <w:sz w:val="22"/>
          <w:szCs w:val="22"/>
          <w:lang w:val="lt-LT"/>
        </w:rPr>
      </w:pPr>
    </w:p>
    <w:p w14:paraId="710070EC" w14:textId="35ACE87B" w:rsidR="004C2CCC" w:rsidRPr="000D6942" w:rsidRDefault="004C2CCC" w:rsidP="00F77311">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Tyrimų su gyvūnais duomenys rodo, kad iš Ferinject atsipalaidavusi geležis gali prasiskverbti per placentą ir jos vartojimas nėštumo metu gali turėti įtakos vaisiaus skeleto vystymuisi (žr. 5.3 skyrių).</w:t>
      </w:r>
    </w:p>
    <w:p w14:paraId="38F8F42A" w14:textId="77777777" w:rsidR="004C2CCC" w:rsidRPr="000D6942" w:rsidRDefault="004C2CCC" w:rsidP="00CF38FA">
      <w:pPr>
        <w:pStyle w:val="Pagrindinistekstas2"/>
        <w:ind w:left="0"/>
        <w:rPr>
          <w:rFonts w:ascii="Times New Roman" w:hAnsi="Times New Roman"/>
          <w:b/>
          <w:i/>
          <w:color w:val="auto"/>
          <w:sz w:val="22"/>
          <w:szCs w:val="22"/>
          <w:lang w:val="lt-LT"/>
        </w:rPr>
      </w:pPr>
    </w:p>
    <w:p w14:paraId="41BBAE6C" w14:textId="77777777"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Žindymas</w:t>
      </w:r>
    </w:p>
    <w:p w14:paraId="581F43CB" w14:textId="77777777"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Klinikiniai tyrimai parodė, kad geležies iš Ferinject patekimas į motinos pieną yra nežymus (</w:t>
      </w:r>
      <w:r w:rsidRPr="000D6942">
        <w:rPr>
          <w:rFonts w:ascii="Times New Roman" w:hAnsi="Times New Roman"/>
          <w:color w:val="auto"/>
          <w:sz w:val="22"/>
          <w:szCs w:val="22"/>
          <w:lang w:val="lt-LT"/>
        </w:rPr>
        <w:sym w:font="Symbol" w:char="F0A3"/>
      </w:r>
      <w:r w:rsidRPr="000D6942">
        <w:rPr>
          <w:rFonts w:ascii="Times New Roman" w:hAnsi="Times New Roman"/>
          <w:color w:val="auto"/>
          <w:sz w:val="22"/>
          <w:szCs w:val="22"/>
          <w:lang w:val="lt-LT"/>
        </w:rPr>
        <w:t xml:space="preserve"> 1 %). Remiantis ribotais duomenimis apie žindančias motinas, žindomam kūdikiui Ferinject vartojimas rizikos kelti neturėtų.</w:t>
      </w:r>
    </w:p>
    <w:p w14:paraId="4278A56D" w14:textId="77777777" w:rsidR="004C2CCC" w:rsidRPr="000D6942" w:rsidRDefault="004C2CCC" w:rsidP="00CF38FA">
      <w:pPr>
        <w:pStyle w:val="Pagrindinistekstas2"/>
        <w:ind w:left="0"/>
        <w:rPr>
          <w:rFonts w:ascii="Times New Roman" w:hAnsi="Times New Roman"/>
          <w:color w:val="auto"/>
          <w:sz w:val="22"/>
          <w:szCs w:val="22"/>
          <w:lang w:val="lt-LT"/>
        </w:rPr>
      </w:pPr>
    </w:p>
    <w:p w14:paraId="296F28E8" w14:textId="77777777"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Vaisingumas</w:t>
      </w:r>
    </w:p>
    <w:p w14:paraId="28810BBF" w14:textId="77777777"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Duomenų apie Ferinject poveikį žmonių vaisingumui nėra. Tyrimuose su gyvūnais gydymas Ferinject poveikio vaisingumui neturėjo (žr. 5.3 skyrių).</w:t>
      </w:r>
    </w:p>
    <w:p w14:paraId="79AC7274" w14:textId="77777777" w:rsidR="004C2CCC" w:rsidRPr="000D6942" w:rsidRDefault="004C2CCC" w:rsidP="00CF38FA">
      <w:pPr>
        <w:rPr>
          <w:szCs w:val="22"/>
        </w:rPr>
      </w:pPr>
    </w:p>
    <w:p w14:paraId="67AFC4B3" w14:textId="77777777" w:rsidR="004C2CCC" w:rsidRPr="000D6942" w:rsidRDefault="004C2CCC" w:rsidP="00CF38FA">
      <w:pPr>
        <w:ind w:left="540" w:hanging="540"/>
        <w:rPr>
          <w:b/>
          <w:szCs w:val="22"/>
        </w:rPr>
      </w:pPr>
      <w:r w:rsidRPr="000D6942">
        <w:rPr>
          <w:b/>
          <w:szCs w:val="22"/>
        </w:rPr>
        <w:t>4.7</w:t>
      </w:r>
      <w:r w:rsidRPr="000D6942">
        <w:rPr>
          <w:b/>
          <w:szCs w:val="22"/>
        </w:rPr>
        <w:tab/>
        <w:t>Poveikis gebėjimui vairuoti ir valdyti mechanizmus</w:t>
      </w:r>
    </w:p>
    <w:p w14:paraId="5D19EAE8" w14:textId="77777777" w:rsidR="004C2CCC" w:rsidRPr="000D6942" w:rsidRDefault="004C2CCC" w:rsidP="00CF38FA">
      <w:pPr>
        <w:rPr>
          <w:szCs w:val="22"/>
        </w:rPr>
      </w:pPr>
    </w:p>
    <w:p w14:paraId="4655A4FE" w14:textId="77777777" w:rsidR="004C2CCC" w:rsidRPr="000D6942" w:rsidRDefault="004C2CCC" w:rsidP="00CF38FA">
      <w:pPr>
        <w:rPr>
          <w:szCs w:val="22"/>
        </w:rPr>
      </w:pPr>
      <w:r w:rsidRPr="000D6942">
        <w:rPr>
          <w:szCs w:val="22"/>
        </w:rPr>
        <w:t>Ferinject gebėjimo vairuoti ir valdyti mechanizmus veikti neturėtų.</w:t>
      </w:r>
    </w:p>
    <w:p w14:paraId="5EA76E87" w14:textId="77777777" w:rsidR="004C2CCC" w:rsidRPr="000D6942" w:rsidRDefault="004C2CCC" w:rsidP="00CF38FA">
      <w:pPr>
        <w:rPr>
          <w:szCs w:val="22"/>
        </w:rPr>
      </w:pPr>
    </w:p>
    <w:p w14:paraId="58480B1B" w14:textId="77777777" w:rsidR="004C2CCC" w:rsidRPr="000D6942" w:rsidRDefault="004C2CCC" w:rsidP="00CF38FA">
      <w:pPr>
        <w:ind w:left="540" w:hanging="540"/>
        <w:rPr>
          <w:b/>
          <w:szCs w:val="22"/>
        </w:rPr>
      </w:pPr>
      <w:r w:rsidRPr="000D6942">
        <w:rPr>
          <w:b/>
          <w:szCs w:val="22"/>
        </w:rPr>
        <w:t>4.8</w:t>
      </w:r>
      <w:r w:rsidRPr="000D6942">
        <w:rPr>
          <w:b/>
          <w:szCs w:val="22"/>
        </w:rPr>
        <w:tab/>
        <w:t>Nepageidaujamas poveikis</w:t>
      </w:r>
    </w:p>
    <w:p w14:paraId="5EDEF162" w14:textId="77777777" w:rsidR="004C2CCC" w:rsidRPr="000D6942" w:rsidRDefault="004C2CCC" w:rsidP="00CF38FA">
      <w:pPr>
        <w:rPr>
          <w:szCs w:val="22"/>
        </w:rPr>
      </w:pPr>
    </w:p>
    <w:p w14:paraId="29DF2FFE" w14:textId="46220347" w:rsidR="00CF38FA" w:rsidRPr="000D6942" w:rsidRDefault="00A01A87" w:rsidP="00423CAB">
      <w:pPr>
        <w:rPr>
          <w:szCs w:val="22"/>
        </w:rPr>
      </w:pPr>
      <w:r w:rsidRPr="000D6942">
        <w:rPr>
          <w:szCs w:val="22"/>
        </w:rPr>
        <w:t>4 </w:t>
      </w:r>
      <w:r w:rsidR="004C2CCC" w:rsidRPr="000D6942">
        <w:rPr>
          <w:szCs w:val="22"/>
        </w:rPr>
        <w:t>lentelėje pateikiamos nepageidaujamos reakcijos į vaistus (ADR), pasireiškusios klinikinių tyrimų metu tirt</w:t>
      </w:r>
      <w:r w:rsidR="00E57951">
        <w:rPr>
          <w:szCs w:val="22"/>
        </w:rPr>
        <w:t>iems</w:t>
      </w:r>
      <w:r w:rsidR="004C2CCC" w:rsidRPr="000D6942">
        <w:rPr>
          <w:szCs w:val="22"/>
        </w:rPr>
        <w:t xml:space="preserve"> </w:t>
      </w:r>
      <w:r w:rsidR="00E57951">
        <w:rPr>
          <w:szCs w:val="22"/>
        </w:rPr>
        <w:t>&gt;8000</w:t>
      </w:r>
      <w:r w:rsidR="004C2CCC" w:rsidRPr="000D6942">
        <w:rPr>
          <w:szCs w:val="22"/>
        </w:rPr>
        <w:t xml:space="preserve"> Ferinject </w:t>
      </w:r>
      <w:r w:rsidR="00E57951" w:rsidRPr="000D6942">
        <w:rPr>
          <w:szCs w:val="22"/>
        </w:rPr>
        <w:t>vartojusi</w:t>
      </w:r>
      <w:r w:rsidR="00E57951">
        <w:rPr>
          <w:szCs w:val="22"/>
        </w:rPr>
        <w:t>ems</w:t>
      </w:r>
      <w:r w:rsidR="00E57951" w:rsidRPr="000D6942">
        <w:rPr>
          <w:szCs w:val="22"/>
        </w:rPr>
        <w:t xml:space="preserve"> </w:t>
      </w:r>
      <w:r w:rsidR="000D6942" w:rsidRPr="000D6942">
        <w:rPr>
          <w:szCs w:val="22"/>
        </w:rPr>
        <w:t>tiriam</w:t>
      </w:r>
      <w:r w:rsidR="00E57951">
        <w:rPr>
          <w:szCs w:val="22"/>
        </w:rPr>
        <w:t>iesiems</w:t>
      </w:r>
      <w:r w:rsidR="004C2CCC" w:rsidRPr="000D6942">
        <w:rPr>
          <w:szCs w:val="22"/>
        </w:rPr>
        <w:t xml:space="preserve"> ir stebėjimo pateikus į rinką metu nustatytos ADR (išsamiau paaiškinta lentelės išnašose).</w:t>
      </w:r>
    </w:p>
    <w:p w14:paraId="7240F29F" w14:textId="77777777" w:rsidR="004C2CCC" w:rsidRPr="000D6942" w:rsidRDefault="004C2CCC" w:rsidP="00CF38FA">
      <w:pPr>
        <w:rPr>
          <w:szCs w:val="22"/>
        </w:rPr>
      </w:pPr>
    </w:p>
    <w:p w14:paraId="4C2F790A" w14:textId="1F7E8A56" w:rsidR="00017FAC" w:rsidRDefault="004C2CCC" w:rsidP="009E4253">
      <w:pPr>
        <w:rPr>
          <w:szCs w:val="22"/>
        </w:rPr>
      </w:pPr>
      <w:r w:rsidRPr="000D6942">
        <w:rPr>
          <w:szCs w:val="22"/>
        </w:rPr>
        <w:t xml:space="preserve">Dažniausiai pasireiškianti nepageidaujama reakcija </w:t>
      </w:r>
      <w:r w:rsidR="00423CAB" w:rsidRPr="000D6942">
        <w:rPr>
          <w:szCs w:val="22"/>
        </w:rPr>
        <w:t xml:space="preserve">(ADR) </w:t>
      </w:r>
      <w:r w:rsidRPr="000D6942">
        <w:rPr>
          <w:szCs w:val="22"/>
        </w:rPr>
        <w:t>yra pykinimas (</w:t>
      </w:r>
      <w:r w:rsidR="00423CAB" w:rsidRPr="000D6942">
        <w:rPr>
          <w:szCs w:val="22"/>
        </w:rPr>
        <w:t>2</w:t>
      </w:r>
      <w:r w:rsidRPr="000D6942">
        <w:rPr>
          <w:szCs w:val="22"/>
        </w:rPr>
        <w:t>,</w:t>
      </w:r>
      <w:r w:rsidR="00423CAB" w:rsidRPr="000D6942">
        <w:rPr>
          <w:szCs w:val="22"/>
        </w:rPr>
        <w:t>9 </w:t>
      </w:r>
      <w:r w:rsidRPr="000D6942">
        <w:rPr>
          <w:szCs w:val="22"/>
        </w:rPr>
        <w:t xml:space="preserve">% </w:t>
      </w:r>
      <w:r w:rsidR="00423CAB" w:rsidRPr="000D6942">
        <w:rPr>
          <w:szCs w:val="22"/>
        </w:rPr>
        <w:t>tiriamųjų</w:t>
      </w:r>
      <w:r w:rsidRPr="000D6942">
        <w:rPr>
          <w:szCs w:val="22"/>
        </w:rPr>
        <w:t xml:space="preserve">), lydimas </w:t>
      </w:r>
      <w:r w:rsidR="00423CAB" w:rsidRPr="000D6942">
        <w:rPr>
          <w:szCs w:val="22"/>
        </w:rPr>
        <w:t xml:space="preserve">reakcijų injekcijos/infuzijos vietoje, hipofosfatemijos, </w:t>
      </w:r>
      <w:r w:rsidRPr="000D6942">
        <w:rPr>
          <w:szCs w:val="22"/>
        </w:rPr>
        <w:t xml:space="preserve">galvos skausmo, </w:t>
      </w:r>
      <w:r w:rsidR="00423CAB" w:rsidRPr="000D6942">
        <w:rPr>
          <w:szCs w:val="22"/>
        </w:rPr>
        <w:t xml:space="preserve">veido paraudimo, </w:t>
      </w:r>
      <w:r w:rsidRPr="000D6942">
        <w:rPr>
          <w:szCs w:val="22"/>
        </w:rPr>
        <w:t xml:space="preserve">svaigimo ir </w:t>
      </w:r>
      <w:r w:rsidR="00423CAB" w:rsidRPr="000D6942">
        <w:rPr>
          <w:szCs w:val="22"/>
        </w:rPr>
        <w:t>hipertenzijos</w:t>
      </w:r>
      <w:r w:rsidRPr="000D6942">
        <w:rPr>
          <w:szCs w:val="22"/>
        </w:rPr>
        <w:t>. Reakcijos injekcijos</w:t>
      </w:r>
      <w:r w:rsidR="00423CAB" w:rsidRPr="000D6942">
        <w:rPr>
          <w:szCs w:val="22"/>
        </w:rPr>
        <w:t>/infuzijos</w:t>
      </w:r>
      <w:r w:rsidRPr="000D6942">
        <w:rPr>
          <w:szCs w:val="22"/>
        </w:rPr>
        <w:t xml:space="preserve"> vietoje apima keletą ADR, kurios </w:t>
      </w:r>
      <w:r w:rsidR="00423CAB" w:rsidRPr="000D6942">
        <w:rPr>
          <w:szCs w:val="22"/>
        </w:rPr>
        <w:t>kiekviena jų atskirai yra arba</w:t>
      </w:r>
      <w:r w:rsidRPr="000D6942">
        <w:rPr>
          <w:szCs w:val="22"/>
        </w:rPr>
        <w:t xml:space="preserve"> nedažna</w:t>
      </w:r>
      <w:r w:rsidR="00423CAB" w:rsidRPr="000D6942">
        <w:rPr>
          <w:szCs w:val="22"/>
        </w:rPr>
        <w:t>,</w:t>
      </w:r>
      <w:r w:rsidRPr="000D6942">
        <w:rPr>
          <w:szCs w:val="22"/>
        </w:rPr>
        <w:t xml:space="preserve"> arba reta. </w:t>
      </w:r>
    </w:p>
    <w:p w14:paraId="40A8A550" w14:textId="61C76230" w:rsidR="004C2CCC" w:rsidRPr="000D6942" w:rsidRDefault="00D64690" w:rsidP="009E4253">
      <w:pPr>
        <w:rPr>
          <w:szCs w:val="22"/>
        </w:rPr>
      </w:pPr>
      <w:r>
        <w:rPr>
          <w:szCs w:val="22"/>
        </w:rPr>
        <w:lastRenderedPageBreak/>
        <w:t>K</w:t>
      </w:r>
      <w:r w:rsidR="004C2CCC" w:rsidRPr="000D6942">
        <w:rPr>
          <w:szCs w:val="22"/>
        </w:rPr>
        <w:t>linikini</w:t>
      </w:r>
      <w:r>
        <w:rPr>
          <w:szCs w:val="22"/>
        </w:rPr>
        <w:t>uose</w:t>
      </w:r>
      <w:r w:rsidR="004C2CCC" w:rsidRPr="000D6942">
        <w:rPr>
          <w:szCs w:val="22"/>
        </w:rPr>
        <w:t xml:space="preserve"> </w:t>
      </w:r>
      <w:r w:rsidRPr="000D6942">
        <w:rPr>
          <w:szCs w:val="22"/>
        </w:rPr>
        <w:t>tyrim</w:t>
      </w:r>
      <w:r>
        <w:rPr>
          <w:szCs w:val="22"/>
        </w:rPr>
        <w:t xml:space="preserve">uose dalyvavusiems </w:t>
      </w:r>
      <w:r w:rsidR="00F77311">
        <w:rPr>
          <w:szCs w:val="22"/>
        </w:rPr>
        <w:t>tiriamiesie</w:t>
      </w:r>
      <w:r>
        <w:rPr>
          <w:szCs w:val="22"/>
        </w:rPr>
        <w:t>ms</w:t>
      </w:r>
      <w:r w:rsidRPr="000D6942">
        <w:rPr>
          <w:szCs w:val="22"/>
        </w:rPr>
        <w:t xml:space="preserve"> </w:t>
      </w:r>
      <w:r w:rsidR="00F77311">
        <w:rPr>
          <w:szCs w:val="22"/>
        </w:rPr>
        <w:t>pa</w:t>
      </w:r>
      <w:r>
        <w:rPr>
          <w:szCs w:val="22"/>
        </w:rPr>
        <w:t>steb</w:t>
      </w:r>
      <w:r w:rsidR="00F77311">
        <w:rPr>
          <w:szCs w:val="22"/>
        </w:rPr>
        <w:t>ėt</w:t>
      </w:r>
      <w:r>
        <w:rPr>
          <w:szCs w:val="22"/>
        </w:rPr>
        <w:t xml:space="preserve">as </w:t>
      </w:r>
      <w:r w:rsidR="00423CAB" w:rsidRPr="000D6942">
        <w:rPr>
          <w:szCs w:val="22"/>
        </w:rPr>
        <w:t>fosforo koncentracijos serume</w:t>
      </w:r>
      <w:r w:rsidR="004C2CCC" w:rsidRPr="000D6942">
        <w:rPr>
          <w:szCs w:val="22"/>
        </w:rPr>
        <w:t xml:space="preserve"> </w:t>
      </w:r>
      <w:r>
        <w:rPr>
          <w:szCs w:val="22"/>
        </w:rPr>
        <w:t xml:space="preserve">mažėjimas; mažiausios </w:t>
      </w:r>
      <w:r w:rsidR="004C2CCC" w:rsidRPr="000D6942">
        <w:rPr>
          <w:szCs w:val="22"/>
        </w:rPr>
        <w:t xml:space="preserve">vertės buvo </w:t>
      </w:r>
      <w:r w:rsidR="000D6942" w:rsidRPr="000D6942">
        <w:rPr>
          <w:szCs w:val="22"/>
        </w:rPr>
        <w:t>gautos po maždaug 2 savaičių, o</w:t>
      </w:r>
      <w:r w:rsidR="004C2CCC" w:rsidRPr="000D6942">
        <w:rPr>
          <w:szCs w:val="22"/>
        </w:rPr>
        <w:t xml:space="preserve"> praėjus 12 savaičių po gydymo Ferinject </w:t>
      </w:r>
      <w:r w:rsidR="009E4253" w:rsidRPr="000D6942">
        <w:rPr>
          <w:szCs w:val="22"/>
        </w:rPr>
        <w:t>v</w:t>
      </w:r>
      <w:r w:rsidR="00F77311">
        <w:rPr>
          <w:szCs w:val="22"/>
        </w:rPr>
        <w:t>ertės v</w:t>
      </w:r>
      <w:r w:rsidR="009E4253" w:rsidRPr="000D6942">
        <w:rPr>
          <w:szCs w:val="22"/>
        </w:rPr>
        <w:t>ėl</w:t>
      </w:r>
      <w:r w:rsidR="004C2CCC" w:rsidRPr="000D6942">
        <w:rPr>
          <w:szCs w:val="22"/>
        </w:rPr>
        <w:t xml:space="preserve"> </w:t>
      </w:r>
      <w:r w:rsidR="00F77311">
        <w:rPr>
          <w:szCs w:val="22"/>
        </w:rPr>
        <w:t>atitiko</w:t>
      </w:r>
      <w:r w:rsidR="009E4253" w:rsidRPr="000D6942">
        <w:rPr>
          <w:szCs w:val="22"/>
        </w:rPr>
        <w:t xml:space="preserve"> gautas </w:t>
      </w:r>
      <w:r w:rsidR="004C2CCC" w:rsidRPr="000D6942">
        <w:rPr>
          <w:szCs w:val="22"/>
        </w:rPr>
        <w:t>tyrim</w:t>
      </w:r>
      <w:r w:rsidR="009E4253" w:rsidRPr="000D6942">
        <w:rPr>
          <w:szCs w:val="22"/>
        </w:rPr>
        <w:t>o</w:t>
      </w:r>
      <w:r w:rsidR="004C2CCC" w:rsidRPr="000D6942">
        <w:rPr>
          <w:szCs w:val="22"/>
        </w:rPr>
        <w:t xml:space="preserve"> pradžioje. Sunkiausios ADR yra anafilaktoidinės</w:t>
      </w:r>
      <w:r>
        <w:rPr>
          <w:szCs w:val="22"/>
        </w:rPr>
        <w:t>/anafilaksinės</w:t>
      </w:r>
      <w:r w:rsidR="004C2CCC" w:rsidRPr="000D6942">
        <w:rPr>
          <w:szCs w:val="22"/>
        </w:rPr>
        <w:t xml:space="preserve"> reakcijos</w:t>
      </w:r>
      <w:r w:rsidR="009E4253" w:rsidRPr="000D6942">
        <w:rPr>
          <w:szCs w:val="22"/>
        </w:rPr>
        <w:t xml:space="preserve"> (</w:t>
      </w:r>
      <w:r w:rsidR="004C2CCC" w:rsidRPr="000D6942">
        <w:rPr>
          <w:szCs w:val="22"/>
        </w:rPr>
        <w:t>ret</w:t>
      </w:r>
      <w:r w:rsidR="009E4253" w:rsidRPr="000D6942">
        <w:rPr>
          <w:szCs w:val="22"/>
        </w:rPr>
        <w:t>o</w:t>
      </w:r>
      <w:r w:rsidR="004C2CCC" w:rsidRPr="000D6942">
        <w:rPr>
          <w:szCs w:val="22"/>
        </w:rPr>
        <w:t>s</w:t>
      </w:r>
      <w:r w:rsidR="009E4253" w:rsidRPr="000D6942">
        <w:rPr>
          <w:szCs w:val="22"/>
        </w:rPr>
        <w:t>)</w:t>
      </w:r>
      <w:r>
        <w:rPr>
          <w:szCs w:val="22"/>
        </w:rPr>
        <w:t>; buvo pranešta apie mirties atvejus</w:t>
      </w:r>
      <w:r w:rsidR="004C2CCC" w:rsidRPr="000D6942">
        <w:rPr>
          <w:szCs w:val="22"/>
        </w:rPr>
        <w:t>.</w:t>
      </w:r>
      <w:r>
        <w:rPr>
          <w:szCs w:val="22"/>
        </w:rPr>
        <w:t xml:space="preserve"> Išsami informacija pateikiama 4.4 lentelėje.</w:t>
      </w:r>
    </w:p>
    <w:p w14:paraId="20DAC8F4" w14:textId="77777777" w:rsidR="004C2CCC" w:rsidRPr="000D6942" w:rsidRDefault="004C2CCC" w:rsidP="00CF38FA">
      <w:pPr>
        <w:rPr>
          <w:color w:val="1F497D"/>
          <w:szCs w:val="22"/>
        </w:rPr>
      </w:pPr>
    </w:p>
    <w:p w14:paraId="045BF8C9" w14:textId="77777777" w:rsidR="004C2CCC" w:rsidRPr="000D6942" w:rsidRDefault="00A01A87" w:rsidP="00CF38FA">
      <w:pPr>
        <w:rPr>
          <w:b/>
        </w:rPr>
      </w:pPr>
      <w:r w:rsidRPr="000D6942">
        <w:rPr>
          <w:b/>
          <w:szCs w:val="22"/>
        </w:rPr>
        <w:t>4</w:t>
      </w:r>
      <w:r w:rsidR="004C2CCC" w:rsidRPr="000D6942">
        <w:rPr>
          <w:b/>
        </w:rPr>
        <w:t xml:space="preserve"> lentelė</w:t>
      </w:r>
      <w:r w:rsidR="00EA40BB" w:rsidRPr="000D6942">
        <w:rPr>
          <w:b/>
          <w:szCs w:val="22"/>
        </w:rPr>
        <w:t>.</w:t>
      </w:r>
      <w:r w:rsidR="004C2CCC" w:rsidRPr="000D6942">
        <w:rPr>
          <w:b/>
        </w:rPr>
        <w:tab/>
        <w:t>Nepageidaujamos reakcijos į vaistus, pasireiškusios klinikinių tyrimų ir stebėjimo pateikus į rinką metu</w:t>
      </w:r>
    </w:p>
    <w:tbl>
      <w:tblPr>
        <w:tblW w:w="7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355"/>
        <w:gridCol w:w="1784"/>
        <w:gridCol w:w="1885"/>
        <w:gridCol w:w="1668"/>
      </w:tblGrid>
      <w:tr w:rsidR="004C2CCC" w:rsidRPr="000D6942" w14:paraId="771BB103" w14:textId="77777777" w:rsidTr="00705434">
        <w:tc>
          <w:tcPr>
            <w:tcW w:w="2355" w:type="dxa"/>
          </w:tcPr>
          <w:p w14:paraId="5763D6B7" w14:textId="77777777" w:rsidR="004C2CCC" w:rsidRPr="000D6942" w:rsidRDefault="004C2CCC" w:rsidP="0087234B">
            <w:pPr>
              <w:rPr>
                <w:b/>
                <w:color w:val="000000"/>
                <w:szCs w:val="22"/>
              </w:rPr>
            </w:pPr>
            <w:r w:rsidRPr="000D6942">
              <w:rPr>
                <w:b/>
                <w:iCs/>
                <w:szCs w:val="22"/>
              </w:rPr>
              <w:t>Organų sistemų klases</w:t>
            </w:r>
          </w:p>
        </w:tc>
        <w:tc>
          <w:tcPr>
            <w:tcW w:w="1784" w:type="dxa"/>
          </w:tcPr>
          <w:p w14:paraId="2C30FDF4" w14:textId="77777777" w:rsidR="00CF38FA" w:rsidRPr="000D6942" w:rsidRDefault="004C2CCC" w:rsidP="0087234B">
            <w:pPr>
              <w:rPr>
                <w:b/>
              </w:rPr>
            </w:pPr>
            <w:r w:rsidRPr="000D6942">
              <w:rPr>
                <w:b/>
                <w:szCs w:val="22"/>
              </w:rPr>
              <w:t>Dažni</w:t>
            </w:r>
          </w:p>
          <w:p w14:paraId="6E8B3A73" w14:textId="77777777" w:rsidR="004C2CCC" w:rsidRPr="000D6942" w:rsidRDefault="004C2CCC" w:rsidP="0087234B">
            <w:pPr>
              <w:rPr>
                <w:b/>
                <w:color w:val="000000"/>
                <w:szCs w:val="22"/>
              </w:rPr>
            </w:pPr>
            <w:r w:rsidRPr="000D6942">
              <w:rPr>
                <w:b/>
                <w:szCs w:val="22"/>
              </w:rPr>
              <w:t xml:space="preserve">(nuo </w:t>
            </w:r>
            <w:r w:rsidRPr="000D6942">
              <w:rPr>
                <w:b/>
                <w:bCs/>
                <w:szCs w:val="22"/>
              </w:rPr>
              <w:sym w:font="Symbol" w:char="F0B3"/>
            </w:r>
            <w:r w:rsidRPr="000D6942">
              <w:rPr>
                <w:b/>
                <w:szCs w:val="22"/>
              </w:rPr>
              <w:t xml:space="preserve">1/100 iki &lt;1/10) </w:t>
            </w:r>
          </w:p>
        </w:tc>
        <w:tc>
          <w:tcPr>
            <w:tcW w:w="1885" w:type="dxa"/>
          </w:tcPr>
          <w:p w14:paraId="6E4E528C" w14:textId="77777777" w:rsidR="00CF38FA" w:rsidRPr="000D6942" w:rsidRDefault="004C2CCC" w:rsidP="0087234B">
            <w:pPr>
              <w:rPr>
                <w:b/>
              </w:rPr>
            </w:pPr>
            <w:r w:rsidRPr="000D6942">
              <w:rPr>
                <w:b/>
                <w:szCs w:val="22"/>
              </w:rPr>
              <w:t>Nedažni</w:t>
            </w:r>
          </w:p>
          <w:p w14:paraId="4DC1BFF7" w14:textId="21E4A02C" w:rsidR="004C2CCC" w:rsidRPr="000D6942" w:rsidRDefault="004C2CCC" w:rsidP="008349C2">
            <w:pPr>
              <w:rPr>
                <w:b/>
                <w:color w:val="000000"/>
                <w:szCs w:val="22"/>
              </w:rPr>
            </w:pPr>
            <w:r w:rsidRPr="000D6942">
              <w:rPr>
                <w:b/>
                <w:szCs w:val="22"/>
              </w:rPr>
              <w:t>(nuo ≥1/1000 iki &lt;1/100)</w:t>
            </w:r>
          </w:p>
        </w:tc>
        <w:tc>
          <w:tcPr>
            <w:tcW w:w="1668" w:type="dxa"/>
          </w:tcPr>
          <w:p w14:paraId="1CEE515B" w14:textId="77777777" w:rsidR="00CF38FA" w:rsidRPr="000D6942" w:rsidRDefault="004C2CCC" w:rsidP="0087234B">
            <w:pPr>
              <w:rPr>
                <w:b/>
              </w:rPr>
            </w:pPr>
            <w:r w:rsidRPr="000D6942">
              <w:rPr>
                <w:b/>
                <w:szCs w:val="22"/>
              </w:rPr>
              <w:t>Reti</w:t>
            </w:r>
          </w:p>
          <w:p w14:paraId="7DB3D5BD" w14:textId="19428D3C" w:rsidR="004C2CCC" w:rsidRPr="000D6942" w:rsidRDefault="004C2CCC" w:rsidP="0087234B">
            <w:pPr>
              <w:rPr>
                <w:b/>
                <w:color w:val="000000"/>
                <w:szCs w:val="22"/>
              </w:rPr>
            </w:pPr>
            <w:r w:rsidRPr="000D6942">
              <w:rPr>
                <w:b/>
                <w:szCs w:val="22"/>
              </w:rPr>
              <w:t xml:space="preserve">(nuo </w:t>
            </w:r>
            <w:r w:rsidRPr="000D6942">
              <w:rPr>
                <w:b/>
                <w:bCs/>
                <w:szCs w:val="22"/>
              </w:rPr>
              <w:t>≥</w:t>
            </w:r>
            <w:r w:rsidRPr="000D6942">
              <w:rPr>
                <w:b/>
                <w:szCs w:val="22"/>
              </w:rPr>
              <w:t xml:space="preserve">1/10000 iki &lt;1/1000) </w:t>
            </w:r>
          </w:p>
        </w:tc>
      </w:tr>
      <w:tr w:rsidR="004C2CCC" w:rsidRPr="000D6942" w14:paraId="59017753" w14:textId="77777777" w:rsidTr="00705434">
        <w:tc>
          <w:tcPr>
            <w:tcW w:w="2355" w:type="dxa"/>
          </w:tcPr>
          <w:p w14:paraId="7C62BBF1" w14:textId="77777777" w:rsidR="004C2CCC" w:rsidRPr="000D6942" w:rsidRDefault="004C2CCC" w:rsidP="0087234B">
            <w:pPr>
              <w:rPr>
                <w:b/>
                <w:iCs/>
                <w:color w:val="000000"/>
                <w:szCs w:val="22"/>
                <w:lang w:eastAsia="de-DE"/>
              </w:rPr>
            </w:pPr>
            <w:r w:rsidRPr="000D6942">
              <w:rPr>
                <w:b/>
                <w:iCs/>
                <w:szCs w:val="22"/>
              </w:rPr>
              <w:t>Imuninės sistemos sutrikimai</w:t>
            </w:r>
          </w:p>
          <w:p w14:paraId="72D1167E" w14:textId="77777777" w:rsidR="004C2CCC" w:rsidRPr="000D6942" w:rsidRDefault="004C2CCC" w:rsidP="0087234B">
            <w:pPr>
              <w:rPr>
                <w:b/>
                <w:color w:val="000000"/>
                <w:szCs w:val="22"/>
              </w:rPr>
            </w:pPr>
          </w:p>
        </w:tc>
        <w:tc>
          <w:tcPr>
            <w:tcW w:w="1784" w:type="dxa"/>
          </w:tcPr>
          <w:p w14:paraId="5A58C90C" w14:textId="77777777" w:rsidR="004C2CCC" w:rsidRPr="000D6942" w:rsidRDefault="004C2CCC" w:rsidP="0087234B">
            <w:pPr>
              <w:rPr>
                <w:color w:val="000000"/>
                <w:szCs w:val="22"/>
              </w:rPr>
            </w:pPr>
          </w:p>
        </w:tc>
        <w:tc>
          <w:tcPr>
            <w:tcW w:w="1885" w:type="dxa"/>
          </w:tcPr>
          <w:p w14:paraId="1B25B325" w14:textId="77777777" w:rsidR="004C2CCC" w:rsidRPr="000D6942" w:rsidRDefault="004C2CCC" w:rsidP="0087234B">
            <w:pPr>
              <w:rPr>
                <w:color w:val="000000"/>
                <w:szCs w:val="22"/>
              </w:rPr>
            </w:pPr>
            <w:r w:rsidRPr="000D6942">
              <w:rPr>
                <w:szCs w:val="22"/>
              </w:rPr>
              <w:t>Padidėjusio jautrumo reakcijos</w:t>
            </w:r>
          </w:p>
        </w:tc>
        <w:tc>
          <w:tcPr>
            <w:tcW w:w="1668" w:type="dxa"/>
          </w:tcPr>
          <w:p w14:paraId="1056477E" w14:textId="246D5A85" w:rsidR="004C2CCC" w:rsidRPr="000D6942" w:rsidRDefault="004C2CCC" w:rsidP="0087234B">
            <w:pPr>
              <w:rPr>
                <w:color w:val="000000"/>
                <w:szCs w:val="22"/>
              </w:rPr>
            </w:pPr>
            <w:r w:rsidRPr="000D6942">
              <w:rPr>
                <w:iCs/>
                <w:color w:val="000000"/>
                <w:szCs w:val="22"/>
                <w:lang w:eastAsia="de-DE"/>
              </w:rPr>
              <w:t>Anafilaktoidinės</w:t>
            </w:r>
            <w:r w:rsidR="00017FAC">
              <w:rPr>
                <w:iCs/>
                <w:color w:val="000000"/>
                <w:szCs w:val="22"/>
                <w:lang w:eastAsia="de-DE"/>
              </w:rPr>
              <w:t>/anafilaksinės</w:t>
            </w:r>
            <w:r w:rsidRPr="000D6942">
              <w:rPr>
                <w:iCs/>
                <w:color w:val="000000"/>
                <w:szCs w:val="22"/>
                <w:lang w:eastAsia="de-DE"/>
              </w:rPr>
              <w:t xml:space="preserve"> reakcijos</w:t>
            </w:r>
          </w:p>
        </w:tc>
      </w:tr>
      <w:tr w:rsidR="00305C3D" w:rsidRPr="000D6942" w14:paraId="0CD98F84" w14:textId="77777777" w:rsidTr="00705434">
        <w:tc>
          <w:tcPr>
            <w:tcW w:w="2355" w:type="dxa"/>
          </w:tcPr>
          <w:p w14:paraId="284BA117" w14:textId="77777777" w:rsidR="00305C3D" w:rsidRPr="000D6942" w:rsidRDefault="00305C3D" w:rsidP="00305C3D">
            <w:pPr>
              <w:rPr>
                <w:b/>
                <w:iCs/>
                <w:szCs w:val="22"/>
              </w:rPr>
            </w:pPr>
            <w:r w:rsidRPr="000D6942">
              <w:rPr>
                <w:b/>
                <w:iCs/>
                <w:szCs w:val="22"/>
              </w:rPr>
              <w:t>Metabolizmo ir mitybos sutrikimai</w:t>
            </w:r>
          </w:p>
        </w:tc>
        <w:tc>
          <w:tcPr>
            <w:tcW w:w="1784" w:type="dxa"/>
          </w:tcPr>
          <w:p w14:paraId="786FC572" w14:textId="77777777" w:rsidR="00305C3D" w:rsidRPr="000D6942" w:rsidDel="00C02824" w:rsidRDefault="00305C3D" w:rsidP="00305C3D">
            <w:pPr>
              <w:rPr>
                <w:iCs/>
                <w:szCs w:val="22"/>
              </w:rPr>
            </w:pPr>
            <w:r w:rsidRPr="000D6942">
              <w:rPr>
                <w:iCs/>
                <w:color w:val="000000"/>
                <w:szCs w:val="22"/>
                <w:lang w:eastAsia="de-DE"/>
              </w:rPr>
              <w:t>Hipofosfatemija</w:t>
            </w:r>
          </w:p>
        </w:tc>
        <w:tc>
          <w:tcPr>
            <w:tcW w:w="1885" w:type="dxa"/>
          </w:tcPr>
          <w:p w14:paraId="72F69B4D" w14:textId="77777777" w:rsidR="00305C3D" w:rsidRPr="000D6942" w:rsidRDefault="00305C3D" w:rsidP="00305C3D">
            <w:pPr>
              <w:rPr>
                <w:iCs/>
                <w:szCs w:val="22"/>
              </w:rPr>
            </w:pPr>
          </w:p>
        </w:tc>
        <w:tc>
          <w:tcPr>
            <w:tcW w:w="1668" w:type="dxa"/>
          </w:tcPr>
          <w:p w14:paraId="79B0C098" w14:textId="77777777" w:rsidR="00305C3D" w:rsidRPr="000D6942" w:rsidRDefault="00305C3D" w:rsidP="00305C3D">
            <w:pPr>
              <w:rPr>
                <w:iCs/>
                <w:color w:val="000000"/>
                <w:szCs w:val="22"/>
                <w:lang w:eastAsia="de-DE"/>
              </w:rPr>
            </w:pPr>
          </w:p>
        </w:tc>
      </w:tr>
      <w:tr w:rsidR="004C2CCC" w:rsidRPr="000D6942" w14:paraId="3044511E" w14:textId="77777777" w:rsidTr="00705434">
        <w:tc>
          <w:tcPr>
            <w:tcW w:w="2355" w:type="dxa"/>
          </w:tcPr>
          <w:p w14:paraId="11637E04" w14:textId="77777777" w:rsidR="004C2CCC" w:rsidRPr="000D6942" w:rsidRDefault="004C2CCC" w:rsidP="0087234B">
            <w:pPr>
              <w:rPr>
                <w:b/>
                <w:iCs/>
                <w:color w:val="000000"/>
                <w:szCs w:val="22"/>
                <w:lang w:eastAsia="de-DE"/>
              </w:rPr>
            </w:pPr>
            <w:r w:rsidRPr="000D6942">
              <w:rPr>
                <w:b/>
                <w:iCs/>
                <w:szCs w:val="22"/>
              </w:rPr>
              <w:t>Nervų sistemos sutrikimai</w:t>
            </w:r>
          </w:p>
          <w:p w14:paraId="30E628BC" w14:textId="77777777" w:rsidR="004C2CCC" w:rsidRPr="000D6942" w:rsidRDefault="004C2CCC" w:rsidP="0087234B">
            <w:pPr>
              <w:rPr>
                <w:b/>
                <w:iCs/>
                <w:color w:val="000000"/>
                <w:szCs w:val="22"/>
                <w:lang w:eastAsia="de-DE"/>
              </w:rPr>
            </w:pPr>
          </w:p>
        </w:tc>
        <w:tc>
          <w:tcPr>
            <w:tcW w:w="1784" w:type="dxa"/>
          </w:tcPr>
          <w:p w14:paraId="08B58081" w14:textId="77777777" w:rsidR="004C2CCC" w:rsidRPr="000D6942" w:rsidRDefault="004C2CCC" w:rsidP="0087234B">
            <w:pPr>
              <w:rPr>
                <w:color w:val="000000"/>
                <w:szCs w:val="22"/>
              </w:rPr>
            </w:pPr>
            <w:r w:rsidRPr="000D6942">
              <w:rPr>
                <w:iCs/>
                <w:szCs w:val="22"/>
              </w:rPr>
              <w:t>Galvos skausmas, svaigimas</w:t>
            </w:r>
          </w:p>
        </w:tc>
        <w:tc>
          <w:tcPr>
            <w:tcW w:w="1885" w:type="dxa"/>
          </w:tcPr>
          <w:p w14:paraId="360F7DED" w14:textId="77777777" w:rsidR="004C2CCC" w:rsidRPr="000D6942" w:rsidRDefault="004C2CCC" w:rsidP="0087234B">
            <w:pPr>
              <w:rPr>
                <w:iCs/>
                <w:szCs w:val="22"/>
              </w:rPr>
            </w:pPr>
            <w:r w:rsidRPr="000D6942">
              <w:rPr>
                <w:iCs/>
                <w:szCs w:val="22"/>
              </w:rPr>
              <w:t>Parestezija,</w:t>
            </w:r>
          </w:p>
          <w:p w14:paraId="0B5EB542" w14:textId="77777777" w:rsidR="004C2CCC" w:rsidRPr="000D6942" w:rsidRDefault="004C2CCC" w:rsidP="0087234B">
            <w:pPr>
              <w:rPr>
                <w:color w:val="000000"/>
                <w:szCs w:val="22"/>
              </w:rPr>
            </w:pPr>
            <w:r w:rsidRPr="000D6942">
              <w:rPr>
                <w:iCs/>
                <w:color w:val="000000"/>
                <w:szCs w:val="22"/>
                <w:lang w:eastAsia="de-DE"/>
              </w:rPr>
              <w:t xml:space="preserve">skonio pokyčiai (dysgeusia) </w:t>
            </w:r>
          </w:p>
        </w:tc>
        <w:tc>
          <w:tcPr>
            <w:tcW w:w="1668" w:type="dxa"/>
          </w:tcPr>
          <w:p w14:paraId="4B5C5561" w14:textId="6BA43F6B" w:rsidR="004C2CCC" w:rsidRPr="000D6942" w:rsidRDefault="004C2CCC" w:rsidP="00305C3D">
            <w:pPr>
              <w:rPr>
                <w:color w:val="000000"/>
                <w:szCs w:val="22"/>
              </w:rPr>
            </w:pPr>
            <w:r w:rsidRPr="000D6942">
              <w:rPr>
                <w:iCs/>
                <w:color w:val="000000"/>
                <w:szCs w:val="22"/>
                <w:lang w:eastAsia="de-DE"/>
              </w:rPr>
              <w:t>Sąmonės praradimas</w:t>
            </w:r>
            <w:r w:rsidRPr="000D6942">
              <w:rPr>
                <w:iCs/>
                <w:color w:val="000000"/>
                <w:szCs w:val="22"/>
                <w:vertAlign w:val="superscript"/>
                <w:lang w:eastAsia="de-DE"/>
              </w:rPr>
              <w:t>(</w:t>
            </w:r>
            <w:r w:rsidR="00305C3D" w:rsidRPr="000D6942">
              <w:rPr>
                <w:iCs/>
                <w:color w:val="000000"/>
                <w:szCs w:val="22"/>
                <w:vertAlign w:val="superscript"/>
                <w:lang w:eastAsia="de-DE"/>
              </w:rPr>
              <w:t>1</w:t>
            </w:r>
            <w:r w:rsidRPr="000D6942">
              <w:rPr>
                <w:iCs/>
                <w:color w:val="000000"/>
                <w:szCs w:val="22"/>
                <w:vertAlign w:val="superscript"/>
                <w:lang w:eastAsia="de-DE"/>
              </w:rPr>
              <w:t>)</w:t>
            </w:r>
            <w:r w:rsidRPr="000D6942">
              <w:rPr>
                <w:iCs/>
                <w:color w:val="000000"/>
                <w:szCs w:val="22"/>
                <w:lang w:eastAsia="de-DE"/>
              </w:rPr>
              <w:t xml:space="preserve"> </w:t>
            </w:r>
          </w:p>
        </w:tc>
      </w:tr>
      <w:tr w:rsidR="004C2CCC" w:rsidRPr="000D6942" w14:paraId="3DA7253E" w14:textId="77777777" w:rsidTr="00705434">
        <w:tc>
          <w:tcPr>
            <w:tcW w:w="2355" w:type="dxa"/>
          </w:tcPr>
          <w:p w14:paraId="47E8AE6F" w14:textId="77777777" w:rsidR="004C2CCC" w:rsidRPr="000D6942" w:rsidRDefault="004C2CCC" w:rsidP="0087234B">
            <w:pPr>
              <w:rPr>
                <w:b/>
                <w:iCs/>
                <w:szCs w:val="22"/>
              </w:rPr>
            </w:pPr>
            <w:r w:rsidRPr="000D6942">
              <w:rPr>
                <w:b/>
                <w:iCs/>
                <w:szCs w:val="22"/>
              </w:rPr>
              <w:t>Psichikos sutrikimai</w:t>
            </w:r>
          </w:p>
        </w:tc>
        <w:tc>
          <w:tcPr>
            <w:tcW w:w="1784" w:type="dxa"/>
          </w:tcPr>
          <w:p w14:paraId="4478BD8D" w14:textId="77777777" w:rsidR="004C2CCC" w:rsidRPr="000D6942" w:rsidRDefault="004C2CCC" w:rsidP="0087234B">
            <w:pPr>
              <w:rPr>
                <w:iCs/>
                <w:szCs w:val="22"/>
              </w:rPr>
            </w:pPr>
          </w:p>
        </w:tc>
        <w:tc>
          <w:tcPr>
            <w:tcW w:w="1885" w:type="dxa"/>
          </w:tcPr>
          <w:p w14:paraId="670CB345" w14:textId="77777777" w:rsidR="004C2CCC" w:rsidRPr="000D6942" w:rsidRDefault="004C2CCC" w:rsidP="0087234B">
            <w:pPr>
              <w:rPr>
                <w:iCs/>
                <w:szCs w:val="22"/>
              </w:rPr>
            </w:pPr>
          </w:p>
        </w:tc>
        <w:tc>
          <w:tcPr>
            <w:tcW w:w="1668" w:type="dxa"/>
          </w:tcPr>
          <w:p w14:paraId="6D46513B" w14:textId="1721D4C6" w:rsidR="004C2CCC" w:rsidRPr="000D6942" w:rsidRDefault="004C2CCC" w:rsidP="0087234B">
            <w:pPr>
              <w:rPr>
                <w:iCs/>
                <w:color w:val="000000"/>
                <w:szCs w:val="22"/>
                <w:lang w:eastAsia="de-DE"/>
              </w:rPr>
            </w:pPr>
            <w:r w:rsidRPr="000D6942">
              <w:rPr>
                <w:iCs/>
                <w:color w:val="000000"/>
                <w:szCs w:val="22"/>
                <w:lang w:eastAsia="de-DE"/>
              </w:rPr>
              <w:t>Nerimas</w:t>
            </w:r>
            <w:r w:rsidRPr="000D6942">
              <w:rPr>
                <w:iCs/>
                <w:color w:val="000000"/>
                <w:szCs w:val="22"/>
                <w:vertAlign w:val="superscript"/>
                <w:lang w:eastAsia="de-DE"/>
              </w:rPr>
              <w:t>(</w:t>
            </w:r>
            <w:r w:rsidR="00305C3D" w:rsidRPr="000D6942">
              <w:rPr>
                <w:iCs/>
                <w:color w:val="000000"/>
                <w:szCs w:val="22"/>
                <w:vertAlign w:val="superscript"/>
                <w:lang w:eastAsia="de-DE"/>
              </w:rPr>
              <w:t>2</w:t>
            </w:r>
            <w:r w:rsidRPr="000D6942">
              <w:rPr>
                <w:iCs/>
                <w:color w:val="000000"/>
                <w:szCs w:val="22"/>
                <w:vertAlign w:val="superscript"/>
                <w:lang w:eastAsia="de-DE"/>
              </w:rPr>
              <w:t>)</w:t>
            </w:r>
          </w:p>
        </w:tc>
      </w:tr>
      <w:tr w:rsidR="004C2CCC" w:rsidRPr="000D6942" w14:paraId="5208B21C" w14:textId="77777777" w:rsidTr="00705434">
        <w:tc>
          <w:tcPr>
            <w:tcW w:w="2355" w:type="dxa"/>
          </w:tcPr>
          <w:p w14:paraId="504C8913" w14:textId="77777777" w:rsidR="004C2CCC" w:rsidRPr="000D6942" w:rsidRDefault="004C2CCC" w:rsidP="0087234B">
            <w:pPr>
              <w:rPr>
                <w:b/>
                <w:iCs/>
                <w:szCs w:val="22"/>
              </w:rPr>
            </w:pPr>
            <w:r w:rsidRPr="000D6942">
              <w:rPr>
                <w:b/>
                <w:iCs/>
                <w:szCs w:val="22"/>
              </w:rPr>
              <w:t>Širdies veiklos sutrikimai</w:t>
            </w:r>
          </w:p>
        </w:tc>
        <w:tc>
          <w:tcPr>
            <w:tcW w:w="1784" w:type="dxa"/>
          </w:tcPr>
          <w:p w14:paraId="233377AB" w14:textId="77777777" w:rsidR="004C2CCC" w:rsidRPr="000D6942" w:rsidRDefault="004C2CCC" w:rsidP="0087234B">
            <w:pPr>
              <w:rPr>
                <w:iCs/>
                <w:szCs w:val="22"/>
              </w:rPr>
            </w:pPr>
          </w:p>
        </w:tc>
        <w:tc>
          <w:tcPr>
            <w:tcW w:w="1885" w:type="dxa"/>
          </w:tcPr>
          <w:p w14:paraId="0882A5D4" w14:textId="77777777" w:rsidR="004C2CCC" w:rsidRPr="000D6942" w:rsidRDefault="004C2CCC" w:rsidP="0087234B">
            <w:pPr>
              <w:rPr>
                <w:iCs/>
                <w:szCs w:val="22"/>
              </w:rPr>
            </w:pPr>
            <w:r w:rsidRPr="000D6942">
              <w:rPr>
                <w:iCs/>
                <w:szCs w:val="22"/>
              </w:rPr>
              <w:t>Tachikardija</w:t>
            </w:r>
          </w:p>
        </w:tc>
        <w:tc>
          <w:tcPr>
            <w:tcW w:w="1668" w:type="dxa"/>
          </w:tcPr>
          <w:p w14:paraId="17206D2A" w14:textId="77777777" w:rsidR="004C2CCC" w:rsidRPr="000D6942" w:rsidRDefault="004C2CCC" w:rsidP="0087234B">
            <w:pPr>
              <w:rPr>
                <w:iCs/>
                <w:color w:val="000000"/>
                <w:szCs w:val="22"/>
                <w:lang w:eastAsia="de-DE"/>
              </w:rPr>
            </w:pPr>
          </w:p>
        </w:tc>
      </w:tr>
      <w:tr w:rsidR="004C2CCC" w:rsidRPr="000D6942" w14:paraId="6B0568C2" w14:textId="77777777" w:rsidTr="00705434">
        <w:tc>
          <w:tcPr>
            <w:tcW w:w="2355" w:type="dxa"/>
          </w:tcPr>
          <w:p w14:paraId="32A5AB72" w14:textId="77777777" w:rsidR="004C2CCC" w:rsidRPr="000D6942" w:rsidRDefault="004C2CCC" w:rsidP="0087234B">
            <w:pPr>
              <w:rPr>
                <w:b/>
                <w:iCs/>
                <w:color w:val="000000"/>
                <w:szCs w:val="22"/>
                <w:lang w:eastAsia="de-DE"/>
              </w:rPr>
            </w:pPr>
            <w:r w:rsidRPr="000D6942">
              <w:rPr>
                <w:b/>
                <w:iCs/>
                <w:szCs w:val="22"/>
              </w:rPr>
              <w:t>Kraujagyslių sutrikimai</w:t>
            </w:r>
          </w:p>
          <w:p w14:paraId="18AF1500" w14:textId="77777777" w:rsidR="004C2CCC" w:rsidRPr="000D6942" w:rsidRDefault="004C2CCC" w:rsidP="0087234B">
            <w:pPr>
              <w:rPr>
                <w:b/>
                <w:iCs/>
                <w:color w:val="000000"/>
                <w:szCs w:val="22"/>
                <w:lang w:eastAsia="de-DE"/>
              </w:rPr>
            </w:pPr>
          </w:p>
        </w:tc>
        <w:tc>
          <w:tcPr>
            <w:tcW w:w="1784" w:type="dxa"/>
          </w:tcPr>
          <w:p w14:paraId="0FC559A6" w14:textId="07EC6ECC" w:rsidR="004C2CCC" w:rsidRPr="000D6942" w:rsidRDefault="000339BE" w:rsidP="0087234B">
            <w:pPr>
              <w:rPr>
                <w:color w:val="000000"/>
                <w:szCs w:val="22"/>
              </w:rPr>
            </w:pPr>
            <w:r w:rsidRPr="000D6942">
              <w:rPr>
                <w:color w:val="000000"/>
                <w:szCs w:val="22"/>
              </w:rPr>
              <w:t>Paraudimas, k</w:t>
            </w:r>
            <w:r w:rsidR="004C2CCC" w:rsidRPr="000D6942">
              <w:rPr>
                <w:color w:val="000000"/>
                <w:szCs w:val="22"/>
              </w:rPr>
              <w:t>raujospūdžio padidėjimas</w:t>
            </w:r>
          </w:p>
        </w:tc>
        <w:tc>
          <w:tcPr>
            <w:tcW w:w="1885" w:type="dxa"/>
          </w:tcPr>
          <w:p w14:paraId="210CF512" w14:textId="14634ACC" w:rsidR="004C2CCC" w:rsidRPr="000D6942" w:rsidRDefault="004C2CCC" w:rsidP="000339BE">
            <w:pPr>
              <w:rPr>
                <w:color w:val="000000"/>
                <w:szCs w:val="22"/>
              </w:rPr>
            </w:pPr>
            <w:r w:rsidRPr="000D6942">
              <w:rPr>
                <w:color w:val="000000"/>
                <w:szCs w:val="22"/>
              </w:rPr>
              <w:t>Kraujospūdžio sumažėjimas</w:t>
            </w:r>
          </w:p>
        </w:tc>
        <w:tc>
          <w:tcPr>
            <w:tcW w:w="1668" w:type="dxa"/>
          </w:tcPr>
          <w:p w14:paraId="09227D1F" w14:textId="77777777" w:rsidR="004C2CCC" w:rsidRPr="000D6942" w:rsidRDefault="004C2CCC" w:rsidP="0087234B">
            <w:pPr>
              <w:rPr>
                <w:iCs/>
                <w:color w:val="000000"/>
                <w:szCs w:val="22"/>
                <w:lang w:eastAsia="de-DE"/>
              </w:rPr>
            </w:pPr>
            <w:r w:rsidRPr="000D6942">
              <w:rPr>
                <w:iCs/>
                <w:color w:val="000000"/>
                <w:szCs w:val="22"/>
                <w:lang w:eastAsia="de-DE"/>
              </w:rPr>
              <w:t>Flebitas,</w:t>
            </w:r>
          </w:p>
          <w:p w14:paraId="0B26CFFA" w14:textId="6F7C0B73" w:rsidR="004C2CCC" w:rsidRPr="000D6942" w:rsidRDefault="004C2CCC" w:rsidP="000339BE">
            <w:pPr>
              <w:rPr>
                <w:color w:val="000000"/>
                <w:szCs w:val="22"/>
              </w:rPr>
            </w:pPr>
            <w:r w:rsidRPr="000D6942">
              <w:rPr>
                <w:iCs/>
                <w:color w:val="000000"/>
                <w:szCs w:val="22"/>
                <w:lang w:eastAsia="de-DE"/>
              </w:rPr>
              <w:t>sinkopė</w:t>
            </w:r>
            <w:r w:rsidRPr="000D6942">
              <w:rPr>
                <w:iCs/>
                <w:color w:val="000000"/>
                <w:szCs w:val="22"/>
                <w:vertAlign w:val="superscript"/>
                <w:lang w:eastAsia="de-DE"/>
              </w:rPr>
              <w:t>(</w:t>
            </w:r>
            <w:r w:rsidR="000339BE" w:rsidRPr="000D6942">
              <w:rPr>
                <w:iCs/>
                <w:color w:val="000000"/>
                <w:szCs w:val="22"/>
                <w:vertAlign w:val="superscript"/>
                <w:lang w:eastAsia="de-DE"/>
              </w:rPr>
              <w:t>2</w:t>
            </w:r>
            <w:r w:rsidRPr="000D6942">
              <w:rPr>
                <w:iCs/>
                <w:color w:val="000000"/>
                <w:szCs w:val="22"/>
                <w:vertAlign w:val="superscript"/>
                <w:lang w:eastAsia="de-DE"/>
              </w:rPr>
              <w:t>)</w:t>
            </w:r>
            <w:r w:rsidRPr="000D6942">
              <w:rPr>
                <w:iCs/>
                <w:color w:val="000000"/>
                <w:szCs w:val="22"/>
                <w:lang w:eastAsia="de-DE"/>
              </w:rPr>
              <w:t>, presinkopė</w:t>
            </w:r>
            <w:r w:rsidRPr="000D6942">
              <w:rPr>
                <w:iCs/>
                <w:color w:val="000000"/>
                <w:szCs w:val="22"/>
                <w:vertAlign w:val="superscript"/>
                <w:lang w:eastAsia="de-DE"/>
              </w:rPr>
              <w:t>(</w:t>
            </w:r>
            <w:r w:rsidR="000339BE" w:rsidRPr="000D6942">
              <w:rPr>
                <w:iCs/>
                <w:color w:val="000000"/>
                <w:szCs w:val="22"/>
                <w:vertAlign w:val="superscript"/>
                <w:lang w:eastAsia="de-DE"/>
              </w:rPr>
              <w:t>2</w:t>
            </w:r>
            <w:r w:rsidRPr="000D6942">
              <w:rPr>
                <w:iCs/>
                <w:color w:val="000000"/>
                <w:szCs w:val="22"/>
                <w:vertAlign w:val="superscript"/>
                <w:lang w:eastAsia="de-DE"/>
              </w:rPr>
              <w:t>)</w:t>
            </w:r>
          </w:p>
        </w:tc>
      </w:tr>
      <w:tr w:rsidR="004C2CCC" w:rsidRPr="000D6942" w14:paraId="5FE97140" w14:textId="77777777" w:rsidTr="00705434">
        <w:tc>
          <w:tcPr>
            <w:tcW w:w="2355" w:type="dxa"/>
          </w:tcPr>
          <w:p w14:paraId="4990CA7E" w14:textId="77777777" w:rsidR="004C2CCC" w:rsidRPr="000D6942" w:rsidRDefault="004C2CCC" w:rsidP="0087234B">
            <w:pPr>
              <w:rPr>
                <w:b/>
                <w:iCs/>
                <w:color w:val="000000"/>
                <w:szCs w:val="22"/>
                <w:lang w:eastAsia="de-DE"/>
              </w:rPr>
            </w:pPr>
            <w:r w:rsidRPr="000D6942">
              <w:rPr>
                <w:b/>
                <w:iCs/>
                <w:szCs w:val="22"/>
              </w:rPr>
              <w:t>Kvėpavimo sistemos, krūtinės ląstos ir tarpuplaučio sutrikimai</w:t>
            </w:r>
          </w:p>
        </w:tc>
        <w:tc>
          <w:tcPr>
            <w:tcW w:w="1784" w:type="dxa"/>
          </w:tcPr>
          <w:p w14:paraId="52B532E4" w14:textId="77777777" w:rsidR="004C2CCC" w:rsidRPr="000D6942" w:rsidRDefault="004C2CCC" w:rsidP="0087234B">
            <w:pPr>
              <w:rPr>
                <w:iCs/>
                <w:color w:val="000000"/>
                <w:szCs w:val="22"/>
                <w:lang w:eastAsia="de-DE"/>
              </w:rPr>
            </w:pPr>
          </w:p>
        </w:tc>
        <w:tc>
          <w:tcPr>
            <w:tcW w:w="1885" w:type="dxa"/>
          </w:tcPr>
          <w:p w14:paraId="0C6E3CFB" w14:textId="77777777" w:rsidR="004C2CCC" w:rsidRPr="000D6942" w:rsidRDefault="004C2CCC" w:rsidP="0087234B">
            <w:pPr>
              <w:rPr>
                <w:iCs/>
                <w:color w:val="000000"/>
                <w:szCs w:val="22"/>
                <w:lang w:eastAsia="de-DE"/>
              </w:rPr>
            </w:pPr>
            <w:r w:rsidRPr="000D6942">
              <w:rPr>
                <w:iCs/>
                <w:color w:val="000000"/>
                <w:szCs w:val="22"/>
                <w:lang w:eastAsia="de-DE"/>
              </w:rPr>
              <w:t>Dispnėja</w:t>
            </w:r>
          </w:p>
        </w:tc>
        <w:tc>
          <w:tcPr>
            <w:tcW w:w="1668" w:type="dxa"/>
          </w:tcPr>
          <w:p w14:paraId="7C262F17" w14:textId="04D02EB2" w:rsidR="004C2CCC" w:rsidRPr="000D6942" w:rsidRDefault="004C2CCC" w:rsidP="000339BE">
            <w:pPr>
              <w:rPr>
                <w:szCs w:val="22"/>
              </w:rPr>
            </w:pPr>
            <w:r w:rsidRPr="000D6942">
              <w:rPr>
                <w:szCs w:val="22"/>
              </w:rPr>
              <w:t>Bronchų spazmai</w:t>
            </w:r>
            <w:r w:rsidRPr="000D6942">
              <w:rPr>
                <w:iCs/>
                <w:szCs w:val="22"/>
                <w:vertAlign w:val="superscript"/>
              </w:rPr>
              <w:t>(</w:t>
            </w:r>
            <w:r w:rsidR="000339BE" w:rsidRPr="000D6942">
              <w:rPr>
                <w:iCs/>
                <w:szCs w:val="22"/>
                <w:vertAlign w:val="superscript"/>
              </w:rPr>
              <w:t>2</w:t>
            </w:r>
            <w:r w:rsidRPr="000D6942">
              <w:rPr>
                <w:iCs/>
                <w:szCs w:val="22"/>
                <w:vertAlign w:val="superscript"/>
              </w:rPr>
              <w:t>)</w:t>
            </w:r>
          </w:p>
        </w:tc>
      </w:tr>
      <w:tr w:rsidR="004C2CCC" w:rsidRPr="000D6942" w14:paraId="5278D95A" w14:textId="77777777" w:rsidTr="00705434">
        <w:tc>
          <w:tcPr>
            <w:tcW w:w="2355" w:type="dxa"/>
          </w:tcPr>
          <w:p w14:paraId="19AA93AC" w14:textId="77777777" w:rsidR="004C2CCC" w:rsidRPr="000D6942" w:rsidRDefault="004C2CCC" w:rsidP="0087234B">
            <w:pPr>
              <w:rPr>
                <w:b/>
                <w:iCs/>
                <w:color w:val="000000"/>
                <w:szCs w:val="22"/>
                <w:lang w:eastAsia="de-DE"/>
              </w:rPr>
            </w:pPr>
            <w:r w:rsidRPr="000D6942">
              <w:rPr>
                <w:b/>
                <w:iCs/>
                <w:szCs w:val="22"/>
              </w:rPr>
              <w:t>Virškinimo trakto sutrikimai</w:t>
            </w:r>
          </w:p>
          <w:p w14:paraId="3FEFE4C8" w14:textId="77777777" w:rsidR="004C2CCC" w:rsidRPr="000D6942" w:rsidRDefault="004C2CCC" w:rsidP="0087234B">
            <w:pPr>
              <w:rPr>
                <w:b/>
                <w:iCs/>
                <w:color w:val="000000"/>
                <w:szCs w:val="22"/>
                <w:lang w:eastAsia="de-DE"/>
              </w:rPr>
            </w:pPr>
          </w:p>
        </w:tc>
        <w:tc>
          <w:tcPr>
            <w:tcW w:w="1784" w:type="dxa"/>
          </w:tcPr>
          <w:p w14:paraId="7128A871" w14:textId="77777777" w:rsidR="004C2CCC" w:rsidRPr="000D6942" w:rsidRDefault="004C2CCC" w:rsidP="0087234B">
            <w:pPr>
              <w:rPr>
                <w:color w:val="000000"/>
                <w:szCs w:val="22"/>
              </w:rPr>
            </w:pPr>
            <w:r w:rsidRPr="000D6942">
              <w:rPr>
                <w:szCs w:val="22"/>
              </w:rPr>
              <w:t>Pykinimas</w:t>
            </w:r>
          </w:p>
        </w:tc>
        <w:tc>
          <w:tcPr>
            <w:tcW w:w="1885" w:type="dxa"/>
          </w:tcPr>
          <w:p w14:paraId="3FD2E472" w14:textId="77777777" w:rsidR="004C2CCC" w:rsidRPr="000D6942" w:rsidRDefault="004C2CCC" w:rsidP="0087234B">
            <w:pPr>
              <w:rPr>
                <w:color w:val="000000"/>
                <w:szCs w:val="22"/>
              </w:rPr>
            </w:pPr>
            <w:r w:rsidRPr="000D6942">
              <w:rPr>
                <w:iCs/>
                <w:color w:val="000000"/>
                <w:szCs w:val="22"/>
                <w:lang w:eastAsia="de-DE"/>
              </w:rPr>
              <w:t>Vėmimas, dispepsija, pilvo skausmas, vidurių užkietėjimas, viduriavimas</w:t>
            </w:r>
          </w:p>
        </w:tc>
        <w:tc>
          <w:tcPr>
            <w:tcW w:w="1668" w:type="dxa"/>
          </w:tcPr>
          <w:p w14:paraId="1892CAC0" w14:textId="77777777" w:rsidR="004C2CCC" w:rsidRPr="000D6942" w:rsidRDefault="004C2CCC" w:rsidP="0087234B">
            <w:pPr>
              <w:rPr>
                <w:color w:val="000000"/>
                <w:szCs w:val="22"/>
              </w:rPr>
            </w:pPr>
            <w:r w:rsidRPr="000D6942">
              <w:rPr>
                <w:iCs/>
                <w:color w:val="000000"/>
                <w:szCs w:val="22"/>
                <w:lang w:eastAsia="de-DE"/>
              </w:rPr>
              <w:t>Dujų susikaupimas</w:t>
            </w:r>
          </w:p>
        </w:tc>
      </w:tr>
      <w:tr w:rsidR="004C2CCC" w:rsidRPr="000D6942" w14:paraId="2364C554" w14:textId="77777777" w:rsidTr="00705434">
        <w:tc>
          <w:tcPr>
            <w:tcW w:w="2355" w:type="dxa"/>
          </w:tcPr>
          <w:p w14:paraId="013734FB" w14:textId="77777777" w:rsidR="004C2CCC" w:rsidRPr="000D6942" w:rsidRDefault="004C2CCC" w:rsidP="0087234B">
            <w:pPr>
              <w:rPr>
                <w:b/>
                <w:iCs/>
                <w:color w:val="000000"/>
                <w:szCs w:val="22"/>
                <w:lang w:eastAsia="de-DE"/>
              </w:rPr>
            </w:pPr>
            <w:r w:rsidRPr="000D6942">
              <w:rPr>
                <w:b/>
                <w:iCs/>
                <w:szCs w:val="22"/>
              </w:rPr>
              <w:t>Odos ir poodinio audinio sutrikimai</w:t>
            </w:r>
          </w:p>
        </w:tc>
        <w:tc>
          <w:tcPr>
            <w:tcW w:w="1784" w:type="dxa"/>
          </w:tcPr>
          <w:p w14:paraId="3DF82826" w14:textId="77777777" w:rsidR="004C2CCC" w:rsidRPr="000D6942" w:rsidRDefault="004C2CCC" w:rsidP="0087234B">
            <w:pPr>
              <w:rPr>
                <w:color w:val="000000"/>
                <w:szCs w:val="22"/>
              </w:rPr>
            </w:pPr>
          </w:p>
        </w:tc>
        <w:tc>
          <w:tcPr>
            <w:tcW w:w="1885" w:type="dxa"/>
          </w:tcPr>
          <w:p w14:paraId="7428FEA9" w14:textId="419C1624" w:rsidR="004C2CCC" w:rsidRPr="000D6942" w:rsidRDefault="004C2CCC" w:rsidP="000339BE">
            <w:pPr>
              <w:rPr>
                <w:color w:val="000000"/>
                <w:szCs w:val="22"/>
              </w:rPr>
            </w:pPr>
            <w:r w:rsidRPr="000D6942">
              <w:rPr>
                <w:iCs/>
                <w:szCs w:val="22"/>
              </w:rPr>
              <w:t>Niežėjimas, dilgėlinė, eritema, bėrimas</w:t>
            </w:r>
            <w:r w:rsidRPr="000D6942">
              <w:rPr>
                <w:iCs/>
                <w:szCs w:val="22"/>
                <w:vertAlign w:val="superscript"/>
              </w:rPr>
              <w:t>(</w:t>
            </w:r>
            <w:r w:rsidR="000339BE" w:rsidRPr="000D6942">
              <w:rPr>
                <w:iCs/>
                <w:szCs w:val="22"/>
                <w:vertAlign w:val="superscript"/>
              </w:rPr>
              <w:t>3</w:t>
            </w:r>
            <w:r w:rsidRPr="000D6942">
              <w:rPr>
                <w:iCs/>
                <w:szCs w:val="22"/>
                <w:vertAlign w:val="superscript"/>
              </w:rPr>
              <w:t>)</w:t>
            </w:r>
          </w:p>
        </w:tc>
        <w:tc>
          <w:tcPr>
            <w:tcW w:w="1668" w:type="dxa"/>
          </w:tcPr>
          <w:p w14:paraId="63BEA249" w14:textId="7F31CA4D" w:rsidR="004C2CCC" w:rsidRPr="000D6942" w:rsidRDefault="004C2CCC" w:rsidP="000339BE">
            <w:pPr>
              <w:rPr>
                <w:color w:val="000000"/>
                <w:szCs w:val="22"/>
              </w:rPr>
            </w:pPr>
            <w:r w:rsidRPr="000D6942">
              <w:rPr>
                <w:iCs/>
                <w:color w:val="000000"/>
                <w:szCs w:val="22"/>
                <w:lang w:eastAsia="de-DE"/>
              </w:rPr>
              <w:t>Angioedema</w:t>
            </w:r>
            <w:r w:rsidRPr="000D6942">
              <w:rPr>
                <w:iCs/>
                <w:color w:val="000000"/>
                <w:szCs w:val="22"/>
                <w:vertAlign w:val="superscript"/>
                <w:lang w:eastAsia="de-DE"/>
              </w:rPr>
              <w:t>(</w:t>
            </w:r>
            <w:r w:rsidR="000339BE" w:rsidRPr="000D6942">
              <w:rPr>
                <w:iCs/>
                <w:color w:val="000000"/>
                <w:szCs w:val="22"/>
                <w:vertAlign w:val="superscript"/>
                <w:lang w:eastAsia="de-DE"/>
              </w:rPr>
              <w:t>2</w:t>
            </w:r>
            <w:r w:rsidRPr="000D6942">
              <w:rPr>
                <w:iCs/>
                <w:color w:val="000000"/>
                <w:szCs w:val="22"/>
                <w:vertAlign w:val="superscript"/>
                <w:lang w:eastAsia="de-DE"/>
              </w:rPr>
              <w:t>)</w:t>
            </w:r>
            <w:r w:rsidRPr="000D6942">
              <w:rPr>
                <w:iCs/>
                <w:color w:val="000000"/>
                <w:szCs w:val="22"/>
                <w:lang w:eastAsia="de-DE"/>
              </w:rPr>
              <w:t>, blyškumas</w:t>
            </w:r>
            <w:r w:rsidRPr="000D6942">
              <w:rPr>
                <w:iCs/>
                <w:color w:val="000000"/>
                <w:szCs w:val="22"/>
                <w:vertAlign w:val="superscript"/>
                <w:lang w:eastAsia="de-DE"/>
              </w:rPr>
              <w:t>(</w:t>
            </w:r>
            <w:r w:rsidR="000339BE" w:rsidRPr="000D6942">
              <w:rPr>
                <w:iCs/>
                <w:color w:val="000000"/>
                <w:szCs w:val="22"/>
                <w:vertAlign w:val="superscript"/>
                <w:lang w:eastAsia="de-DE"/>
              </w:rPr>
              <w:t>2</w:t>
            </w:r>
            <w:r w:rsidRPr="000D6942">
              <w:rPr>
                <w:iCs/>
                <w:color w:val="000000"/>
                <w:szCs w:val="22"/>
                <w:vertAlign w:val="superscript"/>
                <w:lang w:eastAsia="de-DE"/>
              </w:rPr>
              <w:t>)</w:t>
            </w:r>
            <w:r w:rsidRPr="000D6942">
              <w:rPr>
                <w:iCs/>
                <w:color w:val="000000"/>
                <w:szCs w:val="22"/>
                <w:lang w:eastAsia="de-DE"/>
              </w:rPr>
              <w:t xml:space="preserve"> ir veido edema</w:t>
            </w:r>
            <w:r w:rsidRPr="000D6942">
              <w:rPr>
                <w:iCs/>
                <w:color w:val="000000"/>
                <w:szCs w:val="22"/>
                <w:vertAlign w:val="superscript"/>
                <w:lang w:eastAsia="de-DE"/>
              </w:rPr>
              <w:t>(</w:t>
            </w:r>
            <w:r w:rsidR="000339BE" w:rsidRPr="000D6942">
              <w:rPr>
                <w:iCs/>
                <w:color w:val="000000"/>
                <w:szCs w:val="22"/>
                <w:vertAlign w:val="superscript"/>
                <w:lang w:eastAsia="de-DE"/>
              </w:rPr>
              <w:t>1</w:t>
            </w:r>
            <w:r w:rsidRPr="000D6942">
              <w:rPr>
                <w:iCs/>
                <w:color w:val="000000"/>
                <w:szCs w:val="22"/>
                <w:vertAlign w:val="superscript"/>
                <w:lang w:eastAsia="de-DE"/>
              </w:rPr>
              <w:t>)</w:t>
            </w:r>
          </w:p>
        </w:tc>
      </w:tr>
      <w:tr w:rsidR="004C2CCC" w:rsidRPr="000D6942" w14:paraId="7ACD16E6" w14:textId="77777777" w:rsidTr="00705434">
        <w:tc>
          <w:tcPr>
            <w:tcW w:w="2355" w:type="dxa"/>
          </w:tcPr>
          <w:p w14:paraId="6BF2F630" w14:textId="77777777" w:rsidR="004C2CCC" w:rsidRPr="000D6942" w:rsidRDefault="004C2CCC" w:rsidP="0087234B">
            <w:pPr>
              <w:rPr>
                <w:b/>
                <w:iCs/>
                <w:color w:val="000000"/>
                <w:szCs w:val="22"/>
                <w:lang w:eastAsia="de-DE"/>
              </w:rPr>
            </w:pPr>
            <w:r w:rsidRPr="000D6942">
              <w:rPr>
                <w:b/>
                <w:iCs/>
                <w:szCs w:val="22"/>
              </w:rPr>
              <w:t>Skeleto, raumenų ir jungiamojo audinio sutrikimai</w:t>
            </w:r>
          </w:p>
        </w:tc>
        <w:tc>
          <w:tcPr>
            <w:tcW w:w="1784" w:type="dxa"/>
          </w:tcPr>
          <w:p w14:paraId="62DB8500" w14:textId="77777777" w:rsidR="004C2CCC" w:rsidRPr="000D6942" w:rsidRDefault="004C2CCC" w:rsidP="0087234B">
            <w:pPr>
              <w:rPr>
                <w:color w:val="000000"/>
                <w:szCs w:val="22"/>
              </w:rPr>
            </w:pPr>
          </w:p>
        </w:tc>
        <w:tc>
          <w:tcPr>
            <w:tcW w:w="1885" w:type="dxa"/>
          </w:tcPr>
          <w:p w14:paraId="1A8A2AB1" w14:textId="77777777" w:rsidR="004C2CCC" w:rsidRPr="000D6942" w:rsidRDefault="004C2CCC" w:rsidP="0087234B">
            <w:pPr>
              <w:rPr>
                <w:color w:val="000000"/>
                <w:szCs w:val="22"/>
              </w:rPr>
            </w:pPr>
            <w:r w:rsidRPr="000D6942">
              <w:rPr>
                <w:iCs/>
                <w:szCs w:val="22"/>
              </w:rPr>
              <w:t xml:space="preserve">Raumenų skausmas, nugaros skausmas, artralgija, </w:t>
            </w:r>
            <w:r w:rsidR="000339BE" w:rsidRPr="000D6942">
              <w:rPr>
                <w:iCs/>
                <w:szCs w:val="22"/>
              </w:rPr>
              <w:t xml:space="preserve">galūnių skausmas, </w:t>
            </w:r>
            <w:r w:rsidRPr="000D6942">
              <w:rPr>
                <w:iCs/>
                <w:szCs w:val="22"/>
              </w:rPr>
              <w:t xml:space="preserve">raumenų spazmai </w:t>
            </w:r>
          </w:p>
        </w:tc>
        <w:tc>
          <w:tcPr>
            <w:tcW w:w="1668" w:type="dxa"/>
          </w:tcPr>
          <w:p w14:paraId="41948C09" w14:textId="77777777" w:rsidR="004C2CCC" w:rsidRPr="000D6942" w:rsidRDefault="004C2CCC" w:rsidP="0087234B">
            <w:pPr>
              <w:rPr>
                <w:color w:val="000000"/>
                <w:szCs w:val="22"/>
              </w:rPr>
            </w:pPr>
          </w:p>
        </w:tc>
      </w:tr>
      <w:tr w:rsidR="004C2CCC" w:rsidRPr="000D6942" w14:paraId="3CCA4EC8" w14:textId="77777777" w:rsidTr="00705434">
        <w:tc>
          <w:tcPr>
            <w:tcW w:w="2355" w:type="dxa"/>
          </w:tcPr>
          <w:p w14:paraId="28F46965" w14:textId="77777777" w:rsidR="004C2CCC" w:rsidRPr="000D6942" w:rsidRDefault="004C2CCC" w:rsidP="0087234B">
            <w:pPr>
              <w:rPr>
                <w:b/>
                <w:iCs/>
                <w:color w:val="000000"/>
                <w:szCs w:val="22"/>
                <w:lang w:eastAsia="de-DE"/>
              </w:rPr>
            </w:pPr>
            <w:r w:rsidRPr="000D6942">
              <w:rPr>
                <w:b/>
                <w:iCs/>
                <w:szCs w:val="22"/>
              </w:rPr>
              <w:lastRenderedPageBreak/>
              <w:t>Bendrieji sutrikimai ir vartojimo vietos pažeidimai</w:t>
            </w:r>
          </w:p>
          <w:p w14:paraId="437C1A7D" w14:textId="77777777" w:rsidR="004C2CCC" w:rsidRPr="000D6942" w:rsidRDefault="004C2CCC" w:rsidP="0087234B">
            <w:pPr>
              <w:rPr>
                <w:b/>
                <w:iCs/>
                <w:color w:val="000000"/>
                <w:szCs w:val="22"/>
                <w:lang w:eastAsia="de-DE"/>
              </w:rPr>
            </w:pPr>
          </w:p>
        </w:tc>
        <w:tc>
          <w:tcPr>
            <w:tcW w:w="1784" w:type="dxa"/>
          </w:tcPr>
          <w:p w14:paraId="0B10FC3D" w14:textId="342ADE17" w:rsidR="004C2CCC" w:rsidRPr="000D6942" w:rsidRDefault="004C2CCC" w:rsidP="000D6942">
            <w:pPr>
              <w:rPr>
                <w:color w:val="000000"/>
                <w:szCs w:val="22"/>
              </w:rPr>
            </w:pPr>
            <w:r w:rsidRPr="000D6942">
              <w:rPr>
                <w:iCs/>
                <w:szCs w:val="22"/>
              </w:rPr>
              <w:t>Reakcijos injekcijos</w:t>
            </w:r>
            <w:r w:rsidR="000339BE" w:rsidRPr="000D6942">
              <w:rPr>
                <w:iCs/>
                <w:szCs w:val="22"/>
              </w:rPr>
              <w:t>/infuzijos</w:t>
            </w:r>
            <w:r w:rsidRPr="000D6942">
              <w:rPr>
                <w:iCs/>
                <w:szCs w:val="22"/>
              </w:rPr>
              <w:t xml:space="preserve"> vietoje</w:t>
            </w:r>
            <w:r w:rsidRPr="000D6942">
              <w:rPr>
                <w:iCs/>
                <w:szCs w:val="22"/>
                <w:vertAlign w:val="superscript"/>
              </w:rPr>
              <w:t>(</w:t>
            </w:r>
            <w:r w:rsidR="000339BE" w:rsidRPr="000D6942">
              <w:rPr>
                <w:iCs/>
                <w:szCs w:val="22"/>
                <w:vertAlign w:val="superscript"/>
              </w:rPr>
              <w:t>4</w:t>
            </w:r>
            <w:r w:rsidRPr="000D6942">
              <w:rPr>
                <w:iCs/>
                <w:szCs w:val="22"/>
                <w:vertAlign w:val="superscript"/>
              </w:rPr>
              <w:t>)</w:t>
            </w:r>
          </w:p>
        </w:tc>
        <w:tc>
          <w:tcPr>
            <w:tcW w:w="1885" w:type="dxa"/>
          </w:tcPr>
          <w:p w14:paraId="25A966EF" w14:textId="77777777" w:rsidR="004C2CCC" w:rsidRPr="000D6942" w:rsidRDefault="004C2CCC" w:rsidP="0087234B">
            <w:pPr>
              <w:rPr>
                <w:color w:val="000000"/>
                <w:szCs w:val="22"/>
              </w:rPr>
            </w:pPr>
            <w:r w:rsidRPr="000D6942">
              <w:rPr>
                <w:szCs w:val="22"/>
              </w:rPr>
              <w:t>Karščiavimas, nuovargis, krūtinės skausmas, periferinė edema</w:t>
            </w:r>
            <w:r w:rsidRPr="000D6942">
              <w:rPr>
                <w:iCs/>
                <w:szCs w:val="22"/>
              </w:rPr>
              <w:t>, drebulys periferinė edema, drebulys</w:t>
            </w:r>
          </w:p>
        </w:tc>
        <w:tc>
          <w:tcPr>
            <w:tcW w:w="1668" w:type="dxa"/>
          </w:tcPr>
          <w:p w14:paraId="6EDEB032" w14:textId="77777777" w:rsidR="00CF38FA" w:rsidRPr="000D6942" w:rsidRDefault="000339BE" w:rsidP="00CF38FA">
            <w:pPr>
              <w:rPr>
                <w:iCs/>
                <w:color w:val="000000"/>
                <w:szCs w:val="22"/>
                <w:lang w:eastAsia="de-DE"/>
              </w:rPr>
            </w:pPr>
            <w:r w:rsidRPr="000D6942">
              <w:rPr>
                <w:iCs/>
                <w:color w:val="000000"/>
                <w:szCs w:val="22"/>
                <w:lang w:eastAsia="de-DE"/>
              </w:rPr>
              <w:t>N</w:t>
            </w:r>
            <w:r w:rsidR="004C2CCC" w:rsidRPr="000D6942">
              <w:rPr>
                <w:iCs/>
                <w:color w:val="000000"/>
                <w:szCs w:val="22"/>
                <w:lang w:eastAsia="de-DE"/>
              </w:rPr>
              <w:t>egalavimas,</w:t>
            </w:r>
          </w:p>
          <w:p w14:paraId="701A520A" w14:textId="455F7AF1" w:rsidR="00A01A87" w:rsidRPr="000D6942" w:rsidRDefault="00A01A87" w:rsidP="000339BE">
            <w:pPr>
              <w:rPr>
                <w:color w:val="000000"/>
                <w:szCs w:val="22"/>
              </w:rPr>
            </w:pPr>
            <w:r w:rsidRPr="000D6942">
              <w:rPr>
                <w:color w:val="000000"/>
                <w:szCs w:val="22"/>
              </w:rPr>
              <w:t>į gripą panaši liga</w:t>
            </w:r>
            <w:r w:rsidR="000C7515">
              <w:rPr>
                <w:color w:val="000000"/>
                <w:szCs w:val="22"/>
              </w:rPr>
              <w:t xml:space="preserve"> </w:t>
            </w:r>
            <w:r w:rsidR="00851910">
              <w:rPr>
                <w:color w:val="000000"/>
                <w:szCs w:val="22"/>
              </w:rPr>
              <w:t>(</w:t>
            </w:r>
            <w:r w:rsidR="00851910" w:rsidRPr="008B31F0">
              <w:rPr>
                <w:color w:val="000000"/>
                <w:szCs w:val="22"/>
              </w:rPr>
              <w:t>kuri gali pasireikšti po kelių valandų</w:t>
            </w:r>
            <w:r w:rsidR="00851910">
              <w:rPr>
                <w:color w:val="000000"/>
                <w:szCs w:val="22"/>
              </w:rPr>
              <w:t> </w:t>
            </w:r>
            <w:r w:rsidR="00851910" w:rsidRPr="008B31F0">
              <w:rPr>
                <w:color w:val="000000"/>
                <w:szCs w:val="22"/>
              </w:rPr>
              <w:t xml:space="preserve">/ </w:t>
            </w:r>
            <w:r w:rsidR="00851910">
              <w:rPr>
                <w:color w:val="000000"/>
                <w:szCs w:val="22"/>
              </w:rPr>
              <w:t>dienų)</w:t>
            </w:r>
            <w:r w:rsidR="00851910" w:rsidRPr="000D6942">
              <w:rPr>
                <w:bCs/>
                <w:szCs w:val="22"/>
                <w:vertAlign w:val="superscript"/>
              </w:rPr>
              <w:t xml:space="preserve"> </w:t>
            </w:r>
            <w:r w:rsidRPr="000D6942">
              <w:rPr>
                <w:bCs/>
                <w:szCs w:val="22"/>
                <w:vertAlign w:val="superscript"/>
              </w:rPr>
              <w:t>(</w:t>
            </w:r>
            <w:r w:rsidR="000339BE" w:rsidRPr="000D6942">
              <w:rPr>
                <w:bCs/>
                <w:szCs w:val="22"/>
                <w:vertAlign w:val="superscript"/>
              </w:rPr>
              <w:t>2</w:t>
            </w:r>
            <w:r w:rsidRPr="000D6942">
              <w:rPr>
                <w:bCs/>
                <w:szCs w:val="22"/>
                <w:vertAlign w:val="superscript"/>
              </w:rPr>
              <w:t>)</w:t>
            </w:r>
          </w:p>
        </w:tc>
      </w:tr>
      <w:tr w:rsidR="004C2CCC" w:rsidRPr="000D6942" w14:paraId="5F7FEB3E" w14:textId="77777777" w:rsidTr="00705434">
        <w:tc>
          <w:tcPr>
            <w:tcW w:w="2355" w:type="dxa"/>
          </w:tcPr>
          <w:p w14:paraId="383D1FF4" w14:textId="77777777" w:rsidR="004C2CCC" w:rsidRPr="000D6942" w:rsidRDefault="004C2CCC" w:rsidP="0087234B">
            <w:pPr>
              <w:rPr>
                <w:b/>
                <w:iCs/>
                <w:color w:val="000000"/>
                <w:szCs w:val="22"/>
                <w:lang w:eastAsia="de-DE"/>
              </w:rPr>
            </w:pPr>
            <w:r w:rsidRPr="000D6942">
              <w:rPr>
                <w:b/>
                <w:iCs/>
                <w:szCs w:val="22"/>
              </w:rPr>
              <w:t>Tyrimai</w:t>
            </w:r>
          </w:p>
          <w:p w14:paraId="1BFFB08E" w14:textId="77777777" w:rsidR="004C2CCC" w:rsidRPr="000D6942" w:rsidRDefault="004C2CCC" w:rsidP="0087234B">
            <w:pPr>
              <w:rPr>
                <w:b/>
                <w:iCs/>
                <w:color w:val="000000"/>
                <w:szCs w:val="22"/>
                <w:lang w:eastAsia="de-DE"/>
              </w:rPr>
            </w:pPr>
          </w:p>
        </w:tc>
        <w:tc>
          <w:tcPr>
            <w:tcW w:w="1784" w:type="dxa"/>
          </w:tcPr>
          <w:p w14:paraId="3B24F40E" w14:textId="77777777" w:rsidR="004C2CCC" w:rsidRPr="000D6942" w:rsidRDefault="004C2CCC" w:rsidP="0087234B">
            <w:pPr>
              <w:rPr>
                <w:color w:val="000000"/>
                <w:szCs w:val="22"/>
              </w:rPr>
            </w:pPr>
          </w:p>
        </w:tc>
        <w:tc>
          <w:tcPr>
            <w:tcW w:w="1885" w:type="dxa"/>
          </w:tcPr>
          <w:p w14:paraId="13B386F8" w14:textId="77777777" w:rsidR="004C2CCC" w:rsidRPr="000D6942" w:rsidRDefault="000339BE" w:rsidP="000339BE">
            <w:pPr>
              <w:rPr>
                <w:color w:val="000000"/>
                <w:szCs w:val="22"/>
              </w:rPr>
            </w:pPr>
            <w:r w:rsidRPr="000D6942">
              <w:rPr>
                <w:szCs w:val="22"/>
              </w:rPr>
              <w:t>Padidėjęs alanino aminotransferazės aktyvumas, p</w:t>
            </w:r>
            <w:r w:rsidR="004C2CCC" w:rsidRPr="000D6942">
              <w:rPr>
                <w:szCs w:val="22"/>
              </w:rPr>
              <w:t xml:space="preserve">adidėjęs aspartato aminotransferazės aktyvumas, padidėjęs gama-glutamiltransferazės aktyvumas, padidėjęs laktato dehidrogenazės aktyvumas kraujyje, </w:t>
            </w:r>
            <w:r w:rsidR="004C2CCC" w:rsidRPr="000D6942">
              <w:rPr>
                <w:iCs/>
                <w:szCs w:val="22"/>
              </w:rPr>
              <w:t>padidėj</w:t>
            </w:r>
            <w:r w:rsidR="00376E84" w:rsidRPr="000D6942">
              <w:rPr>
                <w:iCs/>
                <w:szCs w:val="22"/>
              </w:rPr>
              <w:t>ę</w:t>
            </w:r>
            <w:r w:rsidR="004C2CCC" w:rsidRPr="000D6942">
              <w:rPr>
                <w:iCs/>
                <w:szCs w:val="22"/>
              </w:rPr>
              <w:t>s alkalino fosfatazės aktyvumas kraujyje</w:t>
            </w:r>
          </w:p>
        </w:tc>
        <w:tc>
          <w:tcPr>
            <w:tcW w:w="1668" w:type="dxa"/>
          </w:tcPr>
          <w:p w14:paraId="694D8F50" w14:textId="77777777" w:rsidR="004C2CCC" w:rsidRPr="000D6942" w:rsidRDefault="004C2CCC" w:rsidP="0087234B">
            <w:pPr>
              <w:rPr>
                <w:iCs/>
                <w:color w:val="000000"/>
                <w:szCs w:val="22"/>
                <w:lang w:eastAsia="de-DE"/>
              </w:rPr>
            </w:pPr>
          </w:p>
        </w:tc>
      </w:tr>
    </w:tbl>
    <w:p w14:paraId="49709B0A" w14:textId="77777777" w:rsidR="004C2CCC" w:rsidRPr="000D6942" w:rsidRDefault="004C2CCC" w:rsidP="00CF38FA">
      <w:pPr>
        <w:rPr>
          <w:color w:val="1F497D"/>
          <w:szCs w:val="22"/>
        </w:rPr>
      </w:pPr>
    </w:p>
    <w:p w14:paraId="7FF8AF96" w14:textId="5A342F67" w:rsidR="00072CAF" w:rsidRPr="000D6942" w:rsidRDefault="00887DA5" w:rsidP="00072CAF">
      <w:pPr>
        <w:tabs>
          <w:tab w:val="left" w:pos="180"/>
        </w:tabs>
        <w:ind w:left="180" w:hanging="180"/>
        <w:rPr>
          <w:rFonts w:eastAsia="SimSun"/>
          <w:sz w:val="16"/>
          <w:szCs w:val="16"/>
          <w:lang w:eastAsia="en-CA"/>
        </w:rPr>
      </w:pPr>
      <w:r w:rsidRPr="002A0D89">
        <w:rPr>
          <w:rFonts w:eastAsia="SimSun"/>
          <w:sz w:val="16"/>
        </w:rPr>
        <w:t>1</w:t>
      </w:r>
      <w:r w:rsidRPr="000D6942">
        <w:rPr>
          <w:rFonts w:eastAsia="SimSun"/>
          <w:sz w:val="16"/>
          <w:szCs w:val="16"/>
          <w:lang w:eastAsia="en-CA"/>
        </w:rPr>
        <w:tab/>
        <w:t>Išimtinai stebėjimo pateikus į rinką metu užfiksuota ADR.</w:t>
      </w:r>
    </w:p>
    <w:p w14:paraId="02750F59" w14:textId="04E1056E" w:rsidR="00072CAF" w:rsidRPr="000D6942" w:rsidRDefault="00887DA5" w:rsidP="00072CAF">
      <w:pPr>
        <w:tabs>
          <w:tab w:val="left" w:pos="180"/>
        </w:tabs>
        <w:ind w:left="180" w:hanging="180"/>
        <w:rPr>
          <w:rFonts w:eastAsia="SimSun"/>
          <w:sz w:val="16"/>
          <w:szCs w:val="16"/>
          <w:lang w:eastAsia="en-CA"/>
        </w:rPr>
      </w:pPr>
      <w:r w:rsidRPr="000D6942">
        <w:rPr>
          <w:rFonts w:eastAsia="SimSun"/>
          <w:sz w:val="16"/>
          <w:szCs w:val="16"/>
          <w:lang w:eastAsia="zh-CN"/>
        </w:rPr>
        <w:t>2</w:t>
      </w:r>
      <w:r w:rsidRPr="000D6942">
        <w:rPr>
          <w:rFonts w:eastAsia="SimSun"/>
          <w:sz w:val="16"/>
          <w:szCs w:val="16"/>
          <w:lang w:eastAsia="zh-CN"/>
        </w:rPr>
        <w:tab/>
      </w:r>
      <w:r w:rsidRPr="000D6942">
        <w:rPr>
          <w:rFonts w:eastAsia="SimSun"/>
          <w:sz w:val="16"/>
          <w:szCs w:val="16"/>
          <w:lang w:eastAsia="en-CA"/>
        </w:rPr>
        <w:t>Stebėjimo pateikus į rinką metu užfiksuota ADR, kuri pasireišk</w:t>
      </w:r>
      <w:r w:rsidR="00F92C6B">
        <w:rPr>
          <w:rFonts w:eastAsia="SimSun"/>
          <w:sz w:val="16"/>
          <w:szCs w:val="16"/>
          <w:lang w:eastAsia="en-CA"/>
        </w:rPr>
        <w:t>ia</w:t>
      </w:r>
      <w:r w:rsidRPr="000D6942">
        <w:rPr>
          <w:rFonts w:eastAsia="SimSun"/>
          <w:sz w:val="16"/>
          <w:szCs w:val="16"/>
          <w:lang w:eastAsia="en-CA"/>
        </w:rPr>
        <w:t xml:space="preserve"> ir klinikinių tyrimų metu.</w:t>
      </w:r>
    </w:p>
    <w:p w14:paraId="5FDA7490" w14:textId="14ADC152" w:rsidR="004C2CCC" w:rsidRPr="002A0D89" w:rsidDel="001327EB" w:rsidRDefault="00887DA5" w:rsidP="00367372">
      <w:pPr>
        <w:tabs>
          <w:tab w:val="left" w:pos="180"/>
        </w:tabs>
        <w:ind w:left="180" w:hanging="180"/>
        <w:rPr>
          <w:rFonts w:eastAsia="SimSun"/>
          <w:sz w:val="16"/>
        </w:rPr>
      </w:pPr>
      <w:r w:rsidRPr="000D6942">
        <w:rPr>
          <w:rFonts w:eastAsia="SimSun"/>
          <w:sz w:val="16"/>
          <w:szCs w:val="16"/>
          <w:lang w:eastAsia="en-CA"/>
        </w:rPr>
        <w:t>3</w:t>
      </w:r>
      <w:r w:rsidRPr="000D6942">
        <w:rPr>
          <w:rFonts w:eastAsia="SimSun"/>
          <w:sz w:val="16"/>
          <w:szCs w:val="16"/>
          <w:lang w:eastAsia="en-CA"/>
        </w:rPr>
        <w:tab/>
        <w:t>Apima šiuos vartotinus terminus</w:t>
      </w:r>
      <w:r w:rsidRPr="002A0D89">
        <w:rPr>
          <w:rFonts w:eastAsia="SimSun"/>
          <w:sz w:val="16"/>
        </w:rPr>
        <w:t xml:space="preserve">: bėrimas (atskirai </w:t>
      </w:r>
      <w:r w:rsidRPr="000D6942">
        <w:rPr>
          <w:rFonts w:eastAsia="SimSun"/>
          <w:sz w:val="16"/>
          <w:szCs w:val="16"/>
          <w:lang w:eastAsia="en-CA"/>
        </w:rPr>
        <w:t xml:space="preserve">ši </w:t>
      </w:r>
      <w:r w:rsidRPr="002A0D89">
        <w:rPr>
          <w:rFonts w:eastAsia="SimSun"/>
          <w:sz w:val="16"/>
        </w:rPr>
        <w:t xml:space="preserve">ADR klasifikuojama kaip nedažna) ir eriteminis, generalizuotas, makulinis, makulinis-papulinis, niežtintis bėrimai (atskirai visos </w:t>
      </w:r>
      <w:r w:rsidRPr="000D6942">
        <w:rPr>
          <w:rFonts w:eastAsia="SimSun"/>
          <w:sz w:val="16"/>
          <w:szCs w:val="16"/>
          <w:lang w:eastAsia="en-CA"/>
        </w:rPr>
        <w:t xml:space="preserve">šios </w:t>
      </w:r>
      <w:r w:rsidRPr="002A0D89">
        <w:rPr>
          <w:rFonts w:eastAsia="SimSun"/>
          <w:sz w:val="16"/>
        </w:rPr>
        <w:t>ADR klasifikuojamos kaip retos).</w:t>
      </w:r>
    </w:p>
    <w:p w14:paraId="5AB6B119" w14:textId="4799F50C" w:rsidR="004C2CCC" w:rsidRPr="002A0D89" w:rsidRDefault="00887DA5" w:rsidP="00367372">
      <w:pPr>
        <w:tabs>
          <w:tab w:val="left" w:pos="180"/>
        </w:tabs>
        <w:ind w:left="180" w:hanging="180"/>
        <w:rPr>
          <w:rFonts w:eastAsia="SimSun"/>
          <w:sz w:val="16"/>
        </w:rPr>
      </w:pPr>
      <w:r w:rsidRPr="000D6942">
        <w:rPr>
          <w:rFonts w:eastAsia="SimSun"/>
          <w:sz w:val="16"/>
          <w:szCs w:val="16"/>
          <w:lang w:eastAsia="en-CA"/>
        </w:rPr>
        <w:t>4</w:t>
      </w:r>
      <w:r w:rsidRPr="000D6942">
        <w:rPr>
          <w:rFonts w:eastAsia="SimSun"/>
          <w:sz w:val="16"/>
          <w:szCs w:val="16"/>
          <w:lang w:eastAsia="en-CA"/>
        </w:rPr>
        <w:tab/>
        <w:t>Apima šiuos vartotinus terminus</w:t>
      </w:r>
      <w:r w:rsidR="00F92C6B">
        <w:rPr>
          <w:rFonts w:eastAsia="SimSun"/>
          <w:sz w:val="16"/>
          <w:szCs w:val="16"/>
          <w:lang w:eastAsia="en-CA"/>
        </w:rPr>
        <w:t xml:space="preserve"> (tačiau jais neapsiriboja)</w:t>
      </w:r>
      <w:r w:rsidRPr="000D6942">
        <w:rPr>
          <w:rFonts w:eastAsia="SimSun"/>
          <w:sz w:val="16"/>
          <w:szCs w:val="16"/>
          <w:lang w:eastAsia="en-CA"/>
        </w:rPr>
        <w:t>:</w:t>
      </w:r>
      <w:r w:rsidRPr="002A0D89">
        <w:rPr>
          <w:rFonts w:eastAsia="SimSun"/>
          <w:sz w:val="16"/>
        </w:rPr>
        <w:t xml:space="preserve"> skausmas, </w:t>
      </w:r>
      <w:r w:rsidRPr="000D6942">
        <w:rPr>
          <w:rFonts w:eastAsia="SimSun"/>
          <w:sz w:val="16"/>
          <w:szCs w:val="16"/>
          <w:lang w:eastAsia="en-CA"/>
        </w:rPr>
        <w:t>hematoma</w:t>
      </w:r>
      <w:r w:rsidRPr="002A0D89">
        <w:rPr>
          <w:rFonts w:eastAsia="SimSun"/>
          <w:sz w:val="16"/>
        </w:rPr>
        <w:t xml:space="preserve">, spalvos pakitimas, </w:t>
      </w:r>
      <w:r w:rsidRPr="000D6942">
        <w:rPr>
          <w:rFonts w:eastAsia="SimSun"/>
          <w:sz w:val="16"/>
          <w:szCs w:val="16"/>
          <w:lang w:eastAsia="en-CA"/>
        </w:rPr>
        <w:t>ekstravazacija</w:t>
      </w:r>
      <w:r w:rsidRPr="002A0D89">
        <w:rPr>
          <w:rFonts w:eastAsia="SimSun"/>
          <w:sz w:val="16"/>
        </w:rPr>
        <w:t>, sudirgimas</w:t>
      </w:r>
      <w:r w:rsidRPr="000D6942">
        <w:rPr>
          <w:rFonts w:eastAsia="SimSun"/>
          <w:sz w:val="16"/>
          <w:szCs w:val="16"/>
          <w:lang w:eastAsia="en-CA"/>
        </w:rPr>
        <w:t>, reakcija</w:t>
      </w:r>
      <w:r w:rsidRPr="002A0D89">
        <w:rPr>
          <w:rFonts w:eastAsia="SimSun"/>
          <w:sz w:val="16"/>
        </w:rPr>
        <w:t xml:space="preserve"> injekcijos</w:t>
      </w:r>
      <w:r w:rsidRPr="000D6942">
        <w:rPr>
          <w:sz w:val="16"/>
          <w:szCs w:val="16"/>
        </w:rPr>
        <w:t>/infuzijos</w:t>
      </w:r>
      <w:r w:rsidRPr="002A0D89">
        <w:rPr>
          <w:rFonts w:eastAsia="SimSun"/>
          <w:sz w:val="16"/>
        </w:rPr>
        <w:t xml:space="preserve"> vietoje (atskirai visos </w:t>
      </w:r>
      <w:r w:rsidRPr="000D6942">
        <w:rPr>
          <w:rFonts w:eastAsia="SimSun"/>
          <w:sz w:val="16"/>
          <w:szCs w:val="16"/>
          <w:lang w:eastAsia="en-CA"/>
        </w:rPr>
        <w:t xml:space="preserve">šios </w:t>
      </w:r>
      <w:r w:rsidRPr="002A0D89">
        <w:rPr>
          <w:rFonts w:eastAsia="SimSun"/>
          <w:sz w:val="16"/>
        </w:rPr>
        <w:t xml:space="preserve">ADR klasifikuojamos kaip nedažnos) ir parestezija </w:t>
      </w:r>
      <w:r w:rsidRPr="000D6942">
        <w:rPr>
          <w:rFonts w:eastAsia="SimSun"/>
          <w:sz w:val="16"/>
          <w:szCs w:val="16"/>
          <w:lang w:eastAsia="en-CA"/>
        </w:rPr>
        <w:t xml:space="preserve">injekcijos/infuzijos vietoje </w:t>
      </w:r>
      <w:r w:rsidRPr="002A0D89">
        <w:rPr>
          <w:rFonts w:eastAsia="SimSun"/>
          <w:sz w:val="16"/>
        </w:rPr>
        <w:t xml:space="preserve">(atskirai </w:t>
      </w:r>
      <w:r w:rsidRPr="000D6942">
        <w:rPr>
          <w:rFonts w:eastAsia="SimSun"/>
          <w:sz w:val="16"/>
          <w:szCs w:val="16"/>
          <w:lang w:eastAsia="en-CA"/>
        </w:rPr>
        <w:t xml:space="preserve">ši </w:t>
      </w:r>
      <w:r w:rsidRPr="002A0D89">
        <w:rPr>
          <w:rFonts w:eastAsia="SimSun"/>
          <w:sz w:val="16"/>
        </w:rPr>
        <w:t>ADR klasifikuojama kaip reta).</w:t>
      </w:r>
    </w:p>
    <w:p w14:paraId="2DB4F56F" w14:textId="77777777" w:rsidR="004C2CCC" w:rsidRPr="002A0D89" w:rsidRDefault="00887DA5" w:rsidP="00CF38FA">
      <w:pPr>
        <w:tabs>
          <w:tab w:val="left" w:pos="180"/>
        </w:tabs>
        <w:ind w:left="180" w:hanging="180"/>
        <w:rPr>
          <w:rFonts w:eastAsia="SimSun"/>
          <w:sz w:val="16"/>
        </w:rPr>
      </w:pPr>
      <w:r w:rsidRPr="002A0D89">
        <w:rPr>
          <w:rFonts w:eastAsia="SimSun"/>
          <w:sz w:val="16"/>
        </w:rPr>
        <w:t>Pastaba: ADR – nepageidaujama reakcija į vaistus</w:t>
      </w:r>
    </w:p>
    <w:p w14:paraId="123865A4" w14:textId="77777777" w:rsidR="004C2CCC" w:rsidRPr="000D6942" w:rsidRDefault="004C2CCC" w:rsidP="00CF38FA">
      <w:pPr>
        <w:rPr>
          <w:szCs w:val="22"/>
        </w:rPr>
      </w:pPr>
    </w:p>
    <w:p w14:paraId="189FEE8A" w14:textId="77777777" w:rsidR="004C2CCC" w:rsidRPr="000D6942" w:rsidRDefault="004C2CCC" w:rsidP="00CF38FA">
      <w:pPr>
        <w:rPr>
          <w:rFonts w:eastAsia="Calibri"/>
          <w:szCs w:val="22"/>
          <w:u w:val="single"/>
          <w:lang w:eastAsia="de-CH"/>
        </w:rPr>
      </w:pPr>
      <w:r w:rsidRPr="000D6942">
        <w:rPr>
          <w:rFonts w:eastAsia="Calibri"/>
          <w:szCs w:val="22"/>
          <w:u w:val="single"/>
          <w:lang w:eastAsia="de-CH"/>
        </w:rPr>
        <w:t>Pranešimas apie įtariamas nepageidaujamas reakcijas</w:t>
      </w:r>
    </w:p>
    <w:p w14:paraId="4A8EF32F" w14:textId="66A8209A" w:rsidR="004C2CCC" w:rsidRPr="000D6942" w:rsidRDefault="00480C37" w:rsidP="00A00486">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13" w:history="1">
        <w:r w:rsidRPr="000D6942">
          <w:rPr>
            <w:rStyle w:val="Hipersaitas"/>
            <w:rFonts w:ascii="Times New Roman" w:hAnsi="Times New Roman"/>
            <w:sz w:val="22"/>
            <w:szCs w:val="22"/>
            <w:lang w:val="lt-LT"/>
          </w:rPr>
          <w:t>http://www.vvkt.lt/</w:t>
        </w:r>
      </w:hyperlink>
      <w:r w:rsidRPr="000D6942">
        <w:rPr>
          <w:rFonts w:ascii="Times New Roman" w:hAnsi="Times New Roman"/>
          <w:color w:val="auto"/>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4" w:history="1">
        <w:r w:rsidRPr="000D6942">
          <w:rPr>
            <w:rStyle w:val="Hipersaitas"/>
            <w:rFonts w:ascii="Times New Roman" w:hAnsi="Times New Roman"/>
            <w:sz w:val="22"/>
            <w:szCs w:val="22"/>
            <w:lang w:val="lt-LT"/>
          </w:rPr>
          <w:t>NepageidaujamaR@vvkt.lt</w:t>
        </w:r>
      </w:hyperlink>
      <w:r w:rsidRPr="000D6942">
        <w:rPr>
          <w:rFonts w:ascii="Times New Roman" w:hAnsi="Times New Roman"/>
          <w:color w:val="auto"/>
          <w:sz w:val="22"/>
          <w:szCs w:val="22"/>
          <w:lang w:val="lt-LT"/>
        </w:rPr>
        <w:t xml:space="preserve">), per interneto svetainę (adresu </w:t>
      </w:r>
      <w:hyperlink r:id="rId15" w:history="1">
        <w:r w:rsidRPr="000D6942">
          <w:rPr>
            <w:rStyle w:val="Hipersaitas"/>
            <w:rFonts w:ascii="Times New Roman" w:hAnsi="Times New Roman"/>
            <w:sz w:val="22"/>
            <w:szCs w:val="22"/>
            <w:lang w:val="lt-LT"/>
          </w:rPr>
          <w:t>http://www.vvkt.lt</w:t>
        </w:r>
      </w:hyperlink>
      <w:r w:rsidRPr="000D6942">
        <w:rPr>
          <w:rFonts w:ascii="Times New Roman" w:hAnsi="Times New Roman"/>
          <w:color w:val="auto"/>
          <w:sz w:val="22"/>
          <w:szCs w:val="22"/>
          <w:lang w:val="lt-LT"/>
        </w:rPr>
        <w:t>).</w:t>
      </w:r>
    </w:p>
    <w:p w14:paraId="69141DC0" w14:textId="77777777" w:rsidR="000339BE" w:rsidRPr="000D6942" w:rsidRDefault="000339BE" w:rsidP="002A0D89"/>
    <w:p w14:paraId="43C63A1F" w14:textId="77777777" w:rsidR="004C2CCC" w:rsidRPr="000D6942" w:rsidRDefault="004C2CCC" w:rsidP="00CF38FA">
      <w:pPr>
        <w:ind w:left="540" w:hanging="540"/>
        <w:rPr>
          <w:b/>
          <w:szCs w:val="22"/>
        </w:rPr>
      </w:pPr>
      <w:r w:rsidRPr="000D6942">
        <w:rPr>
          <w:b/>
          <w:szCs w:val="22"/>
        </w:rPr>
        <w:t>4.9</w:t>
      </w:r>
      <w:r w:rsidRPr="000D6942">
        <w:rPr>
          <w:b/>
          <w:szCs w:val="22"/>
        </w:rPr>
        <w:tab/>
        <w:t>Perdozavimas</w:t>
      </w:r>
    </w:p>
    <w:p w14:paraId="26B09C44" w14:textId="77777777" w:rsidR="004C2CCC" w:rsidRPr="000D6942" w:rsidRDefault="004C2CCC" w:rsidP="00CF38FA">
      <w:pPr>
        <w:pStyle w:val="Pagrindinistekstas2"/>
        <w:ind w:left="0"/>
        <w:rPr>
          <w:rFonts w:ascii="Times New Roman" w:hAnsi="Times New Roman"/>
          <w:color w:val="auto"/>
          <w:sz w:val="22"/>
          <w:szCs w:val="22"/>
          <w:lang w:val="lt-LT"/>
        </w:rPr>
      </w:pPr>
    </w:p>
    <w:p w14:paraId="6067B0D9" w14:textId="77777777"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Skiriant Ferinject didesniais kiekiais nei būtina geležies trūkumui pašalinti, vartojimo metu geležis gali kauptis organizme ir sukelti hemosiderozę. Geležies parametrų, pvz., feritino koncentracijos serume ir transferino įsotinimo laipsnio, stebėjimas gali padėti atpažinti geležies susikaupimą. Jei organizme susikaupė geležies, reikia gydyti remiantis įprasta medicinos praktika, pvz.,</w:t>
      </w:r>
      <w:r w:rsidR="00CF38FA" w:rsidRPr="000D6942">
        <w:rPr>
          <w:rFonts w:ascii="Times New Roman" w:hAnsi="Times New Roman"/>
          <w:color w:val="auto"/>
          <w:sz w:val="22"/>
          <w:szCs w:val="22"/>
          <w:lang w:val="lt-LT"/>
        </w:rPr>
        <w:t xml:space="preserve"> g</w:t>
      </w:r>
      <w:r w:rsidRPr="000D6942">
        <w:rPr>
          <w:rFonts w:ascii="Times New Roman" w:hAnsi="Times New Roman"/>
          <w:color w:val="auto"/>
          <w:sz w:val="22"/>
          <w:szCs w:val="22"/>
          <w:lang w:val="lt-LT"/>
        </w:rPr>
        <w:t>alima apsvarstyti geležies chelatoriaus vartojimą.</w:t>
      </w:r>
    </w:p>
    <w:p w14:paraId="04F84E00" w14:textId="77777777" w:rsidR="004C2CCC" w:rsidRPr="000D6942" w:rsidRDefault="004C2CCC" w:rsidP="00CF38FA">
      <w:pPr>
        <w:pStyle w:val="Pagrindinistekstas2"/>
        <w:ind w:left="0"/>
        <w:rPr>
          <w:rFonts w:ascii="Times New Roman" w:hAnsi="Times New Roman"/>
          <w:color w:val="auto"/>
          <w:sz w:val="22"/>
          <w:szCs w:val="22"/>
          <w:lang w:val="lt-LT"/>
        </w:rPr>
      </w:pPr>
    </w:p>
    <w:p w14:paraId="44D50F52" w14:textId="77777777" w:rsidR="004C2CCC" w:rsidRPr="000D6942" w:rsidRDefault="004C2CCC" w:rsidP="00CF38FA">
      <w:pPr>
        <w:pStyle w:val="Pagrindinistekstas2"/>
        <w:ind w:left="0"/>
        <w:rPr>
          <w:rFonts w:ascii="Times New Roman" w:hAnsi="Times New Roman"/>
          <w:color w:val="auto"/>
          <w:sz w:val="22"/>
          <w:szCs w:val="22"/>
          <w:lang w:val="lt-LT"/>
        </w:rPr>
      </w:pPr>
    </w:p>
    <w:p w14:paraId="3CB994E8" w14:textId="77777777" w:rsidR="004C2CCC" w:rsidRPr="000D6942" w:rsidRDefault="004C2CCC" w:rsidP="00CF38FA">
      <w:pPr>
        <w:ind w:left="540" w:hanging="540"/>
        <w:rPr>
          <w:b/>
          <w:caps/>
          <w:szCs w:val="22"/>
        </w:rPr>
      </w:pPr>
      <w:r w:rsidRPr="000D6942">
        <w:rPr>
          <w:b/>
          <w:caps/>
          <w:szCs w:val="22"/>
        </w:rPr>
        <w:t>5.</w:t>
      </w:r>
      <w:r w:rsidRPr="000D6942">
        <w:rPr>
          <w:b/>
          <w:caps/>
          <w:szCs w:val="22"/>
        </w:rPr>
        <w:tab/>
        <w:t>FarmakoLOGINĖS savybės</w:t>
      </w:r>
    </w:p>
    <w:p w14:paraId="36925323" w14:textId="77777777" w:rsidR="004C2CCC" w:rsidRPr="000D6942" w:rsidRDefault="004C2CCC" w:rsidP="00CF38FA">
      <w:pPr>
        <w:pStyle w:val="Porat"/>
        <w:tabs>
          <w:tab w:val="clear" w:pos="4153"/>
          <w:tab w:val="clear" w:pos="8306"/>
        </w:tabs>
        <w:rPr>
          <w:color w:val="auto"/>
          <w:sz w:val="22"/>
          <w:szCs w:val="22"/>
          <w:lang w:val="lt-LT"/>
        </w:rPr>
      </w:pPr>
    </w:p>
    <w:p w14:paraId="268C2ACD" w14:textId="77777777" w:rsidR="004C2CCC" w:rsidRPr="000D6942" w:rsidRDefault="004C2CCC" w:rsidP="00CF38FA">
      <w:pPr>
        <w:ind w:left="540" w:hanging="540"/>
        <w:rPr>
          <w:b/>
          <w:szCs w:val="22"/>
        </w:rPr>
      </w:pPr>
      <w:r w:rsidRPr="000D6942">
        <w:rPr>
          <w:b/>
          <w:szCs w:val="22"/>
        </w:rPr>
        <w:t>5.1</w:t>
      </w:r>
      <w:r w:rsidRPr="000D6942">
        <w:rPr>
          <w:b/>
          <w:szCs w:val="22"/>
        </w:rPr>
        <w:tab/>
        <w:t>Farmakodinaminės savybės</w:t>
      </w:r>
    </w:p>
    <w:p w14:paraId="6A52C014" w14:textId="77777777" w:rsidR="004C2CCC" w:rsidRPr="000D6942" w:rsidRDefault="004C2CCC" w:rsidP="00CF38FA">
      <w:pPr>
        <w:pStyle w:val="Porat"/>
        <w:tabs>
          <w:tab w:val="clear" w:pos="4153"/>
          <w:tab w:val="clear" w:pos="8306"/>
        </w:tabs>
        <w:rPr>
          <w:sz w:val="22"/>
          <w:szCs w:val="22"/>
          <w:lang w:val="lt-LT"/>
        </w:rPr>
      </w:pPr>
    </w:p>
    <w:p w14:paraId="631D4A6A" w14:textId="49D2B56E" w:rsidR="004C2CCC" w:rsidRPr="000D6942" w:rsidRDefault="004C2CCC" w:rsidP="00CF38FA">
      <w:pPr>
        <w:rPr>
          <w:szCs w:val="22"/>
        </w:rPr>
      </w:pPr>
      <w:r w:rsidRPr="000D6942">
        <w:rPr>
          <w:szCs w:val="22"/>
        </w:rPr>
        <w:t>Farmakoterapinė grupė – parenteralinis trivalentės geležies preparatas</w:t>
      </w:r>
      <w:r w:rsidR="002B6F35">
        <w:rPr>
          <w:szCs w:val="22"/>
        </w:rPr>
        <w:t xml:space="preserve">, </w:t>
      </w:r>
      <w:r w:rsidRPr="000D6942">
        <w:rPr>
          <w:szCs w:val="22"/>
        </w:rPr>
        <w:t>ATC kodas – B03AC</w:t>
      </w:r>
    </w:p>
    <w:p w14:paraId="75BCAE61" w14:textId="77777777" w:rsidR="004C2CCC" w:rsidRPr="000D6942" w:rsidRDefault="004C2CCC" w:rsidP="009D4D9A">
      <w:pPr>
        <w:pStyle w:val="Porat"/>
        <w:tabs>
          <w:tab w:val="clear" w:pos="4153"/>
          <w:tab w:val="clear" w:pos="8306"/>
        </w:tabs>
        <w:rPr>
          <w:color w:val="auto"/>
          <w:sz w:val="22"/>
          <w:lang w:val="lt-LT"/>
        </w:rPr>
      </w:pPr>
    </w:p>
    <w:p w14:paraId="627AB254" w14:textId="77777777" w:rsidR="004C2CCC" w:rsidRPr="000D6942" w:rsidRDefault="004C2CCC" w:rsidP="00CF38FA">
      <w:pPr>
        <w:pStyle w:val="Porat"/>
        <w:rPr>
          <w:color w:val="auto"/>
          <w:sz w:val="22"/>
          <w:szCs w:val="22"/>
          <w:lang w:val="lt-LT"/>
        </w:rPr>
      </w:pPr>
      <w:r w:rsidRPr="000D6942">
        <w:rPr>
          <w:sz w:val="22"/>
          <w:szCs w:val="22"/>
          <w:lang w:val="lt-LT"/>
        </w:rPr>
        <w:t xml:space="preserve">Ferinject injekcinio/infuzinio tirpalo sudėtyje </w:t>
      </w:r>
      <w:r w:rsidRPr="000D6942">
        <w:rPr>
          <w:color w:val="auto"/>
          <w:sz w:val="22"/>
          <w:szCs w:val="22"/>
          <w:lang w:val="lt-LT"/>
        </w:rPr>
        <w:t>koloidinio geležies junginio tirpalas geležies karboksimaltozės pavidalu.</w:t>
      </w:r>
    </w:p>
    <w:p w14:paraId="18181A5B" w14:textId="69C73E7F" w:rsidR="004C2CCC" w:rsidRPr="000D6942" w:rsidRDefault="004C2CCC" w:rsidP="00EA27D9">
      <w:pPr>
        <w:rPr>
          <w:szCs w:val="22"/>
        </w:rPr>
      </w:pPr>
      <w:r w:rsidRPr="000D6942">
        <w:rPr>
          <w:szCs w:val="22"/>
        </w:rPr>
        <w:t xml:space="preserve">Šis junginys kontroliuojamai tiekia pasisavinamą geležį ją pernešantiems ir kaupiantiems organizmo baltymams (atitinkamai transferinui ir feritinui). Po 24 dienų </w:t>
      </w:r>
      <w:r w:rsidR="00EA27D9" w:rsidRPr="000D6942">
        <w:rPr>
          <w:szCs w:val="22"/>
        </w:rPr>
        <w:t>tiriamųjų</w:t>
      </w:r>
      <w:r w:rsidRPr="000D6942">
        <w:rPr>
          <w:szCs w:val="22"/>
        </w:rPr>
        <w:t xml:space="preserve">, kuriems trūksta geležies, radioaktyviu izotopu žymėtos geležies </w:t>
      </w:r>
      <w:r w:rsidRPr="000D6942">
        <w:rPr>
          <w:szCs w:val="22"/>
          <w:vertAlign w:val="superscript"/>
        </w:rPr>
        <w:t>59</w:t>
      </w:r>
      <w:r w:rsidRPr="000D6942">
        <w:rPr>
          <w:szCs w:val="22"/>
        </w:rPr>
        <w:t xml:space="preserve">Fe Ferinject įsisavinimas buvo nuo 91 % iki 99 %, o </w:t>
      </w:r>
      <w:r w:rsidR="00EA27D9" w:rsidRPr="000D6942">
        <w:rPr>
          <w:szCs w:val="22"/>
        </w:rPr>
        <w:t>tiriamųjų</w:t>
      </w:r>
      <w:r w:rsidRPr="000D6942">
        <w:rPr>
          <w:szCs w:val="22"/>
        </w:rPr>
        <w:t>, sergančių renalinės kilmės anemija, radioaktyviu izotopu žymėtos geležies įsisavinimas buvo nuo 61 % iki 84 %.</w:t>
      </w:r>
    </w:p>
    <w:p w14:paraId="6FB7E6BA" w14:textId="77777777" w:rsidR="004C2CCC" w:rsidRPr="000D6942" w:rsidRDefault="004C2CCC" w:rsidP="00CF38FA">
      <w:pPr>
        <w:rPr>
          <w:szCs w:val="22"/>
        </w:rPr>
      </w:pPr>
      <w:r w:rsidRPr="000D6942">
        <w:rPr>
          <w:szCs w:val="22"/>
        </w:rPr>
        <w:t>Gydant Ferinject pacientus, sergančius geležies trūkumo sukelta anemija, padidėjo retikulocitų skaičius ir susinormalizavo serumo feritino lygis.</w:t>
      </w:r>
    </w:p>
    <w:p w14:paraId="7D1B6D52" w14:textId="77777777" w:rsidR="004C2CCC" w:rsidRPr="000D6942" w:rsidRDefault="004C2CCC" w:rsidP="00CF38FA">
      <w:pPr>
        <w:rPr>
          <w:szCs w:val="22"/>
        </w:rPr>
      </w:pPr>
    </w:p>
    <w:p w14:paraId="203DD774" w14:textId="77777777" w:rsidR="004C2CCC" w:rsidRPr="000D6942" w:rsidRDefault="004C2CCC" w:rsidP="00CF38FA">
      <w:pPr>
        <w:tabs>
          <w:tab w:val="center" w:pos="4153"/>
          <w:tab w:val="right" w:pos="8306"/>
        </w:tabs>
        <w:rPr>
          <w:szCs w:val="22"/>
          <w:u w:val="single"/>
        </w:rPr>
      </w:pPr>
      <w:r w:rsidRPr="000D6942">
        <w:rPr>
          <w:szCs w:val="22"/>
          <w:u w:val="single"/>
        </w:rPr>
        <w:t>Klinikinis veiksmingumas ir saugumas</w:t>
      </w:r>
    </w:p>
    <w:p w14:paraId="7F7F4FEF" w14:textId="77777777" w:rsidR="004C2CCC" w:rsidRPr="000D6942" w:rsidRDefault="004C2CCC" w:rsidP="00CF38FA">
      <w:pPr>
        <w:tabs>
          <w:tab w:val="center" w:pos="4153"/>
          <w:tab w:val="right" w:pos="8306"/>
        </w:tabs>
        <w:rPr>
          <w:szCs w:val="22"/>
        </w:rPr>
      </w:pPr>
    </w:p>
    <w:p w14:paraId="522A7903" w14:textId="77777777" w:rsidR="004C2CCC" w:rsidRPr="000D6942" w:rsidRDefault="004C2CCC" w:rsidP="00CF38FA">
      <w:pPr>
        <w:tabs>
          <w:tab w:val="center" w:pos="4153"/>
          <w:tab w:val="right" w:pos="8306"/>
        </w:tabs>
        <w:rPr>
          <w:szCs w:val="22"/>
        </w:rPr>
      </w:pPr>
      <w:r w:rsidRPr="000D6942">
        <w:rPr>
          <w:szCs w:val="22"/>
        </w:rPr>
        <w:t>Ferinject veiksmingumas ir saugumas buvo tirtas skirtingomis terapinėmis sąlygomis, kai geležies trūkumui gydyti buvo skiriama intraveniniu būdu vartojama geležis. Pagrindiniai tyrimai išsamiau aprašyti toliau.</w:t>
      </w:r>
    </w:p>
    <w:p w14:paraId="4271453A" w14:textId="77777777" w:rsidR="004C2CCC" w:rsidRPr="000D6942" w:rsidRDefault="004C2CCC" w:rsidP="00CF38FA">
      <w:pPr>
        <w:tabs>
          <w:tab w:val="center" w:pos="4153"/>
          <w:tab w:val="right" w:pos="8306"/>
        </w:tabs>
        <w:rPr>
          <w:szCs w:val="22"/>
        </w:rPr>
      </w:pPr>
    </w:p>
    <w:p w14:paraId="0E799372" w14:textId="77777777" w:rsidR="00EA27D9" w:rsidRPr="000D6942" w:rsidRDefault="00EA27D9" w:rsidP="00EA27D9">
      <w:pPr>
        <w:pStyle w:val="HeadingUnderlinedEmphasis"/>
        <w:rPr>
          <w:rFonts w:cs="Times New Roman"/>
          <w:lang w:val="lt-LT"/>
        </w:rPr>
      </w:pPr>
      <w:r w:rsidRPr="000D6942">
        <w:rPr>
          <w:rFonts w:cs="Times New Roman"/>
          <w:lang w:val="lt-LT"/>
        </w:rPr>
        <w:t>Kardiologija</w:t>
      </w:r>
    </w:p>
    <w:p w14:paraId="691A39EE" w14:textId="77777777" w:rsidR="00EA27D9" w:rsidRPr="000D6942" w:rsidRDefault="00EA27D9" w:rsidP="00EA27D9">
      <w:pPr>
        <w:pStyle w:val="NormalKeep"/>
        <w:rPr>
          <w:rFonts w:cs="Times New Roman"/>
          <w:lang w:val="lt-LT"/>
        </w:rPr>
      </w:pPr>
    </w:p>
    <w:p w14:paraId="2E2D3E2C" w14:textId="77777777" w:rsidR="00EA27D9" w:rsidRPr="000D6942" w:rsidRDefault="00EA27D9" w:rsidP="00EA27D9">
      <w:pPr>
        <w:pStyle w:val="HeadingEmphasis"/>
        <w:rPr>
          <w:rFonts w:cs="Times New Roman"/>
          <w:lang w:val="lt-LT"/>
        </w:rPr>
      </w:pPr>
      <w:r w:rsidRPr="000D6942">
        <w:rPr>
          <w:rFonts w:cs="Times New Roman"/>
          <w:lang w:val="lt-LT"/>
        </w:rPr>
        <w:t>Lėtinis širdies nepakankamumas</w:t>
      </w:r>
    </w:p>
    <w:p w14:paraId="18B6E83E" w14:textId="33871F0B" w:rsidR="00193342" w:rsidRPr="000D6942" w:rsidRDefault="00EA27D9" w:rsidP="00915EA0">
      <w:r w:rsidRPr="000D6942">
        <w:t xml:space="preserve">CONFIRM-HF – tai dvigubai aklas, atsitiktinių imčių, 2 grupių tyrimas, kurio metu lygintas Ferinject (n = 150) ir placebo (n = 151) poveikis lėtiniu širdies nepakankamumu sergantiems </w:t>
      </w:r>
      <w:r w:rsidR="00915EA0" w:rsidRPr="000D6942">
        <w:rPr>
          <w:szCs w:val="22"/>
        </w:rPr>
        <w:t>tiriamiesiems</w:t>
      </w:r>
      <w:r w:rsidRPr="000D6942">
        <w:t xml:space="preserve">, kuriems trūksta geležies, per 52 savaičių gydymo laikotarpį. 1 dieną ir 6 savaitę (koregavimo fazė) tiriamiesiems buvo sušvirkšta arba Ferinject pagal supaprastintą dozavimo schemą, vadovaujantis prieš tyrimą per atranką nustatytu pradiniu Hb kiekiu ir kūno svoriu (žr. 4.2 skyrių), arba placebo, arba nebuvo sušvirkšta jokia dozė. 12, 24 ir 36 savaites (palaikomoji fazė) tiriamiesiems buvo sušvirkšta arba Ferinject (500 mg geležies), arba placebo, jei feritino kiekis serume buvo &lt;100 ng/ml arba 100–299 ng/ml, kai TSAT buvo &lt;20 %, arba nebuvo sušvirkšta jokia dozė. Gydymo Ferinject naudą, palyginti su placebo grupe, rodantis pagrindinis veiksmingumo rodiklis buvo 6 minučių ėjimo testo (6 MĖT) rezultatų pokytis nuo tyrimo pradžios iki 24 savaitės (p = 0,002). Šis poveikis išliko per visą tyrimo laikotarpį iki 52 savaitės (p &lt;0,001). </w:t>
      </w:r>
    </w:p>
    <w:p w14:paraId="3BF84639" w14:textId="77777777" w:rsidR="00EA27D9" w:rsidRPr="000D6942" w:rsidRDefault="00EA27D9" w:rsidP="00CF38FA">
      <w:pPr>
        <w:tabs>
          <w:tab w:val="center" w:pos="4153"/>
          <w:tab w:val="right" w:pos="8306"/>
        </w:tabs>
        <w:rPr>
          <w:szCs w:val="22"/>
        </w:rPr>
      </w:pPr>
    </w:p>
    <w:p w14:paraId="3EAADF49" w14:textId="77777777" w:rsidR="004C2CCC" w:rsidRPr="000D6942" w:rsidRDefault="004C2CCC" w:rsidP="00CF38FA">
      <w:pPr>
        <w:tabs>
          <w:tab w:val="center" w:pos="4153"/>
          <w:tab w:val="right" w:pos="8306"/>
        </w:tabs>
        <w:rPr>
          <w:i/>
          <w:szCs w:val="22"/>
          <w:u w:val="single"/>
        </w:rPr>
      </w:pPr>
      <w:r w:rsidRPr="000D6942">
        <w:rPr>
          <w:i/>
          <w:szCs w:val="22"/>
          <w:u w:val="single"/>
        </w:rPr>
        <w:t>Nefrologija</w:t>
      </w:r>
    </w:p>
    <w:p w14:paraId="3C44C08C" w14:textId="77777777" w:rsidR="004C2CCC" w:rsidRPr="000D6942" w:rsidRDefault="004C2CCC" w:rsidP="00CF38FA">
      <w:pPr>
        <w:tabs>
          <w:tab w:val="center" w:pos="4153"/>
          <w:tab w:val="right" w:pos="8306"/>
        </w:tabs>
        <w:rPr>
          <w:szCs w:val="22"/>
        </w:rPr>
      </w:pPr>
    </w:p>
    <w:p w14:paraId="349B8A36" w14:textId="77777777" w:rsidR="004C2CCC" w:rsidRPr="000D6942" w:rsidRDefault="004C2CCC" w:rsidP="00CF38FA">
      <w:pPr>
        <w:tabs>
          <w:tab w:val="center" w:pos="4153"/>
          <w:tab w:val="right" w:pos="8306"/>
        </w:tabs>
        <w:rPr>
          <w:i/>
          <w:szCs w:val="22"/>
        </w:rPr>
      </w:pPr>
      <w:r w:rsidRPr="000D6942">
        <w:rPr>
          <w:i/>
          <w:szCs w:val="22"/>
        </w:rPr>
        <w:t>Nuo hemodializės priklausomi lėtine inkstų liga sergantys pacientai</w:t>
      </w:r>
    </w:p>
    <w:p w14:paraId="4E11FACE" w14:textId="1A03AC41" w:rsidR="004C2CCC" w:rsidRPr="000D6942" w:rsidRDefault="004C2CCC" w:rsidP="00915EA0">
      <w:pPr>
        <w:tabs>
          <w:tab w:val="center" w:pos="4153"/>
          <w:tab w:val="right" w:pos="8306"/>
        </w:tabs>
        <w:rPr>
          <w:szCs w:val="22"/>
        </w:rPr>
      </w:pPr>
      <w:r w:rsidRPr="000D6942">
        <w:rPr>
          <w:szCs w:val="22"/>
        </w:rPr>
        <w:t xml:space="preserve">Atvirojo atsitiktinės imties paralelių grupių tyrimo VIT-IV-CL-015 metu buvo palygintas Ferinject (n=97) ir geležies sacharozės (n=86) veiksmingumas </w:t>
      </w:r>
      <w:r w:rsidR="00915EA0" w:rsidRPr="000D6942">
        <w:rPr>
          <w:szCs w:val="22"/>
        </w:rPr>
        <w:t>tiriamiesiems</w:t>
      </w:r>
      <w:r w:rsidRPr="000D6942">
        <w:rPr>
          <w:szCs w:val="22"/>
        </w:rPr>
        <w:t xml:space="preserve">, sergantiems geležies trūkumo sukelta anemija, kuriems buvo atliekama hemodializė. Tiriamiesiems 2–3 kartus per savaitę buvo skiriama Ferinject arba geležies sacharozės (200 mg geležies vienoje dozėje) tiesiogiai į dializatorių, kol būdavo pasiekiama apskaičiuota bendra geležies dozė (geležies Ferinject pavidalu vidutinė bendra dozė: 1 700 mg). Pagrindinis veiksmingumo rodiklis buvo procentinė dalis </w:t>
      </w:r>
      <w:r w:rsidR="00EA27D9" w:rsidRPr="000D6942">
        <w:rPr>
          <w:szCs w:val="22"/>
        </w:rPr>
        <w:t>tiriamųjų</w:t>
      </w:r>
      <w:r w:rsidRPr="000D6942">
        <w:rPr>
          <w:szCs w:val="22"/>
        </w:rPr>
        <w:t xml:space="preserve">, kurių Hb </w:t>
      </w:r>
      <w:r w:rsidRPr="000D6942">
        <w:rPr>
          <w:szCs w:val="22"/>
        </w:rPr>
        <w:lastRenderedPageBreak/>
        <w:t>per 4 savaites nuo tyrimo pradžios padidėjo ≥1,0 g/dL. Po 4 savaičių nuo tyrimo pradžios gydymo Ferinject poveikis pasireiškė 44,1 % tiriamųjų (t. y. Hb padidėjo ≥1,0 g/dL), o gydymo geležies sacharoze – 35,3 % tiriamųjų (p=0,2254).</w:t>
      </w:r>
    </w:p>
    <w:p w14:paraId="22CF8BBA" w14:textId="77777777" w:rsidR="004C2CCC" w:rsidRPr="000D6942" w:rsidRDefault="004C2CCC" w:rsidP="00CF38FA">
      <w:pPr>
        <w:tabs>
          <w:tab w:val="center" w:pos="4153"/>
          <w:tab w:val="right" w:pos="8306"/>
        </w:tabs>
        <w:rPr>
          <w:szCs w:val="22"/>
        </w:rPr>
      </w:pPr>
    </w:p>
    <w:p w14:paraId="0F301EB6" w14:textId="77777777" w:rsidR="004C2CCC" w:rsidRPr="000D6942" w:rsidRDefault="004C2CCC" w:rsidP="00CF38FA">
      <w:pPr>
        <w:tabs>
          <w:tab w:val="center" w:pos="4153"/>
          <w:tab w:val="right" w:pos="8306"/>
        </w:tabs>
        <w:rPr>
          <w:i/>
          <w:szCs w:val="22"/>
        </w:rPr>
      </w:pPr>
      <w:r w:rsidRPr="000D6942">
        <w:rPr>
          <w:i/>
          <w:szCs w:val="22"/>
        </w:rPr>
        <w:t>Nuo dializės nepriklausomi lėtine inkstų liga sergantys pacientai</w:t>
      </w:r>
    </w:p>
    <w:p w14:paraId="4416F22D" w14:textId="77777777" w:rsidR="004C2CCC" w:rsidRPr="000D6942" w:rsidRDefault="004C2CCC" w:rsidP="00CF38FA">
      <w:pPr>
        <w:tabs>
          <w:tab w:val="center" w:pos="4153"/>
          <w:tab w:val="right" w:pos="8306"/>
        </w:tabs>
        <w:rPr>
          <w:szCs w:val="22"/>
        </w:rPr>
      </w:pPr>
      <w:r w:rsidRPr="000D6942">
        <w:rPr>
          <w:szCs w:val="22"/>
        </w:rPr>
        <w:t>Atvirojo atsitiktinės imties kontroliuojamojo tyrimo 1VIT04004 metu buvo palygintas Ferinject (n=147) ir geriamosios geležies (n=103) veiksmingumas bei saugumas. Ferinject grupėje</w:t>
      </w:r>
    </w:p>
    <w:p w14:paraId="3F557BD1" w14:textId="2930F1FE" w:rsidR="004C2CCC" w:rsidRPr="000D6942" w:rsidRDefault="004C2CCC" w:rsidP="00EA27D9">
      <w:pPr>
        <w:tabs>
          <w:tab w:val="center" w:pos="4153"/>
          <w:tab w:val="right" w:pos="8306"/>
        </w:tabs>
        <w:rPr>
          <w:szCs w:val="22"/>
        </w:rPr>
      </w:pPr>
      <w:r w:rsidRPr="000D6942">
        <w:rPr>
          <w:szCs w:val="22"/>
        </w:rPr>
        <w:t>tiriamiesiems buvo skiriama 1000 mg geležies dozė tyrimo pradžioje ir 500 mg geležies dozė 14 ir 28 dienomis, jei atitinkamo vizito metu TSAT buvo &lt;30 %, o serumo feritino lygis buvo &lt;500 ng/</w:t>
      </w:r>
      <w:r w:rsidR="00EA27D9" w:rsidRPr="000D6942">
        <w:rPr>
          <w:szCs w:val="22"/>
        </w:rPr>
        <w:t>ml</w:t>
      </w:r>
      <w:r w:rsidRPr="000D6942">
        <w:rPr>
          <w:szCs w:val="22"/>
        </w:rPr>
        <w:t>. Geriamosios geležies grupėje 56 dienas nuo tyrimo pradžios tiriamiesiems buvo skiriama po 65 mg geležies TID geležies sulfato pavidalu. Tiriamieji buvo stebimi iki 56 dienos. Pagrindinis veiksmingumo rodiklis buvo procentinė dalis tiriamųjų, kuriems užfiksuotas Hb padidėjimas ≥1,0 g/dL bet kurio metu nuo tyrimo pradžios iki pabaigos ar intervencijos metu. Ferinject vartojusiųjų grupėje šis skaičius buvo 60,54 % o geriamosios geležies grupėje – 34,7 % (p&lt;0,001). Vidutinis hemoglobino pokytis iki 56 tyrimo dienos / tyrimo pabaigos Ferinject grupėje buvo 1,0 g/dL, o geriamosios geležies grupėje – 0,7 g/dL (p=0,034, 95 % CI: 0,0, 0,7).</w:t>
      </w:r>
    </w:p>
    <w:p w14:paraId="4D7BE81A" w14:textId="77777777" w:rsidR="004C2CCC" w:rsidRPr="000D6942" w:rsidRDefault="004C2CCC" w:rsidP="00CF38FA">
      <w:pPr>
        <w:tabs>
          <w:tab w:val="center" w:pos="4153"/>
          <w:tab w:val="right" w:pos="8306"/>
        </w:tabs>
        <w:rPr>
          <w:szCs w:val="22"/>
        </w:rPr>
      </w:pPr>
    </w:p>
    <w:p w14:paraId="25840BDB" w14:textId="77777777" w:rsidR="004C2CCC" w:rsidRPr="000D6942" w:rsidRDefault="004C2CCC" w:rsidP="00CF38FA">
      <w:pPr>
        <w:tabs>
          <w:tab w:val="center" w:pos="4153"/>
          <w:tab w:val="right" w:pos="8306"/>
        </w:tabs>
        <w:rPr>
          <w:i/>
          <w:szCs w:val="22"/>
          <w:u w:val="single"/>
        </w:rPr>
      </w:pPr>
      <w:r w:rsidRPr="000D6942">
        <w:rPr>
          <w:i/>
          <w:szCs w:val="22"/>
          <w:u w:val="single"/>
        </w:rPr>
        <w:t>Gastroenterologija</w:t>
      </w:r>
    </w:p>
    <w:p w14:paraId="55C7A54D" w14:textId="77777777" w:rsidR="004C2CCC" w:rsidRPr="000D6942" w:rsidRDefault="004C2CCC" w:rsidP="00CF38FA">
      <w:pPr>
        <w:tabs>
          <w:tab w:val="center" w:pos="4153"/>
          <w:tab w:val="right" w:pos="8306"/>
        </w:tabs>
        <w:rPr>
          <w:szCs w:val="22"/>
        </w:rPr>
      </w:pPr>
    </w:p>
    <w:p w14:paraId="671D6585" w14:textId="77777777" w:rsidR="004C2CCC" w:rsidRPr="000D6942" w:rsidRDefault="004C2CCC" w:rsidP="00CF38FA">
      <w:pPr>
        <w:tabs>
          <w:tab w:val="center" w:pos="4153"/>
          <w:tab w:val="right" w:pos="8306"/>
        </w:tabs>
        <w:rPr>
          <w:i/>
          <w:szCs w:val="22"/>
        </w:rPr>
      </w:pPr>
      <w:r w:rsidRPr="000D6942">
        <w:rPr>
          <w:i/>
          <w:szCs w:val="22"/>
        </w:rPr>
        <w:t>Žarnų uždegimo liga</w:t>
      </w:r>
    </w:p>
    <w:p w14:paraId="6DCC8464" w14:textId="55C063C8" w:rsidR="004C2CCC" w:rsidRPr="000D6942" w:rsidRDefault="004C2CCC" w:rsidP="00EA27D9">
      <w:pPr>
        <w:tabs>
          <w:tab w:val="center" w:pos="4153"/>
          <w:tab w:val="right" w:pos="8306"/>
        </w:tabs>
        <w:rPr>
          <w:szCs w:val="22"/>
        </w:rPr>
      </w:pPr>
      <w:r w:rsidRPr="000D6942">
        <w:rPr>
          <w:szCs w:val="22"/>
        </w:rPr>
        <w:t>Atvirojo atsitiktinės imties tyrimo VIT-</w:t>
      </w:r>
      <w:r w:rsidR="00EA27D9" w:rsidRPr="000D6942">
        <w:rPr>
          <w:szCs w:val="22"/>
        </w:rPr>
        <w:t>IV-</w:t>
      </w:r>
      <w:r w:rsidRPr="000D6942">
        <w:rPr>
          <w:szCs w:val="22"/>
        </w:rPr>
        <w:t>CL</w:t>
      </w:r>
      <w:r w:rsidR="00EA27D9" w:rsidRPr="000D6942" w:rsidDel="00EA27D9">
        <w:rPr>
          <w:szCs w:val="22"/>
        </w:rPr>
        <w:t xml:space="preserve"> </w:t>
      </w:r>
      <w:r w:rsidRPr="000D6942">
        <w:rPr>
          <w:szCs w:val="22"/>
        </w:rPr>
        <w:t xml:space="preserve">-008 metu buvo palygintas Ferinject ir geriamojo geležies sulfato veiksmingumas gydant geležies trūkumo sukeltą anemiją </w:t>
      </w:r>
      <w:r w:rsidR="00915EA0" w:rsidRPr="000D6942">
        <w:rPr>
          <w:szCs w:val="22"/>
        </w:rPr>
        <w:t>tiriam</w:t>
      </w:r>
      <w:r w:rsidR="000D6942">
        <w:rPr>
          <w:szCs w:val="22"/>
        </w:rPr>
        <w:t>iesie</w:t>
      </w:r>
      <w:r w:rsidRPr="000D6942">
        <w:rPr>
          <w:szCs w:val="22"/>
        </w:rPr>
        <w:t>ms, kurie serga žarnų uždegimo liga (ŽUL). Vienai grupei tiriamųjų vieną kartą per savaitę buvo skiriamos Ferinject (n=1</w:t>
      </w:r>
      <w:r w:rsidR="006D4A23">
        <w:rPr>
          <w:szCs w:val="22"/>
        </w:rPr>
        <w:t>11) dozės, ne daugiau kaip po 1</w:t>
      </w:r>
      <w:r w:rsidRPr="000D6942">
        <w:rPr>
          <w:szCs w:val="22"/>
        </w:rPr>
        <w:t>000 mg geležies kiekvienoje, kol buvo pasiekta individualiai apskaičiuota (remiantis Ganzoni formule) bendra geležies dozė (vidutinė bendra geležies dozė: 1 490 mg); kitai grupei buvo skiriama 100 mg geležies sulfato (n=49). Tiriamieji buvo stebėti 12 savaičių. Ferinject vartojusiems tiriamiesiems Hb per 12 savaičių nuo tyrimo pradžios padidėjo vidutiniškai 3,83 g/dL, ir šis rezultatas buvo ne prastesnis nei 12 savaičių trukmės gydymo geležies sulfatu skiriant jį du kartus per dieną rezultatas (3,75 g/dL, p=0,8016).</w:t>
      </w:r>
    </w:p>
    <w:p w14:paraId="59FFF1CE" w14:textId="50C0C693" w:rsidR="004C2CCC" w:rsidRPr="000D6942" w:rsidRDefault="004C2CCC" w:rsidP="00EA27D9">
      <w:pPr>
        <w:tabs>
          <w:tab w:val="center" w:pos="4153"/>
          <w:tab w:val="right" w:pos="8306"/>
        </w:tabs>
        <w:rPr>
          <w:szCs w:val="22"/>
        </w:rPr>
      </w:pPr>
      <w:r w:rsidRPr="000D6942">
        <w:rPr>
          <w:szCs w:val="22"/>
        </w:rPr>
        <w:t xml:space="preserve">Atvirojo atsitiktinės imties tyrimo FER-IBD-07-COR metu buvo palygintas Ferinject ir geležies sacharozės veiksmingumas </w:t>
      </w:r>
      <w:r w:rsidR="000D6942" w:rsidRPr="000D6942">
        <w:rPr>
          <w:szCs w:val="22"/>
        </w:rPr>
        <w:t>tiriamiesiems</w:t>
      </w:r>
      <w:r w:rsidRPr="000D6942">
        <w:rPr>
          <w:szCs w:val="22"/>
        </w:rPr>
        <w:t>, sergantiems remisine ar nesunkia ŽUL. Ferinject grupėje tir</w:t>
      </w:r>
      <w:r w:rsidR="006D4A23">
        <w:rPr>
          <w:szCs w:val="22"/>
        </w:rPr>
        <w:t>iamiesiems buvo skiriamos iki 1</w:t>
      </w:r>
      <w:r w:rsidRPr="000D6942">
        <w:rPr>
          <w:szCs w:val="22"/>
        </w:rPr>
        <w:t xml:space="preserve">000 mg geležies dozės, apskaičiuotos pagal supaprastintą dozavimo schemą, remiantis Hb tyrimo pradžioje ir kūno svoriu (žr. 4.2 skyrių), o geležies sacharoze gydytų tiriamųjų grupėje dozės buvo apskaičiuojamos individualiai pagal Ganzoni formulę ir skiriama po 200 mg geležies sacharozės, kol buvo pasiekta bendra geležies dozė. </w:t>
      </w:r>
      <w:r w:rsidR="00EA27D9" w:rsidRPr="000D6942">
        <w:rPr>
          <w:szCs w:val="22"/>
        </w:rPr>
        <w:t>Tiriamieji</w:t>
      </w:r>
      <w:r w:rsidRPr="000D6942">
        <w:rPr>
          <w:szCs w:val="22"/>
        </w:rPr>
        <w:t xml:space="preserve"> buvo stebimi 12 savaičių. 12 savaitę gydymo poveikis (apibrėžiamas kaip Hb padidėjimas ≥2 g/dL) pasireiškė 65,8 % Ferinject vartojusių </w:t>
      </w:r>
      <w:r w:rsidR="00EA27D9" w:rsidRPr="000D6942">
        <w:rPr>
          <w:szCs w:val="22"/>
        </w:rPr>
        <w:t>tiriamųjų</w:t>
      </w:r>
      <w:r w:rsidRPr="000D6942">
        <w:rPr>
          <w:szCs w:val="22"/>
        </w:rPr>
        <w:t xml:space="preserve"> (n=240; vidutinė bendra geležies dozė: 1,414 mg) ir 53,6 % geležies sacharozę vartojusių </w:t>
      </w:r>
      <w:r w:rsidR="00EA27D9" w:rsidRPr="000D6942">
        <w:t>tiriamųjų</w:t>
      </w:r>
      <w:r w:rsidRPr="000D6942">
        <w:rPr>
          <w:szCs w:val="22"/>
        </w:rPr>
        <w:t xml:space="preserve"> (n=235; vidutinė bendra geležies dozė: 1,207 mg; p=0,004). 83,8 % Ferinject gydytų </w:t>
      </w:r>
      <w:r w:rsidR="00EA27D9" w:rsidRPr="000D6942">
        <w:t>tiriamųjų</w:t>
      </w:r>
      <w:r w:rsidRPr="000D6942">
        <w:rPr>
          <w:szCs w:val="22"/>
        </w:rPr>
        <w:t xml:space="preserve"> ir 75,9 % geležies sacharoze gydytų </w:t>
      </w:r>
      <w:r w:rsidR="00EA27D9" w:rsidRPr="000D6942">
        <w:t>tiriamųjų</w:t>
      </w:r>
      <w:r w:rsidRPr="000D6942">
        <w:rPr>
          <w:szCs w:val="22"/>
        </w:rPr>
        <w:t xml:space="preserve"> Hb padidėjo ≥2 g/dL arba tapo normalus 12 savaitę (p=0,019).</w:t>
      </w:r>
    </w:p>
    <w:p w14:paraId="4AEC40E1" w14:textId="77777777" w:rsidR="004C2CCC" w:rsidRPr="000D6942" w:rsidRDefault="004C2CCC" w:rsidP="00CF38FA">
      <w:pPr>
        <w:tabs>
          <w:tab w:val="center" w:pos="4153"/>
          <w:tab w:val="right" w:pos="8306"/>
        </w:tabs>
        <w:rPr>
          <w:szCs w:val="22"/>
        </w:rPr>
      </w:pPr>
    </w:p>
    <w:p w14:paraId="6481D7CB" w14:textId="77777777" w:rsidR="004C2CCC" w:rsidRPr="000D6942" w:rsidRDefault="004C2CCC" w:rsidP="00CF38FA">
      <w:pPr>
        <w:tabs>
          <w:tab w:val="center" w:pos="4153"/>
          <w:tab w:val="right" w:pos="8306"/>
        </w:tabs>
        <w:rPr>
          <w:i/>
          <w:szCs w:val="22"/>
          <w:u w:val="single"/>
        </w:rPr>
      </w:pPr>
      <w:r w:rsidRPr="000D6942">
        <w:rPr>
          <w:i/>
          <w:szCs w:val="22"/>
          <w:u w:val="single"/>
        </w:rPr>
        <w:t>Moters sveikata</w:t>
      </w:r>
    </w:p>
    <w:p w14:paraId="644081B4" w14:textId="77777777" w:rsidR="004C2CCC" w:rsidRPr="000D6942" w:rsidRDefault="004C2CCC" w:rsidP="00CF38FA">
      <w:pPr>
        <w:tabs>
          <w:tab w:val="center" w:pos="4153"/>
          <w:tab w:val="right" w:pos="8306"/>
        </w:tabs>
        <w:rPr>
          <w:szCs w:val="22"/>
        </w:rPr>
      </w:pPr>
    </w:p>
    <w:p w14:paraId="19BCB301" w14:textId="77777777" w:rsidR="004C2CCC" w:rsidRPr="000D6942" w:rsidRDefault="004C2CCC" w:rsidP="00CF38FA">
      <w:pPr>
        <w:tabs>
          <w:tab w:val="center" w:pos="4153"/>
          <w:tab w:val="right" w:pos="8306"/>
        </w:tabs>
        <w:rPr>
          <w:i/>
          <w:szCs w:val="22"/>
        </w:rPr>
      </w:pPr>
      <w:r w:rsidRPr="000D6942">
        <w:rPr>
          <w:i/>
          <w:szCs w:val="22"/>
        </w:rPr>
        <w:t>Laikotarpis po gimdymo</w:t>
      </w:r>
    </w:p>
    <w:p w14:paraId="772BF451" w14:textId="0E8EC3DB" w:rsidR="004C2CCC" w:rsidRPr="000D6942" w:rsidRDefault="004C2CCC" w:rsidP="00EA27D9">
      <w:pPr>
        <w:rPr>
          <w:szCs w:val="22"/>
        </w:rPr>
      </w:pPr>
      <w:r w:rsidRPr="000D6942">
        <w:rPr>
          <w:szCs w:val="22"/>
        </w:rPr>
        <w:t xml:space="preserve">Atvirojo atsitiktinės imties pakankamumo tyrimo VIT-IV-CL-009 metu buvo palygintas Ferinject (n=227) ir geležies sulfato (n=117) veiksmingumas moterims, sergančioms postnataline anemija. 12 savaičių vienai tiriamųjų grupei buvo skiriamos Ferinject dozės, ne daugiau kaip po 1000 mg geležies kiekvienoje, kol buvo pasiekta </w:t>
      </w:r>
      <w:r w:rsidRPr="000D6942">
        <w:rPr>
          <w:szCs w:val="22"/>
        </w:rPr>
        <w:lastRenderedPageBreak/>
        <w:t xml:space="preserve">individualiai apskaičiuota (remiantis Ganzoni formule) bendra geležies doze, o kitai tiriamųjų grupei buvo skiriama 100 mg geležies geriamojo geležies sulfato BID pavidalu. </w:t>
      </w:r>
      <w:r w:rsidR="00EA27D9" w:rsidRPr="000D6942">
        <w:rPr>
          <w:szCs w:val="22"/>
        </w:rPr>
        <w:t>Tiriamosios</w:t>
      </w:r>
      <w:r w:rsidRPr="000D6942">
        <w:rPr>
          <w:szCs w:val="22"/>
        </w:rPr>
        <w:t xml:space="preserve"> buvo stebimos 12 savaičių. Vidutinis Hb pokytis per 12 savaičių nuo tyrimo pradžios Ferinject grupėje buvo 3, 37 g/dL (n=179; vidutinė bendra geležies dozė: 1,347 mg), o geležies sulfatą vartojusiųjų grupėje – 3,29 g/dL (n=89). Rezultatai parodė, kad abu gydymo metodai lygiaverčiai.</w:t>
      </w:r>
    </w:p>
    <w:p w14:paraId="6C48C826" w14:textId="77777777" w:rsidR="004C2CCC" w:rsidRPr="000D6942" w:rsidRDefault="004C2CCC" w:rsidP="0087234B">
      <w:pPr>
        <w:pStyle w:val="Porat"/>
        <w:rPr>
          <w:lang w:val="lt-LT"/>
        </w:rPr>
      </w:pPr>
    </w:p>
    <w:p w14:paraId="3F335C41" w14:textId="77777777" w:rsidR="00EA27D9" w:rsidRPr="000D6942" w:rsidRDefault="00EA27D9" w:rsidP="00EA27D9">
      <w:pPr>
        <w:pStyle w:val="HeadingEmphasis"/>
        <w:rPr>
          <w:rFonts w:cs="Times New Roman"/>
          <w:lang w:val="lt-LT"/>
        </w:rPr>
      </w:pPr>
      <w:r w:rsidRPr="000D6942">
        <w:rPr>
          <w:rFonts w:cs="Times New Roman"/>
          <w:lang w:val="lt-LT"/>
        </w:rPr>
        <w:t>Nėštumas</w:t>
      </w:r>
    </w:p>
    <w:p w14:paraId="30670C98" w14:textId="77777777" w:rsidR="00372DA6" w:rsidRPr="000D6942" w:rsidRDefault="004F2131" w:rsidP="00EA27D9">
      <w:pPr>
        <w:rPr>
          <w:szCs w:val="22"/>
          <w:lang w:eastAsia="lt-LT"/>
        </w:rPr>
      </w:pPr>
      <w:r w:rsidRPr="000D6942">
        <w:rPr>
          <w:szCs w:val="22"/>
          <w:lang w:eastAsia="lt-LT"/>
        </w:rPr>
        <w:t>Į veną leidžiamų geležies preparatų nėštumo metu nepatartina vartoti, išskyrus atvejus, kai tai tikrai būtina. Ferinject galima vartoti antrąjį ir trečiąjį nėštumo trimestrus, jeigu manoma, kad nauda motinai ir vaisiui viršija galimą riziką, žr. 4.6 skyrių.</w:t>
      </w:r>
    </w:p>
    <w:p w14:paraId="7C5AFB08" w14:textId="77777777" w:rsidR="004F2131" w:rsidRPr="000D6942" w:rsidRDefault="004F2131" w:rsidP="00EA27D9"/>
    <w:p w14:paraId="495D5D9D" w14:textId="1BFFC1D8" w:rsidR="00EA27D9" w:rsidRPr="000D6942" w:rsidRDefault="004F2131" w:rsidP="00EA27D9">
      <w:r w:rsidRPr="000D6942">
        <w:rPr>
          <w:szCs w:val="22"/>
          <w:lang w:eastAsia="lt-LT"/>
        </w:rPr>
        <w:t>Atlikus tyrimą FER­ASAP­2009­01,</w:t>
      </w:r>
      <w:r w:rsidR="00372DA6" w:rsidRPr="000D6942">
        <w:t xml:space="preserve"> </w:t>
      </w:r>
      <w:r w:rsidR="00EA27D9" w:rsidRPr="000D6942">
        <w:t>atsitiktinių imčių, atvir</w:t>
      </w:r>
      <w:r w:rsidRPr="000D6942">
        <w:t>ą</w:t>
      </w:r>
      <w:r w:rsidR="00EA27D9" w:rsidRPr="000D6942">
        <w:t>, 2 grupių tyrim</w:t>
      </w:r>
      <w:r w:rsidRPr="000D6942">
        <w:t>ą</w:t>
      </w:r>
      <w:r w:rsidR="00EA27D9" w:rsidRPr="000D6942">
        <w:t>, kuriame lygintas Ferinject (n = 121) ir geriamojo geležies sulfato (n = 115) poveikis geležies trūkumo sukelta anemija sergančioms nėščioms moterims, kurioms prasidėjo antras arba trečias trimestras, per 12 savaičių gydymo laikotarpį</w:t>
      </w:r>
      <w:r w:rsidRPr="000D6942">
        <w:rPr>
          <w:szCs w:val="22"/>
          <w:lang w:eastAsia="lt-LT"/>
        </w:rPr>
        <w:t>, gautas ribotas duom</w:t>
      </w:r>
      <w:r w:rsidRPr="000D6942">
        <w:t>e</w:t>
      </w:r>
      <w:r w:rsidRPr="000D6942">
        <w:rPr>
          <w:szCs w:val="22"/>
          <w:lang w:eastAsia="lt-LT"/>
        </w:rPr>
        <w:t>nų kiekis</w:t>
      </w:r>
      <w:r w:rsidR="00EA27D9" w:rsidRPr="000D6942">
        <w:t>. Tiriamosioms buvo sušvirkšta Ferinject, kurio kumuliacinė dozė buvo 1000 mg arba 1500 mg geležies (vidutinė kumuliacinė dozė: 1029 mg geležies), vadovaujantis per atranką nustatytu pradiniu Hb kiekiu ir kūno svoriu, arba 100 mg geriam</w:t>
      </w:r>
      <w:r w:rsidR="00C15802" w:rsidRPr="000D6942">
        <w:t>ųjų</w:t>
      </w:r>
      <w:r w:rsidR="00EA27D9" w:rsidRPr="000D6942">
        <w:t xml:space="preserve"> geležies preparat</w:t>
      </w:r>
      <w:r w:rsidR="00C15802" w:rsidRPr="000D6942">
        <w:t>ų</w:t>
      </w:r>
      <w:r w:rsidR="00EA27D9" w:rsidRPr="000D6942">
        <w:t xml:space="preserve"> du kartus per parą 12 savaičių. Pasireiškusių </w:t>
      </w:r>
      <w:r w:rsidR="00C15802" w:rsidRPr="000D6942">
        <w:t xml:space="preserve">su gydymu susijusių </w:t>
      </w:r>
      <w:r w:rsidR="00EA27D9" w:rsidRPr="000D6942">
        <w:t xml:space="preserve">nepageidaujamų reiškinių dažnis buvo panašus ir Ferinject, ir geriamaisiais geležies preparatais gydytų moterų grupėse. </w:t>
      </w:r>
      <w:r w:rsidR="00C15802" w:rsidRPr="000D6942">
        <w:rPr>
          <w:bCs/>
          <w:iCs/>
          <w:szCs w:val="22"/>
        </w:rPr>
        <w:t>(11,4 % Ferinject grupėje; 15,3 % geriamos</w:t>
      </w:r>
      <w:r w:rsidR="00F76DB3" w:rsidRPr="000D6942">
        <w:rPr>
          <w:bCs/>
          <w:iCs/>
          <w:szCs w:val="22"/>
        </w:rPr>
        <w:t>ios</w:t>
      </w:r>
      <w:r w:rsidR="00C15802" w:rsidRPr="000D6942">
        <w:rPr>
          <w:bCs/>
          <w:iCs/>
          <w:szCs w:val="22"/>
        </w:rPr>
        <w:t xml:space="preserve"> geležies grupėje). </w:t>
      </w:r>
      <w:r w:rsidR="00836C88" w:rsidRPr="000D6942">
        <w:rPr>
          <w:bCs/>
          <w:iCs/>
          <w:szCs w:val="22"/>
        </w:rPr>
        <w:t>Dažniausi su gy</w:t>
      </w:r>
      <w:r w:rsidR="00B853F3" w:rsidRPr="000D6942">
        <w:rPr>
          <w:bCs/>
          <w:iCs/>
          <w:szCs w:val="22"/>
        </w:rPr>
        <w:t>d</w:t>
      </w:r>
      <w:r w:rsidR="00836C88" w:rsidRPr="000D6942">
        <w:rPr>
          <w:bCs/>
          <w:iCs/>
          <w:szCs w:val="22"/>
        </w:rPr>
        <w:t>ymu susiję nepageidaujami reiškiniai buvo pykinimas, skausmas viršutinėje pilvo dalyje ir galvos skausmas</w:t>
      </w:r>
      <w:r w:rsidR="00C15802" w:rsidRPr="000D6942">
        <w:rPr>
          <w:szCs w:val="22"/>
        </w:rPr>
        <w:t>.</w:t>
      </w:r>
      <w:r w:rsidR="00836C88" w:rsidRPr="000D6942">
        <w:rPr>
          <w:szCs w:val="22"/>
        </w:rPr>
        <w:t xml:space="preserve"> </w:t>
      </w:r>
      <w:r w:rsidR="00EA27D9" w:rsidRPr="000D6942">
        <w:t>Naujagimių Apgar testo rezultatai, taip pat naujagimių geležies rodikliai buvo panašūs abiejose tiriamųjų grupėse.</w:t>
      </w:r>
    </w:p>
    <w:p w14:paraId="1DDD25AE" w14:textId="77777777" w:rsidR="00EA27D9" w:rsidRPr="000D6942" w:rsidRDefault="00EA27D9" w:rsidP="0087234B">
      <w:pPr>
        <w:pStyle w:val="Porat"/>
        <w:rPr>
          <w:lang w:val="lt-LT"/>
        </w:rPr>
      </w:pPr>
    </w:p>
    <w:p w14:paraId="47FB4F4A" w14:textId="77777777" w:rsidR="00785024" w:rsidRPr="000D6942" w:rsidRDefault="00785024" w:rsidP="00CF38FA">
      <w:pPr>
        <w:pStyle w:val="Porat"/>
        <w:rPr>
          <w:b/>
          <w:bCs/>
          <w:sz w:val="22"/>
          <w:szCs w:val="22"/>
          <w:lang w:val="lt-LT"/>
        </w:rPr>
      </w:pPr>
      <w:r w:rsidRPr="000D6942">
        <w:rPr>
          <w:b/>
          <w:bCs/>
          <w:sz w:val="22"/>
          <w:szCs w:val="22"/>
          <w:lang w:val="lt-LT"/>
        </w:rPr>
        <w:t>Feritino stebėjimas po pakaitinės terapijos</w:t>
      </w:r>
    </w:p>
    <w:p w14:paraId="0F1DA3E0" w14:textId="77777777" w:rsidR="00785024" w:rsidRPr="000D6942" w:rsidRDefault="00785024" w:rsidP="00CF38FA">
      <w:pPr>
        <w:pStyle w:val="Porat"/>
        <w:rPr>
          <w:color w:val="auto"/>
          <w:sz w:val="22"/>
          <w:szCs w:val="22"/>
          <w:lang w:val="lt-LT"/>
        </w:rPr>
      </w:pPr>
      <w:r w:rsidRPr="000D6942">
        <w:rPr>
          <w:color w:val="auto"/>
          <w:sz w:val="22"/>
          <w:szCs w:val="22"/>
          <w:lang w:val="lt-LT"/>
        </w:rPr>
        <w:t>Yra nedaug duomenų, gautų atlikus tyrimą VIT-IV-CL-008, per kurį nustatyta, kad feritino koncentracija praėjus 2–4 savaitėms po pakaitinės terapijos staigiai sumažėja, o vėliau mažėja kur kas lėčiau. Per 12 savaičių trukmės stebėjimo tyrimą vidutinė feritino koncentracija nesumažėjo iki koncentracijos, kuriai esant reikėtų apsvarstyti pakartotinio gydymo galimybę. Todėl, remiantis turimais duomenimis, optimalus pakartotinio feritino koncentracijos tyrimo laikas nėra aiškus, nors nustatyta, kad feritino koncentraciją vertinti anksčiau nei praėjus 4 savaitėms po pakaitinės terapijos yra per anksti. Todėl rekomenduojama, kad tolesnį pakartotinį feritino koncentracijos vertinimą gydytojas atliktų atsižvelgdamas į konkretaus paciento būklę.</w:t>
      </w:r>
    </w:p>
    <w:p w14:paraId="7F24819E" w14:textId="77777777" w:rsidR="00785024" w:rsidRPr="000D6942" w:rsidRDefault="00785024" w:rsidP="00CF38FA">
      <w:pPr>
        <w:pStyle w:val="Porat"/>
        <w:rPr>
          <w:color w:val="auto"/>
          <w:sz w:val="22"/>
          <w:szCs w:val="22"/>
          <w:lang w:val="lt-LT"/>
        </w:rPr>
      </w:pPr>
    </w:p>
    <w:p w14:paraId="368D81E9" w14:textId="77777777" w:rsidR="004C2CCC" w:rsidRPr="000D6942" w:rsidRDefault="004C2CCC" w:rsidP="00CF38FA">
      <w:pPr>
        <w:ind w:left="540" w:hanging="540"/>
        <w:rPr>
          <w:b/>
          <w:szCs w:val="22"/>
        </w:rPr>
      </w:pPr>
      <w:r w:rsidRPr="000D6942">
        <w:rPr>
          <w:b/>
          <w:szCs w:val="22"/>
        </w:rPr>
        <w:t>5.2</w:t>
      </w:r>
      <w:r w:rsidRPr="000D6942">
        <w:rPr>
          <w:b/>
          <w:szCs w:val="22"/>
        </w:rPr>
        <w:tab/>
        <w:t>Farmakokinetinės savybės</w:t>
      </w:r>
    </w:p>
    <w:p w14:paraId="6DBD96B1" w14:textId="77777777" w:rsidR="004C2CCC" w:rsidRPr="000D6942" w:rsidRDefault="004C2CCC" w:rsidP="00CF38FA">
      <w:pPr>
        <w:rPr>
          <w:szCs w:val="22"/>
        </w:rPr>
      </w:pPr>
    </w:p>
    <w:p w14:paraId="1D4AF658" w14:textId="77777777" w:rsidR="004C2CCC" w:rsidRPr="000D6942" w:rsidRDefault="004C2CCC" w:rsidP="00CF38FA">
      <w:pPr>
        <w:rPr>
          <w:szCs w:val="22"/>
        </w:rPr>
      </w:pPr>
      <w:r w:rsidRPr="000D6942">
        <w:rPr>
          <w:szCs w:val="22"/>
        </w:rPr>
        <w:t xml:space="preserve">Pozitronų emisijos tomografija (PET) parodė, kad </w:t>
      </w:r>
      <w:r w:rsidRPr="000D6942">
        <w:rPr>
          <w:szCs w:val="22"/>
          <w:vertAlign w:val="superscript"/>
        </w:rPr>
        <w:t>59</w:t>
      </w:r>
      <w:r w:rsidRPr="000D6942">
        <w:rPr>
          <w:szCs w:val="22"/>
        </w:rPr>
        <w:t xml:space="preserve">Fe ir </w:t>
      </w:r>
      <w:r w:rsidRPr="000D6942">
        <w:rPr>
          <w:szCs w:val="22"/>
          <w:vertAlign w:val="superscript"/>
        </w:rPr>
        <w:t>52</w:t>
      </w:r>
      <w:r w:rsidRPr="000D6942">
        <w:rPr>
          <w:szCs w:val="22"/>
        </w:rPr>
        <w:t>Fe iš Ferinject greitai pasišalino iš kraujo, pateko į kaulų čiulpus ir kaupėsi kepenyse bei blužnyje.</w:t>
      </w:r>
    </w:p>
    <w:p w14:paraId="5FD952FA" w14:textId="77777777" w:rsidR="004C2CCC" w:rsidRPr="000D6942" w:rsidRDefault="004C2CCC" w:rsidP="00CF38FA">
      <w:pPr>
        <w:rPr>
          <w:szCs w:val="22"/>
        </w:rPr>
      </w:pPr>
    </w:p>
    <w:p w14:paraId="2F5125D3" w14:textId="0B636A3D" w:rsidR="004C2CCC" w:rsidRPr="000D6942" w:rsidRDefault="004C2CCC" w:rsidP="00D055E0">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 xml:space="preserve">Skyrus vienkartinę nuo 100 iki 1000 mg geležies Ferinject dozę </w:t>
      </w:r>
      <w:r w:rsidR="00D055E0" w:rsidRPr="000D6942">
        <w:rPr>
          <w:rFonts w:ascii="Times New Roman" w:hAnsi="Times New Roman"/>
          <w:color w:val="auto"/>
          <w:sz w:val="22"/>
          <w:szCs w:val="22"/>
          <w:lang w:val="lt-LT"/>
        </w:rPr>
        <w:t>tiriamiesiems</w:t>
      </w:r>
      <w:r w:rsidRPr="000D6942">
        <w:rPr>
          <w:rFonts w:ascii="Times New Roman" w:hAnsi="Times New Roman"/>
          <w:color w:val="auto"/>
          <w:sz w:val="22"/>
          <w:szCs w:val="22"/>
          <w:lang w:val="lt-LT"/>
        </w:rPr>
        <w:t>, kuriems buvo geležies trūkumas, praėjus nuo 15 minučių iki 1,21 valandos, buvo pastebėtas atitinkamai nuo 37 µg/ml iki 333 µg/ml maksimalus bendras geležies kiekis serume. Centrinis pasiskirstymo tūris atitinka plazmos tūrį (maždaug 3 litrai).</w:t>
      </w:r>
    </w:p>
    <w:p w14:paraId="5724E3CC" w14:textId="77777777" w:rsidR="004C2CCC" w:rsidRPr="000D6942" w:rsidRDefault="004C2CCC" w:rsidP="0087234B">
      <w:pPr>
        <w:rPr>
          <w:szCs w:val="22"/>
        </w:rPr>
      </w:pPr>
    </w:p>
    <w:p w14:paraId="3D43E246" w14:textId="77777777"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Injekcijomis ar infuzijomis vartojama geležis buvo greitai pašalinta iš plazmos, galutinis pusinės eliminacijos periodas svyravo nuo 7 iki 12 valandų, vidutinis buvimo kraujyje laikas (MRT) – nuo 11 iki 18 valandų. Geležies išsiskyrimas per inkstus buvo nežymus.</w:t>
      </w:r>
    </w:p>
    <w:p w14:paraId="704C771C" w14:textId="77777777" w:rsidR="004C2CCC" w:rsidRPr="000D6942" w:rsidRDefault="004C2CCC" w:rsidP="00CF38FA">
      <w:pPr>
        <w:pStyle w:val="Pagrindinistekstas2"/>
        <w:ind w:left="0"/>
        <w:rPr>
          <w:rFonts w:ascii="Times New Roman" w:hAnsi="Times New Roman"/>
          <w:color w:val="auto"/>
          <w:sz w:val="22"/>
          <w:szCs w:val="22"/>
          <w:lang w:val="lt-LT"/>
        </w:rPr>
      </w:pPr>
    </w:p>
    <w:p w14:paraId="40826BA7" w14:textId="77777777" w:rsidR="004C2CCC" w:rsidRPr="000D6942" w:rsidRDefault="004C2CCC" w:rsidP="00CF38FA">
      <w:pPr>
        <w:numPr>
          <w:ilvl w:val="1"/>
          <w:numId w:val="4"/>
        </w:numPr>
        <w:tabs>
          <w:tab w:val="clear" w:pos="720"/>
          <w:tab w:val="num" w:pos="540"/>
        </w:tabs>
        <w:ind w:left="0" w:firstLine="0"/>
        <w:rPr>
          <w:b/>
          <w:szCs w:val="22"/>
        </w:rPr>
      </w:pPr>
      <w:r w:rsidRPr="000D6942">
        <w:rPr>
          <w:b/>
          <w:szCs w:val="22"/>
        </w:rPr>
        <w:t>Ikiklinikinių saugumo tyrimų duomenys</w:t>
      </w:r>
    </w:p>
    <w:p w14:paraId="6668B085" w14:textId="77777777" w:rsidR="004C2CCC" w:rsidRPr="000D6942" w:rsidRDefault="004C2CCC" w:rsidP="00CF38FA">
      <w:pPr>
        <w:rPr>
          <w:b/>
          <w:szCs w:val="22"/>
        </w:rPr>
      </w:pPr>
    </w:p>
    <w:p w14:paraId="5948C9C3" w14:textId="098F8155" w:rsidR="004C2CCC" w:rsidRPr="000D6942" w:rsidRDefault="004C2CCC" w:rsidP="00CF38FA">
      <w:pPr>
        <w:rPr>
          <w:szCs w:val="22"/>
        </w:rPr>
      </w:pPr>
      <w:r w:rsidRPr="000D6942">
        <w:rPr>
          <w:szCs w:val="22"/>
        </w:rPr>
        <w:t xml:space="preserve">Įprastų farmakologinio saugumo, kartotinių dozių toksiškumo ir genotoksiškumo ikiklinikinių tyrimų duomenys specifinio pavojaus žmogui nerodo. Ikiklinikiniai tyrimai rodo, kad geležis iš Ferinject prasiskverbia per placentą ir nedideliais, kontroliuojamais kiekiais patenka į pieną. Toksikologinio poveikio reprodukcijai tyrimuose su triušiais, kurių organizme buvo pakankamai geležies, Ferinject vartojimas buvo susijęs su nedidelėmis vaisių skeleto anomalijomis. Vaisingumo tyrime su žiurkėmis poveikio vaisingumui nebuvo nei žiurkių patinams, nei patelėms. Ilgalaikių tyrimų su gyvūnais, įvertinančių kancerogeninį Ferinject poveikį, neatlikta. Duomenų apie alerginį ar imunotoksinį Ferinject poveikį nėra. Kontroliuojamas </w:t>
      </w:r>
      <w:r w:rsidRPr="000D6942">
        <w:rPr>
          <w:i/>
          <w:szCs w:val="22"/>
        </w:rPr>
        <w:t>in vivo</w:t>
      </w:r>
      <w:r w:rsidRPr="000D6942">
        <w:rPr>
          <w:szCs w:val="22"/>
        </w:rPr>
        <w:t xml:space="preserve"> tyrimas neparodė Ferinject kryžminio reaktyvumo su prieš dekstraną veikiančiais antikūnais. Po Ferinject vartojimo į veną, vietinio sudirginimo ar netoleravimo nepastebėta.</w:t>
      </w:r>
    </w:p>
    <w:p w14:paraId="587129CF" w14:textId="77777777" w:rsidR="004C2CCC" w:rsidRPr="000D6942" w:rsidRDefault="004C2CCC" w:rsidP="00CF38FA">
      <w:pPr>
        <w:rPr>
          <w:szCs w:val="22"/>
        </w:rPr>
      </w:pPr>
    </w:p>
    <w:p w14:paraId="085DE097" w14:textId="77777777" w:rsidR="004C2CCC" w:rsidRPr="000D6942" w:rsidRDefault="004C2CCC" w:rsidP="00CF38FA">
      <w:pPr>
        <w:rPr>
          <w:szCs w:val="22"/>
        </w:rPr>
      </w:pPr>
    </w:p>
    <w:p w14:paraId="147DB409" w14:textId="77777777" w:rsidR="004C2CCC" w:rsidRPr="000D6942" w:rsidRDefault="004C2CCC" w:rsidP="00CF38FA">
      <w:pPr>
        <w:ind w:left="540" w:hanging="540"/>
        <w:rPr>
          <w:b/>
          <w:caps/>
          <w:szCs w:val="22"/>
        </w:rPr>
      </w:pPr>
      <w:r w:rsidRPr="000D6942">
        <w:rPr>
          <w:b/>
          <w:caps/>
          <w:szCs w:val="22"/>
        </w:rPr>
        <w:t>6.</w:t>
      </w:r>
      <w:r w:rsidRPr="000D6942">
        <w:rPr>
          <w:b/>
          <w:caps/>
          <w:szCs w:val="22"/>
        </w:rPr>
        <w:tab/>
        <w:t>farmacinė informacija</w:t>
      </w:r>
    </w:p>
    <w:p w14:paraId="35707312" w14:textId="77777777" w:rsidR="004C2CCC" w:rsidRPr="000D6942" w:rsidRDefault="004C2CCC" w:rsidP="00CF38FA">
      <w:pPr>
        <w:rPr>
          <w:szCs w:val="22"/>
        </w:rPr>
      </w:pPr>
    </w:p>
    <w:p w14:paraId="35FB3D0D" w14:textId="77777777" w:rsidR="004C2CCC" w:rsidRPr="000D6942" w:rsidRDefault="004C2CCC" w:rsidP="00CF38FA">
      <w:pPr>
        <w:ind w:left="540" w:hanging="540"/>
        <w:rPr>
          <w:b/>
          <w:szCs w:val="22"/>
        </w:rPr>
      </w:pPr>
      <w:r w:rsidRPr="000D6942">
        <w:rPr>
          <w:b/>
          <w:szCs w:val="22"/>
        </w:rPr>
        <w:t>6.1</w:t>
      </w:r>
      <w:r w:rsidRPr="000D6942">
        <w:rPr>
          <w:b/>
          <w:szCs w:val="22"/>
        </w:rPr>
        <w:tab/>
        <w:t>Pagalbinių medžiagų sąrašas</w:t>
      </w:r>
    </w:p>
    <w:p w14:paraId="0261E874" w14:textId="77777777" w:rsidR="004C2CCC" w:rsidRPr="000D6942" w:rsidRDefault="004C2CCC" w:rsidP="00CF38FA">
      <w:pPr>
        <w:rPr>
          <w:szCs w:val="22"/>
        </w:rPr>
      </w:pPr>
    </w:p>
    <w:p w14:paraId="011F5D9F" w14:textId="77777777" w:rsidR="004C2CCC" w:rsidRPr="000D6942" w:rsidRDefault="004C2CCC" w:rsidP="00CF38FA">
      <w:pPr>
        <w:rPr>
          <w:szCs w:val="22"/>
        </w:rPr>
      </w:pPr>
      <w:r w:rsidRPr="000D6942">
        <w:rPr>
          <w:szCs w:val="22"/>
        </w:rPr>
        <w:t>Natrio hidroksidas (pH reguliuoti)</w:t>
      </w:r>
    </w:p>
    <w:p w14:paraId="2B574813" w14:textId="77777777" w:rsidR="004C2CCC" w:rsidRPr="000D6942" w:rsidRDefault="004C2CCC" w:rsidP="00CF38FA">
      <w:pPr>
        <w:rPr>
          <w:szCs w:val="22"/>
        </w:rPr>
      </w:pPr>
      <w:r w:rsidRPr="000D6942">
        <w:rPr>
          <w:szCs w:val="22"/>
        </w:rPr>
        <w:t>Vandenilio chlorido rūgštis (pH reguliuoti)</w:t>
      </w:r>
    </w:p>
    <w:p w14:paraId="4E74CAED" w14:textId="77777777" w:rsidR="004C2CCC" w:rsidRPr="000D6942" w:rsidRDefault="004C2CCC" w:rsidP="00CF38FA">
      <w:pPr>
        <w:rPr>
          <w:szCs w:val="22"/>
        </w:rPr>
      </w:pPr>
      <w:r w:rsidRPr="000D6942">
        <w:rPr>
          <w:szCs w:val="22"/>
        </w:rPr>
        <w:t>Injekcinis vanduo</w:t>
      </w:r>
    </w:p>
    <w:p w14:paraId="7199BE83" w14:textId="77777777" w:rsidR="004C2CCC" w:rsidRPr="000D6942" w:rsidRDefault="004C2CCC" w:rsidP="00CF38FA">
      <w:pPr>
        <w:rPr>
          <w:szCs w:val="22"/>
        </w:rPr>
      </w:pPr>
    </w:p>
    <w:p w14:paraId="322E8E51" w14:textId="77777777" w:rsidR="004C2CCC" w:rsidRPr="000D6942" w:rsidRDefault="004C2CCC" w:rsidP="00CF38FA">
      <w:pPr>
        <w:ind w:left="540" w:hanging="540"/>
        <w:rPr>
          <w:b/>
          <w:szCs w:val="22"/>
        </w:rPr>
      </w:pPr>
      <w:r w:rsidRPr="000D6942">
        <w:rPr>
          <w:b/>
          <w:szCs w:val="22"/>
        </w:rPr>
        <w:t>6.2</w:t>
      </w:r>
      <w:r w:rsidRPr="000D6942">
        <w:rPr>
          <w:b/>
          <w:szCs w:val="22"/>
        </w:rPr>
        <w:tab/>
        <w:t>Nesuderinamumas</w:t>
      </w:r>
    </w:p>
    <w:p w14:paraId="3F169477" w14:textId="77777777" w:rsidR="004C2CCC" w:rsidRPr="000D6942" w:rsidRDefault="004C2CCC" w:rsidP="00CF38FA">
      <w:pPr>
        <w:rPr>
          <w:szCs w:val="22"/>
        </w:rPr>
      </w:pPr>
    </w:p>
    <w:p w14:paraId="604A674E" w14:textId="77777777" w:rsidR="00CF38FA" w:rsidRPr="000D6942" w:rsidRDefault="004C2CCC" w:rsidP="00CF38FA">
      <w:pPr>
        <w:rPr>
          <w:szCs w:val="22"/>
        </w:rPr>
      </w:pPr>
      <w:r w:rsidRPr="000D6942">
        <w:rPr>
          <w:szCs w:val="22"/>
        </w:rPr>
        <w:t>Šio vaistinio preparato negalima maišyti su kitais, išskyrus nurodytus 6.6 skyriuje.</w:t>
      </w:r>
    </w:p>
    <w:p w14:paraId="2169FF84" w14:textId="77777777" w:rsidR="004C2CCC" w:rsidRPr="000D6942" w:rsidRDefault="004C2CCC" w:rsidP="00CF38FA">
      <w:pPr>
        <w:rPr>
          <w:szCs w:val="22"/>
        </w:rPr>
      </w:pPr>
    </w:p>
    <w:p w14:paraId="7A7C3F2B" w14:textId="77777777" w:rsidR="004C2CCC" w:rsidRPr="000D6942" w:rsidRDefault="004C2CCC" w:rsidP="00CF38FA">
      <w:pPr>
        <w:rPr>
          <w:szCs w:val="22"/>
          <w:u w:val="single"/>
        </w:rPr>
      </w:pPr>
      <w:r w:rsidRPr="000D6942">
        <w:rPr>
          <w:szCs w:val="22"/>
        </w:rPr>
        <w:t>Suderinamumas su talpyklėmis, išskyrus pagamintas iš polietileno ir stiklo, nežinomas.</w:t>
      </w:r>
    </w:p>
    <w:p w14:paraId="0B905B1F" w14:textId="77777777" w:rsidR="004C2CCC" w:rsidRPr="000D6942" w:rsidRDefault="004C2CCC" w:rsidP="00CF38FA">
      <w:pPr>
        <w:rPr>
          <w:szCs w:val="22"/>
        </w:rPr>
      </w:pPr>
    </w:p>
    <w:p w14:paraId="3C046989" w14:textId="77777777" w:rsidR="004C2CCC" w:rsidRPr="000D6942" w:rsidRDefault="004C2CCC" w:rsidP="00CF38FA">
      <w:pPr>
        <w:ind w:left="540" w:hanging="540"/>
        <w:rPr>
          <w:b/>
          <w:szCs w:val="22"/>
        </w:rPr>
      </w:pPr>
      <w:r w:rsidRPr="000D6942">
        <w:rPr>
          <w:b/>
          <w:szCs w:val="22"/>
        </w:rPr>
        <w:t>6.3</w:t>
      </w:r>
      <w:r w:rsidRPr="000D6942">
        <w:rPr>
          <w:b/>
          <w:szCs w:val="22"/>
        </w:rPr>
        <w:tab/>
        <w:t>Tinkamumo laikas</w:t>
      </w:r>
    </w:p>
    <w:p w14:paraId="10518C3B" w14:textId="77777777" w:rsidR="004C2CCC" w:rsidRPr="000D6942" w:rsidRDefault="004C2CCC" w:rsidP="00CF38FA">
      <w:pPr>
        <w:rPr>
          <w:szCs w:val="22"/>
        </w:rPr>
      </w:pPr>
    </w:p>
    <w:p w14:paraId="237D76A5" w14:textId="77777777" w:rsidR="004C2CCC" w:rsidRPr="000D6942" w:rsidRDefault="004C2CCC" w:rsidP="00CF38FA">
      <w:pPr>
        <w:pStyle w:val="Pagrindiniotekstotrauka"/>
        <w:keepNext w:val="0"/>
        <w:ind w:left="0"/>
        <w:rPr>
          <w:rFonts w:ascii="Times New Roman" w:hAnsi="Times New Roman"/>
          <w:b w:val="0"/>
          <w:color w:val="auto"/>
          <w:sz w:val="22"/>
          <w:szCs w:val="22"/>
          <w:lang w:val="lt-LT"/>
        </w:rPr>
      </w:pPr>
      <w:r w:rsidRPr="000D6942">
        <w:rPr>
          <w:rFonts w:ascii="Times New Roman" w:hAnsi="Times New Roman"/>
          <w:b w:val="0"/>
          <w:color w:val="auto"/>
          <w:sz w:val="22"/>
          <w:szCs w:val="22"/>
          <w:lang w:val="lt-LT"/>
        </w:rPr>
        <w:t>Supakuoto pardavimui preparato tinkamumo laikas:</w:t>
      </w:r>
    </w:p>
    <w:p w14:paraId="1F3D6F29" w14:textId="77777777" w:rsidR="004C2CCC" w:rsidRPr="000D6942" w:rsidRDefault="004C2CCC" w:rsidP="00CF38FA">
      <w:pPr>
        <w:pStyle w:val="Pagrindinistekstas2"/>
        <w:ind w:left="0"/>
        <w:rPr>
          <w:rFonts w:ascii="Times New Roman" w:hAnsi="Times New Roman"/>
          <w:color w:val="auto"/>
          <w:sz w:val="22"/>
          <w:szCs w:val="22"/>
          <w:lang w:val="lt-LT"/>
        </w:rPr>
      </w:pPr>
      <w:r w:rsidRPr="000D6942">
        <w:rPr>
          <w:rFonts w:ascii="Times New Roman" w:hAnsi="Times New Roman"/>
          <w:color w:val="auto"/>
          <w:sz w:val="22"/>
          <w:szCs w:val="22"/>
          <w:lang w:val="lt-LT"/>
        </w:rPr>
        <w:t>3 metai.</w:t>
      </w:r>
    </w:p>
    <w:p w14:paraId="12DE3BDC" w14:textId="77777777" w:rsidR="004C2CCC" w:rsidRPr="000D6942" w:rsidRDefault="004C2CCC" w:rsidP="00CF38FA">
      <w:pPr>
        <w:rPr>
          <w:szCs w:val="22"/>
        </w:rPr>
      </w:pPr>
    </w:p>
    <w:p w14:paraId="72AB10BB" w14:textId="77777777" w:rsidR="004C2CCC" w:rsidRPr="000D6942" w:rsidRDefault="004C2CCC" w:rsidP="00CF38FA">
      <w:pPr>
        <w:pStyle w:val="Pagrindinistekstas2"/>
        <w:ind w:left="0"/>
        <w:rPr>
          <w:rFonts w:ascii="Times New Roman" w:hAnsi="Times New Roman"/>
          <w:i/>
          <w:color w:val="auto"/>
          <w:sz w:val="22"/>
          <w:szCs w:val="22"/>
          <w:lang w:val="lt-LT"/>
        </w:rPr>
      </w:pPr>
      <w:r w:rsidRPr="000D6942">
        <w:rPr>
          <w:rFonts w:ascii="Times New Roman" w:hAnsi="Times New Roman"/>
          <w:i/>
          <w:color w:val="auto"/>
          <w:sz w:val="22"/>
          <w:szCs w:val="22"/>
          <w:lang w:val="lt-LT"/>
        </w:rPr>
        <w:t>Tinkamumo laikas pirmą kartą atidarius pakuotę:</w:t>
      </w:r>
    </w:p>
    <w:p w14:paraId="27ADBD69" w14:textId="77777777" w:rsidR="004C2CCC" w:rsidRPr="000D6942" w:rsidRDefault="004C2CCC" w:rsidP="00CF38FA">
      <w:pPr>
        <w:pStyle w:val="Pagrindinistekstas2"/>
        <w:ind w:left="0"/>
        <w:rPr>
          <w:rFonts w:ascii="Times New Roman" w:hAnsi="Times New Roman"/>
          <w:color w:val="auto"/>
          <w:sz w:val="22"/>
          <w:szCs w:val="22"/>
          <w:lang w:val="lt-LT"/>
        </w:rPr>
      </w:pPr>
      <w:bookmarkStart w:id="7" w:name="OLE_LINK1"/>
      <w:bookmarkStart w:id="8" w:name="OLE_LINK2"/>
      <w:r w:rsidRPr="000D6942">
        <w:rPr>
          <w:rFonts w:ascii="Times New Roman" w:hAnsi="Times New Roman"/>
          <w:color w:val="auto"/>
          <w:sz w:val="22"/>
          <w:szCs w:val="22"/>
          <w:lang w:val="lt-LT"/>
        </w:rPr>
        <w:t>Mikrobiologini</w:t>
      </w:r>
      <w:bookmarkEnd w:id="7"/>
      <w:bookmarkEnd w:id="8"/>
      <w:r w:rsidRPr="000D6942">
        <w:rPr>
          <w:rFonts w:ascii="Times New Roman" w:hAnsi="Times New Roman"/>
          <w:color w:val="auto"/>
          <w:sz w:val="22"/>
          <w:szCs w:val="22"/>
          <w:lang w:val="lt-LT"/>
        </w:rPr>
        <w:t>u požiūriu parenteraliai vartojami preparatai turi būti vartojami nedelsiant.</w:t>
      </w:r>
    </w:p>
    <w:p w14:paraId="4F483923" w14:textId="77777777" w:rsidR="004C2CCC" w:rsidRPr="000D6942" w:rsidRDefault="004C2CCC" w:rsidP="00CF38FA">
      <w:pPr>
        <w:rPr>
          <w:szCs w:val="22"/>
        </w:rPr>
      </w:pPr>
    </w:p>
    <w:p w14:paraId="20C4E54F" w14:textId="77777777" w:rsidR="004C2CCC" w:rsidRPr="000D6942" w:rsidRDefault="004C2CCC" w:rsidP="00CF38FA">
      <w:pPr>
        <w:pStyle w:val="Pagrindinistekstas3"/>
        <w:rPr>
          <w:rFonts w:ascii="Times New Roman" w:hAnsi="Times New Roman"/>
          <w:i/>
          <w:sz w:val="22"/>
          <w:szCs w:val="22"/>
          <w:lang w:val="lt-LT"/>
        </w:rPr>
      </w:pPr>
      <w:r w:rsidRPr="000D6942">
        <w:rPr>
          <w:rFonts w:ascii="Times New Roman" w:hAnsi="Times New Roman"/>
          <w:i/>
          <w:sz w:val="22"/>
          <w:szCs w:val="22"/>
          <w:lang w:val="lt-LT"/>
        </w:rPr>
        <w:t>Tinkamumo laikas praskiedus steriliu 0,9</w:t>
      </w:r>
      <w:r w:rsidRPr="000D6942">
        <w:rPr>
          <w:rFonts w:ascii="Times New Roman" w:hAnsi="Times New Roman"/>
          <w:i/>
          <w:iCs/>
          <w:sz w:val="22"/>
          <w:szCs w:val="22"/>
          <w:lang w:val="lt-LT"/>
        </w:rPr>
        <w:t> % m/V</w:t>
      </w:r>
      <w:r w:rsidRPr="000D6942">
        <w:rPr>
          <w:rFonts w:ascii="Times New Roman" w:hAnsi="Times New Roman"/>
          <w:i/>
          <w:sz w:val="22"/>
          <w:szCs w:val="22"/>
          <w:lang w:val="lt-LT"/>
        </w:rPr>
        <w:t xml:space="preserve"> natrio chlorido tirpalu:</w:t>
      </w:r>
    </w:p>
    <w:p w14:paraId="3C9DC943" w14:textId="77777777" w:rsidR="004C2CCC" w:rsidRPr="000D6942" w:rsidRDefault="004C2CCC" w:rsidP="00CF38FA">
      <w:pPr>
        <w:pStyle w:val="Pagrindinistekstas3"/>
        <w:rPr>
          <w:rFonts w:ascii="Times New Roman" w:hAnsi="Times New Roman"/>
          <w:sz w:val="22"/>
          <w:szCs w:val="22"/>
          <w:lang w:val="lt-LT"/>
        </w:rPr>
      </w:pPr>
      <w:r w:rsidRPr="000D6942">
        <w:rPr>
          <w:rFonts w:ascii="Times New Roman" w:hAnsi="Times New Roman"/>
          <w:sz w:val="22"/>
          <w:szCs w:val="22"/>
          <w:lang w:val="lt-LT"/>
        </w:rPr>
        <w:t xml:space="preserve">Mikrobiologiniu požiūriu parenteraliai vartojami preparatai, praskiedus steriliu 0,9 % </w:t>
      </w:r>
      <w:r w:rsidRPr="000D6942">
        <w:rPr>
          <w:rFonts w:ascii="Times New Roman" w:hAnsi="Times New Roman"/>
          <w:i/>
          <w:iCs/>
          <w:sz w:val="22"/>
          <w:szCs w:val="22"/>
          <w:lang w:val="lt-LT"/>
        </w:rPr>
        <w:t>m/V</w:t>
      </w:r>
      <w:r w:rsidRPr="000D6942">
        <w:rPr>
          <w:rFonts w:ascii="Times New Roman" w:hAnsi="Times New Roman"/>
          <w:i/>
          <w:sz w:val="22"/>
          <w:szCs w:val="22"/>
          <w:lang w:val="lt-LT"/>
        </w:rPr>
        <w:t xml:space="preserve"> </w:t>
      </w:r>
      <w:r w:rsidRPr="000D6942">
        <w:rPr>
          <w:rFonts w:ascii="Times New Roman" w:hAnsi="Times New Roman"/>
          <w:sz w:val="22"/>
          <w:szCs w:val="22"/>
          <w:lang w:val="lt-LT"/>
        </w:rPr>
        <w:t>natrio chlorido tirpalu, turi būti vartojami nedelsiant.</w:t>
      </w:r>
    </w:p>
    <w:p w14:paraId="0C3EE6B6" w14:textId="77777777" w:rsidR="004C2CCC" w:rsidRPr="000D6942" w:rsidRDefault="004C2CCC" w:rsidP="00CF38FA">
      <w:pPr>
        <w:rPr>
          <w:szCs w:val="22"/>
        </w:rPr>
      </w:pPr>
    </w:p>
    <w:p w14:paraId="64257FA6" w14:textId="61BEB9EB" w:rsidR="004C2CCC" w:rsidRPr="000D6942" w:rsidRDefault="004C2CCC" w:rsidP="00CF38FA">
      <w:pPr>
        <w:ind w:left="540" w:hanging="540"/>
        <w:rPr>
          <w:b/>
          <w:szCs w:val="22"/>
        </w:rPr>
      </w:pPr>
      <w:r w:rsidRPr="000D6942">
        <w:rPr>
          <w:b/>
          <w:szCs w:val="22"/>
        </w:rPr>
        <w:t>6.4</w:t>
      </w:r>
      <w:r w:rsidRPr="000D6942">
        <w:rPr>
          <w:b/>
          <w:szCs w:val="22"/>
        </w:rPr>
        <w:tab/>
        <w:t>Specialios laikymo sąlygos</w:t>
      </w:r>
    </w:p>
    <w:p w14:paraId="0D9EF19A" w14:textId="77777777" w:rsidR="004C2CCC" w:rsidRPr="000D6942" w:rsidRDefault="004C2CCC" w:rsidP="00CF38FA">
      <w:pPr>
        <w:rPr>
          <w:szCs w:val="22"/>
        </w:rPr>
      </w:pPr>
    </w:p>
    <w:p w14:paraId="25A762CF" w14:textId="77777777" w:rsidR="00CF38FA" w:rsidRPr="000D6942" w:rsidRDefault="004C2CCC" w:rsidP="00CF38FA">
      <w:pPr>
        <w:rPr>
          <w:szCs w:val="22"/>
        </w:rPr>
      </w:pPr>
      <w:r w:rsidRPr="000D6942">
        <w:rPr>
          <w:szCs w:val="22"/>
        </w:rPr>
        <w:t>Laikyti gamintojo pakuotėje</w:t>
      </w:r>
      <w:r w:rsidR="00A01A87" w:rsidRPr="000D6942">
        <w:rPr>
          <w:szCs w:val="22"/>
        </w:rPr>
        <w:t>, kad preparatas būtų apsaugotas nuo šviesos</w:t>
      </w:r>
      <w:r w:rsidRPr="000D6942">
        <w:rPr>
          <w:szCs w:val="22"/>
        </w:rPr>
        <w:t>.</w:t>
      </w:r>
    </w:p>
    <w:p w14:paraId="21866C14" w14:textId="77777777" w:rsidR="00CF38FA" w:rsidRPr="000D6942" w:rsidRDefault="004C2CCC" w:rsidP="00CF38FA">
      <w:pPr>
        <w:rPr>
          <w:szCs w:val="22"/>
        </w:rPr>
      </w:pPr>
      <w:r w:rsidRPr="000D6942">
        <w:rPr>
          <w:szCs w:val="22"/>
        </w:rPr>
        <w:t>Laikyti ne aukštesnėje kaip 30 °C temperatūroje.</w:t>
      </w:r>
    </w:p>
    <w:p w14:paraId="3CECFCAE" w14:textId="77777777" w:rsidR="004C2CCC" w:rsidRPr="000D6942" w:rsidRDefault="004C2CCC" w:rsidP="00CF38FA">
      <w:pPr>
        <w:rPr>
          <w:szCs w:val="22"/>
        </w:rPr>
      </w:pPr>
      <w:r w:rsidRPr="000D6942">
        <w:rPr>
          <w:szCs w:val="22"/>
        </w:rPr>
        <w:t>Negalima užšaldyti.</w:t>
      </w:r>
    </w:p>
    <w:p w14:paraId="6AA668A3" w14:textId="77777777" w:rsidR="004C2CCC" w:rsidRPr="000D6942" w:rsidRDefault="004C2CCC" w:rsidP="00CF38FA">
      <w:pPr>
        <w:rPr>
          <w:b/>
          <w:szCs w:val="22"/>
        </w:rPr>
      </w:pPr>
    </w:p>
    <w:p w14:paraId="0D0935B8" w14:textId="6CEF4CCD" w:rsidR="004C2CCC" w:rsidRPr="000D6942" w:rsidRDefault="004C2CCC" w:rsidP="00CF38FA">
      <w:pPr>
        <w:ind w:left="540" w:hanging="540"/>
        <w:rPr>
          <w:b/>
          <w:szCs w:val="22"/>
        </w:rPr>
      </w:pPr>
      <w:r w:rsidRPr="000D6942">
        <w:rPr>
          <w:b/>
          <w:szCs w:val="22"/>
        </w:rPr>
        <w:t>6.5</w:t>
      </w:r>
      <w:r w:rsidRPr="000D6942">
        <w:rPr>
          <w:b/>
          <w:szCs w:val="22"/>
        </w:rPr>
        <w:tab/>
        <w:t>Talpyklės pobūdis ir jos turinys</w:t>
      </w:r>
    </w:p>
    <w:p w14:paraId="355E9B07" w14:textId="77777777" w:rsidR="004C2CCC" w:rsidRPr="000D6942" w:rsidRDefault="004C2CCC" w:rsidP="00CF38FA">
      <w:pPr>
        <w:rPr>
          <w:szCs w:val="22"/>
        </w:rPr>
      </w:pPr>
    </w:p>
    <w:p w14:paraId="096E2474" w14:textId="77777777" w:rsidR="004C2CCC" w:rsidRPr="000D6942" w:rsidRDefault="004C2CCC" w:rsidP="00CF38FA">
      <w:pPr>
        <w:rPr>
          <w:szCs w:val="22"/>
        </w:rPr>
      </w:pPr>
      <w:r w:rsidRPr="002A0D89">
        <w:t>Ferinject tiekiamas I tipo stiklo flakone, uždarytame brombutilo gumos kamščiu ir aliuminio dangteliu, kuriame yra:</w:t>
      </w:r>
    </w:p>
    <w:p w14:paraId="61791F80" w14:textId="77777777" w:rsidR="004C2CCC" w:rsidRPr="000D6942" w:rsidRDefault="004C2CCC" w:rsidP="00CF38FA">
      <w:pPr>
        <w:numPr>
          <w:ilvl w:val="0"/>
          <w:numId w:val="13"/>
        </w:numPr>
        <w:rPr>
          <w:szCs w:val="22"/>
        </w:rPr>
      </w:pPr>
      <w:r w:rsidRPr="000D6942">
        <w:rPr>
          <w:szCs w:val="22"/>
        </w:rPr>
        <w:t>2 ml tirpalo, kuriame yra 100 mg geležies. Pakuotėje yra 1, 2 arba 5 flakonai.</w:t>
      </w:r>
    </w:p>
    <w:p w14:paraId="7EBA5587" w14:textId="77777777" w:rsidR="004C2CCC" w:rsidRPr="000D6942" w:rsidRDefault="004C2CCC" w:rsidP="00CF38FA">
      <w:pPr>
        <w:numPr>
          <w:ilvl w:val="0"/>
          <w:numId w:val="13"/>
        </w:numPr>
        <w:rPr>
          <w:szCs w:val="22"/>
        </w:rPr>
      </w:pPr>
      <w:r w:rsidRPr="000D6942">
        <w:rPr>
          <w:szCs w:val="22"/>
        </w:rPr>
        <w:t>10 ml tirpalo , kuriame yra 500 mg geležies. Pakuotėje yra 1, 2 arba 5 flakonai.</w:t>
      </w:r>
    </w:p>
    <w:p w14:paraId="4D7008B0" w14:textId="77777777" w:rsidR="004C2CCC" w:rsidRPr="000D6942" w:rsidRDefault="004C2CCC" w:rsidP="00CF38FA">
      <w:pPr>
        <w:numPr>
          <w:ilvl w:val="0"/>
          <w:numId w:val="13"/>
        </w:numPr>
        <w:rPr>
          <w:szCs w:val="22"/>
        </w:rPr>
      </w:pPr>
      <w:r w:rsidRPr="000D6942">
        <w:rPr>
          <w:szCs w:val="22"/>
        </w:rPr>
        <w:lastRenderedPageBreak/>
        <w:t>20 ml tirpalo, kuriame yra 1000 mg geležies. Pakuotėje yra 1 flakonas.</w:t>
      </w:r>
    </w:p>
    <w:p w14:paraId="5E0A3050" w14:textId="77777777" w:rsidR="004C2CCC" w:rsidRPr="000D6942" w:rsidRDefault="004C2CCC" w:rsidP="00CF38FA">
      <w:pPr>
        <w:ind w:left="420"/>
        <w:rPr>
          <w:szCs w:val="22"/>
        </w:rPr>
      </w:pPr>
      <w:r w:rsidRPr="000D6942">
        <w:rPr>
          <w:szCs w:val="22"/>
        </w:rPr>
        <w:t>Gali būti tiekiamos ne visų dydžių pakuotės.</w:t>
      </w:r>
    </w:p>
    <w:p w14:paraId="47EC47E0" w14:textId="77777777" w:rsidR="004C2CCC" w:rsidRPr="000D6942" w:rsidRDefault="004C2CCC" w:rsidP="00CF38FA">
      <w:pPr>
        <w:rPr>
          <w:szCs w:val="22"/>
        </w:rPr>
      </w:pPr>
    </w:p>
    <w:p w14:paraId="4E8E3BE8" w14:textId="77777777" w:rsidR="004C2CCC" w:rsidRPr="000D6942" w:rsidRDefault="004C2CCC" w:rsidP="00CF38FA">
      <w:pPr>
        <w:rPr>
          <w:szCs w:val="22"/>
        </w:rPr>
      </w:pPr>
      <w:r w:rsidRPr="000D6942">
        <w:rPr>
          <w:szCs w:val="22"/>
        </w:rPr>
        <w:t>Gali būti tiekiamos ne visų dydžių pakuotės.</w:t>
      </w:r>
    </w:p>
    <w:p w14:paraId="419D23D3" w14:textId="77777777" w:rsidR="004C2CCC" w:rsidRPr="000D6942" w:rsidRDefault="004C2CCC" w:rsidP="00CF38FA">
      <w:pPr>
        <w:rPr>
          <w:szCs w:val="22"/>
        </w:rPr>
      </w:pPr>
    </w:p>
    <w:p w14:paraId="447428BF" w14:textId="77777777" w:rsidR="004C2CCC" w:rsidRPr="000D6942" w:rsidRDefault="004C2CCC" w:rsidP="00CF38FA">
      <w:pPr>
        <w:ind w:left="540" w:hanging="540"/>
        <w:rPr>
          <w:b/>
          <w:szCs w:val="22"/>
        </w:rPr>
      </w:pPr>
      <w:r w:rsidRPr="000D6942">
        <w:rPr>
          <w:b/>
          <w:szCs w:val="22"/>
        </w:rPr>
        <w:t>6.6</w:t>
      </w:r>
      <w:r w:rsidRPr="000D6942">
        <w:rPr>
          <w:b/>
          <w:szCs w:val="22"/>
        </w:rPr>
        <w:tab/>
        <w:t xml:space="preserve">Specialūs reikalavimai atliekoms tvarkyti </w:t>
      </w:r>
      <w:r w:rsidRPr="000D6942">
        <w:rPr>
          <w:rStyle w:val="Grietas"/>
          <w:szCs w:val="22"/>
        </w:rPr>
        <w:t>ir vaistiniam preparatui ruošti</w:t>
      </w:r>
    </w:p>
    <w:p w14:paraId="374C1216" w14:textId="77777777" w:rsidR="004C2CCC" w:rsidRPr="000D6942" w:rsidRDefault="004C2CCC" w:rsidP="00CF38FA">
      <w:pPr>
        <w:rPr>
          <w:szCs w:val="22"/>
        </w:rPr>
      </w:pPr>
    </w:p>
    <w:p w14:paraId="7C5EA2A4" w14:textId="77777777" w:rsidR="004C2CCC" w:rsidRPr="000D6942" w:rsidRDefault="004C2CCC" w:rsidP="00CF38FA">
      <w:pPr>
        <w:rPr>
          <w:szCs w:val="22"/>
        </w:rPr>
      </w:pPr>
      <w:bookmarkStart w:id="9" w:name="Handling"/>
      <w:r w:rsidRPr="000D6942">
        <w:rPr>
          <w:szCs w:val="22"/>
        </w:rPr>
        <w:t>Prieš naudodami apžiūrėkite, ar flakonuose nėra nuosėdų ir ar jie nėra pažeisti. Naudokite tik tuos, kuriuose tirpalas yra be nuosėdų ir vienalytis.</w:t>
      </w:r>
    </w:p>
    <w:bookmarkEnd w:id="9"/>
    <w:p w14:paraId="559266D0" w14:textId="77777777" w:rsidR="004C2CCC" w:rsidRPr="000D6942" w:rsidRDefault="004C2CCC" w:rsidP="00CF38FA">
      <w:pPr>
        <w:rPr>
          <w:szCs w:val="22"/>
        </w:rPr>
      </w:pPr>
    </w:p>
    <w:p w14:paraId="6C7F0F5A" w14:textId="77777777" w:rsidR="004C2CCC" w:rsidRPr="000D6942" w:rsidRDefault="004C2CCC" w:rsidP="00CF38FA">
      <w:pPr>
        <w:rPr>
          <w:szCs w:val="22"/>
        </w:rPr>
      </w:pPr>
      <w:r w:rsidRPr="000D6942">
        <w:rPr>
          <w:szCs w:val="22"/>
        </w:rPr>
        <w:t>Kiekvienas Ferinject flakonas yra skirtas tik vienkartiniam vartojimui. Nesuvartotą preparatą ar atliekas reikia tvarkyti laikantis vietinių reikalavimų.</w:t>
      </w:r>
    </w:p>
    <w:p w14:paraId="617CEF12" w14:textId="77777777" w:rsidR="004C2CCC" w:rsidRPr="000D6942" w:rsidRDefault="004C2CCC" w:rsidP="00CF38FA">
      <w:pPr>
        <w:rPr>
          <w:szCs w:val="22"/>
        </w:rPr>
      </w:pPr>
    </w:p>
    <w:p w14:paraId="10EC7DA7" w14:textId="77777777" w:rsidR="004C2CCC" w:rsidRPr="000D6942" w:rsidRDefault="004C2CCC" w:rsidP="00CF38FA">
      <w:pPr>
        <w:rPr>
          <w:szCs w:val="22"/>
        </w:rPr>
      </w:pPr>
      <w:r w:rsidRPr="000D6942">
        <w:rPr>
          <w:szCs w:val="22"/>
        </w:rPr>
        <w:t>Ferinject reikia maišyti tik su steriliu 0,9 % m/V natrio chlorido tirpalu. Dėl galimo nuosėdų atsiradimo ir (arba) sąveikos negalima naudoti jokių kitų intraveninių skiedimo tirpalų ir terapinių medžiagų. Skiedimo nurodymai pateikti 4.2 skyriuje.</w:t>
      </w:r>
    </w:p>
    <w:p w14:paraId="5B9D29A9" w14:textId="77777777" w:rsidR="004C2CCC" w:rsidRPr="000D6942" w:rsidRDefault="004C2CCC" w:rsidP="00CF38FA">
      <w:pPr>
        <w:pStyle w:val="Porat"/>
        <w:tabs>
          <w:tab w:val="clear" w:pos="4153"/>
          <w:tab w:val="clear" w:pos="8306"/>
        </w:tabs>
        <w:rPr>
          <w:color w:val="auto"/>
          <w:sz w:val="22"/>
          <w:szCs w:val="22"/>
          <w:lang w:val="lt-LT"/>
        </w:rPr>
      </w:pPr>
    </w:p>
    <w:p w14:paraId="375428DD" w14:textId="77777777" w:rsidR="004C2CCC" w:rsidRPr="000D6942" w:rsidRDefault="004C2CCC" w:rsidP="00CF38FA">
      <w:pPr>
        <w:pStyle w:val="Porat"/>
        <w:tabs>
          <w:tab w:val="clear" w:pos="4153"/>
          <w:tab w:val="clear" w:pos="8306"/>
        </w:tabs>
        <w:rPr>
          <w:color w:val="auto"/>
          <w:sz w:val="22"/>
          <w:szCs w:val="22"/>
          <w:lang w:val="lt-LT"/>
        </w:rPr>
      </w:pPr>
    </w:p>
    <w:p w14:paraId="32B0726A" w14:textId="77777777" w:rsidR="004C2CCC" w:rsidRPr="000D6942" w:rsidRDefault="004C2CCC" w:rsidP="00A352A0">
      <w:pPr>
        <w:keepNext/>
        <w:keepLines/>
        <w:ind w:left="540" w:hanging="540"/>
        <w:rPr>
          <w:b/>
          <w:caps/>
          <w:szCs w:val="22"/>
        </w:rPr>
      </w:pPr>
      <w:r w:rsidRPr="000D6942">
        <w:rPr>
          <w:b/>
          <w:caps/>
          <w:szCs w:val="22"/>
        </w:rPr>
        <w:t>7.</w:t>
      </w:r>
      <w:r w:rsidRPr="000D6942">
        <w:rPr>
          <w:b/>
          <w:caps/>
          <w:szCs w:val="22"/>
        </w:rPr>
        <w:tab/>
        <w:t>R</w:t>
      </w:r>
      <w:r w:rsidR="008531BD" w:rsidRPr="000D6942">
        <w:rPr>
          <w:b/>
          <w:caps/>
          <w:szCs w:val="22"/>
        </w:rPr>
        <w:t>EGISTRUO</w:t>
      </w:r>
      <w:r w:rsidRPr="000D6942">
        <w:rPr>
          <w:b/>
          <w:caps/>
          <w:szCs w:val="22"/>
        </w:rPr>
        <w:t>tojas</w:t>
      </w:r>
    </w:p>
    <w:p w14:paraId="362214F7" w14:textId="77777777" w:rsidR="004C2CCC" w:rsidRPr="000D6942" w:rsidRDefault="004C2CCC" w:rsidP="00A352A0">
      <w:pPr>
        <w:keepNext/>
        <w:keepLines/>
        <w:rPr>
          <w:szCs w:val="22"/>
        </w:rPr>
      </w:pPr>
    </w:p>
    <w:p w14:paraId="548B1402" w14:textId="77777777" w:rsidR="004A7D96" w:rsidRPr="002A0D89" w:rsidRDefault="00887DA5" w:rsidP="00A352A0">
      <w:pPr>
        <w:keepNext/>
        <w:keepLines/>
        <w:numPr>
          <w:ilvl w:val="12"/>
          <w:numId w:val="0"/>
        </w:numPr>
        <w:ind w:right="-2"/>
      </w:pPr>
      <w:r w:rsidRPr="002A0D89">
        <w:t xml:space="preserve">Vifor France </w:t>
      </w:r>
    </w:p>
    <w:p w14:paraId="768B671E" w14:textId="77777777" w:rsidR="004A7D96" w:rsidRPr="002A0D89" w:rsidRDefault="00887DA5" w:rsidP="00A352A0">
      <w:pPr>
        <w:keepNext/>
        <w:keepLines/>
        <w:numPr>
          <w:ilvl w:val="12"/>
          <w:numId w:val="0"/>
        </w:numPr>
        <w:ind w:right="-2"/>
      </w:pPr>
      <w:r w:rsidRPr="002A0D89">
        <w:t xml:space="preserve">100-101 Terrasse Boieldieu </w:t>
      </w:r>
    </w:p>
    <w:p w14:paraId="5CFFD44C" w14:textId="77777777" w:rsidR="004A7D96" w:rsidRPr="002A0D89" w:rsidRDefault="00887DA5" w:rsidP="00A352A0">
      <w:pPr>
        <w:keepNext/>
        <w:keepLines/>
        <w:numPr>
          <w:ilvl w:val="12"/>
          <w:numId w:val="0"/>
        </w:numPr>
        <w:ind w:right="-2"/>
      </w:pPr>
      <w:r w:rsidRPr="002A0D89">
        <w:t>Tour Franklin La Défense 8</w:t>
      </w:r>
    </w:p>
    <w:p w14:paraId="5D803EC0" w14:textId="77777777" w:rsidR="004C2CCC" w:rsidRPr="000D6942" w:rsidRDefault="00887DA5" w:rsidP="00A352A0">
      <w:pPr>
        <w:keepNext/>
        <w:keepLines/>
        <w:rPr>
          <w:rFonts w:eastAsia="Arial Unicode MS"/>
          <w:szCs w:val="22"/>
        </w:rPr>
      </w:pPr>
      <w:r w:rsidRPr="002A0D89">
        <w:t>92042 Paris La Défense Cedex</w:t>
      </w:r>
    </w:p>
    <w:p w14:paraId="1BF42F1C" w14:textId="77777777" w:rsidR="004C2CCC" w:rsidRPr="000D6942" w:rsidRDefault="004C2CCC" w:rsidP="00A352A0">
      <w:pPr>
        <w:keepNext/>
        <w:keepLines/>
        <w:rPr>
          <w:rFonts w:eastAsia="Arial Unicode MS"/>
          <w:szCs w:val="22"/>
        </w:rPr>
      </w:pPr>
      <w:r w:rsidRPr="000D6942">
        <w:rPr>
          <w:rFonts w:eastAsia="Arial Unicode MS"/>
          <w:szCs w:val="22"/>
        </w:rPr>
        <w:t>Prancūzija</w:t>
      </w:r>
    </w:p>
    <w:p w14:paraId="01BFF31B" w14:textId="77777777" w:rsidR="004C2CCC" w:rsidRPr="000D6942" w:rsidRDefault="004C2CCC" w:rsidP="00A352A0">
      <w:pPr>
        <w:keepNext/>
        <w:keepLines/>
        <w:rPr>
          <w:szCs w:val="22"/>
        </w:rPr>
      </w:pPr>
      <w:r w:rsidRPr="000D6942">
        <w:rPr>
          <w:szCs w:val="22"/>
        </w:rPr>
        <w:t>Tel. +33 (0)1 41 06 58 90</w:t>
      </w:r>
    </w:p>
    <w:p w14:paraId="3BDE138C" w14:textId="77777777" w:rsidR="004C2CCC" w:rsidRPr="000D6942" w:rsidRDefault="004C2CCC" w:rsidP="00A352A0">
      <w:pPr>
        <w:keepNext/>
        <w:keepLines/>
        <w:rPr>
          <w:szCs w:val="22"/>
        </w:rPr>
      </w:pPr>
      <w:r w:rsidRPr="000D6942">
        <w:rPr>
          <w:szCs w:val="22"/>
        </w:rPr>
        <w:t>Faksas +33 (0)1 41 06 58 99</w:t>
      </w:r>
    </w:p>
    <w:p w14:paraId="51A0B94D" w14:textId="77777777" w:rsidR="004C2CCC" w:rsidRPr="000D6942" w:rsidRDefault="004C2CCC" w:rsidP="00CF38FA">
      <w:pPr>
        <w:rPr>
          <w:rFonts w:eastAsia="Arial Unicode MS"/>
          <w:szCs w:val="22"/>
        </w:rPr>
      </w:pPr>
    </w:p>
    <w:p w14:paraId="1DF1AED8" w14:textId="77777777" w:rsidR="004C2CCC" w:rsidRPr="000D6942" w:rsidRDefault="004C2CCC" w:rsidP="00CF38FA">
      <w:pPr>
        <w:rPr>
          <w:szCs w:val="22"/>
        </w:rPr>
      </w:pPr>
    </w:p>
    <w:p w14:paraId="5BCD4F36" w14:textId="77777777" w:rsidR="00CF38FA" w:rsidRPr="000D6942" w:rsidRDefault="004C2CCC" w:rsidP="00CF38FA">
      <w:pPr>
        <w:ind w:left="540" w:hanging="540"/>
        <w:rPr>
          <w:b/>
        </w:rPr>
      </w:pPr>
      <w:r w:rsidRPr="000D6942">
        <w:rPr>
          <w:b/>
          <w:caps/>
          <w:szCs w:val="22"/>
        </w:rPr>
        <w:t>8.</w:t>
      </w:r>
      <w:r w:rsidRPr="000D6942">
        <w:rPr>
          <w:b/>
          <w:caps/>
          <w:szCs w:val="22"/>
        </w:rPr>
        <w:tab/>
      </w:r>
      <w:r w:rsidR="008531BD" w:rsidRPr="000D6942">
        <w:rPr>
          <w:b/>
          <w:caps/>
          <w:szCs w:val="22"/>
        </w:rPr>
        <w:t xml:space="preserve">REGISTRACIJOS </w:t>
      </w:r>
      <w:r w:rsidRPr="000D6942">
        <w:rPr>
          <w:b/>
          <w:caps/>
          <w:szCs w:val="22"/>
        </w:rPr>
        <w:t>PAŽYMĖJIMO numeris</w:t>
      </w:r>
      <w:r w:rsidR="008531BD" w:rsidRPr="000D6942">
        <w:rPr>
          <w:b/>
          <w:caps/>
        </w:rPr>
        <w:t xml:space="preserve"> </w:t>
      </w:r>
      <w:r w:rsidR="008531BD" w:rsidRPr="000D6942">
        <w:rPr>
          <w:b/>
          <w:caps/>
          <w:szCs w:val="22"/>
        </w:rPr>
        <w:t>(-IAI)</w:t>
      </w:r>
    </w:p>
    <w:p w14:paraId="6E64B40A" w14:textId="77777777" w:rsidR="004C2CCC" w:rsidRPr="000D6942" w:rsidRDefault="004C2CCC" w:rsidP="00CF38FA">
      <w:pPr>
        <w:rPr>
          <w:szCs w:val="22"/>
        </w:rPr>
      </w:pPr>
    </w:p>
    <w:p w14:paraId="285BD347" w14:textId="77777777" w:rsidR="004C2CCC" w:rsidRPr="000D6942" w:rsidRDefault="004C2CCC" w:rsidP="00CF38FA">
      <w:pPr>
        <w:rPr>
          <w:szCs w:val="22"/>
        </w:rPr>
      </w:pPr>
      <w:r w:rsidRPr="000D6942">
        <w:rPr>
          <w:szCs w:val="22"/>
        </w:rPr>
        <w:t>Flakonas (2 ml), N5 - LT/1/08/1133/001</w:t>
      </w:r>
    </w:p>
    <w:p w14:paraId="65C516FE" w14:textId="77777777" w:rsidR="004C2CCC" w:rsidRPr="000D6942" w:rsidRDefault="004C2CCC" w:rsidP="00CF38FA">
      <w:pPr>
        <w:rPr>
          <w:szCs w:val="22"/>
        </w:rPr>
      </w:pPr>
      <w:r w:rsidRPr="000D6942">
        <w:rPr>
          <w:szCs w:val="22"/>
        </w:rPr>
        <w:t>Flakonas (10 ml), N5 - LT/1/08/1133/002</w:t>
      </w:r>
    </w:p>
    <w:p w14:paraId="5510040F" w14:textId="77777777" w:rsidR="004C2CCC" w:rsidRPr="000D6942" w:rsidRDefault="004C2CCC" w:rsidP="00CF38FA">
      <w:pPr>
        <w:rPr>
          <w:szCs w:val="22"/>
        </w:rPr>
      </w:pPr>
      <w:r w:rsidRPr="000D6942">
        <w:rPr>
          <w:szCs w:val="22"/>
        </w:rPr>
        <w:t>Flakonas (2 ml), N1 - LT/1/08/1133/003</w:t>
      </w:r>
    </w:p>
    <w:p w14:paraId="6278A1F7" w14:textId="77777777" w:rsidR="004C2CCC" w:rsidRPr="000D6942" w:rsidRDefault="004C2CCC" w:rsidP="00CF38FA">
      <w:pPr>
        <w:rPr>
          <w:szCs w:val="22"/>
        </w:rPr>
      </w:pPr>
      <w:r w:rsidRPr="000D6942">
        <w:rPr>
          <w:szCs w:val="22"/>
        </w:rPr>
        <w:t>Flakonas</w:t>
      </w:r>
      <w:r w:rsidRPr="000D6942" w:rsidDel="00496EF8">
        <w:rPr>
          <w:szCs w:val="22"/>
        </w:rPr>
        <w:t xml:space="preserve"> </w:t>
      </w:r>
      <w:r w:rsidRPr="000D6942">
        <w:rPr>
          <w:szCs w:val="22"/>
        </w:rPr>
        <w:t>(10 ml), N1 - LT/1/08/1133/004</w:t>
      </w:r>
    </w:p>
    <w:p w14:paraId="48EA7DDC" w14:textId="77777777" w:rsidR="004C2CCC" w:rsidRPr="000D6942" w:rsidRDefault="004C2CCC" w:rsidP="00CF38FA">
      <w:pPr>
        <w:rPr>
          <w:szCs w:val="22"/>
        </w:rPr>
      </w:pPr>
      <w:r w:rsidRPr="000D6942">
        <w:rPr>
          <w:szCs w:val="22"/>
        </w:rPr>
        <w:t>Flakonas (2 ml), N2 - LT/1/08/1133/005</w:t>
      </w:r>
    </w:p>
    <w:p w14:paraId="66EB47CC" w14:textId="77777777" w:rsidR="004C2CCC" w:rsidRPr="000D6942" w:rsidRDefault="004C2CCC" w:rsidP="00CF38FA">
      <w:pPr>
        <w:rPr>
          <w:szCs w:val="22"/>
        </w:rPr>
      </w:pPr>
      <w:r w:rsidRPr="000D6942">
        <w:rPr>
          <w:szCs w:val="22"/>
        </w:rPr>
        <w:t>Flakonas (10 ml), N2 - LT/1/08/1133/006</w:t>
      </w:r>
    </w:p>
    <w:p w14:paraId="6B2E4602" w14:textId="77777777" w:rsidR="004C2CCC" w:rsidRPr="000D6942" w:rsidRDefault="004C2CCC" w:rsidP="00CF38FA">
      <w:pPr>
        <w:rPr>
          <w:szCs w:val="22"/>
        </w:rPr>
      </w:pPr>
      <w:r w:rsidRPr="000D6942">
        <w:rPr>
          <w:szCs w:val="22"/>
        </w:rPr>
        <w:t>Flakonas (20 ml), N1 - LT/1/08/1133/007</w:t>
      </w:r>
    </w:p>
    <w:p w14:paraId="69409FF4" w14:textId="77777777" w:rsidR="004C2CCC" w:rsidRPr="000D6942" w:rsidRDefault="004C2CCC" w:rsidP="00CF38FA">
      <w:pPr>
        <w:rPr>
          <w:szCs w:val="22"/>
        </w:rPr>
      </w:pPr>
    </w:p>
    <w:p w14:paraId="6F453CC3" w14:textId="77777777" w:rsidR="004C2CCC" w:rsidRPr="000D6942" w:rsidRDefault="004C2CCC" w:rsidP="00CF38FA">
      <w:pPr>
        <w:rPr>
          <w:szCs w:val="22"/>
        </w:rPr>
      </w:pPr>
    </w:p>
    <w:p w14:paraId="4E38FEF9" w14:textId="77777777" w:rsidR="004C2CCC" w:rsidRPr="000D6942" w:rsidRDefault="004C2CCC" w:rsidP="00CF38FA">
      <w:pPr>
        <w:ind w:left="540" w:hanging="540"/>
        <w:rPr>
          <w:b/>
          <w:caps/>
          <w:szCs w:val="22"/>
        </w:rPr>
      </w:pPr>
      <w:r w:rsidRPr="000D6942">
        <w:rPr>
          <w:b/>
          <w:caps/>
          <w:szCs w:val="22"/>
        </w:rPr>
        <w:t>9.</w:t>
      </w:r>
      <w:r w:rsidRPr="000D6942">
        <w:rPr>
          <w:b/>
          <w:caps/>
          <w:szCs w:val="22"/>
        </w:rPr>
        <w:tab/>
      </w:r>
      <w:r w:rsidR="008531BD" w:rsidRPr="000D6942">
        <w:rPr>
          <w:b/>
          <w:caps/>
          <w:szCs w:val="22"/>
        </w:rPr>
        <w:t>REGISTRAVIMO</w:t>
      </w:r>
      <w:r w:rsidRPr="000D6942">
        <w:rPr>
          <w:b/>
          <w:caps/>
          <w:szCs w:val="22"/>
        </w:rPr>
        <w:t xml:space="preserve"> / </w:t>
      </w:r>
      <w:r w:rsidR="008531BD" w:rsidRPr="000D6942">
        <w:rPr>
          <w:b/>
          <w:caps/>
          <w:szCs w:val="22"/>
        </w:rPr>
        <w:t xml:space="preserve">PERREGISTRAVIMO </w:t>
      </w:r>
      <w:r w:rsidRPr="000D6942">
        <w:rPr>
          <w:b/>
          <w:caps/>
          <w:szCs w:val="22"/>
        </w:rPr>
        <w:t>data</w:t>
      </w:r>
    </w:p>
    <w:p w14:paraId="7B9A7324" w14:textId="77777777" w:rsidR="004C2CCC" w:rsidRPr="000D6942" w:rsidRDefault="004C2CCC" w:rsidP="00CF38FA">
      <w:pPr>
        <w:rPr>
          <w:szCs w:val="22"/>
        </w:rPr>
      </w:pPr>
    </w:p>
    <w:p w14:paraId="6F40205D" w14:textId="77777777" w:rsidR="004C2CCC" w:rsidRPr="000D6942" w:rsidRDefault="008531BD" w:rsidP="00CF38FA">
      <w:pPr>
        <w:rPr>
          <w:szCs w:val="22"/>
        </w:rPr>
      </w:pPr>
      <w:r w:rsidRPr="000D6942">
        <w:rPr>
          <w:szCs w:val="22"/>
        </w:rPr>
        <w:t>Registravimo data</w:t>
      </w:r>
      <w:r w:rsidR="004C2CCC" w:rsidRPr="000D6942">
        <w:rPr>
          <w:szCs w:val="22"/>
        </w:rPr>
        <w:t xml:space="preserve"> 2008 m. gegužės 12 d.</w:t>
      </w:r>
    </w:p>
    <w:p w14:paraId="0A268C65" w14:textId="77777777" w:rsidR="004C2CCC" w:rsidRPr="000D6942" w:rsidRDefault="008531BD" w:rsidP="00CF38FA">
      <w:pPr>
        <w:rPr>
          <w:szCs w:val="22"/>
        </w:rPr>
      </w:pPr>
      <w:r w:rsidRPr="000D6942">
        <w:rPr>
          <w:szCs w:val="22"/>
        </w:rPr>
        <w:t>Perregistravimo data</w:t>
      </w:r>
      <w:r w:rsidR="004C2CCC" w:rsidRPr="000D6942">
        <w:rPr>
          <w:szCs w:val="22"/>
        </w:rPr>
        <w:t xml:space="preserve"> 2012 m. gruodžio 5 d.</w:t>
      </w:r>
    </w:p>
    <w:p w14:paraId="03E4B4DE" w14:textId="77777777" w:rsidR="004C2CCC" w:rsidRPr="000D6942" w:rsidRDefault="004C2CCC" w:rsidP="00CF38FA">
      <w:pPr>
        <w:rPr>
          <w:szCs w:val="22"/>
        </w:rPr>
      </w:pPr>
    </w:p>
    <w:p w14:paraId="77FB68A2" w14:textId="77777777" w:rsidR="004C2CCC" w:rsidRPr="000D6942" w:rsidRDefault="004C2CCC" w:rsidP="00CF38FA">
      <w:pPr>
        <w:rPr>
          <w:szCs w:val="22"/>
        </w:rPr>
      </w:pPr>
    </w:p>
    <w:p w14:paraId="02EA13B4" w14:textId="77777777" w:rsidR="004C2CCC" w:rsidRPr="000D6942" w:rsidRDefault="004C2CCC" w:rsidP="00CF38FA">
      <w:pPr>
        <w:ind w:left="540" w:hanging="540"/>
        <w:rPr>
          <w:b/>
          <w:caps/>
          <w:szCs w:val="22"/>
        </w:rPr>
      </w:pPr>
      <w:r w:rsidRPr="000D6942">
        <w:rPr>
          <w:b/>
          <w:caps/>
          <w:szCs w:val="22"/>
        </w:rPr>
        <w:t>10.</w:t>
      </w:r>
      <w:r w:rsidRPr="000D6942">
        <w:rPr>
          <w:b/>
          <w:caps/>
          <w:szCs w:val="22"/>
        </w:rPr>
        <w:tab/>
        <w:t>teksto peržiūros data</w:t>
      </w:r>
    </w:p>
    <w:p w14:paraId="690295D0" w14:textId="77777777" w:rsidR="004C2CCC" w:rsidRPr="000D6942" w:rsidRDefault="004C2CCC" w:rsidP="00CF38FA">
      <w:pPr>
        <w:rPr>
          <w:caps/>
          <w:szCs w:val="22"/>
        </w:rPr>
      </w:pPr>
    </w:p>
    <w:p w14:paraId="00C23269" w14:textId="552F9FB3" w:rsidR="00C82552" w:rsidRDefault="0014622F" w:rsidP="00C82552">
      <w:r w:rsidRPr="0014622F">
        <w:t>2018 m. gruodžio 28 d.</w:t>
      </w:r>
    </w:p>
    <w:p w14:paraId="76124667" w14:textId="291E0C14" w:rsidR="00E77B80" w:rsidRDefault="00E77B80" w:rsidP="00E77B80"/>
    <w:p w14:paraId="0BCE6458" w14:textId="77777777" w:rsidR="004C2CCC" w:rsidRPr="000D6942" w:rsidRDefault="004C2CCC" w:rsidP="00CF38FA"/>
    <w:p w14:paraId="07EC2C82" w14:textId="7FEF4D7E" w:rsidR="004C2CCC" w:rsidRPr="000D6942" w:rsidRDefault="004C2CCC" w:rsidP="000D6942">
      <w:pPr>
        <w:pStyle w:val="BTEMEASMCA"/>
        <w:jc w:val="left"/>
        <w:rPr>
          <w:noProof w:val="0"/>
        </w:rPr>
      </w:pPr>
      <w:r w:rsidRPr="000D6942">
        <w:rPr>
          <w:noProof w:val="0"/>
        </w:rPr>
        <w:lastRenderedPageBreak/>
        <w:t>Išsami informacija apie šį vaistinį preparatą pateikiama Valstybinės vaistų kontrolės tarnybos prie Lietuvos Respublikos sveikatos apsaugos ministerijos tinklalapyje</w:t>
      </w:r>
      <w:r w:rsidR="00CF38FA" w:rsidRPr="000D6942">
        <w:rPr>
          <w:noProof w:val="0"/>
        </w:rPr>
        <w:t xml:space="preserve"> </w:t>
      </w:r>
      <w:hyperlink r:id="rId16" w:history="1">
        <w:r w:rsidR="00CF38FA" w:rsidRPr="000D6942">
          <w:rPr>
            <w:rStyle w:val="Hipersaitas"/>
            <w:noProof w:val="0"/>
          </w:rPr>
          <w:t>h</w:t>
        </w:r>
        <w:r w:rsidRPr="000D6942">
          <w:rPr>
            <w:rStyle w:val="Hipersaitas"/>
            <w:noProof w:val="0"/>
          </w:rPr>
          <w:t>ttp://www.vvkt.lt</w:t>
        </w:r>
      </w:hyperlink>
    </w:p>
    <w:p w14:paraId="0A7434F9" w14:textId="77777777" w:rsidR="004C2CCC" w:rsidRPr="000D6942" w:rsidRDefault="004C2CCC" w:rsidP="00CF38FA">
      <w:pPr>
        <w:pStyle w:val="BTEMEASMCA"/>
        <w:rPr>
          <w:noProof w:val="0"/>
        </w:rPr>
      </w:pPr>
    </w:p>
    <w:p w14:paraId="2720DB59" w14:textId="77777777" w:rsidR="004C2CCC" w:rsidRPr="000D6942" w:rsidRDefault="004C2CCC" w:rsidP="00CF38FA">
      <w:pPr>
        <w:pStyle w:val="BTEMEASMCA"/>
        <w:rPr>
          <w:noProof w:val="0"/>
        </w:rPr>
      </w:pPr>
      <w:r w:rsidRPr="000D6942">
        <w:rPr>
          <w:noProof w:val="0"/>
        </w:rPr>
        <w:br w:type="page"/>
      </w:r>
    </w:p>
    <w:p w14:paraId="328BA339" w14:textId="77777777" w:rsidR="004C2CCC" w:rsidRPr="000D6942" w:rsidRDefault="004C2CCC" w:rsidP="00CF38FA">
      <w:pPr>
        <w:pStyle w:val="BTEMEASMCA"/>
        <w:rPr>
          <w:noProof w:val="0"/>
        </w:rPr>
      </w:pPr>
    </w:p>
    <w:p w14:paraId="32019CE5" w14:textId="77777777" w:rsidR="004C2CCC" w:rsidRPr="000D6942" w:rsidRDefault="004C2CCC" w:rsidP="00CF38FA">
      <w:pPr>
        <w:pStyle w:val="BTEMEASMCA"/>
        <w:rPr>
          <w:noProof w:val="0"/>
        </w:rPr>
      </w:pPr>
    </w:p>
    <w:p w14:paraId="02ECD935" w14:textId="77777777" w:rsidR="004C2CCC" w:rsidRPr="000D6942" w:rsidRDefault="004C2CCC" w:rsidP="00CF38FA">
      <w:pPr>
        <w:pStyle w:val="BTEMEASMCA"/>
        <w:rPr>
          <w:noProof w:val="0"/>
        </w:rPr>
      </w:pPr>
    </w:p>
    <w:p w14:paraId="53557BD4" w14:textId="77777777" w:rsidR="004C2CCC" w:rsidRPr="000D6942" w:rsidRDefault="004C2CCC" w:rsidP="00CF38FA">
      <w:pPr>
        <w:pStyle w:val="BTEMEASMCA"/>
        <w:rPr>
          <w:noProof w:val="0"/>
        </w:rPr>
      </w:pPr>
    </w:p>
    <w:p w14:paraId="117C48FD" w14:textId="77777777" w:rsidR="004C2CCC" w:rsidRPr="000D6942" w:rsidRDefault="004C2CCC" w:rsidP="00CF38FA">
      <w:pPr>
        <w:pStyle w:val="BTEMEASMCA"/>
        <w:rPr>
          <w:noProof w:val="0"/>
        </w:rPr>
      </w:pPr>
    </w:p>
    <w:p w14:paraId="6808DBA3" w14:textId="77777777" w:rsidR="004C2CCC" w:rsidRPr="000D6942" w:rsidRDefault="004C2CCC" w:rsidP="00CF38FA">
      <w:pPr>
        <w:pStyle w:val="BTEMEASMCA"/>
        <w:rPr>
          <w:noProof w:val="0"/>
        </w:rPr>
      </w:pPr>
    </w:p>
    <w:p w14:paraId="36DEF23A" w14:textId="77777777" w:rsidR="004C2CCC" w:rsidRPr="000D6942" w:rsidRDefault="004C2CCC" w:rsidP="00CF38FA">
      <w:pPr>
        <w:pStyle w:val="BTEMEASMCA"/>
        <w:rPr>
          <w:noProof w:val="0"/>
        </w:rPr>
      </w:pPr>
    </w:p>
    <w:p w14:paraId="21FF7822" w14:textId="77777777" w:rsidR="004C2CCC" w:rsidRPr="000D6942" w:rsidRDefault="004C2CCC" w:rsidP="00CF38FA">
      <w:pPr>
        <w:pStyle w:val="BTEMEASMCA"/>
        <w:rPr>
          <w:noProof w:val="0"/>
        </w:rPr>
      </w:pPr>
    </w:p>
    <w:p w14:paraId="60B07AC1" w14:textId="77777777" w:rsidR="004C2CCC" w:rsidRPr="000D6942" w:rsidRDefault="004C2CCC" w:rsidP="00CF38FA">
      <w:pPr>
        <w:pStyle w:val="BTEMEASMCA"/>
        <w:rPr>
          <w:noProof w:val="0"/>
        </w:rPr>
      </w:pPr>
    </w:p>
    <w:p w14:paraId="6D62261C" w14:textId="77777777" w:rsidR="004C2CCC" w:rsidRPr="000D6942" w:rsidRDefault="004C2CCC" w:rsidP="00CF38FA">
      <w:pPr>
        <w:pStyle w:val="BTEMEASMCA"/>
        <w:rPr>
          <w:noProof w:val="0"/>
        </w:rPr>
      </w:pPr>
    </w:p>
    <w:p w14:paraId="695D04DE" w14:textId="77777777" w:rsidR="004C2CCC" w:rsidRPr="000D6942" w:rsidRDefault="004C2CCC" w:rsidP="00CF38FA">
      <w:pPr>
        <w:pStyle w:val="BTEMEASMCA"/>
        <w:rPr>
          <w:noProof w:val="0"/>
        </w:rPr>
      </w:pPr>
    </w:p>
    <w:p w14:paraId="3090ACDD" w14:textId="77777777" w:rsidR="004C2CCC" w:rsidRPr="000D6942" w:rsidRDefault="004C2CCC" w:rsidP="00CF38FA">
      <w:pPr>
        <w:pStyle w:val="BTEMEASMCA"/>
        <w:rPr>
          <w:noProof w:val="0"/>
        </w:rPr>
      </w:pPr>
    </w:p>
    <w:p w14:paraId="3944698F" w14:textId="77777777" w:rsidR="004C2CCC" w:rsidRPr="000D6942" w:rsidRDefault="004C2CCC" w:rsidP="00CF38FA">
      <w:pPr>
        <w:pStyle w:val="BTEMEASMCA"/>
        <w:rPr>
          <w:noProof w:val="0"/>
        </w:rPr>
      </w:pPr>
    </w:p>
    <w:p w14:paraId="10927389" w14:textId="77777777" w:rsidR="004C2CCC" w:rsidRPr="000D6942" w:rsidRDefault="004C2CCC" w:rsidP="00CF38FA">
      <w:pPr>
        <w:pStyle w:val="BTEMEASMCA"/>
        <w:rPr>
          <w:noProof w:val="0"/>
        </w:rPr>
      </w:pPr>
    </w:p>
    <w:p w14:paraId="5D67076A" w14:textId="77777777" w:rsidR="004C2CCC" w:rsidRPr="000D6942" w:rsidRDefault="004C2CCC" w:rsidP="00CF38FA">
      <w:pPr>
        <w:pStyle w:val="BTEMEASMCA"/>
        <w:rPr>
          <w:noProof w:val="0"/>
        </w:rPr>
      </w:pPr>
    </w:p>
    <w:p w14:paraId="549453A2" w14:textId="77777777" w:rsidR="004C2CCC" w:rsidRPr="000D6942" w:rsidRDefault="004C2CCC" w:rsidP="00CF38FA">
      <w:pPr>
        <w:pStyle w:val="BTEMEASMCA"/>
        <w:rPr>
          <w:noProof w:val="0"/>
        </w:rPr>
      </w:pPr>
    </w:p>
    <w:p w14:paraId="59595DCB" w14:textId="77777777" w:rsidR="004C2CCC" w:rsidRPr="000D6942" w:rsidRDefault="004C2CCC" w:rsidP="00CF38FA">
      <w:pPr>
        <w:pStyle w:val="BTEMEASMCA"/>
        <w:rPr>
          <w:noProof w:val="0"/>
        </w:rPr>
      </w:pPr>
    </w:p>
    <w:p w14:paraId="54701CD2" w14:textId="77777777" w:rsidR="004C2CCC" w:rsidRPr="000D6942" w:rsidRDefault="004C2CCC" w:rsidP="00CF38FA">
      <w:pPr>
        <w:pStyle w:val="BTEMEASMCA"/>
        <w:rPr>
          <w:noProof w:val="0"/>
        </w:rPr>
      </w:pPr>
    </w:p>
    <w:p w14:paraId="6C0E8997" w14:textId="77777777" w:rsidR="004C2CCC" w:rsidRPr="000D6942" w:rsidRDefault="004C2CCC" w:rsidP="00CF38FA">
      <w:pPr>
        <w:pStyle w:val="BTEMEASMCA"/>
        <w:rPr>
          <w:noProof w:val="0"/>
        </w:rPr>
      </w:pPr>
    </w:p>
    <w:p w14:paraId="04C155E1" w14:textId="77777777" w:rsidR="004C2CCC" w:rsidRPr="000D6942" w:rsidRDefault="004C2CCC" w:rsidP="00CF38FA">
      <w:pPr>
        <w:pStyle w:val="BTEMEASMCA"/>
        <w:rPr>
          <w:noProof w:val="0"/>
        </w:rPr>
      </w:pPr>
    </w:p>
    <w:p w14:paraId="08083B22" w14:textId="77777777" w:rsidR="004C2CCC" w:rsidRPr="000D6942" w:rsidRDefault="004C2CCC" w:rsidP="00CF38FA">
      <w:pPr>
        <w:pStyle w:val="BTEMEASMCA"/>
        <w:rPr>
          <w:noProof w:val="0"/>
        </w:rPr>
      </w:pPr>
    </w:p>
    <w:p w14:paraId="3ED14924" w14:textId="77777777" w:rsidR="004C2CCC" w:rsidRPr="000D6942" w:rsidRDefault="004C2CCC" w:rsidP="00CF38FA">
      <w:pPr>
        <w:pStyle w:val="BTEMEASMCA"/>
        <w:rPr>
          <w:noProof w:val="0"/>
        </w:rPr>
      </w:pPr>
    </w:p>
    <w:p w14:paraId="7DEFAFFC" w14:textId="77777777" w:rsidR="004C2CCC" w:rsidRPr="000D6942" w:rsidRDefault="004C2CCC" w:rsidP="00CF38FA">
      <w:pPr>
        <w:pStyle w:val="TTEMEASMCA"/>
        <w:rPr>
          <w:lang w:val="lt-LT"/>
        </w:rPr>
      </w:pPr>
      <w:bookmarkStart w:id="10" w:name="_Toc129243128"/>
      <w:bookmarkStart w:id="11" w:name="_Toc129243253"/>
    </w:p>
    <w:p w14:paraId="6F3F4271" w14:textId="77777777" w:rsidR="004C2CCC" w:rsidRPr="000D6942" w:rsidRDefault="004C2CCC" w:rsidP="00CF38FA">
      <w:pPr>
        <w:pStyle w:val="TTEMEASMCA"/>
        <w:rPr>
          <w:lang w:val="lt-LT"/>
        </w:rPr>
      </w:pPr>
      <w:r w:rsidRPr="000D6942">
        <w:rPr>
          <w:lang w:val="lt-LT"/>
        </w:rPr>
        <w:t>II PRIEDAS</w:t>
      </w:r>
      <w:bookmarkEnd w:id="10"/>
      <w:bookmarkEnd w:id="11"/>
    </w:p>
    <w:p w14:paraId="68E4D878" w14:textId="77777777" w:rsidR="004C2CCC" w:rsidRPr="000D6942" w:rsidRDefault="004C2CCC" w:rsidP="00CF38FA">
      <w:pPr>
        <w:pStyle w:val="TTEMEASMCA"/>
        <w:rPr>
          <w:lang w:val="lt-LT"/>
        </w:rPr>
      </w:pPr>
    </w:p>
    <w:p w14:paraId="2E515155" w14:textId="77777777" w:rsidR="004C2CCC" w:rsidRPr="000D6942" w:rsidRDefault="008531BD" w:rsidP="00CF38FA">
      <w:pPr>
        <w:pStyle w:val="TTEMEASMCA"/>
        <w:rPr>
          <w:lang w:val="lt-LT"/>
        </w:rPr>
      </w:pPr>
      <w:r w:rsidRPr="000D6942">
        <w:rPr>
          <w:lang w:val="lt-LT"/>
        </w:rPr>
        <w:t xml:space="preserve">REGISTRACIJOS </w:t>
      </w:r>
      <w:r w:rsidR="004C2CCC" w:rsidRPr="000D6942">
        <w:rPr>
          <w:lang w:val="lt-LT"/>
        </w:rPr>
        <w:t>SĄLYGOS</w:t>
      </w:r>
    </w:p>
    <w:p w14:paraId="00A9E646" w14:textId="77777777" w:rsidR="004C2CCC" w:rsidRPr="000D6942" w:rsidRDefault="004C2CCC" w:rsidP="00CF38FA">
      <w:pPr>
        <w:pStyle w:val="BTEMEASMCA"/>
        <w:rPr>
          <w:noProof w:val="0"/>
        </w:rPr>
      </w:pPr>
    </w:p>
    <w:p w14:paraId="10F3CE58" w14:textId="77777777" w:rsidR="004C2CCC" w:rsidRPr="000D6942" w:rsidRDefault="004C2CCC" w:rsidP="00CF38FA">
      <w:pPr>
        <w:ind w:left="1701" w:right="1416" w:hanging="708"/>
        <w:rPr>
          <w:b/>
          <w:szCs w:val="22"/>
        </w:rPr>
      </w:pPr>
      <w:r w:rsidRPr="000D6942">
        <w:rPr>
          <w:b/>
          <w:szCs w:val="22"/>
        </w:rPr>
        <w:t>A.</w:t>
      </w:r>
      <w:r w:rsidRPr="000D6942">
        <w:rPr>
          <w:b/>
          <w:szCs w:val="22"/>
        </w:rPr>
        <w:tab/>
        <w:t>GAMINTOJAS (-AI), ATSAKINGAS (-I) UŽ SERIJŲ IŠLEIDIMĄ</w:t>
      </w:r>
    </w:p>
    <w:p w14:paraId="743FC14F" w14:textId="77777777" w:rsidR="004C2CCC" w:rsidRPr="000D6942" w:rsidRDefault="004C2CCC" w:rsidP="00CF38FA">
      <w:pPr>
        <w:rPr>
          <w:szCs w:val="22"/>
        </w:rPr>
      </w:pPr>
    </w:p>
    <w:p w14:paraId="4CE7FA02" w14:textId="77777777" w:rsidR="004C2CCC" w:rsidRPr="000D6942" w:rsidRDefault="004C2CCC" w:rsidP="00CF38FA">
      <w:pPr>
        <w:suppressLineNumbers/>
        <w:ind w:left="1701" w:right="1416" w:hanging="708"/>
        <w:rPr>
          <w:szCs w:val="22"/>
        </w:rPr>
      </w:pPr>
      <w:r w:rsidRPr="000D6942">
        <w:rPr>
          <w:b/>
          <w:szCs w:val="22"/>
        </w:rPr>
        <w:t>B.</w:t>
      </w:r>
      <w:r w:rsidRPr="000D6942">
        <w:rPr>
          <w:b/>
          <w:szCs w:val="22"/>
        </w:rPr>
        <w:tab/>
        <w:t>TIEKIMO IR VARTOJIMO SĄLYGOS AR APRIBOJIMAI</w:t>
      </w:r>
    </w:p>
    <w:p w14:paraId="7A6EFC02" w14:textId="77777777" w:rsidR="004C2CCC" w:rsidRPr="000D6942" w:rsidRDefault="004C2CCC" w:rsidP="00CF38FA">
      <w:pPr>
        <w:rPr>
          <w:szCs w:val="22"/>
        </w:rPr>
      </w:pPr>
    </w:p>
    <w:p w14:paraId="0EC6DE67" w14:textId="77777777" w:rsidR="004C2CCC" w:rsidRPr="000D6942" w:rsidRDefault="004C2CCC" w:rsidP="00CF38FA">
      <w:pPr>
        <w:suppressLineNumbers/>
        <w:ind w:left="1701" w:right="1558" w:hanging="708"/>
        <w:rPr>
          <w:szCs w:val="22"/>
        </w:rPr>
      </w:pPr>
      <w:r w:rsidRPr="000D6942">
        <w:rPr>
          <w:b/>
          <w:szCs w:val="22"/>
        </w:rPr>
        <w:t>C.</w:t>
      </w:r>
      <w:r w:rsidRPr="000D6942">
        <w:rPr>
          <w:b/>
          <w:szCs w:val="22"/>
        </w:rPr>
        <w:tab/>
        <w:t xml:space="preserve">KITOS SĄLYGOS IR REIKALAVIMAI </w:t>
      </w:r>
      <w:r w:rsidR="008531BD" w:rsidRPr="000D6942">
        <w:rPr>
          <w:b/>
          <w:szCs w:val="22"/>
        </w:rPr>
        <w:t>REGISTRUOTOJUI</w:t>
      </w:r>
    </w:p>
    <w:p w14:paraId="7E4ECAB0" w14:textId="77777777" w:rsidR="004C2CCC" w:rsidRPr="000D6942" w:rsidRDefault="004C2CCC" w:rsidP="00CF38FA">
      <w:pPr>
        <w:pStyle w:val="BTEMEASMCA"/>
        <w:rPr>
          <w:noProof w:val="0"/>
          <w:highlight w:val="yellow"/>
        </w:rPr>
      </w:pPr>
    </w:p>
    <w:p w14:paraId="2FC2C7C3" w14:textId="77777777" w:rsidR="004C2CCC" w:rsidRPr="000D6942" w:rsidRDefault="004C2CCC" w:rsidP="00CF38FA">
      <w:pPr>
        <w:ind w:left="567" w:hanging="567"/>
        <w:rPr>
          <w:szCs w:val="22"/>
        </w:rPr>
      </w:pPr>
      <w:r w:rsidRPr="000D6942">
        <w:rPr>
          <w:szCs w:val="22"/>
        </w:rPr>
        <w:br w:type="page"/>
      </w:r>
      <w:r w:rsidRPr="000D6942">
        <w:rPr>
          <w:b/>
          <w:szCs w:val="22"/>
        </w:rPr>
        <w:lastRenderedPageBreak/>
        <w:t>A.</w:t>
      </w:r>
      <w:r w:rsidRPr="000D6942">
        <w:rPr>
          <w:b/>
          <w:szCs w:val="22"/>
        </w:rPr>
        <w:tab/>
        <w:t>GAMINTOJAS (-AI), ATSAKINGAS (-I) UŽ SERIJŲ IŠLEIDIMĄ</w:t>
      </w:r>
    </w:p>
    <w:p w14:paraId="5E76470D" w14:textId="77777777" w:rsidR="004C2CCC" w:rsidRPr="000D6942" w:rsidRDefault="004C2CCC" w:rsidP="00CF38FA">
      <w:pPr>
        <w:jc w:val="both"/>
        <w:rPr>
          <w:szCs w:val="22"/>
          <w:u w:val="single"/>
        </w:rPr>
      </w:pPr>
    </w:p>
    <w:p w14:paraId="7A9094F0" w14:textId="77777777" w:rsidR="004C2CCC" w:rsidRPr="000D6942" w:rsidRDefault="004C2CCC" w:rsidP="00CF38FA">
      <w:pPr>
        <w:jc w:val="both"/>
        <w:rPr>
          <w:szCs w:val="22"/>
        </w:rPr>
      </w:pPr>
      <w:r w:rsidRPr="000D6942">
        <w:rPr>
          <w:szCs w:val="22"/>
          <w:u w:val="single"/>
        </w:rPr>
        <w:t>Gamintojo, atsakingo už serijų išleidimą, pavadinimas ir adresas</w:t>
      </w:r>
    </w:p>
    <w:p w14:paraId="17AEA583" w14:textId="77777777" w:rsidR="004C2CCC" w:rsidRPr="000D6942" w:rsidRDefault="004C2CCC" w:rsidP="00CF38FA">
      <w:pPr>
        <w:rPr>
          <w:szCs w:val="22"/>
        </w:rPr>
      </w:pPr>
    </w:p>
    <w:p w14:paraId="221062D7" w14:textId="77777777" w:rsidR="004A7D96" w:rsidRPr="002A0D89" w:rsidRDefault="00887DA5" w:rsidP="004A7D96">
      <w:pPr>
        <w:rPr>
          <w:rFonts w:eastAsia="Arial Unicode MS"/>
        </w:rPr>
      </w:pPr>
      <w:r w:rsidRPr="002A0D89">
        <w:rPr>
          <w:rFonts w:eastAsia="Arial Unicode MS"/>
        </w:rPr>
        <w:t xml:space="preserve">Vifor France </w:t>
      </w:r>
    </w:p>
    <w:p w14:paraId="69AC9A2F" w14:textId="77777777" w:rsidR="004A7D96" w:rsidRPr="002A0D89" w:rsidRDefault="00887DA5" w:rsidP="004A7D96">
      <w:pPr>
        <w:rPr>
          <w:rFonts w:eastAsia="Arial Unicode MS"/>
        </w:rPr>
      </w:pPr>
      <w:r w:rsidRPr="002A0D89">
        <w:rPr>
          <w:rFonts w:eastAsia="Arial Unicode MS"/>
        </w:rPr>
        <w:t xml:space="preserve">100-101 Terrasse Boieldieu </w:t>
      </w:r>
    </w:p>
    <w:p w14:paraId="1DA3F33D" w14:textId="77777777" w:rsidR="004A7D96" w:rsidRPr="002A0D89" w:rsidRDefault="00887DA5" w:rsidP="004A7D96">
      <w:pPr>
        <w:rPr>
          <w:rFonts w:eastAsia="Arial Unicode MS"/>
        </w:rPr>
      </w:pPr>
      <w:r w:rsidRPr="002A0D89">
        <w:rPr>
          <w:rFonts w:eastAsia="Arial Unicode MS"/>
        </w:rPr>
        <w:t>Tour Franklin La Défense 8</w:t>
      </w:r>
    </w:p>
    <w:p w14:paraId="35B72FCC" w14:textId="77777777" w:rsidR="00CF38FA" w:rsidRPr="000D6942" w:rsidRDefault="00887DA5" w:rsidP="00CF38FA">
      <w:pPr>
        <w:rPr>
          <w:rFonts w:eastAsia="Arial Unicode MS"/>
          <w:szCs w:val="22"/>
        </w:rPr>
      </w:pPr>
      <w:r w:rsidRPr="000D6942">
        <w:rPr>
          <w:rFonts w:eastAsia="Arial Unicode MS"/>
          <w:szCs w:val="22"/>
        </w:rPr>
        <w:t>92042 Paris La Défense Cedex</w:t>
      </w:r>
    </w:p>
    <w:p w14:paraId="4FB16745" w14:textId="77777777" w:rsidR="004C2CCC" w:rsidRPr="000D6942" w:rsidRDefault="004C2CCC" w:rsidP="00CF38FA">
      <w:pPr>
        <w:rPr>
          <w:rFonts w:eastAsia="Arial Unicode MS"/>
          <w:szCs w:val="22"/>
        </w:rPr>
      </w:pPr>
      <w:r w:rsidRPr="000D6942">
        <w:rPr>
          <w:rFonts w:eastAsia="Arial Unicode MS"/>
          <w:szCs w:val="22"/>
        </w:rPr>
        <w:t>Prancūzija</w:t>
      </w:r>
    </w:p>
    <w:p w14:paraId="63D3AAD0" w14:textId="77777777" w:rsidR="004C2CCC" w:rsidRPr="000D6942" w:rsidRDefault="004C2CCC" w:rsidP="00CF38FA">
      <w:pPr>
        <w:rPr>
          <w:szCs w:val="22"/>
        </w:rPr>
      </w:pPr>
    </w:p>
    <w:p w14:paraId="4A4CEB38" w14:textId="77777777" w:rsidR="004C2CCC" w:rsidRPr="000D6942" w:rsidRDefault="004C2CCC" w:rsidP="00CF38FA">
      <w:pPr>
        <w:rPr>
          <w:szCs w:val="22"/>
          <w:highlight w:val="yellow"/>
        </w:rPr>
      </w:pPr>
    </w:p>
    <w:p w14:paraId="03E88E47" w14:textId="77777777" w:rsidR="00CF38FA" w:rsidRPr="000D6942" w:rsidRDefault="004C2CCC" w:rsidP="00CF38FA">
      <w:pPr>
        <w:suppressLineNumbers/>
        <w:ind w:left="567" w:hanging="567"/>
        <w:rPr>
          <w:b/>
        </w:rPr>
      </w:pPr>
      <w:r w:rsidRPr="000D6942">
        <w:rPr>
          <w:b/>
          <w:szCs w:val="22"/>
        </w:rPr>
        <w:t>B.</w:t>
      </w:r>
      <w:r w:rsidRPr="000D6942">
        <w:rPr>
          <w:b/>
          <w:szCs w:val="22"/>
        </w:rPr>
        <w:tab/>
        <w:t>TIEKIMO IR VARTOJIMO SĄLYGOS AR APRIBOJIMAI</w:t>
      </w:r>
    </w:p>
    <w:p w14:paraId="0BA6DF7C" w14:textId="77777777" w:rsidR="004C2CCC" w:rsidRPr="000D6942" w:rsidRDefault="004C2CCC" w:rsidP="00CF38FA">
      <w:pPr>
        <w:rPr>
          <w:szCs w:val="22"/>
        </w:rPr>
      </w:pPr>
    </w:p>
    <w:p w14:paraId="1BD85989" w14:textId="77777777" w:rsidR="004C2CCC" w:rsidRPr="000D6942" w:rsidRDefault="004C2CCC" w:rsidP="00CF38FA">
      <w:pPr>
        <w:rPr>
          <w:szCs w:val="22"/>
        </w:rPr>
      </w:pPr>
      <w:r w:rsidRPr="000D6942">
        <w:rPr>
          <w:szCs w:val="22"/>
        </w:rPr>
        <w:t>Receptinis vaistinis preparatas.</w:t>
      </w:r>
    </w:p>
    <w:p w14:paraId="55EFAD2B" w14:textId="77777777" w:rsidR="004C2CCC" w:rsidRPr="000D6942" w:rsidRDefault="004C2CCC" w:rsidP="00CF38FA">
      <w:pPr>
        <w:rPr>
          <w:szCs w:val="22"/>
        </w:rPr>
      </w:pPr>
    </w:p>
    <w:p w14:paraId="66D320A3" w14:textId="77777777" w:rsidR="004C2CCC" w:rsidRPr="000D6942" w:rsidRDefault="004C2CCC" w:rsidP="00CF38FA">
      <w:pPr>
        <w:rPr>
          <w:szCs w:val="22"/>
        </w:rPr>
      </w:pPr>
    </w:p>
    <w:p w14:paraId="4C97FB22" w14:textId="77777777" w:rsidR="004C2CCC" w:rsidRPr="000D6942" w:rsidRDefault="004C2CCC" w:rsidP="00CF38FA">
      <w:pPr>
        <w:suppressLineNumbers/>
        <w:ind w:left="567" w:hanging="567"/>
        <w:rPr>
          <w:b/>
          <w:szCs w:val="22"/>
        </w:rPr>
      </w:pPr>
      <w:r w:rsidRPr="000D6942">
        <w:rPr>
          <w:b/>
          <w:szCs w:val="22"/>
        </w:rPr>
        <w:t>C.</w:t>
      </w:r>
      <w:r w:rsidRPr="000D6942">
        <w:rPr>
          <w:b/>
          <w:szCs w:val="22"/>
        </w:rPr>
        <w:tab/>
        <w:t xml:space="preserve">KITOS SĄLYGOS IR REIKALAVIMAI </w:t>
      </w:r>
      <w:r w:rsidR="008531BD" w:rsidRPr="000D6942">
        <w:rPr>
          <w:b/>
          <w:szCs w:val="22"/>
        </w:rPr>
        <w:t>REGISTRUOTOJUI</w:t>
      </w:r>
    </w:p>
    <w:p w14:paraId="7D8A3318" w14:textId="77777777" w:rsidR="004C2CCC" w:rsidRPr="000D6942" w:rsidRDefault="004C2CCC" w:rsidP="00CF38FA">
      <w:pPr>
        <w:pStyle w:val="BTEMEASMCA"/>
        <w:rPr>
          <w:noProof w:val="0"/>
          <w:highlight w:val="yellow"/>
        </w:rPr>
      </w:pPr>
    </w:p>
    <w:p w14:paraId="39D72790" w14:textId="77777777" w:rsidR="004C2CCC" w:rsidRPr="000D6942" w:rsidRDefault="008531BD" w:rsidP="00CF38FA">
      <w:pPr>
        <w:pStyle w:val="BTEMEASMCA"/>
        <w:rPr>
          <w:noProof w:val="0"/>
        </w:rPr>
      </w:pPr>
      <w:r w:rsidRPr="000D6942">
        <w:rPr>
          <w:noProof w:val="0"/>
        </w:rPr>
        <w:t>Registruotojas</w:t>
      </w:r>
      <w:r w:rsidR="004C2CCC" w:rsidRPr="000D6942">
        <w:rPr>
          <w:noProof w:val="0"/>
        </w:rPr>
        <w:t xml:space="preserve"> per nustatytą laikotarpį turi baigti žemiau nurodytą tyrimų programą kasmetiniam preparato naudos ir rizikos santykio vertinimui.</w:t>
      </w:r>
    </w:p>
    <w:p w14:paraId="0E15A54B" w14:textId="77777777" w:rsidR="004C2CCC" w:rsidRPr="000D6942" w:rsidRDefault="004C2CCC" w:rsidP="00CF38FA">
      <w:pPr>
        <w:pStyle w:val="BTEMEASMCA"/>
        <w:rPr>
          <w:noProof w:val="0"/>
        </w:rPr>
      </w:pPr>
    </w:p>
    <w:p w14:paraId="6F72E9E3" w14:textId="77777777" w:rsidR="004C2CCC" w:rsidRPr="000D6942" w:rsidRDefault="004C2CCC" w:rsidP="00CF38FA">
      <w:pPr>
        <w:rPr>
          <w:szCs w:val="22"/>
        </w:rPr>
      </w:pPr>
      <w:r w:rsidRPr="000D6942">
        <w:rPr>
          <w:szCs w:val="22"/>
        </w:rPr>
        <w:t>Procedūros metu buvo priimti įpareigojimai:</w:t>
      </w:r>
    </w:p>
    <w:p w14:paraId="268399C9" w14:textId="77777777" w:rsidR="004C2CCC" w:rsidRPr="000D6942" w:rsidRDefault="004C2CCC" w:rsidP="00CF38FA">
      <w:pPr>
        <w:pStyle w:val="BTEMEASMCA"/>
        <w:rPr>
          <w:noProof w:val="0"/>
        </w:rPr>
      </w:pPr>
      <w:r w:rsidRPr="000D6942">
        <w:rPr>
          <w:noProof w:val="0"/>
        </w:rPr>
        <w:t>Cheminiai, farmaciniai ir biologiniai aspektai</w:t>
      </w:r>
    </w:p>
    <w:p w14:paraId="21AF724A" w14:textId="77777777" w:rsidR="004C2CCC" w:rsidRPr="000D6942" w:rsidRDefault="004C2CCC" w:rsidP="00CF38FA">
      <w:pPr>
        <w:numPr>
          <w:ilvl w:val="0"/>
          <w:numId w:val="8"/>
        </w:numPr>
        <w:rPr>
          <w:szCs w:val="22"/>
        </w:rPr>
      </w:pPr>
      <w:r w:rsidRPr="000D6942">
        <w:rPr>
          <w:szCs w:val="22"/>
        </w:rPr>
        <w:t>IDT gamybos vietoje užpildžius flakonus, prieš sterilinimą atlikti mikrobiologinio užterštumo tyrimus.</w:t>
      </w:r>
    </w:p>
    <w:p w14:paraId="62C0322F" w14:textId="77777777" w:rsidR="004C2CCC" w:rsidRPr="000D6942" w:rsidRDefault="004C2CCC" w:rsidP="00CF38FA">
      <w:pPr>
        <w:numPr>
          <w:ilvl w:val="0"/>
          <w:numId w:val="8"/>
        </w:numPr>
        <w:rPr>
          <w:szCs w:val="22"/>
        </w:rPr>
      </w:pPr>
      <w:r w:rsidRPr="000D6942">
        <w:rPr>
          <w:szCs w:val="22"/>
        </w:rPr>
        <w:t>IDT ir Altana gamybos vietoje įvykdyti įsipareigojimus dėl stabilumo tyrimų, kaip nurodyta byloje ir atsakymuose. Altana gamybos vietoje validuoti pirmas tris gamybines 400 l serijas (po 2 ml).</w:t>
      </w:r>
    </w:p>
    <w:p w14:paraId="025222D9" w14:textId="77777777" w:rsidR="004C2CCC" w:rsidRPr="000D6942" w:rsidRDefault="004C2CCC" w:rsidP="00CF38FA">
      <w:pPr>
        <w:rPr>
          <w:szCs w:val="22"/>
        </w:rPr>
      </w:pPr>
      <w:r w:rsidRPr="000D6942">
        <w:rPr>
          <w:szCs w:val="22"/>
        </w:rPr>
        <w:t>Toksikologiniai ir farmakologiniai aspektai</w:t>
      </w:r>
    </w:p>
    <w:p w14:paraId="240F9648" w14:textId="77777777" w:rsidR="00CF38FA" w:rsidRPr="000D6942" w:rsidRDefault="004C2CCC" w:rsidP="00CF38FA">
      <w:pPr>
        <w:numPr>
          <w:ilvl w:val="0"/>
          <w:numId w:val="8"/>
        </w:numPr>
        <w:rPr>
          <w:szCs w:val="22"/>
        </w:rPr>
      </w:pPr>
      <w:r w:rsidRPr="000D6942">
        <w:rPr>
          <w:szCs w:val="22"/>
        </w:rPr>
        <w:t xml:space="preserve">peržiūrėti chromo, nikelio ir mangano priimtinus kiekius po to, kai bus patvirtinta galutinė dokumento </w:t>
      </w:r>
      <w:r w:rsidRPr="000D6942">
        <w:rPr>
          <w:i/>
          <w:szCs w:val="22"/>
        </w:rPr>
        <w:t xml:space="preserve">Guideline on the Specification Limits for Residues of Metal Catalysts </w:t>
      </w:r>
      <w:r w:rsidRPr="000D6942">
        <w:rPr>
          <w:szCs w:val="22"/>
        </w:rPr>
        <w:t>versija.</w:t>
      </w:r>
    </w:p>
    <w:p w14:paraId="05050B86" w14:textId="77777777" w:rsidR="004C2CCC" w:rsidRPr="000D6942" w:rsidRDefault="004C2CCC" w:rsidP="00CF38FA">
      <w:pPr>
        <w:pStyle w:val="BTEMEASMCA"/>
        <w:rPr>
          <w:noProof w:val="0"/>
        </w:rPr>
      </w:pPr>
    </w:p>
    <w:p w14:paraId="2D97C31C" w14:textId="77777777" w:rsidR="004C2CCC" w:rsidRPr="000D6942" w:rsidRDefault="004C2CCC" w:rsidP="00CF38FA">
      <w:pPr>
        <w:pStyle w:val="PI-1EMEASMCA"/>
      </w:pPr>
      <w:r w:rsidRPr="000D6942">
        <w:br w:type="page"/>
      </w:r>
    </w:p>
    <w:p w14:paraId="3224E230" w14:textId="77777777" w:rsidR="004C2CCC" w:rsidRPr="000D6942" w:rsidRDefault="004C2CCC" w:rsidP="00CF38FA">
      <w:pPr>
        <w:pStyle w:val="BTEMEASMCA"/>
        <w:rPr>
          <w:noProof w:val="0"/>
        </w:rPr>
      </w:pPr>
    </w:p>
    <w:p w14:paraId="4C061D2F" w14:textId="77777777" w:rsidR="004C2CCC" w:rsidRPr="000D6942" w:rsidRDefault="004C2CCC" w:rsidP="00CF38FA">
      <w:pPr>
        <w:pStyle w:val="BTEMEASMCA"/>
        <w:rPr>
          <w:noProof w:val="0"/>
        </w:rPr>
      </w:pPr>
    </w:p>
    <w:p w14:paraId="219A746F" w14:textId="77777777" w:rsidR="004C2CCC" w:rsidRPr="000D6942" w:rsidRDefault="004C2CCC" w:rsidP="00CF38FA">
      <w:pPr>
        <w:pStyle w:val="BTEMEASMCA"/>
        <w:rPr>
          <w:noProof w:val="0"/>
        </w:rPr>
      </w:pPr>
      <w:bookmarkStart w:id="12" w:name="_Toc129243134"/>
      <w:bookmarkStart w:id="13" w:name="_Toc129243259"/>
    </w:p>
    <w:p w14:paraId="3D71906E" w14:textId="77777777" w:rsidR="004C2CCC" w:rsidRPr="000D6942" w:rsidRDefault="004C2CCC" w:rsidP="00CF38FA">
      <w:pPr>
        <w:pStyle w:val="BTEMEASMCA"/>
        <w:rPr>
          <w:noProof w:val="0"/>
        </w:rPr>
      </w:pPr>
    </w:p>
    <w:p w14:paraId="48BE9816" w14:textId="77777777" w:rsidR="004C2CCC" w:rsidRPr="000D6942" w:rsidRDefault="004C2CCC" w:rsidP="00CF38FA">
      <w:pPr>
        <w:pStyle w:val="BTEMEASMCA"/>
        <w:rPr>
          <w:noProof w:val="0"/>
        </w:rPr>
      </w:pPr>
    </w:p>
    <w:p w14:paraId="52DD72CF" w14:textId="77777777" w:rsidR="004C2CCC" w:rsidRPr="000D6942" w:rsidRDefault="004C2CCC" w:rsidP="00CF38FA">
      <w:pPr>
        <w:pStyle w:val="BTEMEASMCA"/>
        <w:rPr>
          <w:noProof w:val="0"/>
        </w:rPr>
      </w:pPr>
    </w:p>
    <w:p w14:paraId="148A61D8" w14:textId="77777777" w:rsidR="004C2CCC" w:rsidRPr="000D6942" w:rsidRDefault="004C2CCC" w:rsidP="00CF38FA">
      <w:pPr>
        <w:pStyle w:val="BTEMEASMCA"/>
        <w:rPr>
          <w:noProof w:val="0"/>
        </w:rPr>
      </w:pPr>
    </w:p>
    <w:p w14:paraId="1BD84B80" w14:textId="77777777" w:rsidR="004C2CCC" w:rsidRPr="000D6942" w:rsidRDefault="004C2CCC" w:rsidP="00CF38FA">
      <w:pPr>
        <w:pStyle w:val="BTEMEASMCA"/>
        <w:rPr>
          <w:noProof w:val="0"/>
        </w:rPr>
      </w:pPr>
    </w:p>
    <w:p w14:paraId="53D53189" w14:textId="77777777" w:rsidR="004C2CCC" w:rsidRPr="000D6942" w:rsidRDefault="004C2CCC" w:rsidP="00CF38FA">
      <w:pPr>
        <w:pStyle w:val="BTEMEASMCA"/>
        <w:rPr>
          <w:noProof w:val="0"/>
        </w:rPr>
      </w:pPr>
    </w:p>
    <w:p w14:paraId="34DA2BEA" w14:textId="77777777" w:rsidR="004C2CCC" w:rsidRPr="000D6942" w:rsidRDefault="004C2CCC" w:rsidP="00CF38FA">
      <w:pPr>
        <w:pStyle w:val="BTEMEASMCA"/>
        <w:rPr>
          <w:noProof w:val="0"/>
        </w:rPr>
      </w:pPr>
    </w:p>
    <w:p w14:paraId="30D36D00" w14:textId="77777777" w:rsidR="004C2CCC" w:rsidRPr="000D6942" w:rsidRDefault="004C2CCC" w:rsidP="00CF38FA">
      <w:pPr>
        <w:pStyle w:val="BTEMEASMCA"/>
        <w:rPr>
          <w:noProof w:val="0"/>
        </w:rPr>
      </w:pPr>
    </w:p>
    <w:p w14:paraId="3A096D4C" w14:textId="77777777" w:rsidR="004C2CCC" w:rsidRPr="000D6942" w:rsidRDefault="004C2CCC" w:rsidP="00CF38FA">
      <w:pPr>
        <w:pStyle w:val="BTEMEASMCA"/>
        <w:rPr>
          <w:noProof w:val="0"/>
        </w:rPr>
      </w:pPr>
    </w:p>
    <w:p w14:paraId="16B2BD5A" w14:textId="77777777" w:rsidR="004C2CCC" w:rsidRPr="000D6942" w:rsidRDefault="004C2CCC" w:rsidP="00CF38FA">
      <w:pPr>
        <w:pStyle w:val="BTEMEASMCA"/>
        <w:rPr>
          <w:noProof w:val="0"/>
        </w:rPr>
      </w:pPr>
    </w:p>
    <w:p w14:paraId="6216D6C6" w14:textId="77777777" w:rsidR="004C2CCC" w:rsidRPr="000D6942" w:rsidRDefault="004C2CCC" w:rsidP="00CF38FA">
      <w:pPr>
        <w:pStyle w:val="BTEMEASMCA"/>
        <w:rPr>
          <w:noProof w:val="0"/>
        </w:rPr>
      </w:pPr>
    </w:p>
    <w:p w14:paraId="213A42CC" w14:textId="77777777" w:rsidR="004C2CCC" w:rsidRPr="000D6942" w:rsidRDefault="004C2CCC" w:rsidP="00CF38FA">
      <w:pPr>
        <w:pStyle w:val="BTEMEASMCA"/>
        <w:rPr>
          <w:noProof w:val="0"/>
        </w:rPr>
      </w:pPr>
    </w:p>
    <w:p w14:paraId="53214FEB" w14:textId="77777777" w:rsidR="004C2CCC" w:rsidRPr="000D6942" w:rsidRDefault="004C2CCC" w:rsidP="00CF38FA">
      <w:pPr>
        <w:pStyle w:val="BTEMEASMCA"/>
        <w:rPr>
          <w:noProof w:val="0"/>
        </w:rPr>
      </w:pPr>
    </w:p>
    <w:p w14:paraId="4003D2F9" w14:textId="77777777" w:rsidR="004C2CCC" w:rsidRPr="000D6942" w:rsidRDefault="004C2CCC" w:rsidP="00CF38FA">
      <w:pPr>
        <w:pStyle w:val="BTEMEASMCA"/>
        <w:rPr>
          <w:noProof w:val="0"/>
        </w:rPr>
      </w:pPr>
    </w:p>
    <w:p w14:paraId="6DC163CF" w14:textId="77777777" w:rsidR="004C2CCC" w:rsidRPr="000D6942" w:rsidRDefault="004C2CCC" w:rsidP="00CF38FA">
      <w:pPr>
        <w:pStyle w:val="BTEMEASMCA"/>
        <w:rPr>
          <w:noProof w:val="0"/>
        </w:rPr>
      </w:pPr>
    </w:p>
    <w:p w14:paraId="2F1EF5BC" w14:textId="77777777" w:rsidR="004C2CCC" w:rsidRPr="000D6942" w:rsidRDefault="004C2CCC" w:rsidP="00CF38FA">
      <w:pPr>
        <w:pStyle w:val="BTEMEASMCA"/>
        <w:rPr>
          <w:noProof w:val="0"/>
        </w:rPr>
      </w:pPr>
    </w:p>
    <w:p w14:paraId="51C5F899" w14:textId="77777777" w:rsidR="004C2CCC" w:rsidRPr="000D6942" w:rsidRDefault="004C2CCC" w:rsidP="00CF38FA">
      <w:pPr>
        <w:pStyle w:val="BTEMEASMCA"/>
        <w:rPr>
          <w:noProof w:val="0"/>
        </w:rPr>
      </w:pPr>
    </w:p>
    <w:p w14:paraId="32DEF47A" w14:textId="77777777" w:rsidR="004C2CCC" w:rsidRPr="000D6942" w:rsidRDefault="004C2CCC" w:rsidP="00CF38FA">
      <w:pPr>
        <w:pStyle w:val="BTEMEASMCA"/>
        <w:rPr>
          <w:noProof w:val="0"/>
        </w:rPr>
      </w:pPr>
    </w:p>
    <w:p w14:paraId="2E55BF91" w14:textId="77777777" w:rsidR="004C2CCC" w:rsidRPr="000D6942" w:rsidRDefault="004C2CCC" w:rsidP="00CF38FA">
      <w:pPr>
        <w:pStyle w:val="BTEMEASMCA"/>
        <w:rPr>
          <w:noProof w:val="0"/>
        </w:rPr>
      </w:pPr>
    </w:p>
    <w:p w14:paraId="2AA2EFF3" w14:textId="77777777" w:rsidR="004C2CCC" w:rsidRPr="000D6942" w:rsidRDefault="004C2CCC" w:rsidP="00CF38FA">
      <w:pPr>
        <w:pStyle w:val="TTEMEASMCA"/>
        <w:rPr>
          <w:lang w:val="lt-LT"/>
        </w:rPr>
      </w:pPr>
    </w:p>
    <w:p w14:paraId="47DC01B0" w14:textId="77777777" w:rsidR="004C2CCC" w:rsidRPr="000D6942" w:rsidRDefault="004C2CCC" w:rsidP="00CF38FA">
      <w:pPr>
        <w:pStyle w:val="TTEMEASMCA"/>
        <w:rPr>
          <w:lang w:val="lt-LT"/>
        </w:rPr>
      </w:pPr>
      <w:r w:rsidRPr="000D6942">
        <w:rPr>
          <w:lang w:val="lt-LT"/>
        </w:rPr>
        <w:t>III PRIEDAS</w:t>
      </w:r>
      <w:bookmarkEnd w:id="12"/>
      <w:bookmarkEnd w:id="13"/>
    </w:p>
    <w:p w14:paraId="5E39908E" w14:textId="77777777" w:rsidR="004C2CCC" w:rsidRPr="000D6942" w:rsidRDefault="004C2CCC" w:rsidP="00CF38FA">
      <w:pPr>
        <w:pStyle w:val="BTEMEASMCA"/>
        <w:rPr>
          <w:noProof w:val="0"/>
        </w:rPr>
      </w:pPr>
    </w:p>
    <w:p w14:paraId="616B8CB2" w14:textId="77777777" w:rsidR="004C2CCC" w:rsidRPr="000D6942" w:rsidRDefault="004C2CCC" w:rsidP="00CF38FA">
      <w:pPr>
        <w:pStyle w:val="TTEMEASMCA"/>
        <w:rPr>
          <w:lang w:val="lt-LT"/>
        </w:rPr>
      </w:pPr>
      <w:bookmarkStart w:id="14" w:name="_Toc129243135"/>
      <w:bookmarkStart w:id="15" w:name="_Toc129243260"/>
      <w:r w:rsidRPr="000D6942">
        <w:rPr>
          <w:lang w:val="lt-LT"/>
        </w:rPr>
        <w:t>ŽENKLINIMAS IR PAKUOTĖS LAPELIS</w:t>
      </w:r>
      <w:bookmarkEnd w:id="14"/>
      <w:bookmarkEnd w:id="15"/>
    </w:p>
    <w:p w14:paraId="76018531" w14:textId="77777777" w:rsidR="004C2CCC" w:rsidRPr="000D6942" w:rsidRDefault="004C2CCC" w:rsidP="00CF38FA">
      <w:pPr>
        <w:pStyle w:val="BTEMEASMCA"/>
        <w:rPr>
          <w:noProof w:val="0"/>
        </w:rPr>
      </w:pPr>
      <w:r w:rsidRPr="000D6942">
        <w:rPr>
          <w:noProof w:val="0"/>
        </w:rPr>
        <w:br w:type="page"/>
      </w:r>
    </w:p>
    <w:p w14:paraId="335FA4A9" w14:textId="77777777" w:rsidR="004C2CCC" w:rsidRPr="000D6942" w:rsidRDefault="004C2CCC" w:rsidP="00CF38FA">
      <w:pPr>
        <w:pStyle w:val="BTEMEASMCA"/>
        <w:rPr>
          <w:noProof w:val="0"/>
        </w:rPr>
      </w:pPr>
    </w:p>
    <w:p w14:paraId="773CA49C" w14:textId="77777777" w:rsidR="004C2CCC" w:rsidRPr="000D6942" w:rsidRDefault="004C2CCC" w:rsidP="00CF38FA">
      <w:pPr>
        <w:pStyle w:val="BTEMEASMCA"/>
        <w:rPr>
          <w:noProof w:val="0"/>
        </w:rPr>
      </w:pPr>
    </w:p>
    <w:p w14:paraId="6C83DDDE" w14:textId="77777777" w:rsidR="004C2CCC" w:rsidRPr="000D6942" w:rsidRDefault="004C2CCC" w:rsidP="00CF38FA">
      <w:pPr>
        <w:pStyle w:val="BTEMEASMCA"/>
        <w:rPr>
          <w:noProof w:val="0"/>
        </w:rPr>
      </w:pPr>
    </w:p>
    <w:p w14:paraId="19E38EC1" w14:textId="77777777" w:rsidR="004C2CCC" w:rsidRPr="000D6942" w:rsidRDefault="004C2CCC" w:rsidP="00CF38FA">
      <w:pPr>
        <w:pStyle w:val="BTEMEASMCA"/>
        <w:rPr>
          <w:noProof w:val="0"/>
        </w:rPr>
      </w:pPr>
    </w:p>
    <w:p w14:paraId="49E83464" w14:textId="77777777" w:rsidR="004C2CCC" w:rsidRPr="000D6942" w:rsidRDefault="004C2CCC" w:rsidP="00CF38FA">
      <w:pPr>
        <w:pStyle w:val="BTEMEASMCA"/>
        <w:rPr>
          <w:noProof w:val="0"/>
        </w:rPr>
      </w:pPr>
    </w:p>
    <w:p w14:paraId="6C2EB598" w14:textId="77777777" w:rsidR="004C2CCC" w:rsidRPr="000D6942" w:rsidRDefault="004C2CCC" w:rsidP="00CF38FA">
      <w:pPr>
        <w:pStyle w:val="BTEMEASMCA"/>
        <w:rPr>
          <w:noProof w:val="0"/>
        </w:rPr>
      </w:pPr>
    </w:p>
    <w:p w14:paraId="56F97D2E" w14:textId="77777777" w:rsidR="004C2CCC" w:rsidRPr="000D6942" w:rsidRDefault="004C2CCC" w:rsidP="00CF38FA">
      <w:pPr>
        <w:pStyle w:val="BTEMEASMCA"/>
        <w:rPr>
          <w:noProof w:val="0"/>
        </w:rPr>
      </w:pPr>
    </w:p>
    <w:p w14:paraId="3C443C61" w14:textId="77777777" w:rsidR="004C2CCC" w:rsidRPr="000D6942" w:rsidRDefault="004C2CCC" w:rsidP="00CF38FA">
      <w:pPr>
        <w:pStyle w:val="BTEMEASMCA"/>
        <w:rPr>
          <w:noProof w:val="0"/>
        </w:rPr>
      </w:pPr>
    </w:p>
    <w:p w14:paraId="20CD39F2" w14:textId="77777777" w:rsidR="004C2CCC" w:rsidRPr="000D6942" w:rsidRDefault="004C2CCC" w:rsidP="00CF38FA">
      <w:pPr>
        <w:pStyle w:val="BTEMEASMCA"/>
        <w:rPr>
          <w:noProof w:val="0"/>
        </w:rPr>
      </w:pPr>
    </w:p>
    <w:p w14:paraId="7C34B12F" w14:textId="77777777" w:rsidR="004C2CCC" w:rsidRPr="000D6942" w:rsidRDefault="004C2CCC" w:rsidP="00CF38FA">
      <w:pPr>
        <w:pStyle w:val="BTEMEASMCA"/>
        <w:rPr>
          <w:noProof w:val="0"/>
        </w:rPr>
      </w:pPr>
    </w:p>
    <w:p w14:paraId="0C7E41BA" w14:textId="77777777" w:rsidR="004C2CCC" w:rsidRPr="000D6942" w:rsidRDefault="004C2CCC" w:rsidP="00CF38FA">
      <w:pPr>
        <w:pStyle w:val="BTEMEASMCA"/>
        <w:rPr>
          <w:noProof w:val="0"/>
        </w:rPr>
      </w:pPr>
    </w:p>
    <w:p w14:paraId="62AC3464" w14:textId="77777777" w:rsidR="004C2CCC" w:rsidRPr="000D6942" w:rsidRDefault="004C2CCC" w:rsidP="00CF38FA">
      <w:pPr>
        <w:pStyle w:val="BTEMEASMCA"/>
        <w:rPr>
          <w:noProof w:val="0"/>
        </w:rPr>
      </w:pPr>
    </w:p>
    <w:p w14:paraId="0362C689" w14:textId="77777777" w:rsidR="004C2CCC" w:rsidRPr="000D6942" w:rsidRDefault="004C2CCC" w:rsidP="00CF38FA">
      <w:pPr>
        <w:pStyle w:val="BTEMEASMCA"/>
        <w:rPr>
          <w:noProof w:val="0"/>
        </w:rPr>
      </w:pPr>
    </w:p>
    <w:p w14:paraId="7F671FF3" w14:textId="77777777" w:rsidR="004C2CCC" w:rsidRPr="000D6942" w:rsidRDefault="004C2CCC" w:rsidP="00CF38FA">
      <w:pPr>
        <w:pStyle w:val="BTEMEASMCA"/>
        <w:rPr>
          <w:noProof w:val="0"/>
        </w:rPr>
      </w:pPr>
    </w:p>
    <w:p w14:paraId="3241B799" w14:textId="77777777" w:rsidR="004C2CCC" w:rsidRPr="000D6942" w:rsidRDefault="004C2CCC" w:rsidP="00CF38FA">
      <w:pPr>
        <w:pStyle w:val="BTEMEASMCA"/>
        <w:rPr>
          <w:noProof w:val="0"/>
        </w:rPr>
      </w:pPr>
    </w:p>
    <w:p w14:paraId="1E2D27E6" w14:textId="77777777" w:rsidR="004C2CCC" w:rsidRPr="000D6942" w:rsidRDefault="004C2CCC" w:rsidP="00CF38FA">
      <w:pPr>
        <w:pStyle w:val="BTEMEASMCA"/>
        <w:rPr>
          <w:noProof w:val="0"/>
        </w:rPr>
      </w:pPr>
    </w:p>
    <w:p w14:paraId="456068B0" w14:textId="77777777" w:rsidR="004C2CCC" w:rsidRPr="000D6942" w:rsidRDefault="004C2CCC" w:rsidP="00CF38FA">
      <w:pPr>
        <w:pStyle w:val="BTEMEASMCA"/>
        <w:rPr>
          <w:noProof w:val="0"/>
        </w:rPr>
      </w:pPr>
    </w:p>
    <w:p w14:paraId="1E9D0261" w14:textId="77777777" w:rsidR="004C2CCC" w:rsidRPr="000D6942" w:rsidRDefault="004C2CCC" w:rsidP="00CF38FA">
      <w:pPr>
        <w:pStyle w:val="BTEMEASMCA"/>
        <w:rPr>
          <w:noProof w:val="0"/>
        </w:rPr>
      </w:pPr>
    </w:p>
    <w:p w14:paraId="0870FFEF" w14:textId="77777777" w:rsidR="004C2CCC" w:rsidRPr="000D6942" w:rsidRDefault="004C2CCC" w:rsidP="00CF38FA">
      <w:pPr>
        <w:pStyle w:val="BTEMEASMCA"/>
        <w:rPr>
          <w:noProof w:val="0"/>
        </w:rPr>
      </w:pPr>
    </w:p>
    <w:p w14:paraId="72172C3E" w14:textId="77777777" w:rsidR="004C2CCC" w:rsidRPr="000D6942" w:rsidRDefault="004C2CCC" w:rsidP="00CF38FA">
      <w:pPr>
        <w:pStyle w:val="BTEMEASMCA"/>
        <w:rPr>
          <w:noProof w:val="0"/>
        </w:rPr>
      </w:pPr>
    </w:p>
    <w:p w14:paraId="7E093E1B" w14:textId="77777777" w:rsidR="004C2CCC" w:rsidRPr="000D6942" w:rsidRDefault="004C2CCC" w:rsidP="00CF38FA">
      <w:pPr>
        <w:pStyle w:val="BTEMEASMCA"/>
        <w:rPr>
          <w:noProof w:val="0"/>
        </w:rPr>
      </w:pPr>
    </w:p>
    <w:p w14:paraId="43A08E1D" w14:textId="77777777" w:rsidR="004C2CCC" w:rsidRPr="000D6942" w:rsidRDefault="004C2CCC" w:rsidP="00CF38FA">
      <w:pPr>
        <w:pStyle w:val="BTEMEASMCA"/>
        <w:rPr>
          <w:noProof w:val="0"/>
        </w:rPr>
      </w:pPr>
    </w:p>
    <w:p w14:paraId="0178D591" w14:textId="77777777" w:rsidR="004C2CCC" w:rsidRPr="000D6942" w:rsidRDefault="004C2CCC" w:rsidP="00CF38FA">
      <w:pPr>
        <w:pStyle w:val="TTEMEASMCA"/>
        <w:rPr>
          <w:lang w:val="lt-LT"/>
        </w:rPr>
      </w:pPr>
      <w:bookmarkStart w:id="16" w:name="_Toc129243136"/>
      <w:bookmarkStart w:id="17" w:name="_Toc129243261"/>
    </w:p>
    <w:p w14:paraId="13A5C5CA" w14:textId="77777777" w:rsidR="004C2CCC" w:rsidRPr="000D6942" w:rsidRDefault="004C2CCC" w:rsidP="00CF38FA">
      <w:pPr>
        <w:pStyle w:val="TTEMEASMCA"/>
        <w:rPr>
          <w:lang w:val="lt-LT"/>
        </w:rPr>
      </w:pPr>
      <w:r w:rsidRPr="000D6942">
        <w:rPr>
          <w:lang w:val="lt-LT"/>
        </w:rPr>
        <w:t>A. ŽENKLINIMAS</w:t>
      </w:r>
      <w:bookmarkEnd w:id="16"/>
      <w:bookmarkEnd w:id="17"/>
    </w:p>
    <w:p w14:paraId="59A18D01" w14:textId="77777777" w:rsidR="004C2CCC" w:rsidRPr="000D6942" w:rsidRDefault="004C2CCC" w:rsidP="00CF38FA">
      <w:pPr>
        <w:pStyle w:val="BTEMEASMCA"/>
        <w:rPr>
          <w:noProof w:val="0"/>
        </w:rPr>
      </w:pPr>
      <w:r w:rsidRPr="000D6942">
        <w:rPr>
          <w:noProof w:val="0"/>
        </w:rPr>
        <w:br w:type="page"/>
      </w:r>
    </w:p>
    <w:p w14:paraId="091B7D02" w14:textId="77777777" w:rsidR="003315E7" w:rsidRPr="000D6942" w:rsidRDefault="003315E7" w:rsidP="003315E7">
      <w:pPr>
        <w:rPr>
          <w:szCs w:val="22"/>
        </w:rPr>
      </w:pPr>
      <w:bookmarkStart w:id="18" w:name="_Toc129243137"/>
      <w:bookmarkStart w:id="19" w:name="_Toc129243262"/>
    </w:p>
    <w:p w14:paraId="7E97696C" w14:textId="77777777" w:rsidR="003315E7" w:rsidRPr="000D6942" w:rsidRDefault="003315E7" w:rsidP="003315E7">
      <w:pPr>
        <w:pBdr>
          <w:top w:val="single" w:sz="4" w:space="1" w:color="auto"/>
          <w:left w:val="single" w:sz="4" w:space="4" w:color="auto"/>
          <w:bottom w:val="single" w:sz="4" w:space="1" w:color="auto"/>
          <w:right w:val="single" w:sz="4" w:space="4" w:color="auto"/>
        </w:pBdr>
        <w:rPr>
          <w:b/>
          <w:szCs w:val="22"/>
        </w:rPr>
      </w:pPr>
      <w:r w:rsidRPr="000D6942">
        <w:rPr>
          <w:b/>
          <w:szCs w:val="22"/>
        </w:rPr>
        <w:t>INFORMACIJA ANT IŠORINĖS PAKUOTĖS</w:t>
      </w:r>
    </w:p>
    <w:p w14:paraId="11B4612D"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rPr>
          <w:szCs w:val="22"/>
        </w:rPr>
      </w:pPr>
    </w:p>
    <w:p w14:paraId="5000C873" w14:textId="77777777" w:rsidR="003315E7" w:rsidRPr="000D6942" w:rsidRDefault="003315E7" w:rsidP="003315E7">
      <w:pPr>
        <w:pBdr>
          <w:top w:val="single" w:sz="4" w:space="1" w:color="auto"/>
          <w:left w:val="single" w:sz="4" w:space="4" w:color="auto"/>
          <w:bottom w:val="single" w:sz="4" w:space="1" w:color="auto"/>
          <w:right w:val="single" w:sz="4" w:space="4" w:color="auto"/>
        </w:pBdr>
        <w:rPr>
          <w:b/>
          <w:szCs w:val="22"/>
        </w:rPr>
      </w:pPr>
      <w:r w:rsidRPr="000D6942">
        <w:rPr>
          <w:b/>
          <w:szCs w:val="22"/>
        </w:rPr>
        <w:t>KARTONO DĖŽUTĖ (1, 2 arba 5 flakonai (2 ml))</w:t>
      </w:r>
    </w:p>
    <w:p w14:paraId="4916BA18" w14:textId="77777777" w:rsidR="003315E7" w:rsidRPr="000D6942" w:rsidRDefault="003315E7" w:rsidP="003315E7">
      <w:pPr>
        <w:rPr>
          <w:szCs w:val="22"/>
        </w:rPr>
      </w:pPr>
    </w:p>
    <w:p w14:paraId="07EE0E27" w14:textId="77777777" w:rsidR="003315E7" w:rsidRPr="000D6942" w:rsidRDefault="003315E7" w:rsidP="003315E7">
      <w:pPr>
        <w:rPr>
          <w:szCs w:val="22"/>
        </w:rPr>
      </w:pPr>
    </w:p>
    <w:p w14:paraId="52A1A311"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t>1.</w:t>
      </w:r>
      <w:r w:rsidRPr="000D6942">
        <w:rPr>
          <w:b/>
          <w:szCs w:val="22"/>
        </w:rPr>
        <w:tab/>
        <w:t>VAISTINIO PREPARATO PAVADINIMAS</w:t>
      </w:r>
    </w:p>
    <w:p w14:paraId="1DF9A629" w14:textId="77777777" w:rsidR="003315E7" w:rsidRPr="000D6942" w:rsidRDefault="003315E7" w:rsidP="003315E7">
      <w:pPr>
        <w:rPr>
          <w:szCs w:val="22"/>
        </w:rPr>
      </w:pPr>
    </w:p>
    <w:p w14:paraId="0D68245A" w14:textId="77777777" w:rsidR="003315E7" w:rsidRPr="000D6942" w:rsidRDefault="003315E7" w:rsidP="003315E7">
      <w:pPr>
        <w:rPr>
          <w:szCs w:val="22"/>
        </w:rPr>
      </w:pPr>
      <w:r w:rsidRPr="000D6942">
        <w:rPr>
          <w:szCs w:val="22"/>
        </w:rPr>
        <w:t>Ferinject</w:t>
      </w:r>
      <w:r w:rsidRPr="000D6942">
        <w:rPr>
          <w:szCs w:val="22"/>
          <w:vertAlign w:val="superscript"/>
        </w:rPr>
        <w:t xml:space="preserve"> </w:t>
      </w:r>
      <w:r w:rsidRPr="000D6942">
        <w:rPr>
          <w:szCs w:val="22"/>
        </w:rPr>
        <w:t>50 mg/ml injekcinis/infuzinis tirpalas</w:t>
      </w:r>
    </w:p>
    <w:p w14:paraId="6F473FAC" w14:textId="77777777" w:rsidR="003315E7" w:rsidRPr="000D6942" w:rsidRDefault="003315E7" w:rsidP="003315E7">
      <w:pPr>
        <w:rPr>
          <w:szCs w:val="22"/>
        </w:rPr>
      </w:pPr>
      <w:r>
        <w:rPr>
          <w:szCs w:val="22"/>
        </w:rPr>
        <w:t>g</w:t>
      </w:r>
      <w:r w:rsidRPr="000D6942">
        <w:rPr>
          <w:szCs w:val="22"/>
        </w:rPr>
        <w:t>eležies karboksimaltozė</w:t>
      </w:r>
    </w:p>
    <w:p w14:paraId="1B62A56B" w14:textId="77777777" w:rsidR="003315E7" w:rsidRPr="000D6942" w:rsidRDefault="003315E7" w:rsidP="003315E7">
      <w:pPr>
        <w:rPr>
          <w:szCs w:val="22"/>
        </w:rPr>
      </w:pPr>
    </w:p>
    <w:p w14:paraId="3270BE22" w14:textId="77777777" w:rsidR="003315E7" w:rsidRPr="000D6942" w:rsidRDefault="003315E7" w:rsidP="003315E7">
      <w:pPr>
        <w:rPr>
          <w:szCs w:val="22"/>
        </w:rPr>
      </w:pPr>
    </w:p>
    <w:p w14:paraId="2A3AE409"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b/>
          <w:szCs w:val="22"/>
        </w:rPr>
      </w:pPr>
      <w:r w:rsidRPr="000D6942">
        <w:rPr>
          <w:b/>
          <w:szCs w:val="22"/>
        </w:rPr>
        <w:t>2.</w:t>
      </w:r>
      <w:r w:rsidRPr="000D6942">
        <w:rPr>
          <w:b/>
          <w:szCs w:val="22"/>
        </w:rPr>
        <w:tab/>
        <w:t>VEIKLIOJI (-IOS) MEDŽIAGA (-OS) IR JOS (-Ų) KIEKIS (-IAI)</w:t>
      </w:r>
    </w:p>
    <w:p w14:paraId="304B0443" w14:textId="77777777" w:rsidR="003315E7" w:rsidRPr="000D6942" w:rsidRDefault="003315E7" w:rsidP="003315E7">
      <w:pPr>
        <w:rPr>
          <w:szCs w:val="22"/>
        </w:rPr>
      </w:pPr>
    </w:p>
    <w:p w14:paraId="48EF53C2" w14:textId="77777777" w:rsidR="003315E7" w:rsidRPr="000D6942" w:rsidRDefault="003315E7" w:rsidP="003315E7">
      <w:pPr>
        <w:ind w:right="73"/>
        <w:jc w:val="both"/>
        <w:rPr>
          <w:szCs w:val="22"/>
        </w:rPr>
      </w:pPr>
      <w:r w:rsidRPr="000D6942">
        <w:rPr>
          <w:szCs w:val="22"/>
        </w:rPr>
        <w:t>Viename tirpalo ml yra 50 mg geležies (geležies karboksimaltozės pavidalu).</w:t>
      </w:r>
    </w:p>
    <w:p w14:paraId="206D1604" w14:textId="77777777" w:rsidR="003315E7" w:rsidRPr="000D6942" w:rsidRDefault="003315E7" w:rsidP="003315E7">
      <w:pPr>
        <w:ind w:right="73"/>
        <w:jc w:val="both"/>
        <w:rPr>
          <w:szCs w:val="22"/>
        </w:rPr>
      </w:pPr>
      <w:r w:rsidRPr="000D6942">
        <w:rPr>
          <w:szCs w:val="22"/>
        </w:rPr>
        <w:t>Kiekviename 2 ml flakone yra 100 mg geležies (geležies karboksimaltozės pavidalu).</w:t>
      </w:r>
    </w:p>
    <w:p w14:paraId="13F25772" w14:textId="77777777" w:rsidR="003315E7" w:rsidRPr="000D6942" w:rsidRDefault="003315E7" w:rsidP="003315E7">
      <w:pPr>
        <w:rPr>
          <w:szCs w:val="22"/>
        </w:rPr>
      </w:pPr>
    </w:p>
    <w:p w14:paraId="53116889" w14:textId="77777777" w:rsidR="003315E7" w:rsidRPr="000D6942" w:rsidRDefault="003315E7" w:rsidP="003315E7">
      <w:pPr>
        <w:rPr>
          <w:szCs w:val="22"/>
        </w:rPr>
      </w:pPr>
    </w:p>
    <w:p w14:paraId="5DE42B7B"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t>3.</w:t>
      </w:r>
      <w:r w:rsidRPr="000D6942">
        <w:rPr>
          <w:b/>
          <w:szCs w:val="22"/>
        </w:rPr>
        <w:tab/>
        <w:t>PAGALBINIŲ MEDŽIAGŲ SĄRAŠAS</w:t>
      </w:r>
    </w:p>
    <w:p w14:paraId="1564F41D" w14:textId="77777777" w:rsidR="003315E7" w:rsidRPr="000D6942" w:rsidRDefault="003315E7" w:rsidP="003315E7">
      <w:pPr>
        <w:rPr>
          <w:szCs w:val="22"/>
        </w:rPr>
      </w:pPr>
    </w:p>
    <w:p w14:paraId="5CF5BBA0" w14:textId="77777777" w:rsidR="003315E7" w:rsidRPr="000D6942" w:rsidRDefault="003315E7" w:rsidP="003315E7">
      <w:pPr>
        <w:rPr>
          <w:szCs w:val="22"/>
        </w:rPr>
      </w:pPr>
      <w:r w:rsidRPr="000D6942">
        <w:rPr>
          <w:szCs w:val="22"/>
        </w:rPr>
        <w:t>Pagalbinės medžiagos: Injekcinis vanduo, natrio hidroksidas, vandenilio chlorido rūgštis</w:t>
      </w:r>
    </w:p>
    <w:p w14:paraId="5A2BC0B7" w14:textId="77777777" w:rsidR="003315E7" w:rsidRPr="000D6942" w:rsidRDefault="003315E7" w:rsidP="003315E7">
      <w:pPr>
        <w:rPr>
          <w:szCs w:val="22"/>
        </w:rPr>
      </w:pPr>
    </w:p>
    <w:p w14:paraId="5B8D1348" w14:textId="77777777" w:rsidR="003315E7" w:rsidRPr="000D6942" w:rsidRDefault="003315E7" w:rsidP="003315E7">
      <w:pPr>
        <w:rPr>
          <w:szCs w:val="22"/>
        </w:rPr>
      </w:pPr>
    </w:p>
    <w:p w14:paraId="4E299316"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t>4.</w:t>
      </w:r>
      <w:r w:rsidRPr="000D6942">
        <w:rPr>
          <w:b/>
          <w:szCs w:val="22"/>
        </w:rPr>
        <w:tab/>
        <w:t>FARMACINĖ FORMA IR KIEKIS PAKUOTĖJE</w:t>
      </w:r>
    </w:p>
    <w:p w14:paraId="2BFC9C58" w14:textId="77777777" w:rsidR="003315E7" w:rsidRPr="000D6942" w:rsidRDefault="003315E7" w:rsidP="003315E7">
      <w:pPr>
        <w:rPr>
          <w:szCs w:val="22"/>
        </w:rPr>
      </w:pPr>
    </w:p>
    <w:p w14:paraId="15069E49" w14:textId="77777777" w:rsidR="003315E7" w:rsidRPr="000D6942" w:rsidRDefault="003315E7" w:rsidP="003315E7">
      <w:pPr>
        <w:rPr>
          <w:szCs w:val="22"/>
        </w:rPr>
      </w:pPr>
      <w:r w:rsidRPr="000D6942">
        <w:rPr>
          <w:szCs w:val="22"/>
        </w:rPr>
        <w:t>Injekcinis/infuzinis tirpalas</w:t>
      </w:r>
    </w:p>
    <w:p w14:paraId="39F3007B" w14:textId="77777777" w:rsidR="003315E7" w:rsidRPr="000D6942" w:rsidRDefault="003315E7" w:rsidP="003315E7">
      <w:pPr>
        <w:rPr>
          <w:highlight w:val="lightGray"/>
        </w:rPr>
      </w:pPr>
    </w:p>
    <w:p w14:paraId="3A663DBC" w14:textId="77777777" w:rsidR="003315E7" w:rsidRPr="000D6942" w:rsidRDefault="003315E7" w:rsidP="003315E7">
      <w:pPr>
        <w:rPr>
          <w:szCs w:val="22"/>
        </w:rPr>
      </w:pPr>
      <w:r w:rsidRPr="000D6942">
        <w:rPr>
          <w:szCs w:val="22"/>
        </w:rPr>
        <w:t>1 flakonas (2 ml)</w:t>
      </w:r>
    </w:p>
    <w:p w14:paraId="7F5B20F9" w14:textId="77777777" w:rsidR="003315E7" w:rsidRPr="000D6942" w:rsidRDefault="003315E7" w:rsidP="003315E7">
      <w:pPr>
        <w:rPr>
          <w:highlight w:val="lightGray"/>
        </w:rPr>
      </w:pPr>
      <w:r w:rsidRPr="000D6942">
        <w:rPr>
          <w:highlight w:val="lightGray"/>
        </w:rPr>
        <w:t>2 flakonai (2 ml)</w:t>
      </w:r>
    </w:p>
    <w:p w14:paraId="660CDBD4" w14:textId="77777777" w:rsidR="003315E7" w:rsidRPr="000D6942" w:rsidRDefault="003315E7" w:rsidP="003315E7">
      <w:pPr>
        <w:rPr>
          <w:szCs w:val="22"/>
        </w:rPr>
      </w:pPr>
      <w:r w:rsidRPr="000D6942">
        <w:rPr>
          <w:highlight w:val="lightGray"/>
        </w:rPr>
        <w:t>5 flakonai (2 ml)</w:t>
      </w:r>
    </w:p>
    <w:p w14:paraId="165A3919" w14:textId="77777777" w:rsidR="003315E7" w:rsidRDefault="003315E7" w:rsidP="003315E7">
      <w:pPr>
        <w:rPr>
          <w:szCs w:val="22"/>
        </w:rPr>
      </w:pPr>
      <w:r w:rsidRPr="00112ACF">
        <w:rPr>
          <w:szCs w:val="22"/>
        </w:rPr>
        <w:t>2 ml = 100 mg</w:t>
      </w:r>
    </w:p>
    <w:p w14:paraId="1E4D28D5" w14:textId="77777777" w:rsidR="003315E7" w:rsidRPr="000D6942" w:rsidRDefault="003315E7" w:rsidP="003315E7">
      <w:pPr>
        <w:rPr>
          <w:szCs w:val="22"/>
        </w:rPr>
      </w:pPr>
    </w:p>
    <w:p w14:paraId="1124486D" w14:textId="77777777" w:rsidR="003315E7" w:rsidRPr="000D6942" w:rsidRDefault="003315E7" w:rsidP="003315E7">
      <w:pPr>
        <w:rPr>
          <w:szCs w:val="22"/>
        </w:rPr>
      </w:pPr>
    </w:p>
    <w:p w14:paraId="37FB374B"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t>5.</w:t>
      </w:r>
      <w:r w:rsidRPr="000D6942">
        <w:rPr>
          <w:b/>
          <w:szCs w:val="22"/>
        </w:rPr>
        <w:tab/>
        <w:t>VARTOJIMO METODAS IR BŪDAS (-AI)</w:t>
      </w:r>
    </w:p>
    <w:p w14:paraId="3B850CD7" w14:textId="77777777" w:rsidR="003315E7" w:rsidRPr="000D6942" w:rsidRDefault="003315E7" w:rsidP="003315E7">
      <w:pPr>
        <w:rPr>
          <w:szCs w:val="22"/>
        </w:rPr>
      </w:pPr>
    </w:p>
    <w:p w14:paraId="7A4A70B7" w14:textId="77777777" w:rsidR="003315E7" w:rsidRPr="000D6942" w:rsidRDefault="003315E7" w:rsidP="003315E7">
      <w:pPr>
        <w:rPr>
          <w:szCs w:val="22"/>
        </w:rPr>
      </w:pPr>
      <w:r w:rsidRPr="000D6942">
        <w:rPr>
          <w:szCs w:val="22"/>
        </w:rPr>
        <w:t>Taikant intraveninę infuziją, tirpalą reikia praskiesti steriliu 0,9% natrio chlorido tirpalu.</w:t>
      </w:r>
    </w:p>
    <w:p w14:paraId="14D309CE" w14:textId="77777777" w:rsidR="003315E7" w:rsidRPr="000D6942" w:rsidRDefault="003315E7" w:rsidP="003315E7">
      <w:pPr>
        <w:rPr>
          <w:szCs w:val="22"/>
        </w:rPr>
      </w:pPr>
      <w:r w:rsidRPr="000D6942">
        <w:rPr>
          <w:szCs w:val="22"/>
        </w:rPr>
        <w:t>Leisti į veną.</w:t>
      </w:r>
    </w:p>
    <w:p w14:paraId="7F2BD7E8" w14:textId="77777777" w:rsidR="003315E7" w:rsidRPr="000D6942" w:rsidRDefault="003315E7" w:rsidP="003315E7">
      <w:pPr>
        <w:rPr>
          <w:szCs w:val="22"/>
        </w:rPr>
      </w:pPr>
      <w:r w:rsidRPr="000D6942">
        <w:rPr>
          <w:szCs w:val="22"/>
        </w:rPr>
        <w:t>Prieš vartojimą perskaitykite pakuotės lapelį.</w:t>
      </w:r>
    </w:p>
    <w:p w14:paraId="5006E8B3" w14:textId="77777777" w:rsidR="003315E7" w:rsidRPr="000D6942" w:rsidRDefault="003315E7" w:rsidP="003315E7">
      <w:pPr>
        <w:rPr>
          <w:szCs w:val="22"/>
        </w:rPr>
      </w:pPr>
    </w:p>
    <w:p w14:paraId="3419F9F6" w14:textId="77777777" w:rsidR="003315E7" w:rsidRPr="000D6942" w:rsidRDefault="003315E7" w:rsidP="003315E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3315E7" w:rsidRPr="000D6942" w14:paraId="3A53D5BF" w14:textId="77777777" w:rsidTr="00705434">
        <w:tc>
          <w:tcPr>
            <w:tcW w:w="9286" w:type="dxa"/>
          </w:tcPr>
          <w:p w14:paraId="63973186" w14:textId="77777777" w:rsidR="003315E7" w:rsidRPr="000D6942" w:rsidRDefault="003315E7" w:rsidP="00BE3FE3">
            <w:pPr>
              <w:ind w:left="540" w:hanging="540"/>
              <w:rPr>
                <w:szCs w:val="22"/>
              </w:rPr>
            </w:pPr>
            <w:r w:rsidRPr="000D6942">
              <w:rPr>
                <w:b/>
                <w:szCs w:val="22"/>
              </w:rPr>
              <w:t>6.</w:t>
            </w:r>
            <w:r w:rsidRPr="000D6942">
              <w:rPr>
                <w:b/>
                <w:szCs w:val="22"/>
              </w:rPr>
              <w:tab/>
              <w:t>SPECIALUS ĮSPĖJIMAS, KAD VAISTINĮ PREPARATĄ BŪTINA LAIKYTI VAIKAMS NEPASTEBIMOJE IR NEPASIEKIAMOJE VIETOJE</w:t>
            </w:r>
          </w:p>
        </w:tc>
      </w:tr>
    </w:tbl>
    <w:p w14:paraId="3D3BC1BA" w14:textId="77777777" w:rsidR="003315E7" w:rsidRPr="000D6942" w:rsidRDefault="003315E7" w:rsidP="003315E7">
      <w:pPr>
        <w:rPr>
          <w:szCs w:val="22"/>
        </w:rPr>
      </w:pPr>
    </w:p>
    <w:p w14:paraId="3883BF08" w14:textId="77777777" w:rsidR="003315E7" w:rsidRPr="000D6942" w:rsidRDefault="003315E7" w:rsidP="003315E7">
      <w:pPr>
        <w:outlineLvl w:val="0"/>
        <w:rPr>
          <w:szCs w:val="22"/>
        </w:rPr>
      </w:pPr>
      <w:r w:rsidRPr="000D6942">
        <w:rPr>
          <w:szCs w:val="22"/>
        </w:rPr>
        <w:t>Laikyti vaikams nepastebimoje ir nepasiekiamoje</w:t>
      </w:r>
      <w:r w:rsidRPr="000D6942" w:rsidDel="009D5057">
        <w:rPr>
          <w:szCs w:val="22"/>
        </w:rPr>
        <w:t xml:space="preserve"> </w:t>
      </w:r>
      <w:r w:rsidRPr="000D6942">
        <w:rPr>
          <w:szCs w:val="22"/>
        </w:rPr>
        <w:t>vietoje.</w:t>
      </w:r>
    </w:p>
    <w:p w14:paraId="3144742B" w14:textId="77777777" w:rsidR="003315E7" w:rsidRPr="000D6942" w:rsidRDefault="003315E7" w:rsidP="003315E7">
      <w:pPr>
        <w:rPr>
          <w:szCs w:val="22"/>
        </w:rPr>
      </w:pPr>
    </w:p>
    <w:p w14:paraId="2A295C6E" w14:textId="77777777" w:rsidR="003315E7" w:rsidRPr="000D6942" w:rsidRDefault="003315E7" w:rsidP="003315E7">
      <w:pPr>
        <w:rPr>
          <w:szCs w:val="22"/>
        </w:rPr>
      </w:pPr>
    </w:p>
    <w:p w14:paraId="0FCBB464"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t>7.</w:t>
      </w:r>
      <w:r w:rsidRPr="000D6942">
        <w:rPr>
          <w:b/>
          <w:szCs w:val="22"/>
        </w:rPr>
        <w:tab/>
        <w:t>KITAS (-I) SPECIALUS (-ŪS) ĮSPĖJIMAS (-AI) (JEI REIKIA)</w:t>
      </w:r>
    </w:p>
    <w:p w14:paraId="14D41E4C" w14:textId="77777777" w:rsidR="003315E7" w:rsidRPr="000D6942" w:rsidRDefault="003315E7" w:rsidP="003315E7">
      <w:pPr>
        <w:rPr>
          <w:szCs w:val="22"/>
        </w:rPr>
      </w:pPr>
    </w:p>
    <w:p w14:paraId="289B0567" w14:textId="77777777" w:rsidR="003315E7" w:rsidRPr="000D6942" w:rsidRDefault="003315E7" w:rsidP="003315E7">
      <w:pPr>
        <w:rPr>
          <w:szCs w:val="22"/>
        </w:rPr>
      </w:pPr>
      <w:r w:rsidRPr="000D6942">
        <w:rPr>
          <w:szCs w:val="22"/>
        </w:rPr>
        <w:t>Prieš vartodami apžiūrėkite, ar nėra nuosėdų, ir patikrinkite tinkamumo laiką.</w:t>
      </w:r>
    </w:p>
    <w:p w14:paraId="5E2B184F" w14:textId="77777777" w:rsidR="003315E7" w:rsidRPr="000D6942" w:rsidRDefault="003315E7" w:rsidP="003315E7">
      <w:pPr>
        <w:rPr>
          <w:szCs w:val="22"/>
        </w:rPr>
      </w:pPr>
    </w:p>
    <w:p w14:paraId="36506B03" w14:textId="77777777" w:rsidR="003315E7" w:rsidRPr="000D6942" w:rsidRDefault="003315E7" w:rsidP="003315E7">
      <w:pPr>
        <w:rPr>
          <w:szCs w:val="22"/>
        </w:rPr>
      </w:pPr>
    </w:p>
    <w:p w14:paraId="46262389"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t>8.</w:t>
      </w:r>
      <w:r w:rsidRPr="000D6942">
        <w:rPr>
          <w:b/>
          <w:szCs w:val="22"/>
        </w:rPr>
        <w:tab/>
        <w:t>TINKAMUMO LAIKAS</w:t>
      </w:r>
    </w:p>
    <w:p w14:paraId="402E299E" w14:textId="77777777" w:rsidR="003315E7" w:rsidRPr="000D6942" w:rsidRDefault="003315E7" w:rsidP="003315E7">
      <w:pPr>
        <w:rPr>
          <w:szCs w:val="22"/>
        </w:rPr>
      </w:pPr>
    </w:p>
    <w:p w14:paraId="45FF6CFD" w14:textId="77777777" w:rsidR="003315E7" w:rsidRDefault="003315E7" w:rsidP="003315E7">
      <w:r w:rsidRPr="00446604">
        <w:rPr>
          <w:szCs w:val="22"/>
          <w:highlight w:val="lightGray"/>
        </w:rPr>
        <w:t xml:space="preserve">Tinka iki: </w:t>
      </w:r>
      <w:r w:rsidRPr="00812457">
        <w:rPr>
          <w:highlight w:val="lightGray"/>
        </w:rPr>
        <w:t>{</w:t>
      </w:r>
      <w:r w:rsidRPr="000D6942">
        <w:rPr>
          <w:highlight w:val="lightGray"/>
        </w:rPr>
        <w:t>MMMM-mm}</w:t>
      </w:r>
    </w:p>
    <w:p w14:paraId="7304F089" w14:textId="77777777" w:rsidR="003315E7" w:rsidRPr="000D6942" w:rsidRDefault="003315E7" w:rsidP="003315E7">
      <w:pPr>
        <w:rPr>
          <w:szCs w:val="22"/>
        </w:rPr>
      </w:pPr>
      <w:r>
        <w:t>EXP</w:t>
      </w:r>
    </w:p>
    <w:p w14:paraId="1F8CB4AD" w14:textId="77777777" w:rsidR="003315E7" w:rsidRPr="000D6942" w:rsidRDefault="003315E7" w:rsidP="003315E7">
      <w:pPr>
        <w:rPr>
          <w:szCs w:val="22"/>
        </w:rPr>
      </w:pPr>
      <w:r w:rsidRPr="000D6942">
        <w:rPr>
          <w:szCs w:val="22"/>
        </w:rPr>
        <w:t>Pagaminimo data:</w:t>
      </w:r>
    </w:p>
    <w:p w14:paraId="73FC22E4" w14:textId="77777777" w:rsidR="003315E7" w:rsidRPr="000D6942" w:rsidRDefault="003315E7" w:rsidP="003315E7">
      <w:pPr>
        <w:rPr>
          <w:szCs w:val="22"/>
        </w:rPr>
      </w:pPr>
      <w:r w:rsidRPr="000D6942">
        <w:rPr>
          <w:szCs w:val="22"/>
        </w:rPr>
        <w:t>Praskiedus suvartoti nedelsiant.</w:t>
      </w:r>
    </w:p>
    <w:p w14:paraId="2AD38110" w14:textId="77777777" w:rsidR="003315E7" w:rsidRPr="000D6942" w:rsidRDefault="003315E7" w:rsidP="003315E7">
      <w:pPr>
        <w:rPr>
          <w:szCs w:val="22"/>
        </w:rPr>
      </w:pPr>
    </w:p>
    <w:p w14:paraId="0F0AFC96" w14:textId="77777777" w:rsidR="003315E7" w:rsidRPr="000D6942" w:rsidRDefault="003315E7" w:rsidP="003315E7">
      <w:pPr>
        <w:rPr>
          <w:szCs w:val="22"/>
        </w:rPr>
      </w:pPr>
    </w:p>
    <w:p w14:paraId="3388BBB1"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t>9.</w:t>
      </w:r>
      <w:r w:rsidRPr="000D6942">
        <w:rPr>
          <w:b/>
          <w:szCs w:val="22"/>
        </w:rPr>
        <w:tab/>
      </w:r>
      <w:r w:rsidRPr="000D6942">
        <w:rPr>
          <w:b/>
          <w:caps/>
          <w:szCs w:val="22"/>
        </w:rPr>
        <w:t>SPECIALIOS laikymo sąlygos</w:t>
      </w:r>
    </w:p>
    <w:p w14:paraId="1F954DCB" w14:textId="77777777" w:rsidR="003315E7" w:rsidRPr="000D6942" w:rsidRDefault="003315E7" w:rsidP="003315E7">
      <w:pPr>
        <w:ind w:left="567" w:hanging="567"/>
        <w:rPr>
          <w:szCs w:val="22"/>
        </w:rPr>
      </w:pPr>
    </w:p>
    <w:p w14:paraId="3DD62C14" w14:textId="77777777" w:rsidR="003315E7" w:rsidRPr="000D6942" w:rsidRDefault="003315E7" w:rsidP="003315E7">
      <w:pPr>
        <w:rPr>
          <w:szCs w:val="22"/>
        </w:rPr>
      </w:pPr>
      <w:r w:rsidRPr="000D6942">
        <w:rPr>
          <w:szCs w:val="22"/>
        </w:rPr>
        <w:t xml:space="preserve">Laikyti gamintojo pakuotėje, kad </w:t>
      </w:r>
      <w:r>
        <w:rPr>
          <w:szCs w:val="22"/>
        </w:rPr>
        <w:t>vaistas</w:t>
      </w:r>
      <w:r w:rsidRPr="000D6942">
        <w:rPr>
          <w:szCs w:val="22"/>
        </w:rPr>
        <w:t xml:space="preserve"> būtų apsaugotas nuo šviesos. Laikyti ne aukštesnėje kaip 30 °C temperatūroje. Negalima užšaldyti.</w:t>
      </w:r>
    </w:p>
    <w:p w14:paraId="5C65D21B" w14:textId="77777777" w:rsidR="003315E7" w:rsidRPr="000D6942" w:rsidRDefault="003315E7" w:rsidP="003315E7">
      <w:pPr>
        <w:ind w:left="567" w:hanging="567"/>
        <w:rPr>
          <w:szCs w:val="22"/>
        </w:rPr>
      </w:pPr>
    </w:p>
    <w:p w14:paraId="493A43A7" w14:textId="77777777" w:rsidR="003315E7" w:rsidRPr="000D6942" w:rsidRDefault="003315E7" w:rsidP="003315E7">
      <w:pPr>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3315E7" w:rsidRPr="000D6942" w14:paraId="17FBF505" w14:textId="77777777" w:rsidTr="00705434">
        <w:tc>
          <w:tcPr>
            <w:tcW w:w="9286" w:type="dxa"/>
            <w:tcBorders>
              <w:top w:val="single" w:sz="4" w:space="0" w:color="auto"/>
              <w:left w:val="single" w:sz="4" w:space="0" w:color="auto"/>
              <w:bottom w:val="single" w:sz="4" w:space="0" w:color="auto"/>
              <w:right w:val="single" w:sz="4" w:space="0" w:color="auto"/>
            </w:tcBorders>
          </w:tcPr>
          <w:p w14:paraId="5B424272" w14:textId="77777777" w:rsidR="003315E7" w:rsidRPr="000D6942" w:rsidRDefault="003315E7" w:rsidP="00BE3FE3">
            <w:pPr>
              <w:ind w:left="540" w:hanging="540"/>
              <w:rPr>
                <w:szCs w:val="22"/>
              </w:rPr>
            </w:pPr>
            <w:r w:rsidRPr="000D6942">
              <w:rPr>
                <w:b/>
                <w:szCs w:val="22"/>
              </w:rPr>
              <w:t>10.</w:t>
            </w:r>
            <w:r w:rsidRPr="000D6942">
              <w:rPr>
                <w:b/>
                <w:szCs w:val="22"/>
              </w:rPr>
              <w:tab/>
            </w:r>
            <w:r w:rsidRPr="000D6942">
              <w:rPr>
                <w:b/>
                <w:caps/>
                <w:szCs w:val="22"/>
              </w:rPr>
              <w:t>specialios atsargumo priemonės DĖL NESUVARTOTO VAISTINIO PREPARATO AR JO ATLIEK</w:t>
            </w:r>
            <w:r w:rsidRPr="000D6942">
              <w:rPr>
                <w:b/>
                <w:szCs w:val="22"/>
              </w:rPr>
              <w:t>Ų</w:t>
            </w:r>
            <w:r w:rsidRPr="000D6942">
              <w:rPr>
                <w:caps/>
                <w:szCs w:val="22"/>
              </w:rPr>
              <w:t xml:space="preserve"> </w:t>
            </w:r>
            <w:r w:rsidRPr="000D6942">
              <w:rPr>
                <w:b/>
                <w:caps/>
                <w:szCs w:val="22"/>
              </w:rPr>
              <w:t>TVARKYMO (jei reikia)</w:t>
            </w:r>
          </w:p>
        </w:tc>
      </w:tr>
    </w:tbl>
    <w:p w14:paraId="37F37FFB" w14:textId="77777777" w:rsidR="003315E7" w:rsidRDefault="003315E7" w:rsidP="003315E7">
      <w:pPr>
        <w:rPr>
          <w:szCs w:val="22"/>
        </w:rPr>
      </w:pPr>
    </w:p>
    <w:p w14:paraId="13819EBF" w14:textId="77777777" w:rsidR="003315E7" w:rsidRDefault="003315E7" w:rsidP="003315E7">
      <w:r w:rsidRPr="00330A34">
        <w:rPr>
          <w:highlight w:val="lightGray"/>
        </w:rPr>
        <w:t>Duomenys nebūtini.</w:t>
      </w:r>
    </w:p>
    <w:p w14:paraId="6EB3C1B4" w14:textId="77777777" w:rsidR="003315E7" w:rsidRPr="000D6942" w:rsidRDefault="003315E7" w:rsidP="003315E7">
      <w:pPr>
        <w:rPr>
          <w:szCs w:val="22"/>
        </w:rPr>
      </w:pPr>
    </w:p>
    <w:p w14:paraId="011AF8B3" w14:textId="77777777" w:rsidR="003315E7" w:rsidRPr="000D6942" w:rsidRDefault="003315E7" w:rsidP="003315E7">
      <w:pPr>
        <w:rPr>
          <w:szCs w:val="22"/>
        </w:rPr>
      </w:pPr>
    </w:p>
    <w:p w14:paraId="02C3AA7F"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szCs w:val="22"/>
        </w:rPr>
      </w:pPr>
      <w:r w:rsidRPr="000D6942">
        <w:rPr>
          <w:b/>
          <w:szCs w:val="22"/>
        </w:rPr>
        <w:t>11.</w:t>
      </w:r>
      <w:r w:rsidRPr="000D6942">
        <w:rPr>
          <w:b/>
          <w:szCs w:val="22"/>
        </w:rPr>
        <w:tab/>
      </w:r>
      <w:r w:rsidRPr="000D6942">
        <w:rPr>
          <w:b/>
          <w:caps/>
          <w:szCs w:val="22"/>
        </w:rPr>
        <w:t>REGISTRUOTOJO pavadinimas ir adresas</w:t>
      </w:r>
    </w:p>
    <w:p w14:paraId="277077D9" w14:textId="77777777" w:rsidR="003315E7" w:rsidRPr="000D6942" w:rsidRDefault="003315E7" w:rsidP="003315E7">
      <w:pPr>
        <w:rPr>
          <w:szCs w:val="22"/>
        </w:rPr>
      </w:pPr>
    </w:p>
    <w:p w14:paraId="20B2772B" w14:textId="77777777" w:rsidR="003315E7" w:rsidRPr="002A0D89" w:rsidRDefault="003315E7" w:rsidP="003315E7">
      <w:pPr>
        <w:numPr>
          <w:ilvl w:val="12"/>
          <w:numId w:val="0"/>
        </w:numPr>
        <w:ind w:right="-2"/>
      </w:pPr>
      <w:r w:rsidRPr="002A0D89">
        <w:t xml:space="preserve">Vifor France </w:t>
      </w:r>
    </w:p>
    <w:p w14:paraId="799261B4" w14:textId="77777777" w:rsidR="003315E7" w:rsidRPr="002A0D89" w:rsidRDefault="003315E7" w:rsidP="003315E7">
      <w:pPr>
        <w:numPr>
          <w:ilvl w:val="12"/>
          <w:numId w:val="0"/>
        </w:numPr>
        <w:ind w:right="-2"/>
      </w:pPr>
      <w:r w:rsidRPr="002A0D89">
        <w:t xml:space="preserve">100-101 Terrasse Boieldieu </w:t>
      </w:r>
    </w:p>
    <w:p w14:paraId="7FBB3DF8" w14:textId="77777777" w:rsidR="003315E7" w:rsidRPr="002A0D89" w:rsidRDefault="003315E7" w:rsidP="003315E7">
      <w:pPr>
        <w:numPr>
          <w:ilvl w:val="12"/>
          <w:numId w:val="0"/>
        </w:numPr>
        <w:ind w:right="-2"/>
      </w:pPr>
      <w:r w:rsidRPr="002A0D89">
        <w:t>Tour Franklin La Défense 8</w:t>
      </w:r>
    </w:p>
    <w:p w14:paraId="4D455A30" w14:textId="77777777" w:rsidR="003315E7" w:rsidRPr="000D6942" w:rsidRDefault="003315E7" w:rsidP="003315E7">
      <w:pPr>
        <w:ind w:left="720" w:hanging="720"/>
        <w:rPr>
          <w:rFonts w:eastAsia="Arial Unicode MS"/>
          <w:szCs w:val="22"/>
        </w:rPr>
      </w:pPr>
      <w:r w:rsidRPr="002A0D89">
        <w:t>92042 Paris La Défense Cedex,</w:t>
      </w:r>
    </w:p>
    <w:p w14:paraId="78A1D074" w14:textId="77777777" w:rsidR="003315E7" w:rsidRPr="000D6942" w:rsidRDefault="003315E7" w:rsidP="003315E7">
      <w:pPr>
        <w:ind w:left="720" w:hanging="720"/>
        <w:rPr>
          <w:rFonts w:eastAsia="Arial Unicode MS"/>
          <w:szCs w:val="22"/>
        </w:rPr>
      </w:pPr>
      <w:r w:rsidRPr="000D6942">
        <w:rPr>
          <w:rFonts w:eastAsia="Arial Unicode MS"/>
          <w:szCs w:val="22"/>
        </w:rPr>
        <w:t>Prancūzija</w:t>
      </w:r>
    </w:p>
    <w:p w14:paraId="72C6FD5B" w14:textId="77777777" w:rsidR="003315E7" w:rsidRPr="000D6942" w:rsidRDefault="003315E7" w:rsidP="003315E7">
      <w:pPr>
        <w:rPr>
          <w:szCs w:val="22"/>
        </w:rPr>
      </w:pPr>
    </w:p>
    <w:p w14:paraId="56F278C7" w14:textId="77777777" w:rsidR="003315E7" w:rsidRPr="000D6942" w:rsidRDefault="003315E7" w:rsidP="003315E7">
      <w:pPr>
        <w:rPr>
          <w:szCs w:val="22"/>
        </w:rPr>
      </w:pPr>
    </w:p>
    <w:p w14:paraId="2F1059B6"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rPr>
      </w:pPr>
      <w:r w:rsidRPr="000D6942">
        <w:rPr>
          <w:b/>
          <w:szCs w:val="22"/>
        </w:rPr>
        <w:t>12.</w:t>
      </w:r>
      <w:r w:rsidRPr="000D6942">
        <w:rPr>
          <w:b/>
          <w:szCs w:val="22"/>
        </w:rPr>
        <w:tab/>
      </w:r>
      <w:r w:rsidRPr="000D6942">
        <w:rPr>
          <w:b/>
          <w:caps/>
          <w:szCs w:val="22"/>
        </w:rPr>
        <w:t>REGISTRACIJOS PAŽYMĖJIMO numeris</w:t>
      </w:r>
      <w:r w:rsidRPr="000D6942">
        <w:rPr>
          <w:b/>
          <w:caps/>
        </w:rPr>
        <w:t xml:space="preserve"> </w:t>
      </w:r>
      <w:r w:rsidRPr="000D6942">
        <w:rPr>
          <w:b/>
          <w:caps/>
          <w:szCs w:val="22"/>
        </w:rPr>
        <w:t>(-IAI)</w:t>
      </w:r>
    </w:p>
    <w:p w14:paraId="214E78C8" w14:textId="77777777" w:rsidR="003315E7" w:rsidRPr="000D6942" w:rsidRDefault="003315E7" w:rsidP="003315E7">
      <w:pPr>
        <w:rPr>
          <w:szCs w:val="22"/>
        </w:rPr>
      </w:pPr>
    </w:p>
    <w:p w14:paraId="5A7C4614" w14:textId="77777777" w:rsidR="003315E7" w:rsidRPr="000D6942" w:rsidRDefault="003315E7" w:rsidP="003315E7">
      <w:pPr>
        <w:rPr>
          <w:szCs w:val="22"/>
        </w:rPr>
      </w:pPr>
      <w:r w:rsidRPr="000D6942">
        <w:rPr>
          <w:highlight w:val="lightGray"/>
        </w:rPr>
        <w:t>Flakonas (2 ml),</w:t>
      </w:r>
      <w:r w:rsidRPr="000D6942">
        <w:rPr>
          <w:szCs w:val="22"/>
        </w:rPr>
        <w:t xml:space="preserve"> N5 - LT/1/08/1133/001</w:t>
      </w:r>
    </w:p>
    <w:p w14:paraId="6C995AA9" w14:textId="77777777" w:rsidR="003315E7" w:rsidRPr="000D6942" w:rsidRDefault="003315E7" w:rsidP="003315E7">
      <w:pPr>
        <w:rPr>
          <w:szCs w:val="22"/>
        </w:rPr>
      </w:pPr>
      <w:r w:rsidRPr="000D6942">
        <w:rPr>
          <w:highlight w:val="lightGray"/>
        </w:rPr>
        <w:t>Flakonas (2 ml),</w:t>
      </w:r>
      <w:r w:rsidRPr="000D6942">
        <w:rPr>
          <w:szCs w:val="22"/>
        </w:rPr>
        <w:t xml:space="preserve"> N1 - LT/1/08/1133/003</w:t>
      </w:r>
    </w:p>
    <w:p w14:paraId="5237E6BA" w14:textId="77777777" w:rsidR="003315E7" w:rsidRPr="000D6942" w:rsidRDefault="003315E7" w:rsidP="003315E7">
      <w:pPr>
        <w:rPr>
          <w:szCs w:val="22"/>
        </w:rPr>
      </w:pPr>
      <w:r w:rsidRPr="000D6942">
        <w:rPr>
          <w:highlight w:val="lightGray"/>
        </w:rPr>
        <w:t>Flakonas (2 ml),</w:t>
      </w:r>
      <w:r w:rsidRPr="000D6942">
        <w:rPr>
          <w:szCs w:val="22"/>
        </w:rPr>
        <w:t xml:space="preserve"> N2 - LT/1/08/1133/005</w:t>
      </w:r>
    </w:p>
    <w:p w14:paraId="459B459C" w14:textId="77777777" w:rsidR="003315E7" w:rsidRPr="000D6942" w:rsidRDefault="003315E7" w:rsidP="003315E7">
      <w:pPr>
        <w:rPr>
          <w:szCs w:val="22"/>
        </w:rPr>
      </w:pPr>
    </w:p>
    <w:p w14:paraId="70CA5BEB" w14:textId="77777777" w:rsidR="003315E7" w:rsidRPr="000D6942" w:rsidRDefault="003315E7" w:rsidP="003315E7">
      <w:pPr>
        <w:rPr>
          <w:szCs w:val="22"/>
        </w:rPr>
      </w:pPr>
    </w:p>
    <w:p w14:paraId="1E3535F1"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szCs w:val="22"/>
        </w:rPr>
      </w:pPr>
      <w:r w:rsidRPr="000D6942">
        <w:rPr>
          <w:b/>
          <w:szCs w:val="22"/>
        </w:rPr>
        <w:t>13.</w:t>
      </w:r>
      <w:r w:rsidRPr="000D6942">
        <w:rPr>
          <w:b/>
          <w:szCs w:val="22"/>
        </w:rPr>
        <w:tab/>
        <w:t>SERIJOS NUMERIS</w:t>
      </w:r>
    </w:p>
    <w:p w14:paraId="7A6323DB" w14:textId="77777777" w:rsidR="003315E7" w:rsidRPr="000D6942" w:rsidRDefault="003315E7" w:rsidP="003315E7">
      <w:pPr>
        <w:rPr>
          <w:szCs w:val="22"/>
        </w:rPr>
      </w:pPr>
    </w:p>
    <w:p w14:paraId="4863896F" w14:textId="77777777" w:rsidR="003315E7" w:rsidRPr="000D6942" w:rsidRDefault="003315E7" w:rsidP="003315E7">
      <w:pPr>
        <w:rPr>
          <w:szCs w:val="22"/>
        </w:rPr>
      </w:pPr>
      <w:r w:rsidRPr="00446604">
        <w:rPr>
          <w:szCs w:val="22"/>
          <w:highlight w:val="lightGray"/>
        </w:rPr>
        <w:t>Serija:</w:t>
      </w:r>
    </w:p>
    <w:p w14:paraId="2D9C5159" w14:textId="77777777" w:rsidR="003315E7" w:rsidRDefault="003315E7" w:rsidP="003315E7">
      <w:pPr>
        <w:rPr>
          <w:szCs w:val="22"/>
        </w:rPr>
      </w:pPr>
      <w:r>
        <w:rPr>
          <w:szCs w:val="22"/>
        </w:rPr>
        <w:t>Lot</w:t>
      </w:r>
    </w:p>
    <w:p w14:paraId="60E99DFE" w14:textId="77777777" w:rsidR="003315E7" w:rsidRPr="000D6942" w:rsidRDefault="003315E7" w:rsidP="003315E7">
      <w:pPr>
        <w:rPr>
          <w:szCs w:val="22"/>
        </w:rPr>
      </w:pPr>
    </w:p>
    <w:p w14:paraId="7D5F113B" w14:textId="77777777" w:rsidR="003315E7" w:rsidRPr="000D6942" w:rsidRDefault="003315E7" w:rsidP="003315E7">
      <w:pPr>
        <w:rPr>
          <w:szCs w:val="22"/>
        </w:rPr>
      </w:pPr>
    </w:p>
    <w:p w14:paraId="4324FD38"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szCs w:val="22"/>
        </w:rPr>
      </w:pPr>
      <w:r w:rsidRPr="000D6942">
        <w:rPr>
          <w:b/>
          <w:szCs w:val="22"/>
        </w:rPr>
        <w:t>14.</w:t>
      </w:r>
      <w:r w:rsidRPr="000D6942">
        <w:rPr>
          <w:b/>
          <w:szCs w:val="22"/>
        </w:rPr>
        <w:tab/>
        <w:t>PARDAVIMO (IŠDAVIMO)</w:t>
      </w:r>
      <w:r w:rsidRPr="000D6942">
        <w:rPr>
          <w:b/>
          <w:caps/>
          <w:szCs w:val="22"/>
        </w:rPr>
        <w:t xml:space="preserve"> tvarka</w:t>
      </w:r>
    </w:p>
    <w:p w14:paraId="7D131FB0" w14:textId="77777777" w:rsidR="003315E7" w:rsidRPr="000D6942" w:rsidRDefault="003315E7" w:rsidP="003315E7">
      <w:pPr>
        <w:rPr>
          <w:szCs w:val="22"/>
        </w:rPr>
      </w:pPr>
    </w:p>
    <w:p w14:paraId="61B394AD" w14:textId="77777777" w:rsidR="003315E7" w:rsidRPr="000D6942" w:rsidRDefault="003315E7" w:rsidP="003315E7">
      <w:pPr>
        <w:rPr>
          <w:szCs w:val="22"/>
        </w:rPr>
      </w:pPr>
      <w:bookmarkStart w:id="20" w:name="OLE_LINK4"/>
      <w:bookmarkStart w:id="21" w:name="OLE_LINK5"/>
      <w:r w:rsidRPr="000D6942">
        <w:rPr>
          <w:szCs w:val="22"/>
        </w:rPr>
        <w:t>Receptinis vaistas</w:t>
      </w:r>
    </w:p>
    <w:bookmarkEnd w:id="20"/>
    <w:bookmarkEnd w:id="21"/>
    <w:p w14:paraId="415BA6DC" w14:textId="77777777" w:rsidR="003315E7" w:rsidRPr="000D6942" w:rsidRDefault="003315E7" w:rsidP="003315E7">
      <w:pPr>
        <w:rPr>
          <w:szCs w:val="22"/>
        </w:rPr>
      </w:pPr>
    </w:p>
    <w:p w14:paraId="741D22FB" w14:textId="77777777" w:rsidR="003315E7" w:rsidRPr="000D6942" w:rsidRDefault="003315E7" w:rsidP="003315E7">
      <w:pPr>
        <w:rPr>
          <w:szCs w:val="22"/>
        </w:rPr>
      </w:pPr>
    </w:p>
    <w:p w14:paraId="1CD3E7F4"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szCs w:val="22"/>
        </w:rPr>
      </w:pPr>
      <w:r w:rsidRPr="000D6942">
        <w:rPr>
          <w:b/>
          <w:szCs w:val="22"/>
        </w:rPr>
        <w:t>15.</w:t>
      </w:r>
      <w:r w:rsidRPr="000D6942">
        <w:rPr>
          <w:b/>
          <w:szCs w:val="22"/>
        </w:rPr>
        <w:tab/>
      </w:r>
      <w:r w:rsidRPr="000D6942">
        <w:rPr>
          <w:b/>
          <w:caps/>
          <w:szCs w:val="22"/>
        </w:rPr>
        <w:t>vartojimo instrukcijA</w:t>
      </w:r>
    </w:p>
    <w:p w14:paraId="08763D5B" w14:textId="77777777" w:rsidR="003315E7" w:rsidRDefault="003315E7" w:rsidP="003315E7">
      <w:pPr>
        <w:rPr>
          <w:szCs w:val="22"/>
        </w:rPr>
      </w:pPr>
    </w:p>
    <w:p w14:paraId="3B1C8B00" w14:textId="77777777" w:rsidR="003315E7" w:rsidRDefault="003315E7" w:rsidP="003315E7">
      <w:r w:rsidRPr="00330A34">
        <w:rPr>
          <w:highlight w:val="lightGray"/>
        </w:rPr>
        <w:lastRenderedPageBreak/>
        <w:t>Duomenys nebūtini</w:t>
      </w:r>
    </w:p>
    <w:p w14:paraId="510D48A7" w14:textId="77777777" w:rsidR="003315E7" w:rsidRPr="000D6942" w:rsidRDefault="003315E7" w:rsidP="003315E7">
      <w:pPr>
        <w:rPr>
          <w:szCs w:val="22"/>
        </w:rPr>
      </w:pPr>
    </w:p>
    <w:p w14:paraId="05A91DB7" w14:textId="77777777" w:rsidR="003315E7" w:rsidRPr="000D6942" w:rsidRDefault="003315E7" w:rsidP="003315E7">
      <w:pPr>
        <w:rPr>
          <w:szCs w:val="22"/>
        </w:rPr>
      </w:pPr>
    </w:p>
    <w:p w14:paraId="43E5B04D"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szCs w:val="22"/>
        </w:rPr>
      </w:pPr>
      <w:r w:rsidRPr="000D6942">
        <w:rPr>
          <w:b/>
          <w:szCs w:val="22"/>
        </w:rPr>
        <w:t>16.</w:t>
      </w:r>
      <w:r w:rsidRPr="000D6942">
        <w:rPr>
          <w:b/>
          <w:szCs w:val="22"/>
        </w:rPr>
        <w:tab/>
        <w:t>INFORMACIJA BRAILIO RAŠTU</w:t>
      </w:r>
    </w:p>
    <w:p w14:paraId="5DA94400" w14:textId="77777777" w:rsidR="003315E7" w:rsidRPr="000D6942" w:rsidRDefault="003315E7" w:rsidP="003315E7">
      <w:pPr>
        <w:rPr>
          <w:szCs w:val="22"/>
        </w:rPr>
      </w:pPr>
    </w:p>
    <w:p w14:paraId="41A29F86" w14:textId="77777777" w:rsidR="003315E7" w:rsidRPr="000D6942" w:rsidRDefault="003315E7" w:rsidP="003315E7">
      <w:pPr>
        <w:rPr>
          <w:szCs w:val="22"/>
        </w:rPr>
      </w:pPr>
      <w:r w:rsidRPr="000D6942">
        <w:rPr>
          <w:highlight w:val="lightGray"/>
        </w:rPr>
        <w:t>Priimtas pagrindimas informacijos Brailio raštu nepateikti.</w:t>
      </w:r>
    </w:p>
    <w:p w14:paraId="16CEA442" w14:textId="77777777" w:rsidR="003315E7" w:rsidRPr="000D6942" w:rsidRDefault="003315E7" w:rsidP="003315E7">
      <w:pPr>
        <w:rPr>
          <w:szCs w:val="22"/>
        </w:rPr>
      </w:pPr>
    </w:p>
    <w:p w14:paraId="108043E2" w14:textId="77777777" w:rsidR="003315E7" w:rsidRPr="000D6942" w:rsidRDefault="003315E7" w:rsidP="003315E7">
      <w:pPr>
        <w:rPr>
          <w:szCs w:val="22"/>
        </w:rPr>
      </w:pPr>
    </w:p>
    <w:p w14:paraId="23B8E8A7" w14:textId="77777777" w:rsidR="003315E7" w:rsidRPr="000D6942" w:rsidRDefault="003315E7" w:rsidP="003315E7">
      <w:pPr>
        <w:keepNext/>
        <w:pBdr>
          <w:top w:val="single" w:sz="4" w:space="1" w:color="auto"/>
          <w:left w:val="single" w:sz="4" w:space="4" w:color="auto"/>
          <w:bottom w:val="single" w:sz="4" w:space="1" w:color="auto"/>
          <w:right w:val="single" w:sz="4" w:space="4" w:color="auto"/>
        </w:pBdr>
        <w:tabs>
          <w:tab w:val="left" w:pos="0"/>
        </w:tabs>
        <w:outlineLvl w:val="0"/>
        <w:rPr>
          <w:i/>
        </w:rPr>
      </w:pPr>
      <w:r w:rsidRPr="000D6942">
        <w:rPr>
          <w:b/>
        </w:rPr>
        <w:t>17.</w:t>
      </w:r>
      <w:r w:rsidRPr="000D6942">
        <w:rPr>
          <w:b/>
        </w:rPr>
        <w:tab/>
        <w:t>UNIKALUS IDENTIFIKATORIUS – 2D BRŪKŠNINIS KODAS</w:t>
      </w:r>
    </w:p>
    <w:p w14:paraId="07C22750" w14:textId="77777777" w:rsidR="003315E7" w:rsidRPr="000D6942" w:rsidRDefault="003315E7" w:rsidP="003315E7"/>
    <w:p w14:paraId="3E6AD6F8" w14:textId="77777777" w:rsidR="003315E7" w:rsidRPr="000D6942" w:rsidRDefault="003315E7" w:rsidP="003315E7">
      <w:pPr>
        <w:rPr>
          <w:szCs w:val="22"/>
          <w:shd w:val="clear" w:color="auto" w:fill="CCCCCC"/>
        </w:rPr>
      </w:pPr>
      <w:r w:rsidRPr="000D6942">
        <w:rPr>
          <w:highlight w:val="lightGray"/>
        </w:rPr>
        <w:t>&lt;2D brūkšninis kodas su nurodytu unikaliu identifikatoriumi.&gt;</w:t>
      </w:r>
    </w:p>
    <w:p w14:paraId="23C5B6B2" w14:textId="77777777" w:rsidR="003315E7" w:rsidRPr="000D6942" w:rsidRDefault="003315E7" w:rsidP="003315E7"/>
    <w:p w14:paraId="72FE92E4" w14:textId="77777777" w:rsidR="003315E7" w:rsidRPr="000D6942" w:rsidRDefault="003315E7" w:rsidP="003315E7"/>
    <w:p w14:paraId="2B5638EE" w14:textId="77777777" w:rsidR="003315E7" w:rsidRPr="000D6942" w:rsidRDefault="003315E7" w:rsidP="003315E7">
      <w:pPr>
        <w:keepNext/>
        <w:pBdr>
          <w:top w:val="single" w:sz="4" w:space="1" w:color="auto"/>
          <w:left w:val="single" w:sz="4" w:space="4" w:color="auto"/>
          <w:bottom w:val="single" w:sz="4" w:space="1" w:color="auto"/>
          <w:right w:val="single" w:sz="4" w:space="4" w:color="auto"/>
        </w:pBdr>
        <w:tabs>
          <w:tab w:val="left" w:pos="0"/>
        </w:tabs>
        <w:outlineLvl w:val="0"/>
        <w:rPr>
          <w:i/>
        </w:rPr>
      </w:pPr>
      <w:r w:rsidRPr="000D6942">
        <w:rPr>
          <w:b/>
        </w:rPr>
        <w:t>18.</w:t>
      </w:r>
      <w:r w:rsidRPr="000D6942">
        <w:rPr>
          <w:b/>
        </w:rPr>
        <w:tab/>
        <w:t>UNIKALUS IDENTIFIKATORIUS – ŽMONĖMS SUPRANTAMI DUOMENYS</w:t>
      </w:r>
    </w:p>
    <w:p w14:paraId="25D2BEEE" w14:textId="77777777" w:rsidR="003315E7" w:rsidRPr="000D6942" w:rsidRDefault="003315E7" w:rsidP="003315E7"/>
    <w:p w14:paraId="20F37A58" w14:textId="77777777" w:rsidR="003315E7" w:rsidRPr="000D6942" w:rsidRDefault="003315E7" w:rsidP="003315E7">
      <w:pPr>
        <w:rPr>
          <w:color w:val="008000"/>
          <w:szCs w:val="22"/>
        </w:rPr>
      </w:pPr>
      <w:r w:rsidRPr="000D6942">
        <w:t>PC:</w:t>
      </w:r>
    </w:p>
    <w:p w14:paraId="37A93931" w14:textId="77777777" w:rsidR="003315E7" w:rsidRPr="000D6942" w:rsidRDefault="003315E7" w:rsidP="003315E7">
      <w:pPr>
        <w:rPr>
          <w:szCs w:val="22"/>
        </w:rPr>
      </w:pPr>
      <w:r w:rsidRPr="000D6942">
        <w:t>SN:</w:t>
      </w:r>
    </w:p>
    <w:p w14:paraId="7203E19E" w14:textId="77777777" w:rsidR="003315E7" w:rsidRPr="000D6942" w:rsidRDefault="003315E7" w:rsidP="003315E7">
      <w:pPr>
        <w:rPr>
          <w:szCs w:val="22"/>
        </w:rPr>
      </w:pPr>
      <w:r w:rsidRPr="000D6942">
        <w:t>NN:</w:t>
      </w:r>
    </w:p>
    <w:p w14:paraId="19F35BEB" w14:textId="77777777" w:rsidR="003315E7" w:rsidRPr="00E52032" w:rsidRDefault="003315E7" w:rsidP="003315E7"/>
    <w:p w14:paraId="281A010B" w14:textId="77777777" w:rsidR="003315E7" w:rsidRDefault="003315E7" w:rsidP="003315E7">
      <w:pPr>
        <w:pStyle w:val="Heading1LAB"/>
      </w:pPr>
      <w:r>
        <w:t>19.</w:t>
      </w:r>
      <w:r>
        <w:tab/>
        <w:t>KITA</w:t>
      </w:r>
    </w:p>
    <w:p w14:paraId="08A6BF18" w14:textId="77777777" w:rsidR="003315E7" w:rsidRPr="000D6942" w:rsidRDefault="003315E7" w:rsidP="003315E7">
      <w:pPr>
        <w:rPr>
          <w:szCs w:val="22"/>
        </w:rPr>
      </w:pPr>
      <w:r>
        <w:br w:type="page"/>
      </w:r>
    </w:p>
    <w:p w14:paraId="7FFDA2C1" w14:textId="77777777" w:rsidR="003315E7" w:rsidRPr="000D6942" w:rsidRDefault="003315E7" w:rsidP="003315E7">
      <w:pPr>
        <w:pBdr>
          <w:top w:val="single" w:sz="4" w:space="1" w:color="auto"/>
          <w:left w:val="single" w:sz="4" w:space="4" w:color="auto"/>
          <w:bottom w:val="single" w:sz="4" w:space="1" w:color="auto"/>
          <w:right w:val="single" w:sz="4" w:space="4" w:color="auto"/>
        </w:pBdr>
        <w:rPr>
          <w:b/>
          <w:szCs w:val="22"/>
        </w:rPr>
      </w:pPr>
      <w:r w:rsidRPr="000D6942">
        <w:rPr>
          <w:b/>
          <w:szCs w:val="22"/>
        </w:rPr>
        <w:lastRenderedPageBreak/>
        <w:t>INFORMACIJA ANT IŠORINĖS PAKUOTĖS</w:t>
      </w:r>
    </w:p>
    <w:p w14:paraId="4059B84E"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rPr>
          <w:szCs w:val="22"/>
        </w:rPr>
      </w:pPr>
    </w:p>
    <w:p w14:paraId="4D005B48" w14:textId="77777777" w:rsidR="003315E7" w:rsidRPr="000D6942" w:rsidRDefault="003315E7" w:rsidP="003315E7">
      <w:pPr>
        <w:pBdr>
          <w:top w:val="single" w:sz="4" w:space="1" w:color="auto"/>
          <w:left w:val="single" w:sz="4" w:space="4" w:color="auto"/>
          <w:bottom w:val="single" w:sz="4" w:space="1" w:color="auto"/>
          <w:right w:val="single" w:sz="4" w:space="4" w:color="auto"/>
        </w:pBdr>
        <w:rPr>
          <w:b/>
          <w:szCs w:val="22"/>
        </w:rPr>
      </w:pPr>
      <w:r w:rsidRPr="000D6942">
        <w:rPr>
          <w:b/>
          <w:szCs w:val="22"/>
        </w:rPr>
        <w:t>KARTONO DĖŽUTĖ (1, 2 arba 5 flakonai (10 ml))</w:t>
      </w:r>
    </w:p>
    <w:p w14:paraId="21BAB5EB" w14:textId="77777777" w:rsidR="003315E7" w:rsidRPr="000D6942" w:rsidRDefault="003315E7" w:rsidP="003315E7">
      <w:pPr>
        <w:rPr>
          <w:szCs w:val="22"/>
        </w:rPr>
      </w:pPr>
    </w:p>
    <w:p w14:paraId="12E1CD45" w14:textId="77777777" w:rsidR="003315E7" w:rsidRPr="000D6942" w:rsidRDefault="003315E7" w:rsidP="003315E7">
      <w:pPr>
        <w:rPr>
          <w:szCs w:val="22"/>
        </w:rPr>
      </w:pPr>
    </w:p>
    <w:p w14:paraId="7B8C7BD2"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pPr>
      <w:r w:rsidRPr="000D6942">
        <w:rPr>
          <w:b/>
        </w:rPr>
        <w:t>1.</w:t>
      </w:r>
      <w:r w:rsidRPr="000D6942">
        <w:rPr>
          <w:b/>
        </w:rPr>
        <w:tab/>
      </w:r>
      <w:r w:rsidRPr="000D6942">
        <w:rPr>
          <w:b/>
          <w:szCs w:val="22"/>
        </w:rPr>
        <w:t>VAISTINIO PREPARATO PAVADINIMAS</w:t>
      </w:r>
    </w:p>
    <w:p w14:paraId="57772A7D" w14:textId="77777777" w:rsidR="003315E7" w:rsidRPr="000D6942" w:rsidRDefault="003315E7" w:rsidP="003315E7"/>
    <w:p w14:paraId="11A5D95A" w14:textId="77777777" w:rsidR="003315E7" w:rsidRPr="000D6942" w:rsidRDefault="003315E7" w:rsidP="003315E7">
      <w:pPr>
        <w:rPr>
          <w:szCs w:val="22"/>
        </w:rPr>
      </w:pPr>
      <w:r w:rsidRPr="000D6942">
        <w:rPr>
          <w:szCs w:val="22"/>
        </w:rPr>
        <w:t>Ferinject</w:t>
      </w:r>
      <w:r w:rsidRPr="000D6942">
        <w:rPr>
          <w:szCs w:val="22"/>
          <w:vertAlign w:val="superscript"/>
        </w:rPr>
        <w:t xml:space="preserve"> </w:t>
      </w:r>
      <w:r w:rsidRPr="000D6942">
        <w:rPr>
          <w:szCs w:val="22"/>
        </w:rPr>
        <w:t>50 mg/ml injekcinis/infuzinis tirpalas</w:t>
      </w:r>
    </w:p>
    <w:p w14:paraId="2290004E" w14:textId="77777777" w:rsidR="003315E7" w:rsidRPr="000D6942" w:rsidRDefault="003315E7" w:rsidP="003315E7">
      <w:pPr>
        <w:rPr>
          <w:szCs w:val="22"/>
        </w:rPr>
      </w:pPr>
      <w:r>
        <w:rPr>
          <w:szCs w:val="22"/>
        </w:rPr>
        <w:t>g</w:t>
      </w:r>
      <w:r w:rsidRPr="000D6942">
        <w:rPr>
          <w:szCs w:val="22"/>
        </w:rPr>
        <w:t>eležies karboksimaltozė</w:t>
      </w:r>
    </w:p>
    <w:p w14:paraId="09686311" w14:textId="77777777" w:rsidR="003315E7" w:rsidRPr="000D6942" w:rsidRDefault="003315E7" w:rsidP="003315E7">
      <w:pPr>
        <w:rPr>
          <w:szCs w:val="22"/>
        </w:rPr>
      </w:pPr>
    </w:p>
    <w:p w14:paraId="04AD3588" w14:textId="77777777" w:rsidR="003315E7" w:rsidRPr="000D6942" w:rsidRDefault="003315E7" w:rsidP="003315E7">
      <w:pPr>
        <w:rPr>
          <w:szCs w:val="22"/>
        </w:rPr>
      </w:pPr>
    </w:p>
    <w:p w14:paraId="03EB5849"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b/>
          <w:szCs w:val="22"/>
        </w:rPr>
      </w:pPr>
      <w:r w:rsidRPr="000D6942">
        <w:rPr>
          <w:b/>
          <w:szCs w:val="22"/>
        </w:rPr>
        <w:t>2.</w:t>
      </w:r>
      <w:r w:rsidRPr="000D6942">
        <w:rPr>
          <w:b/>
          <w:szCs w:val="22"/>
        </w:rPr>
        <w:tab/>
        <w:t>VEIKLIOJI (-IOS) MEDŽIAGA (-OS) IR JOS (-Ų) KIEKIS (-IAI)</w:t>
      </w:r>
    </w:p>
    <w:p w14:paraId="76A68CA2" w14:textId="77777777" w:rsidR="003315E7" w:rsidRPr="000D6942" w:rsidRDefault="003315E7" w:rsidP="003315E7">
      <w:pPr>
        <w:rPr>
          <w:szCs w:val="22"/>
        </w:rPr>
      </w:pPr>
    </w:p>
    <w:p w14:paraId="6E6E11D1" w14:textId="77777777" w:rsidR="003315E7" w:rsidRPr="000D6942" w:rsidRDefault="003315E7" w:rsidP="003315E7">
      <w:pPr>
        <w:ind w:right="73"/>
        <w:jc w:val="both"/>
        <w:rPr>
          <w:szCs w:val="22"/>
        </w:rPr>
      </w:pPr>
      <w:r w:rsidRPr="000D6942">
        <w:rPr>
          <w:szCs w:val="22"/>
        </w:rPr>
        <w:t>Viename tirpalo ml yra 50 mg geležies (geležies karboksimaltozės pavidalu).</w:t>
      </w:r>
    </w:p>
    <w:p w14:paraId="0FAE7F95" w14:textId="77777777" w:rsidR="003315E7" w:rsidRPr="000D6942" w:rsidRDefault="003315E7" w:rsidP="003315E7">
      <w:pPr>
        <w:ind w:right="73"/>
        <w:jc w:val="both"/>
        <w:rPr>
          <w:szCs w:val="22"/>
        </w:rPr>
      </w:pPr>
      <w:r w:rsidRPr="000D6942">
        <w:rPr>
          <w:szCs w:val="22"/>
        </w:rPr>
        <w:t>Kiekviename 10 ml flakone yra 500 mg geležies (geležies karboksimaltozės pavidalu).</w:t>
      </w:r>
    </w:p>
    <w:p w14:paraId="346125F6" w14:textId="77777777" w:rsidR="003315E7" w:rsidRPr="000D6942" w:rsidRDefault="003315E7" w:rsidP="003315E7">
      <w:pPr>
        <w:rPr>
          <w:szCs w:val="22"/>
        </w:rPr>
      </w:pPr>
    </w:p>
    <w:p w14:paraId="0DFA1601" w14:textId="77777777" w:rsidR="003315E7" w:rsidRPr="000D6942" w:rsidRDefault="003315E7" w:rsidP="003315E7">
      <w:pPr>
        <w:rPr>
          <w:szCs w:val="22"/>
        </w:rPr>
      </w:pPr>
    </w:p>
    <w:p w14:paraId="4E2ACA5A"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t>3.</w:t>
      </w:r>
      <w:r w:rsidRPr="000D6942">
        <w:rPr>
          <w:b/>
          <w:szCs w:val="22"/>
        </w:rPr>
        <w:tab/>
        <w:t>PAGALBINIŲ MEDŽIAGŲ SĄRAŠAS</w:t>
      </w:r>
    </w:p>
    <w:p w14:paraId="5AA1BC0E" w14:textId="77777777" w:rsidR="003315E7" w:rsidRPr="000D6942" w:rsidRDefault="003315E7" w:rsidP="003315E7">
      <w:pPr>
        <w:rPr>
          <w:szCs w:val="22"/>
        </w:rPr>
      </w:pPr>
    </w:p>
    <w:p w14:paraId="09B84B5E" w14:textId="77777777" w:rsidR="003315E7" w:rsidRPr="000D6942" w:rsidRDefault="003315E7" w:rsidP="003315E7">
      <w:pPr>
        <w:rPr>
          <w:szCs w:val="22"/>
        </w:rPr>
      </w:pPr>
      <w:r w:rsidRPr="000D6942">
        <w:rPr>
          <w:szCs w:val="22"/>
        </w:rPr>
        <w:t>Pagalbinės medžiagos: Injekcinis vanduo, natrio hidroksidas, vandenilio chlorido rūgštis.</w:t>
      </w:r>
    </w:p>
    <w:p w14:paraId="7E30064C" w14:textId="77777777" w:rsidR="003315E7" w:rsidRPr="000D6942" w:rsidRDefault="003315E7" w:rsidP="003315E7">
      <w:pPr>
        <w:rPr>
          <w:szCs w:val="22"/>
        </w:rPr>
      </w:pPr>
    </w:p>
    <w:p w14:paraId="136E97CF" w14:textId="77777777" w:rsidR="003315E7" w:rsidRPr="000D6942" w:rsidRDefault="003315E7" w:rsidP="003315E7">
      <w:pPr>
        <w:rPr>
          <w:szCs w:val="22"/>
        </w:rPr>
      </w:pPr>
    </w:p>
    <w:p w14:paraId="14C29FF7"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t>4.</w:t>
      </w:r>
      <w:r w:rsidRPr="000D6942">
        <w:rPr>
          <w:b/>
          <w:szCs w:val="22"/>
        </w:rPr>
        <w:tab/>
        <w:t>FARMACINĖ FORMA IR KIEKIS PAKUOTĖJE</w:t>
      </w:r>
    </w:p>
    <w:p w14:paraId="097F9050" w14:textId="77777777" w:rsidR="003315E7" w:rsidRPr="000D6942" w:rsidRDefault="003315E7" w:rsidP="003315E7">
      <w:pPr>
        <w:rPr>
          <w:szCs w:val="22"/>
        </w:rPr>
      </w:pPr>
    </w:p>
    <w:p w14:paraId="7DD00EC5" w14:textId="77777777" w:rsidR="003315E7" w:rsidRPr="000D6942" w:rsidRDefault="003315E7" w:rsidP="003315E7">
      <w:pPr>
        <w:rPr>
          <w:szCs w:val="22"/>
        </w:rPr>
      </w:pPr>
      <w:r w:rsidRPr="000D6942">
        <w:rPr>
          <w:szCs w:val="22"/>
        </w:rPr>
        <w:t>Injekcinis/infuzinis tirpalas</w:t>
      </w:r>
    </w:p>
    <w:p w14:paraId="31D3A73C" w14:textId="77777777" w:rsidR="003315E7" w:rsidRPr="000D6942" w:rsidRDefault="003315E7" w:rsidP="003315E7">
      <w:pPr>
        <w:rPr>
          <w:szCs w:val="22"/>
        </w:rPr>
      </w:pPr>
      <w:r w:rsidRPr="000D6942">
        <w:rPr>
          <w:szCs w:val="22"/>
        </w:rPr>
        <w:t>1 flakonas (10 ml)</w:t>
      </w:r>
    </w:p>
    <w:p w14:paraId="1FC37274" w14:textId="77777777" w:rsidR="003315E7" w:rsidRPr="000D6942" w:rsidRDefault="003315E7" w:rsidP="003315E7">
      <w:pPr>
        <w:rPr>
          <w:highlight w:val="lightGray"/>
        </w:rPr>
      </w:pPr>
      <w:r w:rsidRPr="000D6942">
        <w:rPr>
          <w:highlight w:val="lightGray"/>
        </w:rPr>
        <w:t>2 flakonai (10 ml)</w:t>
      </w:r>
    </w:p>
    <w:p w14:paraId="280A94D3" w14:textId="77777777" w:rsidR="003315E7" w:rsidRPr="000D6942" w:rsidRDefault="003315E7" w:rsidP="003315E7">
      <w:pPr>
        <w:rPr>
          <w:szCs w:val="22"/>
        </w:rPr>
      </w:pPr>
      <w:r w:rsidRPr="000D6942">
        <w:rPr>
          <w:highlight w:val="lightGray"/>
        </w:rPr>
        <w:t>5 flakonai (10 ml)</w:t>
      </w:r>
    </w:p>
    <w:p w14:paraId="38FC1D79" w14:textId="77777777" w:rsidR="003315E7" w:rsidRPr="00E52032" w:rsidRDefault="003315E7" w:rsidP="003315E7">
      <w:r>
        <w:t>10 ml = 500 mg</w:t>
      </w:r>
    </w:p>
    <w:p w14:paraId="3B0374FD" w14:textId="77777777" w:rsidR="003315E7" w:rsidRPr="000D6942" w:rsidRDefault="003315E7" w:rsidP="003315E7">
      <w:pPr>
        <w:rPr>
          <w:szCs w:val="22"/>
        </w:rPr>
      </w:pPr>
    </w:p>
    <w:p w14:paraId="0EABD313" w14:textId="77777777" w:rsidR="003315E7" w:rsidRPr="000D6942" w:rsidRDefault="003315E7" w:rsidP="003315E7">
      <w:pPr>
        <w:rPr>
          <w:szCs w:val="22"/>
        </w:rPr>
      </w:pPr>
    </w:p>
    <w:p w14:paraId="70CD261D"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t>5.</w:t>
      </w:r>
      <w:r w:rsidRPr="000D6942">
        <w:rPr>
          <w:b/>
          <w:szCs w:val="22"/>
        </w:rPr>
        <w:tab/>
        <w:t>VARTOJIMO METODAS IR BŪDAS (-AI)</w:t>
      </w:r>
    </w:p>
    <w:p w14:paraId="093C18CE" w14:textId="77777777" w:rsidR="003315E7" w:rsidRPr="000D6942" w:rsidRDefault="003315E7" w:rsidP="003315E7">
      <w:pPr>
        <w:rPr>
          <w:szCs w:val="22"/>
        </w:rPr>
      </w:pPr>
    </w:p>
    <w:p w14:paraId="61904A76" w14:textId="77777777" w:rsidR="003315E7" w:rsidRPr="000D6942" w:rsidRDefault="003315E7" w:rsidP="003315E7">
      <w:pPr>
        <w:rPr>
          <w:szCs w:val="22"/>
        </w:rPr>
      </w:pPr>
      <w:r w:rsidRPr="000D6942">
        <w:rPr>
          <w:szCs w:val="22"/>
        </w:rPr>
        <w:t>Taikant intraveninę infuziją, tirpalą reikia praskiesti steriliu 0,9% natrio chlorido tirpalu.</w:t>
      </w:r>
    </w:p>
    <w:p w14:paraId="77857079" w14:textId="77777777" w:rsidR="003315E7" w:rsidRPr="000D6942" w:rsidRDefault="003315E7" w:rsidP="003315E7">
      <w:r w:rsidRPr="000D6942">
        <w:rPr>
          <w:szCs w:val="22"/>
        </w:rPr>
        <w:t>Leisti į veną.</w:t>
      </w:r>
    </w:p>
    <w:p w14:paraId="5538C977" w14:textId="77777777" w:rsidR="003315E7" w:rsidRPr="000D6942" w:rsidRDefault="003315E7" w:rsidP="003315E7">
      <w:r w:rsidRPr="000D6942">
        <w:rPr>
          <w:szCs w:val="22"/>
        </w:rPr>
        <w:t>Prieš vartojimą perskaitykite pakuotės lapelį.</w:t>
      </w:r>
    </w:p>
    <w:p w14:paraId="7E95CFA4" w14:textId="77777777" w:rsidR="003315E7" w:rsidRPr="000D6942" w:rsidRDefault="003315E7" w:rsidP="003315E7">
      <w:pPr>
        <w:rPr>
          <w:szCs w:val="22"/>
        </w:rPr>
      </w:pPr>
    </w:p>
    <w:p w14:paraId="544BB89E" w14:textId="77777777" w:rsidR="003315E7" w:rsidRPr="000D6942" w:rsidRDefault="003315E7" w:rsidP="003315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3315E7" w:rsidRPr="000D6942" w14:paraId="4456DA50" w14:textId="77777777" w:rsidTr="00705434">
        <w:tc>
          <w:tcPr>
            <w:tcW w:w="9286" w:type="dxa"/>
          </w:tcPr>
          <w:p w14:paraId="77F670EB" w14:textId="77777777" w:rsidR="003315E7" w:rsidRPr="000D6942" w:rsidRDefault="003315E7" w:rsidP="00BE3FE3">
            <w:pPr>
              <w:ind w:left="540" w:hanging="540"/>
            </w:pPr>
            <w:r w:rsidRPr="000D6942">
              <w:rPr>
                <w:b/>
              </w:rPr>
              <w:t>6.</w:t>
            </w:r>
            <w:r w:rsidRPr="000D6942">
              <w:rPr>
                <w:b/>
              </w:rPr>
              <w:tab/>
            </w:r>
            <w:r w:rsidRPr="000D6942">
              <w:rPr>
                <w:b/>
                <w:szCs w:val="22"/>
              </w:rPr>
              <w:t>SPECIALUS ĮSPĖJIMAS, KAD VAISTINĮ PREPARATĄ BŪTINA LAIKYTI VAIKAMS NEPASTEBIMOJE IR NEPASIEKIAMOJE</w:t>
            </w:r>
            <w:r w:rsidRPr="000D6942" w:rsidDel="009D5057">
              <w:rPr>
                <w:b/>
                <w:szCs w:val="22"/>
              </w:rPr>
              <w:t xml:space="preserve"> </w:t>
            </w:r>
            <w:r w:rsidRPr="000D6942">
              <w:rPr>
                <w:b/>
                <w:szCs w:val="22"/>
              </w:rPr>
              <w:t>VIETOJE</w:t>
            </w:r>
          </w:p>
        </w:tc>
      </w:tr>
    </w:tbl>
    <w:p w14:paraId="5301FB1D" w14:textId="77777777" w:rsidR="003315E7" w:rsidRPr="000D6942" w:rsidRDefault="003315E7" w:rsidP="003315E7"/>
    <w:p w14:paraId="0E0B6F64" w14:textId="77777777" w:rsidR="003315E7" w:rsidRPr="000D6942" w:rsidRDefault="003315E7" w:rsidP="003315E7">
      <w:pPr>
        <w:outlineLvl w:val="0"/>
        <w:rPr>
          <w:szCs w:val="22"/>
        </w:rPr>
      </w:pPr>
      <w:r w:rsidRPr="000D6942">
        <w:rPr>
          <w:szCs w:val="22"/>
        </w:rPr>
        <w:t>Laikyti vaikams nepastebimoje</w:t>
      </w:r>
      <w:r w:rsidRPr="000D6942" w:rsidDel="009D5057">
        <w:rPr>
          <w:szCs w:val="22"/>
        </w:rPr>
        <w:t xml:space="preserve"> </w:t>
      </w:r>
      <w:r w:rsidRPr="000D6942">
        <w:rPr>
          <w:szCs w:val="22"/>
        </w:rPr>
        <w:t>ir nepasiekiamoje vietoje.</w:t>
      </w:r>
    </w:p>
    <w:p w14:paraId="67BCF95C" w14:textId="77777777" w:rsidR="003315E7" w:rsidRPr="000D6942" w:rsidRDefault="003315E7" w:rsidP="003315E7">
      <w:pPr>
        <w:rPr>
          <w:szCs w:val="22"/>
        </w:rPr>
      </w:pPr>
    </w:p>
    <w:p w14:paraId="57B73ACD" w14:textId="77777777" w:rsidR="003315E7" w:rsidRPr="000D6942" w:rsidRDefault="003315E7" w:rsidP="003315E7">
      <w:pPr>
        <w:rPr>
          <w:szCs w:val="22"/>
        </w:rPr>
      </w:pPr>
    </w:p>
    <w:p w14:paraId="2B57B865"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t>7.</w:t>
      </w:r>
      <w:r w:rsidRPr="000D6942">
        <w:rPr>
          <w:b/>
          <w:szCs w:val="22"/>
        </w:rPr>
        <w:tab/>
        <w:t>KITAS (-I) SPECIALUS (-ŪS) ĮSPĖJIMAS (-AI) (JEI REIKIA)</w:t>
      </w:r>
    </w:p>
    <w:p w14:paraId="5F49C013" w14:textId="77777777" w:rsidR="003315E7" w:rsidRPr="000D6942" w:rsidRDefault="003315E7" w:rsidP="003315E7">
      <w:pPr>
        <w:rPr>
          <w:szCs w:val="22"/>
        </w:rPr>
      </w:pPr>
    </w:p>
    <w:p w14:paraId="2B5A7A63" w14:textId="77777777" w:rsidR="003315E7" w:rsidRPr="000D6942" w:rsidRDefault="003315E7" w:rsidP="003315E7">
      <w:pPr>
        <w:rPr>
          <w:szCs w:val="22"/>
        </w:rPr>
      </w:pPr>
      <w:r w:rsidRPr="000D6942">
        <w:rPr>
          <w:szCs w:val="22"/>
        </w:rPr>
        <w:t>Prieš vartodami apžiūrėkite, ar nėra nuosėdų ir patikrinkite tinkamumo laiką.</w:t>
      </w:r>
    </w:p>
    <w:p w14:paraId="4915E781" w14:textId="77777777" w:rsidR="003315E7" w:rsidRPr="000D6942" w:rsidRDefault="003315E7" w:rsidP="003315E7">
      <w:pPr>
        <w:rPr>
          <w:szCs w:val="22"/>
        </w:rPr>
      </w:pPr>
    </w:p>
    <w:p w14:paraId="685F1AE6" w14:textId="77777777" w:rsidR="003315E7" w:rsidRPr="000D6942" w:rsidRDefault="003315E7" w:rsidP="003315E7">
      <w:pPr>
        <w:rPr>
          <w:szCs w:val="22"/>
        </w:rPr>
      </w:pPr>
    </w:p>
    <w:p w14:paraId="2397DDFF"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lastRenderedPageBreak/>
        <w:t>8.</w:t>
      </w:r>
      <w:r w:rsidRPr="000D6942">
        <w:rPr>
          <w:b/>
          <w:szCs w:val="22"/>
        </w:rPr>
        <w:tab/>
        <w:t>TINKAMUMO LAIKAS</w:t>
      </w:r>
    </w:p>
    <w:p w14:paraId="142C3D75" w14:textId="77777777" w:rsidR="003315E7" w:rsidRPr="000D6942" w:rsidRDefault="003315E7" w:rsidP="003315E7">
      <w:pPr>
        <w:rPr>
          <w:szCs w:val="22"/>
        </w:rPr>
      </w:pPr>
    </w:p>
    <w:p w14:paraId="003E5F5D" w14:textId="77777777" w:rsidR="003315E7" w:rsidRDefault="003315E7" w:rsidP="003315E7">
      <w:r w:rsidRPr="00446604">
        <w:rPr>
          <w:szCs w:val="22"/>
          <w:highlight w:val="lightGray"/>
        </w:rPr>
        <w:t xml:space="preserve">Tinka iki: </w:t>
      </w:r>
      <w:r w:rsidRPr="00812457">
        <w:rPr>
          <w:highlight w:val="lightGray"/>
        </w:rPr>
        <w:t>{</w:t>
      </w:r>
      <w:r w:rsidRPr="000D6942">
        <w:rPr>
          <w:highlight w:val="lightGray"/>
        </w:rPr>
        <w:t>MMMM-mm}</w:t>
      </w:r>
    </w:p>
    <w:p w14:paraId="73DD2C8D" w14:textId="77777777" w:rsidR="003315E7" w:rsidRPr="000D6942" w:rsidRDefault="003315E7" w:rsidP="003315E7">
      <w:pPr>
        <w:rPr>
          <w:szCs w:val="22"/>
        </w:rPr>
      </w:pPr>
      <w:r>
        <w:t>EXP</w:t>
      </w:r>
    </w:p>
    <w:p w14:paraId="07031F27" w14:textId="77777777" w:rsidR="003315E7" w:rsidRPr="000D6942" w:rsidRDefault="003315E7" w:rsidP="003315E7">
      <w:pPr>
        <w:rPr>
          <w:szCs w:val="22"/>
        </w:rPr>
      </w:pPr>
      <w:r w:rsidRPr="000D6942">
        <w:rPr>
          <w:szCs w:val="22"/>
        </w:rPr>
        <w:t>Pagaminimo data:</w:t>
      </w:r>
    </w:p>
    <w:p w14:paraId="1DCEDBAF" w14:textId="77777777" w:rsidR="003315E7" w:rsidRPr="000D6942" w:rsidRDefault="003315E7" w:rsidP="003315E7">
      <w:pPr>
        <w:rPr>
          <w:szCs w:val="22"/>
        </w:rPr>
      </w:pPr>
    </w:p>
    <w:p w14:paraId="23CE8B1D" w14:textId="77777777" w:rsidR="003315E7" w:rsidRPr="000D6942" w:rsidRDefault="003315E7" w:rsidP="003315E7">
      <w:pPr>
        <w:rPr>
          <w:szCs w:val="22"/>
        </w:rPr>
      </w:pPr>
      <w:r w:rsidRPr="000D6942">
        <w:rPr>
          <w:szCs w:val="22"/>
        </w:rPr>
        <w:t>Praskiedus suvartoti nedelsiant.</w:t>
      </w:r>
    </w:p>
    <w:p w14:paraId="45BB9666" w14:textId="77777777" w:rsidR="003315E7" w:rsidRPr="000D6942" w:rsidRDefault="003315E7" w:rsidP="003315E7">
      <w:pPr>
        <w:rPr>
          <w:szCs w:val="22"/>
        </w:rPr>
      </w:pPr>
    </w:p>
    <w:p w14:paraId="4885B01B" w14:textId="77777777" w:rsidR="003315E7" w:rsidRPr="000D6942" w:rsidRDefault="003315E7" w:rsidP="003315E7">
      <w:pPr>
        <w:rPr>
          <w:szCs w:val="22"/>
        </w:rPr>
      </w:pPr>
    </w:p>
    <w:p w14:paraId="4BC1C89C"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t>9.</w:t>
      </w:r>
      <w:r w:rsidRPr="000D6942">
        <w:rPr>
          <w:b/>
          <w:szCs w:val="22"/>
        </w:rPr>
        <w:tab/>
      </w:r>
      <w:r w:rsidRPr="000D6942">
        <w:rPr>
          <w:b/>
          <w:caps/>
          <w:szCs w:val="22"/>
        </w:rPr>
        <w:t>SPECIALIOS laikymo sąlygos</w:t>
      </w:r>
    </w:p>
    <w:p w14:paraId="6439E97A" w14:textId="77777777" w:rsidR="003315E7" w:rsidRPr="000D6942" w:rsidRDefault="003315E7" w:rsidP="003315E7">
      <w:pPr>
        <w:ind w:left="567" w:hanging="567"/>
        <w:rPr>
          <w:szCs w:val="22"/>
        </w:rPr>
      </w:pPr>
    </w:p>
    <w:p w14:paraId="1CBEE13D" w14:textId="77777777" w:rsidR="003315E7" w:rsidRPr="000D6942" w:rsidRDefault="003315E7" w:rsidP="003315E7">
      <w:pPr>
        <w:rPr>
          <w:szCs w:val="22"/>
        </w:rPr>
      </w:pPr>
      <w:r w:rsidRPr="000D6942">
        <w:rPr>
          <w:szCs w:val="22"/>
        </w:rPr>
        <w:t xml:space="preserve">Laikyti gamintojo pakuotėje, kad </w:t>
      </w:r>
      <w:r>
        <w:rPr>
          <w:szCs w:val="22"/>
        </w:rPr>
        <w:t>vaistas</w:t>
      </w:r>
      <w:r w:rsidRPr="000D6942">
        <w:rPr>
          <w:szCs w:val="22"/>
        </w:rPr>
        <w:t xml:space="preserve"> būtų apsaugotas nuo šviesos. Laikyti ne aukštesnėje kaip 30 °C temperatūroje. Negalima užšaldyti.</w:t>
      </w:r>
    </w:p>
    <w:p w14:paraId="61D3948F" w14:textId="77777777" w:rsidR="003315E7" w:rsidRPr="000D6942" w:rsidRDefault="003315E7" w:rsidP="003315E7">
      <w:pPr>
        <w:ind w:left="567" w:hanging="567"/>
        <w:rPr>
          <w:szCs w:val="22"/>
        </w:rPr>
      </w:pPr>
    </w:p>
    <w:p w14:paraId="0CF72305" w14:textId="77777777" w:rsidR="003315E7" w:rsidRPr="000D6942" w:rsidRDefault="003315E7" w:rsidP="003315E7">
      <w:pPr>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3315E7" w:rsidRPr="000D6942" w14:paraId="2E7B2A95" w14:textId="77777777" w:rsidTr="00705434">
        <w:tc>
          <w:tcPr>
            <w:tcW w:w="9286" w:type="dxa"/>
            <w:tcBorders>
              <w:top w:val="single" w:sz="4" w:space="0" w:color="auto"/>
              <w:left w:val="single" w:sz="4" w:space="0" w:color="auto"/>
              <w:bottom w:val="single" w:sz="4" w:space="0" w:color="auto"/>
              <w:right w:val="single" w:sz="4" w:space="0" w:color="auto"/>
            </w:tcBorders>
          </w:tcPr>
          <w:p w14:paraId="00072DF8" w14:textId="77777777" w:rsidR="003315E7" w:rsidRPr="000D6942" w:rsidRDefault="003315E7" w:rsidP="00BE3FE3">
            <w:pPr>
              <w:ind w:left="540" w:hanging="540"/>
              <w:rPr>
                <w:szCs w:val="22"/>
              </w:rPr>
            </w:pPr>
            <w:r w:rsidRPr="000D6942">
              <w:rPr>
                <w:b/>
                <w:szCs w:val="22"/>
              </w:rPr>
              <w:t>10.</w:t>
            </w:r>
            <w:r w:rsidRPr="000D6942">
              <w:rPr>
                <w:b/>
                <w:szCs w:val="22"/>
              </w:rPr>
              <w:tab/>
            </w:r>
            <w:r w:rsidRPr="000D6942">
              <w:rPr>
                <w:b/>
                <w:caps/>
                <w:szCs w:val="22"/>
              </w:rPr>
              <w:t>specialios atsargumo priemonės DĖL NESUVARTOTO VAISTINIO PREPARATO AR JO ATLIEK</w:t>
            </w:r>
            <w:r w:rsidRPr="000D6942">
              <w:rPr>
                <w:b/>
                <w:szCs w:val="22"/>
              </w:rPr>
              <w:t>Ų</w:t>
            </w:r>
            <w:r w:rsidRPr="000D6942">
              <w:rPr>
                <w:caps/>
                <w:szCs w:val="22"/>
              </w:rPr>
              <w:t xml:space="preserve"> </w:t>
            </w:r>
            <w:r w:rsidRPr="000D6942">
              <w:rPr>
                <w:b/>
                <w:caps/>
                <w:szCs w:val="22"/>
              </w:rPr>
              <w:t>TVARKYMO (jei reikia)</w:t>
            </w:r>
          </w:p>
        </w:tc>
      </w:tr>
    </w:tbl>
    <w:p w14:paraId="461D6568" w14:textId="77777777" w:rsidR="003315E7" w:rsidRPr="000D6942" w:rsidRDefault="003315E7" w:rsidP="003315E7">
      <w:pPr>
        <w:rPr>
          <w:szCs w:val="22"/>
        </w:rPr>
      </w:pPr>
    </w:p>
    <w:p w14:paraId="70C80EA3" w14:textId="77777777" w:rsidR="003315E7" w:rsidRDefault="003315E7" w:rsidP="003315E7">
      <w:r w:rsidRPr="00330A34">
        <w:rPr>
          <w:highlight w:val="lightGray"/>
        </w:rPr>
        <w:t>Duomenys nebūtini.</w:t>
      </w:r>
    </w:p>
    <w:p w14:paraId="45E66479" w14:textId="77777777" w:rsidR="003315E7" w:rsidRDefault="003315E7" w:rsidP="003315E7">
      <w:pPr>
        <w:rPr>
          <w:szCs w:val="22"/>
        </w:rPr>
      </w:pPr>
    </w:p>
    <w:p w14:paraId="32A9471B" w14:textId="77777777" w:rsidR="003315E7" w:rsidRPr="000D6942" w:rsidRDefault="003315E7" w:rsidP="003315E7">
      <w:pPr>
        <w:rPr>
          <w:szCs w:val="22"/>
        </w:rPr>
      </w:pPr>
    </w:p>
    <w:p w14:paraId="2319A5C9"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szCs w:val="22"/>
        </w:rPr>
      </w:pPr>
      <w:r w:rsidRPr="000D6942">
        <w:rPr>
          <w:b/>
          <w:szCs w:val="22"/>
        </w:rPr>
        <w:t>11.</w:t>
      </w:r>
      <w:r w:rsidRPr="000D6942">
        <w:rPr>
          <w:b/>
          <w:szCs w:val="22"/>
        </w:rPr>
        <w:tab/>
      </w:r>
      <w:r w:rsidRPr="000D6942">
        <w:rPr>
          <w:b/>
          <w:caps/>
          <w:szCs w:val="22"/>
        </w:rPr>
        <w:t>REGISTRUOTOJO pavadinimas ir adresas</w:t>
      </w:r>
    </w:p>
    <w:p w14:paraId="29F9D4BB" w14:textId="77777777" w:rsidR="003315E7" w:rsidRPr="000D6942" w:rsidRDefault="003315E7" w:rsidP="003315E7">
      <w:pPr>
        <w:rPr>
          <w:szCs w:val="22"/>
        </w:rPr>
      </w:pPr>
    </w:p>
    <w:p w14:paraId="7062D310" w14:textId="77777777" w:rsidR="003315E7" w:rsidRPr="002A0D89" w:rsidRDefault="003315E7" w:rsidP="003315E7">
      <w:pPr>
        <w:numPr>
          <w:ilvl w:val="12"/>
          <w:numId w:val="0"/>
        </w:numPr>
        <w:ind w:right="-2"/>
      </w:pPr>
      <w:r w:rsidRPr="002A0D89">
        <w:t xml:space="preserve">Vifor France </w:t>
      </w:r>
    </w:p>
    <w:p w14:paraId="1A47F172" w14:textId="77777777" w:rsidR="003315E7" w:rsidRPr="002A0D89" w:rsidRDefault="003315E7" w:rsidP="003315E7">
      <w:pPr>
        <w:numPr>
          <w:ilvl w:val="12"/>
          <w:numId w:val="0"/>
        </w:numPr>
        <w:ind w:right="-2"/>
      </w:pPr>
      <w:r w:rsidRPr="002A0D89">
        <w:t xml:space="preserve">100-101 Terrasse Boieldieu </w:t>
      </w:r>
    </w:p>
    <w:p w14:paraId="550653CA" w14:textId="77777777" w:rsidR="003315E7" w:rsidRPr="002A0D89" w:rsidRDefault="003315E7" w:rsidP="003315E7">
      <w:pPr>
        <w:numPr>
          <w:ilvl w:val="12"/>
          <w:numId w:val="0"/>
        </w:numPr>
        <w:ind w:right="-2"/>
      </w:pPr>
      <w:r w:rsidRPr="002A0D89">
        <w:t>Tour Franklin La Défense 8</w:t>
      </w:r>
    </w:p>
    <w:p w14:paraId="6EC9611E" w14:textId="77777777" w:rsidR="003315E7" w:rsidRPr="000D6942" w:rsidRDefault="003315E7" w:rsidP="003315E7">
      <w:pPr>
        <w:ind w:left="720" w:hanging="720"/>
        <w:rPr>
          <w:rFonts w:eastAsia="Arial Unicode MS"/>
          <w:szCs w:val="22"/>
        </w:rPr>
      </w:pPr>
      <w:r w:rsidRPr="002A0D89">
        <w:t>92042 Paris La Défense Cedex,</w:t>
      </w:r>
    </w:p>
    <w:p w14:paraId="3E9FBBF4" w14:textId="77777777" w:rsidR="003315E7" w:rsidRPr="000D6942" w:rsidRDefault="003315E7" w:rsidP="003315E7">
      <w:pPr>
        <w:ind w:left="720" w:hanging="720"/>
        <w:rPr>
          <w:rFonts w:eastAsia="Arial Unicode MS"/>
          <w:szCs w:val="22"/>
        </w:rPr>
      </w:pPr>
      <w:r w:rsidRPr="000D6942">
        <w:rPr>
          <w:rFonts w:eastAsia="Arial Unicode MS"/>
          <w:szCs w:val="22"/>
        </w:rPr>
        <w:t>Prancūzija</w:t>
      </w:r>
    </w:p>
    <w:p w14:paraId="10FA4374" w14:textId="77777777" w:rsidR="003315E7" w:rsidRPr="000D6942" w:rsidRDefault="003315E7" w:rsidP="003315E7">
      <w:pPr>
        <w:rPr>
          <w:szCs w:val="22"/>
        </w:rPr>
      </w:pPr>
    </w:p>
    <w:p w14:paraId="6BFA7B60" w14:textId="77777777" w:rsidR="003315E7" w:rsidRPr="000D6942" w:rsidRDefault="003315E7" w:rsidP="003315E7">
      <w:pPr>
        <w:rPr>
          <w:szCs w:val="22"/>
        </w:rPr>
      </w:pPr>
    </w:p>
    <w:p w14:paraId="035C0199"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rPr>
      </w:pPr>
      <w:r w:rsidRPr="000D6942">
        <w:rPr>
          <w:b/>
          <w:szCs w:val="22"/>
        </w:rPr>
        <w:t>12.</w:t>
      </w:r>
      <w:r w:rsidRPr="000D6942">
        <w:rPr>
          <w:b/>
          <w:szCs w:val="22"/>
        </w:rPr>
        <w:tab/>
      </w:r>
      <w:r w:rsidRPr="000D6942">
        <w:rPr>
          <w:b/>
          <w:caps/>
          <w:szCs w:val="22"/>
        </w:rPr>
        <w:t>REGISTRACIJOS PAŽYMĖJIMO numeris</w:t>
      </w:r>
      <w:r w:rsidRPr="000D6942">
        <w:rPr>
          <w:b/>
          <w:caps/>
        </w:rPr>
        <w:t xml:space="preserve"> </w:t>
      </w:r>
      <w:r w:rsidRPr="000D6942">
        <w:rPr>
          <w:b/>
          <w:caps/>
          <w:szCs w:val="22"/>
        </w:rPr>
        <w:t>(-IAI)</w:t>
      </w:r>
    </w:p>
    <w:p w14:paraId="7BB5F776" w14:textId="77777777" w:rsidR="003315E7" w:rsidRPr="000D6942" w:rsidRDefault="003315E7" w:rsidP="003315E7">
      <w:pPr>
        <w:rPr>
          <w:szCs w:val="22"/>
        </w:rPr>
      </w:pPr>
    </w:p>
    <w:p w14:paraId="0EE36281" w14:textId="77777777" w:rsidR="003315E7" w:rsidRPr="000D6942" w:rsidRDefault="003315E7" w:rsidP="003315E7">
      <w:pPr>
        <w:rPr>
          <w:highlight w:val="lightGray"/>
        </w:rPr>
      </w:pPr>
      <w:r w:rsidRPr="000D6942">
        <w:rPr>
          <w:highlight w:val="lightGray"/>
        </w:rPr>
        <w:t xml:space="preserve">Flakonas (10 ml), N5 - </w:t>
      </w:r>
      <w:r w:rsidRPr="000D6942">
        <w:rPr>
          <w:szCs w:val="22"/>
        </w:rPr>
        <w:t>LT/1/08/1133/002</w:t>
      </w:r>
    </w:p>
    <w:p w14:paraId="4446B36C" w14:textId="77777777" w:rsidR="003315E7" w:rsidRPr="000D6942" w:rsidRDefault="003315E7" w:rsidP="003315E7">
      <w:pPr>
        <w:rPr>
          <w:highlight w:val="lightGray"/>
        </w:rPr>
      </w:pPr>
      <w:r w:rsidRPr="000D6942">
        <w:rPr>
          <w:highlight w:val="lightGray"/>
        </w:rPr>
        <w:t xml:space="preserve">Flakonas (10 ml), N1 - </w:t>
      </w:r>
      <w:r w:rsidRPr="000D6942">
        <w:rPr>
          <w:szCs w:val="22"/>
        </w:rPr>
        <w:t>LT/1/08/1133/004</w:t>
      </w:r>
    </w:p>
    <w:p w14:paraId="675E17CA" w14:textId="77777777" w:rsidR="003315E7" w:rsidRPr="000D6942" w:rsidRDefault="003315E7" w:rsidP="003315E7">
      <w:pPr>
        <w:rPr>
          <w:highlight w:val="lightGray"/>
        </w:rPr>
      </w:pPr>
      <w:r w:rsidRPr="000D6942">
        <w:rPr>
          <w:highlight w:val="lightGray"/>
        </w:rPr>
        <w:t xml:space="preserve">Flakonas (10 ml), N2 - </w:t>
      </w:r>
      <w:r w:rsidRPr="000D6942">
        <w:rPr>
          <w:szCs w:val="22"/>
        </w:rPr>
        <w:t>LT/1/08/1133/006</w:t>
      </w:r>
    </w:p>
    <w:p w14:paraId="1FC38D42" w14:textId="77777777" w:rsidR="003315E7" w:rsidRPr="000D6942" w:rsidRDefault="003315E7" w:rsidP="003315E7">
      <w:pPr>
        <w:rPr>
          <w:szCs w:val="22"/>
        </w:rPr>
      </w:pPr>
    </w:p>
    <w:p w14:paraId="2C0ECD88" w14:textId="77777777" w:rsidR="003315E7" w:rsidRPr="000D6942" w:rsidRDefault="003315E7" w:rsidP="003315E7">
      <w:pPr>
        <w:rPr>
          <w:szCs w:val="22"/>
        </w:rPr>
      </w:pPr>
    </w:p>
    <w:p w14:paraId="4EEFA8DB"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szCs w:val="22"/>
        </w:rPr>
      </w:pPr>
      <w:r w:rsidRPr="000D6942">
        <w:rPr>
          <w:b/>
          <w:szCs w:val="22"/>
        </w:rPr>
        <w:t>13.</w:t>
      </w:r>
      <w:r w:rsidRPr="000D6942">
        <w:rPr>
          <w:b/>
          <w:szCs w:val="22"/>
        </w:rPr>
        <w:tab/>
        <w:t>SERIJOS NUMERIS</w:t>
      </w:r>
    </w:p>
    <w:p w14:paraId="5B2DBA37" w14:textId="77777777" w:rsidR="003315E7" w:rsidRPr="000D6942" w:rsidRDefault="003315E7" w:rsidP="003315E7">
      <w:pPr>
        <w:rPr>
          <w:szCs w:val="22"/>
        </w:rPr>
      </w:pPr>
    </w:p>
    <w:p w14:paraId="044DB5F6" w14:textId="77777777" w:rsidR="003315E7" w:rsidRPr="000D6942" w:rsidRDefault="003315E7" w:rsidP="003315E7">
      <w:pPr>
        <w:rPr>
          <w:szCs w:val="22"/>
        </w:rPr>
      </w:pPr>
      <w:r w:rsidRPr="00446604">
        <w:rPr>
          <w:szCs w:val="22"/>
          <w:highlight w:val="lightGray"/>
        </w:rPr>
        <w:t>Serija:</w:t>
      </w:r>
    </w:p>
    <w:p w14:paraId="344A5A03" w14:textId="77777777" w:rsidR="003315E7" w:rsidRDefault="003315E7" w:rsidP="003315E7">
      <w:pPr>
        <w:rPr>
          <w:szCs w:val="22"/>
        </w:rPr>
      </w:pPr>
      <w:r>
        <w:rPr>
          <w:szCs w:val="22"/>
        </w:rPr>
        <w:t>Lot</w:t>
      </w:r>
    </w:p>
    <w:p w14:paraId="236BEF0C" w14:textId="77777777" w:rsidR="003315E7" w:rsidRPr="000D6942" w:rsidRDefault="003315E7" w:rsidP="003315E7">
      <w:pPr>
        <w:rPr>
          <w:szCs w:val="22"/>
        </w:rPr>
      </w:pPr>
    </w:p>
    <w:p w14:paraId="7EBE5D8C" w14:textId="77777777" w:rsidR="003315E7" w:rsidRPr="000D6942" w:rsidRDefault="003315E7" w:rsidP="003315E7">
      <w:pPr>
        <w:rPr>
          <w:szCs w:val="22"/>
        </w:rPr>
      </w:pPr>
    </w:p>
    <w:p w14:paraId="6817BAEB"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szCs w:val="22"/>
        </w:rPr>
      </w:pPr>
      <w:r w:rsidRPr="000D6942">
        <w:rPr>
          <w:b/>
          <w:szCs w:val="22"/>
        </w:rPr>
        <w:t>14.</w:t>
      </w:r>
      <w:r w:rsidRPr="000D6942">
        <w:rPr>
          <w:b/>
          <w:szCs w:val="22"/>
        </w:rPr>
        <w:tab/>
        <w:t>PARDAVIMO (IŠDAVIMO)</w:t>
      </w:r>
      <w:r w:rsidRPr="000D6942">
        <w:rPr>
          <w:b/>
          <w:caps/>
          <w:szCs w:val="22"/>
        </w:rPr>
        <w:t xml:space="preserve"> tvarka</w:t>
      </w:r>
    </w:p>
    <w:p w14:paraId="716ABB56" w14:textId="77777777" w:rsidR="003315E7" w:rsidRPr="000D6942" w:rsidRDefault="003315E7" w:rsidP="003315E7">
      <w:pPr>
        <w:rPr>
          <w:szCs w:val="22"/>
        </w:rPr>
      </w:pPr>
    </w:p>
    <w:p w14:paraId="26A1B6A6" w14:textId="77777777" w:rsidR="003315E7" w:rsidRPr="000D6942" w:rsidRDefault="003315E7" w:rsidP="003315E7">
      <w:pPr>
        <w:rPr>
          <w:szCs w:val="22"/>
        </w:rPr>
      </w:pPr>
      <w:r w:rsidRPr="000D6942">
        <w:rPr>
          <w:szCs w:val="22"/>
        </w:rPr>
        <w:t>Receptinis vaistas</w:t>
      </w:r>
    </w:p>
    <w:p w14:paraId="24E8C111" w14:textId="77777777" w:rsidR="003315E7" w:rsidRPr="000D6942" w:rsidRDefault="003315E7" w:rsidP="003315E7">
      <w:pPr>
        <w:rPr>
          <w:szCs w:val="22"/>
        </w:rPr>
      </w:pPr>
    </w:p>
    <w:p w14:paraId="10437CF3" w14:textId="77777777" w:rsidR="003315E7" w:rsidRPr="000D6942" w:rsidRDefault="003315E7" w:rsidP="003315E7">
      <w:pPr>
        <w:rPr>
          <w:szCs w:val="22"/>
        </w:rPr>
      </w:pPr>
    </w:p>
    <w:p w14:paraId="081D2C9B"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szCs w:val="22"/>
        </w:rPr>
      </w:pPr>
      <w:r w:rsidRPr="000D6942">
        <w:rPr>
          <w:b/>
          <w:szCs w:val="22"/>
        </w:rPr>
        <w:t>15.</w:t>
      </w:r>
      <w:r w:rsidRPr="000D6942">
        <w:rPr>
          <w:b/>
          <w:szCs w:val="22"/>
        </w:rPr>
        <w:tab/>
      </w:r>
      <w:r w:rsidRPr="000D6942">
        <w:rPr>
          <w:b/>
          <w:caps/>
          <w:szCs w:val="22"/>
        </w:rPr>
        <w:t>vartojimo instrukcijA</w:t>
      </w:r>
    </w:p>
    <w:p w14:paraId="6244DDDE" w14:textId="77777777" w:rsidR="003315E7" w:rsidRDefault="003315E7" w:rsidP="003315E7">
      <w:pPr>
        <w:rPr>
          <w:szCs w:val="22"/>
        </w:rPr>
      </w:pPr>
    </w:p>
    <w:p w14:paraId="07008A42" w14:textId="77777777" w:rsidR="003315E7" w:rsidRDefault="003315E7" w:rsidP="003315E7">
      <w:r w:rsidRPr="00330A34">
        <w:rPr>
          <w:highlight w:val="lightGray"/>
        </w:rPr>
        <w:t>Duomenys nebūtini.</w:t>
      </w:r>
    </w:p>
    <w:p w14:paraId="3AC4BC13" w14:textId="77777777" w:rsidR="003315E7" w:rsidRPr="000D6942" w:rsidRDefault="003315E7" w:rsidP="003315E7">
      <w:pPr>
        <w:rPr>
          <w:szCs w:val="22"/>
        </w:rPr>
      </w:pPr>
    </w:p>
    <w:p w14:paraId="2870044A" w14:textId="77777777" w:rsidR="003315E7" w:rsidRPr="000D6942" w:rsidRDefault="003315E7" w:rsidP="003315E7">
      <w:pPr>
        <w:rPr>
          <w:szCs w:val="22"/>
        </w:rPr>
      </w:pPr>
    </w:p>
    <w:p w14:paraId="6C61471F"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szCs w:val="22"/>
        </w:rPr>
      </w:pPr>
      <w:r w:rsidRPr="000D6942">
        <w:rPr>
          <w:b/>
          <w:szCs w:val="22"/>
        </w:rPr>
        <w:t>16.</w:t>
      </w:r>
      <w:r w:rsidRPr="000D6942">
        <w:rPr>
          <w:b/>
          <w:szCs w:val="22"/>
        </w:rPr>
        <w:tab/>
        <w:t>INFORMACIJA BRAILIO RAŠTU</w:t>
      </w:r>
    </w:p>
    <w:p w14:paraId="6AF271F6" w14:textId="77777777" w:rsidR="003315E7" w:rsidRPr="000D6942" w:rsidRDefault="003315E7" w:rsidP="003315E7">
      <w:pPr>
        <w:rPr>
          <w:szCs w:val="22"/>
        </w:rPr>
      </w:pPr>
    </w:p>
    <w:p w14:paraId="720AD463" w14:textId="77777777" w:rsidR="003315E7" w:rsidRPr="000D6942" w:rsidRDefault="003315E7" w:rsidP="003315E7">
      <w:pPr>
        <w:rPr>
          <w:szCs w:val="22"/>
        </w:rPr>
      </w:pPr>
      <w:r w:rsidRPr="000D6942">
        <w:rPr>
          <w:highlight w:val="lightGray"/>
        </w:rPr>
        <w:t>Priimtas pagrindimas informacijos Brailio raštu nepateikti.</w:t>
      </w:r>
    </w:p>
    <w:p w14:paraId="2482DB11" w14:textId="77777777" w:rsidR="003315E7" w:rsidRPr="000D6942" w:rsidRDefault="003315E7" w:rsidP="003315E7">
      <w:pPr>
        <w:rPr>
          <w:szCs w:val="22"/>
        </w:rPr>
      </w:pPr>
    </w:p>
    <w:p w14:paraId="4B1AF3D1" w14:textId="77777777" w:rsidR="003315E7" w:rsidRPr="000D6942" w:rsidRDefault="003315E7" w:rsidP="003315E7">
      <w:pPr>
        <w:rPr>
          <w:szCs w:val="22"/>
        </w:rPr>
      </w:pPr>
    </w:p>
    <w:p w14:paraId="64086E31" w14:textId="77777777" w:rsidR="003315E7" w:rsidRPr="000D6942" w:rsidRDefault="003315E7" w:rsidP="003315E7">
      <w:pPr>
        <w:keepNext/>
        <w:pBdr>
          <w:top w:val="single" w:sz="4" w:space="1" w:color="auto"/>
          <w:left w:val="single" w:sz="4" w:space="4" w:color="auto"/>
          <w:bottom w:val="single" w:sz="4" w:space="1" w:color="auto"/>
          <w:right w:val="single" w:sz="4" w:space="4" w:color="auto"/>
        </w:pBdr>
        <w:tabs>
          <w:tab w:val="left" w:pos="0"/>
        </w:tabs>
        <w:outlineLvl w:val="0"/>
        <w:rPr>
          <w:i/>
        </w:rPr>
      </w:pPr>
      <w:r w:rsidRPr="000D6942">
        <w:rPr>
          <w:b/>
        </w:rPr>
        <w:t>17.</w:t>
      </w:r>
      <w:r w:rsidRPr="000D6942">
        <w:rPr>
          <w:b/>
        </w:rPr>
        <w:tab/>
        <w:t>UNIKALUS IDENTIFIKATORIUS – 2D BRŪKŠNINIS KODAS</w:t>
      </w:r>
    </w:p>
    <w:p w14:paraId="327842C4" w14:textId="77777777" w:rsidR="003315E7" w:rsidRPr="000D6942" w:rsidRDefault="003315E7" w:rsidP="003315E7"/>
    <w:p w14:paraId="4AA6216F" w14:textId="77777777" w:rsidR="003315E7" w:rsidRPr="000D6942" w:rsidRDefault="003315E7" w:rsidP="003315E7">
      <w:pPr>
        <w:rPr>
          <w:szCs w:val="22"/>
          <w:shd w:val="clear" w:color="auto" w:fill="CCCCCC"/>
        </w:rPr>
      </w:pPr>
      <w:r w:rsidRPr="000D6942">
        <w:rPr>
          <w:highlight w:val="lightGray"/>
        </w:rPr>
        <w:t>&lt;2D brūkšninis kodas su nurodytu unikaliu identifikatoriumi.&gt;</w:t>
      </w:r>
    </w:p>
    <w:p w14:paraId="625D7D0F" w14:textId="77777777" w:rsidR="003315E7" w:rsidRPr="000D6942" w:rsidRDefault="003315E7" w:rsidP="003315E7"/>
    <w:p w14:paraId="37938B35" w14:textId="77777777" w:rsidR="003315E7" w:rsidRPr="000D6942" w:rsidRDefault="003315E7" w:rsidP="003315E7"/>
    <w:p w14:paraId="3250332B" w14:textId="77777777" w:rsidR="003315E7" w:rsidRPr="000D6942" w:rsidRDefault="003315E7" w:rsidP="003315E7">
      <w:pPr>
        <w:keepNext/>
        <w:pBdr>
          <w:top w:val="single" w:sz="4" w:space="1" w:color="auto"/>
          <w:left w:val="single" w:sz="4" w:space="4" w:color="auto"/>
          <w:bottom w:val="single" w:sz="4" w:space="1" w:color="auto"/>
          <w:right w:val="single" w:sz="4" w:space="4" w:color="auto"/>
        </w:pBdr>
        <w:tabs>
          <w:tab w:val="left" w:pos="0"/>
        </w:tabs>
        <w:outlineLvl w:val="0"/>
        <w:rPr>
          <w:i/>
        </w:rPr>
      </w:pPr>
      <w:r w:rsidRPr="000D6942">
        <w:rPr>
          <w:b/>
        </w:rPr>
        <w:t>18.</w:t>
      </w:r>
      <w:r w:rsidRPr="000D6942">
        <w:rPr>
          <w:b/>
        </w:rPr>
        <w:tab/>
        <w:t>UNIKALUS IDENTIFIKATORIUS – ŽMONĖMS SUPRANTAMI DUOMENYS</w:t>
      </w:r>
    </w:p>
    <w:p w14:paraId="49C7B3F7" w14:textId="77777777" w:rsidR="003315E7" w:rsidRPr="000D6942" w:rsidRDefault="003315E7" w:rsidP="003315E7"/>
    <w:p w14:paraId="0D4FDF2E" w14:textId="77777777" w:rsidR="003315E7" w:rsidRPr="000D6942" w:rsidRDefault="003315E7" w:rsidP="003315E7">
      <w:pPr>
        <w:rPr>
          <w:color w:val="008000"/>
          <w:szCs w:val="22"/>
        </w:rPr>
      </w:pPr>
      <w:r w:rsidRPr="000D6942">
        <w:t>PC:</w:t>
      </w:r>
    </w:p>
    <w:p w14:paraId="4C319006" w14:textId="77777777" w:rsidR="003315E7" w:rsidRPr="000D6942" w:rsidRDefault="003315E7" w:rsidP="003315E7">
      <w:pPr>
        <w:rPr>
          <w:szCs w:val="22"/>
        </w:rPr>
      </w:pPr>
      <w:r w:rsidRPr="000D6942">
        <w:t>SN:</w:t>
      </w:r>
    </w:p>
    <w:p w14:paraId="246F0562" w14:textId="77777777" w:rsidR="003315E7" w:rsidRPr="000D6942" w:rsidRDefault="003315E7" w:rsidP="003315E7">
      <w:pPr>
        <w:rPr>
          <w:szCs w:val="22"/>
        </w:rPr>
      </w:pPr>
      <w:r w:rsidRPr="000D6942">
        <w:t>NN:</w:t>
      </w:r>
    </w:p>
    <w:p w14:paraId="522E33DA" w14:textId="77777777" w:rsidR="003315E7" w:rsidRPr="00E52032" w:rsidRDefault="003315E7" w:rsidP="003315E7"/>
    <w:p w14:paraId="51881553" w14:textId="77777777" w:rsidR="003315E7" w:rsidRDefault="003315E7" w:rsidP="003315E7">
      <w:pPr>
        <w:pStyle w:val="Heading1LAB"/>
      </w:pPr>
      <w:r>
        <w:t>19.</w:t>
      </w:r>
      <w:r>
        <w:tab/>
        <w:t>KITA</w:t>
      </w:r>
    </w:p>
    <w:p w14:paraId="6CA6F6E7" w14:textId="77777777" w:rsidR="003315E7" w:rsidRPr="00E52032" w:rsidRDefault="003315E7" w:rsidP="003315E7"/>
    <w:p w14:paraId="5C5AEF62" w14:textId="77777777" w:rsidR="003315E7" w:rsidRPr="000D6942" w:rsidRDefault="003315E7" w:rsidP="003315E7">
      <w:pPr>
        <w:rPr>
          <w:szCs w:val="22"/>
        </w:rPr>
      </w:pPr>
      <w:r w:rsidRPr="000D6942">
        <w:rPr>
          <w:szCs w:val="22"/>
        </w:rPr>
        <w:br w:type="page"/>
      </w:r>
    </w:p>
    <w:p w14:paraId="279E58FF" w14:textId="77777777" w:rsidR="003315E7" w:rsidRPr="000D6942" w:rsidRDefault="003315E7" w:rsidP="003315E7">
      <w:pPr>
        <w:pBdr>
          <w:top w:val="single" w:sz="4" w:space="1" w:color="auto"/>
          <w:left w:val="single" w:sz="4" w:space="4" w:color="auto"/>
          <w:bottom w:val="single" w:sz="4" w:space="1" w:color="auto"/>
          <w:right w:val="single" w:sz="4" w:space="4" w:color="auto"/>
        </w:pBdr>
        <w:rPr>
          <w:b/>
          <w:szCs w:val="22"/>
        </w:rPr>
      </w:pPr>
      <w:r w:rsidRPr="000D6942">
        <w:rPr>
          <w:b/>
          <w:szCs w:val="22"/>
        </w:rPr>
        <w:lastRenderedPageBreak/>
        <w:t>INFORMACIJA ANT IŠORINĖS PAKUOTĖS</w:t>
      </w:r>
    </w:p>
    <w:p w14:paraId="00C8F2AD"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rPr>
          <w:szCs w:val="22"/>
        </w:rPr>
      </w:pPr>
    </w:p>
    <w:p w14:paraId="381287A0" w14:textId="77777777" w:rsidR="003315E7" w:rsidRPr="000D6942" w:rsidRDefault="003315E7" w:rsidP="003315E7">
      <w:pPr>
        <w:pBdr>
          <w:top w:val="single" w:sz="4" w:space="1" w:color="auto"/>
          <w:left w:val="single" w:sz="4" w:space="4" w:color="auto"/>
          <w:bottom w:val="single" w:sz="4" w:space="1" w:color="auto"/>
          <w:right w:val="single" w:sz="4" w:space="4" w:color="auto"/>
        </w:pBdr>
        <w:rPr>
          <w:b/>
          <w:szCs w:val="22"/>
        </w:rPr>
      </w:pPr>
      <w:r w:rsidRPr="000D6942">
        <w:rPr>
          <w:b/>
          <w:szCs w:val="22"/>
        </w:rPr>
        <w:t>KARTONO DĖŽUTĖ (1 flakonas (20 ml))</w:t>
      </w:r>
    </w:p>
    <w:p w14:paraId="39E9E87B" w14:textId="77777777" w:rsidR="003315E7" w:rsidRPr="000D6942" w:rsidRDefault="003315E7" w:rsidP="003315E7">
      <w:pPr>
        <w:rPr>
          <w:szCs w:val="22"/>
        </w:rPr>
      </w:pPr>
    </w:p>
    <w:p w14:paraId="5D889671" w14:textId="77777777" w:rsidR="003315E7" w:rsidRPr="000D6942" w:rsidRDefault="003315E7" w:rsidP="003315E7">
      <w:pPr>
        <w:rPr>
          <w:szCs w:val="22"/>
        </w:rPr>
      </w:pPr>
    </w:p>
    <w:p w14:paraId="5C004C22"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pPr>
      <w:r w:rsidRPr="000D6942">
        <w:rPr>
          <w:b/>
        </w:rPr>
        <w:t>1.</w:t>
      </w:r>
      <w:r w:rsidRPr="000D6942">
        <w:rPr>
          <w:b/>
        </w:rPr>
        <w:tab/>
      </w:r>
      <w:r w:rsidRPr="000D6942">
        <w:rPr>
          <w:b/>
          <w:szCs w:val="22"/>
        </w:rPr>
        <w:t>VAISTINIO PREPARATO PAVADINIMAS</w:t>
      </w:r>
    </w:p>
    <w:p w14:paraId="1275A173" w14:textId="77777777" w:rsidR="003315E7" w:rsidRPr="000D6942" w:rsidRDefault="003315E7" w:rsidP="003315E7"/>
    <w:p w14:paraId="45BF7E3C" w14:textId="77777777" w:rsidR="003315E7" w:rsidRPr="000D6942" w:rsidRDefault="003315E7" w:rsidP="003315E7">
      <w:pPr>
        <w:rPr>
          <w:szCs w:val="22"/>
        </w:rPr>
      </w:pPr>
      <w:r w:rsidRPr="000D6942">
        <w:rPr>
          <w:szCs w:val="22"/>
        </w:rPr>
        <w:t>Ferinject</w:t>
      </w:r>
      <w:r w:rsidRPr="000D6942">
        <w:rPr>
          <w:szCs w:val="22"/>
          <w:vertAlign w:val="superscript"/>
        </w:rPr>
        <w:t xml:space="preserve"> </w:t>
      </w:r>
      <w:r w:rsidRPr="000D6942">
        <w:rPr>
          <w:szCs w:val="22"/>
        </w:rPr>
        <w:t>50 mg/ml injekcinis/infuzinis tirpalas</w:t>
      </w:r>
    </w:p>
    <w:p w14:paraId="5E5AAC3F" w14:textId="77777777" w:rsidR="003315E7" w:rsidRPr="000D6942" w:rsidRDefault="003315E7" w:rsidP="003315E7">
      <w:pPr>
        <w:rPr>
          <w:szCs w:val="22"/>
        </w:rPr>
      </w:pPr>
      <w:r>
        <w:rPr>
          <w:szCs w:val="22"/>
        </w:rPr>
        <w:t>g</w:t>
      </w:r>
      <w:r w:rsidRPr="000D6942">
        <w:rPr>
          <w:szCs w:val="22"/>
        </w:rPr>
        <w:t>eležies karboksimaltozė</w:t>
      </w:r>
    </w:p>
    <w:p w14:paraId="578ECEAB" w14:textId="77777777" w:rsidR="003315E7" w:rsidRPr="000D6942" w:rsidRDefault="003315E7" w:rsidP="003315E7">
      <w:pPr>
        <w:rPr>
          <w:szCs w:val="22"/>
        </w:rPr>
      </w:pPr>
    </w:p>
    <w:p w14:paraId="1C9B5189" w14:textId="77777777" w:rsidR="003315E7" w:rsidRPr="000D6942" w:rsidRDefault="003315E7" w:rsidP="003315E7">
      <w:pPr>
        <w:rPr>
          <w:szCs w:val="22"/>
        </w:rPr>
      </w:pPr>
    </w:p>
    <w:p w14:paraId="0D93BF54"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b/>
          <w:szCs w:val="22"/>
        </w:rPr>
      </w:pPr>
      <w:r w:rsidRPr="000D6942">
        <w:rPr>
          <w:b/>
          <w:szCs w:val="22"/>
        </w:rPr>
        <w:t>2.</w:t>
      </w:r>
      <w:r w:rsidRPr="000D6942">
        <w:rPr>
          <w:b/>
          <w:szCs w:val="22"/>
        </w:rPr>
        <w:tab/>
        <w:t>VEIKLIOJI (-IOS) MEDŽIAGA (-OS) IR JOS (-Ų) KIEKIS (-IAI)</w:t>
      </w:r>
    </w:p>
    <w:p w14:paraId="781FA2B9" w14:textId="77777777" w:rsidR="003315E7" w:rsidRPr="000D6942" w:rsidRDefault="003315E7" w:rsidP="003315E7">
      <w:pPr>
        <w:rPr>
          <w:szCs w:val="22"/>
        </w:rPr>
      </w:pPr>
    </w:p>
    <w:p w14:paraId="70B28FA9" w14:textId="77777777" w:rsidR="003315E7" w:rsidRPr="000D6942" w:rsidRDefault="003315E7" w:rsidP="003315E7">
      <w:pPr>
        <w:ind w:right="73"/>
        <w:jc w:val="both"/>
        <w:rPr>
          <w:szCs w:val="22"/>
        </w:rPr>
      </w:pPr>
      <w:r w:rsidRPr="000D6942">
        <w:rPr>
          <w:szCs w:val="22"/>
        </w:rPr>
        <w:t>Viename tirpalo ml yra 50 mg geležies (geležies karboksimaltozės pavidalu).</w:t>
      </w:r>
    </w:p>
    <w:p w14:paraId="0D3E3B5C" w14:textId="77777777" w:rsidR="003315E7" w:rsidRPr="000D6942" w:rsidRDefault="003315E7" w:rsidP="003315E7">
      <w:pPr>
        <w:ind w:right="73"/>
        <w:jc w:val="both"/>
        <w:rPr>
          <w:szCs w:val="22"/>
        </w:rPr>
      </w:pPr>
      <w:r w:rsidRPr="000D6942">
        <w:rPr>
          <w:szCs w:val="22"/>
        </w:rPr>
        <w:t>Kiekviename 20 ml flakone yra 1000 mg geležies (geležies karboksimaltozės pavidalu).</w:t>
      </w:r>
    </w:p>
    <w:p w14:paraId="277800BB" w14:textId="77777777" w:rsidR="003315E7" w:rsidRPr="000D6942" w:rsidRDefault="003315E7" w:rsidP="003315E7">
      <w:pPr>
        <w:rPr>
          <w:szCs w:val="22"/>
        </w:rPr>
      </w:pPr>
    </w:p>
    <w:p w14:paraId="41C0C446" w14:textId="77777777" w:rsidR="003315E7" w:rsidRPr="000D6942" w:rsidRDefault="003315E7" w:rsidP="003315E7">
      <w:pPr>
        <w:rPr>
          <w:szCs w:val="22"/>
        </w:rPr>
      </w:pPr>
    </w:p>
    <w:p w14:paraId="1B369011"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t>3.</w:t>
      </w:r>
      <w:r w:rsidRPr="000D6942">
        <w:rPr>
          <w:b/>
          <w:szCs w:val="22"/>
        </w:rPr>
        <w:tab/>
        <w:t>PAGALBINIŲ MEDŽIAGŲ SĄRAŠAS</w:t>
      </w:r>
    </w:p>
    <w:p w14:paraId="17419F77" w14:textId="77777777" w:rsidR="003315E7" w:rsidRPr="000D6942" w:rsidRDefault="003315E7" w:rsidP="003315E7">
      <w:pPr>
        <w:rPr>
          <w:szCs w:val="22"/>
        </w:rPr>
      </w:pPr>
    </w:p>
    <w:p w14:paraId="4B8F500D" w14:textId="77777777" w:rsidR="003315E7" w:rsidRPr="000D6942" w:rsidRDefault="003315E7" w:rsidP="003315E7">
      <w:pPr>
        <w:rPr>
          <w:szCs w:val="22"/>
        </w:rPr>
      </w:pPr>
      <w:r w:rsidRPr="000D6942">
        <w:rPr>
          <w:szCs w:val="22"/>
        </w:rPr>
        <w:t>Pagalbinės medžiagos: Injekcinis vanduo, natrio hidroksidas, vandenilio chlorido rūgštis.</w:t>
      </w:r>
    </w:p>
    <w:p w14:paraId="53FEE8ED" w14:textId="77777777" w:rsidR="003315E7" w:rsidRPr="000D6942" w:rsidRDefault="003315E7" w:rsidP="003315E7">
      <w:pPr>
        <w:rPr>
          <w:szCs w:val="22"/>
        </w:rPr>
      </w:pPr>
    </w:p>
    <w:p w14:paraId="753A9CA5" w14:textId="77777777" w:rsidR="003315E7" w:rsidRPr="000D6942" w:rsidRDefault="003315E7" w:rsidP="003315E7">
      <w:pPr>
        <w:rPr>
          <w:szCs w:val="22"/>
        </w:rPr>
      </w:pPr>
    </w:p>
    <w:p w14:paraId="649849E5"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t>4.</w:t>
      </w:r>
      <w:r w:rsidRPr="000D6942">
        <w:rPr>
          <w:b/>
          <w:szCs w:val="22"/>
        </w:rPr>
        <w:tab/>
        <w:t>FARMACINĖ FORMA IR KIEKIS PAKUOTĖJE</w:t>
      </w:r>
    </w:p>
    <w:p w14:paraId="4157BC05" w14:textId="77777777" w:rsidR="003315E7" w:rsidRPr="000D6942" w:rsidRDefault="003315E7" w:rsidP="003315E7">
      <w:pPr>
        <w:rPr>
          <w:szCs w:val="22"/>
        </w:rPr>
      </w:pPr>
    </w:p>
    <w:p w14:paraId="5DD4DFE2" w14:textId="77777777" w:rsidR="003315E7" w:rsidRPr="000D6942" w:rsidRDefault="003315E7" w:rsidP="003315E7">
      <w:pPr>
        <w:rPr>
          <w:szCs w:val="22"/>
        </w:rPr>
      </w:pPr>
      <w:r w:rsidRPr="000D6942">
        <w:rPr>
          <w:szCs w:val="22"/>
        </w:rPr>
        <w:t>Injekcinis/infuzinis tirpalas</w:t>
      </w:r>
    </w:p>
    <w:p w14:paraId="4A9DD9A9" w14:textId="77777777" w:rsidR="003315E7" w:rsidRPr="000D6942" w:rsidRDefault="003315E7" w:rsidP="003315E7">
      <w:pPr>
        <w:rPr>
          <w:szCs w:val="22"/>
        </w:rPr>
      </w:pPr>
      <w:r w:rsidRPr="000D6942">
        <w:rPr>
          <w:szCs w:val="22"/>
        </w:rPr>
        <w:t>1 flakonas (20 ml)</w:t>
      </w:r>
    </w:p>
    <w:p w14:paraId="24B40C33" w14:textId="77777777" w:rsidR="003315E7" w:rsidRPr="00E52032" w:rsidRDefault="003315E7" w:rsidP="003315E7">
      <w:r>
        <w:t>20 ml = 1000 mg</w:t>
      </w:r>
    </w:p>
    <w:p w14:paraId="2A44D845" w14:textId="77777777" w:rsidR="003315E7" w:rsidRPr="000D6942" w:rsidRDefault="003315E7" w:rsidP="003315E7">
      <w:pPr>
        <w:rPr>
          <w:szCs w:val="22"/>
        </w:rPr>
      </w:pPr>
    </w:p>
    <w:p w14:paraId="2E299D71" w14:textId="77777777" w:rsidR="003315E7" w:rsidRPr="000D6942" w:rsidRDefault="003315E7" w:rsidP="003315E7">
      <w:pPr>
        <w:rPr>
          <w:szCs w:val="22"/>
        </w:rPr>
      </w:pPr>
    </w:p>
    <w:p w14:paraId="0D89D1BE"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t>5.</w:t>
      </w:r>
      <w:r w:rsidRPr="000D6942">
        <w:rPr>
          <w:b/>
          <w:szCs w:val="22"/>
        </w:rPr>
        <w:tab/>
        <w:t>VARTOJIMO METODAS IR BŪDAS (-AI)</w:t>
      </w:r>
    </w:p>
    <w:p w14:paraId="7B4029C1" w14:textId="77777777" w:rsidR="003315E7" w:rsidRPr="000D6942" w:rsidRDefault="003315E7" w:rsidP="003315E7">
      <w:pPr>
        <w:rPr>
          <w:szCs w:val="22"/>
        </w:rPr>
      </w:pPr>
    </w:p>
    <w:p w14:paraId="678ED91B" w14:textId="77777777" w:rsidR="003315E7" w:rsidRPr="000D6942" w:rsidRDefault="003315E7" w:rsidP="003315E7">
      <w:pPr>
        <w:rPr>
          <w:szCs w:val="22"/>
        </w:rPr>
      </w:pPr>
      <w:r w:rsidRPr="000D6942">
        <w:rPr>
          <w:szCs w:val="22"/>
        </w:rPr>
        <w:t>Taikant intraveninę infuziją, tirpalą reikia praskiesti steriliu 0,9% natrio chlorido tirpalu.</w:t>
      </w:r>
    </w:p>
    <w:p w14:paraId="6E2BD4B8" w14:textId="77777777" w:rsidR="003315E7" w:rsidRPr="000D6942" w:rsidRDefault="003315E7" w:rsidP="003315E7">
      <w:r w:rsidRPr="000D6942">
        <w:rPr>
          <w:szCs w:val="22"/>
        </w:rPr>
        <w:t>Leisti į veną.</w:t>
      </w:r>
    </w:p>
    <w:p w14:paraId="228C96F9" w14:textId="77777777" w:rsidR="003315E7" w:rsidRPr="000D6942" w:rsidRDefault="003315E7" w:rsidP="003315E7">
      <w:r w:rsidRPr="000D6942">
        <w:rPr>
          <w:szCs w:val="22"/>
        </w:rPr>
        <w:t>Prieš vartojimą perskaitykite pakuotės lapelį.</w:t>
      </w:r>
    </w:p>
    <w:p w14:paraId="06889950" w14:textId="77777777" w:rsidR="003315E7" w:rsidRPr="000D6942" w:rsidRDefault="003315E7" w:rsidP="003315E7">
      <w:pPr>
        <w:rPr>
          <w:szCs w:val="22"/>
        </w:rPr>
      </w:pPr>
    </w:p>
    <w:p w14:paraId="416E5726" w14:textId="77777777" w:rsidR="003315E7" w:rsidRPr="000D6942" w:rsidRDefault="003315E7" w:rsidP="003315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3315E7" w:rsidRPr="000D6942" w14:paraId="6D593C87" w14:textId="77777777" w:rsidTr="00705434">
        <w:tc>
          <w:tcPr>
            <w:tcW w:w="9286" w:type="dxa"/>
          </w:tcPr>
          <w:p w14:paraId="4112126A" w14:textId="77777777" w:rsidR="003315E7" w:rsidRPr="000D6942" w:rsidRDefault="003315E7" w:rsidP="00BE3FE3">
            <w:pPr>
              <w:ind w:left="540" w:hanging="540"/>
            </w:pPr>
            <w:r w:rsidRPr="000D6942">
              <w:rPr>
                <w:b/>
              </w:rPr>
              <w:t>6.</w:t>
            </w:r>
            <w:r w:rsidRPr="000D6942">
              <w:rPr>
                <w:b/>
              </w:rPr>
              <w:tab/>
            </w:r>
            <w:r w:rsidRPr="000D6942">
              <w:rPr>
                <w:b/>
                <w:szCs w:val="22"/>
              </w:rPr>
              <w:t>SPECIALUS ĮSPĖJIMAS, KAD VAISTINĮ PREPARATĄ BŪTINA LAIKYTI VAIKAMS NEPASTEBIMOJE IR NEPASIEKIAMOJE VIETOJE</w:t>
            </w:r>
          </w:p>
        </w:tc>
      </w:tr>
    </w:tbl>
    <w:p w14:paraId="137406F3" w14:textId="77777777" w:rsidR="003315E7" w:rsidRPr="000D6942" w:rsidRDefault="003315E7" w:rsidP="003315E7"/>
    <w:p w14:paraId="653B4E26" w14:textId="77777777" w:rsidR="003315E7" w:rsidRPr="000D6942" w:rsidRDefault="003315E7" w:rsidP="003315E7">
      <w:pPr>
        <w:outlineLvl w:val="0"/>
        <w:rPr>
          <w:szCs w:val="22"/>
        </w:rPr>
      </w:pPr>
      <w:r w:rsidRPr="000D6942">
        <w:rPr>
          <w:szCs w:val="22"/>
        </w:rPr>
        <w:t>Laikyti vaikams nepastebimoje ir nepasiekiamoje vietoje.</w:t>
      </w:r>
    </w:p>
    <w:p w14:paraId="2F31F8A6" w14:textId="77777777" w:rsidR="003315E7" w:rsidRPr="000D6942" w:rsidRDefault="003315E7" w:rsidP="003315E7">
      <w:pPr>
        <w:rPr>
          <w:szCs w:val="22"/>
        </w:rPr>
      </w:pPr>
    </w:p>
    <w:p w14:paraId="2B1CC0E9" w14:textId="77777777" w:rsidR="003315E7" w:rsidRPr="000D6942" w:rsidRDefault="003315E7" w:rsidP="003315E7">
      <w:pPr>
        <w:rPr>
          <w:szCs w:val="22"/>
        </w:rPr>
      </w:pPr>
    </w:p>
    <w:p w14:paraId="092184DD"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t>7.</w:t>
      </w:r>
      <w:r w:rsidRPr="000D6942">
        <w:rPr>
          <w:b/>
          <w:szCs w:val="22"/>
        </w:rPr>
        <w:tab/>
        <w:t>KITAS (-I) SPECIALUS (-ŪS) ĮSPĖJIMAS (-AI) (JEI REIKIA)</w:t>
      </w:r>
    </w:p>
    <w:p w14:paraId="65F2BA12" w14:textId="77777777" w:rsidR="003315E7" w:rsidRPr="000D6942" w:rsidRDefault="003315E7" w:rsidP="003315E7">
      <w:pPr>
        <w:rPr>
          <w:szCs w:val="22"/>
        </w:rPr>
      </w:pPr>
    </w:p>
    <w:p w14:paraId="2BD92FB0" w14:textId="77777777" w:rsidR="003315E7" w:rsidRPr="000D6942" w:rsidRDefault="003315E7" w:rsidP="003315E7">
      <w:pPr>
        <w:rPr>
          <w:szCs w:val="22"/>
        </w:rPr>
      </w:pPr>
      <w:r w:rsidRPr="000D6942">
        <w:rPr>
          <w:szCs w:val="22"/>
        </w:rPr>
        <w:t>Prieš vartodami apžiūrėkite, ar nėra nuosėdų ir patikrinkite tinkamumo laiką.</w:t>
      </w:r>
    </w:p>
    <w:p w14:paraId="46074309" w14:textId="77777777" w:rsidR="003315E7" w:rsidRPr="000D6942" w:rsidRDefault="003315E7" w:rsidP="003315E7">
      <w:pPr>
        <w:rPr>
          <w:szCs w:val="22"/>
        </w:rPr>
      </w:pPr>
    </w:p>
    <w:p w14:paraId="1FA390C8" w14:textId="77777777" w:rsidR="003315E7" w:rsidRPr="000D6942" w:rsidRDefault="003315E7" w:rsidP="003315E7">
      <w:pPr>
        <w:rPr>
          <w:szCs w:val="22"/>
        </w:rPr>
      </w:pPr>
    </w:p>
    <w:p w14:paraId="60F5FA55"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t>8.</w:t>
      </w:r>
      <w:r w:rsidRPr="000D6942">
        <w:rPr>
          <w:b/>
          <w:szCs w:val="22"/>
        </w:rPr>
        <w:tab/>
        <w:t>TINKAMUMO LAIKAS</w:t>
      </w:r>
    </w:p>
    <w:p w14:paraId="57917920" w14:textId="77777777" w:rsidR="003315E7" w:rsidRPr="000D6942" w:rsidRDefault="003315E7" w:rsidP="003315E7">
      <w:pPr>
        <w:rPr>
          <w:szCs w:val="22"/>
        </w:rPr>
      </w:pPr>
    </w:p>
    <w:p w14:paraId="02E0B033" w14:textId="77777777" w:rsidR="003315E7" w:rsidRDefault="003315E7" w:rsidP="003315E7">
      <w:r w:rsidRPr="00446604">
        <w:rPr>
          <w:szCs w:val="22"/>
          <w:highlight w:val="lightGray"/>
        </w:rPr>
        <w:t xml:space="preserve">Tinka iki: </w:t>
      </w:r>
      <w:r w:rsidRPr="00812457">
        <w:rPr>
          <w:highlight w:val="lightGray"/>
        </w:rPr>
        <w:t>{</w:t>
      </w:r>
      <w:r w:rsidRPr="000D6942">
        <w:rPr>
          <w:highlight w:val="lightGray"/>
        </w:rPr>
        <w:t>MMMM-mm}</w:t>
      </w:r>
    </w:p>
    <w:p w14:paraId="00D43367" w14:textId="77777777" w:rsidR="003315E7" w:rsidRPr="000D6942" w:rsidRDefault="003315E7" w:rsidP="003315E7">
      <w:pPr>
        <w:rPr>
          <w:szCs w:val="22"/>
        </w:rPr>
      </w:pPr>
      <w:r>
        <w:t>EXP</w:t>
      </w:r>
    </w:p>
    <w:p w14:paraId="67C4A39A" w14:textId="77777777" w:rsidR="003315E7" w:rsidRPr="000D6942" w:rsidRDefault="003315E7" w:rsidP="003315E7">
      <w:pPr>
        <w:rPr>
          <w:szCs w:val="22"/>
        </w:rPr>
      </w:pPr>
      <w:r w:rsidRPr="000D6942">
        <w:rPr>
          <w:szCs w:val="22"/>
        </w:rPr>
        <w:t>Pagaminimo data:</w:t>
      </w:r>
    </w:p>
    <w:p w14:paraId="7DC529B8" w14:textId="77777777" w:rsidR="003315E7" w:rsidRPr="000D6942" w:rsidRDefault="003315E7" w:rsidP="003315E7">
      <w:pPr>
        <w:rPr>
          <w:szCs w:val="22"/>
        </w:rPr>
      </w:pPr>
    </w:p>
    <w:p w14:paraId="0FDE82B0" w14:textId="77777777" w:rsidR="003315E7" w:rsidRPr="000D6942" w:rsidRDefault="003315E7" w:rsidP="003315E7">
      <w:pPr>
        <w:rPr>
          <w:szCs w:val="22"/>
        </w:rPr>
      </w:pPr>
      <w:r w:rsidRPr="000D6942">
        <w:rPr>
          <w:szCs w:val="22"/>
        </w:rPr>
        <w:t>Praskiedus suvartoti nedelsiant.</w:t>
      </w:r>
    </w:p>
    <w:p w14:paraId="664863BD" w14:textId="77777777" w:rsidR="003315E7" w:rsidRPr="000D6942" w:rsidRDefault="003315E7" w:rsidP="003315E7">
      <w:pPr>
        <w:rPr>
          <w:szCs w:val="22"/>
        </w:rPr>
      </w:pPr>
    </w:p>
    <w:p w14:paraId="022746A5" w14:textId="77777777" w:rsidR="003315E7" w:rsidRPr="000D6942" w:rsidRDefault="003315E7" w:rsidP="003315E7">
      <w:pPr>
        <w:rPr>
          <w:szCs w:val="22"/>
        </w:rPr>
      </w:pPr>
    </w:p>
    <w:p w14:paraId="37CDDA85"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67" w:hanging="567"/>
        <w:outlineLvl w:val="0"/>
        <w:rPr>
          <w:szCs w:val="22"/>
        </w:rPr>
      </w:pPr>
      <w:r w:rsidRPr="000D6942">
        <w:rPr>
          <w:b/>
          <w:szCs w:val="22"/>
        </w:rPr>
        <w:t>9.</w:t>
      </w:r>
      <w:r w:rsidRPr="000D6942">
        <w:rPr>
          <w:b/>
          <w:szCs w:val="22"/>
        </w:rPr>
        <w:tab/>
      </w:r>
      <w:r w:rsidRPr="000D6942">
        <w:rPr>
          <w:b/>
          <w:caps/>
          <w:szCs w:val="22"/>
        </w:rPr>
        <w:t>SPECIALIOS laikymo sąlygos</w:t>
      </w:r>
    </w:p>
    <w:p w14:paraId="6F44EB18" w14:textId="77777777" w:rsidR="003315E7" w:rsidRPr="000D6942" w:rsidRDefault="003315E7" w:rsidP="003315E7">
      <w:pPr>
        <w:ind w:left="567" w:hanging="567"/>
        <w:rPr>
          <w:szCs w:val="22"/>
        </w:rPr>
      </w:pPr>
    </w:p>
    <w:p w14:paraId="41FBF333" w14:textId="77777777" w:rsidR="003315E7" w:rsidRPr="000D6942" w:rsidRDefault="003315E7" w:rsidP="003315E7">
      <w:pPr>
        <w:rPr>
          <w:szCs w:val="22"/>
        </w:rPr>
      </w:pPr>
      <w:r w:rsidRPr="000D6942">
        <w:rPr>
          <w:szCs w:val="22"/>
        </w:rPr>
        <w:t xml:space="preserve">Laikyti gamintojo pakuotėje, kad </w:t>
      </w:r>
      <w:r>
        <w:rPr>
          <w:szCs w:val="22"/>
        </w:rPr>
        <w:t>vaistas</w:t>
      </w:r>
      <w:r w:rsidRPr="000D6942">
        <w:rPr>
          <w:szCs w:val="22"/>
        </w:rPr>
        <w:t xml:space="preserve"> būtų apsaugotas nuo šviesos. Laikyti ne aukštesnėje kaip 30 °C temperatūroje. Negalima užšaldyti.</w:t>
      </w:r>
    </w:p>
    <w:p w14:paraId="79ADD28D" w14:textId="77777777" w:rsidR="003315E7" w:rsidRPr="000D6942" w:rsidRDefault="003315E7" w:rsidP="003315E7">
      <w:pPr>
        <w:ind w:left="567" w:hanging="567"/>
        <w:rPr>
          <w:szCs w:val="22"/>
        </w:rPr>
      </w:pPr>
    </w:p>
    <w:p w14:paraId="1C736210" w14:textId="77777777" w:rsidR="003315E7" w:rsidRPr="000D6942" w:rsidRDefault="003315E7" w:rsidP="003315E7">
      <w:pPr>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3315E7" w:rsidRPr="000D6942" w14:paraId="51BA69DD" w14:textId="77777777" w:rsidTr="00705434">
        <w:tc>
          <w:tcPr>
            <w:tcW w:w="9286" w:type="dxa"/>
            <w:tcBorders>
              <w:top w:val="single" w:sz="4" w:space="0" w:color="auto"/>
              <w:left w:val="single" w:sz="4" w:space="0" w:color="auto"/>
              <w:bottom w:val="single" w:sz="4" w:space="0" w:color="auto"/>
              <w:right w:val="single" w:sz="4" w:space="0" w:color="auto"/>
            </w:tcBorders>
          </w:tcPr>
          <w:p w14:paraId="1185B697" w14:textId="77777777" w:rsidR="003315E7" w:rsidRPr="000D6942" w:rsidRDefault="003315E7" w:rsidP="00BE3FE3">
            <w:pPr>
              <w:ind w:left="540" w:hanging="540"/>
              <w:rPr>
                <w:szCs w:val="22"/>
              </w:rPr>
            </w:pPr>
            <w:r w:rsidRPr="000D6942">
              <w:rPr>
                <w:b/>
                <w:szCs w:val="22"/>
              </w:rPr>
              <w:t>10.</w:t>
            </w:r>
            <w:r w:rsidRPr="000D6942">
              <w:rPr>
                <w:b/>
                <w:szCs w:val="22"/>
              </w:rPr>
              <w:tab/>
            </w:r>
            <w:r w:rsidRPr="000D6942">
              <w:rPr>
                <w:b/>
                <w:caps/>
                <w:szCs w:val="22"/>
              </w:rPr>
              <w:t>specialios atsargumo priemonės DĖL NESUVARTOTO VAISTINIO PREPARATO AR JO ATLIEK</w:t>
            </w:r>
            <w:r w:rsidRPr="000D6942">
              <w:rPr>
                <w:b/>
                <w:szCs w:val="22"/>
              </w:rPr>
              <w:t>Ų</w:t>
            </w:r>
            <w:r w:rsidRPr="000D6942">
              <w:rPr>
                <w:caps/>
                <w:szCs w:val="22"/>
              </w:rPr>
              <w:t xml:space="preserve"> </w:t>
            </w:r>
            <w:r w:rsidRPr="000D6942">
              <w:rPr>
                <w:b/>
                <w:caps/>
                <w:szCs w:val="22"/>
              </w:rPr>
              <w:t>TVARKYMO (jei reikia)</w:t>
            </w:r>
          </w:p>
        </w:tc>
      </w:tr>
    </w:tbl>
    <w:p w14:paraId="777C2729" w14:textId="77777777" w:rsidR="003315E7" w:rsidRDefault="003315E7" w:rsidP="003315E7">
      <w:pPr>
        <w:rPr>
          <w:szCs w:val="22"/>
        </w:rPr>
      </w:pPr>
    </w:p>
    <w:p w14:paraId="70F754F7" w14:textId="77777777" w:rsidR="003315E7" w:rsidRDefault="003315E7" w:rsidP="003315E7">
      <w:r w:rsidRPr="00330A34">
        <w:rPr>
          <w:highlight w:val="lightGray"/>
        </w:rPr>
        <w:t>Duomenys nebūtini.</w:t>
      </w:r>
    </w:p>
    <w:p w14:paraId="5B837859" w14:textId="77777777" w:rsidR="003315E7" w:rsidRPr="000D6942" w:rsidRDefault="003315E7" w:rsidP="003315E7">
      <w:pPr>
        <w:rPr>
          <w:szCs w:val="22"/>
        </w:rPr>
      </w:pPr>
    </w:p>
    <w:p w14:paraId="5DACC878" w14:textId="77777777" w:rsidR="003315E7" w:rsidRPr="000D6942" w:rsidRDefault="003315E7" w:rsidP="003315E7">
      <w:pPr>
        <w:rPr>
          <w:szCs w:val="22"/>
        </w:rPr>
      </w:pPr>
    </w:p>
    <w:p w14:paraId="48939124"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szCs w:val="22"/>
        </w:rPr>
      </w:pPr>
      <w:r w:rsidRPr="000D6942">
        <w:rPr>
          <w:b/>
          <w:szCs w:val="22"/>
        </w:rPr>
        <w:t>11.</w:t>
      </w:r>
      <w:r w:rsidRPr="000D6942">
        <w:rPr>
          <w:b/>
          <w:szCs w:val="22"/>
        </w:rPr>
        <w:tab/>
      </w:r>
      <w:r w:rsidRPr="000D6942">
        <w:rPr>
          <w:b/>
          <w:caps/>
          <w:szCs w:val="22"/>
        </w:rPr>
        <w:t>REGISTRUOTOJO pavadinimas ir adresas</w:t>
      </w:r>
    </w:p>
    <w:p w14:paraId="6033DAFB" w14:textId="77777777" w:rsidR="003315E7" w:rsidRPr="000D6942" w:rsidRDefault="003315E7" w:rsidP="003315E7">
      <w:pPr>
        <w:rPr>
          <w:szCs w:val="22"/>
        </w:rPr>
      </w:pPr>
    </w:p>
    <w:p w14:paraId="4064C545" w14:textId="77777777" w:rsidR="003315E7" w:rsidRPr="002A0D89" w:rsidRDefault="003315E7" w:rsidP="003315E7">
      <w:pPr>
        <w:numPr>
          <w:ilvl w:val="12"/>
          <w:numId w:val="0"/>
        </w:numPr>
        <w:ind w:right="-2"/>
      </w:pPr>
      <w:r w:rsidRPr="002A0D89">
        <w:t xml:space="preserve">Vifor France </w:t>
      </w:r>
    </w:p>
    <w:p w14:paraId="74F0CC18" w14:textId="77777777" w:rsidR="003315E7" w:rsidRPr="002A0D89" w:rsidRDefault="003315E7" w:rsidP="003315E7">
      <w:pPr>
        <w:numPr>
          <w:ilvl w:val="12"/>
          <w:numId w:val="0"/>
        </w:numPr>
        <w:ind w:right="-2"/>
      </w:pPr>
      <w:r w:rsidRPr="002A0D89">
        <w:t xml:space="preserve">100-101 Terrasse Boieldieu </w:t>
      </w:r>
    </w:p>
    <w:p w14:paraId="54D2A15D" w14:textId="77777777" w:rsidR="003315E7" w:rsidRPr="002A0D89" w:rsidRDefault="003315E7" w:rsidP="003315E7">
      <w:pPr>
        <w:numPr>
          <w:ilvl w:val="12"/>
          <w:numId w:val="0"/>
        </w:numPr>
        <w:ind w:right="-2"/>
      </w:pPr>
      <w:r w:rsidRPr="002A0D89">
        <w:t>Tour Franklin La Défense 8</w:t>
      </w:r>
    </w:p>
    <w:p w14:paraId="2F855550" w14:textId="77777777" w:rsidR="003315E7" w:rsidRPr="000D6942" w:rsidRDefault="003315E7" w:rsidP="003315E7">
      <w:pPr>
        <w:ind w:left="720" w:hanging="720"/>
        <w:rPr>
          <w:rFonts w:eastAsia="Arial Unicode MS"/>
          <w:szCs w:val="22"/>
        </w:rPr>
      </w:pPr>
      <w:r w:rsidRPr="002A0D89">
        <w:t>92042 Paris La Défense Cedex,</w:t>
      </w:r>
    </w:p>
    <w:p w14:paraId="2926A073" w14:textId="77777777" w:rsidR="003315E7" w:rsidRPr="000D6942" w:rsidRDefault="003315E7" w:rsidP="003315E7">
      <w:pPr>
        <w:ind w:left="720" w:hanging="720"/>
        <w:rPr>
          <w:rFonts w:eastAsia="Arial Unicode MS"/>
          <w:szCs w:val="22"/>
        </w:rPr>
      </w:pPr>
      <w:r w:rsidRPr="000D6942">
        <w:rPr>
          <w:rFonts w:eastAsia="Arial Unicode MS"/>
          <w:szCs w:val="22"/>
        </w:rPr>
        <w:t>Prancūzija</w:t>
      </w:r>
    </w:p>
    <w:p w14:paraId="49E63312" w14:textId="77777777" w:rsidR="003315E7" w:rsidRPr="000D6942" w:rsidRDefault="003315E7" w:rsidP="003315E7">
      <w:pPr>
        <w:rPr>
          <w:szCs w:val="22"/>
        </w:rPr>
      </w:pPr>
    </w:p>
    <w:p w14:paraId="1F420478" w14:textId="77777777" w:rsidR="003315E7" w:rsidRPr="000D6942" w:rsidRDefault="003315E7" w:rsidP="003315E7">
      <w:pPr>
        <w:rPr>
          <w:szCs w:val="22"/>
        </w:rPr>
      </w:pPr>
    </w:p>
    <w:p w14:paraId="42B23BA5"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rPr>
      </w:pPr>
      <w:r w:rsidRPr="000D6942">
        <w:rPr>
          <w:b/>
          <w:szCs w:val="22"/>
        </w:rPr>
        <w:t>12.</w:t>
      </w:r>
      <w:r w:rsidRPr="000D6942">
        <w:rPr>
          <w:b/>
          <w:szCs w:val="22"/>
        </w:rPr>
        <w:tab/>
      </w:r>
      <w:r w:rsidRPr="000D6942">
        <w:rPr>
          <w:b/>
          <w:caps/>
          <w:szCs w:val="22"/>
        </w:rPr>
        <w:t>REGISTRACIJOS PAŽYMĖJIMO numeris</w:t>
      </w:r>
      <w:r w:rsidRPr="000D6942">
        <w:rPr>
          <w:b/>
          <w:caps/>
        </w:rPr>
        <w:t xml:space="preserve"> </w:t>
      </w:r>
      <w:r w:rsidRPr="000D6942">
        <w:rPr>
          <w:b/>
          <w:caps/>
          <w:szCs w:val="22"/>
        </w:rPr>
        <w:t>(-iai)</w:t>
      </w:r>
    </w:p>
    <w:p w14:paraId="4AA710CB" w14:textId="77777777" w:rsidR="003315E7" w:rsidRPr="000D6942" w:rsidRDefault="003315E7" w:rsidP="003315E7">
      <w:pPr>
        <w:rPr>
          <w:szCs w:val="22"/>
        </w:rPr>
      </w:pPr>
    </w:p>
    <w:p w14:paraId="063C0C26" w14:textId="77777777" w:rsidR="003315E7" w:rsidRPr="000D6942" w:rsidRDefault="003315E7" w:rsidP="003315E7">
      <w:pPr>
        <w:rPr>
          <w:highlight w:val="lightGray"/>
        </w:rPr>
      </w:pPr>
      <w:r w:rsidRPr="000D6942">
        <w:rPr>
          <w:highlight w:val="lightGray"/>
        </w:rPr>
        <w:t xml:space="preserve">Flakonas (20 ml), N1 - </w:t>
      </w:r>
      <w:r w:rsidRPr="000D6942">
        <w:rPr>
          <w:szCs w:val="22"/>
        </w:rPr>
        <w:t>LT/1/08/1133/007</w:t>
      </w:r>
    </w:p>
    <w:p w14:paraId="48AABD75" w14:textId="77777777" w:rsidR="003315E7" w:rsidRPr="000D6942" w:rsidRDefault="003315E7" w:rsidP="003315E7">
      <w:pPr>
        <w:rPr>
          <w:szCs w:val="22"/>
        </w:rPr>
      </w:pPr>
    </w:p>
    <w:p w14:paraId="59331F6C" w14:textId="77777777" w:rsidR="003315E7" w:rsidRPr="000D6942" w:rsidRDefault="003315E7" w:rsidP="003315E7">
      <w:pPr>
        <w:rPr>
          <w:szCs w:val="22"/>
        </w:rPr>
      </w:pPr>
    </w:p>
    <w:p w14:paraId="19495DFC"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szCs w:val="22"/>
        </w:rPr>
      </w:pPr>
      <w:r w:rsidRPr="000D6942">
        <w:rPr>
          <w:b/>
          <w:szCs w:val="22"/>
        </w:rPr>
        <w:t>13.</w:t>
      </w:r>
      <w:r w:rsidRPr="000D6942">
        <w:rPr>
          <w:b/>
          <w:szCs w:val="22"/>
        </w:rPr>
        <w:tab/>
        <w:t>SERIJOS NUMERIS</w:t>
      </w:r>
    </w:p>
    <w:p w14:paraId="2EA747AB" w14:textId="77777777" w:rsidR="003315E7" w:rsidRPr="000D6942" w:rsidRDefault="003315E7" w:rsidP="003315E7">
      <w:pPr>
        <w:rPr>
          <w:szCs w:val="22"/>
        </w:rPr>
      </w:pPr>
    </w:p>
    <w:p w14:paraId="62752AA9" w14:textId="77777777" w:rsidR="003315E7" w:rsidRPr="000D6942" w:rsidRDefault="003315E7" w:rsidP="003315E7">
      <w:pPr>
        <w:rPr>
          <w:szCs w:val="22"/>
        </w:rPr>
      </w:pPr>
      <w:r w:rsidRPr="00446604">
        <w:rPr>
          <w:szCs w:val="22"/>
          <w:highlight w:val="lightGray"/>
        </w:rPr>
        <w:t>Serija:</w:t>
      </w:r>
    </w:p>
    <w:p w14:paraId="43F2706F" w14:textId="77777777" w:rsidR="003315E7" w:rsidRDefault="003315E7" w:rsidP="003315E7">
      <w:pPr>
        <w:rPr>
          <w:szCs w:val="22"/>
        </w:rPr>
      </w:pPr>
      <w:r>
        <w:rPr>
          <w:szCs w:val="22"/>
        </w:rPr>
        <w:t>Lot</w:t>
      </w:r>
    </w:p>
    <w:p w14:paraId="46D02066" w14:textId="77777777" w:rsidR="003315E7" w:rsidRPr="000D6942" w:rsidRDefault="003315E7" w:rsidP="003315E7">
      <w:pPr>
        <w:rPr>
          <w:szCs w:val="22"/>
        </w:rPr>
      </w:pPr>
    </w:p>
    <w:p w14:paraId="3977CD3C" w14:textId="77777777" w:rsidR="003315E7" w:rsidRPr="000D6942" w:rsidRDefault="003315E7" w:rsidP="003315E7">
      <w:pPr>
        <w:rPr>
          <w:szCs w:val="22"/>
        </w:rPr>
      </w:pPr>
    </w:p>
    <w:p w14:paraId="44094B04"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szCs w:val="22"/>
        </w:rPr>
      </w:pPr>
      <w:r w:rsidRPr="000D6942">
        <w:rPr>
          <w:b/>
          <w:szCs w:val="22"/>
        </w:rPr>
        <w:t>14.</w:t>
      </w:r>
      <w:r w:rsidRPr="000D6942">
        <w:rPr>
          <w:b/>
          <w:szCs w:val="22"/>
        </w:rPr>
        <w:tab/>
        <w:t>PARDAVIMO (IŠDAVIMO)</w:t>
      </w:r>
      <w:r w:rsidRPr="000D6942">
        <w:rPr>
          <w:b/>
          <w:caps/>
          <w:szCs w:val="22"/>
        </w:rPr>
        <w:t xml:space="preserve"> tvarka</w:t>
      </w:r>
    </w:p>
    <w:p w14:paraId="338FB896" w14:textId="77777777" w:rsidR="003315E7" w:rsidRPr="000D6942" w:rsidRDefault="003315E7" w:rsidP="003315E7">
      <w:pPr>
        <w:rPr>
          <w:szCs w:val="22"/>
        </w:rPr>
      </w:pPr>
    </w:p>
    <w:p w14:paraId="2BA92E0E" w14:textId="77777777" w:rsidR="003315E7" w:rsidRPr="000D6942" w:rsidRDefault="003315E7" w:rsidP="003315E7">
      <w:pPr>
        <w:rPr>
          <w:szCs w:val="22"/>
        </w:rPr>
      </w:pPr>
      <w:r w:rsidRPr="000D6942">
        <w:rPr>
          <w:szCs w:val="22"/>
        </w:rPr>
        <w:t>Receptinis vaistas</w:t>
      </w:r>
    </w:p>
    <w:p w14:paraId="1458A794" w14:textId="77777777" w:rsidR="003315E7" w:rsidRPr="000D6942" w:rsidRDefault="003315E7" w:rsidP="003315E7">
      <w:pPr>
        <w:rPr>
          <w:szCs w:val="22"/>
        </w:rPr>
      </w:pPr>
    </w:p>
    <w:p w14:paraId="2821A019" w14:textId="77777777" w:rsidR="003315E7" w:rsidRPr="000D6942" w:rsidRDefault="003315E7" w:rsidP="003315E7">
      <w:pPr>
        <w:rPr>
          <w:szCs w:val="22"/>
        </w:rPr>
      </w:pPr>
    </w:p>
    <w:p w14:paraId="2D07B5ED"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szCs w:val="22"/>
        </w:rPr>
      </w:pPr>
      <w:r w:rsidRPr="000D6942">
        <w:rPr>
          <w:b/>
          <w:szCs w:val="22"/>
        </w:rPr>
        <w:t>15.</w:t>
      </w:r>
      <w:r w:rsidRPr="000D6942">
        <w:rPr>
          <w:b/>
          <w:szCs w:val="22"/>
        </w:rPr>
        <w:tab/>
      </w:r>
      <w:r w:rsidRPr="000D6942">
        <w:rPr>
          <w:b/>
          <w:caps/>
          <w:szCs w:val="22"/>
        </w:rPr>
        <w:t>vartojimo instrukcijA</w:t>
      </w:r>
    </w:p>
    <w:p w14:paraId="1BDB0C95" w14:textId="77777777" w:rsidR="003315E7" w:rsidRPr="000D6942" w:rsidRDefault="003315E7" w:rsidP="003315E7">
      <w:pPr>
        <w:rPr>
          <w:szCs w:val="22"/>
        </w:rPr>
      </w:pPr>
    </w:p>
    <w:p w14:paraId="3D7E6E8B" w14:textId="77777777" w:rsidR="003315E7" w:rsidRPr="000D6942" w:rsidRDefault="003315E7" w:rsidP="003315E7">
      <w:pPr>
        <w:rPr>
          <w:szCs w:val="22"/>
        </w:rPr>
      </w:pPr>
    </w:p>
    <w:p w14:paraId="3663B01A"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szCs w:val="22"/>
        </w:rPr>
      </w:pPr>
      <w:r w:rsidRPr="000D6942">
        <w:rPr>
          <w:b/>
          <w:szCs w:val="22"/>
        </w:rPr>
        <w:t>16.</w:t>
      </w:r>
      <w:r w:rsidRPr="000D6942">
        <w:rPr>
          <w:b/>
          <w:szCs w:val="22"/>
        </w:rPr>
        <w:tab/>
        <w:t>INFORMACIJA BRAILIO RAŠTU</w:t>
      </w:r>
    </w:p>
    <w:p w14:paraId="2967949D" w14:textId="77777777" w:rsidR="003315E7" w:rsidRPr="000D6942" w:rsidRDefault="003315E7" w:rsidP="003315E7">
      <w:pPr>
        <w:rPr>
          <w:szCs w:val="22"/>
        </w:rPr>
      </w:pPr>
    </w:p>
    <w:p w14:paraId="05BD033C" w14:textId="77777777" w:rsidR="003315E7" w:rsidRPr="000D6942" w:rsidRDefault="003315E7" w:rsidP="003315E7">
      <w:pPr>
        <w:rPr>
          <w:szCs w:val="22"/>
        </w:rPr>
      </w:pPr>
      <w:r w:rsidRPr="000D6942">
        <w:rPr>
          <w:highlight w:val="lightGray"/>
        </w:rPr>
        <w:t>Priimtas pagrindimas informacijos Brailio raštu nepateikti.</w:t>
      </w:r>
    </w:p>
    <w:p w14:paraId="3F31D11D" w14:textId="77777777" w:rsidR="003315E7" w:rsidRPr="000D6942" w:rsidRDefault="003315E7" w:rsidP="003315E7">
      <w:pPr>
        <w:rPr>
          <w:szCs w:val="22"/>
        </w:rPr>
      </w:pPr>
    </w:p>
    <w:p w14:paraId="753027D7" w14:textId="77777777" w:rsidR="003315E7" w:rsidRPr="000D6942" w:rsidRDefault="003315E7" w:rsidP="003315E7">
      <w:pPr>
        <w:rPr>
          <w:szCs w:val="22"/>
        </w:rPr>
      </w:pPr>
    </w:p>
    <w:p w14:paraId="537548EF" w14:textId="77777777" w:rsidR="003315E7" w:rsidRPr="000D6942" w:rsidRDefault="003315E7" w:rsidP="003315E7">
      <w:pPr>
        <w:keepNext/>
        <w:pBdr>
          <w:top w:val="single" w:sz="4" w:space="1" w:color="auto"/>
          <w:left w:val="single" w:sz="4" w:space="4" w:color="auto"/>
          <w:bottom w:val="single" w:sz="4" w:space="1" w:color="auto"/>
          <w:right w:val="single" w:sz="4" w:space="4" w:color="auto"/>
        </w:pBdr>
        <w:tabs>
          <w:tab w:val="left" w:pos="0"/>
        </w:tabs>
        <w:outlineLvl w:val="0"/>
        <w:rPr>
          <w:i/>
        </w:rPr>
      </w:pPr>
      <w:r w:rsidRPr="000D6942">
        <w:rPr>
          <w:b/>
        </w:rPr>
        <w:t>17.</w:t>
      </w:r>
      <w:r w:rsidRPr="000D6942">
        <w:rPr>
          <w:b/>
        </w:rPr>
        <w:tab/>
        <w:t>UNIKALUS IDENTIFIKATORIUS – 2D BRŪKŠNINIS KODAS</w:t>
      </w:r>
    </w:p>
    <w:p w14:paraId="557BCCF8" w14:textId="77777777" w:rsidR="003315E7" w:rsidRPr="000D6942" w:rsidRDefault="003315E7" w:rsidP="003315E7"/>
    <w:p w14:paraId="09731F43" w14:textId="77777777" w:rsidR="003315E7" w:rsidRPr="000D6942" w:rsidRDefault="003315E7" w:rsidP="003315E7">
      <w:pPr>
        <w:rPr>
          <w:szCs w:val="22"/>
          <w:shd w:val="clear" w:color="auto" w:fill="CCCCCC"/>
        </w:rPr>
      </w:pPr>
      <w:r w:rsidRPr="000D6942">
        <w:rPr>
          <w:highlight w:val="lightGray"/>
        </w:rPr>
        <w:t>&lt;2D brūkšninis kodas su nurodytu unikaliu identifikatoriumi.&gt;</w:t>
      </w:r>
    </w:p>
    <w:p w14:paraId="208306AA" w14:textId="77777777" w:rsidR="003315E7" w:rsidRPr="000D6942" w:rsidRDefault="003315E7" w:rsidP="003315E7"/>
    <w:p w14:paraId="5DA35982" w14:textId="77777777" w:rsidR="003315E7" w:rsidRPr="000D6942" w:rsidRDefault="003315E7" w:rsidP="003315E7"/>
    <w:p w14:paraId="5EADC171" w14:textId="77777777" w:rsidR="003315E7" w:rsidRPr="000D6942" w:rsidRDefault="003315E7" w:rsidP="003315E7">
      <w:pPr>
        <w:keepNext/>
        <w:pBdr>
          <w:top w:val="single" w:sz="4" w:space="1" w:color="auto"/>
          <w:left w:val="single" w:sz="4" w:space="4" w:color="auto"/>
          <w:bottom w:val="single" w:sz="4" w:space="1" w:color="auto"/>
          <w:right w:val="single" w:sz="4" w:space="4" w:color="auto"/>
        </w:pBdr>
        <w:tabs>
          <w:tab w:val="left" w:pos="0"/>
        </w:tabs>
        <w:outlineLvl w:val="0"/>
        <w:rPr>
          <w:i/>
        </w:rPr>
      </w:pPr>
      <w:r w:rsidRPr="000D6942">
        <w:rPr>
          <w:b/>
        </w:rPr>
        <w:t>18.</w:t>
      </w:r>
      <w:r w:rsidRPr="000D6942">
        <w:rPr>
          <w:b/>
        </w:rPr>
        <w:tab/>
        <w:t>UNIKALUS IDENTIFIKATORIUS – ŽMONĖMS SUPRANTAMI DUOMENYS</w:t>
      </w:r>
    </w:p>
    <w:p w14:paraId="4AE2F77F" w14:textId="77777777" w:rsidR="003315E7" w:rsidRPr="000D6942" w:rsidRDefault="003315E7" w:rsidP="003315E7"/>
    <w:p w14:paraId="003DAF1D" w14:textId="77777777" w:rsidR="003315E7" w:rsidRPr="000D6942" w:rsidRDefault="003315E7" w:rsidP="003315E7">
      <w:pPr>
        <w:rPr>
          <w:color w:val="008000"/>
          <w:szCs w:val="22"/>
        </w:rPr>
      </w:pPr>
      <w:r w:rsidRPr="000D6942">
        <w:t>PC:</w:t>
      </w:r>
    </w:p>
    <w:p w14:paraId="59739532" w14:textId="77777777" w:rsidR="003315E7" w:rsidRPr="000D6942" w:rsidRDefault="003315E7" w:rsidP="003315E7">
      <w:pPr>
        <w:rPr>
          <w:szCs w:val="22"/>
        </w:rPr>
      </w:pPr>
      <w:r w:rsidRPr="000D6942">
        <w:t>SN:</w:t>
      </w:r>
    </w:p>
    <w:p w14:paraId="422F78B4" w14:textId="77777777" w:rsidR="003315E7" w:rsidRDefault="003315E7" w:rsidP="003315E7">
      <w:r w:rsidRPr="000D6942">
        <w:t>NN:</w:t>
      </w:r>
    </w:p>
    <w:p w14:paraId="32367BF1" w14:textId="77777777" w:rsidR="003315E7" w:rsidRPr="00E52032" w:rsidRDefault="003315E7" w:rsidP="003315E7"/>
    <w:p w14:paraId="6F3D8B43" w14:textId="77777777" w:rsidR="003315E7" w:rsidRDefault="003315E7" w:rsidP="003315E7">
      <w:pPr>
        <w:pStyle w:val="Heading1LAB"/>
      </w:pPr>
      <w:r>
        <w:t>19.</w:t>
      </w:r>
      <w:r>
        <w:tab/>
        <w:t>KITA</w:t>
      </w:r>
    </w:p>
    <w:p w14:paraId="27148AD1" w14:textId="77777777" w:rsidR="003315E7" w:rsidRPr="00E52032" w:rsidRDefault="003315E7" w:rsidP="003315E7"/>
    <w:p w14:paraId="5A1E48F8" w14:textId="77777777" w:rsidR="003315E7" w:rsidRPr="000D6942" w:rsidRDefault="003315E7" w:rsidP="003315E7">
      <w:pPr>
        <w:rPr>
          <w:szCs w:val="22"/>
        </w:rPr>
      </w:pPr>
    </w:p>
    <w:p w14:paraId="56E23227" w14:textId="77777777" w:rsidR="003315E7" w:rsidRPr="000D6942" w:rsidRDefault="003315E7" w:rsidP="003315E7">
      <w:pPr>
        <w:rPr>
          <w:b/>
          <w:szCs w:val="22"/>
        </w:rPr>
      </w:pPr>
      <w:r w:rsidRPr="000D6942">
        <w:rPr>
          <w:szCs w:val="22"/>
        </w:rPr>
        <w:br w:type="page"/>
      </w:r>
    </w:p>
    <w:p w14:paraId="3EAAD6C3" w14:textId="77777777" w:rsidR="003315E7" w:rsidRPr="000D6942" w:rsidRDefault="003315E7" w:rsidP="003315E7">
      <w:pPr>
        <w:pBdr>
          <w:top w:val="single" w:sz="4" w:space="1" w:color="auto"/>
          <w:left w:val="single" w:sz="4" w:space="4" w:color="auto"/>
          <w:bottom w:val="single" w:sz="4" w:space="1" w:color="auto"/>
          <w:right w:val="single" w:sz="4" w:space="4" w:color="auto"/>
        </w:pBdr>
        <w:rPr>
          <w:b/>
          <w:szCs w:val="22"/>
        </w:rPr>
      </w:pPr>
      <w:r w:rsidRPr="000D6942">
        <w:rPr>
          <w:b/>
          <w:szCs w:val="22"/>
        </w:rPr>
        <w:lastRenderedPageBreak/>
        <w:t>MINIMALI INFORMACIJA ANT MAŽŲ VIDINIŲ PAKUOČIŲ</w:t>
      </w:r>
    </w:p>
    <w:p w14:paraId="3AFDD374" w14:textId="77777777" w:rsidR="003315E7" w:rsidRPr="000D6942" w:rsidRDefault="003315E7" w:rsidP="003315E7">
      <w:pPr>
        <w:pBdr>
          <w:top w:val="single" w:sz="4" w:space="1" w:color="auto"/>
          <w:left w:val="single" w:sz="4" w:space="4" w:color="auto"/>
          <w:bottom w:val="single" w:sz="4" w:space="1" w:color="auto"/>
          <w:right w:val="single" w:sz="4" w:space="4" w:color="auto"/>
        </w:pBdr>
        <w:rPr>
          <w:b/>
          <w:szCs w:val="22"/>
        </w:rPr>
      </w:pPr>
    </w:p>
    <w:p w14:paraId="36A5D019" w14:textId="77777777" w:rsidR="003315E7" w:rsidRPr="000D6942" w:rsidRDefault="003315E7" w:rsidP="003315E7">
      <w:pPr>
        <w:pBdr>
          <w:top w:val="single" w:sz="4" w:space="1" w:color="auto"/>
          <w:left w:val="single" w:sz="4" w:space="4" w:color="auto"/>
          <w:bottom w:val="single" w:sz="4" w:space="1" w:color="auto"/>
          <w:right w:val="single" w:sz="4" w:space="4" w:color="auto"/>
        </w:pBdr>
        <w:rPr>
          <w:b/>
          <w:szCs w:val="22"/>
        </w:rPr>
      </w:pPr>
      <w:r w:rsidRPr="000D6942">
        <w:rPr>
          <w:b/>
          <w:bCs/>
          <w:szCs w:val="22"/>
        </w:rPr>
        <w:t>ETIKETĖ</w:t>
      </w:r>
      <w:r w:rsidRPr="000D6942">
        <w:rPr>
          <w:b/>
          <w:szCs w:val="22"/>
        </w:rPr>
        <w:t>; 2 ml vienadozis flakonas</w:t>
      </w:r>
    </w:p>
    <w:p w14:paraId="122D2973" w14:textId="77777777" w:rsidR="003315E7" w:rsidRPr="000D6942" w:rsidRDefault="003315E7" w:rsidP="003315E7">
      <w:pPr>
        <w:rPr>
          <w:szCs w:val="22"/>
        </w:rPr>
      </w:pPr>
    </w:p>
    <w:p w14:paraId="699BD680" w14:textId="77777777" w:rsidR="003315E7" w:rsidRPr="000D6942" w:rsidRDefault="003315E7" w:rsidP="003315E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3315E7" w:rsidRPr="000D6942" w14:paraId="5AA199A1" w14:textId="77777777" w:rsidTr="00705434">
        <w:tc>
          <w:tcPr>
            <w:tcW w:w="9298" w:type="dxa"/>
            <w:tcBorders>
              <w:top w:val="single" w:sz="4" w:space="0" w:color="auto"/>
              <w:left w:val="single" w:sz="4" w:space="0" w:color="auto"/>
              <w:bottom w:val="single" w:sz="4" w:space="0" w:color="auto"/>
              <w:right w:val="single" w:sz="4" w:space="0" w:color="auto"/>
            </w:tcBorders>
          </w:tcPr>
          <w:p w14:paraId="1A80CF68" w14:textId="77777777" w:rsidR="003315E7" w:rsidRPr="000D6942" w:rsidRDefault="003315E7" w:rsidP="00BE3FE3">
            <w:pPr>
              <w:ind w:left="540" w:hanging="540"/>
              <w:rPr>
                <w:szCs w:val="22"/>
              </w:rPr>
            </w:pPr>
            <w:r w:rsidRPr="000D6942">
              <w:rPr>
                <w:b/>
                <w:szCs w:val="22"/>
              </w:rPr>
              <w:t>1.</w:t>
            </w:r>
            <w:r w:rsidRPr="000D6942">
              <w:rPr>
                <w:b/>
                <w:szCs w:val="22"/>
              </w:rPr>
              <w:tab/>
              <w:t>VAISTINIO PREPARATO PAVADINIMAS</w:t>
            </w:r>
            <w:r w:rsidRPr="000D6942">
              <w:rPr>
                <w:b/>
                <w:caps/>
                <w:szCs w:val="22"/>
              </w:rPr>
              <w:t xml:space="preserve"> ir vartojimo būdas (-ai)</w:t>
            </w:r>
          </w:p>
        </w:tc>
      </w:tr>
    </w:tbl>
    <w:p w14:paraId="048F8EF5" w14:textId="77777777" w:rsidR="003315E7" w:rsidRPr="000D6942" w:rsidRDefault="003315E7" w:rsidP="003315E7">
      <w:pPr>
        <w:ind w:left="567" w:hanging="567"/>
        <w:rPr>
          <w:szCs w:val="22"/>
        </w:rPr>
      </w:pPr>
    </w:p>
    <w:p w14:paraId="126BFBD6" w14:textId="77777777" w:rsidR="003315E7" w:rsidRPr="000D6942" w:rsidRDefault="003315E7" w:rsidP="003315E7">
      <w:pPr>
        <w:rPr>
          <w:szCs w:val="22"/>
        </w:rPr>
      </w:pPr>
      <w:r w:rsidRPr="000D6942">
        <w:rPr>
          <w:szCs w:val="22"/>
        </w:rPr>
        <w:t>Ferinject 50 mg</w:t>
      </w:r>
      <w:r>
        <w:rPr>
          <w:szCs w:val="22"/>
        </w:rPr>
        <w:t xml:space="preserve"> </w:t>
      </w:r>
      <w:r w:rsidRPr="000D6942">
        <w:rPr>
          <w:szCs w:val="22"/>
        </w:rPr>
        <w:t>/ml injekcinis/infuzinis tirpalas</w:t>
      </w:r>
    </w:p>
    <w:p w14:paraId="53A9085F" w14:textId="77777777" w:rsidR="003315E7" w:rsidRPr="000D6942" w:rsidRDefault="003315E7" w:rsidP="003315E7">
      <w:pPr>
        <w:rPr>
          <w:szCs w:val="22"/>
        </w:rPr>
      </w:pPr>
      <w:r w:rsidRPr="000D6942">
        <w:rPr>
          <w:szCs w:val="22"/>
        </w:rPr>
        <w:t>Geležies karboksimaltozė</w:t>
      </w:r>
    </w:p>
    <w:p w14:paraId="16B3173B" w14:textId="77777777" w:rsidR="003315E7" w:rsidRPr="000D6942" w:rsidRDefault="003315E7" w:rsidP="003315E7">
      <w:pPr>
        <w:rPr>
          <w:szCs w:val="22"/>
        </w:rPr>
      </w:pPr>
      <w:r>
        <w:rPr>
          <w:szCs w:val="22"/>
        </w:rPr>
        <w:t>i.v.</w:t>
      </w:r>
    </w:p>
    <w:p w14:paraId="6F8EE96E" w14:textId="77777777" w:rsidR="003315E7" w:rsidRPr="000D6942" w:rsidRDefault="003315E7" w:rsidP="003315E7">
      <w:pPr>
        <w:rPr>
          <w:szCs w:val="22"/>
        </w:rPr>
      </w:pPr>
    </w:p>
    <w:p w14:paraId="589E073D" w14:textId="77777777" w:rsidR="003315E7" w:rsidRPr="000D6942" w:rsidRDefault="003315E7" w:rsidP="003315E7">
      <w:pPr>
        <w:rPr>
          <w:szCs w:val="22"/>
        </w:rPr>
      </w:pPr>
    </w:p>
    <w:p w14:paraId="418886C0"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szCs w:val="22"/>
        </w:rPr>
      </w:pPr>
      <w:r w:rsidRPr="000D6942">
        <w:rPr>
          <w:b/>
          <w:szCs w:val="22"/>
        </w:rPr>
        <w:t>2.</w:t>
      </w:r>
      <w:r w:rsidRPr="000D6942">
        <w:rPr>
          <w:b/>
          <w:szCs w:val="22"/>
        </w:rPr>
        <w:tab/>
        <w:t>VARTOJIMO METODAS</w:t>
      </w:r>
    </w:p>
    <w:p w14:paraId="2DA65A8E" w14:textId="77777777" w:rsidR="003315E7" w:rsidRPr="000D6942" w:rsidRDefault="003315E7" w:rsidP="003315E7">
      <w:pPr>
        <w:rPr>
          <w:szCs w:val="22"/>
        </w:rPr>
      </w:pPr>
    </w:p>
    <w:p w14:paraId="61ECB527" w14:textId="77777777" w:rsidR="003315E7" w:rsidRPr="000D6942" w:rsidRDefault="003315E7" w:rsidP="003315E7">
      <w:pPr>
        <w:rPr>
          <w:szCs w:val="22"/>
        </w:rPr>
      </w:pPr>
    </w:p>
    <w:p w14:paraId="50EE8284"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szCs w:val="22"/>
        </w:rPr>
      </w:pPr>
      <w:r w:rsidRPr="000D6942">
        <w:rPr>
          <w:b/>
          <w:szCs w:val="22"/>
        </w:rPr>
        <w:t>3.</w:t>
      </w:r>
      <w:r w:rsidRPr="000D6942">
        <w:rPr>
          <w:b/>
          <w:szCs w:val="22"/>
        </w:rPr>
        <w:tab/>
        <w:t>TINKAMUMO LAIKAS</w:t>
      </w:r>
    </w:p>
    <w:p w14:paraId="6911EAA0" w14:textId="77777777" w:rsidR="003315E7" w:rsidRPr="000D6942" w:rsidRDefault="003315E7" w:rsidP="003315E7">
      <w:pPr>
        <w:rPr>
          <w:szCs w:val="22"/>
        </w:rPr>
      </w:pPr>
    </w:p>
    <w:p w14:paraId="6F62F2CF" w14:textId="77777777" w:rsidR="003315E7" w:rsidRPr="000D6942" w:rsidRDefault="003315E7" w:rsidP="003315E7">
      <w:pPr>
        <w:rPr>
          <w:szCs w:val="22"/>
        </w:rPr>
      </w:pPr>
      <w:r>
        <w:rPr>
          <w:szCs w:val="22"/>
        </w:rPr>
        <w:t>EXP</w:t>
      </w:r>
      <w:r w:rsidRPr="000D6942">
        <w:rPr>
          <w:szCs w:val="22"/>
        </w:rPr>
        <w:t>:</w:t>
      </w:r>
    </w:p>
    <w:p w14:paraId="4209E49D" w14:textId="77777777" w:rsidR="003315E7" w:rsidRPr="000D6942" w:rsidRDefault="003315E7" w:rsidP="003315E7">
      <w:pPr>
        <w:rPr>
          <w:szCs w:val="22"/>
        </w:rPr>
      </w:pPr>
    </w:p>
    <w:p w14:paraId="109426CA" w14:textId="77777777" w:rsidR="003315E7" w:rsidRPr="000D6942" w:rsidRDefault="003315E7" w:rsidP="003315E7">
      <w:pPr>
        <w:rPr>
          <w:szCs w:val="22"/>
        </w:rPr>
      </w:pPr>
    </w:p>
    <w:p w14:paraId="1EA0DF5D"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szCs w:val="22"/>
        </w:rPr>
      </w:pPr>
      <w:r w:rsidRPr="000D6942">
        <w:rPr>
          <w:b/>
          <w:szCs w:val="22"/>
        </w:rPr>
        <w:t>4.</w:t>
      </w:r>
      <w:r w:rsidRPr="000D6942">
        <w:rPr>
          <w:b/>
          <w:szCs w:val="22"/>
        </w:rPr>
        <w:tab/>
        <w:t>SERIJOS NUMERIS</w:t>
      </w:r>
    </w:p>
    <w:p w14:paraId="1CA5AD4E" w14:textId="77777777" w:rsidR="003315E7" w:rsidRPr="000D6942" w:rsidRDefault="003315E7" w:rsidP="003315E7">
      <w:pPr>
        <w:ind w:right="113"/>
        <w:rPr>
          <w:szCs w:val="22"/>
        </w:rPr>
      </w:pPr>
    </w:p>
    <w:p w14:paraId="1AF65DDC" w14:textId="77777777" w:rsidR="003315E7" w:rsidRPr="000D6942" w:rsidRDefault="003315E7" w:rsidP="003315E7">
      <w:pPr>
        <w:ind w:right="113"/>
        <w:rPr>
          <w:szCs w:val="22"/>
        </w:rPr>
      </w:pPr>
      <w:r>
        <w:rPr>
          <w:szCs w:val="22"/>
        </w:rPr>
        <w:t>Lot</w:t>
      </w:r>
      <w:r w:rsidRPr="000D6942">
        <w:rPr>
          <w:szCs w:val="22"/>
        </w:rPr>
        <w:t>:</w:t>
      </w:r>
    </w:p>
    <w:p w14:paraId="787B7033" w14:textId="77777777" w:rsidR="003315E7" w:rsidRPr="000D6942" w:rsidRDefault="003315E7" w:rsidP="003315E7">
      <w:pPr>
        <w:ind w:right="113"/>
        <w:rPr>
          <w:szCs w:val="22"/>
        </w:rPr>
      </w:pPr>
    </w:p>
    <w:p w14:paraId="328C45F8" w14:textId="77777777" w:rsidR="003315E7" w:rsidRPr="000D6942" w:rsidRDefault="003315E7" w:rsidP="003315E7">
      <w:pPr>
        <w:ind w:right="113"/>
        <w:rPr>
          <w:szCs w:val="22"/>
        </w:rPr>
      </w:pPr>
    </w:p>
    <w:p w14:paraId="4A65153B"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szCs w:val="22"/>
        </w:rPr>
      </w:pPr>
      <w:r w:rsidRPr="000D6942">
        <w:rPr>
          <w:b/>
          <w:szCs w:val="22"/>
        </w:rPr>
        <w:t>5.</w:t>
      </w:r>
      <w:r w:rsidRPr="000D6942">
        <w:rPr>
          <w:b/>
          <w:szCs w:val="22"/>
        </w:rPr>
        <w:tab/>
        <w:t>KIEKIS (MASĖ, TŪRIS ARBA VIENETAI)</w:t>
      </w:r>
    </w:p>
    <w:p w14:paraId="22EC65FB" w14:textId="77777777" w:rsidR="003315E7" w:rsidRPr="000D6942" w:rsidRDefault="003315E7" w:rsidP="003315E7">
      <w:pPr>
        <w:ind w:right="113"/>
        <w:rPr>
          <w:szCs w:val="22"/>
        </w:rPr>
      </w:pPr>
    </w:p>
    <w:p w14:paraId="62111716" w14:textId="7C5E0153" w:rsidR="003315E7" w:rsidRPr="000D6942" w:rsidRDefault="003315E7" w:rsidP="003315E7">
      <w:pPr>
        <w:ind w:right="113"/>
        <w:rPr>
          <w:szCs w:val="22"/>
        </w:rPr>
      </w:pPr>
      <w:r w:rsidRPr="000D6942">
        <w:rPr>
          <w:szCs w:val="22"/>
        </w:rPr>
        <w:t xml:space="preserve">2 ml </w:t>
      </w:r>
      <w:r w:rsidRPr="007D2A69">
        <w:rPr>
          <w:szCs w:val="22"/>
        </w:rPr>
        <w:t>=</w:t>
      </w:r>
      <w:r w:rsidR="0084710A">
        <w:rPr>
          <w:szCs w:val="22"/>
        </w:rPr>
        <w:t xml:space="preserve"> </w:t>
      </w:r>
      <w:r w:rsidRPr="000D6942">
        <w:rPr>
          <w:szCs w:val="22"/>
        </w:rPr>
        <w:t>100 mg</w:t>
      </w:r>
    </w:p>
    <w:p w14:paraId="44AF9D14" w14:textId="77777777" w:rsidR="003315E7" w:rsidRPr="000D6942" w:rsidRDefault="003315E7" w:rsidP="003315E7">
      <w:pPr>
        <w:ind w:right="113"/>
        <w:rPr>
          <w:szCs w:val="22"/>
        </w:rPr>
      </w:pPr>
    </w:p>
    <w:p w14:paraId="2029EC4C" w14:textId="77777777" w:rsidR="003315E7" w:rsidRPr="000D6942" w:rsidRDefault="003315E7" w:rsidP="003315E7">
      <w:pPr>
        <w:ind w:right="113"/>
        <w:rPr>
          <w:szCs w:val="22"/>
        </w:rPr>
      </w:pPr>
    </w:p>
    <w:p w14:paraId="035AE5E5"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szCs w:val="22"/>
        </w:rPr>
      </w:pPr>
      <w:r w:rsidRPr="000D6942">
        <w:rPr>
          <w:b/>
          <w:szCs w:val="22"/>
        </w:rPr>
        <w:t>6.</w:t>
      </w:r>
      <w:r w:rsidRPr="000D6942">
        <w:rPr>
          <w:b/>
          <w:szCs w:val="22"/>
        </w:rPr>
        <w:tab/>
        <w:t>KITA</w:t>
      </w:r>
    </w:p>
    <w:p w14:paraId="51324434" w14:textId="77777777" w:rsidR="003315E7" w:rsidRPr="000D6942" w:rsidRDefault="003315E7" w:rsidP="003315E7">
      <w:pPr>
        <w:rPr>
          <w:szCs w:val="22"/>
        </w:rPr>
      </w:pPr>
    </w:p>
    <w:p w14:paraId="106F59B5" w14:textId="77777777" w:rsidR="003315E7" w:rsidRPr="000D6942" w:rsidRDefault="003315E7" w:rsidP="003315E7">
      <w:pPr>
        <w:rPr>
          <w:szCs w:val="22"/>
        </w:rPr>
      </w:pPr>
      <w:r w:rsidRPr="000D6942">
        <w:rPr>
          <w:szCs w:val="22"/>
        </w:rPr>
        <w:br w:type="page"/>
      </w:r>
    </w:p>
    <w:p w14:paraId="1AD12DED" w14:textId="77777777" w:rsidR="003315E7" w:rsidRPr="000D6942" w:rsidRDefault="003315E7" w:rsidP="003315E7">
      <w:pPr>
        <w:pBdr>
          <w:top w:val="single" w:sz="4" w:space="1" w:color="auto"/>
          <w:left w:val="single" w:sz="4" w:space="4" w:color="auto"/>
          <w:bottom w:val="single" w:sz="4" w:space="1" w:color="auto"/>
          <w:right w:val="single" w:sz="4" w:space="4" w:color="auto"/>
        </w:pBdr>
        <w:rPr>
          <w:b/>
          <w:szCs w:val="22"/>
        </w:rPr>
      </w:pPr>
      <w:r w:rsidRPr="000D6942">
        <w:rPr>
          <w:b/>
          <w:szCs w:val="22"/>
        </w:rPr>
        <w:lastRenderedPageBreak/>
        <w:t>MINIMALI INFORMACIJA ANT MAŽŲ VIDINIŲ PAKUOČIŲ</w:t>
      </w:r>
    </w:p>
    <w:p w14:paraId="65DBA746" w14:textId="77777777" w:rsidR="003315E7" w:rsidRPr="000D6942" w:rsidRDefault="003315E7" w:rsidP="003315E7">
      <w:pPr>
        <w:pBdr>
          <w:top w:val="single" w:sz="4" w:space="1" w:color="auto"/>
          <w:left w:val="single" w:sz="4" w:space="4" w:color="auto"/>
          <w:bottom w:val="single" w:sz="4" w:space="1" w:color="auto"/>
          <w:right w:val="single" w:sz="4" w:space="4" w:color="auto"/>
        </w:pBdr>
        <w:rPr>
          <w:b/>
          <w:szCs w:val="22"/>
        </w:rPr>
      </w:pPr>
    </w:p>
    <w:p w14:paraId="36AD21E4" w14:textId="77777777" w:rsidR="003315E7" w:rsidRPr="000D6942" w:rsidRDefault="003315E7" w:rsidP="003315E7">
      <w:pPr>
        <w:pBdr>
          <w:top w:val="single" w:sz="4" w:space="1" w:color="auto"/>
          <w:left w:val="single" w:sz="4" w:space="4" w:color="auto"/>
          <w:bottom w:val="single" w:sz="4" w:space="1" w:color="auto"/>
          <w:right w:val="single" w:sz="4" w:space="4" w:color="auto"/>
        </w:pBdr>
        <w:rPr>
          <w:b/>
          <w:szCs w:val="22"/>
        </w:rPr>
      </w:pPr>
      <w:r w:rsidRPr="000D6942">
        <w:rPr>
          <w:b/>
          <w:bCs/>
          <w:szCs w:val="22"/>
        </w:rPr>
        <w:t>ETIKETĖ</w:t>
      </w:r>
      <w:r w:rsidRPr="000D6942">
        <w:rPr>
          <w:b/>
          <w:szCs w:val="22"/>
        </w:rPr>
        <w:t>; 10 ml vienadozis flakonas</w:t>
      </w:r>
    </w:p>
    <w:p w14:paraId="2AF9EC2A" w14:textId="77777777" w:rsidR="003315E7" w:rsidRPr="000D6942" w:rsidRDefault="003315E7" w:rsidP="003315E7">
      <w:pPr>
        <w:rPr>
          <w:szCs w:val="22"/>
        </w:rPr>
      </w:pPr>
    </w:p>
    <w:p w14:paraId="50E5D3E9" w14:textId="77777777" w:rsidR="003315E7" w:rsidRPr="000D6942" w:rsidRDefault="003315E7" w:rsidP="003315E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3315E7" w:rsidRPr="000D6942" w14:paraId="2FBFF1BF" w14:textId="77777777" w:rsidTr="00705434">
        <w:tc>
          <w:tcPr>
            <w:tcW w:w="9298" w:type="dxa"/>
            <w:tcBorders>
              <w:top w:val="single" w:sz="4" w:space="0" w:color="auto"/>
              <w:left w:val="single" w:sz="4" w:space="0" w:color="auto"/>
              <w:bottom w:val="single" w:sz="4" w:space="0" w:color="auto"/>
              <w:right w:val="single" w:sz="4" w:space="0" w:color="auto"/>
            </w:tcBorders>
          </w:tcPr>
          <w:p w14:paraId="1BFF6485" w14:textId="77777777" w:rsidR="003315E7" w:rsidRPr="000D6942" w:rsidRDefault="003315E7" w:rsidP="00BE3FE3">
            <w:pPr>
              <w:ind w:left="540" w:hanging="540"/>
              <w:rPr>
                <w:szCs w:val="22"/>
              </w:rPr>
            </w:pPr>
            <w:r w:rsidRPr="000D6942">
              <w:rPr>
                <w:b/>
                <w:szCs w:val="22"/>
              </w:rPr>
              <w:t>1.</w:t>
            </w:r>
            <w:r w:rsidRPr="000D6942">
              <w:rPr>
                <w:b/>
                <w:szCs w:val="22"/>
              </w:rPr>
              <w:tab/>
              <w:t xml:space="preserve">VAISTINIO PREPARATO PAVADINIMAS </w:t>
            </w:r>
            <w:r w:rsidRPr="000D6942">
              <w:rPr>
                <w:b/>
                <w:caps/>
                <w:szCs w:val="22"/>
              </w:rPr>
              <w:t>ir vartojimo būdas (-ai)</w:t>
            </w:r>
          </w:p>
        </w:tc>
      </w:tr>
    </w:tbl>
    <w:p w14:paraId="71AA0566" w14:textId="77777777" w:rsidR="003315E7" w:rsidRPr="000D6942" w:rsidRDefault="003315E7" w:rsidP="003315E7">
      <w:pPr>
        <w:ind w:left="567" w:hanging="567"/>
        <w:rPr>
          <w:szCs w:val="22"/>
        </w:rPr>
      </w:pPr>
    </w:p>
    <w:p w14:paraId="229E122B" w14:textId="77777777" w:rsidR="003315E7" w:rsidRPr="000D6942" w:rsidRDefault="003315E7" w:rsidP="003315E7">
      <w:pPr>
        <w:rPr>
          <w:szCs w:val="22"/>
        </w:rPr>
      </w:pPr>
      <w:r w:rsidRPr="000D6942">
        <w:rPr>
          <w:szCs w:val="22"/>
        </w:rPr>
        <w:t>Ferinject 50 mg /ml injekcinis/infuzinis tirpalas</w:t>
      </w:r>
    </w:p>
    <w:p w14:paraId="252BB5B1" w14:textId="77777777" w:rsidR="003315E7" w:rsidRPr="000D6942" w:rsidRDefault="003315E7" w:rsidP="003315E7">
      <w:pPr>
        <w:rPr>
          <w:szCs w:val="22"/>
        </w:rPr>
      </w:pPr>
      <w:r w:rsidRPr="000D6942">
        <w:rPr>
          <w:szCs w:val="22"/>
        </w:rPr>
        <w:t>Geležies karboksimaltozė</w:t>
      </w:r>
    </w:p>
    <w:p w14:paraId="18E61860" w14:textId="77777777" w:rsidR="003315E7" w:rsidRPr="000D6942" w:rsidRDefault="003315E7" w:rsidP="003315E7">
      <w:pPr>
        <w:rPr>
          <w:szCs w:val="22"/>
        </w:rPr>
      </w:pPr>
      <w:r>
        <w:rPr>
          <w:szCs w:val="22"/>
        </w:rPr>
        <w:t>i.v.</w:t>
      </w:r>
    </w:p>
    <w:p w14:paraId="4E41E2E1" w14:textId="77777777" w:rsidR="003315E7" w:rsidRPr="000D6942" w:rsidRDefault="003315E7" w:rsidP="003315E7">
      <w:pPr>
        <w:rPr>
          <w:szCs w:val="22"/>
        </w:rPr>
      </w:pPr>
    </w:p>
    <w:p w14:paraId="50A9C0EE" w14:textId="77777777" w:rsidR="003315E7" w:rsidRPr="000D6942" w:rsidRDefault="003315E7" w:rsidP="003315E7">
      <w:pPr>
        <w:rPr>
          <w:szCs w:val="22"/>
        </w:rPr>
      </w:pPr>
    </w:p>
    <w:p w14:paraId="1B5B5995"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szCs w:val="22"/>
        </w:rPr>
      </w:pPr>
      <w:r w:rsidRPr="000D6942">
        <w:rPr>
          <w:b/>
          <w:szCs w:val="22"/>
        </w:rPr>
        <w:t>2.</w:t>
      </w:r>
      <w:r w:rsidRPr="000D6942">
        <w:rPr>
          <w:b/>
          <w:szCs w:val="22"/>
        </w:rPr>
        <w:tab/>
        <w:t>VARTOJIMO METODAS</w:t>
      </w:r>
    </w:p>
    <w:p w14:paraId="1A886AEB" w14:textId="77777777" w:rsidR="003315E7" w:rsidRPr="000D6942" w:rsidRDefault="003315E7" w:rsidP="003315E7">
      <w:pPr>
        <w:rPr>
          <w:szCs w:val="22"/>
        </w:rPr>
      </w:pPr>
    </w:p>
    <w:p w14:paraId="7E7A7F47" w14:textId="77777777" w:rsidR="003315E7" w:rsidRPr="000D6942" w:rsidRDefault="003315E7" w:rsidP="003315E7">
      <w:pPr>
        <w:rPr>
          <w:szCs w:val="22"/>
        </w:rPr>
      </w:pPr>
    </w:p>
    <w:p w14:paraId="3C71B2B1"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szCs w:val="22"/>
        </w:rPr>
      </w:pPr>
      <w:r w:rsidRPr="000D6942">
        <w:rPr>
          <w:b/>
          <w:szCs w:val="22"/>
        </w:rPr>
        <w:t>3.</w:t>
      </w:r>
      <w:r w:rsidRPr="000D6942">
        <w:rPr>
          <w:b/>
          <w:szCs w:val="22"/>
        </w:rPr>
        <w:tab/>
        <w:t>TINKAMUMO LAIKAS</w:t>
      </w:r>
    </w:p>
    <w:p w14:paraId="70E0F95A" w14:textId="77777777" w:rsidR="003315E7" w:rsidRPr="000D6942" w:rsidRDefault="003315E7" w:rsidP="003315E7">
      <w:pPr>
        <w:rPr>
          <w:szCs w:val="22"/>
        </w:rPr>
      </w:pPr>
    </w:p>
    <w:p w14:paraId="01CAF5B9" w14:textId="77777777" w:rsidR="003315E7" w:rsidRPr="000D6942" w:rsidRDefault="003315E7" w:rsidP="003315E7">
      <w:pPr>
        <w:rPr>
          <w:szCs w:val="22"/>
        </w:rPr>
      </w:pPr>
      <w:r>
        <w:rPr>
          <w:szCs w:val="22"/>
        </w:rPr>
        <w:t>EXP</w:t>
      </w:r>
      <w:r w:rsidRPr="000D6942">
        <w:rPr>
          <w:szCs w:val="22"/>
        </w:rPr>
        <w:t>:</w:t>
      </w:r>
    </w:p>
    <w:p w14:paraId="62416FC7" w14:textId="77777777" w:rsidR="003315E7" w:rsidRPr="000D6942" w:rsidRDefault="003315E7" w:rsidP="003315E7">
      <w:pPr>
        <w:rPr>
          <w:szCs w:val="22"/>
        </w:rPr>
      </w:pPr>
    </w:p>
    <w:p w14:paraId="036A20A2" w14:textId="77777777" w:rsidR="003315E7" w:rsidRPr="000D6942" w:rsidRDefault="003315E7" w:rsidP="003315E7">
      <w:pPr>
        <w:rPr>
          <w:szCs w:val="22"/>
        </w:rPr>
      </w:pPr>
    </w:p>
    <w:p w14:paraId="19728A38"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szCs w:val="22"/>
        </w:rPr>
      </w:pPr>
      <w:r w:rsidRPr="000D6942">
        <w:rPr>
          <w:b/>
          <w:szCs w:val="22"/>
        </w:rPr>
        <w:t>4.</w:t>
      </w:r>
      <w:r w:rsidRPr="000D6942">
        <w:rPr>
          <w:b/>
          <w:szCs w:val="22"/>
        </w:rPr>
        <w:tab/>
        <w:t>SERIJOS NUMERIS</w:t>
      </w:r>
    </w:p>
    <w:p w14:paraId="5A2D55FE" w14:textId="77777777" w:rsidR="003315E7" w:rsidRPr="000D6942" w:rsidRDefault="003315E7" w:rsidP="003315E7">
      <w:pPr>
        <w:ind w:right="113"/>
        <w:rPr>
          <w:szCs w:val="22"/>
        </w:rPr>
      </w:pPr>
    </w:p>
    <w:p w14:paraId="1848CE56" w14:textId="77777777" w:rsidR="003315E7" w:rsidRPr="000D6942" w:rsidRDefault="003315E7" w:rsidP="003315E7">
      <w:pPr>
        <w:ind w:right="113"/>
        <w:rPr>
          <w:szCs w:val="22"/>
        </w:rPr>
      </w:pPr>
      <w:r>
        <w:rPr>
          <w:szCs w:val="22"/>
        </w:rPr>
        <w:t>Lot</w:t>
      </w:r>
      <w:r w:rsidRPr="000D6942">
        <w:rPr>
          <w:szCs w:val="22"/>
        </w:rPr>
        <w:t>:</w:t>
      </w:r>
    </w:p>
    <w:p w14:paraId="3C2083A6" w14:textId="77777777" w:rsidR="003315E7" w:rsidRPr="000D6942" w:rsidRDefault="003315E7" w:rsidP="003315E7">
      <w:pPr>
        <w:ind w:right="113"/>
        <w:rPr>
          <w:szCs w:val="22"/>
        </w:rPr>
      </w:pPr>
    </w:p>
    <w:p w14:paraId="466738F1" w14:textId="77777777" w:rsidR="003315E7" w:rsidRPr="000D6942" w:rsidRDefault="003315E7" w:rsidP="003315E7">
      <w:pPr>
        <w:ind w:right="113"/>
        <w:rPr>
          <w:szCs w:val="22"/>
        </w:rPr>
      </w:pPr>
    </w:p>
    <w:p w14:paraId="010053E4"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szCs w:val="22"/>
        </w:rPr>
      </w:pPr>
      <w:r w:rsidRPr="000D6942">
        <w:rPr>
          <w:b/>
          <w:szCs w:val="22"/>
        </w:rPr>
        <w:t>5.</w:t>
      </w:r>
      <w:r w:rsidRPr="000D6942">
        <w:rPr>
          <w:b/>
          <w:szCs w:val="22"/>
        </w:rPr>
        <w:tab/>
        <w:t>KIEKIS (MASĖ, TŪRIS ARBA VIENETAI)</w:t>
      </w:r>
    </w:p>
    <w:p w14:paraId="049EF93F" w14:textId="77777777" w:rsidR="003315E7" w:rsidRPr="000D6942" w:rsidRDefault="003315E7" w:rsidP="003315E7">
      <w:pPr>
        <w:ind w:right="113"/>
        <w:rPr>
          <w:szCs w:val="22"/>
        </w:rPr>
      </w:pPr>
    </w:p>
    <w:p w14:paraId="7E83C036" w14:textId="2BAECACF" w:rsidR="003315E7" w:rsidRPr="000D6942" w:rsidRDefault="003315E7" w:rsidP="003315E7">
      <w:pPr>
        <w:ind w:right="113"/>
        <w:rPr>
          <w:szCs w:val="22"/>
        </w:rPr>
      </w:pPr>
      <w:r w:rsidRPr="000D6942">
        <w:rPr>
          <w:szCs w:val="22"/>
        </w:rPr>
        <w:t xml:space="preserve">10 ml </w:t>
      </w:r>
      <w:r w:rsidRPr="007D2A69">
        <w:rPr>
          <w:szCs w:val="22"/>
        </w:rPr>
        <w:t>=</w:t>
      </w:r>
      <w:r w:rsidR="0084710A">
        <w:rPr>
          <w:szCs w:val="22"/>
        </w:rPr>
        <w:t xml:space="preserve"> </w:t>
      </w:r>
      <w:r w:rsidRPr="000D6942">
        <w:rPr>
          <w:szCs w:val="22"/>
        </w:rPr>
        <w:t xml:space="preserve">500 mg </w:t>
      </w:r>
    </w:p>
    <w:p w14:paraId="1F71E3A9" w14:textId="77777777" w:rsidR="003315E7" w:rsidRPr="000D6942" w:rsidRDefault="003315E7" w:rsidP="003315E7">
      <w:pPr>
        <w:ind w:right="113"/>
        <w:rPr>
          <w:szCs w:val="22"/>
        </w:rPr>
      </w:pPr>
    </w:p>
    <w:p w14:paraId="6F37909A" w14:textId="77777777" w:rsidR="003315E7" w:rsidRPr="000D6942" w:rsidRDefault="003315E7" w:rsidP="003315E7">
      <w:pPr>
        <w:ind w:right="113"/>
        <w:rPr>
          <w:szCs w:val="22"/>
        </w:rPr>
      </w:pPr>
    </w:p>
    <w:p w14:paraId="41B3455A" w14:textId="77777777" w:rsidR="003315E7" w:rsidRPr="002A0D89" w:rsidRDefault="003315E7" w:rsidP="003315E7">
      <w:pPr>
        <w:pBdr>
          <w:top w:val="single" w:sz="4" w:space="1" w:color="auto"/>
          <w:left w:val="single" w:sz="4" w:space="4" w:color="auto"/>
          <w:bottom w:val="single" w:sz="4" w:space="1" w:color="auto"/>
          <w:right w:val="single" w:sz="4" w:space="4" w:color="auto"/>
        </w:pBdr>
        <w:ind w:left="540" w:hanging="540"/>
        <w:outlineLvl w:val="0"/>
        <w:rPr>
          <w:b/>
        </w:rPr>
      </w:pPr>
      <w:r w:rsidRPr="002A0D89">
        <w:rPr>
          <w:b/>
        </w:rPr>
        <w:t>6.</w:t>
      </w:r>
      <w:r w:rsidRPr="002A0D89">
        <w:rPr>
          <w:b/>
        </w:rPr>
        <w:tab/>
        <w:t>KITA</w:t>
      </w:r>
    </w:p>
    <w:p w14:paraId="15786CA2" w14:textId="77777777" w:rsidR="003315E7" w:rsidRPr="002A0D89" w:rsidRDefault="003315E7" w:rsidP="003315E7"/>
    <w:p w14:paraId="47EC3BA6" w14:textId="77777777" w:rsidR="003315E7" w:rsidRPr="000D6942" w:rsidRDefault="003315E7" w:rsidP="003315E7">
      <w:pPr>
        <w:rPr>
          <w:szCs w:val="22"/>
        </w:rPr>
      </w:pPr>
      <w:r w:rsidRPr="000D6942">
        <w:rPr>
          <w:szCs w:val="22"/>
        </w:rPr>
        <w:br w:type="page"/>
      </w:r>
    </w:p>
    <w:p w14:paraId="4CB91D01" w14:textId="77777777" w:rsidR="003315E7" w:rsidRPr="000D6942" w:rsidRDefault="003315E7" w:rsidP="003315E7">
      <w:pPr>
        <w:pBdr>
          <w:top w:val="single" w:sz="4" w:space="1" w:color="auto"/>
          <w:left w:val="single" w:sz="4" w:space="4" w:color="auto"/>
          <w:bottom w:val="single" w:sz="4" w:space="1" w:color="auto"/>
          <w:right w:val="single" w:sz="4" w:space="4" w:color="auto"/>
        </w:pBdr>
        <w:rPr>
          <w:b/>
          <w:szCs w:val="22"/>
        </w:rPr>
      </w:pPr>
      <w:r w:rsidRPr="000D6942">
        <w:rPr>
          <w:b/>
          <w:szCs w:val="22"/>
        </w:rPr>
        <w:lastRenderedPageBreak/>
        <w:t>MINIMALI INFORMACIJA ANT MAŽŲ VIDINIŲ PAKUOČIŲ</w:t>
      </w:r>
    </w:p>
    <w:p w14:paraId="749A9710" w14:textId="77777777" w:rsidR="003315E7" w:rsidRPr="000D6942" w:rsidRDefault="003315E7" w:rsidP="003315E7">
      <w:pPr>
        <w:pBdr>
          <w:top w:val="single" w:sz="4" w:space="1" w:color="auto"/>
          <w:left w:val="single" w:sz="4" w:space="4" w:color="auto"/>
          <w:bottom w:val="single" w:sz="4" w:space="1" w:color="auto"/>
          <w:right w:val="single" w:sz="4" w:space="4" w:color="auto"/>
        </w:pBdr>
        <w:rPr>
          <w:b/>
          <w:szCs w:val="22"/>
        </w:rPr>
      </w:pPr>
    </w:p>
    <w:p w14:paraId="69A229A3" w14:textId="77777777" w:rsidR="003315E7" w:rsidRPr="000D6942" w:rsidRDefault="003315E7" w:rsidP="003315E7">
      <w:pPr>
        <w:pBdr>
          <w:top w:val="single" w:sz="4" w:space="1" w:color="auto"/>
          <w:left w:val="single" w:sz="4" w:space="4" w:color="auto"/>
          <w:bottom w:val="single" w:sz="4" w:space="1" w:color="auto"/>
          <w:right w:val="single" w:sz="4" w:space="4" w:color="auto"/>
        </w:pBdr>
        <w:rPr>
          <w:b/>
          <w:szCs w:val="22"/>
        </w:rPr>
      </w:pPr>
      <w:r w:rsidRPr="000D6942">
        <w:rPr>
          <w:b/>
          <w:bCs/>
          <w:szCs w:val="22"/>
        </w:rPr>
        <w:t>ETIKETĖ</w:t>
      </w:r>
      <w:r w:rsidRPr="000D6942">
        <w:rPr>
          <w:b/>
          <w:szCs w:val="22"/>
        </w:rPr>
        <w:t>; 20 ml vienadozis flakonas</w:t>
      </w:r>
    </w:p>
    <w:p w14:paraId="0D24308E" w14:textId="77777777" w:rsidR="003315E7" w:rsidRPr="000D6942" w:rsidRDefault="003315E7" w:rsidP="003315E7">
      <w:pPr>
        <w:rPr>
          <w:szCs w:val="22"/>
        </w:rPr>
      </w:pPr>
    </w:p>
    <w:p w14:paraId="40675F00" w14:textId="77777777" w:rsidR="003315E7" w:rsidRPr="000D6942" w:rsidRDefault="003315E7" w:rsidP="003315E7">
      <w:pPr>
        <w:rPr>
          <w:szCs w:val="22"/>
        </w:rPr>
      </w:pPr>
    </w:p>
    <w:p w14:paraId="58B44B4E"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szCs w:val="22"/>
        </w:rPr>
      </w:pPr>
      <w:r w:rsidRPr="000D6942">
        <w:rPr>
          <w:b/>
          <w:szCs w:val="22"/>
        </w:rPr>
        <w:t>1</w:t>
      </w:r>
      <w:r w:rsidRPr="000D6942">
        <w:rPr>
          <w:b/>
          <w:szCs w:val="22"/>
        </w:rPr>
        <w:tab/>
        <w:t xml:space="preserve">VAISTINIO PREPARATO PAVADINIMAS </w:t>
      </w:r>
      <w:r w:rsidRPr="000D6942">
        <w:rPr>
          <w:b/>
          <w:caps/>
          <w:szCs w:val="22"/>
        </w:rPr>
        <w:t>ir vartojimo būdas (-ai)</w:t>
      </w:r>
    </w:p>
    <w:p w14:paraId="17B9D40B" w14:textId="77777777" w:rsidR="003315E7" w:rsidRPr="000D6942" w:rsidRDefault="003315E7" w:rsidP="003315E7">
      <w:pPr>
        <w:rPr>
          <w:szCs w:val="22"/>
        </w:rPr>
      </w:pPr>
    </w:p>
    <w:p w14:paraId="4F086244" w14:textId="77777777" w:rsidR="003315E7" w:rsidRPr="000D6942" w:rsidRDefault="003315E7" w:rsidP="003315E7">
      <w:pPr>
        <w:rPr>
          <w:szCs w:val="22"/>
        </w:rPr>
      </w:pPr>
      <w:r w:rsidRPr="000D6942">
        <w:rPr>
          <w:szCs w:val="22"/>
        </w:rPr>
        <w:t>Ferinject 50 mg /ml injekcinis/infuzinis tirpalas</w:t>
      </w:r>
    </w:p>
    <w:p w14:paraId="0FAEB45B" w14:textId="77777777" w:rsidR="003315E7" w:rsidRPr="000D6942" w:rsidRDefault="003315E7" w:rsidP="003315E7">
      <w:pPr>
        <w:rPr>
          <w:szCs w:val="22"/>
        </w:rPr>
      </w:pPr>
      <w:r w:rsidRPr="000D6942">
        <w:rPr>
          <w:szCs w:val="22"/>
        </w:rPr>
        <w:t>Geležies karboksimaltozė</w:t>
      </w:r>
    </w:p>
    <w:p w14:paraId="3C49BEE1" w14:textId="77777777" w:rsidR="003315E7" w:rsidRPr="000D6942" w:rsidRDefault="003315E7" w:rsidP="003315E7">
      <w:pPr>
        <w:rPr>
          <w:szCs w:val="22"/>
        </w:rPr>
      </w:pPr>
      <w:r>
        <w:rPr>
          <w:szCs w:val="22"/>
        </w:rPr>
        <w:t>i.v.</w:t>
      </w:r>
    </w:p>
    <w:p w14:paraId="742CA3F0" w14:textId="77777777" w:rsidR="003315E7" w:rsidRPr="000D6942" w:rsidRDefault="003315E7" w:rsidP="003315E7">
      <w:pPr>
        <w:rPr>
          <w:szCs w:val="22"/>
        </w:rPr>
      </w:pPr>
    </w:p>
    <w:p w14:paraId="6F9A2519" w14:textId="77777777" w:rsidR="003315E7" w:rsidRPr="000D6942" w:rsidRDefault="003315E7" w:rsidP="003315E7">
      <w:pPr>
        <w:rPr>
          <w:szCs w:val="22"/>
        </w:rPr>
      </w:pPr>
    </w:p>
    <w:p w14:paraId="078E141D"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szCs w:val="22"/>
        </w:rPr>
      </w:pPr>
      <w:r w:rsidRPr="000D6942">
        <w:rPr>
          <w:b/>
          <w:szCs w:val="22"/>
        </w:rPr>
        <w:t>2.</w:t>
      </w:r>
      <w:r w:rsidRPr="000D6942">
        <w:rPr>
          <w:b/>
          <w:szCs w:val="22"/>
        </w:rPr>
        <w:tab/>
        <w:t>VARTOJIMO METODAS</w:t>
      </w:r>
    </w:p>
    <w:p w14:paraId="70A662E4" w14:textId="77777777" w:rsidR="003315E7" w:rsidRPr="000D6942" w:rsidRDefault="003315E7" w:rsidP="003315E7">
      <w:pPr>
        <w:rPr>
          <w:szCs w:val="22"/>
        </w:rPr>
      </w:pPr>
    </w:p>
    <w:p w14:paraId="3A2CB42C" w14:textId="77777777" w:rsidR="003315E7" w:rsidRPr="000D6942" w:rsidRDefault="003315E7" w:rsidP="003315E7">
      <w:pPr>
        <w:rPr>
          <w:szCs w:val="22"/>
        </w:rPr>
      </w:pPr>
    </w:p>
    <w:p w14:paraId="6008D2D3"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szCs w:val="22"/>
        </w:rPr>
      </w:pPr>
      <w:r w:rsidRPr="000D6942">
        <w:rPr>
          <w:b/>
          <w:szCs w:val="22"/>
        </w:rPr>
        <w:t>3.</w:t>
      </w:r>
      <w:r w:rsidRPr="000D6942">
        <w:rPr>
          <w:b/>
          <w:szCs w:val="22"/>
        </w:rPr>
        <w:tab/>
        <w:t>TINKAMUMO LAIKAS</w:t>
      </w:r>
    </w:p>
    <w:p w14:paraId="4D8CD67F" w14:textId="77777777" w:rsidR="003315E7" w:rsidRPr="000D6942" w:rsidRDefault="003315E7" w:rsidP="003315E7">
      <w:pPr>
        <w:rPr>
          <w:szCs w:val="22"/>
        </w:rPr>
      </w:pPr>
    </w:p>
    <w:p w14:paraId="2F0DAAEB" w14:textId="77777777" w:rsidR="003315E7" w:rsidRPr="000D6942" w:rsidRDefault="003315E7" w:rsidP="003315E7">
      <w:pPr>
        <w:rPr>
          <w:szCs w:val="22"/>
        </w:rPr>
      </w:pPr>
      <w:r>
        <w:rPr>
          <w:szCs w:val="22"/>
        </w:rPr>
        <w:t>EXP</w:t>
      </w:r>
      <w:r w:rsidRPr="000D6942">
        <w:rPr>
          <w:szCs w:val="22"/>
        </w:rPr>
        <w:t>:</w:t>
      </w:r>
    </w:p>
    <w:p w14:paraId="3A62B89C" w14:textId="77777777" w:rsidR="003315E7" w:rsidRPr="000D6942" w:rsidRDefault="003315E7" w:rsidP="003315E7">
      <w:pPr>
        <w:rPr>
          <w:szCs w:val="22"/>
        </w:rPr>
      </w:pPr>
    </w:p>
    <w:p w14:paraId="78511E32" w14:textId="77777777" w:rsidR="003315E7" w:rsidRPr="000D6942" w:rsidRDefault="003315E7" w:rsidP="003315E7">
      <w:pPr>
        <w:rPr>
          <w:szCs w:val="22"/>
        </w:rPr>
      </w:pPr>
    </w:p>
    <w:p w14:paraId="5B006916"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szCs w:val="22"/>
        </w:rPr>
      </w:pPr>
      <w:r w:rsidRPr="000D6942">
        <w:rPr>
          <w:b/>
          <w:szCs w:val="22"/>
        </w:rPr>
        <w:t>4.</w:t>
      </w:r>
      <w:r w:rsidRPr="000D6942">
        <w:rPr>
          <w:b/>
          <w:szCs w:val="22"/>
        </w:rPr>
        <w:tab/>
        <w:t>SERIJOS NUMERIS</w:t>
      </w:r>
    </w:p>
    <w:p w14:paraId="39CC53D3" w14:textId="77777777" w:rsidR="003315E7" w:rsidRPr="000D6942" w:rsidRDefault="003315E7" w:rsidP="003315E7">
      <w:pPr>
        <w:ind w:right="113"/>
        <w:rPr>
          <w:szCs w:val="22"/>
        </w:rPr>
      </w:pPr>
    </w:p>
    <w:p w14:paraId="6EB88F87" w14:textId="77777777" w:rsidR="003315E7" w:rsidRPr="000D6942" w:rsidRDefault="003315E7" w:rsidP="003315E7">
      <w:pPr>
        <w:ind w:right="113"/>
        <w:rPr>
          <w:szCs w:val="22"/>
        </w:rPr>
      </w:pPr>
      <w:r>
        <w:rPr>
          <w:szCs w:val="22"/>
        </w:rPr>
        <w:t>Lot</w:t>
      </w:r>
      <w:r w:rsidRPr="000D6942">
        <w:rPr>
          <w:szCs w:val="22"/>
        </w:rPr>
        <w:t>:</w:t>
      </w:r>
    </w:p>
    <w:p w14:paraId="396731FE" w14:textId="77777777" w:rsidR="003315E7" w:rsidRPr="000D6942" w:rsidRDefault="003315E7" w:rsidP="003315E7">
      <w:pPr>
        <w:ind w:right="113"/>
        <w:rPr>
          <w:szCs w:val="22"/>
        </w:rPr>
      </w:pPr>
    </w:p>
    <w:p w14:paraId="46F5B22B" w14:textId="77777777" w:rsidR="003315E7" w:rsidRPr="000D6942" w:rsidRDefault="003315E7" w:rsidP="003315E7">
      <w:pPr>
        <w:ind w:right="113"/>
        <w:rPr>
          <w:szCs w:val="22"/>
        </w:rPr>
      </w:pPr>
    </w:p>
    <w:p w14:paraId="5AC0EDBE" w14:textId="77777777" w:rsidR="003315E7" w:rsidRPr="000D6942" w:rsidRDefault="003315E7" w:rsidP="003315E7">
      <w:pPr>
        <w:pBdr>
          <w:top w:val="single" w:sz="4" w:space="1" w:color="auto"/>
          <w:left w:val="single" w:sz="4" w:space="4" w:color="auto"/>
          <w:bottom w:val="single" w:sz="4" w:space="1" w:color="auto"/>
          <w:right w:val="single" w:sz="4" w:space="4" w:color="auto"/>
        </w:pBdr>
        <w:ind w:left="540" w:hanging="540"/>
        <w:outlineLvl w:val="0"/>
        <w:rPr>
          <w:b/>
          <w:szCs w:val="22"/>
        </w:rPr>
      </w:pPr>
      <w:r w:rsidRPr="000D6942">
        <w:rPr>
          <w:b/>
          <w:szCs w:val="22"/>
        </w:rPr>
        <w:t>5.</w:t>
      </w:r>
      <w:r w:rsidRPr="000D6942">
        <w:rPr>
          <w:b/>
          <w:szCs w:val="22"/>
        </w:rPr>
        <w:tab/>
        <w:t>KIEKIS (MASĖ, TŪRIS ARBA VIENETAI)</w:t>
      </w:r>
    </w:p>
    <w:p w14:paraId="366D6EDC" w14:textId="77777777" w:rsidR="003315E7" w:rsidRPr="000D6942" w:rsidRDefault="003315E7" w:rsidP="003315E7">
      <w:pPr>
        <w:ind w:right="113"/>
        <w:rPr>
          <w:szCs w:val="22"/>
        </w:rPr>
      </w:pPr>
    </w:p>
    <w:p w14:paraId="6043F205" w14:textId="52BDFE8C" w:rsidR="003315E7" w:rsidRPr="000D6942" w:rsidRDefault="003315E7" w:rsidP="003315E7">
      <w:pPr>
        <w:ind w:right="113"/>
        <w:rPr>
          <w:szCs w:val="22"/>
        </w:rPr>
      </w:pPr>
      <w:r w:rsidRPr="000D6942">
        <w:rPr>
          <w:szCs w:val="22"/>
        </w:rPr>
        <w:t xml:space="preserve">20 ml </w:t>
      </w:r>
      <w:r w:rsidRPr="00812457">
        <w:rPr>
          <w:szCs w:val="22"/>
        </w:rPr>
        <w:t>=</w:t>
      </w:r>
      <w:r w:rsidR="0084710A">
        <w:rPr>
          <w:szCs w:val="22"/>
        </w:rPr>
        <w:t xml:space="preserve"> </w:t>
      </w:r>
      <w:r w:rsidRPr="000D6942">
        <w:rPr>
          <w:szCs w:val="22"/>
        </w:rPr>
        <w:t>1000 mg</w:t>
      </w:r>
    </w:p>
    <w:p w14:paraId="29A88707" w14:textId="77777777" w:rsidR="003315E7" w:rsidRPr="000D6942" w:rsidRDefault="003315E7" w:rsidP="003315E7">
      <w:pPr>
        <w:ind w:right="113"/>
        <w:rPr>
          <w:szCs w:val="22"/>
        </w:rPr>
      </w:pPr>
    </w:p>
    <w:p w14:paraId="4150EFE2" w14:textId="77777777" w:rsidR="003315E7" w:rsidRPr="000D6942" w:rsidRDefault="003315E7" w:rsidP="003315E7">
      <w:pPr>
        <w:ind w:right="113"/>
        <w:rPr>
          <w:szCs w:val="22"/>
        </w:rPr>
      </w:pPr>
    </w:p>
    <w:p w14:paraId="590F90DC" w14:textId="77777777" w:rsidR="003315E7" w:rsidRPr="002A0D89" w:rsidRDefault="003315E7" w:rsidP="003315E7">
      <w:pPr>
        <w:pBdr>
          <w:top w:val="single" w:sz="4" w:space="1" w:color="auto"/>
          <w:left w:val="single" w:sz="4" w:space="4" w:color="auto"/>
          <w:bottom w:val="single" w:sz="4" w:space="1" w:color="auto"/>
          <w:right w:val="single" w:sz="4" w:space="4" w:color="auto"/>
        </w:pBdr>
        <w:ind w:left="540" w:hanging="540"/>
        <w:outlineLvl w:val="0"/>
        <w:rPr>
          <w:b/>
        </w:rPr>
      </w:pPr>
      <w:r w:rsidRPr="002A0D89">
        <w:rPr>
          <w:b/>
        </w:rPr>
        <w:t>6.</w:t>
      </w:r>
      <w:r w:rsidRPr="002A0D89">
        <w:rPr>
          <w:b/>
        </w:rPr>
        <w:tab/>
        <w:t>KITA</w:t>
      </w:r>
    </w:p>
    <w:p w14:paraId="45352702" w14:textId="77777777" w:rsidR="003315E7" w:rsidRPr="002A0D89" w:rsidRDefault="003315E7" w:rsidP="003315E7"/>
    <w:p w14:paraId="23263E76" w14:textId="77777777" w:rsidR="003315E7" w:rsidRPr="000D6942" w:rsidRDefault="003315E7" w:rsidP="003315E7">
      <w:pPr>
        <w:pStyle w:val="BTEMEASMCA"/>
        <w:rPr>
          <w:noProof w:val="0"/>
        </w:rPr>
      </w:pPr>
    </w:p>
    <w:p w14:paraId="7698654B" w14:textId="77777777" w:rsidR="00CF38FA" w:rsidRPr="000D6942" w:rsidRDefault="00CF38FA" w:rsidP="00CF38FA">
      <w:pPr>
        <w:pStyle w:val="BTEMEASMCA"/>
        <w:rPr>
          <w:noProof w:val="0"/>
        </w:rPr>
      </w:pPr>
    </w:p>
    <w:p w14:paraId="4F72F45E" w14:textId="77777777" w:rsidR="00CF38FA" w:rsidRPr="000D6942" w:rsidRDefault="00CF38FA" w:rsidP="00CF38FA">
      <w:pPr>
        <w:pStyle w:val="BTEMEASMCA"/>
        <w:rPr>
          <w:noProof w:val="0"/>
        </w:rPr>
      </w:pPr>
    </w:p>
    <w:p w14:paraId="0815993C" w14:textId="77777777" w:rsidR="00CF38FA" w:rsidRPr="000D6942" w:rsidRDefault="00CF38FA" w:rsidP="00CF38FA">
      <w:pPr>
        <w:pStyle w:val="BTEMEASMCA"/>
        <w:rPr>
          <w:noProof w:val="0"/>
        </w:rPr>
      </w:pPr>
    </w:p>
    <w:p w14:paraId="3FA45988" w14:textId="77777777" w:rsidR="00CF38FA" w:rsidRPr="000D6942" w:rsidRDefault="00CF38FA" w:rsidP="00CF38FA">
      <w:pPr>
        <w:pStyle w:val="BTEMEASMCA"/>
        <w:rPr>
          <w:noProof w:val="0"/>
        </w:rPr>
      </w:pPr>
    </w:p>
    <w:p w14:paraId="1F0B7BDE" w14:textId="77777777" w:rsidR="00CF38FA" w:rsidRPr="000D6942" w:rsidRDefault="00CF38FA" w:rsidP="00CF38FA">
      <w:pPr>
        <w:pStyle w:val="BTEMEASMCA"/>
        <w:rPr>
          <w:noProof w:val="0"/>
        </w:rPr>
      </w:pPr>
    </w:p>
    <w:p w14:paraId="169BB5BD" w14:textId="77777777" w:rsidR="004C2CCC" w:rsidRPr="002A0D89" w:rsidRDefault="004C2CCC" w:rsidP="0087234B">
      <w:pPr>
        <w:pStyle w:val="TTEMEASMCA"/>
        <w:rPr>
          <w:lang w:val="lt-LT"/>
        </w:rPr>
      </w:pPr>
    </w:p>
    <w:p w14:paraId="6E97CF13" w14:textId="77777777" w:rsidR="004C2CCC" w:rsidRPr="002A0D89" w:rsidRDefault="004C2CCC" w:rsidP="0087234B">
      <w:pPr>
        <w:pStyle w:val="TTEMEASMCA"/>
        <w:rPr>
          <w:lang w:val="lt-LT"/>
        </w:rPr>
      </w:pPr>
    </w:p>
    <w:p w14:paraId="50F00DAD" w14:textId="77777777" w:rsidR="004C2CCC" w:rsidRPr="002A0D89" w:rsidRDefault="004C2CCC" w:rsidP="0087234B">
      <w:pPr>
        <w:pStyle w:val="TTEMEASMCA"/>
        <w:rPr>
          <w:lang w:val="lt-LT"/>
        </w:rPr>
      </w:pPr>
    </w:p>
    <w:p w14:paraId="244996C4" w14:textId="77777777" w:rsidR="004C2CCC" w:rsidRPr="000D6942" w:rsidRDefault="004C2CCC" w:rsidP="00CF38FA">
      <w:pPr>
        <w:pStyle w:val="TTEMEASMCA"/>
        <w:rPr>
          <w:lang w:val="lt-LT"/>
        </w:rPr>
      </w:pPr>
    </w:p>
    <w:p w14:paraId="3629ACC7" w14:textId="77777777" w:rsidR="004C2CCC" w:rsidRPr="000D6942" w:rsidRDefault="004C2CCC" w:rsidP="00CF38FA">
      <w:pPr>
        <w:pStyle w:val="TTEMEASMCA"/>
        <w:rPr>
          <w:lang w:val="lt-LT"/>
        </w:rPr>
      </w:pPr>
    </w:p>
    <w:p w14:paraId="77D62462" w14:textId="77777777" w:rsidR="004C2CCC" w:rsidRPr="000D6942" w:rsidRDefault="004C2CCC" w:rsidP="00CF38FA">
      <w:pPr>
        <w:pStyle w:val="TTEMEASMCA"/>
        <w:rPr>
          <w:lang w:val="lt-LT"/>
        </w:rPr>
      </w:pPr>
    </w:p>
    <w:p w14:paraId="6D3EB87D" w14:textId="77777777" w:rsidR="004C2CCC" w:rsidRPr="000D6942" w:rsidRDefault="004C2CCC" w:rsidP="00CF38FA">
      <w:pPr>
        <w:pStyle w:val="TTEMEASMCA"/>
        <w:rPr>
          <w:lang w:val="lt-LT"/>
        </w:rPr>
      </w:pPr>
    </w:p>
    <w:p w14:paraId="1A387B0A" w14:textId="77777777" w:rsidR="004C2CCC" w:rsidRPr="000D6942" w:rsidRDefault="004C2CCC" w:rsidP="00CF38FA">
      <w:pPr>
        <w:pStyle w:val="TTEMEASMCA"/>
        <w:rPr>
          <w:lang w:val="lt-LT"/>
        </w:rPr>
      </w:pPr>
    </w:p>
    <w:p w14:paraId="03D4EA34" w14:textId="77777777" w:rsidR="004C2CCC" w:rsidRPr="000D6942" w:rsidRDefault="004C2CCC" w:rsidP="00CF38FA">
      <w:pPr>
        <w:pStyle w:val="TTEMEASMCA"/>
        <w:rPr>
          <w:lang w:val="lt-LT"/>
        </w:rPr>
      </w:pPr>
    </w:p>
    <w:p w14:paraId="1A298FE1" w14:textId="77777777" w:rsidR="004C2CCC" w:rsidRPr="000D6942" w:rsidRDefault="004C2CCC" w:rsidP="00CF38FA">
      <w:pPr>
        <w:pStyle w:val="TTEMEASMCA"/>
        <w:rPr>
          <w:lang w:val="lt-LT"/>
        </w:rPr>
      </w:pPr>
    </w:p>
    <w:p w14:paraId="47816D0D" w14:textId="77777777" w:rsidR="004C2CCC" w:rsidRPr="000D6942" w:rsidRDefault="004C2CCC" w:rsidP="00CF38FA">
      <w:pPr>
        <w:pStyle w:val="TTEMEASMCA"/>
        <w:rPr>
          <w:lang w:val="lt-LT"/>
        </w:rPr>
      </w:pPr>
    </w:p>
    <w:p w14:paraId="4B415C0C" w14:textId="77777777" w:rsidR="004C2CCC" w:rsidRPr="000D6942" w:rsidRDefault="004C2CCC" w:rsidP="00CF38FA">
      <w:pPr>
        <w:pStyle w:val="TTEMEASMCA"/>
        <w:rPr>
          <w:lang w:val="lt-LT"/>
        </w:rPr>
      </w:pPr>
    </w:p>
    <w:p w14:paraId="25750769" w14:textId="77777777" w:rsidR="004C2CCC" w:rsidRPr="000D6942" w:rsidRDefault="004C2CCC" w:rsidP="00CF38FA">
      <w:pPr>
        <w:pStyle w:val="TTEMEASMCA"/>
        <w:rPr>
          <w:lang w:val="lt-LT"/>
        </w:rPr>
      </w:pPr>
    </w:p>
    <w:p w14:paraId="15AA12D3" w14:textId="77777777" w:rsidR="00CF38FA" w:rsidRPr="000D6942" w:rsidRDefault="00CF38FA" w:rsidP="00CF38FA">
      <w:pPr>
        <w:pStyle w:val="TTEMEASMCA"/>
        <w:rPr>
          <w:lang w:val="lt-LT"/>
        </w:rPr>
      </w:pPr>
    </w:p>
    <w:p w14:paraId="38A0EDA9" w14:textId="77777777" w:rsidR="00CF38FA" w:rsidRPr="000D6942" w:rsidRDefault="00CF38FA" w:rsidP="00CF38FA">
      <w:pPr>
        <w:pStyle w:val="TTEMEASMCA"/>
        <w:rPr>
          <w:lang w:val="lt-LT"/>
        </w:rPr>
      </w:pPr>
    </w:p>
    <w:p w14:paraId="10CA5167" w14:textId="77777777" w:rsidR="00CF38FA" w:rsidRPr="000D6942" w:rsidRDefault="00CF38FA" w:rsidP="00CF38FA">
      <w:pPr>
        <w:pStyle w:val="TTEMEASMCA"/>
        <w:rPr>
          <w:lang w:val="lt-LT"/>
        </w:rPr>
      </w:pPr>
    </w:p>
    <w:p w14:paraId="3CA18A33" w14:textId="77777777" w:rsidR="00CF38FA" w:rsidRPr="000D6942" w:rsidRDefault="00CF38FA" w:rsidP="00CF38FA">
      <w:pPr>
        <w:pStyle w:val="TTEMEASMCA"/>
        <w:rPr>
          <w:lang w:val="lt-LT"/>
        </w:rPr>
      </w:pPr>
    </w:p>
    <w:p w14:paraId="0D36FA54" w14:textId="77777777" w:rsidR="003315E7" w:rsidRDefault="003315E7" w:rsidP="00CF38FA">
      <w:pPr>
        <w:pStyle w:val="TTEMEASMCA"/>
        <w:rPr>
          <w:lang w:val="lt-LT"/>
        </w:rPr>
      </w:pPr>
    </w:p>
    <w:p w14:paraId="112E2A9B" w14:textId="77777777" w:rsidR="003315E7" w:rsidRDefault="003315E7" w:rsidP="00CF38FA">
      <w:pPr>
        <w:pStyle w:val="TTEMEASMCA"/>
        <w:rPr>
          <w:lang w:val="lt-LT"/>
        </w:rPr>
      </w:pPr>
    </w:p>
    <w:p w14:paraId="332537BA" w14:textId="77777777" w:rsidR="003315E7" w:rsidRDefault="003315E7" w:rsidP="00CF38FA">
      <w:pPr>
        <w:pStyle w:val="TTEMEASMCA"/>
        <w:rPr>
          <w:lang w:val="lt-LT"/>
        </w:rPr>
      </w:pPr>
    </w:p>
    <w:p w14:paraId="35D7B5FC" w14:textId="77777777" w:rsidR="003315E7" w:rsidRDefault="003315E7" w:rsidP="00CF38FA">
      <w:pPr>
        <w:pStyle w:val="TTEMEASMCA"/>
        <w:rPr>
          <w:lang w:val="lt-LT"/>
        </w:rPr>
      </w:pPr>
    </w:p>
    <w:p w14:paraId="2F6D4F1A" w14:textId="77777777" w:rsidR="003315E7" w:rsidRDefault="003315E7" w:rsidP="00CF38FA">
      <w:pPr>
        <w:pStyle w:val="TTEMEASMCA"/>
        <w:rPr>
          <w:lang w:val="lt-LT"/>
        </w:rPr>
      </w:pPr>
    </w:p>
    <w:p w14:paraId="0F806806" w14:textId="77777777" w:rsidR="003315E7" w:rsidRDefault="003315E7" w:rsidP="00CF38FA">
      <w:pPr>
        <w:pStyle w:val="TTEMEASMCA"/>
        <w:rPr>
          <w:lang w:val="lt-LT"/>
        </w:rPr>
      </w:pPr>
    </w:p>
    <w:p w14:paraId="4C235DE9" w14:textId="77777777" w:rsidR="003315E7" w:rsidRDefault="003315E7" w:rsidP="00CF38FA">
      <w:pPr>
        <w:pStyle w:val="TTEMEASMCA"/>
        <w:rPr>
          <w:lang w:val="lt-LT"/>
        </w:rPr>
      </w:pPr>
    </w:p>
    <w:p w14:paraId="03D6822C" w14:textId="77777777" w:rsidR="003315E7" w:rsidRDefault="003315E7" w:rsidP="00CF38FA">
      <w:pPr>
        <w:pStyle w:val="TTEMEASMCA"/>
        <w:rPr>
          <w:lang w:val="lt-LT"/>
        </w:rPr>
      </w:pPr>
    </w:p>
    <w:p w14:paraId="574C933F" w14:textId="77777777" w:rsidR="003315E7" w:rsidRDefault="003315E7" w:rsidP="00CF38FA">
      <w:pPr>
        <w:pStyle w:val="TTEMEASMCA"/>
        <w:rPr>
          <w:lang w:val="lt-LT"/>
        </w:rPr>
      </w:pPr>
    </w:p>
    <w:p w14:paraId="2FB9B9BF" w14:textId="77777777" w:rsidR="003315E7" w:rsidRDefault="003315E7" w:rsidP="00CF38FA">
      <w:pPr>
        <w:pStyle w:val="TTEMEASMCA"/>
        <w:rPr>
          <w:lang w:val="lt-LT"/>
        </w:rPr>
      </w:pPr>
    </w:p>
    <w:p w14:paraId="03179069" w14:textId="77777777" w:rsidR="003315E7" w:rsidRDefault="003315E7" w:rsidP="00CF38FA">
      <w:pPr>
        <w:pStyle w:val="TTEMEASMCA"/>
        <w:rPr>
          <w:lang w:val="lt-LT"/>
        </w:rPr>
      </w:pPr>
    </w:p>
    <w:p w14:paraId="3A0BAC37" w14:textId="77777777" w:rsidR="003315E7" w:rsidRDefault="003315E7" w:rsidP="00CF38FA">
      <w:pPr>
        <w:pStyle w:val="TTEMEASMCA"/>
        <w:rPr>
          <w:lang w:val="lt-LT"/>
        </w:rPr>
      </w:pPr>
    </w:p>
    <w:p w14:paraId="6CDA89EE" w14:textId="77777777" w:rsidR="003315E7" w:rsidRDefault="003315E7" w:rsidP="00CF38FA">
      <w:pPr>
        <w:pStyle w:val="TTEMEASMCA"/>
        <w:rPr>
          <w:lang w:val="lt-LT"/>
        </w:rPr>
      </w:pPr>
    </w:p>
    <w:p w14:paraId="16EA590A" w14:textId="77777777" w:rsidR="003315E7" w:rsidRDefault="003315E7" w:rsidP="00CF38FA">
      <w:pPr>
        <w:pStyle w:val="TTEMEASMCA"/>
        <w:rPr>
          <w:lang w:val="lt-LT"/>
        </w:rPr>
      </w:pPr>
    </w:p>
    <w:p w14:paraId="37668590" w14:textId="77777777" w:rsidR="003315E7" w:rsidRDefault="003315E7" w:rsidP="00CF38FA">
      <w:pPr>
        <w:pStyle w:val="TTEMEASMCA"/>
        <w:rPr>
          <w:lang w:val="lt-LT"/>
        </w:rPr>
      </w:pPr>
    </w:p>
    <w:p w14:paraId="731EB03D" w14:textId="77777777" w:rsidR="003315E7" w:rsidRDefault="003315E7" w:rsidP="00CF38FA">
      <w:pPr>
        <w:pStyle w:val="TTEMEASMCA"/>
        <w:rPr>
          <w:lang w:val="lt-LT"/>
        </w:rPr>
      </w:pPr>
    </w:p>
    <w:p w14:paraId="7B5C0693" w14:textId="77777777" w:rsidR="003315E7" w:rsidRDefault="003315E7" w:rsidP="00CF38FA">
      <w:pPr>
        <w:pStyle w:val="TTEMEASMCA"/>
        <w:rPr>
          <w:lang w:val="lt-LT"/>
        </w:rPr>
      </w:pPr>
    </w:p>
    <w:p w14:paraId="14751D55" w14:textId="77777777" w:rsidR="003315E7" w:rsidRDefault="003315E7" w:rsidP="00CF38FA">
      <w:pPr>
        <w:pStyle w:val="TTEMEASMCA"/>
        <w:rPr>
          <w:lang w:val="lt-LT"/>
        </w:rPr>
      </w:pPr>
    </w:p>
    <w:p w14:paraId="6BF2F6F4" w14:textId="77777777" w:rsidR="003315E7" w:rsidRDefault="003315E7" w:rsidP="00CF38FA">
      <w:pPr>
        <w:pStyle w:val="TTEMEASMCA"/>
        <w:rPr>
          <w:lang w:val="lt-LT"/>
        </w:rPr>
      </w:pPr>
    </w:p>
    <w:p w14:paraId="62F8EDDE" w14:textId="77777777" w:rsidR="003315E7" w:rsidRDefault="003315E7" w:rsidP="00CF38FA">
      <w:pPr>
        <w:pStyle w:val="TTEMEASMCA"/>
        <w:rPr>
          <w:lang w:val="lt-LT"/>
        </w:rPr>
      </w:pPr>
    </w:p>
    <w:p w14:paraId="02CA47FA" w14:textId="77777777" w:rsidR="003315E7" w:rsidRDefault="003315E7" w:rsidP="00CF38FA">
      <w:pPr>
        <w:pStyle w:val="TTEMEASMCA"/>
        <w:rPr>
          <w:lang w:val="lt-LT"/>
        </w:rPr>
      </w:pPr>
    </w:p>
    <w:p w14:paraId="2537EBA2" w14:textId="77777777" w:rsidR="003315E7" w:rsidRDefault="003315E7" w:rsidP="00CF38FA">
      <w:pPr>
        <w:pStyle w:val="TTEMEASMCA"/>
        <w:rPr>
          <w:lang w:val="lt-LT"/>
        </w:rPr>
      </w:pPr>
    </w:p>
    <w:p w14:paraId="1C3F9FB2" w14:textId="77777777" w:rsidR="004C2CCC" w:rsidRPr="000D6942" w:rsidRDefault="004C2CCC" w:rsidP="00CF38FA">
      <w:pPr>
        <w:pStyle w:val="TTEMEASMCA"/>
        <w:rPr>
          <w:lang w:val="lt-LT"/>
        </w:rPr>
      </w:pPr>
      <w:r w:rsidRPr="000D6942">
        <w:rPr>
          <w:lang w:val="lt-LT"/>
        </w:rPr>
        <w:t>B. PAKUOTĖS LAPELIS</w:t>
      </w:r>
      <w:bookmarkEnd w:id="18"/>
      <w:bookmarkEnd w:id="19"/>
    </w:p>
    <w:p w14:paraId="4FDE28FC" w14:textId="77777777" w:rsidR="004C2CCC" w:rsidRPr="000D6942" w:rsidRDefault="004C2CCC" w:rsidP="00CF38FA">
      <w:pPr>
        <w:ind w:right="-57"/>
        <w:jc w:val="center"/>
        <w:rPr>
          <w:b/>
          <w:szCs w:val="22"/>
        </w:rPr>
      </w:pPr>
      <w:r w:rsidRPr="000D6942">
        <w:rPr>
          <w:szCs w:val="22"/>
        </w:rPr>
        <w:br w:type="page"/>
      </w:r>
      <w:r w:rsidRPr="000D6942">
        <w:rPr>
          <w:b/>
          <w:iCs/>
          <w:szCs w:val="22"/>
        </w:rPr>
        <w:lastRenderedPageBreak/>
        <w:t>Pakuotės lapelis: informacija vartotojui</w:t>
      </w:r>
    </w:p>
    <w:p w14:paraId="18D723AA" w14:textId="77777777" w:rsidR="004C2CCC" w:rsidRPr="000D6942" w:rsidRDefault="004C2CCC" w:rsidP="00CF38FA">
      <w:pPr>
        <w:jc w:val="center"/>
        <w:rPr>
          <w:b/>
          <w:szCs w:val="22"/>
        </w:rPr>
      </w:pPr>
    </w:p>
    <w:p w14:paraId="107FFB9D" w14:textId="77777777" w:rsidR="00CF38FA" w:rsidRPr="000D6942" w:rsidRDefault="004C2CCC" w:rsidP="00CF38FA">
      <w:pPr>
        <w:jc w:val="center"/>
        <w:rPr>
          <w:b/>
          <w:szCs w:val="22"/>
        </w:rPr>
      </w:pPr>
      <w:r w:rsidRPr="000D6942">
        <w:rPr>
          <w:b/>
          <w:szCs w:val="22"/>
        </w:rPr>
        <w:t>Ferinject 50 mg/ml injekcinis/infuzinis tirpalas</w:t>
      </w:r>
    </w:p>
    <w:p w14:paraId="18E47B1F" w14:textId="77777777" w:rsidR="004C2CCC" w:rsidRPr="000D6942" w:rsidRDefault="004C2CCC" w:rsidP="00CF38FA">
      <w:pPr>
        <w:jc w:val="center"/>
        <w:rPr>
          <w:b/>
          <w:szCs w:val="22"/>
        </w:rPr>
      </w:pPr>
      <w:r w:rsidRPr="000D6942">
        <w:rPr>
          <w:b/>
          <w:szCs w:val="22"/>
        </w:rPr>
        <w:t>Geležies karboksimaltozė</w:t>
      </w:r>
    </w:p>
    <w:p w14:paraId="105419E0" w14:textId="77777777" w:rsidR="004C2CCC" w:rsidRPr="000D6942" w:rsidRDefault="004C2CCC" w:rsidP="00CF38FA">
      <w:pPr>
        <w:jc w:val="center"/>
        <w:rPr>
          <w:b/>
          <w:szCs w:val="22"/>
        </w:rPr>
      </w:pPr>
    </w:p>
    <w:p w14:paraId="0571500A" w14:textId="0A2C0C2C" w:rsidR="004C2CCC" w:rsidRPr="000D6942" w:rsidRDefault="00F107EF" w:rsidP="00CF38FA">
      <w:pPr>
        <w:rPr>
          <w:rFonts w:eastAsia="SimSun"/>
          <w:szCs w:val="22"/>
        </w:rPr>
      </w:pPr>
      <w:r>
        <w:rPr>
          <w:rFonts w:eastAsia="SimSun"/>
          <w:noProof/>
          <w:szCs w:val="22"/>
          <w:lang w:eastAsia="lt-LT"/>
        </w:rPr>
        <w:drawing>
          <wp:inline distT="0" distB="0" distL="0" distR="0" wp14:anchorId="6E08CBA6" wp14:editId="4038BC9B">
            <wp:extent cx="193675" cy="165100"/>
            <wp:effectExtent l="0" t="0" r="0" b="6350"/>
            <wp:docPr id="2" name="Paveikslėlis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675" cy="165100"/>
                    </a:xfrm>
                    <a:prstGeom prst="rect">
                      <a:avLst/>
                    </a:prstGeom>
                    <a:noFill/>
                    <a:ln>
                      <a:noFill/>
                    </a:ln>
                  </pic:spPr>
                </pic:pic>
              </a:graphicData>
            </a:graphic>
          </wp:inline>
        </w:drawing>
      </w:r>
      <w:r w:rsidR="004C2CCC" w:rsidRPr="000D6942">
        <w:rPr>
          <w:rFonts w:eastAsia="SimSun"/>
          <w:szCs w:val="22"/>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671842CF" w14:textId="77777777" w:rsidR="004C2CCC" w:rsidRPr="000D6942" w:rsidRDefault="004C2CCC" w:rsidP="00CF38FA">
      <w:pPr>
        <w:jc w:val="both"/>
        <w:rPr>
          <w:b/>
          <w:szCs w:val="22"/>
        </w:rPr>
      </w:pPr>
    </w:p>
    <w:p w14:paraId="28C7DB5D" w14:textId="77777777" w:rsidR="004C2CCC" w:rsidRPr="000D6942" w:rsidRDefault="004C2CCC" w:rsidP="00CF38FA">
      <w:pPr>
        <w:suppressAutoHyphens/>
        <w:ind w:left="142" w:hanging="142"/>
        <w:rPr>
          <w:szCs w:val="22"/>
        </w:rPr>
      </w:pPr>
      <w:r w:rsidRPr="000D6942">
        <w:rPr>
          <w:b/>
          <w:szCs w:val="22"/>
        </w:rPr>
        <w:t>Atidžiai perskaitykite visą šį lapelį, prieš pradėdami vartoti vaistą, nes jame pateikiama Jums svarbi informacija.</w:t>
      </w:r>
    </w:p>
    <w:p w14:paraId="1637424C" w14:textId="77777777" w:rsidR="00CF38FA" w:rsidRPr="000D6942" w:rsidRDefault="004C2CCC" w:rsidP="00CF38FA">
      <w:pPr>
        <w:numPr>
          <w:ilvl w:val="0"/>
          <w:numId w:val="6"/>
        </w:numPr>
        <w:ind w:hanging="720"/>
        <w:rPr>
          <w:szCs w:val="22"/>
        </w:rPr>
      </w:pPr>
      <w:r w:rsidRPr="000D6942">
        <w:rPr>
          <w:szCs w:val="22"/>
        </w:rPr>
        <w:t>Neišmeskite šio lapelio, nes vėl gali prireikti jį perskaityti.</w:t>
      </w:r>
    </w:p>
    <w:p w14:paraId="60F72A56" w14:textId="77777777" w:rsidR="004C2CCC" w:rsidRPr="000D6942" w:rsidRDefault="004C2CCC" w:rsidP="00CF38FA">
      <w:pPr>
        <w:numPr>
          <w:ilvl w:val="0"/>
          <w:numId w:val="6"/>
        </w:numPr>
        <w:ind w:hanging="720"/>
        <w:rPr>
          <w:szCs w:val="22"/>
        </w:rPr>
      </w:pPr>
      <w:r w:rsidRPr="000D6942">
        <w:rPr>
          <w:szCs w:val="22"/>
        </w:rPr>
        <w:t>Jeigu kiltų daugiau klausimų, kreipkitės į gydytoją.</w:t>
      </w:r>
    </w:p>
    <w:p w14:paraId="051FFF16" w14:textId="77777777" w:rsidR="00CF38FA" w:rsidRPr="000D6942" w:rsidRDefault="004C2CCC" w:rsidP="00CF38FA">
      <w:pPr>
        <w:numPr>
          <w:ilvl w:val="0"/>
          <w:numId w:val="6"/>
        </w:numPr>
        <w:ind w:hanging="720"/>
        <w:rPr>
          <w:szCs w:val="22"/>
        </w:rPr>
      </w:pPr>
      <w:r w:rsidRPr="000D6942">
        <w:rPr>
          <w:szCs w:val="22"/>
        </w:rPr>
        <w:t>Jeigu pasireiškė šalutinis poveikis (net jeigu jis šiame lapelyje nenurodytas), kreipkitės į gydytoją. Žr. 4 skyrių.</w:t>
      </w:r>
    </w:p>
    <w:p w14:paraId="37899A4D" w14:textId="77777777" w:rsidR="004C2CCC" w:rsidRPr="000D6942" w:rsidRDefault="004C2CCC" w:rsidP="00CF38FA">
      <w:pPr>
        <w:rPr>
          <w:szCs w:val="22"/>
        </w:rPr>
      </w:pPr>
    </w:p>
    <w:p w14:paraId="34F1555D" w14:textId="77777777" w:rsidR="004C2CCC" w:rsidRPr="000D6942" w:rsidRDefault="004C2CCC" w:rsidP="00CF38FA">
      <w:pPr>
        <w:rPr>
          <w:szCs w:val="22"/>
        </w:rPr>
      </w:pPr>
    </w:p>
    <w:p w14:paraId="29649F03" w14:textId="77777777" w:rsidR="004C2CCC" w:rsidRPr="000D6942" w:rsidRDefault="004C2CCC" w:rsidP="00CF38FA">
      <w:pPr>
        <w:pStyle w:val="Antrat4"/>
        <w:spacing w:before="0" w:after="0"/>
        <w:rPr>
          <w:sz w:val="22"/>
          <w:szCs w:val="22"/>
        </w:rPr>
      </w:pPr>
      <w:r w:rsidRPr="000D6942">
        <w:rPr>
          <w:sz w:val="22"/>
          <w:szCs w:val="22"/>
        </w:rPr>
        <w:t>Apie ką rašoma šiame lapelyje?</w:t>
      </w:r>
    </w:p>
    <w:p w14:paraId="143501D8" w14:textId="77777777" w:rsidR="004C2CCC" w:rsidRPr="000D6942" w:rsidRDefault="004C2CCC" w:rsidP="00CF38FA">
      <w:pPr>
        <w:pStyle w:val="Pagrindinistekstas"/>
        <w:ind w:left="540" w:hanging="540"/>
        <w:rPr>
          <w:rFonts w:ascii="Times New Roman" w:hAnsi="Times New Roman"/>
          <w:i w:val="0"/>
          <w:sz w:val="22"/>
          <w:szCs w:val="22"/>
          <w:lang w:val="lt-LT"/>
        </w:rPr>
      </w:pPr>
      <w:r w:rsidRPr="000D6942">
        <w:rPr>
          <w:rFonts w:ascii="Times New Roman" w:hAnsi="Times New Roman"/>
          <w:i w:val="0"/>
          <w:sz w:val="22"/>
          <w:szCs w:val="22"/>
          <w:lang w:val="lt-LT"/>
        </w:rPr>
        <w:t>1.</w:t>
      </w:r>
      <w:r w:rsidRPr="000D6942">
        <w:rPr>
          <w:rFonts w:ascii="Times New Roman" w:hAnsi="Times New Roman"/>
          <w:i w:val="0"/>
          <w:sz w:val="22"/>
          <w:szCs w:val="22"/>
          <w:lang w:val="lt-LT"/>
        </w:rPr>
        <w:tab/>
        <w:t>Kas yra Ferinject ir kam jis vartojamas</w:t>
      </w:r>
    </w:p>
    <w:p w14:paraId="50948772" w14:textId="77777777" w:rsidR="004C2CCC" w:rsidRPr="000D6942" w:rsidRDefault="004C2CCC" w:rsidP="00CF38FA">
      <w:pPr>
        <w:ind w:left="540" w:hanging="540"/>
        <w:rPr>
          <w:szCs w:val="22"/>
        </w:rPr>
      </w:pPr>
      <w:r w:rsidRPr="000D6942">
        <w:rPr>
          <w:szCs w:val="22"/>
        </w:rPr>
        <w:t>2.</w:t>
      </w:r>
      <w:r w:rsidRPr="000D6942">
        <w:rPr>
          <w:szCs w:val="22"/>
        </w:rPr>
        <w:tab/>
        <w:t>Kas žinotina prieš vartojant Ferinject</w:t>
      </w:r>
    </w:p>
    <w:p w14:paraId="6D1D014B" w14:textId="77777777" w:rsidR="00CF38FA" w:rsidRPr="000D6942" w:rsidRDefault="004C2CCC" w:rsidP="00CF38FA">
      <w:pPr>
        <w:ind w:left="540" w:hanging="540"/>
        <w:rPr>
          <w:szCs w:val="22"/>
        </w:rPr>
      </w:pPr>
      <w:r w:rsidRPr="000D6942">
        <w:rPr>
          <w:szCs w:val="22"/>
        </w:rPr>
        <w:t>3.</w:t>
      </w:r>
      <w:r w:rsidRPr="000D6942">
        <w:rPr>
          <w:szCs w:val="22"/>
        </w:rPr>
        <w:tab/>
        <w:t>Kaip vartoti Ferinject</w:t>
      </w:r>
    </w:p>
    <w:p w14:paraId="0CC79522" w14:textId="77777777" w:rsidR="004C2CCC" w:rsidRPr="000D6942" w:rsidRDefault="004C2CCC" w:rsidP="00CF38FA">
      <w:pPr>
        <w:ind w:left="540" w:hanging="540"/>
        <w:rPr>
          <w:szCs w:val="22"/>
        </w:rPr>
      </w:pPr>
      <w:r w:rsidRPr="000D6942">
        <w:rPr>
          <w:szCs w:val="22"/>
        </w:rPr>
        <w:t>4.</w:t>
      </w:r>
      <w:r w:rsidRPr="000D6942">
        <w:rPr>
          <w:szCs w:val="22"/>
        </w:rPr>
        <w:tab/>
        <w:t>Galimas šalutinis poveikis</w:t>
      </w:r>
    </w:p>
    <w:p w14:paraId="5FB0E8A1" w14:textId="77777777" w:rsidR="004C2CCC" w:rsidRPr="000D6942" w:rsidRDefault="004C2CCC" w:rsidP="00CF38FA">
      <w:pPr>
        <w:numPr>
          <w:ilvl w:val="0"/>
          <w:numId w:val="7"/>
        </w:numPr>
        <w:tabs>
          <w:tab w:val="clear" w:pos="2880"/>
          <w:tab w:val="num" w:pos="0"/>
        </w:tabs>
        <w:ind w:left="540" w:hanging="540"/>
        <w:rPr>
          <w:szCs w:val="22"/>
        </w:rPr>
      </w:pPr>
      <w:r w:rsidRPr="000D6942">
        <w:rPr>
          <w:szCs w:val="22"/>
        </w:rPr>
        <w:t>Kaip laikyti Ferinject</w:t>
      </w:r>
    </w:p>
    <w:p w14:paraId="20D959EF" w14:textId="77777777" w:rsidR="004C2CCC" w:rsidRPr="000D6942" w:rsidRDefault="004C2CCC" w:rsidP="00CF38FA">
      <w:pPr>
        <w:numPr>
          <w:ilvl w:val="0"/>
          <w:numId w:val="7"/>
        </w:numPr>
        <w:tabs>
          <w:tab w:val="clear" w:pos="2880"/>
          <w:tab w:val="num" w:pos="0"/>
        </w:tabs>
        <w:ind w:left="540" w:hanging="540"/>
        <w:rPr>
          <w:szCs w:val="22"/>
        </w:rPr>
      </w:pPr>
      <w:r w:rsidRPr="000D6942">
        <w:rPr>
          <w:szCs w:val="22"/>
        </w:rPr>
        <w:t>Pakuotės turinys ir kita informacija</w:t>
      </w:r>
    </w:p>
    <w:p w14:paraId="4D5BD973" w14:textId="77777777" w:rsidR="004C2CCC" w:rsidRPr="000D6942" w:rsidRDefault="004C2CCC" w:rsidP="00CF38FA">
      <w:pPr>
        <w:rPr>
          <w:szCs w:val="22"/>
        </w:rPr>
      </w:pPr>
    </w:p>
    <w:p w14:paraId="57B1F062" w14:textId="77777777" w:rsidR="004C2CCC" w:rsidRPr="000D6942" w:rsidRDefault="004C2CCC" w:rsidP="0087234B">
      <w:pPr>
        <w:ind w:left="567" w:hanging="567"/>
        <w:rPr>
          <w:szCs w:val="22"/>
        </w:rPr>
      </w:pPr>
    </w:p>
    <w:p w14:paraId="605FD71C" w14:textId="77777777" w:rsidR="00CF38FA" w:rsidRPr="000D6942" w:rsidRDefault="004C2CCC" w:rsidP="0087234B">
      <w:pPr>
        <w:ind w:left="567" w:hanging="567"/>
        <w:rPr>
          <w:b/>
          <w:szCs w:val="22"/>
        </w:rPr>
      </w:pPr>
      <w:r w:rsidRPr="000D6942">
        <w:rPr>
          <w:b/>
          <w:szCs w:val="22"/>
        </w:rPr>
        <w:t>1.</w:t>
      </w:r>
      <w:r w:rsidRPr="000D6942">
        <w:rPr>
          <w:b/>
          <w:szCs w:val="22"/>
        </w:rPr>
        <w:tab/>
        <w:t>Kas yra Ferinject ir kam jis vartojamas</w:t>
      </w:r>
    </w:p>
    <w:p w14:paraId="57CC4282" w14:textId="77777777" w:rsidR="004C2CCC" w:rsidRPr="000D6942" w:rsidRDefault="004C2CCC" w:rsidP="0087234B">
      <w:pPr>
        <w:ind w:left="567" w:hanging="567"/>
        <w:rPr>
          <w:szCs w:val="22"/>
        </w:rPr>
      </w:pPr>
    </w:p>
    <w:p w14:paraId="5220604C" w14:textId="77777777" w:rsidR="004C2CCC" w:rsidRPr="000D6942" w:rsidRDefault="004C2CCC" w:rsidP="0087234B">
      <w:pPr>
        <w:pStyle w:val="Pagrindinistekstas"/>
        <w:rPr>
          <w:rFonts w:ascii="Times New Roman" w:hAnsi="Times New Roman"/>
          <w:i w:val="0"/>
          <w:sz w:val="22"/>
          <w:szCs w:val="22"/>
          <w:lang w:val="lt-LT"/>
        </w:rPr>
      </w:pPr>
      <w:r w:rsidRPr="000D6942">
        <w:rPr>
          <w:rFonts w:ascii="Times New Roman" w:hAnsi="Times New Roman"/>
          <w:i w:val="0"/>
          <w:sz w:val="22"/>
          <w:szCs w:val="22"/>
          <w:lang w:val="lt-LT"/>
        </w:rPr>
        <w:t>Ferinject yra antianeminis preparatas, t. y., vaistinis preparatas, skirtas mažakraujystei gydyti. Jo sudėtyje yra geležies (geležies angliavandenio forma). Geležis yra būtinas elementas, reikalingas raudonuosiuose kraujo kūneliuose esančiam hemoglobinui pernešti deguonį, ir mioglobinui, esančiam raumenyse. Geležis taip pat dalyvauja daugelyje kitų gyvybinių žmogaus organizmo funkcijų.</w:t>
      </w:r>
    </w:p>
    <w:p w14:paraId="3F1B331A" w14:textId="77777777" w:rsidR="004C2CCC" w:rsidRPr="000D6942" w:rsidRDefault="004C2CCC" w:rsidP="0087234B">
      <w:pPr>
        <w:pStyle w:val="Antrat9"/>
        <w:keepNext w:val="0"/>
        <w:jc w:val="left"/>
        <w:rPr>
          <w:color w:val="auto"/>
          <w:sz w:val="22"/>
          <w:szCs w:val="22"/>
          <w:lang w:val="lt-LT"/>
        </w:rPr>
      </w:pPr>
      <w:r w:rsidRPr="000D6942">
        <w:rPr>
          <w:color w:val="auto"/>
          <w:sz w:val="22"/>
          <w:szCs w:val="22"/>
          <w:lang w:val="lt-LT"/>
        </w:rPr>
        <w:t>Ferinject yra naudojamas pacientams, kuriems trūksta geležies, gydyti, kai geriamieji geležies preparatai nėra veiksmingi arba jų negalima vartoti. Gydymo tikslas – papildyti organizmo geležies atsargas ir pašalinti anemiją, raudonųjų kraujo kūnelių trūkumą dėl geležies stokos.</w:t>
      </w:r>
    </w:p>
    <w:p w14:paraId="11845114" w14:textId="77777777" w:rsidR="004C2CCC" w:rsidRPr="000D6942" w:rsidRDefault="004C2CCC" w:rsidP="0087234B">
      <w:pPr>
        <w:pStyle w:val="Pagrindinistekstas"/>
        <w:ind w:left="567" w:hanging="567"/>
        <w:rPr>
          <w:rFonts w:ascii="Times New Roman" w:hAnsi="Times New Roman"/>
          <w:i w:val="0"/>
          <w:sz w:val="22"/>
          <w:szCs w:val="22"/>
          <w:lang w:val="lt-LT"/>
        </w:rPr>
      </w:pPr>
    </w:p>
    <w:p w14:paraId="1C271D92" w14:textId="77777777" w:rsidR="004C2CCC" w:rsidRPr="000D6942" w:rsidRDefault="004C2CCC" w:rsidP="0087234B">
      <w:pPr>
        <w:pStyle w:val="Pagrindinistekstas"/>
        <w:ind w:left="567" w:hanging="567"/>
        <w:rPr>
          <w:rFonts w:ascii="Times New Roman" w:hAnsi="Times New Roman"/>
          <w:i w:val="0"/>
          <w:sz w:val="22"/>
          <w:szCs w:val="22"/>
          <w:lang w:val="lt-LT"/>
        </w:rPr>
      </w:pPr>
      <w:r w:rsidRPr="000D6942">
        <w:rPr>
          <w:rFonts w:ascii="Times New Roman" w:hAnsi="Times New Roman"/>
          <w:i w:val="0"/>
          <w:sz w:val="22"/>
          <w:szCs w:val="22"/>
          <w:lang w:val="lt-LT"/>
        </w:rPr>
        <w:t xml:space="preserve">Prieš vartojant gydytojas atliks kraujo tyrimą, kad </w:t>
      </w:r>
      <w:r w:rsidRPr="000D6942">
        <w:rPr>
          <w:rFonts w:ascii="Times New Roman" w:hAnsi="Times New Roman"/>
          <w:i w:val="0"/>
          <w:iCs w:val="0"/>
          <w:sz w:val="22"/>
          <w:szCs w:val="22"/>
          <w:lang w:val="lt-LT"/>
        </w:rPr>
        <w:t>nustatytų</w:t>
      </w:r>
      <w:r w:rsidRPr="000D6942">
        <w:rPr>
          <w:rFonts w:ascii="Times New Roman" w:hAnsi="Times New Roman"/>
          <w:i w:val="0"/>
          <w:sz w:val="22"/>
          <w:szCs w:val="22"/>
          <w:lang w:val="lt-LT"/>
        </w:rPr>
        <w:t xml:space="preserve"> jums reikalingą Ferinject dozę.</w:t>
      </w:r>
    </w:p>
    <w:p w14:paraId="23A63173" w14:textId="77777777" w:rsidR="004C2CCC" w:rsidRPr="000D6942" w:rsidRDefault="004C2CCC" w:rsidP="0087234B">
      <w:pPr>
        <w:pStyle w:val="NormalRight-0cm"/>
        <w:spacing w:line="240" w:lineRule="auto"/>
        <w:rPr>
          <w:b w:val="0"/>
          <w:color w:val="auto"/>
        </w:rPr>
      </w:pPr>
    </w:p>
    <w:p w14:paraId="39C3C03A" w14:textId="77777777" w:rsidR="004C2CCC" w:rsidRPr="000D6942" w:rsidRDefault="004C2CCC" w:rsidP="0087234B">
      <w:pPr>
        <w:pStyle w:val="NormalRight-0cm"/>
        <w:spacing w:line="240" w:lineRule="auto"/>
        <w:rPr>
          <w:b w:val="0"/>
          <w:color w:val="auto"/>
        </w:rPr>
      </w:pPr>
    </w:p>
    <w:p w14:paraId="25B2346F" w14:textId="77777777" w:rsidR="00CF38FA" w:rsidRPr="000D6942" w:rsidRDefault="004C2CCC" w:rsidP="0087234B">
      <w:pPr>
        <w:pStyle w:val="NormalRight-0cm"/>
        <w:spacing w:line="240" w:lineRule="auto"/>
        <w:rPr>
          <w:color w:val="auto"/>
        </w:rPr>
      </w:pPr>
      <w:r w:rsidRPr="000D6942">
        <w:rPr>
          <w:color w:val="auto"/>
        </w:rPr>
        <w:t>2.</w:t>
      </w:r>
      <w:r w:rsidRPr="000D6942">
        <w:rPr>
          <w:color w:val="auto"/>
        </w:rPr>
        <w:tab/>
        <w:t>Kas žinotina prieš vartojant Ferinject</w:t>
      </w:r>
    </w:p>
    <w:p w14:paraId="4092451D" w14:textId="77777777" w:rsidR="004C2CCC" w:rsidRPr="000D6942" w:rsidRDefault="004C2CCC" w:rsidP="0087234B">
      <w:pPr>
        <w:pStyle w:val="NormalRight-0cm"/>
        <w:spacing w:line="240" w:lineRule="auto"/>
        <w:rPr>
          <w:b w:val="0"/>
          <w:color w:val="auto"/>
        </w:rPr>
      </w:pPr>
    </w:p>
    <w:p w14:paraId="46724B9E" w14:textId="77777777" w:rsidR="004C2CCC" w:rsidRPr="000D6942" w:rsidRDefault="004C2CCC" w:rsidP="0087234B">
      <w:pPr>
        <w:pStyle w:val="NormalRight-0cm"/>
        <w:spacing w:line="240" w:lineRule="auto"/>
        <w:rPr>
          <w:color w:val="auto"/>
        </w:rPr>
      </w:pPr>
      <w:r w:rsidRPr="000D6942">
        <w:rPr>
          <w:color w:val="auto"/>
        </w:rPr>
        <w:t>Ferinject vartoti negalima</w:t>
      </w:r>
    </w:p>
    <w:p w14:paraId="29CBBD53" w14:textId="56DBB732" w:rsidR="004C2CCC" w:rsidRPr="000D6942" w:rsidRDefault="004C2CCC" w:rsidP="0087234B">
      <w:pPr>
        <w:pStyle w:val="NormalRight-0cm"/>
        <w:spacing w:line="240" w:lineRule="auto"/>
        <w:rPr>
          <w:b w:val="0"/>
          <w:color w:val="auto"/>
        </w:rPr>
      </w:pPr>
      <w:r w:rsidRPr="000D6942">
        <w:rPr>
          <w:b w:val="0"/>
          <w:color w:val="auto"/>
        </w:rPr>
        <w:t>-</w:t>
      </w:r>
      <w:r w:rsidRPr="000D6942">
        <w:rPr>
          <w:b w:val="0"/>
          <w:color w:val="auto"/>
        </w:rPr>
        <w:tab/>
        <w:t xml:space="preserve">jeigu yra alergija (padidėjęs jautrumas) </w:t>
      </w:r>
      <w:r w:rsidR="003C4369" w:rsidRPr="000D6942">
        <w:rPr>
          <w:b w:val="0"/>
          <w:color w:val="auto"/>
        </w:rPr>
        <w:t>geležies karboksimaltoz</w:t>
      </w:r>
      <w:r w:rsidR="003C4369">
        <w:rPr>
          <w:b w:val="0"/>
          <w:color w:val="auto"/>
        </w:rPr>
        <w:t>ei</w:t>
      </w:r>
      <w:r w:rsidR="00F77311" w:rsidRPr="00AF288D">
        <w:rPr>
          <w:b w:val="0"/>
          <w:color w:val="auto"/>
        </w:rPr>
        <w:t xml:space="preserve"> </w:t>
      </w:r>
      <w:r w:rsidRPr="000D6942">
        <w:rPr>
          <w:rFonts w:eastAsia="SimSun"/>
          <w:b w:val="0"/>
        </w:rPr>
        <w:t>ar bet kuriai pagalbinei šio vaisto</w:t>
      </w:r>
      <w:r w:rsidRPr="000D6942">
        <w:rPr>
          <w:rFonts w:eastAsia="SimSun"/>
        </w:rPr>
        <w:t xml:space="preserve"> </w:t>
      </w:r>
      <w:r w:rsidRPr="000D6942">
        <w:rPr>
          <w:b w:val="0"/>
          <w:color w:val="auto"/>
        </w:rPr>
        <w:t>medžiagai (jos išvardytos 6 skyriuje);</w:t>
      </w:r>
    </w:p>
    <w:p w14:paraId="082AD33A" w14:textId="77777777" w:rsidR="004C2CCC" w:rsidRPr="000D6942" w:rsidRDefault="004C2CCC" w:rsidP="0087234B">
      <w:pPr>
        <w:pStyle w:val="NormalRight-0cm"/>
        <w:spacing w:line="240" w:lineRule="auto"/>
        <w:rPr>
          <w:rFonts w:eastAsia="SimSun"/>
          <w:b w:val="0"/>
        </w:rPr>
      </w:pPr>
      <w:r w:rsidRPr="000D6942">
        <w:rPr>
          <w:rFonts w:eastAsia="SimSun"/>
        </w:rPr>
        <w:t>-</w:t>
      </w:r>
      <w:r w:rsidR="00CF38FA" w:rsidRPr="000D6942">
        <w:rPr>
          <w:rFonts w:eastAsia="SimSun"/>
        </w:rPr>
        <w:t xml:space="preserve"> </w:t>
      </w:r>
      <w:r w:rsidR="00CF38FA" w:rsidRPr="000D6942">
        <w:rPr>
          <w:rFonts w:eastAsia="SimSun"/>
          <w:b w:val="0"/>
        </w:rPr>
        <w:t>j</w:t>
      </w:r>
      <w:r w:rsidRPr="000D6942">
        <w:rPr>
          <w:rFonts w:eastAsia="SimSun"/>
          <w:b w:val="0"/>
        </w:rPr>
        <w:t>eigu yra pasireiškusi sunki alerginė (padidėjusio jautrumo) reakcija kitiems leidžiamiesiems geležies preparatams;.</w:t>
      </w:r>
    </w:p>
    <w:p w14:paraId="6DF602C7" w14:textId="77777777" w:rsidR="004C2CCC" w:rsidRPr="000D6942" w:rsidRDefault="004C2CCC" w:rsidP="0087234B">
      <w:pPr>
        <w:pStyle w:val="NormalRight-0cm"/>
        <w:spacing w:line="240" w:lineRule="auto"/>
        <w:rPr>
          <w:b w:val="0"/>
          <w:color w:val="auto"/>
        </w:rPr>
      </w:pPr>
      <w:r w:rsidRPr="000D6942">
        <w:rPr>
          <w:b w:val="0"/>
          <w:color w:val="auto"/>
        </w:rPr>
        <w:t>-</w:t>
      </w:r>
      <w:r w:rsidRPr="000D6942">
        <w:rPr>
          <w:b w:val="0"/>
          <w:color w:val="auto"/>
        </w:rPr>
        <w:tab/>
        <w:t xml:space="preserve">jeigu yra anemija, sukelta </w:t>
      </w:r>
      <w:r w:rsidRPr="000D6942">
        <w:rPr>
          <w:color w:val="auto"/>
          <w:u w:val="single"/>
        </w:rPr>
        <w:t>ne</w:t>
      </w:r>
      <w:r w:rsidRPr="000D6942">
        <w:rPr>
          <w:b w:val="0"/>
          <w:color w:val="auto"/>
        </w:rPr>
        <w:t xml:space="preserve"> geležies trūkumo;</w:t>
      </w:r>
    </w:p>
    <w:p w14:paraId="11D57AAA" w14:textId="77777777" w:rsidR="004C2CCC" w:rsidRPr="000D6942" w:rsidRDefault="004C2CCC" w:rsidP="0087234B">
      <w:pPr>
        <w:pStyle w:val="NormalRight-0cm"/>
        <w:spacing w:line="240" w:lineRule="auto"/>
        <w:rPr>
          <w:b w:val="0"/>
          <w:color w:val="auto"/>
        </w:rPr>
      </w:pPr>
      <w:r w:rsidRPr="000D6942">
        <w:rPr>
          <w:b w:val="0"/>
          <w:color w:val="auto"/>
        </w:rPr>
        <w:t>-</w:t>
      </w:r>
      <w:r w:rsidRPr="000D6942">
        <w:rPr>
          <w:b w:val="0"/>
          <w:color w:val="auto"/>
        </w:rPr>
        <w:tab/>
        <w:t>jeigu yra geležies perteklius (per daug geležies jūsų organizme) arba sutrikęs geležies pasisavinimas.</w:t>
      </w:r>
    </w:p>
    <w:p w14:paraId="45CF94AA" w14:textId="77777777" w:rsidR="004C2CCC" w:rsidRPr="000D6942" w:rsidRDefault="004C2CCC" w:rsidP="0087234B">
      <w:pPr>
        <w:pStyle w:val="NormalRight-0cm"/>
        <w:spacing w:line="240" w:lineRule="auto"/>
        <w:rPr>
          <w:b w:val="0"/>
          <w:color w:val="auto"/>
        </w:rPr>
      </w:pPr>
    </w:p>
    <w:p w14:paraId="47870D7B" w14:textId="77777777" w:rsidR="004C2CCC" w:rsidRPr="000D6942" w:rsidRDefault="004C2CCC" w:rsidP="0087234B">
      <w:pPr>
        <w:pStyle w:val="NormalRight-0cm"/>
        <w:spacing w:line="240" w:lineRule="auto"/>
        <w:rPr>
          <w:color w:val="auto"/>
        </w:rPr>
      </w:pPr>
      <w:r w:rsidRPr="000D6942">
        <w:t>Įspėjimai ir atsargumo priemonės</w:t>
      </w:r>
    </w:p>
    <w:p w14:paraId="231D0BB7" w14:textId="77777777" w:rsidR="004C2CCC" w:rsidRPr="000D6942" w:rsidRDefault="004C2CCC" w:rsidP="0087234B">
      <w:pPr>
        <w:pStyle w:val="NormalRight-0cm"/>
        <w:spacing w:line="240" w:lineRule="auto"/>
        <w:rPr>
          <w:b w:val="0"/>
          <w:color w:val="auto"/>
        </w:rPr>
      </w:pPr>
    </w:p>
    <w:p w14:paraId="2C5731C4" w14:textId="77777777" w:rsidR="004C2CCC" w:rsidRPr="000D6942" w:rsidRDefault="00CF38FA" w:rsidP="0087234B">
      <w:pPr>
        <w:pStyle w:val="NormalRight-0cm"/>
        <w:spacing w:line="240" w:lineRule="auto"/>
        <w:rPr>
          <w:b w:val="0"/>
          <w:color w:val="auto"/>
        </w:rPr>
      </w:pPr>
      <w:r w:rsidRPr="000D6942">
        <w:rPr>
          <w:rFonts w:eastAsia="SimSun"/>
          <w:b w:val="0"/>
        </w:rPr>
        <w:t>P</w:t>
      </w:r>
      <w:r w:rsidR="004C2CCC" w:rsidRPr="000D6942">
        <w:rPr>
          <w:rFonts w:eastAsia="SimSun"/>
          <w:b w:val="0"/>
        </w:rPr>
        <w:t xml:space="preserve">asitarkite su gydytoju arba slaugytoja prieš pradėdami vartoti </w:t>
      </w:r>
      <w:r w:rsidR="004C2CCC" w:rsidRPr="000D6942">
        <w:rPr>
          <w:b w:val="0"/>
          <w:color w:val="auto"/>
        </w:rPr>
        <w:t>Ferinject:</w:t>
      </w:r>
    </w:p>
    <w:p w14:paraId="281CEE37" w14:textId="77777777" w:rsidR="004C2CCC" w:rsidRPr="000D6942" w:rsidRDefault="00CF38FA" w:rsidP="0087234B">
      <w:pPr>
        <w:pStyle w:val="NormalRight-0cm"/>
        <w:numPr>
          <w:ilvl w:val="0"/>
          <w:numId w:val="17"/>
        </w:numPr>
        <w:spacing w:line="240" w:lineRule="auto"/>
        <w:ind w:left="567" w:hanging="567"/>
        <w:rPr>
          <w:b w:val="0"/>
          <w:color w:val="auto"/>
        </w:rPr>
      </w:pPr>
      <w:r w:rsidRPr="000D6942">
        <w:rPr>
          <w:rFonts w:eastAsia="SimSun"/>
          <w:b w:val="0"/>
        </w:rPr>
        <w:t>j</w:t>
      </w:r>
      <w:r w:rsidR="004C2CCC" w:rsidRPr="000D6942">
        <w:rPr>
          <w:rFonts w:eastAsia="SimSun"/>
          <w:b w:val="0"/>
        </w:rPr>
        <w:t>eigu yra pasireiškusi alergija vaistams;</w:t>
      </w:r>
    </w:p>
    <w:p w14:paraId="78EB8ECA" w14:textId="77777777" w:rsidR="004C2CCC" w:rsidRPr="000D6942" w:rsidRDefault="00CF38FA" w:rsidP="0087234B">
      <w:pPr>
        <w:numPr>
          <w:ilvl w:val="0"/>
          <w:numId w:val="17"/>
        </w:numPr>
        <w:ind w:left="567" w:right="73" w:hanging="567"/>
        <w:rPr>
          <w:rFonts w:eastAsia="SimSun"/>
          <w:szCs w:val="22"/>
        </w:rPr>
      </w:pPr>
      <w:r w:rsidRPr="000D6942">
        <w:rPr>
          <w:rFonts w:eastAsia="SimSun"/>
          <w:szCs w:val="22"/>
        </w:rPr>
        <w:t>j</w:t>
      </w:r>
      <w:r w:rsidR="004C2CCC" w:rsidRPr="000D6942">
        <w:rPr>
          <w:rFonts w:eastAsia="SimSun"/>
          <w:szCs w:val="22"/>
        </w:rPr>
        <w:t>eigu sergate sistemine raudonąja vilklige;</w:t>
      </w:r>
    </w:p>
    <w:p w14:paraId="7FD1E147" w14:textId="77777777" w:rsidR="004C2CCC" w:rsidRPr="000D6942" w:rsidRDefault="00CF38FA" w:rsidP="0087234B">
      <w:pPr>
        <w:numPr>
          <w:ilvl w:val="0"/>
          <w:numId w:val="17"/>
        </w:numPr>
        <w:ind w:left="567" w:right="73" w:hanging="567"/>
        <w:rPr>
          <w:rFonts w:eastAsia="SimSun"/>
          <w:szCs w:val="22"/>
        </w:rPr>
      </w:pPr>
      <w:r w:rsidRPr="000D6942">
        <w:rPr>
          <w:rFonts w:eastAsia="SimSun"/>
          <w:szCs w:val="22"/>
        </w:rPr>
        <w:t>j</w:t>
      </w:r>
      <w:r w:rsidR="004C2CCC" w:rsidRPr="000D6942">
        <w:rPr>
          <w:rFonts w:eastAsia="SimSun"/>
          <w:szCs w:val="22"/>
        </w:rPr>
        <w:t>eigu sergate reumatoidiniu artritu;</w:t>
      </w:r>
    </w:p>
    <w:p w14:paraId="31BC5169" w14:textId="77777777" w:rsidR="004C2CCC" w:rsidRPr="000D6942" w:rsidRDefault="00CF38FA" w:rsidP="0087234B">
      <w:pPr>
        <w:numPr>
          <w:ilvl w:val="0"/>
          <w:numId w:val="17"/>
        </w:numPr>
        <w:ind w:left="567" w:right="73" w:hanging="567"/>
        <w:rPr>
          <w:rFonts w:eastAsia="SimSun"/>
          <w:szCs w:val="22"/>
        </w:rPr>
      </w:pPr>
      <w:r w:rsidRPr="000D6942">
        <w:rPr>
          <w:rFonts w:eastAsia="SimSun"/>
          <w:szCs w:val="22"/>
        </w:rPr>
        <w:t>j</w:t>
      </w:r>
      <w:r w:rsidR="004C2CCC" w:rsidRPr="000D6942">
        <w:rPr>
          <w:rFonts w:eastAsia="SimSun"/>
          <w:szCs w:val="22"/>
        </w:rPr>
        <w:t>eigu sergate sunkios formos astma, egzema ar kitomis alergijomis.</w:t>
      </w:r>
    </w:p>
    <w:p w14:paraId="208C0349" w14:textId="77777777" w:rsidR="004C2CCC" w:rsidRPr="000D6942" w:rsidRDefault="004C2CCC" w:rsidP="0087234B">
      <w:pPr>
        <w:pStyle w:val="NormalRight-0cm"/>
        <w:numPr>
          <w:ilvl w:val="0"/>
          <w:numId w:val="17"/>
        </w:numPr>
        <w:spacing w:line="240" w:lineRule="auto"/>
        <w:ind w:left="567" w:hanging="567"/>
        <w:rPr>
          <w:b w:val="0"/>
          <w:color w:val="auto"/>
        </w:rPr>
      </w:pPr>
      <w:r w:rsidRPr="000D6942">
        <w:rPr>
          <w:b w:val="0"/>
          <w:color w:val="auto"/>
        </w:rPr>
        <w:t>jeigu sergate infekcija;</w:t>
      </w:r>
    </w:p>
    <w:p w14:paraId="6773DC2D" w14:textId="460FD061" w:rsidR="003C4369" w:rsidRDefault="00CF38FA" w:rsidP="007D64C0">
      <w:pPr>
        <w:pStyle w:val="NormalRight-0cm"/>
        <w:numPr>
          <w:ilvl w:val="0"/>
          <w:numId w:val="17"/>
        </w:numPr>
        <w:spacing w:line="240" w:lineRule="auto"/>
        <w:ind w:left="567" w:hanging="567"/>
        <w:rPr>
          <w:b w:val="0"/>
          <w:color w:val="auto"/>
        </w:rPr>
      </w:pPr>
      <w:r w:rsidRPr="000D6942">
        <w:rPr>
          <w:b w:val="0"/>
          <w:color w:val="auto"/>
        </w:rPr>
        <w:t>j</w:t>
      </w:r>
      <w:r w:rsidR="004C2CCC" w:rsidRPr="000D6942">
        <w:rPr>
          <w:b w:val="0"/>
          <w:color w:val="auto"/>
        </w:rPr>
        <w:t>eigu sutrikusi kepenų veikla</w:t>
      </w:r>
      <w:r w:rsidR="003C4369">
        <w:rPr>
          <w:b w:val="0"/>
          <w:color w:val="auto"/>
        </w:rPr>
        <w:t>;</w:t>
      </w:r>
    </w:p>
    <w:p w14:paraId="3666CEB4" w14:textId="40068682" w:rsidR="004C2CCC" w:rsidRPr="000D6942" w:rsidRDefault="003C4369" w:rsidP="007D64C0">
      <w:pPr>
        <w:pStyle w:val="NormalRight-0cm"/>
        <w:numPr>
          <w:ilvl w:val="0"/>
          <w:numId w:val="17"/>
        </w:numPr>
        <w:spacing w:line="240" w:lineRule="auto"/>
        <w:ind w:left="567" w:hanging="567"/>
        <w:rPr>
          <w:b w:val="0"/>
          <w:color w:val="auto"/>
        </w:rPr>
      </w:pPr>
      <w:r>
        <w:rPr>
          <w:b w:val="0"/>
          <w:color w:val="auto"/>
        </w:rPr>
        <w:t>jeigu dabar arba anksčiau buvo nustatytas mažas fosfatų kiekis kraujyje</w:t>
      </w:r>
      <w:r w:rsidR="007D64C0" w:rsidRPr="000D6942">
        <w:rPr>
          <w:b w:val="0"/>
          <w:color w:val="auto"/>
        </w:rPr>
        <w:t>.</w:t>
      </w:r>
    </w:p>
    <w:p w14:paraId="2114984C" w14:textId="77777777" w:rsidR="00193342" w:rsidRPr="000D6942" w:rsidRDefault="00193342" w:rsidP="0096449E">
      <w:pPr>
        <w:pStyle w:val="NormalRight-0cm"/>
        <w:spacing w:line="240" w:lineRule="auto"/>
        <w:ind w:left="0" w:firstLine="0"/>
        <w:rPr>
          <w:b w:val="0"/>
          <w:color w:val="auto"/>
        </w:rPr>
      </w:pPr>
    </w:p>
    <w:p w14:paraId="2E236B56" w14:textId="4C3FBB96" w:rsidR="00193342" w:rsidRPr="000D6942" w:rsidRDefault="004C2CCC" w:rsidP="002A0D89">
      <w:pPr>
        <w:pStyle w:val="NormalRight-0cm"/>
        <w:spacing w:line="240" w:lineRule="auto"/>
        <w:ind w:left="0" w:firstLine="0"/>
        <w:rPr>
          <w:b w:val="0"/>
          <w:color w:val="auto"/>
        </w:rPr>
      </w:pPr>
      <w:r w:rsidRPr="000D6942">
        <w:rPr>
          <w:b w:val="0"/>
          <w:color w:val="auto"/>
        </w:rPr>
        <w:t>Ferinject negalima skirti vaikams, jaunesniems nei 14 metų</w:t>
      </w:r>
      <w:r w:rsidR="00470DB9" w:rsidRPr="000D6942">
        <w:rPr>
          <w:b w:val="0"/>
          <w:color w:val="auto"/>
        </w:rPr>
        <w:t>.</w:t>
      </w:r>
    </w:p>
    <w:p w14:paraId="1FD97FE9" w14:textId="66277B7C" w:rsidR="00193342" w:rsidRPr="000D6942" w:rsidRDefault="00470DB9" w:rsidP="002A0D89">
      <w:pPr>
        <w:pStyle w:val="NormalRight-0cm"/>
        <w:spacing w:line="240" w:lineRule="auto"/>
        <w:ind w:left="0" w:firstLine="0"/>
        <w:rPr>
          <w:b w:val="0"/>
          <w:color w:val="auto"/>
        </w:rPr>
      </w:pPr>
      <w:r w:rsidRPr="000D6942">
        <w:rPr>
          <w:b w:val="0"/>
          <w:color w:val="auto"/>
        </w:rPr>
        <w:t>N</w:t>
      </w:r>
      <w:r w:rsidR="004C2CCC" w:rsidRPr="000D6942">
        <w:rPr>
          <w:b w:val="0"/>
          <w:color w:val="auto"/>
        </w:rPr>
        <w:t xml:space="preserve">eteisingai leidžiant Ferinject, preparato gali ištekėti </w:t>
      </w:r>
      <w:r w:rsidR="00DF2024">
        <w:rPr>
          <w:b w:val="0"/>
          <w:color w:val="auto"/>
        </w:rPr>
        <w:t xml:space="preserve">vartojimo </w:t>
      </w:r>
      <w:r w:rsidR="004C2CCC" w:rsidRPr="000D6942">
        <w:rPr>
          <w:b w:val="0"/>
          <w:color w:val="auto"/>
        </w:rPr>
        <w:t xml:space="preserve">vietoje ir sukelti odos sudirginimą bei gali atsirasti ilgai išliekanti ruda dėmė </w:t>
      </w:r>
      <w:r w:rsidR="00F77311">
        <w:rPr>
          <w:b w:val="0"/>
          <w:color w:val="auto"/>
        </w:rPr>
        <w:t>vartojimo</w:t>
      </w:r>
      <w:r w:rsidR="004C2CCC" w:rsidRPr="000D6942">
        <w:rPr>
          <w:b w:val="0"/>
          <w:color w:val="auto"/>
        </w:rPr>
        <w:t xml:space="preserve"> vietoje. Jei taip įvyksta, reikia tuoj pat nutraukti vaisto leidimą.</w:t>
      </w:r>
    </w:p>
    <w:p w14:paraId="760CD3ED" w14:textId="77777777" w:rsidR="004C2CCC" w:rsidRPr="000D6942" w:rsidRDefault="004C2CCC" w:rsidP="0087234B">
      <w:pPr>
        <w:pStyle w:val="NormalRight-0cm"/>
        <w:spacing w:line="240" w:lineRule="auto"/>
        <w:rPr>
          <w:b w:val="0"/>
          <w:color w:val="auto"/>
        </w:rPr>
      </w:pPr>
    </w:p>
    <w:p w14:paraId="652B1379" w14:textId="77777777" w:rsidR="00CF38FA" w:rsidRPr="000D6942" w:rsidRDefault="004C2CCC" w:rsidP="0087234B">
      <w:pPr>
        <w:pStyle w:val="NormalRight-0cm"/>
        <w:spacing w:line="240" w:lineRule="auto"/>
        <w:rPr>
          <w:rFonts w:eastAsia="SimSun"/>
          <w:bCs w:val="0"/>
        </w:rPr>
      </w:pPr>
      <w:r w:rsidRPr="000D6942">
        <w:rPr>
          <w:rFonts w:eastAsia="SimSun"/>
          <w:bCs w:val="0"/>
        </w:rPr>
        <w:t>Kaip vartoti Ferinject</w:t>
      </w:r>
    </w:p>
    <w:p w14:paraId="4096E3D8" w14:textId="0331303F" w:rsidR="004C2CCC" w:rsidRPr="000D6942" w:rsidRDefault="004C2CCC" w:rsidP="007606E8">
      <w:pPr>
        <w:pStyle w:val="NormalRight-0cm"/>
        <w:spacing w:line="240" w:lineRule="auto"/>
        <w:rPr>
          <w:rFonts w:eastAsia="SimSun"/>
          <w:b w:val="0"/>
        </w:rPr>
      </w:pPr>
      <w:r w:rsidRPr="000D6942">
        <w:rPr>
          <w:rFonts w:eastAsia="SimSun"/>
          <w:b w:val="0"/>
        </w:rPr>
        <w:t>Gydytojas arba slaugytoja paskirs vartoti Ferinject nepraskiestą injekcija, dializės metu</w:t>
      </w:r>
      <w:r w:rsidR="007606E8" w:rsidRPr="000D6942">
        <w:rPr>
          <w:rFonts w:eastAsia="SimSun"/>
          <w:b w:val="0"/>
        </w:rPr>
        <w:t xml:space="preserve"> </w:t>
      </w:r>
      <w:r w:rsidRPr="000D6942">
        <w:rPr>
          <w:rFonts w:eastAsia="SimSun"/>
          <w:b w:val="0"/>
        </w:rPr>
        <w:t>arba praskiestą infuzija. Ferinject bus leidžiamas aplinkoje, kurioje bus</w:t>
      </w:r>
      <w:r w:rsidR="007606E8" w:rsidRPr="000D6942">
        <w:rPr>
          <w:rFonts w:eastAsia="SimSun"/>
          <w:b w:val="0"/>
        </w:rPr>
        <w:t xml:space="preserve"> </w:t>
      </w:r>
      <w:r w:rsidRPr="000D6942">
        <w:rPr>
          <w:rFonts w:eastAsia="SimSun"/>
          <w:b w:val="0"/>
        </w:rPr>
        <w:t>prieinama tinkama skubi pagalba imuninių-alerginių reiškinių atveju.</w:t>
      </w:r>
    </w:p>
    <w:p w14:paraId="77AFBBF8" w14:textId="77777777" w:rsidR="004C2CCC" w:rsidRPr="000D6942" w:rsidRDefault="004C2CCC" w:rsidP="0087234B">
      <w:pPr>
        <w:pStyle w:val="NormalRight-0cm"/>
        <w:spacing w:line="240" w:lineRule="auto"/>
        <w:rPr>
          <w:rFonts w:eastAsia="SimSun"/>
        </w:rPr>
      </w:pPr>
    </w:p>
    <w:p w14:paraId="2BCB0584" w14:textId="77777777" w:rsidR="004C2CCC" w:rsidRPr="000D6942" w:rsidRDefault="004C2CCC" w:rsidP="007606E8">
      <w:pPr>
        <w:pStyle w:val="NormalRight-0cm"/>
        <w:spacing w:line="240" w:lineRule="auto"/>
        <w:rPr>
          <w:rFonts w:eastAsia="SimSun"/>
          <w:b w:val="0"/>
        </w:rPr>
      </w:pPr>
      <w:r w:rsidRPr="000D6942">
        <w:rPr>
          <w:rFonts w:eastAsia="SimSun"/>
          <w:b w:val="0"/>
        </w:rPr>
        <w:t>Kiekvieną kartą po vaisto vartojimo gydytojas arba slaugytoja jus stebės mažiausiai 30</w:t>
      </w:r>
      <w:r w:rsidR="007606E8" w:rsidRPr="000D6942">
        <w:rPr>
          <w:rFonts w:eastAsia="SimSun"/>
          <w:b w:val="0"/>
        </w:rPr>
        <w:t> </w:t>
      </w:r>
      <w:r w:rsidRPr="000D6942">
        <w:rPr>
          <w:rFonts w:eastAsia="SimSun"/>
          <w:b w:val="0"/>
        </w:rPr>
        <w:t>minučių.</w:t>
      </w:r>
    </w:p>
    <w:p w14:paraId="269F6C80" w14:textId="77777777" w:rsidR="004C2CCC" w:rsidRPr="000D6942" w:rsidRDefault="004C2CCC" w:rsidP="0087234B">
      <w:pPr>
        <w:pStyle w:val="NormalRight-0cm"/>
        <w:spacing w:line="240" w:lineRule="auto"/>
        <w:rPr>
          <w:b w:val="0"/>
          <w:color w:val="auto"/>
        </w:rPr>
      </w:pPr>
    </w:p>
    <w:p w14:paraId="4D123248" w14:textId="77777777" w:rsidR="00CF38FA" w:rsidRPr="000D6942" w:rsidRDefault="004C2CCC" w:rsidP="0087234B">
      <w:pPr>
        <w:pStyle w:val="NormalRight-0cm"/>
        <w:spacing w:line="240" w:lineRule="auto"/>
      </w:pPr>
      <w:r w:rsidRPr="000D6942">
        <w:t>Kiti vaistai ir</w:t>
      </w:r>
      <w:r w:rsidRPr="000D6942">
        <w:rPr>
          <w:color w:val="auto"/>
        </w:rPr>
        <w:t xml:space="preserve"> Ferinject</w:t>
      </w:r>
    </w:p>
    <w:p w14:paraId="4E1FCE72" w14:textId="77777777" w:rsidR="004C2CCC" w:rsidRPr="000D6942" w:rsidRDefault="004C2CCC" w:rsidP="0087234B">
      <w:pPr>
        <w:pStyle w:val="NormalRight-0cm"/>
        <w:spacing w:line="240" w:lineRule="auto"/>
        <w:rPr>
          <w:b w:val="0"/>
          <w:color w:val="auto"/>
        </w:rPr>
      </w:pPr>
      <w:r w:rsidRPr="000D6942">
        <w:rPr>
          <w:b w:val="0"/>
          <w:color w:val="auto"/>
        </w:rPr>
        <w:t>Jeigu vartojate ar neseniai vartojote kitų vaistų arba dėl to nesate tikri, apie tai pasakykite gydytojui.</w:t>
      </w:r>
    </w:p>
    <w:p w14:paraId="353FC089" w14:textId="77777777" w:rsidR="00CF38FA" w:rsidRPr="000D6942" w:rsidRDefault="004C2CCC" w:rsidP="0087234B">
      <w:pPr>
        <w:pStyle w:val="NormalRight-0cm"/>
        <w:numPr>
          <w:ilvl w:val="0"/>
          <w:numId w:val="18"/>
        </w:numPr>
        <w:spacing w:line="240" w:lineRule="auto"/>
        <w:ind w:left="567" w:hanging="567"/>
        <w:rPr>
          <w:b w:val="0"/>
          <w:color w:val="auto"/>
        </w:rPr>
      </w:pPr>
      <w:r w:rsidRPr="000D6942">
        <w:rPr>
          <w:b w:val="0"/>
          <w:color w:val="auto"/>
        </w:rPr>
        <w:t>Jei Ferinject yra skiriamas kartu su geriamais geležies preparatais, šie geriami preparatai gali būti mažiau veiksmingi.</w:t>
      </w:r>
    </w:p>
    <w:p w14:paraId="69CA086E" w14:textId="77777777" w:rsidR="004C2CCC" w:rsidRPr="000D6942" w:rsidRDefault="004C2CCC" w:rsidP="0087234B">
      <w:pPr>
        <w:pStyle w:val="NormalRight-0cm"/>
        <w:spacing w:line="240" w:lineRule="auto"/>
        <w:rPr>
          <w:b w:val="0"/>
          <w:color w:val="auto"/>
        </w:rPr>
      </w:pPr>
    </w:p>
    <w:p w14:paraId="06B25ACD" w14:textId="77777777" w:rsidR="004C2CCC" w:rsidRPr="000D6942" w:rsidRDefault="004C2CCC" w:rsidP="0087234B">
      <w:pPr>
        <w:pStyle w:val="NormalRight-0cm"/>
        <w:spacing w:line="240" w:lineRule="auto"/>
        <w:rPr>
          <w:rFonts w:eastAsia="SimSun"/>
        </w:rPr>
      </w:pPr>
      <w:r w:rsidRPr="000D6942">
        <w:rPr>
          <w:rFonts w:eastAsia="SimSun"/>
        </w:rPr>
        <w:t>Nėštumas</w:t>
      </w:r>
    </w:p>
    <w:p w14:paraId="03522119" w14:textId="02C433E9" w:rsidR="00193342" w:rsidRPr="000D6942" w:rsidRDefault="00AC6871" w:rsidP="002A0D89">
      <w:pPr>
        <w:pStyle w:val="NormalRight-0cm"/>
        <w:spacing w:line="240" w:lineRule="auto"/>
        <w:ind w:left="0" w:firstLine="0"/>
        <w:rPr>
          <w:rFonts w:eastAsia="SimSun"/>
          <w:b w:val="0"/>
        </w:rPr>
      </w:pPr>
      <w:r w:rsidRPr="000D6942">
        <w:rPr>
          <w:rFonts w:eastAsia="SimSun"/>
          <w:b w:val="0"/>
        </w:rPr>
        <w:t xml:space="preserve">Duomenų apie </w:t>
      </w:r>
      <w:r w:rsidR="004C2CCC" w:rsidRPr="000D6942">
        <w:rPr>
          <w:rFonts w:eastAsia="SimSun"/>
          <w:b w:val="0"/>
        </w:rPr>
        <w:t>Ferinject vartojim</w:t>
      </w:r>
      <w:r w:rsidRPr="000D6942">
        <w:rPr>
          <w:rFonts w:eastAsia="SimSun"/>
          <w:b w:val="0"/>
        </w:rPr>
        <w:t>ą</w:t>
      </w:r>
      <w:r w:rsidR="004C2CCC" w:rsidRPr="000D6942">
        <w:rPr>
          <w:rFonts w:eastAsia="SimSun"/>
          <w:b w:val="0"/>
        </w:rPr>
        <w:t xml:space="preserve"> nėštumo </w:t>
      </w:r>
      <w:r w:rsidRPr="000D6942">
        <w:rPr>
          <w:rFonts w:eastAsia="SimSun"/>
          <w:b w:val="0"/>
        </w:rPr>
        <w:t>laikotarpiu nepakanka</w:t>
      </w:r>
      <w:r w:rsidR="004C2CCC" w:rsidRPr="000D6942">
        <w:rPr>
          <w:rFonts w:eastAsia="SimSun"/>
          <w:b w:val="0"/>
        </w:rPr>
        <w:t>. Jeigu esate nėščia, manote, kad galbūt</w:t>
      </w:r>
      <w:r w:rsidRPr="000D6942">
        <w:rPr>
          <w:rFonts w:eastAsia="SimSun"/>
          <w:b w:val="0"/>
        </w:rPr>
        <w:t xml:space="preserve"> </w:t>
      </w:r>
      <w:r w:rsidR="004C2CCC" w:rsidRPr="000D6942">
        <w:rPr>
          <w:rFonts w:eastAsia="SimSun"/>
          <w:b w:val="0"/>
        </w:rPr>
        <w:t>esate nėščia, arba planuojate pastoti, būtinai pasakykite apie tai gydytojui.</w:t>
      </w:r>
    </w:p>
    <w:p w14:paraId="00CC7F86" w14:textId="3C082AD1" w:rsidR="004C2CCC" w:rsidRPr="000D6942" w:rsidRDefault="004C2CCC" w:rsidP="007606E8">
      <w:pPr>
        <w:pStyle w:val="NormalRight-0cm"/>
        <w:spacing w:line="240" w:lineRule="auto"/>
        <w:rPr>
          <w:rFonts w:eastAsia="SimSun"/>
          <w:b w:val="0"/>
        </w:rPr>
      </w:pPr>
      <w:r w:rsidRPr="000D6942">
        <w:rPr>
          <w:rFonts w:eastAsia="SimSun"/>
          <w:b w:val="0"/>
        </w:rPr>
        <w:t>Jei pastojote gydymo metu, pasitarkite su gydytoju. Gydytojas nuspręs, ar jums galima</w:t>
      </w:r>
      <w:r w:rsidR="007606E8" w:rsidRPr="000D6942">
        <w:rPr>
          <w:rFonts w:eastAsia="SimSun"/>
          <w:b w:val="0"/>
        </w:rPr>
        <w:t xml:space="preserve"> </w:t>
      </w:r>
      <w:r w:rsidRPr="000D6942">
        <w:rPr>
          <w:rFonts w:eastAsia="SimSun"/>
          <w:b w:val="0"/>
        </w:rPr>
        <w:t>vartoti šio vaisto.</w:t>
      </w:r>
    </w:p>
    <w:p w14:paraId="4044D714" w14:textId="77777777" w:rsidR="00CF38FA" w:rsidRPr="000D6942" w:rsidRDefault="00CF38FA" w:rsidP="00CF38FA">
      <w:pPr>
        <w:pStyle w:val="NormalRight-0cm"/>
        <w:spacing w:line="240" w:lineRule="auto"/>
        <w:rPr>
          <w:b w:val="0"/>
          <w:bCs w:val="0"/>
          <w:color w:val="auto"/>
          <w:lang w:eastAsia="en-US"/>
        </w:rPr>
      </w:pPr>
    </w:p>
    <w:p w14:paraId="2BFBE8DC" w14:textId="77777777" w:rsidR="004C2CCC" w:rsidRPr="000D6942" w:rsidRDefault="004C2CCC" w:rsidP="00CF38FA">
      <w:pPr>
        <w:autoSpaceDE w:val="0"/>
        <w:autoSpaceDN w:val="0"/>
        <w:adjustRightInd w:val="0"/>
        <w:ind w:left="709" w:hanging="709"/>
        <w:rPr>
          <w:rFonts w:eastAsia="SimSun"/>
          <w:b/>
          <w:bCs/>
          <w:szCs w:val="22"/>
        </w:rPr>
      </w:pPr>
      <w:r w:rsidRPr="000D6942">
        <w:rPr>
          <w:rFonts w:eastAsia="SimSun"/>
          <w:b/>
          <w:bCs/>
          <w:szCs w:val="22"/>
        </w:rPr>
        <w:t>Žindymo laikotarpis</w:t>
      </w:r>
    </w:p>
    <w:p w14:paraId="7A211B68" w14:textId="77777777" w:rsidR="004C2CCC" w:rsidRPr="000D6942" w:rsidRDefault="004C2CCC" w:rsidP="0087234B">
      <w:pPr>
        <w:pStyle w:val="NormalRight-0cm"/>
        <w:spacing w:line="240" w:lineRule="auto"/>
        <w:ind w:left="0" w:firstLine="0"/>
        <w:rPr>
          <w:b w:val="0"/>
          <w:color w:val="auto"/>
        </w:rPr>
      </w:pPr>
      <w:r w:rsidRPr="000D6942">
        <w:rPr>
          <w:b w:val="0"/>
          <w:color w:val="auto"/>
        </w:rPr>
        <w:t>Jeigu žindote kūdikį, tai prieš vartodama Ferinject pasitarkite su gydytoju.</w:t>
      </w:r>
    </w:p>
    <w:p w14:paraId="63255CAA" w14:textId="77777777" w:rsidR="004C2CCC" w:rsidRPr="000D6942" w:rsidRDefault="004C2CCC" w:rsidP="0087234B">
      <w:pPr>
        <w:pStyle w:val="NormalRight-0cm"/>
        <w:spacing w:line="240" w:lineRule="auto"/>
        <w:ind w:left="0" w:firstLine="0"/>
        <w:rPr>
          <w:b w:val="0"/>
          <w:color w:val="auto"/>
        </w:rPr>
      </w:pPr>
      <w:r w:rsidRPr="000D6942">
        <w:rPr>
          <w:b w:val="0"/>
          <w:color w:val="auto"/>
        </w:rPr>
        <w:t>Žindomam vaikui Ferinject vartojimas rizikos kelti neturėtų.</w:t>
      </w:r>
    </w:p>
    <w:p w14:paraId="2B60D793" w14:textId="77777777" w:rsidR="004C2CCC" w:rsidRPr="000D6942" w:rsidRDefault="004C2CCC" w:rsidP="0087234B">
      <w:pPr>
        <w:pStyle w:val="NormalRight-0cm"/>
        <w:spacing w:line="240" w:lineRule="auto"/>
        <w:rPr>
          <w:b w:val="0"/>
          <w:color w:val="auto"/>
        </w:rPr>
      </w:pPr>
    </w:p>
    <w:p w14:paraId="3D3AF8DF" w14:textId="77777777" w:rsidR="004C2CCC" w:rsidRPr="000D6942" w:rsidRDefault="004C2CCC" w:rsidP="0087234B">
      <w:pPr>
        <w:pStyle w:val="NormalRight-0cm"/>
        <w:spacing w:line="240" w:lineRule="auto"/>
        <w:rPr>
          <w:color w:val="auto"/>
        </w:rPr>
      </w:pPr>
      <w:r w:rsidRPr="000D6942">
        <w:rPr>
          <w:color w:val="auto"/>
        </w:rPr>
        <w:t>Vairavimas ir mechanizmų valdymas</w:t>
      </w:r>
    </w:p>
    <w:p w14:paraId="1A6A4E04" w14:textId="77777777" w:rsidR="004C2CCC" w:rsidRPr="000D6942" w:rsidRDefault="004C2CCC" w:rsidP="0087234B">
      <w:pPr>
        <w:pStyle w:val="NormalRight-0cm"/>
        <w:spacing w:line="240" w:lineRule="auto"/>
        <w:rPr>
          <w:color w:val="auto"/>
        </w:rPr>
      </w:pPr>
    </w:p>
    <w:p w14:paraId="7B3FC278" w14:textId="77777777" w:rsidR="004C2CCC" w:rsidRPr="000D6942" w:rsidRDefault="004C2CCC" w:rsidP="0087234B">
      <w:pPr>
        <w:pStyle w:val="NormalRight-0cm"/>
        <w:spacing w:line="240" w:lineRule="auto"/>
        <w:rPr>
          <w:b w:val="0"/>
          <w:color w:val="auto"/>
        </w:rPr>
      </w:pPr>
      <w:r w:rsidRPr="000D6942">
        <w:rPr>
          <w:b w:val="0"/>
          <w:color w:val="auto"/>
        </w:rPr>
        <w:t>Ferinject gebėjimo vairuoti ir valdyti mechanizmus veikti neturėtų.</w:t>
      </w:r>
    </w:p>
    <w:p w14:paraId="58147FAF" w14:textId="77777777" w:rsidR="004C2CCC" w:rsidRPr="000D6942" w:rsidRDefault="004C2CCC" w:rsidP="0087234B">
      <w:pPr>
        <w:pStyle w:val="NormalRight-0cm"/>
        <w:spacing w:line="240" w:lineRule="auto"/>
        <w:rPr>
          <w:color w:val="auto"/>
        </w:rPr>
      </w:pPr>
    </w:p>
    <w:p w14:paraId="257353C9" w14:textId="77777777" w:rsidR="004C2CCC" w:rsidRPr="000D6942" w:rsidRDefault="004C2CCC" w:rsidP="0087234B">
      <w:pPr>
        <w:pStyle w:val="NormalRight-0cm"/>
        <w:spacing w:line="240" w:lineRule="auto"/>
        <w:rPr>
          <w:color w:val="auto"/>
        </w:rPr>
      </w:pPr>
      <w:r w:rsidRPr="000D6942">
        <w:rPr>
          <w:color w:val="auto"/>
        </w:rPr>
        <w:t>Svarbi informacija apie kai kurias pagalbines Ferinject medžiagas</w:t>
      </w:r>
    </w:p>
    <w:p w14:paraId="54621F7C" w14:textId="77777777" w:rsidR="004C2CCC" w:rsidRPr="000D6942" w:rsidRDefault="004C2CCC" w:rsidP="0087234B">
      <w:pPr>
        <w:pStyle w:val="NormalRight-0cm"/>
        <w:spacing w:line="240" w:lineRule="auto"/>
        <w:rPr>
          <w:b w:val="0"/>
          <w:color w:val="auto"/>
        </w:rPr>
      </w:pPr>
    </w:p>
    <w:p w14:paraId="535EAD3D" w14:textId="77777777" w:rsidR="004C2CCC" w:rsidRPr="000D6942" w:rsidRDefault="004C2CCC" w:rsidP="0087234B">
      <w:pPr>
        <w:pStyle w:val="NormalRight-0cm"/>
        <w:spacing w:line="240" w:lineRule="auto"/>
        <w:ind w:left="0" w:firstLine="0"/>
        <w:rPr>
          <w:b w:val="0"/>
          <w:color w:val="auto"/>
        </w:rPr>
      </w:pPr>
      <w:r w:rsidRPr="000D6942">
        <w:rPr>
          <w:b w:val="0"/>
          <w:color w:val="auto"/>
        </w:rPr>
        <w:t>Šio vaistinio preparato sudėtyje yra 0,24 mmol (5,5 mg) natrio viename nepraskiesto tirpalo mililitre. Į tai turi atsižvelgti pacientai, kurie laikosi dietos, kurioje yra mažai natrio.</w:t>
      </w:r>
    </w:p>
    <w:p w14:paraId="7228EB27" w14:textId="77777777" w:rsidR="004C2CCC" w:rsidRPr="000D6942" w:rsidRDefault="004C2CCC" w:rsidP="0087234B">
      <w:pPr>
        <w:pStyle w:val="NormalRight-0cm"/>
        <w:spacing w:line="240" w:lineRule="auto"/>
        <w:rPr>
          <w:b w:val="0"/>
          <w:color w:val="auto"/>
        </w:rPr>
      </w:pPr>
    </w:p>
    <w:p w14:paraId="26D229E3" w14:textId="77777777" w:rsidR="004C2CCC" w:rsidRPr="000D6942" w:rsidRDefault="004C2CCC" w:rsidP="0087234B">
      <w:pPr>
        <w:pStyle w:val="NormalRight-0cm"/>
        <w:spacing w:line="240" w:lineRule="auto"/>
        <w:rPr>
          <w:b w:val="0"/>
          <w:color w:val="auto"/>
        </w:rPr>
      </w:pPr>
    </w:p>
    <w:p w14:paraId="679DA089" w14:textId="77777777" w:rsidR="004C2CCC" w:rsidRPr="000D6942" w:rsidRDefault="004C2CCC" w:rsidP="0087234B">
      <w:pPr>
        <w:pStyle w:val="NormalRight-0cm"/>
        <w:spacing w:line="240" w:lineRule="auto"/>
        <w:rPr>
          <w:color w:val="auto"/>
        </w:rPr>
      </w:pPr>
      <w:r w:rsidRPr="000D6942">
        <w:rPr>
          <w:color w:val="auto"/>
        </w:rPr>
        <w:lastRenderedPageBreak/>
        <w:t>3.</w:t>
      </w:r>
      <w:r w:rsidRPr="000D6942">
        <w:rPr>
          <w:color w:val="auto"/>
        </w:rPr>
        <w:tab/>
        <w:t>Kaip vartoti Ferinject</w:t>
      </w:r>
    </w:p>
    <w:p w14:paraId="25249504" w14:textId="77777777" w:rsidR="004C2CCC" w:rsidRPr="000D6942" w:rsidRDefault="004C2CCC" w:rsidP="0087234B">
      <w:pPr>
        <w:pStyle w:val="NormalRight-0cm"/>
        <w:spacing w:line="240" w:lineRule="auto"/>
        <w:rPr>
          <w:b w:val="0"/>
          <w:color w:val="auto"/>
        </w:rPr>
      </w:pPr>
    </w:p>
    <w:p w14:paraId="07758DDA" w14:textId="77777777" w:rsidR="004C2CCC" w:rsidRPr="000D6942" w:rsidRDefault="004C2CCC" w:rsidP="0087234B">
      <w:pPr>
        <w:pStyle w:val="NormalRight-0cm"/>
        <w:spacing w:line="240" w:lineRule="auto"/>
        <w:ind w:left="0" w:firstLine="0"/>
        <w:rPr>
          <w:b w:val="0"/>
          <w:color w:val="auto"/>
        </w:rPr>
      </w:pPr>
      <w:r w:rsidRPr="000D6942">
        <w:rPr>
          <w:b w:val="0"/>
          <w:color w:val="auto"/>
        </w:rPr>
        <w:t>Jūsų gydytojas gali skirti Ferinject trimis būdais: nepraskiestą injekcija, dializės metu arba praskiestą lašeline infuzija.</w:t>
      </w:r>
    </w:p>
    <w:p w14:paraId="43CF9E0A" w14:textId="77777777" w:rsidR="004C2CCC" w:rsidRPr="000D6942" w:rsidRDefault="004C2CCC" w:rsidP="0087234B">
      <w:pPr>
        <w:pStyle w:val="NormalRight-0cm"/>
        <w:spacing w:line="240" w:lineRule="auto"/>
        <w:rPr>
          <w:b w:val="0"/>
          <w:color w:val="auto"/>
        </w:rPr>
      </w:pPr>
    </w:p>
    <w:p w14:paraId="0EEEC82B" w14:textId="77777777" w:rsidR="00CF38FA" w:rsidRPr="000D6942" w:rsidRDefault="004C2CCC" w:rsidP="0087234B">
      <w:pPr>
        <w:pStyle w:val="NormalRight-0cm"/>
        <w:spacing w:line="240" w:lineRule="auto"/>
        <w:ind w:left="0" w:firstLine="0"/>
        <w:rPr>
          <w:b w:val="0"/>
          <w:color w:val="auto"/>
        </w:rPr>
      </w:pPr>
      <w:r w:rsidRPr="000D6942">
        <w:rPr>
          <w:b w:val="0"/>
          <w:color w:val="auto"/>
        </w:rPr>
        <w:t xml:space="preserve">Injekcija gali būti skiriama iki 20 ml Ferinject, atitinkančio 1000 mg geležies </w:t>
      </w:r>
      <w:r w:rsidRPr="000D6942">
        <w:rPr>
          <w:b w:val="0"/>
          <w:bCs w:val="0"/>
          <w:color w:val="auto"/>
        </w:rPr>
        <w:t xml:space="preserve">kartą </w:t>
      </w:r>
      <w:r w:rsidRPr="000D6942">
        <w:rPr>
          <w:b w:val="0"/>
          <w:color w:val="auto"/>
        </w:rPr>
        <w:t xml:space="preserve">per </w:t>
      </w:r>
      <w:r w:rsidRPr="000D6942">
        <w:rPr>
          <w:b w:val="0"/>
          <w:bCs w:val="0"/>
          <w:color w:val="auto"/>
        </w:rPr>
        <w:t>savaitę</w:t>
      </w:r>
      <w:r w:rsidRPr="000D6942">
        <w:rPr>
          <w:b w:val="0"/>
          <w:color w:val="auto"/>
        </w:rPr>
        <w:t xml:space="preserve"> tiesiai į veną.</w:t>
      </w:r>
    </w:p>
    <w:p w14:paraId="7981C7A0" w14:textId="77777777" w:rsidR="004C2CCC" w:rsidRPr="000D6942" w:rsidRDefault="004C2CCC" w:rsidP="0087234B">
      <w:pPr>
        <w:pStyle w:val="NormalRight-0cm"/>
        <w:spacing w:line="240" w:lineRule="auto"/>
        <w:rPr>
          <w:b w:val="0"/>
          <w:color w:val="auto"/>
        </w:rPr>
      </w:pPr>
    </w:p>
    <w:p w14:paraId="02D43333" w14:textId="77777777" w:rsidR="004C2CCC" w:rsidRPr="000D6942" w:rsidRDefault="004C2CCC" w:rsidP="0087234B">
      <w:pPr>
        <w:pStyle w:val="NormalRight-0cm"/>
        <w:spacing w:line="240" w:lineRule="auto"/>
        <w:rPr>
          <w:b w:val="0"/>
          <w:color w:val="auto"/>
        </w:rPr>
      </w:pPr>
      <w:r w:rsidRPr="000D6942">
        <w:rPr>
          <w:b w:val="0"/>
          <w:color w:val="auto"/>
        </w:rPr>
        <w:t>Jei taikoma dializė, Ferinject gali būti skiriamas hemodializės metu per dializatorių.</w:t>
      </w:r>
    </w:p>
    <w:p w14:paraId="21BCD890" w14:textId="77777777" w:rsidR="004C2CCC" w:rsidRPr="000D6942" w:rsidRDefault="004C2CCC" w:rsidP="0087234B">
      <w:pPr>
        <w:pStyle w:val="NormalRight-0cm"/>
        <w:spacing w:line="240" w:lineRule="auto"/>
        <w:rPr>
          <w:b w:val="0"/>
          <w:color w:val="auto"/>
        </w:rPr>
      </w:pPr>
    </w:p>
    <w:p w14:paraId="64CCC628" w14:textId="77777777" w:rsidR="004C2CCC" w:rsidRPr="000D6942" w:rsidRDefault="004C2CCC" w:rsidP="0087234B">
      <w:pPr>
        <w:pStyle w:val="NormalRight-0cm"/>
        <w:spacing w:line="240" w:lineRule="auto"/>
        <w:ind w:left="0" w:firstLine="0"/>
        <w:rPr>
          <w:b w:val="0"/>
          <w:color w:val="auto"/>
        </w:rPr>
      </w:pPr>
      <w:r w:rsidRPr="000D6942">
        <w:rPr>
          <w:b w:val="0"/>
          <w:color w:val="auto"/>
        </w:rPr>
        <w:t>Lašeline infuzija gali būti skiriama iki 20 ml Ferinject, t. y., 1000 mg geležies kartą per savaitę tiesiai į veną. Kadangi lašelinei infuzijai Ferinject praskiedžiamas natrio chlorido tirpalu, skiriamo tirpalo tūris gali būti iki 250 ml, o spalva – ruda.</w:t>
      </w:r>
    </w:p>
    <w:p w14:paraId="1EDAE611" w14:textId="77777777" w:rsidR="004C2CCC" w:rsidRPr="000D6942" w:rsidRDefault="004C2CCC" w:rsidP="0087234B">
      <w:pPr>
        <w:pStyle w:val="NormalRight-0cm"/>
        <w:spacing w:line="240" w:lineRule="auto"/>
        <w:rPr>
          <w:b w:val="0"/>
          <w:color w:val="auto"/>
        </w:rPr>
      </w:pPr>
    </w:p>
    <w:p w14:paraId="4EB8E57A" w14:textId="77777777" w:rsidR="004C2CCC" w:rsidRPr="000D6942" w:rsidRDefault="004C2CCC" w:rsidP="0087234B">
      <w:pPr>
        <w:pStyle w:val="NormalRight-0cm"/>
        <w:spacing w:line="240" w:lineRule="auto"/>
        <w:rPr>
          <w:color w:val="auto"/>
        </w:rPr>
      </w:pPr>
      <w:r w:rsidRPr="000D6942">
        <w:rPr>
          <w:color w:val="auto"/>
        </w:rPr>
        <w:t>Ką daryti pavartojus per didelę Ferinject dozę?</w:t>
      </w:r>
    </w:p>
    <w:p w14:paraId="26486837" w14:textId="77777777" w:rsidR="004C2CCC" w:rsidRPr="000D6942" w:rsidRDefault="004C2CCC" w:rsidP="0087234B">
      <w:pPr>
        <w:pStyle w:val="NormalRight-0cm"/>
        <w:spacing w:line="240" w:lineRule="auto"/>
        <w:ind w:left="0" w:firstLine="0"/>
        <w:rPr>
          <w:b w:val="0"/>
          <w:color w:val="auto"/>
        </w:rPr>
      </w:pPr>
    </w:p>
    <w:p w14:paraId="42D2D93A" w14:textId="77777777" w:rsidR="004C2CCC" w:rsidRPr="000D6942" w:rsidRDefault="004C2CCC" w:rsidP="0087234B">
      <w:pPr>
        <w:pStyle w:val="NormalRight-0cm"/>
        <w:spacing w:line="240" w:lineRule="auto"/>
        <w:ind w:left="0" w:firstLine="0"/>
        <w:rPr>
          <w:b w:val="0"/>
          <w:color w:val="auto"/>
        </w:rPr>
      </w:pPr>
      <w:r w:rsidRPr="000D6942">
        <w:rPr>
          <w:b w:val="0"/>
          <w:color w:val="auto"/>
        </w:rPr>
        <w:t xml:space="preserve">Jūsų gydytojas </w:t>
      </w:r>
      <w:r w:rsidRPr="000D6942">
        <w:rPr>
          <w:b w:val="0"/>
          <w:bCs w:val="0"/>
          <w:color w:val="auto"/>
        </w:rPr>
        <w:t>nustatys</w:t>
      </w:r>
      <w:r w:rsidRPr="000D6942">
        <w:rPr>
          <w:b w:val="0"/>
          <w:color w:val="auto"/>
        </w:rPr>
        <w:t xml:space="preserve"> reikiamą dozę bei parinks gydymo būdą, dažnį ir trukmę.</w:t>
      </w:r>
      <w:r w:rsidR="00376E84" w:rsidRPr="000D6942">
        <w:rPr>
          <w:b w:val="0"/>
          <w:color w:val="auto"/>
        </w:rPr>
        <w:t xml:space="preserve"> </w:t>
      </w:r>
      <w:r w:rsidRPr="000D6942">
        <w:rPr>
          <w:b w:val="0"/>
          <w:color w:val="auto"/>
        </w:rPr>
        <w:t>Perdozavus organizme gali kauptis geležis. Geležies kaupimuisi išvengti jūsų gydytojas stebės geležies parametrus, pvz., feritino ir transferino koncentraciją serume.</w:t>
      </w:r>
    </w:p>
    <w:p w14:paraId="2DE45858" w14:textId="77777777" w:rsidR="004C2CCC" w:rsidRPr="000D6942" w:rsidRDefault="004C2CCC" w:rsidP="0087234B">
      <w:pPr>
        <w:pStyle w:val="NormalRight-0cm"/>
        <w:spacing w:line="240" w:lineRule="auto"/>
        <w:rPr>
          <w:b w:val="0"/>
          <w:color w:val="auto"/>
        </w:rPr>
      </w:pPr>
    </w:p>
    <w:p w14:paraId="2C1DEC61" w14:textId="77777777" w:rsidR="004C2CCC" w:rsidRPr="000D6942" w:rsidRDefault="004C2CCC" w:rsidP="0087234B">
      <w:pPr>
        <w:pStyle w:val="NormalRight-0cm"/>
        <w:spacing w:line="240" w:lineRule="auto"/>
        <w:rPr>
          <w:b w:val="0"/>
          <w:color w:val="auto"/>
        </w:rPr>
      </w:pPr>
    </w:p>
    <w:p w14:paraId="130218DC" w14:textId="77777777" w:rsidR="004C2CCC" w:rsidRPr="000D6942" w:rsidRDefault="004C2CCC" w:rsidP="0087234B">
      <w:pPr>
        <w:pStyle w:val="NormalRight-0cm"/>
        <w:spacing w:line="240" w:lineRule="auto"/>
        <w:rPr>
          <w:color w:val="auto"/>
        </w:rPr>
      </w:pPr>
      <w:r w:rsidRPr="000D6942">
        <w:rPr>
          <w:color w:val="auto"/>
        </w:rPr>
        <w:t>4.</w:t>
      </w:r>
      <w:r w:rsidRPr="000D6942">
        <w:rPr>
          <w:color w:val="auto"/>
        </w:rPr>
        <w:tab/>
        <w:t>Galimas šalutinis poveikis</w:t>
      </w:r>
    </w:p>
    <w:p w14:paraId="52807EAC" w14:textId="77777777" w:rsidR="004C2CCC" w:rsidRPr="000D6942" w:rsidRDefault="004C2CCC" w:rsidP="0087234B">
      <w:pPr>
        <w:pStyle w:val="NormalRight-0cm"/>
        <w:spacing w:line="240" w:lineRule="auto"/>
        <w:rPr>
          <w:b w:val="0"/>
          <w:color w:val="auto"/>
        </w:rPr>
      </w:pPr>
    </w:p>
    <w:p w14:paraId="268862A7" w14:textId="13B92B87" w:rsidR="00CF38FA" w:rsidRPr="000D6942" w:rsidRDefault="004C2CCC" w:rsidP="0087234B">
      <w:pPr>
        <w:pStyle w:val="NormalRight-0cm"/>
        <w:spacing w:line="240" w:lineRule="auto"/>
        <w:rPr>
          <w:b w:val="0"/>
          <w:color w:val="auto"/>
        </w:rPr>
      </w:pPr>
      <w:r w:rsidRPr="000D6942">
        <w:rPr>
          <w:b w:val="0"/>
          <w:color w:val="auto"/>
        </w:rPr>
        <w:t>Šis vaistas, kaip ir</w:t>
      </w:r>
      <w:r w:rsidR="00F107EF">
        <w:rPr>
          <w:b w:val="0"/>
          <w:color w:val="auto"/>
        </w:rPr>
        <w:t xml:space="preserve"> visi</w:t>
      </w:r>
      <w:r w:rsidRPr="000D6942">
        <w:rPr>
          <w:b w:val="0"/>
          <w:color w:val="auto"/>
        </w:rPr>
        <w:t xml:space="preserve"> kiti, gali sukelti šalutinį poveikį, nors jis pasireiškia ne visiems žmonėms.</w:t>
      </w:r>
    </w:p>
    <w:p w14:paraId="593D7629" w14:textId="77777777" w:rsidR="004C2CCC" w:rsidRPr="000D6942" w:rsidRDefault="004C2CCC" w:rsidP="0087234B">
      <w:pPr>
        <w:pStyle w:val="NormalRight-0cm"/>
        <w:spacing w:line="240" w:lineRule="auto"/>
        <w:rPr>
          <w:b w:val="0"/>
          <w:color w:val="auto"/>
        </w:rPr>
      </w:pPr>
    </w:p>
    <w:p w14:paraId="25EAE667" w14:textId="77777777" w:rsidR="004C2CCC" w:rsidRPr="000D6942" w:rsidRDefault="004C2CCC" w:rsidP="00CF38FA">
      <w:pPr>
        <w:autoSpaceDE w:val="0"/>
        <w:autoSpaceDN w:val="0"/>
        <w:adjustRightInd w:val="0"/>
        <w:rPr>
          <w:b/>
          <w:i/>
          <w:szCs w:val="22"/>
        </w:rPr>
      </w:pPr>
      <w:r w:rsidRPr="000D6942">
        <w:rPr>
          <w:b/>
          <w:i/>
          <w:szCs w:val="22"/>
        </w:rPr>
        <w:t>Sunkus šalutinis poveikis:</w:t>
      </w:r>
    </w:p>
    <w:p w14:paraId="3F95B949" w14:textId="77777777" w:rsidR="004C2CCC" w:rsidRPr="000D6942" w:rsidRDefault="004C2CCC" w:rsidP="00CF38FA">
      <w:pPr>
        <w:autoSpaceDE w:val="0"/>
        <w:autoSpaceDN w:val="0"/>
        <w:adjustRightInd w:val="0"/>
        <w:rPr>
          <w:szCs w:val="22"/>
        </w:rPr>
      </w:pPr>
      <w:r w:rsidRPr="000D6942">
        <w:rPr>
          <w:szCs w:val="22"/>
        </w:rPr>
        <w:t>Nedelsdami pasakykite gydytojui, jei Jums pasireiškė bet kuris iš šių požymių ar simptomų, nes jie gali reikšti sunkią alerginę reakciją: bėrimas (</w:t>
      </w:r>
      <w:r w:rsidRPr="000D6942">
        <w:rPr>
          <w:bCs/>
          <w:szCs w:val="22"/>
        </w:rPr>
        <w:t>pvz., dilgėlinė), niežulys, pasunkėjęs kvėpavimas, švokštimas ir (arba) lūpų, liežuvio, gerklės ar kūno tinimas.</w:t>
      </w:r>
    </w:p>
    <w:p w14:paraId="6DF20460" w14:textId="77777777" w:rsidR="004C2CCC" w:rsidRPr="000D6942" w:rsidRDefault="004C2CCC" w:rsidP="00CF38FA">
      <w:pPr>
        <w:numPr>
          <w:ilvl w:val="12"/>
          <w:numId w:val="0"/>
        </w:numPr>
        <w:ind w:right="-2"/>
        <w:rPr>
          <w:szCs w:val="22"/>
        </w:rPr>
      </w:pPr>
    </w:p>
    <w:p w14:paraId="789ED56D" w14:textId="1F0E6DB2" w:rsidR="00AC6871" w:rsidRPr="000D6942" w:rsidRDefault="004C2CCC" w:rsidP="00AC6871">
      <w:pPr>
        <w:autoSpaceDE w:val="0"/>
        <w:autoSpaceDN w:val="0"/>
        <w:adjustRightInd w:val="0"/>
        <w:rPr>
          <w:szCs w:val="22"/>
        </w:rPr>
      </w:pPr>
      <w:r w:rsidRPr="000D6942">
        <w:rPr>
          <w:szCs w:val="22"/>
        </w:rPr>
        <w:t>Kai kuriems pacientams šios alerginės reakcijos (pasireiškiančios mažiau nei 1 iš 1000 pacientų) gali būti sunkios ar kelti grėsmę gyvybei (vadinamosios anafilaktoidinės</w:t>
      </w:r>
      <w:r w:rsidR="00DF2024">
        <w:rPr>
          <w:szCs w:val="22"/>
        </w:rPr>
        <w:t xml:space="preserve">/anafilaksinės </w:t>
      </w:r>
      <w:r w:rsidRPr="000D6942">
        <w:rPr>
          <w:szCs w:val="22"/>
        </w:rPr>
        <w:t>reakcijos). Jos gali būti susijusios su širdies veiklos ir kraujotakos sutrikimais, sąmonės praradimu</w:t>
      </w:r>
      <w:r w:rsidR="00AC6871" w:rsidRPr="000D6942">
        <w:rPr>
          <w:szCs w:val="22"/>
        </w:rPr>
        <w:t>.</w:t>
      </w:r>
    </w:p>
    <w:p w14:paraId="006EAEDD" w14:textId="77777777" w:rsidR="00AC6871" w:rsidRPr="000D6942" w:rsidRDefault="00AC6871" w:rsidP="00AC6871">
      <w:pPr>
        <w:autoSpaceDE w:val="0"/>
        <w:autoSpaceDN w:val="0"/>
        <w:adjustRightInd w:val="0"/>
        <w:rPr>
          <w:szCs w:val="22"/>
        </w:rPr>
      </w:pPr>
    </w:p>
    <w:p w14:paraId="3136F5EE" w14:textId="77777777" w:rsidR="004C2CCC" w:rsidRPr="000D6942" w:rsidRDefault="004C2CCC" w:rsidP="00AC6871">
      <w:pPr>
        <w:autoSpaceDE w:val="0"/>
        <w:autoSpaceDN w:val="0"/>
        <w:adjustRightInd w:val="0"/>
        <w:rPr>
          <w:szCs w:val="22"/>
        </w:rPr>
      </w:pPr>
      <w:r w:rsidRPr="000D6942">
        <w:rPr>
          <w:szCs w:val="22"/>
        </w:rPr>
        <w:t>Jūsų gydytojas žino apie šį galimą šalutinį poveikį ir stebės Jus Ferinject injekcijos metu ir po jos.</w:t>
      </w:r>
    </w:p>
    <w:p w14:paraId="2485744B" w14:textId="77777777" w:rsidR="004C2CCC" w:rsidRPr="000D6942" w:rsidRDefault="004C2CCC" w:rsidP="00CF38FA">
      <w:pPr>
        <w:numPr>
          <w:ilvl w:val="12"/>
          <w:numId w:val="0"/>
        </w:numPr>
        <w:ind w:right="-2"/>
        <w:rPr>
          <w:szCs w:val="22"/>
        </w:rPr>
      </w:pPr>
    </w:p>
    <w:p w14:paraId="2ECB3581" w14:textId="77777777" w:rsidR="004C2CCC" w:rsidRPr="000D6942" w:rsidRDefault="004C2CCC" w:rsidP="00CF38FA">
      <w:pPr>
        <w:autoSpaceDE w:val="0"/>
        <w:autoSpaceDN w:val="0"/>
        <w:adjustRightInd w:val="0"/>
        <w:rPr>
          <w:b/>
          <w:i/>
          <w:szCs w:val="22"/>
        </w:rPr>
      </w:pPr>
      <w:r w:rsidRPr="000D6942">
        <w:rPr>
          <w:b/>
          <w:i/>
          <w:szCs w:val="22"/>
        </w:rPr>
        <w:t>Kitas šalutinis poveikis, apie kurį turite pranešti gydytojui, jei jis tampa sunkus:</w:t>
      </w:r>
    </w:p>
    <w:p w14:paraId="44D0664D" w14:textId="4EB1132F" w:rsidR="004C2CCC" w:rsidRPr="000D6942" w:rsidRDefault="004C2CCC" w:rsidP="00CF38FA">
      <w:pPr>
        <w:numPr>
          <w:ilvl w:val="12"/>
          <w:numId w:val="0"/>
        </w:numPr>
        <w:ind w:right="-2"/>
        <w:rPr>
          <w:szCs w:val="22"/>
        </w:rPr>
      </w:pPr>
      <w:r w:rsidRPr="000D6942">
        <w:rPr>
          <w:b/>
          <w:szCs w:val="22"/>
        </w:rPr>
        <w:t>Dažnas šalutinis poveikis</w:t>
      </w:r>
      <w:r w:rsidRPr="000D6942">
        <w:rPr>
          <w:szCs w:val="22"/>
        </w:rPr>
        <w:t xml:space="preserve"> (gali pasireikšti ne daugiau kaip 1 iš 10 pacientų): galvos skausmas, </w:t>
      </w:r>
      <w:r w:rsidR="00AC6871" w:rsidRPr="000D6942">
        <w:rPr>
          <w:szCs w:val="22"/>
        </w:rPr>
        <w:t xml:space="preserve">galvos </w:t>
      </w:r>
      <w:r w:rsidRPr="000D6942">
        <w:rPr>
          <w:szCs w:val="22"/>
        </w:rPr>
        <w:t xml:space="preserve">svaigimas, </w:t>
      </w:r>
      <w:r w:rsidR="00AC6871" w:rsidRPr="000D6942">
        <w:rPr>
          <w:szCs w:val="22"/>
        </w:rPr>
        <w:t xml:space="preserve">karščio pojūtis (paraudimas), </w:t>
      </w:r>
      <w:r w:rsidRPr="000D6942">
        <w:rPr>
          <w:szCs w:val="22"/>
        </w:rPr>
        <w:t>aukštas kraujospūdis, pykinimas ir reakcijos injekcijos</w:t>
      </w:r>
      <w:r w:rsidR="00AC6871" w:rsidRPr="000D6942">
        <w:rPr>
          <w:szCs w:val="22"/>
        </w:rPr>
        <w:t>/infuzijos</w:t>
      </w:r>
      <w:r w:rsidRPr="000D6942">
        <w:rPr>
          <w:szCs w:val="22"/>
        </w:rPr>
        <w:t xml:space="preserve"> vietoje (taip pat žr. 2 skyrių).</w:t>
      </w:r>
    </w:p>
    <w:p w14:paraId="09F15E4C" w14:textId="77777777" w:rsidR="004C2CCC" w:rsidRPr="000D6942" w:rsidRDefault="004C2CCC" w:rsidP="00CF38FA">
      <w:pPr>
        <w:numPr>
          <w:ilvl w:val="12"/>
          <w:numId w:val="0"/>
        </w:numPr>
        <w:ind w:right="-2"/>
        <w:rPr>
          <w:szCs w:val="22"/>
        </w:rPr>
      </w:pPr>
    </w:p>
    <w:p w14:paraId="0BBB3BF7" w14:textId="05AA1BE9" w:rsidR="004C2CCC" w:rsidRPr="000D6942" w:rsidRDefault="004C2CCC" w:rsidP="00AC6871">
      <w:pPr>
        <w:numPr>
          <w:ilvl w:val="12"/>
          <w:numId w:val="0"/>
        </w:numPr>
        <w:ind w:right="-2"/>
        <w:rPr>
          <w:szCs w:val="22"/>
        </w:rPr>
      </w:pPr>
      <w:r w:rsidRPr="000D6942">
        <w:rPr>
          <w:b/>
          <w:szCs w:val="22"/>
        </w:rPr>
        <w:t>Nedažnas šalutinis poveikis</w:t>
      </w:r>
      <w:r w:rsidRPr="000D6942">
        <w:rPr>
          <w:szCs w:val="22"/>
        </w:rPr>
        <w:t xml:space="preserve"> (gali pasireikšti ne daugiau kaip 1 iš 100 pacientų): sustingimas, dilgčiojimo pojūtis odoje, skonio pokyčiai, dažnas širdies plakimas, žemas kraujospūdis, pasunkėjęs kvėpavimas, vėmimas, virškinimo sutrikimas, pilvo skausmas, vidurių užkietėjimas, viduriavimas, niežulys, dilgėlinė, odos paraudimas, bėrimas, raumenų, sąnarių ir (arba) nugaros skausmas, </w:t>
      </w:r>
      <w:r w:rsidR="00AC6871" w:rsidRPr="000D6942">
        <w:rPr>
          <w:szCs w:val="22"/>
        </w:rPr>
        <w:t xml:space="preserve">rankų arba kojų skausmas, </w:t>
      </w:r>
      <w:r w:rsidRPr="000D6942">
        <w:rPr>
          <w:szCs w:val="22"/>
        </w:rPr>
        <w:t>raumenų spazmai, karščiavimas, nuovargis, krūtinės skausmas, rankų ir (arba) kojų tinimas, drebulys.</w:t>
      </w:r>
    </w:p>
    <w:p w14:paraId="28F8289B" w14:textId="77777777" w:rsidR="004C2CCC" w:rsidRPr="000D6942" w:rsidRDefault="004C2CCC" w:rsidP="0087234B">
      <w:pPr>
        <w:numPr>
          <w:ilvl w:val="12"/>
          <w:numId w:val="0"/>
        </w:numPr>
        <w:tabs>
          <w:tab w:val="left" w:pos="567"/>
        </w:tabs>
        <w:ind w:right="-2"/>
        <w:rPr>
          <w:bCs/>
          <w:szCs w:val="22"/>
        </w:rPr>
      </w:pPr>
    </w:p>
    <w:p w14:paraId="533A8CC9" w14:textId="07930D13" w:rsidR="004C2CCC" w:rsidRDefault="004C2CCC" w:rsidP="00350828">
      <w:pPr>
        <w:pStyle w:val="NormalRight-0cm"/>
        <w:spacing w:line="240" w:lineRule="auto"/>
        <w:ind w:left="0" w:firstLine="0"/>
        <w:rPr>
          <w:b w:val="0"/>
          <w:color w:val="auto"/>
          <w:lang w:eastAsia="en-US"/>
        </w:rPr>
      </w:pPr>
      <w:r w:rsidRPr="000D6942">
        <w:rPr>
          <w:color w:val="auto"/>
          <w:lang w:eastAsia="en-US"/>
        </w:rPr>
        <w:lastRenderedPageBreak/>
        <w:t xml:space="preserve">Retas šalutinis poveikis </w:t>
      </w:r>
      <w:r w:rsidRPr="000D6942">
        <w:rPr>
          <w:b w:val="0"/>
          <w:bCs w:val="0"/>
          <w:color w:val="auto"/>
          <w:lang w:eastAsia="en-US"/>
        </w:rPr>
        <w:t>(gali pasireikšti ne daugiau kaip 1 iš 1000 pacientų)</w:t>
      </w:r>
      <w:r w:rsidRPr="000D6942">
        <w:rPr>
          <w:b w:val="0"/>
          <w:color w:val="auto"/>
          <w:lang w:eastAsia="en-US"/>
        </w:rPr>
        <w:t>: ven</w:t>
      </w:r>
      <w:r w:rsidR="00AC6871" w:rsidRPr="000D6942">
        <w:rPr>
          <w:b w:val="0"/>
          <w:color w:val="auto"/>
          <w:lang w:eastAsia="en-US"/>
        </w:rPr>
        <w:t>os</w:t>
      </w:r>
      <w:r w:rsidRPr="000D6942">
        <w:rPr>
          <w:b w:val="0"/>
          <w:color w:val="auto"/>
          <w:lang w:eastAsia="en-US"/>
        </w:rPr>
        <w:t xml:space="preserve"> uždegimas, </w:t>
      </w:r>
      <w:r w:rsidR="00AC6871" w:rsidRPr="000D6942">
        <w:rPr>
          <w:b w:val="0"/>
          <w:color w:val="auto"/>
          <w:lang w:eastAsia="en-US"/>
        </w:rPr>
        <w:t>bendras nemalonus pojūtis</w:t>
      </w:r>
      <w:r w:rsidRPr="000D6942">
        <w:rPr>
          <w:b w:val="0"/>
          <w:color w:val="auto"/>
          <w:lang w:eastAsia="en-US"/>
        </w:rPr>
        <w:t xml:space="preserve">, sąmonės </w:t>
      </w:r>
      <w:r w:rsidR="00AC6871" w:rsidRPr="000D6942">
        <w:rPr>
          <w:b w:val="0"/>
          <w:color w:val="auto"/>
          <w:lang w:eastAsia="en-US"/>
        </w:rPr>
        <w:t>netekimas</w:t>
      </w:r>
      <w:r w:rsidRPr="000D6942">
        <w:rPr>
          <w:b w:val="0"/>
          <w:color w:val="auto"/>
          <w:lang w:eastAsia="en-US"/>
        </w:rPr>
        <w:t xml:space="preserve">, nerimas, alpulys, silpnumo </w:t>
      </w:r>
      <w:r w:rsidR="00AC6871" w:rsidRPr="000D6942">
        <w:rPr>
          <w:b w:val="0"/>
          <w:color w:val="auto"/>
          <w:lang w:eastAsia="en-US"/>
        </w:rPr>
        <w:t>pojūtis</w:t>
      </w:r>
      <w:r w:rsidRPr="000D6942">
        <w:rPr>
          <w:b w:val="0"/>
          <w:color w:val="auto"/>
          <w:lang w:eastAsia="en-US"/>
        </w:rPr>
        <w:t xml:space="preserve">, švokštimas kvėpuojant, </w:t>
      </w:r>
      <w:r w:rsidR="00AC6871" w:rsidRPr="000D6942">
        <w:rPr>
          <w:b w:val="0"/>
          <w:color w:val="auto"/>
          <w:lang w:eastAsia="en-US"/>
        </w:rPr>
        <w:t>stiprus pilvo pūtimas (meteorizmas), staigus veido, burnos, liežuvio ar ryklės tinimas, dėl kurio gali būti sunku kvėpuoti, išblyškimas</w:t>
      </w:r>
      <w:r w:rsidR="00134E36" w:rsidRPr="00134E36">
        <w:rPr>
          <w:b w:val="0"/>
          <w:color w:val="auto"/>
          <w:lang w:eastAsia="en-US"/>
        </w:rPr>
        <w:t xml:space="preserve"> </w:t>
      </w:r>
      <w:r w:rsidR="00134E36">
        <w:rPr>
          <w:b w:val="0"/>
          <w:color w:val="auto"/>
          <w:lang w:eastAsia="en-US"/>
        </w:rPr>
        <w:t>ir</w:t>
      </w:r>
      <w:r w:rsidR="00134E36" w:rsidRPr="000D6942">
        <w:rPr>
          <w:b w:val="0"/>
          <w:color w:val="auto"/>
          <w:lang w:eastAsia="en-US"/>
        </w:rPr>
        <w:t xml:space="preserve"> veido tinimas</w:t>
      </w:r>
      <w:r w:rsidR="00134E36">
        <w:rPr>
          <w:b w:val="0"/>
          <w:color w:val="auto"/>
          <w:lang w:eastAsia="en-US"/>
        </w:rPr>
        <w:t>.</w:t>
      </w:r>
    </w:p>
    <w:p w14:paraId="4737D89F" w14:textId="77777777" w:rsidR="00134E36" w:rsidRPr="000D6942" w:rsidRDefault="00134E36" w:rsidP="00134E36">
      <w:pPr>
        <w:pStyle w:val="NormalRight-0cm"/>
        <w:spacing w:line="240" w:lineRule="auto"/>
        <w:ind w:left="0" w:firstLine="0"/>
        <w:rPr>
          <w:b w:val="0"/>
          <w:color w:val="auto"/>
        </w:rPr>
      </w:pPr>
    </w:p>
    <w:p w14:paraId="447E3376" w14:textId="2F69495A" w:rsidR="00134E36" w:rsidRDefault="00134E36" w:rsidP="00134E36">
      <w:pPr>
        <w:pStyle w:val="NormalRight-0cm"/>
        <w:spacing w:line="240" w:lineRule="auto"/>
        <w:ind w:left="0" w:firstLine="0"/>
        <w:rPr>
          <w:b w:val="0"/>
          <w:color w:val="auto"/>
        </w:rPr>
      </w:pPr>
      <w:r>
        <w:rPr>
          <w:b w:val="0"/>
          <w:color w:val="auto"/>
        </w:rPr>
        <w:t xml:space="preserve">Į gripą panaši liga (gali pasireikšti ne daugiau kaip 1 iš 1000 pacientų) </w:t>
      </w:r>
      <w:r w:rsidRPr="008B31F0">
        <w:rPr>
          <w:b w:val="0"/>
          <w:color w:val="auto"/>
        </w:rPr>
        <w:t>gali pasireikšti po kelių</w:t>
      </w:r>
      <w:r>
        <w:rPr>
          <w:b w:val="0"/>
          <w:color w:val="auto"/>
        </w:rPr>
        <w:t xml:space="preserve"> </w:t>
      </w:r>
      <w:r w:rsidRPr="008B31F0">
        <w:rPr>
          <w:b w:val="0"/>
          <w:color w:val="auto"/>
        </w:rPr>
        <w:t>valandų</w:t>
      </w:r>
      <w:r>
        <w:rPr>
          <w:b w:val="0"/>
          <w:color w:val="auto"/>
        </w:rPr>
        <w:t> </w:t>
      </w:r>
      <w:r w:rsidRPr="008B31F0">
        <w:rPr>
          <w:b w:val="0"/>
          <w:color w:val="auto"/>
        </w:rPr>
        <w:t>/ dienų po injekcijos ir jai paprastai būdingi tokie simptomai kaip aukšta temperatūra</w:t>
      </w:r>
      <w:r>
        <w:rPr>
          <w:b w:val="0"/>
          <w:color w:val="auto"/>
        </w:rPr>
        <w:t xml:space="preserve"> </w:t>
      </w:r>
      <w:r w:rsidRPr="008B31F0">
        <w:rPr>
          <w:b w:val="0"/>
          <w:color w:val="auto"/>
        </w:rPr>
        <w:t>ir raumenų bei sąnarių skausmai</w:t>
      </w:r>
      <w:r>
        <w:rPr>
          <w:b w:val="0"/>
          <w:color w:val="auto"/>
        </w:rPr>
        <w:t>.</w:t>
      </w:r>
    </w:p>
    <w:p w14:paraId="0837E9FE" w14:textId="77777777" w:rsidR="004C2CCC" w:rsidRPr="000D6942" w:rsidRDefault="004C2CCC" w:rsidP="0087234B">
      <w:pPr>
        <w:pStyle w:val="NormalRight-0cm"/>
        <w:spacing w:line="240" w:lineRule="auto"/>
        <w:ind w:left="0" w:firstLine="0"/>
        <w:rPr>
          <w:b w:val="0"/>
          <w:color w:val="auto"/>
        </w:rPr>
      </w:pPr>
    </w:p>
    <w:p w14:paraId="6418691F" w14:textId="77777777" w:rsidR="00CF38FA" w:rsidRPr="000D6942" w:rsidRDefault="004C2CCC" w:rsidP="0087234B">
      <w:pPr>
        <w:pStyle w:val="NormalRight-0cm"/>
        <w:spacing w:line="240" w:lineRule="auto"/>
        <w:ind w:left="0" w:firstLine="0"/>
        <w:rPr>
          <w:b w:val="0"/>
          <w:color w:val="auto"/>
        </w:rPr>
      </w:pPr>
      <w:r w:rsidRPr="000D6942">
        <w:rPr>
          <w:b w:val="0"/>
          <w:color w:val="auto"/>
        </w:rPr>
        <w:t>Kai kurie kraujo parametrai gali laikinai pasikeisti; šiuos pokyčius gali rodyti laboratoriniai tyrimai.</w:t>
      </w:r>
    </w:p>
    <w:p w14:paraId="1785BEC7" w14:textId="51AF50ED" w:rsidR="004C2CCC" w:rsidRPr="000D6942" w:rsidRDefault="004C2CCC" w:rsidP="00030B77">
      <w:pPr>
        <w:pStyle w:val="NormalRight-0cm"/>
        <w:spacing w:line="240" w:lineRule="auto"/>
        <w:ind w:left="0" w:firstLine="0"/>
        <w:rPr>
          <w:b w:val="0"/>
          <w:color w:val="auto"/>
        </w:rPr>
      </w:pPr>
      <w:r w:rsidRPr="000D6942">
        <w:rPr>
          <w:b w:val="0"/>
          <w:color w:val="auto"/>
        </w:rPr>
        <w:t>Šie kraujo parametrų pokyčiai yra dažni: sumažėjęs fosforo kiekis kraujyje.</w:t>
      </w:r>
    </w:p>
    <w:p w14:paraId="00F49D15" w14:textId="6DB03A8B" w:rsidR="004C2CCC" w:rsidRPr="000D6942" w:rsidRDefault="004C2CCC" w:rsidP="00030B77">
      <w:pPr>
        <w:pStyle w:val="NormalRight-0cm"/>
        <w:spacing w:line="240" w:lineRule="auto"/>
        <w:ind w:left="0" w:firstLine="0"/>
        <w:rPr>
          <w:b w:val="0"/>
          <w:color w:val="auto"/>
        </w:rPr>
      </w:pPr>
      <w:r w:rsidRPr="000D6942">
        <w:rPr>
          <w:b w:val="0"/>
          <w:color w:val="auto"/>
        </w:rPr>
        <w:t xml:space="preserve">Šie kraujo parametrų pokyčiai yra nedažni: padidėjęs tam tikrų kepenų fermentų, vadinamų </w:t>
      </w:r>
      <w:r w:rsidR="00030B77" w:rsidRPr="000D6942">
        <w:rPr>
          <w:b w:val="0"/>
          <w:color w:val="auto"/>
        </w:rPr>
        <w:t xml:space="preserve">alanino aminotransferaze, </w:t>
      </w:r>
      <w:r w:rsidRPr="000D6942">
        <w:rPr>
          <w:b w:val="0"/>
          <w:color w:val="auto"/>
        </w:rPr>
        <w:t>aspartato aminotransferaze</w:t>
      </w:r>
      <w:r w:rsidR="00030B77" w:rsidRPr="000D6942">
        <w:rPr>
          <w:b w:val="0"/>
          <w:color w:val="auto"/>
        </w:rPr>
        <w:t>,</w:t>
      </w:r>
      <w:r w:rsidRPr="000D6942">
        <w:rPr>
          <w:b w:val="0"/>
          <w:color w:val="auto"/>
        </w:rPr>
        <w:t xml:space="preserve"> gama-glutamiltransferaze</w:t>
      </w:r>
      <w:r w:rsidR="00030B77" w:rsidRPr="000D6942">
        <w:rPr>
          <w:b w:val="0"/>
          <w:color w:val="auto"/>
        </w:rPr>
        <w:t xml:space="preserve"> ir šarmine fosfataze</w:t>
      </w:r>
      <w:r w:rsidRPr="000D6942">
        <w:rPr>
          <w:b w:val="0"/>
          <w:color w:val="auto"/>
        </w:rPr>
        <w:t>, kiekis i</w:t>
      </w:r>
      <w:r w:rsidR="00030B77" w:rsidRPr="000D6942">
        <w:rPr>
          <w:b w:val="0"/>
          <w:color w:val="auto"/>
        </w:rPr>
        <w:t>r</w:t>
      </w:r>
      <w:r w:rsidRPr="000D6942">
        <w:rPr>
          <w:b w:val="0"/>
          <w:color w:val="auto"/>
        </w:rPr>
        <w:t xml:space="preserve"> padidėjęs fermento, vadinamo laktato dehidrogenaze, kiekis.</w:t>
      </w:r>
    </w:p>
    <w:p w14:paraId="433AD85D" w14:textId="77777777" w:rsidR="004C2CCC" w:rsidRPr="000D6942" w:rsidRDefault="004C2CCC" w:rsidP="0087234B">
      <w:pPr>
        <w:pStyle w:val="NormalRight-0cm"/>
        <w:spacing w:line="240" w:lineRule="auto"/>
        <w:ind w:left="0" w:firstLine="0"/>
        <w:rPr>
          <w:b w:val="0"/>
          <w:color w:val="auto"/>
        </w:rPr>
      </w:pPr>
    </w:p>
    <w:p w14:paraId="438B484B" w14:textId="77777777" w:rsidR="004C2CCC" w:rsidRPr="000D6942" w:rsidRDefault="004C2CCC" w:rsidP="0087234B">
      <w:pPr>
        <w:pStyle w:val="NormalRight-0cm"/>
        <w:spacing w:line="240" w:lineRule="auto"/>
        <w:rPr>
          <w:b w:val="0"/>
          <w:color w:val="auto"/>
        </w:rPr>
      </w:pPr>
      <w:r w:rsidRPr="000D6942">
        <w:rPr>
          <w:b w:val="0"/>
          <w:color w:val="auto"/>
        </w:rPr>
        <w:t>Daugiau informacijos gali pateikti gydytojas.</w:t>
      </w:r>
    </w:p>
    <w:p w14:paraId="516148C0" w14:textId="77777777" w:rsidR="004C2CCC" w:rsidRPr="000D6942" w:rsidRDefault="004C2CCC" w:rsidP="0087234B">
      <w:pPr>
        <w:pStyle w:val="NormalRight-0cm"/>
        <w:spacing w:line="240" w:lineRule="auto"/>
        <w:rPr>
          <w:b w:val="0"/>
          <w:color w:val="auto"/>
        </w:rPr>
      </w:pPr>
    </w:p>
    <w:p w14:paraId="1C30CFFC" w14:textId="77777777" w:rsidR="004C2CCC" w:rsidRPr="000D6942" w:rsidRDefault="004C2CCC" w:rsidP="0087234B">
      <w:pPr>
        <w:pStyle w:val="NormalRight-0cm"/>
        <w:spacing w:line="240" w:lineRule="auto"/>
        <w:ind w:left="0" w:firstLine="0"/>
        <w:rPr>
          <w:b w:val="0"/>
          <w:color w:val="auto"/>
        </w:rPr>
      </w:pPr>
      <w:r w:rsidRPr="000D6942">
        <w:rPr>
          <w:rFonts w:eastAsia="SimSun"/>
        </w:rPr>
        <w:t>Pranešimas apie šalutinį poveikį</w:t>
      </w:r>
    </w:p>
    <w:p w14:paraId="17A7AF0C" w14:textId="269143D8" w:rsidR="004C2CCC" w:rsidRPr="000D6942" w:rsidRDefault="004C2CCC" w:rsidP="008262C3">
      <w:pPr>
        <w:ind w:right="-449"/>
        <w:rPr>
          <w:b/>
        </w:rPr>
      </w:pPr>
      <w:r w:rsidRPr="000D6942">
        <w:rPr>
          <w:szCs w:val="22"/>
        </w:rPr>
        <w:t xml:space="preserve">Jeigu pasireiškė šalutinis poveikis, įskaitant šiame lapelyje nenurodytą, pasakykite gydytojui arba slaugytojai. </w:t>
      </w:r>
      <w:r w:rsidR="00480C37" w:rsidRPr="000D6942">
        <w:rPr>
          <w:szCs w:val="22"/>
        </w:rPr>
        <w:t xml:space="preserve">Apie šalutinį poveikį taip pat galite pranešti Valstybinei vaistų kontrolės tarnybai prie Lietuvos Respublikos sveikatos apsaugos ministerijos nemokamu telefonu 8 800 73568 arba užpildyti interneto svetainėje </w:t>
      </w:r>
      <w:hyperlink r:id="rId17" w:history="1">
        <w:r w:rsidR="00480C37" w:rsidRPr="000D6942">
          <w:rPr>
            <w:rStyle w:val="Hipersaitas"/>
            <w:szCs w:val="22"/>
          </w:rPr>
          <w:t>www.vvkt.lt</w:t>
        </w:r>
      </w:hyperlink>
      <w:r w:rsidR="00480C37" w:rsidRPr="000D6942">
        <w:rPr>
          <w:szCs w:val="22"/>
        </w:rPr>
        <w:t xml:space="preserve"> esančią formą ir pateikti ją Valstybinei vaistų kontrolės tarnybai prie Lietuvos Respublikos sveikatos apsaugos ministerijos vienu iš šių būdų: raštu (adresu Žirmūnų g. 139A, LT</w:t>
      </w:r>
      <w:r w:rsidR="008262C3" w:rsidRPr="000D6942">
        <w:rPr>
          <w:szCs w:val="22"/>
        </w:rPr>
        <w:t xml:space="preserve"> </w:t>
      </w:r>
      <w:r w:rsidR="00480C37" w:rsidRPr="000D6942">
        <w:rPr>
          <w:szCs w:val="22"/>
        </w:rPr>
        <w:t xml:space="preserve">09120 Vilnius), nemokamu fakso numeriu 8 800 20131, el. paštu </w:t>
      </w:r>
      <w:hyperlink r:id="rId18" w:history="1">
        <w:r w:rsidR="00480C37" w:rsidRPr="000D6942">
          <w:rPr>
            <w:rStyle w:val="Hipersaitas"/>
            <w:szCs w:val="22"/>
          </w:rPr>
          <w:t>NepageidaujamaR@vvkt.lt</w:t>
        </w:r>
      </w:hyperlink>
      <w:r w:rsidR="00480C37" w:rsidRPr="000D6942">
        <w:rPr>
          <w:szCs w:val="22"/>
        </w:rPr>
        <w:t xml:space="preserve">, taip pat per Valstybinės vaistų kontrolės tarnybos prie Lietuvos Respublikos sveikatos apsaugos ministerijos interneto svetainę (adresu </w:t>
      </w:r>
      <w:hyperlink r:id="rId19" w:history="1">
        <w:r w:rsidR="00480C37" w:rsidRPr="000D6942">
          <w:rPr>
            <w:rStyle w:val="Hipersaitas"/>
            <w:szCs w:val="22"/>
          </w:rPr>
          <w:t>http://www.vvkt.lt</w:t>
        </w:r>
      </w:hyperlink>
      <w:r w:rsidR="00480C37" w:rsidRPr="000D6942">
        <w:rPr>
          <w:szCs w:val="22"/>
        </w:rPr>
        <w:t>). Pranešdami apie šalutinį poveikį galite mums padėti gauti daugiau informacijos apie šio vaisto saugumą.</w:t>
      </w:r>
    </w:p>
    <w:p w14:paraId="16F31131" w14:textId="77777777" w:rsidR="004C2CCC" w:rsidRPr="002A0D89" w:rsidRDefault="004C2CCC" w:rsidP="002A0D89">
      <w:pPr>
        <w:pStyle w:val="NormalRight-0cm"/>
        <w:spacing w:line="240" w:lineRule="auto"/>
        <w:rPr>
          <w:b w:val="0"/>
        </w:rPr>
      </w:pPr>
    </w:p>
    <w:p w14:paraId="05E73043" w14:textId="77777777" w:rsidR="008262C3" w:rsidRPr="000D6942" w:rsidRDefault="008262C3" w:rsidP="0087234B">
      <w:pPr>
        <w:pStyle w:val="NormalRight-0cm"/>
        <w:spacing w:line="240" w:lineRule="auto"/>
        <w:rPr>
          <w:b w:val="0"/>
          <w:color w:val="auto"/>
        </w:rPr>
      </w:pPr>
    </w:p>
    <w:p w14:paraId="11333B4E" w14:textId="77777777" w:rsidR="004C2CCC" w:rsidRPr="000D6942" w:rsidRDefault="004C2CCC" w:rsidP="0087234B">
      <w:pPr>
        <w:pStyle w:val="NormalRight-0cm"/>
        <w:spacing w:line="240" w:lineRule="auto"/>
        <w:rPr>
          <w:color w:val="auto"/>
        </w:rPr>
      </w:pPr>
      <w:r w:rsidRPr="000D6942">
        <w:rPr>
          <w:color w:val="auto"/>
        </w:rPr>
        <w:t>5.</w:t>
      </w:r>
      <w:r w:rsidRPr="000D6942">
        <w:rPr>
          <w:color w:val="auto"/>
        </w:rPr>
        <w:tab/>
        <w:t>Kaip laikyti Ferinject</w:t>
      </w:r>
    </w:p>
    <w:p w14:paraId="7576E551" w14:textId="77777777" w:rsidR="004C2CCC" w:rsidRPr="000D6942" w:rsidRDefault="004C2CCC" w:rsidP="0087234B">
      <w:pPr>
        <w:pStyle w:val="NormalRight-0cm"/>
        <w:spacing w:line="240" w:lineRule="auto"/>
        <w:rPr>
          <w:b w:val="0"/>
          <w:color w:val="auto"/>
        </w:rPr>
      </w:pPr>
    </w:p>
    <w:p w14:paraId="6D48474A" w14:textId="77777777" w:rsidR="004C2CCC" w:rsidRPr="000D6942" w:rsidRDefault="004C2CCC" w:rsidP="00CF38FA">
      <w:pPr>
        <w:numPr>
          <w:ilvl w:val="12"/>
          <w:numId w:val="0"/>
        </w:numPr>
        <w:ind w:right="-2"/>
        <w:rPr>
          <w:szCs w:val="22"/>
        </w:rPr>
      </w:pPr>
      <w:r w:rsidRPr="000D6942">
        <w:rPr>
          <w:szCs w:val="22"/>
        </w:rPr>
        <w:t>Šį vaistą laikykite vaikams nepastebimoje ir nepasiekiamoje vietoje.</w:t>
      </w:r>
    </w:p>
    <w:p w14:paraId="08E3CD42" w14:textId="77777777" w:rsidR="004C2CCC" w:rsidRPr="000D6942" w:rsidRDefault="004C2CCC" w:rsidP="0087234B">
      <w:pPr>
        <w:pStyle w:val="NormalRight-0cm"/>
        <w:spacing w:line="240" w:lineRule="auto"/>
        <w:rPr>
          <w:b w:val="0"/>
          <w:color w:val="auto"/>
        </w:rPr>
      </w:pPr>
    </w:p>
    <w:p w14:paraId="26461BB2" w14:textId="446C1F64" w:rsidR="004C2CCC" w:rsidRPr="000D6942" w:rsidRDefault="004C2CCC" w:rsidP="0087234B">
      <w:pPr>
        <w:pStyle w:val="NormalRight-0cm"/>
        <w:spacing w:line="240" w:lineRule="auto"/>
        <w:ind w:left="0" w:firstLine="0"/>
        <w:rPr>
          <w:b w:val="0"/>
          <w:color w:val="auto"/>
        </w:rPr>
      </w:pPr>
      <w:r w:rsidRPr="000D6942">
        <w:rPr>
          <w:b w:val="0"/>
          <w:color w:val="auto"/>
        </w:rPr>
        <w:t xml:space="preserve">Ant etiketės nurodytam </w:t>
      </w:r>
      <w:r w:rsidR="006D4A23">
        <w:rPr>
          <w:b w:val="0"/>
          <w:color w:val="auto"/>
        </w:rPr>
        <w:t xml:space="preserve">po „EXP“ </w:t>
      </w:r>
      <w:r w:rsidRPr="000D6942">
        <w:rPr>
          <w:b w:val="0"/>
          <w:color w:val="auto"/>
        </w:rPr>
        <w:t>tinkamumo laikui pasibaigus, Ferinject vartoti negalima. Vaistas tinkamas vartoti iki paskutinės nurodyto mėnesio dienos.</w:t>
      </w:r>
    </w:p>
    <w:p w14:paraId="6AA13069" w14:textId="77777777" w:rsidR="004C2CCC" w:rsidRPr="000D6942" w:rsidRDefault="004C2CCC" w:rsidP="0087234B">
      <w:pPr>
        <w:pStyle w:val="NormalRight-0cm"/>
        <w:spacing w:line="240" w:lineRule="auto"/>
        <w:rPr>
          <w:b w:val="0"/>
          <w:color w:val="auto"/>
        </w:rPr>
      </w:pPr>
    </w:p>
    <w:p w14:paraId="44CB278D" w14:textId="77777777" w:rsidR="004C2CCC" w:rsidRPr="000D6942" w:rsidRDefault="004C2CCC" w:rsidP="0087234B">
      <w:pPr>
        <w:pStyle w:val="NormalRight-0cm"/>
        <w:spacing w:line="240" w:lineRule="auto"/>
        <w:ind w:left="0" w:firstLine="0"/>
        <w:rPr>
          <w:b w:val="0"/>
          <w:color w:val="auto"/>
        </w:rPr>
      </w:pPr>
      <w:r w:rsidRPr="000D6942">
        <w:rPr>
          <w:b w:val="0"/>
          <w:color w:val="auto"/>
        </w:rPr>
        <w:t>Laikyti gamintojo pakuotėje</w:t>
      </w:r>
      <w:r w:rsidR="005E61F3" w:rsidRPr="000D6942">
        <w:rPr>
          <w:b w:val="0"/>
          <w:color w:val="auto"/>
        </w:rPr>
        <w:t>, kad preparatas būtų apsaugotas nuo šviesos</w:t>
      </w:r>
      <w:r w:rsidRPr="000D6942">
        <w:rPr>
          <w:b w:val="0"/>
          <w:color w:val="auto"/>
        </w:rPr>
        <w:t xml:space="preserve">. Laikyti ne aukštesnėje kaip 30 </w:t>
      </w:r>
      <w:r w:rsidRPr="000D6942">
        <w:rPr>
          <w:b w:val="0"/>
          <w:color w:val="auto"/>
        </w:rPr>
        <w:sym w:font="Symbol" w:char="F0B0"/>
      </w:r>
      <w:r w:rsidRPr="000D6942">
        <w:rPr>
          <w:b w:val="0"/>
          <w:color w:val="auto"/>
        </w:rPr>
        <w:t>C temperatūroje. Negalima užšaldyti.</w:t>
      </w:r>
    </w:p>
    <w:p w14:paraId="40B92C48" w14:textId="77777777" w:rsidR="004C2CCC" w:rsidRPr="000D6942" w:rsidRDefault="004C2CCC" w:rsidP="0087234B">
      <w:pPr>
        <w:pStyle w:val="NormalRight-0cm"/>
        <w:spacing w:line="240" w:lineRule="auto"/>
        <w:rPr>
          <w:b w:val="0"/>
          <w:color w:val="auto"/>
        </w:rPr>
      </w:pPr>
    </w:p>
    <w:p w14:paraId="1AE49AC1" w14:textId="77777777" w:rsidR="00CF38FA" w:rsidRPr="000D6942" w:rsidRDefault="004C2CCC" w:rsidP="0087234B">
      <w:pPr>
        <w:pStyle w:val="NormalRight-0cm"/>
        <w:spacing w:line="240" w:lineRule="auto"/>
        <w:rPr>
          <w:b w:val="0"/>
          <w:color w:val="auto"/>
        </w:rPr>
      </w:pPr>
      <w:r w:rsidRPr="000D6942">
        <w:rPr>
          <w:b w:val="0"/>
          <w:color w:val="auto"/>
        </w:rPr>
        <w:t>Atidarius Ferinject flakonus, tirpalą reikia vartoti nedelsiant.</w:t>
      </w:r>
    </w:p>
    <w:p w14:paraId="4F11945C" w14:textId="77777777" w:rsidR="004C2CCC" w:rsidRPr="000D6942" w:rsidRDefault="004C2CCC" w:rsidP="0087234B">
      <w:pPr>
        <w:pStyle w:val="NormalRight-0cm"/>
        <w:spacing w:line="240" w:lineRule="auto"/>
        <w:rPr>
          <w:b w:val="0"/>
          <w:color w:val="auto"/>
        </w:rPr>
      </w:pPr>
      <w:r w:rsidRPr="000D6942">
        <w:rPr>
          <w:b w:val="0"/>
          <w:color w:val="auto"/>
        </w:rPr>
        <w:t>Praskiedus natrio chlorido tirpalu, praskiestą tirpalą reikia vartoti nedelsiant.</w:t>
      </w:r>
    </w:p>
    <w:p w14:paraId="70757ABD" w14:textId="77777777" w:rsidR="004C2CCC" w:rsidRPr="000D6942" w:rsidRDefault="004C2CCC" w:rsidP="0087234B">
      <w:pPr>
        <w:pStyle w:val="NormalRight-0cm"/>
        <w:spacing w:line="240" w:lineRule="auto"/>
        <w:rPr>
          <w:b w:val="0"/>
          <w:color w:val="auto"/>
        </w:rPr>
      </w:pPr>
    </w:p>
    <w:p w14:paraId="65F2A563" w14:textId="77777777" w:rsidR="004C2CCC" w:rsidRPr="000D6942" w:rsidRDefault="004C2CCC" w:rsidP="0087234B">
      <w:pPr>
        <w:pStyle w:val="NormalRight-0cm"/>
        <w:spacing w:line="240" w:lineRule="auto"/>
        <w:rPr>
          <w:b w:val="0"/>
          <w:color w:val="auto"/>
        </w:rPr>
      </w:pPr>
      <w:r w:rsidRPr="000D6942">
        <w:rPr>
          <w:b w:val="0"/>
          <w:color w:val="auto"/>
        </w:rPr>
        <w:t>Ferinject paprastai yra laikomas pas gydytoją arba gydymo įstaigoje.</w:t>
      </w:r>
    </w:p>
    <w:p w14:paraId="28BFA30E" w14:textId="77777777" w:rsidR="004C2CCC" w:rsidRPr="000D6942" w:rsidRDefault="004C2CCC" w:rsidP="0087234B">
      <w:pPr>
        <w:pStyle w:val="NormalRight-0cm"/>
        <w:spacing w:line="240" w:lineRule="auto"/>
        <w:rPr>
          <w:b w:val="0"/>
          <w:color w:val="auto"/>
        </w:rPr>
      </w:pPr>
    </w:p>
    <w:p w14:paraId="5ADF0CA0" w14:textId="77777777" w:rsidR="004C2CCC" w:rsidRPr="000D6942" w:rsidRDefault="004C2CCC" w:rsidP="0087234B">
      <w:pPr>
        <w:pStyle w:val="NormalRight-0cm"/>
        <w:spacing w:line="240" w:lineRule="auto"/>
        <w:rPr>
          <w:b w:val="0"/>
          <w:color w:val="auto"/>
        </w:rPr>
      </w:pPr>
    </w:p>
    <w:p w14:paraId="39F44D56" w14:textId="77777777" w:rsidR="004C2CCC" w:rsidRPr="000D6942" w:rsidRDefault="004C2CCC" w:rsidP="0087234B">
      <w:pPr>
        <w:pStyle w:val="NormalRight-0cm"/>
        <w:spacing w:line="240" w:lineRule="auto"/>
        <w:rPr>
          <w:color w:val="auto"/>
        </w:rPr>
      </w:pPr>
      <w:r w:rsidRPr="000D6942">
        <w:rPr>
          <w:color w:val="auto"/>
        </w:rPr>
        <w:t>6.</w:t>
      </w:r>
      <w:r w:rsidRPr="000D6942">
        <w:rPr>
          <w:color w:val="auto"/>
        </w:rPr>
        <w:tab/>
      </w:r>
      <w:r w:rsidRPr="000D6942">
        <w:t>Pakuotės turinys ir kita informacija</w:t>
      </w:r>
    </w:p>
    <w:p w14:paraId="6C47B5B4" w14:textId="77777777" w:rsidR="004C2CCC" w:rsidRPr="000D6942" w:rsidRDefault="004C2CCC" w:rsidP="0087234B">
      <w:pPr>
        <w:pStyle w:val="NormalRight-0cm"/>
        <w:spacing w:line="240" w:lineRule="auto"/>
        <w:rPr>
          <w:b w:val="0"/>
          <w:color w:val="auto"/>
        </w:rPr>
      </w:pPr>
    </w:p>
    <w:p w14:paraId="1612B5F3" w14:textId="77777777" w:rsidR="004C2CCC" w:rsidRPr="000D6942" w:rsidRDefault="004C2CCC" w:rsidP="0087234B">
      <w:pPr>
        <w:pStyle w:val="NormalRight-0cm"/>
        <w:spacing w:line="240" w:lineRule="auto"/>
        <w:rPr>
          <w:color w:val="auto"/>
        </w:rPr>
      </w:pPr>
      <w:r w:rsidRPr="000D6942">
        <w:rPr>
          <w:color w:val="auto"/>
        </w:rPr>
        <w:t>Ferinject sudėtis</w:t>
      </w:r>
    </w:p>
    <w:p w14:paraId="66DAF2FB" w14:textId="77777777" w:rsidR="00CF38FA" w:rsidRPr="000D6942" w:rsidRDefault="004C2CCC" w:rsidP="0087234B">
      <w:pPr>
        <w:pStyle w:val="NormalRight-0cm"/>
        <w:spacing w:line="240" w:lineRule="auto"/>
        <w:rPr>
          <w:b w:val="0"/>
          <w:color w:val="auto"/>
        </w:rPr>
      </w:pPr>
      <w:r w:rsidRPr="000D6942">
        <w:rPr>
          <w:b w:val="0"/>
          <w:color w:val="auto"/>
        </w:rPr>
        <w:lastRenderedPageBreak/>
        <w:t>-</w:t>
      </w:r>
      <w:r w:rsidRPr="000D6942">
        <w:rPr>
          <w:b w:val="0"/>
          <w:color w:val="auto"/>
        </w:rPr>
        <w:tab/>
        <w:t>Veiklioji medžiaga yra geležis (geležies karboksimaltozės pavidalu, tai geležies ir angliavandenio junginys). Geležies koncentracija preparate – 50 mg geležies viename mililitre tirpalo.</w:t>
      </w:r>
    </w:p>
    <w:p w14:paraId="78A880DD" w14:textId="77777777" w:rsidR="004C2CCC" w:rsidRPr="000D6942" w:rsidRDefault="004C2CCC" w:rsidP="0087234B">
      <w:pPr>
        <w:pStyle w:val="NormalRight-0cm"/>
        <w:spacing w:line="240" w:lineRule="auto"/>
        <w:rPr>
          <w:b w:val="0"/>
          <w:color w:val="auto"/>
        </w:rPr>
      </w:pPr>
      <w:r w:rsidRPr="000D6942">
        <w:rPr>
          <w:b w:val="0"/>
          <w:color w:val="auto"/>
        </w:rPr>
        <w:t>-</w:t>
      </w:r>
      <w:r w:rsidRPr="000D6942">
        <w:rPr>
          <w:b w:val="0"/>
          <w:color w:val="auto"/>
        </w:rPr>
        <w:tab/>
        <w:t>Pagalbinės medžiagos yra natrio hidroksidas (pH reguliuoti), vandenilio chlorido rūgštis (pH reguliuoti) ir injekcinis vanduo.</w:t>
      </w:r>
    </w:p>
    <w:p w14:paraId="73649DE3" w14:textId="77777777" w:rsidR="004C2CCC" w:rsidRPr="000D6942" w:rsidRDefault="004C2CCC" w:rsidP="0087234B">
      <w:pPr>
        <w:pStyle w:val="NormalRight-0cm"/>
        <w:spacing w:line="240" w:lineRule="auto"/>
        <w:rPr>
          <w:b w:val="0"/>
          <w:color w:val="auto"/>
        </w:rPr>
      </w:pPr>
    </w:p>
    <w:p w14:paraId="7609F430" w14:textId="77777777" w:rsidR="004C2CCC" w:rsidRPr="000D6942" w:rsidRDefault="004C2CCC" w:rsidP="0087234B">
      <w:pPr>
        <w:pStyle w:val="NormalRight-0cm"/>
        <w:spacing w:line="240" w:lineRule="auto"/>
        <w:rPr>
          <w:color w:val="auto"/>
        </w:rPr>
      </w:pPr>
      <w:r w:rsidRPr="000D6942">
        <w:rPr>
          <w:color w:val="auto"/>
        </w:rPr>
        <w:t>Ferinject išvaizda ir kiekis pakuotėje</w:t>
      </w:r>
    </w:p>
    <w:p w14:paraId="76E9D6D6" w14:textId="77777777" w:rsidR="004C2CCC" w:rsidRPr="000D6942" w:rsidRDefault="004C2CCC" w:rsidP="0087234B">
      <w:pPr>
        <w:pStyle w:val="NormalRight-0cm"/>
        <w:spacing w:line="240" w:lineRule="auto"/>
        <w:rPr>
          <w:b w:val="0"/>
          <w:color w:val="auto"/>
        </w:rPr>
      </w:pPr>
    </w:p>
    <w:p w14:paraId="03E3C442" w14:textId="77777777" w:rsidR="004C2CCC" w:rsidRPr="002A0D89" w:rsidRDefault="004C2CCC" w:rsidP="0087234B">
      <w:pPr>
        <w:pStyle w:val="NormalRight-0cm"/>
        <w:spacing w:line="240" w:lineRule="auto"/>
        <w:rPr>
          <w:b w:val="0"/>
          <w:color w:val="auto"/>
        </w:rPr>
      </w:pPr>
      <w:r w:rsidRPr="002A0D89">
        <w:rPr>
          <w:b w:val="0"/>
          <w:color w:val="auto"/>
        </w:rPr>
        <w:t>Ferinject yra tamsiai rudos spalvos, neskaidrus injekcinis/infuzinis tirpalas.</w:t>
      </w:r>
    </w:p>
    <w:p w14:paraId="53ECDCD6" w14:textId="77777777" w:rsidR="004C2CCC" w:rsidRPr="000D6942" w:rsidRDefault="004C2CCC" w:rsidP="0087234B">
      <w:pPr>
        <w:pStyle w:val="NormalRight-0cm"/>
        <w:spacing w:line="240" w:lineRule="auto"/>
        <w:rPr>
          <w:b w:val="0"/>
          <w:color w:val="auto"/>
        </w:rPr>
      </w:pPr>
    </w:p>
    <w:p w14:paraId="40E0D4CF" w14:textId="77777777" w:rsidR="004C2CCC" w:rsidRPr="000D6942" w:rsidRDefault="004C2CCC" w:rsidP="00CF38FA">
      <w:pPr>
        <w:rPr>
          <w:szCs w:val="22"/>
        </w:rPr>
      </w:pPr>
      <w:r w:rsidRPr="002A0D89">
        <w:t>Ferinject tiekiamas stikliniuose flakonuose, kuriuose yra:</w:t>
      </w:r>
    </w:p>
    <w:p w14:paraId="0C50E597" w14:textId="77777777" w:rsidR="004C2CCC" w:rsidRPr="000D6942" w:rsidRDefault="004C2CCC" w:rsidP="00CF38FA">
      <w:pPr>
        <w:numPr>
          <w:ilvl w:val="0"/>
          <w:numId w:val="6"/>
        </w:numPr>
        <w:ind w:hanging="720"/>
        <w:rPr>
          <w:szCs w:val="22"/>
        </w:rPr>
      </w:pPr>
      <w:r w:rsidRPr="002A0D89">
        <w:t xml:space="preserve">2 ml tirpalo, atitinkančio </w:t>
      </w:r>
      <w:r w:rsidRPr="000D6942">
        <w:rPr>
          <w:szCs w:val="22"/>
        </w:rPr>
        <w:t>100 mg geležies. Pakuotėje yra 1, 2 arba 5 flakonai.</w:t>
      </w:r>
    </w:p>
    <w:p w14:paraId="168483E9" w14:textId="77777777" w:rsidR="004C2CCC" w:rsidRPr="000D6942" w:rsidRDefault="004C2CCC" w:rsidP="00CF38FA">
      <w:pPr>
        <w:numPr>
          <w:ilvl w:val="0"/>
          <w:numId w:val="6"/>
        </w:numPr>
        <w:ind w:hanging="720"/>
        <w:rPr>
          <w:szCs w:val="22"/>
        </w:rPr>
      </w:pPr>
      <w:r w:rsidRPr="000D6942">
        <w:rPr>
          <w:color w:val="000000"/>
          <w:szCs w:val="22"/>
        </w:rPr>
        <w:t>10 ml tirpalo</w:t>
      </w:r>
      <w:r w:rsidRPr="000D6942">
        <w:rPr>
          <w:szCs w:val="22"/>
        </w:rPr>
        <w:t>, atitinkančio</w:t>
      </w:r>
      <w:r w:rsidRPr="000D6942">
        <w:rPr>
          <w:color w:val="000000"/>
          <w:szCs w:val="22"/>
        </w:rPr>
        <w:t xml:space="preserve"> 500 mg geležies</w:t>
      </w:r>
      <w:r w:rsidRPr="000D6942">
        <w:rPr>
          <w:szCs w:val="22"/>
        </w:rPr>
        <w:t>. Pakuotėje yra 1, 2 arba 5 flakonai.</w:t>
      </w:r>
    </w:p>
    <w:p w14:paraId="74C54201" w14:textId="77777777" w:rsidR="004C2CCC" w:rsidRPr="000D6942" w:rsidRDefault="004C2CCC" w:rsidP="00CF38FA">
      <w:pPr>
        <w:numPr>
          <w:ilvl w:val="0"/>
          <w:numId w:val="6"/>
        </w:numPr>
        <w:ind w:hanging="720"/>
        <w:rPr>
          <w:szCs w:val="22"/>
        </w:rPr>
      </w:pPr>
      <w:r w:rsidRPr="000D6942">
        <w:rPr>
          <w:szCs w:val="22"/>
        </w:rPr>
        <w:t>20 ml tirpalo, atitinkančio 1000 mg</w:t>
      </w:r>
      <w:r w:rsidRPr="002A0D89">
        <w:t xml:space="preserve"> geležies. Pakuotėje yra 1 flakonas.</w:t>
      </w:r>
    </w:p>
    <w:p w14:paraId="4E8221B0" w14:textId="77777777" w:rsidR="004C2CCC" w:rsidRPr="000D6942" w:rsidRDefault="004C2CCC" w:rsidP="0087234B">
      <w:pPr>
        <w:pStyle w:val="NormalRight-0cm"/>
        <w:spacing w:line="240" w:lineRule="auto"/>
        <w:rPr>
          <w:b w:val="0"/>
          <w:color w:val="auto"/>
        </w:rPr>
      </w:pPr>
    </w:p>
    <w:p w14:paraId="71534A68" w14:textId="77777777" w:rsidR="004C2CCC" w:rsidRPr="000D6942" w:rsidRDefault="00A41A72" w:rsidP="0087234B">
      <w:pPr>
        <w:pStyle w:val="NormalRight-0cm"/>
        <w:spacing w:line="240" w:lineRule="auto"/>
        <w:ind w:left="0" w:firstLine="0"/>
        <w:rPr>
          <w:color w:val="auto"/>
        </w:rPr>
      </w:pPr>
      <w:bookmarkStart w:id="22" w:name="OLE_LINK6"/>
      <w:r w:rsidRPr="000D6942">
        <w:rPr>
          <w:color w:val="auto"/>
        </w:rPr>
        <w:t xml:space="preserve">Registruotojas </w:t>
      </w:r>
      <w:r w:rsidR="004C2CCC" w:rsidRPr="000D6942">
        <w:rPr>
          <w:color w:val="auto"/>
        </w:rPr>
        <w:t>ir gamintojas</w:t>
      </w:r>
    </w:p>
    <w:bookmarkEnd w:id="22"/>
    <w:p w14:paraId="235A6015" w14:textId="77777777" w:rsidR="004A7D96" w:rsidRPr="002A0D89" w:rsidRDefault="004A7D96" w:rsidP="004A7D96">
      <w:pPr>
        <w:numPr>
          <w:ilvl w:val="12"/>
          <w:numId w:val="0"/>
        </w:numPr>
        <w:ind w:right="-2"/>
      </w:pPr>
      <w:r w:rsidRPr="000D6942">
        <w:rPr>
          <w:szCs w:val="20"/>
        </w:rPr>
        <w:t xml:space="preserve">Vifor France </w:t>
      </w:r>
    </w:p>
    <w:p w14:paraId="5D24D979" w14:textId="77777777" w:rsidR="004A7D96" w:rsidRPr="000D6942" w:rsidRDefault="004A7D96" w:rsidP="004A7D96">
      <w:pPr>
        <w:numPr>
          <w:ilvl w:val="12"/>
          <w:numId w:val="0"/>
        </w:numPr>
        <w:ind w:right="-2"/>
        <w:rPr>
          <w:szCs w:val="20"/>
        </w:rPr>
      </w:pPr>
      <w:r w:rsidRPr="000D6942">
        <w:rPr>
          <w:szCs w:val="20"/>
        </w:rPr>
        <w:t xml:space="preserve">100-101 Terrasse Boieldieu </w:t>
      </w:r>
    </w:p>
    <w:p w14:paraId="69B7DA9C" w14:textId="77777777" w:rsidR="004A7D96" w:rsidRPr="000D6942" w:rsidRDefault="004A7D96" w:rsidP="004A7D96">
      <w:pPr>
        <w:numPr>
          <w:ilvl w:val="12"/>
          <w:numId w:val="0"/>
        </w:numPr>
        <w:ind w:right="-2"/>
        <w:rPr>
          <w:szCs w:val="20"/>
        </w:rPr>
      </w:pPr>
      <w:r w:rsidRPr="000D6942">
        <w:rPr>
          <w:szCs w:val="20"/>
        </w:rPr>
        <w:t>Tour Franklin La Défense 8</w:t>
      </w:r>
    </w:p>
    <w:p w14:paraId="4D4A82D7" w14:textId="77777777" w:rsidR="004C2CCC" w:rsidRPr="000D6942" w:rsidRDefault="004A7D96" w:rsidP="0087234B">
      <w:pPr>
        <w:pStyle w:val="NormalRight-0cm"/>
        <w:spacing w:line="240" w:lineRule="auto"/>
        <w:rPr>
          <w:rFonts w:eastAsia="Arial Unicode MS"/>
          <w:b w:val="0"/>
          <w:color w:val="auto"/>
        </w:rPr>
      </w:pPr>
      <w:r w:rsidRPr="000D6942">
        <w:rPr>
          <w:szCs w:val="20"/>
        </w:rPr>
        <w:t>92042 Paris La Défense Cedex</w:t>
      </w:r>
    </w:p>
    <w:p w14:paraId="3E8A48B9" w14:textId="77777777" w:rsidR="004C2CCC" w:rsidRPr="000D6942" w:rsidRDefault="004C2CCC" w:rsidP="0087234B">
      <w:pPr>
        <w:pStyle w:val="NormalRight-0cm"/>
        <w:spacing w:line="240" w:lineRule="auto"/>
        <w:rPr>
          <w:rFonts w:eastAsia="Arial Unicode MS"/>
          <w:b w:val="0"/>
          <w:color w:val="auto"/>
        </w:rPr>
      </w:pPr>
      <w:r w:rsidRPr="000D6942">
        <w:rPr>
          <w:rFonts w:eastAsia="Arial Unicode MS"/>
          <w:b w:val="0"/>
          <w:color w:val="auto"/>
        </w:rPr>
        <w:t>Prancūzija</w:t>
      </w:r>
    </w:p>
    <w:p w14:paraId="5A14BA25" w14:textId="77777777" w:rsidR="004C2CCC" w:rsidRPr="000D6942" w:rsidRDefault="004C2CCC" w:rsidP="0087234B">
      <w:pPr>
        <w:pStyle w:val="NormalRight-0cm"/>
        <w:spacing w:line="240" w:lineRule="auto"/>
        <w:rPr>
          <w:b w:val="0"/>
          <w:color w:val="auto"/>
        </w:rPr>
      </w:pPr>
      <w:r w:rsidRPr="000D6942">
        <w:rPr>
          <w:b w:val="0"/>
          <w:color w:val="auto"/>
        </w:rPr>
        <w:t>Tel. +33 (0)1 41 06 58 90</w:t>
      </w:r>
    </w:p>
    <w:p w14:paraId="68360E95" w14:textId="77777777" w:rsidR="004C2CCC" w:rsidRPr="000D6942" w:rsidRDefault="004C2CCC" w:rsidP="0087234B">
      <w:pPr>
        <w:pStyle w:val="NormalRight-0cm"/>
        <w:spacing w:line="240" w:lineRule="auto"/>
        <w:rPr>
          <w:b w:val="0"/>
          <w:color w:val="auto"/>
        </w:rPr>
      </w:pPr>
      <w:r w:rsidRPr="000D6942">
        <w:rPr>
          <w:b w:val="0"/>
          <w:color w:val="auto"/>
        </w:rPr>
        <w:t>Faks. +33 (0)1 41 06 58 99</w:t>
      </w:r>
    </w:p>
    <w:p w14:paraId="7CDA4E9B" w14:textId="2FF98DCF" w:rsidR="004C2CCC" w:rsidRPr="000D6942" w:rsidRDefault="004C2CCC" w:rsidP="0087234B">
      <w:pPr>
        <w:pStyle w:val="NormalRight-0cm"/>
        <w:spacing w:line="240" w:lineRule="auto"/>
        <w:rPr>
          <w:b w:val="0"/>
          <w:color w:val="auto"/>
        </w:rPr>
      </w:pPr>
      <w:r w:rsidRPr="000D6942">
        <w:rPr>
          <w:b w:val="0"/>
          <w:color w:val="auto"/>
        </w:rPr>
        <w:t xml:space="preserve">El. paštas: </w:t>
      </w:r>
      <w:hyperlink r:id="rId20" w:history="1">
        <w:r w:rsidRPr="00920D28">
          <w:rPr>
            <w:rStyle w:val="Hipersaitas"/>
            <w:b w:val="0"/>
          </w:rPr>
          <w:t>contact-fr@viforpharma.com</w:t>
        </w:r>
      </w:hyperlink>
    </w:p>
    <w:p w14:paraId="5E068066" w14:textId="77777777" w:rsidR="004C2CCC" w:rsidRPr="000D6942" w:rsidRDefault="004C2CCC" w:rsidP="0087234B">
      <w:pPr>
        <w:pStyle w:val="NormalRight-0cm"/>
        <w:spacing w:line="240" w:lineRule="auto"/>
        <w:rPr>
          <w:b w:val="0"/>
          <w:color w:val="auto"/>
        </w:rPr>
      </w:pPr>
    </w:p>
    <w:p w14:paraId="3A78BF11" w14:textId="73E1A936" w:rsidR="004C2CCC" w:rsidRPr="000D6942" w:rsidRDefault="004C2CCC" w:rsidP="00CF38FA">
      <w:pPr>
        <w:rPr>
          <w:b/>
          <w:szCs w:val="22"/>
        </w:rPr>
      </w:pPr>
      <w:r w:rsidRPr="000D6942">
        <w:rPr>
          <w:b/>
          <w:szCs w:val="22"/>
        </w:rPr>
        <w:t xml:space="preserve">Šio vaistinio preparato </w:t>
      </w:r>
      <w:r w:rsidR="00A41A72" w:rsidRPr="000D6942">
        <w:rPr>
          <w:b/>
          <w:szCs w:val="22"/>
        </w:rPr>
        <w:t>registracijos pažymėjimas</w:t>
      </w:r>
      <w:r w:rsidRPr="000D6942">
        <w:rPr>
          <w:b/>
          <w:szCs w:val="22"/>
        </w:rPr>
        <w:t xml:space="preserve"> EEE valstybėse narėse suteikta</w:t>
      </w:r>
      <w:r w:rsidR="00A41A72" w:rsidRPr="000D6942">
        <w:rPr>
          <w:b/>
          <w:szCs w:val="22"/>
        </w:rPr>
        <w:t>s</w:t>
      </w:r>
      <w:r w:rsidRPr="000D6942">
        <w:rPr>
          <w:b/>
          <w:szCs w:val="22"/>
        </w:rPr>
        <w:t xml:space="preserve"> tokiais pavadinimais</w:t>
      </w:r>
      <w:r w:rsidRPr="000D6942">
        <w:rPr>
          <w:szCs w:val="22"/>
        </w:rPr>
        <w:t>:</w:t>
      </w:r>
    </w:p>
    <w:p w14:paraId="4546CC3D" w14:textId="7DACE533" w:rsidR="00CF38FA" w:rsidRPr="000D6942" w:rsidRDefault="004C2CCC" w:rsidP="0087234B">
      <w:pPr>
        <w:pStyle w:val="NormalRight-0cm"/>
        <w:spacing w:line="240" w:lineRule="auto"/>
        <w:ind w:left="0" w:firstLine="0"/>
        <w:rPr>
          <w:b w:val="0"/>
          <w:color w:val="auto"/>
        </w:rPr>
      </w:pPr>
      <w:r w:rsidRPr="000D6942">
        <w:rPr>
          <w:b w:val="0"/>
          <w:color w:val="auto"/>
        </w:rPr>
        <w:t>Austrija, Bulgarija</w:t>
      </w:r>
      <w:r w:rsidR="005E61F3" w:rsidRPr="000D6942">
        <w:rPr>
          <w:b w:val="0"/>
          <w:color w:val="auto"/>
        </w:rPr>
        <w:t>, Kroatija</w:t>
      </w:r>
      <w:r w:rsidRPr="000D6942">
        <w:rPr>
          <w:b w:val="0"/>
          <w:color w:val="auto"/>
        </w:rPr>
        <w:t>, Kipras, Čekija, Danija, Estija, Suomija, Prancūzija, Vokietija,</w:t>
      </w:r>
      <w:r w:rsidR="00CF38FA" w:rsidRPr="000D6942">
        <w:rPr>
          <w:b w:val="0"/>
          <w:color w:val="auto"/>
        </w:rPr>
        <w:t xml:space="preserve"> G</w:t>
      </w:r>
      <w:r w:rsidRPr="000D6942">
        <w:rPr>
          <w:b w:val="0"/>
          <w:color w:val="auto"/>
        </w:rPr>
        <w:t>raikija, Vengrija, Islandija, Airija, Italija, Latvija, Lietuva, Nyderlandai, Norvegija,</w:t>
      </w:r>
      <w:r w:rsidR="00CF38FA" w:rsidRPr="000D6942">
        <w:rPr>
          <w:b w:val="0"/>
          <w:color w:val="auto"/>
        </w:rPr>
        <w:t xml:space="preserve"> L</w:t>
      </w:r>
      <w:r w:rsidRPr="000D6942">
        <w:rPr>
          <w:b w:val="0"/>
          <w:color w:val="auto"/>
        </w:rPr>
        <w:t>enkija, Portugalija, Rumunija,</w:t>
      </w:r>
      <w:r w:rsidR="00CF38FA" w:rsidRPr="000D6942">
        <w:rPr>
          <w:b w:val="0"/>
          <w:color w:val="auto"/>
        </w:rPr>
        <w:t xml:space="preserve"> S</w:t>
      </w:r>
      <w:r w:rsidRPr="000D6942">
        <w:rPr>
          <w:b w:val="0"/>
          <w:color w:val="auto"/>
        </w:rPr>
        <w:t>lovakija, Ispanija, Švedija, Jungtinė Karalystė: Ferinject. Belgija, Liuksemburgas: Injectafer. Slovėnija: Iroprem.</w:t>
      </w:r>
    </w:p>
    <w:p w14:paraId="48160A90" w14:textId="77777777" w:rsidR="004C2CCC" w:rsidRPr="000D6942" w:rsidRDefault="004C2CCC" w:rsidP="0087234B">
      <w:pPr>
        <w:pStyle w:val="NormalRight-0cm"/>
        <w:spacing w:line="240" w:lineRule="auto"/>
      </w:pPr>
    </w:p>
    <w:p w14:paraId="10088F60" w14:textId="752FC50E" w:rsidR="00947F6A" w:rsidRPr="000D6942" w:rsidRDefault="004C2CCC" w:rsidP="00947F6A">
      <w:pPr>
        <w:pStyle w:val="NormalRight-0cm"/>
        <w:spacing w:line="240" w:lineRule="auto"/>
      </w:pPr>
      <w:r w:rsidRPr="000D6942">
        <w:t>Šis pakuotės lapelis paskutinį kartą peržiūrėtas</w:t>
      </w:r>
      <w:r w:rsidR="00F77311">
        <w:t xml:space="preserve"> </w:t>
      </w:r>
      <w:r w:rsidR="0014622F">
        <w:t>2018-12-28</w:t>
      </w:r>
      <w:r w:rsidR="00947F6A">
        <w:t>.</w:t>
      </w:r>
    </w:p>
    <w:p w14:paraId="69B7C165" w14:textId="62BBB91E" w:rsidR="004C2CCC" w:rsidRPr="000D6942" w:rsidRDefault="004C2CCC" w:rsidP="00AF288D">
      <w:pPr>
        <w:pStyle w:val="NormalRight-0cm"/>
        <w:spacing w:line="240" w:lineRule="auto"/>
        <w:ind w:left="0" w:firstLine="0"/>
      </w:pPr>
    </w:p>
    <w:p w14:paraId="498333D4" w14:textId="77777777" w:rsidR="004C2CCC" w:rsidRPr="000D6942" w:rsidRDefault="004C2CCC" w:rsidP="001E37F2">
      <w:pPr>
        <w:pStyle w:val="BTEMEASMCA"/>
        <w:jc w:val="left"/>
        <w:rPr>
          <w:noProof w:val="0"/>
        </w:rPr>
      </w:pPr>
      <w:r w:rsidRPr="000D6942">
        <w:rPr>
          <w:noProof w:val="0"/>
        </w:rPr>
        <w:t>Išsami informacija apie šį vaistą pateikiama</w:t>
      </w:r>
      <w:r w:rsidR="00CF38FA" w:rsidRPr="000D6942">
        <w:rPr>
          <w:noProof w:val="0"/>
        </w:rPr>
        <w:t xml:space="preserve"> V</w:t>
      </w:r>
      <w:r w:rsidRPr="000D6942">
        <w:rPr>
          <w:noProof w:val="0"/>
        </w:rPr>
        <w:t xml:space="preserve">alstybinės vaistų kontrolės tarnybos prie Lietuvos Respublikos sveikatos apsaugos ministerijos tinklalapyje  </w:t>
      </w:r>
      <w:hyperlink r:id="rId21" w:history="1">
        <w:r w:rsidRPr="000D6942">
          <w:rPr>
            <w:rStyle w:val="Hipersaitas"/>
            <w:noProof w:val="0"/>
          </w:rPr>
          <w:t>http://www.vvkt.lt/</w:t>
        </w:r>
      </w:hyperlink>
      <w:r w:rsidRPr="000D6942">
        <w:rPr>
          <w:noProof w:val="0"/>
        </w:rPr>
        <w:t>.</w:t>
      </w:r>
    </w:p>
    <w:p w14:paraId="49683AAF" w14:textId="77777777" w:rsidR="004C2CCC" w:rsidRPr="000D6942" w:rsidRDefault="004C2CCC" w:rsidP="00CF38FA">
      <w:pPr>
        <w:pStyle w:val="BTEMEASMCA"/>
        <w:jc w:val="left"/>
        <w:rPr>
          <w:noProof w:val="0"/>
        </w:rPr>
      </w:pPr>
    </w:p>
    <w:p w14:paraId="3EA03047" w14:textId="77777777" w:rsidR="005E61F3" w:rsidRPr="000D6942" w:rsidRDefault="005E61F3" w:rsidP="00CF38FA">
      <w:pPr>
        <w:pStyle w:val="BTEMEASMCA"/>
        <w:jc w:val="left"/>
        <w:rPr>
          <w:noProof w:val="0"/>
        </w:rPr>
      </w:pPr>
      <w:r w:rsidRPr="000D6942">
        <w:rPr>
          <w:noProof w:val="0"/>
        </w:rPr>
        <w:t>Toliau pateikta informacija skirta tik sveikatos priežiūros specialistams</w:t>
      </w:r>
      <w:r w:rsidR="000E5A2F" w:rsidRPr="000D6942">
        <w:rPr>
          <w:noProof w:val="0"/>
        </w:rPr>
        <w:t>.</w:t>
      </w:r>
    </w:p>
    <w:p w14:paraId="2268F26E" w14:textId="77777777" w:rsidR="005E61F3" w:rsidRPr="000D6942" w:rsidRDefault="005E61F3" w:rsidP="00CF38FA">
      <w:pPr>
        <w:pStyle w:val="BTEMEASMCA"/>
        <w:jc w:val="left"/>
        <w:rPr>
          <w:noProof w:val="0"/>
        </w:rPr>
      </w:pPr>
    </w:p>
    <w:p w14:paraId="2F29293F" w14:textId="17749111" w:rsidR="005E61F3" w:rsidRPr="000D6942" w:rsidRDefault="00DE6EA7" w:rsidP="00664286">
      <w:pPr>
        <w:pStyle w:val="BTEMEASMCA"/>
        <w:jc w:val="left"/>
        <w:rPr>
          <w:noProof w:val="0"/>
        </w:rPr>
      </w:pPr>
      <w:r w:rsidRPr="000D6942">
        <w:rPr>
          <w:noProof w:val="0"/>
        </w:rPr>
        <w:t>Kiekvieną kartą atidžiai stebėkite, ar Ferinject vartojimo metu ir po vartojimo pacientams nepasireiškė padidėjusio jautrumo požymių ar simptomų</w:t>
      </w:r>
      <w:r w:rsidR="005E61F3" w:rsidRPr="000D6942">
        <w:rPr>
          <w:noProof w:val="0"/>
        </w:rPr>
        <w:t xml:space="preserve">. </w:t>
      </w:r>
      <w:r w:rsidRPr="000D6942">
        <w:rPr>
          <w:noProof w:val="0"/>
        </w:rPr>
        <w:t>Ferinject turėtų būti vartojamas tik visa būtina gaivinimo įranga aprūpintoje aplinkoje ir kai netoliese yra personalo, išmokyto atpažinti ir suvaldyti anafilaktines reakcijas.</w:t>
      </w:r>
      <w:r w:rsidR="005E61F3" w:rsidRPr="000D6942">
        <w:rPr>
          <w:noProof w:val="0"/>
        </w:rPr>
        <w:t xml:space="preserve"> </w:t>
      </w:r>
      <w:r w:rsidRPr="000D6942">
        <w:rPr>
          <w:noProof w:val="0"/>
        </w:rPr>
        <w:t xml:space="preserve">Mažiausiai 30 minučių po kiekvieno Ferinject </w:t>
      </w:r>
      <w:r w:rsidR="00664286" w:rsidRPr="000D6942">
        <w:rPr>
          <w:noProof w:val="0"/>
        </w:rPr>
        <w:t>vartojimo</w:t>
      </w:r>
      <w:r w:rsidRPr="000D6942">
        <w:rPr>
          <w:noProof w:val="0"/>
        </w:rPr>
        <w:t xml:space="preserve"> reikia stebėti, ar pacientui nepasireiškė nepageidaujamas poveikis.</w:t>
      </w:r>
    </w:p>
    <w:p w14:paraId="59203412" w14:textId="77777777" w:rsidR="005E61F3" w:rsidRPr="000D6942" w:rsidRDefault="005E61F3" w:rsidP="00CF38FA">
      <w:pPr>
        <w:pStyle w:val="BTEMEASMCA"/>
        <w:jc w:val="left"/>
        <w:rPr>
          <w:noProof w:val="0"/>
        </w:rPr>
      </w:pPr>
    </w:p>
    <w:p w14:paraId="437A7CBE" w14:textId="77777777" w:rsidR="005E61F3" w:rsidRPr="000D6942" w:rsidRDefault="005E61F3" w:rsidP="00CF38FA">
      <w:pPr>
        <w:pStyle w:val="BTEMEASMCA"/>
        <w:jc w:val="left"/>
        <w:rPr>
          <w:noProof w:val="0"/>
        </w:rPr>
      </w:pPr>
      <w:r w:rsidRPr="000D6942">
        <w:rPr>
          <w:noProof w:val="0"/>
        </w:rPr>
        <w:t>Geležies poreikio nustatymas</w:t>
      </w:r>
    </w:p>
    <w:p w14:paraId="4D105592" w14:textId="77777777" w:rsidR="005E61F3" w:rsidRPr="000D6942" w:rsidRDefault="005E61F3" w:rsidP="00CF38FA">
      <w:pPr>
        <w:pStyle w:val="BTEMEASMCA"/>
        <w:jc w:val="left"/>
        <w:rPr>
          <w:noProof w:val="0"/>
        </w:rPr>
      </w:pPr>
      <w:r w:rsidRPr="000D6942">
        <w:rPr>
          <w:noProof w:val="0"/>
        </w:rPr>
        <w:t>Individualus geležies atsargų papildymo vartojant Ferinject poreikis nustatomas pagal paciento kūno svorį ir hemoglobino kiekį (Hb) (žr. 1 lentelę):</w:t>
      </w:r>
    </w:p>
    <w:p w14:paraId="06AFA5FF" w14:textId="77777777" w:rsidR="005E61F3" w:rsidRPr="000D6942" w:rsidRDefault="005E61F3" w:rsidP="00CF38FA">
      <w:pPr>
        <w:pStyle w:val="BTEMEASMCA"/>
        <w:jc w:val="left"/>
        <w:rPr>
          <w:noProof w:val="0"/>
        </w:rPr>
      </w:pPr>
    </w:p>
    <w:p w14:paraId="1B7FE6F4" w14:textId="77777777" w:rsidR="005E61F3" w:rsidRPr="000D6942" w:rsidRDefault="005E61F3" w:rsidP="00CF38FA">
      <w:pPr>
        <w:pStyle w:val="BTEMEASMCA"/>
        <w:jc w:val="left"/>
        <w:rPr>
          <w:noProof w:val="0"/>
        </w:rPr>
      </w:pPr>
      <w:r w:rsidRPr="000D6942">
        <w:rPr>
          <w:bCs/>
          <w:noProof w:val="0"/>
        </w:rPr>
        <w:t xml:space="preserve">1 lentelė. </w:t>
      </w:r>
      <w:r w:rsidRPr="000D6942">
        <w:rPr>
          <w:noProof w:val="0"/>
        </w:rPr>
        <w:tab/>
        <w:t>Geležies poreikio nustatymas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811"/>
        <w:gridCol w:w="1813"/>
        <w:gridCol w:w="1818"/>
        <w:gridCol w:w="1819"/>
      </w:tblGrid>
      <w:tr w:rsidR="005E61F3" w:rsidRPr="000D6942" w14:paraId="40DBAB34" w14:textId="77777777" w:rsidTr="00705434">
        <w:tc>
          <w:tcPr>
            <w:tcW w:w="3714" w:type="dxa"/>
            <w:gridSpan w:val="2"/>
            <w:shd w:val="clear" w:color="auto" w:fill="auto"/>
          </w:tcPr>
          <w:p w14:paraId="14CBE4C7" w14:textId="77777777" w:rsidR="005E61F3" w:rsidRPr="000D6942" w:rsidRDefault="005E61F3" w:rsidP="00CF38FA">
            <w:pPr>
              <w:pStyle w:val="BTEMEASMCA"/>
              <w:jc w:val="left"/>
              <w:rPr>
                <w:noProof w:val="0"/>
              </w:rPr>
            </w:pPr>
            <w:r w:rsidRPr="000D6942">
              <w:rPr>
                <w:noProof w:val="0"/>
              </w:rPr>
              <w:t>Hb</w:t>
            </w:r>
          </w:p>
        </w:tc>
        <w:tc>
          <w:tcPr>
            <w:tcW w:w="5572" w:type="dxa"/>
            <w:gridSpan w:val="3"/>
            <w:shd w:val="clear" w:color="auto" w:fill="auto"/>
          </w:tcPr>
          <w:p w14:paraId="6D145A5E" w14:textId="77777777" w:rsidR="005E61F3" w:rsidRPr="000D6942" w:rsidRDefault="005E61F3" w:rsidP="00CF38FA">
            <w:pPr>
              <w:pStyle w:val="BTEMEASMCA"/>
              <w:jc w:val="left"/>
              <w:rPr>
                <w:noProof w:val="0"/>
              </w:rPr>
            </w:pPr>
            <w:r w:rsidRPr="000D6942">
              <w:rPr>
                <w:noProof w:val="0"/>
              </w:rPr>
              <w:t>Paciento kūno svoris</w:t>
            </w:r>
          </w:p>
        </w:tc>
      </w:tr>
      <w:tr w:rsidR="00691187" w:rsidRPr="000D6942" w14:paraId="5C4CBCF3" w14:textId="77777777" w:rsidTr="00705434">
        <w:tc>
          <w:tcPr>
            <w:tcW w:w="1857" w:type="dxa"/>
            <w:shd w:val="clear" w:color="auto" w:fill="auto"/>
          </w:tcPr>
          <w:p w14:paraId="4643C8AD" w14:textId="77777777" w:rsidR="005E61F3" w:rsidRPr="000D6942" w:rsidRDefault="00C11F45" w:rsidP="00CF38FA">
            <w:pPr>
              <w:pStyle w:val="BTEMEASMCA"/>
              <w:jc w:val="left"/>
              <w:rPr>
                <w:noProof w:val="0"/>
              </w:rPr>
            </w:pPr>
            <w:r w:rsidRPr="000D6942">
              <w:rPr>
                <w:noProof w:val="0"/>
              </w:rPr>
              <w:lastRenderedPageBreak/>
              <w:t>g/dl</w:t>
            </w:r>
          </w:p>
        </w:tc>
        <w:tc>
          <w:tcPr>
            <w:tcW w:w="1857" w:type="dxa"/>
            <w:shd w:val="clear" w:color="auto" w:fill="auto"/>
          </w:tcPr>
          <w:p w14:paraId="31766612" w14:textId="77777777" w:rsidR="005E61F3" w:rsidRPr="000D6942" w:rsidRDefault="00C11F45" w:rsidP="00CF38FA">
            <w:pPr>
              <w:pStyle w:val="BTEMEASMCA"/>
              <w:jc w:val="left"/>
              <w:rPr>
                <w:noProof w:val="0"/>
              </w:rPr>
            </w:pPr>
            <w:r w:rsidRPr="000D6942">
              <w:rPr>
                <w:noProof w:val="0"/>
              </w:rPr>
              <w:t>mmol/l</w:t>
            </w:r>
          </w:p>
        </w:tc>
        <w:tc>
          <w:tcPr>
            <w:tcW w:w="1857" w:type="dxa"/>
            <w:shd w:val="clear" w:color="auto" w:fill="auto"/>
          </w:tcPr>
          <w:p w14:paraId="2636967C" w14:textId="77777777" w:rsidR="005E61F3" w:rsidRPr="000D6942" w:rsidRDefault="00C11F45" w:rsidP="00CF38FA">
            <w:pPr>
              <w:pStyle w:val="BTEMEASMCA"/>
              <w:jc w:val="left"/>
              <w:rPr>
                <w:noProof w:val="0"/>
              </w:rPr>
            </w:pPr>
            <w:r w:rsidRPr="000D6942">
              <w:rPr>
                <w:noProof w:val="0"/>
              </w:rPr>
              <w:t>mažiau nei 35 kg</w:t>
            </w:r>
          </w:p>
        </w:tc>
        <w:tc>
          <w:tcPr>
            <w:tcW w:w="1857" w:type="dxa"/>
            <w:shd w:val="clear" w:color="auto" w:fill="auto"/>
          </w:tcPr>
          <w:p w14:paraId="1737D3A3" w14:textId="77777777" w:rsidR="005E61F3" w:rsidRPr="000D6942" w:rsidRDefault="00C11F45" w:rsidP="00CF38FA">
            <w:pPr>
              <w:pStyle w:val="BTEMEASMCA"/>
              <w:jc w:val="left"/>
              <w:rPr>
                <w:noProof w:val="0"/>
              </w:rPr>
            </w:pPr>
            <w:r w:rsidRPr="000D6942">
              <w:rPr>
                <w:noProof w:val="0"/>
              </w:rPr>
              <w:t>nuo 35 kg iki &lt; 70 kg</w:t>
            </w:r>
          </w:p>
        </w:tc>
        <w:tc>
          <w:tcPr>
            <w:tcW w:w="1858" w:type="dxa"/>
            <w:shd w:val="clear" w:color="auto" w:fill="auto"/>
          </w:tcPr>
          <w:p w14:paraId="53BEDDB8" w14:textId="77777777" w:rsidR="005E61F3" w:rsidRPr="000D6942" w:rsidRDefault="00C11F45" w:rsidP="00CF38FA">
            <w:pPr>
              <w:pStyle w:val="BTEMEASMCA"/>
              <w:jc w:val="left"/>
              <w:rPr>
                <w:noProof w:val="0"/>
              </w:rPr>
            </w:pPr>
            <w:r w:rsidRPr="000D6942">
              <w:rPr>
                <w:noProof w:val="0"/>
              </w:rPr>
              <w:t>70 kg ir daugiau</w:t>
            </w:r>
          </w:p>
        </w:tc>
      </w:tr>
      <w:tr w:rsidR="00691187" w:rsidRPr="000D6942" w14:paraId="7DB6C550" w14:textId="77777777" w:rsidTr="00705434">
        <w:tc>
          <w:tcPr>
            <w:tcW w:w="1857" w:type="dxa"/>
            <w:shd w:val="clear" w:color="auto" w:fill="auto"/>
          </w:tcPr>
          <w:p w14:paraId="06F99FB5" w14:textId="6DEDFD48" w:rsidR="005E61F3" w:rsidRPr="000D6942" w:rsidRDefault="00C11F45" w:rsidP="00CF38FA">
            <w:pPr>
              <w:pStyle w:val="BTEMEASMCA"/>
              <w:jc w:val="left"/>
              <w:rPr>
                <w:noProof w:val="0"/>
              </w:rPr>
            </w:pPr>
            <w:r w:rsidRPr="000D6942">
              <w:rPr>
                <w:noProof w:val="0"/>
              </w:rPr>
              <w:t>&lt;10</w:t>
            </w:r>
          </w:p>
        </w:tc>
        <w:tc>
          <w:tcPr>
            <w:tcW w:w="1857" w:type="dxa"/>
            <w:shd w:val="clear" w:color="auto" w:fill="auto"/>
          </w:tcPr>
          <w:p w14:paraId="317085AC" w14:textId="5E1AB7A1" w:rsidR="005E61F3" w:rsidRPr="000D6942" w:rsidRDefault="00C11F45" w:rsidP="00CF38FA">
            <w:pPr>
              <w:pStyle w:val="BTEMEASMCA"/>
              <w:jc w:val="left"/>
              <w:rPr>
                <w:noProof w:val="0"/>
              </w:rPr>
            </w:pPr>
            <w:r w:rsidRPr="000D6942">
              <w:rPr>
                <w:noProof w:val="0"/>
              </w:rPr>
              <w:t>&lt;6,2</w:t>
            </w:r>
          </w:p>
        </w:tc>
        <w:tc>
          <w:tcPr>
            <w:tcW w:w="1857" w:type="dxa"/>
            <w:shd w:val="clear" w:color="auto" w:fill="auto"/>
          </w:tcPr>
          <w:p w14:paraId="44C4E3B0" w14:textId="77777777" w:rsidR="005E61F3" w:rsidRPr="000D6942" w:rsidRDefault="00C11F45" w:rsidP="00CF38FA">
            <w:pPr>
              <w:pStyle w:val="BTEMEASMCA"/>
              <w:jc w:val="left"/>
              <w:rPr>
                <w:noProof w:val="0"/>
              </w:rPr>
            </w:pPr>
            <w:r w:rsidRPr="000D6942">
              <w:rPr>
                <w:noProof w:val="0"/>
              </w:rPr>
              <w:t>500 mg</w:t>
            </w:r>
          </w:p>
        </w:tc>
        <w:tc>
          <w:tcPr>
            <w:tcW w:w="1857" w:type="dxa"/>
            <w:shd w:val="clear" w:color="auto" w:fill="auto"/>
          </w:tcPr>
          <w:p w14:paraId="505FA65C" w14:textId="44A78F3D" w:rsidR="005E61F3" w:rsidRPr="000D6942" w:rsidRDefault="00C11F45" w:rsidP="00CF38FA">
            <w:pPr>
              <w:pStyle w:val="BTEMEASMCA"/>
              <w:jc w:val="left"/>
              <w:rPr>
                <w:noProof w:val="0"/>
              </w:rPr>
            </w:pPr>
            <w:r w:rsidRPr="000D6942">
              <w:rPr>
                <w:noProof w:val="0"/>
              </w:rPr>
              <w:t>1500 mg</w:t>
            </w:r>
          </w:p>
        </w:tc>
        <w:tc>
          <w:tcPr>
            <w:tcW w:w="1858" w:type="dxa"/>
            <w:shd w:val="clear" w:color="auto" w:fill="auto"/>
          </w:tcPr>
          <w:p w14:paraId="007E05F2" w14:textId="6B2EF964" w:rsidR="005E61F3" w:rsidRPr="000D6942" w:rsidRDefault="00C11F45" w:rsidP="00CF38FA">
            <w:pPr>
              <w:pStyle w:val="BTEMEASMCA"/>
              <w:jc w:val="left"/>
              <w:rPr>
                <w:noProof w:val="0"/>
              </w:rPr>
            </w:pPr>
            <w:r w:rsidRPr="000D6942">
              <w:rPr>
                <w:noProof w:val="0"/>
              </w:rPr>
              <w:t>2000 mg</w:t>
            </w:r>
          </w:p>
        </w:tc>
      </w:tr>
      <w:tr w:rsidR="00691187" w:rsidRPr="000D6942" w14:paraId="0142AB02" w14:textId="77777777" w:rsidTr="00705434">
        <w:tc>
          <w:tcPr>
            <w:tcW w:w="1857" w:type="dxa"/>
            <w:shd w:val="clear" w:color="auto" w:fill="auto"/>
          </w:tcPr>
          <w:p w14:paraId="67BC9B4D" w14:textId="42037AB9" w:rsidR="005E61F3" w:rsidRPr="000D6942" w:rsidRDefault="00D0687F" w:rsidP="00D0687F">
            <w:pPr>
              <w:pStyle w:val="BTEMEASMCA"/>
              <w:jc w:val="left"/>
              <w:rPr>
                <w:noProof w:val="0"/>
              </w:rPr>
            </w:pPr>
            <w:r w:rsidRPr="000D6942">
              <w:rPr>
                <w:noProof w:val="0"/>
              </w:rPr>
              <w:t xml:space="preserve">Nuo </w:t>
            </w:r>
            <w:r w:rsidR="00C11F45" w:rsidRPr="000D6942">
              <w:rPr>
                <w:noProof w:val="0"/>
              </w:rPr>
              <w:t>10</w:t>
            </w:r>
            <w:r w:rsidRPr="000D6942">
              <w:rPr>
                <w:noProof w:val="0"/>
              </w:rPr>
              <w:t xml:space="preserve"> iki &lt;</w:t>
            </w:r>
            <w:r w:rsidR="00C11F45" w:rsidRPr="000D6942">
              <w:rPr>
                <w:noProof w:val="0"/>
              </w:rPr>
              <w:t>14</w:t>
            </w:r>
          </w:p>
        </w:tc>
        <w:tc>
          <w:tcPr>
            <w:tcW w:w="1857" w:type="dxa"/>
            <w:shd w:val="clear" w:color="auto" w:fill="auto"/>
          </w:tcPr>
          <w:p w14:paraId="499ECD56" w14:textId="1A87DFE1" w:rsidR="005E61F3" w:rsidRPr="000D6942" w:rsidRDefault="00D0687F" w:rsidP="00D0687F">
            <w:pPr>
              <w:pStyle w:val="BTEMEASMCA"/>
              <w:jc w:val="left"/>
              <w:rPr>
                <w:noProof w:val="0"/>
              </w:rPr>
            </w:pPr>
            <w:r w:rsidRPr="000D6942">
              <w:rPr>
                <w:noProof w:val="0"/>
              </w:rPr>
              <w:t xml:space="preserve">Nuo </w:t>
            </w:r>
            <w:r w:rsidR="00C11F45" w:rsidRPr="000D6942">
              <w:rPr>
                <w:noProof w:val="0"/>
              </w:rPr>
              <w:t>6,2</w:t>
            </w:r>
            <w:r w:rsidRPr="000D6942">
              <w:rPr>
                <w:noProof w:val="0"/>
              </w:rPr>
              <w:t xml:space="preserve"> iki &lt;</w:t>
            </w:r>
            <w:r w:rsidR="00C11F45" w:rsidRPr="000D6942">
              <w:rPr>
                <w:noProof w:val="0"/>
              </w:rPr>
              <w:t>8,7</w:t>
            </w:r>
          </w:p>
        </w:tc>
        <w:tc>
          <w:tcPr>
            <w:tcW w:w="1857" w:type="dxa"/>
            <w:shd w:val="clear" w:color="auto" w:fill="auto"/>
          </w:tcPr>
          <w:p w14:paraId="6C383973" w14:textId="77777777" w:rsidR="005E61F3" w:rsidRPr="000D6942" w:rsidRDefault="00C11F45" w:rsidP="00CF38FA">
            <w:pPr>
              <w:pStyle w:val="BTEMEASMCA"/>
              <w:jc w:val="left"/>
              <w:rPr>
                <w:noProof w:val="0"/>
              </w:rPr>
            </w:pPr>
            <w:r w:rsidRPr="000D6942">
              <w:rPr>
                <w:noProof w:val="0"/>
              </w:rPr>
              <w:t>500 mg</w:t>
            </w:r>
          </w:p>
        </w:tc>
        <w:tc>
          <w:tcPr>
            <w:tcW w:w="1857" w:type="dxa"/>
            <w:shd w:val="clear" w:color="auto" w:fill="auto"/>
          </w:tcPr>
          <w:p w14:paraId="4400EF7B" w14:textId="04225031" w:rsidR="005E61F3" w:rsidRPr="000D6942" w:rsidRDefault="00C11F45" w:rsidP="006D4A23">
            <w:pPr>
              <w:pStyle w:val="BTEMEASMCA"/>
              <w:jc w:val="left"/>
              <w:rPr>
                <w:noProof w:val="0"/>
              </w:rPr>
            </w:pPr>
            <w:r w:rsidRPr="000D6942">
              <w:rPr>
                <w:noProof w:val="0"/>
              </w:rPr>
              <w:t>1000 mg</w:t>
            </w:r>
          </w:p>
        </w:tc>
        <w:tc>
          <w:tcPr>
            <w:tcW w:w="1858" w:type="dxa"/>
            <w:shd w:val="clear" w:color="auto" w:fill="auto"/>
          </w:tcPr>
          <w:p w14:paraId="72F02184" w14:textId="336B19C7" w:rsidR="005E61F3" w:rsidRPr="000D6942" w:rsidRDefault="00C11F45" w:rsidP="00CF38FA">
            <w:pPr>
              <w:pStyle w:val="BTEMEASMCA"/>
              <w:jc w:val="left"/>
              <w:rPr>
                <w:noProof w:val="0"/>
              </w:rPr>
            </w:pPr>
            <w:r w:rsidRPr="000D6942">
              <w:rPr>
                <w:noProof w:val="0"/>
              </w:rPr>
              <w:t>1500 mg</w:t>
            </w:r>
          </w:p>
        </w:tc>
      </w:tr>
      <w:tr w:rsidR="00691187" w:rsidRPr="000D6942" w14:paraId="09EF128D" w14:textId="77777777" w:rsidTr="00705434">
        <w:tc>
          <w:tcPr>
            <w:tcW w:w="1857" w:type="dxa"/>
            <w:shd w:val="clear" w:color="auto" w:fill="auto"/>
          </w:tcPr>
          <w:p w14:paraId="75A72E56" w14:textId="69A477F4" w:rsidR="005E61F3" w:rsidRPr="000D6942" w:rsidRDefault="00D0687F" w:rsidP="00CF38FA">
            <w:pPr>
              <w:pStyle w:val="BTEMEASMCA"/>
              <w:jc w:val="left"/>
              <w:rPr>
                <w:noProof w:val="0"/>
              </w:rPr>
            </w:pPr>
            <w:r w:rsidRPr="000D6942">
              <w:rPr>
                <w:noProof w:val="0"/>
              </w:rPr>
              <w:t>≥</w:t>
            </w:r>
            <w:r w:rsidR="00C11F45" w:rsidRPr="000D6942">
              <w:rPr>
                <w:noProof w:val="0"/>
              </w:rPr>
              <w:t>14</w:t>
            </w:r>
          </w:p>
        </w:tc>
        <w:tc>
          <w:tcPr>
            <w:tcW w:w="1857" w:type="dxa"/>
            <w:shd w:val="clear" w:color="auto" w:fill="auto"/>
          </w:tcPr>
          <w:p w14:paraId="29A98571" w14:textId="659AB4D7" w:rsidR="005E61F3" w:rsidRPr="000D6942" w:rsidRDefault="00D0687F" w:rsidP="00CF38FA">
            <w:pPr>
              <w:pStyle w:val="BTEMEASMCA"/>
              <w:jc w:val="left"/>
              <w:rPr>
                <w:noProof w:val="0"/>
              </w:rPr>
            </w:pPr>
            <w:r w:rsidRPr="000D6942">
              <w:rPr>
                <w:noProof w:val="0"/>
              </w:rPr>
              <w:t>≥</w:t>
            </w:r>
            <w:r w:rsidR="00C11F45" w:rsidRPr="000D6942">
              <w:rPr>
                <w:noProof w:val="0"/>
              </w:rPr>
              <w:t>8,7</w:t>
            </w:r>
          </w:p>
        </w:tc>
        <w:tc>
          <w:tcPr>
            <w:tcW w:w="1857" w:type="dxa"/>
            <w:shd w:val="clear" w:color="auto" w:fill="auto"/>
          </w:tcPr>
          <w:p w14:paraId="67710A27" w14:textId="77777777" w:rsidR="005E61F3" w:rsidRPr="000D6942" w:rsidRDefault="00C11F45" w:rsidP="00CF38FA">
            <w:pPr>
              <w:pStyle w:val="BTEMEASMCA"/>
              <w:jc w:val="left"/>
              <w:rPr>
                <w:noProof w:val="0"/>
              </w:rPr>
            </w:pPr>
            <w:r w:rsidRPr="000D6942">
              <w:rPr>
                <w:noProof w:val="0"/>
              </w:rPr>
              <w:t>500 mg</w:t>
            </w:r>
          </w:p>
        </w:tc>
        <w:tc>
          <w:tcPr>
            <w:tcW w:w="1857" w:type="dxa"/>
            <w:shd w:val="clear" w:color="auto" w:fill="auto"/>
          </w:tcPr>
          <w:p w14:paraId="769F6CA8" w14:textId="77777777" w:rsidR="005E61F3" w:rsidRPr="000D6942" w:rsidRDefault="00C11F45" w:rsidP="00CF38FA">
            <w:pPr>
              <w:pStyle w:val="BTEMEASMCA"/>
              <w:jc w:val="left"/>
              <w:rPr>
                <w:noProof w:val="0"/>
              </w:rPr>
            </w:pPr>
            <w:r w:rsidRPr="000D6942">
              <w:rPr>
                <w:noProof w:val="0"/>
              </w:rPr>
              <w:t>500 mg</w:t>
            </w:r>
          </w:p>
        </w:tc>
        <w:tc>
          <w:tcPr>
            <w:tcW w:w="1858" w:type="dxa"/>
            <w:shd w:val="clear" w:color="auto" w:fill="auto"/>
          </w:tcPr>
          <w:p w14:paraId="5D1857D9" w14:textId="77777777" w:rsidR="005E61F3" w:rsidRPr="000D6942" w:rsidRDefault="00C11F45" w:rsidP="00CF38FA">
            <w:pPr>
              <w:pStyle w:val="BTEMEASMCA"/>
              <w:jc w:val="left"/>
              <w:rPr>
                <w:noProof w:val="0"/>
              </w:rPr>
            </w:pPr>
            <w:r w:rsidRPr="000D6942">
              <w:rPr>
                <w:noProof w:val="0"/>
              </w:rPr>
              <w:t>500 mg</w:t>
            </w:r>
          </w:p>
        </w:tc>
      </w:tr>
    </w:tbl>
    <w:p w14:paraId="33A76239" w14:textId="77777777" w:rsidR="005E61F3" w:rsidRPr="000D6942" w:rsidRDefault="005E61F3" w:rsidP="00CF38FA">
      <w:pPr>
        <w:pStyle w:val="BTEMEASMCA"/>
        <w:jc w:val="left"/>
        <w:rPr>
          <w:noProof w:val="0"/>
        </w:rPr>
      </w:pPr>
    </w:p>
    <w:p w14:paraId="376FE49F" w14:textId="77777777" w:rsidR="00C11F45" w:rsidRPr="000D6942" w:rsidRDefault="00C11F45" w:rsidP="00CF38FA">
      <w:pPr>
        <w:pStyle w:val="BTEMEASMCA"/>
        <w:jc w:val="left"/>
        <w:rPr>
          <w:noProof w:val="0"/>
        </w:rPr>
      </w:pPr>
      <w:r w:rsidRPr="000D6942">
        <w:rPr>
          <w:noProof w:val="0"/>
        </w:rPr>
        <w:t>Geležies trūkumas turi būti patvirtintas laboratoriniais tyrimais.</w:t>
      </w:r>
    </w:p>
    <w:p w14:paraId="5AA27F47" w14:textId="77777777" w:rsidR="00C11F45" w:rsidRPr="000D6942" w:rsidRDefault="00C11F45" w:rsidP="00CF38FA">
      <w:pPr>
        <w:pStyle w:val="BTEMEASMCA"/>
        <w:jc w:val="left"/>
        <w:rPr>
          <w:noProof w:val="0"/>
        </w:rPr>
      </w:pPr>
    </w:p>
    <w:p w14:paraId="26F9A6A1" w14:textId="77777777" w:rsidR="00C11F45" w:rsidRPr="000D6942" w:rsidRDefault="00C11F45" w:rsidP="00CF38FA">
      <w:pPr>
        <w:pStyle w:val="BTEMEASMCA"/>
        <w:jc w:val="left"/>
        <w:rPr>
          <w:noProof w:val="0"/>
        </w:rPr>
      </w:pPr>
      <w:r w:rsidRPr="000D6942">
        <w:rPr>
          <w:noProof w:val="0"/>
        </w:rPr>
        <w:t>Didžiausios (-ių) individualios (-ių) geležies dozės (-ių) apskaičiavimas ir skyrimas</w:t>
      </w:r>
    </w:p>
    <w:p w14:paraId="527A2E2D" w14:textId="77777777" w:rsidR="00C11F45" w:rsidRPr="000D6942" w:rsidRDefault="00C11F45" w:rsidP="00CF38FA">
      <w:pPr>
        <w:pStyle w:val="BTEMEASMCA"/>
        <w:jc w:val="left"/>
        <w:rPr>
          <w:noProof w:val="0"/>
        </w:rPr>
      </w:pPr>
      <w:r w:rsidRPr="000D6942">
        <w:rPr>
          <w:noProof w:val="0"/>
        </w:rPr>
        <w:t>Atsižvelgiant į geležies poreikį, nustatytą pagal anksčiau pateiktą lentelę, reikia skirti tinkamą (-as) Ferinject dozę (-es), atsižvelgiant į toliau nurodytus veiksnius.</w:t>
      </w:r>
    </w:p>
    <w:p w14:paraId="344A5D53" w14:textId="77777777" w:rsidR="00C11F45" w:rsidRPr="000D6942" w:rsidRDefault="00C11F45" w:rsidP="00CF38FA">
      <w:pPr>
        <w:pStyle w:val="BTEMEASMCA"/>
        <w:jc w:val="left"/>
        <w:rPr>
          <w:noProof w:val="0"/>
        </w:rPr>
      </w:pPr>
    </w:p>
    <w:p w14:paraId="23EAFEFD" w14:textId="77777777" w:rsidR="00C11F45" w:rsidRPr="000D6942" w:rsidRDefault="00C11F45" w:rsidP="00CF38FA">
      <w:pPr>
        <w:pStyle w:val="BTEMEASMCA"/>
        <w:jc w:val="left"/>
        <w:rPr>
          <w:noProof w:val="0"/>
        </w:rPr>
      </w:pPr>
      <w:r w:rsidRPr="000D6942">
        <w:rPr>
          <w:noProof w:val="0"/>
        </w:rPr>
        <w:t>Viena skiriama Ferinject dozė negali viršyti:</w:t>
      </w:r>
    </w:p>
    <w:p w14:paraId="0944EE7B" w14:textId="77777777" w:rsidR="00C11F45" w:rsidRPr="000D6942" w:rsidRDefault="00C11F45" w:rsidP="00344747">
      <w:pPr>
        <w:pStyle w:val="BTEMEASMCA"/>
        <w:numPr>
          <w:ilvl w:val="0"/>
          <w:numId w:val="16"/>
        </w:numPr>
        <w:ind w:left="567" w:hanging="567"/>
        <w:jc w:val="left"/>
        <w:rPr>
          <w:noProof w:val="0"/>
        </w:rPr>
      </w:pPr>
      <w:r w:rsidRPr="000D6942">
        <w:rPr>
          <w:noProof w:val="0"/>
        </w:rPr>
        <w:t>15 mg geležies viename kilograme kūno svorio (injekcija į veną) arba 20 mg geležies viename kilograme kūno svorio (intraveninė infuzija)</w:t>
      </w:r>
    </w:p>
    <w:p w14:paraId="347D8B7F" w14:textId="2EC8C70D" w:rsidR="00C11F45" w:rsidRPr="000D6942" w:rsidRDefault="00C11F45" w:rsidP="00344747">
      <w:pPr>
        <w:pStyle w:val="BTEMEASMCA"/>
        <w:numPr>
          <w:ilvl w:val="0"/>
          <w:numId w:val="16"/>
        </w:numPr>
        <w:ind w:left="567" w:hanging="567"/>
        <w:jc w:val="left"/>
        <w:rPr>
          <w:noProof w:val="0"/>
        </w:rPr>
      </w:pPr>
      <w:r w:rsidRPr="000D6942">
        <w:rPr>
          <w:noProof w:val="0"/>
        </w:rPr>
        <w:t>1000 mg geležies (20 ml Ferinject)</w:t>
      </w:r>
    </w:p>
    <w:p w14:paraId="4F5D646C" w14:textId="77777777" w:rsidR="00C11F45" w:rsidRPr="000D6942" w:rsidRDefault="00C11F45" w:rsidP="00CF38FA">
      <w:pPr>
        <w:pStyle w:val="BTEMEASMCA"/>
        <w:jc w:val="left"/>
        <w:rPr>
          <w:noProof w:val="0"/>
        </w:rPr>
      </w:pPr>
    </w:p>
    <w:p w14:paraId="4CE2628B" w14:textId="67891CCE" w:rsidR="00C11F45" w:rsidRPr="000D6942" w:rsidRDefault="00C11F45" w:rsidP="00CF38FA">
      <w:pPr>
        <w:pStyle w:val="BTEMEASMCA"/>
        <w:jc w:val="left"/>
        <w:rPr>
          <w:noProof w:val="0"/>
        </w:rPr>
      </w:pPr>
      <w:r w:rsidRPr="000D6942">
        <w:rPr>
          <w:noProof w:val="0"/>
        </w:rPr>
        <w:t>Didžiausia rekomenduojama Ferinject dozė yra 1000 mg geležies (20 ml Ferinject) per savaitę.</w:t>
      </w:r>
    </w:p>
    <w:p w14:paraId="23EB4A23" w14:textId="77777777" w:rsidR="00C11F45" w:rsidRPr="000D6942" w:rsidRDefault="00C11F45" w:rsidP="00CF38FA">
      <w:pPr>
        <w:pStyle w:val="BTEMEASMCA"/>
        <w:jc w:val="left"/>
        <w:rPr>
          <w:noProof w:val="0"/>
        </w:rPr>
      </w:pPr>
    </w:p>
    <w:p w14:paraId="1487D9D0" w14:textId="537E3A9F" w:rsidR="00C11F45" w:rsidRPr="000D6942" w:rsidRDefault="00C11F45" w:rsidP="00CF38FA">
      <w:pPr>
        <w:pStyle w:val="BTEMEASMCA"/>
        <w:jc w:val="left"/>
        <w:rPr>
          <w:noProof w:val="0"/>
        </w:rPr>
      </w:pPr>
      <w:r w:rsidRPr="000D6942">
        <w:rPr>
          <w:noProof w:val="0"/>
        </w:rPr>
        <w:t>Nuo hemodializės priklausomiems lėtine inkstų liga sergantiems pacientams negalima viršyti vienos didžiausios 200 mg geležies per parą dozės.</w:t>
      </w:r>
    </w:p>
    <w:p w14:paraId="3ABBC3C6" w14:textId="77777777" w:rsidR="00C11F45" w:rsidRPr="000D6942" w:rsidRDefault="00C11F45" w:rsidP="00CF38FA">
      <w:pPr>
        <w:pStyle w:val="BTEMEASMCA"/>
        <w:jc w:val="left"/>
        <w:rPr>
          <w:noProof w:val="0"/>
        </w:rPr>
      </w:pPr>
      <w:r w:rsidRPr="000D6942">
        <w:rPr>
          <w:noProof w:val="0"/>
        </w:rPr>
        <w:t>Ferinject vartojimas vaikams netirtas, todėl nerekomenduojama vartoti vaikams, jaunesniems nei 14 metų amžiaus.</w:t>
      </w:r>
    </w:p>
    <w:p w14:paraId="50525A25" w14:textId="77777777" w:rsidR="00C11F45" w:rsidRPr="000D6942" w:rsidRDefault="00C11F45" w:rsidP="00CF38FA">
      <w:pPr>
        <w:pStyle w:val="BTEMEASMCA"/>
        <w:jc w:val="left"/>
        <w:rPr>
          <w:noProof w:val="0"/>
        </w:rPr>
      </w:pPr>
    </w:p>
    <w:p w14:paraId="025927C5" w14:textId="77777777" w:rsidR="00C11F45" w:rsidRPr="000D6942" w:rsidRDefault="00C11F45" w:rsidP="00CF38FA">
      <w:pPr>
        <w:pStyle w:val="BTEMEASMCA"/>
        <w:jc w:val="left"/>
        <w:rPr>
          <w:noProof w:val="0"/>
        </w:rPr>
      </w:pPr>
      <w:r w:rsidRPr="000D6942">
        <w:rPr>
          <w:noProof w:val="0"/>
        </w:rPr>
        <w:t>Vartojimo metodas</w:t>
      </w:r>
    </w:p>
    <w:p w14:paraId="31575A61" w14:textId="77777777" w:rsidR="00C11F45" w:rsidRPr="000D6942" w:rsidRDefault="00C11F45" w:rsidP="00CF38FA">
      <w:pPr>
        <w:pStyle w:val="BTEMEASMCA"/>
        <w:jc w:val="left"/>
        <w:rPr>
          <w:noProof w:val="0"/>
        </w:rPr>
      </w:pPr>
      <w:r w:rsidRPr="000D6942">
        <w:rPr>
          <w:noProof w:val="0"/>
        </w:rPr>
        <w:t>Ferinject turi būti vartojamas tik į veną: leidžiant, infuzuojant arba hemodializės seanso metu nepraskiestą tiesiai į dializatoriaus veninę dalį. Ferinject draudžiama vartoti po oda arba į raumenis.</w:t>
      </w:r>
    </w:p>
    <w:p w14:paraId="7F32FC5A" w14:textId="77777777" w:rsidR="00C11F45" w:rsidRPr="000D6942" w:rsidRDefault="00C11F45" w:rsidP="00CF38FA">
      <w:pPr>
        <w:pStyle w:val="BTEMEASMCA"/>
        <w:jc w:val="left"/>
        <w:rPr>
          <w:noProof w:val="0"/>
        </w:rPr>
      </w:pPr>
    </w:p>
    <w:p w14:paraId="6207F39E" w14:textId="2C9BD34F" w:rsidR="00C11F45" w:rsidRPr="000D6942" w:rsidRDefault="00C11F45" w:rsidP="00CF38FA">
      <w:pPr>
        <w:pStyle w:val="BTEMEASMCA"/>
        <w:jc w:val="left"/>
        <w:rPr>
          <w:noProof w:val="0"/>
        </w:rPr>
      </w:pPr>
      <w:r w:rsidRPr="000D6942">
        <w:rPr>
          <w:noProof w:val="0"/>
        </w:rPr>
        <w:t xml:space="preserve">Leidžiant Ferinject reikia būti atsargiems, kad preparato nepatektų į aplinkinius audinius. </w:t>
      </w:r>
      <w:r w:rsidR="00DF2024">
        <w:rPr>
          <w:noProof w:val="0"/>
        </w:rPr>
        <w:t>Vartojimo</w:t>
      </w:r>
      <w:r w:rsidRPr="000D6942">
        <w:rPr>
          <w:noProof w:val="0"/>
        </w:rPr>
        <w:t xml:space="preserve"> vietoje Ferinject patekus į aplinkinius audinius, oda gali sudirgti ir ilgam laikui paruduoti. Patekus į aplinkinius audinius, Ferinject vartojimą reikia nedelsiant nutraukti.</w:t>
      </w:r>
    </w:p>
    <w:p w14:paraId="6619D607" w14:textId="77777777" w:rsidR="00C11F45" w:rsidRPr="000D6942" w:rsidRDefault="00C11F45" w:rsidP="00CF38FA">
      <w:pPr>
        <w:pStyle w:val="BTEMEASMCA"/>
        <w:jc w:val="left"/>
        <w:rPr>
          <w:noProof w:val="0"/>
        </w:rPr>
      </w:pPr>
    </w:p>
    <w:p w14:paraId="0834BE63" w14:textId="77777777" w:rsidR="00C11F45" w:rsidRPr="000D6942" w:rsidRDefault="00C11F45" w:rsidP="00CF38FA">
      <w:pPr>
        <w:pStyle w:val="BTEMEASMCA"/>
        <w:jc w:val="left"/>
        <w:rPr>
          <w:noProof w:val="0"/>
        </w:rPr>
      </w:pPr>
      <w:r w:rsidRPr="000D6942">
        <w:rPr>
          <w:noProof w:val="0"/>
        </w:rPr>
        <w:t>Injekcija į veną</w:t>
      </w:r>
    </w:p>
    <w:p w14:paraId="6A788865" w14:textId="1222F7EF" w:rsidR="00C11F45" w:rsidRPr="000D6942" w:rsidRDefault="00C11F45" w:rsidP="00CF38FA">
      <w:pPr>
        <w:pStyle w:val="BTEMEASMCA"/>
        <w:jc w:val="left"/>
        <w:rPr>
          <w:noProof w:val="0"/>
        </w:rPr>
      </w:pPr>
      <w:r w:rsidRPr="000D6942">
        <w:rPr>
          <w:noProof w:val="0"/>
        </w:rPr>
        <w:t>Ferinject galima skirti intraveninėmis injekcijomis, naudojant nepraskiestą tirpalą. Didžiausia viena dozė yra 15 mg geležies viename kilograme kūno svo</w:t>
      </w:r>
      <w:r w:rsidR="006D4A23">
        <w:rPr>
          <w:noProof w:val="0"/>
        </w:rPr>
        <w:t>rio, tačiau ji negali viršyti 1</w:t>
      </w:r>
      <w:r w:rsidRPr="000D6942">
        <w:rPr>
          <w:noProof w:val="0"/>
        </w:rPr>
        <w:t>000 mg geležies. Vartojimo normos nurodytos 2 lentelėje:</w:t>
      </w:r>
    </w:p>
    <w:p w14:paraId="2D157FE1" w14:textId="77777777" w:rsidR="00C11F45" w:rsidRPr="000D6942" w:rsidRDefault="00C11F45" w:rsidP="00CF38FA">
      <w:pPr>
        <w:pStyle w:val="BTEMEASMCA"/>
        <w:jc w:val="left"/>
        <w:rPr>
          <w:noProof w:val="0"/>
        </w:rPr>
      </w:pPr>
    </w:p>
    <w:p w14:paraId="2CD7B7E0" w14:textId="77777777" w:rsidR="00C11F45" w:rsidRPr="000D6942" w:rsidRDefault="00C11F45" w:rsidP="00CF38FA">
      <w:pPr>
        <w:pStyle w:val="BTEMEASMCA"/>
        <w:jc w:val="left"/>
        <w:rPr>
          <w:noProof w:val="0"/>
        </w:rPr>
      </w:pPr>
      <w:r w:rsidRPr="000D6942">
        <w:rPr>
          <w:bCs/>
          <w:noProof w:val="0"/>
        </w:rPr>
        <w:t>2 lentelė.</w:t>
      </w:r>
      <w:r w:rsidRPr="000D6942">
        <w:rPr>
          <w:noProof w:val="0"/>
        </w:rPr>
        <w:tab/>
        <w:t>Ferinject injekcijos į veną normos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18"/>
        <w:gridCol w:w="3024"/>
      </w:tblGrid>
      <w:tr w:rsidR="004B3F2D" w:rsidRPr="000D6942" w14:paraId="663B4BC2" w14:textId="77777777" w:rsidTr="00705434">
        <w:trPr>
          <w:trHeight w:val="698"/>
        </w:trPr>
        <w:tc>
          <w:tcPr>
            <w:tcW w:w="3095" w:type="dxa"/>
            <w:shd w:val="clear" w:color="auto" w:fill="auto"/>
          </w:tcPr>
          <w:p w14:paraId="6AB5DDBF" w14:textId="77777777" w:rsidR="004B3F2D" w:rsidRPr="000D6942" w:rsidRDefault="004B3F2D" w:rsidP="00CF38FA">
            <w:pPr>
              <w:pStyle w:val="BTEMEASMCA"/>
              <w:rPr>
                <w:noProof w:val="0"/>
              </w:rPr>
            </w:pPr>
            <w:r w:rsidRPr="000D6942">
              <w:rPr>
                <w:noProof w:val="0"/>
              </w:rPr>
              <w:t>Reikiamas Ferinject kiekis</w:t>
            </w:r>
          </w:p>
        </w:tc>
        <w:tc>
          <w:tcPr>
            <w:tcW w:w="3095" w:type="dxa"/>
            <w:shd w:val="clear" w:color="auto" w:fill="auto"/>
          </w:tcPr>
          <w:p w14:paraId="5E08CC44" w14:textId="77777777" w:rsidR="004B3F2D" w:rsidRPr="000D6942" w:rsidRDefault="004B3F2D" w:rsidP="00CF38FA">
            <w:pPr>
              <w:pStyle w:val="BTEMEASMCA"/>
              <w:rPr>
                <w:noProof w:val="0"/>
              </w:rPr>
            </w:pPr>
            <w:r w:rsidRPr="000D6942">
              <w:rPr>
                <w:noProof w:val="0"/>
              </w:rPr>
              <w:t>Lygiavertė geležies dozė</w:t>
            </w:r>
          </w:p>
        </w:tc>
        <w:tc>
          <w:tcPr>
            <w:tcW w:w="3096" w:type="dxa"/>
            <w:shd w:val="clear" w:color="auto" w:fill="auto"/>
          </w:tcPr>
          <w:p w14:paraId="12912B6A" w14:textId="77777777" w:rsidR="004B3F2D" w:rsidRPr="000D6942" w:rsidRDefault="004B3F2D" w:rsidP="00CF38FA">
            <w:pPr>
              <w:pStyle w:val="BTEMEASMCA"/>
              <w:rPr>
                <w:noProof w:val="0"/>
              </w:rPr>
            </w:pPr>
            <w:r w:rsidRPr="000D6942">
              <w:rPr>
                <w:noProof w:val="0"/>
              </w:rPr>
              <w:t>Injekcijos norma / minimalus injekcijos laikas</w:t>
            </w:r>
          </w:p>
        </w:tc>
      </w:tr>
      <w:tr w:rsidR="004B3F2D" w:rsidRPr="000D6942" w14:paraId="057BB49C" w14:textId="77777777" w:rsidTr="00705434">
        <w:tc>
          <w:tcPr>
            <w:tcW w:w="3095" w:type="dxa"/>
            <w:shd w:val="clear" w:color="auto" w:fill="auto"/>
          </w:tcPr>
          <w:p w14:paraId="0BD651E8" w14:textId="77777777" w:rsidR="004B3F2D" w:rsidRPr="000D6942" w:rsidRDefault="004B3F2D" w:rsidP="00CF38FA">
            <w:pPr>
              <w:pStyle w:val="BTEMEASMCA"/>
              <w:rPr>
                <w:noProof w:val="0"/>
              </w:rPr>
            </w:pPr>
            <w:r w:rsidRPr="000D6942">
              <w:rPr>
                <w:noProof w:val="0"/>
              </w:rPr>
              <w:t>nuo 2 iki 4 ml</w:t>
            </w:r>
          </w:p>
        </w:tc>
        <w:tc>
          <w:tcPr>
            <w:tcW w:w="3095" w:type="dxa"/>
            <w:shd w:val="clear" w:color="auto" w:fill="auto"/>
          </w:tcPr>
          <w:p w14:paraId="3810F17F" w14:textId="77777777" w:rsidR="004B3F2D" w:rsidRPr="000D6942" w:rsidRDefault="004B3F2D" w:rsidP="00CF38FA">
            <w:pPr>
              <w:pStyle w:val="BTEMEASMCA"/>
              <w:rPr>
                <w:noProof w:val="0"/>
              </w:rPr>
            </w:pPr>
            <w:r w:rsidRPr="000D6942">
              <w:rPr>
                <w:noProof w:val="0"/>
              </w:rPr>
              <w:t>nuo 100 iki 200 mg</w:t>
            </w:r>
          </w:p>
        </w:tc>
        <w:tc>
          <w:tcPr>
            <w:tcW w:w="3096" w:type="dxa"/>
            <w:shd w:val="clear" w:color="auto" w:fill="auto"/>
          </w:tcPr>
          <w:p w14:paraId="7D0D6229" w14:textId="77777777" w:rsidR="004B3F2D" w:rsidRPr="000D6942" w:rsidRDefault="004B3F2D" w:rsidP="00CF38FA">
            <w:pPr>
              <w:pStyle w:val="BTEMEASMCA"/>
              <w:rPr>
                <w:noProof w:val="0"/>
              </w:rPr>
            </w:pPr>
            <w:r w:rsidRPr="000D6942">
              <w:rPr>
                <w:noProof w:val="0"/>
              </w:rPr>
              <w:t>Minimalus laikas nenurodytas</w:t>
            </w:r>
          </w:p>
        </w:tc>
      </w:tr>
      <w:tr w:rsidR="004B3F2D" w:rsidRPr="000D6942" w14:paraId="0F34E9A8" w14:textId="77777777" w:rsidTr="00705434">
        <w:tc>
          <w:tcPr>
            <w:tcW w:w="3095" w:type="dxa"/>
            <w:shd w:val="clear" w:color="auto" w:fill="auto"/>
          </w:tcPr>
          <w:p w14:paraId="75CC85EE" w14:textId="77777777" w:rsidR="004B3F2D" w:rsidRPr="000D6942" w:rsidRDefault="004B3F2D" w:rsidP="00CF38FA">
            <w:pPr>
              <w:pStyle w:val="BTEMEASMCA"/>
              <w:rPr>
                <w:noProof w:val="0"/>
              </w:rPr>
            </w:pPr>
            <w:r w:rsidRPr="000D6942">
              <w:rPr>
                <w:noProof w:val="0"/>
              </w:rPr>
              <w:t>nuo &gt; 4 iki 10 ml</w:t>
            </w:r>
          </w:p>
        </w:tc>
        <w:tc>
          <w:tcPr>
            <w:tcW w:w="3095" w:type="dxa"/>
            <w:shd w:val="clear" w:color="auto" w:fill="auto"/>
          </w:tcPr>
          <w:p w14:paraId="423B03AE" w14:textId="77777777" w:rsidR="004B3F2D" w:rsidRPr="000D6942" w:rsidRDefault="004B3F2D" w:rsidP="00CF38FA">
            <w:pPr>
              <w:pStyle w:val="BTEMEASMCA"/>
              <w:rPr>
                <w:noProof w:val="0"/>
              </w:rPr>
            </w:pPr>
            <w:r w:rsidRPr="000D6942">
              <w:rPr>
                <w:noProof w:val="0"/>
              </w:rPr>
              <w:t>nuo &gt; 200 iki 500 mg</w:t>
            </w:r>
          </w:p>
        </w:tc>
        <w:tc>
          <w:tcPr>
            <w:tcW w:w="3096" w:type="dxa"/>
            <w:shd w:val="clear" w:color="auto" w:fill="auto"/>
          </w:tcPr>
          <w:p w14:paraId="6D090C97" w14:textId="77777777" w:rsidR="004B3F2D" w:rsidRPr="000D6942" w:rsidRDefault="004B3F2D" w:rsidP="00CF38FA">
            <w:pPr>
              <w:pStyle w:val="BTEMEASMCA"/>
              <w:rPr>
                <w:noProof w:val="0"/>
              </w:rPr>
            </w:pPr>
            <w:r w:rsidRPr="000D6942">
              <w:rPr>
                <w:noProof w:val="0"/>
              </w:rPr>
              <w:t>100 mg geležies / min.</w:t>
            </w:r>
          </w:p>
        </w:tc>
      </w:tr>
      <w:tr w:rsidR="004B3F2D" w:rsidRPr="000D6942" w14:paraId="390E0C73" w14:textId="77777777" w:rsidTr="00705434">
        <w:tc>
          <w:tcPr>
            <w:tcW w:w="3095" w:type="dxa"/>
            <w:shd w:val="clear" w:color="auto" w:fill="auto"/>
          </w:tcPr>
          <w:p w14:paraId="7BF47B9D" w14:textId="77777777" w:rsidR="004B3F2D" w:rsidRPr="000D6942" w:rsidRDefault="004B3F2D" w:rsidP="00CF38FA">
            <w:pPr>
              <w:pStyle w:val="BTEMEASMCA"/>
              <w:rPr>
                <w:noProof w:val="0"/>
              </w:rPr>
            </w:pPr>
            <w:r w:rsidRPr="000D6942">
              <w:rPr>
                <w:noProof w:val="0"/>
              </w:rPr>
              <w:t>nuo &gt; 10 iki 20 ml</w:t>
            </w:r>
          </w:p>
        </w:tc>
        <w:tc>
          <w:tcPr>
            <w:tcW w:w="3095" w:type="dxa"/>
            <w:shd w:val="clear" w:color="auto" w:fill="auto"/>
          </w:tcPr>
          <w:p w14:paraId="6D372EF8" w14:textId="628E5148" w:rsidR="004B3F2D" w:rsidRPr="000D6942" w:rsidRDefault="006D4A23" w:rsidP="00CF38FA">
            <w:pPr>
              <w:pStyle w:val="BTEMEASMCA"/>
              <w:rPr>
                <w:noProof w:val="0"/>
              </w:rPr>
            </w:pPr>
            <w:r>
              <w:rPr>
                <w:noProof w:val="0"/>
              </w:rPr>
              <w:t>nuo &gt; 500 iki 1</w:t>
            </w:r>
            <w:r w:rsidR="004B3F2D" w:rsidRPr="000D6942">
              <w:rPr>
                <w:noProof w:val="0"/>
              </w:rPr>
              <w:t>000 mg</w:t>
            </w:r>
          </w:p>
        </w:tc>
        <w:tc>
          <w:tcPr>
            <w:tcW w:w="3096" w:type="dxa"/>
            <w:shd w:val="clear" w:color="auto" w:fill="auto"/>
          </w:tcPr>
          <w:p w14:paraId="7911C060" w14:textId="77777777" w:rsidR="004B3F2D" w:rsidRPr="000D6942" w:rsidRDefault="004B3F2D" w:rsidP="00CF38FA">
            <w:pPr>
              <w:pStyle w:val="BTEMEASMCA"/>
              <w:rPr>
                <w:noProof w:val="0"/>
              </w:rPr>
            </w:pPr>
            <w:r w:rsidRPr="000D6942">
              <w:rPr>
                <w:noProof w:val="0"/>
              </w:rPr>
              <w:t>15 minučių</w:t>
            </w:r>
          </w:p>
        </w:tc>
      </w:tr>
    </w:tbl>
    <w:p w14:paraId="6B006F11" w14:textId="77777777" w:rsidR="00C11F45" w:rsidRPr="000D6942" w:rsidRDefault="00C11F45" w:rsidP="00CF38FA">
      <w:pPr>
        <w:pStyle w:val="BTEMEASMCA"/>
        <w:rPr>
          <w:noProof w:val="0"/>
        </w:rPr>
      </w:pPr>
    </w:p>
    <w:p w14:paraId="0AB1D079" w14:textId="77777777" w:rsidR="004B3F2D" w:rsidRPr="000D6942" w:rsidRDefault="004B3F2D" w:rsidP="00CF38FA">
      <w:pPr>
        <w:pStyle w:val="BTEMEASMCA"/>
        <w:rPr>
          <w:noProof w:val="0"/>
        </w:rPr>
      </w:pPr>
      <w:r w:rsidRPr="000D6942">
        <w:rPr>
          <w:noProof w:val="0"/>
        </w:rPr>
        <w:t>Intraveninė infuzija</w:t>
      </w:r>
    </w:p>
    <w:p w14:paraId="629757A5" w14:textId="08D11F9C" w:rsidR="004B3F2D" w:rsidRPr="000D6942" w:rsidRDefault="004B3F2D" w:rsidP="00CF38FA">
      <w:pPr>
        <w:pStyle w:val="BTEMEASMCA"/>
        <w:jc w:val="left"/>
        <w:rPr>
          <w:noProof w:val="0"/>
        </w:rPr>
      </w:pPr>
      <w:r w:rsidRPr="000D6942">
        <w:rPr>
          <w:noProof w:val="0"/>
        </w:rPr>
        <w:t>Ferinject galima skirti intraveninėmis infuzijomis. Tokiu atveju jį reikia atskiesti. Didžiausia viena dozė yra 20 mg geležies viename kilograme kūno svo</w:t>
      </w:r>
      <w:r w:rsidR="006D4A23">
        <w:rPr>
          <w:noProof w:val="0"/>
        </w:rPr>
        <w:t>rio, tačiau ji negali viršyti 1</w:t>
      </w:r>
      <w:r w:rsidRPr="000D6942">
        <w:rPr>
          <w:noProof w:val="0"/>
        </w:rPr>
        <w:t xml:space="preserve">000 mg geležies. Ferinject reikia praskiesti tik steriliu 0,9 % m/V natrio chlorido tirpalu, kaip parodyta 3 lentelėje. Pastaba: dėl stabilumo Ferinject negalima </w:t>
      </w:r>
      <w:r w:rsidRPr="000D6942">
        <w:rPr>
          <w:noProof w:val="0"/>
        </w:rPr>
        <w:lastRenderedPageBreak/>
        <w:t>skiesti iki mažesnės nei 2 mg geležies viename mililitre koncentracijos (neįskaitant geležies karboksimaltozės tirpalo kiekio).</w:t>
      </w:r>
    </w:p>
    <w:p w14:paraId="630A3CCA" w14:textId="77777777" w:rsidR="004B3F2D" w:rsidRPr="000D6942" w:rsidRDefault="004B3F2D" w:rsidP="00CF38FA">
      <w:pPr>
        <w:pStyle w:val="BTEMEASMCA"/>
        <w:jc w:val="left"/>
        <w:rPr>
          <w:noProof w:val="0"/>
        </w:rPr>
      </w:pPr>
    </w:p>
    <w:p w14:paraId="1ACB0826" w14:textId="77777777" w:rsidR="004B3F2D" w:rsidRPr="000D6942" w:rsidRDefault="004B3F2D" w:rsidP="00CF38FA">
      <w:pPr>
        <w:pStyle w:val="BTEMEASMCA"/>
        <w:jc w:val="left"/>
        <w:rPr>
          <w:noProof w:val="0"/>
        </w:rPr>
      </w:pPr>
      <w:r w:rsidRPr="000D6942">
        <w:rPr>
          <w:noProof w:val="0"/>
        </w:rPr>
        <w:t>3 lentelė.</w:t>
      </w:r>
      <w:r w:rsidRPr="000D6942">
        <w:rPr>
          <w:noProof w:val="0"/>
        </w:rPr>
        <w:tab/>
        <w:t>Ferinject praskiedimas intraveninei infuzijai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2262"/>
        <w:gridCol w:w="2267"/>
        <w:gridCol w:w="2270"/>
      </w:tblGrid>
      <w:tr w:rsidR="00265092" w:rsidRPr="000D6942" w14:paraId="222AE08E" w14:textId="77777777" w:rsidTr="00705434">
        <w:tc>
          <w:tcPr>
            <w:tcW w:w="2321" w:type="dxa"/>
            <w:shd w:val="clear" w:color="auto" w:fill="auto"/>
          </w:tcPr>
          <w:p w14:paraId="7A044975" w14:textId="77777777" w:rsidR="004B3F2D" w:rsidRPr="000D6942" w:rsidRDefault="004B3F2D" w:rsidP="00CF38FA">
            <w:pPr>
              <w:pStyle w:val="BTEMEASMCA"/>
              <w:jc w:val="left"/>
              <w:rPr>
                <w:noProof w:val="0"/>
              </w:rPr>
            </w:pPr>
            <w:r w:rsidRPr="000D6942">
              <w:rPr>
                <w:noProof w:val="0"/>
              </w:rPr>
              <w:t>Reikiamas Ferinject kiekis</w:t>
            </w:r>
          </w:p>
        </w:tc>
        <w:tc>
          <w:tcPr>
            <w:tcW w:w="2321" w:type="dxa"/>
            <w:shd w:val="clear" w:color="auto" w:fill="auto"/>
          </w:tcPr>
          <w:p w14:paraId="1182FB6D" w14:textId="77777777" w:rsidR="004B3F2D" w:rsidRPr="000D6942" w:rsidRDefault="004B3F2D" w:rsidP="00CF38FA">
            <w:pPr>
              <w:pStyle w:val="BTEMEASMCA"/>
              <w:jc w:val="left"/>
              <w:rPr>
                <w:noProof w:val="0"/>
              </w:rPr>
            </w:pPr>
            <w:r w:rsidRPr="000D6942">
              <w:rPr>
                <w:noProof w:val="0"/>
              </w:rPr>
              <w:t>Lygiavertė geležies dozė</w:t>
            </w:r>
          </w:p>
        </w:tc>
        <w:tc>
          <w:tcPr>
            <w:tcW w:w="2322" w:type="dxa"/>
            <w:shd w:val="clear" w:color="auto" w:fill="auto"/>
          </w:tcPr>
          <w:p w14:paraId="68F44A0E" w14:textId="77777777" w:rsidR="004B3F2D" w:rsidRPr="000D6942" w:rsidRDefault="004B3F2D" w:rsidP="00CF38FA">
            <w:pPr>
              <w:pStyle w:val="BTEMEASMCA"/>
              <w:jc w:val="left"/>
              <w:rPr>
                <w:noProof w:val="0"/>
              </w:rPr>
            </w:pPr>
            <w:r w:rsidRPr="000D6942">
              <w:rPr>
                <w:noProof w:val="0"/>
              </w:rPr>
              <w:t>Didžiausias sterilaus 0,9 % m/V natrio chlorido tirpalo kiekis</w:t>
            </w:r>
          </w:p>
        </w:tc>
        <w:tc>
          <w:tcPr>
            <w:tcW w:w="2322" w:type="dxa"/>
            <w:shd w:val="clear" w:color="auto" w:fill="auto"/>
          </w:tcPr>
          <w:p w14:paraId="7EC9E388" w14:textId="77777777" w:rsidR="004B3F2D" w:rsidRPr="000D6942" w:rsidRDefault="004B3F2D" w:rsidP="00CF38FA">
            <w:pPr>
              <w:pStyle w:val="BTEMEASMCA"/>
              <w:jc w:val="left"/>
              <w:rPr>
                <w:noProof w:val="0"/>
              </w:rPr>
            </w:pPr>
            <w:r w:rsidRPr="000D6942">
              <w:rPr>
                <w:noProof w:val="0"/>
              </w:rPr>
              <w:t>Minimalus infuzijos laikas</w:t>
            </w:r>
          </w:p>
        </w:tc>
      </w:tr>
      <w:tr w:rsidR="00265092" w:rsidRPr="000D6942" w14:paraId="4D1998E1" w14:textId="77777777" w:rsidTr="00705434">
        <w:tc>
          <w:tcPr>
            <w:tcW w:w="2321" w:type="dxa"/>
            <w:shd w:val="clear" w:color="auto" w:fill="auto"/>
          </w:tcPr>
          <w:p w14:paraId="61F55CB5" w14:textId="77777777" w:rsidR="004B3F2D" w:rsidRPr="000D6942" w:rsidRDefault="004B3F2D" w:rsidP="00CF38FA">
            <w:pPr>
              <w:pStyle w:val="BTEMEASMCA"/>
              <w:jc w:val="left"/>
              <w:rPr>
                <w:noProof w:val="0"/>
              </w:rPr>
            </w:pPr>
            <w:r w:rsidRPr="000D6942">
              <w:rPr>
                <w:noProof w:val="0"/>
              </w:rPr>
              <w:t>nuo 2 iki 4 ml</w:t>
            </w:r>
          </w:p>
        </w:tc>
        <w:tc>
          <w:tcPr>
            <w:tcW w:w="2321" w:type="dxa"/>
            <w:shd w:val="clear" w:color="auto" w:fill="auto"/>
          </w:tcPr>
          <w:p w14:paraId="1CF283A4" w14:textId="77777777" w:rsidR="004B3F2D" w:rsidRPr="000D6942" w:rsidRDefault="004B3F2D" w:rsidP="00CF38FA">
            <w:pPr>
              <w:pStyle w:val="BTEMEASMCA"/>
              <w:jc w:val="left"/>
              <w:rPr>
                <w:noProof w:val="0"/>
              </w:rPr>
            </w:pPr>
            <w:r w:rsidRPr="000D6942">
              <w:rPr>
                <w:noProof w:val="0"/>
              </w:rPr>
              <w:t>nuo 100 iki 200 mg</w:t>
            </w:r>
          </w:p>
        </w:tc>
        <w:tc>
          <w:tcPr>
            <w:tcW w:w="2322" w:type="dxa"/>
            <w:shd w:val="clear" w:color="auto" w:fill="auto"/>
          </w:tcPr>
          <w:p w14:paraId="1EB0F609" w14:textId="77777777" w:rsidR="004B3F2D" w:rsidRPr="000D6942" w:rsidRDefault="004B3F2D" w:rsidP="00CF38FA">
            <w:pPr>
              <w:pStyle w:val="BTEMEASMCA"/>
              <w:jc w:val="left"/>
              <w:rPr>
                <w:noProof w:val="0"/>
              </w:rPr>
            </w:pPr>
            <w:r w:rsidRPr="000D6942">
              <w:rPr>
                <w:noProof w:val="0"/>
              </w:rPr>
              <w:t>50 ml</w:t>
            </w:r>
          </w:p>
        </w:tc>
        <w:tc>
          <w:tcPr>
            <w:tcW w:w="2322" w:type="dxa"/>
            <w:shd w:val="clear" w:color="auto" w:fill="auto"/>
          </w:tcPr>
          <w:p w14:paraId="05DB6761" w14:textId="7106469A" w:rsidR="004B3F2D" w:rsidRPr="000D6942" w:rsidRDefault="00F77311" w:rsidP="00CF38FA">
            <w:pPr>
              <w:pStyle w:val="BTEMEASMCA"/>
              <w:jc w:val="left"/>
              <w:rPr>
                <w:noProof w:val="0"/>
              </w:rPr>
            </w:pPr>
            <w:r w:rsidRPr="000D6942">
              <w:rPr>
                <w:noProof w:val="0"/>
              </w:rPr>
              <w:t>Minimalus laikas nenurodytas</w:t>
            </w:r>
            <w:r w:rsidRPr="000D6942" w:rsidDel="00F77311">
              <w:rPr>
                <w:noProof w:val="0"/>
              </w:rPr>
              <w:t xml:space="preserve"> </w:t>
            </w:r>
          </w:p>
        </w:tc>
      </w:tr>
      <w:tr w:rsidR="00265092" w:rsidRPr="000D6942" w14:paraId="0B90DDF3" w14:textId="77777777" w:rsidTr="00705434">
        <w:tc>
          <w:tcPr>
            <w:tcW w:w="2321" w:type="dxa"/>
            <w:shd w:val="clear" w:color="auto" w:fill="auto"/>
          </w:tcPr>
          <w:p w14:paraId="6A0AC2C2" w14:textId="77777777" w:rsidR="004B3F2D" w:rsidRPr="000D6942" w:rsidRDefault="004B3F2D" w:rsidP="00CF38FA">
            <w:pPr>
              <w:pStyle w:val="BTEMEASMCA"/>
              <w:jc w:val="left"/>
              <w:rPr>
                <w:noProof w:val="0"/>
              </w:rPr>
            </w:pPr>
            <w:r w:rsidRPr="000D6942">
              <w:rPr>
                <w:noProof w:val="0"/>
              </w:rPr>
              <w:t>nuo &gt; 4 iki 10 ml</w:t>
            </w:r>
          </w:p>
        </w:tc>
        <w:tc>
          <w:tcPr>
            <w:tcW w:w="2321" w:type="dxa"/>
            <w:shd w:val="clear" w:color="auto" w:fill="auto"/>
          </w:tcPr>
          <w:p w14:paraId="39DE7035" w14:textId="77777777" w:rsidR="004B3F2D" w:rsidRPr="000D6942" w:rsidRDefault="004B3F2D" w:rsidP="00CF38FA">
            <w:pPr>
              <w:pStyle w:val="BTEMEASMCA"/>
              <w:jc w:val="left"/>
              <w:rPr>
                <w:noProof w:val="0"/>
              </w:rPr>
            </w:pPr>
            <w:r w:rsidRPr="000D6942">
              <w:rPr>
                <w:noProof w:val="0"/>
              </w:rPr>
              <w:t>nuo &gt; 200 iki 500 mg</w:t>
            </w:r>
          </w:p>
        </w:tc>
        <w:tc>
          <w:tcPr>
            <w:tcW w:w="2322" w:type="dxa"/>
            <w:shd w:val="clear" w:color="auto" w:fill="auto"/>
          </w:tcPr>
          <w:p w14:paraId="25837207" w14:textId="77777777" w:rsidR="004B3F2D" w:rsidRPr="000D6942" w:rsidRDefault="004B3F2D" w:rsidP="00CF38FA">
            <w:pPr>
              <w:pStyle w:val="BTEMEASMCA"/>
              <w:jc w:val="left"/>
              <w:rPr>
                <w:noProof w:val="0"/>
              </w:rPr>
            </w:pPr>
            <w:r w:rsidRPr="000D6942">
              <w:rPr>
                <w:noProof w:val="0"/>
              </w:rPr>
              <w:t>100 ml</w:t>
            </w:r>
          </w:p>
        </w:tc>
        <w:tc>
          <w:tcPr>
            <w:tcW w:w="2322" w:type="dxa"/>
            <w:shd w:val="clear" w:color="auto" w:fill="auto"/>
          </w:tcPr>
          <w:p w14:paraId="3EBA490A" w14:textId="77777777" w:rsidR="004B3F2D" w:rsidRPr="000D6942" w:rsidRDefault="004B3F2D" w:rsidP="00CF38FA">
            <w:pPr>
              <w:pStyle w:val="BTEMEASMCA"/>
              <w:jc w:val="left"/>
              <w:rPr>
                <w:noProof w:val="0"/>
              </w:rPr>
            </w:pPr>
            <w:r w:rsidRPr="000D6942">
              <w:rPr>
                <w:noProof w:val="0"/>
              </w:rPr>
              <w:t>6 minutės</w:t>
            </w:r>
          </w:p>
        </w:tc>
      </w:tr>
      <w:tr w:rsidR="00265092" w:rsidRPr="000D6942" w14:paraId="6A4CF2AD" w14:textId="77777777" w:rsidTr="00705434">
        <w:tc>
          <w:tcPr>
            <w:tcW w:w="2321" w:type="dxa"/>
            <w:shd w:val="clear" w:color="auto" w:fill="auto"/>
          </w:tcPr>
          <w:p w14:paraId="4F9F7A89" w14:textId="77777777" w:rsidR="004B3F2D" w:rsidRPr="000D6942" w:rsidRDefault="004B3F2D" w:rsidP="00CF38FA">
            <w:pPr>
              <w:pStyle w:val="BTEMEASMCA"/>
              <w:jc w:val="left"/>
              <w:rPr>
                <w:noProof w:val="0"/>
              </w:rPr>
            </w:pPr>
            <w:r w:rsidRPr="000D6942">
              <w:rPr>
                <w:noProof w:val="0"/>
              </w:rPr>
              <w:t>nuo &gt; 10 iki 20 ml</w:t>
            </w:r>
          </w:p>
        </w:tc>
        <w:tc>
          <w:tcPr>
            <w:tcW w:w="2321" w:type="dxa"/>
            <w:shd w:val="clear" w:color="auto" w:fill="auto"/>
          </w:tcPr>
          <w:p w14:paraId="342CA9A5" w14:textId="59B65F17" w:rsidR="004B3F2D" w:rsidRPr="000D6942" w:rsidRDefault="004B3F2D" w:rsidP="00CF38FA">
            <w:pPr>
              <w:pStyle w:val="BTEMEASMCA"/>
              <w:jc w:val="left"/>
              <w:rPr>
                <w:noProof w:val="0"/>
              </w:rPr>
            </w:pPr>
            <w:r w:rsidRPr="000D6942">
              <w:rPr>
                <w:noProof w:val="0"/>
              </w:rPr>
              <w:t>nuo &gt; 500 iki 1000 mg</w:t>
            </w:r>
          </w:p>
        </w:tc>
        <w:tc>
          <w:tcPr>
            <w:tcW w:w="2322" w:type="dxa"/>
            <w:shd w:val="clear" w:color="auto" w:fill="auto"/>
          </w:tcPr>
          <w:p w14:paraId="3074EA8C" w14:textId="77777777" w:rsidR="004B3F2D" w:rsidRPr="000D6942" w:rsidRDefault="004B3F2D" w:rsidP="00CF38FA">
            <w:pPr>
              <w:pStyle w:val="BTEMEASMCA"/>
              <w:jc w:val="left"/>
              <w:rPr>
                <w:noProof w:val="0"/>
              </w:rPr>
            </w:pPr>
            <w:r w:rsidRPr="000D6942">
              <w:rPr>
                <w:noProof w:val="0"/>
              </w:rPr>
              <w:t>250 ml</w:t>
            </w:r>
          </w:p>
        </w:tc>
        <w:tc>
          <w:tcPr>
            <w:tcW w:w="2322" w:type="dxa"/>
            <w:shd w:val="clear" w:color="auto" w:fill="auto"/>
          </w:tcPr>
          <w:p w14:paraId="1056BAE7" w14:textId="77777777" w:rsidR="004B3F2D" w:rsidRPr="000D6942" w:rsidRDefault="004B3F2D" w:rsidP="00CF38FA">
            <w:pPr>
              <w:pStyle w:val="BTEMEASMCA"/>
              <w:jc w:val="left"/>
              <w:rPr>
                <w:noProof w:val="0"/>
              </w:rPr>
            </w:pPr>
            <w:r w:rsidRPr="000D6942">
              <w:rPr>
                <w:noProof w:val="0"/>
              </w:rPr>
              <w:t>15 minučių</w:t>
            </w:r>
          </w:p>
        </w:tc>
      </w:tr>
    </w:tbl>
    <w:p w14:paraId="2506D0FC" w14:textId="77777777" w:rsidR="004B3F2D" w:rsidRPr="000D6942" w:rsidRDefault="004B3F2D" w:rsidP="00CF38FA">
      <w:pPr>
        <w:pStyle w:val="BTEMEASMCA"/>
        <w:jc w:val="left"/>
        <w:rPr>
          <w:noProof w:val="0"/>
        </w:rPr>
      </w:pPr>
    </w:p>
    <w:p w14:paraId="118C09E0" w14:textId="77777777" w:rsidR="004B3F2D" w:rsidRPr="000D6942" w:rsidRDefault="004B3F2D" w:rsidP="00CF38FA">
      <w:pPr>
        <w:pStyle w:val="BTEMEASMCA"/>
        <w:jc w:val="left"/>
        <w:rPr>
          <w:noProof w:val="0"/>
        </w:rPr>
      </w:pPr>
      <w:r w:rsidRPr="000D6942">
        <w:rPr>
          <w:noProof w:val="0"/>
        </w:rPr>
        <w:t>Stebėjimo priemonės</w:t>
      </w:r>
    </w:p>
    <w:p w14:paraId="44637DF0" w14:textId="77777777" w:rsidR="004B3F2D" w:rsidRPr="000D6942" w:rsidRDefault="00F0749E" w:rsidP="00CF38FA">
      <w:pPr>
        <w:pStyle w:val="BTEMEASMCA"/>
        <w:jc w:val="left"/>
        <w:rPr>
          <w:noProof w:val="0"/>
        </w:rPr>
      </w:pPr>
      <w:r w:rsidRPr="000D6942">
        <w:rPr>
          <w:noProof w:val="0"/>
        </w:rPr>
        <w:t>Gydytojas turi atlikti pakartotinį vertinimą, atsižvelgdamas į konkretaus paciento būklę. Hb koncentraciją pakartotinai vertinti reikia praėjus ne mažiau nei 4 savaitėms po paskutinės suvartotos Ferinject dozės, kad būtų pakankamai laiko eritrocitams pasigaminti ir geležiai įsisavinti.</w:t>
      </w:r>
      <w:r w:rsidR="004B3F2D" w:rsidRPr="000D6942">
        <w:rPr>
          <w:noProof w:val="0"/>
        </w:rPr>
        <w:t xml:space="preserve"> Jei pacientui reikia papildyti geležies atsargas, geležies poreikį reikia iš naujo apskaičiuoti naudojant anksčiau pateiktą 1 lentelę.</w:t>
      </w:r>
    </w:p>
    <w:p w14:paraId="37E3366E" w14:textId="77777777" w:rsidR="004B3F2D" w:rsidRPr="000D6942" w:rsidRDefault="004B3F2D" w:rsidP="00CF38FA">
      <w:pPr>
        <w:pStyle w:val="BTEMEASMCA"/>
        <w:jc w:val="left"/>
        <w:rPr>
          <w:noProof w:val="0"/>
        </w:rPr>
      </w:pPr>
    </w:p>
    <w:p w14:paraId="22ABF66D" w14:textId="77777777" w:rsidR="004B3F2D" w:rsidRPr="000D6942" w:rsidRDefault="004B3F2D" w:rsidP="00CF38FA">
      <w:pPr>
        <w:pStyle w:val="BTEMEASMCA"/>
        <w:jc w:val="left"/>
        <w:rPr>
          <w:noProof w:val="0"/>
        </w:rPr>
      </w:pPr>
      <w:r w:rsidRPr="000D6942">
        <w:rPr>
          <w:noProof w:val="0"/>
        </w:rPr>
        <w:t>Nesuderinamumas</w:t>
      </w:r>
    </w:p>
    <w:p w14:paraId="3A196C9E" w14:textId="350FF379" w:rsidR="004B3F2D" w:rsidRPr="000D6942" w:rsidRDefault="004B3F2D" w:rsidP="00CF38FA">
      <w:pPr>
        <w:pStyle w:val="BTEMEASMCA"/>
        <w:jc w:val="left"/>
        <w:rPr>
          <w:noProof w:val="0"/>
        </w:rPr>
      </w:pPr>
      <w:r w:rsidRPr="000D6942">
        <w:rPr>
          <w:noProof w:val="0"/>
        </w:rPr>
        <w:t>Geriamąją geležį vartojant kartu su parenteraliniais geležies preparatais, jos absorbcija sumažėja.</w:t>
      </w:r>
      <w:r w:rsidR="00C36290" w:rsidRPr="000D6942">
        <w:rPr>
          <w:noProof w:val="0"/>
        </w:rPr>
        <w:t xml:space="preserve"> Todėl, jei reikia skirti gydymą geriamąja geležimi, ją galima pradėti vartoti praėjus mažiausiai 5 dienoms nuo paskutin</w:t>
      </w:r>
      <w:r w:rsidR="00DF2024">
        <w:rPr>
          <w:noProof w:val="0"/>
        </w:rPr>
        <w:t>io</w:t>
      </w:r>
      <w:r w:rsidR="00C36290" w:rsidRPr="000D6942">
        <w:rPr>
          <w:noProof w:val="0"/>
        </w:rPr>
        <w:t xml:space="preserve"> Ferinject</w:t>
      </w:r>
      <w:r w:rsidR="00DF2024">
        <w:rPr>
          <w:noProof w:val="0"/>
        </w:rPr>
        <w:t xml:space="preserve"> vartojimo</w:t>
      </w:r>
      <w:r w:rsidR="00C36290" w:rsidRPr="000D6942">
        <w:rPr>
          <w:noProof w:val="0"/>
        </w:rPr>
        <w:t>.</w:t>
      </w:r>
    </w:p>
    <w:p w14:paraId="7C68CC00" w14:textId="77777777" w:rsidR="00C36290" w:rsidRPr="000D6942" w:rsidRDefault="00C36290" w:rsidP="00CF38FA">
      <w:pPr>
        <w:pStyle w:val="BTEMEASMCA"/>
        <w:jc w:val="left"/>
        <w:rPr>
          <w:noProof w:val="0"/>
        </w:rPr>
      </w:pPr>
    </w:p>
    <w:p w14:paraId="5B671DB3" w14:textId="77777777" w:rsidR="00C36290" w:rsidRPr="000D6942" w:rsidRDefault="00C36290" w:rsidP="00CF38FA">
      <w:pPr>
        <w:pStyle w:val="BTEMEASMCA"/>
        <w:jc w:val="left"/>
        <w:rPr>
          <w:noProof w:val="0"/>
        </w:rPr>
      </w:pPr>
      <w:r w:rsidRPr="000D6942">
        <w:rPr>
          <w:noProof w:val="0"/>
        </w:rPr>
        <w:t>Perdozavimas</w:t>
      </w:r>
    </w:p>
    <w:p w14:paraId="1DEB460E" w14:textId="77777777" w:rsidR="00C36290" w:rsidRDefault="00C36290" w:rsidP="00CF38FA">
      <w:pPr>
        <w:pStyle w:val="BTEMEASMCA"/>
        <w:jc w:val="left"/>
        <w:rPr>
          <w:noProof w:val="0"/>
        </w:rPr>
      </w:pPr>
      <w:r w:rsidRPr="000D6942">
        <w:rPr>
          <w:noProof w:val="0"/>
        </w:rPr>
        <w:t>Skiriant Ferinject didesniais kiekiais nei būtina geležies trūkumui pašalinti, vartojimo metu geležis gali kauptis organizme ir sukelti hemosiderozę. Geležies parametrų, pvz., feritino koncentracijos serume ir transferino įsotinimo laipsnio, stebėjimas gali padėti atpažinti geležies susikaupimą. Jei organizme susikaupė geležies, reikia gydyti remiantis įprasta medicinos praktika, pvz., galima apsvarstyti geležies chelatoriaus vartojimą.</w:t>
      </w:r>
    </w:p>
    <w:p w14:paraId="1787832E" w14:textId="77777777" w:rsidR="00FA6825" w:rsidRDefault="00FA6825" w:rsidP="00CF38FA">
      <w:pPr>
        <w:pStyle w:val="BTEMEASMCA"/>
        <w:jc w:val="left"/>
        <w:rPr>
          <w:noProof w:val="0"/>
        </w:rPr>
      </w:pPr>
    </w:p>
    <w:p w14:paraId="44C04CA2" w14:textId="77777777" w:rsidR="00FA6825" w:rsidRPr="000D6942" w:rsidRDefault="00FA6825" w:rsidP="00CF38FA">
      <w:pPr>
        <w:pStyle w:val="BTEMEASMCA"/>
        <w:jc w:val="left"/>
        <w:rPr>
          <w:noProof w:val="0"/>
        </w:rPr>
      </w:pPr>
    </w:p>
    <w:sectPr w:rsidR="00FA6825" w:rsidRPr="000D6942" w:rsidSect="000234B0">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72F793" w16cid:durableId="1FA7D0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92FB1" w14:textId="77777777" w:rsidR="00CA70FF" w:rsidRDefault="00CA70FF" w:rsidP="00B761D4">
      <w:r>
        <w:separator/>
      </w:r>
    </w:p>
  </w:endnote>
  <w:endnote w:type="continuationSeparator" w:id="0">
    <w:p w14:paraId="74D234B2" w14:textId="77777777" w:rsidR="00CA70FF" w:rsidRDefault="00CA70FF" w:rsidP="00B761D4">
      <w:r>
        <w:continuationSeparator/>
      </w:r>
    </w:p>
  </w:endnote>
  <w:endnote w:type="continuationNotice" w:id="1">
    <w:p w14:paraId="0E808993" w14:textId="77777777" w:rsidR="00CA70FF" w:rsidRDefault="00CA7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BD9DB" w14:textId="77777777" w:rsidR="00CA70FF" w:rsidRDefault="00CA70FF" w:rsidP="00B761D4">
      <w:r>
        <w:separator/>
      </w:r>
    </w:p>
  </w:footnote>
  <w:footnote w:type="continuationSeparator" w:id="0">
    <w:p w14:paraId="114A958F" w14:textId="77777777" w:rsidR="00CA70FF" w:rsidRDefault="00CA70FF" w:rsidP="00B761D4">
      <w:r>
        <w:continuationSeparator/>
      </w:r>
    </w:p>
  </w:footnote>
  <w:footnote w:type="continuationNotice" w:id="1">
    <w:p w14:paraId="5432F5B4" w14:textId="77777777" w:rsidR="00CA70FF" w:rsidRDefault="00CA70F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314913"/>
    <w:multiLevelType w:val="multilevel"/>
    <w:tmpl w:val="340870BE"/>
    <w:lvl w:ilvl="0">
      <w:start w:val="1"/>
      <w:numFmt w:val="bullet"/>
      <w:lvlText w:val=""/>
      <w:lvlJc w:val="left"/>
      <w:pPr>
        <w:tabs>
          <w:tab w:val="num" w:pos="357"/>
        </w:tabs>
        <w:ind w:left="357" w:hanging="357"/>
      </w:pPr>
      <w:rPr>
        <w:rFonts w:ascii="Symbol" w:hAnsi="Symbol"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0C0F65"/>
    <w:multiLevelType w:val="hybridMultilevel"/>
    <w:tmpl w:val="A8D46DF8"/>
    <w:lvl w:ilvl="0" w:tplc="6116F7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D2EBB"/>
    <w:multiLevelType w:val="hybridMultilevel"/>
    <w:tmpl w:val="F97A753E"/>
    <w:lvl w:ilvl="0" w:tplc="6116F7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05230"/>
    <w:multiLevelType w:val="hybridMultilevel"/>
    <w:tmpl w:val="7274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811BF"/>
    <w:multiLevelType w:val="hybridMultilevel"/>
    <w:tmpl w:val="0BF4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C4177"/>
    <w:multiLevelType w:val="multilevel"/>
    <w:tmpl w:val="340870BE"/>
    <w:lvl w:ilvl="0">
      <w:start w:val="1"/>
      <w:numFmt w:val="bullet"/>
      <w:lvlText w:val=""/>
      <w:lvlJc w:val="left"/>
      <w:pPr>
        <w:tabs>
          <w:tab w:val="num" w:pos="357"/>
        </w:tabs>
        <w:ind w:left="357" w:hanging="357"/>
      </w:pPr>
      <w:rPr>
        <w:rFonts w:ascii="Symbol" w:hAnsi="Symbol"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612DC"/>
    <w:multiLevelType w:val="hybridMultilevel"/>
    <w:tmpl w:val="FD348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209BD"/>
    <w:multiLevelType w:val="hybridMultilevel"/>
    <w:tmpl w:val="8B06D644"/>
    <w:lvl w:ilvl="0" w:tplc="6116F77A">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50133227"/>
    <w:multiLevelType w:val="hybridMultilevel"/>
    <w:tmpl w:val="87D43E5C"/>
    <w:lvl w:ilvl="0" w:tplc="0807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Courier New"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Courier New"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1"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2" w15:restartNumberingAfterBreak="0">
    <w:nsid w:val="57C90C19"/>
    <w:multiLevelType w:val="hybridMultilevel"/>
    <w:tmpl w:val="DC925F7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67F026A5"/>
    <w:multiLevelType w:val="multilevel"/>
    <w:tmpl w:val="8C10D6B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D7D33F7"/>
    <w:multiLevelType w:val="hybridMultilevel"/>
    <w:tmpl w:val="604E229A"/>
    <w:lvl w:ilvl="0" w:tplc="017AEA1C">
      <w:start w:val="4"/>
      <w:numFmt w:val="bullet"/>
      <w:lvlText w:val="-"/>
      <w:lvlJc w:val="left"/>
      <w:pPr>
        <w:tabs>
          <w:tab w:val="num" w:pos="216"/>
        </w:tabs>
        <w:ind w:left="216" w:hanging="216"/>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7072256"/>
    <w:multiLevelType w:val="hybridMultilevel"/>
    <w:tmpl w:val="C2105AD2"/>
    <w:lvl w:ilvl="0" w:tplc="FFFFFFFF">
      <w:start w:val="5"/>
      <w:numFmt w:val="decimal"/>
      <w:lvlText w:val="%1."/>
      <w:lvlJc w:val="left"/>
      <w:pPr>
        <w:tabs>
          <w:tab w:val="num" w:pos="2880"/>
        </w:tabs>
        <w:ind w:left="2880" w:hanging="450"/>
      </w:pPr>
      <w:rPr>
        <w:rFonts w:hint="default"/>
      </w:rPr>
    </w:lvl>
    <w:lvl w:ilvl="1" w:tplc="FFFFFFFF">
      <w:start w:val="1"/>
      <w:numFmt w:val="lowerLetter"/>
      <w:lvlText w:val="%2."/>
      <w:lvlJc w:val="left"/>
      <w:pPr>
        <w:tabs>
          <w:tab w:val="num" w:pos="3510"/>
        </w:tabs>
        <w:ind w:left="3510" w:hanging="360"/>
      </w:pPr>
    </w:lvl>
    <w:lvl w:ilvl="2" w:tplc="FFFFFFFF">
      <w:start w:val="1"/>
      <w:numFmt w:val="lowerRoman"/>
      <w:lvlText w:val="%3."/>
      <w:lvlJc w:val="right"/>
      <w:pPr>
        <w:tabs>
          <w:tab w:val="num" w:pos="4230"/>
        </w:tabs>
        <w:ind w:left="4230" w:hanging="180"/>
      </w:pPr>
    </w:lvl>
    <w:lvl w:ilvl="3" w:tplc="FFFFFFFF">
      <w:start w:val="1"/>
      <w:numFmt w:val="decimal"/>
      <w:lvlText w:val="%4."/>
      <w:lvlJc w:val="left"/>
      <w:pPr>
        <w:tabs>
          <w:tab w:val="num" w:pos="4950"/>
        </w:tabs>
        <w:ind w:left="4950" w:hanging="360"/>
      </w:pPr>
    </w:lvl>
    <w:lvl w:ilvl="4" w:tplc="FFFFFFFF">
      <w:start w:val="1"/>
      <w:numFmt w:val="lowerLetter"/>
      <w:lvlText w:val="%5."/>
      <w:lvlJc w:val="left"/>
      <w:pPr>
        <w:tabs>
          <w:tab w:val="num" w:pos="5670"/>
        </w:tabs>
        <w:ind w:left="5670" w:hanging="360"/>
      </w:pPr>
    </w:lvl>
    <w:lvl w:ilvl="5" w:tplc="FFFFFFFF">
      <w:start w:val="1"/>
      <w:numFmt w:val="lowerRoman"/>
      <w:lvlText w:val="%6."/>
      <w:lvlJc w:val="right"/>
      <w:pPr>
        <w:tabs>
          <w:tab w:val="num" w:pos="6390"/>
        </w:tabs>
        <w:ind w:left="6390" w:hanging="180"/>
      </w:pPr>
    </w:lvl>
    <w:lvl w:ilvl="6" w:tplc="FFFFFFFF">
      <w:start w:val="1"/>
      <w:numFmt w:val="decimal"/>
      <w:lvlText w:val="%7."/>
      <w:lvlJc w:val="left"/>
      <w:pPr>
        <w:tabs>
          <w:tab w:val="num" w:pos="7110"/>
        </w:tabs>
        <w:ind w:left="7110" w:hanging="360"/>
      </w:pPr>
    </w:lvl>
    <w:lvl w:ilvl="7" w:tplc="FFFFFFFF">
      <w:start w:val="1"/>
      <w:numFmt w:val="lowerLetter"/>
      <w:lvlText w:val="%8."/>
      <w:lvlJc w:val="left"/>
      <w:pPr>
        <w:tabs>
          <w:tab w:val="num" w:pos="7830"/>
        </w:tabs>
        <w:ind w:left="7830" w:hanging="360"/>
      </w:pPr>
    </w:lvl>
    <w:lvl w:ilvl="8" w:tplc="FFFFFFFF">
      <w:start w:val="1"/>
      <w:numFmt w:val="lowerRoman"/>
      <w:lvlText w:val="%9."/>
      <w:lvlJc w:val="right"/>
      <w:pPr>
        <w:tabs>
          <w:tab w:val="num" w:pos="8550"/>
        </w:tabs>
        <w:ind w:left="8550" w:hanging="180"/>
      </w:pPr>
    </w:lvl>
  </w:abstractNum>
  <w:num w:numId="1">
    <w:abstractNumId w:val="8"/>
  </w:num>
  <w:num w:numId="2">
    <w:abstractNumId w:val="1"/>
  </w:num>
  <w:num w:numId="3">
    <w:abstractNumId w:val="6"/>
  </w:num>
  <w:num w:numId="4">
    <w:abstractNumId w:val="13"/>
  </w:num>
  <w:num w:numId="5">
    <w:abstractNumId w:val="0"/>
    <w:lvlOverride w:ilvl="0">
      <w:lvl w:ilvl="0">
        <w:start w:val="1"/>
        <w:numFmt w:val="bullet"/>
        <w:lvlText w:val=""/>
        <w:legacy w:legacy="1" w:legacySpace="0" w:legacyIndent="360"/>
        <w:lvlJc w:val="left"/>
        <w:pPr>
          <w:ind w:left="360" w:hanging="360"/>
        </w:pPr>
        <w:rPr>
          <w:rFonts w:ascii="Symbol" w:hAnsi="Symbol" w:cs="Courier New" w:hint="default"/>
        </w:rPr>
      </w:lvl>
    </w:lvlOverride>
  </w:num>
  <w:num w:numId="6">
    <w:abstractNumId w:val="10"/>
  </w:num>
  <w:num w:numId="7">
    <w:abstractNumId w:val="15"/>
  </w:num>
  <w:num w:numId="8">
    <w:abstractNumId w:val="12"/>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1">
    <w:abstractNumId w:val="14"/>
  </w:num>
  <w:num w:numId="12">
    <w:abstractNumId w:val="0"/>
    <w:lvlOverride w:ilvl="0">
      <w:lvl w:ilvl="0">
        <w:start w:val="1"/>
        <w:numFmt w:val="bullet"/>
        <w:lvlText w:val=""/>
        <w:lvlJc w:val="left"/>
        <w:pPr>
          <w:ind w:left="360" w:hanging="360"/>
        </w:pPr>
        <w:rPr>
          <w:rFonts w:ascii="Symbol" w:hAnsi="Symbol" w:hint="default"/>
        </w:rPr>
      </w:lvl>
    </w:lvlOverride>
  </w:num>
  <w:num w:numId="13">
    <w:abstractNumId w:val="9"/>
  </w:num>
  <w:num w:numId="14">
    <w:abstractNumId w:val="4"/>
  </w:num>
  <w:num w:numId="15">
    <w:abstractNumId w:val="7"/>
  </w:num>
  <w:num w:numId="16">
    <w:abstractNumId w:val="5"/>
  </w:num>
  <w:num w:numId="17">
    <w:abstractNumId w:val="2"/>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CC"/>
    <w:rsid w:val="00000BB7"/>
    <w:rsid w:val="0000240F"/>
    <w:rsid w:val="000165D7"/>
    <w:rsid w:val="00017FAC"/>
    <w:rsid w:val="000231DF"/>
    <w:rsid w:val="000234B0"/>
    <w:rsid w:val="00024A58"/>
    <w:rsid w:val="00027368"/>
    <w:rsid w:val="00030B77"/>
    <w:rsid w:val="0003256A"/>
    <w:rsid w:val="000338B5"/>
    <w:rsid w:val="000339BE"/>
    <w:rsid w:val="00042D47"/>
    <w:rsid w:val="0005103B"/>
    <w:rsid w:val="00054587"/>
    <w:rsid w:val="000549BC"/>
    <w:rsid w:val="00055682"/>
    <w:rsid w:val="00071A38"/>
    <w:rsid w:val="00072CAF"/>
    <w:rsid w:val="00076381"/>
    <w:rsid w:val="00083B61"/>
    <w:rsid w:val="000857E4"/>
    <w:rsid w:val="00087CE5"/>
    <w:rsid w:val="00090360"/>
    <w:rsid w:val="000908F1"/>
    <w:rsid w:val="00091180"/>
    <w:rsid w:val="00096958"/>
    <w:rsid w:val="00096ED4"/>
    <w:rsid w:val="000A47B7"/>
    <w:rsid w:val="000B3C91"/>
    <w:rsid w:val="000B4D52"/>
    <w:rsid w:val="000B5512"/>
    <w:rsid w:val="000B7845"/>
    <w:rsid w:val="000C6B82"/>
    <w:rsid w:val="000C7515"/>
    <w:rsid w:val="000C7F70"/>
    <w:rsid w:val="000D1892"/>
    <w:rsid w:val="000D34BC"/>
    <w:rsid w:val="000D6942"/>
    <w:rsid w:val="000E0936"/>
    <w:rsid w:val="000E2D9D"/>
    <w:rsid w:val="000E3771"/>
    <w:rsid w:val="000E3875"/>
    <w:rsid w:val="000E5A2F"/>
    <w:rsid w:val="000F2BF2"/>
    <w:rsid w:val="000F3659"/>
    <w:rsid w:val="000F6C03"/>
    <w:rsid w:val="00100BA9"/>
    <w:rsid w:val="001049F4"/>
    <w:rsid w:val="00111B0C"/>
    <w:rsid w:val="001120C8"/>
    <w:rsid w:val="00112ACF"/>
    <w:rsid w:val="0011669C"/>
    <w:rsid w:val="00134E36"/>
    <w:rsid w:val="00136645"/>
    <w:rsid w:val="00137509"/>
    <w:rsid w:val="00140DA4"/>
    <w:rsid w:val="00141810"/>
    <w:rsid w:val="00142FB7"/>
    <w:rsid w:val="0014622F"/>
    <w:rsid w:val="0016178B"/>
    <w:rsid w:val="001664BC"/>
    <w:rsid w:val="00173849"/>
    <w:rsid w:val="001809D0"/>
    <w:rsid w:val="00182566"/>
    <w:rsid w:val="001837B7"/>
    <w:rsid w:val="00186998"/>
    <w:rsid w:val="00192B46"/>
    <w:rsid w:val="0019309D"/>
    <w:rsid w:val="00193342"/>
    <w:rsid w:val="001933C4"/>
    <w:rsid w:val="00194CD2"/>
    <w:rsid w:val="001A0139"/>
    <w:rsid w:val="001A09A0"/>
    <w:rsid w:val="001A2FCC"/>
    <w:rsid w:val="001A4657"/>
    <w:rsid w:val="001A706F"/>
    <w:rsid w:val="001B3024"/>
    <w:rsid w:val="001B65DC"/>
    <w:rsid w:val="001C2628"/>
    <w:rsid w:val="001C2D1D"/>
    <w:rsid w:val="001C75A1"/>
    <w:rsid w:val="001C7FAD"/>
    <w:rsid w:val="001D7D6A"/>
    <w:rsid w:val="001E0FA5"/>
    <w:rsid w:val="001E37F2"/>
    <w:rsid w:val="001E4F5A"/>
    <w:rsid w:val="001E51A0"/>
    <w:rsid w:val="001E51E1"/>
    <w:rsid w:val="001E7F5C"/>
    <w:rsid w:val="001F1E55"/>
    <w:rsid w:val="001F2A52"/>
    <w:rsid w:val="001F6044"/>
    <w:rsid w:val="001F647B"/>
    <w:rsid w:val="002133CA"/>
    <w:rsid w:val="00216230"/>
    <w:rsid w:val="002163E2"/>
    <w:rsid w:val="00221489"/>
    <w:rsid w:val="00227B9A"/>
    <w:rsid w:val="00236371"/>
    <w:rsid w:val="00241987"/>
    <w:rsid w:val="002550F5"/>
    <w:rsid w:val="00260B11"/>
    <w:rsid w:val="00264ED3"/>
    <w:rsid w:val="00265092"/>
    <w:rsid w:val="002664CB"/>
    <w:rsid w:val="00270222"/>
    <w:rsid w:val="002801F0"/>
    <w:rsid w:val="00281435"/>
    <w:rsid w:val="00290707"/>
    <w:rsid w:val="00295D64"/>
    <w:rsid w:val="002A0D89"/>
    <w:rsid w:val="002A6249"/>
    <w:rsid w:val="002A7207"/>
    <w:rsid w:val="002B14A1"/>
    <w:rsid w:val="002B2515"/>
    <w:rsid w:val="002B3F1A"/>
    <w:rsid w:val="002B6F35"/>
    <w:rsid w:val="002C5533"/>
    <w:rsid w:val="002D230B"/>
    <w:rsid w:val="002D2D90"/>
    <w:rsid w:val="002D7922"/>
    <w:rsid w:val="002E4251"/>
    <w:rsid w:val="002E6252"/>
    <w:rsid w:val="002E7947"/>
    <w:rsid w:val="002F3205"/>
    <w:rsid w:val="002F3686"/>
    <w:rsid w:val="003056A1"/>
    <w:rsid w:val="00305C3D"/>
    <w:rsid w:val="00306C00"/>
    <w:rsid w:val="00320224"/>
    <w:rsid w:val="00322EF4"/>
    <w:rsid w:val="003253E8"/>
    <w:rsid w:val="003256E1"/>
    <w:rsid w:val="00325DCB"/>
    <w:rsid w:val="00327196"/>
    <w:rsid w:val="00331443"/>
    <w:rsid w:val="003315E7"/>
    <w:rsid w:val="00333C0B"/>
    <w:rsid w:val="00335F3A"/>
    <w:rsid w:val="003366F9"/>
    <w:rsid w:val="00341228"/>
    <w:rsid w:val="00342C77"/>
    <w:rsid w:val="0034428D"/>
    <w:rsid w:val="00344747"/>
    <w:rsid w:val="00350828"/>
    <w:rsid w:val="00350E4D"/>
    <w:rsid w:val="00352B15"/>
    <w:rsid w:val="003602C5"/>
    <w:rsid w:val="00362249"/>
    <w:rsid w:val="003629F7"/>
    <w:rsid w:val="003654E2"/>
    <w:rsid w:val="00367372"/>
    <w:rsid w:val="00370CF5"/>
    <w:rsid w:val="00372DA6"/>
    <w:rsid w:val="003736CD"/>
    <w:rsid w:val="00376E84"/>
    <w:rsid w:val="0039098D"/>
    <w:rsid w:val="0039366C"/>
    <w:rsid w:val="003939C5"/>
    <w:rsid w:val="00393F31"/>
    <w:rsid w:val="003A3BE6"/>
    <w:rsid w:val="003A5D0B"/>
    <w:rsid w:val="003B7241"/>
    <w:rsid w:val="003B7732"/>
    <w:rsid w:val="003C2C3B"/>
    <w:rsid w:val="003C4369"/>
    <w:rsid w:val="003D0355"/>
    <w:rsid w:val="003D2B21"/>
    <w:rsid w:val="003D2D82"/>
    <w:rsid w:val="003D788A"/>
    <w:rsid w:val="003E3D85"/>
    <w:rsid w:val="003E5484"/>
    <w:rsid w:val="003F16D3"/>
    <w:rsid w:val="003F2AD3"/>
    <w:rsid w:val="003F5C1C"/>
    <w:rsid w:val="004026DE"/>
    <w:rsid w:val="00402A5E"/>
    <w:rsid w:val="00403585"/>
    <w:rsid w:val="0040561C"/>
    <w:rsid w:val="00406E79"/>
    <w:rsid w:val="00420891"/>
    <w:rsid w:val="00423CAB"/>
    <w:rsid w:val="00424E19"/>
    <w:rsid w:val="00437422"/>
    <w:rsid w:val="004422C7"/>
    <w:rsid w:val="00446604"/>
    <w:rsid w:val="004477F8"/>
    <w:rsid w:val="00454F77"/>
    <w:rsid w:val="0045697D"/>
    <w:rsid w:val="0046454A"/>
    <w:rsid w:val="004647C5"/>
    <w:rsid w:val="00467286"/>
    <w:rsid w:val="00470DB9"/>
    <w:rsid w:val="00471624"/>
    <w:rsid w:val="00474AB7"/>
    <w:rsid w:val="00475103"/>
    <w:rsid w:val="00477624"/>
    <w:rsid w:val="00480C37"/>
    <w:rsid w:val="004823CE"/>
    <w:rsid w:val="00486B40"/>
    <w:rsid w:val="0048771B"/>
    <w:rsid w:val="0049215B"/>
    <w:rsid w:val="00496EF8"/>
    <w:rsid w:val="00497022"/>
    <w:rsid w:val="004A048F"/>
    <w:rsid w:val="004A56A6"/>
    <w:rsid w:val="004A7D96"/>
    <w:rsid w:val="004B3F2D"/>
    <w:rsid w:val="004B52B6"/>
    <w:rsid w:val="004B6681"/>
    <w:rsid w:val="004C1D81"/>
    <w:rsid w:val="004C2CCC"/>
    <w:rsid w:val="004C31CD"/>
    <w:rsid w:val="004C61C4"/>
    <w:rsid w:val="004D10E1"/>
    <w:rsid w:val="004D64F8"/>
    <w:rsid w:val="004E34E3"/>
    <w:rsid w:val="004F2131"/>
    <w:rsid w:val="004F5C06"/>
    <w:rsid w:val="004F7689"/>
    <w:rsid w:val="00506E14"/>
    <w:rsid w:val="00511AAB"/>
    <w:rsid w:val="00522B65"/>
    <w:rsid w:val="005242CA"/>
    <w:rsid w:val="00525D17"/>
    <w:rsid w:val="00531544"/>
    <w:rsid w:val="005328D3"/>
    <w:rsid w:val="00535CFB"/>
    <w:rsid w:val="005371BD"/>
    <w:rsid w:val="00543763"/>
    <w:rsid w:val="00553575"/>
    <w:rsid w:val="00553D1C"/>
    <w:rsid w:val="0055406B"/>
    <w:rsid w:val="00555EE3"/>
    <w:rsid w:val="00561DE2"/>
    <w:rsid w:val="005654D1"/>
    <w:rsid w:val="00576865"/>
    <w:rsid w:val="00580AAC"/>
    <w:rsid w:val="00580ECD"/>
    <w:rsid w:val="00582828"/>
    <w:rsid w:val="00591D26"/>
    <w:rsid w:val="005976A3"/>
    <w:rsid w:val="005A1FE9"/>
    <w:rsid w:val="005A4834"/>
    <w:rsid w:val="005B69C1"/>
    <w:rsid w:val="005D0C4F"/>
    <w:rsid w:val="005D3E8F"/>
    <w:rsid w:val="005E19D3"/>
    <w:rsid w:val="005E61F3"/>
    <w:rsid w:val="005F4B11"/>
    <w:rsid w:val="006032D7"/>
    <w:rsid w:val="00603B16"/>
    <w:rsid w:val="00604DC1"/>
    <w:rsid w:val="006076C4"/>
    <w:rsid w:val="006110CF"/>
    <w:rsid w:val="006329D4"/>
    <w:rsid w:val="00633D05"/>
    <w:rsid w:val="00635BA5"/>
    <w:rsid w:val="00637872"/>
    <w:rsid w:val="00642767"/>
    <w:rsid w:val="00643FFD"/>
    <w:rsid w:val="00644576"/>
    <w:rsid w:val="006450F5"/>
    <w:rsid w:val="00646EDD"/>
    <w:rsid w:val="00650BB7"/>
    <w:rsid w:val="006538B8"/>
    <w:rsid w:val="006541CE"/>
    <w:rsid w:val="00664286"/>
    <w:rsid w:val="00673194"/>
    <w:rsid w:val="00681CDA"/>
    <w:rsid w:val="00682630"/>
    <w:rsid w:val="0068337E"/>
    <w:rsid w:val="00684013"/>
    <w:rsid w:val="006875A6"/>
    <w:rsid w:val="00691187"/>
    <w:rsid w:val="00692C9E"/>
    <w:rsid w:val="00695F7E"/>
    <w:rsid w:val="006960AC"/>
    <w:rsid w:val="00696771"/>
    <w:rsid w:val="006A473D"/>
    <w:rsid w:val="006A49E5"/>
    <w:rsid w:val="006B0ECD"/>
    <w:rsid w:val="006B5BF4"/>
    <w:rsid w:val="006B5E2D"/>
    <w:rsid w:val="006C048B"/>
    <w:rsid w:val="006C3172"/>
    <w:rsid w:val="006D36A0"/>
    <w:rsid w:val="006D4A23"/>
    <w:rsid w:val="006D4C90"/>
    <w:rsid w:val="006D4EE9"/>
    <w:rsid w:val="006D4FEE"/>
    <w:rsid w:val="006D71DB"/>
    <w:rsid w:val="006E1EEA"/>
    <w:rsid w:val="006E5C2F"/>
    <w:rsid w:val="006F36F1"/>
    <w:rsid w:val="006F4A57"/>
    <w:rsid w:val="00702891"/>
    <w:rsid w:val="00705434"/>
    <w:rsid w:val="00707220"/>
    <w:rsid w:val="00712760"/>
    <w:rsid w:val="00720915"/>
    <w:rsid w:val="007215D1"/>
    <w:rsid w:val="00730553"/>
    <w:rsid w:val="0073287C"/>
    <w:rsid w:val="00734F1B"/>
    <w:rsid w:val="00736211"/>
    <w:rsid w:val="00737DD8"/>
    <w:rsid w:val="00742429"/>
    <w:rsid w:val="00744F09"/>
    <w:rsid w:val="0075399A"/>
    <w:rsid w:val="007606E8"/>
    <w:rsid w:val="00761097"/>
    <w:rsid w:val="0076217F"/>
    <w:rsid w:val="00767A4A"/>
    <w:rsid w:val="0077048B"/>
    <w:rsid w:val="00776A96"/>
    <w:rsid w:val="0078147A"/>
    <w:rsid w:val="00782377"/>
    <w:rsid w:val="00785024"/>
    <w:rsid w:val="00786098"/>
    <w:rsid w:val="00786CF9"/>
    <w:rsid w:val="007A234C"/>
    <w:rsid w:val="007A49C1"/>
    <w:rsid w:val="007A4EA9"/>
    <w:rsid w:val="007A50DA"/>
    <w:rsid w:val="007B7783"/>
    <w:rsid w:val="007C283C"/>
    <w:rsid w:val="007C4B1E"/>
    <w:rsid w:val="007C5FCA"/>
    <w:rsid w:val="007D0A84"/>
    <w:rsid w:val="007D2A69"/>
    <w:rsid w:val="007D64C0"/>
    <w:rsid w:val="007D7638"/>
    <w:rsid w:val="007E47D5"/>
    <w:rsid w:val="007E63B8"/>
    <w:rsid w:val="007E6AC2"/>
    <w:rsid w:val="007F4EDE"/>
    <w:rsid w:val="007F55F8"/>
    <w:rsid w:val="007F6369"/>
    <w:rsid w:val="00800BCC"/>
    <w:rsid w:val="008031FB"/>
    <w:rsid w:val="0080425D"/>
    <w:rsid w:val="008071CD"/>
    <w:rsid w:val="00812457"/>
    <w:rsid w:val="00815366"/>
    <w:rsid w:val="00817223"/>
    <w:rsid w:val="00820C30"/>
    <w:rsid w:val="00822DF5"/>
    <w:rsid w:val="00824E51"/>
    <w:rsid w:val="00824EA0"/>
    <w:rsid w:val="00825BAA"/>
    <w:rsid w:val="008262C3"/>
    <w:rsid w:val="00826DA2"/>
    <w:rsid w:val="0083493F"/>
    <w:rsid w:val="008349C2"/>
    <w:rsid w:val="00836C88"/>
    <w:rsid w:val="0084658A"/>
    <w:rsid w:val="0084710A"/>
    <w:rsid w:val="008471B9"/>
    <w:rsid w:val="00851910"/>
    <w:rsid w:val="008531BD"/>
    <w:rsid w:val="0085381C"/>
    <w:rsid w:val="00867091"/>
    <w:rsid w:val="00867C74"/>
    <w:rsid w:val="0087234B"/>
    <w:rsid w:val="0087289C"/>
    <w:rsid w:val="00873B59"/>
    <w:rsid w:val="0087429B"/>
    <w:rsid w:val="008749F3"/>
    <w:rsid w:val="00876325"/>
    <w:rsid w:val="008849DD"/>
    <w:rsid w:val="0088646E"/>
    <w:rsid w:val="00887DA5"/>
    <w:rsid w:val="00890FC3"/>
    <w:rsid w:val="00892D96"/>
    <w:rsid w:val="00893A28"/>
    <w:rsid w:val="008A124E"/>
    <w:rsid w:val="008A22BD"/>
    <w:rsid w:val="008A4BE9"/>
    <w:rsid w:val="008B2197"/>
    <w:rsid w:val="008B254F"/>
    <w:rsid w:val="008B48CB"/>
    <w:rsid w:val="008B4A0E"/>
    <w:rsid w:val="008B4C55"/>
    <w:rsid w:val="008B770D"/>
    <w:rsid w:val="008C4D69"/>
    <w:rsid w:val="008C6767"/>
    <w:rsid w:val="008E228F"/>
    <w:rsid w:val="008F64D1"/>
    <w:rsid w:val="0090290C"/>
    <w:rsid w:val="00902BDF"/>
    <w:rsid w:val="00903350"/>
    <w:rsid w:val="00907F7C"/>
    <w:rsid w:val="00915EA0"/>
    <w:rsid w:val="0091709B"/>
    <w:rsid w:val="00917863"/>
    <w:rsid w:val="00920724"/>
    <w:rsid w:val="00920D28"/>
    <w:rsid w:val="009262A6"/>
    <w:rsid w:val="009312AC"/>
    <w:rsid w:val="00932228"/>
    <w:rsid w:val="00947F6A"/>
    <w:rsid w:val="009509B3"/>
    <w:rsid w:val="00950C01"/>
    <w:rsid w:val="00951B82"/>
    <w:rsid w:val="00954719"/>
    <w:rsid w:val="0095537D"/>
    <w:rsid w:val="0096272A"/>
    <w:rsid w:val="00962749"/>
    <w:rsid w:val="009629C4"/>
    <w:rsid w:val="0096449E"/>
    <w:rsid w:val="0096541A"/>
    <w:rsid w:val="00966CD5"/>
    <w:rsid w:val="00971B32"/>
    <w:rsid w:val="009777BE"/>
    <w:rsid w:val="00981523"/>
    <w:rsid w:val="00981CE8"/>
    <w:rsid w:val="00982968"/>
    <w:rsid w:val="00982C76"/>
    <w:rsid w:val="0098571C"/>
    <w:rsid w:val="00990570"/>
    <w:rsid w:val="00996DF0"/>
    <w:rsid w:val="009A1DCE"/>
    <w:rsid w:val="009A3B87"/>
    <w:rsid w:val="009A522D"/>
    <w:rsid w:val="009A6A30"/>
    <w:rsid w:val="009A6F05"/>
    <w:rsid w:val="009B02E6"/>
    <w:rsid w:val="009B48AB"/>
    <w:rsid w:val="009B50ED"/>
    <w:rsid w:val="009C2284"/>
    <w:rsid w:val="009C3DF7"/>
    <w:rsid w:val="009C4D5A"/>
    <w:rsid w:val="009C649D"/>
    <w:rsid w:val="009D15A1"/>
    <w:rsid w:val="009D1990"/>
    <w:rsid w:val="009D288F"/>
    <w:rsid w:val="009D4332"/>
    <w:rsid w:val="009D4D9A"/>
    <w:rsid w:val="009D5057"/>
    <w:rsid w:val="009E3624"/>
    <w:rsid w:val="009E4253"/>
    <w:rsid w:val="009E699F"/>
    <w:rsid w:val="009F0E49"/>
    <w:rsid w:val="00A00144"/>
    <w:rsid w:val="00A00486"/>
    <w:rsid w:val="00A01792"/>
    <w:rsid w:val="00A01A87"/>
    <w:rsid w:val="00A025FF"/>
    <w:rsid w:val="00A0365D"/>
    <w:rsid w:val="00A11FE8"/>
    <w:rsid w:val="00A12A33"/>
    <w:rsid w:val="00A16A08"/>
    <w:rsid w:val="00A2131F"/>
    <w:rsid w:val="00A249FC"/>
    <w:rsid w:val="00A26E45"/>
    <w:rsid w:val="00A30975"/>
    <w:rsid w:val="00A325A7"/>
    <w:rsid w:val="00A352A0"/>
    <w:rsid w:val="00A41A72"/>
    <w:rsid w:val="00A4344B"/>
    <w:rsid w:val="00A439F8"/>
    <w:rsid w:val="00A466FB"/>
    <w:rsid w:val="00A5192A"/>
    <w:rsid w:val="00A52A2B"/>
    <w:rsid w:val="00A5360D"/>
    <w:rsid w:val="00A5377C"/>
    <w:rsid w:val="00A53A53"/>
    <w:rsid w:val="00A57359"/>
    <w:rsid w:val="00A77C8B"/>
    <w:rsid w:val="00A81AFE"/>
    <w:rsid w:val="00A835B4"/>
    <w:rsid w:val="00A84D4D"/>
    <w:rsid w:val="00A913B2"/>
    <w:rsid w:val="00AA63B9"/>
    <w:rsid w:val="00AC06D6"/>
    <w:rsid w:val="00AC4686"/>
    <w:rsid w:val="00AC5EE8"/>
    <w:rsid w:val="00AC6871"/>
    <w:rsid w:val="00AD11EB"/>
    <w:rsid w:val="00AD2CBF"/>
    <w:rsid w:val="00AD2DE8"/>
    <w:rsid w:val="00AE03D0"/>
    <w:rsid w:val="00AE0F33"/>
    <w:rsid w:val="00AE56A3"/>
    <w:rsid w:val="00AE61F1"/>
    <w:rsid w:val="00AF288D"/>
    <w:rsid w:val="00AF3859"/>
    <w:rsid w:val="00B143D1"/>
    <w:rsid w:val="00B20CC0"/>
    <w:rsid w:val="00B22137"/>
    <w:rsid w:val="00B227B5"/>
    <w:rsid w:val="00B311AD"/>
    <w:rsid w:val="00B32AC9"/>
    <w:rsid w:val="00B47B07"/>
    <w:rsid w:val="00B520D2"/>
    <w:rsid w:val="00B53CA3"/>
    <w:rsid w:val="00B552B6"/>
    <w:rsid w:val="00B607A3"/>
    <w:rsid w:val="00B61D72"/>
    <w:rsid w:val="00B64E9F"/>
    <w:rsid w:val="00B75AD3"/>
    <w:rsid w:val="00B75D04"/>
    <w:rsid w:val="00B761D4"/>
    <w:rsid w:val="00B766B0"/>
    <w:rsid w:val="00B76A4B"/>
    <w:rsid w:val="00B81A80"/>
    <w:rsid w:val="00B8213F"/>
    <w:rsid w:val="00B83E49"/>
    <w:rsid w:val="00B853F3"/>
    <w:rsid w:val="00B85587"/>
    <w:rsid w:val="00B862F4"/>
    <w:rsid w:val="00B905F9"/>
    <w:rsid w:val="00B90EE1"/>
    <w:rsid w:val="00B97217"/>
    <w:rsid w:val="00BA2005"/>
    <w:rsid w:val="00BA3073"/>
    <w:rsid w:val="00BA4E3C"/>
    <w:rsid w:val="00BB47D3"/>
    <w:rsid w:val="00BB4DF3"/>
    <w:rsid w:val="00BC04CF"/>
    <w:rsid w:val="00BD26A7"/>
    <w:rsid w:val="00BD73CB"/>
    <w:rsid w:val="00BE0D6C"/>
    <w:rsid w:val="00BE653D"/>
    <w:rsid w:val="00BF442A"/>
    <w:rsid w:val="00BF7385"/>
    <w:rsid w:val="00BF7EEA"/>
    <w:rsid w:val="00C03D6C"/>
    <w:rsid w:val="00C0406D"/>
    <w:rsid w:val="00C0422C"/>
    <w:rsid w:val="00C048F6"/>
    <w:rsid w:val="00C11F45"/>
    <w:rsid w:val="00C13015"/>
    <w:rsid w:val="00C15802"/>
    <w:rsid w:val="00C30FC1"/>
    <w:rsid w:val="00C313EC"/>
    <w:rsid w:val="00C319A7"/>
    <w:rsid w:val="00C36290"/>
    <w:rsid w:val="00C41563"/>
    <w:rsid w:val="00C4258E"/>
    <w:rsid w:val="00C53BD5"/>
    <w:rsid w:val="00C553AF"/>
    <w:rsid w:val="00C61259"/>
    <w:rsid w:val="00C61662"/>
    <w:rsid w:val="00C62A40"/>
    <w:rsid w:val="00C63540"/>
    <w:rsid w:val="00C66BF3"/>
    <w:rsid w:val="00C706F9"/>
    <w:rsid w:val="00C739DD"/>
    <w:rsid w:val="00C7612C"/>
    <w:rsid w:val="00C767F2"/>
    <w:rsid w:val="00C77139"/>
    <w:rsid w:val="00C81462"/>
    <w:rsid w:val="00C82316"/>
    <w:rsid w:val="00C82552"/>
    <w:rsid w:val="00C836D0"/>
    <w:rsid w:val="00C9214D"/>
    <w:rsid w:val="00C93052"/>
    <w:rsid w:val="00C94E90"/>
    <w:rsid w:val="00CA17AA"/>
    <w:rsid w:val="00CA4BD5"/>
    <w:rsid w:val="00CA70FF"/>
    <w:rsid w:val="00CA7FAD"/>
    <w:rsid w:val="00CB29F5"/>
    <w:rsid w:val="00CB72DA"/>
    <w:rsid w:val="00CC349E"/>
    <w:rsid w:val="00CC596D"/>
    <w:rsid w:val="00CC71D9"/>
    <w:rsid w:val="00CD5367"/>
    <w:rsid w:val="00CD5AC2"/>
    <w:rsid w:val="00CE1FA8"/>
    <w:rsid w:val="00CE7290"/>
    <w:rsid w:val="00CE7AF1"/>
    <w:rsid w:val="00CF38FA"/>
    <w:rsid w:val="00CF5E4A"/>
    <w:rsid w:val="00D01853"/>
    <w:rsid w:val="00D054B0"/>
    <w:rsid w:val="00D055E0"/>
    <w:rsid w:val="00D0687F"/>
    <w:rsid w:val="00D068A2"/>
    <w:rsid w:val="00D17C76"/>
    <w:rsid w:val="00D21765"/>
    <w:rsid w:val="00D27C96"/>
    <w:rsid w:val="00D31A3D"/>
    <w:rsid w:val="00D4261D"/>
    <w:rsid w:val="00D43ECD"/>
    <w:rsid w:val="00D46EA3"/>
    <w:rsid w:val="00D47C3F"/>
    <w:rsid w:val="00D52460"/>
    <w:rsid w:val="00D52EB7"/>
    <w:rsid w:val="00D56AFA"/>
    <w:rsid w:val="00D57BB1"/>
    <w:rsid w:val="00D60B58"/>
    <w:rsid w:val="00D63A53"/>
    <w:rsid w:val="00D64690"/>
    <w:rsid w:val="00D81CD9"/>
    <w:rsid w:val="00D91C50"/>
    <w:rsid w:val="00D920F0"/>
    <w:rsid w:val="00D969D5"/>
    <w:rsid w:val="00DA0DAE"/>
    <w:rsid w:val="00DA53CD"/>
    <w:rsid w:val="00DA652B"/>
    <w:rsid w:val="00DA7700"/>
    <w:rsid w:val="00DB28E6"/>
    <w:rsid w:val="00DB42C1"/>
    <w:rsid w:val="00DB5CF0"/>
    <w:rsid w:val="00DC05B2"/>
    <w:rsid w:val="00DC0D5F"/>
    <w:rsid w:val="00DC0E45"/>
    <w:rsid w:val="00DC3378"/>
    <w:rsid w:val="00DC640A"/>
    <w:rsid w:val="00DC6C23"/>
    <w:rsid w:val="00DD1F38"/>
    <w:rsid w:val="00DE0458"/>
    <w:rsid w:val="00DE6EA7"/>
    <w:rsid w:val="00DF0626"/>
    <w:rsid w:val="00DF2024"/>
    <w:rsid w:val="00DF7A7B"/>
    <w:rsid w:val="00E003FE"/>
    <w:rsid w:val="00E00EA9"/>
    <w:rsid w:val="00E052D3"/>
    <w:rsid w:val="00E063AA"/>
    <w:rsid w:val="00E10A8C"/>
    <w:rsid w:val="00E1593B"/>
    <w:rsid w:val="00E1782F"/>
    <w:rsid w:val="00E23245"/>
    <w:rsid w:val="00E23F84"/>
    <w:rsid w:val="00E25087"/>
    <w:rsid w:val="00E270C2"/>
    <w:rsid w:val="00E2799D"/>
    <w:rsid w:val="00E3096B"/>
    <w:rsid w:val="00E31C5F"/>
    <w:rsid w:val="00E345FA"/>
    <w:rsid w:val="00E364F3"/>
    <w:rsid w:val="00E4220C"/>
    <w:rsid w:val="00E474C2"/>
    <w:rsid w:val="00E52BB1"/>
    <w:rsid w:val="00E555F7"/>
    <w:rsid w:val="00E564BE"/>
    <w:rsid w:val="00E57951"/>
    <w:rsid w:val="00E6218C"/>
    <w:rsid w:val="00E625C5"/>
    <w:rsid w:val="00E72BCE"/>
    <w:rsid w:val="00E76359"/>
    <w:rsid w:val="00E77B80"/>
    <w:rsid w:val="00E8135A"/>
    <w:rsid w:val="00E816D7"/>
    <w:rsid w:val="00E96EBE"/>
    <w:rsid w:val="00EA27D9"/>
    <w:rsid w:val="00EA3F66"/>
    <w:rsid w:val="00EA40BB"/>
    <w:rsid w:val="00EA735F"/>
    <w:rsid w:val="00EB57C6"/>
    <w:rsid w:val="00EC17B7"/>
    <w:rsid w:val="00EC3D1C"/>
    <w:rsid w:val="00EC4AD7"/>
    <w:rsid w:val="00EC6447"/>
    <w:rsid w:val="00ED03B9"/>
    <w:rsid w:val="00EE1BC0"/>
    <w:rsid w:val="00EE3A2B"/>
    <w:rsid w:val="00EF00B6"/>
    <w:rsid w:val="00EF0945"/>
    <w:rsid w:val="00EF4503"/>
    <w:rsid w:val="00EF4B19"/>
    <w:rsid w:val="00F05172"/>
    <w:rsid w:val="00F0521D"/>
    <w:rsid w:val="00F0749E"/>
    <w:rsid w:val="00F107EF"/>
    <w:rsid w:val="00F127E1"/>
    <w:rsid w:val="00F13992"/>
    <w:rsid w:val="00F14CA7"/>
    <w:rsid w:val="00F269FB"/>
    <w:rsid w:val="00F35716"/>
    <w:rsid w:val="00F402FB"/>
    <w:rsid w:val="00F4279D"/>
    <w:rsid w:val="00F506CF"/>
    <w:rsid w:val="00F5172B"/>
    <w:rsid w:val="00F60852"/>
    <w:rsid w:val="00F7128D"/>
    <w:rsid w:val="00F75177"/>
    <w:rsid w:val="00F76DB3"/>
    <w:rsid w:val="00F77311"/>
    <w:rsid w:val="00F80B7C"/>
    <w:rsid w:val="00F849AB"/>
    <w:rsid w:val="00F87FC1"/>
    <w:rsid w:val="00F90A4A"/>
    <w:rsid w:val="00F92C6B"/>
    <w:rsid w:val="00F92E51"/>
    <w:rsid w:val="00F934E6"/>
    <w:rsid w:val="00FA2DD2"/>
    <w:rsid w:val="00FA5F9D"/>
    <w:rsid w:val="00FA627B"/>
    <w:rsid w:val="00FA6825"/>
    <w:rsid w:val="00FB25EA"/>
    <w:rsid w:val="00FC2CBF"/>
    <w:rsid w:val="00FD5D63"/>
    <w:rsid w:val="00FE7A15"/>
    <w:rsid w:val="00FF29C5"/>
    <w:rsid w:val="00FF66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8332E8"/>
  <w15:docId w15:val="{E8F3EB6E-DFA4-4210-A101-0CCA8D84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49AB"/>
    <w:rPr>
      <w:rFonts w:ascii="Times New Roman" w:eastAsia="Times New Roman" w:hAnsi="Times New Roman"/>
      <w:sz w:val="22"/>
      <w:szCs w:val="24"/>
      <w:lang w:eastAsia="en-US"/>
    </w:rPr>
  </w:style>
  <w:style w:type="paragraph" w:styleId="Antrat1">
    <w:name w:val="heading 1"/>
    <w:basedOn w:val="prastasis"/>
    <w:next w:val="prastasis"/>
    <w:link w:val="Antrat1Diagrama"/>
    <w:uiPriority w:val="99"/>
    <w:qFormat/>
    <w:rsid w:val="004C2CCC"/>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uiPriority w:val="99"/>
    <w:qFormat/>
    <w:rsid w:val="004C2CCC"/>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qFormat/>
    <w:rsid w:val="004C2CC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4C2CCC"/>
    <w:pPr>
      <w:keepNext/>
      <w:spacing w:before="240" w:after="60"/>
      <w:outlineLvl w:val="3"/>
    </w:pPr>
    <w:rPr>
      <w:b/>
      <w:bCs/>
      <w:sz w:val="28"/>
      <w:szCs w:val="28"/>
    </w:rPr>
  </w:style>
  <w:style w:type="paragraph" w:styleId="Antrat6">
    <w:name w:val="heading 6"/>
    <w:basedOn w:val="prastasis"/>
    <w:next w:val="prastasis"/>
    <w:link w:val="Antrat6Diagrama"/>
    <w:uiPriority w:val="99"/>
    <w:qFormat/>
    <w:rsid w:val="004C2CCC"/>
    <w:pPr>
      <w:spacing w:before="240" w:after="60"/>
      <w:outlineLvl w:val="5"/>
    </w:pPr>
    <w:rPr>
      <w:rFonts w:ascii="Cambria" w:hAnsi="Cambria"/>
      <w:b/>
      <w:bCs/>
      <w:szCs w:val="22"/>
    </w:rPr>
  </w:style>
  <w:style w:type="paragraph" w:styleId="Antrat7">
    <w:name w:val="heading 7"/>
    <w:basedOn w:val="prastasis"/>
    <w:next w:val="prastasis"/>
    <w:link w:val="Antrat7Diagrama"/>
    <w:uiPriority w:val="99"/>
    <w:qFormat/>
    <w:rsid w:val="004C2CCC"/>
    <w:pPr>
      <w:keepNext/>
      <w:ind w:left="3600" w:right="-284" w:hanging="2891"/>
      <w:outlineLvl w:val="6"/>
    </w:pPr>
    <w:rPr>
      <w:rFonts w:ascii="Arial" w:hAnsi="Arial"/>
      <w:b/>
      <w:bCs/>
      <w:color w:val="000000"/>
      <w:sz w:val="20"/>
      <w:szCs w:val="20"/>
      <w:lang w:val="en-GB"/>
    </w:rPr>
  </w:style>
  <w:style w:type="paragraph" w:styleId="Antrat9">
    <w:name w:val="heading 9"/>
    <w:basedOn w:val="prastasis"/>
    <w:next w:val="prastasis"/>
    <w:link w:val="Antrat9Diagrama"/>
    <w:qFormat/>
    <w:rsid w:val="004C2CCC"/>
    <w:pPr>
      <w:keepNext/>
      <w:jc w:val="both"/>
      <w:outlineLvl w:val="8"/>
    </w:pPr>
    <w:rPr>
      <w:color w:val="000000"/>
      <w:sz w:val="24"/>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4C2CCC"/>
    <w:rPr>
      <w:rFonts w:ascii="Arial" w:eastAsia="Times New Roman" w:hAnsi="Arial" w:cs="Times New Roman"/>
      <w:b/>
      <w:bCs/>
      <w:kern w:val="32"/>
      <w:sz w:val="32"/>
      <w:szCs w:val="32"/>
    </w:rPr>
  </w:style>
  <w:style w:type="character" w:customStyle="1" w:styleId="Antrat2Diagrama">
    <w:name w:val="Antraštė 2 Diagrama"/>
    <w:link w:val="Antrat2"/>
    <w:uiPriority w:val="99"/>
    <w:rsid w:val="004C2CCC"/>
    <w:rPr>
      <w:rFonts w:ascii="Arial" w:eastAsia="Times New Roman" w:hAnsi="Arial" w:cs="Times New Roman"/>
      <w:b/>
      <w:bCs/>
      <w:i/>
      <w:iCs/>
      <w:sz w:val="28"/>
      <w:szCs w:val="28"/>
    </w:rPr>
  </w:style>
  <w:style w:type="character" w:customStyle="1" w:styleId="Antrat3Diagrama">
    <w:name w:val="Antraštė 3 Diagrama"/>
    <w:link w:val="Antrat3"/>
    <w:rsid w:val="004C2CCC"/>
    <w:rPr>
      <w:rFonts w:ascii="Arial" w:eastAsia="Times New Roman" w:hAnsi="Arial" w:cs="Arial"/>
      <w:b/>
      <w:bCs/>
      <w:sz w:val="26"/>
      <w:szCs w:val="26"/>
      <w:lang w:val="lt-LT"/>
    </w:rPr>
  </w:style>
  <w:style w:type="character" w:customStyle="1" w:styleId="Antrat4Diagrama">
    <w:name w:val="Antraštė 4 Diagrama"/>
    <w:link w:val="Antrat4"/>
    <w:rsid w:val="004C2CCC"/>
    <w:rPr>
      <w:rFonts w:ascii="Times New Roman" w:eastAsia="Times New Roman" w:hAnsi="Times New Roman" w:cs="Times New Roman"/>
      <w:b/>
      <w:bCs/>
      <w:sz w:val="28"/>
      <w:szCs w:val="28"/>
      <w:lang w:val="lt-LT"/>
    </w:rPr>
  </w:style>
  <w:style w:type="character" w:customStyle="1" w:styleId="Antrat6Diagrama">
    <w:name w:val="Antraštė 6 Diagrama"/>
    <w:link w:val="Antrat6"/>
    <w:uiPriority w:val="99"/>
    <w:rsid w:val="004C2CCC"/>
    <w:rPr>
      <w:rFonts w:ascii="Cambria" w:eastAsia="Times New Roman" w:hAnsi="Cambria" w:cs="Times New Roman"/>
      <w:b/>
      <w:bCs/>
    </w:rPr>
  </w:style>
  <w:style w:type="character" w:customStyle="1" w:styleId="Antrat7Diagrama">
    <w:name w:val="Antraštė 7 Diagrama"/>
    <w:link w:val="Antrat7"/>
    <w:uiPriority w:val="99"/>
    <w:rsid w:val="004C2CCC"/>
    <w:rPr>
      <w:rFonts w:ascii="Arial" w:eastAsia="Times New Roman" w:hAnsi="Arial" w:cs="Times New Roman"/>
      <w:b/>
      <w:bCs/>
      <w:color w:val="000000"/>
      <w:sz w:val="20"/>
      <w:szCs w:val="20"/>
    </w:rPr>
  </w:style>
  <w:style w:type="character" w:customStyle="1" w:styleId="Antrat9Diagrama">
    <w:name w:val="Antraštė 9 Diagrama"/>
    <w:link w:val="Antrat9"/>
    <w:rsid w:val="004C2CCC"/>
    <w:rPr>
      <w:rFonts w:ascii="Times New Roman" w:eastAsia="Times New Roman" w:hAnsi="Times New Roman" w:cs="Times New Roman"/>
      <w:color w:val="000000"/>
      <w:sz w:val="24"/>
      <w:szCs w:val="24"/>
      <w:lang w:eastAsia="lt-LT"/>
    </w:rPr>
  </w:style>
  <w:style w:type="character" w:styleId="Hipersaitas">
    <w:name w:val="Hyperlink"/>
    <w:uiPriority w:val="99"/>
    <w:rsid w:val="004C2CCC"/>
    <w:rPr>
      <w:color w:val="0000FF"/>
      <w:u w:val="single"/>
    </w:rPr>
  </w:style>
  <w:style w:type="paragraph" w:customStyle="1" w:styleId="PI-1EMEASMCA">
    <w:name w:val="PI-1 EMEA_SMCA"/>
    <w:basedOn w:val="Antrat2"/>
    <w:autoRedefine/>
    <w:uiPriority w:val="99"/>
    <w:rsid w:val="004C2CCC"/>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4C2CCC"/>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link w:val="PI-1labEMEASMCA"/>
    <w:rsid w:val="004C2CCC"/>
    <w:rPr>
      <w:rFonts w:ascii="Times New Roman" w:eastAsia="Times New Roman" w:hAnsi="Times New Roman" w:cs="Times New Roman"/>
      <w:b/>
      <w:noProof/>
      <w:lang w:val="lt-LT"/>
    </w:rPr>
  </w:style>
  <w:style w:type="paragraph" w:customStyle="1" w:styleId="PI-2EMEASMCA">
    <w:name w:val="PI-2 EMEA_SMCA"/>
    <w:basedOn w:val="Antrat3"/>
    <w:autoRedefine/>
    <w:rsid w:val="004C2CCC"/>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1E37F2"/>
    <w:pPr>
      <w:jc w:val="center"/>
    </w:pPr>
    <w:rPr>
      <w:noProof/>
      <w:szCs w:val="22"/>
    </w:rPr>
  </w:style>
  <w:style w:type="paragraph" w:customStyle="1" w:styleId="TTEMEASMCA">
    <w:name w:val="TT EMEA_SMCA"/>
    <w:basedOn w:val="Antrat1"/>
    <w:link w:val="TTEMEASMCAChar"/>
    <w:autoRedefine/>
    <w:rsid w:val="004C2CCC"/>
    <w:pPr>
      <w:keepNext w:val="0"/>
      <w:tabs>
        <w:tab w:val="left" w:pos="567"/>
      </w:tabs>
      <w:spacing w:before="0" w:after="0"/>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rsid w:val="004C2CCC"/>
    <w:rPr>
      <w:rFonts w:ascii="Times New Roman" w:eastAsia="Times New Roman" w:hAnsi="Times New Roman" w:cs="Times New Roman"/>
      <w:b/>
      <w:caps/>
      <w:lang w:val="en-US"/>
    </w:rPr>
  </w:style>
  <w:style w:type="paragraph" w:customStyle="1" w:styleId="BTAnIIEMEASMCA">
    <w:name w:val="BT(AnII) EMEA_SMCA"/>
    <w:basedOn w:val="Debesliotekstas"/>
    <w:autoRedefine/>
    <w:rsid w:val="004C2CCC"/>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1E37F2"/>
    <w:pPr>
      <w:numPr>
        <w:numId w:val="1"/>
      </w:numPr>
      <w:tabs>
        <w:tab w:val="clear" w:pos="720"/>
        <w:tab w:val="num" w:pos="360"/>
      </w:tabs>
      <w:ind w:left="0" w:firstLine="0"/>
    </w:pPr>
  </w:style>
  <w:style w:type="paragraph" w:customStyle="1" w:styleId="PI-3EMEASMCA">
    <w:name w:val="PI-3 EMEA_SMCA"/>
    <w:basedOn w:val="prastasis"/>
    <w:autoRedefine/>
    <w:rsid w:val="004C2CCC"/>
    <w:pPr>
      <w:spacing w:line="220" w:lineRule="exact"/>
    </w:pPr>
    <w:rPr>
      <w:b/>
      <w:bCs/>
      <w:szCs w:val="22"/>
    </w:rPr>
  </w:style>
  <w:style w:type="paragraph" w:customStyle="1" w:styleId="BTbEMEASMCA">
    <w:name w:val="BT(b) EMEA_SMCA"/>
    <w:basedOn w:val="BTEMEASMCA"/>
    <w:autoRedefine/>
    <w:rsid w:val="001E37F2"/>
    <w:rPr>
      <w:b/>
    </w:rPr>
  </w:style>
  <w:style w:type="paragraph" w:customStyle="1" w:styleId="BTbeEMEASMCA">
    <w:name w:val="BT(be) EMEA_SMCA"/>
    <w:basedOn w:val="BTEMEASMCA"/>
    <w:autoRedefine/>
    <w:rsid w:val="004C2CCC"/>
    <w:rPr>
      <w:b/>
    </w:rPr>
  </w:style>
  <w:style w:type="paragraph" w:customStyle="1" w:styleId="BTeEMEASMCA">
    <w:name w:val="BT(e) EMEA_SMCA"/>
    <w:basedOn w:val="BTEMEASMCA"/>
    <w:autoRedefine/>
    <w:rsid w:val="004C2CCC"/>
  </w:style>
  <w:style w:type="paragraph" w:customStyle="1" w:styleId="BTgEMEASMCA">
    <w:name w:val="BT(g) EMEA_SMCA"/>
    <w:basedOn w:val="BTEMEASMCA"/>
    <w:link w:val="BTgEMEASMCAChar"/>
    <w:autoRedefine/>
    <w:rsid w:val="001E37F2"/>
    <w:rPr>
      <w:i/>
      <w:color w:val="008000"/>
    </w:rPr>
  </w:style>
  <w:style w:type="character" w:customStyle="1" w:styleId="BTEMEASMCAChar">
    <w:name w:val="BT EMEA_SMCA Char"/>
    <w:link w:val="BTEMEASMCA"/>
    <w:rsid w:val="00CF38FA"/>
    <w:rPr>
      <w:rFonts w:ascii="Times New Roman" w:eastAsia="Times New Roman" w:hAnsi="Times New Roman"/>
      <w:noProof/>
      <w:sz w:val="22"/>
      <w:szCs w:val="22"/>
      <w:lang w:eastAsia="en-US"/>
    </w:rPr>
  </w:style>
  <w:style w:type="character" w:customStyle="1" w:styleId="BTgEMEASMCAChar">
    <w:name w:val="BT(g) EMEA_SMCA Char"/>
    <w:link w:val="BTgEMEASMCA"/>
    <w:rsid w:val="004C2CCC"/>
    <w:rPr>
      <w:rFonts w:ascii="Times New Roman" w:eastAsia="Times New Roman" w:hAnsi="Times New Roman"/>
      <w:i/>
      <w:noProof/>
      <w:color w:val="008000"/>
      <w:sz w:val="22"/>
      <w:szCs w:val="22"/>
      <w:lang w:eastAsia="en-US"/>
    </w:rPr>
  </w:style>
  <w:style w:type="paragraph" w:customStyle="1" w:styleId="BTuEMEASMCA">
    <w:name w:val="BT(u) EMEA_SMCA"/>
    <w:basedOn w:val="BTEMEASMCA"/>
    <w:autoRedefine/>
    <w:rsid w:val="001E37F2"/>
    <w:rPr>
      <w:u w:val="single"/>
    </w:rPr>
  </w:style>
  <w:style w:type="paragraph" w:styleId="Debesliotekstas">
    <w:name w:val="Balloon Text"/>
    <w:basedOn w:val="prastasis"/>
    <w:link w:val="DebesliotekstasDiagrama"/>
    <w:uiPriority w:val="99"/>
    <w:semiHidden/>
    <w:rsid w:val="004C2CCC"/>
    <w:rPr>
      <w:rFonts w:ascii="Tahoma" w:hAnsi="Tahoma"/>
      <w:sz w:val="16"/>
      <w:szCs w:val="16"/>
    </w:rPr>
  </w:style>
  <w:style w:type="character" w:customStyle="1" w:styleId="DebesliotekstasDiagrama">
    <w:name w:val="Debesėlio tekstas Diagrama"/>
    <w:link w:val="Debesliotekstas"/>
    <w:uiPriority w:val="99"/>
    <w:semiHidden/>
    <w:rsid w:val="004C2CCC"/>
    <w:rPr>
      <w:rFonts w:ascii="Tahoma" w:eastAsia="Times New Roman" w:hAnsi="Tahoma" w:cs="Times New Roman"/>
      <w:sz w:val="16"/>
      <w:szCs w:val="16"/>
      <w:lang w:val="lt-LT"/>
    </w:rPr>
  </w:style>
  <w:style w:type="paragraph" w:styleId="Dokumentostruktra">
    <w:name w:val="Document Map"/>
    <w:basedOn w:val="prastasis"/>
    <w:link w:val="DokumentostruktraDiagrama"/>
    <w:semiHidden/>
    <w:rsid w:val="004C2CCC"/>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4C2CCC"/>
    <w:rPr>
      <w:rFonts w:ascii="Tahoma" w:eastAsia="Times New Roman" w:hAnsi="Tahoma" w:cs="Tahoma"/>
      <w:sz w:val="20"/>
      <w:szCs w:val="20"/>
      <w:shd w:val="clear" w:color="auto" w:fill="000080"/>
      <w:lang w:val="lt-LT"/>
    </w:rPr>
  </w:style>
  <w:style w:type="paragraph" w:styleId="Porat">
    <w:name w:val="footer"/>
    <w:basedOn w:val="prastasis"/>
    <w:link w:val="PoratDiagrama"/>
    <w:uiPriority w:val="99"/>
    <w:rsid w:val="004C2CCC"/>
    <w:pPr>
      <w:tabs>
        <w:tab w:val="center" w:pos="4153"/>
        <w:tab w:val="right" w:pos="8306"/>
      </w:tabs>
    </w:pPr>
    <w:rPr>
      <w:color w:val="000000"/>
      <w:sz w:val="24"/>
      <w:lang w:val="en-GB"/>
    </w:rPr>
  </w:style>
  <w:style w:type="character" w:customStyle="1" w:styleId="PoratDiagrama">
    <w:name w:val="Poraštė Diagrama"/>
    <w:link w:val="Porat"/>
    <w:uiPriority w:val="99"/>
    <w:rsid w:val="004C2CCC"/>
    <w:rPr>
      <w:rFonts w:ascii="Times New Roman" w:eastAsia="Times New Roman" w:hAnsi="Times New Roman" w:cs="Times New Roman"/>
      <w:color w:val="000000"/>
      <w:sz w:val="24"/>
      <w:szCs w:val="24"/>
    </w:rPr>
  </w:style>
  <w:style w:type="paragraph" w:styleId="Antrats">
    <w:name w:val="header"/>
    <w:basedOn w:val="prastasis"/>
    <w:link w:val="AntratsDiagrama"/>
    <w:uiPriority w:val="99"/>
    <w:rsid w:val="004C2CCC"/>
    <w:pPr>
      <w:tabs>
        <w:tab w:val="center" w:pos="4153"/>
        <w:tab w:val="right" w:pos="8306"/>
      </w:tabs>
    </w:pPr>
    <w:rPr>
      <w:color w:val="000000"/>
      <w:sz w:val="24"/>
      <w:lang w:val="en-GB"/>
    </w:rPr>
  </w:style>
  <w:style w:type="character" w:customStyle="1" w:styleId="AntratsDiagrama">
    <w:name w:val="Antraštės Diagrama"/>
    <w:link w:val="Antrats"/>
    <w:uiPriority w:val="99"/>
    <w:rsid w:val="004C2CCC"/>
    <w:rPr>
      <w:rFonts w:ascii="Times New Roman" w:eastAsia="Times New Roman" w:hAnsi="Times New Roman" w:cs="Times New Roman"/>
      <w:color w:val="000000"/>
      <w:sz w:val="24"/>
      <w:szCs w:val="24"/>
    </w:rPr>
  </w:style>
  <w:style w:type="paragraph" w:styleId="Pagrindinistekstas2">
    <w:name w:val="Body Text 2"/>
    <w:basedOn w:val="prastasis"/>
    <w:link w:val="Pagrindinistekstas2Diagrama"/>
    <w:uiPriority w:val="99"/>
    <w:rsid w:val="004C2CCC"/>
    <w:pPr>
      <w:ind w:left="709"/>
    </w:pPr>
    <w:rPr>
      <w:rFonts w:ascii="Arial" w:hAnsi="Arial"/>
      <w:color w:val="000000"/>
      <w:sz w:val="24"/>
      <w:lang w:val="en-GB"/>
    </w:rPr>
  </w:style>
  <w:style w:type="character" w:customStyle="1" w:styleId="Pagrindinistekstas2Diagrama">
    <w:name w:val="Pagrindinis tekstas 2 Diagrama"/>
    <w:link w:val="Pagrindinistekstas2"/>
    <w:uiPriority w:val="99"/>
    <w:rsid w:val="004C2CCC"/>
    <w:rPr>
      <w:rFonts w:ascii="Arial" w:eastAsia="Times New Roman" w:hAnsi="Arial" w:cs="Times New Roman"/>
      <w:color w:val="000000"/>
      <w:sz w:val="24"/>
      <w:szCs w:val="24"/>
    </w:rPr>
  </w:style>
  <w:style w:type="paragraph" w:styleId="Pagrindinistekstas3">
    <w:name w:val="Body Text 3"/>
    <w:basedOn w:val="prastasis"/>
    <w:link w:val="Pagrindinistekstas3Diagrama"/>
    <w:uiPriority w:val="99"/>
    <w:rsid w:val="004C2CCC"/>
    <w:rPr>
      <w:rFonts w:ascii="Arial" w:hAnsi="Arial"/>
      <w:sz w:val="20"/>
      <w:szCs w:val="20"/>
      <w:lang w:val="en-GB"/>
    </w:rPr>
  </w:style>
  <w:style w:type="character" w:customStyle="1" w:styleId="Pagrindinistekstas3Diagrama">
    <w:name w:val="Pagrindinis tekstas 3 Diagrama"/>
    <w:link w:val="Pagrindinistekstas3"/>
    <w:uiPriority w:val="99"/>
    <w:rsid w:val="004C2CCC"/>
    <w:rPr>
      <w:rFonts w:ascii="Arial" w:eastAsia="Times New Roman" w:hAnsi="Arial" w:cs="Times New Roman"/>
      <w:sz w:val="20"/>
      <w:szCs w:val="20"/>
    </w:rPr>
  </w:style>
  <w:style w:type="paragraph" w:styleId="Pagrindiniotekstotrauka">
    <w:name w:val="Body Text Indent"/>
    <w:basedOn w:val="prastasis"/>
    <w:link w:val="PagrindiniotekstotraukaDiagrama"/>
    <w:uiPriority w:val="99"/>
    <w:rsid w:val="004C2CCC"/>
    <w:pPr>
      <w:keepNext/>
      <w:ind w:left="709"/>
    </w:pPr>
    <w:rPr>
      <w:rFonts w:ascii="Arial" w:hAnsi="Arial"/>
      <w:b/>
      <w:bCs/>
      <w:i/>
      <w:iCs/>
      <w:color w:val="000000"/>
      <w:sz w:val="24"/>
      <w:lang w:val="en-GB"/>
    </w:rPr>
  </w:style>
  <w:style w:type="character" w:customStyle="1" w:styleId="PagrindiniotekstotraukaDiagrama">
    <w:name w:val="Pagrindinio teksto įtrauka Diagrama"/>
    <w:link w:val="Pagrindiniotekstotrauka"/>
    <w:uiPriority w:val="99"/>
    <w:rsid w:val="004C2CCC"/>
    <w:rPr>
      <w:rFonts w:ascii="Arial" w:eastAsia="Times New Roman" w:hAnsi="Arial" w:cs="Times New Roman"/>
      <w:b/>
      <w:bCs/>
      <w:i/>
      <w:iCs/>
      <w:color w:val="000000"/>
      <w:sz w:val="24"/>
      <w:szCs w:val="24"/>
    </w:rPr>
  </w:style>
  <w:style w:type="paragraph" w:styleId="Pagrindiniotekstotrauka2">
    <w:name w:val="Body Text Indent 2"/>
    <w:basedOn w:val="prastasis"/>
    <w:link w:val="Pagrindiniotekstotrauka2Diagrama"/>
    <w:uiPriority w:val="99"/>
    <w:rsid w:val="004C2CCC"/>
    <w:pPr>
      <w:ind w:left="284"/>
    </w:pPr>
    <w:rPr>
      <w:rFonts w:ascii="Arial" w:hAnsi="Arial"/>
      <w:szCs w:val="22"/>
      <w:lang w:val="en-US"/>
    </w:rPr>
  </w:style>
  <w:style w:type="character" w:customStyle="1" w:styleId="Pagrindiniotekstotrauka2Diagrama">
    <w:name w:val="Pagrindinio teksto įtrauka 2 Diagrama"/>
    <w:link w:val="Pagrindiniotekstotrauka2"/>
    <w:uiPriority w:val="99"/>
    <w:rsid w:val="004C2CCC"/>
    <w:rPr>
      <w:rFonts w:ascii="Arial" w:eastAsia="Times New Roman" w:hAnsi="Arial" w:cs="Times New Roman"/>
      <w:lang w:val="en-US"/>
    </w:rPr>
  </w:style>
  <w:style w:type="character" w:styleId="Grietas">
    <w:name w:val="Strong"/>
    <w:uiPriority w:val="99"/>
    <w:qFormat/>
    <w:rsid w:val="004C2CCC"/>
    <w:rPr>
      <w:b/>
      <w:bCs/>
    </w:rPr>
  </w:style>
  <w:style w:type="paragraph" w:styleId="Pagrindinistekstas">
    <w:name w:val="Body Text"/>
    <w:basedOn w:val="prastasis"/>
    <w:link w:val="PagrindinistekstasDiagrama"/>
    <w:uiPriority w:val="99"/>
    <w:rsid w:val="004C2CCC"/>
    <w:rPr>
      <w:rFonts w:ascii="Arial" w:hAnsi="Arial"/>
      <w:i/>
      <w:iCs/>
      <w:sz w:val="24"/>
      <w:lang w:val="en-GB"/>
    </w:rPr>
  </w:style>
  <w:style w:type="character" w:customStyle="1" w:styleId="PagrindinistekstasDiagrama">
    <w:name w:val="Pagrindinis tekstas Diagrama"/>
    <w:link w:val="Pagrindinistekstas"/>
    <w:uiPriority w:val="99"/>
    <w:rsid w:val="004C2CCC"/>
    <w:rPr>
      <w:rFonts w:ascii="Arial" w:eastAsia="Times New Roman" w:hAnsi="Arial" w:cs="Times New Roman"/>
      <w:i/>
      <w:iCs/>
      <w:sz w:val="24"/>
      <w:szCs w:val="24"/>
    </w:rPr>
  </w:style>
  <w:style w:type="paragraph" w:styleId="Pavadinimas">
    <w:name w:val="Title"/>
    <w:basedOn w:val="prastasis"/>
    <w:link w:val="PavadinimasDiagrama"/>
    <w:uiPriority w:val="99"/>
    <w:qFormat/>
    <w:rsid w:val="004C2CCC"/>
    <w:pPr>
      <w:jc w:val="center"/>
    </w:pPr>
    <w:rPr>
      <w:b/>
      <w:bCs/>
      <w:szCs w:val="22"/>
      <w:lang w:val="en-GB"/>
    </w:rPr>
  </w:style>
  <w:style w:type="character" w:customStyle="1" w:styleId="PavadinimasDiagrama">
    <w:name w:val="Pavadinimas Diagrama"/>
    <w:link w:val="Pavadinimas"/>
    <w:uiPriority w:val="99"/>
    <w:rsid w:val="004C2CCC"/>
    <w:rPr>
      <w:rFonts w:ascii="Times New Roman" w:eastAsia="Times New Roman" w:hAnsi="Times New Roman" w:cs="Times New Roman"/>
      <w:b/>
      <w:bCs/>
    </w:rPr>
  </w:style>
  <w:style w:type="paragraph" w:customStyle="1" w:styleId="NormalRight-0cm">
    <w:name w:val="Normal + Right:  -0 cm"/>
    <w:aliases w:val="Line spacing:  single"/>
    <w:basedOn w:val="prastasis"/>
    <w:rsid w:val="004C2CCC"/>
    <w:pPr>
      <w:spacing w:line="260" w:lineRule="atLeast"/>
      <w:ind w:left="567" w:hanging="567"/>
    </w:pPr>
    <w:rPr>
      <w:b/>
      <w:bCs/>
      <w:color w:val="000000"/>
      <w:szCs w:val="22"/>
      <w:lang w:eastAsia="lt-LT"/>
    </w:rPr>
  </w:style>
  <w:style w:type="character" w:styleId="Puslapionumeris">
    <w:name w:val="page number"/>
    <w:basedOn w:val="Numatytasispastraiposriftas"/>
    <w:rsid w:val="004C2CCC"/>
  </w:style>
  <w:style w:type="paragraph" w:styleId="prastasiniatinklio">
    <w:name w:val="Normal (Web)"/>
    <w:basedOn w:val="prastasis"/>
    <w:uiPriority w:val="99"/>
    <w:rsid w:val="004C2CCC"/>
    <w:pPr>
      <w:spacing w:before="100" w:beforeAutospacing="1" w:after="100" w:afterAutospacing="1"/>
    </w:pPr>
    <w:rPr>
      <w:rFonts w:eastAsia="MS Mincho"/>
      <w:lang w:val="de-DE" w:eastAsia="lt-LT"/>
    </w:rPr>
  </w:style>
  <w:style w:type="character" w:styleId="Komentaronuoroda">
    <w:name w:val="annotation reference"/>
    <w:rsid w:val="004C2CCC"/>
    <w:rPr>
      <w:sz w:val="16"/>
      <w:szCs w:val="16"/>
    </w:rPr>
  </w:style>
  <w:style w:type="paragraph" w:styleId="Komentarotekstas">
    <w:name w:val="annotation text"/>
    <w:basedOn w:val="prastasis"/>
    <w:link w:val="KomentarotekstasDiagrama"/>
    <w:uiPriority w:val="99"/>
    <w:rsid w:val="004C2CCC"/>
    <w:rPr>
      <w:sz w:val="20"/>
      <w:szCs w:val="20"/>
      <w:lang w:eastAsia="lt-LT"/>
    </w:rPr>
  </w:style>
  <w:style w:type="character" w:customStyle="1" w:styleId="KomentarotekstasDiagrama">
    <w:name w:val="Komentaro tekstas Diagrama"/>
    <w:link w:val="Komentarotekstas"/>
    <w:uiPriority w:val="99"/>
    <w:rsid w:val="004C2CCC"/>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rsid w:val="004C2CCC"/>
    <w:rPr>
      <w:b/>
      <w:bCs/>
    </w:rPr>
  </w:style>
  <w:style w:type="character" w:customStyle="1" w:styleId="KomentarotemaDiagrama">
    <w:name w:val="Komentaro tema Diagrama"/>
    <w:link w:val="Komentarotema"/>
    <w:uiPriority w:val="99"/>
    <w:rsid w:val="004C2CCC"/>
    <w:rPr>
      <w:rFonts w:ascii="Times New Roman" w:eastAsia="Times New Roman" w:hAnsi="Times New Roman" w:cs="Times New Roman"/>
      <w:b/>
      <w:bCs/>
      <w:sz w:val="20"/>
      <w:szCs w:val="20"/>
      <w:lang w:val="lt-LT" w:eastAsia="lt-LT"/>
    </w:rPr>
  </w:style>
  <w:style w:type="paragraph" w:customStyle="1" w:styleId="BodyText21">
    <w:name w:val="Body Text 21"/>
    <w:basedOn w:val="prastasis"/>
    <w:rsid w:val="004C2CCC"/>
    <w:pPr>
      <w:ind w:left="709"/>
    </w:pPr>
    <w:rPr>
      <w:rFonts w:ascii="Arial" w:eastAsia="Calibri" w:hAnsi="Arial" w:cs="Arial"/>
      <w:color w:val="000000"/>
      <w:lang w:val="en-GB" w:eastAsia="lt-LT"/>
    </w:rPr>
  </w:style>
  <w:style w:type="paragraph" w:customStyle="1" w:styleId="berarbeitung1">
    <w:name w:val="Überarbeitung1"/>
    <w:hidden/>
    <w:uiPriority w:val="99"/>
    <w:semiHidden/>
    <w:rsid w:val="00F849AB"/>
    <w:rPr>
      <w:rFonts w:ascii="Times New Roman" w:eastAsia="Times New Roman" w:hAnsi="Times New Roman"/>
      <w:sz w:val="24"/>
      <w:szCs w:val="24"/>
    </w:rPr>
  </w:style>
  <w:style w:type="character" w:styleId="Emfaz">
    <w:name w:val="Emphasis"/>
    <w:uiPriority w:val="20"/>
    <w:qFormat/>
    <w:rsid w:val="004C2CCC"/>
    <w:rPr>
      <w:i/>
    </w:rPr>
  </w:style>
  <w:style w:type="paragraph" w:customStyle="1" w:styleId="TextBody">
    <w:name w:val="Text Body"/>
    <w:link w:val="TextBodyZchn"/>
    <w:qFormat/>
    <w:rsid w:val="00F849AB"/>
    <w:rPr>
      <w:rFonts w:ascii="Times New Roman" w:eastAsia="Times New Roman" w:hAnsi="Times New Roman"/>
      <w:color w:val="000000"/>
      <w:sz w:val="22"/>
      <w:szCs w:val="24"/>
      <w:lang w:val="en-GB" w:eastAsia="de-DE"/>
    </w:rPr>
  </w:style>
  <w:style w:type="character" w:customStyle="1" w:styleId="TextBodyZchn">
    <w:name w:val="Text Body Zchn"/>
    <w:link w:val="TextBody"/>
    <w:locked/>
    <w:rsid w:val="004C2CCC"/>
    <w:rPr>
      <w:rFonts w:ascii="Times New Roman" w:eastAsia="Times New Roman" w:hAnsi="Times New Roman"/>
      <w:color w:val="000000"/>
      <w:sz w:val="22"/>
      <w:szCs w:val="24"/>
      <w:lang w:val="en-GB" w:eastAsia="de-DE"/>
    </w:rPr>
  </w:style>
  <w:style w:type="paragraph" w:customStyle="1" w:styleId="Revision1">
    <w:name w:val="Revision1"/>
    <w:hidden/>
    <w:uiPriority w:val="99"/>
    <w:semiHidden/>
    <w:rsid w:val="00F849AB"/>
    <w:rPr>
      <w:rFonts w:ascii="Times New Roman" w:eastAsia="Times New Roman" w:hAnsi="Times New Roman"/>
      <w:sz w:val="24"/>
      <w:szCs w:val="24"/>
      <w:lang w:eastAsia="en-US"/>
    </w:rPr>
  </w:style>
  <w:style w:type="paragraph" w:styleId="Pataisymai">
    <w:name w:val="Revision"/>
    <w:hidden/>
    <w:uiPriority w:val="99"/>
    <w:semiHidden/>
    <w:rsid w:val="00F849AB"/>
    <w:rPr>
      <w:rFonts w:ascii="Times New Roman" w:eastAsia="Times New Roman" w:hAnsi="Times New Roman"/>
      <w:sz w:val="22"/>
      <w:szCs w:val="24"/>
      <w:lang w:eastAsia="en-US"/>
    </w:rPr>
  </w:style>
  <w:style w:type="paragraph" w:styleId="Sraopastraipa">
    <w:name w:val="List Paragraph"/>
    <w:basedOn w:val="prastasis"/>
    <w:uiPriority w:val="34"/>
    <w:qFormat/>
    <w:rsid w:val="005D3E8F"/>
    <w:pPr>
      <w:ind w:left="720"/>
      <w:contextualSpacing/>
    </w:pPr>
  </w:style>
  <w:style w:type="table" w:styleId="Lentelstinklelis">
    <w:name w:val="Table Grid"/>
    <w:basedOn w:val="prastojilentel"/>
    <w:uiPriority w:val="59"/>
    <w:rsid w:val="00E23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gency">
    <w:name w:val="Heading 1 (Agency)"/>
    <w:basedOn w:val="prastasis"/>
    <w:next w:val="prastasis"/>
    <w:qFormat/>
    <w:rsid w:val="00EA27D9"/>
    <w:pPr>
      <w:keepNext/>
      <w:numPr>
        <w:numId w:val="19"/>
      </w:numPr>
      <w:spacing w:before="280" w:after="220"/>
      <w:outlineLvl w:val="0"/>
    </w:pPr>
    <w:rPr>
      <w:rFonts w:ascii="Verdana" w:eastAsia="Verdana" w:hAnsi="Verdana" w:cs="Arial"/>
      <w:b/>
      <w:bCs/>
      <w:kern w:val="32"/>
      <w:sz w:val="27"/>
      <w:szCs w:val="27"/>
      <w:lang w:val="en-GB" w:eastAsia="en-GB"/>
    </w:rPr>
  </w:style>
  <w:style w:type="paragraph" w:customStyle="1" w:styleId="Heading2Agency">
    <w:name w:val="Heading 2 (Agency)"/>
    <w:basedOn w:val="prastasis"/>
    <w:next w:val="prastasis"/>
    <w:qFormat/>
    <w:rsid w:val="00EA27D9"/>
    <w:pPr>
      <w:keepNext/>
      <w:numPr>
        <w:ilvl w:val="1"/>
        <w:numId w:val="19"/>
      </w:numPr>
      <w:spacing w:before="280" w:after="220"/>
      <w:outlineLvl w:val="1"/>
    </w:pPr>
    <w:rPr>
      <w:rFonts w:ascii="Verdana" w:eastAsia="Verdana" w:hAnsi="Verdana" w:cs="Arial"/>
      <w:b/>
      <w:bCs/>
      <w:i/>
      <w:kern w:val="32"/>
      <w:szCs w:val="22"/>
      <w:lang w:val="en-GB" w:eastAsia="en-GB"/>
    </w:rPr>
  </w:style>
  <w:style w:type="paragraph" w:customStyle="1" w:styleId="Heading3Agency">
    <w:name w:val="Heading 3 (Agency)"/>
    <w:basedOn w:val="prastasis"/>
    <w:next w:val="prastasis"/>
    <w:qFormat/>
    <w:rsid w:val="00EA27D9"/>
    <w:pPr>
      <w:keepNext/>
      <w:numPr>
        <w:ilvl w:val="2"/>
        <w:numId w:val="19"/>
      </w:numPr>
      <w:spacing w:before="280" w:after="220"/>
      <w:outlineLvl w:val="2"/>
    </w:pPr>
    <w:rPr>
      <w:rFonts w:ascii="Verdana" w:eastAsia="Verdana" w:hAnsi="Verdana" w:cs="Arial"/>
      <w:b/>
      <w:bCs/>
      <w:kern w:val="32"/>
      <w:szCs w:val="22"/>
      <w:lang w:val="en-GB" w:eastAsia="en-GB"/>
    </w:rPr>
  </w:style>
  <w:style w:type="paragraph" w:customStyle="1" w:styleId="Heading4Agency">
    <w:name w:val="Heading 4 (Agency)"/>
    <w:basedOn w:val="Heading3Agency"/>
    <w:next w:val="prastasis"/>
    <w:rsid w:val="00EA27D9"/>
    <w:pPr>
      <w:numPr>
        <w:ilvl w:val="3"/>
      </w:numPr>
      <w:outlineLvl w:val="3"/>
    </w:pPr>
    <w:rPr>
      <w:i/>
      <w:sz w:val="18"/>
      <w:szCs w:val="18"/>
    </w:rPr>
  </w:style>
  <w:style w:type="paragraph" w:customStyle="1" w:styleId="Heading5Agency">
    <w:name w:val="Heading 5 (Agency)"/>
    <w:basedOn w:val="Heading4Agency"/>
    <w:next w:val="prastasis"/>
    <w:rsid w:val="00EA27D9"/>
    <w:pPr>
      <w:numPr>
        <w:ilvl w:val="4"/>
      </w:numPr>
      <w:outlineLvl w:val="4"/>
    </w:pPr>
    <w:rPr>
      <w:i w:val="0"/>
    </w:rPr>
  </w:style>
  <w:style w:type="paragraph" w:customStyle="1" w:styleId="Heading6Agency">
    <w:name w:val="Heading 6 (Agency)"/>
    <w:basedOn w:val="Heading5Agency"/>
    <w:next w:val="prastasis"/>
    <w:semiHidden/>
    <w:rsid w:val="00EA27D9"/>
    <w:pPr>
      <w:numPr>
        <w:ilvl w:val="5"/>
      </w:numPr>
      <w:outlineLvl w:val="5"/>
    </w:pPr>
  </w:style>
  <w:style w:type="paragraph" w:customStyle="1" w:styleId="Heading7Agency">
    <w:name w:val="Heading 7 (Agency)"/>
    <w:basedOn w:val="Heading6Agency"/>
    <w:next w:val="prastasis"/>
    <w:semiHidden/>
    <w:rsid w:val="00EA27D9"/>
    <w:pPr>
      <w:numPr>
        <w:ilvl w:val="6"/>
      </w:numPr>
      <w:outlineLvl w:val="6"/>
    </w:pPr>
  </w:style>
  <w:style w:type="paragraph" w:customStyle="1" w:styleId="Heading8Agency">
    <w:name w:val="Heading 8 (Agency)"/>
    <w:basedOn w:val="Heading7Agency"/>
    <w:next w:val="prastasis"/>
    <w:semiHidden/>
    <w:rsid w:val="00EA27D9"/>
    <w:pPr>
      <w:numPr>
        <w:ilvl w:val="7"/>
      </w:numPr>
      <w:outlineLvl w:val="7"/>
    </w:pPr>
  </w:style>
  <w:style w:type="paragraph" w:customStyle="1" w:styleId="Heading9Agency">
    <w:name w:val="Heading 9 (Agency)"/>
    <w:basedOn w:val="Heading8Agency"/>
    <w:next w:val="prastasis"/>
    <w:semiHidden/>
    <w:rsid w:val="00EA27D9"/>
    <w:pPr>
      <w:numPr>
        <w:ilvl w:val="8"/>
      </w:numPr>
      <w:outlineLvl w:val="8"/>
    </w:pPr>
  </w:style>
  <w:style w:type="paragraph" w:customStyle="1" w:styleId="NormalKeep">
    <w:name w:val="Normal Keep"/>
    <w:basedOn w:val="prastasis"/>
    <w:link w:val="NormalKeepChar"/>
    <w:qFormat/>
    <w:rsid w:val="00EA27D9"/>
    <w:pPr>
      <w:keepNext/>
      <w:suppressAutoHyphens/>
    </w:pPr>
    <w:rPr>
      <w:rFonts w:eastAsia="SimSun" w:cs="Arial"/>
      <w:szCs w:val="22"/>
      <w:lang w:val="en-GB" w:eastAsia="zh-CN"/>
    </w:rPr>
  </w:style>
  <w:style w:type="paragraph" w:customStyle="1" w:styleId="HeadingEmphasis">
    <w:name w:val="Heading Emphasis"/>
    <w:basedOn w:val="NormalKeep"/>
    <w:next w:val="NormalKeep"/>
    <w:qFormat/>
    <w:rsid w:val="00EA27D9"/>
    <w:pPr>
      <w:keepLines/>
    </w:pPr>
    <w:rPr>
      <w:i/>
    </w:rPr>
  </w:style>
  <w:style w:type="character" w:customStyle="1" w:styleId="NormalKeepChar">
    <w:name w:val="Normal Keep Char"/>
    <w:link w:val="NormalKeep"/>
    <w:rsid w:val="00EA27D9"/>
    <w:rPr>
      <w:rFonts w:ascii="Times New Roman" w:eastAsia="SimSun" w:hAnsi="Times New Roman" w:cs="Arial"/>
      <w:sz w:val="22"/>
      <w:szCs w:val="22"/>
      <w:lang w:val="en-GB" w:eastAsia="zh-CN"/>
    </w:rPr>
  </w:style>
  <w:style w:type="paragraph" w:customStyle="1" w:styleId="HeadingUnderlinedEmphasis">
    <w:name w:val="Heading Underlined Emphasis"/>
    <w:basedOn w:val="prastasis"/>
    <w:qFormat/>
    <w:rsid w:val="00EA27D9"/>
    <w:pPr>
      <w:keepNext/>
      <w:keepLines/>
      <w:suppressAutoHyphens/>
    </w:pPr>
    <w:rPr>
      <w:rFonts w:eastAsia="SimSun" w:cs="Arial"/>
      <w:i/>
      <w:iCs/>
      <w:szCs w:val="22"/>
      <w:u w:val="single"/>
      <w:lang w:val="en-GB" w:eastAsia="zh-CN"/>
    </w:rPr>
  </w:style>
  <w:style w:type="paragraph" w:customStyle="1" w:styleId="TableFoot2">
    <w:name w:val="Table Foot 2"/>
    <w:basedOn w:val="prastasis"/>
    <w:qFormat/>
    <w:rsid w:val="008E228F"/>
    <w:pPr>
      <w:tabs>
        <w:tab w:val="left" w:pos="180"/>
      </w:tabs>
      <w:ind w:left="180" w:hanging="180"/>
    </w:pPr>
    <w:rPr>
      <w:rFonts w:eastAsia="SimSun"/>
      <w:sz w:val="16"/>
      <w:szCs w:val="16"/>
      <w:lang w:val="en-GB" w:eastAsia="en-CA"/>
    </w:rPr>
  </w:style>
  <w:style w:type="paragraph" w:customStyle="1" w:styleId="Heading1LAB">
    <w:name w:val="Heading 1 LAB"/>
    <w:basedOn w:val="Antrat1"/>
    <w:next w:val="NormalKeep"/>
    <w:link w:val="Heading1LABChar"/>
    <w:qFormat/>
    <w:rsid w:val="00851910"/>
    <w:pPr>
      <w:keepLines/>
      <w:pBdr>
        <w:top w:val="single" w:sz="8" w:space="1" w:color="auto"/>
        <w:left w:val="single" w:sz="8" w:space="4" w:color="auto"/>
        <w:bottom w:val="single" w:sz="8" w:space="1" w:color="auto"/>
        <w:right w:val="single" w:sz="8" w:space="4" w:color="auto"/>
      </w:pBdr>
      <w:suppressAutoHyphens/>
      <w:spacing w:before="0" w:after="0"/>
      <w:ind w:left="561" w:hanging="561"/>
    </w:pPr>
    <w:rPr>
      <w:rFonts w:ascii="Times New Roman" w:eastAsia="SimSun" w:hAnsi="Times New Roman"/>
      <w:kern w:val="0"/>
      <w:sz w:val="22"/>
      <w:szCs w:val="22"/>
      <w:lang w:eastAsia="zh-CN"/>
    </w:rPr>
  </w:style>
  <w:style w:type="character" w:customStyle="1" w:styleId="Heading1LABChar">
    <w:name w:val="Heading 1 LAB Char"/>
    <w:link w:val="Heading1LAB"/>
    <w:locked/>
    <w:rsid w:val="00851910"/>
    <w:rPr>
      <w:rFonts w:ascii="Times New Roman" w:eastAsia="SimSun" w:hAnsi="Times New Roman"/>
      <w:b/>
      <w:bC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371713">
      <w:bodyDiv w:val="1"/>
      <w:marLeft w:val="0"/>
      <w:marRight w:val="0"/>
      <w:marTop w:val="0"/>
      <w:marBottom w:val="0"/>
      <w:divBdr>
        <w:top w:val="none" w:sz="0" w:space="0" w:color="auto"/>
        <w:left w:val="none" w:sz="0" w:space="0" w:color="auto"/>
        <w:bottom w:val="none" w:sz="0" w:space="0" w:color="auto"/>
        <w:right w:val="none" w:sz="0" w:space="0" w:color="auto"/>
      </w:divBdr>
    </w:div>
    <w:div w:id="776681132">
      <w:bodyDiv w:val="1"/>
      <w:marLeft w:val="0"/>
      <w:marRight w:val="0"/>
      <w:marTop w:val="0"/>
      <w:marBottom w:val="0"/>
      <w:divBdr>
        <w:top w:val="none" w:sz="0" w:space="0" w:color="auto"/>
        <w:left w:val="none" w:sz="0" w:space="0" w:color="auto"/>
        <w:bottom w:val="none" w:sz="0" w:space="0" w:color="auto"/>
        <w:right w:val="none" w:sz="0" w:space="0" w:color="auto"/>
      </w:divBdr>
      <w:divsChild>
        <w:div w:id="530996732">
          <w:marLeft w:val="0"/>
          <w:marRight w:val="0"/>
          <w:marTop w:val="0"/>
          <w:marBottom w:val="0"/>
          <w:divBdr>
            <w:top w:val="none" w:sz="0" w:space="0" w:color="auto"/>
            <w:left w:val="none" w:sz="0" w:space="0" w:color="auto"/>
            <w:bottom w:val="none" w:sz="0" w:space="0" w:color="auto"/>
            <w:right w:val="none" w:sz="0" w:space="0" w:color="auto"/>
          </w:divBdr>
          <w:divsChild>
            <w:div w:id="97992869">
              <w:marLeft w:val="0"/>
              <w:marRight w:val="0"/>
              <w:marTop w:val="0"/>
              <w:marBottom w:val="0"/>
              <w:divBdr>
                <w:top w:val="none" w:sz="0" w:space="0" w:color="auto"/>
                <w:left w:val="none" w:sz="0" w:space="0" w:color="auto"/>
                <w:bottom w:val="none" w:sz="0" w:space="0" w:color="auto"/>
                <w:right w:val="none" w:sz="0" w:space="0" w:color="auto"/>
              </w:divBdr>
              <w:divsChild>
                <w:div w:id="1943025381">
                  <w:marLeft w:val="0"/>
                  <w:marRight w:val="0"/>
                  <w:marTop w:val="0"/>
                  <w:marBottom w:val="0"/>
                  <w:divBdr>
                    <w:top w:val="none" w:sz="0" w:space="0" w:color="auto"/>
                    <w:left w:val="none" w:sz="0" w:space="0" w:color="auto"/>
                    <w:bottom w:val="none" w:sz="0" w:space="0" w:color="auto"/>
                    <w:right w:val="none" w:sz="0" w:space="0" w:color="auto"/>
                  </w:divBdr>
                  <w:divsChild>
                    <w:div w:id="645478774">
                      <w:marLeft w:val="0"/>
                      <w:marRight w:val="0"/>
                      <w:marTop w:val="0"/>
                      <w:marBottom w:val="0"/>
                      <w:divBdr>
                        <w:top w:val="none" w:sz="0" w:space="0" w:color="auto"/>
                        <w:left w:val="none" w:sz="0" w:space="0" w:color="auto"/>
                        <w:bottom w:val="none" w:sz="0" w:space="0" w:color="auto"/>
                        <w:right w:val="none" w:sz="0" w:space="0" w:color="auto"/>
                      </w:divBdr>
                      <w:divsChild>
                        <w:div w:id="424812574">
                          <w:marLeft w:val="0"/>
                          <w:marRight w:val="0"/>
                          <w:marTop w:val="0"/>
                          <w:marBottom w:val="0"/>
                          <w:divBdr>
                            <w:top w:val="none" w:sz="0" w:space="0" w:color="auto"/>
                            <w:left w:val="none" w:sz="0" w:space="0" w:color="auto"/>
                            <w:bottom w:val="none" w:sz="0" w:space="0" w:color="auto"/>
                            <w:right w:val="none" w:sz="0" w:space="0" w:color="auto"/>
                          </w:divBdr>
                          <w:divsChild>
                            <w:div w:id="873881804">
                              <w:marLeft w:val="0"/>
                              <w:marRight w:val="0"/>
                              <w:marTop w:val="0"/>
                              <w:marBottom w:val="0"/>
                              <w:divBdr>
                                <w:top w:val="none" w:sz="0" w:space="0" w:color="auto"/>
                                <w:left w:val="none" w:sz="0" w:space="0" w:color="auto"/>
                                <w:bottom w:val="none" w:sz="0" w:space="0" w:color="auto"/>
                                <w:right w:val="none" w:sz="0" w:space="0" w:color="auto"/>
                              </w:divBdr>
                              <w:divsChild>
                                <w:div w:id="914051386">
                                  <w:marLeft w:val="0"/>
                                  <w:marRight w:val="0"/>
                                  <w:marTop w:val="0"/>
                                  <w:marBottom w:val="0"/>
                                  <w:divBdr>
                                    <w:top w:val="none" w:sz="0" w:space="0" w:color="auto"/>
                                    <w:left w:val="none" w:sz="0" w:space="0" w:color="auto"/>
                                    <w:bottom w:val="none" w:sz="0" w:space="0" w:color="auto"/>
                                    <w:right w:val="none" w:sz="0" w:space="0" w:color="auto"/>
                                  </w:divBdr>
                                  <w:divsChild>
                                    <w:div w:id="2118480955">
                                      <w:marLeft w:val="60"/>
                                      <w:marRight w:val="0"/>
                                      <w:marTop w:val="0"/>
                                      <w:marBottom w:val="0"/>
                                      <w:divBdr>
                                        <w:top w:val="none" w:sz="0" w:space="0" w:color="auto"/>
                                        <w:left w:val="none" w:sz="0" w:space="0" w:color="auto"/>
                                        <w:bottom w:val="none" w:sz="0" w:space="0" w:color="auto"/>
                                        <w:right w:val="none" w:sz="0" w:space="0" w:color="auto"/>
                                      </w:divBdr>
                                      <w:divsChild>
                                        <w:div w:id="1434787031">
                                          <w:marLeft w:val="0"/>
                                          <w:marRight w:val="0"/>
                                          <w:marTop w:val="0"/>
                                          <w:marBottom w:val="0"/>
                                          <w:divBdr>
                                            <w:top w:val="none" w:sz="0" w:space="0" w:color="auto"/>
                                            <w:left w:val="none" w:sz="0" w:space="0" w:color="auto"/>
                                            <w:bottom w:val="none" w:sz="0" w:space="0" w:color="auto"/>
                                            <w:right w:val="none" w:sz="0" w:space="0" w:color="auto"/>
                                          </w:divBdr>
                                          <w:divsChild>
                                            <w:div w:id="1220482822">
                                              <w:marLeft w:val="0"/>
                                              <w:marRight w:val="0"/>
                                              <w:marTop w:val="0"/>
                                              <w:marBottom w:val="120"/>
                                              <w:divBdr>
                                                <w:top w:val="single" w:sz="6" w:space="0" w:color="F5F5F5"/>
                                                <w:left w:val="single" w:sz="6" w:space="0" w:color="F5F5F5"/>
                                                <w:bottom w:val="single" w:sz="6" w:space="0" w:color="F5F5F5"/>
                                                <w:right w:val="single" w:sz="6" w:space="0" w:color="F5F5F5"/>
                                              </w:divBdr>
                                              <w:divsChild>
                                                <w:div w:id="1186555282">
                                                  <w:marLeft w:val="0"/>
                                                  <w:marRight w:val="0"/>
                                                  <w:marTop w:val="0"/>
                                                  <w:marBottom w:val="0"/>
                                                  <w:divBdr>
                                                    <w:top w:val="none" w:sz="0" w:space="0" w:color="auto"/>
                                                    <w:left w:val="none" w:sz="0" w:space="0" w:color="auto"/>
                                                    <w:bottom w:val="none" w:sz="0" w:space="0" w:color="auto"/>
                                                    <w:right w:val="none" w:sz="0" w:space="0" w:color="auto"/>
                                                  </w:divBdr>
                                                  <w:divsChild>
                                                    <w:div w:id="15048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875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vkt.lt/"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yperlink" Target="mailto:contact-fr@viforpharm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vkt.lt"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127A732706249810EF60F11D922AD" ma:contentTypeVersion="15" ma:contentTypeDescription="Create a new document." ma:contentTypeScope="" ma:versionID="ddff7fc325607506d08d6f72b31f62e3">
  <xsd:schema xmlns:xsd="http://www.w3.org/2001/XMLSchema" xmlns:xs="http://www.w3.org/2001/XMLSchema" xmlns:p="http://schemas.microsoft.com/office/2006/metadata/properties" xmlns:ns2="http://schemas.microsoft.com/sharepoint/v3/fields" xmlns:ns3="257a5a15-a6d5-45f4-8e05-0a2016701d46" xmlns:ns4="785d3ccc-e840-4e03-8594-577c3fee2abf" targetNamespace="http://schemas.microsoft.com/office/2006/metadata/properties" ma:root="true" ma:fieldsID="d04d6d24ed537f79a3cd460dc5206204" ns2:_="" ns3:_="" ns4:_="">
    <xsd:import namespace="http://schemas.microsoft.com/sharepoint/v3/fields"/>
    <xsd:import namespace="257a5a15-a6d5-45f4-8e05-0a2016701d46"/>
    <xsd:import namespace="785d3ccc-e840-4e03-8594-577c3fee2abf"/>
    <xsd:element name="properties">
      <xsd:complexType>
        <xsd:sequence>
          <xsd:element name="documentManagement">
            <xsd:complexType>
              <xsd:all>
                <xsd:element ref="ns2:_Version" minOccurs="0"/>
                <xsd:element ref="ns3:_dlc_DocId" minOccurs="0"/>
                <xsd:element ref="ns3:_dlc_DocIdUrl" minOccurs="0"/>
                <xsd:element ref="ns3:_dlc_DocIdPersistId" minOccurs="0"/>
                <xsd:element ref="ns4:if17717b27e64c67ae2a4d9c160b4c5b" minOccurs="0"/>
                <xsd:element ref="ns3:TaxCatchAll" minOccurs="0"/>
                <xsd:element ref="ns4:h0f1ac5117014ff9aee564b397d4d77d" minOccurs="0"/>
                <xsd:element ref="ns4:acd4035cb0bf4176ad02163be6eb5c1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a5a15-a6d5-45f4-8e05-0a2016701d46"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5594087e-48fa-4dfb-be00-88eb00f1cf71}" ma:internalName="TaxCatchAll" ma:showField="CatchAllData" ma:web="257a5a15-a6d5-45f4-8e05-0a2016701d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5d3ccc-e840-4e03-8594-577c3fee2abf" elementFormDefault="qualified">
    <xsd:import namespace="http://schemas.microsoft.com/office/2006/documentManagement/types"/>
    <xsd:import namespace="http://schemas.microsoft.com/office/infopath/2007/PartnerControls"/>
    <xsd:element name="if17717b27e64c67ae2a4d9c160b4c5b" ma:index="13" ma:taxonomy="true" ma:internalName="if17717b27e64c67ae2a4d9c160b4c5b" ma:taxonomyFieldName="Product" ma:displayName="Product" ma:readOnly="false" ma:default="" ma:fieldId="{2f17717b-27e6-4c67-ae2a-4d9c160b4c5b}" ma:sspId="09b3f6cc-1849-42b8-9f17-fef3934805fd" ma:termSetId="417f3f05-89e9-4509-b58a-00e98b8db9f8" ma:anchorId="00000000-0000-0000-0000-000000000000" ma:open="false" ma:isKeyword="false">
      <xsd:complexType>
        <xsd:sequence>
          <xsd:element ref="pc:Terms" minOccurs="0" maxOccurs="1"/>
        </xsd:sequence>
      </xsd:complexType>
    </xsd:element>
    <xsd:element name="h0f1ac5117014ff9aee564b397d4d77d" ma:index="16" ma:taxonomy="true" ma:internalName="h0f1ac5117014ff9aee564b397d4d77d" ma:taxonomyFieldName="Country" ma:displayName="Country" ma:readOnly="false" ma:default="" ma:fieldId="{10f1ac51-1701-4ff9-aee5-64b397d4d77d}" ma:sspId="09b3f6cc-1849-42b8-9f17-fef3934805fd" ma:termSetId="1ffef472-0951-4e11-9a65-ef11abfde327" ma:anchorId="00000000-0000-0000-0000-000000000000" ma:open="false" ma:isKeyword="false">
      <xsd:complexType>
        <xsd:sequence>
          <xsd:element ref="pc:Terms" minOccurs="0" maxOccurs="1"/>
        </xsd:sequence>
      </xsd:complexType>
    </xsd:element>
    <xsd:element name="acd4035cb0bf4176ad02163be6eb5c16" ma:index="18" ma:taxonomy="true" ma:internalName="acd4035cb0bf4176ad02163be6eb5c16" ma:taxonomyFieldName="Document_x0020_Type" ma:displayName="Document Type" ma:indexed="true" ma:readOnly="false" ma:default="" ma:fieldId="{acd4035c-b0bf-4176-ad02-163be6eb5c16}" ma:sspId="09b3f6cc-1849-42b8-9f17-fef3934805fd" ma:termSetId="ca5e7c89-2a66-4800-b9c2-6016165a98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0f1ac5117014ff9aee564b397d4d77d xmlns="785d3ccc-e840-4e03-8594-577c3fee2abf">
      <Terms xmlns="http://schemas.microsoft.com/office/infopath/2007/PartnerControls">
        <TermInfo xmlns="http://schemas.microsoft.com/office/infopath/2007/PartnerControls">
          <TermName xmlns="http://schemas.microsoft.com/office/infopath/2007/PartnerControls">Lithuania</TermName>
          <TermId xmlns="http://schemas.microsoft.com/office/infopath/2007/PartnerControls">e5c62c3d-03b2-4a26-9b6b-4df999d66484</TermId>
        </TermInfo>
      </Terms>
    </h0f1ac5117014ff9aee564b397d4d77d>
    <_Version xmlns="http://schemas.microsoft.com/sharepoint/v3/fields" xsi:nil="true"/>
    <if17717b27e64c67ae2a4d9c160b4c5b xmlns="785d3ccc-e840-4e03-8594-577c3fee2abf">
      <Terms xmlns="http://schemas.microsoft.com/office/infopath/2007/PartnerControls">
        <TermInfo xmlns="http://schemas.microsoft.com/office/infopath/2007/PartnerControls">
          <TermName xmlns="http://schemas.microsoft.com/office/infopath/2007/PartnerControls">Ferinject</TermName>
          <TermId xmlns="http://schemas.microsoft.com/office/infopath/2007/PartnerControls">5bf0a180-5c86-448c-9003-4a4445d06b2a</TermId>
        </TermInfo>
      </Terms>
    </if17717b27e64c67ae2a4d9c160b4c5b>
    <acd4035cb0bf4176ad02163be6eb5c16 xmlns="785d3ccc-e840-4e03-8594-577c3fee2abf">
      <Terms xmlns="http://schemas.microsoft.com/office/infopath/2007/PartnerControls">
        <TermInfo xmlns="http://schemas.microsoft.com/office/infopath/2007/PartnerControls">
          <TermName xmlns="http://schemas.microsoft.com/office/infopath/2007/PartnerControls">SPC</TermName>
          <TermId xmlns="http://schemas.microsoft.com/office/infopath/2007/PartnerControls">b8f52ffd-d459-4c37-b575-954a7702319f</TermId>
        </TermInfo>
      </Terms>
    </acd4035cb0bf4176ad02163be6eb5c16>
    <TaxCatchAll xmlns="257a5a15-a6d5-45f4-8e05-0a2016701d46">
      <Value>196</Value>
      <Value>105</Value>
      <Value>134</Value>
    </TaxCatchAll>
    <_dlc_DocId xmlns="257a5a15-a6d5-45f4-8e05-0a2016701d46">VPSP-100-10362</_dlc_DocId>
    <_dlc_DocIdUrl xmlns="257a5a15-a6d5-45f4-8e05-0a2016701d46">
      <Url>http://geco.viforpharma.com/workspaces/gra/_layouts/DocIdRedir.aspx?ID=VPSP-100-10362</Url>
      <Description>VPSP-100-10362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80187-3FD5-4783-9DDD-8382B479A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257a5a15-a6d5-45f4-8e05-0a2016701d46"/>
    <ds:schemaRef ds:uri="785d3ccc-e840-4e03-8594-577c3fee2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F86C8-26ED-4BBD-9E1F-D209533CB39B}">
  <ds:schemaRefs>
    <ds:schemaRef ds:uri="http://schemas.microsoft.com/sharepoint/events"/>
  </ds:schemaRefs>
</ds:datastoreItem>
</file>

<file path=customXml/itemProps3.xml><?xml version="1.0" encoding="utf-8"?>
<ds:datastoreItem xmlns:ds="http://schemas.openxmlformats.org/officeDocument/2006/customXml" ds:itemID="{8FFEF273-8D1B-4CFD-AD1A-B28BC922C0B9}">
  <ds:schemaRefs>
    <ds:schemaRef ds:uri="http://schemas.microsoft.com/sharepoint/v3/contenttype/forms"/>
  </ds:schemaRefs>
</ds:datastoreItem>
</file>

<file path=customXml/itemProps4.xml><?xml version="1.0" encoding="utf-8"?>
<ds:datastoreItem xmlns:ds="http://schemas.openxmlformats.org/officeDocument/2006/customXml" ds:itemID="{DC745A45-D9A2-414B-B596-9270A42115DB}">
  <ds:schemaRefs>
    <ds:schemaRef ds:uri="257a5a15-a6d5-45f4-8e05-0a2016701d46"/>
    <ds:schemaRef ds:uri="http://schemas.openxmlformats.org/package/2006/metadata/core-propertie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785d3ccc-e840-4e03-8594-577c3fee2abf"/>
    <ds:schemaRef ds:uri="http://schemas.microsoft.com/sharepoint/v3/fields"/>
  </ds:schemaRefs>
</ds:datastoreItem>
</file>

<file path=customXml/itemProps5.xml><?xml version="1.0" encoding="utf-8"?>
<ds:datastoreItem xmlns:ds="http://schemas.openxmlformats.org/officeDocument/2006/customXml" ds:itemID="{CB5B2D11-999D-4310-97BC-2C632033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35582</Words>
  <Characters>20283</Characters>
  <Application>Microsoft Office Word</Application>
  <DocSecurity>4</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Vifor Pharma</Company>
  <LinksUpToDate>false</LinksUpToDate>
  <CharactersWithSpaces>55754</CharactersWithSpaces>
  <SharedDoc>false</SharedDoc>
  <HLinks>
    <vt:vector size="30" baseType="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Ninna Richnau</dc:creator>
  <cp:lastModifiedBy>Albina Burkauskaitė</cp:lastModifiedBy>
  <cp:revision>2</cp:revision>
  <dcterms:created xsi:type="dcterms:W3CDTF">2019-01-16T08:04:00Z</dcterms:created>
  <dcterms:modified xsi:type="dcterms:W3CDTF">2019-01-16T08:04:00Z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0x0101002E9127A732706249810EF60F11D922AD</vt:lpwstr>
  </property>
  <property fmtid="{D5CDD505-2E9C-101B-9397-08002B2CF9AE}" pid="3" name="_dlc_DocIdItemGuid">
    <vt:lpwstr>9e01a6d8-3efc-4a42-92c1-036b9921bd88</vt:lpwstr>
  </property>
  <property fmtid="{D5CDD505-2E9C-101B-9397-08002B2CF9AE}" pid="4" name="Country">
    <vt:lpwstr>196;#Lithuania|e5c62c3d-03b2-4a26-9b6b-4df999d66484</vt:lpwstr>
  </property>
  <property fmtid="{D5CDD505-2E9C-101B-9397-08002B2CF9AE}" pid="5" name="Product">
    <vt:lpwstr>134;#Ferinject|5bf0a180-5c86-448c-9003-4a4445d06b2a</vt:lpwstr>
  </property>
  <property fmtid="{D5CDD505-2E9C-101B-9397-08002B2CF9AE}" pid="6" name="Document Type">
    <vt:lpwstr>105;#SPC|b8f52ffd-d459-4c37-b575-954a7702319f</vt:lpwstr>
  </property>
  <property fmtid="{D5CDD505-2E9C-101B-9397-08002B2CF9AE}" pid="7" name="h0f1ac5117014ff9aee564b397d4d77d">
    <vt:lpwstr>Lithuania|e5c62c3d-03b2-4a26-9b6b-4df999d66484</vt:lpwstr>
  </property>
  <property fmtid="{D5CDD505-2E9C-101B-9397-08002B2CF9AE}" pid="8" name="_Version">
    <vt:lpwstr/>
  </property>
  <property fmtid="{D5CDD505-2E9C-101B-9397-08002B2CF9AE}" pid="9" name="if17717b27e64c67ae2a4d9c160b4c5b">
    <vt:lpwstr>Ferinject|5bf0a180-5c86-448c-9003-4a4445d06b2a</vt:lpwstr>
  </property>
  <property fmtid="{D5CDD505-2E9C-101B-9397-08002B2CF9AE}" pid="10" name="acd4035cb0bf4176ad02163be6eb5c16">
    <vt:lpwstr>SPC|b8f52ffd-d459-4c37-b575-954a7702319f</vt:lpwstr>
  </property>
  <property fmtid="{D5CDD505-2E9C-101B-9397-08002B2CF9AE}" pid="11" name="TaxCatchAll">
    <vt:lpwstr>196;#;#105;#;#134;#</vt:lpwstr>
  </property>
  <property fmtid="{D5CDD505-2E9C-101B-9397-08002B2CF9AE}" pid="12" name="_dlc_DocId">
    <vt:lpwstr>VPSP-100-10362</vt:lpwstr>
  </property>
  <property fmtid="{D5CDD505-2E9C-101B-9397-08002B2CF9AE}" pid="13" name="_dlc_DocIdUrl">
    <vt:lpwstr>http://geco.viforpharma.com/workspaces/gra/_layouts/DocIdRedir.aspx?ID=VPSP-100-10362, VPSP-100-10362</vt:lpwstr>
  </property>
</Properties>
</file>