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0597E8" w14:textId="77777777" w:rsidR="00A840FC" w:rsidRPr="00A840FC" w:rsidRDefault="00A840FC" w:rsidP="00A840FC">
      <w:pPr>
        <w:spacing w:after="0" w:line="240" w:lineRule="auto"/>
        <w:rPr>
          <w:rFonts w:ascii="Times New Roman" w:eastAsia="Times New Roman" w:hAnsi="Times New Roman" w:cs="Times New Roman"/>
          <w:lang w:val="lt-LT"/>
        </w:rPr>
      </w:pPr>
      <w:bookmarkStart w:id="0" w:name="_Toc129243128"/>
      <w:bookmarkStart w:id="1" w:name="_Toc129243253"/>
      <w:bookmarkStart w:id="2" w:name="_Toc129243137"/>
      <w:bookmarkStart w:id="3" w:name="_Toc129243262"/>
    </w:p>
    <w:p w14:paraId="1CA16797" w14:textId="77777777" w:rsidR="00A840FC" w:rsidRPr="00A840FC" w:rsidRDefault="00A840FC" w:rsidP="00A840FC">
      <w:pPr>
        <w:spacing w:after="0" w:line="240" w:lineRule="auto"/>
        <w:rPr>
          <w:rFonts w:ascii="Times New Roman" w:eastAsia="Times New Roman" w:hAnsi="Times New Roman" w:cs="Times New Roman"/>
          <w:lang w:val="lt-LT"/>
        </w:rPr>
      </w:pPr>
    </w:p>
    <w:p w14:paraId="770FCA31" w14:textId="77777777" w:rsidR="00A840FC" w:rsidRPr="00A840FC" w:rsidRDefault="00A840FC" w:rsidP="00A840FC">
      <w:pPr>
        <w:spacing w:after="0" w:line="240" w:lineRule="auto"/>
        <w:rPr>
          <w:rFonts w:ascii="Times New Roman" w:eastAsia="Times New Roman" w:hAnsi="Times New Roman" w:cs="Times New Roman"/>
          <w:lang w:val="lt-LT"/>
        </w:rPr>
      </w:pPr>
    </w:p>
    <w:p w14:paraId="33CCBECD" w14:textId="77777777" w:rsidR="00A840FC" w:rsidRPr="00A840FC" w:rsidRDefault="00A840FC" w:rsidP="00A840FC">
      <w:pPr>
        <w:spacing w:after="0" w:line="240" w:lineRule="auto"/>
        <w:rPr>
          <w:rFonts w:ascii="Times New Roman" w:eastAsia="Times New Roman" w:hAnsi="Times New Roman" w:cs="Times New Roman"/>
          <w:lang w:val="lt-LT"/>
        </w:rPr>
      </w:pPr>
    </w:p>
    <w:p w14:paraId="50C081D5" w14:textId="77777777" w:rsidR="00A840FC" w:rsidRPr="00A840FC" w:rsidRDefault="00A840FC" w:rsidP="00A840FC">
      <w:pPr>
        <w:spacing w:after="0" w:line="240" w:lineRule="auto"/>
        <w:rPr>
          <w:rFonts w:ascii="Times New Roman" w:eastAsia="Times New Roman" w:hAnsi="Times New Roman" w:cs="Times New Roman"/>
          <w:lang w:val="lt-LT"/>
        </w:rPr>
      </w:pPr>
    </w:p>
    <w:p w14:paraId="0441AD89" w14:textId="77777777" w:rsidR="00A840FC" w:rsidRPr="00A840FC" w:rsidRDefault="00A840FC" w:rsidP="00A840FC">
      <w:pPr>
        <w:spacing w:after="0" w:line="240" w:lineRule="auto"/>
        <w:rPr>
          <w:rFonts w:ascii="Times New Roman" w:eastAsia="Times New Roman" w:hAnsi="Times New Roman" w:cs="Times New Roman"/>
          <w:lang w:val="lt-LT"/>
        </w:rPr>
      </w:pPr>
    </w:p>
    <w:p w14:paraId="66AB1C7C" w14:textId="77777777" w:rsidR="00A840FC" w:rsidRPr="00A840FC" w:rsidRDefault="00A840FC" w:rsidP="00A840FC">
      <w:pPr>
        <w:spacing w:after="0" w:line="240" w:lineRule="auto"/>
        <w:rPr>
          <w:rFonts w:ascii="Times New Roman" w:eastAsia="Times New Roman" w:hAnsi="Times New Roman" w:cs="Times New Roman"/>
          <w:lang w:val="lt-LT"/>
        </w:rPr>
      </w:pPr>
    </w:p>
    <w:p w14:paraId="4D70B855" w14:textId="77777777" w:rsidR="00A840FC" w:rsidRPr="00A840FC" w:rsidRDefault="00A840FC" w:rsidP="00A840FC">
      <w:pPr>
        <w:spacing w:after="0" w:line="240" w:lineRule="auto"/>
        <w:rPr>
          <w:rFonts w:ascii="Times New Roman" w:eastAsia="Times New Roman" w:hAnsi="Times New Roman" w:cs="Times New Roman"/>
          <w:lang w:val="lt-LT"/>
        </w:rPr>
      </w:pPr>
    </w:p>
    <w:p w14:paraId="785C754F" w14:textId="77777777" w:rsidR="00A840FC" w:rsidRPr="00A840FC" w:rsidRDefault="00A840FC" w:rsidP="00A840FC">
      <w:pPr>
        <w:spacing w:after="0" w:line="240" w:lineRule="auto"/>
        <w:rPr>
          <w:rFonts w:ascii="Times New Roman" w:eastAsia="Times New Roman" w:hAnsi="Times New Roman" w:cs="Times New Roman"/>
          <w:lang w:val="lt-LT"/>
        </w:rPr>
      </w:pPr>
    </w:p>
    <w:p w14:paraId="0E0D4F23" w14:textId="77777777" w:rsidR="00A840FC" w:rsidRPr="00A840FC" w:rsidRDefault="00A840FC" w:rsidP="00A840FC">
      <w:pPr>
        <w:spacing w:after="0" w:line="240" w:lineRule="auto"/>
        <w:rPr>
          <w:rFonts w:ascii="Times New Roman" w:eastAsia="Times New Roman" w:hAnsi="Times New Roman" w:cs="Times New Roman"/>
          <w:lang w:val="lt-LT"/>
        </w:rPr>
      </w:pPr>
    </w:p>
    <w:p w14:paraId="2FA1B9DF" w14:textId="77777777" w:rsidR="00A840FC" w:rsidRPr="00A840FC" w:rsidRDefault="00A840FC" w:rsidP="00A840FC">
      <w:pPr>
        <w:spacing w:after="0" w:line="240" w:lineRule="auto"/>
        <w:rPr>
          <w:rFonts w:ascii="Times New Roman" w:eastAsia="Arial Unicode MS" w:hAnsi="Times New Roman" w:cs="Times New Roman"/>
          <w:lang w:val="lt-LT"/>
        </w:rPr>
      </w:pPr>
    </w:p>
    <w:p w14:paraId="6A6476C7" w14:textId="77777777" w:rsidR="00A840FC" w:rsidRPr="00A840FC" w:rsidRDefault="00A840FC" w:rsidP="00A840FC">
      <w:pPr>
        <w:spacing w:after="0" w:line="240" w:lineRule="auto"/>
        <w:rPr>
          <w:rFonts w:ascii="Times New Roman" w:eastAsia="Arial Unicode MS" w:hAnsi="Times New Roman" w:cs="Times New Roman"/>
          <w:lang w:val="lt-LT"/>
        </w:rPr>
      </w:pPr>
    </w:p>
    <w:p w14:paraId="2B2D972C" w14:textId="77777777" w:rsidR="00A840FC" w:rsidRPr="00A840FC" w:rsidRDefault="00A840FC" w:rsidP="00A840FC">
      <w:pPr>
        <w:spacing w:after="0" w:line="240" w:lineRule="auto"/>
        <w:rPr>
          <w:rFonts w:ascii="Times New Roman" w:eastAsia="Arial Unicode MS" w:hAnsi="Times New Roman" w:cs="Times New Roman"/>
          <w:lang w:val="lt-LT"/>
        </w:rPr>
      </w:pPr>
    </w:p>
    <w:p w14:paraId="0F0D3586" w14:textId="77777777" w:rsidR="00A840FC" w:rsidRPr="00A840FC" w:rsidRDefault="00A840FC" w:rsidP="00A840FC">
      <w:pPr>
        <w:spacing w:after="0" w:line="240" w:lineRule="auto"/>
        <w:rPr>
          <w:rFonts w:ascii="Times New Roman" w:eastAsia="Arial Unicode MS" w:hAnsi="Times New Roman" w:cs="Times New Roman"/>
          <w:lang w:val="lt-LT"/>
        </w:rPr>
      </w:pPr>
    </w:p>
    <w:p w14:paraId="08CB148C" w14:textId="77777777" w:rsidR="00A840FC" w:rsidRPr="00A840FC" w:rsidRDefault="00A840FC" w:rsidP="00A840FC">
      <w:pPr>
        <w:spacing w:after="0" w:line="240" w:lineRule="auto"/>
        <w:rPr>
          <w:rFonts w:ascii="Times New Roman" w:eastAsia="Arial Unicode MS" w:hAnsi="Times New Roman" w:cs="Times New Roman"/>
          <w:lang w:val="lt-LT"/>
        </w:rPr>
      </w:pPr>
    </w:p>
    <w:p w14:paraId="71E0018B" w14:textId="77777777" w:rsidR="00A840FC" w:rsidRPr="00A840FC" w:rsidRDefault="00A840FC" w:rsidP="00A840FC">
      <w:pPr>
        <w:spacing w:after="0" w:line="240" w:lineRule="auto"/>
        <w:rPr>
          <w:rFonts w:ascii="Times New Roman" w:eastAsia="Arial Unicode MS" w:hAnsi="Times New Roman" w:cs="Times New Roman"/>
          <w:lang w:val="lt-LT"/>
        </w:rPr>
      </w:pPr>
    </w:p>
    <w:p w14:paraId="39A824A9" w14:textId="77777777" w:rsidR="00A840FC" w:rsidRPr="00A840FC" w:rsidRDefault="00A840FC" w:rsidP="00A840FC">
      <w:pPr>
        <w:spacing w:after="0" w:line="240" w:lineRule="auto"/>
        <w:rPr>
          <w:rFonts w:ascii="Times New Roman" w:eastAsia="Arial Unicode MS" w:hAnsi="Times New Roman" w:cs="Times New Roman"/>
          <w:lang w:val="lt-LT"/>
        </w:rPr>
      </w:pPr>
    </w:p>
    <w:p w14:paraId="02934848" w14:textId="77777777" w:rsidR="00A840FC" w:rsidRPr="00A840FC" w:rsidRDefault="00A840FC" w:rsidP="00A840FC">
      <w:pPr>
        <w:spacing w:after="0" w:line="240" w:lineRule="auto"/>
        <w:rPr>
          <w:rFonts w:ascii="Times New Roman" w:eastAsia="Arial Unicode MS" w:hAnsi="Times New Roman" w:cs="Times New Roman"/>
          <w:lang w:val="lt-LT"/>
        </w:rPr>
      </w:pPr>
    </w:p>
    <w:p w14:paraId="6748A04F" w14:textId="77777777" w:rsidR="00A840FC" w:rsidRPr="00A840FC" w:rsidRDefault="00A840FC" w:rsidP="00A840FC">
      <w:pPr>
        <w:spacing w:after="0" w:line="240" w:lineRule="auto"/>
        <w:rPr>
          <w:rFonts w:ascii="Times New Roman" w:eastAsia="Arial Unicode MS" w:hAnsi="Times New Roman" w:cs="Times New Roman"/>
          <w:lang w:val="lt-LT"/>
        </w:rPr>
      </w:pPr>
    </w:p>
    <w:p w14:paraId="683AF2B5" w14:textId="77777777" w:rsidR="00A840FC" w:rsidRPr="00A840FC" w:rsidRDefault="00A840FC" w:rsidP="00A840FC">
      <w:pPr>
        <w:spacing w:after="0" w:line="240" w:lineRule="auto"/>
        <w:rPr>
          <w:rFonts w:ascii="Times New Roman" w:eastAsia="Arial Unicode MS" w:hAnsi="Times New Roman" w:cs="Times New Roman"/>
          <w:lang w:val="lt-LT"/>
        </w:rPr>
      </w:pPr>
    </w:p>
    <w:p w14:paraId="387DEBD6" w14:textId="77777777" w:rsidR="00A840FC" w:rsidRPr="00A840FC" w:rsidRDefault="00A840FC" w:rsidP="00A840FC">
      <w:pPr>
        <w:spacing w:after="0" w:line="240" w:lineRule="auto"/>
        <w:rPr>
          <w:rFonts w:ascii="Times New Roman" w:eastAsia="Arial Unicode MS" w:hAnsi="Times New Roman" w:cs="Times New Roman"/>
          <w:lang w:val="lt-LT"/>
        </w:rPr>
      </w:pPr>
    </w:p>
    <w:p w14:paraId="51CD41AA" w14:textId="77777777" w:rsidR="00A840FC" w:rsidRPr="00A840FC" w:rsidRDefault="00A840FC" w:rsidP="00A840FC">
      <w:pPr>
        <w:spacing w:after="0" w:line="240" w:lineRule="auto"/>
        <w:rPr>
          <w:rFonts w:ascii="Times New Roman" w:eastAsia="Arial Unicode MS" w:hAnsi="Times New Roman" w:cs="Times New Roman"/>
          <w:lang w:val="lt-LT"/>
        </w:rPr>
      </w:pPr>
    </w:p>
    <w:p w14:paraId="4A5CF731" w14:textId="77777777" w:rsidR="00A840FC" w:rsidRPr="00A840FC" w:rsidRDefault="00A840FC" w:rsidP="00A840FC">
      <w:pPr>
        <w:spacing w:after="0" w:line="240" w:lineRule="auto"/>
        <w:rPr>
          <w:rFonts w:ascii="Times New Roman" w:eastAsia="Arial Unicode MS" w:hAnsi="Times New Roman" w:cs="Times New Roman"/>
          <w:lang w:val="lt-LT"/>
        </w:rPr>
      </w:pPr>
    </w:p>
    <w:p w14:paraId="6B83E3DF"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bookmarkStart w:id="4" w:name="_Toc129243096"/>
      <w:bookmarkStart w:id="5" w:name="_Toc129243221"/>
      <w:r w:rsidRPr="00A840FC">
        <w:rPr>
          <w:rFonts w:ascii="Times New Roman" w:eastAsia="Times New Roman" w:hAnsi="Times New Roman" w:cs="Times New Roman"/>
          <w:b/>
          <w:caps/>
          <w:lang w:val="lt-LT"/>
        </w:rPr>
        <w:t>I PRIEDAS</w:t>
      </w:r>
      <w:bookmarkEnd w:id="4"/>
      <w:bookmarkEnd w:id="5"/>
    </w:p>
    <w:p w14:paraId="3DC9D062" w14:textId="77777777" w:rsidR="00A840FC" w:rsidRPr="00A840FC" w:rsidRDefault="00A840FC" w:rsidP="00A840FC">
      <w:pPr>
        <w:spacing w:after="0" w:line="240" w:lineRule="auto"/>
        <w:rPr>
          <w:rFonts w:ascii="Times New Roman" w:eastAsia="Arial Unicode MS" w:hAnsi="Times New Roman" w:cs="Times New Roman"/>
          <w:lang w:val="lt-LT"/>
        </w:rPr>
      </w:pPr>
    </w:p>
    <w:p w14:paraId="024C0883"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bookmarkStart w:id="6" w:name="_Toc129243097"/>
      <w:bookmarkStart w:id="7" w:name="_Toc129243222"/>
      <w:r w:rsidRPr="00A840FC">
        <w:rPr>
          <w:rFonts w:ascii="Times New Roman" w:eastAsia="Times New Roman" w:hAnsi="Times New Roman" w:cs="Times New Roman"/>
          <w:b/>
          <w:caps/>
          <w:lang w:val="lt-LT"/>
        </w:rPr>
        <w:t>PREPARATO CHARAKTERISTIKŲ SANTRAUKA</w:t>
      </w:r>
      <w:bookmarkEnd w:id="6"/>
      <w:bookmarkEnd w:id="7"/>
    </w:p>
    <w:p w14:paraId="39EF32F3" w14:textId="77777777" w:rsidR="00A840FC" w:rsidRPr="00A840FC" w:rsidRDefault="00A840FC" w:rsidP="00A840FC">
      <w:pPr>
        <w:keepNext/>
        <w:tabs>
          <w:tab w:val="left" w:pos="567"/>
        </w:tabs>
        <w:spacing w:after="0" w:line="240" w:lineRule="auto"/>
        <w:ind w:left="567" w:hanging="567"/>
        <w:outlineLvl w:val="1"/>
        <w:rPr>
          <w:rFonts w:ascii="Times New Roman" w:eastAsia="Times New Roman" w:hAnsi="Times New Roman" w:cs="Times New Roman"/>
          <w:b/>
          <w:lang w:val="lt-LT"/>
        </w:rPr>
      </w:pPr>
      <w:r w:rsidRPr="00A840FC">
        <w:rPr>
          <w:rFonts w:ascii="Times New Roman" w:eastAsia="Times New Roman" w:hAnsi="Times New Roman" w:cs="Times New Roman"/>
          <w:b/>
          <w:bCs/>
          <w:iCs/>
          <w:lang w:val="lt-LT"/>
        </w:rPr>
        <w:br w:type="page"/>
      </w:r>
      <w:bookmarkStart w:id="8" w:name="_Toc129243098"/>
      <w:bookmarkStart w:id="9" w:name="_Toc129243223"/>
      <w:r w:rsidRPr="00A840FC">
        <w:rPr>
          <w:rFonts w:ascii="Times New Roman" w:eastAsia="Times New Roman" w:hAnsi="Times New Roman" w:cs="Times New Roman"/>
          <w:b/>
          <w:lang w:val="lt-LT"/>
        </w:rPr>
        <w:lastRenderedPageBreak/>
        <w:t>1.</w:t>
      </w:r>
      <w:r w:rsidRPr="00A840FC">
        <w:rPr>
          <w:rFonts w:ascii="Times New Roman" w:eastAsia="Times New Roman" w:hAnsi="Times New Roman" w:cs="Times New Roman"/>
          <w:b/>
          <w:lang w:val="lt-LT"/>
        </w:rPr>
        <w:tab/>
        <w:t>VAISTINIO PREPARATO PAVADINIMAS</w:t>
      </w:r>
      <w:bookmarkEnd w:id="8"/>
      <w:bookmarkEnd w:id="9"/>
    </w:p>
    <w:p w14:paraId="28827850" w14:textId="77777777" w:rsidR="00A840FC" w:rsidRPr="00A840FC" w:rsidRDefault="00A840FC" w:rsidP="00A840FC">
      <w:pPr>
        <w:spacing w:after="0" w:line="240" w:lineRule="auto"/>
        <w:rPr>
          <w:rFonts w:ascii="Times New Roman" w:eastAsia="Arial Unicode MS" w:hAnsi="Times New Roman" w:cs="Times New Roman"/>
          <w:lang w:val="lt-LT"/>
        </w:rPr>
      </w:pPr>
    </w:p>
    <w:p w14:paraId="304E4BFC"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Ketipinor 25 mg plėvele dengtos tabletės</w:t>
      </w:r>
    </w:p>
    <w:p w14:paraId="46C5E1DB"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Ketipinor 100 mg plėvele dengtos tabletės</w:t>
      </w:r>
    </w:p>
    <w:p w14:paraId="30766A32"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Ketipinor 200 mg plėvele dengtos tabletės</w:t>
      </w:r>
    </w:p>
    <w:p w14:paraId="49D4DF9F"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Ketipinor 300 mg plėvele dengtos tabletės</w:t>
      </w:r>
    </w:p>
    <w:p w14:paraId="0693C057" w14:textId="77777777" w:rsidR="00A840FC" w:rsidRPr="00A840FC" w:rsidRDefault="00A840FC" w:rsidP="00A840FC">
      <w:pPr>
        <w:spacing w:after="0" w:line="240" w:lineRule="auto"/>
        <w:rPr>
          <w:rFonts w:ascii="Times New Roman" w:eastAsia="Arial Unicode MS" w:hAnsi="Times New Roman" w:cs="Times New Roman"/>
          <w:lang w:val="lt-LT"/>
        </w:rPr>
      </w:pPr>
    </w:p>
    <w:p w14:paraId="6D467A75" w14:textId="77777777" w:rsidR="00A840FC" w:rsidRPr="00A840FC" w:rsidRDefault="00A840FC" w:rsidP="00A840FC">
      <w:pPr>
        <w:spacing w:after="0" w:line="240" w:lineRule="auto"/>
        <w:rPr>
          <w:rFonts w:ascii="Times New Roman" w:eastAsia="Arial Unicode MS" w:hAnsi="Times New Roman" w:cs="Times New Roman"/>
          <w:lang w:val="lt-LT"/>
        </w:rPr>
      </w:pPr>
    </w:p>
    <w:p w14:paraId="43D4C4D4" w14:textId="77777777" w:rsidR="00A840FC" w:rsidRPr="00A840FC" w:rsidRDefault="00A840FC" w:rsidP="00A840F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0" w:name="_Toc129243099"/>
      <w:bookmarkStart w:id="11" w:name="_Toc129243224"/>
      <w:r w:rsidRPr="00A840FC">
        <w:rPr>
          <w:rFonts w:ascii="Times New Roman" w:eastAsia="Times New Roman" w:hAnsi="Times New Roman" w:cs="Times New Roman"/>
          <w:b/>
          <w:lang w:val="lt-LT"/>
        </w:rPr>
        <w:t>2.</w:t>
      </w:r>
      <w:r w:rsidRPr="00A840FC">
        <w:rPr>
          <w:rFonts w:ascii="Times New Roman" w:eastAsia="Times New Roman" w:hAnsi="Times New Roman" w:cs="Times New Roman"/>
          <w:b/>
          <w:lang w:val="lt-LT"/>
        </w:rPr>
        <w:tab/>
        <w:t>KOKYBINĖ IR KIEKYBINĖ SUDĖTIS</w:t>
      </w:r>
      <w:bookmarkEnd w:id="10"/>
      <w:bookmarkEnd w:id="11"/>
    </w:p>
    <w:p w14:paraId="548FC943" w14:textId="77777777" w:rsidR="00A840FC" w:rsidRPr="00A840FC" w:rsidRDefault="00A840FC" w:rsidP="00A840FC">
      <w:pPr>
        <w:spacing w:after="0" w:line="240" w:lineRule="auto"/>
        <w:rPr>
          <w:rFonts w:ascii="Times New Roman" w:eastAsia="Arial Unicode MS" w:hAnsi="Times New Roman" w:cs="Times New Roman"/>
          <w:lang w:val="lt-LT"/>
        </w:rPr>
      </w:pPr>
    </w:p>
    <w:p w14:paraId="2B28FDC9"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25 mg tabletė. Kiekvienoje plėvele dengtoje tabletėje yra 25 mg kvetiapino (fumarato pavidalu).</w:t>
      </w:r>
    </w:p>
    <w:p w14:paraId="5E9CD7D1"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100 mg tabletė. Kiekvienoje plėvele dengtoje tabletėje yra 100 mg kvetiapino (fumarato pavidalu).</w:t>
      </w:r>
    </w:p>
    <w:p w14:paraId="421057EC"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200 mg tabletė. Kiekvienoje plėvele dengtoje tabletėje yra 200 mg kvetiapino (fumarato pavidalu).</w:t>
      </w:r>
    </w:p>
    <w:p w14:paraId="0809E143"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300 mg tabletė. Kiekvienoje plėvele dengtoje tabletėje yra 300 mg kvetiapino (fumarato pavidalu).</w:t>
      </w:r>
    </w:p>
    <w:p w14:paraId="7E1389B9" w14:textId="77777777" w:rsidR="00A840FC" w:rsidRPr="00A840FC" w:rsidRDefault="00A840FC" w:rsidP="00A840FC">
      <w:pPr>
        <w:spacing w:after="0" w:line="240" w:lineRule="auto"/>
        <w:rPr>
          <w:rFonts w:ascii="Times New Roman" w:eastAsia="Times New Roman" w:hAnsi="Times New Roman" w:cs="Times New Roman"/>
          <w:lang w:val="lt-LT"/>
        </w:rPr>
      </w:pPr>
    </w:p>
    <w:p w14:paraId="193094C2" w14:textId="77777777" w:rsidR="003763F7"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u w:val="single"/>
          <w:lang w:val="lt-LT"/>
        </w:rPr>
        <w:t>Pagalbinė medžiaga, kurios poveikis žinomas</w:t>
      </w:r>
      <w:r w:rsidRPr="00A840FC">
        <w:rPr>
          <w:rFonts w:ascii="Times New Roman" w:eastAsia="Times New Roman" w:hAnsi="Times New Roman" w:cs="Times New Roman"/>
          <w:lang w:val="lt-LT"/>
        </w:rPr>
        <w:t>:</w:t>
      </w:r>
    </w:p>
    <w:p w14:paraId="30C3AD48" w14:textId="440C9DAB" w:rsidR="003763F7" w:rsidRDefault="003763F7" w:rsidP="00A840FC">
      <w:pPr>
        <w:autoSpaceDE w:val="0"/>
        <w:autoSpaceDN w:val="0"/>
        <w:adjustRightInd w:val="0"/>
        <w:spacing w:after="0" w:line="240" w:lineRule="auto"/>
        <w:rPr>
          <w:rFonts w:ascii="Times New Roman" w:eastAsia="Times New Roman" w:hAnsi="Times New Roman" w:cs="Times New Roman"/>
          <w:lang w:val="lt-LT"/>
        </w:rPr>
      </w:pPr>
      <w:r w:rsidRPr="003763F7">
        <w:rPr>
          <w:rFonts w:ascii="Times New Roman" w:eastAsia="Times New Roman" w:hAnsi="Times New Roman" w:cs="Times New Roman"/>
          <w:lang w:val="lt-LT"/>
        </w:rPr>
        <w:t>100</w:t>
      </w:r>
      <w:r>
        <w:rPr>
          <w:rFonts w:ascii="Times New Roman" w:eastAsia="Times New Roman" w:hAnsi="Times New Roman" w:cs="Times New Roman"/>
          <w:lang w:val="lt-LT"/>
        </w:rPr>
        <w:t> </w:t>
      </w:r>
      <w:r w:rsidRPr="003763F7">
        <w:rPr>
          <w:rFonts w:ascii="Times New Roman" w:eastAsia="Times New Roman" w:hAnsi="Times New Roman" w:cs="Times New Roman"/>
          <w:lang w:val="lt-LT"/>
        </w:rPr>
        <w:t>mg tabletė.</w:t>
      </w:r>
      <w:r>
        <w:rPr>
          <w:rFonts w:ascii="Times New Roman" w:eastAsia="Times New Roman" w:hAnsi="Times New Roman" w:cs="Times New Roman"/>
          <w:lang w:val="lt-LT"/>
        </w:rPr>
        <w:t xml:space="preserve"> </w:t>
      </w:r>
      <w:r w:rsidRPr="003763F7">
        <w:rPr>
          <w:rFonts w:ascii="Times New Roman" w:eastAsia="Times New Roman" w:hAnsi="Times New Roman" w:cs="Times New Roman"/>
          <w:lang w:val="lt-LT"/>
        </w:rPr>
        <w:t>Kiekvienoje tabletėje yra</w:t>
      </w:r>
      <w:r>
        <w:rPr>
          <w:rFonts w:ascii="Times New Roman" w:eastAsia="Times New Roman" w:hAnsi="Times New Roman" w:cs="Times New Roman"/>
          <w:lang w:val="lt-LT"/>
        </w:rPr>
        <w:t xml:space="preserve"> 19,7 mg laktozės (monohidrato pavidalu).</w:t>
      </w:r>
    </w:p>
    <w:p w14:paraId="2E28B7F3" w14:textId="732E7A7E" w:rsidR="003763F7" w:rsidRDefault="003763F7" w:rsidP="003763F7">
      <w:pPr>
        <w:autoSpaceDE w:val="0"/>
        <w:autoSpaceDN w:val="0"/>
        <w:adjustRightIn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2</w:t>
      </w:r>
      <w:r w:rsidRPr="003763F7">
        <w:rPr>
          <w:rFonts w:ascii="Times New Roman" w:eastAsia="Times New Roman" w:hAnsi="Times New Roman" w:cs="Times New Roman"/>
          <w:lang w:val="lt-LT"/>
        </w:rPr>
        <w:t>00</w:t>
      </w:r>
      <w:r>
        <w:rPr>
          <w:rFonts w:ascii="Times New Roman" w:eastAsia="Times New Roman" w:hAnsi="Times New Roman" w:cs="Times New Roman"/>
          <w:lang w:val="lt-LT"/>
        </w:rPr>
        <w:t> </w:t>
      </w:r>
      <w:r w:rsidRPr="003763F7">
        <w:rPr>
          <w:rFonts w:ascii="Times New Roman" w:eastAsia="Times New Roman" w:hAnsi="Times New Roman" w:cs="Times New Roman"/>
          <w:lang w:val="lt-LT"/>
        </w:rPr>
        <w:t>mg tabletė.</w:t>
      </w:r>
      <w:r>
        <w:rPr>
          <w:rFonts w:ascii="Times New Roman" w:eastAsia="Times New Roman" w:hAnsi="Times New Roman" w:cs="Times New Roman"/>
          <w:lang w:val="lt-LT"/>
        </w:rPr>
        <w:t xml:space="preserve"> </w:t>
      </w:r>
      <w:r w:rsidRPr="003763F7">
        <w:rPr>
          <w:rFonts w:ascii="Times New Roman" w:eastAsia="Times New Roman" w:hAnsi="Times New Roman" w:cs="Times New Roman"/>
          <w:lang w:val="lt-LT"/>
        </w:rPr>
        <w:t>Kiekvienoje tabletėje yra</w:t>
      </w:r>
      <w:r>
        <w:rPr>
          <w:rFonts w:ascii="Times New Roman" w:eastAsia="Times New Roman" w:hAnsi="Times New Roman" w:cs="Times New Roman"/>
          <w:lang w:val="lt-LT"/>
        </w:rPr>
        <w:t xml:space="preserve"> 39,3 mg laktozės (monohidrato pavidalu).</w:t>
      </w:r>
    </w:p>
    <w:p w14:paraId="3AA0F927" w14:textId="7C4B9E6E" w:rsidR="003763F7" w:rsidRDefault="003763F7" w:rsidP="003763F7">
      <w:pPr>
        <w:autoSpaceDE w:val="0"/>
        <w:autoSpaceDN w:val="0"/>
        <w:adjustRightIn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3</w:t>
      </w:r>
      <w:r w:rsidRPr="003763F7">
        <w:rPr>
          <w:rFonts w:ascii="Times New Roman" w:eastAsia="Times New Roman" w:hAnsi="Times New Roman" w:cs="Times New Roman"/>
          <w:lang w:val="lt-LT"/>
        </w:rPr>
        <w:t>00</w:t>
      </w:r>
      <w:r>
        <w:rPr>
          <w:rFonts w:ascii="Times New Roman" w:eastAsia="Times New Roman" w:hAnsi="Times New Roman" w:cs="Times New Roman"/>
          <w:lang w:val="lt-LT"/>
        </w:rPr>
        <w:t> </w:t>
      </w:r>
      <w:r w:rsidRPr="003763F7">
        <w:rPr>
          <w:rFonts w:ascii="Times New Roman" w:eastAsia="Times New Roman" w:hAnsi="Times New Roman" w:cs="Times New Roman"/>
          <w:lang w:val="lt-LT"/>
        </w:rPr>
        <w:t>mg tabletė.</w:t>
      </w:r>
      <w:r>
        <w:rPr>
          <w:rFonts w:ascii="Times New Roman" w:eastAsia="Times New Roman" w:hAnsi="Times New Roman" w:cs="Times New Roman"/>
          <w:lang w:val="lt-LT"/>
        </w:rPr>
        <w:t xml:space="preserve"> </w:t>
      </w:r>
      <w:r w:rsidRPr="003763F7">
        <w:rPr>
          <w:rFonts w:ascii="Times New Roman" w:eastAsia="Times New Roman" w:hAnsi="Times New Roman" w:cs="Times New Roman"/>
          <w:lang w:val="lt-LT"/>
        </w:rPr>
        <w:t>Kiekvienoje tabletėje yra</w:t>
      </w:r>
      <w:r>
        <w:rPr>
          <w:rFonts w:ascii="Times New Roman" w:eastAsia="Times New Roman" w:hAnsi="Times New Roman" w:cs="Times New Roman"/>
          <w:lang w:val="lt-LT"/>
        </w:rPr>
        <w:t xml:space="preserve"> 59 mg laktozės (monohidrato pavidalu).</w:t>
      </w:r>
    </w:p>
    <w:p w14:paraId="2477984A" w14:textId="77777777" w:rsidR="00A840FC" w:rsidRPr="00A840FC" w:rsidRDefault="00A840FC" w:rsidP="00A840FC">
      <w:pPr>
        <w:spacing w:after="0" w:line="240" w:lineRule="auto"/>
        <w:rPr>
          <w:rFonts w:ascii="Times New Roman" w:eastAsia="Arial Unicode MS" w:hAnsi="Times New Roman" w:cs="Times New Roman"/>
          <w:lang w:val="lt-LT"/>
        </w:rPr>
      </w:pPr>
    </w:p>
    <w:p w14:paraId="1B1A21E8"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Visos pagalbinės medžiagos išvardytos 6.1 skyriuje.</w:t>
      </w:r>
    </w:p>
    <w:p w14:paraId="54937EA6" w14:textId="77777777" w:rsidR="00A840FC" w:rsidRPr="00A840FC" w:rsidRDefault="00A840FC" w:rsidP="00A840FC">
      <w:pPr>
        <w:spacing w:after="0" w:line="240" w:lineRule="auto"/>
        <w:rPr>
          <w:rFonts w:ascii="Times New Roman" w:eastAsia="Arial Unicode MS" w:hAnsi="Times New Roman" w:cs="Times New Roman"/>
          <w:lang w:val="lt-LT"/>
        </w:rPr>
      </w:pPr>
    </w:p>
    <w:p w14:paraId="396E7714" w14:textId="77777777" w:rsidR="00A840FC" w:rsidRPr="00A840FC" w:rsidRDefault="00A840FC" w:rsidP="00A840FC">
      <w:pPr>
        <w:spacing w:after="0" w:line="240" w:lineRule="auto"/>
        <w:rPr>
          <w:rFonts w:ascii="Times New Roman" w:eastAsia="Arial Unicode MS" w:hAnsi="Times New Roman" w:cs="Times New Roman"/>
          <w:lang w:val="lt-LT"/>
        </w:rPr>
      </w:pPr>
    </w:p>
    <w:p w14:paraId="5DDB0CC3" w14:textId="77777777" w:rsidR="00A840FC" w:rsidRPr="00A840FC" w:rsidRDefault="00A840FC" w:rsidP="00A840F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2" w:name="_Toc129243100"/>
      <w:bookmarkStart w:id="13" w:name="_Toc129243225"/>
      <w:r w:rsidRPr="00A840FC">
        <w:rPr>
          <w:rFonts w:ascii="Times New Roman" w:eastAsia="Times New Roman" w:hAnsi="Times New Roman" w:cs="Times New Roman"/>
          <w:b/>
          <w:lang w:val="lt-LT"/>
        </w:rPr>
        <w:t>3.</w:t>
      </w:r>
      <w:r w:rsidRPr="00A840FC">
        <w:rPr>
          <w:rFonts w:ascii="Times New Roman" w:eastAsia="Times New Roman" w:hAnsi="Times New Roman" w:cs="Times New Roman"/>
          <w:b/>
          <w:lang w:val="lt-LT"/>
        </w:rPr>
        <w:tab/>
        <w:t>FARMACINĖ FORMA</w:t>
      </w:r>
      <w:bookmarkEnd w:id="12"/>
      <w:bookmarkEnd w:id="13"/>
    </w:p>
    <w:p w14:paraId="37856E28" w14:textId="77777777" w:rsidR="00A840FC" w:rsidRPr="00A840FC" w:rsidRDefault="00A840FC" w:rsidP="00A840FC">
      <w:pPr>
        <w:spacing w:after="0" w:line="240" w:lineRule="auto"/>
        <w:rPr>
          <w:rFonts w:ascii="Times New Roman" w:eastAsia="Arial Unicode MS" w:hAnsi="Times New Roman" w:cs="Times New Roman"/>
          <w:lang w:val="lt-LT"/>
        </w:rPr>
      </w:pPr>
    </w:p>
    <w:p w14:paraId="14DFBBCB"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Plėvele dengta tabletė </w:t>
      </w:r>
      <w:r w:rsidRPr="00A840FC">
        <w:rPr>
          <w:rFonts w:ascii="Times New Roman" w:eastAsia="Calibri" w:hAnsi="Times New Roman" w:cs="Times New Roman"/>
          <w:color w:val="000000"/>
          <w:lang w:val="lt-LT"/>
        </w:rPr>
        <w:t>(tabletė)</w:t>
      </w:r>
      <w:r w:rsidRPr="00A840FC">
        <w:rPr>
          <w:rFonts w:ascii="Times New Roman" w:eastAsia="Times New Roman" w:hAnsi="Times New Roman" w:cs="Times New Roman"/>
          <w:lang w:val="lt-LT"/>
        </w:rPr>
        <w:t>.</w:t>
      </w:r>
    </w:p>
    <w:p w14:paraId="66340441" w14:textId="77777777" w:rsidR="00A840FC" w:rsidRPr="00A840FC" w:rsidRDefault="00A840FC" w:rsidP="00A840FC">
      <w:pPr>
        <w:spacing w:after="0" w:line="240" w:lineRule="auto"/>
        <w:rPr>
          <w:rFonts w:ascii="Times New Roman" w:eastAsia="Times New Roman" w:hAnsi="Times New Roman" w:cs="Times New Roman"/>
          <w:lang w:val="lt-LT"/>
        </w:rPr>
      </w:pPr>
    </w:p>
    <w:p w14:paraId="74942394"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Ketipinor 25 mg. Tabletė yra ruda arba tamsiai rausva, apvali, išgaubta, dengta plėvele, 6 mm skersmens, vienoje pusėje įspausta „OR41“, kita pusė – lygi.</w:t>
      </w:r>
    </w:p>
    <w:p w14:paraId="7225C92B"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Ketipinor 100 mg. Tabletė yra gelsva, apvali, išgaubta, dengta plėvele, 8 mm skersmens, vienoje pusėje įspausta „OR411“, kita pusė – lygi.</w:t>
      </w:r>
    </w:p>
    <w:p w14:paraId="2EA35FBF"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Ketipinor 200 mg. Tabletė yra balta, apvali, išgaubta, dengta plėvele, 11 mm skersmens, vienoje pusėje įspausta „OR412“, kita pusė – lygi.</w:t>
      </w:r>
    </w:p>
    <w:p w14:paraId="4C9CF63B"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Ketipinor 300 mg. Tabletė yra balta, kapsulės formos, dengta plėvele, 19 mm ilgio, vienoje pusėje įspausta „OR413“, kita pusė – lygi.</w:t>
      </w:r>
    </w:p>
    <w:p w14:paraId="3C9F1917" w14:textId="77777777" w:rsidR="00A840FC" w:rsidRPr="00A840FC" w:rsidRDefault="00A840FC" w:rsidP="00A840FC">
      <w:pPr>
        <w:spacing w:after="0" w:line="240" w:lineRule="auto"/>
        <w:rPr>
          <w:rFonts w:ascii="Times New Roman" w:eastAsia="Arial Unicode MS" w:hAnsi="Times New Roman" w:cs="Times New Roman"/>
          <w:lang w:val="lt-LT"/>
        </w:rPr>
      </w:pPr>
    </w:p>
    <w:p w14:paraId="3E925129" w14:textId="77777777" w:rsidR="00A840FC" w:rsidRPr="00A840FC" w:rsidRDefault="00A840FC" w:rsidP="00A840FC">
      <w:pPr>
        <w:spacing w:after="0" w:line="240" w:lineRule="auto"/>
        <w:rPr>
          <w:rFonts w:ascii="Times New Roman" w:eastAsia="Arial Unicode MS" w:hAnsi="Times New Roman" w:cs="Times New Roman"/>
          <w:lang w:val="lt-LT"/>
        </w:rPr>
      </w:pPr>
    </w:p>
    <w:p w14:paraId="0E406884" w14:textId="77777777" w:rsidR="00A840FC" w:rsidRPr="00A840FC" w:rsidRDefault="00A840FC" w:rsidP="00A840F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4" w:name="_Toc129243101"/>
      <w:bookmarkStart w:id="15" w:name="_Toc129243226"/>
      <w:r w:rsidRPr="00A840FC">
        <w:rPr>
          <w:rFonts w:ascii="Times New Roman" w:eastAsia="Times New Roman" w:hAnsi="Times New Roman" w:cs="Times New Roman"/>
          <w:b/>
          <w:lang w:val="lt-LT"/>
        </w:rPr>
        <w:t>4.</w:t>
      </w:r>
      <w:r w:rsidRPr="00A840FC">
        <w:rPr>
          <w:rFonts w:ascii="Times New Roman" w:eastAsia="Times New Roman" w:hAnsi="Times New Roman" w:cs="Times New Roman"/>
          <w:b/>
          <w:lang w:val="lt-LT"/>
        </w:rPr>
        <w:tab/>
        <w:t>KLINIKINĖ INFORMACIJA</w:t>
      </w:r>
      <w:bookmarkEnd w:id="14"/>
      <w:bookmarkEnd w:id="15"/>
    </w:p>
    <w:p w14:paraId="57F64287" w14:textId="77777777" w:rsidR="00A840FC" w:rsidRPr="00A840FC" w:rsidRDefault="00A840FC" w:rsidP="00A840FC">
      <w:pPr>
        <w:spacing w:after="0" w:line="240" w:lineRule="auto"/>
        <w:rPr>
          <w:rFonts w:ascii="Times New Roman" w:eastAsia="Arial Unicode MS" w:hAnsi="Times New Roman" w:cs="Times New Roman"/>
          <w:lang w:val="lt-LT"/>
        </w:rPr>
      </w:pPr>
    </w:p>
    <w:p w14:paraId="1D632630" w14:textId="77777777" w:rsidR="00A840FC" w:rsidRPr="00A840FC" w:rsidRDefault="00A840FC" w:rsidP="00A840F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6" w:name="_Toc129243102"/>
      <w:bookmarkStart w:id="17" w:name="_Toc129243227"/>
      <w:r w:rsidRPr="00A840FC">
        <w:rPr>
          <w:rFonts w:ascii="Times New Roman" w:eastAsia="Times New Roman" w:hAnsi="Times New Roman" w:cs="Times New Roman"/>
          <w:b/>
          <w:kern w:val="28"/>
          <w:lang w:val="lt-LT"/>
        </w:rPr>
        <w:t>4.1</w:t>
      </w:r>
      <w:r w:rsidRPr="00A840FC">
        <w:rPr>
          <w:rFonts w:ascii="Times New Roman" w:eastAsia="Times New Roman" w:hAnsi="Times New Roman" w:cs="Times New Roman"/>
          <w:b/>
          <w:kern w:val="28"/>
          <w:lang w:val="lt-LT"/>
        </w:rPr>
        <w:tab/>
        <w:t>Terapinės indikacijos</w:t>
      </w:r>
      <w:bookmarkEnd w:id="16"/>
      <w:bookmarkEnd w:id="17"/>
    </w:p>
    <w:p w14:paraId="7FBCBD8D" w14:textId="77777777" w:rsidR="00A840FC" w:rsidRPr="00A840FC" w:rsidRDefault="00A840FC" w:rsidP="00A840FC">
      <w:pPr>
        <w:spacing w:after="0" w:line="240" w:lineRule="auto"/>
        <w:rPr>
          <w:rFonts w:ascii="Times New Roman" w:eastAsia="Arial Unicode MS" w:hAnsi="Times New Roman" w:cs="Times New Roman"/>
          <w:lang w:val="lt-LT"/>
        </w:rPr>
      </w:pPr>
    </w:p>
    <w:p w14:paraId="06C0BA52"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Ketipinor skirtas toliau nurodytų ligų gydymui.</w:t>
      </w:r>
    </w:p>
    <w:p w14:paraId="2AB88514" w14:textId="77777777" w:rsidR="00A840FC" w:rsidRPr="00A840FC" w:rsidRDefault="00A840FC" w:rsidP="00A840FC">
      <w:pPr>
        <w:numPr>
          <w:ilvl w:val="0"/>
          <w:numId w:val="2"/>
        </w:numPr>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Šizofrenijos gydymas.</w:t>
      </w:r>
    </w:p>
    <w:p w14:paraId="03D606F8" w14:textId="77777777" w:rsidR="00A840FC" w:rsidRPr="00A840FC" w:rsidRDefault="00A840FC" w:rsidP="00A840FC">
      <w:pPr>
        <w:numPr>
          <w:ilvl w:val="0"/>
          <w:numId w:val="2"/>
        </w:numPr>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Bipolinio sutrikimo gydymas:</w:t>
      </w:r>
    </w:p>
    <w:p w14:paraId="44D5FC22" w14:textId="77777777" w:rsidR="00A840FC" w:rsidRPr="00A840FC" w:rsidRDefault="00A840FC" w:rsidP="00A840FC">
      <w:pPr>
        <w:numPr>
          <w:ilvl w:val="0"/>
          <w:numId w:val="19"/>
        </w:numPr>
        <w:tabs>
          <w:tab w:val="num" w:pos="567"/>
          <w:tab w:val="num" w:pos="1134"/>
          <w:tab w:val="num" w:pos="1276"/>
        </w:tabs>
        <w:spacing w:after="0" w:line="240" w:lineRule="auto"/>
        <w:ind w:left="1134"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vidutinio sunkumo arba sunkių manijos epizodų, sergant bipoliniu sutrikimu, gydymas;</w:t>
      </w:r>
    </w:p>
    <w:p w14:paraId="60368C5A" w14:textId="77777777" w:rsidR="00A840FC" w:rsidRPr="00A840FC" w:rsidRDefault="00A840FC" w:rsidP="00A840FC">
      <w:pPr>
        <w:numPr>
          <w:ilvl w:val="0"/>
          <w:numId w:val="19"/>
        </w:numPr>
        <w:tabs>
          <w:tab w:val="num" w:pos="567"/>
          <w:tab w:val="num" w:pos="1134"/>
          <w:tab w:val="num" w:pos="1276"/>
        </w:tabs>
        <w:spacing w:after="0" w:line="240" w:lineRule="auto"/>
        <w:ind w:left="1134"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didžiosios depresijos epizodų, sergant bipoliniu sutrikimu, gydymas;</w:t>
      </w:r>
    </w:p>
    <w:p w14:paraId="27B33708" w14:textId="77777777" w:rsidR="00A840FC" w:rsidRPr="00A840FC" w:rsidRDefault="00A840FC" w:rsidP="00A840FC">
      <w:pPr>
        <w:numPr>
          <w:ilvl w:val="0"/>
          <w:numId w:val="19"/>
        </w:numPr>
        <w:tabs>
          <w:tab w:val="clear" w:pos="720"/>
          <w:tab w:val="num" w:pos="567"/>
          <w:tab w:val="num" w:pos="709"/>
        </w:tabs>
        <w:spacing w:after="0" w:line="240" w:lineRule="auto"/>
        <w:ind w:left="709" w:hanging="142"/>
        <w:rPr>
          <w:rFonts w:ascii="Times New Roman" w:eastAsia="Times New Roman" w:hAnsi="Times New Roman" w:cs="Times New Roman"/>
          <w:lang w:val="lt-LT"/>
        </w:rPr>
      </w:pPr>
      <w:r w:rsidRPr="00A840FC">
        <w:rPr>
          <w:rFonts w:ascii="Times New Roman" w:eastAsia="Times New Roman" w:hAnsi="Times New Roman" w:cs="Times New Roman"/>
          <w:lang w:val="lt-LT"/>
        </w:rPr>
        <w:t>manijos ar depresijos epizodų atkryčio profilaktika bipoliniu sutrikimu sergantiems pacientams, kurių ankstesnis gydymas kvetiapinu buvo veiksmingas.</w:t>
      </w:r>
    </w:p>
    <w:p w14:paraId="2152FBAF" w14:textId="77777777" w:rsidR="00A840FC" w:rsidRPr="00A840FC" w:rsidRDefault="00A840FC" w:rsidP="00A840FC">
      <w:pPr>
        <w:spacing w:after="0" w:line="240" w:lineRule="auto"/>
        <w:rPr>
          <w:rFonts w:ascii="Times New Roman" w:eastAsia="Arial Unicode MS" w:hAnsi="Times New Roman" w:cs="Times New Roman"/>
          <w:lang w:val="lt-LT"/>
        </w:rPr>
      </w:pPr>
    </w:p>
    <w:p w14:paraId="078E30E2" w14:textId="77777777" w:rsidR="00A840FC" w:rsidRPr="00A840FC" w:rsidRDefault="00A840FC" w:rsidP="00A840F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8" w:name="_Toc129243103"/>
      <w:bookmarkStart w:id="19" w:name="_Toc129243228"/>
      <w:r w:rsidRPr="00A840FC">
        <w:rPr>
          <w:rFonts w:ascii="Times New Roman" w:eastAsia="Times New Roman" w:hAnsi="Times New Roman" w:cs="Times New Roman"/>
          <w:b/>
          <w:kern w:val="28"/>
          <w:lang w:val="lt-LT"/>
        </w:rPr>
        <w:t>4.2</w:t>
      </w:r>
      <w:r w:rsidRPr="00A840FC">
        <w:rPr>
          <w:rFonts w:ascii="Times New Roman" w:eastAsia="Times New Roman" w:hAnsi="Times New Roman" w:cs="Times New Roman"/>
          <w:b/>
          <w:kern w:val="28"/>
          <w:lang w:val="lt-LT"/>
        </w:rPr>
        <w:tab/>
        <w:t>Dozavimas ir vartojimo metodas</w:t>
      </w:r>
      <w:bookmarkEnd w:id="18"/>
      <w:bookmarkEnd w:id="19"/>
    </w:p>
    <w:p w14:paraId="74F60C70" w14:textId="77777777" w:rsidR="00A840FC" w:rsidRPr="00A840FC" w:rsidRDefault="00A840FC" w:rsidP="00A840FC">
      <w:pPr>
        <w:spacing w:after="0" w:line="240" w:lineRule="auto"/>
        <w:rPr>
          <w:rFonts w:ascii="Times New Roman" w:eastAsia="Arial Unicode MS" w:hAnsi="Times New Roman" w:cs="Times New Roman"/>
          <w:lang w:val="lt-LT"/>
        </w:rPr>
      </w:pPr>
    </w:p>
    <w:p w14:paraId="1E4829B0" w14:textId="77777777" w:rsidR="00A840FC" w:rsidRPr="00A840FC" w:rsidRDefault="00A840FC" w:rsidP="00A840FC">
      <w:pPr>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 xml:space="preserve">Dozavimo režimas kiekvienai indikacijai skiriasi, todėl reikia įsitikinti, kad pacientas yra aiškiai informuotas apie jo ligai tinkamą dozavimą. </w:t>
      </w:r>
    </w:p>
    <w:p w14:paraId="5174084C" w14:textId="77777777" w:rsidR="00A840FC" w:rsidRPr="00A840FC" w:rsidRDefault="00A840FC" w:rsidP="00A840FC">
      <w:pPr>
        <w:spacing w:after="0" w:line="240" w:lineRule="auto"/>
        <w:rPr>
          <w:rFonts w:ascii="Times New Roman" w:eastAsia="Times New Roman" w:hAnsi="Times New Roman" w:cs="Times New Roman"/>
          <w:lang w:val="lt-LT"/>
        </w:rPr>
      </w:pPr>
    </w:p>
    <w:p w14:paraId="6B6F30C3"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Ketipinor galima vartoti valgant arba nevalgius.</w:t>
      </w:r>
    </w:p>
    <w:p w14:paraId="23AE8AEC" w14:textId="77777777" w:rsidR="00A840FC" w:rsidRPr="00A840FC" w:rsidRDefault="00A840FC" w:rsidP="00A840FC">
      <w:pPr>
        <w:spacing w:after="0" w:line="240" w:lineRule="auto"/>
        <w:rPr>
          <w:rFonts w:ascii="Times New Roman" w:eastAsia="Times New Roman" w:hAnsi="Times New Roman" w:cs="Times New Roman"/>
          <w:lang w:val="lt-LT"/>
        </w:rPr>
      </w:pPr>
    </w:p>
    <w:p w14:paraId="7A1450BB" w14:textId="77777777" w:rsidR="00A840FC" w:rsidRPr="00A840FC" w:rsidRDefault="00A840FC" w:rsidP="00A840FC">
      <w:pPr>
        <w:keepNext/>
        <w:keepLine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lastRenderedPageBreak/>
        <w:t>Suaugusiems žmonėms</w:t>
      </w:r>
    </w:p>
    <w:p w14:paraId="7869FD55"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p>
    <w:p w14:paraId="15289932" w14:textId="77777777" w:rsidR="00A840FC" w:rsidRPr="00A840FC" w:rsidRDefault="00A840FC" w:rsidP="00A840FC">
      <w:pPr>
        <w:keepNext/>
        <w:keepLine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Šizofrenijos gydymas</w:t>
      </w:r>
    </w:p>
    <w:p w14:paraId="5189DB9E"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Šizofrenijai gydyti Ketipinor vartojamas 2 kartus per parą. Bendra paros dozė pirmas keturias gydymo dienas</w:t>
      </w:r>
      <w:r w:rsidRPr="00A840FC">
        <w:rPr>
          <w:rFonts w:ascii="Times New Roman" w:eastAsia="Calibri" w:hAnsi="Times New Roman" w:cs="Times New Roman"/>
          <w:lang w:val="lt-LT"/>
        </w:rPr>
        <w:t xml:space="preserve"> </w:t>
      </w:r>
      <w:r w:rsidRPr="00A840FC">
        <w:rPr>
          <w:rFonts w:ascii="Times New Roman" w:eastAsia="Times New Roman" w:hAnsi="Times New Roman" w:cs="Times New Roman"/>
          <w:lang w:val="lt-LT"/>
        </w:rPr>
        <w:t>yra 50 mg (1 parą), 100 mg (2 parą), 200 mg (3 parą) ir 300 mg (4 parą).</w:t>
      </w:r>
    </w:p>
    <w:p w14:paraId="30BB2F0A"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Vėliau dozę reikia palaipsniui didinti iki įprastos veiksmingos – 300–450 mg. Atsižvelgiant į individualią klinikinę reakciją bei toleravimą, paros dozę galima koreguoti. Ji gali būti nuo 150 mg iki 750 mg.</w:t>
      </w:r>
    </w:p>
    <w:p w14:paraId="18086907" w14:textId="77777777" w:rsidR="00A840FC" w:rsidRPr="00A840FC" w:rsidRDefault="00A840FC" w:rsidP="00A840FC">
      <w:pPr>
        <w:spacing w:after="0" w:line="240" w:lineRule="auto"/>
        <w:rPr>
          <w:rFonts w:ascii="Times New Roman" w:eastAsia="Times New Roman" w:hAnsi="Times New Roman" w:cs="Times New Roman"/>
          <w:lang w:val="lt-LT"/>
        </w:rPr>
      </w:pPr>
    </w:p>
    <w:p w14:paraId="15B1F595"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Vidutinio sunkumo arba sunkių manijos epizodų, susijusių su bipoliniu sutrikimu, gydymas</w:t>
      </w:r>
    </w:p>
    <w:p w14:paraId="672705E8"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Manijos epizodams, susijusiems su bipoliniu sutrikimu, gydyti Ketipinor vartojamas 2 kartus per parą. Paros dozė pirmas keturias gydymo dienas yra</w:t>
      </w:r>
      <w:r w:rsidRPr="00A840FC">
        <w:rPr>
          <w:rFonts w:ascii="Times New Roman" w:eastAsia="Calibri" w:hAnsi="Times New Roman" w:cs="Times New Roman"/>
          <w:lang w:val="lt-LT"/>
        </w:rPr>
        <w:t xml:space="preserve"> 1</w:t>
      </w:r>
      <w:r w:rsidRPr="00A840FC">
        <w:rPr>
          <w:rFonts w:ascii="Times New Roman" w:eastAsia="Times New Roman" w:hAnsi="Times New Roman" w:cs="Times New Roman"/>
          <w:lang w:val="lt-LT"/>
        </w:rPr>
        <w:t>00 mg (1 parą), 200 mg (2 parą), 300 mg (3 parą) ir 400 mg (4 parą).</w:t>
      </w:r>
    </w:p>
    <w:p w14:paraId="5F1A78A2" w14:textId="77777777" w:rsidR="00A840FC" w:rsidRPr="00A840FC" w:rsidRDefault="00A840FC" w:rsidP="00A840FC">
      <w:pPr>
        <w:spacing w:after="0" w:line="240" w:lineRule="auto"/>
        <w:rPr>
          <w:rFonts w:ascii="Times New Roman" w:eastAsia="Times New Roman" w:hAnsi="Times New Roman" w:cs="Times New Roman"/>
          <w:lang w:val="lt-LT"/>
        </w:rPr>
      </w:pPr>
    </w:p>
    <w:p w14:paraId="1592D983"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Vėliau paros dozė didinama ne daugiau kaip 200 mg per parą; šeštą gydymo dieną ji negali viršyti 800 mg. Atsižvelgiant į individualią klinikinę reakciją bei toleravimą, paros dozę galima koreguoti. Ji gali būti nuo 200 mg iki 800 mg. Įprastinė veiksminga paros dozė yra 400–800 mg.</w:t>
      </w:r>
    </w:p>
    <w:p w14:paraId="3DAF3754" w14:textId="77777777" w:rsidR="00A840FC" w:rsidRPr="00A840FC" w:rsidRDefault="00A840FC" w:rsidP="00A840FC">
      <w:pPr>
        <w:spacing w:after="0" w:line="240" w:lineRule="auto"/>
        <w:rPr>
          <w:rFonts w:ascii="Times New Roman" w:eastAsia="Times New Roman" w:hAnsi="Times New Roman" w:cs="Times New Roman"/>
          <w:lang w:val="lt-LT"/>
        </w:rPr>
      </w:pPr>
    </w:p>
    <w:p w14:paraId="05EA68F6"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Didžiosios depresijos epizodų, susijusių su bipoliniu sutrikimu, gydymas</w:t>
      </w:r>
    </w:p>
    <w:p w14:paraId="0CC957DF"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Times New Roman" w:hAnsi="Times New Roman" w:cs="Times New Roman"/>
          <w:lang w:val="lt-LT"/>
        </w:rPr>
        <w:t xml:space="preserve">Paros dozė pirmas keturias gydymo dienas yra 50 mg (1 parą), 100 mg (2 parą), 200 mg (3 parą) ir 300 mg (4 parą). </w:t>
      </w:r>
      <w:r w:rsidRPr="00A840FC">
        <w:rPr>
          <w:rFonts w:ascii="Times New Roman" w:eastAsia="Arial Unicode MS" w:hAnsi="Times New Roman" w:cs="Times New Roman"/>
          <w:lang w:val="lt-LT"/>
        </w:rPr>
        <w:t>Rekomenduojama paros dozė yra 300 mg. Klinikinių tyrimų metu 600 mg paros dozę vartojusiems pacientams nenustatyta geresnio poveikio negu vartojusiems 300 mg dozę (žr. 5.1 skyrių), tačiau atskiriems pacientams 600 mg dozė gali sukelti palankesnį poveikį. Gydymą didesnėmis kaip 300 mg dozėmis gali pradėti tik gydytojai, turintys bipolinio sutrikimo gydymo patirties. Klinikiniai tyrimai taip pat parodė, kad esant toleravimo problemų atskiriems pacientams galima svarstyti dozės sumažinimo iki ne mažesnės kaip 200 mg galimybę.</w:t>
      </w:r>
    </w:p>
    <w:p w14:paraId="233CC9D3" w14:textId="77777777" w:rsidR="00A840FC" w:rsidRPr="00A840FC" w:rsidRDefault="00A840FC" w:rsidP="00A840FC">
      <w:pPr>
        <w:spacing w:after="0" w:line="240" w:lineRule="auto"/>
        <w:rPr>
          <w:rFonts w:ascii="Times New Roman" w:eastAsia="Times New Roman" w:hAnsi="Times New Roman" w:cs="Times New Roman"/>
          <w:lang w:val="lt-LT"/>
        </w:rPr>
      </w:pPr>
    </w:p>
    <w:p w14:paraId="6E1765E3" w14:textId="77777777" w:rsidR="00A840FC" w:rsidRPr="00A840FC" w:rsidRDefault="00A840FC" w:rsidP="00A840FC">
      <w:pPr>
        <w:spacing w:after="0" w:line="240" w:lineRule="auto"/>
        <w:rPr>
          <w:rFonts w:ascii="Times New Roman" w:eastAsia="MS Mincho" w:hAnsi="Times New Roman" w:cs="Times New Roman"/>
          <w:b/>
          <w:u w:val="single"/>
          <w:lang w:val="lt-LT"/>
        </w:rPr>
      </w:pPr>
      <w:r w:rsidRPr="00A840FC">
        <w:rPr>
          <w:rFonts w:ascii="Times New Roman" w:eastAsia="MS Mincho" w:hAnsi="Times New Roman" w:cs="Times New Roman"/>
          <w:b/>
          <w:lang w:val="lt-LT"/>
        </w:rPr>
        <w:t>Bipolinio sutrikimo atkryčio profilaktika</w:t>
      </w:r>
    </w:p>
    <w:p w14:paraId="12ACA530"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Calibri" w:hAnsi="Times New Roman" w:cs="Times New Roman"/>
          <w:lang w:val="lt-LT"/>
        </w:rPr>
        <w:t>Bipolinio sutrikimo manijos, mišraus ar depresijos epizodo atkryčio profilaktika kvetiapinu galima tuo atveju, jei pacientas reagavo į kvetiapiną ūminio bipolinio sutrikimo gydymo metu. Toliau turi būti vartojama tokia pat dozė. Atsižvelgiant į paciento klinikinę reakciją į gydymą bei vaistinio preparato toleravimą, paros dozę galima koreguoti 300–800 mg ribose (paros dozė turi būti suvartojama per du kartus). Palaikomojo gydymo metu svarbu vartoti mažiausią veiksmingą dozę.</w:t>
      </w:r>
    </w:p>
    <w:p w14:paraId="0449CF53" w14:textId="77777777" w:rsidR="00A840FC" w:rsidRPr="00A840FC" w:rsidRDefault="00A840FC" w:rsidP="00A840FC">
      <w:pPr>
        <w:spacing w:after="0" w:line="240" w:lineRule="auto"/>
        <w:rPr>
          <w:rFonts w:ascii="Times New Roman" w:eastAsia="Times New Roman" w:hAnsi="Times New Roman" w:cs="Times New Roman"/>
          <w:u w:val="single"/>
          <w:lang w:val="lt-LT"/>
        </w:rPr>
      </w:pPr>
    </w:p>
    <w:p w14:paraId="1EA34F10"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Senyviems pacientams</w:t>
      </w:r>
    </w:p>
    <w:p w14:paraId="7A1CDD38"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Senyvus žmones kvetiapinu, kaip ir kitais vaistiniais preparatais nuo psichozės, būtina gydyti atsargiai, ypač gydymo pradžioje. Gydomoji paros dozė turėtų būti mažesnė ir lėčiau didinama nei gydant jaunesnius pacientus (ji priklauso nuo individualios klinikinės paciento reakcijos bei toleravimo). Senyvų pacientų vidutinis kvetiapino plazmos klirensas, palyginti su jaunesniais, mažesnis 30–50 %.</w:t>
      </w:r>
    </w:p>
    <w:p w14:paraId="405FA754" w14:textId="77777777" w:rsidR="00A840FC" w:rsidRPr="00A840FC" w:rsidRDefault="00A840FC" w:rsidP="00A840FC">
      <w:pPr>
        <w:spacing w:after="0" w:line="240" w:lineRule="auto"/>
        <w:rPr>
          <w:rFonts w:ascii="Times New Roman" w:eastAsia="Times New Roman" w:hAnsi="Times New Roman" w:cs="Times New Roman"/>
          <w:lang w:val="lt-LT"/>
        </w:rPr>
      </w:pPr>
    </w:p>
    <w:p w14:paraId="30A31044"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Vaistinio preparato veiksmingumas ir saugumas vyresniems nei 65 metų pacientams, sergantiems depresijos epizodais, susijusiais su bipoliniu sutrikimu, tiriamas nebuvo.</w:t>
      </w:r>
    </w:p>
    <w:p w14:paraId="7AB3D6DE" w14:textId="77777777" w:rsidR="00A840FC" w:rsidRPr="00A840FC" w:rsidRDefault="00A840FC" w:rsidP="00A840FC">
      <w:pPr>
        <w:spacing w:after="0" w:line="240" w:lineRule="auto"/>
        <w:rPr>
          <w:rFonts w:ascii="Times New Roman" w:eastAsia="Times New Roman" w:hAnsi="Times New Roman" w:cs="Times New Roman"/>
          <w:lang w:val="lt-LT"/>
        </w:rPr>
      </w:pPr>
    </w:p>
    <w:p w14:paraId="6046FE81"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b/>
          <w:lang w:val="lt-LT"/>
        </w:rPr>
        <w:t>Vaikų populiacija</w:t>
      </w:r>
    </w:p>
    <w:p w14:paraId="1E9E7E72"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Vaikams ir jaunesniems nei 18 metų paaugliams kvetiapino vartoti nerekomenduojama, nes trūksta duomenų apie vaistinio preparato vartojimą šioje amžiaus grupėje. Turimi placebu kontroliuojamų klinikinių tyrimų duomenys pateikiami 4.4, 4.8, 5.1 ir 5.2 skyriuose.</w:t>
      </w:r>
    </w:p>
    <w:p w14:paraId="41659E40" w14:textId="77777777" w:rsidR="00A840FC" w:rsidRPr="00A840FC" w:rsidRDefault="00A840FC" w:rsidP="00A840FC">
      <w:pPr>
        <w:spacing w:after="0" w:line="240" w:lineRule="auto"/>
        <w:rPr>
          <w:rFonts w:ascii="Times New Roman" w:eastAsia="Times New Roman" w:hAnsi="Times New Roman" w:cs="Times New Roman"/>
          <w:lang w:val="lt-LT"/>
        </w:rPr>
      </w:pPr>
    </w:p>
    <w:p w14:paraId="7274D7FC"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b/>
          <w:lang w:val="lt-LT"/>
        </w:rPr>
        <w:t>Pacientams, kurių inkstų funkcija sutrikusi</w:t>
      </w:r>
    </w:p>
    <w:p w14:paraId="078EDD7B"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Pacientams, kurių inkstų funkcija sutrikusi, dozės keisti nereikia.</w:t>
      </w:r>
    </w:p>
    <w:p w14:paraId="0ED35FC6" w14:textId="77777777" w:rsidR="00A840FC" w:rsidRPr="00A840FC" w:rsidRDefault="00A840FC" w:rsidP="00A840FC">
      <w:pPr>
        <w:spacing w:after="0" w:line="240" w:lineRule="auto"/>
        <w:rPr>
          <w:rFonts w:ascii="Times New Roman" w:eastAsia="Times New Roman" w:hAnsi="Times New Roman" w:cs="Times New Roman"/>
          <w:lang w:val="lt-LT"/>
        </w:rPr>
      </w:pPr>
    </w:p>
    <w:p w14:paraId="5E0DE939"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Pacientams, kurių kepenų funkcija sutrikusi</w:t>
      </w:r>
    </w:p>
    <w:p w14:paraId="56B915AF"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Kepenys ekstensyviai metabolizuoja kvetiapiną, todėl pacientus, kurių kepenų funkcija sutrikusi, kvetiapinu būtina gydyti atsargiai, ypač gydymo pradžioje. Pradinė kvetiapino paros dozė esant kepenų funkcijos sutrikimui yra 25 mg. Vėliau paros dozė turi kasdien būti didinama 25</w:t>
      </w:r>
      <w:r w:rsidRPr="00A840FC">
        <w:rPr>
          <w:rFonts w:ascii="Times New Roman" w:eastAsia="Times New Roman" w:hAnsi="Times New Roman" w:cs="Times New Roman"/>
          <w:lang w:val="lt-LT"/>
        </w:rPr>
        <w:noBreakHyphen/>
        <w:t>50 mg iki veiksmingos atsižvelgiant į individualią klinikinę reakciją bei toleravimą.</w:t>
      </w:r>
    </w:p>
    <w:p w14:paraId="1581BC95" w14:textId="77777777" w:rsidR="00A840FC" w:rsidRPr="00A840FC" w:rsidRDefault="00A840FC" w:rsidP="00A840FC">
      <w:pPr>
        <w:spacing w:after="0" w:line="240" w:lineRule="auto"/>
        <w:rPr>
          <w:rFonts w:ascii="Times New Roman" w:eastAsia="Arial Unicode MS" w:hAnsi="Times New Roman" w:cs="Times New Roman"/>
          <w:lang w:val="lt-LT"/>
        </w:rPr>
      </w:pPr>
    </w:p>
    <w:p w14:paraId="2D2C6A16" w14:textId="77777777" w:rsidR="00A840FC" w:rsidRPr="00A840FC" w:rsidRDefault="00A840FC" w:rsidP="00A840FC">
      <w:pPr>
        <w:keepNext/>
        <w:keepLines/>
        <w:spacing w:after="0" w:line="240" w:lineRule="auto"/>
        <w:rPr>
          <w:rFonts w:ascii="Times New Roman" w:eastAsia="Arial Unicode MS" w:hAnsi="Times New Roman" w:cs="Times New Roman"/>
          <w:u w:val="single"/>
          <w:lang w:val="lt-LT"/>
        </w:rPr>
      </w:pPr>
    </w:p>
    <w:p w14:paraId="1BEE8C2F" w14:textId="77777777" w:rsidR="00A840FC" w:rsidRPr="00A840FC" w:rsidRDefault="00A840FC" w:rsidP="00A840F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0" w:name="_Toc129243104"/>
      <w:bookmarkStart w:id="21" w:name="_Toc129243229"/>
      <w:r w:rsidRPr="00A840FC">
        <w:rPr>
          <w:rFonts w:ascii="Times New Roman" w:eastAsia="Times New Roman" w:hAnsi="Times New Roman" w:cs="Times New Roman"/>
          <w:b/>
          <w:kern w:val="28"/>
          <w:lang w:val="lt-LT"/>
        </w:rPr>
        <w:t>4.3</w:t>
      </w:r>
      <w:r w:rsidRPr="00A840FC">
        <w:rPr>
          <w:rFonts w:ascii="Times New Roman" w:eastAsia="Times New Roman" w:hAnsi="Times New Roman" w:cs="Times New Roman"/>
          <w:b/>
          <w:kern w:val="28"/>
          <w:lang w:val="lt-LT"/>
        </w:rPr>
        <w:tab/>
        <w:t>Kontraindikacijos</w:t>
      </w:r>
      <w:bookmarkEnd w:id="20"/>
      <w:bookmarkEnd w:id="21"/>
    </w:p>
    <w:p w14:paraId="2984B7C6" w14:textId="77777777" w:rsidR="00A840FC" w:rsidRPr="00A840FC" w:rsidRDefault="00A840FC" w:rsidP="00A840FC">
      <w:pPr>
        <w:spacing w:after="0" w:line="240" w:lineRule="auto"/>
        <w:rPr>
          <w:rFonts w:ascii="Times New Roman" w:eastAsia="Arial Unicode MS" w:hAnsi="Times New Roman" w:cs="Times New Roman"/>
          <w:lang w:val="lt-LT"/>
        </w:rPr>
      </w:pPr>
    </w:p>
    <w:p w14:paraId="638AF275"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Padidėjęs jautrumas veikliajai arba bet kuriai 6.1 skyriuje nurodytai pagalbinei medžiagai.</w:t>
      </w:r>
    </w:p>
    <w:p w14:paraId="6D8E2389" w14:textId="77777777" w:rsidR="003763F7" w:rsidRDefault="003763F7" w:rsidP="00A840FC">
      <w:pPr>
        <w:autoSpaceDE w:val="0"/>
        <w:autoSpaceDN w:val="0"/>
        <w:adjustRightInd w:val="0"/>
        <w:spacing w:after="0" w:line="240" w:lineRule="auto"/>
        <w:rPr>
          <w:rFonts w:ascii="Times New Roman" w:eastAsia="Times New Roman" w:hAnsi="Times New Roman" w:cs="Times New Roman"/>
          <w:lang w:val="lt-LT"/>
        </w:rPr>
      </w:pPr>
    </w:p>
    <w:p w14:paraId="64844FF0" w14:textId="73F08794"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Citochromo P450 3A4 inhibitorių, pvz., ŽIV proteazės inhibitorių, azolo grupės vaistinių preparatų nuo grybelio, eritromicino, klaritromicino ir nefazodono vartoti kartu negalima (taip pat žr. 4.5 skyrių).</w:t>
      </w:r>
    </w:p>
    <w:p w14:paraId="42FB976F" w14:textId="77777777" w:rsidR="00A840FC" w:rsidRPr="00A840FC" w:rsidRDefault="00A840FC" w:rsidP="00A840FC">
      <w:pPr>
        <w:spacing w:after="0" w:line="240" w:lineRule="auto"/>
        <w:rPr>
          <w:rFonts w:ascii="Times New Roman" w:eastAsia="Arial Unicode MS" w:hAnsi="Times New Roman" w:cs="Times New Roman"/>
          <w:lang w:val="lt-LT"/>
        </w:rPr>
      </w:pPr>
    </w:p>
    <w:p w14:paraId="48ED50B8" w14:textId="77777777" w:rsidR="00A840FC" w:rsidRPr="00A840FC" w:rsidRDefault="00A840FC" w:rsidP="00A840F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2" w:name="_Toc129243105"/>
      <w:bookmarkStart w:id="23" w:name="_Toc129243230"/>
      <w:r w:rsidRPr="00A840FC">
        <w:rPr>
          <w:rFonts w:ascii="Times New Roman" w:eastAsia="Times New Roman" w:hAnsi="Times New Roman" w:cs="Times New Roman"/>
          <w:b/>
          <w:kern w:val="28"/>
          <w:lang w:val="lt-LT"/>
        </w:rPr>
        <w:t>4.4</w:t>
      </w:r>
      <w:r w:rsidRPr="00A840FC">
        <w:rPr>
          <w:rFonts w:ascii="Times New Roman" w:eastAsia="Times New Roman" w:hAnsi="Times New Roman" w:cs="Times New Roman"/>
          <w:b/>
          <w:kern w:val="28"/>
          <w:lang w:val="lt-LT"/>
        </w:rPr>
        <w:tab/>
        <w:t>Specialūs įspėjimai ir atsargumo priemonės</w:t>
      </w:r>
      <w:bookmarkEnd w:id="22"/>
      <w:bookmarkEnd w:id="23"/>
    </w:p>
    <w:p w14:paraId="533E830D" w14:textId="77777777" w:rsidR="00A840FC" w:rsidRPr="00A840FC" w:rsidRDefault="00A840FC" w:rsidP="00A840FC">
      <w:pPr>
        <w:spacing w:after="0" w:line="240" w:lineRule="auto"/>
        <w:rPr>
          <w:rFonts w:ascii="Times New Roman" w:eastAsia="Arial Unicode MS" w:hAnsi="Times New Roman" w:cs="Times New Roman"/>
          <w:lang w:val="lt-LT"/>
        </w:rPr>
      </w:pPr>
    </w:p>
    <w:p w14:paraId="20366C41"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Kvetiapinas turi kelias indikacijas, todėl vaistinio preparato saugumą reikia vertinti atsižvelgiant į individualią paciento diagnozę ir jo vartojamą dozę.</w:t>
      </w:r>
    </w:p>
    <w:p w14:paraId="62E3CDFB" w14:textId="77777777" w:rsidR="00A840FC" w:rsidRPr="00A840FC" w:rsidRDefault="00A840FC" w:rsidP="00A840FC">
      <w:pPr>
        <w:spacing w:after="0" w:line="240" w:lineRule="auto"/>
        <w:rPr>
          <w:rFonts w:ascii="Times New Roman" w:eastAsia="Arial Unicode MS" w:hAnsi="Times New Roman" w:cs="Times New Roman"/>
          <w:lang w:val="lt-LT"/>
        </w:rPr>
      </w:pPr>
    </w:p>
    <w:p w14:paraId="58620441" w14:textId="77777777" w:rsidR="00A840FC" w:rsidRPr="00A840FC" w:rsidRDefault="00A840FC" w:rsidP="00A840FC">
      <w:pPr>
        <w:spacing w:after="0" w:line="240" w:lineRule="auto"/>
        <w:rPr>
          <w:rFonts w:ascii="Times New Roman" w:eastAsia="Arial Unicode MS" w:hAnsi="Times New Roman" w:cs="Times New Roman"/>
          <w:b/>
          <w:lang w:val="lt-LT"/>
        </w:rPr>
      </w:pPr>
      <w:r w:rsidRPr="00A840FC">
        <w:rPr>
          <w:rFonts w:ascii="Times New Roman" w:eastAsia="Arial Unicode MS" w:hAnsi="Times New Roman" w:cs="Times New Roman"/>
          <w:b/>
          <w:lang w:val="lt-LT"/>
        </w:rPr>
        <w:t>Vaikų populiacija</w:t>
      </w:r>
    </w:p>
    <w:p w14:paraId="434A04EF"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Vaikams ir jaunesniems nei 18 metų paaugliams kvetiapino vartoti nerekomenduojama, nes trūksta duomenų apie vaistinio preparato vartojimą šioje amžiaus grupėje. Klinikinių tyrimų su kvetiapinu metu nustatyta, kad, lyginant su jau žinomu preparato nepageidaujamu poveikius suaugusiesiems (žr. 4.8 skyrių,) vaikams ir paaugliams kai kurie nepageidaujami poveikiai pasireiškia dažniau nei suaugusiesiems (apetito padidėjimas, prolaktino padaugėjimas kraujo serume, vėmimas, rinitas ir apalpimas) arba gali pasireikšti kitaip (ekstrapiramidiniai simptomai ir dirglumas) bei buvo nustatytas vienas nepageidaujamas poveikis, kuris suaugusiems pasireiškęs nebuvo (kraujospūdžio padidėjimas). Vaikams ir paaugliams nustatyta skydliaukės funkcijos tyrimo rodmenų pakitimų.</w:t>
      </w:r>
    </w:p>
    <w:p w14:paraId="09AC1E11" w14:textId="77777777" w:rsidR="00A840FC" w:rsidRPr="00A840FC" w:rsidRDefault="00A840FC" w:rsidP="00A840FC">
      <w:pPr>
        <w:spacing w:after="0" w:line="240" w:lineRule="auto"/>
        <w:rPr>
          <w:rFonts w:ascii="Times New Roman" w:eastAsia="Arial Unicode MS" w:hAnsi="Times New Roman" w:cs="Times New Roman"/>
          <w:lang w:val="lt-LT"/>
        </w:rPr>
      </w:pPr>
    </w:p>
    <w:p w14:paraId="2B0A3277"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Be to, ilgalaikis kvetiapino saugumas ir poveikis augimui ir brendimui ilgiau kaip 26 savaites tiriamas nebuvo. Ilgalaikis poveikis pažinimui ir elgsenai nėra žinomas.</w:t>
      </w:r>
    </w:p>
    <w:p w14:paraId="413ED33A" w14:textId="77777777" w:rsidR="00A840FC" w:rsidRPr="00A840FC" w:rsidRDefault="00A840FC" w:rsidP="00A840FC">
      <w:pPr>
        <w:spacing w:after="0" w:line="240" w:lineRule="auto"/>
        <w:rPr>
          <w:rFonts w:ascii="Times New Roman" w:eastAsia="Arial Unicode MS" w:hAnsi="Times New Roman" w:cs="Times New Roman"/>
          <w:lang w:val="lt-LT"/>
        </w:rPr>
      </w:pPr>
    </w:p>
    <w:p w14:paraId="223A234D"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Placebu kontroliuojamų tyrimų su vaikais ir paaugliais metu, kvetiapinas buvo susijęs su padidėjusiu ekstrapiramidinių simptomų (EPS) pasireiškimu, lyginant su placebą vartojančiais pacientais sergančiais šizofrenija, bipoline manija ir bipoline depresija (žr. 4.8 skyrių).</w:t>
      </w:r>
    </w:p>
    <w:p w14:paraId="2B690289" w14:textId="77777777" w:rsidR="00A840FC" w:rsidRPr="00A840FC" w:rsidRDefault="00A840FC" w:rsidP="00A840FC">
      <w:pPr>
        <w:spacing w:after="0" w:line="240" w:lineRule="auto"/>
        <w:rPr>
          <w:rFonts w:ascii="Times New Roman" w:eastAsia="Arial Unicode MS" w:hAnsi="Times New Roman" w:cs="Times New Roman"/>
          <w:lang w:val="lt-LT"/>
        </w:rPr>
      </w:pPr>
    </w:p>
    <w:p w14:paraId="76931922"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 xml:space="preserve">Savižudybė ir (arba) mintys apie savižudybę ar klinikinės būklės pablogėjimas </w:t>
      </w:r>
    </w:p>
    <w:p w14:paraId="0438259E"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Bipolinio sutrikimo metu pasireiškusi 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būklė pagerės. Remiantis bendrąja klinikine patirtimi, ankstyvuoju sveikimo laikotarpiu savižudybės rizika gali padidėti. </w:t>
      </w:r>
    </w:p>
    <w:p w14:paraId="7907C00A" w14:textId="77777777" w:rsidR="00A840FC" w:rsidRPr="00A840FC" w:rsidRDefault="00A840FC" w:rsidP="00A840FC">
      <w:pPr>
        <w:spacing w:after="0" w:line="240" w:lineRule="auto"/>
        <w:rPr>
          <w:rFonts w:ascii="Times New Roman" w:eastAsia="Times New Roman" w:hAnsi="Times New Roman" w:cs="Times New Roman"/>
          <w:lang w:val="lt-LT"/>
        </w:rPr>
      </w:pPr>
    </w:p>
    <w:p w14:paraId="395F2ED4"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Be to, gydytojai turėtų apsvarstyti galimą su savižudybe susijusių reiškinių riziką, atsirandančią staiga nutraukus gydymą kvetiapinu ir sąlygojamą žinomų gydomai ligai būdingų rizikos veiksnių. </w:t>
      </w:r>
    </w:p>
    <w:p w14:paraId="139443C6"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p>
    <w:p w14:paraId="39F8C4B8"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Kitos psichikos būklės, dėl kurių kvetiapinas skiriamas vartoti, taip pat gali sietis su padidėjusia su savižudybe susijusių reiškinių rizika. Be to, šios būklės gali būti sergant didžiosios depresijos epizodo metu. Todėl gydant pacientus kitomis psichikos ligomis reikia laikytis tų pačių atsargumo priemonių kaip ir gydant pacientus, sergančius didžiosios depresijos epizodu.</w:t>
      </w:r>
    </w:p>
    <w:p w14:paraId="179F8CC1"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p>
    <w:p w14:paraId="5EE78DA5"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Pacientams, kuriems praeityje buvo su savižudybe susijusių poelgių, arba tiems pacientams, kurie parodė išreikštas savižudybės idėjas prieš gydymą, minčių apie savižudybę ar savižudybės ketinimų rizika didesnė ir gydymo metu juos reikia įdėmiai stebėti. Placebu kontroliuojamų antidepresinių vaistinių preparatų suaugusiųjų klinikinių tyrimų metaanalizė parodė, kad jaunesniems kaip 25 metai pacientams, gydytiems antidepresantais, su savižudybe susijusių poelgių rizika didesnė palyginti su vartojusiais placebą.</w:t>
      </w:r>
    </w:p>
    <w:p w14:paraId="7431E25B"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p>
    <w:p w14:paraId="38C5C115"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Pacientus, ypač tuos, kuriems būdinga didelė rizika, reikia įdėmiai stebėti gydymo pradžioje ir keičiant vaistinio preparato dozę. Pacientus (ir jų globėjus) reikia įspėti, kad būtina sekti bet kokius būklės pablogėjimo požymius, su savižudybe susijusius poelgius arba mintis apie savižudybę, taip pat kitus neįprastus elgesio pokyčius ir, jeigu jų atsiranda, nedelsiant kreiptis į gydytoją.</w:t>
      </w:r>
    </w:p>
    <w:p w14:paraId="158D1E92" w14:textId="77777777" w:rsidR="00A840FC" w:rsidRPr="00A840FC" w:rsidRDefault="00A840FC" w:rsidP="00A840FC">
      <w:pPr>
        <w:spacing w:after="0" w:line="240" w:lineRule="auto"/>
        <w:rPr>
          <w:rFonts w:ascii="Times New Roman" w:eastAsia="Times New Roman" w:hAnsi="Times New Roman" w:cs="Times New Roman"/>
          <w:lang w:val="lt-LT"/>
        </w:rPr>
      </w:pPr>
    </w:p>
    <w:p w14:paraId="61DA75A5"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Pacientų, kuriems bipolinio sutrikimo metu pasireiškė didžiosios depresijos epizodai, trumpalaikio placebu kontroliuojamo klinikinio tyrimo metu suaugusių pacientų (jaunesnių kaip 25 metų), kurie buvo gydyti kvetiapinu, pastebėta didesnė, palyginti su pacientais, vartojusiais placebą, su savižudybe siejamų reiškinių rizika (atitinkamai 3,0 %, palyginti su 0 %). </w:t>
      </w:r>
      <w:r w:rsidRPr="00A840FC">
        <w:rPr>
          <w:rFonts w:ascii="Times New Roman" w:eastAsia="Times New Roman" w:hAnsi="Times New Roman" w:cs="Times New Roman"/>
          <w:color w:val="000000"/>
          <w:lang w:val="lt-LT" w:eastAsia="lt-LT" w:bidi="lt-LT"/>
        </w:rPr>
        <w:t>Populiacija paremtas retrospektyvinis didžiosios depresijos epizodu sergančių pacientų gydymo kvetiapinu tyrimas parodė padidėjusią savęs žalojimo ir savižudybės riziką 25</w:t>
      </w:r>
      <w:r w:rsidRPr="00A840FC">
        <w:rPr>
          <w:rFonts w:ascii="Times New Roman" w:eastAsia="Times New Roman" w:hAnsi="Times New Roman" w:cs="Times New Roman"/>
          <w:color w:val="000000"/>
          <w:lang w:val="lt-LT" w:eastAsia="lt-LT" w:bidi="lt-LT"/>
        </w:rPr>
        <w:noBreakHyphen/>
        <w:t>64 metų pacientams, kuriems ankstesnio gydymo kvetiapinu kartu su kitais antidepresantais metu savęs žalojimų reiškinių nebuvo.</w:t>
      </w:r>
    </w:p>
    <w:p w14:paraId="14E01409" w14:textId="77777777" w:rsidR="00A840FC" w:rsidRPr="00A840FC" w:rsidRDefault="00A840FC" w:rsidP="00A840FC">
      <w:pPr>
        <w:spacing w:after="0" w:line="240" w:lineRule="auto"/>
        <w:rPr>
          <w:rFonts w:ascii="Times New Roman" w:eastAsia="Times New Roman" w:hAnsi="Times New Roman" w:cs="Times New Roman"/>
          <w:lang w:val="lt-LT"/>
        </w:rPr>
      </w:pPr>
    </w:p>
    <w:p w14:paraId="736D4F9E"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Metabolizmo sutrikimų rizika</w:t>
      </w:r>
    </w:p>
    <w:p w14:paraId="43946300"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Klinikinių tyrimu metu buvo nustatytas metabolinių parametrų sutrikimo, įskaitant kūno svorio, gliukozės kiekio kraujyje (žr. poskyrį „Hiperglikemija“) ir lipidų kiekio kraujyje pokyčius, rizikos padidėjimas, todėl metabolinius parametrus būtina įvertinti gydymo pradžioje ir jų pokyčius reguliariai kontroliuoti gydymo metu. Tokių parametrų sutrikimai turi būti koreguojami atsižvelgiant į klinikinę būklę (taip pat žr. 4.8 skyrių).</w:t>
      </w:r>
    </w:p>
    <w:p w14:paraId="2EA6C18E" w14:textId="77777777" w:rsidR="00A840FC" w:rsidRPr="00A840FC" w:rsidRDefault="00A840FC" w:rsidP="00A840FC">
      <w:pPr>
        <w:spacing w:after="0" w:line="240" w:lineRule="auto"/>
        <w:rPr>
          <w:rFonts w:ascii="Times New Roman" w:eastAsia="Times New Roman" w:hAnsi="Times New Roman" w:cs="Times New Roman"/>
          <w:i/>
          <w:lang w:val="lt-LT"/>
        </w:rPr>
      </w:pPr>
    </w:p>
    <w:p w14:paraId="4E5C3429"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Ekstrapiramidiniai simptomai</w:t>
      </w:r>
    </w:p>
    <w:p w14:paraId="4249DEFD"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Placebu kontroliuojamų klinikinių tyrimų metu suaugusiems pacientams, vartojusiems kvetiapiną nuo bipolinio sutrikimo didžiosios depresijos epizodų ir didžiosios depresijos epizodo, ekstrapiramidinių simptomų pasireiškė dažniau negu vartojusiems placebą (žr. 4.8 ir 5.1 skyrius). </w:t>
      </w:r>
    </w:p>
    <w:p w14:paraId="26FC5E70"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p>
    <w:p w14:paraId="3ABFAFF3"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Kvetiapino vartojimas buvo susijęs su akatizija, pasireiškiančia subjektyviu nemaloniu arba sukeliančiu distresą neramumu, poreikiu judėti ir negebėjimu ramiai sėdėti arba stovėti. Tai labiau tikėtina pirmosiomis gydymo savaitėmis. Pacientams, kuriems pasireiškia šie požymiai, dozės didinimas gali būti žalingas.</w:t>
      </w:r>
    </w:p>
    <w:p w14:paraId="66CDDF22"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p>
    <w:p w14:paraId="02F5FDBD"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Vėlyvoji diskinezija</w:t>
      </w:r>
    </w:p>
    <w:p w14:paraId="3213DBBB"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Jeigu atsiranda vėlyvosios diskinezijos požymių ar simptomų, reikia apsvarstyti, ar nesumažinti dozės ir ar nenutraukti kvetiapino vartojimo. Pažymėtina, kad nutraukus gydymą vėlyvoji diskinezija gali pasunkėti ar net prasidėti (žr. 4.8 skyrių).</w:t>
      </w:r>
    </w:p>
    <w:p w14:paraId="3EE164E3" w14:textId="77777777" w:rsidR="00A840FC" w:rsidRPr="00A840FC" w:rsidRDefault="00A840FC" w:rsidP="00A840FC">
      <w:pPr>
        <w:spacing w:after="0" w:line="240" w:lineRule="auto"/>
        <w:rPr>
          <w:rFonts w:ascii="Times New Roman" w:eastAsia="Arial Unicode MS" w:hAnsi="Times New Roman" w:cs="Times New Roman"/>
          <w:lang w:val="lt-LT"/>
        </w:rPr>
      </w:pPr>
    </w:p>
    <w:p w14:paraId="67E81BAC"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Mieguistumas ir svaigulys</w:t>
      </w:r>
    </w:p>
    <w:p w14:paraId="4E7A9310"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Gydymas kvetiapinu yra susijęs su mieguistumu ir su juo susijusiais simptomais, tokiais kaip raminamasis poveikis (žr. 4.8 skyrių). Pacientų, kuriems bipolinio sutrikimo metu pasireiškė depresija, gydymo klinikinių tyrimų metu mieguistumas paprastai prasidėdavo per pirmąsias tris gydymo paras ir daugiausia būdavo lengvas ar vidutinio stiprumo. Pacientams, kuriems pasireiškia stiprus mieguistumas, gali būti reikalingas dažnesnis kontaktas mažiausiai dvi savaites nuo mieguistumo pradžios ar kol pagerės simptomai ir gali prireikti apsvarstyti gydymo nutraukimą.</w:t>
      </w:r>
    </w:p>
    <w:p w14:paraId="4F68B723" w14:textId="77777777" w:rsidR="00A840FC" w:rsidRPr="00A840FC" w:rsidRDefault="00A840FC" w:rsidP="00A840FC">
      <w:pPr>
        <w:spacing w:after="0" w:line="240" w:lineRule="auto"/>
        <w:rPr>
          <w:rFonts w:ascii="Times New Roman" w:eastAsia="Arial Unicode MS" w:hAnsi="Times New Roman" w:cs="Times New Roman"/>
          <w:lang w:val="lt-LT"/>
        </w:rPr>
      </w:pPr>
    </w:p>
    <w:p w14:paraId="7F4689E2"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Ortostatinė hipotenzija</w:t>
      </w:r>
    </w:p>
    <w:p w14:paraId="5024B0F1"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Gydymas kvetiapinu susijęs su ortostatine hipotenzija ir svaiguliu (žr. 4.8 skyrių), kurie, kaip ir mieguistumas pasitaiko dažniausiai pradiniu laikotarpiu nustatant vaistinio preparato dozę. Dėl to gali dažniau pacientai, ypač senyvi, nugriūti ir susižeisti. Todėl pacientus reikia įspėti, kad jie būtų atsargūs, kol pripras prie vaistinio preparato galimo poveikio. </w:t>
      </w:r>
    </w:p>
    <w:p w14:paraId="2AA4E18C" w14:textId="77777777" w:rsidR="00A840FC" w:rsidRPr="00A840FC" w:rsidRDefault="00A840FC" w:rsidP="00A840FC">
      <w:pPr>
        <w:spacing w:after="0" w:line="240" w:lineRule="auto"/>
        <w:rPr>
          <w:rFonts w:ascii="Times New Roman" w:eastAsia="Arial Unicode MS" w:hAnsi="Times New Roman" w:cs="Times New Roman"/>
          <w:lang w:val="lt-LT"/>
        </w:rPr>
      </w:pPr>
    </w:p>
    <w:p w14:paraId="126D8317"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Jeigu pacientui diagnozuota širdies ir kraujagyslių sistemos liga, smegenų kraujagyslių liga arba kitos ligos, kurias gali pasunkinti hipotenzija, Ketipinor turi būti gydoma atsargiai. Jei pasireiškia ortostatinė hipotenzija, būtina apsvarstyti, ar nereikia sumažinti dozės arba ją didinti lėčiau, ypač pacientams, sergantiems gretutine širdies ir kraujagyslių liga.</w:t>
      </w:r>
    </w:p>
    <w:p w14:paraId="0E4ACAEC"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p>
    <w:p w14:paraId="665770BC" w14:textId="77777777" w:rsidR="00A840FC" w:rsidRPr="00A840FC" w:rsidRDefault="00A840FC" w:rsidP="00A840FC">
      <w:pPr>
        <w:keepNext/>
        <w:keepLine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Miego apnėjos sindromas</w:t>
      </w:r>
    </w:p>
    <w:p w14:paraId="438CD48F"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Kvetiapino vartojantiems pacientams užfiksuota miego apnėjos sindromo atvejų. Jeigu pacientas kartu vartoja centrinę nervų sistemą slopinančių vaistinių preparatų, anksčiau jam yra buvusi miego apnėja arba yra jos pavojus, pvz., turi antsvorį, yra nutukęs arba vyriškos lyties, kvetiapino reikia skirti atsargiai.</w:t>
      </w:r>
    </w:p>
    <w:p w14:paraId="0CC339E2" w14:textId="77777777" w:rsidR="00A840FC" w:rsidRPr="00A840FC" w:rsidRDefault="00A840FC" w:rsidP="00A840FC">
      <w:pPr>
        <w:spacing w:after="0" w:line="240" w:lineRule="auto"/>
        <w:rPr>
          <w:rFonts w:ascii="Times New Roman" w:eastAsia="Times New Roman" w:hAnsi="Times New Roman" w:cs="Times New Roman"/>
          <w:lang w:val="lt-LT"/>
        </w:rPr>
      </w:pPr>
    </w:p>
    <w:p w14:paraId="389054F7" w14:textId="77777777" w:rsidR="00A840FC" w:rsidRPr="00A840FC" w:rsidRDefault="00A840FC" w:rsidP="00A840FC">
      <w:pPr>
        <w:keepNext/>
        <w:keepLine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Traukuliai</w:t>
      </w:r>
    </w:p>
    <w:p w14:paraId="1418549C"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Klinikinių kontroliuojamųjų tyrimų metu traukulių dažnumas kvetiapino ir placebo vartojusių pacientų grupėse nesiskyrė. Nėra duomenų apie traukulių sumažėjimo atvejus pacientams, kurie yra buvę traukulių priepuolių. Pacientus, kuriems yra buvę traukulių priepuolių, kvetiapinu, kaip ir kitais vaistiniais preparatais nuo psichozės, būtina gydyti atsargiai (žr. 4.8 skyrius).</w:t>
      </w:r>
    </w:p>
    <w:p w14:paraId="0472A617" w14:textId="77777777" w:rsidR="00A840FC" w:rsidRPr="00A840FC" w:rsidRDefault="00A840FC" w:rsidP="00A840FC">
      <w:pPr>
        <w:spacing w:after="0" w:line="240" w:lineRule="auto"/>
        <w:rPr>
          <w:rFonts w:ascii="Times New Roman" w:eastAsia="Times New Roman" w:hAnsi="Times New Roman" w:cs="Times New Roman"/>
          <w:lang w:val="lt-LT"/>
        </w:rPr>
      </w:pPr>
    </w:p>
    <w:p w14:paraId="3D5A636C"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Piktybinis neurolepsinis sindromas</w:t>
      </w:r>
    </w:p>
    <w:p w14:paraId="4FA5005F"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Vartojant vaistinių preparatų nuo psichozės, įskaitant kvetiapiną, pasitaikė piktybinio neurolepsinio sindromo atvejų (žr. 4.8 skyrių). Šis sindromas kliniškai pasireiškia hipertermija, pakitusia psichika, raumenų rigidiškumu, autonominės nervų sistemos nestabilumu ir padidėjusia kreatinkinazės koncentracija. Tokiu atveju būtina nutraukti Ketipinor vartojimą ir skirti tinkamą gydymą.</w:t>
      </w:r>
    </w:p>
    <w:p w14:paraId="080C2A10" w14:textId="77777777" w:rsidR="00A840FC" w:rsidRDefault="00A840FC" w:rsidP="00A840FC">
      <w:pPr>
        <w:spacing w:after="0" w:line="240" w:lineRule="auto"/>
        <w:rPr>
          <w:rFonts w:ascii="Times New Roman" w:eastAsia="Times New Roman" w:hAnsi="Times New Roman" w:cs="Times New Roman"/>
          <w:lang w:val="lt-LT"/>
        </w:rPr>
      </w:pPr>
    </w:p>
    <w:p w14:paraId="2A7BBD8C" w14:textId="77777777" w:rsidR="00827776" w:rsidRPr="006A2CAD" w:rsidRDefault="00827776" w:rsidP="00827776">
      <w:pPr>
        <w:spacing w:after="0" w:line="240" w:lineRule="auto"/>
        <w:rPr>
          <w:rFonts w:ascii="Times New Roman" w:eastAsia="Calibri" w:hAnsi="Times New Roman" w:cs="Times New Roman"/>
          <w:b/>
          <w:iCs/>
          <w:color w:val="000000"/>
          <w:lang w:val="lt-LT"/>
        </w:rPr>
      </w:pPr>
      <w:r w:rsidRPr="006A2CAD">
        <w:rPr>
          <w:rFonts w:ascii="Times New Roman" w:eastAsia="Calibri" w:hAnsi="Times New Roman" w:cs="Times New Roman"/>
          <w:b/>
          <w:iCs/>
          <w:color w:val="000000"/>
          <w:lang w:val="lt-LT"/>
        </w:rPr>
        <w:t>Serotonino sindromas</w:t>
      </w:r>
    </w:p>
    <w:p w14:paraId="68237B00" w14:textId="77777777" w:rsidR="00827776" w:rsidRPr="00827776" w:rsidRDefault="00827776" w:rsidP="00827776">
      <w:pPr>
        <w:spacing w:after="0" w:line="240" w:lineRule="auto"/>
        <w:rPr>
          <w:rFonts w:ascii="Times New Roman" w:eastAsia="Calibri" w:hAnsi="Times New Roman" w:cs="Times New Roman"/>
          <w:bCs/>
          <w:iCs/>
          <w:color w:val="000000"/>
          <w:lang w:val="lt-LT"/>
        </w:rPr>
      </w:pPr>
      <w:r w:rsidRPr="00827776">
        <w:rPr>
          <w:rFonts w:ascii="Times New Roman" w:eastAsia="Calibri" w:hAnsi="Times New Roman" w:cs="Times New Roman"/>
          <w:color w:val="000000"/>
          <w:lang w:val="lt-LT"/>
        </w:rPr>
        <w:t>Ketipinor</w:t>
      </w:r>
      <w:r w:rsidRPr="00827776">
        <w:rPr>
          <w:rFonts w:ascii="Times New Roman" w:eastAsia="Calibri" w:hAnsi="Times New Roman" w:cs="Times New Roman"/>
          <w:bCs/>
          <w:iCs/>
          <w:color w:val="000000"/>
          <w:lang w:val="lt-LT"/>
        </w:rPr>
        <w:t xml:space="preserve"> vartojant kartu su serotoninerginėmis medžiagomis, pvz., MAO inhibitoriais, selektyviaisiais serotonino reabsorbcijos inhibitoriais (SSRI), serotonino ir noradrenalino reabsorbcijos inhibitoriais (SNRI) arba tricikliais antidepresantais gali išsivystyti serotonino sindromas – sutrikimas, galintis kelti pavojų gyvybei (žr. 4.5 skyrių).</w:t>
      </w:r>
    </w:p>
    <w:p w14:paraId="3432925B" w14:textId="77777777" w:rsidR="00827776" w:rsidRPr="00827776" w:rsidRDefault="00827776" w:rsidP="00827776">
      <w:pPr>
        <w:spacing w:after="0" w:line="240" w:lineRule="auto"/>
        <w:rPr>
          <w:rFonts w:ascii="Times New Roman" w:eastAsia="Calibri" w:hAnsi="Times New Roman" w:cs="Times New Roman"/>
          <w:bCs/>
          <w:iCs/>
          <w:color w:val="000000"/>
          <w:lang w:val="lt-LT"/>
        </w:rPr>
      </w:pPr>
    </w:p>
    <w:p w14:paraId="1325815B" w14:textId="77777777" w:rsidR="00827776" w:rsidRPr="00827776" w:rsidRDefault="00827776" w:rsidP="00827776">
      <w:pPr>
        <w:spacing w:after="0" w:line="240" w:lineRule="auto"/>
        <w:rPr>
          <w:rFonts w:ascii="Times New Roman" w:eastAsia="Calibri" w:hAnsi="Times New Roman" w:cs="Times New Roman"/>
          <w:bCs/>
          <w:iCs/>
          <w:color w:val="000000"/>
          <w:lang w:val="lt-LT"/>
        </w:rPr>
      </w:pPr>
      <w:r w:rsidRPr="00827776">
        <w:rPr>
          <w:rFonts w:ascii="Times New Roman" w:eastAsia="Calibri" w:hAnsi="Times New Roman" w:cs="Times New Roman"/>
          <w:bCs/>
          <w:iCs/>
          <w:color w:val="000000"/>
          <w:lang w:val="lt-LT"/>
        </w:rPr>
        <w:t>Jeigu kliniškai būtina kartu vartoti kitas serotoninergines medžiagas, patartina pacientą atidžiai stebėti, ypač pradedant gydymą ir didinant dozę. Serotonino sindromo simptomai be kita ko gali būti psichinės būklės pokyčiai, autonominių funkcijų nestabilumas, neuromuskulinės patologijos ir (arba) virškinimo trakto simptomai.</w:t>
      </w:r>
    </w:p>
    <w:p w14:paraId="20E040CD" w14:textId="77777777" w:rsidR="00827776" w:rsidRPr="00827776" w:rsidRDefault="00827776" w:rsidP="00827776">
      <w:pPr>
        <w:spacing w:after="0" w:line="240" w:lineRule="auto"/>
        <w:rPr>
          <w:rFonts w:ascii="Times New Roman" w:eastAsia="Calibri" w:hAnsi="Times New Roman" w:cs="Times New Roman"/>
          <w:bCs/>
          <w:iCs/>
          <w:color w:val="000000"/>
          <w:lang w:val="lt-LT"/>
        </w:rPr>
      </w:pPr>
    </w:p>
    <w:p w14:paraId="5622A98D" w14:textId="77777777" w:rsidR="00827776" w:rsidRPr="00827776" w:rsidRDefault="00827776" w:rsidP="00827776">
      <w:pPr>
        <w:spacing w:after="0" w:line="240" w:lineRule="auto"/>
        <w:rPr>
          <w:rFonts w:ascii="Times New Roman" w:eastAsia="Calibri" w:hAnsi="Times New Roman" w:cs="Times New Roman"/>
          <w:bCs/>
          <w:iCs/>
          <w:color w:val="000000"/>
          <w:lang w:val="lt-LT"/>
        </w:rPr>
      </w:pPr>
      <w:r w:rsidRPr="00827776">
        <w:rPr>
          <w:rFonts w:ascii="Times New Roman" w:eastAsia="Calibri" w:hAnsi="Times New Roman" w:cs="Times New Roman"/>
          <w:bCs/>
          <w:iCs/>
          <w:color w:val="000000"/>
          <w:lang w:val="lt-LT"/>
        </w:rPr>
        <w:t>Įtarus serotonino sindromą, atsižvelgiant į simptomų sunkumą reikia apsvarstyti dozės sumažinimo arba gydymo nutraukimo galimybę.</w:t>
      </w:r>
    </w:p>
    <w:p w14:paraId="650484E9" w14:textId="77777777" w:rsidR="00827776" w:rsidRPr="00A840FC" w:rsidRDefault="00827776" w:rsidP="00A840FC">
      <w:pPr>
        <w:spacing w:after="0" w:line="240" w:lineRule="auto"/>
        <w:rPr>
          <w:rFonts w:ascii="Times New Roman" w:eastAsia="Times New Roman" w:hAnsi="Times New Roman" w:cs="Times New Roman"/>
          <w:lang w:val="lt-LT"/>
        </w:rPr>
      </w:pPr>
    </w:p>
    <w:p w14:paraId="55B64A5A" w14:textId="77777777" w:rsidR="00A840FC" w:rsidRPr="00A840FC" w:rsidRDefault="00A840FC" w:rsidP="00A840FC">
      <w:pPr>
        <w:keepNext/>
        <w:keepLine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Sunki neutropenija ir agranulocitozė</w:t>
      </w:r>
    </w:p>
    <w:p w14:paraId="4D4F54C8"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Kvetiapino klinikinių tyrimų metu buvo pranešama apie sunkios neutropenijos (neutrofilų kiekis &lt; 0,5 x 10</w:t>
      </w:r>
      <w:r w:rsidRPr="00A840FC">
        <w:rPr>
          <w:rFonts w:ascii="Times New Roman" w:eastAsia="Times New Roman" w:hAnsi="Times New Roman" w:cs="Times New Roman"/>
          <w:vertAlign w:val="superscript"/>
          <w:lang w:val="lt-LT"/>
        </w:rPr>
        <w:t>9</w:t>
      </w:r>
      <w:r w:rsidRPr="00A840FC">
        <w:rPr>
          <w:rFonts w:ascii="Times New Roman" w:eastAsia="Times New Roman" w:hAnsi="Times New Roman" w:cs="Times New Roman"/>
          <w:lang w:val="lt-LT"/>
        </w:rPr>
        <w:t>/l) atvejus. Dauguma sunkios neutropenijos atvejų pasireiškė praėjus keliems mėnesiams nuo gydymo kvetiapinu pradžios. Aiškios priklausomybės nuo dozės nenustatyta. Po vaistinio preparato pateikimo į rinką kai kurie tokio poveikio atvejai buvo mirtini. Galimi neutropenijos pasireiškimo rizikos veiksniai yra esamas sumažėjęs baltųjų kraujo kūnelių (angl. WBC) kiekis ir buvusi dėl vaistinių preparatų vartojimo pasireiškusi neutropenija. Vis dėlto buvo atvejų, kai toks poveikis pasireiškė pacientams, neturėjusiems rizikos veiksnių. Pacientams, kurių neutrofilų kiekis yra &lt; 1,0 x 10</w:t>
      </w:r>
      <w:r w:rsidRPr="00A840FC">
        <w:rPr>
          <w:rFonts w:ascii="Times New Roman" w:eastAsia="Times New Roman" w:hAnsi="Times New Roman" w:cs="Times New Roman"/>
          <w:vertAlign w:val="superscript"/>
          <w:lang w:val="lt-LT"/>
        </w:rPr>
        <w:t>9</w:t>
      </w:r>
      <w:r w:rsidRPr="00A840FC">
        <w:rPr>
          <w:rFonts w:ascii="Times New Roman" w:eastAsia="Times New Roman" w:hAnsi="Times New Roman" w:cs="Times New Roman"/>
          <w:lang w:val="lt-LT"/>
        </w:rPr>
        <w:t>/L, kvetiapino vartojimą reikia nutraukti. Pacientus reikia stebėti, ar nepasireiškia infekcijos požymių ir simptomų, ir sekti neutrofilų kiekį (kol jis viršis 1,5 x 10</w:t>
      </w:r>
      <w:r w:rsidRPr="00A840FC">
        <w:rPr>
          <w:rFonts w:ascii="Times New Roman" w:eastAsia="Times New Roman" w:hAnsi="Times New Roman" w:cs="Times New Roman"/>
          <w:vertAlign w:val="superscript"/>
          <w:lang w:val="lt-LT"/>
        </w:rPr>
        <w:t>9</w:t>
      </w:r>
      <w:r w:rsidRPr="00A840FC">
        <w:rPr>
          <w:rFonts w:ascii="Times New Roman" w:eastAsia="Times New Roman" w:hAnsi="Times New Roman" w:cs="Times New Roman"/>
          <w:lang w:val="lt-LT"/>
        </w:rPr>
        <w:t>/L) (žr. 5.1 skyrių).</w:t>
      </w:r>
    </w:p>
    <w:p w14:paraId="777460AF" w14:textId="77777777" w:rsidR="00A840FC" w:rsidRPr="00A840FC" w:rsidRDefault="00A840FC" w:rsidP="00A840FC">
      <w:pPr>
        <w:spacing w:after="0" w:line="240" w:lineRule="auto"/>
        <w:rPr>
          <w:rFonts w:ascii="Times New Roman" w:eastAsia="Times New Roman" w:hAnsi="Times New Roman" w:cs="Times New Roman"/>
          <w:u w:val="single"/>
          <w:lang w:val="lt-LT"/>
        </w:rPr>
      </w:pPr>
    </w:p>
    <w:p w14:paraId="46AE0638"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Jei pasireiškia infekcija ar karščiavimas, ypač jei nėra akivaizdaus (-žių) tokios būklės atsiradimą skatinančio (-ų) veiksnio (-ų), būtina pagalvoti, ar neatsirado neutropenijos, ir skirti gydymą, atsižvelgiant į klinikinę būklę. </w:t>
      </w:r>
    </w:p>
    <w:p w14:paraId="1D317ADF" w14:textId="77777777" w:rsidR="00A840FC" w:rsidRPr="00A840FC" w:rsidRDefault="00A840FC" w:rsidP="00A840FC">
      <w:pPr>
        <w:spacing w:after="0" w:line="240" w:lineRule="auto"/>
        <w:rPr>
          <w:rFonts w:ascii="Times New Roman" w:eastAsia="Times New Roman" w:hAnsi="Times New Roman" w:cs="Times New Roman"/>
          <w:lang w:val="lt-LT"/>
        </w:rPr>
      </w:pPr>
    </w:p>
    <w:p w14:paraId="0E437F67"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Pacientams būtina nurodyti, kad jie nedelsdami praneštų gydytojui, jei bet kuriuo gydymo Ketipinor laikotarpiu atsiras agranulocitozei ar infekcijai būdingų požymių ar simptomų (pvz., karščiavimas, silpnumas, letargija ar gerklės skausmas). Būtina nedelsiant nustatyti tokių pacientų WBC kiekį ir absoliutų neutrofilų kiekį (angl. ANC), ypač jei nėra tokios būklės atsiradimą skatinančių veiksnių.</w:t>
      </w:r>
    </w:p>
    <w:p w14:paraId="4E7B4358" w14:textId="77777777" w:rsidR="00A840FC" w:rsidRPr="00A840FC" w:rsidRDefault="00A840FC" w:rsidP="00A840FC">
      <w:pPr>
        <w:spacing w:after="0" w:line="240" w:lineRule="auto"/>
        <w:rPr>
          <w:rFonts w:ascii="Times New Roman" w:eastAsia="Times New Roman" w:hAnsi="Times New Roman" w:cs="Times New Roman"/>
          <w:u w:val="single"/>
          <w:lang w:val="lt-LT"/>
        </w:rPr>
      </w:pPr>
    </w:p>
    <w:p w14:paraId="69D37842" w14:textId="77777777" w:rsidR="00A840FC" w:rsidRPr="00A840FC" w:rsidRDefault="00A840FC" w:rsidP="00A840FC">
      <w:pPr>
        <w:widowControl w:val="0"/>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Anticholinerginis (muskarininis) poveikis</w:t>
      </w:r>
    </w:p>
    <w:p w14:paraId="70B96E64" w14:textId="77777777" w:rsidR="00A840FC" w:rsidRPr="00A840FC" w:rsidRDefault="00A840FC" w:rsidP="00A840FC">
      <w:pPr>
        <w:widowControl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Kvetiapino aktyvus metabolitas norkvetiapinas turi vidutinį ar stiprų afinitetą kelių porūšių muskarino receptoriams. Tai veikia NRV, susijusių su anticholinerginiu poveikiu, pasireiškimą vartojant </w:t>
      </w:r>
      <w:r w:rsidRPr="00A840FC">
        <w:rPr>
          <w:rFonts w:ascii="Times New Roman" w:eastAsia="Times New Roman" w:hAnsi="Times New Roman" w:cs="Times New Roman"/>
          <w:lang w:val="lt-LT"/>
        </w:rPr>
        <w:lastRenderedPageBreak/>
        <w:t>kvetiapiną rekomenduojamomis dozėmis, kartu su kitais anticholinerginiais vaistiniais preparatais arba jo perdozavus. Kvetiapino atsargiai skiriama kartu su anticholinerginiais (muskarininiais) vaistiniais preparatais, taip pat pacientams, kuriems šiuo metu diagnozuotas arba anksčiau buvo šlapimo susilaikymas, kliniškai reikšminga prostatos hipertrofija, žarnų obstrukcija arba panašios būklės, padidėjęs akispūdis arba uždaro kampo glaukoma (žr. 4.5, 4.8, 4.9 ir 5.1 skyrius).</w:t>
      </w:r>
    </w:p>
    <w:p w14:paraId="14CCDA2F" w14:textId="77777777" w:rsidR="00A840FC" w:rsidRPr="00A840FC" w:rsidRDefault="00A840FC" w:rsidP="00A840FC">
      <w:pPr>
        <w:spacing w:after="0" w:line="240" w:lineRule="auto"/>
        <w:rPr>
          <w:rFonts w:ascii="Times New Roman" w:eastAsia="Times New Roman" w:hAnsi="Times New Roman" w:cs="Times New Roman"/>
          <w:u w:val="single"/>
          <w:lang w:val="lt-LT"/>
        </w:rPr>
      </w:pPr>
    </w:p>
    <w:p w14:paraId="11DAE743"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Sąveika</w:t>
      </w:r>
    </w:p>
    <w:p w14:paraId="15E6B2EF"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Žr. 4.5 skyrių.</w:t>
      </w:r>
    </w:p>
    <w:p w14:paraId="4E6B3A23" w14:textId="77777777" w:rsidR="00A840FC" w:rsidRPr="00A840FC" w:rsidRDefault="00A840FC" w:rsidP="00A840FC">
      <w:pPr>
        <w:spacing w:after="0" w:line="240" w:lineRule="auto"/>
        <w:rPr>
          <w:rFonts w:ascii="Times New Roman" w:eastAsia="Times New Roman" w:hAnsi="Times New Roman" w:cs="Times New Roman"/>
          <w:u w:val="single"/>
          <w:lang w:val="lt-LT"/>
        </w:rPr>
      </w:pPr>
    </w:p>
    <w:p w14:paraId="02A23D37"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Kartu vartojant kvetiapino ir stiprių kepenų fermentų induktorių, pavyzdžiui, karbamazepino ar fenitoino, gali gerokai sumažėti kvetiapino koncentracija plazmoje, o tai gali pakeisti gydymo kvetiapinu veiksmingumą. Jei pacientas vartoja vaistinių preparatų, sužadinančių kepenų fermentus, pradėti gydymą kvetiapinu galima tik tuo atveju, jei, gydytojo manymu, gydymo kvetiapinu nauda pranoks žalą dėl gydymo kepenų fermentus sužadinančiu preparatu nutraukimo. Labai svarbu, bet kurio kepenų fermentų induktoriaus dozę keisti laipsniškai ir, jei reikia, vietoje jo pradėti gydyti kepenų fermentus nesužadinančiu vaistiniu preparatu, pavyzdžiui, natrio valproatu.</w:t>
      </w:r>
    </w:p>
    <w:p w14:paraId="25131B0F" w14:textId="77777777" w:rsidR="00A840FC" w:rsidRPr="00A840FC" w:rsidRDefault="00A840FC" w:rsidP="00A840FC">
      <w:pPr>
        <w:spacing w:after="0" w:line="240" w:lineRule="auto"/>
        <w:rPr>
          <w:rFonts w:ascii="Times New Roman" w:eastAsia="Times New Roman" w:hAnsi="Times New Roman" w:cs="Times New Roman"/>
          <w:lang w:val="lt-LT"/>
        </w:rPr>
      </w:pPr>
    </w:p>
    <w:p w14:paraId="6901CB24"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Kūno svoris</w:t>
      </w:r>
    </w:p>
    <w:p w14:paraId="04DB19DF"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Gauta pranešimų apie kūno svorio padidėjimo atvejus pacientams, vartojantiems kvetiapino. Šį poveikį reikia stebėti ir gydyti tinkamomis klinikinėmis priemonėmis ir taip kaip nurodo antipsichozinio gydymo gairės (žr. 4.8 ir 5.1 skyrius).</w:t>
      </w:r>
    </w:p>
    <w:p w14:paraId="647C21CD" w14:textId="77777777" w:rsidR="00A840FC" w:rsidRPr="00A840FC" w:rsidRDefault="00A840FC" w:rsidP="00A840FC">
      <w:pPr>
        <w:spacing w:after="0" w:line="240" w:lineRule="auto"/>
        <w:rPr>
          <w:rFonts w:ascii="Times New Roman" w:eastAsia="Times New Roman" w:hAnsi="Times New Roman" w:cs="Times New Roman"/>
          <w:lang w:val="lt-LT"/>
        </w:rPr>
      </w:pPr>
    </w:p>
    <w:p w14:paraId="0929B29B"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Hiperglikemija</w:t>
      </w:r>
    </w:p>
    <w:p w14:paraId="1FB5A4D3" w14:textId="77777777" w:rsidR="00A840FC" w:rsidRPr="00A840FC" w:rsidRDefault="00A840FC" w:rsidP="00A840FC">
      <w:pPr>
        <w:spacing w:after="0" w:line="240" w:lineRule="auto"/>
        <w:rPr>
          <w:rFonts w:ascii="Times New Roman" w:eastAsia="Calibri" w:hAnsi="Times New Roman" w:cs="Times New Roman"/>
          <w:i/>
          <w:lang w:val="lt-LT"/>
        </w:rPr>
      </w:pPr>
      <w:r w:rsidRPr="00A840FC">
        <w:rPr>
          <w:rFonts w:ascii="Times New Roman" w:eastAsia="Times New Roman" w:hAnsi="Times New Roman" w:cs="Times New Roman"/>
          <w:lang w:val="lt-LT"/>
        </w:rPr>
        <w:t>Retai gaunama pranešimų apie hiperglikemiją ir (arba) cukrinio diabeto pasireiškimą arba pasunkėjimą, kuris kartais gali būti lydimas ketoacidozės, kai kurie atvejai baigėsi mirtimi (žr. 4.8 skyrių). Pranešama, kad kai kuriais atvejais, prieš tai pradėjo didėti kūno svoris, tai gali būti riziką lemiantis veiksnys. Remiantis antipsichozinio gydymo gairėmis patariama tinkamai stebėti pacientų klinikinę būklę. Reikia stebėti, ar pacientams, vartojantiems bet kokių vaistinių preparatų nuo psichozės, įskaitant kvetiapiną, atsirado hiperglikemijos simptomų (pvz., polidipsija, poliurija, polifagija ir silpnumas). Taip pat reikia stebėti, ar pacientams, sergantiems cukriniu diabetu arba turintiems cukrinio diabeto atsiradimo rizikos veiksnių, nepablogėjo gliukozės kontrolė. Būtina nuolat stebėti kūno svorį.</w:t>
      </w:r>
    </w:p>
    <w:p w14:paraId="1680F531" w14:textId="77777777" w:rsidR="00A840FC" w:rsidRPr="00A840FC" w:rsidRDefault="00A840FC" w:rsidP="00A840FC">
      <w:pPr>
        <w:spacing w:after="0" w:line="240" w:lineRule="auto"/>
        <w:rPr>
          <w:rFonts w:ascii="Times New Roman" w:eastAsia="Times New Roman" w:hAnsi="Times New Roman" w:cs="Times New Roman"/>
          <w:lang w:val="lt-LT"/>
        </w:rPr>
      </w:pPr>
    </w:p>
    <w:p w14:paraId="6C4B17AA" w14:textId="77777777" w:rsidR="00A840FC" w:rsidRPr="00A840FC" w:rsidRDefault="00A840FC" w:rsidP="00A840FC">
      <w:pPr>
        <w:spacing w:after="0" w:line="240" w:lineRule="auto"/>
        <w:rPr>
          <w:rFonts w:ascii="Times New Roman" w:eastAsia="Times New Roman" w:hAnsi="Times New Roman" w:cs="Times New Roman"/>
          <w:b/>
          <w:iCs/>
          <w:lang w:val="lt-LT"/>
        </w:rPr>
      </w:pPr>
      <w:r w:rsidRPr="00A840FC">
        <w:rPr>
          <w:rFonts w:ascii="Times New Roman" w:eastAsia="Times New Roman" w:hAnsi="Times New Roman" w:cs="Times New Roman"/>
          <w:b/>
          <w:iCs/>
          <w:lang w:val="lt-LT"/>
        </w:rPr>
        <w:t>Lipidai</w:t>
      </w:r>
    </w:p>
    <w:p w14:paraId="17D7BDCF"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Kvetiapino klinikinių tyrimų metu pastebėta trigliceridų ir cholesterolio koncentracijos padidėjimo atvejų (žr.4.8 skyrių). Lipidų padidėjimas turi būti pašalintas, jei kliniškai tikslinga.</w:t>
      </w:r>
    </w:p>
    <w:p w14:paraId="4A997B26" w14:textId="77777777" w:rsidR="00A840FC" w:rsidRPr="00A840FC" w:rsidRDefault="00A840FC" w:rsidP="00A840FC">
      <w:pPr>
        <w:spacing w:after="0" w:line="240" w:lineRule="auto"/>
        <w:rPr>
          <w:rFonts w:ascii="Times New Roman" w:eastAsia="Times New Roman" w:hAnsi="Times New Roman" w:cs="Times New Roman"/>
          <w:lang w:val="lt-LT"/>
        </w:rPr>
      </w:pPr>
    </w:p>
    <w:p w14:paraId="7D164F8C" w14:textId="77777777" w:rsidR="00A840FC" w:rsidRPr="00A840FC" w:rsidRDefault="00A840FC" w:rsidP="00A840FC">
      <w:pPr>
        <w:keepNext/>
        <w:keepLine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QT intervalo pailgėjimas</w:t>
      </w:r>
    </w:p>
    <w:p w14:paraId="5BF69988"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Klinikinių kvetiapino tyrimų bei gydymo pagal preparato charakteristikų santraukoje pateikiamas rekomendacijas duomenimis, kvetiapinas nuolatinio absoliutaus QT intervalo pailgėjimo nesukelia. Vaistiniam preparatui jau patekus į rinką, pastebėtas QT pailgėjimas vartojant terapines dozes (žr. 4.8 skyrių) ir perdozavus (žr. 4.9 skyrių). Kvetiapino, kaip ir kitų vaistinių preparatų nuo psichozės, reikia skirti atsargiai pacientams, sergantiems širdies ir kraujagyslių ligomis arba kurių šeimos nariams yra buvęs QT intervalo pailgėjimas. Taip pat kvetiapino reikėtų vartoti atsargiai kartu su preparatais, kurie ilgina QT intervalą,</w:t>
      </w:r>
      <w:r w:rsidRPr="00A840FC">
        <w:rPr>
          <w:rFonts w:ascii="Times New Roman" w:eastAsia="Times New Roman" w:hAnsi="Times New Roman" w:cs="Times New Roman"/>
          <w:i/>
          <w:lang w:val="lt-LT"/>
        </w:rPr>
        <w:t xml:space="preserve"> </w:t>
      </w:r>
      <w:r w:rsidRPr="00A840FC">
        <w:rPr>
          <w:rFonts w:ascii="Times New Roman" w:eastAsia="Times New Roman" w:hAnsi="Times New Roman" w:cs="Times New Roman"/>
          <w:lang w:val="lt-LT"/>
        </w:rPr>
        <w:t>arba kartu su neuroleptikais, ypač, jeigu pacientas senyvas, serga paveldimu ilgo QT sindromu, staziniu širdies nepakankamumu, širdies hipertrofija arba jei yra hipokaliemija arba hipomagnezemija (žr. 4.5 skyrių).</w:t>
      </w:r>
    </w:p>
    <w:p w14:paraId="1E6CD0FF" w14:textId="77777777" w:rsidR="00A840FC" w:rsidRPr="00A840FC" w:rsidRDefault="00A840FC" w:rsidP="00A840FC">
      <w:pPr>
        <w:spacing w:after="0" w:line="240" w:lineRule="auto"/>
        <w:rPr>
          <w:rFonts w:ascii="Times New Roman" w:eastAsia="Times New Roman" w:hAnsi="Times New Roman" w:cs="Times New Roman"/>
          <w:lang w:val="lt-LT"/>
        </w:rPr>
      </w:pPr>
    </w:p>
    <w:p w14:paraId="4F9A9144" w14:textId="77777777" w:rsidR="00A840FC" w:rsidRPr="00A840FC" w:rsidRDefault="00A840FC" w:rsidP="00A840FC">
      <w:pPr>
        <w:spacing w:after="0" w:line="240" w:lineRule="auto"/>
        <w:rPr>
          <w:rFonts w:ascii="Times New Roman" w:eastAsia="Times New Roman" w:hAnsi="Times New Roman" w:cs="Times New Roman"/>
          <w:b/>
          <w:iCs/>
          <w:lang w:val="lt-LT"/>
        </w:rPr>
      </w:pPr>
      <w:r w:rsidRPr="00A840FC">
        <w:rPr>
          <w:rFonts w:ascii="Times New Roman" w:eastAsia="Times New Roman" w:hAnsi="Times New Roman" w:cs="Times New Roman"/>
          <w:b/>
          <w:iCs/>
          <w:lang w:val="lt-LT"/>
        </w:rPr>
        <w:t>Kardiomiopatija ir miokarditas</w:t>
      </w:r>
    </w:p>
    <w:p w14:paraId="77C3B43E"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Klinikinių tyrimų metu bei po vaistinio preparato pateikimo į rinką gauta pranešimų apie kardiomiopatijos ir miokardito atvejus (žr. 4.8 skyrių). Įtarus kardiomiopatiją arba miokarditą, reikia įvertinti poreikį nutraukti kvetiapino vartojimą.</w:t>
      </w:r>
    </w:p>
    <w:p w14:paraId="29E6A6DC" w14:textId="77777777" w:rsidR="00A840FC" w:rsidRPr="00A840FC" w:rsidRDefault="00A840FC" w:rsidP="00A840FC">
      <w:pPr>
        <w:spacing w:after="0" w:line="240" w:lineRule="auto"/>
        <w:rPr>
          <w:rFonts w:ascii="Times New Roman" w:eastAsia="Times New Roman" w:hAnsi="Times New Roman" w:cs="Times New Roman"/>
          <w:lang w:val="lt-LT"/>
        </w:rPr>
      </w:pPr>
    </w:p>
    <w:p w14:paraId="109C14F9" w14:textId="77777777" w:rsidR="00A840FC" w:rsidRPr="00A840FC" w:rsidRDefault="00A840FC" w:rsidP="00A840FC">
      <w:pPr>
        <w:spacing w:after="0" w:line="240" w:lineRule="auto"/>
        <w:rPr>
          <w:rFonts w:ascii="Times New Roman" w:eastAsia="Times New Roman" w:hAnsi="Times New Roman" w:cs="Times New Roman"/>
          <w:b/>
          <w:iCs/>
          <w:lang w:val="lt-LT"/>
        </w:rPr>
      </w:pPr>
      <w:r w:rsidRPr="00A840FC">
        <w:rPr>
          <w:rFonts w:ascii="Times New Roman" w:eastAsia="Times New Roman" w:hAnsi="Times New Roman" w:cs="Times New Roman"/>
          <w:b/>
          <w:iCs/>
          <w:lang w:val="lt-LT"/>
        </w:rPr>
        <w:t>Sunkios nepageidaujamos odos reakcijos</w:t>
      </w:r>
    </w:p>
    <w:p w14:paraId="4EDD6022" w14:textId="248F5F3F" w:rsidR="00A840FC" w:rsidRPr="00A840FC" w:rsidRDefault="00A840FC" w:rsidP="00A840FC">
      <w:pPr>
        <w:spacing w:after="0" w:line="240" w:lineRule="auto"/>
        <w:rPr>
          <w:rFonts w:ascii="Times New Roman" w:eastAsia="Calibri" w:hAnsi="Times New Roman" w:cs="Times New Roman"/>
          <w:color w:val="000000"/>
          <w:lang w:val="lt-LT"/>
        </w:rPr>
      </w:pPr>
      <w:r w:rsidRPr="00A840FC">
        <w:rPr>
          <w:rFonts w:ascii="Times New Roman" w:eastAsia="Calibri" w:hAnsi="Times New Roman" w:cs="Times New Roman"/>
          <w:color w:val="000000"/>
          <w:lang w:val="lt-LT"/>
        </w:rPr>
        <w:t>Labai retai pranešta apie su kvetiapino vartojimu susijusias sunkias odos nepageidaujamas reakcijas (SNOR), įskaitant Stivenso ir Džonsono (</w:t>
      </w:r>
      <w:r w:rsidRPr="00A840FC">
        <w:rPr>
          <w:rFonts w:ascii="Times New Roman" w:eastAsia="Calibri" w:hAnsi="Times New Roman" w:cs="Times New Roman"/>
          <w:i/>
          <w:iCs/>
          <w:color w:val="000000"/>
          <w:lang w:val="lt-LT"/>
        </w:rPr>
        <w:t>Stevens-Johnson</w:t>
      </w:r>
      <w:r w:rsidRPr="00A840FC">
        <w:rPr>
          <w:rFonts w:ascii="Times New Roman" w:eastAsia="Calibri" w:hAnsi="Times New Roman" w:cs="Times New Roman"/>
          <w:color w:val="000000"/>
          <w:lang w:val="lt-LT"/>
        </w:rPr>
        <w:t xml:space="preserve">) sindromą (SJS), toksinę epidermio </w:t>
      </w:r>
      <w:r w:rsidRPr="00A840FC">
        <w:rPr>
          <w:rFonts w:ascii="Times New Roman" w:eastAsia="Calibri" w:hAnsi="Times New Roman" w:cs="Times New Roman"/>
          <w:color w:val="000000"/>
          <w:lang w:val="lt-LT"/>
        </w:rPr>
        <w:lastRenderedPageBreak/>
        <w:t>nekrolizę (TEN)</w:t>
      </w:r>
      <w:r w:rsidR="00D403A6">
        <w:rPr>
          <w:rFonts w:ascii="Times New Roman" w:eastAsia="Calibri" w:hAnsi="Times New Roman" w:cs="Times New Roman"/>
          <w:color w:val="000000"/>
          <w:lang w:val="lt-LT"/>
        </w:rPr>
        <w:t>, ū</w:t>
      </w:r>
      <w:r w:rsidR="00D403A6" w:rsidRPr="00D403A6">
        <w:rPr>
          <w:rFonts w:ascii="Times New Roman" w:eastAsia="Calibri" w:hAnsi="Times New Roman" w:cs="Times New Roman"/>
          <w:color w:val="000000"/>
          <w:lang w:val="lt-LT"/>
        </w:rPr>
        <w:t>min</w:t>
      </w:r>
      <w:r w:rsidR="00D403A6">
        <w:rPr>
          <w:rFonts w:ascii="Times New Roman" w:eastAsia="Calibri" w:hAnsi="Times New Roman" w:cs="Times New Roman"/>
          <w:color w:val="000000"/>
          <w:lang w:val="lt-LT"/>
        </w:rPr>
        <w:t>ę</w:t>
      </w:r>
      <w:r w:rsidR="00D403A6" w:rsidRPr="00D403A6">
        <w:rPr>
          <w:rFonts w:ascii="Times New Roman" w:eastAsia="Calibri" w:hAnsi="Times New Roman" w:cs="Times New Roman"/>
          <w:color w:val="000000"/>
          <w:lang w:val="lt-LT"/>
        </w:rPr>
        <w:t xml:space="preserve"> generalizuot</w:t>
      </w:r>
      <w:r w:rsidR="00D403A6">
        <w:rPr>
          <w:rFonts w:ascii="Times New Roman" w:eastAsia="Calibri" w:hAnsi="Times New Roman" w:cs="Times New Roman"/>
          <w:color w:val="000000"/>
          <w:lang w:val="lt-LT"/>
        </w:rPr>
        <w:t>ą</w:t>
      </w:r>
      <w:r w:rsidR="00D403A6" w:rsidRPr="00D403A6">
        <w:rPr>
          <w:rFonts w:ascii="Times New Roman" w:eastAsia="Calibri" w:hAnsi="Times New Roman" w:cs="Times New Roman"/>
          <w:color w:val="000000"/>
          <w:lang w:val="lt-LT"/>
        </w:rPr>
        <w:t xml:space="preserve"> egzantemin</w:t>
      </w:r>
      <w:r w:rsidR="00D403A6">
        <w:rPr>
          <w:rFonts w:ascii="Times New Roman" w:eastAsia="Calibri" w:hAnsi="Times New Roman" w:cs="Times New Roman"/>
          <w:color w:val="000000"/>
          <w:lang w:val="lt-LT"/>
        </w:rPr>
        <w:t>ę</w:t>
      </w:r>
      <w:r w:rsidR="00D403A6" w:rsidRPr="00D403A6">
        <w:rPr>
          <w:rFonts w:ascii="Times New Roman" w:eastAsia="Calibri" w:hAnsi="Times New Roman" w:cs="Times New Roman"/>
          <w:color w:val="000000"/>
          <w:lang w:val="lt-LT"/>
        </w:rPr>
        <w:t xml:space="preserve"> pustulioz</w:t>
      </w:r>
      <w:r w:rsidR="00D403A6">
        <w:rPr>
          <w:rFonts w:ascii="Times New Roman" w:eastAsia="Calibri" w:hAnsi="Times New Roman" w:cs="Times New Roman"/>
          <w:color w:val="000000"/>
          <w:lang w:val="lt-LT"/>
        </w:rPr>
        <w:t>ę</w:t>
      </w:r>
      <w:r w:rsidR="00D403A6" w:rsidRPr="00D403A6">
        <w:rPr>
          <w:rFonts w:ascii="Times New Roman" w:eastAsia="Calibri" w:hAnsi="Times New Roman" w:cs="Times New Roman"/>
          <w:color w:val="000000"/>
          <w:lang w:val="lt-LT"/>
        </w:rPr>
        <w:t xml:space="preserve"> (AGEP)</w:t>
      </w:r>
      <w:r w:rsidR="00D403A6">
        <w:rPr>
          <w:rFonts w:ascii="Times New Roman" w:eastAsia="Calibri" w:hAnsi="Times New Roman" w:cs="Times New Roman"/>
          <w:color w:val="000000"/>
          <w:lang w:val="lt-LT"/>
        </w:rPr>
        <w:t>, da</w:t>
      </w:r>
      <w:r w:rsidR="00D403A6" w:rsidRPr="00D403A6">
        <w:rPr>
          <w:rFonts w:ascii="Times New Roman" w:eastAsia="Calibri" w:hAnsi="Times New Roman" w:cs="Times New Roman"/>
          <w:color w:val="000000"/>
          <w:lang w:val="lt-LT"/>
        </w:rPr>
        <w:t>ugiaform</w:t>
      </w:r>
      <w:r w:rsidR="00D403A6">
        <w:rPr>
          <w:rFonts w:ascii="Times New Roman" w:eastAsia="Calibri" w:hAnsi="Times New Roman" w:cs="Times New Roman"/>
          <w:color w:val="000000"/>
          <w:lang w:val="lt-LT"/>
        </w:rPr>
        <w:t>ę</w:t>
      </w:r>
      <w:r w:rsidR="00D403A6" w:rsidRPr="00D403A6">
        <w:rPr>
          <w:rFonts w:ascii="Times New Roman" w:eastAsia="Calibri" w:hAnsi="Times New Roman" w:cs="Times New Roman"/>
          <w:color w:val="000000"/>
          <w:lang w:val="lt-LT"/>
        </w:rPr>
        <w:t xml:space="preserve"> raudon</w:t>
      </w:r>
      <w:r w:rsidR="00D403A6">
        <w:rPr>
          <w:rFonts w:ascii="Times New Roman" w:eastAsia="Calibri" w:hAnsi="Times New Roman" w:cs="Times New Roman"/>
          <w:color w:val="000000"/>
          <w:lang w:val="lt-LT"/>
        </w:rPr>
        <w:t xml:space="preserve">ę </w:t>
      </w:r>
      <w:r w:rsidR="00765952">
        <w:rPr>
          <w:rFonts w:ascii="Times New Roman" w:eastAsia="Calibri" w:hAnsi="Times New Roman" w:cs="Times New Roman"/>
          <w:color w:val="000000"/>
          <w:lang w:val="lt-LT"/>
        </w:rPr>
        <w:t>(</w:t>
      </w:r>
      <w:r w:rsidR="00765952" w:rsidRPr="001E0791">
        <w:rPr>
          <w:rFonts w:ascii="Times New Roman" w:eastAsia="Calibri" w:hAnsi="Times New Roman" w:cs="Times New Roman"/>
          <w:i/>
          <w:iCs/>
          <w:color w:val="000000"/>
          <w:lang w:val="lt-LT"/>
        </w:rPr>
        <w:t>erythema multiforme</w:t>
      </w:r>
      <w:r w:rsidR="00765952">
        <w:rPr>
          <w:rFonts w:ascii="Times New Roman" w:eastAsia="Calibri" w:hAnsi="Times New Roman" w:cs="Times New Roman"/>
          <w:color w:val="000000"/>
          <w:lang w:val="lt-LT"/>
        </w:rPr>
        <w:t>, EM</w:t>
      </w:r>
      <w:r w:rsidR="00D403A6">
        <w:rPr>
          <w:rFonts w:ascii="Times New Roman" w:eastAsia="Calibri" w:hAnsi="Times New Roman" w:cs="Times New Roman"/>
          <w:color w:val="000000"/>
          <w:lang w:val="lt-LT"/>
        </w:rPr>
        <w:t>)</w:t>
      </w:r>
      <w:r w:rsidRPr="00A840FC">
        <w:rPr>
          <w:rFonts w:ascii="Times New Roman" w:eastAsia="Calibri" w:hAnsi="Times New Roman" w:cs="Times New Roman"/>
          <w:color w:val="000000"/>
          <w:lang w:val="lt-LT"/>
        </w:rPr>
        <w:t xml:space="preserve"> ir reakciją į vaistinį preparatą su eozinofilija ir sisteminiais simptomais (angl. </w:t>
      </w:r>
      <w:r w:rsidRPr="00A840FC">
        <w:rPr>
          <w:rFonts w:ascii="Times New Roman" w:eastAsia="Times New Roman" w:hAnsi="Times New Roman" w:cs="Times New Roman"/>
          <w:i/>
          <w:iCs/>
          <w:color w:val="000000"/>
          <w:lang w:val="lt-LT"/>
        </w:rPr>
        <w:t>drug reaction with eosinophilia and systemic symptoms</w:t>
      </w:r>
      <w:r w:rsidRPr="00A840FC">
        <w:rPr>
          <w:rFonts w:ascii="Times New Roman" w:eastAsia="Times New Roman" w:hAnsi="Times New Roman" w:cs="Times New Roman"/>
          <w:color w:val="000000"/>
          <w:lang w:val="lt-LT"/>
        </w:rPr>
        <w:t xml:space="preserve">, </w:t>
      </w:r>
      <w:r w:rsidRPr="00A840FC">
        <w:rPr>
          <w:rFonts w:ascii="Times New Roman" w:eastAsia="Calibri" w:hAnsi="Times New Roman" w:cs="Times New Roman"/>
          <w:color w:val="000000"/>
          <w:lang w:val="lt-LT"/>
        </w:rPr>
        <w:t>DRESS), kurios gali būti pavojingos gyvybei arba mirtinos.</w:t>
      </w:r>
      <w:r w:rsidRPr="00A840FC">
        <w:rPr>
          <w:rFonts w:ascii="Times New Roman" w:eastAsia="Calibri" w:hAnsi="Times New Roman" w:cs="Times New Roman"/>
          <w:lang w:val="lt-LT"/>
        </w:rPr>
        <w:t xml:space="preserve"> </w:t>
      </w:r>
      <w:r w:rsidRPr="00A840FC">
        <w:rPr>
          <w:rFonts w:ascii="Times New Roman" w:eastAsia="Calibri" w:hAnsi="Times New Roman" w:cs="Times New Roman"/>
          <w:color w:val="000000"/>
          <w:lang w:val="lt-LT"/>
        </w:rPr>
        <w:t xml:space="preserve">SNOR paprastai pasireiškia </w:t>
      </w:r>
      <w:r w:rsidR="00D403A6">
        <w:rPr>
          <w:rFonts w:ascii="Times New Roman" w:eastAsia="Calibri" w:hAnsi="Times New Roman" w:cs="Times New Roman"/>
          <w:color w:val="000000"/>
          <w:lang w:val="lt-LT"/>
        </w:rPr>
        <w:t xml:space="preserve">vienu arba keliais toliau išvardytais simptomais: </w:t>
      </w:r>
      <w:r w:rsidRPr="00A840FC">
        <w:rPr>
          <w:rFonts w:ascii="Times New Roman" w:eastAsia="Calibri" w:hAnsi="Times New Roman" w:cs="Times New Roman"/>
          <w:color w:val="000000"/>
          <w:lang w:val="lt-LT"/>
        </w:rPr>
        <w:t>ekstensyv</w:t>
      </w:r>
      <w:r w:rsidR="00D403A6">
        <w:rPr>
          <w:rFonts w:ascii="Times New Roman" w:eastAsia="Calibri" w:hAnsi="Times New Roman" w:cs="Times New Roman"/>
          <w:color w:val="000000"/>
          <w:lang w:val="lt-LT"/>
        </w:rPr>
        <w:t>iu</w:t>
      </w:r>
      <w:r w:rsidRPr="00A840FC">
        <w:rPr>
          <w:rFonts w:ascii="Times New Roman" w:eastAsia="Calibri" w:hAnsi="Times New Roman" w:cs="Times New Roman"/>
          <w:color w:val="000000"/>
          <w:lang w:val="lt-LT"/>
        </w:rPr>
        <w:t xml:space="preserve"> odos išbėrim</w:t>
      </w:r>
      <w:r w:rsidR="00D403A6">
        <w:rPr>
          <w:rFonts w:ascii="Times New Roman" w:eastAsia="Calibri" w:hAnsi="Times New Roman" w:cs="Times New Roman"/>
          <w:color w:val="000000"/>
          <w:lang w:val="lt-LT"/>
        </w:rPr>
        <w:t>u</w:t>
      </w:r>
      <w:r w:rsidR="009C2192">
        <w:rPr>
          <w:rFonts w:ascii="Times New Roman" w:eastAsia="Calibri" w:hAnsi="Times New Roman" w:cs="Times New Roman"/>
          <w:color w:val="000000"/>
          <w:lang w:val="lt-LT"/>
        </w:rPr>
        <w:t xml:space="preserve"> (</w:t>
      </w:r>
      <w:r w:rsidR="00267135">
        <w:rPr>
          <w:rFonts w:ascii="Times New Roman" w:eastAsia="Calibri" w:hAnsi="Times New Roman" w:cs="Times New Roman"/>
          <w:color w:val="000000"/>
          <w:lang w:val="lt-LT"/>
        </w:rPr>
        <w:t>kuris gali kelti niežulį arba būti susijęs su pustulėmis</w:t>
      </w:r>
      <w:r w:rsidR="009C2192">
        <w:rPr>
          <w:rFonts w:ascii="Times New Roman" w:eastAsia="Calibri" w:hAnsi="Times New Roman" w:cs="Times New Roman"/>
          <w:color w:val="000000"/>
          <w:lang w:val="lt-LT"/>
        </w:rPr>
        <w:t xml:space="preserve">), </w:t>
      </w:r>
      <w:r w:rsidRPr="00A840FC">
        <w:rPr>
          <w:rFonts w:ascii="Times New Roman" w:eastAsia="Calibri" w:hAnsi="Times New Roman" w:cs="Times New Roman"/>
          <w:color w:val="000000"/>
          <w:lang w:val="lt-LT"/>
        </w:rPr>
        <w:t>eksfoliacini</w:t>
      </w:r>
      <w:r w:rsidR="00267135">
        <w:rPr>
          <w:rFonts w:ascii="Times New Roman" w:eastAsia="Calibri" w:hAnsi="Times New Roman" w:cs="Times New Roman"/>
          <w:color w:val="000000"/>
          <w:lang w:val="lt-LT"/>
        </w:rPr>
        <w:t>u</w:t>
      </w:r>
      <w:r w:rsidRPr="00A840FC">
        <w:rPr>
          <w:rFonts w:ascii="Times New Roman" w:eastAsia="Calibri" w:hAnsi="Times New Roman" w:cs="Times New Roman"/>
          <w:color w:val="000000"/>
          <w:lang w:val="lt-LT"/>
        </w:rPr>
        <w:t xml:space="preserve"> dermatit</w:t>
      </w:r>
      <w:r w:rsidR="00267135">
        <w:rPr>
          <w:rFonts w:ascii="Times New Roman" w:eastAsia="Calibri" w:hAnsi="Times New Roman" w:cs="Times New Roman"/>
          <w:color w:val="000000"/>
          <w:lang w:val="lt-LT"/>
        </w:rPr>
        <w:t>u</w:t>
      </w:r>
      <w:r w:rsidRPr="00A840FC">
        <w:rPr>
          <w:rFonts w:ascii="Times New Roman" w:eastAsia="Calibri" w:hAnsi="Times New Roman" w:cs="Times New Roman"/>
          <w:color w:val="000000"/>
          <w:lang w:val="lt-LT"/>
        </w:rPr>
        <w:t>, karščiavim</w:t>
      </w:r>
      <w:r w:rsidR="00267135">
        <w:rPr>
          <w:rFonts w:ascii="Times New Roman" w:eastAsia="Calibri" w:hAnsi="Times New Roman" w:cs="Times New Roman"/>
          <w:color w:val="000000"/>
          <w:lang w:val="lt-LT"/>
        </w:rPr>
        <w:t>u</w:t>
      </w:r>
      <w:r w:rsidRPr="00A840FC">
        <w:rPr>
          <w:rFonts w:ascii="Times New Roman" w:eastAsia="Calibri" w:hAnsi="Times New Roman" w:cs="Times New Roman"/>
          <w:color w:val="000000"/>
          <w:lang w:val="lt-LT"/>
        </w:rPr>
        <w:t>, limfadenopatija ir galima eozinofilija</w:t>
      </w:r>
      <w:r w:rsidR="00267135">
        <w:rPr>
          <w:rFonts w:ascii="Times New Roman" w:eastAsia="Calibri" w:hAnsi="Times New Roman" w:cs="Times New Roman"/>
          <w:color w:val="000000"/>
          <w:lang w:val="lt-LT"/>
        </w:rPr>
        <w:t xml:space="preserve"> arba </w:t>
      </w:r>
      <w:r w:rsidR="00267135" w:rsidRPr="00267135">
        <w:rPr>
          <w:rFonts w:ascii="Times New Roman" w:eastAsia="Calibri" w:hAnsi="Times New Roman" w:cs="Times New Roman"/>
          <w:color w:val="000000"/>
          <w:lang w:val="lt-LT"/>
        </w:rPr>
        <w:t>neutrofilija.</w:t>
      </w:r>
      <w:r w:rsidRPr="00A840FC">
        <w:rPr>
          <w:rFonts w:ascii="Times New Roman" w:eastAsia="Calibri" w:hAnsi="Times New Roman" w:cs="Times New Roman"/>
          <w:color w:val="000000"/>
          <w:lang w:val="lt-LT"/>
        </w:rPr>
        <w:t xml:space="preserve"> </w:t>
      </w:r>
      <w:r w:rsidR="00267135" w:rsidRPr="00267135">
        <w:rPr>
          <w:rFonts w:ascii="Times New Roman" w:eastAsia="Calibri" w:hAnsi="Times New Roman" w:cs="Times New Roman"/>
          <w:color w:val="000000"/>
          <w:lang w:val="lt-LT"/>
        </w:rPr>
        <w:t>Dauguma šių reakcijų pasireiškė per 4 savaites nuo gydymo kvetiapinu pradžios, kai kurios DRESS reakcijos pasireiškė per 6 savaites nuo gydymo kvetiapinu pradžios</w:t>
      </w:r>
      <w:r w:rsidR="008317AF">
        <w:rPr>
          <w:rFonts w:ascii="Times New Roman" w:eastAsia="Calibri" w:hAnsi="Times New Roman" w:cs="Times New Roman"/>
          <w:color w:val="000000"/>
          <w:lang w:val="lt-LT"/>
        </w:rPr>
        <w:t xml:space="preserve">. </w:t>
      </w:r>
      <w:r w:rsidRPr="00A840FC">
        <w:rPr>
          <w:rFonts w:ascii="Times New Roman" w:eastAsia="Calibri" w:hAnsi="Times New Roman" w:cs="Times New Roman"/>
          <w:color w:val="000000"/>
          <w:lang w:val="lt-LT"/>
        </w:rPr>
        <w:t>Jei atsiranda tokias sunkias odos reakcijas rodančių požymių ir simptomų, būtina nedelsiant nutraukti kvetiapino vartojimą ir apsvarstyti alternatyvų gydymą.</w:t>
      </w:r>
    </w:p>
    <w:p w14:paraId="1DBDE3BA" w14:textId="77777777" w:rsidR="00A840FC" w:rsidRPr="00A840FC" w:rsidRDefault="00A840FC" w:rsidP="00A840FC">
      <w:pPr>
        <w:spacing w:after="0" w:line="240" w:lineRule="auto"/>
        <w:rPr>
          <w:rFonts w:ascii="Times New Roman" w:eastAsia="Times New Roman" w:hAnsi="Times New Roman" w:cs="Times New Roman"/>
          <w:lang w:val="lt-LT"/>
        </w:rPr>
      </w:pPr>
    </w:p>
    <w:p w14:paraId="18D61537"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Nutraukimas</w:t>
      </w:r>
    </w:p>
    <w:p w14:paraId="67F88CC2"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Yra aprašyta, kad staiga nutraukus kvetiapino vartojimą atsirado ūminių nutraukimo simptomų, tokių kaip nemiga, pykinimas, galvos skausmas, viduriavimas, vėmimas, svaigulys ir irzlumas. Patartina vaistinio preparato vartojimą nutraukti palaipsniui, mažiausia per vieną ar dvi savaites (žr. 4.8 skyrių).</w:t>
      </w:r>
    </w:p>
    <w:p w14:paraId="453CEE01" w14:textId="77777777" w:rsidR="00A840FC" w:rsidRPr="00A840FC" w:rsidRDefault="00A840FC" w:rsidP="00A840FC">
      <w:pPr>
        <w:spacing w:after="0" w:line="240" w:lineRule="auto"/>
        <w:rPr>
          <w:rFonts w:ascii="Times New Roman" w:eastAsia="Times New Roman" w:hAnsi="Times New Roman" w:cs="Times New Roman"/>
          <w:lang w:val="lt-LT"/>
        </w:rPr>
      </w:pPr>
    </w:p>
    <w:p w14:paraId="4D837C0C"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 xml:space="preserve">Senyvi pacientai, kuriems yra su demencija susijusi psichozė </w:t>
      </w:r>
    </w:p>
    <w:p w14:paraId="483AB07A"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Kvetiapino vartojimas su demencija susijusios psichozės gydymui nėra patvirtintas.</w:t>
      </w:r>
    </w:p>
    <w:p w14:paraId="0E91032D" w14:textId="77777777" w:rsidR="00A840FC" w:rsidRPr="00A840FC" w:rsidRDefault="00A840FC" w:rsidP="00A840FC">
      <w:pPr>
        <w:spacing w:after="0" w:line="240" w:lineRule="auto"/>
        <w:rPr>
          <w:rFonts w:ascii="Times New Roman" w:eastAsia="Times New Roman" w:hAnsi="Times New Roman" w:cs="Times New Roman"/>
          <w:lang w:val="lt-LT"/>
        </w:rPr>
      </w:pPr>
    </w:p>
    <w:p w14:paraId="6C339A6E"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Atsitiktinių imčių placebu kontroliuojamų klinikinių tyrimų duomenimis, demencija sergantiems ir kai kurių atipinių antipsichozinių preparatų vartojantiems pacientams nepageidaujamų smegenų kraujagyslių reiškinių rizika padidėja maždaug tris kartus. Tokio rizikos padidėjimo mechanizmas nežinomas. Negalima paneigti šios rizikos padidėjimo vartojant kitų antipsichozinių preparatų ar kitoms pacientų grupėms. Pacientus, kuriems yra insulto rizikos veiksnių, kvetiapiną reikia gydyti atsargiai.</w:t>
      </w:r>
    </w:p>
    <w:p w14:paraId="12B859F0" w14:textId="77777777" w:rsidR="00A840FC" w:rsidRPr="00A840FC" w:rsidRDefault="00A840FC" w:rsidP="00A840FC">
      <w:pPr>
        <w:spacing w:after="0" w:line="240" w:lineRule="auto"/>
        <w:rPr>
          <w:rFonts w:ascii="Times New Roman" w:eastAsia="Times New Roman" w:hAnsi="Times New Roman" w:cs="Times New Roman"/>
          <w:lang w:val="lt-LT"/>
        </w:rPr>
      </w:pPr>
    </w:p>
    <w:p w14:paraId="455EF5EC"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Atipinių antipsichozinių preparatų metaanalizės duomenimis, senyviems pacientams, sergantiems su demencija susijusia psichoze, mirties rizika yra didesnė, negu pacientams, kurie vartoja placebo. Dviem 10 savaičių placebu kontroliuojamais kvetiapino tyrimais nustatyta, kad toje pačioje populiacijoje (n = 710, amžiaus vidurkis – 83, ribos nuo 56 iki 99 metų) kvetiapino vartojusių pacientų mirtingumas buvo 5,5 %, vartojusių placebo – 3,2 %. Šių tyrimų metu pacientai mirė dėl įvairių priežasčių, būdingų šiai populiacijai. </w:t>
      </w:r>
    </w:p>
    <w:p w14:paraId="670D3F3D" w14:textId="77777777" w:rsidR="00A840FC" w:rsidRPr="00A840FC" w:rsidRDefault="00A840FC" w:rsidP="00A840FC">
      <w:pPr>
        <w:spacing w:after="0" w:line="240" w:lineRule="auto"/>
        <w:rPr>
          <w:rFonts w:ascii="Times New Roman" w:eastAsia="Times New Roman" w:hAnsi="Times New Roman" w:cs="Times New Roman"/>
          <w:lang w:val="lt-LT"/>
        </w:rPr>
      </w:pPr>
    </w:p>
    <w:p w14:paraId="02400591" w14:textId="77777777" w:rsidR="00A840FC" w:rsidRPr="00A840FC" w:rsidRDefault="00A840FC" w:rsidP="00A840FC">
      <w:pPr>
        <w:spacing w:after="0" w:line="240" w:lineRule="auto"/>
        <w:rPr>
          <w:rFonts w:ascii="Times New Roman" w:eastAsia="Times New Roman" w:hAnsi="Times New Roman" w:cs="Times New Roman"/>
          <w:b/>
          <w:iCs/>
          <w:color w:val="000000"/>
          <w:lang w:val="lt-LT" w:eastAsia="lt-LT" w:bidi="lt-LT"/>
        </w:rPr>
      </w:pPr>
      <w:r w:rsidRPr="00A840FC">
        <w:rPr>
          <w:rFonts w:ascii="Times New Roman" w:eastAsia="Times New Roman" w:hAnsi="Times New Roman" w:cs="Times New Roman"/>
          <w:b/>
          <w:iCs/>
          <w:color w:val="000000"/>
          <w:lang w:val="lt-LT" w:eastAsia="lt-LT" w:bidi="lt-LT"/>
        </w:rPr>
        <w:t>Senyvi pacientai, sergantys Parkinsono liga (PL)/parkinsonizmu</w:t>
      </w:r>
    </w:p>
    <w:p w14:paraId="6D224F8F" w14:textId="77777777" w:rsidR="00A840FC" w:rsidRPr="00A840FC" w:rsidRDefault="00A840FC" w:rsidP="00A840FC">
      <w:pPr>
        <w:spacing w:after="0" w:line="240" w:lineRule="auto"/>
        <w:rPr>
          <w:rFonts w:ascii="Times New Roman" w:eastAsia="Times New Roman" w:hAnsi="Times New Roman" w:cs="Times New Roman"/>
          <w:color w:val="000000"/>
          <w:lang w:val="lt-LT" w:eastAsia="lt-LT" w:bidi="lt-LT"/>
        </w:rPr>
      </w:pPr>
      <w:r w:rsidRPr="00A840FC">
        <w:rPr>
          <w:rFonts w:ascii="Times New Roman" w:eastAsia="Times New Roman" w:hAnsi="Times New Roman" w:cs="Times New Roman"/>
          <w:color w:val="000000"/>
          <w:lang w:val="lt-LT" w:eastAsia="lt-LT" w:bidi="lt-LT"/>
        </w:rPr>
        <w:t>Populiacija paremtas retrospektyvinis DDE sergančių pacientų gydymo kvetiapinu tyrimas parodė padidėjusią mirties riziką &gt;65 metų pacientams kvetiapino vartojimo metu. Iš analizės pašalinus PL sergančius pacientus, tokio ryšio nebuvo. Senyviems PL sergantiems pacientams kvetiapino būtina skirti vartoti atsargiai.</w:t>
      </w:r>
    </w:p>
    <w:p w14:paraId="58531085" w14:textId="77777777" w:rsidR="00A840FC" w:rsidRPr="00A840FC" w:rsidRDefault="00A840FC" w:rsidP="00A840FC">
      <w:pPr>
        <w:spacing w:after="0" w:line="240" w:lineRule="auto"/>
        <w:rPr>
          <w:rFonts w:ascii="Times New Roman" w:eastAsia="Times New Roman" w:hAnsi="Times New Roman" w:cs="Times New Roman"/>
          <w:lang w:val="lt-LT"/>
        </w:rPr>
      </w:pPr>
    </w:p>
    <w:p w14:paraId="05AD9A8F" w14:textId="77777777" w:rsidR="00A840FC" w:rsidRPr="00A840FC" w:rsidRDefault="00A840FC" w:rsidP="00A840FC">
      <w:pPr>
        <w:keepNext/>
        <w:keepLine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Disfagija</w:t>
      </w:r>
    </w:p>
    <w:p w14:paraId="700F0410"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Gauta pranešimų apie kvetiapino sukeltą disfagiją (žr. 4.8 skyrių). Pacientams, kuriems yra aspiracinės pneumonijos rizika, kvetiapino reikia vartoti atsargiai.</w:t>
      </w:r>
    </w:p>
    <w:p w14:paraId="0B1BC8C9" w14:textId="77777777" w:rsidR="00A840FC" w:rsidRPr="00A840FC" w:rsidRDefault="00A840FC" w:rsidP="00A840FC">
      <w:pPr>
        <w:spacing w:after="0" w:line="240" w:lineRule="auto"/>
        <w:rPr>
          <w:rFonts w:ascii="Times New Roman" w:eastAsia="Times New Roman" w:hAnsi="Times New Roman" w:cs="Times New Roman"/>
          <w:lang w:val="lt-LT"/>
        </w:rPr>
      </w:pPr>
    </w:p>
    <w:p w14:paraId="43F27AF2"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Vidurių užkietėjimas ir žarnyno obstrukcija</w:t>
      </w:r>
    </w:p>
    <w:p w14:paraId="48636B08"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Vidurių užkietėjimas yra žarnyno obstrukcijos rizikos veiksnys. Gauta pranešimų apie kvetiapino vartojantiems pacientams pasireiškusį vidurių užkietėjimą ir žarnyno obstrukciją (žr. 4.8 skyrių). Buvo pranešimų apie mirties atvejus pacientams, kuriems buvo padidėjusi žarnyno obstrukcijos rizika, įskaitant pacientus, kurie tuo metu vartojo kelis žarnų motoriką slopinančius vaistinius preparatus ir (arba) galėjo nepranešti apie vidurių užkietėjimo simptomus. Būtina atidžiai stebėti pacientus, kuriems yra žarnyno obstrukcija ar nepraeinamumas ir skubiai pradėti jų gydymą.</w:t>
      </w:r>
    </w:p>
    <w:p w14:paraId="290DF8EF" w14:textId="77777777" w:rsidR="00A840FC" w:rsidRPr="00A840FC" w:rsidRDefault="00A840FC" w:rsidP="00A840FC">
      <w:pPr>
        <w:spacing w:after="0" w:line="240" w:lineRule="auto"/>
        <w:rPr>
          <w:rFonts w:ascii="Times New Roman" w:eastAsia="Times New Roman" w:hAnsi="Times New Roman" w:cs="Times New Roman"/>
          <w:lang w:val="lt-LT"/>
        </w:rPr>
      </w:pPr>
    </w:p>
    <w:p w14:paraId="1813B94D" w14:textId="77777777" w:rsidR="00A840FC" w:rsidRPr="00A840FC" w:rsidRDefault="00A840FC" w:rsidP="00A840FC">
      <w:pPr>
        <w:keepNext/>
        <w:keepLine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lastRenderedPageBreak/>
        <w:t>Venų tromboembolija (VTE)</w:t>
      </w:r>
    </w:p>
    <w:p w14:paraId="47B87598"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Vartojusiems antipsichozinius vaistinius preparatus buvo pastebėti venų tromboembolijos (VTE) atvejų. Kadangi antipsichoziniais preparatais gydomi pacientai dažnai turi įgytų VTE rizikos veiksnių, todėl prieš pradedant gydymą ir gydymo Ketipinor metu reikia nustatyti visus galimus rizikos veiksnius bei imtis profilaktikos priemonių.</w:t>
      </w:r>
    </w:p>
    <w:p w14:paraId="0A843205"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p>
    <w:p w14:paraId="0C7FAF94"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Pankreatitas</w:t>
      </w:r>
    </w:p>
    <w:p w14:paraId="197F785D"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Klinikinių tyrimų metu bei po preparato pasirodymo rinkoje gauta pranešimų apie pankreatito atvejus. </w:t>
      </w:r>
    </w:p>
    <w:p w14:paraId="4A395915" w14:textId="77777777" w:rsidR="00A840FC" w:rsidRPr="00A840FC" w:rsidRDefault="00A840FC" w:rsidP="00A840FC">
      <w:pPr>
        <w:tabs>
          <w:tab w:val="left" w:pos="567"/>
        </w:tabs>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Nors pankreatito rizikos veiksnių buvo nustatyta ne visais pateikus į rinką praneštais atvejais, tačiau daugelis pacientų jų turėjo – tai buvo padidėjusi trigliceridų koncentracija (žr. 4.4 skyrių), tulžies pūslės akmenys, alkoholinių gėrimų vartojimas.</w:t>
      </w:r>
    </w:p>
    <w:p w14:paraId="151B578B" w14:textId="77777777" w:rsidR="00A840FC" w:rsidRPr="00A840FC" w:rsidRDefault="00A840FC" w:rsidP="00A840FC">
      <w:pPr>
        <w:spacing w:after="0" w:line="240" w:lineRule="auto"/>
        <w:rPr>
          <w:rFonts w:ascii="Times New Roman" w:eastAsia="Times New Roman" w:hAnsi="Times New Roman" w:cs="Times New Roman"/>
          <w:lang w:val="lt-LT"/>
        </w:rPr>
      </w:pPr>
    </w:p>
    <w:p w14:paraId="54FA2BF6"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Netinkamas vartojimas ir piktnaudžiavimas</w:t>
      </w:r>
    </w:p>
    <w:p w14:paraId="1C756C9D"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Gauta pranešimų apie netinkamo vaistinio preparato vartojimo ir piktnaudžiavimo atvejus. Skiriant kvetiapino pacientams, kurie praeityje piktnaudžiavo alkoholiu arba vaistiniais preparatais, gali prireikti imtis atsargumo priemonių.</w:t>
      </w:r>
    </w:p>
    <w:p w14:paraId="5FD47A41" w14:textId="77777777" w:rsidR="00A840FC" w:rsidRPr="00A840FC" w:rsidRDefault="00A840FC" w:rsidP="00A840FC">
      <w:pPr>
        <w:spacing w:after="0" w:line="240" w:lineRule="auto"/>
        <w:rPr>
          <w:rFonts w:ascii="Times New Roman" w:eastAsia="Times New Roman" w:hAnsi="Times New Roman" w:cs="Times New Roman"/>
          <w:lang w:val="lt-LT"/>
        </w:rPr>
      </w:pPr>
    </w:p>
    <w:p w14:paraId="75630ACB"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Papildoma informacija</w:t>
      </w:r>
    </w:p>
    <w:p w14:paraId="73A1FF42"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Duomenų apie kvetiapino vartojimą kartu su divalproeksu ar ličiu, gydant vidutinio sunkumo ar sunkius manijos epizodus, yra nedaug, bet sudėtinis gydymas buvo toleruojamas gerai (žr. 4.8 ir 5.1 skyrius). Nustatyta, kad 3 savaitę pasireiškia adityvus poveikis.</w:t>
      </w:r>
    </w:p>
    <w:p w14:paraId="28CA8E60" w14:textId="77777777" w:rsidR="00A840FC" w:rsidRPr="00A840FC" w:rsidRDefault="00A840FC" w:rsidP="00A840FC">
      <w:pPr>
        <w:spacing w:after="0" w:line="240" w:lineRule="auto"/>
        <w:rPr>
          <w:rFonts w:ascii="Times New Roman" w:eastAsia="Times New Roman" w:hAnsi="Times New Roman" w:cs="Times New Roman"/>
          <w:lang w:val="lt-LT"/>
        </w:rPr>
      </w:pPr>
    </w:p>
    <w:p w14:paraId="7DC4B50A" w14:textId="77777777" w:rsidR="00A840FC" w:rsidRPr="00A840FC" w:rsidRDefault="00A840FC" w:rsidP="001E0791">
      <w:pPr>
        <w:keepNext/>
        <w:keepLine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Pagalbinės medžiagos</w:t>
      </w:r>
    </w:p>
    <w:p w14:paraId="7E623B5D" w14:textId="77777777" w:rsidR="00A840FC" w:rsidRPr="00A840FC" w:rsidRDefault="00A840FC" w:rsidP="001E0791">
      <w:pPr>
        <w:keepNext/>
        <w:keepLine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Ketipinor 100 mg, 200 mg ir 300 mg tabletėse yra laktozės. Šio vaistinio preparato negalima vartoti pacientams, kuriems nustatytas retas paveldimas sutrikimas galaktozės netoleravimas, visiškas laktazės stygius arba gliukozės ir galaktozės malabsorbcija.</w:t>
      </w:r>
    </w:p>
    <w:p w14:paraId="198C4D02" w14:textId="77777777" w:rsidR="00A840FC" w:rsidRPr="00A840FC" w:rsidRDefault="00A840FC" w:rsidP="00A840FC">
      <w:pPr>
        <w:spacing w:after="0" w:line="240" w:lineRule="auto"/>
        <w:rPr>
          <w:rFonts w:ascii="Times New Roman" w:eastAsia="Arial Unicode MS" w:hAnsi="Times New Roman" w:cs="Times New Roman"/>
          <w:lang w:val="lt-LT"/>
        </w:rPr>
      </w:pPr>
    </w:p>
    <w:p w14:paraId="367300B2" w14:textId="3D117C01"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Šio vaistinio preparato tabletėje yra mažiau kaip 1 mmol (23 mg) natrio, t.</w:t>
      </w:r>
      <w:r w:rsidR="003763F7">
        <w:rPr>
          <w:rFonts w:ascii="Times New Roman" w:eastAsia="Arial Unicode MS" w:hAnsi="Times New Roman" w:cs="Times New Roman"/>
          <w:lang w:val="lt-LT"/>
        </w:rPr>
        <w:t> </w:t>
      </w:r>
      <w:r w:rsidRPr="00A840FC">
        <w:rPr>
          <w:rFonts w:ascii="Times New Roman" w:eastAsia="Arial Unicode MS" w:hAnsi="Times New Roman" w:cs="Times New Roman"/>
          <w:lang w:val="lt-LT"/>
        </w:rPr>
        <w:t>y. jis beveik neturi reikšmės.</w:t>
      </w:r>
    </w:p>
    <w:p w14:paraId="74EE84A1" w14:textId="77777777" w:rsidR="00A840FC" w:rsidRPr="00A840FC" w:rsidRDefault="00A840FC" w:rsidP="00A840FC">
      <w:pPr>
        <w:spacing w:after="0" w:line="240" w:lineRule="auto"/>
        <w:rPr>
          <w:rFonts w:ascii="Times New Roman" w:eastAsia="Arial Unicode MS" w:hAnsi="Times New Roman" w:cs="Times New Roman"/>
          <w:lang w:val="lt-LT"/>
        </w:rPr>
      </w:pPr>
    </w:p>
    <w:p w14:paraId="7D62F7C4" w14:textId="77777777" w:rsidR="00A840FC" w:rsidRPr="00A840FC" w:rsidRDefault="00A840FC" w:rsidP="00A840F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4" w:name="_Toc129243106"/>
      <w:bookmarkStart w:id="25" w:name="_Toc129243231"/>
      <w:r w:rsidRPr="00A840FC">
        <w:rPr>
          <w:rFonts w:ascii="Times New Roman" w:eastAsia="Times New Roman" w:hAnsi="Times New Roman" w:cs="Times New Roman"/>
          <w:b/>
          <w:kern w:val="28"/>
          <w:lang w:val="lt-LT"/>
        </w:rPr>
        <w:t>4.5</w:t>
      </w:r>
      <w:r w:rsidRPr="00A840FC">
        <w:rPr>
          <w:rFonts w:ascii="Times New Roman" w:eastAsia="Times New Roman" w:hAnsi="Times New Roman" w:cs="Times New Roman"/>
          <w:b/>
          <w:kern w:val="28"/>
          <w:lang w:val="lt-LT"/>
        </w:rPr>
        <w:tab/>
        <w:t>Sąveika su kitais vaistiniais preparatais ir kitokia sąveika</w:t>
      </w:r>
      <w:bookmarkEnd w:id="24"/>
      <w:bookmarkEnd w:id="25"/>
    </w:p>
    <w:p w14:paraId="58C80DF7" w14:textId="77777777" w:rsidR="00A840FC" w:rsidRPr="00A840FC" w:rsidRDefault="00A840FC" w:rsidP="00A840FC">
      <w:pPr>
        <w:keepNext/>
        <w:keepLines/>
        <w:spacing w:after="0" w:line="240" w:lineRule="auto"/>
        <w:rPr>
          <w:rFonts w:ascii="Times New Roman" w:eastAsia="Arial Unicode MS" w:hAnsi="Times New Roman" w:cs="Times New Roman"/>
          <w:lang w:val="lt-LT"/>
        </w:rPr>
      </w:pPr>
    </w:p>
    <w:p w14:paraId="0DCCAF00"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Atsižvelgiant į pagrindinį kvetiapino poveikį centrinei nervų sistemai, kvetiapinas kartu su kitais centrinio poveikio preparatais ir alkoholiu turi būti vartojamas atsargiai.</w:t>
      </w:r>
    </w:p>
    <w:p w14:paraId="0062468E" w14:textId="77777777" w:rsidR="00A840FC" w:rsidRDefault="00A840FC" w:rsidP="00A840FC">
      <w:pPr>
        <w:keepNext/>
        <w:keepLines/>
        <w:spacing w:after="0" w:line="240" w:lineRule="auto"/>
        <w:rPr>
          <w:rFonts w:ascii="Times New Roman" w:eastAsia="Times New Roman" w:hAnsi="Times New Roman" w:cs="Times New Roman"/>
          <w:lang w:val="lt-LT"/>
        </w:rPr>
      </w:pPr>
    </w:p>
    <w:p w14:paraId="2191357E" w14:textId="77777777" w:rsidR="00B01C57" w:rsidRPr="006A2CAD" w:rsidRDefault="00B01C57" w:rsidP="00B01C57">
      <w:pPr>
        <w:spacing w:after="0" w:line="240" w:lineRule="auto"/>
        <w:rPr>
          <w:rFonts w:ascii="Times New Roman" w:eastAsia="Calibri" w:hAnsi="Times New Roman" w:cs="Times New Roman"/>
          <w:color w:val="000000"/>
          <w:lang w:val="lt-LT"/>
        </w:rPr>
      </w:pPr>
      <w:r w:rsidRPr="006A2CAD">
        <w:rPr>
          <w:rFonts w:ascii="Times New Roman" w:eastAsia="Calibri" w:hAnsi="Times New Roman" w:cs="Times New Roman"/>
          <w:color w:val="000000"/>
          <w:lang w:val="lt-LT"/>
        </w:rPr>
        <w:t>Kvetiapiną reikia atsargiai vartoti kartu su serotoninerginiais vaistiniais preparatais, pavyzdžiui, MAO inhibitoriais, selektyviaisiais serotonino reabsorbcijos inhibitoriais (SSRI), serotonino ir noradrenalino reabsorbcijos inhibitoriais (SNRI) arba tricikliais antidepresantais, nes padidėja serotonino sindromo (sutrikimo, galinčio kelti pavojų gyvybei) išsivystymo rizika (žr. 4.4 skyrių).</w:t>
      </w:r>
    </w:p>
    <w:p w14:paraId="5E1F3F17" w14:textId="77777777" w:rsidR="00B01C57" w:rsidRPr="00A840FC" w:rsidRDefault="00B01C57" w:rsidP="00A840FC">
      <w:pPr>
        <w:keepNext/>
        <w:keepLines/>
        <w:spacing w:after="0" w:line="240" w:lineRule="auto"/>
        <w:rPr>
          <w:rFonts w:ascii="Times New Roman" w:eastAsia="Times New Roman" w:hAnsi="Times New Roman" w:cs="Times New Roman"/>
          <w:lang w:val="lt-LT"/>
        </w:rPr>
      </w:pPr>
    </w:p>
    <w:p w14:paraId="553967DD"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Pacientams, vartojantiems kitus anticholinerginius (muskarininius) vaistinius preparatus kvetiapino reikia skirti atsargiai (žr. 4.4 skyrių).</w:t>
      </w:r>
    </w:p>
    <w:p w14:paraId="16525E8F"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p>
    <w:p w14:paraId="71024A92"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Citochromas P450 (CYP) 3A4 yra svarbiausias nuo citochromo P450 priklausomo kvetiapino metabolizmo fermentas. Sąveikos tyrimais, kuriuose dalyvavo sveiki savanoriai, nustatyta, kad kartu vartojant 25 mg kvetiapino dozę ir CYP3A4 inhibitorių ketokonazolą, kvetiapino AUC padidėjo 5–8 kartus. Atsižvelgiant į šiuos duomenis, kvetiapino ir CYP3A4 inhibitorių kartu vartoti draudžiama. Gydantis kvetiapinu rekomenduojama nevartoti greipfrutų sulčių.</w:t>
      </w:r>
    </w:p>
    <w:p w14:paraId="7FF3ACD6" w14:textId="77777777" w:rsidR="00A840FC" w:rsidRPr="00A840FC" w:rsidRDefault="00A840FC" w:rsidP="00A840FC">
      <w:pPr>
        <w:spacing w:after="0" w:line="240" w:lineRule="auto"/>
        <w:rPr>
          <w:rFonts w:ascii="Times New Roman" w:eastAsia="Times New Roman" w:hAnsi="Times New Roman" w:cs="Times New Roman"/>
          <w:lang w:val="lt-LT"/>
        </w:rPr>
      </w:pPr>
    </w:p>
    <w:p w14:paraId="423A79DD"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Klinikiniu tyrimu vertinta kartotinėmis dozėmis vartojamo kvetiapino farmakokinetika prieš gydymą karbamazepinu (kepenų fermentus sužadinančiu preparatu) bei jo metu. Nustatyta, kad kartu vartojant karbamazepiną, reikšmingai padidėja kvetiapino klirensas. Dėl to vidutiniškai 13 %sumažėja sisteminė kvetiapino ekspozicija (vertinant AUC), palyginti su būnančia vartojant vieną kvetiapiną. Vis dėlto kai kuriems pacientams pasireiškė stipresnis poveikis. Dėl minėtos sąveikos gali sumažėti kvetiapino koncentracija plazmoje bei pakisti gydymo veiksmingumas.</w:t>
      </w:r>
    </w:p>
    <w:p w14:paraId="5861F152"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p>
    <w:p w14:paraId="4073AF0E"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lastRenderedPageBreak/>
        <w:t>Kartu su fenitoinu (kitu mikrosominių fermentų induktoriumi) vartoto kvetiapino klirensas gerokai (maždaug 450 %) padidėjo.</w:t>
      </w:r>
    </w:p>
    <w:p w14:paraId="310F84E1" w14:textId="77777777" w:rsidR="00A840FC" w:rsidRPr="00A840FC" w:rsidRDefault="00A840FC" w:rsidP="00A840FC">
      <w:pPr>
        <w:spacing w:after="0" w:line="240" w:lineRule="auto"/>
        <w:rPr>
          <w:rFonts w:ascii="Times New Roman" w:eastAsia="Times New Roman" w:hAnsi="Times New Roman" w:cs="Times New Roman"/>
          <w:lang w:val="lt-LT"/>
        </w:rPr>
      </w:pPr>
    </w:p>
    <w:p w14:paraId="3B696895"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Jei pacientas vartoja kepenų fermentus sužadinančių vaistinių preparatų, pradėti gydymą kvetiapinu galima tik tuo atveju, jei, gydytojo manymu, gydymo kvetiapinu nauda pranoksta žalą dėl gydymo kepenų fermentus sužadinančiu preparatu nutraukimo. Labai svarbu, kad bet kurio kepenų fermentų induktoriaus dozė būtų keičiama laipsniškai ir, jei reikia, vietoj jų pradedama gydyti kepenų fermentų nesužadinančiu vaistiniu preparatu, pavyzdžiui, natrio valproatu (žr. 4.4 skyrių).</w:t>
      </w:r>
    </w:p>
    <w:p w14:paraId="55DDE27C" w14:textId="77777777" w:rsidR="00A840FC" w:rsidRPr="00A840FC" w:rsidRDefault="00A840FC" w:rsidP="00A840FC">
      <w:pPr>
        <w:spacing w:after="0" w:line="240" w:lineRule="auto"/>
        <w:rPr>
          <w:rFonts w:ascii="Times New Roman" w:eastAsia="Times New Roman" w:hAnsi="Times New Roman" w:cs="Times New Roman"/>
          <w:lang w:val="lt-LT"/>
        </w:rPr>
      </w:pPr>
    </w:p>
    <w:p w14:paraId="3C469E64"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Kartu su antidepresantais imipraminu (CYP2D6 inhibitorius) ar fluoksetinu (CYP3A4 ir CYP2D6 inhibitorius) vartojamo kvetiapino farmakokinetika reikšmingai nepakito.</w:t>
      </w:r>
    </w:p>
    <w:p w14:paraId="7C373904"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p>
    <w:p w14:paraId="6D9354B9" w14:textId="77777777" w:rsidR="00A840FC" w:rsidRPr="00A840FC" w:rsidRDefault="00A840FC" w:rsidP="00A840FC">
      <w:pPr>
        <w:keepNext/>
        <w:keepLines/>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Kartu vartoti vaistiniai preparatai nuo psichozės risperidonas ir haloperidolis kvetiapino farmakokinetikos reikšmingai nepakeitė. Kartu su tioridazinu vartoto kvetiapino klirensas padidėjo maždaug 70 %.</w:t>
      </w:r>
    </w:p>
    <w:p w14:paraId="48262A3A"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p>
    <w:p w14:paraId="7B2ED7FF"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Kartu su cimetidinu vartojamo kvetiapino farmakokinetika nepakito.</w:t>
      </w:r>
    </w:p>
    <w:p w14:paraId="4F21452D"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p>
    <w:p w14:paraId="4A67ACC8"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Kartu su ličiu vartojamo kvetiapino farmakokinetika nepakito.</w:t>
      </w:r>
    </w:p>
    <w:p w14:paraId="065C61E8"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p>
    <w:p w14:paraId="2124AE51"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Calibri" w:hAnsi="Times New Roman" w:cs="Times New Roman"/>
          <w:lang w:val="lt-LT"/>
        </w:rPr>
        <w:t>6 savaičių atsitiktinių imčių ličio ir kvetiapino pailginto atpalaidavimo tablečių derinio bei placebo ir kvetiapino pailginto atpalaidavimo tablečių derinio poveikio suaugusiems pacientams, kuriems yra ūminė manija, palyginimo tyrimo metu</w:t>
      </w:r>
      <w:r w:rsidRPr="00A840FC">
        <w:rPr>
          <w:rFonts w:ascii="Times New Roman" w:eastAsia="Times New Roman" w:hAnsi="Times New Roman" w:cs="Times New Roman"/>
          <w:lang w:val="lt-LT"/>
        </w:rPr>
        <w:t xml:space="preserve"> pacientams, kurie papildomai vartojo ličio, palyginti su vartojusiais placebo, dažniau atsirado ekstrapiramidinių reiškinių (ypač tremoras) bei somnolencija ir padidėjo kūno svoris (žr. 5.1 skyrių).</w:t>
      </w:r>
    </w:p>
    <w:p w14:paraId="17401346"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p>
    <w:p w14:paraId="1030209A" w14:textId="77777777" w:rsidR="00A840FC" w:rsidRPr="00A840FC" w:rsidRDefault="00A840FC" w:rsidP="001E0791">
      <w:pPr>
        <w:keepNext/>
        <w:keepLines/>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Kartu vartojant natrio valproatą ir kvetiapiną, nė vieno preparato farmakokinetika kliniškai reikšmingai nepakito. Retrospektyvūs vaikų ir paauglių, vartojusių valproato, kvetiapino arba abiejų medžiagų derinį, tyrimai parodė, kad didesnė leukopenijos ir neutropenijos tikimybė yra šių vaistinių preparatų vartojant kartu, negu po vieną.</w:t>
      </w:r>
    </w:p>
    <w:p w14:paraId="215F61F4"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p>
    <w:p w14:paraId="633D9558"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Formalių kvetiapino ir dažniausiai vartojamų vaistinių preparatų nuo širdies ir kraujagyslių sistemos sutrikimų sąveikos tyrimų neatlikta.</w:t>
      </w:r>
    </w:p>
    <w:p w14:paraId="4C974AA7"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p>
    <w:p w14:paraId="6317C1E8" w14:textId="77777777" w:rsidR="00A840FC" w:rsidRPr="00A840FC" w:rsidRDefault="00A840FC" w:rsidP="00A840FC">
      <w:pPr>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Kvetiapino vartoti kartu su kitais vaistiniais preparatais, kurie sutrikdo elektrolitų pusiausvyrą ar ilgina QT intervalą, reikia atsargiai.</w:t>
      </w:r>
    </w:p>
    <w:p w14:paraId="2176C7EF" w14:textId="77777777" w:rsidR="00A840FC" w:rsidRPr="00A840FC" w:rsidRDefault="00A840FC" w:rsidP="00A840FC">
      <w:pPr>
        <w:spacing w:after="0" w:line="240" w:lineRule="auto"/>
        <w:rPr>
          <w:rFonts w:ascii="Times New Roman" w:eastAsia="Calibri" w:hAnsi="Times New Roman" w:cs="Times New Roman"/>
          <w:lang w:val="lt-LT"/>
        </w:rPr>
      </w:pPr>
    </w:p>
    <w:p w14:paraId="64E0EFD1" w14:textId="77777777" w:rsidR="00A840FC" w:rsidRPr="00A840FC" w:rsidRDefault="00A840FC" w:rsidP="00A840FC">
      <w:pPr>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Gauta pranešimų apie klaidingai teigiamus metadono ir triciklių antidepresantų imunofermentinių tyrimų duomenis kvetiapiną vartojantiems pacientams. Abejotinus imunofermentinių tyrimų duomenis rekomenduojama patvirtinti tinkamais chromatografiniais metodais.</w:t>
      </w:r>
    </w:p>
    <w:p w14:paraId="245D1685"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p>
    <w:p w14:paraId="2235ADE1" w14:textId="77777777" w:rsidR="00A840FC" w:rsidRPr="00A840FC" w:rsidRDefault="00A840FC" w:rsidP="00A840F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6" w:name="_Toc129243107"/>
      <w:bookmarkStart w:id="27" w:name="_Toc129243232"/>
      <w:r w:rsidRPr="00A840FC">
        <w:rPr>
          <w:rFonts w:ascii="Times New Roman" w:eastAsia="Times New Roman" w:hAnsi="Times New Roman" w:cs="Times New Roman"/>
          <w:b/>
          <w:kern w:val="28"/>
          <w:lang w:val="lt-LT"/>
        </w:rPr>
        <w:t>4.6</w:t>
      </w:r>
      <w:r w:rsidRPr="00A840FC">
        <w:rPr>
          <w:rFonts w:ascii="Times New Roman" w:eastAsia="Times New Roman" w:hAnsi="Times New Roman" w:cs="Times New Roman"/>
          <w:b/>
          <w:kern w:val="28"/>
          <w:lang w:val="lt-LT"/>
        </w:rPr>
        <w:tab/>
        <w:t>Vaisingumas, nėštumo ir žindymo laikotarpis</w:t>
      </w:r>
      <w:bookmarkEnd w:id="26"/>
      <w:bookmarkEnd w:id="27"/>
    </w:p>
    <w:p w14:paraId="005C681C" w14:textId="77777777" w:rsidR="00A840FC" w:rsidRPr="00A840FC" w:rsidRDefault="00A840FC" w:rsidP="00A840FC">
      <w:pPr>
        <w:spacing w:after="0" w:line="240" w:lineRule="auto"/>
        <w:rPr>
          <w:rFonts w:ascii="Times New Roman" w:eastAsia="Arial Unicode MS" w:hAnsi="Times New Roman" w:cs="Times New Roman"/>
          <w:lang w:val="lt-LT"/>
        </w:rPr>
      </w:pPr>
    </w:p>
    <w:p w14:paraId="7412A5B4" w14:textId="77777777" w:rsidR="00A840FC" w:rsidRPr="00A840FC" w:rsidRDefault="00A840FC" w:rsidP="00A840FC">
      <w:pPr>
        <w:keepNext/>
        <w:keepLines/>
        <w:spacing w:after="0" w:line="240" w:lineRule="auto"/>
        <w:rPr>
          <w:rFonts w:ascii="Times New Roman" w:eastAsia="Times New Roman" w:hAnsi="Times New Roman" w:cs="Times New Roman"/>
          <w:u w:val="single"/>
          <w:lang w:val="lt-LT"/>
        </w:rPr>
      </w:pPr>
      <w:r w:rsidRPr="00A840FC">
        <w:rPr>
          <w:rFonts w:ascii="Times New Roman" w:eastAsia="Times New Roman" w:hAnsi="Times New Roman" w:cs="Times New Roman"/>
          <w:u w:val="single"/>
          <w:lang w:val="lt-LT"/>
        </w:rPr>
        <w:t>Nėštumas</w:t>
      </w:r>
      <w:r w:rsidRPr="00A840FC" w:rsidDel="00C26DC1">
        <w:rPr>
          <w:rFonts w:ascii="Times New Roman" w:eastAsia="Times New Roman" w:hAnsi="Times New Roman" w:cs="Times New Roman"/>
          <w:u w:val="single"/>
          <w:lang w:val="lt-LT"/>
        </w:rPr>
        <w:t xml:space="preserve"> </w:t>
      </w:r>
    </w:p>
    <w:p w14:paraId="0A6BD8B1" w14:textId="77777777" w:rsidR="00A840FC" w:rsidRPr="00A840FC" w:rsidRDefault="00A840FC" w:rsidP="00A840FC">
      <w:pPr>
        <w:keepNext/>
        <w:keepLines/>
        <w:spacing w:after="0" w:line="240" w:lineRule="auto"/>
        <w:rPr>
          <w:rFonts w:ascii="Times New Roman" w:eastAsia="Calibri" w:hAnsi="Times New Roman" w:cs="Times New Roman"/>
          <w:i/>
          <w:lang w:val="lt-LT"/>
        </w:rPr>
      </w:pPr>
      <w:r w:rsidRPr="00A840FC">
        <w:rPr>
          <w:rFonts w:ascii="Times New Roman" w:eastAsia="Calibri" w:hAnsi="Times New Roman" w:cs="Times New Roman"/>
          <w:i/>
          <w:lang w:val="lt-LT"/>
        </w:rPr>
        <w:t>Pirmasis trimestras</w:t>
      </w:r>
    </w:p>
    <w:p w14:paraId="6664A82F" w14:textId="77777777" w:rsidR="00A840FC" w:rsidRPr="00A840FC" w:rsidRDefault="00A840FC" w:rsidP="00A840FC">
      <w:pPr>
        <w:keepNext/>
        <w:keepLines/>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Vidutinis kiekis nėščių moterų tyrimų duomenų (apie 300 – 1000 nėštumų baigčių), įskaitant pranešimų apie atskirus atvejus bei kai kurių stebėjimo tyrimų duomenis, nerodo su gydymu susijusio apsigimimų rizikos padidėjimo. Vis dėlto, remiantis turimais duomenimis, galutinės išvados padaryti negalima. Su gyvūnais atlikti tyrimai parodė toksinį poveikį reprodukcijai (žr. 5.3 skyrių). Dėl šių priežasčių kvetiapino nėštumo laikotarpiu galima vartoti tik tuo atveju, jei nauda viršija galimą riziką.</w:t>
      </w:r>
    </w:p>
    <w:p w14:paraId="3E950185" w14:textId="77777777" w:rsidR="00A840FC" w:rsidRPr="00A840FC" w:rsidRDefault="00A840FC" w:rsidP="00A840FC">
      <w:pPr>
        <w:keepNext/>
        <w:keepLines/>
        <w:spacing w:after="0" w:line="240" w:lineRule="auto"/>
        <w:rPr>
          <w:rFonts w:ascii="Times New Roman" w:eastAsia="Calibri" w:hAnsi="Times New Roman" w:cs="Times New Roman"/>
          <w:lang w:val="lt-LT"/>
        </w:rPr>
      </w:pPr>
    </w:p>
    <w:p w14:paraId="75681B1D" w14:textId="77777777" w:rsidR="00A840FC" w:rsidRPr="00A840FC" w:rsidRDefault="00A840FC" w:rsidP="00A840FC">
      <w:pPr>
        <w:keepNext/>
        <w:keepLines/>
        <w:spacing w:after="0" w:line="240" w:lineRule="auto"/>
        <w:rPr>
          <w:rFonts w:ascii="Times New Roman" w:eastAsia="Calibri" w:hAnsi="Times New Roman" w:cs="Times New Roman"/>
          <w:i/>
          <w:lang w:val="lt-LT"/>
        </w:rPr>
      </w:pPr>
      <w:r w:rsidRPr="00A840FC">
        <w:rPr>
          <w:rFonts w:ascii="Times New Roman" w:eastAsia="Calibri" w:hAnsi="Times New Roman" w:cs="Times New Roman"/>
          <w:i/>
          <w:lang w:val="lt-LT"/>
        </w:rPr>
        <w:t>Trečiasis trimestras</w:t>
      </w:r>
    </w:p>
    <w:p w14:paraId="35E51289" w14:textId="77777777" w:rsidR="00A840FC" w:rsidRPr="00A840FC" w:rsidRDefault="00A840FC" w:rsidP="00A840FC">
      <w:pPr>
        <w:autoSpaceDE w:val="0"/>
        <w:autoSpaceDN w:val="0"/>
        <w:adjustRightInd w:val="0"/>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 xml:space="preserve">Naujagimiams, kurių motinos trečiojo nėštumo trimestro laikotarpiu vartojo vaistinių preparatų nuo psichozės (įskaitant kvetiapiną), gali atsirasti nepageidaujamų reakcijų, įskaitant ekstrapiramidinius ir (arba) nutraukimo simptomus, kurių sunkumas ir trukmė po gimimo gali būti įvairi. Gauta pranešimų </w:t>
      </w:r>
      <w:r w:rsidRPr="00A840FC">
        <w:rPr>
          <w:rFonts w:ascii="Times New Roman" w:eastAsia="Calibri" w:hAnsi="Times New Roman" w:cs="Times New Roman"/>
          <w:lang w:val="lt-LT"/>
        </w:rPr>
        <w:lastRenderedPageBreak/>
        <w:t>apie ažitaciją, hipertoniją, hipotoniją, tremorą, somnolenciją, kvėpavimo ar maitinimosi sutrikimą. Vadinasi, naujagimio būklę būtina atidžiai stebėti.</w:t>
      </w:r>
    </w:p>
    <w:p w14:paraId="3004D3EF"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p>
    <w:p w14:paraId="44433A36" w14:textId="77777777" w:rsidR="00A840FC" w:rsidRPr="00A840FC" w:rsidRDefault="00A840FC" w:rsidP="00A840FC">
      <w:pPr>
        <w:keepNext/>
        <w:keepLines/>
        <w:spacing w:after="0" w:line="240" w:lineRule="auto"/>
        <w:rPr>
          <w:rFonts w:ascii="Times New Roman" w:eastAsia="Times New Roman" w:hAnsi="Times New Roman" w:cs="Times New Roman"/>
          <w:u w:val="single"/>
          <w:lang w:val="lt-LT"/>
        </w:rPr>
      </w:pPr>
      <w:r w:rsidRPr="00A840FC">
        <w:rPr>
          <w:rFonts w:ascii="Times New Roman" w:eastAsia="Times New Roman" w:hAnsi="Times New Roman" w:cs="Times New Roman"/>
          <w:u w:val="single"/>
          <w:lang w:val="lt-LT"/>
        </w:rPr>
        <w:t>Žindymas</w:t>
      </w:r>
      <w:r w:rsidRPr="00A840FC" w:rsidDel="00C26DC1">
        <w:rPr>
          <w:rFonts w:ascii="Times New Roman" w:eastAsia="Times New Roman" w:hAnsi="Times New Roman" w:cs="Times New Roman"/>
          <w:u w:val="single"/>
          <w:lang w:val="lt-LT"/>
        </w:rPr>
        <w:t xml:space="preserve"> </w:t>
      </w:r>
    </w:p>
    <w:p w14:paraId="621D00E8"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Remiantis labai nedideliu kiekiu paskelbtų pranešimų, kvetiapino išsiskyrimas į motinos pieną, vartojant terapines dozes, būna labai netolygus. Kadangi nėra patikimų duomenų, atsižvelgiant į žindymo naudą kūdikiui ir gydymo naudą motinai, reikia nuspręsti, ar nutraukti žindymą ar nutraukti ar susilaikyti nuo gydymo Ketipinor.</w:t>
      </w:r>
    </w:p>
    <w:p w14:paraId="0DB8B594"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p>
    <w:p w14:paraId="021A9475" w14:textId="77777777" w:rsidR="00A840FC" w:rsidRPr="00A840FC" w:rsidRDefault="00A840FC" w:rsidP="00A840FC">
      <w:pPr>
        <w:keepNext/>
        <w:keepLines/>
        <w:spacing w:after="0" w:line="240" w:lineRule="auto"/>
        <w:rPr>
          <w:rFonts w:ascii="Times New Roman" w:eastAsia="Times New Roman" w:hAnsi="Times New Roman" w:cs="Times New Roman"/>
          <w:u w:val="single"/>
          <w:lang w:val="lt-LT"/>
        </w:rPr>
      </w:pPr>
      <w:r w:rsidRPr="00A840FC">
        <w:rPr>
          <w:rFonts w:ascii="Times New Roman" w:eastAsia="Times New Roman" w:hAnsi="Times New Roman" w:cs="Times New Roman"/>
          <w:u w:val="single"/>
          <w:lang w:val="lt-LT"/>
        </w:rPr>
        <w:t>Vaisingumas</w:t>
      </w:r>
    </w:p>
    <w:p w14:paraId="50BE0DFE"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Žiurkėms pasireiškė su prolaktino kiekio padidėjimu susijęs poveikis, račiau jis nėra tiesiogiai svarbus su žmonėmis (žr. 5.3 skyrių).</w:t>
      </w:r>
    </w:p>
    <w:p w14:paraId="262B99AD" w14:textId="77777777" w:rsidR="00A840FC" w:rsidRPr="00A840FC" w:rsidRDefault="00A840FC" w:rsidP="00A840FC">
      <w:pPr>
        <w:spacing w:after="0" w:line="240" w:lineRule="auto"/>
        <w:rPr>
          <w:rFonts w:ascii="Times New Roman" w:eastAsia="Arial Unicode MS" w:hAnsi="Times New Roman" w:cs="Times New Roman"/>
          <w:lang w:val="lt-LT"/>
        </w:rPr>
      </w:pPr>
    </w:p>
    <w:p w14:paraId="71B34881" w14:textId="77777777" w:rsidR="00A840FC" w:rsidRPr="00A840FC" w:rsidRDefault="00A840FC" w:rsidP="00A840F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8" w:name="_Toc129243108"/>
      <w:bookmarkStart w:id="29" w:name="_Toc129243233"/>
      <w:r w:rsidRPr="00A840FC">
        <w:rPr>
          <w:rFonts w:ascii="Times New Roman" w:eastAsia="Times New Roman" w:hAnsi="Times New Roman" w:cs="Times New Roman"/>
          <w:b/>
          <w:kern w:val="28"/>
          <w:lang w:val="lt-LT"/>
        </w:rPr>
        <w:t>4.7</w:t>
      </w:r>
      <w:r w:rsidRPr="00A840FC">
        <w:rPr>
          <w:rFonts w:ascii="Times New Roman" w:eastAsia="Times New Roman" w:hAnsi="Times New Roman" w:cs="Times New Roman"/>
          <w:b/>
          <w:kern w:val="28"/>
          <w:lang w:val="lt-LT"/>
        </w:rPr>
        <w:tab/>
        <w:t>Poveikis gebėjimui vairuoti ir valdyti mechanizmus</w:t>
      </w:r>
      <w:bookmarkEnd w:id="28"/>
      <w:bookmarkEnd w:id="29"/>
    </w:p>
    <w:p w14:paraId="05F161B8" w14:textId="77777777" w:rsidR="00A840FC" w:rsidRPr="00A840FC" w:rsidRDefault="00A840FC" w:rsidP="00A840FC">
      <w:pPr>
        <w:spacing w:after="0" w:line="240" w:lineRule="auto"/>
        <w:rPr>
          <w:rFonts w:ascii="Times New Roman" w:eastAsia="Arial Unicode MS" w:hAnsi="Times New Roman" w:cs="Times New Roman"/>
          <w:lang w:val="lt-LT"/>
        </w:rPr>
      </w:pPr>
    </w:p>
    <w:p w14:paraId="183E9634"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Dėl pagrindinio kvetiapino poveikio centrinei nervų sistemai preparatas gali trikdyti veiklą, kuriai reikalingas budrumas. Pacientus reikia perspėti nevairuoti ir nevaldyti mechanizmų, kol nepaaiškės individualus jautrumas.</w:t>
      </w:r>
    </w:p>
    <w:p w14:paraId="341511DF" w14:textId="77777777" w:rsidR="00A840FC" w:rsidRPr="00A840FC" w:rsidRDefault="00A840FC" w:rsidP="00A840FC">
      <w:pPr>
        <w:spacing w:after="0" w:line="240" w:lineRule="auto"/>
        <w:rPr>
          <w:rFonts w:ascii="Times New Roman" w:eastAsia="Arial Unicode MS" w:hAnsi="Times New Roman" w:cs="Times New Roman"/>
          <w:lang w:val="lt-LT"/>
        </w:rPr>
      </w:pPr>
    </w:p>
    <w:p w14:paraId="275B6EB5" w14:textId="77777777" w:rsidR="00A840FC" w:rsidRPr="00A840FC" w:rsidRDefault="00A840FC" w:rsidP="00A840F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0" w:name="_Toc129243109"/>
      <w:bookmarkStart w:id="31" w:name="_Toc129243234"/>
      <w:r w:rsidRPr="00A840FC">
        <w:rPr>
          <w:rFonts w:ascii="Times New Roman" w:eastAsia="Times New Roman" w:hAnsi="Times New Roman" w:cs="Times New Roman"/>
          <w:b/>
          <w:kern w:val="28"/>
          <w:lang w:val="lt-LT"/>
        </w:rPr>
        <w:t>4.8</w:t>
      </w:r>
      <w:r w:rsidRPr="00A840FC">
        <w:rPr>
          <w:rFonts w:ascii="Times New Roman" w:eastAsia="Times New Roman" w:hAnsi="Times New Roman" w:cs="Times New Roman"/>
          <w:b/>
          <w:kern w:val="28"/>
          <w:lang w:val="lt-LT"/>
        </w:rPr>
        <w:tab/>
        <w:t>Nepageidaujamas poveikis</w:t>
      </w:r>
      <w:bookmarkEnd w:id="30"/>
      <w:bookmarkEnd w:id="31"/>
    </w:p>
    <w:p w14:paraId="79B2CF4C" w14:textId="77777777" w:rsidR="00A840FC" w:rsidRPr="00A840FC" w:rsidRDefault="00A840FC" w:rsidP="00A840FC">
      <w:pPr>
        <w:keepNext/>
        <w:keepLines/>
        <w:spacing w:after="0" w:line="240" w:lineRule="auto"/>
        <w:rPr>
          <w:rFonts w:ascii="Times New Roman" w:eastAsia="Arial Unicode MS" w:hAnsi="Times New Roman" w:cs="Times New Roman"/>
          <w:lang w:val="lt-LT"/>
        </w:rPr>
      </w:pPr>
    </w:p>
    <w:p w14:paraId="5BC783A1"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Kvetiapino sukeliamos nepageidaujamos reakcijos, apie kurias pranešama dažniausiai (≥ 10 %), yra somnolencija, svaigulys, galvos skausmas, burnos džiūvimas, nutraukimo simptomai, trigliceridų kiekio serume padidėjimas, bendrojo cholesterolio (daugiausia MTL cholesterolio) kiekio padidėjimas, DTL cholesterolio kiekio sumažėjimas, kūno svorio padidėjimas, hemoglobino rodmens sumažėjimas ir ekstrapiramidiniai simptomai.</w:t>
      </w:r>
    </w:p>
    <w:p w14:paraId="10119C6C" w14:textId="77777777" w:rsidR="00A840FC" w:rsidRPr="00A840FC" w:rsidRDefault="00A840FC" w:rsidP="00A840FC">
      <w:pPr>
        <w:spacing w:after="0" w:line="240" w:lineRule="auto"/>
        <w:rPr>
          <w:rFonts w:ascii="Times New Roman" w:eastAsia="Times New Roman" w:hAnsi="Times New Roman" w:cs="Times New Roman"/>
          <w:lang w:val="lt-LT"/>
        </w:rPr>
      </w:pPr>
    </w:p>
    <w:p w14:paraId="0EAA820D"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Nepageidaujamos reakcijos, pasireiškusios vartojant kvetiapiną, pagal dažnumą nurodytas toliau pateikiamoje lentelėje (1 lentelė) laikantis Medicinos mokslų tarptautinių organizacijų tarybos (CIOMS) rekomendacijų (CIOMS III darbo grupė, 1995).</w:t>
      </w:r>
    </w:p>
    <w:p w14:paraId="3E4BE3A5" w14:textId="77777777" w:rsidR="00A840FC" w:rsidRPr="00A840FC" w:rsidRDefault="00A840FC" w:rsidP="00A840FC">
      <w:pPr>
        <w:spacing w:after="0" w:line="240" w:lineRule="auto"/>
        <w:rPr>
          <w:rFonts w:ascii="Times New Roman" w:eastAsia="Times New Roman" w:hAnsi="Times New Roman" w:cs="Times New Roman"/>
          <w:b/>
          <w:lang w:val="lt-LT"/>
        </w:rPr>
      </w:pPr>
    </w:p>
    <w:p w14:paraId="00691041"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1 lentelė. Su gydymu kvetiapinu susijusios nepageidaujamos reakcijos</w:t>
      </w:r>
    </w:p>
    <w:p w14:paraId="59A142E3" w14:textId="77777777" w:rsidR="00A840FC" w:rsidRPr="00A840FC" w:rsidRDefault="00A840FC" w:rsidP="00A840FC">
      <w:pPr>
        <w:spacing w:after="0" w:line="240" w:lineRule="auto"/>
        <w:rPr>
          <w:rFonts w:ascii="Times New Roman" w:eastAsia="Times New Roman" w:hAnsi="Times New Roman" w:cs="Times New Roman"/>
          <w:lang w:val="lt-LT"/>
        </w:rPr>
      </w:pPr>
    </w:p>
    <w:p w14:paraId="1A8FDDED" w14:textId="2B45C03E"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Nepageidaujamo poveikio dažnis suskirstytas naudojant toliau išvardytus dažnio apibūdinimus: labai dažnas (≥ 1/10), dažnas (nuo ≥1/100 iki &lt;1/10), nedažnas (nuo ≥1/1</w:t>
      </w:r>
      <w:r w:rsidR="009C2192">
        <w:rPr>
          <w:rFonts w:ascii="Times New Roman" w:eastAsia="Times New Roman" w:hAnsi="Times New Roman" w:cs="Times New Roman"/>
          <w:lang w:val="lt-LT"/>
        </w:rPr>
        <w:t> </w:t>
      </w:r>
      <w:r w:rsidRPr="00A840FC">
        <w:rPr>
          <w:rFonts w:ascii="Times New Roman" w:eastAsia="Times New Roman" w:hAnsi="Times New Roman" w:cs="Times New Roman"/>
          <w:lang w:val="lt-LT"/>
        </w:rPr>
        <w:t>000 iki &lt;1/100), retas (nuo ≥1/10</w:t>
      </w:r>
      <w:r w:rsidR="009C2192">
        <w:rPr>
          <w:rFonts w:ascii="Times New Roman" w:eastAsia="Times New Roman" w:hAnsi="Times New Roman" w:cs="Times New Roman"/>
          <w:lang w:val="lt-LT"/>
        </w:rPr>
        <w:t> </w:t>
      </w:r>
      <w:r w:rsidRPr="00A840FC">
        <w:rPr>
          <w:rFonts w:ascii="Times New Roman" w:eastAsia="Times New Roman" w:hAnsi="Times New Roman" w:cs="Times New Roman"/>
          <w:lang w:val="lt-LT"/>
        </w:rPr>
        <w:t>000 iki &lt;1/1</w:t>
      </w:r>
      <w:r w:rsidR="009C2192">
        <w:rPr>
          <w:rFonts w:ascii="Times New Roman" w:eastAsia="Times New Roman" w:hAnsi="Times New Roman" w:cs="Times New Roman"/>
          <w:lang w:val="lt-LT"/>
        </w:rPr>
        <w:t> </w:t>
      </w:r>
      <w:r w:rsidRPr="00A840FC">
        <w:rPr>
          <w:rFonts w:ascii="Times New Roman" w:eastAsia="Times New Roman" w:hAnsi="Times New Roman" w:cs="Times New Roman"/>
          <w:lang w:val="lt-LT"/>
        </w:rPr>
        <w:t>000), labai retas (&lt;1/10</w:t>
      </w:r>
      <w:r w:rsidR="009C2192">
        <w:rPr>
          <w:rFonts w:ascii="Times New Roman" w:eastAsia="Times New Roman" w:hAnsi="Times New Roman" w:cs="Times New Roman"/>
          <w:lang w:val="lt-LT"/>
        </w:rPr>
        <w:t> </w:t>
      </w:r>
      <w:r w:rsidRPr="00A840FC">
        <w:rPr>
          <w:rFonts w:ascii="Times New Roman" w:eastAsia="Times New Roman" w:hAnsi="Times New Roman" w:cs="Times New Roman"/>
          <w:lang w:val="lt-LT"/>
        </w:rPr>
        <w:t>000)</w:t>
      </w:r>
      <w:r w:rsidR="009C2192">
        <w:rPr>
          <w:rFonts w:ascii="Times New Roman" w:eastAsia="Times New Roman" w:hAnsi="Times New Roman" w:cs="Times New Roman"/>
          <w:lang w:val="lt-LT"/>
        </w:rPr>
        <w:t xml:space="preserve"> ir </w:t>
      </w:r>
      <w:r w:rsidRPr="00A840FC">
        <w:rPr>
          <w:rFonts w:ascii="Times New Roman" w:eastAsia="Times New Roman" w:hAnsi="Times New Roman" w:cs="Times New Roman"/>
          <w:lang w:val="lt-LT"/>
        </w:rPr>
        <w:t>nežinomas (negali būti apskaičiuotas pagal turimus duomenis).</w:t>
      </w:r>
    </w:p>
    <w:p w14:paraId="1C419EB2" w14:textId="77777777" w:rsidR="00A840FC" w:rsidRPr="00A840FC" w:rsidRDefault="00A840FC" w:rsidP="00A840FC">
      <w:pPr>
        <w:spacing w:after="0" w:line="240" w:lineRule="auto"/>
        <w:rPr>
          <w:rFonts w:ascii="Times New Roman" w:eastAsia="Times New Roman" w:hAnsi="Times New Roman" w:cs="Times New Roman"/>
          <w:lang w:val="lt-LT"/>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446"/>
        <w:gridCol w:w="1418"/>
        <w:gridCol w:w="1559"/>
        <w:gridCol w:w="1276"/>
        <w:gridCol w:w="1559"/>
        <w:gridCol w:w="1276"/>
      </w:tblGrid>
      <w:tr w:rsidR="00A840FC" w:rsidRPr="00A840FC" w14:paraId="39B4839A" w14:textId="77777777" w:rsidTr="007E1B2E">
        <w:tc>
          <w:tcPr>
            <w:tcW w:w="1526" w:type="dxa"/>
          </w:tcPr>
          <w:p w14:paraId="1C71E516"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Organų sistemų klasė</w:t>
            </w:r>
          </w:p>
        </w:tc>
        <w:tc>
          <w:tcPr>
            <w:tcW w:w="1446" w:type="dxa"/>
          </w:tcPr>
          <w:p w14:paraId="586E4F56"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Labai dažni</w:t>
            </w:r>
          </w:p>
        </w:tc>
        <w:tc>
          <w:tcPr>
            <w:tcW w:w="1418" w:type="dxa"/>
          </w:tcPr>
          <w:p w14:paraId="1AE687FC"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Dažni</w:t>
            </w:r>
          </w:p>
        </w:tc>
        <w:tc>
          <w:tcPr>
            <w:tcW w:w="1559" w:type="dxa"/>
          </w:tcPr>
          <w:p w14:paraId="18FB9E0C"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 xml:space="preserve">Nedažni </w:t>
            </w:r>
          </w:p>
        </w:tc>
        <w:tc>
          <w:tcPr>
            <w:tcW w:w="1276" w:type="dxa"/>
          </w:tcPr>
          <w:p w14:paraId="07EB017D"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Reti</w:t>
            </w:r>
          </w:p>
        </w:tc>
        <w:tc>
          <w:tcPr>
            <w:tcW w:w="1559" w:type="dxa"/>
          </w:tcPr>
          <w:p w14:paraId="5DA4C4B1"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Labai reti</w:t>
            </w:r>
          </w:p>
        </w:tc>
        <w:tc>
          <w:tcPr>
            <w:tcW w:w="1276" w:type="dxa"/>
          </w:tcPr>
          <w:p w14:paraId="151AA18E" w14:textId="2DECC186" w:rsidR="00A840FC" w:rsidRPr="00A840FC" w:rsidRDefault="00A11679" w:rsidP="00A840FC">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N</w:t>
            </w:r>
            <w:r w:rsidR="00A840FC" w:rsidRPr="00A840FC">
              <w:rPr>
                <w:rFonts w:ascii="Times New Roman" w:eastAsia="Times New Roman" w:hAnsi="Times New Roman" w:cs="Times New Roman"/>
                <w:b/>
                <w:lang w:val="lt-LT"/>
              </w:rPr>
              <w:t>ežinomas</w:t>
            </w:r>
          </w:p>
        </w:tc>
      </w:tr>
      <w:tr w:rsidR="00A840FC" w:rsidRPr="00A840FC" w14:paraId="596F75B3" w14:textId="77777777" w:rsidTr="007E1B2E">
        <w:tc>
          <w:tcPr>
            <w:tcW w:w="1526" w:type="dxa"/>
          </w:tcPr>
          <w:p w14:paraId="5D297B91" w14:textId="77777777" w:rsidR="00A840FC" w:rsidRPr="00A840FC" w:rsidRDefault="00A840FC" w:rsidP="00A840FC">
            <w:pPr>
              <w:spacing w:after="0" w:line="240" w:lineRule="auto"/>
              <w:rPr>
                <w:rFonts w:ascii="Times New Roman" w:eastAsia="Times New Roman" w:hAnsi="Times New Roman" w:cs="Times New Roman"/>
                <w:i/>
                <w:lang w:val="lt-LT"/>
              </w:rPr>
            </w:pPr>
            <w:r w:rsidRPr="00A840FC">
              <w:rPr>
                <w:rFonts w:ascii="Times New Roman" w:eastAsia="Times New Roman" w:hAnsi="Times New Roman" w:cs="Times New Roman"/>
                <w:i/>
                <w:lang w:val="lt-LT"/>
              </w:rPr>
              <w:t>Kraujo ir limfinės sistemos sutrikimai</w:t>
            </w:r>
          </w:p>
        </w:tc>
        <w:tc>
          <w:tcPr>
            <w:tcW w:w="1446" w:type="dxa"/>
          </w:tcPr>
          <w:p w14:paraId="1B76549A"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Sumažėjęs hemoglobino kiekis</w:t>
            </w:r>
            <w:r w:rsidRPr="00A840FC">
              <w:rPr>
                <w:rFonts w:ascii="Times New Roman" w:eastAsia="Times New Roman" w:hAnsi="Times New Roman" w:cs="Times New Roman"/>
                <w:vertAlign w:val="superscript"/>
                <w:lang w:val="lt-LT"/>
              </w:rPr>
              <w:t>22</w:t>
            </w:r>
            <w:r w:rsidRPr="00A840FC">
              <w:rPr>
                <w:rFonts w:ascii="Times New Roman" w:eastAsia="Times New Roman" w:hAnsi="Times New Roman" w:cs="Times New Roman"/>
                <w:lang w:val="lt-LT"/>
              </w:rPr>
              <w:t xml:space="preserve"> </w:t>
            </w:r>
          </w:p>
        </w:tc>
        <w:tc>
          <w:tcPr>
            <w:tcW w:w="1418" w:type="dxa"/>
          </w:tcPr>
          <w:p w14:paraId="25985324"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Leukopenija</w:t>
            </w:r>
            <w:r w:rsidRPr="00A840FC">
              <w:rPr>
                <w:rFonts w:ascii="Times New Roman" w:eastAsia="Times New Roman" w:hAnsi="Times New Roman" w:cs="Times New Roman"/>
                <w:vertAlign w:val="superscript"/>
                <w:lang w:val="lt-LT"/>
              </w:rPr>
              <w:t>1,28</w:t>
            </w:r>
            <w:r w:rsidRPr="00A840FC">
              <w:rPr>
                <w:rFonts w:ascii="Times New Roman" w:eastAsia="Times New Roman" w:hAnsi="Times New Roman" w:cs="Times New Roman"/>
                <w:lang w:val="lt-LT"/>
              </w:rPr>
              <w:t>, neutrofilų kiekio sumažėjimas, eozinofilų kiekio padidėjimas</w:t>
            </w:r>
            <w:r w:rsidRPr="00A840FC">
              <w:rPr>
                <w:rFonts w:ascii="Times New Roman" w:eastAsia="Times New Roman" w:hAnsi="Times New Roman" w:cs="Times New Roman"/>
                <w:vertAlign w:val="superscript"/>
                <w:lang w:val="lt-LT"/>
              </w:rPr>
              <w:t>27</w:t>
            </w:r>
            <w:r w:rsidRPr="00A840FC">
              <w:rPr>
                <w:rFonts w:ascii="Times New Roman" w:eastAsia="Times New Roman" w:hAnsi="Times New Roman" w:cs="Times New Roman"/>
                <w:lang w:val="lt-LT"/>
              </w:rPr>
              <w:t xml:space="preserve"> </w:t>
            </w:r>
          </w:p>
        </w:tc>
        <w:tc>
          <w:tcPr>
            <w:tcW w:w="1559" w:type="dxa"/>
          </w:tcPr>
          <w:p w14:paraId="5FBA5296"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Neutropenija</w:t>
            </w:r>
            <w:r w:rsidRPr="00A840FC">
              <w:rPr>
                <w:rFonts w:ascii="Times New Roman" w:eastAsia="Times New Roman" w:hAnsi="Times New Roman" w:cs="Times New Roman"/>
                <w:vertAlign w:val="superscript"/>
                <w:lang w:val="lt-LT"/>
              </w:rPr>
              <w:t>1</w:t>
            </w:r>
          </w:p>
          <w:p w14:paraId="09FF1B6A" w14:textId="77777777" w:rsidR="00A840FC" w:rsidRPr="00A840FC" w:rsidRDefault="00A840FC" w:rsidP="00A840FC">
            <w:pPr>
              <w:spacing w:after="0" w:line="240" w:lineRule="auto"/>
              <w:rPr>
                <w:rFonts w:ascii="Times New Roman" w:eastAsia="Times New Roman" w:hAnsi="Times New Roman" w:cs="Times New Roman"/>
                <w:vertAlign w:val="superscript"/>
                <w:lang w:val="lt-LT"/>
              </w:rPr>
            </w:pPr>
            <w:r w:rsidRPr="00A840FC">
              <w:rPr>
                <w:rFonts w:ascii="Times New Roman" w:eastAsia="Times New Roman" w:hAnsi="Times New Roman" w:cs="Times New Roman"/>
                <w:lang w:val="lt-LT"/>
              </w:rPr>
              <w:t>Trombocitopenija, anemija, trombocitų kiekio sumažėjimas</w:t>
            </w:r>
            <w:r w:rsidRPr="00A840FC">
              <w:rPr>
                <w:rFonts w:ascii="Times New Roman" w:eastAsia="Times New Roman" w:hAnsi="Times New Roman" w:cs="Times New Roman"/>
                <w:vertAlign w:val="superscript"/>
                <w:lang w:val="lt-LT"/>
              </w:rPr>
              <w:t>13</w:t>
            </w:r>
          </w:p>
        </w:tc>
        <w:tc>
          <w:tcPr>
            <w:tcW w:w="1276" w:type="dxa"/>
          </w:tcPr>
          <w:p w14:paraId="1ACB5999" w14:textId="77777777" w:rsidR="00A840FC" w:rsidRPr="00A840FC" w:rsidRDefault="00A840FC" w:rsidP="00A840FC">
            <w:pPr>
              <w:spacing w:after="0" w:line="240" w:lineRule="auto"/>
              <w:rPr>
                <w:rFonts w:ascii="Times New Roman" w:eastAsia="Times New Roman" w:hAnsi="Times New Roman" w:cs="Times New Roman"/>
                <w:vertAlign w:val="superscript"/>
                <w:lang w:val="lt-LT"/>
              </w:rPr>
            </w:pPr>
            <w:r w:rsidRPr="00A840FC" w:rsidDel="00D76F01">
              <w:rPr>
                <w:rFonts w:ascii="Times New Roman" w:eastAsia="Times New Roman" w:hAnsi="Times New Roman" w:cs="Times New Roman"/>
                <w:lang w:val="lt-LT"/>
              </w:rPr>
              <w:t>Agranulocitozė</w:t>
            </w:r>
            <w:r w:rsidRPr="00A840FC">
              <w:rPr>
                <w:rFonts w:ascii="Times New Roman" w:eastAsia="Times New Roman" w:hAnsi="Times New Roman" w:cs="Times New Roman"/>
                <w:vertAlign w:val="superscript"/>
                <w:lang w:val="lt-LT"/>
              </w:rPr>
              <w:t>26</w:t>
            </w:r>
          </w:p>
        </w:tc>
        <w:tc>
          <w:tcPr>
            <w:tcW w:w="1559" w:type="dxa"/>
          </w:tcPr>
          <w:p w14:paraId="0638FCE1"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276" w:type="dxa"/>
          </w:tcPr>
          <w:p w14:paraId="534A035A" w14:textId="77777777" w:rsidR="00A840FC" w:rsidRPr="00A840FC" w:rsidRDefault="00A840FC" w:rsidP="00A840FC">
            <w:pPr>
              <w:spacing w:after="0" w:line="240" w:lineRule="auto"/>
              <w:rPr>
                <w:rFonts w:ascii="Times New Roman" w:eastAsia="Times New Roman" w:hAnsi="Times New Roman" w:cs="Times New Roman"/>
                <w:lang w:val="lt-LT"/>
              </w:rPr>
            </w:pPr>
          </w:p>
        </w:tc>
      </w:tr>
      <w:tr w:rsidR="00A840FC" w:rsidRPr="00A840FC" w14:paraId="3CB917A0" w14:textId="77777777" w:rsidTr="007E1B2E">
        <w:tc>
          <w:tcPr>
            <w:tcW w:w="1526" w:type="dxa"/>
          </w:tcPr>
          <w:p w14:paraId="24034459" w14:textId="77777777" w:rsidR="00A840FC" w:rsidRPr="00A840FC" w:rsidRDefault="00A840FC" w:rsidP="00A840FC">
            <w:pPr>
              <w:spacing w:after="0" w:line="240" w:lineRule="auto"/>
              <w:rPr>
                <w:rFonts w:ascii="Times New Roman" w:eastAsia="Times New Roman" w:hAnsi="Times New Roman" w:cs="Times New Roman"/>
                <w:i/>
                <w:lang w:val="lt-LT"/>
              </w:rPr>
            </w:pPr>
            <w:r w:rsidRPr="00A840FC">
              <w:rPr>
                <w:rFonts w:ascii="Times New Roman" w:eastAsia="Times New Roman" w:hAnsi="Times New Roman" w:cs="Times New Roman"/>
                <w:i/>
                <w:lang w:val="lt-LT"/>
              </w:rPr>
              <w:t>Imuninės sistemos sutrikimai</w:t>
            </w:r>
          </w:p>
        </w:tc>
        <w:tc>
          <w:tcPr>
            <w:tcW w:w="1446" w:type="dxa"/>
          </w:tcPr>
          <w:p w14:paraId="2C61C886"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418" w:type="dxa"/>
          </w:tcPr>
          <w:p w14:paraId="3E568D61"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559" w:type="dxa"/>
          </w:tcPr>
          <w:p w14:paraId="197A8DC5"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Padidėjęs jautrumas (įskaitant alergines reakcijas)</w:t>
            </w:r>
          </w:p>
        </w:tc>
        <w:tc>
          <w:tcPr>
            <w:tcW w:w="1276" w:type="dxa"/>
          </w:tcPr>
          <w:p w14:paraId="0D9D75A4"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559" w:type="dxa"/>
          </w:tcPr>
          <w:p w14:paraId="6CB6DB75" w14:textId="77777777" w:rsidR="00A840FC" w:rsidRPr="00A840FC" w:rsidRDefault="00A840FC" w:rsidP="00A840FC">
            <w:pPr>
              <w:spacing w:after="0" w:line="240" w:lineRule="auto"/>
              <w:rPr>
                <w:rFonts w:ascii="Times New Roman" w:eastAsia="Times New Roman" w:hAnsi="Times New Roman" w:cs="Times New Roman"/>
                <w:vertAlign w:val="superscript"/>
                <w:lang w:val="lt-LT"/>
              </w:rPr>
            </w:pPr>
            <w:r w:rsidRPr="00A840FC">
              <w:rPr>
                <w:rFonts w:ascii="Times New Roman" w:eastAsia="Times New Roman" w:hAnsi="Times New Roman" w:cs="Times New Roman"/>
                <w:lang w:val="lt-LT"/>
              </w:rPr>
              <w:t>Anafilaksinės reakcijos</w:t>
            </w:r>
            <w:r w:rsidRPr="00A840FC">
              <w:rPr>
                <w:rFonts w:ascii="Times New Roman" w:eastAsia="Times New Roman" w:hAnsi="Times New Roman" w:cs="Times New Roman"/>
                <w:vertAlign w:val="superscript"/>
                <w:lang w:val="lt-LT"/>
              </w:rPr>
              <w:t>5</w:t>
            </w:r>
          </w:p>
        </w:tc>
        <w:tc>
          <w:tcPr>
            <w:tcW w:w="1276" w:type="dxa"/>
          </w:tcPr>
          <w:p w14:paraId="3E0E1143" w14:textId="77777777" w:rsidR="00A840FC" w:rsidRPr="00A840FC" w:rsidRDefault="00A840FC" w:rsidP="00A840FC">
            <w:pPr>
              <w:spacing w:after="0" w:line="240" w:lineRule="auto"/>
              <w:rPr>
                <w:rFonts w:ascii="Times New Roman" w:eastAsia="Times New Roman" w:hAnsi="Times New Roman" w:cs="Times New Roman"/>
                <w:lang w:val="lt-LT"/>
              </w:rPr>
            </w:pPr>
          </w:p>
        </w:tc>
      </w:tr>
      <w:tr w:rsidR="00A840FC" w:rsidRPr="00A840FC" w14:paraId="7F2094F7" w14:textId="77777777" w:rsidTr="007E1B2E">
        <w:tc>
          <w:tcPr>
            <w:tcW w:w="1526" w:type="dxa"/>
          </w:tcPr>
          <w:p w14:paraId="23CC1843" w14:textId="77777777" w:rsidR="00A840FC" w:rsidRPr="00A840FC" w:rsidRDefault="00A840FC" w:rsidP="00A840FC">
            <w:pPr>
              <w:spacing w:after="0" w:line="240" w:lineRule="auto"/>
              <w:rPr>
                <w:rFonts w:ascii="Times New Roman" w:eastAsia="Times New Roman" w:hAnsi="Times New Roman" w:cs="Times New Roman"/>
                <w:i/>
                <w:lang w:val="lt-LT"/>
              </w:rPr>
            </w:pPr>
            <w:r w:rsidRPr="00A840FC">
              <w:rPr>
                <w:rFonts w:ascii="Times New Roman" w:eastAsia="Times New Roman" w:hAnsi="Times New Roman" w:cs="Times New Roman"/>
                <w:i/>
                <w:lang w:val="lt-LT"/>
              </w:rPr>
              <w:t>Endokrininiai sutrikimai</w:t>
            </w:r>
          </w:p>
        </w:tc>
        <w:tc>
          <w:tcPr>
            <w:tcW w:w="1446" w:type="dxa"/>
          </w:tcPr>
          <w:p w14:paraId="67CB9296"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418" w:type="dxa"/>
          </w:tcPr>
          <w:p w14:paraId="07C372F1"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Hiperprolak-tinemija</w:t>
            </w:r>
            <w:r w:rsidRPr="00A840FC">
              <w:rPr>
                <w:rFonts w:ascii="Times New Roman" w:eastAsia="Times New Roman" w:hAnsi="Times New Roman" w:cs="Times New Roman"/>
                <w:vertAlign w:val="superscript"/>
                <w:lang w:val="lt-LT"/>
              </w:rPr>
              <w:t>15</w:t>
            </w:r>
            <w:r w:rsidRPr="00A840FC">
              <w:rPr>
                <w:rFonts w:ascii="Times New Roman" w:eastAsia="Times New Roman" w:hAnsi="Times New Roman" w:cs="Times New Roman"/>
                <w:lang w:val="lt-LT"/>
              </w:rPr>
              <w:t>, bendrojo T</w:t>
            </w:r>
            <w:r w:rsidRPr="00A840FC">
              <w:rPr>
                <w:rFonts w:ascii="Times New Roman" w:eastAsia="Times New Roman" w:hAnsi="Times New Roman" w:cs="Times New Roman"/>
                <w:vertAlign w:val="subscript"/>
                <w:lang w:val="lt-LT"/>
              </w:rPr>
              <w:t>4</w:t>
            </w:r>
            <w:r w:rsidRPr="00A840FC">
              <w:rPr>
                <w:rFonts w:ascii="Times New Roman" w:eastAsia="Times New Roman" w:hAnsi="Times New Roman" w:cs="Times New Roman"/>
                <w:vertAlign w:val="superscript"/>
                <w:lang w:val="lt-LT"/>
              </w:rPr>
              <w:t>24</w:t>
            </w:r>
            <w:r w:rsidRPr="00A840FC">
              <w:rPr>
                <w:rFonts w:ascii="Times New Roman" w:eastAsia="Times New Roman" w:hAnsi="Times New Roman" w:cs="Times New Roman"/>
                <w:lang w:val="lt-LT"/>
              </w:rPr>
              <w:t xml:space="preserve"> </w:t>
            </w:r>
            <w:r w:rsidRPr="00A840FC">
              <w:rPr>
                <w:rFonts w:ascii="Times New Roman" w:eastAsia="Times New Roman" w:hAnsi="Times New Roman" w:cs="Times New Roman"/>
                <w:lang w:val="lt-LT"/>
              </w:rPr>
              <w:lastRenderedPageBreak/>
              <w:t>sumažėjimas, laisvojo T4</w:t>
            </w:r>
            <w:r w:rsidRPr="00A840FC">
              <w:rPr>
                <w:rFonts w:ascii="Times New Roman" w:eastAsia="Times New Roman" w:hAnsi="Times New Roman" w:cs="Times New Roman"/>
                <w:vertAlign w:val="superscript"/>
                <w:lang w:val="lt-LT"/>
              </w:rPr>
              <w:t>24</w:t>
            </w:r>
            <w:r w:rsidRPr="00A840FC">
              <w:rPr>
                <w:rFonts w:ascii="Times New Roman" w:eastAsia="Times New Roman" w:hAnsi="Times New Roman" w:cs="Times New Roman"/>
                <w:lang w:val="lt-LT"/>
              </w:rPr>
              <w:t xml:space="preserve"> sumažėjimas, bendrojo T3</w:t>
            </w:r>
            <w:r w:rsidRPr="00A840FC">
              <w:rPr>
                <w:rFonts w:ascii="Times New Roman" w:eastAsia="Times New Roman" w:hAnsi="Times New Roman" w:cs="Times New Roman"/>
                <w:vertAlign w:val="superscript"/>
                <w:lang w:val="lt-LT"/>
              </w:rPr>
              <w:t>24</w:t>
            </w:r>
            <w:r w:rsidRPr="00A840FC">
              <w:rPr>
                <w:rFonts w:ascii="Times New Roman" w:eastAsia="Times New Roman" w:hAnsi="Times New Roman" w:cs="Times New Roman"/>
                <w:lang w:val="lt-LT"/>
              </w:rPr>
              <w:t xml:space="preserve"> sumažėjimas, SSH</w:t>
            </w:r>
            <w:r w:rsidRPr="00A840FC">
              <w:rPr>
                <w:rFonts w:ascii="Times New Roman" w:eastAsia="Times New Roman" w:hAnsi="Times New Roman" w:cs="Times New Roman"/>
                <w:vertAlign w:val="superscript"/>
                <w:lang w:val="lt-LT"/>
              </w:rPr>
              <w:t>24</w:t>
            </w:r>
            <w:r w:rsidRPr="00A840FC">
              <w:rPr>
                <w:rFonts w:ascii="Times New Roman" w:eastAsia="Times New Roman" w:hAnsi="Times New Roman" w:cs="Times New Roman"/>
                <w:lang w:val="lt-LT"/>
              </w:rPr>
              <w:t xml:space="preserve"> padidėjimas </w:t>
            </w:r>
          </w:p>
        </w:tc>
        <w:tc>
          <w:tcPr>
            <w:tcW w:w="1559" w:type="dxa"/>
          </w:tcPr>
          <w:p w14:paraId="701D30FC"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lastRenderedPageBreak/>
              <w:t>Laisvojo T</w:t>
            </w:r>
            <w:r w:rsidRPr="00A840FC">
              <w:rPr>
                <w:rFonts w:ascii="Times New Roman" w:eastAsia="Times New Roman" w:hAnsi="Times New Roman" w:cs="Times New Roman"/>
                <w:vertAlign w:val="subscript"/>
                <w:lang w:val="lt-LT"/>
              </w:rPr>
              <w:t>3</w:t>
            </w:r>
            <w:r w:rsidRPr="00A840FC">
              <w:rPr>
                <w:rFonts w:ascii="Times New Roman" w:eastAsia="Times New Roman" w:hAnsi="Times New Roman" w:cs="Times New Roman"/>
                <w:vertAlign w:val="superscript"/>
                <w:lang w:val="lt-LT"/>
              </w:rPr>
              <w:t>24</w:t>
            </w:r>
            <w:r w:rsidRPr="00A840FC">
              <w:rPr>
                <w:rFonts w:ascii="Times New Roman" w:eastAsia="Times New Roman" w:hAnsi="Times New Roman" w:cs="Times New Roman"/>
                <w:lang w:val="lt-LT"/>
              </w:rPr>
              <w:t xml:space="preserve"> sumažėjimas, </w:t>
            </w:r>
            <w:r w:rsidRPr="00A840FC">
              <w:rPr>
                <w:rFonts w:ascii="Times New Roman" w:eastAsia="Times New Roman" w:hAnsi="Times New Roman" w:cs="Times New Roman"/>
                <w:lang w:val="lt-LT"/>
              </w:rPr>
              <w:lastRenderedPageBreak/>
              <w:t>hipotiroidiz-mas</w:t>
            </w:r>
            <w:r w:rsidRPr="00A840FC">
              <w:rPr>
                <w:rFonts w:ascii="Times New Roman" w:eastAsia="Times New Roman" w:hAnsi="Times New Roman" w:cs="Times New Roman"/>
                <w:vertAlign w:val="superscript"/>
                <w:lang w:val="lt-LT"/>
              </w:rPr>
              <w:t>21</w:t>
            </w:r>
          </w:p>
        </w:tc>
        <w:tc>
          <w:tcPr>
            <w:tcW w:w="1276" w:type="dxa"/>
          </w:tcPr>
          <w:p w14:paraId="2AED1E8C"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559" w:type="dxa"/>
          </w:tcPr>
          <w:p w14:paraId="65B9A305"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Nepakankama antidiurezinio </w:t>
            </w:r>
            <w:r w:rsidRPr="00A840FC">
              <w:rPr>
                <w:rFonts w:ascii="Times New Roman" w:eastAsia="Times New Roman" w:hAnsi="Times New Roman" w:cs="Times New Roman"/>
                <w:lang w:val="lt-LT"/>
              </w:rPr>
              <w:lastRenderedPageBreak/>
              <w:t>hormono sekrecija</w:t>
            </w:r>
          </w:p>
        </w:tc>
        <w:tc>
          <w:tcPr>
            <w:tcW w:w="1276" w:type="dxa"/>
          </w:tcPr>
          <w:p w14:paraId="1DAFDF92" w14:textId="77777777" w:rsidR="00A840FC" w:rsidRPr="00A840FC" w:rsidRDefault="00A840FC" w:rsidP="00A840FC">
            <w:pPr>
              <w:spacing w:after="0" w:line="240" w:lineRule="auto"/>
              <w:rPr>
                <w:rFonts w:ascii="Times New Roman" w:eastAsia="Times New Roman" w:hAnsi="Times New Roman" w:cs="Times New Roman"/>
                <w:lang w:val="lt-LT"/>
              </w:rPr>
            </w:pPr>
          </w:p>
        </w:tc>
      </w:tr>
      <w:tr w:rsidR="00A840FC" w:rsidRPr="00A840FC" w14:paraId="4DEEE950" w14:textId="77777777" w:rsidTr="007E1B2E">
        <w:tc>
          <w:tcPr>
            <w:tcW w:w="1526" w:type="dxa"/>
          </w:tcPr>
          <w:p w14:paraId="1FFFB906" w14:textId="77777777" w:rsidR="00A840FC" w:rsidRPr="00A840FC" w:rsidRDefault="00A840FC" w:rsidP="00A840FC">
            <w:pPr>
              <w:spacing w:after="0" w:line="240" w:lineRule="auto"/>
              <w:rPr>
                <w:rFonts w:ascii="Times New Roman" w:eastAsia="Times New Roman" w:hAnsi="Times New Roman" w:cs="Times New Roman"/>
                <w:i/>
                <w:lang w:val="lt-LT"/>
              </w:rPr>
            </w:pPr>
            <w:r w:rsidRPr="00A840FC">
              <w:rPr>
                <w:rFonts w:ascii="Times New Roman" w:eastAsia="Times New Roman" w:hAnsi="Times New Roman" w:cs="Times New Roman"/>
                <w:i/>
                <w:lang w:val="lt-LT"/>
              </w:rPr>
              <w:t>Metabolizmo ir mitybos sutrikimai </w:t>
            </w:r>
          </w:p>
        </w:tc>
        <w:tc>
          <w:tcPr>
            <w:tcW w:w="1446" w:type="dxa"/>
          </w:tcPr>
          <w:p w14:paraId="3069E73C"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Trigliceridų</w:t>
            </w:r>
            <w:r w:rsidRPr="00A840FC">
              <w:rPr>
                <w:rFonts w:ascii="Times New Roman" w:eastAsia="Times New Roman" w:hAnsi="Times New Roman" w:cs="Times New Roman"/>
                <w:vertAlign w:val="superscript"/>
                <w:lang w:val="lt-LT"/>
              </w:rPr>
              <w:t>10,30</w:t>
            </w:r>
            <w:r w:rsidRPr="00A840FC">
              <w:rPr>
                <w:rFonts w:ascii="Times New Roman" w:eastAsia="Times New Roman" w:hAnsi="Times New Roman" w:cs="Times New Roman"/>
                <w:lang w:val="lt-LT"/>
              </w:rPr>
              <w:t>, bendro cholesterolio (daugiausia MTL cholesterolio)</w:t>
            </w:r>
            <w:r w:rsidRPr="00A840FC">
              <w:rPr>
                <w:rFonts w:ascii="Times New Roman" w:eastAsia="Times New Roman" w:hAnsi="Times New Roman" w:cs="Times New Roman"/>
                <w:vertAlign w:val="superscript"/>
                <w:lang w:val="lt-LT"/>
              </w:rPr>
              <w:t>11, 30</w:t>
            </w:r>
            <w:r w:rsidRPr="00A840FC">
              <w:rPr>
                <w:rFonts w:ascii="Times New Roman" w:eastAsia="Times New Roman" w:hAnsi="Times New Roman" w:cs="Times New Roman"/>
                <w:lang w:val="lt-LT"/>
              </w:rPr>
              <w:t xml:space="preserve"> padaugėjimas ir DTL cholesterolio</w:t>
            </w:r>
            <w:r w:rsidRPr="00A840FC">
              <w:rPr>
                <w:rFonts w:ascii="Times New Roman" w:eastAsia="Times New Roman" w:hAnsi="Times New Roman" w:cs="Times New Roman"/>
                <w:vertAlign w:val="superscript"/>
                <w:lang w:val="lt-LT"/>
              </w:rPr>
              <w:t>17, 30</w:t>
            </w:r>
            <w:r w:rsidRPr="00A840FC">
              <w:rPr>
                <w:rFonts w:ascii="Times New Roman" w:eastAsia="Times New Roman" w:hAnsi="Times New Roman" w:cs="Times New Roman"/>
                <w:lang w:val="lt-LT"/>
              </w:rPr>
              <w:t xml:space="preserve"> kiekio sumažėjimas serume, kūno svorio padidėjimas</w:t>
            </w:r>
            <w:r w:rsidRPr="00A840FC">
              <w:rPr>
                <w:rFonts w:ascii="Times New Roman" w:eastAsia="Times New Roman" w:hAnsi="Times New Roman" w:cs="Times New Roman"/>
                <w:vertAlign w:val="superscript"/>
                <w:lang w:val="lt-LT"/>
              </w:rPr>
              <w:t>8, 30</w:t>
            </w:r>
          </w:p>
        </w:tc>
        <w:tc>
          <w:tcPr>
            <w:tcW w:w="1418" w:type="dxa"/>
          </w:tcPr>
          <w:p w14:paraId="69D8AA48"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Apetito padidėjimas, padidėjęs iki hiperglikemijos gliukozės kiekis kraujyje</w:t>
            </w:r>
            <w:r w:rsidRPr="00A840FC">
              <w:rPr>
                <w:rFonts w:ascii="Times New Roman" w:eastAsia="Times New Roman" w:hAnsi="Times New Roman" w:cs="Times New Roman"/>
                <w:vertAlign w:val="superscript"/>
                <w:lang w:val="lt-LT"/>
              </w:rPr>
              <w:t>6, 30</w:t>
            </w:r>
            <w:r w:rsidRPr="00A840FC">
              <w:rPr>
                <w:rFonts w:ascii="Times New Roman" w:eastAsia="Times New Roman" w:hAnsi="Times New Roman" w:cs="Times New Roman"/>
                <w:lang w:val="lt-LT"/>
              </w:rPr>
              <w:t>.</w:t>
            </w:r>
          </w:p>
        </w:tc>
        <w:tc>
          <w:tcPr>
            <w:tcW w:w="1559" w:type="dxa"/>
          </w:tcPr>
          <w:p w14:paraId="380982EB"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Hiponatremija</w:t>
            </w:r>
            <w:r w:rsidRPr="00A840FC">
              <w:rPr>
                <w:rFonts w:ascii="Times New Roman" w:eastAsia="Times New Roman" w:hAnsi="Times New Roman" w:cs="Times New Roman"/>
                <w:vertAlign w:val="superscript"/>
                <w:lang w:val="lt-LT"/>
              </w:rPr>
              <w:t>19</w:t>
            </w:r>
            <w:r w:rsidRPr="00A840FC">
              <w:rPr>
                <w:rFonts w:ascii="Times New Roman" w:eastAsia="Times New Roman" w:hAnsi="Times New Roman" w:cs="Times New Roman"/>
                <w:lang w:val="lt-LT"/>
              </w:rPr>
              <w:t xml:space="preserve">, cukrinis diabetas </w:t>
            </w:r>
            <w:r w:rsidRPr="00A840FC">
              <w:rPr>
                <w:rFonts w:ascii="Times New Roman" w:eastAsia="Times New Roman" w:hAnsi="Times New Roman" w:cs="Times New Roman"/>
                <w:vertAlign w:val="superscript"/>
                <w:lang w:val="lt-LT"/>
              </w:rPr>
              <w:t>1, 5</w:t>
            </w:r>
            <w:r w:rsidRPr="00A840FC">
              <w:rPr>
                <w:rFonts w:ascii="Times New Roman" w:eastAsia="Calibri" w:hAnsi="Times New Roman" w:cs="Times New Roman"/>
                <w:lang w:val="lt-LT"/>
              </w:rPr>
              <w:t xml:space="preserve">, </w:t>
            </w:r>
            <w:r w:rsidRPr="00A840FC">
              <w:rPr>
                <w:rFonts w:ascii="Times New Roman" w:eastAsia="Times New Roman" w:hAnsi="Times New Roman" w:cs="Times New Roman"/>
                <w:lang w:val="lt-LT"/>
              </w:rPr>
              <w:t>jau diagnozuoto cukrinio diabeto paūmėjimas</w:t>
            </w:r>
          </w:p>
        </w:tc>
        <w:tc>
          <w:tcPr>
            <w:tcW w:w="1276" w:type="dxa"/>
          </w:tcPr>
          <w:p w14:paraId="5FF04763" w14:textId="77777777" w:rsidR="00A840FC" w:rsidRPr="00A840FC" w:rsidRDefault="00A840FC" w:rsidP="00A840FC">
            <w:pPr>
              <w:spacing w:after="0" w:line="240" w:lineRule="auto"/>
              <w:rPr>
                <w:rFonts w:ascii="Times New Roman" w:eastAsia="Times New Roman" w:hAnsi="Times New Roman" w:cs="Times New Roman"/>
                <w:vertAlign w:val="superscript"/>
                <w:lang w:val="lt-LT"/>
              </w:rPr>
            </w:pPr>
            <w:r w:rsidRPr="00A840FC">
              <w:rPr>
                <w:rFonts w:ascii="Times New Roman" w:eastAsia="Times New Roman" w:hAnsi="Times New Roman" w:cs="Times New Roman"/>
                <w:lang w:val="lt-LT"/>
              </w:rPr>
              <w:t>Metabolinis sindromas</w:t>
            </w:r>
            <w:r w:rsidRPr="00A840FC">
              <w:rPr>
                <w:rFonts w:ascii="Times New Roman" w:eastAsia="Times New Roman" w:hAnsi="Times New Roman" w:cs="Times New Roman"/>
                <w:vertAlign w:val="superscript"/>
                <w:lang w:val="lt-LT"/>
              </w:rPr>
              <w:t>29</w:t>
            </w:r>
          </w:p>
        </w:tc>
        <w:tc>
          <w:tcPr>
            <w:tcW w:w="1559" w:type="dxa"/>
          </w:tcPr>
          <w:p w14:paraId="1FEF8EE3"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276" w:type="dxa"/>
          </w:tcPr>
          <w:p w14:paraId="44495FD9" w14:textId="77777777" w:rsidR="00A840FC" w:rsidRPr="00A840FC" w:rsidRDefault="00A840FC" w:rsidP="00A840FC">
            <w:pPr>
              <w:spacing w:after="0" w:line="240" w:lineRule="auto"/>
              <w:rPr>
                <w:rFonts w:ascii="Times New Roman" w:eastAsia="Times New Roman" w:hAnsi="Times New Roman" w:cs="Times New Roman"/>
                <w:lang w:val="lt-LT"/>
              </w:rPr>
            </w:pPr>
          </w:p>
        </w:tc>
      </w:tr>
      <w:tr w:rsidR="00A840FC" w:rsidRPr="006A2CAD" w14:paraId="7D7F60F9" w14:textId="77777777" w:rsidTr="007E1B2E">
        <w:tc>
          <w:tcPr>
            <w:tcW w:w="1526" w:type="dxa"/>
          </w:tcPr>
          <w:p w14:paraId="617987F7" w14:textId="77777777" w:rsidR="00A840FC" w:rsidRPr="00A840FC" w:rsidRDefault="00A840FC" w:rsidP="00A840FC">
            <w:pPr>
              <w:spacing w:after="0" w:line="240" w:lineRule="auto"/>
              <w:rPr>
                <w:rFonts w:ascii="Times New Roman" w:eastAsia="Times New Roman" w:hAnsi="Times New Roman" w:cs="Times New Roman"/>
                <w:i/>
                <w:lang w:val="lt-LT"/>
              </w:rPr>
            </w:pPr>
            <w:r w:rsidRPr="00A840FC">
              <w:rPr>
                <w:rFonts w:ascii="Times New Roman" w:eastAsia="Times New Roman" w:hAnsi="Times New Roman" w:cs="Times New Roman"/>
                <w:i/>
                <w:lang w:val="lt-LT"/>
              </w:rPr>
              <w:t>Psichikos sutrikimai</w:t>
            </w:r>
          </w:p>
        </w:tc>
        <w:tc>
          <w:tcPr>
            <w:tcW w:w="1446" w:type="dxa"/>
          </w:tcPr>
          <w:p w14:paraId="0E61E9C6"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418" w:type="dxa"/>
          </w:tcPr>
          <w:p w14:paraId="5D51F8A4"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Neįprasti ir košmariški sapnai, mintys apie savižudybę ir savižudiškas elgesys</w:t>
            </w:r>
            <w:r w:rsidRPr="00A840FC">
              <w:rPr>
                <w:rFonts w:ascii="Times New Roman" w:eastAsia="Times New Roman" w:hAnsi="Times New Roman" w:cs="Times New Roman"/>
                <w:vertAlign w:val="superscript"/>
                <w:lang w:val="lt-LT"/>
              </w:rPr>
              <w:t>20</w:t>
            </w:r>
            <w:r w:rsidRPr="00A840FC">
              <w:rPr>
                <w:rFonts w:ascii="Times New Roman" w:eastAsia="Times New Roman" w:hAnsi="Times New Roman" w:cs="Times New Roman"/>
                <w:lang w:val="lt-LT"/>
              </w:rPr>
              <w:t xml:space="preserve"> </w:t>
            </w:r>
          </w:p>
        </w:tc>
        <w:tc>
          <w:tcPr>
            <w:tcW w:w="1559" w:type="dxa"/>
          </w:tcPr>
          <w:p w14:paraId="2CBC8FC2"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276" w:type="dxa"/>
          </w:tcPr>
          <w:p w14:paraId="58E3D9B2"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Somnambulizmas ir su juo susijusios reakcijos, tokios kaip kalbėjimas per miegus ir miegas susijęs su valgymo sutrikimu</w:t>
            </w:r>
          </w:p>
        </w:tc>
        <w:tc>
          <w:tcPr>
            <w:tcW w:w="1559" w:type="dxa"/>
          </w:tcPr>
          <w:p w14:paraId="382361CC"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276" w:type="dxa"/>
          </w:tcPr>
          <w:p w14:paraId="406BAAAC" w14:textId="77777777" w:rsidR="00A840FC" w:rsidRPr="00A840FC" w:rsidRDefault="00A840FC" w:rsidP="00A840FC">
            <w:pPr>
              <w:spacing w:after="0" w:line="240" w:lineRule="auto"/>
              <w:rPr>
                <w:rFonts w:ascii="Times New Roman" w:eastAsia="Times New Roman" w:hAnsi="Times New Roman" w:cs="Times New Roman"/>
                <w:lang w:val="lt-LT"/>
              </w:rPr>
            </w:pPr>
          </w:p>
        </w:tc>
      </w:tr>
      <w:tr w:rsidR="00A840FC" w:rsidRPr="006A2CAD" w14:paraId="7AAA6890" w14:textId="77777777" w:rsidTr="007E1B2E">
        <w:tc>
          <w:tcPr>
            <w:tcW w:w="1526" w:type="dxa"/>
          </w:tcPr>
          <w:p w14:paraId="1AB81E28" w14:textId="77777777" w:rsidR="00A840FC" w:rsidRPr="00A840FC" w:rsidRDefault="00A840FC" w:rsidP="00A840FC">
            <w:pPr>
              <w:spacing w:after="0" w:line="240" w:lineRule="auto"/>
              <w:rPr>
                <w:rFonts w:ascii="Times New Roman" w:eastAsia="Times New Roman" w:hAnsi="Times New Roman" w:cs="Times New Roman"/>
                <w:i/>
                <w:lang w:val="lt-LT"/>
              </w:rPr>
            </w:pPr>
            <w:r w:rsidRPr="00A840FC">
              <w:rPr>
                <w:rFonts w:ascii="Times New Roman" w:eastAsia="Times New Roman" w:hAnsi="Times New Roman" w:cs="Times New Roman"/>
                <w:i/>
                <w:lang w:val="lt-LT"/>
              </w:rPr>
              <w:t>Nervų sistemos sutrikimai</w:t>
            </w:r>
          </w:p>
        </w:tc>
        <w:tc>
          <w:tcPr>
            <w:tcW w:w="1446" w:type="dxa"/>
          </w:tcPr>
          <w:p w14:paraId="24699503"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Svaigulys</w:t>
            </w:r>
            <w:r w:rsidRPr="00A840FC">
              <w:rPr>
                <w:rFonts w:ascii="Times New Roman" w:eastAsia="Times New Roman" w:hAnsi="Times New Roman" w:cs="Times New Roman"/>
                <w:vertAlign w:val="superscript"/>
                <w:lang w:val="lt-LT"/>
              </w:rPr>
              <w:t>4,16</w:t>
            </w:r>
            <w:r w:rsidRPr="00A840FC">
              <w:rPr>
                <w:rFonts w:ascii="Times New Roman" w:eastAsia="Times New Roman" w:hAnsi="Times New Roman" w:cs="Times New Roman"/>
                <w:lang w:val="lt-LT"/>
              </w:rPr>
              <w:t>, somnolencija</w:t>
            </w:r>
            <w:r w:rsidRPr="00A840FC">
              <w:rPr>
                <w:rFonts w:ascii="Times New Roman" w:eastAsia="Times New Roman" w:hAnsi="Times New Roman" w:cs="Times New Roman"/>
                <w:vertAlign w:val="superscript"/>
                <w:lang w:val="lt-LT"/>
              </w:rPr>
              <w:t>2,16</w:t>
            </w:r>
            <w:r w:rsidRPr="00A840FC">
              <w:rPr>
                <w:rFonts w:ascii="Times New Roman" w:eastAsia="Times New Roman" w:hAnsi="Times New Roman" w:cs="Times New Roman"/>
                <w:lang w:val="lt-LT"/>
              </w:rPr>
              <w:t>, galvos skausmas, ekstrapiramidiniai simptomai</w:t>
            </w:r>
            <w:r w:rsidRPr="00A840FC">
              <w:rPr>
                <w:rFonts w:ascii="Times New Roman" w:eastAsia="Times New Roman" w:hAnsi="Times New Roman" w:cs="Times New Roman"/>
                <w:vertAlign w:val="superscript"/>
                <w:lang w:val="lt-LT"/>
              </w:rPr>
              <w:t>1,21</w:t>
            </w:r>
          </w:p>
        </w:tc>
        <w:tc>
          <w:tcPr>
            <w:tcW w:w="1418" w:type="dxa"/>
          </w:tcPr>
          <w:p w14:paraId="01865B93"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Dizartrija</w:t>
            </w:r>
          </w:p>
        </w:tc>
        <w:tc>
          <w:tcPr>
            <w:tcW w:w="1559" w:type="dxa"/>
          </w:tcPr>
          <w:p w14:paraId="1A73D4D2" w14:textId="6FA4488C"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Traukuliai</w:t>
            </w:r>
            <w:r w:rsidRPr="00A840FC">
              <w:rPr>
                <w:rFonts w:ascii="Times New Roman" w:eastAsia="Times New Roman" w:hAnsi="Times New Roman" w:cs="Times New Roman"/>
                <w:vertAlign w:val="superscript"/>
                <w:lang w:val="lt-LT"/>
              </w:rPr>
              <w:t>1</w:t>
            </w:r>
            <w:r w:rsidRPr="00A840FC">
              <w:rPr>
                <w:rFonts w:ascii="Times New Roman" w:eastAsia="Times New Roman" w:hAnsi="Times New Roman" w:cs="Times New Roman"/>
                <w:lang w:val="lt-LT"/>
              </w:rPr>
              <w:t>, neramių kojų sindromas, vėlyvoji diskinezija</w:t>
            </w:r>
            <w:r w:rsidRPr="00A840FC">
              <w:rPr>
                <w:rFonts w:ascii="Times New Roman" w:eastAsia="Times New Roman" w:hAnsi="Times New Roman" w:cs="Times New Roman"/>
                <w:vertAlign w:val="superscript"/>
                <w:lang w:val="lt-LT"/>
              </w:rPr>
              <w:t>1,5</w:t>
            </w:r>
            <w:r w:rsidRPr="00A840FC">
              <w:rPr>
                <w:rFonts w:ascii="Times New Roman" w:eastAsia="Times New Roman" w:hAnsi="Times New Roman" w:cs="Times New Roman"/>
                <w:lang w:val="lt-LT"/>
              </w:rPr>
              <w:t>, sinkopė</w:t>
            </w:r>
            <w:r w:rsidRPr="00A840FC">
              <w:rPr>
                <w:rFonts w:ascii="Times New Roman" w:eastAsia="Times New Roman" w:hAnsi="Times New Roman" w:cs="Times New Roman"/>
                <w:vertAlign w:val="superscript"/>
                <w:lang w:val="lt-LT"/>
              </w:rPr>
              <w:t>4,16</w:t>
            </w:r>
            <w:r w:rsidRPr="00A840FC">
              <w:rPr>
                <w:rFonts w:ascii="Times New Roman" w:eastAsia="Times New Roman" w:hAnsi="Times New Roman" w:cs="Times New Roman"/>
                <w:lang w:val="lt-LT"/>
              </w:rPr>
              <w:t>,</w:t>
            </w:r>
            <w:r w:rsidR="008317AF">
              <w:rPr>
                <w:rFonts w:ascii="Times New Roman" w:eastAsia="Times New Roman" w:hAnsi="Times New Roman" w:cs="Times New Roman"/>
                <w:lang w:val="lt-LT"/>
              </w:rPr>
              <w:t xml:space="preserve"> sumišimo bū</w:t>
            </w:r>
            <w:r w:rsidR="00CB6B37">
              <w:rPr>
                <w:rFonts w:ascii="Times New Roman" w:eastAsia="Times New Roman" w:hAnsi="Times New Roman" w:cs="Times New Roman"/>
                <w:lang w:val="lt-LT"/>
              </w:rPr>
              <w:t>sena</w:t>
            </w:r>
          </w:p>
        </w:tc>
        <w:tc>
          <w:tcPr>
            <w:tcW w:w="1276" w:type="dxa"/>
          </w:tcPr>
          <w:p w14:paraId="68B83B87"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559" w:type="dxa"/>
          </w:tcPr>
          <w:p w14:paraId="7ED09B12"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276" w:type="dxa"/>
          </w:tcPr>
          <w:p w14:paraId="23D9EEC9" w14:textId="77777777" w:rsidR="00A840FC" w:rsidRPr="00A840FC" w:rsidRDefault="00A840FC" w:rsidP="00A840FC">
            <w:pPr>
              <w:spacing w:after="0" w:line="240" w:lineRule="auto"/>
              <w:rPr>
                <w:rFonts w:ascii="Times New Roman" w:eastAsia="Times New Roman" w:hAnsi="Times New Roman" w:cs="Times New Roman"/>
                <w:lang w:val="lt-LT"/>
              </w:rPr>
            </w:pPr>
          </w:p>
        </w:tc>
      </w:tr>
      <w:tr w:rsidR="00A840FC" w:rsidRPr="00A840FC" w14:paraId="44366326" w14:textId="77777777" w:rsidTr="007E1B2E">
        <w:tc>
          <w:tcPr>
            <w:tcW w:w="1526" w:type="dxa"/>
          </w:tcPr>
          <w:p w14:paraId="767A4A74" w14:textId="77777777" w:rsidR="00A840FC" w:rsidRPr="00A840FC" w:rsidRDefault="00A840FC" w:rsidP="00A840FC">
            <w:pPr>
              <w:spacing w:after="0" w:line="240" w:lineRule="auto"/>
              <w:rPr>
                <w:rFonts w:ascii="Times New Roman" w:eastAsia="Times New Roman" w:hAnsi="Times New Roman" w:cs="Times New Roman"/>
                <w:i/>
                <w:lang w:val="lt-LT"/>
              </w:rPr>
            </w:pPr>
            <w:r w:rsidRPr="00A840FC">
              <w:rPr>
                <w:rFonts w:ascii="Times New Roman" w:eastAsia="Times New Roman" w:hAnsi="Times New Roman" w:cs="Times New Roman"/>
                <w:i/>
                <w:lang w:val="lt-LT"/>
              </w:rPr>
              <w:t>Širdies sutrikimai</w:t>
            </w:r>
          </w:p>
        </w:tc>
        <w:tc>
          <w:tcPr>
            <w:tcW w:w="1446" w:type="dxa"/>
          </w:tcPr>
          <w:p w14:paraId="4C8744F1"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418" w:type="dxa"/>
          </w:tcPr>
          <w:p w14:paraId="7C6CB4AD"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Tachikardija</w:t>
            </w:r>
            <w:r w:rsidRPr="00A840FC">
              <w:rPr>
                <w:rFonts w:ascii="Times New Roman" w:eastAsia="Times New Roman" w:hAnsi="Times New Roman" w:cs="Times New Roman"/>
                <w:vertAlign w:val="superscript"/>
                <w:lang w:val="lt-LT"/>
              </w:rPr>
              <w:t>4</w:t>
            </w:r>
            <w:r w:rsidRPr="00A840FC">
              <w:rPr>
                <w:rFonts w:ascii="Times New Roman" w:eastAsia="Times New Roman" w:hAnsi="Times New Roman" w:cs="Times New Roman"/>
                <w:lang w:val="lt-LT"/>
              </w:rPr>
              <w:t>, palpitacijos</w:t>
            </w:r>
            <w:r w:rsidRPr="00A840FC">
              <w:rPr>
                <w:rFonts w:ascii="Times New Roman" w:eastAsia="Times New Roman" w:hAnsi="Times New Roman" w:cs="Times New Roman"/>
                <w:vertAlign w:val="superscript"/>
                <w:lang w:val="lt-LT"/>
              </w:rPr>
              <w:t>23</w:t>
            </w:r>
            <w:r w:rsidRPr="00A840FC">
              <w:rPr>
                <w:rFonts w:ascii="Times New Roman" w:eastAsia="Times New Roman" w:hAnsi="Times New Roman" w:cs="Times New Roman"/>
                <w:lang w:val="lt-LT"/>
              </w:rPr>
              <w:t xml:space="preserve"> </w:t>
            </w:r>
          </w:p>
        </w:tc>
        <w:tc>
          <w:tcPr>
            <w:tcW w:w="1559" w:type="dxa"/>
          </w:tcPr>
          <w:p w14:paraId="715C5CF6"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QT intervalo pailgėjimas</w:t>
            </w:r>
            <w:r w:rsidRPr="00A840FC">
              <w:rPr>
                <w:rFonts w:ascii="Times New Roman" w:eastAsia="Times New Roman" w:hAnsi="Times New Roman" w:cs="Times New Roman"/>
                <w:vertAlign w:val="superscript"/>
                <w:lang w:val="lt-LT"/>
              </w:rPr>
              <w:t>1,12,18</w:t>
            </w:r>
            <w:r w:rsidRPr="00A840FC">
              <w:rPr>
                <w:rFonts w:ascii="Times New Roman" w:eastAsia="Times New Roman" w:hAnsi="Times New Roman" w:cs="Times New Roman"/>
                <w:lang w:val="lt-LT"/>
              </w:rPr>
              <w:t>, bradikardija</w:t>
            </w:r>
            <w:r w:rsidRPr="00A840FC">
              <w:rPr>
                <w:rFonts w:ascii="Times New Roman" w:eastAsia="Times New Roman" w:hAnsi="Times New Roman" w:cs="Times New Roman"/>
                <w:vertAlign w:val="superscript"/>
                <w:lang w:val="lt-LT"/>
              </w:rPr>
              <w:t>32</w:t>
            </w:r>
          </w:p>
        </w:tc>
        <w:tc>
          <w:tcPr>
            <w:tcW w:w="1276" w:type="dxa"/>
          </w:tcPr>
          <w:p w14:paraId="7F673CFA"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559" w:type="dxa"/>
          </w:tcPr>
          <w:p w14:paraId="369B4D83"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276" w:type="dxa"/>
          </w:tcPr>
          <w:p w14:paraId="7EF97CD1"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Kardiomiopatija ir miokarditas</w:t>
            </w:r>
          </w:p>
        </w:tc>
      </w:tr>
      <w:tr w:rsidR="00A840FC" w:rsidRPr="00A840FC" w14:paraId="79F573B2" w14:textId="77777777" w:rsidTr="007E1B2E">
        <w:tc>
          <w:tcPr>
            <w:tcW w:w="1526" w:type="dxa"/>
          </w:tcPr>
          <w:p w14:paraId="75868124" w14:textId="77777777" w:rsidR="00A840FC" w:rsidRPr="00A840FC" w:rsidRDefault="00A840FC" w:rsidP="00A840FC">
            <w:pPr>
              <w:spacing w:after="0" w:line="240" w:lineRule="auto"/>
              <w:rPr>
                <w:rFonts w:ascii="Times New Roman" w:eastAsia="Times New Roman" w:hAnsi="Times New Roman" w:cs="Times New Roman"/>
                <w:i/>
                <w:lang w:val="lt-LT"/>
              </w:rPr>
            </w:pPr>
            <w:r w:rsidRPr="00A840FC">
              <w:rPr>
                <w:rFonts w:ascii="Times New Roman" w:eastAsia="Times New Roman" w:hAnsi="Times New Roman" w:cs="Times New Roman"/>
                <w:i/>
                <w:lang w:val="lt-LT"/>
              </w:rPr>
              <w:t>Akių sutrikimai</w:t>
            </w:r>
          </w:p>
        </w:tc>
        <w:tc>
          <w:tcPr>
            <w:tcW w:w="1446" w:type="dxa"/>
          </w:tcPr>
          <w:p w14:paraId="44154833"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418" w:type="dxa"/>
          </w:tcPr>
          <w:p w14:paraId="7F7FABC2" w14:textId="77777777" w:rsidR="00A840FC" w:rsidRPr="00A840FC" w:rsidRDefault="00A840FC" w:rsidP="00A840FC">
            <w:pPr>
              <w:spacing w:after="0" w:line="240" w:lineRule="auto"/>
              <w:rPr>
                <w:rFonts w:ascii="Times New Roman" w:eastAsia="Times New Roman" w:hAnsi="Times New Roman" w:cs="Times New Roman"/>
                <w:vertAlign w:val="superscript"/>
                <w:lang w:val="lt-LT"/>
              </w:rPr>
            </w:pPr>
            <w:r w:rsidRPr="00A840FC">
              <w:rPr>
                <w:rFonts w:ascii="Times New Roman" w:eastAsia="Times New Roman" w:hAnsi="Times New Roman" w:cs="Times New Roman"/>
                <w:lang w:val="lt-LT"/>
              </w:rPr>
              <w:t>Neryškus matymas</w:t>
            </w:r>
          </w:p>
        </w:tc>
        <w:tc>
          <w:tcPr>
            <w:tcW w:w="1559" w:type="dxa"/>
          </w:tcPr>
          <w:p w14:paraId="5FED2C82" w14:textId="77777777" w:rsidR="00A840FC" w:rsidRPr="00A840FC" w:rsidRDefault="00A840FC" w:rsidP="00A840FC">
            <w:pPr>
              <w:spacing w:after="0" w:line="240" w:lineRule="auto"/>
              <w:rPr>
                <w:rFonts w:ascii="Times New Roman" w:eastAsia="Times New Roman" w:hAnsi="Times New Roman" w:cs="Times New Roman"/>
                <w:vertAlign w:val="superscript"/>
                <w:lang w:val="lt-LT"/>
              </w:rPr>
            </w:pPr>
          </w:p>
        </w:tc>
        <w:tc>
          <w:tcPr>
            <w:tcW w:w="1276" w:type="dxa"/>
          </w:tcPr>
          <w:p w14:paraId="28D15AF5"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559" w:type="dxa"/>
          </w:tcPr>
          <w:p w14:paraId="029B39C8"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276" w:type="dxa"/>
          </w:tcPr>
          <w:p w14:paraId="180459CB" w14:textId="77777777" w:rsidR="00A840FC" w:rsidRPr="00A840FC" w:rsidRDefault="00A840FC" w:rsidP="00A840FC">
            <w:pPr>
              <w:spacing w:after="0" w:line="240" w:lineRule="auto"/>
              <w:rPr>
                <w:rFonts w:ascii="Times New Roman" w:eastAsia="Times New Roman" w:hAnsi="Times New Roman" w:cs="Times New Roman"/>
                <w:lang w:val="lt-LT"/>
              </w:rPr>
            </w:pPr>
          </w:p>
        </w:tc>
      </w:tr>
      <w:tr w:rsidR="00A840FC" w:rsidRPr="00A840FC" w14:paraId="59B86B42" w14:textId="77777777" w:rsidTr="007E1B2E">
        <w:tc>
          <w:tcPr>
            <w:tcW w:w="1526" w:type="dxa"/>
          </w:tcPr>
          <w:p w14:paraId="58647849" w14:textId="77777777" w:rsidR="00A840FC" w:rsidRPr="00A840FC" w:rsidRDefault="00A840FC" w:rsidP="00A840FC">
            <w:pPr>
              <w:spacing w:after="0" w:line="240" w:lineRule="auto"/>
              <w:rPr>
                <w:rFonts w:ascii="Times New Roman" w:eastAsia="Times New Roman" w:hAnsi="Times New Roman" w:cs="Times New Roman"/>
                <w:i/>
                <w:lang w:val="lt-LT"/>
              </w:rPr>
            </w:pPr>
            <w:r w:rsidRPr="00A840FC">
              <w:rPr>
                <w:rFonts w:ascii="Times New Roman" w:eastAsia="Times New Roman" w:hAnsi="Times New Roman" w:cs="Times New Roman"/>
                <w:i/>
                <w:lang w:val="lt-LT"/>
              </w:rPr>
              <w:t>Kraujagyslių sutrikimai</w:t>
            </w:r>
          </w:p>
        </w:tc>
        <w:tc>
          <w:tcPr>
            <w:tcW w:w="1446" w:type="dxa"/>
          </w:tcPr>
          <w:p w14:paraId="216775D8"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418" w:type="dxa"/>
          </w:tcPr>
          <w:p w14:paraId="19209379"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Ortostatinė hipotenzija</w:t>
            </w:r>
            <w:r w:rsidRPr="00A840FC">
              <w:rPr>
                <w:rFonts w:ascii="Times New Roman" w:eastAsia="Times New Roman" w:hAnsi="Times New Roman" w:cs="Times New Roman"/>
                <w:vertAlign w:val="superscript"/>
                <w:lang w:val="lt-LT"/>
              </w:rPr>
              <w:t>4,16</w:t>
            </w:r>
          </w:p>
        </w:tc>
        <w:tc>
          <w:tcPr>
            <w:tcW w:w="1559" w:type="dxa"/>
          </w:tcPr>
          <w:p w14:paraId="11C63EAF"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276" w:type="dxa"/>
          </w:tcPr>
          <w:p w14:paraId="7D5F7C1D"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Venų tromboembolija</w:t>
            </w:r>
            <w:r w:rsidRPr="00A840FC">
              <w:rPr>
                <w:rFonts w:ascii="Times New Roman" w:eastAsia="Times New Roman" w:hAnsi="Times New Roman" w:cs="Times New Roman"/>
                <w:vertAlign w:val="superscript"/>
                <w:lang w:val="lt-LT"/>
              </w:rPr>
              <w:t>1</w:t>
            </w:r>
          </w:p>
        </w:tc>
        <w:tc>
          <w:tcPr>
            <w:tcW w:w="1559" w:type="dxa"/>
          </w:tcPr>
          <w:p w14:paraId="53295BBF"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276" w:type="dxa"/>
          </w:tcPr>
          <w:p w14:paraId="74B187EC" w14:textId="77777777" w:rsidR="00A840FC" w:rsidRPr="00A840FC" w:rsidRDefault="00A840FC" w:rsidP="00A840FC">
            <w:pPr>
              <w:spacing w:after="0" w:line="240" w:lineRule="auto"/>
              <w:rPr>
                <w:rFonts w:ascii="Times New Roman" w:eastAsia="Calibri" w:hAnsi="Times New Roman" w:cs="Times New Roman"/>
                <w:vertAlign w:val="superscript"/>
                <w:lang w:val="lt-LT"/>
              </w:rPr>
            </w:pPr>
            <w:r w:rsidRPr="00A840FC">
              <w:rPr>
                <w:rFonts w:ascii="Times New Roman" w:eastAsia="Times New Roman" w:hAnsi="Times New Roman" w:cs="Times New Roman"/>
                <w:lang w:val="lt-LT"/>
              </w:rPr>
              <w:t>Insultas</w:t>
            </w:r>
            <w:r w:rsidRPr="00A840FC">
              <w:rPr>
                <w:rFonts w:ascii="Times New Roman" w:eastAsia="Times New Roman" w:hAnsi="Times New Roman" w:cs="Times New Roman"/>
                <w:vertAlign w:val="superscript"/>
                <w:lang w:val="lt-LT"/>
              </w:rPr>
              <w:t>33</w:t>
            </w:r>
          </w:p>
        </w:tc>
      </w:tr>
      <w:tr w:rsidR="00A840FC" w:rsidRPr="00A840FC" w14:paraId="76A7BAB3" w14:textId="77777777" w:rsidTr="007E1B2E">
        <w:tc>
          <w:tcPr>
            <w:tcW w:w="1526" w:type="dxa"/>
          </w:tcPr>
          <w:p w14:paraId="12F7AD01" w14:textId="77777777" w:rsidR="00A840FC" w:rsidRPr="00A840FC" w:rsidRDefault="00A840FC" w:rsidP="00A840FC">
            <w:pPr>
              <w:spacing w:after="0" w:line="240" w:lineRule="auto"/>
              <w:rPr>
                <w:rFonts w:ascii="Times New Roman" w:eastAsia="Times New Roman" w:hAnsi="Times New Roman" w:cs="Times New Roman"/>
                <w:i/>
                <w:lang w:val="lt-LT"/>
              </w:rPr>
            </w:pPr>
            <w:r w:rsidRPr="00A840FC">
              <w:rPr>
                <w:rFonts w:ascii="Times New Roman" w:eastAsia="Times New Roman" w:hAnsi="Times New Roman" w:cs="Times New Roman"/>
                <w:i/>
                <w:lang w:val="lt-LT"/>
              </w:rPr>
              <w:t xml:space="preserve">Kvėpavimo sistemos, krūtinės ląstos </w:t>
            </w:r>
            <w:r w:rsidRPr="00A840FC">
              <w:rPr>
                <w:rFonts w:ascii="Times New Roman" w:eastAsia="Times New Roman" w:hAnsi="Times New Roman" w:cs="Times New Roman"/>
                <w:i/>
                <w:lang w:val="lt-LT"/>
              </w:rPr>
              <w:lastRenderedPageBreak/>
              <w:t>ir tarpuplaučio sutrikimai</w:t>
            </w:r>
          </w:p>
        </w:tc>
        <w:tc>
          <w:tcPr>
            <w:tcW w:w="1446" w:type="dxa"/>
          </w:tcPr>
          <w:p w14:paraId="42B4B3AA"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418" w:type="dxa"/>
          </w:tcPr>
          <w:p w14:paraId="295D525B" w14:textId="77777777" w:rsidR="00A840FC" w:rsidRPr="00A840FC" w:rsidRDefault="00A840FC" w:rsidP="00A840FC">
            <w:pPr>
              <w:spacing w:after="0" w:line="240" w:lineRule="auto"/>
              <w:rPr>
                <w:rFonts w:ascii="Times New Roman" w:eastAsia="Times New Roman" w:hAnsi="Times New Roman" w:cs="Times New Roman"/>
                <w:vertAlign w:val="superscript"/>
                <w:lang w:val="lt-LT"/>
              </w:rPr>
            </w:pPr>
            <w:r w:rsidRPr="00A840FC">
              <w:rPr>
                <w:rFonts w:ascii="Times New Roman" w:eastAsia="Times New Roman" w:hAnsi="Times New Roman" w:cs="Times New Roman"/>
                <w:lang w:val="lt-LT"/>
              </w:rPr>
              <w:t>Dispnėja</w:t>
            </w:r>
            <w:r w:rsidRPr="00A840FC">
              <w:rPr>
                <w:rFonts w:ascii="Times New Roman" w:eastAsia="Times New Roman" w:hAnsi="Times New Roman" w:cs="Times New Roman"/>
                <w:vertAlign w:val="superscript"/>
                <w:lang w:val="lt-LT"/>
              </w:rPr>
              <w:t>23</w:t>
            </w:r>
          </w:p>
        </w:tc>
        <w:tc>
          <w:tcPr>
            <w:tcW w:w="1559" w:type="dxa"/>
          </w:tcPr>
          <w:p w14:paraId="7C2D3F7A"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Rinitas</w:t>
            </w:r>
          </w:p>
        </w:tc>
        <w:tc>
          <w:tcPr>
            <w:tcW w:w="1276" w:type="dxa"/>
          </w:tcPr>
          <w:p w14:paraId="6EE92407"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559" w:type="dxa"/>
          </w:tcPr>
          <w:p w14:paraId="0118125D"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276" w:type="dxa"/>
          </w:tcPr>
          <w:p w14:paraId="138529F8" w14:textId="77777777" w:rsidR="00A840FC" w:rsidRPr="00A840FC" w:rsidRDefault="00A840FC" w:rsidP="00A840FC">
            <w:pPr>
              <w:spacing w:after="0" w:line="240" w:lineRule="auto"/>
              <w:rPr>
                <w:rFonts w:ascii="Times New Roman" w:eastAsia="Times New Roman" w:hAnsi="Times New Roman" w:cs="Times New Roman"/>
                <w:lang w:val="lt-LT"/>
              </w:rPr>
            </w:pPr>
          </w:p>
        </w:tc>
      </w:tr>
      <w:tr w:rsidR="00A840FC" w:rsidRPr="006A2CAD" w14:paraId="45713555" w14:textId="77777777" w:rsidTr="007E1B2E">
        <w:tc>
          <w:tcPr>
            <w:tcW w:w="1526" w:type="dxa"/>
          </w:tcPr>
          <w:p w14:paraId="1BB265CB" w14:textId="77777777" w:rsidR="00A840FC" w:rsidRPr="00A840FC" w:rsidRDefault="00A840FC" w:rsidP="00A840FC">
            <w:pPr>
              <w:spacing w:after="0" w:line="240" w:lineRule="auto"/>
              <w:rPr>
                <w:rFonts w:ascii="Times New Roman" w:eastAsia="Times New Roman" w:hAnsi="Times New Roman" w:cs="Times New Roman"/>
                <w:i/>
                <w:lang w:val="lt-LT"/>
              </w:rPr>
            </w:pPr>
            <w:r w:rsidRPr="00A840FC">
              <w:rPr>
                <w:rFonts w:ascii="Times New Roman" w:eastAsia="Times New Roman" w:hAnsi="Times New Roman" w:cs="Times New Roman"/>
                <w:i/>
                <w:lang w:val="lt-LT"/>
              </w:rPr>
              <w:t>Virškinimo trakto sutrikimai</w:t>
            </w:r>
          </w:p>
        </w:tc>
        <w:tc>
          <w:tcPr>
            <w:tcW w:w="1446" w:type="dxa"/>
          </w:tcPr>
          <w:p w14:paraId="25F7E940"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Burnos džiūvimas</w:t>
            </w:r>
          </w:p>
        </w:tc>
        <w:tc>
          <w:tcPr>
            <w:tcW w:w="1418" w:type="dxa"/>
          </w:tcPr>
          <w:p w14:paraId="32BC012F" w14:textId="77777777" w:rsidR="00A840FC" w:rsidRPr="00A840FC" w:rsidRDefault="00A840FC" w:rsidP="00A840FC">
            <w:pPr>
              <w:spacing w:after="0" w:line="240" w:lineRule="auto"/>
              <w:rPr>
                <w:rFonts w:ascii="Times New Roman" w:eastAsia="Times New Roman" w:hAnsi="Times New Roman" w:cs="Times New Roman"/>
                <w:vertAlign w:val="superscript"/>
                <w:lang w:val="lt-LT"/>
              </w:rPr>
            </w:pPr>
            <w:r w:rsidRPr="00A840FC">
              <w:rPr>
                <w:rFonts w:ascii="Times New Roman" w:eastAsia="Times New Roman" w:hAnsi="Times New Roman" w:cs="Times New Roman"/>
                <w:lang w:val="lt-LT"/>
              </w:rPr>
              <w:t>Vidurių užkietėjimas, dispepsija, vėmimas</w:t>
            </w:r>
            <w:r w:rsidRPr="00A840FC">
              <w:rPr>
                <w:rFonts w:ascii="Times New Roman" w:eastAsia="Times New Roman" w:hAnsi="Times New Roman" w:cs="Times New Roman"/>
                <w:vertAlign w:val="superscript"/>
                <w:lang w:val="lt-LT"/>
              </w:rPr>
              <w:t>25</w:t>
            </w:r>
          </w:p>
        </w:tc>
        <w:tc>
          <w:tcPr>
            <w:tcW w:w="1559" w:type="dxa"/>
          </w:tcPr>
          <w:p w14:paraId="7186461B" w14:textId="77777777" w:rsidR="00A840FC" w:rsidRPr="00A840FC" w:rsidRDefault="00A840FC" w:rsidP="00A840FC">
            <w:pPr>
              <w:spacing w:after="0" w:line="240" w:lineRule="auto"/>
              <w:rPr>
                <w:rFonts w:ascii="Times New Roman" w:eastAsia="Times New Roman" w:hAnsi="Times New Roman" w:cs="Times New Roman"/>
                <w:vertAlign w:val="superscript"/>
                <w:lang w:val="lt-LT"/>
              </w:rPr>
            </w:pPr>
            <w:r w:rsidRPr="00A840FC">
              <w:rPr>
                <w:rFonts w:ascii="Times New Roman" w:eastAsia="Times New Roman" w:hAnsi="Times New Roman" w:cs="Times New Roman"/>
                <w:lang w:val="lt-LT"/>
              </w:rPr>
              <w:t>Disfagija</w:t>
            </w:r>
            <w:r w:rsidRPr="00A840FC">
              <w:rPr>
                <w:rFonts w:ascii="Times New Roman" w:eastAsia="Times New Roman" w:hAnsi="Times New Roman" w:cs="Times New Roman"/>
                <w:vertAlign w:val="superscript"/>
                <w:lang w:val="lt-LT"/>
              </w:rPr>
              <w:t>7</w:t>
            </w:r>
          </w:p>
        </w:tc>
        <w:tc>
          <w:tcPr>
            <w:tcW w:w="1276" w:type="dxa"/>
          </w:tcPr>
          <w:p w14:paraId="473C7870"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Pankreatitas</w:t>
            </w:r>
            <w:r w:rsidRPr="00A840FC">
              <w:rPr>
                <w:rFonts w:ascii="Times New Roman" w:eastAsia="Times New Roman" w:hAnsi="Times New Roman" w:cs="Times New Roman"/>
                <w:vertAlign w:val="superscript"/>
                <w:lang w:val="lt-LT"/>
              </w:rPr>
              <w:t>1</w:t>
            </w:r>
            <w:r w:rsidRPr="00A840FC">
              <w:rPr>
                <w:rFonts w:ascii="Times New Roman" w:eastAsia="Times New Roman" w:hAnsi="Times New Roman" w:cs="Times New Roman"/>
                <w:lang w:val="lt-LT"/>
              </w:rPr>
              <w:t>, žarnų obstrukcija ar nepraeinamumas</w:t>
            </w:r>
          </w:p>
        </w:tc>
        <w:tc>
          <w:tcPr>
            <w:tcW w:w="1559" w:type="dxa"/>
          </w:tcPr>
          <w:p w14:paraId="75E539A0"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276" w:type="dxa"/>
          </w:tcPr>
          <w:p w14:paraId="75E0A044" w14:textId="77777777" w:rsidR="00A840FC" w:rsidRPr="00A840FC" w:rsidRDefault="00A840FC" w:rsidP="00A840FC">
            <w:pPr>
              <w:spacing w:after="0" w:line="240" w:lineRule="auto"/>
              <w:rPr>
                <w:rFonts w:ascii="Times New Roman" w:eastAsia="Times New Roman" w:hAnsi="Times New Roman" w:cs="Times New Roman"/>
                <w:lang w:val="lt-LT"/>
              </w:rPr>
            </w:pPr>
          </w:p>
        </w:tc>
      </w:tr>
      <w:tr w:rsidR="00A840FC" w:rsidRPr="00A840FC" w14:paraId="3ADB8CCE" w14:textId="77777777" w:rsidTr="007E1B2E">
        <w:tc>
          <w:tcPr>
            <w:tcW w:w="1526" w:type="dxa"/>
          </w:tcPr>
          <w:p w14:paraId="2317D59F" w14:textId="77777777" w:rsidR="00A840FC" w:rsidRPr="00A840FC" w:rsidRDefault="00A840FC" w:rsidP="00A840FC">
            <w:pPr>
              <w:spacing w:after="0" w:line="240" w:lineRule="auto"/>
              <w:rPr>
                <w:rFonts w:ascii="Times New Roman" w:eastAsia="Times New Roman" w:hAnsi="Times New Roman" w:cs="Times New Roman"/>
                <w:i/>
                <w:lang w:val="lt-LT"/>
              </w:rPr>
            </w:pPr>
            <w:r w:rsidRPr="00A840FC">
              <w:rPr>
                <w:rFonts w:ascii="Times New Roman" w:eastAsia="Times New Roman" w:hAnsi="Times New Roman" w:cs="Times New Roman"/>
                <w:i/>
                <w:lang w:val="lt-LT"/>
              </w:rPr>
              <w:t>Kepenų, tulžies pūslės ir latakų sutrikimai</w:t>
            </w:r>
          </w:p>
        </w:tc>
        <w:tc>
          <w:tcPr>
            <w:tcW w:w="1446" w:type="dxa"/>
          </w:tcPr>
          <w:p w14:paraId="646B0323"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418" w:type="dxa"/>
          </w:tcPr>
          <w:p w14:paraId="78642F67"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Alanino aminotransferazės aktyvumo serume padidėjimas</w:t>
            </w:r>
            <w:r w:rsidRPr="00A840FC">
              <w:rPr>
                <w:rFonts w:ascii="Times New Roman" w:eastAsia="Times New Roman" w:hAnsi="Times New Roman" w:cs="Times New Roman"/>
                <w:vertAlign w:val="superscript"/>
                <w:lang w:val="lt-LT"/>
              </w:rPr>
              <w:t>3</w:t>
            </w:r>
            <w:r w:rsidRPr="00A840FC">
              <w:rPr>
                <w:rFonts w:ascii="Times New Roman" w:eastAsia="Times New Roman" w:hAnsi="Times New Roman" w:cs="Times New Roman"/>
                <w:lang w:val="lt-LT"/>
              </w:rPr>
              <w:t>, gama-GT aktyvumo padidėjimas</w:t>
            </w:r>
            <w:r w:rsidRPr="00A840FC">
              <w:rPr>
                <w:rFonts w:ascii="Times New Roman" w:eastAsia="Times New Roman" w:hAnsi="Times New Roman" w:cs="Times New Roman"/>
                <w:vertAlign w:val="superscript"/>
                <w:lang w:val="lt-LT"/>
              </w:rPr>
              <w:t>3</w:t>
            </w:r>
            <w:r w:rsidRPr="00A840FC">
              <w:rPr>
                <w:rFonts w:ascii="Times New Roman" w:eastAsia="Times New Roman" w:hAnsi="Times New Roman" w:cs="Times New Roman"/>
                <w:lang w:val="lt-LT"/>
              </w:rPr>
              <w:t xml:space="preserve"> </w:t>
            </w:r>
          </w:p>
          <w:p w14:paraId="367B6C84"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559" w:type="dxa"/>
          </w:tcPr>
          <w:p w14:paraId="37FEE596"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Aspartato aminotransferazės (AST) aktyvumo serume padidėjimas</w:t>
            </w:r>
            <w:r w:rsidRPr="00A840FC">
              <w:rPr>
                <w:rFonts w:ascii="Times New Roman" w:eastAsia="Times New Roman" w:hAnsi="Times New Roman" w:cs="Times New Roman"/>
                <w:vertAlign w:val="superscript"/>
                <w:lang w:val="lt-LT"/>
              </w:rPr>
              <w:t>3</w:t>
            </w:r>
          </w:p>
        </w:tc>
        <w:tc>
          <w:tcPr>
            <w:tcW w:w="1276" w:type="dxa"/>
          </w:tcPr>
          <w:p w14:paraId="48BA78F8"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Gelta</w:t>
            </w:r>
            <w:r w:rsidRPr="00A840FC">
              <w:rPr>
                <w:rFonts w:ascii="Times New Roman" w:eastAsia="Times New Roman" w:hAnsi="Times New Roman" w:cs="Times New Roman"/>
                <w:vertAlign w:val="superscript"/>
                <w:lang w:val="lt-LT"/>
              </w:rPr>
              <w:t>5</w:t>
            </w:r>
            <w:r w:rsidRPr="00A840FC">
              <w:rPr>
                <w:rFonts w:ascii="Times New Roman" w:eastAsia="Times New Roman" w:hAnsi="Times New Roman" w:cs="Times New Roman"/>
                <w:lang w:val="lt-LT"/>
              </w:rPr>
              <w:t>, hepatitas</w:t>
            </w:r>
          </w:p>
        </w:tc>
        <w:tc>
          <w:tcPr>
            <w:tcW w:w="1559" w:type="dxa"/>
          </w:tcPr>
          <w:p w14:paraId="34BF94E4"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276" w:type="dxa"/>
          </w:tcPr>
          <w:p w14:paraId="34BFBDA7" w14:textId="77777777" w:rsidR="00A840FC" w:rsidRPr="00A840FC" w:rsidRDefault="00A840FC" w:rsidP="00A840FC">
            <w:pPr>
              <w:spacing w:after="0" w:line="240" w:lineRule="auto"/>
              <w:rPr>
                <w:rFonts w:ascii="Times New Roman" w:eastAsia="Times New Roman" w:hAnsi="Times New Roman" w:cs="Times New Roman"/>
                <w:lang w:val="lt-LT"/>
              </w:rPr>
            </w:pPr>
          </w:p>
        </w:tc>
      </w:tr>
      <w:tr w:rsidR="00A840FC" w:rsidRPr="006A2CAD" w14:paraId="4E035917" w14:textId="77777777" w:rsidTr="007E1B2E">
        <w:tc>
          <w:tcPr>
            <w:tcW w:w="1526" w:type="dxa"/>
          </w:tcPr>
          <w:p w14:paraId="13B58C36" w14:textId="77777777" w:rsidR="00A840FC" w:rsidRPr="00A840FC" w:rsidRDefault="00A840FC" w:rsidP="00A840FC">
            <w:pPr>
              <w:spacing w:after="0" w:line="240" w:lineRule="auto"/>
              <w:rPr>
                <w:rFonts w:ascii="Times New Roman" w:eastAsia="Times New Roman" w:hAnsi="Times New Roman" w:cs="Times New Roman"/>
                <w:i/>
                <w:lang w:val="lt-LT"/>
              </w:rPr>
            </w:pPr>
            <w:r w:rsidRPr="00A840FC">
              <w:rPr>
                <w:rFonts w:ascii="Times New Roman" w:eastAsia="Times New Roman" w:hAnsi="Times New Roman" w:cs="Times New Roman"/>
                <w:i/>
                <w:lang w:val="lt-LT"/>
              </w:rPr>
              <w:t>Odos ir poodinio audinio sutrikimai</w:t>
            </w:r>
          </w:p>
        </w:tc>
        <w:tc>
          <w:tcPr>
            <w:tcW w:w="1446" w:type="dxa"/>
          </w:tcPr>
          <w:p w14:paraId="36D0B122"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418" w:type="dxa"/>
          </w:tcPr>
          <w:p w14:paraId="7F28440F"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559" w:type="dxa"/>
          </w:tcPr>
          <w:p w14:paraId="46C7E411"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276" w:type="dxa"/>
          </w:tcPr>
          <w:p w14:paraId="7D853A50"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559" w:type="dxa"/>
          </w:tcPr>
          <w:p w14:paraId="7B1AFC9B"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Calibri" w:hAnsi="Times New Roman" w:cs="Times New Roman"/>
                <w:lang w:val="lt-LT" w:eastAsia="lt-LT"/>
              </w:rPr>
              <w:t>Angioedema</w:t>
            </w:r>
            <w:r w:rsidRPr="00A840FC">
              <w:rPr>
                <w:rFonts w:ascii="Times New Roman" w:eastAsia="Times New Roman" w:hAnsi="Times New Roman" w:cs="Times New Roman"/>
                <w:vertAlign w:val="superscript"/>
                <w:lang w:val="lt-LT"/>
              </w:rPr>
              <w:t>5</w:t>
            </w:r>
            <w:r w:rsidRPr="00A840FC">
              <w:rPr>
                <w:rFonts w:ascii="Times New Roman" w:eastAsia="Times New Roman" w:hAnsi="Times New Roman" w:cs="Times New Roman"/>
                <w:lang w:val="lt-LT"/>
              </w:rPr>
              <w:t>, Stivenso-Džonsono (</w:t>
            </w:r>
            <w:r w:rsidRPr="00A840FC">
              <w:rPr>
                <w:rFonts w:ascii="Times New Roman" w:eastAsia="Times New Roman" w:hAnsi="Times New Roman" w:cs="Times New Roman"/>
                <w:i/>
                <w:lang w:val="lt-LT"/>
              </w:rPr>
              <w:t>Stevens-Johnson</w:t>
            </w:r>
            <w:r w:rsidRPr="00A840FC">
              <w:rPr>
                <w:rFonts w:ascii="Times New Roman" w:eastAsia="Times New Roman" w:hAnsi="Times New Roman" w:cs="Times New Roman"/>
                <w:lang w:val="lt-LT"/>
              </w:rPr>
              <w:t>) sindromas</w:t>
            </w:r>
            <w:r w:rsidRPr="00A840FC">
              <w:rPr>
                <w:rFonts w:ascii="Times New Roman" w:eastAsia="Times New Roman" w:hAnsi="Times New Roman" w:cs="Times New Roman"/>
                <w:vertAlign w:val="superscript"/>
                <w:lang w:val="lt-LT"/>
              </w:rPr>
              <w:t>5</w:t>
            </w:r>
          </w:p>
        </w:tc>
        <w:tc>
          <w:tcPr>
            <w:tcW w:w="1276" w:type="dxa"/>
          </w:tcPr>
          <w:p w14:paraId="5559B5BA" w14:textId="18A17708" w:rsid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Toksinė epidermio nekrolizė [Lajelio (</w:t>
            </w:r>
            <w:r w:rsidRPr="00A840FC">
              <w:rPr>
                <w:rFonts w:ascii="Times New Roman" w:eastAsia="Times New Roman" w:hAnsi="Times New Roman" w:cs="Times New Roman"/>
                <w:i/>
                <w:lang w:val="lt-LT"/>
              </w:rPr>
              <w:t>Lyell</w:t>
            </w:r>
            <w:r w:rsidRPr="00A840FC">
              <w:rPr>
                <w:rFonts w:ascii="Times New Roman" w:eastAsia="Times New Roman" w:hAnsi="Times New Roman" w:cs="Times New Roman"/>
                <w:lang w:val="lt-LT"/>
              </w:rPr>
              <w:t>) sindromas], daugiaformė raudonė (eritema)</w:t>
            </w:r>
            <w:r w:rsidR="00A11679">
              <w:rPr>
                <w:rFonts w:ascii="Times New Roman" w:eastAsia="Times New Roman" w:hAnsi="Times New Roman" w:cs="Times New Roman"/>
                <w:lang w:val="lt-LT"/>
              </w:rPr>
              <w:t xml:space="preserve">, </w:t>
            </w:r>
          </w:p>
          <w:p w14:paraId="5B37D6F9" w14:textId="0D901BDD" w:rsidR="008317AF" w:rsidRPr="00A840FC" w:rsidRDefault="00A11679" w:rsidP="00A840FC">
            <w:pPr>
              <w:spacing w:after="0" w:line="240" w:lineRule="auto"/>
              <w:rPr>
                <w:rFonts w:ascii="Times New Roman" w:eastAsia="Times New Roman" w:hAnsi="Times New Roman" w:cs="Times New Roman"/>
                <w:lang w:val="lt-LT"/>
              </w:rPr>
            </w:pPr>
            <w:r>
              <w:rPr>
                <w:rFonts w:ascii="Times New Roman" w:eastAsia="Calibri" w:hAnsi="Times New Roman" w:cs="Times New Roman"/>
                <w:color w:val="000000"/>
                <w:lang w:val="lt-LT"/>
              </w:rPr>
              <w:t>ū</w:t>
            </w:r>
            <w:r w:rsidR="008317AF" w:rsidRPr="00D403A6">
              <w:rPr>
                <w:rFonts w:ascii="Times New Roman" w:eastAsia="Calibri" w:hAnsi="Times New Roman" w:cs="Times New Roman"/>
                <w:color w:val="000000"/>
                <w:lang w:val="lt-LT"/>
              </w:rPr>
              <w:t>min</w:t>
            </w:r>
            <w:r w:rsidR="00FE014F">
              <w:rPr>
                <w:rFonts w:ascii="Times New Roman" w:eastAsia="Calibri" w:hAnsi="Times New Roman" w:cs="Times New Roman"/>
                <w:color w:val="000000"/>
                <w:lang w:val="lt-LT"/>
              </w:rPr>
              <w:t>ė</w:t>
            </w:r>
            <w:r w:rsidR="008317AF" w:rsidRPr="00D403A6">
              <w:rPr>
                <w:rFonts w:ascii="Times New Roman" w:eastAsia="Calibri" w:hAnsi="Times New Roman" w:cs="Times New Roman"/>
                <w:color w:val="000000"/>
                <w:lang w:val="lt-LT"/>
              </w:rPr>
              <w:t xml:space="preserve"> generalizuot</w:t>
            </w:r>
            <w:r w:rsidR="008317AF">
              <w:rPr>
                <w:rFonts w:ascii="Times New Roman" w:eastAsia="Calibri" w:hAnsi="Times New Roman" w:cs="Times New Roman"/>
                <w:color w:val="000000"/>
                <w:lang w:val="lt-LT"/>
              </w:rPr>
              <w:t>a</w:t>
            </w:r>
            <w:r w:rsidR="008317AF" w:rsidRPr="00D403A6">
              <w:rPr>
                <w:rFonts w:ascii="Times New Roman" w:eastAsia="Calibri" w:hAnsi="Times New Roman" w:cs="Times New Roman"/>
                <w:color w:val="000000"/>
                <w:lang w:val="lt-LT"/>
              </w:rPr>
              <w:t xml:space="preserve"> egzantemin</w:t>
            </w:r>
            <w:r w:rsidR="008317AF">
              <w:rPr>
                <w:rFonts w:ascii="Times New Roman" w:eastAsia="Calibri" w:hAnsi="Times New Roman" w:cs="Times New Roman"/>
                <w:color w:val="000000"/>
                <w:lang w:val="lt-LT"/>
              </w:rPr>
              <w:t>ė</w:t>
            </w:r>
            <w:r w:rsidR="008317AF" w:rsidRPr="00D403A6">
              <w:rPr>
                <w:rFonts w:ascii="Times New Roman" w:eastAsia="Calibri" w:hAnsi="Times New Roman" w:cs="Times New Roman"/>
                <w:color w:val="000000"/>
                <w:lang w:val="lt-LT"/>
              </w:rPr>
              <w:t xml:space="preserve"> pustulioz</w:t>
            </w:r>
            <w:r w:rsidR="008317AF">
              <w:rPr>
                <w:rFonts w:ascii="Times New Roman" w:eastAsia="Calibri" w:hAnsi="Times New Roman" w:cs="Times New Roman"/>
                <w:color w:val="000000"/>
                <w:lang w:val="lt-LT"/>
              </w:rPr>
              <w:t>ė</w:t>
            </w:r>
            <w:r w:rsidR="008317AF" w:rsidRPr="00D403A6">
              <w:rPr>
                <w:rFonts w:ascii="Times New Roman" w:eastAsia="Calibri" w:hAnsi="Times New Roman" w:cs="Times New Roman"/>
                <w:color w:val="000000"/>
                <w:lang w:val="lt-LT"/>
              </w:rPr>
              <w:t xml:space="preserve"> (AGEP)</w:t>
            </w:r>
            <w:r w:rsidR="008317AF">
              <w:rPr>
                <w:rFonts w:ascii="Times New Roman" w:eastAsia="Calibri" w:hAnsi="Times New Roman" w:cs="Times New Roman"/>
                <w:color w:val="000000"/>
                <w:lang w:val="lt-LT"/>
              </w:rPr>
              <w:t>,</w:t>
            </w:r>
          </w:p>
          <w:p w14:paraId="6D9D7E4E" w14:textId="6EC8F197" w:rsidR="00A840FC" w:rsidRPr="00A840FC" w:rsidRDefault="00A11679" w:rsidP="00A840F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w:t>
            </w:r>
            <w:r w:rsidR="00A840FC" w:rsidRPr="00A840FC">
              <w:rPr>
                <w:rFonts w:ascii="Times New Roman" w:eastAsia="Times New Roman" w:hAnsi="Times New Roman" w:cs="Times New Roman"/>
                <w:lang w:val="lt-LT"/>
              </w:rPr>
              <w:t>aistinio preparato sukeltas išbėrimas su eozinofilija ir sisteminiais simptomais (DRESS), odos vaskulitas</w:t>
            </w:r>
          </w:p>
        </w:tc>
      </w:tr>
      <w:tr w:rsidR="00A840FC" w:rsidRPr="00A840FC" w14:paraId="1D26C8B3" w14:textId="77777777" w:rsidTr="007E1B2E">
        <w:tc>
          <w:tcPr>
            <w:tcW w:w="1526" w:type="dxa"/>
          </w:tcPr>
          <w:p w14:paraId="717DB0C7" w14:textId="77777777" w:rsidR="00A840FC" w:rsidRPr="00A840FC" w:rsidRDefault="00A840FC" w:rsidP="00A840FC">
            <w:pPr>
              <w:spacing w:after="0" w:line="240" w:lineRule="auto"/>
              <w:rPr>
                <w:rFonts w:ascii="Times New Roman" w:eastAsia="Times New Roman" w:hAnsi="Times New Roman" w:cs="Times New Roman"/>
                <w:i/>
                <w:lang w:val="lt-LT"/>
              </w:rPr>
            </w:pPr>
            <w:r w:rsidRPr="00A840FC">
              <w:rPr>
                <w:rFonts w:ascii="Times New Roman" w:eastAsia="Times New Roman" w:hAnsi="Times New Roman" w:cs="Times New Roman"/>
                <w:i/>
                <w:lang w:val="lt-LT"/>
              </w:rPr>
              <w:t>Skeleto, raumenų ir jungiamojo audinio sutrikimai</w:t>
            </w:r>
          </w:p>
        </w:tc>
        <w:tc>
          <w:tcPr>
            <w:tcW w:w="1446" w:type="dxa"/>
          </w:tcPr>
          <w:p w14:paraId="7DF3B1EF"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418" w:type="dxa"/>
          </w:tcPr>
          <w:p w14:paraId="08FE108B"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559" w:type="dxa"/>
          </w:tcPr>
          <w:p w14:paraId="15CD5B92"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276" w:type="dxa"/>
          </w:tcPr>
          <w:p w14:paraId="023EB6ED"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559" w:type="dxa"/>
          </w:tcPr>
          <w:p w14:paraId="3AFC4F21"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Rabdomiolizė</w:t>
            </w:r>
          </w:p>
        </w:tc>
        <w:tc>
          <w:tcPr>
            <w:tcW w:w="1276" w:type="dxa"/>
          </w:tcPr>
          <w:p w14:paraId="7C748532" w14:textId="77777777" w:rsidR="00A840FC" w:rsidRPr="00A840FC" w:rsidRDefault="00A840FC" w:rsidP="00A840FC">
            <w:pPr>
              <w:spacing w:after="0" w:line="240" w:lineRule="auto"/>
              <w:rPr>
                <w:rFonts w:ascii="Times New Roman" w:eastAsia="Times New Roman" w:hAnsi="Times New Roman" w:cs="Times New Roman"/>
                <w:lang w:val="lt-LT"/>
              </w:rPr>
            </w:pPr>
          </w:p>
        </w:tc>
      </w:tr>
      <w:tr w:rsidR="00A840FC" w:rsidRPr="00A840FC" w14:paraId="2AB87A45" w14:textId="77777777" w:rsidTr="007E1B2E">
        <w:tc>
          <w:tcPr>
            <w:tcW w:w="1526" w:type="dxa"/>
          </w:tcPr>
          <w:p w14:paraId="73EE467A" w14:textId="77777777" w:rsidR="00A840FC" w:rsidRPr="00A840FC" w:rsidRDefault="00A840FC" w:rsidP="00A840FC">
            <w:pPr>
              <w:spacing w:after="0" w:line="240" w:lineRule="auto"/>
              <w:rPr>
                <w:rFonts w:ascii="Times New Roman" w:eastAsia="Times New Roman" w:hAnsi="Times New Roman" w:cs="Times New Roman"/>
                <w:i/>
                <w:lang w:val="lt-LT"/>
              </w:rPr>
            </w:pPr>
            <w:r w:rsidRPr="00A840FC">
              <w:rPr>
                <w:rFonts w:ascii="Times New Roman" w:eastAsia="Times New Roman" w:hAnsi="Times New Roman" w:cs="Times New Roman"/>
                <w:i/>
                <w:lang w:val="lt-LT"/>
              </w:rPr>
              <w:t>Inkstų ir šlapimo takų sutrikimai</w:t>
            </w:r>
          </w:p>
        </w:tc>
        <w:tc>
          <w:tcPr>
            <w:tcW w:w="1446" w:type="dxa"/>
          </w:tcPr>
          <w:p w14:paraId="1712B327"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418" w:type="dxa"/>
          </w:tcPr>
          <w:p w14:paraId="436FAA52"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559" w:type="dxa"/>
          </w:tcPr>
          <w:p w14:paraId="2DE5ECBF"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Šlapimo susilaikymas</w:t>
            </w:r>
          </w:p>
        </w:tc>
        <w:tc>
          <w:tcPr>
            <w:tcW w:w="1276" w:type="dxa"/>
          </w:tcPr>
          <w:p w14:paraId="68B836DF"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559" w:type="dxa"/>
          </w:tcPr>
          <w:p w14:paraId="7E1E00E5"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276" w:type="dxa"/>
          </w:tcPr>
          <w:p w14:paraId="60154301" w14:textId="77777777" w:rsidR="00A840FC" w:rsidRPr="00A840FC" w:rsidRDefault="00A840FC" w:rsidP="00A840FC">
            <w:pPr>
              <w:spacing w:after="0" w:line="240" w:lineRule="auto"/>
              <w:rPr>
                <w:rFonts w:ascii="Times New Roman" w:eastAsia="Times New Roman" w:hAnsi="Times New Roman" w:cs="Times New Roman"/>
                <w:lang w:val="lt-LT"/>
              </w:rPr>
            </w:pPr>
          </w:p>
        </w:tc>
      </w:tr>
      <w:tr w:rsidR="00A840FC" w:rsidRPr="006A2CAD" w14:paraId="6F57DBCA" w14:textId="77777777" w:rsidTr="007E1B2E">
        <w:tc>
          <w:tcPr>
            <w:tcW w:w="1526" w:type="dxa"/>
          </w:tcPr>
          <w:p w14:paraId="02377B0B" w14:textId="77777777" w:rsidR="00A840FC" w:rsidRPr="00A840FC" w:rsidRDefault="00A840FC" w:rsidP="00A840FC">
            <w:pPr>
              <w:spacing w:after="0" w:line="240" w:lineRule="auto"/>
              <w:rPr>
                <w:rFonts w:ascii="Times New Roman" w:eastAsia="Times New Roman" w:hAnsi="Times New Roman" w:cs="Times New Roman"/>
                <w:i/>
                <w:lang w:val="lt-LT"/>
              </w:rPr>
            </w:pPr>
            <w:r w:rsidRPr="00A840FC">
              <w:rPr>
                <w:rFonts w:ascii="Times New Roman" w:eastAsia="Times New Roman" w:hAnsi="Times New Roman" w:cs="Times New Roman"/>
                <w:i/>
                <w:lang w:val="lt-LT"/>
              </w:rPr>
              <w:t xml:space="preserve">Būklės nėštumo, </w:t>
            </w:r>
            <w:r w:rsidRPr="00A840FC">
              <w:rPr>
                <w:rFonts w:ascii="Times New Roman" w:eastAsia="Times New Roman" w:hAnsi="Times New Roman" w:cs="Times New Roman"/>
                <w:i/>
                <w:lang w:val="lt-LT"/>
              </w:rPr>
              <w:lastRenderedPageBreak/>
              <w:t>pogimdyminiu ir perinataliniu laikotarpiu</w:t>
            </w:r>
          </w:p>
        </w:tc>
        <w:tc>
          <w:tcPr>
            <w:tcW w:w="1446" w:type="dxa"/>
          </w:tcPr>
          <w:p w14:paraId="2577FD89"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418" w:type="dxa"/>
          </w:tcPr>
          <w:p w14:paraId="07462E84"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559" w:type="dxa"/>
          </w:tcPr>
          <w:p w14:paraId="2A733BD8"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276" w:type="dxa"/>
          </w:tcPr>
          <w:p w14:paraId="21CBA8A9"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559" w:type="dxa"/>
          </w:tcPr>
          <w:p w14:paraId="1D12110C"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276" w:type="dxa"/>
          </w:tcPr>
          <w:p w14:paraId="5924AEEF"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Vaistinio preparato </w:t>
            </w:r>
            <w:r w:rsidRPr="00A840FC">
              <w:rPr>
                <w:rFonts w:ascii="Times New Roman" w:eastAsia="Times New Roman" w:hAnsi="Times New Roman" w:cs="Times New Roman"/>
                <w:lang w:val="lt-LT"/>
              </w:rPr>
              <w:lastRenderedPageBreak/>
              <w:t xml:space="preserve">nutraukimo sindromas naujagimiams </w:t>
            </w:r>
            <w:r w:rsidRPr="00A840FC">
              <w:rPr>
                <w:rFonts w:ascii="Times New Roman" w:eastAsia="Times New Roman" w:hAnsi="Times New Roman" w:cs="Times New Roman"/>
                <w:vertAlign w:val="superscript"/>
                <w:lang w:val="lt-LT"/>
              </w:rPr>
              <w:t>31</w:t>
            </w:r>
          </w:p>
        </w:tc>
      </w:tr>
      <w:tr w:rsidR="00A840FC" w:rsidRPr="006A2CAD" w14:paraId="080C809A" w14:textId="77777777" w:rsidTr="007E1B2E">
        <w:tc>
          <w:tcPr>
            <w:tcW w:w="1526" w:type="dxa"/>
          </w:tcPr>
          <w:p w14:paraId="1897D3D7" w14:textId="77777777" w:rsidR="00A840FC" w:rsidRPr="00A840FC" w:rsidRDefault="00A840FC" w:rsidP="00A840FC">
            <w:pPr>
              <w:spacing w:after="0" w:line="240" w:lineRule="auto"/>
              <w:rPr>
                <w:rFonts w:ascii="Times New Roman" w:eastAsia="Times New Roman" w:hAnsi="Times New Roman" w:cs="Times New Roman"/>
                <w:i/>
                <w:lang w:val="lt-LT"/>
              </w:rPr>
            </w:pPr>
            <w:r w:rsidRPr="00A840FC">
              <w:rPr>
                <w:rFonts w:ascii="Times New Roman" w:eastAsia="Times New Roman" w:hAnsi="Times New Roman" w:cs="Times New Roman"/>
                <w:i/>
                <w:lang w:val="lt-LT"/>
              </w:rPr>
              <w:lastRenderedPageBreak/>
              <w:t>Lytinės sistemos ir krūties sutrikimai</w:t>
            </w:r>
          </w:p>
        </w:tc>
        <w:tc>
          <w:tcPr>
            <w:tcW w:w="1446" w:type="dxa"/>
          </w:tcPr>
          <w:p w14:paraId="13A69189"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418" w:type="dxa"/>
          </w:tcPr>
          <w:p w14:paraId="7829F19C"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559" w:type="dxa"/>
          </w:tcPr>
          <w:p w14:paraId="7C26DA64"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Lytinė disfunkcija</w:t>
            </w:r>
          </w:p>
        </w:tc>
        <w:tc>
          <w:tcPr>
            <w:tcW w:w="1276" w:type="dxa"/>
          </w:tcPr>
          <w:p w14:paraId="79951DBE"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Priapizmas, galaktorėja, krūtų patinimas, mėnesinių sutrikimas</w:t>
            </w:r>
          </w:p>
        </w:tc>
        <w:tc>
          <w:tcPr>
            <w:tcW w:w="1559" w:type="dxa"/>
          </w:tcPr>
          <w:p w14:paraId="68A3061F"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276" w:type="dxa"/>
          </w:tcPr>
          <w:p w14:paraId="512EB617" w14:textId="77777777" w:rsidR="00A840FC" w:rsidRPr="00A840FC" w:rsidRDefault="00A840FC" w:rsidP="00A840FC">
            <w:pPr>
              <w:spacing w:after="0" w:line="240" w:lineRule="auto"/>
              <w:rPr>
                <w:rFonts w:ascii="Times New Roman" w:eastAsia="Times New Roman" w:hAnsi="Times New Roman" w:cs="Times New Roman"/>
                <w:lang w:val="lt-LT"/>
              </w:rPr>
            </w:pPr>
          </w:p>
        </w:tc>
      </w:tr>
      <w:tr w:rsidR="00A840FC" w:rsidRPr="00A840FC" w14:paraId="539C8D4F" w14:textId="77777777" w:rsidTr="007E1B2E">
        <w:tc>
          <w:tcPr>
            <w:tcW w:w="1526" w:type="dxa"/>
          </w:tcPr>
          <w:p w14:paraId="62AE4B2A" w14:textId="77777777" w:rsidR="00A840FC" w:rsidRPr="00A840FC" w:rsidRDefault="00A840FC" w:rsidP="00A840FC">
            <w:pPr>
              <w:spacing w:after="0" w:line="240" w:lineRule="auto"/>
              <w:rPr>
                <w:rFonts w:ascii="Times New Roman" w:eastAsia="Times New Roman" w:hAnsi="Times New Roman" w:cs="Times New Roman"/>
                <w:i/>
                <w:lang w:val="lt-LT"/>
              </w:rPr>
            </w:pPr>
            <w:r w:rsidRPr="00A840FC">
              <w:rPr>
                <w:rFonts w:ascii="Times New Roman" w:eastAsia="Times New Roman" w:hAnsi="Times New Roman" w:cs="Times New Roman"/>
                <w:i/>
                <w:lang w:val="lt-LT"/>
              </w:rPr>
              <w:t>Bendrieji sutrikimai ir vartojimo vietos pažeidimai</w:t>
            </w:r>
          </w:p>
        </w:tc>
        <w:tc>
          <w:tcPr>
            <w:tcW w:w="1446" w:type="dxa"/>
          </w:tcPr>
          <w:p w14:paraId="53868570" w14:textId="77777777" w:rsidR="00A840FC" w:rsidRPr="00A840FC" w:rsidRDefault="00A840FC" w:rsidP="00A840FC">
            <w:pPr>
              <w:spacing w:after="0" w:line="240" w:lineRule="auto"/>
              <w:rPr>
                <w:rFonts w:ascii="Times New Roman" w:eastAsia="Times New Roman" w:hAnsi="Times New Roman" w:cs="Times New Roman"/>
                <w:vertAlign w:val="superscript"/>
                <w:lang w:val="lt-LT"/>
              </w:rPr>
            </w:pPr>
            <w:r w:rsidRPr="00A840FC">
              <w:rPr>
                <w:rFonts w:ascii="Times New Roman" w:eastAsia="Times New Roman" w:hAnsi="Times New Roman" w:cs="Times New Roman"/>
                <w:lang w:val="lt-LT"/>
              </w:rPr>
              <w:t>Nutraukimo simptomai</w:t>
            </w:r>
            <w:r w:rsidRPr="00A840FC">
              <w:rPr>
                <w:rFonts w:ascii="Times New Roman" w:eastAsia="Times New Roman" w:hAnsi="Times New Roman" w:cs="Times New Roman"/>
                <w:vertAlign w:val="superscript"/>
                <w:lang w:val="lt-LT"/>
              </w:rPr>
              <w:t>1,9</w:t>
            </w:r>
          </w:p>
        </w:tc>
        <w:tc>
          <w:tcPr>
            <w:tcW w:w="1418" w:type="dxa"/>
          </w:tcPr>
          <w:p w14:paraId="6ABA0B34"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Lengva astenija, periferinė edema, dirglumas, pireksija</w:t>
            </w:r>
          </w:p>
        </w:tc>
        <w:tc>
          <w:tcPr>
            <w:tcW w:w="1559" w:type="dxa"/>
          </w:tcPr>
          <w:p w14:paraId="7E4CAAD8"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276" w:type="dxa"/>
          </w:tcPr>
          <w:p w14:paraId="5E432251"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Piktybinis neurolepsinis sindromas</w:t>
            </w:r>
            <w:r w:rsidRPr="00A840FC">
              <w:rPr>
                <w:rFonts w:ascii="Times New Roman" w:eastAsia="Times New Roman" w:hAnsi="Times New Roman" w:cs="Times New Roman"/>
                <w:vertAlign w:val="superscript"/>
                <w:lang w:val="lt-LT"/>
              </w:rPr>
              <w:t>1</w:t>
            </w:r>
            <w:r w:rsidRPr="00A840FC">
              <w:rPr>
                <w:rFonts w:ascii="Times New Roman" w:eastAsia="Times New Roman" w:hAnsi="Times New Roman" w:cs="Times New Roman"/>
                <w:lang w:val="lt-LT"/>
              </w:rPr>
              <w:t>, hipotermija</w:t>
            </w:r>
          </w:p>
        </w:tc>
        <w:tc>
          <w:tcPr>
            <w:tcW w:w="1559" w:type="dxa"/>
          </w:tcPr>
          <w:p w14:paraId="50887563"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276" w:type="dxa"/>
          </w:tcPr>
          <w:p w14:paraId="1E0C2963" w14:textId="77777777" w:rsidR="00A840FC" w:rsidRPr="00A840FC" w:rsidRDefault="00A840FC" w:rsidP="00A840FC">
            <w:pPr>
              <w:spacing w:after="0" w:line="240" w:lineRule="auto"/>
              <w:rPr>
                <w:rFonts w:ascii="Times New Roman" w:eastAsia="Times New Roman" w:hAnsi="Times New Roman" w:cs="Times New Roman"/>
                <w:lang w:val="lt-LT"/>
              </w:rPr>
            </w:pPr>
          </w:p>
        </w:tc>
      </w:tr>
      <w:tr w:rsidR="00A840FC" w:rsidRPr="00A840FC" w14:paraId="4A694624" w14:textId="77777777" w:rsidTr="007E1B2E">
        <w:tc>
          <w:tcPr>
            <w:tcW w:w="1526" w:type="dxa"/>
          </w:tcPr>
          <w:p w14:paraId="37E60171" w14:textId="77777777" w:rsidR="00A840FC" w:rsidRPr="00A840FC" w:rsidRDefault="00A840FC" w:rsidP="00A840FC">
            <w:pPr>
              <w:spacing w:after="0" w:line="240" w:lineRule="auto"/>
              <w:rPr>
                <w:rFonts w:ascii="Times New Roman" w:eastAsia="Times New Roman" w:hAnsi="Times New Roman" w:cs="Times New Roman"/>
                <w:i/>
                <w:lang w:val="lt-LT"/>
              </w:rPr>
            </w:pPr>
            <w:r w:rsidRPr="00A840FC">
              <w:rPr>
                <w:rFonts w:ascii="Times New Roman" w:eastAsia="Times New Roman" w:hAnsi="Times New Roman" w:cs="Times New Roman"/>
                <w:i/>
                <w:lang w:val="lt-LT"/>
              </w:rPr>
              <w:t>Tyrimai</w:t>
            </w:r>
          </w:p>
        </w:tc>
        <w:tc>
          <w:tcPr>
            <w:tcW w:w="1446" w:type="dxa"/>
          </w:tcPr>
          <w:p w14:paraId="0DD21B8E" w14:textId="77777777" w:rsidR="00A840FC" w:rsidRPr="00A840FC" w:rsidRDefault="00A840FC" w:rsidP="00A840FC">
            <w:pPr>
              <w:spacing w:after="0" w:line="240" w:lineRule="auto"/>
              <w:rPr>
                <w:rFonts w:ascii="Times New Roman" w:eastAsia="Times New Roman" w:hAnsi="Times New Roman" w:cs="Times New Roman"/>
                <w:vertAlign w:val="superscript"/>
                <w:lang w:val="lt-LT"/>
              </w:rPr>
            </w:pPr>
          </w:p>
        </w:tc>
        <w:tc>
          <w:tcPr>
            <w:tcW w:w="1418" w:type="dxa"/>
          </w:tcPr>
          <w:p w14:paraId="5077BF59"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559" w:type="dxa"/>
          </w:tcPr>
          <w:p w14:paraId="1CF48BFB"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276" w:type="dxa"/>
          </w:tcPr>
          <w:p w14:paraId="6CAADD12" w14:textId="77777777" w:rsidR="00A840FC" w:rsidRPr="00A840FC" w:rsidRDefault="00A840FC" w:rsidP="00A840FC">
            <w:pPr>
              <w:spacing w:after="0" w:line="240" w:lineRule="auto"/>
              <w:rPr>
                <w:rFonts w:ascii="Times New Roman" w:eastAsia="Times New Roman" w:hAnsi="Times New Roman" w:cs="Times New Roman"/>
                <w:vertAlign w:val="superscript"/>
                <w:lang w:val="lt-LT"/>
              </w:rPr>
            </w:pPr>
            <w:r w:rsidRPr="00A840FC">
              <w:rPr>
                <w:rFonts w:ascii="Times New Roman" w:eastAsia="Times New Roman" w:hAnsi="Times New Roman" w:cs="Times New Roman"/>
                <w:lang w:val="lt-LT"/>
              </w:rPr>
              <w:t>Kreatinfosfokinazės aktyvumo padidėjimas kraujyje</w:t>
            </w:r>
            <w:r w:rsidRPr="00A840FC">
              <w:rPr>
                <w:rFonts w:ascii="Times New Roman" w:eastAsia="Times New Roman" w:hAnsi="Times New Roman" w:cs="Times New Roman"/>
                <w:vertAlign w:val="superscript"/>
                <w:lang w:val="lt-LT"/>
              </w:rPr>
              <w:t>14</w:t>
            </w:r>
          </w:p>
        </w:tc>
        <w:tc>
          <w:tcPr>
            <w:tcW w:w="1559" w:type="dxa"/>
          </w:tcPr>
          <w:p w14:paraId="71EFE0EA" w14:textId="77777777" w:rsidR="00A840FC" w:rsidRPr="00A840FC" w:rsidRDefault="00A840FC" w:rsidP="00A840FC">
            <w:pPr>
              <w:spacing w:after="0" w:line="240" w:lineRule="auto"/>
              <w:rPr>
                <w:rFonts w:ascii="Times New Roman" w:eastAsia="Times New Roman" w:hAnsi="Times New Roman" w:cs="Times New Roman"/>
                <w:lang w:val="lt-LT"/>
              </w:rPr>
            </w:pPr>
          </w:p>
        </w:tc>
        <w:tc>
          <w:tcPr>
            <w:tcW w:w="1276" w:type="dxa"/>
          </w:tcPr>
          <w:p w14:paraId="1A946812" w14:textId="77777777" w:rsidR="00A840FC" w:rsidRPr="00A840FC" w:rsidRDefault="00A840FC" w:rsidP="00A840FC">
            <w:pPr>
              <w:spacing w:after="0" w:line="240" w:lineRule="auto"/>
              <w:rPr>
                <w:rFonts w:ascii="Times New Roman" w:eastAsia="Times New Roman" w:hAnsi="Times New Roman" w:cs="Times New Roman"/>
                <w:lang w:val="lt-LT"/>
              </w:rPr>
            </w:pPr>
          </w:p>
        </w:tc>
      </w:tr>
    </w:tbl>
    <w:p w14:paraId="43B4B77B" w14:textId="77777777" w:rsidR="00A840FC" w:rsidRPr="00A840FC" w:rsidRDefault="00A840FC" w:rsidP="00A840FC">
      <w:pPr>
        <w:spacing w:after="0" w:line="240" w:lineRule="auto"/>
        <w:rPr>
          <w:rFonts w:ascii="Times New Roman" w:eastAsia="Times New Roman" w:hAnsi="Times New Roman" w:cs="Times New Roman"/>
          <w:lang w:val="lt-LT"/>
        </w:rPr>
      </w:pPr>
    </w:p>
    <w:p w14:paraId="06EFD2D0"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(1) Žr. 4.4 skyrių.</w:t>
      </w:r>
    </w:p>
    <w:p w14:paraId="397722F8" w14:textId="77777777" w:rsidR="00A840FC" w:rsidRPr="00A840FC" w:rsidRDefault="00A840FC" w:rsidP="00A840FC">
      <w:pPr>
        <w:spacing w:after="0" w:line="240" w:lineRule="auto"/>
        <w:rPr>
          <w:rFonts w:ascii="Times New Roman" w:eastAsia="Times New Roman" w:hAnsi="Times New Roman" w:cs="Times New Roman"/>
          <w:lang w:val="lt-LT"/>
        </w:rPr>
      </w:pPr>
    </w:p>
    <w:p w14:paraId="2A8560C8"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(2) Galima somnolencija. Paprastai ji atsiranda per pirmąsias dvi gydymo savaites ir tęsiant kvetiapino vartojimą praeina.</w:t>
      </w:r>
    </w:p>
    <w:p w14:paraId="59DEA695" w14:textId="77777777" w:rsidR="00A840FC" w:rsidRPr="00A840FC" w:rsidRDefault="00A840FC" w:rsidP="00A840FC">
      <w:pPr>
        <w:spacing w:after="0" w:line="240" w:lineRule="auto"/>
        <w:rPr>
          <w:rFonts w:ascii="Times New Roman" w:eastAsia="Times New Roman" w:hAnsi="Times New Roman" w:cs="Times New Roman"/>
          <w:lang w:val="lt-LT"/>
        </w:rPr>
      </w:pPr>
    </w:p>
    <w:p w14:paraId="4DA9785F"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(3) Kai kuriems kvetiapino pavartojusiems pacientams nustatytas besimptomis transaminazių (ALT, AST) aktyvumo serume ar gama-GT koncentracijos padidėjimas (nuo įprastos iki &gt;3 x VNR bet kuriuo metu). Paprastai tęsiant kvetiapino vartojimą šių fermentų koncentracija normalizuojasi.</w:t>
      </w:r>
    </w:p>
    <w:p w14:paraId="797BB0F8" w14:textId="77777777" w:rsidR="00A840FC" w:rsidRPr="00A840FC" w:rsidRDefault="00A840FC" w:rsidP="00A840FC">
      <w:pPr>
        <w:spacing w:after="0" w:line="240" w:lineRule="auto"/>
        <w:rPr>
          <w:rFonts w:ascii="Times New Roman" w:eastAsia="Times New Roman" w:hAnsi="Times New Roman" w:cs="Times New Roman"/>
          <w:lang w:val="lt-LT"/>
        </w:rPr>
      </w:pPr>
    </w:p>
    <w:p w14:paraId="19411FD8"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(4) Kvetiapinas, kaip ir kiti </w:t>
      </w:r>
      <w:r w:rsidRPr="00A840FC">
        <w:rPr>
          <w:rFonts w:ascii="Times New Roman" w:eastAsia="Times New Roman" w:hAnsi="Times New Roman" w:cs="Times New Roman"/>
          <w:lang w:val="lt-LT"/>
        </w:rPr>
        <w:sym w:font="Symbol" w:char="F061"/>
      </w:r>
      <w:r w:rsidRPr="00A840FC">
        <w:rPr>
          <w:rFonts w:ascii="Times New Roman" w:eastAsia="Times New Roman" w:hAnsi="Times New Roman" w:cs="Times New Roman"/>
          <w:vertAlign w:val="subscript"/>
          <w:lang w:val="lt-LT"/>
        </w:rPr>
        <w:t>1</w:t>
      </w:r>
      <w:r w:rsidRPr="00A840FC">
        <w:rPr>
          <w:rFonts w:ascii="Times New Roman" w:eastAsia="Times New Roman" w:hAnsi="Times New Roman" w:cs="Times New Roman"/>
          <w:lang w:val="lt-LT"/>
        </w:rPr>
        <w:t>-adrenoreceptorius blokuojantys vaistiniai preparatai nuo psichozės, gali sukelti ortostatinę hipotenziją, pasireiškiančią svaiguliu, tachikardija ir kai kuriems pacientams sinkope, ypač pradiniu dozės parinkimo laikotarpiu (žr. 4.4 skyrių).</w:t>
      </w:r>
    </w:p>
    <w:p w14:paraId="726F5DC9" w14:textId="77777777" w:rsidR="00A840FC" w:rsidRPr="00A840FC" w:rsidRDefault="00A840FC" w:rsidP="00A840FC">
      <w:pPr>
        <w:spacing w:after="0" w:line="240" w:lineRule="auto"/>
        <w:rPr>
          <w:rFonts w:ascii="Times New Roman" w:eastAsia="Times New Roman" w:hAnsi="Times New Roman" w:cs="Times New Roman"/>
          <w:lang w:val="lt-LT"/>
        </w:rPr>
      </w:pPr>
    </w:p>
    <w:p w14:paraId="356DCA54"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(5) Šių nepageidaujamų reakcijų dažnumas apskaičiuotas remiantis tik duomenimis, gautais po vaistinio preparato pateikimo į rinką.</w:t>
      </w:r>
    </w:p>
    <w:p w14:paraId="4FF7B7FB" w14:textId="77777777" w:rsidR="00A840FC" w:rsidRPr="00A840FC" w:rsidRDefault="00A840FC" w:rsidP="00A840FC">
      <w:pPr>
        <w:spacing w:after="0" w:line="240" w:lineRule="auto"/>
        <w:rPr>
          <w:rFonts w:ascii="Times New Roman" w:eastAsia="Times New Roman" w:hAnsi="Times New Roman" w:cs="Times New Roman"/>
          <w:lang w:val="lt-LT"/>
        </w:rPr>
      </w:pPr>
    </w:p>
    <w:p w14:paraId="6D59EC40"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(6)</w:t>
      </w:r>
      <w:r w:rsidRPr="00A840FC">
        <w:rPr>
          <w:rFonts w:ascii="Times New Roman" w:eastAsia="Times New Roman" w:hAnsi="Times New Roman" w:cs="Times New Roman"/>
          <w:i/>
          <w:lang w:val="lt-LT"/>
        </w:rPr>
        <w:t xml:space="preserve"> </w:t>
      </w:r>
      <w:r w:rsidRPr="00A840FC">
        <w:rPr>
          <w:rFonts w:ascii="Times New Roman" w:eastAsia="Times New Roman" w:hAnsi="Times New Roman" w:cs="Times New Roman"/>
          <w:lang w:val="lt-LT"/>
        </w:rPr>
        <w:t xml:space="preserve">Bent vienu atveju gliukozės kiekis nevalgius buvo ≥ 126 mg/dl (≥7,0 mmol/l) arba pavalgius </w:t>
      </w:r>
      <w:r w:rsidRPr="00A840FC">
        <w:rPr>
          <w:rFonts w:ascii="Times New Roman" w:eastAsia="Times New Roman" w:hAnsi="Times New Roman" w:cs="Times New Roman"/>
          <w:lang w:val="lt-LT"/>
        </w:rPr>
        <w:sym w:font="Symbol" w:char="F02D"/>
      </w:r>
      <w:r w:rsidRPr="00A840FC">
        <w:rPr>
          <w:rFonts w:ascii="Times New Roman" w:eastAsia="Times New Roman" w:hAnsi="Times New Roman" w:cs="Times New Roman"/>
          <w:lang w:val="lt-LT"/>
        </w:rPr>
        <w:t xml:space="preserve"> ≥200 mg/dl (≥11,1 mmol/l).</w:t>
      </w:r>
    </w:p>
    <w:p w14:paraId="2DC94BD0" w14:textId="77777777" w:rsidR="00A840FC" w:rsidRPr="00A840FC" w:rsidRDefault="00A840FC" w:rsidP="00A840FC">
      <w:pPr>
        <w:spacing w:after="0" w:line="240" w:lineRule="auto"/>
        <w:rPr>
          <w:rFonts w:ascii="Times New Roman" w:eastAsia="Times New Roman" w:hAnsi="Times New Roman" w:cs="Times New Roman"/>
          <w:lang w:val="lt-LT"/>
        </w:rPr>
      </w:pPr>
    </w:p>
    <w:p w14:paraId="1E6E2815"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(7) Disfagijos padažnėjimas vartojant kvetiapino, palyginti su placebu, buvo pastebėtas tik bipolinės depresijos klinikinių tyrimų metu.</w:t>
      </w:r>
    </w:p>
    <w:p w14:paraId="030465FB" w14:textId="77777777" w:rsidR="00A840FC" w:rsidRPr="00A840FC" w:rsidRDefault="00A840FC" w:rsidP="00A840FC">
      <w:pPr>
        <w:spacing w:after="0" w:line="240" w:lineRule="auto"/>
        <w:rPr>
          <w:rFonts w:ascii="Times New Roman" w:eastAsia="Times New Roman" w:hAnsi="Times New Roman" w:cs="Times New Roman"/>
          <w:lang w:val="lt-LT"/>
        </w:rPr>
      </w:pPr>
    </w:p>
    <w:p w14:paraId="5AC8F213"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(8) Pagrįstas &gt;7</w:t>
      </w:r>
      <w:r w:rsidRPr="00A840FC">
        <w:rPr>
          <w:rFonts w:ascii="Times New Roman" w:eastAsia="Times New Roman" w:hAnsi="Times New Roman" w:cs="Times New Roman"/>
          <w:lang w:val="lt-LT"/>
        </w:rPr>
        <w:sym w:font="Symbol" w:char="F025"/>
      </w:r>
      <w:r w:rsidRPr="00A840FC">
        <w:rPr>
          <w:rFonts w:ascii="Times New Roman" w:eastAsia="Times New Roman" w:hAnsi="Times New Roman" w:cs="Times New Roman"/>
          <w:lang w:val="lt-LT"/>
        </w:rPr>
        <w:t xml:space="preserve"> kūno svorio padidėjimu nuo pradinio kūno svorio. Daugiausia pasireiškė pirmosiomis gydymo savaitėmis suaugusiems pacientams.</w:t>
      </w:r>
    </w:p>
    <w:p w14:paraId="69FB9CF7" w14:textId="77777777" w:rsidR="00A840FC" w:rsidRPr="00A840FC" w:rsidRDefault="00A840FC" w:rsidP="00A840FC">
      <w:pPr>
        <w:spacing w:after="0" w:line="240" w:lineRule="auto"/>
        <w:rPr>
          <w:rFonts w:ascii="Times New Roman" w:eastAsia="Times New Roman" w:hAnsi="Times New Roman" w:cs="Times New Roman"/>
          <w:lang w:val="lt-LT"/>
        </w:rPr>
      </w:pPr>
    </w:p>
    <w:p w14:paraId="74C1AD4F"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(9) Ūmaus, placebu kontroliuojamo monoterapijos klinikinio tyrimo, kurio metu įvertinti nutraukimo simptomai, buvo pastebėti šie nutraukimo simptomai: nemiga, pykinimas, galvos skausmas, viduriavimas, vėmimas, svaigulys s ir irzlumas. Po vaistinio preparato nutraukimo praėjus vienai savaitei šių reakcijų dažnis reikšmingai sumažėjo.</w:t>
      </w:r>
    </w:p>
    <w:p w14:paraId="45229A06" w14:textId="77777777" w:rsidR="00A840FC" w:rsidRPr="00A840FC" w:rsidRDefault="00A840FC" w:rsidP="00A840FC">
      <w:pPr>
        <w:spacing w:after="0" w:line="240" w:lineRule="auto"/>
        <w:rPr>
          <w:rFonts w:ascii="Times New Roman" w:eastAsia="Times New Roman" w:hAnsi="Times New Roman" w:cs="Times New Roman"/>
          <w:lang w:val="lt-LT"/>
        </w:rPr>
      </w:pPr>
    </w:p>
    <w:p w14:paraId="5B7BA86D"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(10) Mažiausiai vienu atveju trigliceridų (≥200 mg/dl (≥2,258 mmol/l) (pacientams ≥ 18 metų amžiaus) arba ≥150 mg/dl (≥1,694 mmol/l) (pacientams &lt; 18 metų amžiaus).</w:t>
      </w:r>
    </w:p>
    <w:p w14:paraId="31F94C0B" w14:textId="77777777" w:rsidR="00A840FC" w:rsidRPr="00A840FC" w:rsidRDefault="00A840FC" w:rsidP="00A840FC">
      <w:pPr>
        <w:spacing w:after="0" w:line="240" w:lineRule="auto"/>
        <w:rPr>
          <w:rFonts w:ascii="Times New Roman" w:eastAsia="Times New Roman" w:hAnsi="Times New Roman" w:cs="Times New Roman"/>
          <w:lang w:val="lt-LT"/>
        </w:rPr>
      </w:pPr>
    </w:p>
    <w:p w14:paraId="43E711CB"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lastRenderedPageBreak/>
        <w:t>(11) Mažiausiai vienu atveju cholesterolio ≥240 mg/dl (≥6,2064 mmol/l) (pacientams ≥ 18 metų amžiaus) arba ≥200 mg/dl (≥5,172 mmol/l) (pacientams &lt; 18 metų amžiaus). Stebėtas labai dažnas MTL cholesterolio padidėjimas ≥30 mg/dl (≥0,769 mmmol/l), pacientams, kuriems šis poveikis pasireiškė, padidėjimo vidurkis – ≥41,7 mg/dl (≥1,07 mmol/l).</w:t>
      </w:r>
    </w:p>
    <w:p w14:paraId="12A283BF" w14:textId="77777777" w:rsidR="00A840FC" w:rsidRPr="00A840FC" w:rsidRDefault="00A840FC" w:rsidP="00A840FC">
      <w:pPr>
        <w:spacing w:after="0" w:line="240" w:lineRule="auto"/>
        <w:rPr>
          <w:rFonts w:ascii="Times New Roman" w:eastAsia="Times New Roman" w:hAnsi="Times New Roman" w:cs="Times New Roman"/>
          <w:lang w:val="lt-LT"/>
        </w:rPr>
      </w:pPr>
    </w:p>
    <w:p w14:paraId="7FA4F88B"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(12) Žr. toliau pateiktą tekstą.</w:t>
      </w:r>
    </w:p>
    <w:p w14:paraId="76DFFB9B" w14:textId="77777777" w:rsidR="00A840FC" w:rsidRPr="00A840FC" w:rsidRDefault="00A840FC" w:rsidP="00A840FC">
      <w:pPr>
        <w:spacing w:after="0" w:line="240" w:lineRule="auto"/>
        <w:rPr>
          <w:rFonts w:ascii="Times New Roman" w:eastAsia="Times New Roman" w:hAnsi="Times New Roman" w:cs="Times New Roman"/>
          <w:lang w:val="lt-LT"/>
        </w:rPr>
      </w:pPr>
    </w:p>
    <w:p w14:paraId="09C4671E"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(13) Mažiausiai vienu atveju kraujo plokštelių ≤ 100 x 10</w:t>
      </w:r>
      <w:r w:rsidRPr="00A840FC">
        <w:rPr>
          <w:rFonts w:ascii="Times New Roman" w:eastAsia="Times New Roman" w:hAnsi="Times New Roman" w:cs="Times New Roman"/>
          <w:vertAlign w:val="superscript"/>
          <w:lang w:val="lt-LT"/>
        </w:rPr>
        <w:t>9</w:t>
      </w:r>
      <w:r w:rsidRPr="00A840FC">
        <w:rPr>
          <w:rFonts w:ascii="Times New Roman" w:eastAsia="Times New Roman" w:hAnsi="Times New Roman" w:cs="Times New Roman"/>
          <w:lang w:val="lt-LT"/>
        </w:rPr>
        <w:t>/l.</w:t>
      </w:r>
    </w:p>
    <w:p w14:paraId="4EB49C79" w14:textId="77777777" w:rsidR="00A840FC" w:rsidRPr="00A840FC" w:rsidRDefault="00A840FC" w:rsidP="00A840FC">
      <w:pPr>
        <w:spacing w:after="0" w:line="240" w:lineRule="auto"/>
        <w:rPr>
          <w:rFonts w:ascii="Times New Roman" w:eastAsia="Times New Roman" w:hAnsi="Times New Roman" w:cs="Times New Roman"/>
          <w:lang w:val="lt-LT"/>
        </w:rPr>
      </w:pPr>
    </w:p>
    <w:p w14:paraId="01E3BF1A"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(14) Remiantis klinikiniu tyrimu, pranešimai apie kraujo kreatinfosfokinazės aktyvumo padidėjimo nepageidaujamą reiškinį yra nesusijęs su piktybiniu neurolepsiniu sindromu.</w:t>
      </w:r>
    </w:p>
    <w:p w14:paraId="19270690" w14:textId="77777777" w:rsidR="00A840FC" w:rsidRPr="00A840FC" w:rsidRDefault="00A840FC" w:rsidP="00A840FC">
      <w:pPr>
        <w:spacing w:after="0" w:line="240" w:lineRule="auto"/>
        <w:rPr>
          <w:rFonts w:ascii="Times New Roman" w:eastAsia="Times New Roman" w:hAnsi="Times New Roman" w:cs="Times New Roman"/>
          <w:lang w:val="lt-LT"/>
        </w:rPr>
      </w:pPr>
    </w:p>
    <w:p w14:paraId="09338C0C"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(15) Prolaktino kiekis bet kuriuo metu (pacientams ≥ 18 metų amžiaus): &gt;20 mikrogramų/l (&gt;869,56 pmol/l) vyrams, &gt;30 mikrogramų/l (&gt;1304,34 pmol/l) moterims.</w:t>
      </w:r>
    </w:p>
    <w:p w14:paraId="199068A7" w14:textId="77777777" w:rsidR="00A840FC" w:rsidRPr="00A840FC" w:rsidRDefault="00A840FC" w:rsidP="00A840FC">
      <w:pPr>
        <w:spacing w:after="0" w:line="240" w:lineRule="auto"/>
        <w:rPr>
          <w:rFonts w:ascii="Times New Roman" w:eastAsia="Times New Roman" w:hAnsi="Times New Roman" w:cs="Times New Roman"/>
          <w:lang w:val="lt-LT"/>
        </w:rPr>
      </w:pPr>
    </w:p>
    <w:p w14:paraId="540B7C4C"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(16) Gali skatinti pargriuvimus.</w:t>
      </w:r>
    </w:p>
    <w:p w14:paraId="57AC6133" w14:textId="77777777" w:rsidR="00A840FC" w:rsidRPr="00A840FC" w:rsidRDefault="00A840FC" w:rsidP="00A840FC">
      <w:pPr>
        <w:spacing w:after="0" w:line="240" w:lineRule="auto"/>
        <w:rPr>
          <w:rFonts w:ascii="Times New Roman" w:eastAsia="Times New Roman" w:hAnsi="Times New Roman" w:cs="Times New Roman"/>
          <w:lang w:val="lt-LT"/>
        </w:rPr>
      </w:pPr>
    </w:p>
    <w:p w14:paraId="0B19C975"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(17) DTL cholesterolio kiekis bet kurio metu vyrams &lt;40 mg/dl (&lt;1,025 mmmol/l), moterims &lt;50 mg/dl (&lt;1,282 mmmol/l).</w:t>
      </w:r>
    </w:p>
    <w:p w14:paraId="77523E81" w14:textId="77777777" w:rsidR="00A840FC" w:rsidRPr="00A840FC" w:rsidRDefault="00A840FC" w:rsidP="00A840FC">
      <w:pPr>
        <w:spacing w:after="0" w:line="240" w:lineRule="auto"/>
        <w:rPr>
          <w:rFonts w:ascii="Times New Roman" w:eastAsia="Times New Roman" w:hAnsi="Times New Roman" w:cs="Times New Roman"/>
          <w:lang w:val="lt-LT"/>
        </w:rPr>
      </w:pPr>
    </w:p>
    <w:p w14:paraId="2934D320"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(18) Pacientams, kuriems QT pailgėjo nuo &lt;450 msek. iki ≥450 msek. dažniau šis intervalas padidėjo ≥30 msek. Placebu kontroliuojamuose tyrimuose pokyčio vidurkis ir skaičius pacientų, kuriems šis pokytis buvo kliniškai reikšmingas, kvetiapiną vartojusiųjų ir placebo grupėse buvo panašus.</w:t>
      </w:r>
    </w:p>
    <w:p w14:paraId="6A943AA1" w14:textId="77777777" w:rsidR="00A840FC" w:rsidRPr="00A840FC" w:rsidRDefault="00A840FC" w:rsidP="00A840FC">
      <w:pPr>
        <w:spacing w:after="0" w:line="240" w:lineRule="auto"/>
        <w:rPr>
          <w:rFonts w:ascii="Times New Roman" w:eastAsia="Times New Roman" w:hAnsi="Times New Roman" w:cs="Times New Roman"/>
          <w:lang w:val="lt-LT"/>
        </w:rPr>
      </w:pPr>
    </w:p>
    <w:p w14:paraId="539A21AE"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(19) Mažiausiai vienu atveju pailgėjimas nuo &lt;132 msek. iki ≥132 msek.</w:t>
      </w:r>
    </w:p>
    <w:p w14:paraId="5B0AFF54" w14:textId="77777777" w:rsidR="00A840FC" w:rsidRPr="00A840FC" w:rsidRDefault="00A840FC" w:rsidP="00A840FC">
      <w:pPr>
        <w:spacing w:after="0" w:line="240" w:lineRule="auto"/>
        <w:rPr>
          <w:rFonts w:ascii="Times New Roman" w:eastAsia="Times New Roman" w:hAnsi="Times New Roman" w:cs="Times New Roman"/>
          <w:lang w:val="lt-LT"/>
        </w:rPr>
      </w:pPr>
    </w:p>
    <w:p w14:paraId="4FF221AA" w14:textId="77777777" w:rsidR="00A840FC" w:rsidRPr="00A840FC" w:rsidRDefault="00A840FC" w:rsidP="00A840FC">
      <w:pPr>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(20) Minčių apie savižudybę ir su savižudybe susijusio elgesio atvejai pasitaikė gydant kvetiapinu arba tuoj pat po gydymo nutraukimo (žr. 4.4 ir 5.1 skyrius).</w:t>
      </w:r>
    </w:p>
    <w:p w14:paraId="17026308" w14:textId="77777777" w:rsidR="00A840FC" w:rsidRPr="00A840FC" w:rsidRDefault="00A840FC" w:rsidP="00A840FC">
      <w:pPr>
        <w:spacing w:after="0" w:line="240" w:lineRule="auto"/>
        <w:rPr>
          <w:rFonts w:ascii="Times New Roman" w:eastAsia="Calibri" w:hAnsi="Times New Roman" w:cs="Times New Roman"/>
          <w:lang w:val="lt-LT"/>
        </w:rPr>
      </w:pPr>
    </w:p>
    <w:p w14:paraId="519DEF70" w14:textId="77777777" w:rsidR="00A840FC" w:rsidRPr="00A840FC" w:rsidRDefault="00A840FC" w:rsidP="00A840FC">
      <w:pPr>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(21) Žr. 5.1 skyrių</w:t>
      </w:r>
    </w:p>
    <w:p w14:paraId="32F78B1B" w14:textId="77777777" w:rsidR="00A840FC" w:rsidRPr="00A840FC" w:rsidRDefault="00A840FC" w:rsidP="00A840FC">
      <w:pPr>
        <w:spacing w:after="0" w:line="240" w:lineRule="auto"/>
        <w:rPr>
          <w:rFonts w:ascii="Times New Roman" w:eastAsia="Calibri" w:hAnsi="Times New Roman" w:cs="Times New Roman"/>
          <w:lang w:val="lt-LT"/>
        </w:rPr>
      </w:pPr>
    </w:p>
    <w:p w14:paraId="5DA06878" w14:textId="77777777" w:rsidR="00A840FC" w:rsidRPr="00A840FC" w:rsidRDefault="00A840FC" w:rsidP="00A840FC">
      <w:pPr>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 xml:space="preserve">(22) Visų klinikinių, įskaitant ir atvirus, tyrimų metu, hemoglobino kiekio sumažėjimas iki </w:t>
      </w:r>
      <w:r w:rsidRPr="00A840FC">
        <w:rPr>
          <w:rFonts w:ascii="Times New Roman" w:eastAsia="Times New Roman" w:hAnsi="Times New Roman" w:cs="Times New Roman"/>
          <w:lang w:val="lt-LT"/>
        </w:rPr>
        <w:t>≥ 13 g/dl (</w:t>
      </w:r>
      <w:r w:rsidRPr="00A840FC">
        <w:rPr>
          <w:rFonts w:ascii="Times New Roman" w:eastAsia="Calibri" w:hAnsi="Times New Roman" w:cs="Times New Roman"/>
          <w:lang w:val="lt-LT"/>
        </w:rPr>
        <w:t xml:space="preserve">≤ 8,07 mmol/l) vyrams, </w:t>
      </w:r>
      <w:r w:rsidRPr="00A840FC">
        <w:rPr>
          <w:rFonts w:ascii="Times New Roman" w:eastAsia="Times New Roman" w:hAnsi="Times New Roman" w:cs="Times New Roman"/>
          <w:lang w:val="lt-LT"/>
        </w:rPr>
        <w:t>≥ 12 g/dl (</w:t>
      </w:r>
      <w:r w:rsidRPr="00A840FC">
        <w:rPr>
          <w:rFonts w:ascii="Times New Roman" w:eastAsia="Calibri" w:hAnsi="Times New Roman" w:cs="Times New Roman"/>
          <w:lang w:val="lt-LT"/>
        </w:rPr>
        <w:t>≤7,45 mmol/l) moterims bent vieną kartą nustatytas 11 % gydytų pacientų. Šiems pacientams vidutinis didžiausias hemoglobino kiekio sumažėjimas bet kuriuo laikotarpiu buvo – 1,50 g/dl.</w:t>
      </w:r>
    </w:p>
    <w:p w14:paraId="6DD49F61" w14:textId="77777777" w:rsidR="00A840FC" w:rsidRPr="00A840FC" w:rsidRDefault="00A840FC" w:rsidP="00A840FC">
      <w:pPr>
        <w:spacing w:after="0" w:line="240" w:lineRule="auto"/>
        <w:rPr>
          <w:rFonts w:ascii="Times New Roman" w:eastAsia="Times New Roman" w:hAnsi="Times New Roman" w:cs="Times New Roman"/>
          <w:lang w:val="lt-LT"/>
        </w:rPr>
      </w:pPr>
    </w:p>
    <w:p w14:paraId="10F339A3" w14:textId="77777777" w:rsidR="00A840FC" w:rsidRPr="00A840FC" w:rsidRDefault="00A840FC" w:rsidP="00A840FC">
      <w:pPr>
        <w:keepNext/>
        <w:keepLines/>
        <w:spacing w:after="0" w:line="240" w:lineRule="auto"/>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lastRenderedPageBreak/>
        <w:t>(23) Gautų pranešimų duomenimis, dažnai kartu būdavo tachikardija, galvos svaigimas, ortostatinė hipotenzija ir (arba) širdies ar kvėpavimo takų liga.</w:t>
      </w:r>
      <w:r w:rsidRPr="00A840FC">
        <w:rPr>
          <w:rFonts w:ascii="Times New Roman" w:eastAsia="Times New Roman" w:hAnsi="Times New Roman" w:cs="Times New Roman"/>
          <w:i/>
          <w:highlight w:val="yellow"/>
          <w:lang w:val="lt-LT"/>
        </w:rPr>
        <w:br/>
      </w:r>
      <w:r w:rsidRPr="00A840FC">
        <w:rPr>
          <w:rFonts w:ascii="Times New Roman" w:eastAsia="Times New Roman" w:hAnsi="Times New Roman" w:cs="Times New Roman"/>
          <w:i/>
          <w:highlight w:val="yellow"/>
          <w:lang w:val="lt-LT"/>
        </w:rPr>
        <w:br/>
      </w:r>
      <w:r w:rsidRPr="00A840FC">
        <w:rPr>
          <w:rFonts w:ascii="Times New Roman" w:eastAsia="Times New Roman" w:hAnsi="Times New Roman" w:cs="Times New Roman"/>
          <w:lang w:val="lt-LT"/>
        </w:rPr>
        <w:t>(24) Visų klinikinių tyrimų metu užfiksuoti potencialiai reikšmingi klinikai nukrypimai, kai koncentracija iki gydymo buvo normali. Bendrojo T</w:t>
      </w:r>
      <w:r w:rsidRPr="00A840FC">
        <w:rPr>
          <w:rFonts w:ascii="Times New Roman" w:eastAsia="Times New Roman" w:hAnsi="Times New Roman" w:cs="Times New Roman"/>
          <w:vertAlign w:val="subscript"/>
          <w:lang w:val="lt-LT"/>
        </w:rPr>
        <w:t>4</w:t>
      </w:r>
      <w:r w:rsidRPr="00A840FC">
        <w:rPr>
          <w:rFonts w:ascii="Times New Roman" w:eastAsia="Times New Roman" w:hAnsi="Times New Roman" w:cs="Times New Roman"/>
          <w:lang w:val="lt-LT"/>
        </w:rPr>
        <w:t>, laisvojo T</w:t>
      </w:r>
      <w:r w:rsidRPr="00A840FC">
        <w:rPr>
          <w:rFonts w:ascii="Times New Roman" w:eastAsia="Times New Roman" w:hAnsi="Times New Roman" w:cs="Times New Roman"/>
          <w:vertAlign w:val="subscript"/>
          <w:lang w:val="lt-LT"/>
        </w:rPr>
        <w:t>4</w:t>
      </w:r>
      <w:r w:rsidRPr="00A840FC">
        <w:rPr>
          <w:rFonts w:ascii="Times New Roman" w:eastAsia="Times New Roman" w:hAnsi="Times New Roman" w:cs="Times New Roman"/>
          <w:lang w:val="lt-LT"/>
        </w:rPr>
        <w:t>, bendrojo T</w:t>
      </w:r>
      <w:r w:rsidRPr="00A840FC">
        <w:rPr>
          <w:rFonts w:ascii="Times New Roman" w:eastAsia="Times New Roman" w:hAnsi="Times New Roman" w:cs="Times New Roman"/>
          <w:vertAlign w:val="subscript"/>
          <w:lang w:val="lt-LT"/>
        </w:rPr>
        <w:t>3</w:t>
      </w:r>
      <w:r w:rsidRPr="00A840FC">
        <w:rPr>
          <w:rFonts w:ascii="Times New Roman" w:eastAsia="Times New Roman" w:hAnsi="Times New Roman" w:cs="Times New Roman"/>
          <w:lang w:val="lt-LT"/>
        </w:rPr>
        <w:t xml:space="preserve"> ir laisvojo T</w:t>
      </w:r>
      <w:r w:rsidRPr="00A840FC">
        <w:rPr>
          <w:rFonts w:ascii="Times New Roman" w:eastAsia="Times New Roman" w:hAnsi="Times New Roman" w:cs="Times New Roman"/>
          <w:vertAlign w:val="subscript"/>
          <w:lang w:val="lt-LT"/>
        </w:rPr>
        <w:t xml:space="preserve">3 </w:t>
      </w:r>
      <w:r w:rsidRPr="00A840FC">
        <w:rPr>
          <w:rFonts w:ascii="Times New Roman" w:eastAsia="Times New Roman" w:hAnsi="Times New Roman" w:cs="Times New Roman"/>
          <w:lang w:val="lt-LT"/>
        </w:rPr>
        <w:t>nukrypimais laikyta bet kuriuo metu nustatyta mažesnė kaip 0,8 x apatinė normos riba (pmol/l) koncentracija, TSH – didesnė kaip 5 mIU/l koncentracija.</w:t>
      </w:r>
      <w:r w:rsidRPr="00A840FC">
        <w:rPr>
          <w:rFonts w:ascii="Times New Roman" w:eastAsia="Times New Roman" w:hAnsi="Times New Roman" w:cs="Times New Roman"/>
          <w:lang w:val="lt-LT"/>
        </w:rPr>
        <w:br/>
      </w:r>
      <w:r w:rsidRPr="00A840FC">
        <w:rPr>
          <w:rFonts w:ascii="Times New Roman" w:eastAsia="Times New Roman" w:hAnsi="Times New Roman" w:cs="Times New Roman"/>
          <w:i/>
          <w:highlight w:val="yellow"/>
          <w:lang w:val="lt-LT"/>
        </w:rPr>
        <w:br/>
      </w:r>
      <w:r w:rsidRPr="00A840FC">
        <w:rPr>
          <w:rFonts w:ascii="Times New Roman" w:eastAsia="Times New Roman" w:hAnsi="Times New Roman" w:cs="Times New Roman"/>
          <w:lang w:val="lt-LT"/>
        </w:rPr>
        <w:t>(25) Remiantis padidėjusio vėmimo dažnio senyviems</w:t>
      </w:r>
      <w:r w:rsidRPr="00A840FC">
        <w:rPr>
          <w:rFonts w:ascii="Times New Roman" w:eastAsia="Times New Roman" w:hAnsi="Times New Roman" w:cs="Times New Roman"/>
          <w:vertAlign w:val="superscript"/>
          <w:lang w:val="lt-LT"/>
        </w:rPr>
        <w:t xml:space="preserve"> </w:t>
      </w:r>
      <w:r w:rsidRPr="00A840FC">
        <w:rPr>
          <w:rFonts w:ascii="Times New Roman" w:eastAsia="Times New Roman" w:hAnsi="Times New Roman" w:cs="Times New Roman"/>
          <w:lang w:val="lt-LT"/>
        </w:rPr>
        <w:t>pacientams (vyresniems kaip 65 metų) duomenimis</w:t>
      </w:r>
      <w:r w:rsidRPr="00A840FC">
        <w:rPr>
          <w:rFonts w:ascii="Times New Roman" w:eastAsia="Times New Roman" w:hAnsi="Times New Roman" w:cs="Times New Roman"/>
          <w:i/>
          <w:highlight w:val="yellow"/>
          <w:lang w:val="lt-LT"/>
        </w:rPr>
        <w:br/>
      </w:r>
      <w:r w:rsidRPr="00A840FC">
        <w:rPr>
          <w:rFonts w:ascii="Times New Roman" w:eastAsia="Times New Roman" w:hAnsi="Times New Roman" w:cs="Times New Roman"/>
          <w:i/>
          <w:highlight w:val="yellow"/>
          <w:lang w:val="lt-LT"/>
        </w:rPr>
        <w:br/>
      </w:r>
      <w:r w:rsidRPr="00A840FC">
        <w:rPr>
          <w:rFonts w:ascii="Times New Roman" w:eastAsia="Times New Roman" w:hAnsi="Times New Roman" w:cs="Times New Roman"/>
          <w:lang w:val="lt-LT"/>
        </w:rPr>
        <w:t>(26) Remiantis neutrofilų kiekio pokyčiu nuo pradinio rodmens ≥1,5 x 10</w:t>
      </w:r>
      <w:r w:rsidRPr="00A840FC">
        <w:rPr>
          <w:rFonts w:ascii="Times New Roman" w:eastAsia="Times New Roman" w:hAnsi="Times New Roman" w:cs="Times New Roman"/>
          <w:vertAlign w:val="superscript"/>
          <w:lang w:val="lt-LT"/>
        </w:rPr>
        <w:t>9</w:t>
      </w:r>
      <w:r w:rsidRPr="00A840FC">
        <w:rPr>
          <w:rFonts w:ascii="Times New Roman" w:eastAsia="Times New Roman" w:hAnsi="Times New Roman" w:cs="Times New Roman"/>
          <w:lang w:val="lt-LT"/>
        </w:rPr>
        <w:t>/l iki &lt;0,5 x 10</w:t>
      </w:r>
      <w:r w:rsidRPr="00A840FC">
        <w:rPr>
          <w:rFonts w:ascii="Times New Roman" w:eastAsia="Times New Roman" w:hAnsi="Times New Roman" w:cs="Times New Roman"/>
          <w:vertAlign w:val="superscript"/>
          <w:lang w:val="lt-LT"/>
        </w:rPr>
        <w:t>9</w:t>
      </w:r>
      <w:r w:rsidRPr="00A840FC">
        <w:rPr>
          <w:rFonts w:ascii="Times New Roman" w:eastAsia="Times New Roman" w:hAnsi="Times New Roman" w:cs="Times New Roman"/>
          <w:lang w:val="lt-LT"/>
        </w:rPr>
        <w:t>/l bet kuriuo gydymo laikotarpiu bei pacientų, kuriems pasireiškė sunki neutropenija (&lt;0,5 x 10</w:t>
      </w:r>
      <w:r w:rsidRPr="00A840FC">
        <w:rPr>
          <w:rFonts w:ascii="Times New Roman" w:eastAsia="Times New Roman" w:hAnsi="Times New Roman" w:cs="Times New Roman"/>
          <w:vertAlign w:val="superscript"/>
          <w:lang w:val="lt-LT"/>
        </w:rPr>
        <w:t>9</w:t>
      </w:r>
      <w:r w:rsidRPr="00A840FC">
        <w:rPr>
          <w:rFonts w:ascii="Times New Roman" w:eastAsia="Times New Roman" w:hAnsi="Times New Roman" w:cs="Times New Roman"/>
          <w:lang w:val="lt-LT"/>
        </w:rPr>
        <w:t>/l) ir infekcija visų kvetiapino klinikinių tyrimų metu, skaičiumi (žr. 4.4 skyrių).</w:t>
      </w:r>
      <w:r w:rsidRPr="00A840FC">
        <w:rPr>
          <w:rFonts w:ascii="Times New Roman" w:eastAsia="Times New Roman" w:hAnsi="Times New Roman" w:cs="Times New Roman"/>
          <w:lang w:val="lt-LT"/>
        </w:rPr>
        <w:br/>
      </w:r>
      <w:r w:rsidRPr="00A840FC">
        <w:rPr>
          <w:rFonts w:ascii="Times New Roman" w:eastAsia="Times New Roman" w:hAnsi="Times New Roman" w:cs="Times New Roman"/>
          <w:lang w:val="lt-LT"/>
        </w:rPr>
        <w:br/>
        <w:t>(27) Remiantis pokyčiais nuo normalaus pradinio iki galimai kliniškai reikšmingo rodmens bet kuriuo laikotarpiu visų tyrimų metu. Eozinofilų kiekio pokyčiu laikomas bet kuriuo metu nustatytas rodmuo &gt;1 x 10</w:t>
      </w:r>
      <w:r w:rsidRPr="00A840FC">
        <w:rPr>
          <w:rFonts w:ascii="Times New Roman" w:eastAsia="Times New Roman" w:hAnsi="Times New Roman" w:cs="Times New Roman"/>
          <w:vertAlign w:val="superscript"/>
          <w:lang w:val="lt-LT"/>
        </w:rPr>
        <w:t>9</w:t>
      </w:r>
      <w:r w:rsidRPr="00A840FC">
        <w:rPr>
          <w:rFonts w:ascii="Times New Roman" w:eastAsia="Times New Roman" w:hAnsi="Times New Roman" w:cs="Times New Roman"/>
          <w:lang w:val="lt-LT"/>
        </w:rPr>
        <w:t xml:space="preserve"> ląstelių/l.</w:t>
      </w:r>
      <w:r w:rsidRPr="00A840FC">
        <w:rPr>
          <w:rFonts w:ascii="Times New Roman" w:eastAsia="Times New Roman" w:hAnsi="Times New Roman" w:cs="Times New Roman"/>
          <w:lang w:val="lt-LT"/>
        </w:rPr>
        <w:br/>
      </w:r>
      <w:r w:rsidRPr="00A840FC">
        <w:rPr>
          <w:rFonts w:ascii="Times New Roman" w:eastAsia="Times New Roman" w:hAnsi="Times New Roman" w:cs="Times New Roman"/>
          <w:lang w:val="lt-LT"/>
        </w:rPr>
        <w:br/>
        <w:t>(28) Remiantis pokyčiais nuo normalaus pradinio iki galimai kliniškai reikšmingo rodmens bet kuriuo laikotarpiu visų tyrimų metu. Leukocitų kiekio pokyčiu laikomas bet kuriuo metu nustatytas rodmuo ≤3 x 10</w:t>
      </w:r>
      <w:r w:rsidRPr="00A840FC">
        <w:rPr>
          <w:rFonts w:ascii="Times New Roman" w:eastAsia="Times New Roman" w:hAnsi="Times New Roman" w:cs="Times New Roman"/>
          <w:vertAlign w:val="superscript"/>
          <w:lang w:val="lt-LT"/>
        </w:rPr>
        <w:t xml:space="preserve">9 </w:t>
      </w:r>
      <w:r w:rsidRPr="00A840FC">
        <w:rPr>
          <w:rFonts w:ascii="Times New Roman" w:eastAsia="Times New Roman" w:hAnsi="Times New Roman" w:cs="Times New Roman"/>
          <w:lang w:val="lt-LT"/>
        </w:rPr>
        <w:t>ląstelių/l.</w:t>
      </w:r>
      <w:r w:rsidRPr="00A840FC">
        <w:rPr>
          <w:rFonts w:ascii="Times New Roman" w:eastAsia="Times New Roman" w:hAnsi="Times New Roman" w:cs="Times New Roman"/>
          <w:lang w:val="lt-LT"/>
        </w:rPr>
        <w:br/>
      </w:r>
      <w:r w:rsidRPr="00A840FC">
        <w:rPr>
          <w:rFonts w:ascii="Times New Roman" w:eastAsia="Times New Roman" w:hAnsi="Times New Roman" w:cs="Times New Roman"/>
          <w:lang w:val="lt-LT"/>
        </w:rPr>
        <w:br/>
        <w:t>(29) Remiantis visų klinikinių kvetiapino tyrimų metu gautais pranešimais apie nepageidaujamus reiškinius, susijusius su metaboliniu sindromu.</w:t>
      </w:r>
    </w:p>
    <w:p w14:paraId="5DF6DD2F" w14:textId="77777777" w:rsidR="00A840FC" w:rsidRPr="00A840FC" w:rsidRDefault="00A840FC" w:rsidP="00A840FC">
      <w:pPr>
        <w:spacing w:after="0" w:line="240" w:lineRule="auto"/>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br/>
        <w:t>(30) Klinikinių tyrimų metu kai kuriems pacientams pablogėjo daugiau kaip vienas metabolinis veiksnys (kūno svoris, glikemija ir lipidų koncentracija kraujyje) (žr. 4.4 skyrių).</w:t>
      </w:r>
    </w:p>
    <w:p w14:paraId="62902C0A" w14:textId="77777777" w:rsidR="00A840FC" w:rsidRPr="00A840FC" w:rsidRDefault="00A840FC" w:rsidP="00A840FC">
      <w:pPr>
        <w:spacing w:after="0" w:line="240" w:lineRule="auto"/>
        <w:contextualSpacing/>
        <w:rPr>
          <w:rFonts w:ascii="Times New Roman" w:eastAsia="Times New Roman" w:hAnsi="Times New Roman" w:cs="Times New Roman"/>
          <w:lang w:val="lt-LT"/>
        </w:rPr>
      </w:pPr>
    </w:p>
    <w:p w14:paraId="4FF65EEA" w14:textId="77777777" w:rsidR="00A840FC" w:rsidRPr="00A840FC" w:rsidRDefault="00A840FC" w:rsidP="00A840FC">
      <w:pPr>
        <w:spacing w:after="0" w:line="240" w:lineRule="auto"/>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(31) Žiūrėti 4.6 skyrių</w:t>
      </w:r>
    </w:p>
    <w:p w14:paraId="39A40456" w14:textId="77777777" w:rsidR="00A840FC" w:rsidRPr="00A840FC" w:rsidRDefault="00A840FC" w:rsidP="00A840FC">
      <w:pPr>
        <w:spacing w:after="0" w:line="240" w:lineRule="auto"/>
        <w:contextualSpacing/>
        <w:rPr>
          <w:rFonts w:ascii="Times New Roman" w:eastAsia="Times New Roman" w:hAnsi="Times New Roman" w:cs="Times New Roman"/>
          <w:lang w:val="lt-LT"/>
        </w:rPr>
      </w:pPr>
    </w:p>
    <w:p w14:paraId="64471C19" w14:textId="77777777" w:rsidR="00A840FC" w:rsidRPr="00A840FC" w:rsidRDefault="00A840FC" w:rsidP="00A840FC">
      <w:pPr>
        <w:spacing w:after="0" w:line="240" w:lineRule="auto"/>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(32) Gali pasireikšti iš karto pradėjus gydymą ar šiek tiek vėliau ir būti susijusi su hipotenzija ir (arba) sinkope. Dažnis apskaičiuotas pagal bradikardijos ir su ja susijusių nepageidaujamų reiškinių pranešimus visų kvetiapino klinikinių tyrimų metu.</w:t>
      </w:r>
    </w:p>
    <w:p w14:paraId="170DE884" w14:textId="77777777" w:rsidR="00A840FC" w:rsidRPr="00A840FC" w:rsidRDefault="00A840FC" w:rsidP="00A840FC">
      <w:pPr>
        <w:spacing w:after="0" w:line="240" w:lineRule="auto"/>
        <w:contextualSpacing/>
        <w:rPr>
          <w:rFonts w:ascii="Times New Roman" w:eastAsia="Times New Roman" w:hAnsi="Times New Roman" w:cs="Times New Roman"/>
          <w:lang w:val="lt-LT"/>
        </w:rPr>
      </w:pPr>
    </w:p>
    <w:p w14:paraId="0B9DC5FB" w14:textId="77777777" w:rsidR="00A840FC" w:rsidRPr="00A840FC" w:rsidRDefault="00A840FC" w:rsidP="00A840FC">
      <w:pPr>
        <w:spacing w:after="0" w:line="240" w:lineRule="auto"/>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(33) Remiantis vienu retrospektyviniu ne atsitiktinių imčių epidemiologiniu tyrimu.</w:t>
      </w:r>
    </w:p>
    <w:p w14:paraId="3EC0E03C" w14:textId="77777777" w:rsidR="00A840FC" w:rsidRPr="00A840FC" w:rsidRDefault="00A840FC" w:rsidP="00A840FC">
      <w:pPr>
        <w:spacing w:after="0" w:line="240" w:lineRule="auto"/>
        <w:contextualSpacing/>
        <w:rPr>
          <w:rFonts w:ascii="Times New Roman" w:eastAsia="Times New Roman" w:hAnsi="Times New Roman" w:cs="Times New Roman"/>
          <w:lang w:val="lt-LT"/>
        </w:rPr>
      </w:pPr>
    </w:p>
    <w:p w14:paraId="08674487"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Vartojant neuroleptikus pasireiškė QT intervalo pailgėjimo, skilvelinės aritmijos, staigios nepaaiškinamos mirties, širdies sustojimo ir polimorfinės skilvelių tachikardijos atvejų, kurie, manoma, yra klasės poveikiai.</w:t>
      </w:r>
    </w:p>
    <w:p w14:paraId="7CBCA3A4" w14:textId="77777777" w:rsidR="00A840FC" w:rsidRPr="00A840FC" w:rsidRDefault="00A840FC" w:rsidP="00A840FC">
      <w:pPr>
        <w:spacing w:after="0" w:line="240" w:lineRule="auto"/>
        <w:rPr>
          <w:rFonts w:ascii="Times New Roman" w:eastAsia="Times New Roman" w:hAnsi="Times New Roman" w:cs="Times New Roman"/>
          <w:lang w:val="lt-LT"/>
        </w:rPr>
      </w:pPr>
    </w:p>
    <w:p w14:paraId="6BDEB80C" w14:textId="77777777" w:rsidR="00A840FC" w:rsidRPr="00A840FC" w:rsidRDefault="00A840FC" w:rsidP="00A840FC">
      <w:pPr>
        <w:spacing w:after="0" w:line="240" w:lineRule="auto"/>
        <w:rPr>
          <w:rFonts w:ascii="Times New Roman" w:eastAsia="Times New Roman" w:hAnsi="Times New Roman" w:cs="Times New Roman"/>
          <w:color w:val="000000"/>
          <w:lang w:val="lt-LT" w:eastAsia="lt-LT" w:bidi="lt-LT"/>
        </w:rPr>
      </w:pPr>
      <w:r w:rsidRPr="00A840FC">
        <w:rPr>
          <w:rFonts w:ascii="Times New Roman" w:eastAsia="Calibri" w:hAnsi="Times New Roman" w:cs="Times New Roman"/>
          <w:color w:val="000000"/>
          <w:lang w:val="lt-LT"/>
        </w:rPr>
        <w:t>Pranešta apie su kvetiapino vartojimu susijusias sunkias odos nepageidaujamas reakcijas (SNOR), įskaitant Stivenso ir Džonsono (</w:t>
      </w:r>
      <w:r w:rsidRPr="00A840FC">
        <w:rPr>
          <w:rFonts w:ascii="Times New Roman" w:eastAsia="Calibri" w:hAnsi="Times New Roman" w:cs="Times New Roman"/>
          <w:i/>
          <w:iCs/>
          <w:color w:val="000000"/>
          <w:lang w:val="lt-LT"/>
        </w:rPr>
        <w:t>Stevens-Johnson</w:t>
      </w:r>
      <w:r w:rsidRPr="00A840FC">
        <w:rPr>
          <w:rFonts w:ascii="Times New Roman" w:eastAsia="Calibri" w:hAnsi="Times New Roman" w:cs="Times New Roman"/>
          <w:color w:val="000000"/>
          <w:lang w:val="lt-LT"/>
        </w:rPr>
        <w:t xml:space="preserve">) sindromą (SJS), toksinę epidermio nekrolizę (TEN) ir reakciją į vaistinį preparatą su eozinofilija ir sisteminiais simptomais (angl. </w:t>
      </w:r>
      <w:r w:rsidRPr="00A840FC">
        <w:rPr>
          <w:rFonts w:ascii="Times New Roman" w:eastAsia="Times New Roman" w:hAnsi="Times New Roman" w:cs="Times New Roman"/>
          <w:i/>
          <w:iCs/>
          <w:color w:val="000000"/>
          <w:lang w:val="lt-LT"/>
        </w:rPr>
        <w:t>drug reaction with eosinophilia and systemic symptoms</w:t>
      </w:r>
      <w:r w:rsidRPr="00A840FC">
        <w:rPr>
          <w:rFonts w:ascii="Times New Roman" w:eastAsia="Times New Roman" w:hAnsi="Times New Roman" w:cs="Times New Roman"/>
          <w:color w:val="000000"/>
          <w:lang w:val="lt-LT"/>
        </w:rPr>
        <w:t xml:space="preserve">, </w:t>
      </w:r>
      <w:r w:rsidRPr="00A840FC">
        <w:rPr>
          <w:rFonts w:ascii="Times New Roman" w:eastAsia="Calibri" w:hAnsi="Times New Roman" w:cs="Times New Roman"/>
          <w:color w:val="000000"/>
          <w:lang w:val="lt-LT"/>
        </w:rPr>
        <w:t>DRESS).</w:t>
      </w:r>
    </w:p>
    <w:p w14:paraId="5A478CBC" w14:textId="77777777" w:rsidR="00A840FC" w:rsidRPr="00A840FC" w:rsidRDefault="00A840FC" w:rsidP="00A840FC">
      <w:pPr>
        <w:spacing w:after="0" w:line="240" w:lineRule="auto"/>
        <w:rPr>
          <w:rFonts w:ascii="Times New Roman" w:eastAsia="Times New Roman" w:hAnsi="Times New Roman" w:cs="Times New Roman"/>
          <w:lang w:val="lt-LT"/>
        </w:rPr>
      </w:pPr>
    </w:p>
    <w:p w14:paraId="05EEE330" w14:textId="77777777" w:rsidR="00A840FC" w:rsidRPr="00A840FC" w:rsidRDefault="00A840FC" w:rsidP="00A840FC">
      <w:pPr>
        <w:keepNext/>
        <w:keepLines/>
        <w:spacing w:after="0" w:line="240" w:lineRule="auto"/>
        <w:rPr>
          <w:rFonts w:ascii="Times New Roman" w:eastAsia="Arial Unicode MS" w:hAnsi="Times New Roman" w:cs="Times New Roman"/>
          <w:b/>
          <w:u w:val="single"/>
          <w:lang w:val="lt-LT"/>
        </w:rPr>
      </w:pPr>
      <w:r w:rsidRPr="00A840FC">
        <w:rPr>
          <w:rFonts w:ascii="Times New Roman" w:eastAsia="Arial Unicode MS" w:hAnsi="Times New Roman" w:cs="Times New Roman"/>
          <w:b/>
          <w:u w:val="single"/>
          <w:lang w:val="lt-LT"/>
        </w:rPr>
        <w:t>Vaikų populiacija</w:t>
      </w:r>
    </w:p>
    <w:p w14:paraId="388E6894" w14:textId="77777777" w:rsidR="00A840FC" w:rsidRPr="00A840FC" w:rsidRDefault="00A840FC" w:rsidP="00A840FC">
      <w:pPr>
        <w:keepNext/>
        <w:keepLines/>
        <w:spacing w:after="0" w:line="240" w:lineRule="auto"/>
        <w:rPr>
          <w:rFonts w:ascii="Times New Roman" w:eastAsia="Arial Unicode MS" w:hAnsi="Times New Roman" w:cs="Times New Roman"/>
          <w:lang w:val="lt-LT"/>
        </w:rPr>
      </w:pPr>
    </w:p>
    <w:p w14:paraId="4A4EBBD3" w14:textId="77777777" w:rsidR="00A840FC" w:rsidRPr="00A840FC" w:rsidRDefault="00A840FC" w:rsidP="00A840FC">
      <w:pPr>
        <w:keepNext/>
        <w:keepLines/>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Anksčiau išvardytas nepageidaujamas poveikis pasireiškia suaugusiesiems taip pat pasireiškia vaikams ir paaugliams. Toliau pateikiamoje lentelėje apibendrinami nepageidaujami reiškiniai, kurie 10</w:t>
      </w:r>
      <w:r w:rsidRPr="00A840FC">
        <w:rPr>
          <w:rFonts w:ascii="Times New Roman" w:eastAsia="Arial Unicode MS" w:hAnsi="Times New Roman" w:cs="Times New Roman"/>
          <w:lang w:val="lt-LT"/>
        </w:rPr>
        <w:noBreakHyphen/>
        <w:t>17 metų amžiaus vaikams ir paaugliams pasireiškia dažniau nei suaugusiems arba nepageidaujamas poveikis, kuris suaugusiesiems nepasireiškia.</w:t>
      </w:r>
    </w:p>
    <w:p w14:paraId="4988611F" w14:textId="77777777" w:rsidR="00A840FC" w:rsidRPr="00A840FC" w:rsidRDefault="00A840FC" w:rsidP="00A840FC">
      <w:pPr>
        <w:tabs>
          <w:tab w:val="left" w:pos="567"/>
        </w:tabs>
        <w:spacing w:after="0" w:line="240" w:lineRule="auto"/>
        <w:rPr>
          <w:rFonts w:ascii="Times New Roman" w:eastAsia="Times New Roman" w:hAnsi="Times New Roman" w:cs="Times New Roman"/>
          <w:b/>
          <w:lang w:val="lt-LT"/>
        </w:rPr>
      </w:pPr>
    </w:p>
    <w:p w14:paraId="1002C971" w14:textId="77777777" w:rsidR="00A840FC" w:rsidRPr="00A840FC" w:rsidRDefault="00A840FC" w:rsidP="00A840FC">
      <w:pPr>
        <w:tabs>
          <w:tab w:val="left" w:pos="567"/>
        </w:tab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 xml:space="preserve">2 lentelė. Nepageidaujamos reakcijos vaikams ir paaugliams susijusios su kvetiapino vartojimu ir pasireiškiančios dažniau nei suaugusiesiems arba tos, kurios suaugusiųjų populiacijai nenustatytos. </w:t>
      </w:r>
    </w:p>
    <w:p w14:paraId="55F6AC19" w14:textId="77777777" w:rsidR="00A840FC" w:rsidRPr="00A840FC" w:rsidRDefault="00A840FC" w:rsidP="00A840FC">
      <w:pPr>
        <w:spacing w:after="0" w:line="240" w:lineRule="auto"/>
        <w:rPr>
          <w:rFonts w:ascii="Times New Roman" w:eastAsia="Arial Unicode MS" w:hAnsi="Times New Roman" w:cs="Times New Roman"/>
          <w:lang w:val="lt-LT"/>
        </w:rPr>
      </w:pPr>
    </w:p>
    <w:p w14:paraId="73350FD3"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Nepageidaujamas poveikis dažnis apibūdinamas taip: labai dažnas (≥ 1/10), dažnas (nuo ≥ 1/100 iki &lt;1/10), nedažnas (nuo ≥ 1/1000 iki &lt; 1/100), retas (nuo ≥ 1/10000 iki &lt; 1/1000) ir labai retas (&lt; 1/10000).</w:t>
      </w:r>
    </w:p>
    <w:p w14:paraId="55ACFC33" w14:textId="77777777" w:rsidR="00A840FC" w:rsidRPr="00A840FC" w:rsidRDefault="00A840FC" w:rsidP="00A840FC">
      <w:pPr>
        <w:spacing w:after="0" w:line="240" w:lineRule="auto"/>
        <w:rPr>
          <w:rFonts w:ascii="Times New Roman" w:eastAsia="Arial Unicode MS"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31"/>
        <w:gridCol w:w="3012"/>
      </w:tblGrid>
      <w:tr w:rsidR="00A840FC" w:rsidRPr="00A840FC" w14:paraId="70B47E54" w14:textId="77777777" w:rsidTr="007E1B2E">
        <w:tc>
          <w:tcPr>
            <w:tcW w:w="3070" w:type="dxa"/>
            <w:shd w:val="clear" w:color="auto" w:fill="auto"/>
          </w:tcPr>
          <w:p w14:paraId="685415C1"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b/>
                <w:lang w:val="lt-LT"/>
              </w:rPr>
              <w:t>Organų sistemų klasė</w:t>
            </w:r>
          </w:p>
        </w:tc>
        <w:tc>
          <w:tcPr>
            <w:tcW w:w="3070" w:type="dxa"/>
            <w:shd w:val="clear" w:color="auto" w:fill="auto"/>
          </w:tcPr>
          <w:p w14:paraId="7CD37629"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b/>
                <w:lang w:val="lt-LT"/>
              </w:rPr>
              <w:t>Labai dažni</w:t>
            </w:r>
          </w:p>
        </w:tc>
        <w:tc>
          <w:tcPr>
            <w:tcW w:w="3071" w:type="dxa"/>
            <w:shd w:val="clear" w:color="auto" w:fill="auto"/>
          </w:tcPr>
          <w:p w14:paraId="5768F60F"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b/>
                <w:lang w:val="lt-LT"/>
              </w:rPr>
              <w:t>Dažni</w:t>
            </w:r>
          </w:p>
        </w:tc>
      </w:tr>
      <w:tr w:rsidR="00A840FC" w:rsidRPr="00A840FC" w14:paraId="2CF78CF3" w14:textId="77777777" w:rsidTr="007E1B2E">
        <w:tc>
          <w:tcPr>
            <w:tcW w:w="3070" w:type="dxa"/>
            <w:shd w:val="clear" w:color="auto" w:fill="auto"/>
          </w:tcPr>
          <w:p w14:paraId="575F5766"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Endokrininiai sutrikimai</w:t>
            </w:r>
          </w:p>
        </w:tc>
        <w:tc>
          <w:tcPr>
            <w:tcW w:w="3070" w:type="dxa"/>
            <w:shd w:val="clear" w:color="auto" w:fill="auto"/>
          </w:tcPr>
          <w:p w14:paraId="7FA8B9B2" w14:textId="77777777" w:rsidR="00A840FC" w:rsidRPr="00A840FC" w:rsidRDefault="00A840FC" w:rsidP="00A840FC">
            <w:pPr>
              <w:tabs>
                <w:tab w:val="left" w:pos="567"/>
              </w:tabs>
              <w:spacing w:after="0" w:line="240" w:lineRule="auto"/>
              <w:rPr>
                <w:rFonts w:ascii="Times New Roman" w:eastAsia="Times New Roman" w:hAnsi="Times New Roman" w:cs="Times New Roman"/>
                <w:vertAlign w:val="superscript"/>
                <w:lang w:val="lt-LT"/>
              </w:rPr>
            </w:pPr>
            <w:r w:rsidRPr="00A840FC">
              <w:rPr>
                <w:rFonts w:ascii="Times New Roman" w:eastAsia="Times New Roman" w:hAnsi="Times New Roman" w:cs="Times New Roman"/>
                <w:lang w:val="lt-LT"/>
              </w:rPr>
              <w:t>Prolaktino kiekio padidėjimas</w:t>
            </w:r>
            <w:r w:rsidRPr="00A840FC">
              <w:rPr>
                <w:rFonts w:ascii="Times New Roman" w:eastAsia="Times New Roman" w:hAnsi="Times New Roman" w:cs="Times New Roman"/>
                <w:vertAlign w:val="superscript"/>
                <w:lang w:val="lt-LT"/>
              </w:rPr>
              <w:t>1</w:t>
            </w:r>
          </w:p>
        </w:tc>
        <w:tc>
          <w:tcPr>
            <w:tcW w:w="3071" w:type="dxa"/>
            <w:shd w:val="clear" w:color="auto" w:fill="auto"/>
          </w:tcPr>
          <w:p w14:paraId="06E8D31C"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p>
        </w:tc>
      </w:tr>
      <w:tr w:rsidR="00A840FC" w:rsidRPr="00A840FC" w14:paraId="024849B4" w14:textId="77777777" w:rsidTr="007E1B2E">
        <w:tc>
          <w:tcPr>
            <w:tcW w:w="3070" w:type="dxa"/>
            <w:shd w:val="clear" w:color="auto" w:fill="auto"/>
          </w:tcPr>
          <w:p w14:paraId="2FE70D76"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Metabolizmo ir mitybos sutrikimai</w:t>
            </w:r>
          </w:p>
        </w:tc>
        <w:tc>
          <w:tcPr>
            <w:tcW w:w="3070" w:type="dxa"/>
            <w:shd w:val="clear" w:color="auto" w:fill="auto"/>
          </w:tcPr>
          <w:p w14:paraId="4DFC30C6"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Apetito padidėjimas</w:t>
            </w:r>
          </w:p>
        </w:tc>
        <w:tc>
          <w:tcPr>
            <w:tcW w:w="3071" w:type="dxa"/>
            <w:shd w:val="clear" w:color="auto" w:fill="auto"/>
          </w:tcPr>
          <w:p w14:paraId="5EE7EBA7"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p>
        </w:tc>
      </w:tr>
      <w:tr w:rsidR="00A840FC" w:rsidRPr="00A840FC" w14:paraId="79025862" w14:textId="77777777" w:rsidTr="007E1B2E">
        <w:tc>
          <w:tcPr>
            <w:tcW w:w="3070" w:type="dxa"/>
            <w:shd w:val="clear" w:color="auto" w:fill="auto"/>
          </w:tcPr>
          <w:p w14:paraId="2A401E50"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Nervų sistemos sutrikimai</w:t>
            </w:r>
          </w:p>
        </w:tc>
        <w:tc>
          <w:tcPr>
            <w:tcW w:w="3070" w:type="dxa"/>
            <w:shd w:val="clear" w:color="auto" w:fill="auto"/>
          </w:tcPr>
          <w:p w14:paraId="78D7A513"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Ekstrapiramidiniai simptomai </w:t>
            </w:r>
            <w:r w:rsidRPr="00A840FC">
              <w:rPr>
                <w:rFonts w:ascii="Times New Roman" w:eastAsia="Times New Roman" w:hAnsi="Times New Roman" w:cs="Times New Roman"/>
                <w:vertAlign w:val="superscript"/>
                <w:lang w:val="lt-LT"/>
              </w:rPr>
              <w:t>3, 4</w:t>
            </w:r>
          </w:p>
        </w:tc>
        <w:tc>
          <w:tcPr>
            <w:tcW w:w="3071" w:type="dxa"/>
            <w:shd w:val="clear" w:color="auto" w:fill="auto"/>
          </w:tcPr>
          <w:p w14:paraId="03E4BBB9"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Apalpimas</w:t>
            </w:r>
          </w:p>
        </w:tc>
      </w:tr>
      <w:tr w:rsidR="00A840FC" w:rsidRPr="00A840FC" w14:paraId="4C6C6144" w14:textId="77777777" w:rsidTr="007E1B2E">
        <w:tc>
          <w:tcPr>
            <w:tcW w:w="3070" w:type="dxa"/>
            <w:shd w:val="clear" w:color="auto" w:fill="auto"/>
          </w:tcPr>
          <w:p w14:paraId="6A059FEF"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Kraujagyslių sutrikimai</w:t>
            </w:r>
          </w:p>
        </w:tc>
        <w:tc>
          <w:tcPr>
            <w:tcW w:w="3070" w:type="dxa"/>
            <w:shd w:val="clear" w:color="auto" w:fill="auto"/>
          </w:tcPr>
          <w:p w14:paraId="74D5893C"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Kraujospūdžio padidėjimas </w:t>
            </w:r>
            <w:r w:rsidRPr="00A840FC">
              <w:rPr>
                <w:rFonts w:ascii="Times New Roman" w:eastAsia="Times New Roman" w:hAnsi="Times New Roman" w:cs="Times New Roman"/>
                <w:vertAlign w:val="superscript"/>
                <w:lang w:val="lt-LT"/>
              </w:rPr>
              <w:t>2</w:t>
            </w:r>
          </w:p>
        </w:tc>
        <w:tc>
          <w:tcPr>
            <w:tcW w:w="3071" w:type="dxa"/>
            <w:shd w:val="clear" w:color="auto" w:fill="auto"/>
          </w:tcPr>
          <w:p w14:paraId="3EFEB4D7"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p>
        </w:tc>
      </w:tr>
      <w:tr w:rsidR="00A840FC" w:rsidRPr="00A840FC" w14:paraId="6A2FA54B" w14:textId="77777777" w:rsidTr="007E1B2E">
        <w:tc>
          <w:tcPr>
            <w:tcW w:w="3070" w:type="dxa"/>
            <w:shd w:val="clear" w:color="auto" w:fill="auto"/>
          </w:tcPr>
          <w:p w14:paraId="74DC3A47"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Kvėpavimo sistemos, krūtinės ląstos ir tarpuplaučio sutrikimai</w:t>
            </w:r>
          </w:p>
        </w:tc>
        <w:tc>
          <w:tcPr>
            <w:tcW w:w="3070" w:type="dxa"/>
            <w:shd w:val="clear" w:color="auto" w:fill="auto"/>
          </w:tcPr>
          <w:p w14:paraId="3FB4A80F"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p>
        </w:tc>
        <w:tc>
          <w:tcPr>
            <w:tcW w:w="3071" w:type="dxa"/>
            <w:shd w:val="clear" w:color="auto" w:fill="auto"/>
          </w:tcPr>
          <w:p w14:paraId="10A02171"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Rinitas</w:t>
            </w:r>
          </w:p>
        </w:tc>
      </w:tr>
      <w:tr w:rsidR="00A840FC" w:rsidRPr="00A840FC" w14:paraId="5525A453" w14:textId="77777777" w:rsidTr="007E1B2E">
        <w:tc>
          <w:tcPr>
            <w:tcW w:w="3070" w:type="dxa"/>
            <w:shd w:val="clear" w:color="auto" w:fill="auto"/>
          </w:tcPr>
          <w:p w14:paraId="40E525C2"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Virškinimo trakto sutrikimai</w:t>
            </w:r>
          </w:p>
        </w:tc>
        <w:tc>
          <w:tcPr>
            <w:tcW w:w="3070" w:type="dxa"/>
            <w:shd w:val="clear" w:color="auto" w:fill="auto"/>
          </w:tcPr>
          <w:p w14:paraId="31E65274"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Vėmimas</w:t>
            </w:r>
          </w:p>
        </w:tc>
        <w:tc>
          <w:tcPr>
            <w:tcW w:w="3071" w:type="dxa"/>
            <w:shd w:val="clear" w:color="auto" w:fill="auto"/>
          </w:tcPr>
          <w:p w14:paraId="6BF5F0D9"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p>
        </w:tc>
      </w:tr>
      <w:tr w:rsidR="00A840FC" w:rsidRPr="00A840FC" w14:paraId="07781EC3" w14:textId="77777777" w:rsidTr="007E1B2E">
        <w:tc>
          <w:tcPr>
            <w:tcW w:w="3070" w:type="dxa"/>
            <w:shd w:val="clear" w:color="auto" w:fill="auto"/>
          </w:tcPr>
          <w:p w14:paraId="201DE8C9"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Bendrieji sutrikimai ir vartojimo vietos pažeidimai</w:t>
            </w:r>
          </w:p>
        </w:tc>
        <w:tc>
          <w:tcPr>
            <w:tcW w:w="3070" w:type="dxa"/>
            <w:shd w:val="clear" w:color="auto" w:fill="auto"/>
          </w:tcPr>
          <w:p w14:paraId="36781853"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p>
        </w:tc>
        <w:tc>
          <w:tcPr>
            <w:tcW w:w="3071" w:type="dxa"/>
            <w:shd w:val="clear" w:color="auto" w:fill="auto"/>
          </w:tcPr>
          <w:p w14:paraId="3849EF8F"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Dirglumas</w:t>
            </w:r>
            <w:r w:rsidRPr="00A840FC">
              <w:rPr>
                <w:rFonts w:ascii="Times New Roman" w:eastAsia="Times New Roman" w:hAnsi="Times New Roman" w:cs="Times New Roman"/>
                <w:vertAlign w:val="superscript"/>
                <w:lang w:val="lt-LT"/>
              </w:rPr>
              <w:t>3</w:t>
            </w:r>
          </w:p>
        </w:tc>
      </w:tr>
    </w:tbl>
    <w:p w14:paraId="2640E234" w14:textId="77777777" w:rsidR="00A840FC" w:rsidRPr="00A840FC" w:rsidRDefault="00A840FC" w:rsidP="00A840FC">
      <w:pPr>
        <w:numPr>
          <w:ilvl w:val="0"/>
          <w:numId w:val="4"/>
        </w:numPr>
        <w:spacing w:after="0" w:line="240" w:lineRule="auto"/>
        <w:ind w:left="567" w:hanging="567"/>
        <w:contextualSpacing/>
        <w:rPr>
          <w:rFonts w:ascii="Times New Roman" w:eastAsia="Arial Unicode MS" w:hAnsi="Times New Roman" w:cs="Times New Roman"/>
          <w:lang w:val="lt-LT"/>
        </w:rPr>
      </w:pPr>
      <w:r w:rsidRPr="00A840FC">
        <w:rPr>
          <w:rFonts w:ascii="Times New Roman" w:eastAsia="Arial Unicode MS" w:hAnsi="Times New Roman" w:cs="Times New Roman"/>
          <w:lang w:val="lt-LT"/>
        </w:rPr>
        <w:t>Prolaktino kiekis bet kuriuo metu (pacientams &lt; 18 metų amžiaus): &gt;20 mikrogramų/l (&gt;869,56 pmol/l) vyrams, &gt;26 mikrogramų/l (&gt;1130,428 pmol/l) moterims. Mažiau nei 1 % pacientų prolaktinas padidėjo iki &gt; 100 mikrogramų/l.</w:t>
      </w:r>
    </w:p>
    <w:p w14:paraId="2232A3AF" w14:textId="77777777" w:rsidR="00A840FC" w:rsidRPr="00A840FC" w:rsidRDefault="00A840FC" w:rsidP="00A840FC">
      <w:pPr>
        <w:numPr>
          <w:ilvl w:val="0"/>
          <w:numId w:val="4"/>
        </w:numPr>
        <w:spacing w:after="0" w:line="240" w:lineRule="auto"/>
        <w:ind w:left="567" w:hanging="567"/>
        <w:rPr>
          <w:rFonts w:ascii="Times New Roman" w:eastAsia="Arial Unicode MS" w:hAnsi="Times New Roman" w:cs="Times New Roman"/>
          <w:lang w:val="lt-LT"/>
        </w:rPr>
      </w:pPr>
      <w:r w:rsidRPr="00A840FC">
        <w:rPr>
          <w:rFonts w:ascii="Times New Roman" w:eastAsia="Arial Unicode MS" w:hAnsi="Times New Roman" w:cs="Times New Roman"/>
          <w:lang w:val="lt-LT"/>
        </w:rPr>
        <w:t>Remiantis bet kuriuo metu, atliekant dvejus ūminius (3</w:t>
      </w:r>
      <w:r w:rsidRPr="00A840FC">
        <w:rPr>
          <w:rFonts w:ascii="Times New Roman" w:eastAsia="Arial Unicode MS" w:hAnsi="Times New Roman" w:cs="Times New Roman"/>
          <w:lang w:val="lt-LT"/>
        </w:rPr>
        <w:noBreakHyphen/>
        <w:t xml:space="preserve">6 savaičių trukmės) placebu kontroliuojamus klinikinius tyrimus su vaikais ir paaugliais, nustatytu didesniu nei kliniškai reikšmingu pokyčiu (pagal </w:t>
      </w:r>
      <w:r w:rsidRPr="00A840FC">
        <w:rPr>
          <w:rFonts w:ascii="Times New Roman" w:eastAsia="Arial Unicode MS" w:hAnsi="Times New Roman" w:cs="Times New Roman"/>
          <w:i/>
          <w:lang w:val="lt-LT"/>
        </w:rPr>
        <w:t>National Institutes of Health</w:t>
      </w:r>
      <w:r w:rsidRPr="00A840FC">
        <w:rPr>
          <w:rFonts w:ascii="Times New Roman" w:eastAsia="Arial Unicode MS" w:hAnsi="Times New Roman" w:cs="Times New Roman"/>
          <w:lang w:val="lt-LT"/>
        </w:rPr>
        <w:t xml:space="preserve"> kriterijus) arba &gt; 20 mmHg sistolinio arba &gt; 10 mmHg diastolinio kraujo spaudimo padidėjimu.</w:t>
      </w:r>
    </w:p>
    <w:p w14:paraId="0BBE2C4C" w14:textId="77777777" w:rsidR="00A840FC" w:rsidRPr="00A840FC" w:rsidRDefault="00A840FC" w:rsidP="00A840FC">
      <w:pPr>
        <w:numPr>
          <w:ilvl w:val="0"/>
          <w:numId w:val="4"/>
        </w:numPr>
        <w:spacing w:after="0" w:line="240" w:lineRule="auto"/>
        <w:ind w:left="567" w:hanging="567"/>
        <w:rPr>
          <w:rFonts w:ascii="Times New Roman" w:eastAsia="Arial Unicode MS" w:hAnsi="Times New Roman" w:cs="Times New Roman"/>
          <w:lang w:val="lt-LT"/>
        </w:rPr>
      </w:pPr>
      <w:r w:rsidRPr="00A840FC">
        <w:rPr>
          <w:rFonts w:ascii="Times New Roman" w:eastAsia="Arial Unicode MS" w:hAnsi="Times New Roman" w:cs="Times New Roman"/>
          <w:lang w:val="lt-LT"/>
        </w:rPr>
        <w:t>Pastaba. Dažnis sutampa su nustatytu suaugusiems, tačiau vaikų ir paauglių dirglumas lyginant su suaugusiųjų gali būti susijęs su kitomis klinikinėmis priežastimis.</w:t>
      </w:r>
    </w:p>
    <w:p w14:paraId="19B60A2C" w14:textId="77777777" w:rsidR="00A840FC" w:rsidRPr="00A840FC" w:rsidRDefault="00A840FC" w:rsidP="00A840FC">
      <w:pPr>
        <w:numPr>
          <w:ilvl w:val="0"/>
          <w:numId w:val="4"/>
        </w:numPr>
        <w:spacing w:after="0" w:line="240" w:lineRule="auto"/>
        <w:ind w:left="567" w:hanging="567"/>
        <w:rPr>
          <w:rFonts w:ascii="Times New Roman" w:eastAsia="Arial Unicode MS" w:hAnsi="Times New Roman" w:cs="Times New Roman"/>
          <w:lang w:val="lt-LT"/>
        </w:rPr>
      </w:pPr>
      <w:r w:rsidRPr="00A840FC">
        <w:rPr>
          <w:rFonts w:ascii="Times New Roman" w:eastAsia="Arial Unicode MS" w:hAnsi="Times New Roman" w:cs="Times New Roman"/>
          <w:lang w:val="lt-LT"/>
        </w:rPr>
        <w:t>Žr. 5.1 skyrių.</w:t>
      </w:r>
    </w:p>
    <w:p w14:paraId="77B0F40D" w14:textId="77777777" w:rsidR="00A840FC" w:rsidRPr="00A840FC" w:rsidRDefault="00A840FC" w:rsidP="00A840FC">
      <w:pPr>
        <w:spacing w:after="0" w:line="240" w:lineRule="auto"/>
        <w:rPr>
          <w:rFonts w:ascii="Times New Roman" w:eastAsia="Arial Unicode MS" w:hAnsi="Times New Roman" w:cs="Times New Roman"/>
          <w:lang w:val="lt-LT"/>
        </w:rPr>
      </w:pPr>
    </w:p>
    <w:p w14:paraId="5A8F8E28" w14:textId="77777777" w:rsidR="00A840FC" w:rsidRPr="00A840FC" w:rsidRDefault="00A840FC" w:rsidP="00A840FC">
      <w:pPr>
        <w:tabs>
          <w:tab w:val="left" w:pos="567"/>
        </w:tabs>
        <w:autoSpaceDE w:val="0"/>
        <w:autoSpaceDN w:val="0"/>
        <w:adjustRightInd w:val="0"/>
        <w:spacing w:after="0" w:line="240" w:lineRule="auto"/>
        <w:rPr>
          <w:rFonts w:ascii="Times New Roman" w:eastAsia="Times New Roman" w:hAnsi="Times New Roman" w:cs="Times New Roman"/>
          <w:snapToGrid w:val="0"/>
          <w:u w:val="single"/>
          <w:lang w:val="lt-LT"/>
        </w:rPr>
      </w:pPr>
      <w:r w:rsidRPr="00A840FC">
        <w:rPr>
          <w:rFonts w:ascii="Times New Roman" w:eastAsia="Times New Roman" w:hAnsi="Times New Roman" w:cs="Times New Roman"/>
          <w:snapToGrid w:val="0"/>
          <w:u w:val="single"/>
          <w:lang w:val="lt-LT"/>
        </w:rPr>
        <w:t>Pranešimas apie įtariamas nepageidaujamas reakcijas</w:t>
      </w:r>
    </w:p>
    <w:p w14:paraId="5CDD7F40" w14:textId="77777777" w:rsidR="003215D3" w:rsidRPr="003215D3" w:rsidRDefault="003215D3" w:rsidP="003215D3">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lang w:val="lt-LT"/>
        </w:rPr>
      </w:pPr>
      <w:r w:rsidRPr="003215D3">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3215D3">
        <w:rPr>
          <w:rFonts w:ascii="Times New Roman" w:eastAsia="Times New Roman" w:hAnsi="Times New Roman" w:cs="Times New Roman"/>
          <w:snapToGrid w:val="0"/>
          <w:szCs w:val="24"/>
          <w:lang w:val="lt-LT"/>
        </w:rPr>
        <w:t xml:space="preserve"> </w:t>
      </w:r>
      <w:r w:rsidRPr="003215D3">
        <w:rPr>
          <w:rFonts w:ascii="Times New Roman" w:eastAsia="Times New Roman" w:hAnsi="Times New Roman" w:cs="Times New Roman"/>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Pr="003215D3">
          <w:rPr>
            <w:rFonts w:ascii="Times New Roman" w:eastAsia="Times New Roman" w:hAnsi="Times New Roman" w:cs="Times New Roman"/>
            <w:noProof/>
            <w:snapToGrid w:val="0"/>
            <w:color w:val="0000FF"/>
            <w:szCs w:val="24"/>
            <w:u w:val="single"/>
            <w:lang w:val="lt-LT"/>
          </w:rPr>
          <w:t>https://vapris.vvkt.lt/vvkt-web/public/nrvSpecialist</w:t>
        </w:r>
      </w:hyperlink>
      <w:r w:rsidRPr="003215D3">
        <w:rPr>
          <w:rFonts w:ascii="Times New Roman" w:eastAsia="Times New Roman" w:hAnsi="Times New Roman" w:cs="Times New Roman"/>
          <w:noProof/>
          <w:snapToGrid w:val="0"/>
          <w:szCs w:val="24"/>
          <w:lang w:val="lt-LT"/>
        </w:rPr>
        <w:t xml:space="preserve"> arba užpildę Sveikatos priežiūros ar farmacijos specialisto pranešimo apie įtariamą nepageidaujamą reakciją (ĮNR) formą, kuri skelbiama </w:t>
      </w:r>
      <w:hyperlink r:id="rId11" w:history="1">
        <w:r w:rsidRPr="003215D3">
          <w:rPr>
            <w:rFonts w:ascii="Times New Roman" w:eastAsia="Times New Roman" w:hAnsi="Times New Roman" w:cs="Times New Roman"/>
            <w:noProof/>
            <w:snapToGrid w:val="0"/>
            <w:color w:val="0000FF"/>
            <w:szCs w:val="24"/>
            <w:u w:val="single"/>
            <w:lang w:val="lt-LT"/>
          </w:rPr>
          <w:t>https://www.vvkt.lt/index.php?1399030386</w:t>
        </w:r>
      </w:hyperlink>
      <w:r w:rsidRPr="003215D3">
        <w:rPr>
          <w:rFonts w:ascii="Times New Roman" w:eastAsia="Times New Roman" w:hAnsi="Times New Roman" w:cs="Times New Roman"/>
          <w:noProof/>
          <w:snapToGrid w:val="0"/>
          <w:szCs w:val="24"/>
          <w:lang w:val="lt-LT"/>
        </w:rPr>
        <w:t>, ir atsiųsti elektroniniu paštu (adresu NepageidaujamaR@vvkt.lt).</w:t>
      </w:r>
    </w:p>
    <w:p w14:paraId="48A9607D" w14:textId="77777777" w:rsidR="00A840FC" w:rsidRPr="00A840FC" w:rsidRDefault="00A840FC" w:rsidP="00A840FC">
      <w:pPr>
        <w:spacing w:after="0" w:line="240" w:lineRule="auto"/>
        <w:rPr>
          <w:rFonts w:ascii="Times New Roman" w:eastAsia="Arial Unicode MS" w:hAnsi="Times New Roman" w:cs="Times New Roman"/>
          <w:lang w:val="lt-LT"/>
        </w:rPr>
      </w:pPr>
    </w:p>
    <w:p w14:paraId="24E7824A" w14:textId="77777777" w:rsidR="00A840FC" w:rsidRPr="00A840FC" w:rsidRDefault="00A840FC" w:rsidP="00A840F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2" w:name="_Toc129243110"/>
      <w:bookmarkStart w:id="33" w:name="_Toc129243235"/>
      <w:r w:rsidRPr="00A840FC">
        <w:rPr>
          <w:rFonts w:ascii="Times New Roman" w:eastAsia="Times New Roman" w:hAnsi="Times New Roman" w:cs="Times New Roman"/>
          <w:b/>
          <w:kern w:val="28"/>
          <w:lang w:val="lt-LT"/>
        </w:rPr>
        <w:t>4.9</w:t>
      </w:r>
      <w:r w:rsidRPr="00A840FC">
        <w:rPr>
          <w:rFonts w:ascii="Times New Roman" w:eastAsia="Times New Roman" w:hAnsi="Times New Roman" w:cs="Times New Roman"/>
          <w:b/>
          <w:kern w:val="28"/>
          <w:lang w:val="lt-LT"/>
        </w:rPr>
        <w:tab/>
        <w:t>Perdozavimas</w:t>
      </w:r>
      <w:bookmarkEnd w:id="32"/>
      <w:bookmarkEnd w:id="33"/>
    </w:p>
    <w:p w14:paraId="607E136B" w14:textId="77777777" w:rsidR="00A840FC" w:rsidRPr="00A840FC" w:rsidRDefault="00A840FC" w:rsidP="00A840FC">
      <w:pPr>
        <w:spacing w:after="0" w:line="240" w:lineRule="auto"/>
        <w:rPr>
          <w:rFonts w:ascii="Times New Roman" w:eastAsia="Arial Unicode MS" w:hAnsi="Times New Roman" w:cs="Times New Roman"/>
          <w:lang w:val="lt-LT"/>
        </w:rPr>
      </w:pPr>
    </w:p>
    <w:p w14:paraId="5FBBD519"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Simptomai</w:t>
      </w:r>
    </w:p>
    <w:p w14:paraId="43EB0922" w14:textId="77777777" w:rsidR="00A840FC" w:rsidRPr="00A840FC" w:rsidRDefault="00A840FC" w:rsidP="00A840FC">
      <w:pPr>
        <w:spacing w:after="0" w:line="240" w:lineRule="auto"/>
        <w:rPr>
          <w:rFonts w:ascii="Times New Roman" w:eastAsia="Calibri" w:hAnsi="Times New Roman" w:cs="Times New Roman"/>
          <w:color w:val="000000"/>
          <w:lang w:val="lt-LT"/>
        </w:rPr>
      </w:pPr>
      <w:r w:rsidRPr="00A840FC">
        <w:rPr>
          <w:rFonts w:ascii="Times New Roman" w:eastAsia="Times New Roman" w:hAnsi="Times New Roman" w:cs="Times New Roman"/>
          <w:color w:val="000000"/>
          <w:lang w:val="lt-LT" w:eastAsia="lt-LT" w:bidi="lt-LT"/>
        </w:rPr>
        <w:t xml:space="preserve">Nustatyti požymiai ir simptomai, tokie kaip mieguistumas ir sedacija, tachikardija, hipotenzija ir anticholinerginis poveikis, dažniausiai buvo pernelyg didelis žinomo veikliosios medžiagos farmakologinio poveikio sustiprėjimas. </w:t>
      </w:r>
      <w:r w:rsidRPr="00A840FC">
        <w:rPr>
          <w:rFonts w:ascii="Times New Roman" w:eastAsia="Times New Roman" w:hAnsi="Times New Roman" w:cs="Times New Roman"/>
          <w:lang w:val="lt-LT"/>
        </w:rPr>
        <w:t>Perdozavimas gali sukelti QT pailgėjimą, traukulius, epilepsinę būklę, rabdomiolizę, kvėpavimo slopinimą, šlapimo susilaikymą, konfūziją, delyrą ir (arba) ažitaciją, komą ir mirtį. Pacientams, sergantiems sunkia širdies ir kraujagyslių liga, gali būti didesnis dėl perdozavimo pasireiškiančio poveikio pavojus (žr. 4.4 skyrių „Ortostatinė hipotenzija“).</w:t>
      </w:r>
    </w:p>
    <w:p w14:paraId="2ACA2A28" w14:textId="77777777" w:rsidR="00A840FC" w:rsidRPr="00A840FC" w:rsidRDefault="00A840FC" w:rsidP="00A840FC">
      <w:pPr>
        <w:tabs>
          <w:tab w:val="left" w:pos="567"/>
        </w:tabs>
        <w:spacing w:after="0" w:line="240" w:lineRule="auto"/>
        <w:rPr>
          <w:rFonts w:ascii="Times New Roman" w:eastAsia="Times New Roman" w:hAnsi="Times New Roman" w:cs="Times New Roman"/>
          <w:u w:val="single"/>
          <w:lang w:val="lt-LT"/>
        </w:rPr>
      </w:pPr>
    </w:p>
    <w:p w14:paraId="28BFFAFA" w14:textId="77777777" w:rsidR="00A840FC" w:rsidRPr="00A840FC" w:rsidRDefault="00A840FC" w:rsidP="00A840FC">
      <w:pPr>
        <w:tabs>
          <w:tab w:val="left" w:pos="567"/>
        </w:tab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Perdozavimo gydymas</w:t>
      </w:r>
    </w:p>
    <w:p w14:paraId="680C165E"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Specifinio priešnuodžio prieš kvetiapiną nėra. Jei pasireiškia sunkaus apsinuodijimo požymių, būtina apsvarstyti, gal pacientas išgėrė įvairių vaistinių preparatų. Rekomenduojama taikyti intensyviosios terapijos procedūras: užtikrinti bei palaikyti kvėpavimo takų praeinamumą, pakankamą oksigenaciją ir ventiliaciją, stebėti bei palaikyti širdies ir kraujagyslių sistemos veiklą. </w:t>
      </w:r>
    </w:p>
    <w:p w14:paraId="32C31447" w14:textId="77777777" w:rsidR="00A840FC" w:rsidRPr="00A840FC" w:rsidRDefault="00A840FC" w:rsidP="00A840FC">
      <w:pPr>
        <w:spacing w:after="0" w:line="240" w:lineRule="auto"/>
        <w:rPr>
          <w:rFonts w:ascii="Times New Roman" w:eastAsia="Times New Roman" w:hAnsi="Times New Roman" w:cs="Times New Roman"/>
          <w:lang w:val="lt-LT"/>
        </w:rPr>
      </w:pPr>
    </w:p>
    <w:p w14:paraId="00EDB280"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Remiantis paskelbta moksline literatūra, pacientus, kuriems pasireiškia delyras ir ažitacija bei yra akivaizdus anticholinerginis sindromas, galima gydyti fizostigminu (dozė yra 1</w:t>
      </w:r>
      <w:r w:rsidRPr="00A840FC">
        <w:rPr>
          <w:rFonts w:ascii="Times New Roman" w:eastAsia="Times New Roman" w:hAnsi="Times New Roman" w:cs="Times New Roman"/>
          <w:lang w:val="lt-LT"/>
        </w:rPr>
        <w:noBreakHyphen/>
        <w:t xml:space="preserve">2 mg, būtina nuolat </w:t>
      </w:r>
      <w:r w:rsidRPr="00A840FC">
        <w:rPr>
          <w:rFonts w:ascii="Times New Roman" w:eastAsia="Times New Roman" w:hAnsi="Times New Roman" w:cs="Times New Roman"/>
          <w:lang w:val="lt-LT"/>
        </w:rPr>
        <w:lastRenderedPageBreak/>
        <w:t>stebėti EKG). Toks gydymas nėra rekomenduojama kaip standartinis, kadangi gali pasireikšti neigiamas fizostigmino poveikis širdies laidumui. Fizostigmino galima vartoti tada, kai EKG yra normali. Fizostigmino negalima vartoti, jei yra aritmija, bet kokio laipsnio širdies blokada ar QRS komplekso praplatėjimas.</w:t>
      </w:r>
    </w:p>
    <w:p w14:paraId="39E58FA6" w14:textId="77777777" w:rsidR="00A840FC" w:rsidRPr="00A840FC" w:rsidRDefault="00A840FC" w:rsidP="00A840FC">
      <w:pPr>
        <w:spacing w:after="0" w:line="240" w:lineRule="auto"/>
        <w:rPr>
          <w:rFonts w:ascii="Times New Roman" w:eastAsia="Times New Roman" w:hAnsi="Times New Roman" w:cs="Times New Roman"/>
          <w:lang w:val="lt-LT"/>
        </w:rPr>
      </w:pPr>
    </w:p>
    <w:p w14:paraId="36C4A128"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Nors absorbcijos slopinimas esant perdozavimui netirtas, sunkaus apsinuodijimo atveju gali būti naudinga plauti skrandį, jei įmanoma tai reikia atlikti nepraėjus valandai po vartojimo. Reikia apsvarstyti, ar skirti aktyvintosios anglies.</w:t>
      </w:r>
    </w:p>
    <w:p w14:paraId="30675645" w14:textId="77777777" w:rsidR="00A840FC" w:rsidRPr="00A840FC" w:rsidRDefault="00A840FC" w:rsidP="00A840FC">
      <w:pPr>
        <w:spacing w:after="0" w:line="240" w:lineRule="auto"/>
        <w:rPr>
          <w:rFonts w:ascii="Times New Roman" w:eastAsia="Times New Roman" w:hAnsi="Times New Roman" w:cs="Times New Roman"/>
          <w:lang w:val="lt-LT"/>
        </w:rPr>
      </w:pPr>
    </w:p>
    <w:p w14:paraId="07656DA3" w14:textId="77777777" w:rsidR="00A840FC" w:rsidRPr="00A840FC" w:rsidRDefault="00A840FC" w:rsidP="00A840FC">
      <w:pPr>
        <w:spacing w:after="0" w:line="240" w:lineRule="auto"/>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Perdozavus kvetiapino pasireiškusią gydymui nepasiduodančią hipotenziją reikia atitinkamai gydyti, t. y. skirti skysčių į veną ir (arba) simpatomimetikų, tačiau netinka epinefrinas ir dopaminas, kadangi kvetiapinui užblokavus alfa receptorius gali pasunkėti hipotenzija dėl beta receptorių stimuliavimo.</w:t>
      </w:r>
    </w:p>
    <w:p w14:paraId="592BAE27" w14:textId="77777777" w:rsidR="00A840FC" w:rsidRPr="00A840FC" w:rsidRDefault="00A840FC" w:rsidP="00A840FC">
      <w:pPr>
        <w:spacing w:after="0" w:line="240" w:lineRule="auto"/>
        <w:rPr>
          <w:rFonts w:ascii="Times New Roman" w:eastAsia="Times New Roman" w:hAnsi="Times New Roman" w:cs="Times New Roman"/>
          <w:lang w:val="lt-LT"/>
        </w:rPr>
      </w:pPr>
    </w:p>
    <w:p w14:paraId="7BC4E0E3"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Pacientą, kol pasveiks, turi atidžiai prižiūrėti medikas, paciento būklę būtina stebėti.</w:t>
      </w:r>
    </w:p>
    <w:p w14:paraId="4AF452AF" w14:textId="77777777" w:rsidR="00A840FC" w:rsidRPr="00A840FC" w:rsidRDefault="00A840FC" w:rsidP="00A840FC">
      <w:pPr>
        <w:spacing w:after="0" w:line="240" w:lineRule="auto"/>
        <w:rPr>
          <w:rFonts w:ascii="Times New Roman" w:eastAsia="Arial Unicode MS" w:hAnsi="Times New Roman" w:cs="Times New Roman"/>
          <w:lang w:val="lt-LT"/>
        </w:rPr>
      </w:pPr>
    </w:p>
    <w:p w14:paraId="1A14E4E9" w14:textId="77777777" w:rsidR="00A840FC" w:rsidRPr="00A840FC" w:rsidRDefault="00A840FC" w:rsidP="00A840FC">
      <w:pPr>
        <w:spacing w:after="0" w:line="240" w:lineRule="auto"/>
        <w:rPr>
          <w:rFonts w:ascii="Times New Roman" w:eastAsia="Arial Unicode MS" w:hAnsi="Times New Roman" w:cs="Times New Roman"/>
          <w:lang w:val="lt-LT"/>
        </w:rPr>
      </w:pPr>
    </w:p>
    <w:p w14:paraId="2E9E7040" w14:textId="77777777" w:rsidR="00A840FC" w:rsidRPr="00A840FC" w:rsidRDefault="00A840FC" w:rsidP="00A840F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34" w:name="_Toc129243111"/>
      <w:bookmarkStart w:id="35" w:name="_Toc129243236"/>
      <w:r w:rsidRPr="00A840FC">
        <w:rPr>
          <w:rFonts w:ascii="Times New Roman" w:eastAsia="Times New Roman" w:hAnsi="Times New Roman" w:cs="Times New Roman"/>
          <w:b/>
          <w:lang w:val="lt-LT"/>
        </w:rPr>
        <w:t>5.</w:t>
      </w:r>
      <w:r w:rsidRPr="00A840FC">
        <w:rPr>
          <w:rFonts w:ascii="Times New Roman" w:eastAsia="Times New Roman" w:hAnsi="Times New Roman" w:cs="Times New Roman"/>
          <w:b/>
          <w:lang w:val="lt-LT"/>
        </w:rPr>
        <w:tab/>
        <w:t>FARMAKOLOGINĖS SAVYBĖS</w:t>
      </w:r>
      <w:bookmarkEnd w:id="34"/>
      <w:bookmarkEnd w:id="35"/>
    </w:p>
    <w:p w14:paraId="0F45042C" w14:textId="77777777" w:rsidR="00A840FC" w:rsidRPr="00A840FC" w:rsidRDefault="00A840FC" w:rsidP="00A840FC">
      <w:pPr>
        <w:spacing w:after="0" w:line="240" w:lineRule="auto"/>
        <w:rPr>
          <w:rFonts w:ascii="Times New Roman" w:eastAsia="Arial Unicode MS" w:hAnsi="Times New Roman" w:cs="Times New Roman"/>
          <w:lang w:val="lt-LT"/>
        </w:rPr>
      </w:pPr>
    </w:p>
    <w:p w14:paraId="65BDB2F2" w14:textId="77777777" w:rsidR="00A840FC" w:rsidRPr="00A840FC" w:rsidRDefault="00A840FC" w:rsidP="00A840F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6" w:name="_Toc129243112"/>
      <w:bookmarkStart w:id="37" w:name="_Toc129243237"/>
      <w:r w:rsidRPr="00A840FC">
        <w:rPr>
          <w:rFonts w:ascii="Times New Roman" w:eastAsia="Times New Roman" w:hAnsi="Times New Roman" w:cs="Times New Roman"/>
          <w:b/>
          <w:kern w:val="28"/>
          <w:lang w:val="lt-LT"/>
        </w:rPr>
        <w:t>5.1</w:t>
      </w:r>
      <w:r w:rsidRPr="00A840FC">
        <w:rPr>
          <w:rFonts w:ascii="Times New Roman" w:eastAsia="Times New Roman" w:hAnsi="Times New Roman" w:cs="Times New Roman"/>
          <w:b/>
          <w:kern w:val="28"/>
          <w:lang w:val="lt-LT"/>
        </w:rPr>
        <w:tab/>
        <w:t>Farmakodinaminės savybės</w:t>
      </w:r>
      <w:bookmarkEnd w:id="36"/>
      <w:bookmarkEnd w:id="37"/>
    </w:p>
    <w:p w14:paraId="3986D923" w14:textId="77777777" w:rsidR="00A840FC" w:rsidRPr="00A840FC" w:rsidRDefault="00A840FC" w:rsidP="00A840FC">
      <w:pPr>
        <w:spacing w:after="0" w:line="240" w:lineRule="auto"/>
        <w:rPr>
          <w:rFonts w:ascii="Times New Roman" w:eastAsia="Arial Unicode MS" w:hAnsi="Times New Roman" w:cs="Times New Roman"/>
          <w:lang w:val="lt-LT"/>
        </w:rPr>
      </w:pPr>
    </w:p>
    <w:p w14:paraId="0544EAC9" w14:textId="77777777" w:rsidR="00A840FC" w:rsidRPr="00A840FC" w:rsidRDefault="00A840FC" w:rsidP="00A840FC">
      <w:pPr>
        <w:spacing w:after="0" w:line="240" w:lineRule="auto"/>
        <w:outlineLvl w:val="0"/>
        <w:rPr>
          <w:rFonts w:ascii="Times New Roman" w:eastAsia="Times New Roman" w:hAnsi="Times New Roman" w:cs="Times New Roman"/>
          <w:lang w:val="lt-LT"/>
        </w:rPr>
      </w:pPr>
      <w:r w:rsidRPr="00A840FC">
        <w:rPr>
          <w:rFonts w:ascii="Times New Roman" w:eastAsia="Times New Roman" w:hAnsi="Times New Roman" w:cs="Times New Roman"/>
          <w:lang w:val="lt-LT"/>
        </w:rPr>
        <w:t>Farmakoterapinė grupė – psicholeptikai; diazepinai, oksazepinai, tiazepinai ir oksepinai, ATC kodas – N05A H04.</w:t>
      </w:r>
    </w:p>
    <w:p w14:paraId="3FEFD70B" w14:textId="77777777" w:rsidR="00A840FC" w:rsidRPr="00A840FC" w:rsidRDefault="00A840FC" w:rsidP="00A840FC">
      <w:pPr>
        <w:spacing w:after="0" w:line="240" w:lineRule="auto"/>
        <w:rPr>
          <w:rFonts w:ascii="Times New Roman" w:eastAsia="Times New Roman" w:hAnsi="Times New Roman" w:cs="Times New Roman"/>
          <w:lang w:val="lt-LT"/>
        </w:rPr>
      </w:pPr>
    </w:p>
    <w:p w14:paraId="6F199969" w14:textId="77777777" w:rsidR="00A840FC" w:rsidRPr="00A840FC" w:rsidRDefault="00A840FC" w:rsidP="00A840FC">
      <w:pPr>
        <w:spacing w:after="0" w:line="240" w:lineRule="auto"/>
        <w:rPr>
          <w:rFonts w:ascii="Times New Roman" w:eastAsia="Times New Roman" w:hAnsi="Times New Roman" w:cs="Times New Roman"/>
          <w:u w:val="single"/>
          <w:lang w:val="lt-LT"/>
        </w:rPr>
      </w:pPr>
      <w:r w:rsidRPr="00A840FC">
        <w:rPr>
          <w:rFonts w:ascii="Times New Roman" w:eastAsia="Times New Roman" w:hAnsi="Times New Roman" w:cs="Times New Roman"/>
          <w:u w:val="single"/>
          <w:lang w:val="lt-LT"/>
        </w:rPr>
        <w:t>Veikimo mechanizmas</w:t>
      </w:r>
    </w:p>
    <w:p w14:paraId="441F37DF" w14:textId="77777777" w:rsidR="00A840FC" w:rsidRPr="00A840FC" w:rsidRDefault="00A840FC" w:rsidP="00A840FC">
      <w:pPr>
        <w:spacing w:after="0" w:line="240" w:lineRule="auto"/>
        <w:rPr>
          <w:rFonts w:ascii="Times New Roman" w:eastAsia="Times New Roman" w:hAnsi="Times New Roman" w:cs="Times New Roman"/>
          <w:u w:val="single"/>
          <w:lang w:val="lt-LT"/>
        </w:rPr>
      </w:pPr>
    </w:p>
    <w:p w14:paraId="7CAF410C" w14:textId="77777777" w:rsidR="00A840FC" w:rsidRPr="00A840FC" w:rsidRDefault="00A840FC" w:rsidP="00A840FC">
      <w:pPr>
        <w:spacing w:after="0" w:line="240" w:lineRule="auto"/>
        <w:rPr>
          <w:rFonts w:ascii="Times New Roman" w:eastAsia="Times New Roman" w:hAnsi="Times New Roman" w:cs="Times New Roman"/>
          <w:color w:val="000000"/>
          <w:lang w:val="lt-LT" w:eastAsia="lt-LT" w:bidi="lt-LT"/>
        </w:rPr>
      </w:pPr>
      <w:r w:rsidRPr="00A840FC">
        <w:rPr>
          <w:rFonts w:ascii="Times New Roman" w:eastAsia="Times New Roman" w:hAnsi="Times New Roman" w:cs="Times New Roman"/>
          <w:lang w:val="lt-LT"/>
        </w:rPr>
        <w:t>Kvetiapinas yra netipinis vaistinis preparatas nuo psichozės. Kvetiapinas ir aktyvus metabolitas norkvetiapinas žmogaus kraujo plazmos sąveikauja su daugelio neurotransmiterių receptoriais. Kvetiapinas ir norkvetiapinas pasižymi giminingumu serotonino (5HT</w:t>
      </w:r>
      <w:r w:rsidRPr="00A840FC">
        <w:rPr>
          <w:rFonts w:ascii="Times New Roman" w:eastAsia="Times New Roman" w:hAnsi="Times New Roman" w:cs="Times New Roman"/>
          <w:vertAlign w:val="subscript"/>
          <w:lang w:val="lt-LT"/>
        </w:rPr>
        <w:t>2</w:t>
      </w:r>
      <w:r w:rsidRPr="00A840FC">
        <w:rPr>
          <w:rFonts w:ascii="Times New Roman" w:eastAsia="Times New Roman" w:hAnsi="Times New Roman" w:cs="Times New Roman"/>
          <w:lang w:val="lt-LT"/>
        </w:rPr>
        <w:t>) bei dopamino (D</w:t>
      </w:r>
      <w:r w:rsidRPr="00A840FC">
        <w:rPr>
          <w:rFonts w:ascii="Times New Roman" w:eastAsia="Times New Roman" w:hAnsi="Times New Roman" w:cs="Times New Roman"/>
          <w:vertAlign w:val="subscript"/>
          <w:lang w:val="lt-LT"/>
        </w:rPr>
        <w:t>1</w:t>
      </w:r>
      <w:r w:rsidRPr="00A840FC">
        <w:rPr>
          <w:rFonts w:ascii="Times New Roman" w:eastAsia="Times New Roman" w:hAnsi="Times New Roman" w:cs="Times New Roman"/>
          <w:lang w:val="lt-LT"/>
        </w:rPr>
        <w:t xml:space="preserve"> ir D</w:t>
      </w:r>
      <w:r w:rsidRPr="00A840FC">
        <w:rPr>
          <w:rFonts w:ascii="Times New Roman" w:eastAsia="Times New Roman" w:hAnsi="Times New Roman" w:cs="Times New Roman"/>
          <w:vertAlign w:val="subscript"/>
          <w:lang w:val="lt-LT"/>
        </w:rPr>
        <w:t>2</w:t>
      </w:r>
      <w:r w:rsidRPr="00A840FC">
        <w:rPr>
          <w:rFonts w:ascii="Times New Roman" w:eastAsia="Times New Roman" w:hAnsi="Times New Roman" w:cs="Times New Roman"/>
          <w:lang w:val="lt-LT"/>
        </w:rPr>
        <w:t>) receptoriams smegenyse. Antagonistinis poveikis 5HT</w:t>
      </w:r>
      <w:r w:rsidRPr="00A840FC">
        <w:rPr>
          <w:rFonts w:ascii="Times New Roman" w:eastAsia="Times New Roman" w:hAnsi="Times New Roman" w:cs="Times New Roman"/>
          <w:vertAlign w:val="subscript"/>
          <w:lang w:val="lt-LT"/>
        </w:rPr>
        <w:t>2</w:t>
      </w:r>
      <w:r w:rsidRPr="00A840FC">
        <w:rPr>
          <w:rFonts w:ascii="Times New Roman" w:eastAsia="Times New Roman" w:hAnsi="Times New Roman" w:cs="Times New Roman"/>
          <w:lang w:val="lt-LT"/>
        </w:rPr>
        <w:t xml:space="preserve"> receptoriams yra selektyvesnis nei D</w:t>
      </w:r>
      <w:r w:rsidRPr="00A840FC">
        <w:rPr>
          <w:rFonts w:ascii="Times New Roman" w:eastAsia="Times New Roman" w:hAnsi="Times New Roman" w:cs="Times New Roman"/>
          <w:vertAlign w:val="subscript"/>
          <w:lang w:val="lt-LT"/>
        </w:rPr>
        <w:t>2</w:t>
      </w:r>
      <w:r w:rsidRPr="00A840FC">
        <w:rPr>
          <w:rFonts w:ascii="Times New Roman" w:eastAsia="Times New Roman" w:hAnsi="Times New Roman" w:cs="Times New Roman"/>
          <w:lang w:val="lt-LT"/>
        </w:rPr>
        <w:t>, manoma, kad tai lemia kvetiapino klinikinį antipsichozinį poveikį ir nedidelį nepageidaujamo ekstrapiramidinio poveikio pavojų, lyginant su tipiniais vaistiniais preparatais nuo psichozės. Kvetiapinui bei norkvetiapinui nebūdingas pastebimas afinitetas benzodiazepinų receptoriams, tačiau būdingas didelis afinitetas histaminerginiams ir alfa</w:t>
      </w:r>
      <w:r w:rsidRPr="00A840FC">
        <w:rPr>
          <w:rFonts w:ascii="Times New Roman" w:eastAsia="Times New Roman" w:hAnsi="Times New Roman" w:cs="Times New Roman"/>
          <w:vertAlign w:val="subscript"/>
          <w:lang w:val="lt-LT"/>
        </w:rPr>
        <w:t>1</w:t>
      </w:r>
      <w:r w:rsidRPr="00A840FC">
        <w:rPr>
          <w:rFonts w:ascii="Times New Roman" w:eastAsia="Times New Roman" w:hAnsi="Times New Roman" w:cs="Times New Roman"/>
          <w:lang w:val="lt-LT"/>
        </w:rPr>
        <w:t xml:space="preserve"> adrenergianiams receptoriams bei vidutinis afinitetas </w:t>
      </w:r>
      <w:r w:rsidRPr="00A840FC">
        <w:rPr>
          <w:rFonts w:ascii="Times New Roman" w:eastAsia="Times New Roman" w:hAnsi="Times New Roman" w:cs="Times New Roman"/>
          <w:color w:val="000000"/>
          <w:lang w:val="lt-LT" w:eastAsia="lt-LT" w:bidi="lt-LT"/>
        </w:rPr>
        <w:t>alfa</w:t>
      </w:r>
      <w:r w:rsidRPr="00A840FC">
        <w:rPr>
          <w:rFonts w:ascii="Times New Roman" w:eastAsia="Times New Roman" w:hAnsi="Times New Roman" w:cs="Times New Roman"/>
          <w:color w:val="000000"/>
          <w:vertAlign w:val="subscript"/>
          <w:lang w:val="lt-LT" w:eastAsia="lt-LT" w:bidi="lt-LT"/>
        </w:rPr>
        <w:t>2</w:t>
      </w:r>
      <w:r w:rsidRPr="00A840FC">
        <w:rPr>
          <w:rFonts w:ascii="Times New Roman" w:eastAsia="Times New Roman" w:hAnsi="Times New Roman" w:cs="Times New Roman"/>
          <w:color w:val="000000"/>
          <w:lang w:val="lt-LT" w:eastAsia="lt-LT" w:bidi="lt-LT"/>
        </w:rPr>
        <w:t xml:space="preserve"> adrenergianiams receptoriams</w:t>
      </w:r>
      <w:r w:rsidRPr="00A840FC">
        <w:rPr>
          <w:rFonts w:ascii="Times New Roman" w:eastAsia="Times New Roman" w:hAnsi="Times New Roman" w:cs="Times New Roman"/>
          <w:lang w:val="lt-LT"/>
        </w:rPr>
        <w:t xml:space="preserve">. </w:t>
      </w:r>
      <w:r w:rsidRPr="00A840FC">
        <w:rPr>
          <w:rFonts w:ascii="Times New Roman" w:eastAsia="Times New Roman" w:hAnsi="Times New Roman" w:cs="Times New Roman"/>
          <w:color w:val="000000"/>
          <w:lang w:val="lt-LT" w:eastAsia="lt-LT" w:bidi="lt-LT"/>
        </w:rPr>
        <w:t>Be to, kvetiapinas turi mažą afinitetą muskarino receptoriams arba jo neturi, o norkvetiapino afinitetas kai kuriems muskarino receptoriams yra vidutinis arba didelis – tuo paaiškinamas jo anticholinerginis (antimuskarininis) poveikis.</w:t>
      </w:r>
    </w:p>
    <w:p w14:paraId="6A5F5DCC"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Norkvetiapinui būdingas norepinefrino nešėjo (NEN) slopinimas ir dalinis agonistinis poveikis 5HT1A gali lemti Ketipinor kaip antidepresanto terapinį veiksmingumą.</w:t>
      </w:r>
    </w:p>
    <w:p w14:paraId="679E3F70" w14:textId="77777777" w:rsidR="00A840FC" w:rsidRPr="00A840FC" w:rsidRDefault="00A840FC" w:rsidP="00A840FC">
      <w:pPr>
        <w:spacing w:after="0" w:line="240" w:lineRule="auto"/>
        <w:rPr>
          <w:rFonts w:ascii="Times New Roman" w:eastAsia="Times New Roman" w:hAnsi="Times New Roman" w:cs="Times New Roman"/>
          <w:lang w:val="lt-LT"/>
        </w:rPr>
      </w:pPr>
    </w:p>
    <w:p w14:paraId="3CF48DD8" w14:textId="77777777" w:rsidR="00A840FC" w:rsidRPr="00A840FC" w:rsidRDefault="00A840FC" w:rsidP="00A840FC">
      <w:pPr>
        <w:spacing w:after="0" w:line="240" w:lineRule="auto"/>
        <w:rPr>
          <w:rFonts w:ascii="Times New Roman" w:eastAsia="Times New Roman" w:hAnsi="Times New Roman" w:cs="Times New Roman"/>
          <w:u w:val="single"/>
          <w:lang w:val="lt-LT"/>
        </w:rPr>
      </w:pPr>
      <w:r w:rsidRPr="00A840FC">
        <w:rPr>
          <w:rFonts w:ascii="Times New Roman" w:eastAsia="Times New Roman" w:hAnsi="Times New Roman" w:cs="Times New Roman"/>
          <w:u w:val="single"/>
          <w:lang w:val="lt-LT"/>
        </w:rPr>
        <w:t>Farmakodinaminis poveikis</w:t>
      </w:r>
    </w:p>
    <w:p w14:paraId="0CF26F5D" w14:textId="77777777" w:rsidR="00A840FC" w:rsidRPr="00A840FC" w:rsidRDefault="00A840FC" w:rsidP="00A840FC">
      <w:pPr>
        <w:spacing w:after="0" w:line="240" w:lineRule="auto"/>
        <w:rPr>
          <w:rFonts w:ascii="Times New Roman" w:eastAsia="Times New Roman" w:hAnsi="Times New Roman" w:cs="Times New Roman"/>
          <w:lang w:val="lt-LT"/>
        </w:rPr>
      </w:pPr>
    </w:p>
    <w:p w14:paraId="4BA6F8BC"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Kvetiapino poveikis patvirtintas antipsichozinio aktyvumo tyrimais, pavyzdžiui, sąlyginio vengimo reflekso. Be to, kvetiapinas blokuoja dopamino agonistų poveikį (tai nustatyta vertinant elgesį arba elektrofiziologiškai) bei didina dopamino metabolitų koncentraciją – neurocheminį D</w:t>
      </w:r>
      <w:r w:rsidRPr="00A840FC">
        <w:rPr>
          <w:rFonts w:ascii="Times New Roman" w:eastAsia="Times New Roman" w:hAnsi="Times New Roman" w:cs="Times New Roman"/>
          <w:vertAlign w:val="subscript"/>
          <w:lang w:val="lt-LT"/>
        </w:rPr>
        <w:t>2</w:t>
      </w:r>
      <w:r w:rsidRPr="00A840FC">
        <w:rPr>
          <w:rFonts w:ascii="Times New Roman" w:eastAsia="Times New Roman" w:hAnsi="Times New Roman" w:cs="Times New Roman"/>
          <w:lang w:val="lt-LT"/>
        </w:rPr>
        <w:t xml:space="preserve"> receptorių blokados indeksą.</w:t>
      </w:r>
    </w:p>
    <w:p w14:paraId="5FA115BE" w14:textId="77777777" w:rsidR="00A840FC" w:rsidRPr="00A840FC" w:rsidRDefault="00A840FC" w:rsidP="00A840FC">
      <w:pPr>
        <w:spacing w:after="0" w:line="240" w:lineRule="auto"/>
        <w:rPr>
          <w:rFonts w:ascii="Times New Roman" w:eastAsia="Times New Roman" w:hAnsi="Times New Roman" w:cs="Times New Roman"/>
          <w:lang w:val="lt-LT"/>
        </w:rPr>
      </w:pPr>
    </w:p>
    <w:p w14:paraId="41CC04DF"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Ikiklinikiniais tyrimais, rodančiais esant ekstrapiramidinių sutrikimų riziką, nustatyta, kad kvetiapinas nepanašus į tipinius vaistinius preparatus nuo psichozės ir pasižymi netipinėmis savybėmis. Ilgai vartojamas kvetiapinas perdėtai neįjautrina D</w:t>
      </w:r>
      <w:r w:rsidRPr="00A840FC">
        <w:rPr>
          <w:rFonts w:ascii="Times New Roman" w:eastAsia="Times New Roman" w:hAnsi="Times New Roman" w:cs="Times New Roman"/>
          <w:vertAlign w:val="subscript"/>
          <w:lang w:val="lt-LT"/>
        </w:rPr>
        <w:t>2</w:t>
      </w:r>
      <w:r w:rsidRPr="00A840FC">
        <w:rPr>
          <w:rFonts w:ascii="Times New Roman" w:eastAsia="Times New Roman" w:hAnsi="Times New Roman" w:cs="Times New Roman"/>
          <w:lang w:val="lt-LT"/>
        </w:rPr>
        <w:t xml:space="preserve"> receptorių, o veiksmingai D</w:t>
      </w:r>
      <w:r w:rsidRPr="00A840FC">
        <w:rPr>
          <w:rFonts w:ascii="Times New Roman" w:eastAsia="Times New Roman" w:hAnsi="Times New Roman" w:cs="Times New Roman"/>
          <w:vertAlign w:val="subscript"/>
          <w:lang w:val="lt-LT"/>
        </w:rPr>
        <w:t>2</w:t>
      </w:r>
      <w:r w:rsidRPr="00A840FC">
        <w:rPr>
          <w:rFonts w:ascii="Times New Roman" w:eastAsia="Times New Roman" w:hAnsi="Times New Roman" w:cs="Times New Roman"/>
          <w:lang w:val="lt-LT"/>
        </w:rPr>
        <w:t xml:space="preserve"> receptorius blokuojančios kvetiapino dozės sukelia tik silpna katalepsiją. Ilgai vartojamas kvetiapinas selektyviai veikia limbinę sistemą: sukelia mezolimbinės, bet ne juodosios medžiagos ir dryžuotojo kūno dopaminerginių neuronų depoliarizacinę blokadą. Ir trumpai, ir ilgai vartojamo kvetiapino poveikis, sukeliantis distonijas, haloperidoliu įjautrintoms arba vaistinių preparatų negavusioms </w:t>
      </w:r>
      <w:r w:rsidRPr="00A840FC">
        <w:rPr>
          <w:rFonts w:ascii="Times New Roman" w:eastAsia="Times New Roman" w:hAnsi="Times New Roman" w:cs="Times New Roman"/>
          <w:i/>
          <w:lang w:val="lt-LT"/>
        </w:rPr>
        <w:t>Cebus</w:t>
      </w:r>
      <w:r w:rsidRPr="00A840FC">
        <w:rPr>
          <w:rFonts w:ascii="Times New Roman" w:eastAsia="Times New Roman" w:hAnsi="Times New Roman" w:cs="Times New Roman"/>
          <w:lang w:val="lt-LT"/>
        </w:rPr>
        <w:t xml:space="preserve"> beždžionėms yra minimalus (žr. 4.8 skyrių). </w:t>
      </w:r>
    </w:p>
    <w:p w14:paraId="4AE3B99A" w14:textId="77777777" w:rsidR="00A840FC" w:rsidRPr="00A840FC" w:rsidRDefault="00A840FC" w:rsidP="00A840FC">
      <w:pPr>
        <w:spacing w:after="0" w:line="240" w:lineRule="auto"/>
        <w:rPr>
          <w:rFonts w:ascii="Times New Roman" w:eastAsia="Times New Roman" w:hAnsi="Times New Roman" w:cs="Times New Roman"/>
          <w:lang w:val="lt-LT"/>
        </w:rPr>
      </w:pPr>
    </w:p>
    <w:p w14:paraId="1D541394" w14:textId="77777777" w:rsidR="00A840FC" w:rsidRPr="00A840FC" w:rsidRDefault="00A840FC" w:rsidP="00A840FC">
      <w:pPr>
        <w:keepNext/>
        <w:keepLines/>
        <w:spacing w:after="0" w:line="240" w:lineRule="auto"/>
        <w:rPr>
          <w:rFonts w:ascii="Times New Roman" w:eastAsia="Times New Roman" w:hAnsi="Times New Roman" w:cs="Times New Roman"/>
          <w:u w:val="single"/>
          <w:lang w:val="lt-LT"/>
        </w:rPr>
      </w:pPr>
      <w:r w:rsidRPr="00A840FC">
        <w:rPr>
          <w:rFonts w:ascii="Times New Roman" w:eastAsia="Times New Roman" w:hAnsi="Times New Roman" w:cs="Times New Roman"/>
          <w:u w:val="single"/>
          <w:lang w:val="lt-LT"/>
        </w:rPr>
        <w:lastRenderedPageBreak/>
        <w:t>Klinikinis veiksmingumas</w:t>
      </w:r>
    </w:p>
    <w:p w14:paraId="3D7FC4F2"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p>
    <w:p w14:paraId="69B349E2" w14:textId="77777777" w:rsidR="00A840FC" w:rsidRPr="00A840FC" w:rsidRDefault="00A840FC" w:rsidP="00A840FC">
      <w:pPr>
        <w:keepNext/>
        <w:keepLines/>
        <w:spacing w:after="0" w:line="240" w:lineRule="auto"/>
        <w:rPr>
          <w:rFonts w:ascii="Times New Roman" w:eastAsia="Times New Roman" w:hAnsi="Times New Roman" w:cs="Times New Roman"/>
          <w:u w:val="single"/>
          <w:lang w:val="lt-LT"/>
        </w:rPr>
      </w:pPr>
      <w:r w:rsidRPr="00A840FC">
        <w:rPr>
          <w:rFonts w:ascii="Times New Roman" w:eastAsia="Times New Roman" w:hAnsi="Times New Roman" w:cs="Times New Roman"/>
          <w:u w:val="single"/>
          <w:lang w:val="lt-LT"/>
        </w:rPr>
        <w:t>Šizofrenija</w:t>
      </w:r>
    </w:p>
    <w:p w14:paraId="1E26585E" w14:textId="77777777" w:rsidR="00A840FC" w:rsidRPr="00A840FC" w:rsidRDefault="00A840FC" w:rsidP="00A840FC">
      <w:pPr>
        <w:spacing w:after="0" w:line="240" w:lineRule="auto"/>
        <w:rPr>
          <w:rFonts w:ascii="Times New Roman" w:eastAsia="Times New Roman" w:hAnsi="Times New Roman" w:cs="Times New Roman"/>
          <w:highlight w:val="yellow"/>
          <w:lang w:val="lt-LT"/>
        </w:rPr>
      </w:pPr>
      <w:r w:rsidRPr="00A840FC">
        <w:rPr>
          <w:rFonts w:ascii="Times New Roman" w:eastAsia="Times New Roman" w:hAnsi="Times New Roman" w:cs="Times New Roman"/>
          <w:lang w:val="lt-LT"/>
        </w:rPr>
        <w:t>Trimis klinikiniais placebu kontroliuojamais tyrimais, kuriuose dalyvavo šizofrenija sergantys pacientai (gydyti įvairiomis kvetiapino dozėmis), nustatyta, kad vartojant kvetiapiną ir placebą nei ekstrapiramidinių sutrikimų pasireiškimo, nei būtinojo gydymo anticholinerginiais vaistiniais preparatais dažnumas nesiskiria. Placebu kontroliuotu tyrimu, kuriame dalyvavę pacientai gydyti fiksuota kvetiapino paros doze (75–750 mg), nenustatyta, jog padidėja ekstrapiramidinių sutrikimų pasireiškimo ar būtinojo gydymo anticholinerginiais vaistiniais preparatais dažnumas. Ilgalaikis kvetiapino greito atpalaidavimo tablečių veiksmingumas, preparato vartojant šizofrenijos atkryčių profilaktikai, nebuvo patvirtintas koduotų klinikinių tyrimų metu. Atvirų šizofrenija sergančių pacientų tyrimų metu kvetiapinas veiksmingai palaikė klinikinės būklės pagerėjimą, kai gydymas šiuo vaistiniu preparatu buvo tęsiamas pacientams, kurie reagavo į pradinį gydymą, o tai rodo galimą tam tikrą ilgalaikį veiksmingumą.</w:t>
      </w:r>
    </w:p>
    <w:p w14:paraId="4018CBE4"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p>
    <w:p w14:paraId="1252B715" w14:textId="77777777" w:rsidR="00A840FC" w:rsidRPr="00A840FC" w:rsidRDefault="00A840FC" w:rsidP="00A840FC">
      <w:pPr>
        <w:spacing w:after="0" w:line="240" w:lineRule="auto"/>
        <w:rPr>
          <w:rFonts w:ascii="Times New Roman" w:eastAsia="Times New Roman" w:hAnsi="Times New Roman" w:cs="Times New Roman"/>
          <w:u w:val="single"/>
          <w:lang w:val="lt-LT"/>
        </w:rPr>
      </w:pPr>
      <w:r w:rsidRPr="00A840FC">
        <w:rPr>
          <w:rFonts w:ascii="Times New Roman" w:eastAsia="Times New Roman" w:hAnsi="Times New Roman" w:cs="Times New Roman"/>
          <w:u w:val="single"/>
          <w:lang w:val="lt-LT"/>
        </w:rPr>
        <w:t>Bipolinis sutrikimas</w:t>
      </w:r>
    </w:p>
    <w:p w14:paraId="0A465E86"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Keturiais placebu kontroliuojamais tyrimais vertintas iki 800 mg paros dozėmis vartojamo kvetiapino veiksmingumas gydant vidutinio sunkumo bei sunkius manijos epizodus. Dviejų tyrimų metu gydyta tik kvetiapinu, kitų dviejų – kartu su ličiu arba valproeksu. Tyrimais nei ekstrapiramidinių sutrikimų pasireiškimo, nei būtinojo gydymo anticholinerginiais vaistiniais preparatais dažnumo skirtumų kvetiapino bei placebo vartojusių pacientų grupėse nenustatyta.</w:t>
      </w:r>
    </w:p>
    <w:p w14:paraId="48A4EF81" w14:textId="77777777" w:rsidR="00A840FC" w:rsidRPr="00A840FC" w:rsidRDefault="00A840FC" w:rsidP="00A840FC">
      <w:pPr>
        <w:spacing w:after="0" w:line="240" w:lineRule="auto"/>
        <w:rPr>
          <w:rFonts w:ascii="Times New Roman" w:eastAsia="Times New Roman" w:hAnsi="Times New Roman" w:cs="Times New Roman"/>
          <w:lang w:val="lt-LT"/>
        </w:rPr>
      </w:pPr>
    </w:p>
    <w:p w14:paraId="7A8503DF"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Dviejų klinikinių tyrimų, kurių metu gydyta tik kvetiapinu, duomenimis, kvetiapinas veiksmingiau už placebą palengvino vidutinio sunkumo bei sunkios manijos simptomus 3 ir 12 savaitę. Ilgalaikių tyrimų duomenų, įrodančių, jog kvetiapinu veiksminga gydyti profilaktiškai, kad neprasidėtų kiti manijos ar depresijos epizodai, nėra. Duomenų apie kartu su divalproeksu arba ličiu vartojamo kvetiapino poveikį 3 ir 6 savaitę gydant ūminio vidutinio sunkumo ar sunkius manijos epizodus yra nedaug; sudėtinis gydymas buvo toleruojamas gerai. 3-iają savaitę tyrimo duomenys rodė adityvinį poveikį. Antrojo tyrimo 6-ają savaitę adityvinis poveikis nustatytas nebuvo. </w:t>
      </w:r>
    </w:p>
    <w:p w14:paraId="5BF28450"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p>
    <w:p w14:paraId="01CAC61C"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Pacientų, kurie reagavo į gydymą, paskutinę savaitę vartotos paros dozės mediana buvo maždaug 600 mg. Maždaug 85 % į gydymą reagavusių pacientų vartojo 400</w:t>
      </w:r>
      <w:r w:rsidRPr="00A840FC">
        <w:rPr>
          <w:rFonts w:ascii="Times New Roman" w:eastAsia="Times New Roman" w:hAnsi="Times New Roman" w:cs="Times New Roman"/>
          <w:lang w:val="lt-LT"/>
        </w:rPr>
        <w:noBreakHyphen/>
        <w:t>800 mg paros dozę.</w:t>
      </w:r>
    </w:p>
    <w:p w14:paraId="5B1ED9DE" w14:textId="77777777" w:rsidR="00A840FC" w:rsidRPr="00A840FC" w:rsidRDefault="00A840FC" w:rsidP="00A840FC">
      <w:pPr>
        <w:spacing w:after="0" w:line="240" w:lineRule="auto"/>
        <w:rPr>
          <w:rFonts w:ascii="Times New Roman" w:eastAsia="Times New Roman" w:hAnsi="Times New Roman" w:cs="Times New Roman"/>
          <w:lang w:val="lt-LT"/>
        </w:rPr>
      </w:pPr>
    </w:p>
    <w:p w14:paraId="4998EE3F"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8 savaites trukusių keturių klinikinių tyrimų, kuriuose dalyvavusiems I tipo bipolinio sutrikimu ar II tipo bipolinio sutrikimu sergantiems pacientams buvo vidutinio sunkumo ar sunkus depresijos epizodas, duomenimis, pagal reikšmingus matavimų rezultatus, t. y. Montgomery-Asberg depresijos vertinimo skalės (MADRS) (angl. </w:t>
      </w:r>
      <w:r w:rsidRPr="00A840FC">
        <w:rPr>
          <w:rFonts w:ascii="Times New Roman" w:eastAsia="Times New Roman" w:hAnsi="Times New Roman" w:cs="Times New Roman"/>
          <w:i/>
          <w:lang w:val="lt-LT"/>
        </w:rPr>
        <w:t>Montgomery-Asberg Rating Scale</w:t>
      </w:r>
      <w:r w:rsidRPr="00A840FC">
        <w:rPr>
          <w:rFonts w:ascii="Times New Roman" w:eastAsia="Times New Roman" w:hAnsi="Times New Roman" w:cs="Times New Roman"/>
          <w:lang w:val="lt-LT"/>
        </w:rPr>
        <w:t>) rodiklį, rezultatų vidutinį pagerėjimą ir pagal atsaką, apibūdinamą kaip bendro MADRS rezultato pagerėjimas mažiausiai 50 %, palyginti su pradiniu, 300 mg ar 600 mg kvetiapino greito atpalaidavimo tablečių sukeltas poveikis buvo reikšmingai didesnis už poveikį, nustatytą placebu gydytiems pacientams. Poveikio stiprumas pacientams, kurie vartojo 300 mg kvetiapino greito atpalaidavimo tablečių ir pacientams, vartojusiems 600 mg dozę, nesiskyrė.</w:t>
      </w:r>
    </w:p>
    <w:p w14:paraId="0AF8B424" w14:textId="77777777" w:rsidR="00A840FC" w:rsidRPr="00A840FC" w:rsidRDefault="00A840FC" w:rsidP="00A840FC">
      <w:pPr>
        <w:spacing w:after="0" w:line="240" w:lineRule="auto"/>
        <w:rPr>
          <w:rFonts w:ascii="Times New Roman" w:eastAsia="Times New Roman" w:hAnsi="Times New Roman" w:cs="Times New Roman"/>
          <w:lang w:val="lt-LT"/>
        </w:rPr>
      </w:pPr>
    </w:p>
    <w:p w14:paraId="022386F9"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Dviejų iš minėtų tyrimų tęstinės fazės metu buvo įrodyta, kad ilgalaikis gydymas pacientų, kurie reagavo į gydymą 300 mg ar 600 mg kvetiapino greito atpalaidavimo tablečių buvo veiksmingas depresijos simptomų, bet ne manijos simptomų, atžvilgiu.</w:t>
      </w:r>
    </w:p>
    <w:p w14:paraId="27FDB349"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p>
    <w:p w14:paraId="4AD3AD2C" w14:textId="77777777" w:rsidR="00A840FC" w:rsidRPr="00A840FC" w:rsidRDefault="00A840FC" w:rsidP="00A840FC">
      <w:pPr>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 xml:space="preserve">Dviejų ligos kartojimosi prevencijos klinikinių tyrimų, kurių metu buvo įvertintas kvetiapino, vartojamo deriniuose su nuotaikos stabilizatoriais, veiksmingumas pacientams, kuriems būna manijos, depresijos ar mišrių epizodų, duomenimis, pagal laiko iki bet kokio nuotaikos reiškinio (manijos, mišraus ar depresijos) pasikartojimo pailgėjimą derinys su kvetiapinu buvo pranašesnis už monoterapiją nuotaikos stabilizatoriumi. Kvetiapino buvo vartojama du kartus per parą 400 – 800 mg paros dozėmis kombinuotojo gydymo kartu su ličiu ar valproato metu. </w:t>
      </w:r>
    </w:p>
    <w:p w14:paraId="35A73D90" w14:textId="77777777" w:rsidR="00A840FC" w:rsidRPr="00A840FC" w:rsidRDefault="00A840FC" w:rsidP="00A840FC">
      <w:pPr>
        <w:spacing w:after="0" w:line="240" w:lineRule="auto"/>
        <w:rPr>
          <w:rFonts w:ascii="Times New Roman" w:eastAsia="Calibri" w:hAnsi="Times New Roman" w:cs="Times New Roman"/>
          <w:b/>
          <w:lang w:val="lt-LT"/>
        </w:rPr>
      </w:pPr>
    </w:p>
    <w:p w14:paraId="6BF18936" w14:textId="77777777" w:rsidR="00A840FC" w:rsidRPr="00A840FC" w:rsidRDefault="00A840FC" w:rsidP="00A840FC">
      <w:pPr>
        <w:keepNext/>
        <w:keepLines/>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lastRenderedPageBreak/>
        <w:t xml:space="preserve">6 savaičių atsitiktinių imčių ličio ir kvetiapino pailginto atpalaidavimo tablečių derinio bei placebo ir kvetiapino pailginto atpalaidavimo tablečių derinio poveikio suaugusiems pacientams, kuriems yra ūminė manija, palyginimo tyrimo metu vidutinio YMRS (jaunų pacientų manijos vertinimo skalė, angl. </w:t>
      </w:r>
      <w:r w:rsidRPr="00A840FC">
        <w:rPr>
          <w:rFonts w:ascii="Times New Roman" w:eastAsia="Calibri" w:hAnsi="Times New Roman" w:cs="Times New Roman"/>
          <w:i/>
          <w:lang w:val="lt-LT"/>
        </w:rPr>
        <w:t>Young Mania Rating Scale</w:t>
      </w:r>
      <w:r w:rsidRPr="00A840FC">
        <w:rPr>
          <w:rFonts w:ascii="Times New Roman" w:eastAsia="Calibri" w:hAnsi="Times New Roman" w:cs="Times New Roman"/>
          <w:lang w:val="lt-LT"/>
        </w:rPr>
        <w:t>) įvertinimo pagerėjimo skirtumas, lyginant papildomai ličio ir placebo vartojusius pacientus, buvo 2,8 balo, o procentinės į gydymą reagavusių pacientų (reagavimu laikytas YMRS įvertinimo pagerėjimas 50 % nuo pradinio rodmens) dalies skirtumas buvo 11 % (79 % papildomai ličio vartojusių grupėje ir 68 % papildomai placebo vartojusiųjų grupėje).</w:t>
      </w:r>
    </w:p>
    <w:p w14:paraId="2C29DCE5" w14:textId="77777777" w:rsidR="00A840FC" w:rsidRPr="00A840FC" w:rsidRDefault="00A840FC" w:rsidP="00A840FC">
      <w:pPr>
        <w:spacing w:after="0" w:line="240" w:lineRule="auto"/>
        <w:rPr>
          <w:rFonts w:ascii="Times New Roman" w:eastAsia="Calibri" w:hAnsi="Times New Roman" w:cs="Times New Roman"/>
          <w:lang w:val="lt-LT"/>
        </w:rPr>
      </w:pPr>
    </w:p>
    <w:p w14:paraId="5D0C15D5" w14:textId="77777777" w:rsidR="00A840FC" w:rsidRPr="00A840FC" w:rsidRDefault="00A840FC" w:rsidP="00A840FC">
      <w:pPr>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Vienas ilgalaikis (iki 2 metų trukmės gydymo) tyrimas, kurio metu vertintas veiksmingumas atkryčio profilaktikai manijos, depresijos ir mišrių nuotaikos sutrikimų epizodų patyrusiems pacientams, parodė, kad kvetiapinas yra pranašesnis už placebą vertinant pagal laikotarpio iki bet kurio nuotaikos sutrikimo (manijos, depresijos, mišraus), susijusio su I tipo bipoliniu sutrikimu, atkryčio pailgėjimą. Nuotaikos sutrikimo reiškinių pasireiškė 91 (22,5 %) kvetiapino grupės, 208 (51,5 %) placebo grupės ir 95 (26,1 %) ličio grupės pacientų. Palyginus pacientų, kuriems buvo veiksmingas kvetiapinas, tolesnio gydymo duomenis nebuvo nustatyta, kad kvetiapino pakeitimas ličiu pailgintų laikotarpį iki nuotaikos reiškinio atsinaujinimo.</w:t>
      </w:r>
    </w:p>
    <w:p w14:paraId="33AE61A6"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p>
    <w:p w14:paraId="43E4EBE8"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Klinikiniais tyrimais įrodytas du kartus per parą vartojamo kvetiapino veiksmingumas gydant šizofreniją ir manijos epizodus, nors farmakokinetinis pusinės eliminacijos laikas yra maždaug 7 valandos. Gautus duomenis patvirtino pozitronų emisijos tomografijos (PET) tyrimo duomenys, kad 5HT</w:t>
      </w:r>
      <w:r w:rsidRPr="00A840FC">
        <w:rPr>
          <w:rFonts w:ascii="Times New Roman" w:eastAsia="Times New Roman" w:hAnsi="Times New Roman" w:cs="Times New Roman"/>
          <w:vertAlign w:val="subscript"/>
          <w:lang w:val="lt-LT"/>
        </w:rPr>
        <w:t>2</w:t>
      </w:r>
      <w:r w:rsidRPr="00A840FC">
        <w:rPr>
          <w:rFonts w:ascii="Times New Roman" w:eastAsia="Times New Roman" w:hAnsi="Times New Roman" w:cs="Times New Roman"/>
          <w:lang w:val="lt-LT"/>
        </w:rPr>
        <w:t xml:space="preserve"> ir D</w:t>
      </w:r>
      <w:r w:rsidRPr="00A840FC">
        <w:rPr>
          <w:rFonts w:ascii="Times New Roman" w:eastAsia="Times New Roman" w:hAnsi="Times New Roman" w:cs="Times New Roman"/>
          <w:vertAlign w:val="subscript"/>
          <w:lang w:val="lt-LT"/>
        </w:rPr>
        <w:t>2</w:t>
      </w:r>
      <w:r w:rsidRPr="00A840FC">
        <w:rPr>
          <w:rFonts w:ascii="Times New Roman" w:eastAsia="Times New Roman" w:hAnsi="Times New Roman" w:cs="Times New Roman"/>
          <w:lang w:val="lt-LT"/>
        </w:rPr>
        <w:t xml:space="preserve"> receptoriai būna veikiami iki 12 valandų. Didesnės nei 800 mg paros dozės saugumas ir veiksmingumas netirti.</w:t>
      </w:r>
    </w:p>
    <w:p w14:paraId="403AEB83"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p>
    <w:p w14:paraId="2F69DE54" w14:textId="77777777" w:rsidR="00A840FC" w:rsidRPr="00A840FC" w:rsidRDefault="00A840FC" w:rsidP="00A840FC">
      <w:pPr>
        <w:spacing w:after="0" w:line="240" w:lineRule="auto"/>
        <w:rPr>
          <w:rFonts w:ascii="Times New Roman" w:eastAsia="Calibri" w:hAnsi="Times New Roman" w:cs="Times New Roman"/>
          <w:u w:val="single"/>
          <w:lang w:val="lt-LT"/>
        </w:rPr>
      </w:pPr>
      <w:r w:rsidRPr="00A840FC">
        <w:rPr>
          <w:rFonts w:ascii="Times New Roman" w:eastAsia="Calibri" w:hAnsi="Times New Roman" w:cs="Times New Roman"/>
          <w:u w:val="single"/>
          <w:lang w:val="lt-LT"/>
        </w:rPr>
        <w:t>Klinikinis saugumas</w:t>
      </w:r>
    </w:p>
    <w:p w14:paraId="0B82F8E9" w14:textId="77777777" w:rsidR="00A840FC" w:rsidRPr="00A840FC" w:rsidRDefault="00A840FC" w:rsidP="00A840FC">
      <w:pPr>
        <w:spacing w:after="0" w:line="240" w:lineRule="auto"/>
        <w:rPr>
          <w:rFonts w:ascii="Times New Roman" w:eastAsia="Calibri" w:hAnsi="Times New Roman" w:cs="Times New Roman"/>
          <w:lang w:val="lt-LT"/>
        </w:rPr>
      </w:pPr>
    </w:p>
    <w:p w14:paraId="3A93C58E" w14:textId="77777777" w:rsidR="00A840FC" w:rsidRPr="00A840FC" w:rsidRDefault="00A840FC" w:rsidP="00A840FC">
      <w:pPr>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 xml:space="preserve">Trumpalaikio placebu kontroliuojamo šizofrenija ir bipoliniu sutrikimu sergančiųjų klinikinio tyrimo metu bendras ekstrapiramidinių simptomų dažnumas buvo panašus į dažnumą vartojant placebą (šizofrenija: 7,8 % vartojant kvetiapiną ir 8,0 % vartojant placebą; bipolinio sutrikimo manijos epizodas: 11,2 % vartojant kvetiapiną ir 11,4 % vartojant placebą). Ekstrapiramidinių simptomų dažnumas nustatytas didesnis vartojant kvetiapino, palyginti su placebu, atliekant trumpalaikį placebu kontroliuojamą sergančiųjų didžiąja depresija ir bipolinio sutrikimo depresijos epizodu klinikinį tyrimą. Trumpalaikio placebu kontroliuojamo bipolinio sutrikimo klinikinio tyrimo metu bendras ekstrapiramidinių simptomų dažnumas buvo 8,9 % vartojant kvetiapiną ir 3,8 % vartojant placebą. Trumpalaikio placebu kontroliuojamo didžiuoju depresiniu sutrikimo monoterapijos klinikinio tyrimo metu bendras ekstrapiramidinių simptomų dažnumas buvo 5,4 % vartojant kvetiapiną ir 3,2 % vartojant placebą. Trumpalaikio placebu kontroliuojamo senyvų pacientų, sergančių didžiuoju depresiniu sutrikimu, klinikinio tyrimo metu bendras ekstrapiramidinių simptomų dažnumas buvo 9,0 % vartojant kvetiapiną ir 2,3 % vartojant placebą. Tiek bipolinio sutrikimo, tiek didžiojo depresinio sutrikimo atvejais atskirų nepageidaujamo poveikio simptomų (pvz.: akatizijos, ekstrapiramidinių simptomų, tremoro, diskinezijos, distonijos, neramumo, nevalingų raumenų trūkčiojimų, psichomotorinio hiperaktyvumo ir raumenų sąstingio) dažnis bet kurioje gydymo grupėje neviršijo 4 %. </w:t>
      </w:r>
    </w:p>
    <w:p w14:paraId="520EBA4B" w14:textId="77777777" w:rsidR="00A840FC" w:rsidRPr="00A840FC" w:rsidRDefault="00A840FC" w:rsidP="00A840FC">
      <w:pPr>
        <w:spacing w:after="0" w:line="240" w:lineRule="auto"/>
        <w:rPr>
          <w:rFonts w:ascii="Times New Roman" w:eastAsia="Calibri" w:hAnsi="Times New Roman" w:cs="Times New Roman"/>
          <w:lang w:val="lt-LT"/>
        </w:rPr>
      </w:pPr>
    </w:p>
    <w:p w14:paraId="1A0DA3B1" w14:textId="77777777" w:rsidR="00A840FC" w:rsidRPr="00A840FC" w:rsidRDefault="00A840FC" w:rsidP="00A840FC">
      <w:pPr>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Trumpalaikio fiksuotos dozės (50 mg per parą – 800 mg per parą) placebu kontroliuojamų tyrimų (3-8 savaičių trukmės) tyrimų metu nustatytas vidutinis kūno svorio prieaugis kvetiapino vartojusiems pacientams buvo nuo 0,8 kg vartojant 50 mg per parą dozę iki 1,4 kg vartojant 600 mg per parą dozę (mažesnis svorio prieaugis vartojant 800 mg per parą dozę) palyginti su svorio prieaugiu 0,2 kg placebą vartojusiems pacientams. Kūno svorio prieaugis ≥7 % kvetiapinu gydytiems pacientams nustatytas 5,3 % atvejų vartojant 50 mg per parą dozę ir 15,5 % vartojant 400 mg per parą dozę (mažesnis prieaugis vartojant 600 mg ir 800 mg paros dozes) palyginti su 3,7 % placebu gydytų pacientų.</w:t>
      </w:r>
    </w:p>
    <w:p w14:paraId="184D8BFA" w14:textId="77777777" w:rsidR="00A840FC" w:rsidRPr="00A840FC" w:rsidRDefault="00A840FC" w:rsidP="00A840FC">
      <w:pPr>
        <w:spacing w:after="0" w:line="240" w:lineRule="auto"/>
        <w:rPr>
          <w:rFonts w:ascii="Times New Roman" w:eastAsia="Calibri" w:hAnsi="Times New Roman" w:cs="Times New Roman"/>
          <w:lang w:val="lt-LT"/>
        </w:rPr>
      </w:pPr>
    </w:p>
    <w:p w14:paraId="71FFC504" w14:textId="77777777" w:rsidR="00A840FC" w:rsidRPr="00A840FC" w:rsidRDefault="00A840FC" w:rsidP="00A840FC">
      <w:pPr>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 xml:space="preserve">6 savaičių atsitiktinių imčių ličio ir kvetiapino pailginto atpalaidavimo tablečių derinio bei placebo ir kvetiapino pailginto atpalaidavimo tablečių derinio poveikio suaugusiems pacientams, kuriems yra ūminė manija, palyginimo tyrimo metu nustatyta, kad vartojant kvetiapino pailginto atpalaidavimo tablečių ir ličio, nepageidaujamų reiškinių atsirado dažniau, nei vartojant kvetiapino pailginto </w:t>
      </w:r>
      <w:r w:rsidRPr="00A840FC">
        <w:rPr>
          <w:rFonts w:ascii="Times New Roman" w:eastAsia="Calibri" w:hAnsi="Times New Roman" w:cs="Times New Roman"/>
          <w:lang w:val="lt-LT"/>
        </w:rPr>
        <w:lastRenderedPageBreak/>
        <w:t>atpalaidavimo tablečių ir placebo (atitinkamai 63 % ir 48 % pacientų). Saugumo rezultatai rodo, kad ličio papildomai vartojusiųjų grupėje ekstrapiramidinių reiškinių atsirado dažniau (16,8 % pacientų), palyginti su 6,6 % papildomai placebo vartojusių pacientų; dažniausiai pasireiškė tremoras (15,6 % papildomai ličio ir 4,9 % papildomai placebo vartojusių pacientų). Somnolencija dažniau pasireiškė kvetiapino pailginto atpalaidavimo tablečių ir papildomai ličių vartojusiųjų grupėje (12,7 %), palyginti su vartojusiais kvetiapino pailginto atpalaidavimo tablečių ir papildomai placebo (5,5 %). Be to, kūno svoris gydymo pabaigoje padidėjo (≥7 %) didesnei procentinei daliai pacientų, papildomai vartojusių ličio (8,0 %), palyginti su papildomai placebo vartojusiais pacientais (4,7 %).</w:t>
      </w:r>
    </w:p>
    <w:p w14:paraId="7C362A6D" w14:textId="77777777" w:rsidR="00A840FC" w:rsidRPr="00A840FC" w:rsidRDefault="00A840FC" w:rsidP="00A840FC">
      <w:pPr>
        <w:spacing w:after="0" w:line="240" w:lineRule="auto"/>
        <w:rPr>
          <w:rFonts w:ascii="Times New Roman" w:eastAsia="Calibri" w:hAnsi="Times New Roman" w:cs="Times New Roman"/>
          <w:lang w:val="lt-LT"/>
        </w:rPr>
      </w:pPr>
    </w:p>
    <w:p w14:paraId="4506A117" w14:textId="77777777" w:rsidR="00A840FC" w:rsidRPr="00A840FC" w:rsidRDefault="00A840FC" w:rsidP="00A840FC">
      <w:pPr>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Ilgalaikio ligos atkryčio profilaktikos klinikinio tyrimo atviros fazės (trukmė 4–36 savaitės) metu pacientai buvo gydomi kvetiapinu, po to sekė atsitiktinis vartojimo nutraukimo periodas, kurio metu pacientai vartojo kvetiapiną arba placebą. Atviros fazės laikotarpiu kvetiapiną vartojusių pacientų kūno svoris vidutiniškai padidėjo 2,56 kg, 48-tą tyrimo savaitę vidutinis kūno svorio prieaugis buvo 3,22 kg palyginti su pradiniu. Placebą vartojusių pacientų kūno svoris vidutiniškai padidėjo 2,39 kg, 48-tą tyrimo savaitę vidutinis kūno svorio prieaugis buvo 0,89 kg palyginti su pradiniu. Atlikti placebu kontroliuojami tyrimai, kuriuose dalyvavo senyvi su demencija susijusia psichoze sergantys pacientai. Nepageidaujamų širdies ir kraujagyslių sistemos reiškinių dažnis per 100 paciento metų vartojant kvetiapiną nebuvo didesnis negu vartojant placebą.</w:t>
      </w:r>
    </w:p>
    <w:p w14:paraId="2A5ED52F" w14:textId="77777777" w:rsidR="00A840FC" w:rsidRPr="00A840FC" w:rsidRDefault="00A840FC" w:rsidP="00A840FC">
      <w:pPr>
        <w:tabs>
          <w:tab w:val="left" w:pos="0"/>
          <w:tab w:val="left" w:pos="8496"/>
        </w:tabs>
        <w:suppressAutoHyphens/>
        <w:spacing w:after="0" w:line="240" w:lineRule="auto"/>
        <w:rPr>
          <w:rFonts w:ascii="Times New Roman" w:eastAsia="Times New Roman" w:hAnsi="Times New Roman" w:cs="Times New Roman"/>
          <w:lang w:val="lt-LT"/>
        </w:rPr>
      </w:pPr>
    </w:p>
    <w:p w14:paraId="13254026" w14:textId="77777777" w:rsidR="00A840FC" w:rsidRPr="00A840FC" w:rsidRDefault="00A840FC" w:rsidP="00A840FC">
      <w:pPr>
        <w:tabs>
          <w:tab w:val="left" w:pos="0"/>
          <w:tab w:val="left" w:pos="8496"/>
        </w:tabs>
        <w:suppressAutoHyphen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Visų trumpų placebu kontroliuotų monoterapijos tyrimų metu pacientams, kurių pradinis neutrofilų kiekis buvo ≥1,5 x 10</w:t>
      </w:r>
      <w:r w:rsidRPr="00A840FC">
        <w:rPr>
          <w:rFonts w:ascii="Times New Roman" w:eastAsia="Times New Roman" w:hAnsi="Times New Roman" w:cs="Times New Roman"/>
          <w:vertAlign w:val="superscript"/>
          <w:lang w:val="lt-LT"/>
        </w:rPr>
        <w:t>9</w:t>
      </w:r>
      <w:r w:rsidRPr="00A840FC">
        <w:rPr>
          <w:rFonts w:ascii="Times New Roman" w:eastAsia="Times New Roman" w:hAnsi="Times New Roman" w:cs="Times New Roman"/>
          <w:lang w:val="lt-LT"/>
        </w:rPr>
        <w:t>/l, bent vieno neutrofilų kiekio sumažėjimo iki &lt;1,5 x 10</w:t>
      </w:r>
      <w:r w:rsidRPr="00A840FC">
        <w:rPr>
          <w:rFonts w:ascii="Times New Roman" w:eastAsia="Times New Roman" w:hAnsi="Times New Roman" w:cs="Times New Roman"/>
          <w:vertAlign w:val="superscript"/>
          <w:lang w:val="lt-LT"/>
        </w:rPr>
        <w:t>9</w:t>
      </w:r>
      <w:r w:rsidRPr="00A840FC">
        <w:rPr>
          <w:rFonts w:ascii="Times New Roman" w:eastAsia="Times New Roman" w:hAnsi="Times New Roman" w:cs="Times New Roman"/>
          <w:lang w:val="lt-LT"/>
        </w:rPr>
        <w:t>/l dažnis buvo 1,9 % kvetiapino vartojusių pacientų grupėje ir 1,5 % placebo vartojusių pacientų grupėje. Pokyčio, kai neutrofilų kiekis tapo&gt;0,5-&lt;1,0 x 10</w:t>
      </w:r>
      <w:r w:rsidRPr="00A840FC">
        <w:rPr>
          <w:rFonts w:ascii="Times New Roman" w:eastAsia="Times New Roman" w:hAnsi="Times New Roman" w:cs="Times New Roman"/>
          <w:vertAlign w:val="superscript"/>
          <w:lang w:val="lt-LT"/>
        </w:rPr>
        <w:t>9</w:t>
      </w:r>
      <w:r w:rsidRPr="00A840FC">
        <w:rPr>
          <w:rFonts w:ascii="Times New Roman" w:eastAsia="Times New Roman" w:hAnsi="Times New Roman" w:cs="Times New Roman"/>
          <w:lang w:val="lt-LT"/>
        </w:rPr>
        <w:t>/, dažnis ir kvetiapino, ir placebo vartojusių pacientų grupėje buvo toks pats (0,2 %). Visų klinikinių tyrimų (placebu kontroliuotų, atvirų, su lyginamąja aktyvaus preparato vartojimo grupe) metu pacientams, kurių pradinis neutrofilų kiekis buvo ≥1,5 x 10</w:t>
      </w:r>
      <w:r w:rsidRPr="00A840FC">
        <w:rPr>
          <w:rFonts w:ascii="Times New Roman" w:eastAsia="Times New Roman" w:hAnsi="Times New Roman" w:cs="Times New Roman"/>
          <w:vertAlign w:val="superscript"/>
          <w:lang w:val="lt-LT"/>
        </w:rPr>
        <w:t>9</w:t>
      </w:r>
      <w:r w:rsidRPr="00A840FC">
        <w:rPr>
          <w:rFonts w:ascii="Times New Roman" w:eastAsia="Times New Roman" w:hAnsi="Times New Roman" w:cs="Times New Roman"/>
          <w:lang w:val="lt-LT"/>
        </w:rPr>
        <w:t>/l, bent vieno neutrofilų kiekio sumažėjimo iki &lt;1,5 x 10</w:t>
      </w:r>
      <w:r w:rsidRPr="00A840FC">
        <w:rPr>
          <w:rFonts w:ascii="Times New Roman" w:eastAsia="Times New Roman" w:hAnsi="Times New Roman" w:cs="Times New Roman"/>
          <w:vertAlign w:val="superscript"/>
          <w:lang w:val="lt-LT"/>
        </w:rPr>
        <w:t>9</w:t>
      </w:r>
      <w:r w:rsidRPr="00A840FC">
        <w:rPr>
          <w:rFonts w:ascii="Times New Roman" w:eastAsia="Times New Roman" w:hAnsi="Times New Roman" w:cs="Times New Roman"/>
          <w:lang w:val="lt-LT"/>
        </w:rPr>
        <w:t>/l dažnis kvetiapino vartojusių pacientų grupėse buvo 2,9 %, o pokyčio, kai neutrofilų kiekis tapo&gt;0,5</w:t>
      </w:r>
      <w:r w:rsidRPr="00A840FC">
        <w:rPr>
          <w:rFonts w:ascii="Times New Roman" w:eastAsia="Times New Roman" w:hAnsi="Times New Roman" w:cs="Times New Roman"/>
          <w:lang w:val="lt-LT"/>
        </w:rPr>
        <w:softHyphen/>
        <w:t>&lt;1,0 x 10</w:t>
      </w:r>
      <w:r w:rsidRPr="00A840FC">
        <w:rPr>
          <w:rFonts w:ascii="Times New Roman" w:eastAsia="Times New Roman" w:hAnsi="Times New Roman" w:cs="Times New Roman"/>
          <w:vertAlign w:val="superscript"/>
          <w:lang w:val="lt-LT"/>
        </w:rPr>
        <w:t>9</w:t>
      </w:r>
      <w:r w:rsidRPr="00A840FC">
        <w:rPr>
          <w:rFonts w:ascii="Times New Roman" w:eastAsia="Times New Roman" w:hAnsi="Times New Roman" w:cs="Times New Roman"/>
          <w:lang w:val="lt-LT"/>
        </w:rPr>
        <w:t>/l–0,21 %.</w:t>
      </w:r>
    </w:p>
    <w:p w14:paraId="171A9DA4" w14:textId="77777777" w:rsidR="00A840FC" w:rsidRPr="00A840FC" w:rsidRDefault="00A840FC" w:rsidP="00A840FC">
      <w:pPr>
        <w:tabs>
          <w:tab w:val="left" w:pos="0"/>
          <w:tab w:val="left" w:pos="8496"/>
        </w:tabs>
        <w:suppressAutoHyphen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Gydymas kvetiapinu buvo susijęs su nuo dozės priklausomu skydliaukės hormonų koncentracijos sumažėjimu. TSH koncentracijos pokyčio dažnis buvo 3,2 % vartojant kvetiapino ir 2,7 % vartojant placebo. Reciprokinis potencialiai kliniškai reikšmingas T</w:t>
      </w:r>
      <w:r w:rsidRPr="00A840FC">
        <w:rPr>
          <w:rFonts w:ascii="Times New Roman" w:eastAsia="Times New Roman" w:hAnsi="Times New Roman" w:cs="Times New Roman"/>
          <w:vertAlign w:val="subscript"/>
          <w:lang w:val="lt-LT"/>
        </w:rPr>
        <w:t>3</w:t>
      </w:r>
      <w:r w:rsidRPr="00A840FC">
        <w:rPr>
          <w:rFonts w:ascii="Times New Roman" w:eastAsia="Times New Roman" w:hAnsi="Times New Roman" w:cs="Times New Roman"/>
          <w:lang w:val="lt-LT"/>
        </w:rPr>
        <w:t xml:space="preserve"> ar T</w:t>
      </w:r>
      <w:r w:rsidRPr="00A840FC">
        <w:rPr>
          <w:rFonts w:ascii="Times New Roman" w:eastAsia="Times New Roman" w:hAnsi="Times New Roman" w:cs="Times New Roman"/>
          <w:vertAlign w:val="subscript"/>
          <w:lang w:val="lt-LT"/>
        </w:rPr>
        <w:t>4</w:t>
      </w:r>
      <w:r w:rsidRPr="00A840FC">
        <w:rPr>
          <w:rFonts w:ascii="Times New Roman" w:eastAsia="Times New Roman" w:hAnsi="Times New Roman" w:cs="Times New Roman"/>
          <w:lang w:val="lt-LT"/>
        </w:rPr>
        <w:t xml:space="preserve"> ir TSH koncentracijos pokytis šių tyrimų metu atsirado retai, o pasireiškę skydliaukės hormonų koncentracijos pokyčiai nebuvo susiję su klinikiniais simptomais pasireiškiančiu hipotiroidizmu.</w:t>
      </w:r>
    </w:p>
    <w:p w14:paraId="731E5A04" w14:textId="77777777" w:rsidR="00A840FC" w:rsidRPr="00A840FC" w:rsidRDefault="00A840FC" w:rsidP="00A840FC">
      <w:pPr>
        <w:tabs>
          <w:tab w:val="left" w:pos="0"/>
          <w:tab w:val="left" w:pos="8496"/>
        </w:tabs>
        <w:suppressAutoHyphen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Bendrojo ir laisvojo T</w:t>
      </w:r>
      <w:r w:rsidRPr="00A840FC">
        <w:rPr>
          <w:rFonts w:ascii="Times New Roman" w:eastAsia="Times New Roman" w:hAnsi="Times New Roman" w:cs="Times New Roman"/>
          <w:vertAlign w:val="subscript"/>
          <w:lang w:val="lt-LT"/>
        </w:rPr>
        <w:t>4</w:t>
      </w:r>
      <w:r w:rsidRPr="00A840FC">
        <w:rPr>
          <w:rFonts w:ascii="Times New Roman" w:eastAsia="Times New Roman" w:hAnsi="Times New Roman" w:cs="Times New Roman"/>
          <w:lang w:val="lt-LT"/>
        </w:rPr>
        <w:t xml:space="preserve"> koncentracija labiausiai sumažėjo pirmosiomis šešiomis gydymo kvetiapinu savaitėmis ir ilgalaikio gydymo metu daugiau nebemažėjo. Maždaug 2/3 visų atvejų gydymo kvetiapinu nutraukimas buvo susijęs su poveikio bendrojo ir laisvojo T</w:t>
      </w:r>
      <w:r w:rsidRPr="00A840FC">
        <w:rPr>
          <w:rFonts w:ascii="Times New Roman" w:eastAsia="Times New Roman" w:hAnsi="Times New Roman" w:cs="Times New Roman"/>
          <w:vertAlign w:val="subscript"/>
          <w:lang w:val="lt-LT"/>
        </w:rPr>
        <w:t>4</w:t>
      </w:r>
      <w:r w:rsidRPr="00A840FC">
        <w:rPr>
          <w:rFonts w:ascii="Times New Roman" w:eastAsia="Times New Roman" w:hAnsi="Times New Roman" w:cs="Times New Roman"/>
          <w:lang w:val="lt-LT"/>
        </w:rPr>
        <w:t xml:space="preserve"> koncentracijai išnykimu ir tai nuo gydymo trukmės nepriklausė.</w:t>
      </w:r>
    </w:p>
    <w:p w14:paraId="6E70498E" w14:textId="77777777" w:rsidR="00A840FC" w:rsidRPr="00A840FC" w:rsidRDefault="00A840FC" w:rsidP="00A840FC">
      <w:pPr>
        <w:spacing w:after="0" w:line="240" w:lineRule="auto"/>
        <w:rPr>
          <w:rFonts w:ascii="Times New Roman" w:eastAsia="Calibri" w:hAnsi="Times New Roman" w:cs="Times New Roman"/>
          <w:u w:val="single"/>
          <w:lang w:val="lt-LT"/>
        </w:rPr>
      </w:pPr>
    </w:p>
    <w:p w14:paraId="64C2C166" w14:textId="77777777" w:rsidR="00A840FC" w:rsidRPr="00A840FC" w:rsidRDefault="00A840FC" w:rsidP="00A840FC">
      <w:pPr>
        <w:spacing w:after="0" w:line="240" w:lineRule="auto"/>
        <w:rPr>
          <w:rFonts w:ascii="Times New Roman" w:eastAsia="Calibri" w:hAnsi="Times New Roman" w:cs="Times New Roman"/>
          <w:u w:val="single"/>
          <w:lang w:val="lt-LT"/>
        </w:rPr>
      </w:pPr>
      <w:r w:rsidRPr="00A840FC">
        <w:rPr>
          <w:rFonts w:ascii="Times New Roman" w:eastAsia="Calibri" w:hAnsi="Times New Roman" w:cs="Times New Roman"/>
          <w:u w:val="single"/>
          <w:lang w:val="lt-LT"/>
        </w:rPr>
        <w:t>Katarakta arba lęšiuko drumstis</w:t>
      </w:r>
    </w:p>
    <w:p w14:paraId="1E8246CA" w14:textId="77777777" w:rsidR="00A840FC" w:rsidRPr="00A840FC" w:rsidRDefault="00A840FC" w:rsidP="00A840FC">
      <w:pPr>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Klinikinio tyrimo metu lyginant potencialų kataraktą sukeliantį kvetiapino (200–800 mg per parą) ir risperidono (2–8 mg per parą) poveikį šizofrenija ar šizoafektiniu sutrikimu sergantiems pacientams nustatyta, kad bent 21 mėn. kvetiapiną vartojusių pacientų, kurių lęšiuko drumsties laipsnis padidėjo, dalis (4 %) nebuvo didesnė negu tiek pat laiko vartojusių risperidono (10 %).</w:t>
      </w:r>
    </w:p>
    <w:p w14:paraId="06E279F8" w14:textId="77777777" w:rsidR="00A840FC" w:rsidRPr="00A840FC" w:rsidRDefault="00A840FC" w:rsidP="00A840FC">
      <w:pPr>
        <w:tabs>
          <w:tab w:val="left" w:pos="567"/>
        </w:tabs>
        <w:spacing w:after="0" w:line="240" w:lineRule="auto"/>
        <w:rPr>
          <w:rFonts w:ascii="Times New Roman" w:eastAsia="Calibri" w:hAnsi="Times New Roman" w:cs="Times New Roman"/>
          <w:b/>
          <w:lang w:val="lt-LT"/>
        </w:rPr>
      </w:pPr>
    </w:p>
    <w:p w14:paraId="396DD69E" w14:textId="77777777" w:rsidR="00A840FC" w:rsidRPr="00A840FC" w:rsidRDefault="00A840FC" w:rsidP="00A840FC">
      <w:pPr>
        <w:tabs>
          <w:tab w:val="left" w:pos="567"/>
        </w:tabs>
        <w:spacing w:after="0" w:line="240" w:lineRule="auto"/>
        <w:rPr>
          <w:rFonts w:ascii="Times New Roman" w:eastAsia="Calibri" w:hAnsi="Times New Roman" w:cs="Times New Roman"/>
          <w:b/>
          <w:u w:val="single"/>
          <w:lang w:val="lt-LT"/>
        </w:rPr>
      </w:pPr>
      <w:r w:rsidRPr="00A840FC">
        <w:rPr>
          <w:rFonts w:ascii="Times New Roman" w:eastAsia="Calibri" w:hAnsi="Times New Roman" w:cs="Times New Roman"/>
          <w:b/>
          <w:u w:val="single"/>
          <w:lang w:val="lt-LT"/>
        </w:rPr>
        <w:t>Vaikų populiacija</w:t>
      </w:r>
    </w:p>
    <w:p w14:paraId="45CF35BA" w14:textId="77777777" w:rsidR="00A840FC" w:rsidRPr="00A840FC" w:rsidRDefault="00A840FC" w:rsidP="00A840FC">
      <w:pPr>
        <w:tabs>
          <w:tab w:val="left" w:pos="567"/>
        </w:tabs>
        <w:spacing w:after="0" w:line="240" w:lineRule="auto"/>
        <w:rPr>
          <w:rFonts w:ascii="Times New Roman" w:eastAsia="Calibri" w:hAnsi="Times New Roman" w:cs="Times New Roman"/>
          <w:b/>
          <w:u w:val="single"/>
          <w:lang w:val="lt-LT"/>
        </w:rPr>
      </w:pPr>
    </w:p>
    <w:p w14:paraId="394D019A" w14:textId="77777777" w:rsidR="00A840FC" w:rsidRPr="00A840FC" w:rsidRDefault="00A840FC" w:rsidP="00A840FC">
      <w:pPr>
        <w:tabs>
          <w:tab w:val="left" w:pos="567"/>
        </w:tabs>
        <w:spacing w:after="0" w:line="240" w:lineRule="auto"/>
        <w:rPr>
          <w:rFonts w:ascii="Times New Roman" w:eastAsia="Calibri" w:hAnsi="Times New Roman" w:cs="Times New Roman"/>
          <w:u w:val="single"/>
          <w:lang w:val="lt-LT"/>
        </w:rPr>
      </w:pPr>
      <w:r w:rsidRPr="00A840FC">
        <w:rPr>
          <w:rFonts w:ascii="Times New Roman" w:eastAsia="Calibri" w:hAnsi="Times New Roman" w:cs="Times New Roman"/>
          <w:u w:val="single"/>
          <w:lang w:val="lt-LT"/>
        </w:rPr>
        <w:t>Klinikinis veiksmingumas</w:t>
      </w:r>
    </w:p>
    <w:p w14:paraId="5A435366"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Kvetiapino veiksmingumas ir saugumas manijai gydyti tirti atliekant 3 savaičių trukmės placebu kontroliuojamą tyrimą (n = 284, dalyvavo 10</w:t>
      </w:r>
      <w:r w:rsidRPr="00A840FC">
        <w:rPr>
          <w:rFonts w:ascii="Times New Roman" w:eastAsia="Arial Unicode MS" w:hAnsi="Times New Roman" w:cs="Times New Roman"/>
          <w:lang w:val="lt-LT"/>
        </w:rPr>
        <w:noBreakHyphen/>
        <w:t>17 metų pacientai iš JAV). Apie 45 % tyrime dalyvavusių pacientų taip pat buvo diagnozuotas dėmesio trūkumo hiperaktyvumo sutrikimas. Be to, atliktas 6 savaičių trukmės placebu kontroliuojamas šizofrenijos gydymo tyrimas (n = 222, dalyvavo 13</w:t>
      </w:r>
      <w:r w:rsidRPr="00A840FC">
        <w:rPr>
          <w:rFonts w:ascii="Times New Roman" w:eastAsia="Arial Unicode MS" w:hAnsi="Times New Roman" w:cs="Times New Roman"/>
          <w:lang w:val="lt-LT"/>
        </w:rPr>
        <w:noBreakHyphen/>
        <w:t>17 metų pacientai). Į abu tyrimus nebuvo įtraukta pacientų, kuriems anksčiau buvo nustatytas kvetiapino neveiksmingumas. Gydymas kvetiapinu buvo pradedamas nuo 50 mg per parą, antrą dieną dozė buvo didinama iki 100 mg per parą, vėliau – iki tikslinės (manija sergantiems pacientams – 400</w:t>
      </w:r>
      <w:r w:rsidRPr="00A840FC">
        <w:rPr>
          <w:rFonts w:ascii="Times New Roman" w:eastAsia="Arial Unicode MS" w:hAnsi="Times New Roman" w:cs="Times New Roman"/>
          <w:lang w:val="lt-LT"/>
        </w:rPr>
        <w:noBreakHyphen/>
        <w:t>600 mg, šizofrenija – 400</w:t>
      </w:r>
      <w:r w:rsidRPr="00A840FC">
        <w:rPr>
          <w:rFonts w:ascii="Times New Roman" w:eastAsia="Arial Unicode MS" w:hAnsi="Times New Roman" w:cs="Times New Roman"/>
          <w:lang w:val="lt-LT"/>
        </w:rPr>
        <w:noBreakHyphen/>
        <w:t>800 mg per parą) pridedant po 100 mg per parą, o paros dozę padalijant į 2</w:t>
      </w:r>
      <w:r w:rsidRPr="00A840FC">
        <w:rPr>
          <w:rFonts w:ascii="Times New Roman" w:eastAsia="Arial Unicode MS" w:hAnsi="Times New Roman" w:cs="Times New Roman"/>
          <w:lang w:val="lt-LT"/>
        </w:rPr>
        <w:noBreakHyphen/>
        <w:t xml:space="preserve">3 vienkartines. </w:t>
      </w:r>
    </w:p>
    <w:p w14:paraId="63E363D1" w14:textId="77777777" w:rsidR="00A840FC" w:rsidRPr="00A840FC" w:rsidRDefault="00A840FC" w:rsidP="00A840FC">
      <w:pPr>
        <w:spacing w:after="0" w:line="240" w:lineRule="auto"/>
        <w:rPr>
          <w:rFonts w:ascii="Times New Roman" w:eastAsia="Arial Unicode MS" w:hAnsi="Times New Roman" w:cs="Times New Roman"/>
          <w:lang w:val="lt-LT"/>
        </w:rPr>
      </w:pPr>
    </w:p>
    <w:p w14:paraId="25793B1E" w14:textId="77777777" w:rsidR="00A840FC" w:rsidRPr="00A840FC" w:rsidRDefault="00A840FC" w:rsidP="00A840FC">
      <w:pPr>
        <w:keepNext/>
        <w:keepLines/>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lastRenderedPageBreak/>
        <w:t>Manijos tyrimo metu YMRS (</w:t>
      </w:r>
      <w:r w:rsidRPr="00A840FC">
        <w:rPr>
          <w:rFonts w:ascii="Times New Roman" w:eastAsia="Arial Unicode MS" w:hAnsi="Times New Roman" w:cs="Times New Roman"/>
          <w:i/>
          <w:lang w:val="lt-LT"/>
        </w:rPr>
        <w:t>Young Mania Rating Scale</w:t>
      </w:r>
      <w:r w:rsidRPr="00A840FC">
        <w:rPr>
          <w:rFonts w:ascii="Times New Roman" w:eastAsia="Arial Unicode MS" w:hAnsi="Times New Roman" w:cs="Times New Roman"/>
          <w:lang w:val="lt-LT"/>
        </w:rPr>
        <w:t xml:space="preserve"> – jauno amžiaus pacientų manijos vertinimo skalė) bendrojo rodiklio vidutinis pokytis (aktyvus gydymas minus placebas) palyginus su buvusiu iki gydymo, apskaičiuotas mažiausių kvadratų metodu, buvo minus 5,21 vartojant 400 mg ir minus 6,56 – vartojant 600 mg kvetiapino per parą. Reakcija (YMRS pagerėjimas ≥ 50 %) pasireiškė 64 % 400 mg, 58 % 600 mg kvetiapino per parą ir 37 % placebą vartojusių pacientų. </w:t>
      </w:r>
    </w:p>
    <w:p w14:paraId="36DDC0D8" w14:textId="77777777" w:rsidR="00A840FC" w:rsidRPr="00A840FC" w:rsidRDefault="00A840FC" w:rsidP="00A840FC">
      <w:pPr>
        <w:keepNext/>
        <w:keepLines/>
        <w:spacing w:after="0" w:line="240" w:lineRule="auto"/>
        <w:rPr>
          <w:rFonts w:ascii="Times New Roman" w:eastAsia="Arial Unicode MS" w:hAnsi="Times New Roman" w:cs="Times New Roman"/>
          <w:lang w:val="lt-LT"/>
        </w:rPr>
      </w:pPr>
    </w:p>
    <w:p w14:paraId="743BFB3A"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Šizofrenijos tyrimo metu PANSS (</w:t>
      </w:r>
      <w:r w:rsidRPr="00A840FC">
        <w:rPr>
          <w:rFonts w:ascii="Times New Roman" w:eastAsia="Arial Unicode MS" w:hAnsi="Times New Roman" w:cs="Times New Roman"/>
          <w:i/>
          <w:lang w:val="lt-LT"/>
        </w:rPr>
        <w:t>Positive and Negative Syndrome Scale</w:t>
      </w:r>
      <w:r w:rsidRPr="00A840FC">
        <w:rPr>
          <w:rFonts w:ascii="Times New Roman" w:eastAsia="Arial Unicode MS" w:hAnsi="Times New Roman" w:cs="Times New Roman"/>
          <w:lang w:val="lt-LT"/>
        </w:rPr>
        <w:t xml:space="preserve"> – pozityvių ir negatyvių sindromų skalė) bendrojo rodiklio vidutinis pokytis (aktyvus gydymas minus placebas) palyginus su buvusiu iki gydymo, apskaičiuotas mažiausių kvadratų metodu, buvo minus 8,16 vartojant 400 mg ir minus 9,29 – vartojant 800 mg kvetiapino per parą. Nei maža (400 mg per parą), nei didelė (800 mg per parą) kvetiapino dozė nesukėlė geresnio negu placebas poveikio vertinant pagal procentą pacientų, kuriems pasireiškė reakcija, apibūdinama kaip PANSS bendrojo rodiklio sumažėjimas ≥ 30 %. Vis dėlto pažymėtina, kad reakcija nustatyta mažesniam didesnės dozės manijos ir šizofrenijos gydymo grupių pacientų skaičiui. </w:t>
      </w:r>
    </w:p>
    <w:p w14:paraId="3C21DB54" w14:textId="77777777" w:rsidR="00A840FC" w:rsidRPr="00A840FC" w:rsidRDefault="00A840FC" w:rsidP="00A840FC">
      <w:pPr>
        <w:spacing w:after="0" w:line="240" w:lineRule="auto"/>
        <w:rPr>
          <w:rFonts w:ascii="Times New Roman" w:eastAsia="Arial Unicode MS" w:hAnsi="Times New Roman" w:cs="Times New Roman"/>
          <w:lang w:val="lt-LT"/>
        </w:rPr>
      </w:pPr>
    </w:p>
    <w:p w14:paraId="79E7F7B5"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Trečiojo trumpalaikio placebu kontroliuoto monoterapijos kvetiapino pailginto atpalaidavimo tabletėmis tyrimo, kuriame dalyvavo bipoline depresija sergantys vaikai ir paaugliai (10</w:t>
      </w:r>
      <w:r w:rsidRPr="00A840FC">
        <w:rPr>
          <w:rFonts w:ascii="Times New Roman" w:eastAsia="Arial Unicode MS" w:hAnsi="Times New Roman" w:cs="Times New Roman"/>
          <w:lang w:val="lt-LT"/>
        </w:rPr>
        <w:noBreakHyphen/>
        <w:t xml:space="preserve">17 metų), metu veiksmingumas nebuvo patvirtintas. </w:t>
      </w:r>
    </w:p>
    <w:p w14:paraId="5316E4EC" w14:textId="77777777" w:rsidR="00A840FC" w:rsidRPr="00A840FC" w:rsidRDefault="00A840FC" w:rsidP="00A840FC">
      <w:pPr>
        <w:spacing w:after="0" w:line="240" w:lineRule="auto"/>
        <w:rPr>
          <w:rFonts w:ascii="Times New Roman" w:eastAsia="Arial Unicode MS" w:hAnsi="Times New Roman" w:cs="Times New Roman"/>
          <w:lang w:val="lt-LT"/>
        </w:rPr>
      </w:pPr>
    </w:p>
    <w:p w14:paraId="3059097A"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 xml:space="preserve">Duomenų apie poveikio palaikymą ar atkryčio profilaktiką šios amžiaus grupės pacientams nėra. </w:t>
      </w:r>
    </w:p>
    <w:p w14:paraId="62CD5BB2" w14:textId="77777777" w:rsidR="00A840FC" w:rsidRPr="00A840FC" w:rsidRDefault="00A840FC" w:rsidP="00A840FC">
      <w:pPr>
        <w:spacing w:after="0" w:line="240" w:lineRule="auto"/>
        <w:rPr>
          <w:rFonts w:ascii="Times New Roman" w:eastAsia="Arial Unicode MS" w:hAnsi="Times New Roman" w:cs="Times New Roman"/>
          <w:lang w:val="lt-LT"/>
        </w:rPr>
      </w:pPr>
    </w:p>
    <w:p w14:paraId="7B43955A" w14:textId="77777777" w:rsidR="00A840FC" w:rsidRPr="00A840FC" w:rsidRDefault="00A840FC" w:rsidP="00A840FC">
      <w:pPr>
        <w:spacing w:after="0" w:line="240" w:lineRule="auto"/>
        <w:rPr>
          <w:rFonts w:ascii="Times New Roman" w:eastAsia="Arial Unicode MS" w:hAnsi="Times New Roman" w:cs="Times New Roman"/>
          <w:u w:val="single"/>
          <w:lang w:val="lt-LT"/>
        </w:rPr>
      </w:pPr>
      <w:r w:rsidRPr="00A840FC">
        <w:rPr>
          <w:rFonts w:ascii="Times New Roman" w:eastAsia="Arial Unicode MS" w:hAnsi="Times New Roman" w:cs="Times New Roman"/>
          <w:u w:val="single"/>
          <w:lang w:val="lt-LT"/>
        </w:rPr>
        <w:t>Klinikinis saugumas</w:t>
      </w:r>
    </w:p>
    <w:p w14:paraId="6AC587CB"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 xml:space="preserve">Trumpalaikių aukščiau aprašytų kvetiapino tyrimų, kuriuose dalyvavo vaikai ir paaugliai, metu ekstrapiramidinių sutrikimų dažnis aktyvaus gydymo grupėse, palyginti su placebo vartojusiųjų grupėmis, buvo atitinkamai 12,9 % ir 5,3 % šizofrenijos tyrimo metu, 3,6 % ir 1,1 % bipolinės manijos tyrimo metu bei 1,1 % ir 0 % bipolinės depresijos tyrimo metu. Kūno svorio padidėjimo ≥7 %, palyginti su pradiniu rodmeniu, dažnis aktyvaus gydymo grupėse, palyginti su placebo vartojusiųjų grupėmis, buvo atitinkamai 17 % ir 2,5 % šizofrenijos ir bipolinės manijos tyrimų metu bei 13,7 % ir 6,8 % bipolinės depresijos tyrimo metu. Su savižudybe susijusių reiškinių dažnis aktyvaus gydymo grupėse, palyginti su placebo vartojusiųjų grupėmis, buvo atitinkamai 1,4 % ir 1,3 % šizofrenijos tyrimo metu, 1,0 % ir 0 % bipolinės manijos tyrimo metu bei 1,1 % ir 0 % bipolinės depresijos tyrimo metu. Bipolinės depresijos tyrimo ilgalaikio stebėjimo po gydymo fazės metu dviem pacientams buvo du papildomi su savižudybe susiję reiškiniai; vienas iš pacientų tuo metu vartojo kvetiapino. </w:t>
      </w:r>
    </w:p>
    <w:p w14:paraId="36F75861" w14:textId="77777777" w:rsidR="00A840FC" w:rsidRPr="00A840FC" w:rsidRDefault="00A840FC" w:rsidP="00A840FC">
      <w:pPr>
        <w:spacing w:after="0" w:line="240" w:lineRule="auto"/>
        <w:rPr>
          <w:rFonts w:ascii="Times New Roman" w:eastAsia="Arial Unicode MS" w:hAnsi="Times New Roman" w:cs="Times New Roman"/>
          <w:lang w:val="lt-LT"/>
        </w:rPr>
      </w:pPr>
    </w:p>
    <w:p w14:paraId="4A064ECA" w14:textId="77777777" w:rsidR="00A840FC" w:rsidRPr="00A840FC" w:rsidRDefault="00A840FC" w:rsidP="00A840FC">
      <w:pPr>
        <w:spacing w:after="0" w:line="240" w:lineRule="auto"/>
        <w:rPr>
          <w:rFonts w:ascii="Times New Roman" w:eastAsia="Arial Unicode MS" w:hAnsi="Times New Roman" w:cs="Times New Roman"/>
          <w:u w:val="single"/>
          <w:lang w:val="lt-LT"/>
        </w:rPr>
      </w:pPr>
      <w:r w:rsidRPr="00A840FC">
        <w:rPr>
          <w:rFonts w:ascii="Times New Roman" w:eastAsia="Arial Unicode MS" w:hAnsi="Times New Roman" w:cs="Times New Roman"/>
          <w:u w:val="single"/>
          <w:lang w:val="lt-LT"/>
        </w:rPr>
        <w:t>Ilgalaikis saugumas</w:t>
      </w:r>
    </w:p>
    <w:p w14:paraId="6F097525"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Papildomų saugumo duomenų gauta 26 savaičių atviro ūminės fazės tyrimų pratęsimo metu (n=380, vartota nepastovi 400</w:t>
      </w:r>
      <w:r w:rsidRPr="00A840FC">
        <w:rPr>
          <w:rFonts w:ascii="Times New Roman" w:eastAsia="Arial Unicode MS" w:hAnsi="Times New Roman" w:cs="Times New Roman"/>
          <w:lang w:val="lt-LT"/>
        </w:rPr>
        <w:noBreakHyphen/>
        <w:t>800 mg kvetiapino paros dozė). Gauta pranešimų apie kraujospūdžio padidėjimo atvejus vaikams ir paaugliams, be to, apetito padidėjimas, ekstrapiramidiniai simptomai ir prolaktino kiekio padidėjimas serume vaikams ir paaugliams pasireiškė dažniau, palyginti su suaugusiais pacientais (žr. 4.4 ir 4.8 skyrius). Vertinant kūno svorio padidėjimą (rodmenį koreguojant pagal normalų kūno svorio didėjimą ilgesniu laikotarpiu), kliniškai reikšmingu pokyčiu buvo laikomas kūno masės indekso (KMI) padidėjimas nuo pradinio rodmens mažiausiai 0,5 standartinio nuokrypio; šį kriterijų atitiko18,3 % pacientų, kvetiapinu gydytų mažiausiai 26 savaites.</w:t>
      </w:r>
    </w:p>
    <w:p w14:paraId="58DFFD82" w14:textId="77777777" w:rsidR="00A840FC" w:rsidRPr="00A840FC" w:rsidRDefault="00A840FC" w:rsidP="00A840FC">
      <w:pPr>
        <w:spacing w:after="0" w:line="240" w:lineRule="auto"/>
        <w:rPr>
          <w:rFonts w:ascii="Times New Roman" w:eastAsia="Arial Unicode MS" w:hAnsi="Times New Roman" w:cs="Times New Roman"/>
          <w:lang w:val="lt-LT"/>
        </w:rPr>
      </w:pPr>
    </w:p>
    <w:p w14:paraId="240D41D0" w14:textId="77777777" w:rsidR="00A840FC" w:rsidRPr="00A840FC" w:rsidRDefault="00A840FC" w:rsidP="00A840F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8" w:name="_Toc129243113"/>
      <w:bookmarkStart w:id="39" w:name="_Toc129243238"/>
      <w:r w:rsidRPr="00A840FC">
        <w:rPr>
          <w:rFonts w:ascii="Times New Roman" w:eastAsia="Times New Roman" w:hAnsi="Times New Roman" w:cs="Times New Roman"/>
          <w:b/>
          <w:kern w:val="28"/>
          <w:lang w:val="lt-LT"/>
        </w:rPr>
        <w:t>5.2</w:t>
      </w:r>
      <w:r w:rsidRPr="00A840FC">
        <w:rPr>
          <w:rFonts w:ascii="Times New Roman" w:eastAsia="Times New Roman" w:hAnsi="Times New Roman" w:cs="Times New Roman"/>
          <w:b/>
          <w:kern w:val="28"/>
          <w:lang w:val="lt-LT"/>
        </w:rPr>
        <w:tab/>
        <w:t>Farmakokinetinės savybės</w:t>
      </w:r>
      <w:bookmarkEnd w:id="38"/>
      <w:bookmarkEnd w:id="39"/>
    </w:p>
    <w:p w14:paraId="2BA29D62" w14:textId="77777777" w:rsidR="00A840FC" w:rsidRPr="00A840FC" w:rsidRDefault="00A840FC" w:rsidP="00A840FC">
      <w:pPr>
        <w:spacing w:after="0" w:line="240" w:lineRule="auto"/>
        <w:rPr>
          <w:rFonts w:ascii="Times New Roman" w:eastAsia="Arial Unicode MS" w:hAnsi="Times New Roman" w:cs="Times New Roman"/>
          <w:lang w:val="lt-LT"/>
        </w:rPr>
      </w:pPr>
    </w:p>
    <w:p w14:paraId="187C83C2" w14:textId="77777777" w:rsidR="00A840FC" w:rsidRPr="00A840FC" w:rsidRDefault="00A840FC" w:rsidP="00A840FC">
      <w:pPr>
        <w:spacing w:after="0" w:line="240" w:lineRule="auto"/>
        <w:rPr>
          <w:rFonts w:ascii="Times New Roman" w:eastAsia="Calibri" w:hAnsi="Times New Roman" w:cs="Times New Roman"/>
          <w:u w:val="single"/>
          <w:lang w:val="lt-LT"/>
        </w:rPr>
      </w:pPr>
      <w:r w:rsidRPr="00A840FC">
        <w:rPr>
          <w:rFonts w:ascii="Times New Roman" w:eastAsia="Calibri" w:hAnsi="Times New Roman" w:cs="Times New Roman"/>
          <w:u w:val="single"/>
          <w:lang w:val="lt-LT"/>
        </w:rPr>
        <w:t>Absorbcija</w:t>
      </w:r>
    </w:p>
    <w:p w14:paraId="7BD76411"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Išgertas kvetiapinas gerai absorbuojamas ir smarkiai metabolizuojamas. </w:t>
      </w:r>
    </w:p>
    <w:p w14:paraId="1126E208" w14:textId="77777777" w:rsidR="00A840FC" w:rsidRPr="00A840FC" w:rsidRDefault="00A840FC" w:rsidP="00A840FC">
      <w:pPr>
        <w:spacing w:after="0" w:line="240" w:lineRule="auto"/>
        <w:rPr>
          <w:rFonts w:ascii="Times New Roman" w:eastAsia="Times New Roman" w:hAnsi="Times New Roman" w:cs="Times New Roman"/>
          <w:lang w:val="lt-LT"/>
        </w:rPr>
      </w:pPr>
    </w:p>
    <w:p w14:paraId="1BB9F824"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Maistas reikšmingos įtakos kvetiapino biologiniam prieinamumui neturi. Esant nuolatinei koncentracijai, didžiausia aktyvaus metabolito norkvetiapino koncentracija yra 35 % nustatytos kvetiapino koncentracijos. </w:t>
      </w:r>
    </w:p>
    <w:p w14:paraId="48714F80"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Patvirtintų dozių ribose kvetiapino ir norkvetiapino farmakokinetika yra linijinė. </w:t>
      </w:r>
    </w:p>
    <w:p w14:paraId="3E03B3D9" w14:textId="77777777" w:rsidR="00A840FC" w:rsidRPr="00A840FC" w:rsidRDefault="00A840FC" w:rsidP="00A840FC">
      <w:pPr>
        <w:spacing w:after="0" w:line="240" w:lineRule="auto"/>
        <w:rPr>
          <w:rFonts w:ascii="Times New Roman" w:eastAsia="Times New Roman" w:hAnsi="Times New Roman" w:cs="Times New Roman"/>
          <w:lang w:val="lt-LT"/>
        </w:rPr>
      </w:pPr>
    </w:p>
    <w:p w14:paraId="2F175736" w14:textId="77777777" w:rsidR="00A840FC" w:rsidRPr="00A840FC" w:rsidRDefault="00A840FC" w:rsidP="00A840FC">
      <w:pPr>
        <w:keepNext/>
        <w:keepLines/>
        <w:spacing w:after="0" w:line="240" w:lineRule="auto"/>
        <w:rPr>
          <w:rFonts w:ascii="Times New Roman" w:eastAsia="Calibri" w:hAnsi="Times New Roman" w:cs="Times New Roman"/>
          <w:u w:val="single"/>
          <w:lang w:val="lt-LT"/>
        </w:rPr>
      </w:pPr>
      <w:r w:rsidRPr="00A840FC">
        <w:rPr>
          <w:rFonts w:ascii="Times New Roman" w:eastAsia="Calibri" w:hAnsi="Times New Roman" w:cs="Times New Roman"/>
          <w:u w:val="single"/>
          <w:lang w:val="lt-LT"/>
        </w:rPr>
        <w:lastRenderedPageBreak/>
        <w:t>Pasiskirstymas</w:t>
      </w:r>
    </w:p>
    <w:p w14:paraId="2D79821E" w14:textId="77777777" w:rsidR="00A840FC" w:rsidRPr="00A840FC" w:rsidRDefault="00A840FC" w:rsidP="00A840FC">
      <w:pPr>
        <w:keepNext/>
        <w:keepLines/>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Maždaug 83 % kvetiapino būna prisijungę prie plazmos baltymų.</w:t>
      </w:r>
    </w:p>
    <w:p w14:paraId="29818806" w14:textId="77777777" w:rsidR="00A840FC" w:rsidRPr="00A840FC" w:rsidRDefault="00A840FC" w:rsidP="00A840FC">
      <w:pPr>
        <w:spacing w:after="0" w:line="240" w:lineRule="auto"/>
        <w:rPr>
          <w:rFonts w:ascii="Times New Roman" w:eastAsia="Calibri" w:hAnsi="Times New Roman" w:cs="Times New Roman"/>
          <w:lang w:val="lt-LT"/>
        </w:rPr>
      </w:pPr>
    </w:p>
    <w:p w14:paraId="694C20D3" w14:textId="77777777" w:rsidR="00A840FC" w:rsidRPr="00A840FC" w:rsidRDefault="00A840FC" w:rsidP="00A840FC">
      <w:pPr>
        <w:spacing w:after="0" w:line="240" w:lineRule="auto"/>
        <w:rPr>
          <w:rFonts w:ascii="Times New Roman" w:eastAsia="Calibri" w:hAnsi="Times New Roman" w:cs="Times New Roman"/>
          <w:u w:val="single"/>
          <w:lang w:val="lt-LT"/>
        </w:rPr>
      </w:pPr>
      <w:r w:rsidRPr="00A840FC">
        <w:rPr>
          <w:rFonts w:ascii="Times New Roman" w:eastAsia="Calibri" w:hAnsi="Times New Roman" w:cs="Times New Roman"/>
          <w:u w:val="single"/>
          <w:lang w:val="lt-LT"/>
        </w:rPr>
        <w:t>Biotransformacija</w:t>
      </w:r>
    </w:p>
    <w:p w14:paraId="289425E8" w14:textId="77777777" w:rsidR="00A840FC" w:rsidRPr="00A840FC" w:rsidRDefault="00A840FC" w:rsidP="00A840FC">
      <w:pPr>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 xml:space="preserve">Kvetiapiną ekstensyviai metabolizuoja kepenys. Pavartojus radioaktyviais izotopais žymėto kvetiapino, šlapime ir išmatose nepakitusios medžiagos būna mažiau nei 5 %. </w:t>
      </w:r>
    </w:p>
    <w:p w14:paraId="567EF44B" w14:textId="77777777" w:rsidR="00A840FC" w:rsidRPr="00A840FC" w:rsidRDefault="00A840FC" w:rsidP="00A840FC">
      <w:pPr>
        <w:spacing w:after="0" w:line="240" w:lineRule="auto"/>
        <w:rPr>
          <w:rFonts w:ascii="Times New Roman" w:eastAsia="Calibri" w:hAnsi="Times New Roman" w:cs="Times New Roman"/>
          <w:lang w:val="lt-LT"/>
        </w:rPr>
      </w:pPr>
    </w:p>
    <w:p w14:paraId="5F6ED83B" w14:textId="77777777" w:rsidR="00A840FC" w:rsidRPr="00A840FC" w:rsidRDefault="00A840FC" w:rsidP="00A840FC">
      <w:pPr>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 xml:space="preserve">Tyrimais </w:t>
      </w:r>
      <w:r w:rsidRPr="00A840FC">
        <w:rPr>
          <w:rFonts w:ascii="Times New Roman" w:eastAsia="Calibri" w:hAnsi="Times New Roman" w:cs="Times New Roman"/>
          <w:i/>
          <w:lang w:val="lt-LT"/>
        </w:rPr>
        <w:t>in vitro</w:t>
      </w:r>
      <w:r w:rsidRPr="00A840FC">
        <w:rPr>
          <w:rFonts w:ascii="Times New Roman" w:eastAsia="Calibri" w:hAnsi="Times New Roman" w:cs="Times New Roman"/>
          <w:lang w:val="lt-LT"/>
        </w:rPr>
        <w:t xml:space="preserve"> nustatyta, kad pagrindinis nuo citochromo P450 priklausomo kvetiapino metabolizmo fermentas yra CYP3A4. Norkvetiapinas daugiausia susidaro ir šalinamas, veikiant CYP3A4. Maždaug 73 % radioaktyviai žymėto vaistinio preparato randama šlapime, 21 % – išmatose</w:t>
      </w:r>
      <w:r w:rsidRPr="00A840FC">
        <w:rPr>
          <w:rFonts w:ascii="Times New Roman" w:eastAsia="Calibri" w:hAnsi="Times New Roman" w:cs="Times New Roman"/>
          <w:lang w:val="lt-LT" w:eastAsia="x-none"/>
        </w:rPr>
        <w:t xml:space="preserve">. </w:t>
      </w:r>
      <w:r w:rsidRPr="00A840FC">
        <w:rPr>
          <w:rFonts w:ascii="Times New Roman" w:eastAsia="Calibri" w:hAnsi="Times New Roman" w:cs="Times New Roman"/>
          <w:lang w:val="lt-LT"/>
        </w:rPr>
        <w:t xml:space="preserve">Nustatyta, kad kvetiapinas ir keli jo metabolitai (įskaitant norkvetiapiną) silpnai slopina žmogaus citochromo P450 1A2, 2C9, 2C19, 2D6 ir 3A4 aktyvumą </w:t>
      </w:r>
      <w:r w:rsidRPr="00A840FC">
        <w:rPr>
          <w:rFonts w:ascii="Times New Roman" w:eastAsia="Calibri" w:hAnsi="Times New Roman" w:cs="Times New Roman"/>
          <w:i/>
          <w:lang w:val="lt-LT"/>
        </w:rPr>
        <w:t>in vitro</w:t>
      </w:r>
      <w:r w:rsidRPr="00A840FC">
        <w:rPr>
          <w:rFonts w:ascii="Times New Roman" w:eastAsia="Calibri" w:hAnsi="Times New Roman" w:cs="Times New Roman"/>
          <w:lang w:val="lt-LT"/>
        </w:rPr>
        <w:t xml:space="preserve">. </w:t>
      </w:r>
      <w:r w:rsidRPr="00A840FC">
        <w:rPr>
          <w:rFonts w:ascii="Times New Roman" w:eastAsia="Calibri" w:hAnsi="Times New Roman" w:cs="Times New Roman"/>
          <w:i/>
          <w:lang w:val="lt-LT"/>
        </w:rPr>
        <w:t>In vitro</w:t>
      </w:r>
      <w:r w:rsidRPr="00A840FC">
        <w:rPr>
          <w:rFonts w:ascii="Times New Roman" w:eastAsia="Calibri" w:hAnsi="Times New Roman" w:cs="Times New Roman"/>
          <w:lang w:val="lt-LT"/>
        </w:rPr>
        <w:t xml:space="preserve"> CYP slopinimas pastebimas tik koncentracijai bent apytiksliai 5</w:t>
      </w:r>
      <w:r w:rsidRPr="00A840FC">
        <w:rPr>
          <w:rFonts w:ascii="Times New Roman" w:eastAsia="Calibri" w:hAnsi="Times New Roman" w:cs="Times New Roman"/>
          <w:lang w:val="lt-LT"/>
        </w:rPr>
        <w:noBreakHyphen/>
        <w:t>50 kartų viršijant susidarančią žmogui vartojant šį vaistinį preparatą 300</w:t>
      </w:r>
      <w:r w:rsidRPr="00A840FC">
        <w:rPr>
          <w:rFonts w:ascii="Times New Roman" w:eastAsia="Calibri" w:hAnsi="Times New Roman" w:cs="Times New Roman"/>
          <w:lang w:val="lt-LT"/>
        </w:rPr>
        <w:noBreakHyphen/>
        <w:t xml:space="preserve">800 mg paros dozėmis. Remiantis šių tyrimų </w:t>
      </w:r>
      <w:r w:rsidRPr="00A840FC">
        <w:rPr>
          <w:rFonts w:ascii="Times New Roman" w:eastAsia="Calibri" w:hAnsi="Times New Roman" w:cs="Times New Roman"/>
          <w:i/>
          <w:lang w:val="lt-LT"/>
        </w:rPr>
        <w:t>in vitro</w:t>
      </w:r>
      <w:r w:rsidRPr="00A840FC">
        <w:rPr>
          <w:rFonts w:ascii="Times New Roman" w:eastAsia="Calibri" w:hAnsi="Times New Roman" w:cs="Times New Roman"/>
          <w:lang w:val="lt-LT"/>
        </w:rPr>
        <w:t xml:space="preserve"> duomenimis, nereikėtų tikėtis, kad kartu vartojamas kvetiapinas kliniškai reikšmingai slopintų nuo citochromo P450 priklausomą kitų vaistinių preparatų metabolizmą.</w:t>
      </w:r>
    </w:p>
    <w:p w14:paraId="3A6A3A5B" w14:textId="77777777" w:rsidR="00A840FC" w:rsidRPr="00A840FC" w:rsidRDefault="00A840FC" w:rsidP="00A840FC">
      <w:pPr>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Tyrimai su gyvūnais rodo, kad kvetiapinas gali indukuoti citochromo P450 fermentus. Kita vertus, psichozėmis sergančių pacientų specifinės sąveikos tyrimais po kvetiapino vartojimo citochromo P450 aktyvumo padidėjimo neaptikta.</w:t>
      </w:r>
    </w:p>
    <w:p w14:paraId="184D969E" w14:textId="77777777" w:rsidR="00A840FC" w:rsidRPr="00A840FC" w:rsidRDefault="00A840FC" w:rsidP="00A840FC">
      <w:pPr>
        <w:spacing w:after="0" w:line="240" w:lineRule="auto"/>
        <w:rPr>
          <w:rFonts w:ascii="Times New Roman" w:eastAsia="Calibri" w:hAnsi="Times New Roman" w:cs="Times New Roman"/>
          <w:lang w:val="lt-LT"/>
        </w:rPr>
      </w:pPr>
    </w:p>
    <w:p w14:paraId="7397F1E7" w14:textId="77777777" w:rsidR="00A840FC" w:rsidRPr="00A840FC" w:rsidRDefault="00A840FC" w:rsidP="00A840FC">
      <w:pPr>
        <w:keepNext/>
        <w:keepLines/>
        <w:spacing w:after="0" w:line="240" w:lineRule="auto"/>
        <w:rPr>
          <w:rFonts w:ascii="Times New Roman" w:eastAsia="Calibri" w:hAnsi="Times New Roman" w:cs="Times New Roman"/>
          <w:u w:val="single"/>
          <w:lang w:val="lt-LT"/>
        </w:rPr>
      </w:pPr>
      <w:r w:rsidRPr="00A840FC">
        <w:rPr>
          <w:rFonts w:ascii="Times New Roman" w:eastAsia="Calibri" w:hAnsi="Times New Roman" w:cs="Times New Roman"/>
          <w:u w:val="single"/>
          <w:lang w:val="lt-LT"/>
        </w:rPr>
        <w:t>Eliminacija</w:t>
      </w:r>
    </w:p>
    <w:p w14:paraId="27282833" w14:textId="77777777" w:rsidR="00A840FC" w:rsidRPr="00A840FC" w:rsidRDefault="00A840FC" w:rsidP="00A840FC">
      <w:pPr>
        <w:keepNext/>
        <w:keepLines/>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Kvetiapino ir norkvetiapino pusinės eliminacijos laikas yra atitinkamai apie 7 val. ir 12 val. Vidutinė laisvojo kvetiapino ir jo aktyvaus metabolito žmogaus plazmoje norkvetiapino molinė dozės dalis, išskiriama su šlapimu, yra mažesnė kaip 5 %.</w:t>
      </w:r>
    </w:p>
    <w:p w14:paraId="4A9AFAFA" w14:textId="77777777" w:rsidR="00A840FC" w:rsidRPr="00A840FC" w:rsidRDefault="00A840FC" w:rsidP="00A840FC">
      <w:pPr>
        <w:spacing w:after="0" w:line="240" w:lineRule="auto"/>
        <w:rPr>
          <w:rFonts w:ascii="Times New Roman" w:eastAsia="Calibri" w:hAnsi="Times New Roman" w:cs="Times New Roman"/>
          <w:lang w:val="lt-LT"/>
        </w:rPr>
      </w:pPr>
    </w:p>
    <w:p w14:paraId="369B297B" w14:textId="77777777" w:rsidR="00A840FC" w:rsidRPr="00A840FC" w:rsidRDefault="00A840FC" w:rsidP="00A840FC">
      <w:pPr>
        <w:spacing w:after="0" w:line="240" w:lineRule="auto"/>
        <w:rPr>
          <w:rFonts w:ascii="Times New Roman" w:eastAsia="Calibri" w:hAnsi="Times New Roman" w:cs="Times New Roman"/>
          <w:b/>
          <w:i/>
          <w:u w:val="single"/>
          <w:lang w:val="lt-LT" w:eastAsia="x-none"/>
        </w:rPr>
      </w:pPr>
      <w:r w:rsidRPr="00A840FC">
        <w:rPr>
          <w:rFonts w:ascii="Times New Roman" w:eastAsia="Calibri" w:hAnsi="Times New Roman" w:cs="Times New Roman"/>
          <w:b/>
          <w:i/>
          <w:u w:val="single"/>
          <w:lang w:val="lt-LT" w:eastAsia="x-none"/>
        </w:rPr>
        <w:t>Ypatingos populiacijos</w:t>
      </w:r>
      <w:r w:rsidRPr="00A840FC" w:rsidDel="00EE5EA2">
        <w:rPr>
          <w:rFonts w:ascii="Times New Roman" w:eastAsia="Calibri" w:hAnsi="Times New Roman" w:cs="Times New Roman"/>
          <w:b/>
          <w:i/>
          <w:u w:val="single"/>
          <w:lang w:val="lt-LT" w:eastAsia="x-none"/>
        </w:rPr>
        <w:t xml:space="preserve"> </w:t>
      </w:r>
    </w:p>
    <w:p w14:paraId="7993134B" w14:textId="77777777" w:rsidR="00A840FC" w:rsidRPr="00A840FC" w:rsidRDefault="00A840FC" w:rsidP="00A840FC">
      <w:pPr>
        <w:spacing w:after="0" w:line="240" w:lineRule="auto"/>
        <w:rPr>
          <w:rFonts w:ascii="Times New Roman" w:eastAsia="Calibri" w:hAnsi="Times New Roman" w:cs="Times New Roman"/>
          <w:lang w:val="lt-LT"/>
        </w:rPr>
      </w:pPr>
    </w:p>
    <w:p w14:paraId="1A582C9E" w14:textId="77777777" w:rsidR="00A840FC" w:rsidRPr="00A840FC" w:rsidRDefault="00A840FC" w:rsidP="00A840FC">
      <w:pPr>
        <w:spacing w:after="0" w:line="240" w:lineRule="auto"/>
        <w:rPr>
          <w:rFonts w:ascii="Times New Roman" w:eastAsia="Calibri" w:hAnsi="Times New Roman" w:cs="Times New Roman"/>
          <w:i/>
          <w:lang w:val="lt-LT"/>
        </w:rPr>
      </w:pPr>
      <w:r w:rsidRPr="00A840FC">
        <w:rPr>
          <w:rFonts w:ascii="Times New Roman" w:eastAsia="Calibri" w:hAnsi="Times New Roman" w:cs="Times New Roman"/>
          <w:i/>
          <w:lang w:val="lt-LT"/>
        </w:rPr>
        <w:t>Lytis</w:t>
      </w:r>
    </w:p>
    <w:p w14:paraId="43B4735A" w14:textId="77777777" w:rsidR="00A840FC" w:rsidRPr="00A840FC" w:rsidRDefault="00A840FC" w:rsidP="00A840FC">
      <w:pPr>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Vyrų ir moterų organizme kvetiapino farmakokinetika nesiskiria.</w:t>
      </w:r>
    </w:p>
    <w:p w14:paraId="7CBA283F" w14:textId="77777777" w:rsidR="00A840FC" w:rsidRPr="00A840FC" w:rsidRDefault="00A840FC" w:rsidP="00A840FC">
      <w:pPr>
        <w:spacing w:after="0" w:line="240" w:lineRule="auto"/>
        <w:rPr>
          <w:rFonts w:ascii="Times New Roman" w:eastAsia="Calibri" w:hAnsi="Times New Roman" w:cs="Times New Roman"/>
          <w:lang w:val="lt-LT"/>
        </w:rPr>
      </w:pPr>
    </w:p>
    <w:p w14:paraId="0CA6EFF4" w14:textId="77777777" w:rsidR="00A840FC" w:rsidRPr="00A840FC" w:rsidRDefault="00A840FC" w:rsidP="00A840FC">
      <w:pPr>
        <w:spacing w:after="0" w:line="240" w:lineRule="auto"/>
        <w:rPr>
          <w:rFonts w:ascii="Times New Roman" w:eastAsia="Calibri" w:hAnsi="Times New Roman" w:cs="Times New Roman"/>
          <w:i/>
          <w:lang w:val="lt-LT"/>
        </w:rPr>
      </w:pPr>
      <w:r w:rsidRPr="00A840FC">
        <w:rPr>
          <w:rFonts w:ascii="Times New Roman" w:eastAsia="Calibri" w:hAnsi="Times New Roman" w:cs="Times New Roman"/>
          <w:i/>
          <w:lang w:val="lt-LT"/>
        </w:rPr>
        <w:t>Senyvi pacientai</w:t>
      </w:r>
    </w:p>
    <w:p w14:paraId="7B5008E0" w14:textId="77777777" w:rsidR="00A840FC" w:rsidRPr="00A840FC" w:rsidRDefault="00A840FC" w:rsidP="00A840FC">
      <w:pPr>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Vidutinis kvetiapino klirensas senyvų žmonių organizme yra maždaug 30</w:t>
      </w:r>
      <w:r w:rsidRPr="00A840FC">
        <w:rPr>
          <w:rFonts w:ascii="Times New Roman" w:eastAsia="Calibri" w:hAnsi="Times New Roman" w:cs="Times New Roman"/>
          <w:lang w:val="lt-LT"/>
        </w:rPr>
        <w:noBreakHyphen/>
        <w:t>50 % mažesnis negu 18</w:t>
      </w:r>
      <w:r w:rsidRPr="00A840FC">
        <w:rPr>
          <w:rFonts w:ascii="Times New Roman" w:eastAsia="Calibri" w:hAnsi="Times New Roman" w:cs="Times New Roman"/>
          <w:lang w:val="lt-LT"/>
        </w:rPr>
        <w:noBreakHyphen/>
        <w:t>65 metų suaugusiųjų.</w:t>
      </w:r>
    </w:p>
    <w:p w14:paraId="48718424" w14:textId="77777777" w:rsidR="00A840FC" w:rsidRPr="00A840FC" w:rsidRDefault="00A840FC" w:rsidP="00A840FC">
      <w:pPr>
        <w:spacing w:after="0" w:line="240" w:lineRule="auto"/>
        <w:rPr>
          <w:rFonts w:ascii="Times New Roman" w:eastAsia="Calibri" w:hAnsi="Times New Roman" w:cs="Times New Roman"/>
          <w:i/>
          <w:lang w:val="lt-LT"/>
        </w:rPr>
      </w:pPr>
    </w:p>
    <w:p w14:paraId="45E74234" w14:textId="77777777" w:rsidR="00A840FC" w:rsidRPr="00A840FC" w:rsidRDefault="00A840FC" w:rsidP="00A840FC">
      <w:pPr>
        <w:spacing w:after="0" w:line="240" w:lineRule="auto"/>
        <w:rPr>
          <w:rFonts w:ascii="Times New Roman" w:eastAsia="Calibri" w:hAnsi="Times New Roman" w:cs="Times New Roman"/>
          <w:i/>
          <w:lang w:val="lt-LT"/>
        </w:rPr>
      </w:pPr>
      <w:r w:rsidRPr="00A840FC">
        <w:rPr>
          <w:rFonts w:ascii="Times New Roman" w:eastAsia="Calibri" w:hAnsi="Times New Roman" w:cs="Times New Roman"/>
          <w:i/>
          <w:iCs/>
          <w:lang w:val="lt-LT"/>
        </w:rPr>
        <w:t>Sutrikusi inkstų funkcija</w:t>
      </w:r>
      <w:r w:rsidRPr="00A840FC" w:rsidDel="00EE5EA2">
        <w:rPr>
          <w:rFonts w:ascii="Times New Roman" w:eastAsia="Calibri" w:hAnsi="Times New Roman" w:cs="Times New Roman"/>
          <w:i/>
          <w:lang w:val="lt-LT"/>
        </w:rPr>
        <w:t xml:space="preserve"> </w:t>
      </w:r>
    </w:p>
    <w:p w14:paraId="53E398A9" w14:textId="77777777" w:rsidR="00A840FC" w:rsidRPr="00A840FC" w:rsidRDefault="00A840FC" w:rsidP="00A840FC">
      <w:pPr>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Sergantiesiems sunkiu inkstų nepakankamumu (kai kreatinino klirensas mažesnis kaip 30 ml/min./1,73 m</w:t>
      </w:r>
      <w:r w:rsidRPr="00A840FC">
        <w:rPr>
          <w:rFonts w:ascii="Times New Roman" w:eastAsia="Calibri" w:hAnsi="Times New Roman" w:cs="Times New Roman"/>
          <w:vertAlign w:val="superscript"/>
          <w:lang w:val="lt-LT"/>
        </w:rPr>
        <w:t>2</w:t>
      </w:r>
      <w:r w:rsidRPr="00A840FC">
        <w:rPr>
          <w:rFonts w:ascii="Times New Roman" w:eastAsia="Calibri" w:hAnsi="Times New Roman" w:cs="Times New Roman"/>
          <w:lang w:val="lt-LT"/>
        </w:rPr>
        <w:t>) vidutinis kvetiapino plazminis klirensas sumažėja maždaug 25 %, bet individualus klirensas išlieka sveikiems žmonėms nustatytose ribose.</w:t>
      </w:r>
    </w:p>
    <w:p w14:paraId="5D646814" w14:textId="77777777" w:rsidR="00A840FC" w:rsidRPr="00A840FC" w:rsidRDefault="00A840FC" w:rsidP="00A840FC">
      <w:pPr>
        <w:spacing w:after="0" w:line="240" w:lineRule="auto"/>
        <w:rPr>
          <w:rFonts w:ascii="Times New Roman" w:eastAsia="Calibri" w:hAnsi="Times New Roman" w:cs="Times New Roman"/>
          <w:lang w:val="lt-LT"/>
        </w:rPr>
      </w:pPr>
    </w:p>
    <w:p w14:paraId="6FF9BB8D" w14:textId="77777777" w:rsidR="00A840FC" w:rsidRPr="00A840FC" w:rsidRDefault="00A840FC" w:rsidP="00A840FC">
      <w:pPr>
        <w:spacing w:after="0" w:line="240" w:lineRule="auto"/>
        <w:rPr>
          <w:rFonts w:ascii="Times New Roman" w:eastAsia="Calibri" w:hAnsi="Times New Roman" w:cs="Times New Roman"/>
          <w:i/>
          <w:lang w:val="lt-LT"/>
        </w:rPr>
      </w:pPr>
      <w:r w:rsidRPr="00A840FC">
        <w:rPr>
          <w:rFonts w:ascii="Times New Roman" w:eastAsia="Calibri" w:hAnsi="Times New Roman" w:cs="Times New Roman"/>
          <w:i/>
          <w:iCs/>
          <w:lang w:val="lt-LT"/>
        </w:rPr>
        <w:t>Sutrikusi kepenų funkcija</w:t>
      </w:r>
      <w:r w:rsidRPr="00A840FC" w:rsidDel="00EE5EA2">
        <w:rPr>
          <w:rFonts w:ascii="Times New Roman" w:eastAsia="Calibri" w:hAnsi="Times New Roman" w:cs="Times New Roman"/>
          <w:i/>
          <w:lang w:val="lt-LT"/>
        </w:rPr>
        <w:t xml:space="preserve"> </w:t>
      </w:r>
    </w:p>
    <w:p w14:paraId="5A9D0CD4" w14:textId="77777777" w:rsidR="00A840FC" w:rsidRPr="00A840FC" w:rsidRDefault="00A840FC" w:rsidP="00A840FC">
      <w:pPr>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Esant sutrikusiai kepenų funkcijai (sergant stabilia alkoholine ciroze), vidutinis kvetiapino plazminis klirensas sumažėja maždaug 25 %. Kadangi kvetiapinas ekstensyviai metabolizuojamas kepenyse, esant sutrikusiai kepenų funkcijai, tikėtina, kad padidės jo koncentracija kraujo plazmoje; šiems pacientams reikia koreguoti vaistinio preparato dozę (žr. 4.2 skyrių).</w:t>
      </w:r>
    </w:p>
    <w:p w14:paraId="5601FD8D" w14:textId="77777777" w:rsidR="00A840FC" w:rsidRPr="00A840FC" w:rsidRDefault="00A840FC" w:rsidP="00A840FC">
      <w:pPr>
        <w:spacing w:after="0" w:line="240" w:lineRule="auto"/>
        <w:rPr>
          <w:rFonts w:ascii="Times New Roman" w:eastAsia="Calibri" w:hAnsi="Times New Roman" w:cs="Times New Roman"/>
          <w:lang w:val="lt-LT"/>
        </w:rPr>
      </w:pPr>
    </w:p>
    <w:p w14:paraId="2568F094" w14:textId="77777777" w:rsidR="00A840FC" w:rsidRPr="00A840FC" w:rsidRDefault="00A840FC" w:rsidP="00A840FC">
      <w:pPr>
        <w:keepNext/>
        <w:tabs>
          <w:tab w:val="left" w:pos="567"/>
        </w:tabs>
        <w:spacing w:after="0" w:line="240" w:lineRule="auto"/>
        <w:outlineLvl w:val="2"/>
        <w:rPr>
          <w:rFonts w:ascii="Times New Roman" w:eastAsia="Calibri" w:hAnsi="Times New Roman" w:cs="Times New Roman"/>
          <w:kern w:val="28"/>
          <w:u w:val="single"/>
          <w:lang w:val="lt-LT"/>
        </w:rPr>
      </w:pPr>
      <w:r w:rsidRPr="00A840FC">
        <w:rPr>
          <w:rFonts w:ascii="Times New Roman" w:eastAsia="Calibri" w:hAnsi="Times New Roman" w:cs="Times New Roman"/>
          <w:kern w:val="28"/>
          <w:u w:val="single"/>
          <w:lang w:val="lt-LT"/>
        </w:rPr>
        <w:t>Vaikų populiacija</w:t>
      </w:r>
    </w:p>
    <w:p w14:paraId="45E215E3" w14:textId="77777777" w:rsidR="00A840FC" w:rsidRPr="00A840FC" w:rsidRDefault="00A840FC" w:rsidP="00A840FC">
      <w:pPr>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Nustatyti 10–12 metų 9 vaikų ir 12 paauglių, kurių gydymo metu kraujyje buvo nusistovėjusi pusiausvyrinė būklė vartojant po 400 mg kvetiapino du kartus per parą, farmakokinetikos duomenys. Esant pusiausvyrinei būklei, su doze susijusi vaikų ir paauglių (10</w:t>
      </w:r>
      <w:r w:rsidRPr="00A840FC">
        <w:rPr>
          <w:rFonts w:ascii="Times New Roman" w:eastAsia="Calibri" w:hAnsi="Times New Roman" w:cs="Times New Roman"/>
          <w:kern w:val="28"/>
          <w:u w:val="single"/>
          <w:lang w:val="lt-LT"/>
        </w:rPr>
        <w:t>–</w:t>
      </w:r>
      <w:r w:rsidRPr="00A840FC">
        <w:rPr>
          <w:rFonts w:ascii="Times New Roman" w:eastAsia="Calibri" w:hAnsi="Times New Roman" w:cs="Times New Roman"/>
          <w:lang w:val="lt-LT"/>
        </w:rPr>
        <w:t>17 metų) kvetiapino koncentracija iš esmės buvo panaši į suaugusiųjų, nors C</w:t>
      </w:r>
      <w:r w:rsidRPr="00A840FC">
        <w:rPr>
          <w:rFonts w:ascii="Times New Roman" w:eastAsia="Calibri" w:hAnsi="Times New Roman" w:cs="Times New Roman"/>
          <w:vertAlign w:val="subscript"/>
          <w:lang w:val="lt-LT"/>
        </w:rPr>
        <w:t>max</w:t>
      </w:r>
      <w:r w:rsidRPr="00A840FC">
        <w:rPr>
          <w:rFonts w:ascii="Times New Roman" w:eastAsia="Calibri" w:hAnsi="Times New Roman" w:cs="Times New Roman"/>
          <w:lang w:val="lt-LT"/>
        </w:rPr>
        <w:t xml:space="preserve"> vaikams buvo ties viršutine suaugusiems nustatyto diapazono riba. Aktyvaus metabolito norkvetiapino AUC 10</w:t>
      </w:r>
      <w:r w:rsidRPr="00A840FC">
        <w:rPr>
          <w:rFonts w:ascii="Times New Roman" w:eastAsia="Calibri" w:hAnsi="Times New Roman" w:cs="Times New Roman"/>
          <w:lang w:val="lt-LT"/>
        </w:rPr>
        <w:noBreakHyphen/>
        <w:t>12 metų vaikų plazmoje buvo didesnis negu suaugusiųjų 62 %, C</w:t>
      </w:r>
      <w:r w:rsidRPr="00A840FC">
        <w:rPr>
          <w:rFonts w:ascii="Times New Roman" w:eastAsia="Calibri" w:hAnsi="Times New Roman" w:cs="Times New Roman"/>
          <w:vertAlign w:val="subscript"/>
          <w:lang w:val="lt-LT"/>
        </w:rPr>
        <w:t>max</w:t>
      </w:r>
      <w:r w:rsidRPr="00A840FC">
        <w:rPr>
          <w:rFonts w:ascii="Times New Roman" w:eastAsia="Calibri" w:hAnsi="Times New Roman" w:cs="Times New Roman"/>
          <w:lang w:val="lt-LT"/>
        </w:rPr>
        <w:t xml:space="preserve"> – 49 %, 13</w:t>
      </w:r>
      <w:r w:rsidRPr="00A840FC">
        <w:rPr>
          <w:rFonts w:ascii="Times New Roman" w:eastAsia="Calibri" w:hAnsi="Times New Roman" w:cs="Times New Roman"/>
          <w:lang w:val="lt-LT"/>
        </w:rPr>
        <w:noBreakHyphen/>
        <w:t xml:space="preserve">17 metų paauglių – atitinkamai 28 % ir 14 %. </w:t>
      </w:r>
    </w:p>
    <w:p w14:paraId="0D6E812E" w14:textId="77777777" w:rsidR="00A840FC" w:rsidRPr="00A840FC" w:rsidRDefault="00A840FC" w:rsidP="00A840FC">
      <w:pPr>
        <w:spacing w:after="0" w:line="240" w:lineRule="auto"/>
        <w:rPr>
          <w:rFonts w:ascii="Times New Roman" w:eastAsia="Times New Roman" w:hAnsi="Times New Roman" w:cs="Times New Roman"/>
          <w:lang w:val="lt-LT"/>
        </w:rPr>
      </w:pPr>
    </w:p>
    <w:p w14:paraId="635E81C6" w14:textId="77777777" w:rsidR="00A840FC" w:rsidRPr="00A840FC" w:rsidRDefault="00A840FC" w:rsidP="00A840F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0" w:name="_Toc129243114"/>
      <w:bookmarkStart w:id="41" w:name="_Toc129243239"/>
      <w:r w:rsidRPr="00A840FC">
        <w:rPr>
          <w:rFonts w:ascii="Times New Roman" w:eastAsia="Times New Roman" w:hAnsi="Times New Roman" w:cs="Times New Roman"/>
          <w:b/>
          <w:kern w:val="28"/>
          <w:lang w:val="lt-LT"/>
        </w:rPr>
        <w:lastRenderedPageBreak/>
        <w:t>5.3</w:t>
      </w:r>
      <w:r w:rsidRPr="00A840FC">
        <w:rPr>
          <w:rFonts w:ascii="Times New Roman" w:eastAsia="Times New Roman" w:hAnsi="Times New Roman" w:cs="Times New Roman"/>
          <w:b/>
          <w:kern w:val="28"/>
          <w:lang w:val="lt-LT"/>
        </w:rPr>
        <w:tab/>
        <w:t>Ikiklinikinių saugumo tyrimų duomenys</w:t>
      </w:r>
      <w:bookmarkEnd w:id="40"/>
      <w:bookmarkEnd w:id="41"/>
    </w:p>
    <w:p w14:paraId="3BA56E62" w14:textId="77777777" w:rsidR="00A840FC" w:rsidRPr="00A840FC" w:rsidRDefault="00A840FC" w:rsidP="00A840FC">
      <w:pPr>
        <w:keepNext/>
        <w:keepLines/>
        <w:spacing w:after="0" w:line="240" w:lineRule="auto"/>
        <w:rPr>
          <w:rFonts w:ascii="Times New Roman" w:eastAsia="Arial Unicode MS" w:hAnsi="Times New Roman" w:cs="Times New Roman"/>
          <w:lang w:val="lt-LT"/>
        </w:rPr>
      </w:pPr>
    </w:p>
    <w:p w14:paraId="54887D31"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Keliais genotoksinio poveikio </w:t>
      </w:r>
      <w:r w:rsidRPr="00A840FC">
        <w:rPr>
          <w:rFonts w:ascii="Times New Roman" w:eastAsia="Times New Roman" w:hAnsi="Times New Roman" w:cs="Times New Roman"/>
          <w:i/>
          <w:iCs/>
          <w:lang w:val="lt-LT"/>
        </w:rPr>
        <w:t>in vivo</w:t>
      </w:r>
      <w:r w:rsidRPr="00A840FC">
        <w:rPr>
          <w:rFonts w:ascii="Times New Roman" w:eastAsia="Times New Roman" w:hAnsi="Times New Roman" w:cs="Times New Roman"/>
          <w:lang w:val="lt-LT"/>
        </w:rPr>
        <w:t xml:space="preserve"> ir </w:t>
      </w:r>
      <w:r w:rsidRPr="00A840FC">
        <w:rPr>
          <w:rFonts w:ascii="Times New Roman" w:eastAsia="Times New Roman" w:hAnsi="Times New Roman" w:cs="Times New Roman"/>
          <w:i/>
          <w:iCs/>
          <w:lang w:val="lt-LT"/>
        </w:rPr>
        <w:t>in vitro</w:t>
      </w:r>
      <w:r w:rsidRPr="00A840FC">
        <w:rPr>
          <w:rFonts w:ascii="Times New Roman" w:eastAsia="Times New Roman" w:hAnsi="Times New Roman" w:cs="Times New Roman"/>
          <w:lang w:val="lt-LT"/>
        </w:rPr>
        <w:t xml:space="preserve"> tyrimais tokio poveikio nenustatyta. Tyrimų su laboratoriniais gyvūnais metu, kai ekspozicija buvo kliniškai reikšminga, pasireiškė toliau išvardytų sutrikimų, kurie dar nepatvirtinti ilgalaikiais klinikiniais tyrimais.</w:t>
      </w:r>
    </w:p>
    <w:p w14:paraId="1337A79B" w14:textId="77777777" w:rsidR="00A840FC" w:rsidRPr="00A840FC" w:rsidRDefault="00A840FC" w:rsidP="00A840FC">
      <w:pPr>
        <w:spacing w:after="0" w:line="240" w:lineRule="auto"/>
        <w:rPr>
          <w:rFonts w:ascii="Times New Roman" w:eastAsia="Times New Roman" w:hAnsi="Times New Roman" w:cs="Times New Roman"/>
          <w:lang w:val="lt-LT"/>
        </w:rPr>
      </w:pPr>
    </w:p>
    <w:p w14:paraId="5925A0E0" w14:textId="77777777" w:rsidR="00A840FC" w:rsidRPr="00A840FC" w:rsidRDefault="00A840FC" w:rsidP="00A840FC">
      <w:pPr>
        <w:keepNext/>
        <w:keepLine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Žiurkėms pastebėta pigmento depozicija skydliaukėje, pavianams – skydliaukės folikulinių ląstelių hipertrofija, T</w:t>
      </w:r>
      <w:r w:rsidRPr="00A840FC">
        <w:rPr>
          <w:rFonts w:ascii="Times New Roman" w:eastAsia="Times New Roman" w:hAnsi="Times New Roman" w:cs="Times New Roman"/>
          <w:vertAlign w:val="subscript"/>
          <w:lang w:val="lt-LT"/>
        </w:rPr>
        <w:t>3</w:t>
      </w:r>
      <w:r w:rsidRPr="00A840FC">
        <w:rPr>
          <w:rFonts w:ascii="Times New Roman" w:eastAsia="Times New Roman" w:hAnsi="Times New Roman" w:cs="Times New Roman"/>
          <w:lang w:val="lt-LT"/>
        </w:rPr>
        <w:t xml:space="preserve"> koncentracijos plazmoje sumažėjimas, hemoglobino koncentracijos sumažėjimas ir eritrocitų bei leukocitų kiekio sumažėjimas, šunims – lęšiuko drumstis bei katarakta (apie kataraktą ir lęšiuko drumstis žr. 5.1 skyrių).</w:t>
      </w:r>
    </w:p>
    <w:p w14:paraId="13999ABA" w14:textId="77777777" w:rsidR="00A840FC" w:rsidRPr="00A840FC" w:rsidRDefault="00A840FC" w:rsidP="00A840FC">
      <w:pPr>
        <w:spacing w:after="0" w:line="240" w:lineRule="auto"/>
        <w:rPr>
          <w:rFonts w:ascii="Times New Roman" w:eastAsia="Times New Roman" w:hAnsi="Times New Roman" w:cs="Times New Roman"/>
          <w:lang w:val="lt-LT"/>
        </w:rPr>
      </w:pPr>
    </w:p>
    <w:p w14:paraId="06D193E3"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Toksinio poveikio embrionui ir vaisiui tyrimo su triušiais metu dažniau atsirado vaisiaus riešo ir čiurnos linkių. Toks poveikis pasireiškė tada, kai atsirado akivaizdus poveikis patelei, pvz., sumažėjęs kūno svorio didėjimas. Toks poveikis pastebėtas, kai ekspozicija patelės organizme buvo panaši ar šiek tiek didesnė, palyginti su būnančia žmonėms vartojant maksimalias terapines dozes. Tokių duomenų svarba žmogui nežinoma.</w:t>
      </w:r>
    </w:p>
    <w:p w14:paraId="3123156D" w14:textId="77777777" w:rsidR="00A840FC" w:rsidRPr="00A840FC" w:rsidRDefault="00A840FC" w:rsidP="00A840FC">
      <w:pPr>
        <w:spacing w:after="0" w:line="240" w:lineRule="auto"/>
        <w:rPr>
          <w:rFonts w:ascii="Times New Roman" w:eastAsia="Times New Roman" w:hAnsi="Times New Roman" w:cs="Times New Roman"/>
          <w:lang w:val="lt-LT"/>
        </w:rPr>
      </w:pPr>
    </w:p>
    <w:p w14:paraId="29F9C5A6"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Poveikio žiurkių vislumui tyrimo metu nustatytas nedidelis patinų vislumo sumažėjimas, pseudovaikingumo atvejų padažnėjimas, laikotarpio, kurio metu nesiporuojama, pailgėjimas, laikotarpio iki poravimosi pailgėjimas ir vaikingumo dažnio sumažėjimas. Toks poveikis buvo susijęs su prolaktino kiekio padidėjimu ir nėra tiesiogiai svarbus žmogui, kadangi hormoninė žiurkių ir žmonių reprodukcijos kontrolė skiriasi.</w:t>
      </w:r>
    </w:p>
    <w:p w14:paraId="6E203CFB" w14:textId="77777777" w:rsidR="00A840FC" w:rsidRPr="00A840FC" w:rsidRDefault="00A840FC" w:rsidP="00A840FC">
      <w:pPr>
        <w:spacing w:after="0" w:line="240" w:lineRule="auto"/>
        <w:rPr>
          <w:rFonts w:ascii="Times New Roman" w:eastAsia="Arial Unicode MS" w:hAnsi="Times New Roman" w:cs="Times New Roman"/>
          <w:lang w:val="lt-LT"/>
        </w:rPr>
      </w:pPr>
    </w:p>
    <w:p w14:paraId="65D0548E" w14:textId="77777777" w:rsidR="00A840FC" w:rsidRPr="00A840FC" w:rsidRDefault="00A840FC" w:rsidP="00A840FC">
      <w:pPr>
        <w:spacing w:after="0" w:line="240" w:lineRule="auto"/>
        <w:rPr>
          <w:rFonts w:ascii="Times New Roman" w:eastAsia="Arial Unicode MS" w:hAnsi="Times New Roman" w:cs="Times New Roman"/>
          <w:lang w:val="lt-LT"/>
        </w:rPr>
      </w:pPr>
    </w:p>
    <w:p w14:paraId="0448B0AB" w14:textId="77777777" w:rsidR="00A840FC" w:rsidRPr="00A840FC" w:rsidRDefault="00A840FC" w:rsidP="00A840F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42" w:name="_Toc129243115"/>
      <w:bookmarkStart w:id="43" w:name="_Toc129243240"/>
      <w:r w:rsidRPr="00A840FC">
        <w:rPr>
          <w:rFonts w:ascii="Times New Roman" w:eastAsia="Times New Roman" w:hAnsi="Times New Roman" w:cs="Times New Roman"/>
          <w:b/>
          <w:lang w:val="lt-LT"/>
        </w:rPr>
        <w:t>6.</w:t>
      </w:r>
      <w:r w:rsidRPr="00A840FC">
        <w:rPr>
          <w:rFonts w:ascii="Times New Roman" w:eastAsia="Times New Roman" w:hAnsi="Times New Roman" w:cs="Times New Roman"/>
          <w:b/>
          <w:lang w:val="lt-LT"/>
        </w:rPr>
        <w:tab/>
        <w:t>FARMACINĖ INFORMACIJA</w:t>
      </w:r>
      <w:bookmarkEnd w:id="42"/>
      <w:bookmarkEnd w:id="43"/>
    </w:p>
    <w:p w14:paraId="73AE44DE" w14:textId="77777777" w:rsidR="00A840FC" w:rsidRPr="00A840FC" w:rsidRDefault="00A840FC" w:rsidP="00A840FC">
      <w:pPr>
        <w:spacing w:after="0" w:line="240" w:lineRule="auto"/>
        <w:rPr>
          <w:rFonts w:ascii="Times New Roman" w:eastAsia="Arial Unicode MS" w:hAnsi="Times New Roman" w:cs="Times New Roman"/>
          <w:lang w:val="lt-LT"/>
        </w:rPr>
      </w:pPr>
    </w:p>
    <w:p w14:paraId="7F94F40D" w14:textId="77777777" w:rsidR="00A840FC" w:rsidRPr="00A840FC" w:rsidRDefault="00A840FC" w:rsidP="00A840F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4" w:name="_Toc129243116"/>
      <w:bookmarkStart w:id="45" w:name="_Toc129243241"/>
      <w:r w:rsidRPr="00A840FC">
        <w:rPr>
          <w:rFonts w:ascii="Times New Roman" w:eastAsia="Times New Roman" w:hAnsi="Times New Roman" w:cs="Times New Roman"/>
          <w:b/>
          <w:kern w:val="28"/>
          <w:lang w:val="lt-LT"/>
        </w:rPr>
        <w:t>6.1</w:t>
      </w:r>
      <w:r w:rsidRPr="00A840FC">
        <w:rPr>
          <w:rFonts w:ascii="Times New Roman" w:eastAsia="Times New Roman" w:hAnsi="Times New Roman" w:cs="Times New Roman"/>
          <w:b/>
          <w:kern w:val="28"/>
          <w:lang w:val="lt-LT"/>
        </w:rPr>
        <w:tab/>
        <w:t>Pagalbinių medžiagų sąrašas</w:t>
      </w:r>
      <w:bookmarkEnd w:id="44"/>
      <w:bookmarkEnd w:id="45"/>
    </w:p>
    <w:p w14:paraId="10639D39" w14:textId="77777777" w:rsidR="00A840FC" w:rsidRPr="00A840FC" w:rsidRDefault="00A840FC" w:rsidP="00A840FC">
      <w:pPr>
        <w:spacing w:after="0" w:line="240" w:lineRule="auto"/>
        <w:rPr>
          <w:rFonts w:ascii="Times New Roman" w:eastAsia="Arial Unicode MS" w:hAnsi="Times New Roman" w:cs="Times New Roman"/>
          <w:lang w:val="lt-LT"/>
        </w:rPr>
      </w:pPr>
    </w:p>
    <w:p w14:paraId="589348FB"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i/>
          <w:lang w:val="lt-LT"/>
        </w:rPr>
      </w:pPr>
      <w:r w:rsidRPr="00A840FC">
        <w:rPr>
          <w:rFonts w:ascii="Times New Roman" w:eastAsia="Times New Roman" w:hAnsi="Times New Roman" w:cs="Times New Roman"/>
          <w:i/>
          <w:lang w:val="lt-LT"/>
        </w:rPr>
        <w:t>Tabletės branduolys</w:t>
      </w:r>
    </w:p>
    <w:p w14:paraId="2563A4A5"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p>
    <w:p w14:paraId="7AB01126"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u w:val="single"/>
          <w:lang w:val="lt-LT"/>
        </w:rPr>
      </w:pPr>
      <w:r w:rsidRPr="00A840FC">
        <w:rPr>
          <w:rFonts w:ascii="Times New Roman" w:eastAsia="Times New Roman" w:hAnsi="Times New Roman" w:cs="Times New Roman"/>
          <w:u w:val="single"/>
          <w:lang w:val="lt-LT"/>
        </w:rPr>
        <w:t>25 mg tabletė</w:t>
      </w:r>
    </w:p>
    <w:p w14:paraId="4F8EDC62"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Mikrokristalinė celiuliozė</w:t>
      </w:r>
    </w:p>
    <w:p w14:paraId="36A985ED"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Kroskarmeliozės natrio druska</w:t>
      </w:r>
    </w:p>
    <w:p w14:paraId="2083A546"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Povidonas (K30)</w:t>
      </w:r>
    </w:p>
    <w:p w14:paraId="75682F8A"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Magnio stearatas</w:t>
      </w:r>
    </w:p>
    <w:p w14:paraId="38F4BB6B"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p>
    <w:p w14:paraId="1FC6BC22"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u w:val="single"/>
          <w:lang w:val="lt-LT"/>
        </w:rPr>
      </w:pPr>
      <w:r w:rsidRPr="00A840FC">
        <w:rPr>
          <w:rFonts w:ascii="Times New Roman" w:eastAsia="Times New Roman" w:hAnsi="Times New Roman" w:cs="Times New Roman"/>
          <w:u w:val="single"/>
          <w:lang w:val="lt-LT"/>
        </w:rPr>
        <w:t>100 mg, 200 mg ir 300 mg tabletės</w:t>
      </w:r>
    </w:p>
    <w:p w14:paraId="262C2A09"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Mikrokristalinė celiuliozė</w:t>
      </w:r>
    </w:p>
    <w:p w14:paraId="07557244"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Kalcio-vandenilio fosfatas dihidratas</w:t>
      </w:r>
    </w:p>
    <w:p w14:paraId="740D49C1"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Laktozė monohidratas</w:t>
      </w:r>
    </w:p>
    <w:p w14:paraId="3CD37403"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Karboksimetilkrakmolo A natrio druska</w:t>
      </w:r>
    </w:p>
    <w:p w14:paraId="17167D85"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Povidonas (K30)</w:t>
      </w:r>
    </w:p>
    <w:p w14:paraId="54DA1668"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Magnio stearatas</w:t>
      </w:r>
    </w:p>
    <w:p w14:paraId="4D9A6B5F"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p>
    <w:p w14:paraId="38160250"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i/>
          <w:lang w:val="lt-LT"/>
        </w:rPr>
      </w:pPr>
      <w:r w:rsidRPr="00A840FC">
        <w:rPr>
          <w:rFonts w:ascii="Times New Roman" w:eastAsia="Times New Roman" w:hAnsi="Times New Roman" w:cs="Times New Roman"/>
          <w:i/>
          <w:lang w:val="lt-LT"/>
        </w:rPr>
        <w:t>Tabletės plėvelė (25 mg ir 100 mg tabletės)</w:t>
      </w:r>
    </w:p>
    <w:p w14:paraId="3F6398FE" w14:textId="614E0505"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i/>
          <w:lang w:val="lt-LT"/>
        </w:rPr>
        <w:t>Opadry II</w:t>
      </w:r>
      <w:r w:rsidRPr="00A840FC">
        <w:rPr>
          <w:rFonts w:ascii="Times New Roman" w:eastAsia="Times New Roman" w:hAnsi="Times New Roman" w:cs="Times New Roman"/>
          <w:lang w:val="lt-LT"/>
        </w:rPr>
        <w:t xml:space="preserve"> (</w:t>
      </w:r>
      <w:r w:rsidRPr="00A840FC">
        <w:rPr>
          <w:rFonts w:ascii="Times New Roman" w:eastAsia="Times New Roman" w:hAnsi="Times New Roman" w:cs="Times New Roman"/>
          <w:i/>
          <w:lang w:val="lt-LT"/>
        </w:rPr>
        <w:t>Opadry II</w:t>
      </w:r>
      <w:r w:rsidRPr="00A840FC">
        <w:rPr>
          <w:rFonts w:ascii="Times New Roman" w:eastAsia="Times New Roman" w:hAnsi="Times New Roman" w:cs="Times New Roman"/>
          <w:lang w:val="lt-LT"/>
        </w:rPr>
        <w:t xml:space="preserve"> sudėtyje yra iš dalies hidrolizuoto polivinilo alkoholio, makrogolio, talko, titano dioksido ir geležies oksidų).</w:t>
      </w:r>
    </w:p>
    <w:p w14:paraId="6AF1319F"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p>
    <w:p w14:paraId="42098970"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i/>
          <w:lang w:val="lt-LT"/>
        </w:rPr>
      </w:pPr>
      <w:r w:rsidRPr="00A840FC">
        <w:rPr>
          <w:rFonts w:ascii="Times New Roman" w:eastAsia="Times New Roman" w:hAnsi="Times New Roman" w:cs="Times New Roman"/>
          <w:i/>
          <w:lang w:val="lt-LT"/>
        </w:rPr>
        <w:t>Tabletės plėvelė (200 mg ir 300 mg tabletės)</w:t>
      </w:r>
    </w:p>
    <w:p w14:paraId="02EA5E17" w14:textId="0923722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i/>
          <w:lang w:val="lt-LT"/>
        </w:rPr>
        <w:t>Opadry II</w:t>
      </w:r>
      <w:r w:rsidRPr="00A840FC">
        <w:rPr>
          <w:rFonts w:ascii="Times New Roman" w:eastAsia="Times New Roman" w:hAnsi="Times New Roman" w:cs="Times New Roman"/>
          <w:lang w:val="lt-LT"/>
        </w:rPr>
        <w:t xml:space="preserve"> (</w:t>
      </w:r>
      <w:r w:rsidRPr="00A840FC">
        <w:rPr>
          <w:rFonts w:ascii="Times New Roman" w:eastAsia="Times New Roman" w:hAnsi="Times New Roman" w:cs="Times New Roman"/>
          <w:i/>
          <w:lang w:val="lt-LT"/>
        </w:rPr>
        <w:t>Opadry II</w:t>
      </w:r>
      <w:r w:rsidRPr="00A840FC">
        <w:rPr>
          <w:rFonts w:ascii="Times New Roman" w:eastAsia="Times New Roman" w:hAnsi="Times New Roman" w:cs="Times New Roman"/>
          <w:lang w:val="lt-LT"/>
        </w:rPr>
        <w:t xml:space="preserve"> sudėtyje yra iš dalies hidrolizuoto polivinilo alkoholio, makrogolio, talko, titano dioksido).</w:t>
      </w:r>
    </w:p>
    <w:p w14:paraId="74284802" w14:textId="77777777" w:rsidR="00A840FC" w:rsidRPr="00A840FC" w:rsidRDefault="00A840FC" w:rsidP="00A840FC">
      <w:pPr>
        <w:spacing w:after="0" w:line="240" w:lineRule="auto"/>
        <w:rPr>
          <w:rFonts w:ascii="Times New Roman" w:eastAsia="Arial Unicode MS" w:hAnsi="Times New Roman" w:cs="Times New Roman"/>
          <w:lang w:val="lt-LT"/>
        </w:rPr>
      </w:pPr>
    </w:p>
    <w:p w14:paraId="485F62A6" w14:textId="77777777" w:rsidR="00A840FC" w:rsidRPr="00A840FC" w:rsidRDefault="00A840FC" w:rsidP="00A840F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6" w:name="_Toc129243117"/>
      <w:bookmarkStart w:id="47" w:name="_Toc129243242"/>
      <w:r w:rsidRPr="00A840FC">
        <w:rPr>
          <w:rFonts w:ascii="Times New Roman" w:eastAsia="Times New Roman" w:hAnsi="Times New Roman" w:cs="Times New Roman"/>
          <w:b/>
          <w:kern w:val="28"/>
          <w:lang w:val="lt-LT"/>
        </w:rPr>
        <w:t>6.2</w:t>
      </w:r>
      <w:r w:rsidRPr="00A840FC">
        <w:rPr>
          <w:rFonts w:ascii="Times New Roman" w:eastAsia="Times New Roman" w:hAnsi="Times New Roman" w:cs="Times New Roman"/>
          <w:b/>
          <w:kern w:val="28"/>
          <w:lang w:val="lt-LT"/>
        </w:rPr>
        <w:tab/>
        <w:t>Nesuderinamumas</w:t>
      </w:r>
      <w:bookmarkEnd w:id="46"/>
      <w:bookmarkEnd w:id="47"/>
    </w:p>
    <w:p w14:paraId="0E5856B2" w14:textId="77777777" w:rsidR="00A840FC" w:rsidRPr="00A840FC" w:rsidRDefault="00A840FC" w:rsidP="00A840FC">
      <w:pPr>
        <w:spacing w:after="0" w:line="240" w:lineRule="auto"/>
        <w:rPr>
          <w:rFonts w:ascii="Times New Roman" w:eastAsia="Arial Unicode MS" w:hAnsi="Times New Roman" w:cs="Times New Roman"/>
          <w:lang w:val="lt-LT"/>
        </w:rPr>
      </w:pPr>
    </w:p>
    <w:p w14:paraId="6E029CB7"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Duomenys nebūtini.</w:t>
      </w:r>
    </w:p>
    <w:p w14:paraId="7542FF34" w14:textId="77777777" w:rsidR="00A840FC" w:rsidRPr="00A840FC" w:rsidRDefault="00A840FC" w:rsidP="00A840FC">
      <w:pPr>
        <w:spacing w:after="0" w:line="240" w:lineRule="auto"/>
        <w:rPr>
          <w:rFonts w:ascii="Times New Roman" w:eastAsia="Arial Unicode MS" w:hAnsi="Times New Roman" w:cs="Times New Roman"/>
          <w:lang w:val="lt-LT"/>
        </w:rPr>
      </w:pPr>
    </w:p>
    <w:p w14:paraId="26456F4B" w14:textId="77777777" w:rsidR="00A840FC" w:rsidRPr="00A840FC" w:rsidRDefault="00A840FC" w:rsidP="00A840F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8" w:name="_Toc129243118"/>
      <w:bookmarkStart w:id="49" w:name="_Toc129243243"/>
      <w:r w:rsidRPr="00A840FC">
        <w:rPr>
          <w:rFonts w:ascii="Times New Roman" w:eastAsia="Times New Roman" w:hAnsi="Times New Roman" w:cs="Times New Roman"/>
          <w:b/>
          <w:kern w:val="28"/>
          <w:lang w:val="lt-LT"/>
        </w:rPr>
        <w:lastRenderedPageBreak/>
        <w:t>6.3</w:t>
      </w:r>
      <w:r w:rsidRPr="00A840FC">
        <w:rPr>
          <w:rFonts w:ascii="Times New Roman" w:eastAsia="Times New Roman" w:hAnsi="Times New Roman" w:cs="Times New Roman"/>
          <w:b/>
          <w:kern w:val="28"/>
          <w:lang w:val="lt-LT"/>
        </w:rPr>
        <w:tab/>
        <w:t>Tinkamumo laikas</w:t>
      </w:r>
      <w:bookmarkEnd w:id="48"/>
      <w:bookmarkEnd w:id="49"/>
    </w:p>
    <w:p w14:paraId="50CB5E65" w14:textId="77777777" w:rsidR="00A840FC" w:rsidRPr="00A840FC" w:rsidRDefault="00A840FC" w:rsidP="00A840FC">
      <w:pPr>
        <w:spacing w:after="0" w:line="240" w:lineRule="auto"/>
        <w:rPr>
          <w:rFonts w:ascii="Times New Roman" w:eastAsia="Arial Unicode MS" w:hAnsi="Times New Roman" w:cs="Times New Roman"/>
          <w:lang w:val="lt-LT"/>
        </w:rPr>
      </w:pPr>
    </w:p>
    <w:p w14:paraId="24F133D7"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3 metai</w:t>
      </w:r>
    </w:p>
    <w:p w14:paraId="545E8F34" w14:textId="77777777" w:rsidR="00A840FC" w:rsidRPr="00A840FC" w:rsidRDefault="00A840FC" w:rsidP="00A840FC">
      <w:pPr>
        <w:spacing w:after="0" w:line="240" w:lineRule="auto"/>
        <w:rPr>
          <w:rFonts w:ascii="Times New Roman" w:eastAsia="Arial Unicode MS" w:hAnsi="Times New Roman" w:cs="Times New Roman"/>
          <w:lang w:val="lt-LT"/>
        </w:rPr>
      </w:pPr>
    </w:p>
    <w:p w14:paraId="4AA89E66" w14:textId="77777777" w:rsidR="00A840FC" w:rsidRPr="00A840FC" w:rsidRDefault="00A840FC" w:rsidP="00A840F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50" w:name="_Toc129243119"/>
      <w:bookmarkStart w:id="51" w:name="_Toc129243244"/>
      <w:r w:rsidRPr="00A840FC">
        <w:rPr>
          <w:rFonts w:ascii="Times New Roman" w:eastAsia="Times New Roman" w:hAnsi="Times New Roman" w:cs="Times New Roman"/>
          <w:b/>
          <w:kern w:val="28"/>
          <w:lang w:val="lt-LT"/>
        </w:rPr>
        <w:t>6.4</w:t>
      </w:r>
      <w:r w:rsidRPr="00A840FC">
        <w:rPr>
          <w:rFonts w:ascii="Times New Roman" w:eastAsia="Times New Roman" w:hAnsi="Times New Roman" w:cs="Times New Roman"/>
          <w:b/>
          <w:kern w:val="28"/>
          <w:lang w:val="lt-LT"/>
        </w:rPr>
        <w:tab/>
        <w:t>Specialios laikymo sąlygos</w:t>
      </w:r>
      <w:bookmarkEnd w:id="50"/>
      <w:bookmarkEnd w:id="51"/>
    </w:p>
    <w:p w14:paraId="41D18718" w14:textId="77777777" w:rsidR="00A840FC" w:rsidRPr="00A840FC" w:rsidRDefault="00A840FC" w:rsidP="00A840FC">
      <w:pPr>
        <w:spacing w:after="0" w:line="240" w:lineRule="auto"/>
        <w:rPr>
          <w:rFonts w:ascii="Times New Roman" w:eastAsia="Arial Unicode MS" w:hAnsi="Times New Roman" w:cs="Times New Roman"/>
          <w:lang w:val="lt-LT"/>
        </w:rPr>
      </w:pPr>
    </w:p>
    <w:p w14:paraId="1E388DF8"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Šiam vaistiniam preparatui specialių laikymo sąlygų nereikia.</w:t>
      </w:r>
    </w:p>
    <w:p w14:paraId="7AAB2C4C" w14:textId="77777777" w:rsidR="00A840FC" w:rsidRPr="00A840FC" w:rsidRDefault="00A840FC" w:rsidP="00A840FC">
      <w:pPr>
        <w:spacing w:after="0" w:line="240" w:lineRule="auto"/>
        <w:rPr>
          <w:rFonts w:ascii="Times New Roman" w:eastAsia="Arial Unicode MS" w:hAnsi="Times New Roman" w:cs="Times New Roman"/>
          <w:lang w:val="lt-LT"/>
        </w:rPr>
      </w:pPr>
    </w:p>
    <w:p w14:paraId="13CF4B36" w14:textId="77777777" w:rsidR="00A840FC" w:rsidRPr="00A840FC" w:rsidRDefault="00A840FC" w:rsidP="00A840F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52" w:name="_Toc129243120"/>
      <w:bookmarkStart w:id="53" w:name="_Toc129243245"/>
      <w:r w:rsidRPr="00A840FC">
        <w:rPr>
          <w:rFonts w:ascii="Times New Roman" w:eastAsia="Times New Roman" w:hAnsi="Times New Roman" w:cs="Times New Roman"/>
          <w:b/>
          <w:kern w:val="28"/>
          <w:lang w:val="lt-LT"/>
        </w:rPr>
        <w:t>6.5</w:t>
      </w:r>
      <w:r w:rsidRPr="00A840FC">
        <w:rPr>
          <w:rFonts w:ascii="Times New Roman" w:eastAsia="Times New Roman" w:hAnsi="Times New Roman" w:cs="Times New Roman"/>
          <w:b/>
          <w:kern w:val="28"/>
          <w:lang w:val="lt-LT"/>
        </w:rPr>
        <w:tab/>
        <w:t>Talpyklės pobūdis ir jos turinys</w:t>
      </w:r>
      <w:bookmarkEnd w:id="52"/>
      <w:bookmarkEnd w:id="53"/>
    </w:p>
    <w:p w14:paraId="128503CD" w14:textId="77777777" w:rsidR="00A840FC" w:rsidRPr="00A840FC" w:rsidRDefault="00A840FC" w:rsidP="00A840FC">
      <w:pPr>
        <w:spacing w:after="0" w:line="240" w:lineRule="auto"/>
        <w:rPr>
          <w:rFonts w:ascii="Times New Roman" w:eastAsia="Arial Unicode MS" w:hAnsi="Times New Roman" w:cs="Times New Roman"/>
          <w:lang w:val="lt-LT"/>
        </w:rPr>
      </w:pPr>
    </w:p>
    <w:p w14:paraId="13EF9742"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Lizdinė plokštelė:</w:t>
      </w:r>
    </w:p>
    <w:p w14:paraId="698A72E6" w14:textId="77777777" w:rsidR="00A840FC" w:rsidRPr="00A840FC" w:rsidRDefault="00A840FC" w:rsidP="00A840FC">
      <w:pPr>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25 mg: 6, 10, 30, 60 ir 100 tablečių.</w:t>
      </w:r>
    </w:p>
    <w:p w14:paraId="7F66DD08" w14:textId="77777777" w:rsidR="00A840FC" w:rsidRPr="00A840FC" w:rsidRDefault="00A840FC" w:rsidP="00A840FC">
      <w:pPr>
        <w:numPr>
          <w:ilvl w:val="12"/>
          <w:numId w:val="0"/>
        </w:numPr>
        <w:spacing w:after="0" w:line="240" w:lineRule="auto"/>
        <w:ind w:right="-2"/>
        <w:rPr>
          <w:rFonts w:ascii="Times New Roman" w:eastAsia="Times New Roman" w:hAnsi="Times New Roman" w:cs="Times New Roman"/>
          <w:lang w:val="lt-LT"/>
        </w:rPr>
      </w:pPr>
      <w:r w:rsidRPr="00A840FC">
        <w:rPr>
          <w:rFonts w:ascii="Times New Roman" w:eastAsia="Times New Roman" w:hAnsi="Times New Roman" w:cs="Times New Roman"/>
          <w:lang w:val="lt-LT"/>
        </w:rPr>
        <w:t>100 mg, 200 mg, 300 mg: 30, 60, 90 ir100 tablečių.</w:t>
      </w:r>
    </w:p>
    <w:p w14:paraId="283A894C" w14:textId="77777777" w:rsidR="00A840FC" w:rsidRPr="00A840FC" w:rsidRDefault="00A840FC" w:rsidP="00A840FC">
      <w:pPr>
        <w:tabs>
          <w:tab w:val="left" w:pos="1296"/>
        </w:tabs>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PVC/PVDC/aliuminio lizdinės plokštelės. Lizdinės plokštelės supakuotos kartono dėžutėje.</w:t>
      </w:r>
    </w:p>
    <w:p w14:paraId="68B1F928" w14:textId="77777777" w:rsidR="00A840FC" w:rsidRPr="00A840FC" w:rsidRDefault="00A840FC" w:rsidP="00A840FC">
      <w:pPr>
        <w:tabs>
          <w:tab w:val="left" w:pos="1296"/>
        </w:tabs>
        <w:autoSpaceDE w:val="0"/>
        <w:autoSpaceDN w:val="0"/>
        <w:adjustRightInd w:val="0"/>
        <w:spacing w:after="0" w:line="240" w:lineRule="auto"/>
        <w:rPr>
          <w:rFonts w:ascii="Times New Roman" w:eastAsia="Times New Roman" w:hAnsi="Times New Roman" w:cs="Times New Roman"/>
          <w:lang w:val="lt-LT"/>
        </w:rPr>
      </w:pPr>
    </w:p>
    <w:p w14:paraId="0EB0577D" w14:textId="77777777" w:rsidR="00A840FC" w:rsidRPr="00A840FC" w:rsidRDefault="00A840FC" w:rsidP="00A840FC">
      <w:pPr>
        <w:tabs>
          <w:tab w:val="left" w:pos="1296"/>
        </w:tabs>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Plastikinis plačiakaklis indas:</w:t>
      </w:r>
    </w:p>
    <w:p w14:paraId="1E1915BA" w14:textId="77777777" w:rsidR="00A840FC" w:rsidRPr="00A840FC" w:rsidRDefault="00A840FC" w:rsidP="00A840FC">
      <w:pPr>
        <w:tabs>
          <w:tab w:val="left" w:pos="1296"/>
        </w:tabs>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25 mg, 100 mg, 200 mg, 300 mg: 100 tablečių.</w:t>
      </w:r>
    </w:p>
    <w:p w14:paraId="436346B4" w14:textId="77777777" w:rsidR="00A840FC" w:rsidRPr="00A840FC" w:rsidRDefault="00A840FC" w:rsidP="00A840FC">
      <w:pPr>
        <w:tabs>
          <w:tab w:val="left" w:pos="1296"/>
        </w:tabs>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Didelio tankio polietileno (DTPE) plačiakakliai indai su DTPE uždoriu.</w:t>
      </w:r>
    </w:p>
    <w:p w14:paraId="529C41D4" w14:textId="77777777" w:rsidR="00A840FC" w:rsidRPr="00A840FC" w:rsidRDefault="00A840FC" w:rsidP="00A840FC">
      <w:pPr>
        <w:spacing w:after="0" w:line="240" w:lineRule="auto"/>
        <w:rPr>
          <w:rFonts w:ascii="Times New Roman" w:eastAsia="Times New Roman" w:hAnsi="Times New Roman" w:cs="Times New Roman"/>
          <w:lang w:val="lt-LT"/>
        </w:rPr>
      </w:pPr>
    </w:p>
    <w:p w14:paraId="4F964512" w14:textId="77777777" w:rsidR="00A840FC" w:rsidRPr="00A840FC" w:rsidRDefault="00A840FC" w:rsidP="00A840FC">
      <w:pPr>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Gali būti tiekiamos ne visų dydžių pakuotės.</w:t>
      </w:r>
    </w:p>
    <w:p w14:paraId="52E4A253" w14:textId="77777777" w:rsidR="00A840FC" w:rsidRPr="00A840FC" w:rsidRDefault="00A840FC" w:rsidP="00A840FC">
      <w:pPr>
        <w:spacing w:after="0" w:line="240" w:lineRule="auto"/>
        <w:rPr>
          <w:rFonts w:ascii="Times New Roman" w:eastAsia="Arial Unicode MS" w:hAnsi="Times New Roman" w:cs="Times New Roman"/>
          <w:lang w:val="lt-LT"/>
        </w:rPr>
      </w:pPr>
    </w:p>
    <w:p w14:paraId="28341B60" w14:textId="77777777" w:rsidR="00A840FC" w:rsidRPr="00A840FC" w:rsidRDefault="00A840FC" w:rsidP="00A840F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54" w:name="_Toc129243121"/>
      <w:bookmarkStart w:id="55" w:name="_Toc129243246"/>
      <w:r w:rsidRPr="00A840FC">
        <w:rPr>
          <w:rFonts w:ascii="Times New Roman" w:eastAsia="Times New Roman" w:hAnsi="Times New Roman" w:cs="Times New Roman"/>
          <w:b/>
          <w:kern w:val="28"/>
          <w:lang w:val="lt-LT"/>
        </w:rPr>
        <w:t>6.6</w:t>
      </w:r>
      <w:r w:rsidRPr="00A840FC">
        <w:rPr>
          <w:rFonts w:ascii="Times New Roman" w:eastAsia="Times New Roman" w:hAnsi="Times New Roman" w:cs="Times New Roman"/>
          <w:b/>
          <w:kern w:val="28"/>
          <w:lang w:val="lt-LT"/>
        </w:rPr>
        <w:tab/>
        <w:t xml:space="preserve">Specialūs reikalavimai atliekoms tvarkyti </w:t>
      </w:r>
      <w:bookmarkEnd w:id="54"/>
      <w:bookmarkEnd w:id="55"/>
    </w:p>
    <w:p w14:paraId="720B07D1" w14:textId="77777777" w:rsidR="00A840FC" w:rsidRPr="00A840FC" w:rsidRDefault="00A840FC" w:rsidP="00A840FC">
      <w:pPr>
        <w:spacing w:after="0" w:line="240" w:lineRule="auto"/>
        <w:rPr>
          <w:rFonts w:ascii="Times New Roman" w:eastAsia="Arial Unicode MS" w:hAnsi="Times New Roman" w:cs="Times New Roman"/>
          <w:lang w:val="lt-LT"/>
        </w:rPr>
      </w:pPr>
    </w:p>
    <w:p w14:paraId="2C37C3E1"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Nesuvartotą vaistinį preparatą ar atliekas reikia tvarkyti laikantis vietinių reikalavimų.</w:t>
      </w:r>
    </w:p>
    <w:p w14:paraId="72625864" w14:textId="77777777" w:rsidR="00A840FC" w:rsidRPr="00A840FC" w:rsidRDefault="00A840FC" w:rsidP="00A840FC">
      <w:pPr>
        <w:spacing w:after="0" w:line="240" w:lineRule="auto"/>
        <w:rPr>
          <w:rFonts w:ascii="Times New Roman" w:eastAsia="Arial Unicode MS" w:hAnsi="Times New Roman" w:cs="Times New Roman"/>
          <w:lang w:val="lt-LT"/>
        </w:rPr>
      </w:pPr>
    </w:p>
    <w:p w14:paraId="41E5E35F" w14:textId="77777777" w:rsidR="00A840FC" w:rsidRPr="00A840FC" w:rsidRDefault="00A840FC" w:rsidP="00A840FC">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bookmarkStart w:id="56" w:name="_Toc129243122"/>
      <w:bookmarkStart w:id="57" w:name="_Toc129243247"/>
      <w:r w:rsidRPr="00A840FC">
        <w:rPr>
          <w:rFonts w:ascii="Times New Roman" w:eastAsia="Times New Roman" w:hAnsi="Times New Roman" w:cs="Times New Roman"/>
          <w:b/>
          <w:bCs/>
          <w:snapToGrid w:val="0"/>
          <w:lang w:val="lt-LT" w:eastAsia="x-none"/>
        </w:rPr>
        <w:t>7.</w:t>
      </w:r>
      <w:r w:rsidRPr="00A840FC">
        <w:rPr>
          <w:rFonts w:ascii="Times New Roman" w:eastAsia="Times New Roman" w:hAnsi="Times New Roman" w:cs="Times New Roman"/>
          <w:b/>
          <w:bCs/>
          <w:snapToGrid w:val="0"/>
          <w:lang w:val="lt-LT" w:eastAsia="x-none"/>
        </w:rPr>
        <w:tab/>
        <w:t>REGISTRUOTOJAS</w:t>
      </w:r>
    </w:p>
    <w:bookmarkEnd w:id="56"/>
    <w:bookmarkEnd w:id="57"/>
    <w:p w14:paraId="2B5094D8" w14:textId="77777777" w:rsidR="00A840FC" w:rsidRPr="00A840FC" w:rsidRDefault="00A840FC" w:rsidP="00A840FC">
      <w:pPr>
        <w:spacing w:after="0" w:line="240" w:lineRule="auto"/>
        <w:rPr>
          <w:rFonts w:ascii="Times New Roman" w:eastAsia="Arial Unicode MS" w:hAnsi="Times New Roman" w:cs="Times New Roman"/>
          <w:lang w:val="lt-LT"/>
        </w:rPr>
      </w:pPr>
    </w:p>
    <w:p w14:paraId="4D6AFA6F"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Orion Corporation</w:t>
      </w:r>
    </w:p>
    <w:p w14:paraId="1C16579B"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Orionintie 1</w:t>
      </w:r>
    </w:p>
    <w:p w14:paraId="202BA2A3"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FI-02200 Espoo</w:t>
      </w:r>
    </w:p>
    <w:p w14:paraId="450B0C13"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Suomija</w:t>
      </w:r>
    </w:p>
    <w:p w14:paraId="53DB0BF8" w14:textId="77777777" w:rsidR="00A840FC" w:rsidRPr="00A840FC" w:rsidRDefault="00A840FC" w:rsidP="00A840FC">
      <w:pPr>
        <w:spacing w:after="0" w:line="240" w:lineRule="auto"/>
        <w:rPr>
          <w:rFonts w:ascii="Times New Roman" w:eastAsia="Arial Unicode MS" w:hAnsi="Times New Roman" w:cs="Times New Roman"/>
          <w:lang w:val="lt-LT"/>
        </w:rPr>
      </w:pPr>
    </w:p>
    <w:p w14:paraId="1567057C" w14:textId="77777777" w:rsidR="00A840FC" w:rsidRPr="00A840FC" w:rsidRDefault="00A840FC" w:rsidP="00A840FC">
      <w:pPr>
        <w:spacing w:after="0" w:line="240" w:lineRule="auto"/>
        <w:rPr>
          <w:rFonts w:ascii="Times New Roman" w:eastAsia="Arial Unicode MS" w:hAnsi="Times New Roman" w:cs="Times New Roman"/>
          <w:lang w:val="lt-LT"/>
        </w:rPr>
      </w:pPr>
    </w:p>
    <w:p w14:paraId="2C4A181A" w14:textId="77777777" w:rsidR="00A840FC" w:rsidRPr="00A840FC" w:rsidRDefault="00A840FC" w:rsidP="00A840FC">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bookmarkStart w:id="58" w:name="_Toc129243123"/>
      <w:bookmarkStart w:id="59" w:name="_Toc129243248"/>
      <w:r w:rsidRPr="00A840FC">
        <w:rPr>
          <w:rFonts w:ascii="Times New Roman" w:eastAsia="Times New Roman" w:hAnsi="Times New Roman" w:cs="Times New Roman"/>
          <w:b/>
          <w:bCs/>
          <w:snapToGrid w:val="0"/>
          <w:lang w:val="lt-LT" w:eastAsia="x-none"/>
        </w:rPr>
        <w:t>8.</w:t>
      </w:r>
      <w:r w:rsidRPr="00A840FC">
        <w:rPr>
          <w:rFonts w:ascii="Times New Roman" w:eastAsia="Times New Roman" w:hAnsi="Times New Roman" w:cs="Times New Roman"/>
          <w:b/>
          <w:bCs/>
          <w:snapToGrid w:val="0"/>
          <w:lang w:val="lt-LT" w:eastAsia="x-none"/>
        </w:rPr>
        <w:tab/>
        <w:t xml:space="preserve">REGISTRACIJOS PAŽYMĖJIMO NUMERIS (-IAI) </w:t>
      </w:r>
    </w:p>
    <w:bookmarkEnd w:id="58"/>
    <w:bookmarkEnd w:id="59"/>
    <w:p w14:paraId="318B5DCF" w14:textId="77777777" w:rsidR="00A840FC" w:rsidRPr="00A840FC" w:rsidRDefault="00A840FC" w:rsidP="00A840FC">
      <w:pPr>
        <w:spacing w:after="0" w:line="240" w:lineRule="auto"/>
        <w:rPr>
          <w:rFonts w:ascii="Times New Roman" w:eastAsia="Arial Unicode MS" w:hAnsi="Times New Roman" w:cs="Times New Roman"/>
          <w:lang w:val="lt-LT"/>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A840FC" w:rsidRPr="00A840FC" w14:paraId="12819464" w14:textId="77777777" w:rsidTr="007E1B2E">
        <w:tc>
          <w:tcPr>
            <w:tcW w:w="4530" w:type="dxa"/>
          </w:tcPr>
          <w:p w14:paraId="4A9AA929"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Ketipinor 25 mg plėvele dengtos tabletės</w:t>
            </w:r>
          </w:p>
          <w:p w14:paraId="2A58775E" w14:textId="77777777" w:rsidR="00A840FC" w:rsidRPr="00A840FC" w:rsidRDefault="00A840FC" w:rsidP="00A840FC">
            <w:pPr>
              <w:rPr>
                <w:rFonts w:ascii="Times New Roman" w:eastAsia="Calibri" w:hAnsi="Times New Roman" w:cs="Times New Roman"/>
                <w:u w:val="single"/>
                <w:lang w:val="lt-LT"/>
              </w:rPr>
            </w:pPr>
            <w:r w:rsidRPr="00A840FC">
              <w:rPr>
                <w:rFonts w:ascii="Times New Roman" w:eastAsia="Times New Roman" w:hAnsi="Times New Roman" w:cs="Times New Roman"/>
                <w:u w:val="single"/>
                <w:lang w:val="lt-LT"/>
              </w:rPr>
              <w:t>Lizdinė plokštelė</w:t>
            </w:r>
          </w:p>
          <w:p w14:paraId="1EE81316"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N6 – LT/1/07/0773/007</w:t>
            </w:r>
          </w:p>
          <w:p w14:paraId="483106D6"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N10 – LT/1/07/0773/001</w:t>
            </w:r>
          </w:p>
          <w:p w14:paraId="1BE02366"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N30 – LT/1/07/0773/021</w:t>
            </w:r>
          </w:p>
          <w:p w14:paraId="00BAC9DD"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N60 (6 x 10) – LT/1/07/0773/008</w:t>
            </w:r>
          </w:p>
          <w:p w14:paraId="18DED38B"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N60 (10 x 6) - LT/1/07/0773/009</w:t>
            </w:r>
          </w:p>
          <w:p w14:paraId="37662E13"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N100 – LT/1/07/0773/002</w:t>
            </w:r>
          </w:p>
          <w:p w14:paraId="6602652E" w14:textId="77777777" w:rsidR="00A840FC" w:rsidRPr="00A840FC" w:rsidRDefault="00A840FC" w:rsidP="00A840FC">
            <w:pPr>
              <w:rPr>
                <w:rFonts w:ascii="Times New Roman" w:eastAsia="Calibri" w:hAnsi="Times New Roman" w:cs="Times New Roman"/>
                <w:u w:val="single"/>
                <w:lang w:val="lt-LT"/>
              </w:rPr>
            </w:pPr>
            <w:r w:rsidRPr="00A840FC">
              <w:rPr>
                <w:rFonts w:ascii="Times New Roman" w:eastAsia="Times New Roman" w:hAnsi="Times New Roman" w:cs="Times New Roman"/>
                <w:u w:val="single"/>
                <w:lang w:val="lt-LT"/>
              </w:rPr>
              <w:t>Plačiakaklis indas</w:t>
            </w:r>
          </w:p>
          <w:p w14:paraId="04F088CE"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N100 – LT/ 07/0773/022</w:t>
            </w:r>
          </w:p>
        </w:tc>
        <w:tc>
          <w:tcPr>
            <w:tcW w:w="4530" w:type="dxa"/>
          </w:tcPr>
          <w:p w14:paraId="1ABCFA50"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Ketipinor 100 mg plėvele dengtos tabletės</w:t>
            </w:r>
          </w:p>
          <w:p w14:paraId="5EDBA0BC" w14:textId="77777777" w:rsidR="00A840FC" w:rsidRPr="00A840FC" w:rsidRDefault="00A840FC" w:rsidP="00A840FC">
            <w:pPr>
              <w:rPr>
                <w:rFonts w:ascii="Times New Roman" w:eastAsia="Calibri" w:hAnsi="Times New Roman" w:cs="Times New Roman"/>
                <w:u w:val="single"/>
                <w:lang w:val="lt-LT"/>
              </w:rPr>
            </w:pPr>
            <w:r w:rsidRPr="00A840FC">
              <w:rPr>
                <w:rFonts w:ascii="Times New Roman" w:eastAsia="Times New Roman" w:hAnsi="Times New Roman" w:cs="Times New Roman"/>
                <w:u w:val="single"/>
                <w:lang w:val="lt-LT"/>
              </w:rPr>
              <w:t>Lizdinė plokštelė</w:t>
            </w:r>
          </w:p>
          <w:p w14:paraId="2AB225B0"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N30 – LT/1/07/0773/003</w:t>
            </w:r>
          </w:p>
          <w:p w14:paraId="0F5C9F2A"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 xml:space="preserve">N60 (6 x 10) – LT/1/07/0773/010 </w:t>
            </w:r>
          </w:p>
          <w:p w14:paraId="6F52DA02"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N60 (10 x 6) – LT/1/07/0773/011</w:t>
            </w:r>
          </w:p>
          <w:p w14:paraId="58827111"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N90 – LT/1/07/0773/012</w:t>
            </w:r>
          </w:p>
          <w:p w14:paraId="1F387A36"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N100 – LT/1/07/0773/004</w:t>
            </w:r>
          </w:p>
          <w:p w14:paraId="54B525B5" w14:textId="77777777" w:rsidR="00A840FC" w:rsidRPr="00A840FC" w:rsidRDefault="00A840FC" w:rsidP="00A840FC">
            <w:pPr>
              <w:rPr>
                <w:rFonts w:ascii="Times New Roman" w:eastAsia="Calibri" w:hAnsi="Times New Roman" w:cs="Times New Roman"/>
                <w:u w:val="single"/>
                <w:lang w:val="lt-LT"/>
              </w:rPr>
            </w:pPr>
            <w:r w:rsidRPr="00A840FC">
              <w:rPr>
                <w:rFonts w:ascii="Times New Roman" w:eastAsia="Times New Roman" w:hAnsi="Times New Roman" w:cs="Times New Roman"/>
                <w:u w:val="single"/>
                <w:lang w:val="lt-LT"/>
              </w:rPr>
              <w:t xml:space="preserve">Plačiakaklis indas </w:t>
            </w:r>
          </w:p>
          <w:p w14:paraId="44748485"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N100 – LT/1/07/0773/023</w:t>
            </w:r>
          </w:p>
          <w:p w14:paraId="450CAE25" w14:textId="77777777" w:rsidR="00A840FC" w:rsidRPr="00A840FC" w:rsidRDefault="00A840FC" w:rsidP="00A840FC">
            <w:pPr>
              <w:rPr>
                <w:rFonts w:ascii="Times New Roman" w:eastAsia="Calibri" w:hAnsi="Times New Roman" w:cs="Times New Roman"/>
                <w:lang w:val="lt-LT"/>
              </w:rPr>
            </w:pPr>
          </w:p>
        </w:tc>
      </w:tr>
      <w:tr w:rsidR="00A840FC" w:rsidRPr="00A840FC" w14:paraId="708E164B" w14:textId="77777777" w:rsidTr="007E1B2E">
        <w:tc>
          <w:tcPr>
            <w:tcW w:w="4530" w:type="dxa"/>
          </w:tcPr>
          <w:p w14:paraId="102676BB"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Ketipinor 200 mg plėvele dengtos tabletės</w:t>
            </w:r>
          </w:p>
          <w:p w14:paraId="2EA59277" w14:textId="77777777" w:rsidR="00A840FC" w:rsidRPr="00A840FC" w:rsidRDefault="00A840FC" w:rsidP="00A840FC">
            <w:pPr>
              <w:rPr>
                <w:rFonts w:ascii="Times New Roman" w:eastAsia="Calibri" w:hAnsi="Times New Roman" w:cs="Times New Roman"/>
                <w:u w:val="single"/>
                <w:lang w:val="lt-LT"/>
              </w:rPr>
            </w:pPr>
            <w:r w:rsidRPr="00A840FC">
              <w:rPr>
                <w:rFonts w:ascii="Times New Roman" w:eastAsia="Times New Roman" w:hAnsi="Times New Roman" w:cs="Times New Roman"/>
                <w:u w:val="single"/>
                <w:lang w:val="lt-LT"/>
              </w:rPr>
              <w:t>Lizdinė plokštelė</w:t>
            </w:r>
          </w:p>
          <w:p w14:paraId="20F0B15B"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N30 – LT/1/07/0773/005</w:t>
            </w:r>
          </w:p>
          <w:p w14:paraId="4CD0A688"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 xml:space="preserve">N60 (6 x 10) – LT/1/07/0773/013 </w:t>
            </w:r>
          </w:p>
          <w:p w14:paraId="7B918B44"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N60 (10 x 6) – LT/1/07/0773/014</w:t>
            </w:r>
          </w:p>
          <w:p w14:paraId="1998A412"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N90 – LT/1/07/0773/015</w:t>
            </w:r>
          </w:p>
          <w:p w14:paraId="0FDAFD77"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N100 – LT/1/07/0773/006</w:t>
            </w:r>
          </w:p>
          <w:p w14:paraId="5F3A772D" w14:textId="77777777" w:rsidR="00A840FC" w:rsidRPr="00A840FC" w:rsidRDefault="00A840FC" w:rsidP="00A840FC">
            <w:pPr>
              <w:rPr>
                <w:rFonts w:ascii="Times New Roman" w:eastAsia="Calibri" w:hAnsi="Times New Roman" w:cs="Times New Roman"/>
                <w:u w:val="single"/>
                <w:lang w:val="lt-LT"/>
              </w:rPr>
            </w:pPr>
            <w:r w:rsidRPr="00A840FC">
              <w:rPr>
                <w:rFonts w:ascii="Times New Roman" w:eastAsia="Times New Roman" w:hAnsi="Times New Roman" w:cs="Times New Roman"/>
                <w:u w:val="single"/>
                <w:lang w:val="lt-LT"/>
              </w:rPr>
              <w:t>Plačiakaklis indas</w:t>
            </w:r>
          </w:p>
          <w:p w14:paraId="60FAD4FC" w14:textId="77777777" w:rsidR="00A840FC" w:rsidRPr="00A840FC" w:rsidRDefault="00A840FC" w:rsidP="00A840FC">
            <w:pPr>
              <w:rPr>
                <w:rFonts w:ascii="Times New Roman" w:eastAsia="Calibri" w:hAnsi="Times New Roman" w:cs="Times New Roman"/>
                <w:lang w:val="lt-LT"/>
              </w:rPr>
            </w:pPr>
            <w:r w:rsidRPr="00A840FC">
              <w:rPr>
                <w:rFonts w:ascii="Times New Roman" w:eastAsia="Arial Unicode MS" w:hAnsi="Times New Roman" w:cs="Times New Roman"/>
                <w:lang w:val="lt-LT"/>
              </w:rPr>
              <w:t>N100 – LT/ 1/07/0773/024</w:t>
            </w:r>
          </w:p>
        </w:tc>
        <w:tc>
          <w:tcPr>
            <w:tcW w:w="4530" w:type="dxa"/>
          </w:tcPr>
          <w:p w14:paraId="11C9A702"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Ketipinor 300 mg plėvele dengtos tabletės</w:t>
            </w:r>
          </w:p>
          <w:p w14:paraId="0018BAF1" w14:textId="77777777" w:rsidR="00A840FC" w:rsidRPr="00A840FC" w:rsidRDefault="00A840FC" w:rsidP="00A840FC">
            <w:pPr>
              <w:rPr>
                <w:rFonts w:ascii="Times New Roman" w:eastAsia="Calibri" w:hAnsi="Times New Roman" w:cs="Times New Roman"/>
                <w:u w:val="single"/>
                <w:lang w:val="lt-LT"/>
              </w:rPr>
            </w:pPr>
            <w:r w:rsidRPr="00A840FC">
              <w:rPr>
                <w:rFonts w:ascii="Times New Roman" w:eastAsia="Times New Roman" w:hAnsi="Times New Roman" w:cs="Times New Roman"/>
                <w:u w:val="single"/>
                <w:lang w:val="lt-LT"/>
              </w:rPr>
              <w:t>Lizdinė plokštelė</w:t>
            </w:r>
          </w:p>
          <w:p w14:paraId="4FC86067"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N30 – LT/1/07/0773/016</w:t>
            </w:r>
          </w:p>
          <w:p w14:paraId="552739BE"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N60 (6 x 10) – LT/1/07/0773/017</w:t>
            </w:r>
          </w:p>
          <w:p w14:paraId="5CDF0BD5"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N60 (10 x 6) – LT/1/07/0773/018</w:t>
            </w:r>
          </w:p>
          <w:p w14:paraId="73D5D41A"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N90 – LT/1/07/0773/019</w:t>
            </w:r>
          </w:p>
          <w:p w14:paraId="6D36CE99" w14:textId="77777777" w:rsidR="00A840FC" w:rsidRPr="00A840FC" w:rsidRDefault="00A840FC" w:rsidP="00A840FC">
            <w:pPr>
              <w:rPr>
                <w:rFonts w:ascii="Times New Roman" w:eastAsia="Calibri" w:hAnsi="Times New Roman" w:cs="Times New Roman"/>
                <w:lang w:val="lt-LT"/>
              </w:rPr>
            </w:pPr>
            <w:r w:rsidRPr="00A840FC">
              <w:rPr>
                <w:rFonts w:ascii="Times New Roman" w:eastAsia="Times New Roman" w:hAnsi="Times New Roman" w:cs="Times New Roman"/>
                <w:lang w:val="lt-LT"/>
              </w:rPr>
              <w:t>N100 – LT/1/07/0773/020</w:t>
            </w:r>
          </w:p>
          <w:p w14:paraId="6AA0A5D0" w14:textId="77777777" w:rsidR="00A840FC" w:rsidRPr="00A840FC" w:rsidRDefault="00A840FC" w:rsidP="00A840FC">
            <w:pPr>
              <w:rPr>
                <w:rFonts w:ascii="Times New Roman" w:eastAsia="Calibri" w:hAnsi="Times New Roman" w:cs="Times New Roman"/>
                <w:u w:val="single"/>
                <w:lang w:val="lt-LT"/>
              </w:rPr>
            </w:pPr>
            <w:r w:rsidRPr="00A840FC">
              <w:rPr>
                <w:rFonts w:ascii="Times New Roman" w:eastAsia="Times New Roman" w:hAnsi="Times New Roman" w:cs="Times New Roman"/>
                <w:u w:val="single"/>
                <w:lang w:val="lt-LT"/>
              </w:rPr>
              <w:t>Plačiakaklis indas</w:t>
            </w:r>
          </w:p>
          <w:p w14:paraId="3005FB7F" w14:textId="77777777" w:rsidR="00A840FC" w:rsidRPr="00A840FC" w:rsidRDefault="00A840FC" w:rsidP="00A840FC">
            <w:pPr>
              <w:rPr>
                <w:rFonts w:ascii="Times New Roman" w:eastAsia="Calibri" w:hAnsi="Times New Roman" w:cs="Times New Roman"/>
                <w:lang w:val="lt-LT"/>
              </w:rPr>
            </w:pPr>
            <w:r w:rsidRPr="00A840FC">
              <w:rPr>
                <w:rFonts w:ascii="Times New Roman" w:eastAsia="Arial Unicode MS" w:hAnsi="Times New Roman" w:cs="Times New Roman"/>
                <w:lang w:val="lt-LT"/>
              </w:rPr>
              <w:t>N100 – LT/1/07/0773/025</w:t>
            </w:r>
          </w:p>
        </w:tc>
      </w:tr>
    </w:tbl>
    <w:p w14:paraId="15FA2F50" w14:textId="77777777" w:rsidR="00A840FC" w:rsidRPr="00A840FC" w:rsidRDefault="00A840FC" w:rsidP="00A840FC">
      <w:pPr>
        <w:spacing w:after="0" w:line="240" w:lineRule="auto"/>
        <w:rPr>
          <w:rFonts w:ascii="Times New Roman" w:eastAsia="Arial Unicode MS" w:hAnsi="Times New Roman" w:cs="Times New Roman"/>
          <w:lang w:val="lt-LT"/>
        </w:rPr>
      </w:pPr>
    </w:p>
    <w:p w14:paraId="39F5D17A" w14:textId="77777777" w:rsidR="00A840FC" w:rsidRPr="00A840FC" w:rsidRDefault="00A840FC" w:rsidP="00A840FC">
      <w:pPr>
        <w:spacing w:after="0" w:line="240" w:lineRule="auto"/>
        <w:rPr>
          <w:rFonts w:ascii="Times New Roman" w:eastAsia="Arial Unicode MS" w:hAnsi="Times New Roman" w:cs="Times New Roman"/>
          <w:lang w:val="lt-LT"/>
        </w:rPr>
      </w:pPr>
    </w:p>
    <w:p w14:paraId="2671FEC0" w14:textId="77777777" w:rsidR="00A840FC" w:rsidRPr="00A840FC" w:rsidRDefault="00A840FC" w:rsidP="00A840FC">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bookmarkStart w:id="60" w:name="_Toc129243124"/>
      <w:bookmarkStart w:id="61" w:name="_Toc129243249"/>
      <w:r w:rsidRPr="00A840FC">
        <w:rPr>
          <w:rFonts w:ascii="Times New Roman" w:eastAsia="Times New Roman" w:hAnsi="Times New Roman" w:cs="Times New Roman"/>
          <w:b/>
          <w:bCs/>
          <w:snapToGrid w:val="0"/>
          <w:lang w:val="lt-LT" w:eastAsia="x-none"/>
        </w:rPr>
        <w:lastRenderedPageBreak/>
        <w:t>9.</w:t>
      </w:r>
      <w:r w:rsidRPr="00A840FC">
        <w:rPr>
          <w:rFonts w:ascii="Times New Roman" w:eastAsia="Times New Roman" w:hAnsi="Times New Roman" w:cs="Times New Roman"/>
          <w:b/>
          <w:bCs/>
          <w:snapToGrid w:val="0"/>
          <w:lang w:val="lt-LT" w:eastAsia="x-none"/>
        </w:rPr>
        <w:tab/>
        <w:t>REGISTRAVIMO / PERREGISTRAVIMO DATA</w:t>
      </w:r>
    </w:p>
    <w:bookmarkEnd w:id="60"/>
    <w:bookmarkEnd w:id="61"/>
    <w:p w14:paraId="7E46E5E3" w14:textId="77777777" w:rsidR="00A840FC" w:rsidRPr="00A840FC" w:rsidRDefault="00A840FC" w:rsidP="00A840FC">
      <w:pPr>
        <w:spacing w:after="0" w:line="240" w:lineRule="auto"/>
        <w:rPr>
          <w:rFonts w:ascii="Times New Roman" w:eastAsia="Arial Unicode MS" w:hAnsi="Times New Roman" w:cs="Times New Roman"/>
          <w:lang w:val="lt-LT"/>
        </w:rPr>
      </w:pPr>
    </w:p>
    <w:p w14:paraId="00EE2304"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Registravimo data 2007 m. liepos 3 d. </w:t>
      </w:r>
    </w:p>
    <w:p w14:paraId="4AC1F325" w14:textId="77777777" w:rsidR="00A840FC" w:rsidRPr="00A840FC" w:rsidRDefault="00A840FC" w:rsidP="00A840FC">
      <w:pPr>
        <w:spacing w:after="0" w:line="240" w:lineRule="auto"/>
        <w:ind w:left="720"/>
        <w:rPr>
          <w:rFonts w:ascii="Times New Roman" w:eastAsia="Times New Roman" w:hAnsi="Times New Roman" w:cs="Times New Roman"/>
          <w:lang w:val="lt-LT"/>
        </w:rPr>
      </w:pPr>
      <w:r w:rsidRPr="00A840FC">
        <w:rPr>
          <w:rFonts w:ascii="Times New Roman" w:eastAsia="Times New Roman" w:hAnsi="Times New Roman" w:cs="Times New Roman"/>
          <w:lang w:val="lt-LT"/>
        </w:rPr>
        <w:t>Ketipinor 25 mg plėvele dengtos tabletės</w:t>
      </w:r>
    </w:p>
    <w:p w14:paraId="0D99B01B" w14:textId="77777777" w:rsidR="00A840FC" w:rsidRPr="00A840FC" w:rsidRDefault="00A840FC" w:rsidP="00A840FC">
      <w:pPr>
        <w:spacing w:after="0" w:line="240" w:lineRule="auto"/>
        <w:ind w:left="720"/>
        <w:rPr>
          <w:rFonts w:ascii="Times New Roman" w:eastAsia="Times New Roman" w:hAnsi="Times New Roman" w:cs="Times New Roman"/>
          <w:lang w:val="lt-LT"/>
        </w:rPr>
      </w:pPr>
      <w:r w:rsidRPr="00A840FC">
        <w:rPr>
          <w:rFonts w:ascii="Times New Roman" w:eastAsia="Times New Roman" w:hAnsi="Times New Roman" w:cs="Times New Roman"/>
          <w:lang w:val="lt-LT"/>
        </w:rPr>
        <w:t>Ketipinor 100 mg plėvele dengtos tabletės</w:t>
      </w:r>
    </w:p>
    <w:p w14:paraId="5C05BCB2" w14:textId="77777777" w:rsidR="00A840FC" w:rsidRPr="00A840FC" w:rsidRDefault="00A840FC" w:rsidP="00A840FC">
      <w:pPr>
        <w:spacing w:after="0" w:line="240" w:lineRule="auto"/>
        <w:ind w:left="720"/>
        <w:rPr>
          <w:rFonts w:ascii="Times New Roman" w:eastAsia="Times New Roman" w:hAnsi="Times New Roman" w:cs="Times New Roman"/>
          <w:lang w:val="lt-LT"/>
        </w:rPr>
      </w:pPr>
      <w:r w:rsidRPr="00A840FC">
        <w:rPr>
          <w:rFonts w:ascii="Times New Roman" w:eastAsia="Times New Roman" w:hAnsi="Times New Roman" w:cs="Times New Roman"/>
          <w:lang w:val="lt-LT"/>
        </w:rPr>
        <w:t>Ketipinor 200 mg plėvele dengtos tabletės</w:t>
      </w:r>
    </w:p>
    <w:p w14:paraId="6324DE0A" w14:textId="77777777" w:rsidR="00A840FC" w:rsidRPr="00A840FC" w:rsidRDefault="00A840FC" w:rsidP="00A840FC">
      <w:pPr>
        <w:spacing w:after="0" w:line="240" w:lineRule="auto"/>
        <w:rPr>
          <w:rFonts w:ascii="Times New Roman" w:eastAsia="Times New Roman" w:hAnsi="Times New Roman" w:cs="Times New Roman"/>
          <w:lang w:val="lt-LT"/>
        </w:rPr>
      </w:pPr>
    </w:p>
    <w:p w14:paraId="18671C9F"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Registravimo data 2009 m. lapkričio 4 d. </w:t>
      </w:r>
    </w:p>
    <w:p w14:paraId="46C1C452" w14:textId="77777777" w:rsidR="00A840FC" w:rsidRPr="00A840FC" w:rsidRDefault="00A840FC" w:rsidP="00A840FC">
      <w:pPr>
        <w:spacing w:after="0" w:line="240" w:lineRule="auto"/>
        <w:ind w:left="720"/>
        <w:rPr>
          <w:rFonts w:ascii="Times New Roman" w:eastAsia="Times New Roman" w:hAnsi="Times New Roman" w:cs="Times New Roman"/>
          <w:lang w:val="lt-LT"/>
        </w:rPr>
      </w:pPr>
      <w:r w:rsidRPr="00A840FC">
        <w:rPr>
          <w:rFonts w:ascii="Times New Roman" w:eastAsia="Times New Roman" w:hAnsi="Times New Roman" w:cs="Times New Roman"/>
          <w:lang w:val="lt-LT"/>
        </w:rPr>
        <w:t>Ketipinor 300 mg plėvele dengtos tabletės</w:t>
      </w:r>
    </w:p>
    <w:p w14:paraId="12955F59" w14:textId="77777777" w:rsidR="00A840FC" w:rsidRPr="00A840FC" w:rsidRDefault="00A840FC" w:rsidP="00A840FC">
      <w:pPr>
        <w:spacing w:after="0" w:line="240" w:lineRule="auto"/>
        <w:rPr>
          <w:rFonts w:ascii="Times New Roman" w:eastAsia="Arial Unicode MS" w:hAnsi="Times New Roman" w:cs="Times New Roman"/>
          <w:lang w:val="lt-LT"/>
        </w:rPr>
      </w:pPr>
    </w:p>
    <w:p w14:paraId="07779FD8"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Paskutinio perregistravimo data </w:t>
      </w:r>
      <w:r w:rsidRPr="00A840FC">
        <w:rPr>
          <w:rFonts w:ascii="Times New Roman" w:eastAsia="Calibri" w:hAnsi="Times New Roman" w:cs="Times New Roman"/>
          <w:lang w:val="lt-LT"/>
        </w:rPr>
        <w:t>2015 m. lapkričio 18 d.</w:t>
      </w:r>
    </w:p>
    <w:p w14:paraId="133BD206" w14:textId="77777777" w:rsidR="00A840FC" w:rsidRPr="00A840FC" w:rsidRDefault="00A840FC" w:rsidP="00A840FC">
      <w:pPr>
        <w:spacing w:after="0" w:line="240" w:lineRule="auto"/>
        <w:rPr>
          <w:rFonts w:ascii="Times New Roman" w:eastAsia="Arial Unicode MS" w:hAnsi="Times New Roman" w:cs="Times New Roman"/>
          <w:lang w:val="lt-LT"/>
        </w:rPr>
      </w:pPr>
    </w:p>
    <w:p w14:paraId="78F4FEA0" w14:textId="77777777" w:rsidR="00A840FC" w:rsidRPr="00A840FC" w:rsidRDefault="00A840FC" w:rsidP="00A840FC">
      <w:pPr>
        <w:spacing w:after="0" w:line="240" w:lineRule="auto"/>
        <w:rPr>
          <w:rFonts w:ascii="Times New Roman" w:eastAsia="Arial Unicode MS" w:hAnsi="Times New Roman" w:cs="Times New Roman"/>
          <w:lang w:val="lt-LT"/>
        </w:rPr>
      </w:pPr>
    </w:p>
    <w:p w14:paraId="69D94725" w14:textId="77777777" w:rsidR="00A840FC" w:rsidRPr="00A840FC" w:rsidRDefault="00A840FC" w:rsidP="00A840F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2" w:name="_Toc129243125"/>
      <w:bookmarkStart w:id="63" w:name="_Toc129243250"/>
      <w:r w:rsidRPr="00A840FC">
        <w:rPr>
          <w:rFonts w:ascii="Times New Roman" w:eastAsia="Times New Roman" w:hAnsi="Times New Roman" w:cs="Times New Roman"/>
          <w:b/>
          <w:lang w:val="lt-LT"/>
        </w:rPr>
        <w:t>10.</w:t>
      </w:r>
      <w:r w:rsidRPr="00A840FC">
        <w:rPr>
          <w:rFonts w:ascii="Times New Roman" w:eastAsia="Times New Roman" w:hAnsi="Times New Roman" w:cs="Times New Roman"/>
          <w:b/>
          <w:lang w:val="lt-LT"/>
        </w:rPr>
        <w:tab/>
        <w:t>TEKSTO PERŽIŪROS DATA</w:t>
      </w:r>
      <w:bookmarkEnd w:id="62"/>
      <w:bookmarkEnd w:id="63"/>
    </w:p>
    <w:p w14:paraId="4F8B3C91" w14:textId="77777777" w:rsidR="00A840FC" w:rsidRPr="00A840FC" w:rsidRDefault="00A840FC" w:rsidP="00A840FC">
      <w:pPr>
        <w:spacing w:after="0" w:line="240" w:lineRule="auto"/>
        <w:rPr>
          <w:rFonts w:ascii="Times New Roman" w:eastAsia="Arial Unicode MS" w:hAnsi="Times New Roman" w:cs="Times New Roman"/>
          <w:lang w:val="lt-LT"/>
        </w:rPr>
      </w:pPr>
    </w:p>
    <w:p w14:paraId="6B15B05E" w14:textId="545182DC" w:rsidR="00C76EEE" w:rsidRPr="00827776" w:rsidRDefault="00C76EEE" w:rsidP="00C76EEE">
      <w:pPr>
        <w:tabs>
          <w:tab w:val="left" w:pos="567"/>
        </w:tabs>
        <w:spacing w:after="0" w:line="240" w:lineRule="auto"/>
        <w:rPr>
          <w:rFonts w:ascii="Times New Roman" w:hAnsi="Times New Roman"/>
          <w:lang w:val="lt-LT"/>
        </w:rPr>
      </w:pPr>
      <w:r w:rsidRPr="00827776">
        <w:rPr>
          <w:rFonts w:ascii="Times New Roman" w:hAnsi="Times New Roman"/>
          <w:lang w:val="lt-LT"/>
        </w:rPr>
        <w:t>202</w:t>
      </w:r>
      <w:r w:rsidR="009015A7">
        <w:rPr>
          <w:rFonts w:ascii="Times New Roman" w:hAnsi="Times New Roman"/>
          <w:lang w:val="lt-LT"/>
        </w:rPr>
        <w:t>4</w:t>
      </w:r>
      <w:r w:rsidRPr="00827776">
        <w:rPr>
          <w:rFonts w:ascii="Times New Roman" w:hAnsi="Times New Roman"/>
          <w:lang w:val="lt-LT"/>
        </w:rPr>
        <w:t xml:space="preserve"> m. </w:t>
      </w:r>
      <w:r w:rsidR="009015A7">
        <w:rPr>
          <w:rFonts w:ascii="Times New Roman" w:hAnsi="Times New Roman"/>
          <w:lang w:val="lt-LT"/>
        </w:rPr>
        <w:t>birželio 24</w:t>
      </w:r>
      <w:r w:rsidRPr="00827776">
        <w:rPr>
          <w:rFonts w:ascii="Times New Roman" w:hAnsi="Times New Roman"/>
          <w:lang w:val="lt-LT"/>
        </w:rPr>
        <w:t> d.</w:t>
      </w:r>
    </w:p>
    <w:p w14:paraId="1F96737A" w14:textId="77777777" w:rsidR="00A840FC" w:rsidRPr="00A840FC" w:rsidRDefault="00A840FC" w:rsidP="00A840FC">
      <w:pPr>
        <w:spacing w:after="0" w:line="240" w:lineRule="auto"/>
        <w:rPr>
          <w:rFonts w:ascii="Times New Roman" w:eastAsia="Arial Unicode MS" w:hAnsi="Times New Roman" w:cs="Times New Roman"/>
          <w:lang w:val="lt-LT"/>
        </w:rPr>
      </w:pPr>
    </w:p>
    <w:p w14:paraId="69D8CE42"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Išsami informacija apie šį vaistinį preparatą pateikiama Valstybinės vaistų kontrolės tarnybos prie Lietuvos Respublikos sveikatos apsaugos ministerijos tinklalapyje</w:t>
      </w:r>
      <w:r w:rsidRPr="00A840FC">
        <w:rPr>
          <w:rFonts w:ascii="Times New Roman" w:eastAsia="Arial Unicode MS" w:hAnsi="Times New Roman" w:cs="Times New Roman"/>
          <w:i/>
          <w:lang w:val="lt-LT"/>
        </w:rPr>
        <w:t xml:space="preserve"> </w:t>
      </w:r>
      <w:hyperlink r:id="rId12" w:history="1">
        <w:r w:rsidRPr="00A840FC">
          <w:rPr>
            <w:rFonts w:ascii="Times New Roman" w:eastAsia="Calibri" w:hAnsi="Times New Roman" w:cs="Times New Roman"/>
            <w:u w:val="single"/>
            <w:lang w:val="lt-LT"/>
          </w:rPr>
          <w:t>http://www.</w:t>
        </w:r>
        <w:bookmarkStart w:id="64" w:name="_Hlt98560650"/>
        <w:bookmarkStart w:id="65" w:name="_Hlt98560651"/>
        <w:r w:rsidRPr="00A840FC">
          <w:rPr>
            <w:rFonts w:ascii="Times New Roman" w:eastAsia="Calibri" w:hAnsi="Times New Roman" w:cs="Times New Roman"/>
            <w:u w:val="single"/>
            <w:lang w:val="lt-LT"/>
          </w:rPr>
          <w:t>vvkt</w:t>
        </w:r>
        <w:bookmarkEnd w:id="64"/>
        <w:bookmarkEnd w:id="65"/>
        <w:r w:rsidRPr="00A840FC">
          <w:rPr>
            <w:rFonts w:ascii="Times New Roman" w:eastAsia="Calibri" w:hAnsi="Times New Roman" w:cs="Times New Roman"/>
            <w:u w:val="single"/>
            <w:lang w:val="lt-LT"/>
          </w:rPr>
          <w:t>.lt</w:t>
        </w:r>
      </w:hyperlink>
    </w:p>
    <w:p w14:paraId="3D6DA9FF" w14:textId="77777777" w:rsidR="00A840FC" w:rsidRPr="00A840FC" w:rsidRDefault="00A840FC" w:rsidP="00A840FC">
      <w:pPr>
        <w:spacing w:after="0" w:line="240" w:lineRule="auto"/>
        <w:rPr>
          <w:rFonts w:ascii="Times New Roman" w:eastAsia="Arial Unicode MS" w:hAnsi="Times New Roman" w:cs="Times New Roman"/>
          <w:lang w:val="lt-LT"/>
        </w:rPr>
      </w:pPr>
    </w:p>
    <w:p w14:paraId="331F6451" w14:textId="77777777" w:rsidR="00A840FC" w:rsidRPr="00A840FC" w:rsidRDefault="00A840FC" w:rsidP="00A840FC">
      <w:pPr>
        <w:spacing w:after="0" w:line="240" w:lineRule="auto"/>
        <w:rPr>
          <w:rFonts w:ascii="Times New Roman" w:eastAsia="Times New Roman" w:hAnsi="Times New Roman" w:cs="Times New Roman"/>
          <w:b/>
          <w:caps/>
          <w:lang w:val="lt-LT"/>
        </w:rPr>
      </w:pPr>
      <w:r w:rsidRPr="00A840FC">
        <w:rPr>
          <w:rFonts w:ascii="Times New Roman" w:eastAsia="Times New Roman" w:hAnsi="Times New Roman" w:cs="Times New Roman"/>
          <w:b/>
          <w:caps/>
          <w:lang w:val="lt-LT"/>
        </w:rPr>
        <w:br w:type="page"/>
      </w:r>
    </w:p>
    <w:p w14:paraId="5658589B"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164C22B4"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01DC188E"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73A6A5CC"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5B337560"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602AD4CA"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66323F51"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30B402E2"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04DF66A1"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0970EFC1"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4CAA7A9B"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432E6EB1"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675942BB"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6661F63E"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5730A175"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7FAEE5C8"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73B23984"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17557391"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443F49D5"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4B004725"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64B63D51"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3E5B3553"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4C199661"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0CAAF04B"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r w:rsidRPr="00A840FC">
        <w:rPr>
          <w:rFonts w:ascii="Times New Roman" w:eastAsia="Times New Roman" w:hAnsi="Times New Roman" w:cs="Times New Roman"/>
          <w:b/>
          <w:caps/>
          <w:lang w:val="lt-LT"/>
        </w:rPr>
        <w:t>II PRIEDAS</w:t>
      </w:r>
      <w:bookmarkEnd w:id="0"/>
      <w:bookmarkEnd w:id="1"/>
    </w:p>
    <w:p w14:paraId="14D113B0"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33ED0162"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r w:rsidRPr="00A840FC">
        <w:rPr>
          <w:rFonts w:ascii="Times New Roman" w:eastAsia="Times New Roman" w:hAnsi="Times New Roman" w:cs="Times New Roman"/>
          <w:b/>
          <w:caps/>
          <w:lang w:val="lt-LT"/>
        </w:rPr>
        <w:t>REGISTRACIJOS SĄLYGOS</w:t>
      </w:r>
    </w:p>
    <w:p w14:paraId="265ADA27" w14:textId="77777777" w:rsidR="00A840FC" w:rsidRPr="00A840FC" w:rsidRDefault="00A840FC" w:rsidP="00A840FC">
      <w:pPr>
        <w:tabs>
          <w:tab w:val="left" w:pos="567"/>
        </w:tabs>
        <w:spacing w:after="0" w:line="240" w:lineRule="auto"/>
        <w:rPr>
          <w:rFonts w:ascii="Times New Roman" w:eastAsia="Times New Roman" w:hAnsi="Times New Roman" w:cs="Times New Roman"/>
          <w:snapToGrid w:val="0"/>
          <w:lang w:val="lt-LT"/>
        </w:rPr>
      </w:pPr>
    </w:p>
    <w:p w14:paraId="066FE3F0" w14:textId="77777777" w:rsidR="00A840FC" w:rsidRPr="00A840FC" w:rsidRDefault="00A840FC" w:rsidP="00A840FC">
      <w:pPr>
        <w:tabs>
          <w:tab w:val="left" w:pos="1701"/>
        </w:tabs>
        <w:spacing w:after="0" w:line="240" w:lineRule="auto"/>
        <w:ind w:left="1701" w:right="567" w:hanging="567"/>
        <w:rPr>
          <w:rFonts w:ascii="Times New Roman" w:eastAsia="Times New Roman" w:hAnsi="Times New Roman" w:cs="Times New Roman"/>
          <w:b/>
          <w:snapToGrid w:val="0"/>
          <w:lang w:val="lt-LT"/>
        </w:rPr>
      </w:pPr>
      <w:r w:rsidRPr="00A840FC">
        <w:rPr>
          <w:rFonts w:ascii="Times New Roman" w:eastAsia="Times New Roman" w:hAnsi="Times New Roman" w:cs="Times New Roman"/>
          <w:b/>
          <w:snapToGrid w:val="0"/>
          <w:lang w:val="lt-LT"/>
        </w:rPr>
        <w:t>A.</w:t>
      </w:r>
      <w:r w:rsidRPr="00A840FC">
        <w:rPr>
          <w:rFonts w:ascii="Times New Roman" w:eastAsia="Times New Roman" w:hAnsi="Times New Roman" w:cs="Times New Roman"/>
          <w:b/>
          <w:snapToGrid w:val="0"/>
          <w:lang w:val="lt-LT"/>
        </w:rPr>
        <w:tab/>
        <w:t>GAMINTOJAS (-AI), ATSAKINGAS (-I) UŽ SERIJŲ IŠLEIDIMĄ</w:t>
      </w:r>
    </w:p>
    <w:p w14:paraId="0D881288" w14:textId="77777777" w:rsidR="00A840FC" w:rsidRPr="00A840FC" w:rsidRDefault="00A840FC" w:rsidP="00A840FC">
      <w:pPr>
        <w:tabs>
          <w:tab w:val="left" w:pos="1701"/>
        </w:tabs>
        <w:spacing w:after="0" w:line="240" w:lineRule="auto"/>
        <w:ind w:left="567" w:right="567" w:hanging="567"/>
        <w:rPr>
          <w:rFonts w:ascii="Times New Roman" w:eastAsia="Times New Roman" w:hAnsi="Times New Roman" w:cs="Times New Roman"/>
          <w:snapToGrid w:val="0"/>
          <w:lang w:val="lt-LT"/>
        </w:rPr>
      </w:pPr>
    </w:p>
    <w:p w14:paraId="383BA28E" w14:textId="77777777" w:rsidR="00A840FC" w:rsidRPr="00A840FC" w:rsidRDefault="00A840FC" w:rsidP="00A840FC">
      <w:pPr>
        <w:tabs>
          <w:tab w:val="left" w:pos="1701"/>
        </w:tabs>
        <w:spacing w:after="0" w:line="240" w:lineRule="auto"/>
        <w:ind w:left="1701" w:right="567" w:hanging="567"/>
        <w:rPr>
          <w:rFonts w:ascii="Times New Roman" w:eastAsia="Times New Roman" w:hAnsi="Times New Roman" w:cs="Times New Roman"/>
          <w:b/>
          <w:snapToGrid w:val="0"/>
          <w:lang w:val="lt-LT"/>
        </w:rPr>
      </w:pPr>
      <w:r w:rsidRPr="00A840FC">
        <w:rPr>
          <w:rFonts w:ascii="Times New Roman" w:eastAsia="Times New Roman" w:hAnsi="Times New Roman" w:cs="Times New Roman"/>
          <w:b/>
          <w:snapToGrid w:val="0"/>
          <w:lang w:val="lt-LT"/>
        </w:rPr>
        <w:t>B.</w:t>
      </w:r>
      <w:r w:rsidRPr="00A840FC">
        <w:rPr>
          <w:rFonts w:ascii="Times New Roman" w:eastAsia="Times New Roman" w:hAnsi="Times New Roman" w:cs="Times New Roman"/>
          <w:b/>
          <w:snapToGrid w:val="0"/>
          <w:lang w:val="lt-LT"/>
        </w:rPr>
        <w:tab/>
        <w:t>TIEKIMO IR VARTOJIMO SĄLYGOS AR APRIBOJIMAI</w:t>
      </w:r>
    </w:p>
    <w:p w14:paraId="62D7EF6F" w14:textId="77777777" w:rsidR="00A840FC" w:rsidRPr="00A840FC" w:rsidRDefault="00A840FC" w:rsidP="00A840FC">
      <w:pPr>
        <w:spacing w:after="0" w:line="240" w:lineRule="auto"/>
        <w:rPr>
          <w:rFonts w:ascii="Times New Roman" w:eastAsia="Arial Unicode MS" w:hAnsi="Times New Roman" w:cs="Times New Roman"/>
          <w:highlight w:val="yellow"/>
          <w:lang w:val="lt-LT"/>
        </w:rPr>
      </w:pPr>
    </w:p>
    <w:p w14:paraId="11096AF7" w14:textId="77777777" w:rsidR="00A840FC" w:rsidRPr="00A840FC" w:rsidRDefault="00A840FC" w:rsidP="00A840FC">
      <w:pPr>
        <w:keepNext/>
        <w:tabs>
          <w:tab w:val="left" w:pos="567"/>
        </w:tabs>
        <w:spacing w:after="0" w:line="240" w:lineRule="auto"/>
        <w:ind w:left="567" w:hanging="567"/>
        <w:outlineLvl w:val="1"/>
        <w:rPr>
          <w:rFonts w:ascii="Times New Roman" w:eastAsia="Times New Roman" w:hAnsi="Times New Roman" w:cs="Times New Roman"/>
          <w:b/>
          <w:lang w:val="lt-LT"/>
        </w:rPr>
      </w:pPr>
      <w:r w:rsidRPr="00A840FC">
        <w:rPr>
          <w:rFonts w:ascii="Times New Roman" w:eastAsia="Times New Roman" w:hAnsi="Times New Roman" w:cs="Times New Roman"/>
          <w:b/>
          <w:lang w:val="lt-LT"/>
        </w:rPr>
        <w:br w:type="page"/>
      </w:r>
      <w:r w:rsidRPr="00A840FC">
        <w:rPr>
          <w:rFonts w:ascii="Times New Roman" w:eastAsia="Times New Roman" w:hAnsi="Times New Roman" w:cs="Times New Roman"/>
          <w:b/>
          <w:lang w:val="lt-LT"/>
        </w:rPr>
        <w:lastRenderedPageBreak/>
        <w:t>A.</w:t>
      </w:r>
      <w:r w:rsidRPr="00A840FC">
        <w:rPr>
          <w:rFonts w:ascii="Times New Roman" w:eastAsia="Times New Roman" w:hAnsi="Times New Roman" w:cs="Times New Roman"/>
          <w:b/>
          <w:lang w:val="lt-LT"/>
        </w:rPr>
        <w:tab/>
        <w:t>GAMINTOJAS (-AI), ATSAKINGAS (-I) UŽ SERIJŲ IŠLEIDIMĄ</w:t>
      </w:r>
    </w:p>
    <w:p w14:paraId="31593FF3" w14:textId="77777777" w:rsidR="00A840FC" w:rsidRPr="00A840FC" w:rsidRDefault="00A840FC" w:rsidP="00A840FC">
      <w:pPr>
        <w:spacing w:after="0" w:line="240" w:lineRule="auto"/>
        <w:rPr>
          <w:rFonts w:ascii="Times New Roman" w:eastAsia="Arial Unicode MS" w:hAnsi="Times New Roman" w:cs="Times New Roman"/>
          <w:highlight w:val="yellow"/>
          <w:lang w:val="lt-LT"/>
        </w:rPr>
      </w:pPr>
    </w:p>
    <w:p w14:paraId="47F72C49" w14:textId="77777777" w:rsidR="00A840FC" w:rsidRPr="00A840FC" w:rsidRDefault="00A840FC" w:rsidP="00A840FC">
      <w:pPr>
        <w:spacing w:after="0" w:line="240" w:lineRule="auto"/>
        <w:rPr>
          <w:rFonts w:ascii="Times New Roman" w:eastAsia="Arial Unicode MS" w:hAnsi="Times New Roman" w:cs="Times New Roman"/>
          <w:u w:val="single"/>
          <w:lang w:val="lt-LT"/>
        </w:rPr>
      </w:pPr>
      <w:r w:rsidRPr="00A840FC">
        <w:rPr>
          <w:rFonts w:ascii="Times New Roman" w:eastAsia="Arial Unicode MS" w:hAnsi="Times New Roman" w:cs="Times New Roman"/>
          <w:u w:val="single"/>
          <w:lang w:val="lt-LT"/>
        </w:rPr>
        <w:t>Gamintojo, atsakingo už serijų išleidimą, pavadinimas ir adresas</w:t>
      </w:r>
    </w:p>
    <w:p w14:paraId="706AD2A5"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p>
    <w:p w14:paraId="4D1FF3E2"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Orion Corporation Orion Pharma</w:t>
      </w:r>
    </w:p>
    <w:p w14:paraId="5DDC0D53"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Orionintie 1</w:t>
      </w:r>
    </w:p>
    <w:p w14:paraId="5DF81C64"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FI-02200 Espoo</w:t>
      </w:r>
    </w:p>
    <w:p w14:paraId="1266101B"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Suomija</w:t>
      </w:r>
    </w:p>
    <w:p w14:paraId="7084A53C"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p>
    <w:p w14:paraId="2BC3EF4D"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arba</w:t>
      </w:r>
    </w:p>
    <w:p w14:paraId="16C0243B"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p>
    <w:p w14:paraId="643ABB4E"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Orion Corporation Orion Pharma</w:t>
      </w:r>
    </w:p>
    <w:p w14:paraId="3C30914D"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Joensuunkatu 7</w:t>
      </w:r>
    </w:p>
    <w:p w14:paraId="2E431B61"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FI-24100 Salo</w:t>
      </w:r>
    </w:p>
    <w:p w14:paraId="5F7E1AFF"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Suomija</w:t>
      </w:r>
    </w:p>
    <w:p w14:paraId="03DEA2C6" w14:textId="77777777" w:rsidR="00A840FC" w:rsidRPr="00A840FC" w:rsidRDefault="00A840FC" w:rsidP="00A840FC">
      <w:pPr>
        <w:spacing w:after="0" w:line="240" w:lineRule="auto"/>
        <w:rPr>
          <w:rFonts w:ascii="Times New Roman" w:eastAsia="Times New Roman" w:hAnsi="Times New Roman" w:cs="Times New Roman"/>
          <w:lang w:val="lt-LT"/>
        </w:rPr>
      </w:pPr>
    </w:p>
    <w:p w14:paraId="0F173C42"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Su pakuote pateikiamame lapelyje nurodomas gamintojo, atsakingo už konkrečios serijos išleidimą, pavadinimas ir adresas.</w:t>
      </w:r>
    </w:p>
    <w:p w14:paraId="096F578B" w14:textId="77777777" w:rsidR="00A840FC" w:rsidRPr="00A840FC" w:rsidRDefault="00A840FC" w:rsidP="00A840FC">
      <w:pPr>
        <w:spacing w:after="0" w:line="240" w:lineRule="auto"/>
        <w:rPr>
          <w:rFonts w:ascii="Times New Roman" w:eastAsia="Arial Unicode MS" w:hAnsi="Times New Roman" w:cs="Times New Roman"/>
          <w:highlight w:val="yellow"/>
          <w:lang w:val="lt-LT"/>
        </w:rPr>
      </w:pPr>
    </w:p>
    <w:p w14:paraId="0F7E1F61" w14:textId="77777777" w:rsidR="00A840FC" w:rsidRPr="00A840FC" w:rsidRDefault="00A840FC" w:rsidP="00A840FC">
      <w:pPr>
        <w:spacing w:after="0" w:line="240" w:lineRule="auto"/>
        <w:rPr>
          <w:rFonts w:ascii="Times New Roman" w:eastAsia="Arial Unicode MS" w:hAnsi="Times New Roman" w:cs="Times New Roman"/>
          <w:highlight w:val="yellow"/>
          <w:lang w:val="lt-LT"/>
        </w:rPr>
      </w:pPr>
    </w:p>
    <w:p w14:paraId="74868255" w14:textId="77777777" w:rsidR="00A840FC" w:rsidRPr="00A840FC" w:rsidRDefault="00A840FC" w:rsidP="00A840F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6" w:name="_Toc129243129"/>
      <w:bookmarkStart w:id="67" w:name="_Toc129243254"/>
      <w:r w:rsidRPr="00A840FC">
        <w:rPr>
          <w:rFonts w:ascii="Times New Roman" w:eastAsia="Times New Roman" w:hAnsi="Times New Roman" w:cs="Times New Roman"/>
          <w:b/>
          <w:lang w:val="lt-LT"/>
        </w:rPr>
        <w:t>B.</w:t>
      </w:r>
      <w:r w:rsidRPr="00A840FC">
        <w:rPr>
          <w:rFonts w:ascii="Times New Roman" w:eastAsia="Times New Roman" w:hAnsi="Times New Roman" w:cs="Times New Roman"/>
          <w:b/>
          <w:lang w:val="lt-LT"/>
        </w:rPr>
        <w:tab/>
        <w:t>TIEKIMO IR VARTOJIMO SĄLYGOS AR APRIBOJIMAI</w:t>
      </w:r>
      <w:bookmarkEnd w:id="66"/>
      <w:bookmarkEnd w:id="67"/>
    </w:p>
    <w:p w14:paraId="6742FCA0" w14:textId="77777777" w:rsidR="00A840FC" w:rsidRPr="00A840FC" w:rsidRDefault="00A840FC" w:rsidP="00A840FC">
      <w:pPr>
        <w:spacing w:after="0" w:line="240" w:lineRule="auto"/>
        <w:rPr>
          <w:rFonts w:ascii="Times New Roman" w:eastAsia="Arial Unicode MS" w:hAnsi="Times New Roman" w:cs="Times New Roman"/>
          <w:lang w:val="lt-LT"/>
        </w:rPr>
      </w:pPr>
    </w:p>
    <w:p w14:paraId="0FE268CF"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Receptinis vaistinis preparatas</w:t>
      </w:r>
    </w:p>
    <w:p w14:paraId="7BDB8923" w14:textId="77777777" w:rsidR="00A840FC" w:rsidRPr="00A840FC" w:rsidRDefault="00A840FC" w:rsidP="00A840FC">
      <w:pPr>
        <w:keepNext/>
        <w:tabs>
          <w:tab w:val="left" w:pos="567"/>
        </w:tabs>
        <w:spacing w:after="0" w:line="240" w:lineRule="auto"/>
        <w:ind w:left="567" w:hanging="567"/>
        <w:outlineLvl w:val="1"/>
        <w:rPr>
          <w:rFonts w:ascii="Times New Roman" w:eastAsia="Times New Roman" w:hAnsi="Times New Roman" w:cs="Times New Roman"/>
          <w:b/>
          <w:lang w:val="lt-LT"/>
        </w:rPr>
      </w:pPr>
    </w:p>
    <w:p w14:paraId="30290FE8" w14:textId="77777777" w:rsidR="00A840FC" w:rsidRPr="00A840FC" w:rsidRDefault="00A840FC" w:rsidP="00A840FC">
      <w:pPr>
        <w:spacing w:after="0" w:line="240" w:lineRule="auto"/>
        <w:rPr>
          <w:rFonts w:ascii="Times New Roman" w:eastAsia="Arial Unicode MS" w:hAnsi="Times New Roman" w:cs="Times New Roman"/>
          <w:lang w:val="lt-LT"/>
        </w:rPr>
      </w:pPr>
    </w:p>
    <w:p w14:paraId="32540B6D"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br w:type="page"/>
      </w:r>
    </w:p>
    <w:p w14:paraId="5D472DC3" w14:textId="77777777" w:rsidR="00A840FC" w:rsidRPr="00A840FC" w:rsidRDefault="00A840FC" w:rsidP="00A840FC">
      <w:pPr>
        <w:spacing w:after="0" w:line="240" w:lineRule="auto"/>
        <w:rPr>
          <w:rFonts w:ascii="Times New Roman" w:eastAsia="Arial Unicode MS" w:hAnsi="Times New Roman" w:cs="Times New Roman"/>
          <w:lang w:val="lt-LT"/>
        </w:rPr>
      </w:pPr>
    </w:p>
    <w:p w14:paraId="0EB37187" w14:textId="77777777" w:rsidR="00A840FC" w:rsidRPr="00A840FC" w:rsidRDefault="00A840FC" w:rsidP="00A840FC">
      <w:pPr>
        <w:spacing w:after="0" w:line="240" w:lineRule="auto"/>
        <w:rPr>
          <w:rFonts w:ascii="Times New Roman" w:eastAsia="Arial Unicode MS" w:hAnsi="Times New Roman" w:cs="Times New Roman"/>
          <w:lang w:val="lt-LT"/>
        </w:rPr>
      </w:pPr>
    </w:p>
    <w:p w14:paraId="1516F9CC" w14:textId="77777777" w:rsidR="00A840FC" w:rsidRPr="00A840FC" w:rsidRDefault="00A840FC" w:rsidP="00A840FC">
      <w:pPr>
        <w:spacing w:after="0" w:line="240" w:lineRule="auto"/>
        <w:rPr>
          <w:rFonts w:ascii="Times New Roman" w:eastAsia="Arial Unicode MS" w:hAnsi="Times New Roman" w:cs="Times New Roman"/>
          <w:lang w:val="lt-LT"/>
        </w:rPr>
      </w:pPr>
    </w:p>
    <w:p w14:paraId="2D79D1F7" w14:textId="77777777" w:rsidR="00A840FC" w:rsidRPr="00A840FC" w:rsidRDefault="00A840FC" w:rsidP="00A840FC">
      <w:pPr>
        <w:spacing w:after="0" w:line="240" w:lineRule="auto"/>
        <w:rPr>
          <w:rFonts w:ascii="Times New Roman" w:eastAsia="Arial Unicode MS" w:hAnsi="Times New Roman" w:cs="Times New Roman"/>
          <w:lang w:val="lt-LT"/>
        </w:rPr>
      </w:pPr>
    </w:p>
    <w:p w14:paraId="3578B5D1" w14:textId="77777777" w:rsidR="00A840FC" w:rsidRPr="00A840FC" w:rsidRDefault="00A840FC" w:rsidP="00A840FC">
      <w:pPr>
        <w:spacing w:after="0" w:line="240" w:lineRule="auto"/>
        <w:rPr>
          <w:rFonts w:ascii="Times New Roman" w:eastAsia="Arial Unicode MS" w:hAnsi="Times New Roman" w:cs="Times New Roman"/>
          <w:lang w:val="lt-LT"/>
        </w:rPr>
      </w:pPr>
    </w:p>
    <w:p w14:paraId="72E3D888" w14:textId="77777777" w:rsidR="00A840FC" w:rsidRPr="00A840FC" w:rsidRDefault="00A840FC" w:rsidP="00A840FC">
      <w:pPr>
        <w:spacing w:after="0" w:line="240" w:lineRule="auto"/>
        <w:rPr>
          <w:rFonts w:ascii="Times New Roman" w:eastAsia="Arial Unicode MS" w:hAnsi="Times New Roman" w:cs="Times New Roman"/>
          <w:lang w:val="lt-LT"/>
        </w:rPr>
      </w:pPr>
    </w:p>
    <w:p w14:paraId="29F6CFCB" w14:textId="77777777" w:rsidR="00A840FC" w:rsidRPr="00A840FC" w:rsidRDefault="00A840FC" w:rsidP="00A840FC">
      <w:pPr>
        <w:spacing w:after="0" w:line="240" w:lineRule="auto"/>
        <w:rPr>
          <w:rFonts w:ascii="Times New Roman" w:eastAsia="Arial Unicode MS" w:hAnsi="Times New Roman" w:cs="Times New Roman"/>
          <w:lang w:val="lt-LT"/>
        </w:rPr>
      </w:pPr>
    </w:p>
    <w:p w14:paraId="7C8E7848" w14:textId="77777777" w:rsidR="00A840FC" w:rsidRPr="00A840FC" w:rsidRDefault="00A840FC" w:rsidP="00A840FC">
      <w:pPr>
        <w:spacing w:after="0" w:line="240" w:lineRule="auto"/>
        <w:rPr>
          <w:rFonts w:ascii="Times New Roman" w:eastAsia="Arial Unicode MS" w:hAnsi="Times New Roman" w:cs="Times New Roman"/>
          <w:lang w:val="lt-LT"/>
        </w:rPr>
      </w:pPr>
    </w:p>
    <w:p w14:paraId="00A964AF" w14:textId="77777777" w:rsidR="00A840FC" w:rsidRPr="00A840FC" w:rsidRDefault="00A840FC" w:rsidP="00A840FC">
      <w:pPr>
        <w:spacing w:after="0" w:line="240" w:lineRule="auto"/>
        <w:rPr>
          <w:rFonts w:ascii="Times New Roman" w:eastAsia="Arial Unicode MS" w:hAnsi="Times New Roman" w:cs="Times New Roman"/>
          <w:lang w:val="lt-LT"/>
        </w:rPr>
      </w:pPr>
    </w:p>
    <w:p w14:paraId="7D88513B" w14:textId="77777777" w:rsidR="00A840FC" w:rsidRPr="00A840FC" w:rsidRDefault="00A840FC" w:rsidP="00A840FC">
      <w:pPr>
        <w:spacing w:after="0" w:line="240" w:lineRule="auto"/>
        <w:rPr>
          <w:rFonts w:ascii="Times New Roman" w:eastAsia="Arial Unicode MS" w:hAnsi="Times New Roman" w:cs="Times New Roman"/>
          <w:lang w:val="lt-LT"/>
        </w:rPr>
      </w:pPr>
    </w:p>
    <w:p w14:paraId="71A14575" w14:textId="77777777" w:rsidR="00A840FC" w:rsidRPr="00A840FC" w:rsidRDefault="00A840FC" w:rsidP="00A840FC">
      <w:pPr>
        <w:spacing w:after="0" w:line="240" w:lineRule="auto"/>
        <w:rPr>
          <w:rFonts w:ascii="Times New Roman" w:eastAsia="Arial Unicode MS" w:hAnsi="Times New Roman" w:cs="Times New Roman"/>
          <w:lang w:val="lt-LT"/>
        </w:rPr>
      </w:pPr>
    </w:p>
    <w:p w14:paraId="52F29D01" w14:textId="77777777" w:rsidR="00A840FC" w:rsidRPr="00A840FC" w:rsidRDefault="00A840FC" w:rsidP="00A840FC">
      <w:pPr>
        <w:spacing w:after="0" w:line="240" w:lineRule="auto"/>
        <w:rPr>
          <w:rFonts w:ascii="Times New Roman" w:eastAsia="Arial Unicode MS" w:hAnsi="Times New Roman" w:cs="Times New Roman"/>
          <w:lang w:val="lt-LT"/>
        </w:rPr>
      </w:pPr>
    </w:p>
    <w:p w14:paraId="407E00D0" w14:textId="77777777" w:rsidR="00A840FC" w:rsidRPr="00A840FC" w:rsidRDefault="00A840FC" w:rsidP="00A840FC">
      <w:pPr>
        <w:spacing w:after="0" w:line="240" w:lineRule="auto"/>
        <w:rPr>
          <w:rFonts w:ascii="Times New Roman" w:eastAsia="Arial Unicode MS" w:hAnsi="Times New Roman" w:cs="Times New Roman"/>
          <w:lang w:val="lt-LT"/>
        </w:rPr>
      </w:pPr>
    </w:p>
    <w:p w14:paraId="3CF1F00C" w14:textId="77777777" w:rsidR="00A840FC" w:rsidRPr="00A840FC" w:rsidRDefault="00A840FC" w:rsidP="00A840FC">
      <w:pPr>
        <w:spacing w:after="0" w:line="240" w:lineRule="auto"/>
        <w:rPr>
          <w:rFonts w:ascii="Times New Roman" w:eastAsia="Arial Unicode MS" w:hAnsi="Times New Roman" w:cs="Times New Roman"/>
          <w:lang w:val="lt-LT"/>
        </w:rPr>
      </w:pPr>
    </w:p>
    <w:p w14:paraId="2892D6F3" w14:textId="77777777" w:rsidR="00A840FC" w:rsidRPr="00A840FC" w:rsidRDefault="00A840FC" w:rsidP="00A840FC">
      <w:pPr>
        <w:spacing w:after="0" w:line="240" w:lineRule="auto"/>
        <w:rPr>
          <w:rFonts w:ascii="Times New Roman" w:eastAsia="Arial Unicode MS" w:hAnsi="Times New Roman" w:cs="Times New Roman"/>
          <w:lang w:val="lt-LT"/>
        </w:rPr>
      </w:pPr>
    </w:p>
    <w:p w14:paraId="244CF2E8" w14:textId="77777777" w:rsidR="00A840FC" w:rsidRPr="00A840FC" w:rsidRDefault="00A840FC" w:rsidP="00A840FC">
      <w:pPr>
        <w:spacing w:after="0" w:line="240" w:lineRule="auto"/>
        <w:rPr>
          <w:rFonts w:ascii="Times New Roman" w:eastAsia="Arial Unicode MS" w:hAnsi="Times New Roman" w:cs="Times New Roman"/>
          <w:lang w:val="lt-LT"/>
        </w:rPr>
      </w:pPr>
    </w:p>
    <w:p w14:paraId="370F84D3" w14:textId="77777777" w:rsidR="00A840FC" w:rsidRPr="00A840FC" w:rsidRDefault="00A840FC" w:rsidP="00A840FC">
      <w:pPr>
        <w:spacing w:after="0" w:line="240" w:lineRule="auto"/>
        <w:rPr>
          <w:rFonts w:ascii="Times New Roman" w:eastAsia="Arial Unicode MS" w:hAnsi="Times New Roman" w:cs="Times New Roman"/>
          <w:lang w:val="lt-LT"/>
        </w:rPr>
      </w:pPr>
    </w:p>
    <w:p w14:paraId="6967649F" w14:textId="77777777" w:rsidR="00A840FC" w:rsidRPr="00A840FC" w:rsidRDefault="00A840FC" w:rsidP="00A840FC">
      <w:pPr>
        <w:spacing w:after="0" w:line="240" w:lineRule="auto"/>
        <w:rPr>
          <w:rFonts w:ascii="Times New Roman" w:eastAsia="Arial Unicode MS" w:hAnsi="Times New Roman" w:cs="Times New Roman"/>
          <w:lang w:val="lt-LT"/>
        </w:rPr>
      </w:pPr>
    </w:p>
    <w:p w14:paraId="3E8C1D06" w14:textId="77777777" w:rsidR="00A840FC" w:rsidRPr="00A840FC" w:rsidRDefault="00A840FC" w:rsidP="00A840FC">
      <w:pPr>
        <w:spacing w:after="0" w:line="240" w:lineRule="auto"/>
        <w:rPr>
          <w:rFonts w:ascii="Times New Roman" w:eastAsia="Arial Unicode MS" w:hAnsi="Times New Roman" w:cs="Times New Roman"/>
          <w:lang w:val="lt-LT"/>
        </w:rPr>
      </w:pPr>
    </w:p>
    <w:p w14:paraId="20425349" w14:textId="77777777" w:rsidR="00A840FC" w:rsidRPr="00A840FC" w:rsidRDefault="00A840FC" w:rsidP="00A840FC">
      <w:pPr>
        <w:spacing w:after="0" w:line="240" w:lineRule="auto"/>
        <w:rPr>
          <w:rFonts w:ascii="Times New Roman" w:eastAsia="Arial Unicode MS" w:hAnsi="Times New Roman" w:cs="Times New Roman"/>
          <w:lang w:val="lt-LT"/>
        </w:rPr>
      </w:pPr>
    </w:p>
    <w:p w14:paraId="2B81E4C6" w14:textId="77777777" w:rsidR="00A840FC" w:rsidRPr="00A840FC" w:rsidRDefault="00A840FC" w:rsidP="00A840FC">
      <w:pPr>
        <w:spacing w:after="0" w:line="240" w:lineRule="auto"/>
        <w:rPr>
          <w:rFonts w:ascii="Times New Roman" w:eastAsia="Arial Unicode MS" w:hAnsi="Times New Roman" w:cs="Times New Roman"/>
          <w:lang w:val="lt-LT"/>
        </w:rPr>
      </w:pPr>
    </w:p>
    <w:p w14:paraId="31323DD2" w14:textId="77777777" w:rsidR="00A840FC" w:rsidRPr="00A840FC" w:rsidRDefault="00A840FC" w:rsidP="00A840FC">
      <w:pPr>
        <w:spacing w:after="0" w:line="240" w:lineRule="auto"/>
        <w:rPr>
          <w:rFonts w:ascii="Times New Roman" w:eastAsia="Arial Unicode MS" w:hAnsi="Times New Roman" w:cs="Times New Roman"/>
          <w:lang w:val="lt-LT"/>
        </w:rPr>
      </w:pPr>
    </w:p>
    <w:p w14:paraId="6F7A7C79"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bookmarkStart w:id="68" w:name="_Toc129243134"/>
      <w:bookmarkStart w:id="69" w:name="_Toc129243259"/>
    </w:p>
    <w:p w14:paraId="49063055"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r w:rsidRPr="00A840FC">
        <w:rPr>
          <w:rFonts w:ascii="Times New Roman" w:eastAsia="Times New Roman" w:hAnsi="Times New Roman" w:cs="Times New Roman"/>
          <w:b/>
          <w:caps/>
          <w:lang w:val="lt-LT"/>
        </w:rPr>
        <w:t>III PRIEDAS</w:t>
      </w:r>
      <w:bookmarkEnd w:id="68"/>
      <w:bookmarkEnd w:id="69"/>
    </w:p>
    <w:p w14:paraId="0D7908D2" w14:textId="77777777" w:rsidR="00A840FC" w:rsidRPr="00A840FC" w:rsidRDefault="00A840FC" w:rsidP="00A840FC">
      <w:pPr>
        <w:spacing w:after="0" w:line="240" w:lineRule="auto"/>
        <w:rPr>
          <w:rFonts w:ascii="Times New Roman" w:eastAsia="Arial Unicode MS" w:hAnsi="Times New Roman" w:cs="Times New Roman"/>
          <w:lang w:val="lt-LT"/>
        </w:rPr>
      </w:pPr>
    </w:p>
    <w:p w14:paraId="77540EE4"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bookmarkStart w:id="70" w:name="_Toc129243135"/>
      <w:bookmarkStart w:id="71" w:name="_Toc129243260"/>
      <w:r w:rsidRPr="00A840FC">
        <w:rPr>
          <w:rFonts w:ascii="Times New Roman" w:eastAsia="Times New Roman" w:hAnsi="Times New Roman" w:cs="Times New Roman"/>
          <w:b/>
          <w:caps/>
          <w:lang w:val="lt-LT"/>
        </w:rPr>
        <w:t>ŽENKLINIMAS IR PAKUOTĖS LAPELIS</w:t>
      </w:r>
      <w:bookmarkEnd w:id="70"/>
      <w:bookmarkEnd w:id="71"/>
    </w:p>
    <w:p w14:paraId="6ECC4047" w14:textId="77777777" w:rsidR="00A840FC" w:rsidRPr="00A840FC" w:rsidRDefault="00A840FC" w:rsidP="00A840FC">
      <w:pPr>
        <w:spacing w:after="0" w:line="240" w:lineRule="auto"/>
        <w:rPr>
          <w:rFonts w:ascii="Times New Roman" w:eastAsia="Arial Unicode MS" w:hAnsi="Times New Roman" w:cs="Times New Roman"/>
          <w:lang w:val="lt-LT"/>
        </w:rPr>
      </w:pPr>
    </w:p>
    <w:p w14:paraId="2CCAE2F3"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br w:type="page"/>
      </w:r>
    </w:p>
    <w:p w14:paraId="7E714131" w14:textId="77777777" w:rsidR="00A840FC" w:rsidRPr="00A840FC" w:rsidRDefault="00A840FC" w:rsidP="00A840FC">
      <w:pPr>
        <w:spacing w:after="0" w:line="240" w:lineRule="auto"/>
        <w:rPr>
          <w:rFonts w:ascii="Times New Roman" w:eastAsia="Arial Unicode MS" w:hAnsi="Times New Roman" w:cs="Times New Roman"/>
          <w:lang w:val="lt-LT"/>
        </w:rPr>
      </w:pPr>
    </w:p>
    <w:p w14:paraId="59DEE87D" w14:textId="77777777" w:rsidR="00A840FC" w:rsidRPr="00A840FC" w:rsidRDefault="00A840FC" w:rsidP="00A840FC">
      <w:pPr>
        <w:spacing w:after="0" w:line="240" w:lineRule="auto"/>
        <w:rPr>
          <w:rFonts w:ascii="Times New Roman" w:eastAsia="Arial Unicode MS" w:hAnsi="Times New Roman" w:cs="Times New Roman"/>
          <w:lang w:val="lt-LT"/>
        </w:rPr>
      </w:pPr>
    </w:p>
    <w:p w14:paraId="5789EEA2" w14:textId="77777777" w:rsidR="00A840FC" w:rsidRPr="00A840FC" w:rsidRDefault="00A840FC" w:rsidP="00A840FC">
      <w:pPr>
        <w:spacing w:after="0" w:line="240" w:lineRule="auto"/>
        <w:rPr>
          <w:rFonts w:ascii="Times New Roman" w:eastAsia="Arial Unicode MS" w:hAnsi="Times New Roman" w:cs="Times New Roman"/>
          <w:lang w:val="lt-LT"/>
        </w:rPr>
      </w:pPr>
    </w:p>
    <w:p w14:paraId="619493EB" w14:textId="77777777" w:rsidR="00A840FC" w:rsidRPr="00A840FC" w:rsidRDefault="00A840FC" w:rsidP="00A840FC">
      <w:pPr>
        <w:spacing w:after="0" w:line="240" w:lineRule="auto"/>
        <w:rPr>
          <w:rFonts w:ascii="Times New Roman" w:eastAsia="Arial Unicode MS" w:hAnsi="Times New Roman" w:cs="Times New Roman"/>
          <w:lang w:val="lt-LT"/>
        </w:rPr>
      </w:pPr>
    </w:p>
    <w:p w14:paraId="1BFB7AC3" w14:textId="77777777" w:rsidR="00A840FC" w:rsidRPr="00A840FC" w:rsidRDefault="00A840FC" w:rsidP="00A840FC">
      <w:pPr>
        <w:spacing w:after="0" w:line="240" w:lineRule="auto"/>
        <w:rPr>
          <w:rFonts w:ascii="Times New Roman" w:eastAsia="Arial Unicode MS" w:hAnsi="Times New Roman" w:cs="Times New Roman"/>
          <w:lang w:val="lt-LT"/>
        </w:rPr>
      </w:pPr>
    </w:p>
    <w:p w14:paraId="19A13CE5" w14:textId="77777777" w:rsidR="00A840FC" w:rsidRPr="00A840FC" w:rsidRDefault="00A840FC" w:rsidP="00A840FC">
      <w:pPr>
        <w:spacing w:after="0" w:line="240" w:lineRule="auto"/>
        <w:rPr>
          <w:rFonts w:ascii="Times New Roman" w:eastAsia="Arial Unicode MS" w:hAnsi="Times New Roman" w:cs="Times New Roman"/>
          <w:lang w:val="lt-LT"/>
        </w:rPr>
      </w:pPr>
    </w:p>
    <w:p w14:paraId="59A9DD8E" w14:textId="77777777" w:rsidR="00A840FC" w:rsidRPr="00A840FC" w:rsidRDefault="00A840FC" w:rsidP="00A840FC">
      <w:pPr>
        <w:spacing w:after="0" w:line="240" w:lineRule="auto"/>
        <w:rPr>
          <w:rFonts w:ascii="Times New Roman" w:eastAsia="Arial Unicode MS" w:hAnsi="Times New Roman" w:cs="Times New Roman"/>
          <w:lang w:val="lt-LT"/>
        </w:rPr>
      </w:pPr>
    </w:p>
    <w:p w14:paraId="64A56B8C" w14:textId="77777777" w:rsidR="00A840FC" w:rsidRPr="00A840FC" w:rsidRDefault="00A840FC" w:rsidP="00A840FC">
      <w:pPr>
        <w:spacing w:after="0" w:line="240" w:lineRule="auto"/>
        <w:rPr>
          <w:rFonts w:ascii="Times New Roman" w:eastAsia="Arial Unicode MS" w:hAnsi="Times New Roman" w:cs="Times New Roman"/>
          <w:lang w:val="lt-LT"/>
        </w:rPr>
      </w:pPr>
    </w:p>
    <w:p w14:paraId="391BC755" w14:textId="77777777" w:rsidR="00A840FC" w:rsidRPr="00A840FC" w:rsidRDefault="00A840FC" w:rsidP="00A840FC">
      <w:pPr>
        <w:spacing w:after="0" w:line="240" w:lineRule="auto"/>
        <w:rPr>
          <w:rFonts w:ascii="Times New Roman" w:eastAsia="Arial Unicode MS" w:hAnsi="Times New Roman" w:cs="Times New Roman"/>
          <w:lang w:val="lt-LT"/>
        </w:rPr>
      </w:pPr>
    </w:p>
    <w:p w14:paraId="79BAC9D0" w14:textId="77777777" w:rsidR="00A840FC" w:rsidRPr="00A840FC" w:rsidRDefault="00A840FC" w:rsidP="00A840FC">
      <w:pPr>
        <w:spacing w:after="0" w:line="240" w:lineRule="auto"/>
        <w:rPr>
          <w:rFonts w:ascii="Times New Roman" w:eastAsia="Arial Unicode MS" w:hAnsi="Times New Roman" w:cs="Times New Roman"/>
          <w:lang w:val="lt-LT"/>
        </w:rPr>
      </w:pPr>
    </w:p>
    <w:p w14:paraId="0DDD2AC6" w14:textId="77777777" w:rsidR="00A840FC" w:rsidRPr="00A840FC" w:rsidRDefault="00A840FC" w:rsidP="00A840FC">
      <w:pPr>
        <w:spacing w:after="0" w:line="240" w:lineRule="auto"/>
        <w:rPr>
          <w:rFonts w:ascii="Times New Roman" w:eastAsia="Arial Unicode MS" w:hAnsi="Times New Roman" w:cs="Times New Roman"/>
          <w:lang w:val="lt-LT"/>
        </w:rPr>
      </w:pPr>
    </w:p>
    <w:p w14:paraId="78BEAB4B" w14:textId="77777777" w:rsidR="00A840FC" w:rsidRPr="00A840FC" w:rsidRDefault="00A840FC" w:rsidP="00A840FC">
      <w:pPr>
        <w:spacing w:after="0" w:line="240" w:lineRule="auto"/>
        <w:rPr>
          <w:rFonts w:ascii="Times New Roman" w:eastAsia="Arial Unicode MS" w:hAnsi="Times New Roman" w:cs="Times New Roman"/>
          <w:lang w:val="lt-LT"/>
        </w:rPr>
      </w:pPr>
    </w:p>
    <w:p w14:paraId="45BE5362" w14:textId="77777777" w:rsidR="00A840FC" w:rsidRPr="00A840FC" w:rsidRDefault="00A840FC" w:rsidP="00A840FC">
      <w:pPr>
        <w:spacing w:after="0" w:line="240" w:lineRule="auto"/>
        <w:rPr>
          <w:rFonts w:ascii="Times New Roman" w:eastAsia="Arial Unicode MS" w:hAnsi="Times New Roman" w:cs="Times New Roman"/>
          <w:lang w:val="lt-LT"/>
        </w:rPr>
      </w:pPr>
    </w:p>
    <w:p w14:paraId="3191A940" w14:textId="77777777" w:rsidR="00A840FC" w:rsidRPr="00A840FC" w:rsidRDefault="00A840FC" w:rsidP="00A840FC">
      <w:pPr>
        <w:spacing w:after="0" w:line="240" w:lineRule="auto"/>
        <w:rPr>
          <w:rFonts w:ascii="Times New Roman" w:eastAsia="Arial Unicode MS" w:hAnsi="Times New Roman" w:cs="Times New Roman"/>
          <w:lang w:val="lt-LT"/>
        </w:rPr>
      </w:pPr>
    </w:p>
    <w:p w14:paraId="3C16BD23" w14:textId="77777777" w:rsidR="00A840FC" w:rsidRPr="00A840FC" w:rsidRDefault="00A840FC" w:rsidP="00A840FC">
      <w:pPr>
        <w:spacing w:after="0" w:line="240" w:lineRule="auto"/>
        <w:rPr>
          <w:rFonts w:ascii="Times New Roman" w:eastAsia="Arial Unicode MS" w:hAnsi="Times New Roman" w:cs="Times New Roman"/>
          <w:lang w:val="lt-LT"/>
        </w:rPr>
      </w:pPr>
    </w:p>
    <w:p w14:paraId="4F62CD18" w14:textId="77777777" w:rsidR="00A840FC" w:rsidRPr="00A840FC" w:rsidRDefault="00A840FC" w:rsidP="00A840FC">
      <w:pPr>
        <w:spacing w:after="0" w:line="240" w:lineRule="auto"/>
        <w:rPr>
          <w:rFonts w:ascii="Times New Roman" w:eastAsia="Arial Unicode MS" w:hAnsi="Times New Roman" w:cs="Times New Roman"/>
          <w:lang w:val="lt-LT"/>
        </w:rPr>
      </w:pPr>
    </w:p>
    <w:p w14:paraId="1C62E258" w14:textId="77777777" w:rsidR="00A840FC" w:rsidRPr="00A840FC" w:rsidRDefault="00A840FC" w:rsidP="00A840FC">
      <w:pPr>
        <w:spacing w:after="0" w:line="240" w:lineRule="auto"/>
        <w:rPr>
          <w:rFonts w:ascii="Times New Roman" w:eastAsia="Arial Unicode MS" w:hAnsi="Times New Roman" w:cs="Times New Roman"/>
          <w:lang w:val="lt-LT"/>
        </w:rPr>
      </w:pPr>
    </w:p>
    <w:p w14:paraId="18920E88" w14:textId="77777777" w:rsidR="00A840FC" w:rsidRPr="00A840FC" w:rsidRDefault="00A840FC" w:rsidP="00A840FC">
      <w:pPr>
        <w:spacing w:after="0" w:line="240" w:lineRule="auto"/>
        <w:rPr>
          <w:rFonts w:ascii="Times New Roman" w:eastAsia="Arial Unicode MS" w:hAnsi="Times New Roman" w:cs="Times New Roman"/>
          <w:lang w:val="lt-LT"/>
        </w:rPr>
      </w:pPr>
    </w:p>
    <w:p w14:paraId="3644329A" w14:textId="77777777" w:rsidR="00A840FC" w:rsidRPr="00A840FC" w:rsidRDefault="00A840FC" w:rsidP="00A840FC">
      <w:pPr>
        <w:spacing w:after="0" w:line="240" w:lineRule="auto"/>
        <w:rPr>
          <w:rFonts w:ascii="Times New Roman" w:eastAsia="Arial Unicode MS" w:hAnsi="Times New Roman" w:cs="Times New Roman"/>
          <w:lang w:val="lt-LT"/>
        </w:rPr>
      </w:pPr>
    </w:p>
    <w:p w14:paraId="71560473" w14:textId="77777777" w:rsidR="00A840FC" w:rsidRPr="00A840FC" w:rsidRDefault="00A840FC" w:rsidP="00A840FC">
      <w:pPr>
        <w:spacing w:after="0" w:line="240" w:lineRule="auto"/>
        <w:rPr>
          <w:rFonts w:ascii="Times New Roman" w:eastAsia="Arial Unicode MS" w:hAnsi="Times New Roman" w:cs="Times New Roman"/>
          <w:lang w:val="lt-LT"/>
        </w:rPr>
      </w:pPr>
    </w:p>
    <w:p w14:paraId="0BF5AD10" w14:textId="77777777" w:rsidR="00A840FC" w:rsidRPr="00A840FC" w:rsidRDefault="00A840FC" w:rsidP="00A840FC">
      <w:pPr>
        <w:spacing w:after="0" w:line="240" w:lineRule="auto"/>
        <w:rPr>
          <w:rFonts w:ascii="Times New Roman" w:eastAsia="Arial Unicode MS" w:hAnsi="Times New Roman" w:cs="Times New Roman"/>
          <w:lang w:val="lt-LT"/>
        </w:rPr>
      </w:pPr>
    </w:p>
    <w:p w14:paraId="6AFCE6E6" w14:textId="77777777" w:rsidR="00A840FC" w:rsidRPr="00A840FC" w:rsidRDefault="00A840FC" w:rsidP="00A840FC">
      <w:pPr>
        <w:spacing w:after="0" w:line="240" w:lineRule="auto"/>
        <w:rPr>
          <w:rFonts w:ascii="Times New Roman" w:eastAsia="Arial Unicode MS" w:hAnsi="Times New Roman" w:cs="Times New Roman"/>
          <w:lang w:val="lt-LT"/>
        </w:rPr>
      </w:pPr>
    </w:p>
    <w:p w14:paraId="0332E637" w14:textId="77777777" w:rsidR="00A840FC" w:rsidRPr="00A840FC" w:rsidRDefault="00A840FC" w:rsidP="00A840FC">
      <w:pPr>
        <w:spacing w:after="0" w:line="240" w:lineRule="auto"/>
        <w:rPr>
          <w:rFonts w:ascii="Times New Roman" w:eastAsia="Arial Unicode MS" w:hAnsi="Times New Roman" w:cs="Times New Roman"/>
          <w:lang w:val="lt-LT"/>
        </w:rPr>
      </w:pPr>
    </w:p>
    <w:p w14:paraId="52B68BBE"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bookmarkStart w:id="72" w:name="_Toc129243136"/>
      <w:bookmarkStart w:id="73" w:name="_Toc129243261"/>
      <w:r w:rsidRPr="00A840FC">
        <w:rPr>
          <w:rFonts w:ascii="Times New Roman" w:eastAsia="Times New Roman" w:hAnsi="Times New Roman" w:cs="Times New Roman"/>
          <w:b/>
          <w:caps/>
          <w:lang w:val="lt-LT"/>
        </w:rPr>
        <w:t>A. ŽENKLINIMAS</w:t>
      </w:r>
      <w:bookmarkEnd w:id="72"/>
      <w:bookmarkEnd w:id="73"/>
    </w:p>
    <w:p w14:paraId="401BE7F8"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br w:type="page"/>
      </w:r>
    </w:p>
    <w:p w14:paraId="099EEDD0"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lastRenderedPageBreak/>
        <w:t>INFORMACIJA ANT IŠORINĖS PAKUOTĖS</w:t>
      </w:r>
    </w:p>
    <w:p w14:paraId="3115FA70"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rPr>
      </w:pPr>
    </w:p>
    <w:p w14:paraId="3335652B"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rPr>
      </w:pPr>
      <w:r w:rsidRPr="00A840FC">
        <w:rPr>
          <w:rFonts w:ascii="Times New Roman" w:eastAsia="Times New Roman" w:hAnsi="Times New Roman" w:cs="Times New Roman"/>
          <w:b/>
          <w:bCs/>
          <w:lang w:val="lt-LT"/>
        </w:rPr>
        <w:t>KARTONO DĖŽUTĖ IR ETIKETĖ DTPE TABLEČIŲ TALPYKLĖMS</w:t>
      </w:r>
    </w:p>
    <w:p w14:paraId="2276EB3B" w14:textId="77777777" w:rsidR="00A840FC" w:rsidRPr="00A840FC" w:rsidRDefault="00A840FC" w:rsidP="00A840FC">
      <w:pPr>
        <w:spacing w:after="0" w:line="240" w:lineRule="auto"/>
        <w:rPr>
          <w:rFonts w:ascii="Times New Roman" w:eastAsia="Arial Unicode MS" w:hAnsi="Times New Roman" w:cs="Times New Roman"/>
          <w:lang w:val="lt-LT"/>
        </w:rPr>
      </w:pPr>
    </w:p>
    <w:p w14:paraId="472AEA49" w14:textId="77777777" w:rsidR="00A840FC" w:rsidRPr="00A840FC" w:rsidRDefault="00A840FC" w:rsidP="00A840FC">
      <w:pPr>
        <w:spacing w:after="0" w:line="240" w:lineRule="auto"/>
        <w:rPr>
          <w:rFonts w:ascii="Times New Roman" w:eastAsia="Arial Unicode MS" w:hAnsi="Times New Roman" w:cs="Times New Roman"/>
          <w:lang w:val="lt-LT"/>
        </w:rPr>
      </w:pPr>
    </w:p>
    <w:p w14:paraId="546AC0AB"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1.</w:t>
      </w:r>
      <w:r w:rsidRPr="00A840FC">
        <w:rPr>
          <w:rFonts w:ascii="Times New Roman" w:eastAsia="Times New Roman" w:hAnsi="Times New Roman" w:cs="Times New Roman"/>
          <w:b/>
          <w:lang w:val="lt-LT"/>
        </w:rPr>
        <w:tab/>
        <w:t>VAISTINIO PREPARATO PAVADINIMAS</w:t>
      </w:r>
    </w:p>
    <w:p w14:paraId="1E6E4B45" w14:textId="77777777" w:rsidR="00A840FC" w:rsidRPr="00A840FC" w:rsidRDefault="00A840FC" w:rsidP="00A840FC">
      <w:pPr>
        <w:spacing w:after="0" w:line="240" w:lineRule="auto"/>
        <w:rPr>
          <w:rFonts w:ascii="Times New Roman" w:eastAsia="Arial Unicode MS" w:hAnsi="Times New Roman" w:cs="Times New Roman"/>
          <w:lang w:val="lt-LT"/>
        </w:rPr>
      </w:pPr>
    </w:p>
    <w:p w14:paraId="084A662B"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Ketipinor 25 mg plėvele dengtos tabletės</w:t>
      </w:r>
    </w:p>
    <w:p w14:paraId="293E39C4"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Ketipinor 100 mg plėvele dengtos tabletės</w:t>
      </w:r>
    </w:p>
    <w:p w14:paraId="533AEC3E"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Ketipinor 200 mg plėvele dengtos tabletės</w:t>
      </w:r>
    </w:p>
    <w:p w14:paraId="1685F0C6"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highlight w:val="lightGray"/>
          <w:lang w:val="lt-LT"/>
        </w:rPr>
        <w:t>Ketipinor 300 mg plėvele dengtos tabletės</w:t>
      </w:r>
    </w:p>
    <w:p w14:paraId="2B72A523" w14:textId="77777777" w:rsidR="00A840FC" w:rsidRPr="00A840FC" w:rsidRDefault="00A840FC" w:rsidP="00A840FC">
      <w:pPr>
        <w:spacing w:after="0" w:line="240" w:lineRule="auto"/>
        <w:rPr>
          <w:rFonts w:ascii="Times New Roman" w:eastAsia="Arial Unicode MS" w:hAnsi="Times New Roman" w:cs="Times New Roman"/>
          <w:i/>
          <w:lang w:val="lt-LT"/>
        </w:rPr>
      </w:pPr>
    </w:p>
    <w:p w14:paraId="6835F4F2" w14:textId="77777777" w:rsidR="00A840FC" w:rsidRPr="00A840FC" w:rsidRDefault="00A840FC" w:rsidP="00A840FC">
      <w:pPr>
        <w:spacing w:after="0" w:line="240" w:lineRule="auto"/>
        <w:rPr>
          <w:rFonts w:ascii="Times New Roman" w:eastAsia="Arial Unicode MS" w:hAnsi="Times New Roman" w:cs="Times New Roman"/>
          <w:i/>
          <w:lang w:val="lt-LT"/>
        </w:rPr>
      </w:pPr>
      <w:r w:rsidRPr="00A840FC">
        <w:rPr>
          <w:rFonts w:ascii="Times New Roman" w:eastAsia="Arial Unicode MS" w:hAnsi="Times New Roman" w:cs="Times New Roman"/>
          <w:i/>
          <w:lang w:val="lt-LT"/>
        </w:rPr>
        <w:t>quetiapinum</w:t>
      </w:r>
    </w:p>
    <w:p w14:paraId="7902E1D2" w14:textId="77777777" w:rsidR="00A840FC" w:rsidRPr="00A840FC" w:rsidRDefault="00A840FC" w:rsidP="00A840FC">
      <w:pPr>
        <w:spacing w:after="0" w:line="240" w:lineRule="auto"/>
        <w:rPr>
          <w:rFonts w:ascii="Times New Roman" w:eastAsia="Arial Unicode MS" w:hAnsi="Times New Roman" w:cs="Times New Roman"/>
          <w:lang w:val="lt-LT"/>
        </w:rPr>
      </w:pPr>
    </w:p>
    <w:p w14:paraId="7E9E236E" w14:textId="77777777" w:rsidR="00A840FC" w:rsidRPr="00A840FC" w:rsidRDefault="00A840FC" w:rsidP="00A840FC">
      <w:pPr>
        <w:spacing w:after="0" w:line="240" w:lineRule="auto"/>
        <w:rPr>
          <w:rFonts w:ascii="Times New Roman" w:eastAsia="Arial Unicode MS" w:hAnsi="Times New Roman" w:cs="Times New Roman"/>
          <w:lang w:val="lt-LT"/>
        </w:rPr>
      </w:pPr>
    </w:p>
    <w:p w14:paraId="13C233C4"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2.</w:t>
      </w:r>
      <w:r w:rsidRPr="00A840FC">
        <w:rPr>
          <w:rFonts w:ascii="Times New Roman" w:eastAsia="Times New Roman" w:hAnsi="Times New Roman" w:cs="Times New Roman"/>
          <w:b/>
          <w:lang w:val="lt-LT"/>
        </w:rPr>
        <w:tab/>
        <w:t>VEIKLIOJI (-IOS) MEDŽIAGA (-OS) IR JOS (-Ų) KIEKIS (-IAI)</w:t>
      </w:r>
    </w:p>
    <w:p w14:paraId="1C48A2F9" w14:textId="77777777" w:rsidR="00A840FC" w:rsidRPr="00A840FC" w:rsidRDefault="00A840FC" w:rsidP="00A840FC">
      <w:pPr>
        <w:spacing w:after="0" w:line="240" w:lineRule="auto"/>
        <w:rPr>
          <w:rFonts w:ascii="Times New Roman" w:eastAsia="Arial Unicode MS" w:hAnsi="Times New Roman" w:cs="Times New Roman"/>
          <w:lang w:val="lt-LT"/>
        </w:rPr>
      </w:pPr>
    </w:p>
    <w:p w14:paraId="29A0E9D9"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1 plėvele dengtoje tabletėje yra:</w:t>
      </w:r>
    </w:p>
    <w:p w14:paraId="1D37F6F0"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25 mg kvetiapino (fumarato pavidalu).</w:t>
      </w:r>
    </w:p>
    <w:p w14:paraId="07090525"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100 mg kvetiapino (fumarato pavidalu),</w:t>
      </w:r>
    </w:p>
    <w:p w14:paraId="00171983"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200 mg kvetiapino (fumarato pavidalu),</w:t>
      </w:r>
    </w:p>
    <w:p w14:paraId="113A6B7E"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highlight w:val="lightGray"/>
          <w:lang w:val="lt-LT"/>
        </w:rPr>
        <w:t>300 mg kvetiapino (fumarato pavidalu),</w:t>
      </w:r>
    </w:p>
    <w:p w14:paraId="093A7D65" w14:textId="77777777" w:rsidR="00A840FC" w:rsidRPr="00A840FC" w:rsidRDefault="00A840FC" w:rsidP="00A840FC">
      <w:pPr>
        <w:spacing w:after="0" w:line="240" w:lineRule="auto"/>
        <w:rPr>
          <w:rFonts w:ascii="Times New Roman" w:eastAsia="Arial Unicode MS" w:hAnsi="Times New Roman" w:cs="Times New Roman"/>
          <w:lang w:val="lt-LT"/>
        </w:rPr>
      </w:pPr>
    </w:p>
    <w:p w14:paraId="23E94ACD" w14:textId="77777777" w:rsidR="00A840FC" w:rsidRPr="00A840FC" w:rsidRDefault="00A840FC" w:rsidP="00A840FC">
      <w:pPr>
        <w:spacing w:after="0" w:line="240" w:lineRule="auto"/>
        <w:rPr>
          <w:rFonts w:ascii="Times New Roman" w:eastAsia="Arial Unicode MS" w:hAnsi="Times New Roman" w:cs="Times New Roman"/>
          <w:lang w:val="lt-LT"/>
        </w:rPr>
      </w:pPr>
    </w:p>
    <w:p w14:paraId="47E76A37"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A840FC">
        <w:rPr>
          <w:rFonts w:ascii="Times New Roman" w:eastAsia="Times New Roman" w:hAnsi="Times New Roman" w:cs="Times New Roman"/>
          <w:b/>
          <w:lang w:val="lt-LT"/>
        </w:rPr>
        <w:t>3.</w:t>
      </w:r>
      <w:r w:rsidRPr="00A840FC">
        <w:rPr>
          <w:rFonts w:ascii="Times New Roman" w:eastAsia="Times New Roman" w:hAnsi="Times New Roman" w:cs="Times New Roman"/>
          <w:b/>
          <w:lang w:val="lt-LT"/>
        </w:rPr>
        <w:tab/>
        <w:t>PAGALBINIŲ MEDŽIAGŲ SĄRAŠAS</w:t>
      </w:r>
    </w:p>
    <w:p w14:paraId="13E29C25" w14:textId="77777777" w:rsidR="00A840FC" w:rsidRPr="00A840FC" w:rsidRDefault="00A840FC" w:rsidP="00A840FC">
      <w:pPr>
        <w:spacing w:after="0" w:line="240" w:lineRule="auto"/>
        <w:rPr>
          <w:rFonts w:ascii="Times New Roman" w:eastAsia="Arial Unicode MS" w:hAnsi="Times New Roman" w:cs="Times New Roman"/>
          <w:lang w:val="lt-LT"/>
        </w:rPr>
      </w:pPr>
    </w:p>
    <w:p w14:paraId="778CFAF3" w14:textId="77777777" w:rsidR="00A840FC" w:rsidRPr="00A840FC" w:rsidRDefault="00A840FC" w:rsidP="00A840FC">
      <w:pPr>
        <w:spacing w:after="0" w:line="240" w:lineRule="auto"/>
        <w:rPr>
          <w:rFonts w:ascii="Times New Roman" w:eastAsia="Arial Unicode MS" w:hAnsi="Times New Roman" w:cs="Times New Roman"/>
          <w:highlight w:val="lightGray"/>
          <w:lang w:val="lt-LT"/>
        </w:rPr>
      </w:pPr>
      <w:r w:rsidRPr="00A840FC">
        <w:rPr>
          <w:rFonts w:ascii="Times New Roman" w:eastAsia="Arial Unicode MS" w:hAnsi="Times New Roman" w:cs="Times New Roman"/>
          <w:highlight w:val="lightGray"/>
          <w:lang w:val="lt-LT"/>
        </w:rPr>
        <w:t>100 mg, 200 mg, 300 mg:</w:t>
      </w:r>
    </w:p>
    <w:p w14:paraId="76842F5D"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highlight w:val="lightGray"/>
          <w:lang w:val="lt-LT"/>
        </w:rPr>
        <w:t>laktozės monohidrato.</w:t>
      </w:r>
    </w:p>
    <w:p w14:paraId="481A02FD" w14:textId="77777777" w:rsidR="00A840FC" w:rsidRPr="00A840FC" w:rsidRDefault="00A840FC" w:rsidP="00A840FC">
      <w:pPr>
        <w:spacing w:after="0" w:line="240" w:lineRule="auto"/>
        <w:rPr>
          <w:rFonts w:ascii="Times New Roman" w:eastAsia="Arial Unicode MS" w:hAnsi="Times New Roman" w:cs="Times New Roman"/>
          <w:lang w:val="lt-LT"/>
        </w:rPr>
      </w:pPr>
    </w:p>
    <w:p w14:paraId="28F175A9" w14:textId="77777777" w:rsidR="00A840FC" w:rsidRPr="00A840FC" w:rsidRDefault="00A840FC" w:rsidP="00A840FC">
      <w:pPr>
        <w:spacing w:after="0" w:line="240" w:lineRule="auto"/>
        <w:rPr>
          <w:rFonts w:ascii="Times New Roman" w:eastAsia="Arial Unicode MS" w:hAnsi="Times New Roman" w:cs="Times New Roman"/>
          <w:lang w:val="lt-LT"/>
        </w:rPr>
      </w:pPr>
    </w:p>
    <w:p w14:paraId="523B8E63"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4.</w:t>
      </w:r>
      <w:r w:rsidRPr="00A840FC">
        <w:rPr>
          <w:rFonts w:ascii="Times New Roman" w:eastAsia="Times New Roman" w:hAnsi="Times New Roman" w:cs="Times New Roman"/>
          <w:b/>
          <w:lang w:val="lt-LT"/>
        </w:rPr>
        <w:tab/>
        <w:t>FARMACINĖ FORMA IR KIEKIS PAKUOTĖJE</w:t>
      </w:r>
    </w:p>
    <w:p w14:paraId="51D25C6E" w14:textId="77777777" w:rsidR="00A840FC" w:rsidRPr="00A840FC" w:rsidRDefault="00A840FC" w:rsidP="00A840FC">
      <w:pPr>
        <w:spacing w:after="0" w:line="240" w:lineRule="auto"/>
        <w:rPr>
          <w:rFonts w:ascii="Times New Roman" w:eastAsia="Arial Unicode MS" w:hAnsi="Times New Roman" w:cs="Times New Roman"/>
          <w:lang w:val="lt-LT"/>
        </w:rPr>
      </w:pPr>
    </w:p>
    <w:p w14:paraId="0E30DA74"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highlight w:val="lightGray"/>
          <w:lang w:val="lt-LT"/>
        </w:rPr>
        <w:t>Plėvele dengta tabletė</w:t>
      </w:r>
    </w:p>
    <w:p w14:paraId="03395C9A"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p>
    <w:p w14:paraId="4AA225DC"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Lizdinė plokštelė</w:t>
      </w:r>
    </w:p>
    <w:p w14:paraId="49933F51" w14:textId="77777777" w:rsidR="00A840FC" w:rsidRPr="00A840FC" w:rsidRDefault="00A840FC" w:rsidP="00A840FC">
      <w:pPr>
        <w:spacing w:after="0" w:line="240" w:lineRule="auto"/>
        <w:rPr>
          <w:rFonts w:ascii="Times New Roman" w:eastAsia="Times New Roman" w:hAnsi="Times New Roman" w:cs="Times New Roman"/>
          <w:i/>
          <w:u w:val="single"/>
          <w:lang w:val="lt-LT"/>
        </w:rPr>
      </w:pPr>
      <w:r w:rsidRPr="00A840FC">
        <w:rPr>
          <w:rFonts w:ascii="Times New Roman" w:eastAsia="Times New Roman" w:hAnsi="Times New Roman" w:cs="Times New Roman"/>
          <w:i/>
          <w:highlight w:val="lightGray"/>
          <w:u w:val="single"/>
          <w:lang w:val="lt-LT"/>
        </w:rPr>
        <w:t>25 mg</w:t>
      </w:r>
    </w:p>
    <w:p w14:paraId="30F0E177"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lang w:val="lt-LT"/>
        </w:rPr>
        <w:t>6 tabletės</w:t>
      </w:r>
    </w:p>
    <w:p w14:paraId="2406604F"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10 tablečių</w:t>
      </w:r>
    </w:p>
    <w:p w14:paraId="23A97484"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30 tablečių</w:t>
      </w:r>
    </w:p>
    <w:p w14:paraId="36E7C02C"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60 tablečių</w:t>
      </w:r>
    </w:p>
    <w:p w14:paraId="73C4381D"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100 tablečių</w:t>
      </w:r>
    </w:p>
    <w:p w14:paraId="49A9B276"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p>
    <w:p w14:paraId="0E303183" w14:textId="77777777" w:rsidR="00A840FC" w:rsidRPr="00A840FC" w:rsidRDefault="00A840FC" w:rsidP="00A840FC">
      <w:pPr>
        <w:spacing w:after="0" w:line="240" w:lineRule="auto"/>
        <w:rPr>
          <w:rFonts w:ascii="Times New Roman" w:eastAsia="Times New Roman" w:hAnsi="Times New Roman" w:cs="Times New Roman"/>
          <w:i/>
          <w:highlight w:val="lightGray"/>
          <w:u w:val="single"/>
          <w:lang w:val="lt-LT"/>
        </w:rPr>
      </w:pPr>
      <w:r w:rsidRPr="00A840FC">
        <w:rPr>
          <w:rFonts w:ascii="Times New Roman" w:eastAsia="Times New Roman" w:hAnsi="Times New Roman" w:cs="Times New Roman"/>
          <w:i/>
          <w:highlight w:val="lightGray"/>
          <w:u w:val="single"/>
          <w:lang w:val="lt-LT"/>
        </w:rPr>
        <w:t>100 mg, 200 mg, 300 mg:</w:t>
      </w:r>
    </w:p>
    <w:p w14:paraId="69E81D7E"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30 tablečių</w:t>
      </w:r>
    </w:p>
    <w:p w14:paraId="08C05FBD"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60 tablečių</w:t>
      </w:r>
    </w:p>
    <w:p w14:paraId="57259DE4"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90 tablečių</w:t>
      </w:r>
    </w:p>
    <w:p w14:paraId="59271190"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highlight w:val="lightGray"/>
          <w:lang w:val="lt-LT"/>
        </w:rPr>
        <w:t>100 tablečių</w:t>
      </w:r>
    </w:p>
    <w:p w14:paraId="4AD9A411" w14:textId="77777777" w:rsidR="00A840FC" w:rsidRPr="00A840FC" w:rsidRDefault="00A840FC" w:rsidP="00A840FC">
      <w:pPr>
        <w:spacing w:after="0" w:line="240" w:lineRule="auto"/>
        <w:rPr>
          <w:rFonts w:ascii="Times New Roman" w:eastAsia="Times New Roman" w:hAnsi="Times New Roman" w:cs="Times New Roman"/>
          <w:lang w:val="lt-LT"/>
        </w:rPr>
      </w:pPr>
    </w:p>
    <w:p w14:paraId="1A780974"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 xml:space="preserve">DTPE plačiakaklis indas </w:t>
      </w:r>
    </w:p>
    <w:p w14:paraId="0A0F627D"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highlight w:val="lightGray"/>
          <w:lang w:val="lt-LT"/>
        </w:rPr>
        <w:t>100 tablečių</w:t>
      </w:r>
    </w:p>
    <w:p w14:paraId="0B42037F" w14:textId="77777777" w:rsidR="00A840FC" w:rsidRPr="00A840FC" w:rsidRDefault="00A840FC" w:rsidP="00A840FC">
      <w:pPr>
        <w:spacing w:after="0" w:line="240" w:lineRule="auto"/>
        <w:rPr>
          <w:rFonts w:ascii="Times New Roman" w:eastAsia="Arial Unicode MS" w:hAnsi="Times New Roman" w:cs="Times New Roman"/>
          <w:lang w:val="lt-LT"/>
        </w:rPr>
      </w:pPr>
    </w:p>
    <w:p w14:paraId="7E8CC772" w14:textId="77777777" w:rsidR="00A840FC" w:rsidRPr="00A840FC" w:rsidRDefault="00A840FC" w:rsidP="00A840FC">
      <w:pPr>
        <w:spacing w:after="0" w:line="240" w:lineRule="auto"/>
        <w:rPr>
          <w:rFonts w:ascii="Times New Roman" w:eastAsia="Arial Unicode MS" w:hAnsi="Times New Roman" w:cs="Times New Roman"/>
          <w:lang w:val="lt-LT"/>
        </w:rPr>
      </w:pPr>
    </w:p>
    <w:p w14:paraId="79CC55F9"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A840FC">
        <w:rPr>
          <w:rFonts w:ascii="Times New Roman" w:eastAsia="Times New Roman" w:hAnsi="Times New Roman" w:cs="Times New Roman"/>
          <w:b/>
          <w:lang w:val="lt-LT"/>
        </w:rPr>
        <w:t>5.</w:t>
      </w:r>
      <w:r w:rsidRPr="00A840FC">
        <w:rPr>
          <w:rFonts w:ascii="Times New Roman" w:eastAsia="Times New Roman" w:hAnsi="Times New Roman" w:cs="Times New Roman"/>
          <w:b/>
          <w:lang w:val="lt-LT"/>
        </w:rPr>
        <w:tab/>
        <w:t>VARTOJIMO METODAS IR BŪDAS (-AI)</w:t>
      </w:r>
    </w:p>
    <w:p w14:paraId="2F0B3183" w14:textId="77777777" w:rsidR="00A840FC" w:rsidRPr="00A840FC" w:rsidRDefault="00A840FC" w:rsidP="00A840FC">
      <w:pPr>
        <w:spacing w:after="0" w:line="240" w:lineRule="auto"/>
        <w:rPr>
          <w:rFonts w:ascii="Times New Roman" w:eastAsia="Arial Unicode MS" w:hAnsi="Times New Roman" w:cs="Times New Roman"/>
          <w:lang w:val="lt-LT"/>
        </w:rPr>
      </w:pPr>
    </w:p>
    <w:p w14:paraId="5B773266"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Prieš vartojimą perskaitykite pakuotės lapelį.</w:t>
      </w:r>
    </w:p>
    <w:p w14:paraId="06D55BA9" w14:textId="77777777" w:rsidR="00A840FC" w:rsidRPr="00A840FC" w:rsidRDefault="00A840FC" w:rsidP="00A840FC">
      <w:pPr>
        <w:spacing w:after="0" w:line="240" w:lineRule="auto"/>
        <w:rPr>
          <w:rFonts w:ascii="Times New Roman" w:eastAsia="Arial Unicode MS" w:hAnsi="Times New Roman" w:cs="Times New Roman"/>
          <w:lang w:val="lt-LT"/>
        </w:rPr>
      </w:pPr>
    </w:p>
    <w:p w14:paraId="422A0563" w14:textId="77777777" w:rsidR="00A840FC" w:rsidRPr="00A840FC" w:rsidRDefault="00A840FC" w:rsidP="00A840FC">
      <w:pPr>
        <w:spacing w:after="0" w:line="240" w:lineRule="auto"/>
        <w:rPr>
          <w:rFonts w:ascii="Times New Roman" w:eastAsia="Arial Unicode MS" w:hAnsi="Times New Roman" w:cs="Times New Roman"/>
          <w:lang w:val="lt-LT"/>
        </w:rPr>
      </w:pPr>
    </w:p>
    <w:p w14:paraId="611D7A22"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lang w:val="lt-LT"/>
        </w:rPr>
      </w:pPr>
      <w:r w:rsidRPr="00A840FC">
        <w:rPr>
          <w:rFonts w:ascii="Times New Roman" w:eastAsia="Times New Roman" w:hAnsi="Times New Roman" w:cs="Times New Roman"/>
          <w:b/>
          <w:lang w:val="lt-LT"/>
        </w:rPr>
        <w:t>6.</w:t>
      </w:r>
      <w:r w:rsidRPr="00A840FC">
        <w:rPr>
          <w:rFonts w:ascii="Times New Roman" w:eastAsia="Times New Roman" w:hAnsi="Times New Roman" w:cs="Times New Roman"/>
          <w:b/>
          <w:lang w:val="lt-LT"/>
        </w:rPr>
        <w:tab/>
        <w:t>SPECIALUS ĮSPĖJIMAS, KAD VAISTINĮ PREPARATĄ BŪTINA LAIKYTI VAIKAMS NEPASTEBIMOJE IR NEPASIEKIAMOJE VIETOJE</w:t>
      </w:r>
    </w:p>
    <w:p w14:paraId="42E35C05" w14:textId="77777777" w:rsidR="00A840FC" w:rsidRPr="00A840FC" w:rsidRDefault="00A840FC" w:rsidP="00A840FC">
      <w:pPr>
        <w:spacing w:after="0" w:line="240" w:lineRule="auto"/>
        <w:rPr>
          <w:rFonts w:ascii="Times New Roman" w:eastAsia="Arial Unicode MS" w:hAnsi="Times New Roman" w:cs="Times New Roman"/>
          <w:lang w:val="lt-LT"/>
        </w:rPr>
      </w:pPr>
    </w:p>
    <w:p w14:paraId="274DF459"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Laikyti vaikams nepastebimoje ir nepasiekiamoje vietoje.</w:t>
      </w:r>
    </w:p>
    <w:p w14:paraId="74A3CD93" w14:textId="77777777" w:rsidR="00A840FC" w:rsidRPr="00A840FC" w:rsidRDefault="00A840FC" w:rsidP="00A840FC">
      <w:pPr>
        <w:spacing w:after="0" w:line="240" w:lineRule="auto"/>
        <w:rPr>
          <w:rFonts w:ascii="Times New Roman" w:eastAsia="Arial Unicode MS" w:hAnsi="Times New Roman" w:cs="Times New Roman"/>
          <w:lang w:val="lt-LT"/>
        </w:rPr>
      </w:pPr>
    </w:p>
    <w:p w14:paraId="4B127909" w14:textId="77777777" w:rsidR="00A840FC" w:rsidRPr="00A840FC" w:rsidRDefault="00A840FC" w:rsidP="00A840FC">
      <w:pPr>
        <w:spacing w:after="0" w:line="240" w:lineRule="auto"/>
        <w:rPr>
          <w:rFonts w:ascii="Times New Roman" w:eastAsia="Arial Unicode MS" w:hAnsi="Times New Roman" w:cs="Times New Roman"/>
          <w:lang w:val="lt-LT"/>
        </w:rPr>
      </w:pPr>
    </w:p>
    <w:p w14:paraId="1EBA3932"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A840FC">
        <w:rPr>
          <w:rFonts w:ascii="Times New Roman" w:eastAsia="Times New Roman" w:hAnsi="Times New Roman" w:cs="Times New Roman"/>
          <w:b/>
          <w:lang w:val="lt-LT"/>
        </w:rPr>
        <w:t>7.</w:t>
      </w:r>
      <w:r w:rsidRPr="00A840FC">
        <w:rPr>
          <w:rFonts w:ascii="Times New Roman" w:eastAsia="Times New Roman" w:hAnsi="Times New Roman" w:cs="Times New Roman"/>
          <w:b/>
          <w:lang w:val="lt-LT"/>
        </w:rPr>
        <w:tab/>
        <w:t>KITAS (-I) SPECIALUS (-ŪS) ĮSPĖJIMAS (-AI) (JEI REIKIA)</w:t>
      </w:r>
    </w:p>
    <w:p w14:paraId="6930EE5B" w14:textId="77777777" w:rsidR="00A840FC" w:rsidRPr="00A840FC" w:rsidRDefault="00A840FC" w:rsidP="00A840FC">
      <w:pPr>
        <w:spacing w:after="0" w:line="240" w:lineRule="auto"/>
        <w:rPr>
          <w:rFonts w:ascii="Times New Roman" w:eastAsia="Arial Unicode MS" w:hAnsi="Times New Roman" w:cs="Times New Roman"/>
          <w:lang w:val="lt-LT"/>
        </w:rPr>
      </w:pPr>
    </w:p>
    <w:p w14:paraId="153505EF" w14:textId="77777777" w:rsidR="00A840FC" w:rsidRPr="00A840FC" w:rsidRDefault="00A840FC" w:rsidP="00A840FC">
      <w:pPr>
        <w:spacing w:after="0" w:line="240" w:lineRule="auto"/>
        <w:rPr>
          <w:rFonts w:ascii="Times New Roman" w:eastAsia="Arial Unicode MS" w:hAnsi="Times New Roman" w:cs="Times New Roman"/>
          <w:lang w:val="lt-LT"/>
        </w:rPr>
      </w:pPr>
    </w:p>
    <w:p w14:paraId="2E315261"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A840FC">
        <w:rPr>
          <w:rFonts w:ascii="Times New Roman" w:eastAsia="Times New Roman" w:hAnsi="Times New Roman" w:cs="Times New Roman"/>
          <w:b/>
          <w:lang w:val="lt-LT"/>
        </w:rPr>
        <w:t>8.</w:t>
      </w:r>
      <w:r w:rsidRPr="00A840FC">
        <w:rPr>
          <w:rFonts w:ascii="Times New Roman" w:eastAsia="Times New Roman" w:hAnsi="Times New Roman" w:cs="Times New Roman"/>
          <w:b/>
          <w:lang w:val="lt-LT"/>
        </w:rPr>
        <w:tab/>
        <w:t>TINKAMUMO LAIKAS</w:t>
      </w:r>
    </w:p>
    <w:p w14:paraId="353221B0" w14:textId="77777777" w:rsidR="00A840FC" w:rsidRPr="00A840FC" w:rsidRDefault="00A840FC" w:rsidP="00A840FC">
      <w:pPr>
        <w:spacing w:after="0" w:line="240" w:lineRule="auto"/>
        <w:rPr>
          <w:rFonts w:ascii="Times New Roman" w:eastAsia="Arial Unicode MS" w:hAnsi="Times New Roman" w:cs="Times New Roman"/>
          <w:lang w:val="lt-LT"/>
        </w:rPr>
      </w:pPr>
    </w:p>
    <w:p w14:paraId="5F433D98"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 xml:space="preserve">EXP: </w:t>
      </w:r>
      <w:r w:rsidRPr="00A840FC">
        <w:rPr>
          <w:rFonts w:ascii="Times New Roman" w:eastAsia="Calibri" w:hAnsi="Times New Roman" w:cs="Times New Roman"/>
          <w:highlight w:val="lightGray"/>
          <w:lang w:val="lt-LT"/>
        </w:rPr>
        <w:t>{mm/MMMM}</w:t>
      </w:r>
    </w:p>
    <w:p w14:paraId="319ED633" w14:textId="77777777" w:rsidR="00A840FC" w:rsidRPr="00A840FC" w:rsidRDefault="00A840FC" w:rsidP="00A840FC">
      <w:pPr>
        <w:spacing w:after="0" w:line="240" w:lineRule="auto"/>
        <w:rPr>
          <w:rFonts w:ascii="Times New Roman" w:eastAsia="Arial Unicode MS" w:hAnsi="Times New Roman" w:cs="Times New Roman"/>
          <w:lang w:val="lt-LT"/>
        </w:rPr>
      </w:pPr>
    </w:p>
    <w:p w14:paraId="358C1E2C" w14:textId="77777777" w:rsidR="00A840FC" w:rsidRPr="00A840FC" w:rsidRDefault="00A840FC" w:rsidP="00A840FC">
      <w:pPr>
        <w:spacing w:after="0" w:line="240" w:lineRule="auto"/>
        <w:rPr>
          <w:rFonts w:ascii="Times New Roman" w:eastAsia="Arial Unicode MS" w:hAnsi="Times New Roman" w:cs="Times New Roman"/>
          <w:lang w:val="lt-LT"/>
        </w:rPr>
      </w:pPr>
    </w:p>
    <w:p w14:paraId="5B6E47F0"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9.</w:t>
      </w:r>
      <w:r w:rsidRPr="00A840FC">
        <w:rPr>
          <w:rFonts w:ascii="Times New Roman" w:eastAsia="Times New Roman" w:hAnsi="Times New Roman" w:cs="Times New Roman"/>
          <w:b/>
          <w:lang w:val="lt-LT"/>
        </w:rPr>
        <w:tab/>
        <w:t>SPECIALIOS LAIKYMO SĄLYGOS</w:t>
      </w:r>
    </w:p>
    <w:p w14:paraId="30CAA6BE" w14:textId="77777777" w:rsidR="00A840FC" w:rsidRPr="00A840FC" w:rsidRDefault="00A840FC" w:rsidP="00A840FC">
      <w:pPr>
        <w:spacing w:after="0" w:line="240" w:lineRule="auto"/>
        <w:rPr>
          <w:rFonts w:ascii="Times New Roman" w:eastAsia="Arial Unicode MS" w:hAnsi="Times New Roman" w:cs="Times New Roman"/>
          <w:lang w:val="lt-LT"/>
        </w:rPr>
      </w:pPr>
    </w:p>
    <w:p w14:paraId="696B97B8" w14:textId="77777777" w:rsidR="00A840FC" w:rsidRPr="00A840FC" w:rsidRDefault="00A840FC" w:rsidP="00A840FC">
      <w:pPr>
        <w:spacing w:after="0" w:line="240" w:lineRule="auto"/>
        <w:rPr>
          <w:rFonts w:ascii="Times New Roman" w:eastAsia="Arial Unicode MS" w:hAnsi="Times New Roman" w:cs="Times New Roman"/>
          <w:lang w:val="lt-LT"/>
        </w:rPr>
      </w:pPr>
    </w:p>
    <w:p w14:paraId="5FA85FBC" w14:textId="77777777" w:rsidR="00A840FC" w:rsidRPr="00A840FC" w:rsidRDefault="00A840FC" w:rsidP="00A840FC">
      <w:pPr>
        <w:spacing w:after="0" w:line="240" w:lineRule="auto"/>
        <w:rPr>
          <w:rFonts w:ascii="Times New Roman" w:eastAsia="Arial Unicode MS" w:hAnsi="Times New Roman" w:cs="Times New Roman"/>
          <w:lang w:val="lt-LT"/>
        </w:rPr>
      </w:pPr>
    </w:p>
    <w:p w14:paraId="596D8CBB"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10.</w:t>
      </w:r>
      <w:r w:rsidRPr="00A840FC">
        <w:rPr>
          <w:rFonts w:ascii="Times New Roman" w:eastAsia="Times New Roman" w:hAnsi="Times New Roman" w:cs="Times New Roman"/>
          <w:b/>
          <w:lang w:val="lt-LT"/>
        </w:rPr>
        <w:tab/>
        <w:t xml:space="preserve">SPECIALIOS ATSARGUMO PRIEMONĖS DĖL NESUVARTOTO </w:t>
      </w:r>
      <w:r w:rsidRPr="00A840FC">
        <w:rPr>
          <w:rFonts w:ascii="Times New Roman" w:eastAsia="Times New Roman" w:hAnsi="Times New Roman" w:cs="Times New Roman"/>
          <w:b/>
          <w:bCs/>
          <w:lang w:val="lt-LT"/>
        </w:rPr>
        <w:t xml:space="preserve">VAISTINIO PREPARATO AR JO ATLIEKŲ </w:t>
      </w:r>
      <w:r w:rsidRPr="00A840FC">
        <w:rPr>
          <w:rFonts w:ascii="Times New Roman" w:eastAsia="Times New Roman" w:hAnsi="Times New Roman" w:cs="Times New Roman"/>
          <w:b/>
          <w:lang w:val="lt-LT"/>
        </w:rPr>
        <w:t>TVARKYMO (JEI REIKIA)</w:t>
      </w:r>
    </w:p>
    <w:p w14:paraId="5ABCCF2E" w14:textId="77777777" w:rsidR="00A840FC" w:rsidRPr="00A840FC" w:rsidRDefault="00A840FC" w:rsidP="00A840FC">
      <w:pPr>
        <w:spacing w:after="0" w:line="240" w:lineRule="auto"/>
        <w:rPr>
          <w:rFonts w:ascii="Times New Roman" w:eastAsia="Arial Unicode MS" w:hAnsi="Times New Roman" w:cs="Times New Roman"/>
          <w:lang w:val="lt-LT"/>
        </w:rPr>
      </w:pPr>
    </w:p>
    <w:p w14:paraId="1864EB1C" w14:textId="77777777" w:rsidR="00A840FC" w:rsidRPr="00A840FC" w:rsidRDefault="00A840FC" w:rsidP="00A840FC">
      <w:pPr>
        <w:spacing w:after="0" w:line="240" w:lineRule="auto"/>
        <w:rPr>
          <w:rFonts w:ascii="Times New Roman" w:eastAsia="Arial Unicode MS" w:hAnsi="Times New Roman" w:cs="Times New Roman"/>
          <w:lang w:val="lt-LT"/>
        </w:rPr>
      </w:pPr>
    </w:p>
    <w:p w14:paraId="729C4B04"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A840FC">
        <w:rPr>
          <w:rFonts w:ascii="Times New Roman" w:eastAsia="Times New Roman" w:hAnsi="Times New Roman" w:cs="Times New Roman"/>
          <w:b/>
          <w:snapToGrid w:val="0"/>
          <w:lang w:val="lt-LT"/>
        </w:rPr>
        <w:t>11.</w:t>
      </w:r>
      <w:r w:rsidRPr="00A840FC">
        <w:rPr>
          <w:rFonts w:ascii="Times New Roman" w:eastAsia="Times New Roman" w:hAnsi="Times New Roman" w:cs="Times New Roman"/>
          <w:b/>
          <w:snapToGrid w:val="0"/>
          <w:lang w:val="lt-LT"/>
        </w:rPr>
        <w:tab/>
      </w:r>
      <w:r w:rsidRPr="00A840FC">
        <w:rPr>
          <w:rFonts w:ascii="Times New Roman" w:eastAsia="Times New Roman" w:hAnsi="Times New Roman" w:cs="Times New Roman"/>
          <w:b/>
          <w:caps/>
          <w:snapToGrid w:val="0"/>
          <w:lang w:val="lt-LT"/>
        </w:rPr>
        <w:t>REGISTRUOTOJO PAVADINIMAS IR ADRESAS</w:t>
      </w:r>
    </w:p>
    <w:p w14:paraId="70F6BAFB" w14:textId="77777777" w:rsidR="00A840FC" w:rsidRPr="00A840FC" w:rsidRDefault="00A840FC" w:rsidP="00A840FC">
      <w:pPr>
        <w:spacing w:after="0" w:line="240" w:lineRule="auto"/>
        <w:rPr>
          <w:rFonts w:ascii="Times New Roman" w:eastAsia="Arial Unicode MS" w:hAnsi="Times New Roman" w:cs="Times New Roman"/>
          <w:lang w:val="lt-LT"/>
        </w:rPr>
      </w:pPr>
    </w:p>
    <w:p w14:paraId="447029FE"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Orion Corporation</w:t>
      </w:r>
    </w:p>
    <w:p w14:paraId="1E07C407"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Orionintie 1</w:t>
      </w:r>
    </w:p>
    <w:p w14:paraId="2AF7F059"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FI-02200 Espoo</w:t>
      </w:r>
    </w:p>
    <w:p w14:paraId="04CC5BD4"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Suomija</w:t>
      </w:r>
    </w:p>
    <w:p w14:paraId="2EEB9129" w14:textId="77777777" w:rsidR="00A840FC" w:rsidRPr="00A840FC" w:rsidRDefault="00A840FC" w:rsidP="00A840FC">
      <w:pPr>
        <w:spacing w:after="0" w:line="240" w:lineRule="auto"/>
        <w:rPr>
          <w:rFonts w:ascii="Times New Roman" w:eastAsia="Arial Unicode MS" w:hAnsi="Times New Roman" w:cs="Times New Roman"/>
          <w:lang w:val="lt-LT"/>
        </w:rPr>
      </w:pPr>
    </w:p>
    <w:p w14:paraId="1E2C8DC4" w14:textId="77777777" w:rsidR="00A840FC" w:rsidRPr="00A840FC" w:rsidRDefault="00A840FC" w:rsidP="00A840FC">
      <w:pPr>
        <w:spacing w:after="0" w:line="240" w:lineRule="auto"/>
        <w:rPr>
          <w:rFonts w:ascii="Times New Roman" w:eastAsia="Arial Unicode MS" w:hAnsi="Times New Roman" w:cs="Times New Roman"/>
          <w:lang w:val="lt-LT"/>
        </w:rPr>
      </w:pPr>
    </w:p>
    <w:p w14:paraId="2E4750B3"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A840FC">
        <w:rPr>
          <w:rFonts w:ascii="Times New Roman" w:eastAsia="Times New Roman" w:hAnsi="Times New Roman" w:cs="Times New Roman"/>
          <w:b/>
          <w:snapToGrid w:val="0"/>
          <w:lang w:val="lt-LT"/>
        </w:rPr>
        <w:t>12.</w:t>
      </w:r>
      <w:r w:rsidRPr="00A840FC">
        <w:rPr>
          <w:rFonts w:ascii="Times New Roman" w:eastAsia="Times New Roman" w:hAnsi="Times New Roman" w:cs="Times New Roman"/>
          <w:b/>
          <w:snapToGrid w:val="0"/>
          <w:lang w:val="lt-LT"/>
        </w:rPr>
        <w:tab/>
        <w:t xml:space="preserve">REGISTRACIJOS PAŽYMĖJIMO NUMERIS (-IAI) </w:t>
      </w:r>
    </w:p>
    <w:p w14:paraId="00EFBB39" w14:textId="77777777" w:rsidR="00A840FC" w:rsidRPr="00A840FC" w:rsidRDefault="00A840FC" w:rsidP="00A840FC">
      <w:pPr>
        <w:spacing w:after="0" w:line="240" w:lineRule="auto"/>
        <w:rPr>
          <w:rFonts w:ascii="Times New Roman" w:eastAsia="Arial Unicode MS" w:hAnsi="Times New Roman" w:cs="Times New Roman"/>
          <w:lang w:val="lt-LT"/>
        </w:rPr>
      </w:pPr>
    </w:p>
    <w:p w14:paraId="07EE252B" w14:textId="77777777" w:rsidR="00A840FC" w:rsidRPr="00A840FC" w:rsidRDefault="00A840FC" w:rsidP="00A840FC">
      <w:pPr>
        <w:spacing w:after="0" w:line="240" w:lineRule="auto"/>
        <w:rPr>
          <w:rFonts w:ascii="Times New Roman" w:eastAsia="Arial Unicode MS" w:hAnsi="Times New Roman" w:cs="Times New Roman"/>
          <w:highlight w:val="lightGray"/>
          <w:lang w:val="lt-LT"/>
        </w:rPr>
      </w:pPr>
      <w:r w:rsidRPr="00A840FC">
        <w:rPr>
          <w:rFonts w:ascii="Times New Roman" w:eastAsia="Arial Unicode MS" w:hAnsi="Times New Roman" w:cs="Times New Roman"/>
          <w:highlight w:val="lightGray"/>
          <w:lang w:val="lt-LT"/>
        </w:rPr>
        <w:t>25 mg</w:t>
      </w:r>
    </w:p>
    <w:p w14:paraId="5614A396"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highlight w:val="lightGray"/>
          <w:lang w:val="lt-LT"/>
        </w:rPr>
        <w:t>Lizdinė plokštelė</w:t>
      </w:r>
    </w:p>
    <w:p w14:paraId="70D482F9"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N6 – LT/1/07/0773/007</w:t>
      </w:r>
    </w:p>
    <w:p w14:paraId="23B18BEF"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N10 – LT/1/07/0773/001</w:t>
      </w:r>
    </w:p>
    <w:p w14:paraId="6D5224DE"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 xml:space="preserve">N30 – </w:t>
      </w:r>
      <w:r w:rsidRPr="00A840FC">
        <w:rPr>
          <w:rFonts w:ascii="Times New Roman" w:eastAsia="Times New Roman" w:hAnsi="Times New Roman" w:cs="Times New Roman"/>
          <w:highlight w:val="lightGray"/>
          <w:lang w:val="lt-LT" w:eastAsia="lt-LT"/>
        </w:rPr>
        <w:t>LT/1/07/0773/021</w:t>
      </w:r>
    </w:p>
    <w:p w14:paraId="035D38B6"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N60 (6 x 10) – LT/1/07/0773/008</w:t>
      </w:r>
    </w:p>
    <w:p w14:paraId="2A554C80"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N60 (10 x 6) – LT/1/07/0773/009</w:t>
      </w:r>
    </w:p>
    <w:p w14:paraId="25648EB0"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N100 – LT/1/07/0773/002</w:t>
      </w:r>
    </w:p>
    <w:p w14:paraId="1DC2B4A8" w14:textId="77777777" w:rsidR="00A840FC" w:rsidRPr="00A840FC" w:rsidRDefault="00A840FC" w:rsidP="00A840FC">
      <w:pPr>
        <w:spacing w:after="0" w:line="240" w:lineRule="auto"/>
        <w:rPr>
          <w:rFonts w:ascii="Times New Roman" w:eastAsia="Times New Roman" w:hAnsi="Times New Roman" w:cs="Times New Roman"/>
          <w:i/>
          <w:highlight w:val="lightGray"/>
          <w:lang w:val="lt-LT"/>
        </w:rPr>
      </w:pPr>
      <w:r w:rsidRPr="00A840FC">
        <w:rPr>
          <w:rFonts w:ascii="Times New Roman" w:eastAsia="Times New Roman" w:hAnsi="Times New Roman" w:cs="Times New Roman"/>
          <w:i/>
          <w:highlight w:val="lightGray"/>
          <w:lang w:val="lt-LT"/>
        </w:rPr>
        <w:t xml:space="preserve">Plačiakaklis indas </w:t>
      </w:r>
    </w:p>
    <w:p w14:paraId="519945C8"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N100 – LT/1/07/0773/022</w:t>
      </w:r>
    </w:p>
    <w:p w14:paraId="0016DEB4"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p>
    <w:p w14:paraId="086A5917" w14:textId="77777777" w:rsidR="00A840FC" w:rsidRPr="00A840FC" w:rsidRDefault="00A840FC" w:rsidP="00A840FC">
      <w:pPr>
        <w:spacing w:after="0" w:line="240" w:lineRule="auto"/>
        <w:rPr>
          <w:rFonts w:ascii="Times New Roman" w:eastAsia="Arial Unicode MS" w:hAnsi="Times New Roman" w:cs="Times New Roman"/>
          <w:highlight w:val="lightGray"/>
          <w:lang w:val="lt-LT"/>
        </w:rPr>
      </w:pPr>
      <w:r w:rsidRPr="00A840FC">
        <w:rPr>
          <w:rFonts w:ascii="Times New Roman" w:eastAsia="Arial Unicode MS" w:hAnsi="Times New Roman" w:cs="Times New Roman"/>
          <w:highlight w:val="lightGray"/>
          <w:lang w:val="lt-LT"/>
        </w:rPr>
        <w:t>100 mg</w:t>
      </w:r>
    </w:p>
    <w:p w14:paraId="72E87596" w14:textId="77777777" w:rsidR="00A840FC" w:rsidRPr="00A840FC" w:rsidRDefault="00A840FC" w:rsidP="00A840FC">
      <w:pPr>
        <w:spacing w:after="0" w:line="240" w:lineRule="auto"/>
        <w:rPr>
          <w:rFonts w:ascii="Times New Roman" w:eastAsia="Arial Unicode MS" w:hAnsi="Times New Roman" w:cs="Times New Roman"/>
          <w:highlight w:val="lightGray"/>
          <w:lang w:val="lt-LT"/>
        </w:rPr>
      </w:pPr>
      <w:r w:rsidRPr="00A840FC">
        <w:rPr>
          <w:rFonts w:ascii="Times New Roman" w:eastAsia="Arial Unicode MS" w:hAnsi="Times New Roman" w:cs="Times New Roman"/>
          <w:highlight w:val="lightGray"/>
          <w:lang w:val="lt-LT"/>
        </w:rPr>
        <w:t>Lizdinė plokštelė</w:t>
      </w:r>
    </w:p>
    <w:p w14:paraId="5AF3E5C2"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N30 – LT/1/07/0773/003</w:t>
      </w:r>
    </w:p>
    <w:p w14:paraId="59C22B40"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 xml:space="preserve">N60 (6 x 10) – LT/1/07/0773/010 </w:t>
      </w:r>
    </w:p>
    <w:p w14:paraId="0902260C"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N60 (10 x 6) – LT/1/07/0773/011</w:t>
      </w:r>
    </w:p>
    <w:p w14:paraId="327A4E23"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N90 – LT/1/07/0773/012</w:t>
      </w:r>
    </w:p>
    <w:p w14:paraId="19145BE6"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N100 – LT/1/07/0773/004</w:t>
      </w:r>
    </w:p>
    <w:p w14:paraId="3D164F76" w14:textId="77777777" w:rsidR="00A840FC" w:rsidRPr="00A840FC" w:rsidRDefault="00A840FC" w:rsidP="00A840FC">
      <w:pPr>
        <w:spacing w:after="0" w:line="240" w:lineRule="auto"/>
        <w:rPr>
          <w:rFonts w:ascii="Times New Roman" w:eastAsia="Times New Roman" w:hAnsi="Times New Roman" w:cs="Times New Roman"/>
          <w:i/>
          <w:highlight w:val="lightGray"/>
          <w:lang w:val="lt-LT"/>
        </w:rPr>
      </w:pPr>
      <w:r w:rsidRPr="00A840FC">
        <w:rPr>
          <w:rFonts w:ascii="Times New Roman" w:eastAsia="Times New Roman" w:hAnsi="Times New Roman" w:cs="Times New Roman"/>
          <w:i/>
          <w:highlight w:val="lightGray"/>
          <w:lang w:val="lt-LT"/>
        </w:rPr>
        <w:t>Plačiakaklis indas</w:t>
      </w:r>
    </w:p>
    <w:p w14:paraId="1BF33198"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N100 – LT/1/07/0733/0023</w:t>
      </w:r>
    </w:p>
    <w:p w14:paraId="5BC251E2"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p>
    <w:p w14:paraId="48CC37BF" w14:textId="77777777" w:rsidR="00A840FC" w:rsidRPr="00A840FC" w:rsidRDefault="00A840FC" w:rsidP="00A840FC">
      <w:pPr>
        <w:spacing w:after="0" w:line="240" w:lineRule="auto"/>
        <w:rPr>
          <w:rFonts w:ascii="Times New Roman" w:eastAsia="Arial Unicode MS" w:hAnsi="Times New Roman" w:cs="Times New Roman"/>
          <w:highlight w:val="lightGray"/>
          <w:lang w:val="lt-LT"/>
        </w:rPr>
      </w:pPr>
      <w:r w:rsidRPr="00A840FC">
        <w:rPr>
          <w:rFonts w:ascii="Times New Roman" w:eastAsia="Arial Unicode MS" w:hAnsi="Times New Roman" w:cs="Times New Roman"/>
          <w:highlight w:val="lightGray"/>
          <w:lang w:val="lt-LT"/>
        </w:rPr>
        <w:lastRenderedPageBreak/>
        <w:t>200 mg</w:t>
      </w:r>
    </w:p>
    <w:p w14:paraId="5D8382C3" w14:textId="77777777" w:rsidR="00A840FC" w:rsidRPr="00A840FC" w:rsidRDefault="00A840FC" w:rsidP="00A840FC">
      <w:pPr>
        <w:spacing w:after="0" w:line="240" w:lineRule="auto"/>
        <w:rPr>
          <w:rFonts w:ascii="Times New Roman" w:eastAsia="Arial Unicode MS" w:hAnsi="Times New Roman" w:cs="Times New Roman"/>
          <w:highlight w:val="lightGray"/>
          <w:lang w:val="lt-LT"/>
        </w:rPr>
      </w:pPr>
      <w:r w:rsidRPr="00A840FC">
        <w:rPr>
          <w:rFonts w:ascii="Times New Roman" w:eastAsia="Arial Unicode MS" w:hAnsi="Times New Roman" w:cs="Times New Roman"/>
          <w:highlight w:val="lightGray"/>
          <w:lang w:val="lt-LT"/>
        </w:rPr>
        <w:t>Lizdinė plokštelė</w:t>
      </w:r>
    </w:p>
    <w:p w14:paraId="193C4DA8"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N30 – LT/1/07/0773/005</w:t>
      </w:r>
    </w:p>
    <w:p w14:paraId="397BDF34"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 xml:space="preserve">N60 (6 x 10) – LT/1/07/0773/013 </w:t>
      </w:r>
    </w:p>
    <w:p w14:paraId="602E9811"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N60 (10 x 6) – LT/1/07/0773/014</w:t>
      </w:r>
    </w:p>
    <w:p w14:paraId="768CBDA2"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N90 – LT/1/07/0773/015</w:t>
      </w:r>
    </w:p>
    <w:p w14:paraId="1053DA8D"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N100 – LT/1/07/0773/006</w:t>
      </w:r>
    </w:p>
    <w:p w14:paraId="7BF41FDF" w14:textId="77777777" w:rsidR="00A840FC" w:rsidRPr="00A840FC" w:rsidRDefault="00A840FC" w:rsidP="00A840FC">
      <w:pPr>
        <w:spacing w:after="0" w:line="240" w:lineRule="auto"/>
        <w:rPr>
          <w:rFonts w:ascii="Times New Roman" w:eastAsia="Arial Unicode MS" w:hAnsi="Times New Roman" w:cs="Times New Roman"/>
          <w:highlight w:val="lightGray"/>
          <w:lang w:val="lt-LT"/>
        </w:rPr>
      </w:pPr>
      <w:r w:rsidRPr="00A840FC">
        <w:rPr>
          <w:rFonts w:ascii="Times New Roman" w:eastAsia="Arial Unicode MS" w:hAnsi="Times New Roman" w:cs="Times New Roman"/>
          <w:highlight w:val="lightGray"/>
          <w:lang w:val="lt-LT"/>
        </w:rPr>
        <w:t>Plačiakaklis indas</w:t>
      </w:r>
    </w:p>
    <w:p w14:paraId="5F77A73E" w14:textId="77777777" w:rsidR="00A840FC" w:rsidRPr="00A840FC" w:rsidRDefault="00A840FC" w:rsidP="00A840FC">
      <w:pPr>
        <w:spacing w:after="0" w:line="240" w:lineRule="auto"/>
        <w:rPr>
          <w:rFonts w:ascii="Times New Roman" w:eastAsia="Arial Unicode MS" w:hAnsi="Times New Roman" w:cs="Times New Roman"/>
          <w:highlight w:val="lightGray"/>
          <w:lang w:val="lt-LT"/>
        </w:rPr>
      </w:pPr>
      <w:r w:rsidRPr="00A840FC">
        <w:rPr>
          <w:rFonts w:ascii="Times New Roman" w:eastAsia="Arial Unicode MS" w:hAnsi="Times New Roman" w:cs="Times New Roman"/>
          <w:highlight w:val="lightGray"/>
          <w:lang w:val="lt-LT"/>
        </w:rPr>
        <w:t>N100 – LT/1/07/0733/024</w:t>
      </w:r>
    </w:p>
    <w:p w14:paraId="0C57F1D5" w14:textId="77777777" w:rsidR="00A840FC" w:rsidRPr="00A840FC" w:rsidRDefault="00A840FC" w:rsidP="00A840FC">
      <w:pPr>
        <w:spacing w:after="0" w:line="240" w:lineRule="auto"/>
        <w:rPr>
          <w:rFonts w:ascii="Times New Roman" w:eastAsia="Arial Unicode MS" w:hAnsi="Times New Roman" w:cs="Times New Roman"/>
          <w:highlight w:val="lightGray"/>
          <w:lang w:val="lt-LT"/>
        </w:rPr>
      </w:pPr>
    </w:p>
    <w:p w14:paraId="24E538F8" w14:textId="77777777" w:rsidR="00A840FC" w:rsidRPr="00A840FC" w:rsidRDefault="00A840FC" w:rsidP="00A840FC">
      <w:pPr>
        <w:spacing w:after="0" w:line="240" w:lineRule="auto"/>
        <w:rPr>
          <w:rFonts w:ascii="Times New Roman" w:eastAsia="Arial Unicode MS" w:hAnsi="Times New Roman" w:cs="Times New Roman"/>
          <w:highlight w:val="lightGray"/>
          <w:lang w:val="lt-LT"/>
        </w:rPr>
      </w:pPr>
      <w:r w:rsidRPr="00A840FC">
        <w:rPr>
          <w:rFonts w:ascii="Times New Roman" w:eastAsia="Arial Unicode MS" w:hAnsi="Times New Roman" w:cs="Times New Roman"/>
          <w:highlight w:val="lightGray"/>
          <w:lang w:val="lt-LT"/>
        </w:rPr>
        <w:t>300 mg</w:t>
      </w:r>
    </w:p>
    <w:p w14:paraId="08C74B9A" w14:textId="77777777" w:rsidR="00A840FC" w:rsidRPr="00A840FC" w:rsidRDefault="00A840FC" w:rsidP="00A840FC">
      <w:pPr>
        <w:spacing w:after="0" w:line="240" w:lineRule="auto"/>
        <w:rPr>
          <w:rFonts w:ascii="Times New Roman" w:eastAsia="Arial Unicode MS" w:hAnsi="Times New Roman" w:cs="Times New Roman"/>
          <w:highlight w:val="lightGray"/>
          <w:lang w:val="lt-LT"/>
        </w:rPr>
      </w:pPr>
      <w:r w:rsidRPr="00A840FC">
        <w:rPr>
          <w:rFonts w:ascii="Times New Roman" w:eastAsia="Arial Unicode MS" w:hAnsi="Times New Roman" w:cs="Times New Roman"/>
          <w:highlight w:val="lightGray"/>
          <w:lang w:val="lt-LT"/>
        </w:rPr>
        <w:t>Lizdinė plokštelė</w:t>
      </w:r>
    </w:p>
    <w:p w14:paraId="60AC0DB0"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N30 – LT/1/07/0773/016</w:t>
      </w:r>
    </w:p>
    <w:p w14:paraId="4396025D"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N60 (6 x 10) – LT/1/07/0773/017</w:t>
      </w:r>
    </w:p>
    <w:p w14:paraId="6CE57310"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N60 (10 x 6) – LT/1/07/0773/018</w:t>
      </w:r>
    </w:p>
    <w:p w14:paraId="397C1F61"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N90 – LT/1/07/0773/019</w:t>
      </w:r>
    </w:p>
    <w:p w14:paraId="69CC9BBC"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N100 – LT/1/07/0773/020</w:t>
      </w:r>
    </w:p>
    <w:p w14:paraId="697F70C8" w14:textId="77777777" w:rsidR="00A840FC" w:rsidRPr="00A840FC" w:rsidRDefault="00A840FC" w:rsidP="00A840FC">
      <w:pPr>
        <w:spacing w:after="0" w:line="240" w:lineRule="auto"/>
        <w:rPr>
          <w:rFonts w:ascii="Times New Roman" w:eastAsia="Arial Unicode MS" w:hAnsi="Times New Roman" w:cs="Times New Roman"/>
          <w:highlight w:val="lightGray"/>
          <w:lang w:val="lt-LT"/>
        </w:rPr>
      </w:pPr>
      <w:r w:rsidRPr="00A840FC">
        <w:rPr>
          <w:rFonts w:ascii="Times New Roman" w:eastAsia="Arial Unicode MS" w:hAnsi="Times New Roman" w:cs="Times New Roman"/>
          <w:highlight w:val="lightGray"/>
          <w:lang w:val="lt-LT"/>
        </w:rPr>
        <w:t>Plačiakaklis indas</w:t>
      </w:r>
    </w:p>
    <w:p w14:paraId="5916A1AA"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highlight w:val="lightGray"/>
          <w:lang w:val="lt-LT"/>
        </w:rPr>
        <w:t>N100 – LT/1/07/0733/025</w:t>
      </w:r>
    </w:p>
    <w:p w14:paraId="5444DE02" w14:textId="77777777" w:rsidR="00A840FC" w:rsidRPr="00A840FC" w:rsidRDefault="00A840FC" w:rsidP="00A840FC">
      <w:pPr>
        <w:spacing w:after="0" w:line="240" w:lineRule="auto"/>
        <w:rPr>
          <w:rFonts w:ascii="Times New Roman" w:eastAsia="Arial Unicode MS" w:hAnsi="Times New Roman" w:cs="Times New Roman"/>
          <w:lang w:val="lt-LT"/>
        </w:rPr>
      </w:pPr>
    </w:p>
    <w:p w14:paraId="7105D81A" w14:textId="77777777" w:rsidR="00A840FC" w:rsidRPr="00A840FC" w:rsidRDefault="00A840FC" w:rsidP="00A840FC">
      <w:pPr>
        <w:spacing w:after="0" w:line="240" w:lineRule="auto"/>
        <w:rPr>
          <w:rFonts w:ascii="Times New Roman" w:eastAsia="Arial Unicode MS" w:hAnsi="Times New Roman" w:cs="Times New Roman"/>
          <w:lang w:val="lt-LT"/>
        </w:rPr>
      </w:pPr>
    </w:p>
    <w:p w14:paraId="0840546F"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13.</w:t>
      </w:r>
      <w:r w:rsidRPr="00A840FC">
        <w:rPr>
          <w:rFonts w:ascii="Times New Roman" w:eastAsia="Times New Roman" w:hAnsi="Times New Roman" w:cs="Times New Roman"/>
          <w:b/>
          <w:lang w:val="lt-LT"/>
        </w:rPr>
        <w:tab/>
        <w:t>SERIJOS NUMERIS</w:t>
      </w:r>
    </w:p>
    <w:p w14:paraId="26F3EAE3" w14:textId="77777777" w:rsidR="00A840FC" w:rsidRPr="00A840FC" w:rsidRDefault="00A840FC" w:rsidP="00A840FC">
      <w:pPr>
        <w:spacing w:after="0" w:line="240" w:lineRule="auto"/>
        <w:rPr>
          <w:rFonts w:ascii="Times New Roman" w:eastAsia="Arial Unicode MS" w:hAnsi="Times New Roman" w:cs="Times New Roman"/>
          <w:lang w:val="lt-LT"/>
        </w:rPr>
      </w:pPr>
    </w:p>
    <w:p w14:paraId="7686C1A8"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Lot:</w:t>
      </w:r>
    </w:p>
    <w:p w14:paraId="2AC036E7" w14:textId="77777777" w:rsidR="00A840FC" w:rsidRPr="00A840FC" w:rsidRDefault="00A840FC" w:rsidP="00A840FC">
      <w:pPr>
        <w:spacing w:after="0" w:line="240" w:lineRule="auto"/>
        <w:rPr>
          <w:rFonts w:ascii="Times New Roman" w:eastAsia="Arial Unicode MS" w:hAnsi="Times New Roman" w:cs="Times New Roman"/>
          <w:lang w:val="lt-LT"/>
        </w:rPr>
      </w:pPr>
    </w:p>
    <w:p w14:paraId="2B0712E9" w14:textId="77777777" w:rsidR="00A840FC" w:rsidRPr="00A840FC" w:rsidRDefault="00A840FC" w:rsidP="00A840FC">
      <w:pPr>
        <w:spacing w:after="0" w:line="240" w:lineRule="auto"/>
        <w:rPr>
          <w:rFonts w:ascii="Times New Roman" w:eastAsia="Arial Unicode MS" w:hAnsi="Times New Roman" w:cs="Times New Roman"/>
          <w:lang w:val="lt-LT"/>
        </w:rPr>
      </w:pPr>
    </w:p>
    <w:p w14:paraId="496D4A10"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14.</w:t>
      </w:r>
      <w:r w:rsidRPr="00A840FC">
        <w:rPr>
          <w:rFonts w:ascii="Times New Roman" w:eastAsia="Times New Roman" w:hAnsi="Times New Roman" w:cs="Times New Roman"/>
          <w:b/>
          <w:lang w:val="lt-LT"/>
        </w:rPr>
        <w:tab/>
        <w:t>PARDAVIMO (IŠDAVIMO) TVARKA</w:t>
      </w:r>
    </w:p>
    <w:p w14:paraId="00BF245A" w14:textId="77777777" w:rsidR="00A840FC" w:rsidRPr="00A840FC" w:rsidRDefault="00A840FC" w:rsidP="00A840FC">
      <w:pPr>
        <w:spacing w:after="0" w:line="240" w:lineRule="auto"/>
        <w:rPr>
          <w:rFonts w:ascii="Times New Roman" w:eastAsia="Arial Unicode MS" w:hAnsi="Times New Roman" w:cs="Times New Roman"/>
          <w:lang w:val="lt-LT"/>
        </w:rPr>
      </w:pPr>
    </w:p>
    <w:p w14:paraId="3FE250AF"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Receptinis vaistas.</w:t>
      </w:r>
    </w:p>
    <w:p w14:paraId="683E280F" w14:textId="77777777" w:rsidR="00A840FC" w:rsidRPr="00A840FC" w:rsidRDefault="00A840FC" w:rsidP="00A840FC">
      <w:pPr>
        <w:spacing w:after="0" w:line="240" w:lineRule="auto"/>
        <w:rPr>
          <w:rFonts w:ascii="Times New Roman" w:eastAsia="Arial Unicode MS" w:hAnsi="Times New Roman" w:cs="Times New Roman"/>
          <w:lang w:val="lt-LT"/>
        </w:rPr>
      </w:pPr>
    </w:p>
    <w:p w14:paraId="3393AEA0" w14:textId="77777777" w:rsidR="00A840FC" w:rsidRPr="00A840FC" w:rsidRDefault="00A840FC" w:rsidP="00A840FC">
      <w:pPr>
        <w:spacing w:after="0" w:line="240" w:lineRule="auto"/>
        <w:rPr>
          <w:rFonts w:ascii="Times New Roman" w:eastAsia="Arial Unicode MS" w:hAnsi="Times New Roman" w:cs="Times New Roman"/>
          <w:lang w:val="lt-LT"/>
        </w:rPr>
      </w:pPr>
    </w:p>
    <w:p w14:paraId="439F0E89"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15.</w:t>
      </w:r>
      <w:r w:rsidRPr="00A840FC">
        <w:rPr>
          <w:rFonts w:ascii="Times New Roman" w:eastAsia="Times New Roman" w:hAnsi="Times New Roman" w:cs="Times New Roman"/>
          <w:b/>
          <w:lang w:val="lt-LT"/>
        </w:rPr>
        <w:tab/>
        <w:t>VARTOJIMO INSTRUKCIJA</w:t>
      </w:r>
    </w:p>
    <w:p w14:paraId="47FD7283" w14:textId="77777777" w:rsidR="00A840FC" w:rsidRPr="00A840FC" w:rsidRDefault="00A840FC" w:rsidP="00A840FC">
      <w:pPr>
        <w:spacing w:after="0" w:line="240" w:lineRule="auto"/>
        <w:rPr>
          <w:rFonts w:ascii="Times New Roman" w:eastAsia="Arial Unicode MS" w:hAnsi="Times New Roman" w:cs="Times New Roman"/>
          <w:lang w:val="lt-LT"/>
        </w:rPr>
      </w:pPr>
    </w:p>
    <w:p w14:paraId="611EF623" w14:textId="77777777" w:rsidR="00A840FC" w:rsidRPr="00A840FC" w:rsidRDefault="00A840FC" w:rsidP="00A840FC">
      <w:pPr>
        <w:spacing w:after="0" w:line="240" w:lineRule="auto"/>
        <w:rPr>
          <w:rFonts w:ascii="Times New Roman" w:eastAsia="Arial Unicode MS" w:hAnsi="Times New Roman" w:cs="Times New Roman"/>
          <w:lang w:val="lt-LT"/>
        </w:rPr>
      </w:pPr>
    </w:p>
    <w:p w14:paraId="7BD581CA"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16.</w:t>
      </w:r>
      <w:r w:rsidRPr="00A840FC">
        <w:rPr>
          <w:rFonts w:ascii="Times New Roman" w:eastAsia="Times New Roman" w:hAnsi="Times New Roman" w:cs="Times New Roman"/>
          <w:b/>
          <w:lang w:val="lt-LT"/>
        </w:rPr>
        <w:tab/>
        <w:t>INFORMACIJA BRAILIO RAŠTU</w:t>
      </w:r>
    </w:p>
    <w:p w14:paraId="48E123DC" w14:textId="77777777" w:rsidR="00A840FC" w:rsidRPr="00A840FC" w:rsidRDefault="00A840FC" w:rsidP="00A840FC">
      <w:pPr>
        <w:spacing w:after="0" w:line="240" w:lineRule="auto"/>
        <w:rPr>
          <w:rFonts w:ascii="Times New Roman" w:eastAsia="Arial Unicode MS" w:hAnsi="Times New Roman" w:cs="Times New Roman"/>
          <w:lang w:val="lt-LT"/>
        </w:rPr>
      </w:pPr>
    </w:p>
    <w:p w14:paraId="002983F8" w14:textId="77777777" w:rsidR="00A840FC" w:rsidRPr="00A840FC" w:rsidRDefault="00A840FC" w:rsidP="00A840FC">
      <w:pPr>
        <w:spacing w:after="0" w:line="240" w:lineRule="auto"/>
        <w:rPr>
          <w:rFonts w:ascii="Times New Roman" w:eastAsia="SimSun" w:hAnsi="Times New Roman" w:cs="Times New Roman"/>
          <w:lang w:val="lt-LT" w:eastAsia="lt-LT" w:bidi="lt-LT"/>
        </w:rPr>
      </w:pPr>
      <w:r w:rsidRPr="00A840FC">
        <w:rPr>
          <w:rFonts w:ascii="Times New Roman" w:eastAsia="SimSun" w:hAnsi="Times New Roman" w:cs="Times New Roman"/>
          <w:highlight w:val="lightGray"/>
          <w:lang w:val="lt-LT" w:eastAsia="lt-LT" w:bidi="lt-LT"/>
        </w:rPr>
        <w:t>Tik ant dėžutės</w:t>
      </w:r>
    </w:p>
    <w:p w14:paraId="53B87ACA" w14:textId="77777777" w:rsidR="00A840FC" w:rsidRPr="00A840FC" w:rsidRDefault="00A840FC" w:rsidP="00A840FC">
      <w:pPr>
        <w:spacing w:after="0" w:line="240" w:lineRule="auto"/>
        <w:rPr>
          <w:rFonts w:ascii="Times New Roman" w:eastAsia="Arial Unicode MS" w:hAnsi="Times New Roman" w:cs="Times New Roman"/>
          <w:lang w:val="lt-LT"/>
        </w:rPr>
      </w:pPr>
    </w:p>
    <w:p w14:paraId="674B6BFA"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ketipinor 25 mg </w:t>
      </w:r>
    </w:p>
    <w:p w14:paraId="537A40D1"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 xml:space="preserve">ketipinor 100 mg </w:t>
      </w:r>
    </w:p>
    <w:p w14:paraId="14157A74"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 xml:space="preserve">ketipinor 200 mg </w:t>
      </w:r>
    </w:p>
    <w:p w14:paraId="17077688"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highlight w:val="lightGray"/>
          <w:lang w:val="lt-LT"/>
        </w:rPr>
        <w:t>ketipinor 300 mg</w:t>
      </w:r>
      <w:r w:rsidRPr="00A840FC">
        <w:rPr>
          <w:rFonts w:ascii="Times New Roman" w:eastAsia="Times New Roman" w:hAnsi="Times New Roman" w:cs="Times New Roman"/>
          <w:lang w:val="lt-LT"/>
        </w:rPr>
        <w:t xml:space="preserve"> </w:t>
      </w:r>
    </w:p>
    <w:p w14:paraId="145AF056" w14:textId="77777777" w:rsidR="00A840FC" w:rsidRPr="00A840FC" w:rsidRDefault="00A840FC" w:rsidP="00A840FC">
      <w:pPr>
        <w:spacing w:after="0" w:line="240" w:lineRule="auto"/>
        <w:rPr>
          <w:rFonts w:ascii="Times New Roman" w:eastAsia="Times New Roman" w:hAnsi="Times New Roman" w:cs="Times New Roman"/>
          <w:lang w:val="lt-LT"/>
        </w:rPr>
      </w:pPr>
    </w:p>
    <w:p w14:paraId="7FC2DE2B" w14:textId="77777777" w:rsidR="00A840FC" w:rsidRPr="00A840FC" w:rsidRDefault="00A840FC" w:rsidP="00A840FC">
      <w:pPr>
        <w:spacing w:after="0" w:line="240" w:lineRule="auto"/>
        <w:rPr>
          <w:rFonts w:ascii="Times New Roman" w:eastAsia="Calibri" w:hAnsi="Times New Roman" w:cs="Times New Roman"/>
          <w:lang w:val="lt-LT" w:eastAsia="lt-LT"/>
        </w:rPr>
      </w:pPr>
    </w:p>
    <w:p w14:paraId="71D20A09"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eastAsia="x-none"/>
        </w:rPr>
      </w:pPr>
      <w:r w:rsidRPr="00A840FC">
        <w:rPr>
          <w:rFonts w:ascii="Times New Roman" w:eastAsia="Calibri" w:hAnsi="Times New Roman" w:cs="Times New Roman"/>
          <w:b/>
          <w:lang w:val="lt-LT" w:eastAsia="x-none"/>
        </w:rPr>
        <w:t>17.</w:t>
      </w:r>
      <w:r w:rsidRPr="00A840FC">
        <w:rPr>
          <w:rFonts w:ascii="Times New Roman" w:eastAsia="Calibri" w:hAnsi="Times New Roman" w:cs="Times New Roman"/>
          <w:b/>
          <w:lang w:val="lt-LT" w:eastAsia="x-none"/>
        </w:rPr>
        <w:tab/>
        <w:t>UNIKALUS IDENTIFIKATORIUS – 2D BRŪKŠNINIS KODAS</w:t>
      </w:r>
    </w:p>
    <w:p w14:paraId="21D7E332" w14:textId="77777777" w:rsidR="00A840FC" w:rsidRPr="00A840FC" w:rsidRDefault="00A840FC" w:rsidP="00A840FC">
      <w:pPr>
        <w:spacing w:after="0" w:line="240" w:lineRule="auto"/>
        <w:rPr>
          <w:rFonts w:ascii="Times New Roman" w:eastAsia="Calibri" w:hAnsi="Times New Roman" w:cs="Times New Roman"/>
          <w:lang w:val="lt-LT" w:eastAsia="lt-LT"/>
        </w:rPr>
      </w:pPr>
    </w:p>
    <w:p w14:paraId="7233CC9A" w14:textId="77777777" w:rsidR="00A840FC" w:rsidRPr="00A840FC" w:rsidRDefault="00A840FC" w:rsidP="00A840FC">
      <w:pPr>
        <w:spacing w:after="0" w:line="240" w:lineRule="auto"/>
        <w:rPr>
          <w:rFonts w:ascii="Times New Roman" w:eastAsia="SimSun" w:hAnsi="Times New Roman" w:cs="Times New Roman"/>
          <w:lang w:val="lt-LT" w:eastAsia="lt-LT" w:bidi="lt-LT"/>
        </w:rPr>
      </w:pPr>
      <w:r w:rsidRPr="00A840FC">
        <w:rPr>
          <w:rFonts w:ascii="Times New Roman" w:eastAsia="SimSun" w:hAnsi="Times New Roman" w:cs="Times New Roman"/>
          <w:highlight w:val="lightGray"/>
          <w:lang w:val="lt-LT" w:eastAsia="lt-LT" w:bidi="lt-LT"/>
        </w:rPr>
        <w:t>Tik ant dėžutės</w:t>
      </w:r>
    </w:p>
    <w:p w14:paraId="483D2F2C" w14:textId="77777777" w:rsidR="00A840FC" w:rsidRPr="00A840FC" w:rsidRDefault="00A840FC" w:rsidP="00A840FC">
      <w:pPr>
        <w:spacing w:after="0" w:line="240" w:lineRule="auto"/>
        <w:rPr>
          <w:rFonts w:ascii="Times New Roman" w:eastAsia="Calibri" w:hAnsi="Times New Roman" w:cs="Times New Roman"/>
          <w:lang w:val="lt-LT" w:eastAsia="lt-LT"/>
        </w:rPr>
      </w:pPr>
    </w:p>
    <w:p w14:paraId="6E47954E" w14:textId="77777777" w:rsidR="00A840FC" w:rsidRPr="00A840FC" w:rsidRDefault="00A840FC" w:rsidP="00A840FC">
      <w:pPr>
        <w:spacing w:after="0" w:line="240" w:lineRule="auto"/>
        <w:rPr>
          <w:rFonts w:ascii="Times New Roman" w:eastAsia="Times New Roman" w:hAnsi="Times New Roman" w:cs="Times New Roman"/>
          <w:lang w:val="lt-LT" w:eastAsia="lt-LT" w:bidi="lt-LT"/>
        </w:rPr>
      </w:pPr>
      <w:r w:rsidRPr="00A840FC">
        <w:rPr>
          <w:rFonts w:ascii="Times New Roman" w:eastAsia="Times New Roman" w:hAnsi="Times New Roman" w:cs="Times New Roman"/>
          <w:highlight w:val="lightGray"/>
          <w:lang w:val="lt-LT" w:eastAsia="lt-LT" w:bidi="lt-LT"/>
        </w:rPr>
        <w:t>2D brūkšninis kodas su nurodytu unikaliu identifikatoriumi.</w:t>
      </w:r>
    </w:p>
    <w:p w14:paraId="4B37C7DF" w14:textId="77777777" w:rsidR="00A840FC" w:rsidRPr="00A840FC" w:rsidRDefault="00A840FC" w:rsidP="00A840FC">
      <w:pPr>
        <w:spacing w:after="0" w:line="240" w:lineRule="auto"/>
        <w:rPr>
          <w:rFonts w:ascii="Times New Roman" w:eastAsia="Times New Roman" w:hAnsi="Times New Roman" w:cs="Times New Roman"/>
          <w:lang w:val="lt-LT" w:eastAsia="lt-LT" w:bidi="lt-LT"/>
        </w:rPr>
      </w:pPr>
    </w:p>
    <w:p w14:paraId="35FB9DA3" w14:textId="77777777" w:rsidR="00A840FC" w:rsidRPr="00A840FC" w:rsidRDefault="00A840FC" w:rsidP="00A840FC">
      <w:pPr>
        <w:spacing w:after="0" w:line="240" w:lineRule="auto"/>
        <w:rPr>
          <w:rFonts w:ascii="Times New Roman" w:eastAsia="Calibri" w:hAnsi="Times New Roman" w:cs="Times New Roman"/>
          <w:lang w:val="lt-LT" w:eastAsia="lt-LT"/>
        </w:rPr>
      </w:pPr>
    </w:p>
    <w:p w14:paraId="10DB5813"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eastAsia="x-none"/>
        </w:rPr>
      </w:pPr>
      <w:r w:rsidRPr="00A840FC">
        <w:rPr>
          <w:rFonts w:ascii="Times New Roman" w:eastAsia="Calibri" w:hAnsi="Times New Roman" w:cs="Times New Roman"/>
          <w:b/>
          <w:lang w:val="lt-LT" w:eastAsia="x-none"/>
        </w:rPr>
        <w:t>18.</w:t>
      </w:r>
      <w:r w:rsidRPr="00A840FC">
        <w:rPr>
          <w:rFonts w:ascii="Times New Roman" w:eastAsia="Calibri" w:hAnsi="Times New Roman" w:cs="Times New Roman"/>
          <w:b/>
          <w:lang w:val="lt-LT" w:eastAsia="x-none"/>
        </w:rPr>
        <w:tab/>
        <w:t>UNIKALUS IDENTIFIKATORIUS – ŽMONĖMS SUPRANTAMI DUOMENYS</w:t>
      </w:r>
    </w:p>
    <w:p w14:paraId="49CE8CEB" w14:textId="77777777" w:rsidR="00A840FC" w:rsidRPr="00A840FC" w:rsidRDefault="00A840FC" w:rsidP="00A840FC">
      <w:pPr>
        <w:spacing w:after="0" w:line="240" w:lineRule="auto"/>
        <w:rPr>
          <w:rFonts w:ascii="Times New Roman" w:eastAsia="Calibri" w:hAnsi="Times New Roman" w:cs="Times New Roman"/>
          <w:lang w:val="lt-LT" w:eastAsia="x-none"/>
        </w:rPr>
      </w:pPr>
    </w:p>
    <w:p w14:paraId="1401002C" w14:textId="77777777" w:rsidR="00A840FC" w:rsidRPr="00A840FC" w:rsidRDefault="00A840FC" w:rsidP="00A840FC">
      <w:pPr>
        <w:spacing w:after="0" w:line="240" w:lineRule="auto"/>
        <w:rPr>
          <w:rFonts w:ascii="Times New Roman" w:eastAsia="SimSun" w:hAnsi="Times New Roman" w:cs="Times New Roman"/>
          <w:lang w:val="lt-LT" w:eastAsia="lt-LT" w:bidi="lt-LT"/>
        </w:rPr>
      </w:pPr>
      <w:r w:rsidRPr="00A840FC">
        <w:rPr>
          <w:rFonts w:ascii="Times New Roman" w:eastAsia="SimSun" w:hAnsi="Times New Roman" w:cs="Times New Roman"/>
          <w:highlight w:val="lightGray"/>
          <w:lang w:val="lt-LT" w:eastAsia="lt-LT" w:bidi="lt-LT"/>
        </w:rPr>
        <w:t>Tik ant dėžutės</w:t>
      </w:r>
    </w:p>
    <w:p w14:paraId="05704193" w14:textId="77777777" w:rsidR="00A840FC" w:rsidRPr="00A840FC" w:rsidRDefault="00A840FC" w:rsidP="00A840FC">
      <w:pPr>
        <w:spacing w:after="0" w:line="240" w:lineRule="auto"/>
        <w:rPr>
          <w:rFonts w:ascii="Times New Roman" w:eastAsia="Calibri" w:hAnsi="Times New Roman" w:cs="Times New Roman"/>
          <w:lang w:val="lt-LT" w:eastAsia="x-none"/>
        </w:rPr>
      </w:pPr>
    </w:p>
    <w:p w14:paraId="3E90509C" w14:textId="77777777" w:rsidR="00A840FC" w:rsidRPr="00A840FC" w:rsidRDefault="00A840FC" w:rsidP="00A840FC">
      <w:pPr>
        <w:spacing w:after="0" w:line="240" w:lineRule="auto"/>
        <w:rPr>
          <w:rFonts w:ascii="Times New Roman" w:eastAsia="Calibri" w:hAnsi="Times New Roman" w:cs="Times New Roman"/>
          <w:lang w:val="lt-LT" w:eastAsia="x-none"/>
        </w:rPr>
      </w:pPr>
      <w:r w:rsidRPr="00A840FC">
        <w:rPr>
          <w:rFonts w:ascii="Times New Roman" w:eastAsia="Calibri" w:hAnsi="Times New Roman" w:cs="Times New Roman"/>
          <w:lang w:val="lt-LT" w:eastAsia="x-none"/>
        </w:rPr>
        <w:lastRenderedPageBreak/>
        <w:t xml:space="preserve">PC: </w:t>
      </w:r>
      <w:r w:rsidRPr="00A840FC">
        <w:rPr>
          <w:rFonts w:ascii="Times New Roman" w:eastAsia="Calibri" w:hAnsi="Times New Roman" w:cs="Times New Roman"/>
          <w:highlight w:val="lightGray"/>
          <w:lang w:val="lt-LT" w:eastAsia="x-none"/>
        </w:rPr>
        <w:t>{numeris}</w:t>
      </w:r>
    </w:p>
    <w:p w14:paraId="417150F4" w14:textId="77777777" w:rsidR="00A840FC" w:rsidRPr="00A840FC" w:rsidRDefault="00A840FC" w:rsidP="00A840FC">
      <w:pPr>
        <w:spacing w:after="0" w:line="240" w:lineRule="auto"/>
        <w:rPr>
          <w:rFonts w:ascii="Times New Roman" w:eastAsia="Calibri" w:hAnsi="Times New Roman" w:cs="Times New Roman"/>
          <w:lang w:val="lt-LT" w:eastAsia="x-none"/>
        </w:rPr>
      </w:pPr>
      <w:r w:rsidRPr="00A840FC">
        <w:rPr>
          <w:rFonts w:ascii="Times New Roman" w:eastAsia="Calibri" w:hAnsi="Times New Roman" w:cs="Times New Roman"/>
          <w:lang w:val="lt-LT" w:eastAsia="x-none"/>
        </w:rPr>
        <w:t xml:space="preserve">SN: </w:t>
      </w:r>
      <w:r w:rsidRPr="00A840FC">
        <w:rPr>
          <w:rFonts w:ascii="Times New Roman" w:eastAsia="Calibri" w:hAnsi="Times New Roman" w:cs="Times New Roman"/>
          <w:highlight w:val="lightGray"/>
          <w:lang w:val="lt-LT" w:eastAsia="x-none"/>
        </w:rPr>
        <w:t>{numeris}</w:t>
      </w:r>
    </w:p>
    <w:p w14:paraId="333B8A24" w14:textId="77777777" w:rsidR="00A840FC" w:rsidRPr="00A840FC" w:rsidRDefault="00A840FC" w:rsidP="00A840FC">
      <w:pPr>
        <w:spacing w:after="0" w:line="240" w:lineRule="auto"/>
        <w:rPr>
          <w:rFonts w:ascii="Times New Roman" w:eastAsia="Calibri" w:hAnsi="Times New Roman" w:cs="Times New Roman"/>
          <w:lang w:val="lt-LT" w:eastAsia="x-none"/>
        </w:rPr>
      </w:pPr>
      <w:r w:rsidRPr="00A840FC">
        <w:rPr>
          <w:rFonts w:ascii="Times New Roman" w:eastAsia="Calibri" w:hAnsi="Times New Roman" w:cs="Times New Roman"/>
          <w:lang w:val="lt-LT" w:eastAsia="x-none"/>
        </w:rPr>
        <w:t xml:space="preserve">NN: </w:t>
      </w:r>
      <w:r w:rsidRPr="00A840FC">
        <w:rPr>
          <w:rFonts w:ascii="Times New Roman" w:eastAsia="Calibri" w:hAnsi="Times New Roman" w:cs="Times New Roman"/>
          <w:highlight w:val="lightGray"/>
          <w:lang w:val="lt-LT" w:eastAsia="x-none"/>
        </w:rPr>
        <w:t>{numeris}, jeigu šalyje taikomas</w:t>
      </w:r>
    </w:p>
    <w:p w14:paraId="0E2F5754" w14:textId="77777777" w:rsidR="00A840FC" w:rsidRPr="00A840FC" w:rsidRDefault="00A840FC" w:rsidP="00A840FC">
      <w:pPr>
        <w:spacing w:after="0" w:line="240" w:lineRule="auto"/>
        <w:rPr>
          <w:rFonts w:ascii="Times New Roman" w:eastAsia="Times New Roman" w:hAnsi="Times New Roman" w:cs="Times New Roman"/>
          <w:lang w:val="lt-LT"/>
        </w:rPr>
      </w:pPr>
    </w:p>
    <w:p w14:paraId="4935F999" w14:textId="77777777" w:rsidR="00A840FC" w:rsidRPr="00A840FC" w:rsidRDefault="00A840FC" w:rsidP="00A840FC">
      <w:pPr>
        <w:spacing w:after="0" w:line="240" w:lineRule="auto"/>
        <w:rPr>
          <w:rFonts w:ascii="Times New Roman" w:eastAsia="Arial Unicode MS" w:hAnsi="Times New Roman" w:cs="Times New Roman"/>
          <w:lang w:val="lt-LT"/>
        </w:rPr>
      </w:pPr>
    </w:p>
    <w:p w14:paraId="36B53262"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 Orion Pharma logotipas</w:t>
      </w:r>
    </w:p>
    <w:p w14:paraId="605A9E3C"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br w:type="page"/>
      </w:r>
    </w:p>
    <w:p w14:paraId="0F754C53"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lastRenderedPageBreak/>
        <w:t xml:space="preserve">MINIMALI </w:t>
      </w:r>
      <w:r w:rsidRPr="00A840FC">
        <w:rPr>
          <w:rFonts w:ascii="Times New Roman" w:eastAsia="Times New Roman" w:hAnsi="Times New Roman" w:cs="Times New Roman"/>
          <w:b/>
          <w:caps/>
          <w:lang w:val="lt-LT"/>
        </w:rPr>
        <w:t xml:space="preserve">informacija ant </w:t>
      </w:r>
      <w:r w:rsidRPr="00A840FC">
        <w:rPr>
          <w:rFonts w:ascii="Times New Roman" w:eastAsia="Times New Roman" w:hAnsi="Times New Roman" w:cs="Times New Roman"/>
          <w:b/>
          <w:lang w:val="lt-LT"/>
        </w:rPr>
        <w:t>LIZDINIŲ PLOKŠTELIŲ ARBA DVISLUOKSNIŲ JUOSTELIŲ</w:t>
      </w:r>
    </w:p>
    <w:p w14:paraId="21FDCE8A"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p>
    <w:p w14:paraId="20E95B6D"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LIZDINĖ PLOKŠTELĖ</w:t>
      </w:r>
    </w:p>
    <w:p w14:paraId="33652F87" w14:textId="77777777" w:rsidR="00A840FC" w:rsidRPr="00A840FC" w:rsidRDefault="00A840FC" w:rsidP="00A840FC">
      <w:pPr>
        <w:spacing w:after="0" w:line="240" w:lineRule="auto"/>
        <w:rPr>
          <w:rFonts w:ascii="Times New Roman" w:eastAsia="Arial Unicode MS" w:hAnsi="Times New Roman" w:cs="Times New Roman"/>
          <w:lang w:val="lt-LT"/>
        </w:rPr>
      </w:pPr>
    </w:p>
    <w:p w14:paraId="4BDD1A18" w14:textId="77777777" w:rsidR="00A840FC" w:rsidRPr="00A840FC" w:rsidRDefault="00A840FC" w:rsidP="00A840FC">
      <w:pPr>
        <w:spacing w:after="0" w:line="240" w:lineRule="auto"/>
        <w:rPr>
          <w:rFonts w:ascii="Times New Roman" w:eastAsia="Arial Unicode MS" w:hAnsi="Times New Roman" w:cs="Times New Roman"/>
          <w:lang w:val="lt-LT"/>
        </w:rPr>
      </w:pPr>
    </w:p>
    <w:p w14:paraId="7C3EF291"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1.</w:t>
      </w:r>
      <w:r w:rsidRPr="00A840FC">
        <w:rPr>
          <w:rFonts w:ascii="Times New Roman" w:eastAsia="Times New Roman" w:hAnsi="Times New Roman" w:cs="Times New Roman"/>
          <w:b/>
          <w:lang w:val="lt-LT"/>
        </w:rPr>
        <w:tab/>
        <w:t>VAISTINIO PREPARATO PAVADINIMAS</w:t>
      </w:r>
    </w:p>
    <w:p w14:paraId="15EC9B71" w14:textId="77777777" w:rsidR="00A840FC" w:rsidRPr="00A840FC" w:rsidRDefault="00A840FC" w:rsidP="00A840FC">
      <w:pPr>
        <w:spacing w:after="0" w:line="240" w:lineRule="auto"/>
        <w:rPr>
          <w:rFonts w:ascii="Times New Roman" w:eastAsia="Arial Unicode MS" w:hAnsi="Times New Roman" w:cs="Times New Roman"/>
          <w:lang w:val="lt-LT"/>
        </w:rPr>
      </w:pPr>
    </w:p>
    <w:p w14:paraId="3113EDC8"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Ketipinor 25 mg plėvele dengtos tabletės</w:t>
      </w:r>
    </w:p>
    <w:p w14:paraId="6495E02E"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Ketipinor 100 mg plėvele dengtos tabletės</w:t>
      </w:r>
    </w:p>
    <w:p w14:paraId="64C62C56" w14:textId="77777777" w:rsidR="00A840FC" w:rsidRPr="00A840FC" w:rsidRDefault="00A840FC" w:rsidP="00A840FC">
      <w:pPr>
        <w:spacing w:after="0" w:line="240" w:lineRule="auto"/>
        <w:rPr>
          <w:rFonts w:ascii="Times New Roman" w:eastAsia="Times New Roman" w:hAnsi="Times New Roman" w:cs="Times New Roman"/>
          <w:highlight w:val="lightGray"/>
          <w:lang w:val="lt-LT"/>
        </w:rPr>
      </w:pPr>
      <w:r w:rsidRPr="00A840FC">
        <w:rPr>
          <w:rFonts w:ascii="Times New Roman" w:eastAsia="Times New Roman" w:hAnsi="Times New Roman" w:cs="Times New Roman"/>
          <w:highlight w:val="lightGray"/>
          <w:lang w:val="lt-LT"/>
        </w:rPr>
        <w:t>Ketipinor 200 mg plėvele dengtos tabletės</w:t>
      </w:r>
    </w:p>
    <w:p w14:paraId="219FC11A"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highlight w:val="lightGray"/>
          <w:lang w:val="lt-LT"/>
        </w:rPr>
        <w:t>Ketipinor 300 mg plėvele dengtos tabletės</w:t>
      </w:r>
    </w:p>
    <w:p w14:paraId="08BFBE77" w14:textId="77777777" w:rsidR="00A840FC" w:rsidRPr="00A840FC" w:rsidRDefault="00A840FC" w:rsidP="00A840FC">
      <w:pPr>
        <w:spacing w:after="0" w:line="240" w:lineRule="auto"/>
        <w:rPr>
          <w:rFonts w:ascii="Times New Roman" w:eastAsia="Arial Unicode MS" w:hAnsi="Times New Roman" w:cs="Times New Roman"/>
          <w:i/>
          <w:lang w:val="lt-LT"/>
        </w:rPr>
      </w:pPr>
    </w:p>
    <w:p w14:paraId="3EFAA1AA" w14:textId="77777777" w:rsidR="00A840FC" w:rsidRPr="00A840FC" w:rsidRDefault="00A840FC" w:rsidP="00A840FC">
      <w:pPr>
        <w:spacing w:after="0" w:line="240" w:lineRule="auto"/>
        <w:rPr>
          <w:rFonts w:ascii="Times New Roman" w:eastAsia="Arial Unicode MS" w:hAnsi="Times New Roman" w:cs="Times New Roman"/>
          <w:i/>
          <w:lang w:val="lt-LT"/>
        </w:rPr>
      </w:pPr>
      <w:r w:rsidRPr="00A840FC">
        <w:rPr>
          <w:rFonts w:ascii="Times New Roman" w:eastAsia="Arial Unicode MS" w:hAnsi="Times New Roman" w:cs="Times New Roman"/>
          <w:i/>
          <w:lang w:val="lt-LT"/>
        </w:rPr>
        <w:t>quetiapinum</w:t>
      </w:r>
    </w:p>
    <w:p w14:paraId="3018C6B5" w14:textId="77777777" w:rsidR="00A840FC" w:rsidRPr="00A840FC" w:rsidRDefault="00A840FC" w:rsidP="00A840FC">
      <w:pPr>
        <w:spacing w:after="0" w:line="240" w:lineRule="auto"/>
        <w:rPr>
          <w:rFonts w:ascii="Times New Roman" w:eastAsia="Arial Unicode MS" w:hAnsi="Times New Roman" w:cs="Times New Roman"/>
          <w:lang w:val="lt-LT"/>
        </w:rPr>
      </w:pPr>
    </w:p>
    <w:p w14:paraId="418BE053" w14:textId="77777777" w:rsidR="00A840FC" w:rsidRPr="00A840FC" w:rsidRDefault="00A840FC" w:rsidP="00A840FC">
      <w:pPr>
        <w:spacing w:after="0" w:line="240" w:lineRule="auto"/>
        <w:rPr>
          <w:rFonts w:ascii="Times New Roman" w:eastAsia="Arial Unicode MS" w:hAnsi="Times New Roman" w:cs="Times New Roman"/>
          <w:lang w:val="lt-LT"/>
        </w:rPr>
      </w:pPr>
    </w:p>
    <w:p w14:paraId="2E29B070"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A840FC">
        <w:rPr>
          <w:rFonts w:ascii="Times New Roman" w:eastAsia="Times New Roman" w:hAnsi="Times New Roman" w:cs="Times New Roman"/>
          <w:b/>
          <w:snapToGrid w:val="0"/>
          <w:lang w:val="lt-LT"/>
        </w:rPr>
        <w:t>2.</w:t>
      </w:r>
      <w:r w:rsidRPr="00A840FC">
        <w:rPr>
          <w:rFonts w:ascii="Times New Roman" w:eastAsia="Times New Roman" w:hAnsi="Times New Roman" w:cs="Times New Roman"/>
          <w:b/>
          <w:snapToGrid w:val="0"/>
          <w:lang w:val="lt-LT"/>
        </w:rPr>
        <w:tab/>
      </w:r>
      <w:r w:rsidRPr="00A840FC">
        <w:rPr>
          <w:rFonts w:ascii="Times New Roman" w:eastAsia="Times New Roman" w:hAnsi="Times New Roman" w:cs="Times New Roman"/>
          <w:b/>
          <w:caps/>
          <w:snapToGrid w:val="0"/>
          <w:lang w:val="lt-LT"/>
        </w:rPr>
        <w:t>REGISTRUOTOJO pavadinimas</w:t>
      </w:r>
    </w:p>
    <w:p w14:paraId="10627BD4" w14:textId="77777777" w:rsidR="00A840FC" w:rsidRPr="00A840FC" w:rsidRDefault="00A840FC" w:rsidP="00A840FC">
      <w:pPr>
        <w:spacing w:after="0" w:line="240" w:lineRule="auto"/>
        <w:rPr>
          <w:rFonts w:ascii="Times New Roman" w:eastAsia="Arial Unicode MS" w:hAnsi="Times New Roman" w:cs="Times New Roman"/>
          <w:lang w:val="lt-LT"/>
        </w:rPr>
      </w:pPr>
    </w:p>
    <w:p w14:paraId="2D351DE7"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Orion Corporation</w:t>
      </w:r>
    </w:p>
    <w:p w14:paraId="69C8EEFF" w14:textId="77777777" w:rsidR="00A840FC" w:rsidRPr="00A840FC" w:rsidRDefault="00A840FC" w:rsidP="00A840FC">
      <w:pPr>
        <w:spacing w:after="0" w:line="240" w:lineRule="auto"/>
        <w:rPr>
          <w:rFonts w:ascii="Times New Roman" w:eastAsia="Times New Roman" w:hAnsi="Times New Roman" w:cs="Times New Roman"/>
          <w:b/>
          <w:lang w:val="lt-LT"/>
        </w:rPr>
      </w:pPr>
    </w:p>
    <w:p w14:paraId="5C85A2CC" w14:textId="77777777" w:rsidR="00A840FC" w:rsidRPr="00A840FC" w:rsidRDefault="00A840FC" w:rsidP="00A840FC">
      <w:pPr>
        <w:spacing w:after="0" w:line="240" w:lineRule="auto"/>
        <w:rPr>
          <w:rFonts w:ascii="Times New Roman" w:eastAsia="Arial Unicode MS" w:hAnsi="Times New Roman" w:cs="Times New Roman"/>
          <w:lang w:val="lt-LT"/>
        </w:rPr>
      </w:pPr>
    </w:p>
    <w:p w14:paraId="0DC3571C"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3.</w:t>
      </w:r>
      <w:r w:rsidRPr="00A840FC">
        <w:rPr>
          <w:rFonts w:ascii="Times New Roman" w:eastAsia="Times New Roman" w:hAnsi="Times New Roman" w:cs="Times New Roman"/>
          <w:b/>
          <w:lang w:val="lt-LT"/>
        </w:rPr>
        <w:tab/>
        <w:t>TINKAMUMO LAIKAS</w:t>
      </w:r>
    </w:p>
    <w:p w14:paraId="19F18F56" w14:textId="77777777" w:rsidR="00A840FC" w:rsidRPr="00A840FC" w:rsidRDefault="00A840FC" w:rsidP="00A840FC">
      <w:pPr>
        <w:spacing w:after="0" w:line="240" w:lineRule="auto"/>
        <w:rPr>
          <w:rFonts w:ascii="Times New Roman" w:eastAsia="Arial Unicode MS" w:hAnsi="Times New Roman" w:cs="Times New Roman"/>
          <w:lang w:val="lt-LT"/>
        </w:rPr>
      </w:pPr>
    </w:p>
    <w:p w14:paraId="631498A0"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Calibri" w:hAnsi="Times New Roman" w:cs="Times New Roman"/>
          <w:lang w:val="lt-LT"/>
        </w:rPr>
        <w:t>EXP</w:t>
      </w:r>
      <w:r w:rsidRPr="00A840FC">
        <w:rPr>
          <w:rFonts w:ascii="Times New Roman" w:eastAsia="Arial Unicode MS" w:hAnsi="Times New Roman" w:cs="Times New Roman"/>
          <w:lang w:val="lt-LT"/>
        </w:rPr>
        <w:t xml:space="preserve">: </w:t>
      </w:r>
      <w:r w:rsidRPr="00A840FC">
        <w:rPr>
          <w:rFonts w:ascii="Times New Roman" w:eastAsia="Calibri" w:hAnsi="Times New Roman" w:cs="Times New Roman"/>
          <w:highlight w:val="lightGray"/>
          <w:lang w:val="lt-LT"/>
        </w:rPr>
        <w:t>{mm/MMMM}</w:t>
      </w:r>
    </w:p>
    <w:p w14:paraId="28302FC8" w14:textId="77777777" w:rsidR="00A840FC" w:rsidRPr="00A840FC" w:rsidRDefault="00A840FC" w:rsidP="00A840FC">
      <w:pPr>
        <w:spacing w:after="0" w:line="240" w:lineRule="auto"/>
        <w:rPr>
          <w:rFonts w:ascii="Times New Roman" w:eastAsia="Arial Unicode MS" w:hAnsi="Times New Roman" w:cs="Times New Roman"/>
          <w:lang w:val="lt-LT"/>
        </w:rPr>
      </w:pPr>
    </w:p>
    <w:p w14:paraId="5BA5D695" w14:textId="77777777" w:rsidR="00A840FC" w:rsidRPr="00A840FC" w:rsidRDefault="00A840FC" w:rsidP="00A840FC">
      <w:pPr>
        <w:spacing w:after="0" w:line="240" w:lineRule="auto"/>
        <w:rPr>
          <w:rFonts w:ascii="Times New Roman" w:eastAsia="Arial Unicode MS" w:hAnsi="Times New Roman" w:cs="Times New Roman"/>
          <w:lang w:val="lt-LT"/>
        </w:rPr>
      </w:pPr>
    </w:p>
    <w:p w14:paraId="0426048C"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4.</w:t>
      </w:r>
      <w:r w:rsidRPr="00A840FC">
        <w:rPr>
          <w:rFonts w:ascii="Times New Roman" w:eastAsia="Times New Roman" w:hAnsi="Times New Roman" w:cs="Times New Roman"/>
          <w:b/>
          <w:lang w:val="lt-LT"/>
        </w:rPr>
        <w:tab/>
        <w:t>SERIJOS NUMERIS</w:t>
      </w:r>
    </w:p>
    <w:p w14:paraId="41893059" w14:textId="77777777" w:rsidR="00A840FC" w:rsidRPr="00A840FC" w:rsidRDefault="00A840FC" w:rsidP="00A840FC">
      <w:pPr>
        <w:spacing w:after="0" w:line="240" w:lineRule="auto"/>
        <w:rPr>
          <w:rFonts w:ascii="Times New Roman" w:eastAsia="Arial Unicode MS" w:hAnsi="Times New Roman" w:cs="Times New Roman"/>
          <w:lang w:val="lt-LT"/>
        </w:rPr>
      </w:pPr>
    </w:p>
    <w:p w14:paraId="471096BB"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Calibri" w:hAnsi="Times New Roman" w:cs="Times New Roman"/>
          <w:lang w:val="lt-LT"/>
        </w:rPr>
        <w:t>Lot</w:t>
      </w:r>
    </w:p>
    <w:p w14:paraId="627359F3" w14:textId="77777777" w:rsidR="00A840FC" w:rsidRPr="00A840FC" w:rsidRDefault="00A840FC" w:rsidP="00A840FC">
      <w:pPr>
        <w:spacing w:after="0" w:line="240" w:lineRule="auto"/>
        <w:rPr>
          <w:rFonts w:ascii="Times New Roman" w:eastAsia="Arial Unicode MS" w:hAnsi="Times New Roman" w:cs="Times New Roman"/>
          <w:lang w:val="lt-LT"/>
        </w:rPr>
      </w:pPr>
    </w:p>
    <w:p w14:paraId="7E4EAD32" w14:textId="77777777" w:rsidR="00A840FC" w:rsidRPr="00A840FC" w:rsidRDefault="00A840FC" w:rsidP="00A840FC">
      <w:pPr>
        <w:spacing w:after="0" w:line="240" w:lineRule="auto"/>
        <w:rPr>
          <w:rFonts w:ascii="Times New Roman" w:eastAsia="Arial Unicode MS" w:hAnsi="Times New Roman" w:cs="Times New Roman"/>
          <w:lang w:val="lt-LT"/>
        </w:rPr>
      </w:pPr>
    </w:p>
    <w:p w14:paraId="2B5742EA" w14:textId="77777777" w:rsidR="00A840FC" w:rsidRPr="00A840FC" w:rsidRDefault="00A840FC" w:rsidP="00A840F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5.</w:t>
      </w:r>
      <w:r w:rsidRPr="00A840FC">
        <w:rPr>
          <w:rFonts w:ascii="Times New Roman" w:eastAsia="Times New Roman" w:hAnsi="Times New Roman" w:cs="Times New Roman"/>
          <w:b/>
          <w:lang w:val="lt-LT"/>
        </w:rPr>
        <w:tab/>
        <w:t>KITA</w:t>
      </w:r>
    </w:p>
    <w:p w14:paraId="4DAEC647" w14:textId="77777777" w:rsidR="00A840FC" w:rsidRPr="00A840FC" w:rsidRDefault="00A840FC" w:rsidP="00A840FC">
      <w:pPr>
        <w:spacing w:after="0" w:line="240" w:lineRule="auto"/>
        <w:rPr>
          <w:rFonts w:ascii="Times New Roman" w:eastAsia="Arial Unicode MS" w:hAnsi="Times New Roman" w:cs="Times New Roman"/>
          <w:lang w:val="lt-LT"/>
        </w:rPr>
      </w:pPr>
    </w:p>
    <w:p w14:paraId="44F95F45"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Orion Pharma logotipas</w:t>
      </w:r>
    </w:p>
    <w:p w14:paraId="2DC8ACDD" w14:textId="77777777" w:rsidR="00A840FC" w:rsidRPr="00A840FC" w:rsidRDefault="00A840FC" w:rsidP="00A840FC">
      <w:pPr>
        <w:spacing w:after="0" w:line="240" w:lineRule="auto"/>
        <w:rPr>
          <w:rFonts w:ascii="Times New Roman" w:eastAsia="Arial Unicode MS" w:hAnsi="Times New Roman" w:cs="Times New Roman"/>
          <w:lang w:val="lt-LT"/>
        </w:rPr>
      </w:pPr>
    </w:p>
    <w:p w14:paraId="069C691D"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br w:type="page"/>
      </w:r>
    </w:p>
    <w:p w14:paraId="3979344F" w14:textId="77777777" w:rsidR="00A840FC" w:rsidRPr="00A840FC" w:rsidRDefault="00A840FC" w:rsidP="00A840FC">
      <w:pPr>
        <w:spacing w:after="0" w:line="240" w:lineRule="auto"/>
        <w:rPr>
          <w:rFonts w:ascii="Times New Roman" w:eastAsia="Arial Unicode MS" w:hAnsi="Times New Roman" w:cs="Times New Roman"/>
          <w:lang w:val="lt-LT"/>
        </w:rPr>
      </w:pPr>
    </w:p>
    <w:p w14:paraId="79D88C11"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0382726C"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3E6C51A8"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5C856B41"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0570728F"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45E7988A"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60D3AFA3"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3405E153"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60A1F036"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3F893743"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0E19D18C"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0F8890EC"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052C75E5"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15B38299"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22A5E819"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51C5C99E"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2BD497A1"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15C9BE2D"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77919125"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267A3F9D"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3AE73796"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534C4F41"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p>
    <w:p w14:paraId="318961AE"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r w:rsidRPr="00A840FC">
        <w:rPr>
          <w:rFonts w:ascii="Times New Roman" w:eastAsia="Times New Roman" w:hAnsi="Times New Roman" w:cs="Times New Roman"/>
          <w:b/>
          <w:caps/>
          <w:lang w:val="lt-LT"/>
        </w:rPr>
        <w:t>B. PAKUOTĖS LAPELIS</w:t>
      </w:r>
      <w:bookmarkEnd w:id="2"/>
      <w:bookmarkEnd w:id="3"/>
    </w:p>
    <w:p w14:paraId="7E752DB8"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Times New Roman" w:hAnsi="Times New Roman" w:cs="Times New Roman"/>
          <w:b/>
          <w:caps/>
          <w:lang w:val="lt-LT"/>
        </w:rPr>
        <w:br w:type="page"/>
      </w:r>
    </w:p>
    <w:p w14:paraId="7067E00E" w14:textId="77777777" w:rsidR="00A840FC" w:rsidRPr="00A840FC" w:rsidRDefault="00A840FC" w:rsidP="00A840FC">
      <w:pPr>
        <w:tabs>
          <w:tab w:val="left" w:pos="567"/>
        </w:tabs>
        <w:spacing w:after="0" w:line="240" w:lineRule="auto"/>
        <w:jc w:val="center"/>
        <w:outlineLvl w:val="0"/>
        <w:rPr>
          <w:rFonts w:ascii="Times New Roman" w:eastAsia="Times New Roman" w:hAnsi="Times New Roman" w:cs="Times New Roman"/>
          <w:b/>
          <w:caps/>
          <w:lang w:val="lt-LT"/>
        </w:rPr>
      </w:pPr>
      <w:bookmarkStart w:id="74" w:name="_Toc129243138"/>
      <w:bookmarkStart w:id="75" w:name="_Toc129243263"/>
      <w:r w:rsidRPr="00A840FC">
        <w:rPr>
          <w:rFonts w:ascii="Times New Roman" w:eastAsia="Times New Roman" w:hAnsi="Times New Roman" w:cs="Times New Roman"/>
          <w:b/>
          <w:lang w:val="lt-LT"/>
        </w:rPr>
        <w:lastRenderedPageBreak/>
        <w:t>Pakuotės lapelis: informacija vartotojui</w:t>
      </w:r>
      <w:bookmarkEnd w:id="74"/>
      <w:bookmarkEnd w:id="75"/>
    </w:p>
    <w:p w14:paraId="5C0B6ECC" w14:textId="77777777" w:rsidR="00A840FC" w:rsidRPr="00A840FC" w:rsidRDefault="00A840FC" w:rsidP="00A840FC">
      <w:pPr>
        <w:spacing w:after="0" w:line="240" w:lineRule="auto"/>
        <w:rPr>
          <w:rFonts w:ascii="Times New Roman" w:eastAsia="Arial Unicode MS" w:hAnsi="Times New Roman" w:cs="Times New Roman"/>
          <w:lang w:val="lt-LT"/>
        </w:rPr>
      </w:pPr>
    </w:p>
    <w:p w14:paraId="3DA66FBC" w14:textId="77777777" w:rsidR="00A840FC" w:rsidRPr="00A840FC" w:rsidRDefault="00A840FC" w:rsidP="00A840FC">
      <w:pPr>
        <w:spacing w:after="0" w:line="240" w:lineRule="auto"/>
        <w:jc w:val="center"/>
        <w:rPr>
          <w:rFonts w:ascii="Times New Roman" w:eastAsia="Times New Roman" w:hAnsi="Times New Roman" w:cs="Times New Roman"/>
          <w:b/>
          <w:lang w:val="lt-LT"/>
        </w:rPr>
      </w:pPr>
      <w:r w:rsidRPr="00A840FC">
        <w:rPr>
          <w:rFonts w:ascii="Times New Roman" w:eastAsia="Times New Roman" w:hAnsi="Times New Roman" w:cs="Times New Roman"/>
          <w:b/>
          <w:lang w:val="lt-LT"/>
        </w:rPr>
        <w:t>Ketipinor 25 mg plėvele dengtos tabletės</w:t>
      </w:r>
    </w:p>
    <w:p w14:paraId="35196127" w14:textId="77777777" w:rsidR="00A840FC" w:rsidRPr="00A840FC" w:rsidRDefault="00A840FC" w:rsidP="00A840FC">
      <w:pPr>
        <w:spacing w:after="0" w:line="240" w:lineRule="auto"/>
        <w:jc w:val="center"/>
        <w:rPr>
          <w:rFonts w:ascii="Times New Roman" w:eastAsia="Times New Roman" w:hAnsi="Times New Roman" w:cs="Times New Roman"/>
          <w:b/>
          <w:lang w:val="lt-LT"/>
        </w:rPr>
      </w:pPr>
      <w:r w:rsidRPr="00A840FC">
        <w:rPr>
          <w:rFonts w:ascii="Times New Roman" w:eastAsia="Times New Roman" w:hAnsi="Times New Roman" w:cs="Times New Roman"/>
          <w:b/>
          <w:lang w:val="lt-LT"/>
        </w:rPr>
        <w:t>Ketipinor 100 mg plėvele dengtos tabletės</w:t>
      </w:r>
    </w:p>
    <w:p w14:paraId="29B0F78D" w14:textId="77777777" w:rsidR="00A840FC" w:rsidRPr="00A840FC" w:rsidRDefault="00A840FC" w:rsidP="00A840FC">
      <w:pPr>
        <w:spacing w:after="0" w:line="240" w:lineRule="auto"/>
        <w:jc w:val="center"/>
        <w:rPr>
          <w:rFonts w:ascii="Times New Roman" w:eastAsia="Times New Roman" w:hAnsi="Times New Roman" w:cs="Times New Roman"/>
          <w:b/>
          <w:lang w:val="lt-LT"/>
        </w:rPr>
      </w:pPr>
      <w:r w:rsidRPr="00A840FC">
        <w:rPr>
          <w:rFonts w:ascii="Times New Roman" w:eastAsia="Times New Roman" w:hAnsi="Times New Roman" w:cs="Times New Roman"/>
          <w:b/>
          <w:lang w:val="lt-LT"/>
        </w:rPr>
        <w:t>Ketipinor 200 mg plėvele dengtos tabletės</w:t>
      </w:r>
    </w:p>
    <w:p w14:paraId="0515A2A9" w14:textId="77777777" w:rsidR="00A840FC" w:rsidRPr="00A840FC" w:rsidRDefault="00A840FC" w:rsidP="00A840FC">
      <w:pPr>
        <w:spacing w:after="0" w:line="240" w:lineRule="auto"/>
        <w:jc w:val="center"/>
        <w:rPr>
          <w:rFonts w:ascii="Times New Roman" w:eastAsia="Times New Roman" w:hAnsi="Times New Roman" w:cs="Times New Roman"/>
          <w:b/>
          <w:lang w:val="lt-LT"/>
        </w:rPr>
      </w:pPr>
      <w:r w:rsidRPr="00A840FC">
        <w:rPr>
          <w:rFonts w:ascii="Times New Roman" w:eastAsia="Times New Roman" w:hAnsi="Times New Roman" w:cs="Times New Roman"/>
          <w:b/>
          <w:lang w:val="lt-LT"/>
        </w:rPr>
        <w:t>Ketipinor 300 mg plėvele dengtos tabletės</w:t>
      </w:r>
    </w:p>
    <w:p w14:paraId="2A0DD6FB" w14:textId="439B352E" w:rsidR="00A840FC" w:rsidRPr="00A840FC" w:rsidRDefault="00A11679" w:rsidP="00A840FC">
      <w:pPr>
        <w:spacing w:after="0" w:line="240" w:lineRule="auto"/>
        <w:jc w:val="center"/>
        <w:rPr>
          <w:rFonts w:ascii="Times New Roman" w:eastAsia="Arial Unicode MS" w:hAnsi="Times New Roman" w:cs="Times New Roman"/>
          <w:lang w:val="lt-LT"/>
        </w:rPr>
      </w:pPr>
      <w:r>
        <w:rPr>
          <w:rFonts w:ascii="Times New Roman" w:eastAsia="Arial Unicode MS" w:hAnsi="Times New Roman" w:cs="Times New Roman"/>
          <w:lang w:val="lt-LT"/>
        </w:rPr>
        <w:t>k</w:t>
      </w:r>
      <w:r w:rsidR="00A840FC" w:rsidRPr="00A840FC" w:rsidDel="00C032A1">
        <w:rPr>
          <w:rFonts w:ascii="Times New Roman" w:eastAsia="Arial Unicode MS" w:hAnsi="Times New Roman" w:cs="Times New Roman"/>
          <w:lang w:val="lt-LT"/>
        </w:rPr>
        <w:t>vetiapinas</w:t>
      </w:r>
    </w:p>
    <w:p w14:paraId="6FFD2DC1" w14:textId="77777777" w:rsidR="00A840FC" w:rsidRPr="00A840FC" w:rsidRDefault="00A840FC" w:rsidP="00A840FC">
      <w:pPr>
        <w:spacing w:after="0" w:line="240" w:lineRule="auto"/>
        <w:rPr>
          <w:rFonts w:ascii="Times New Roman" w:eastAsia="Arial Unicode MS" w:hAnsi="Times New Roman" w:cs="Times New Roman"/>
          <w:lang w:val="lt-LT"/>
        </w:rPr>
      </w:pPr>
    </w:p>
    <w:p w14:paraId="5ED12565" w14:textId="77777777" w:rsidR="00A840FC" w:rsidRPr="00A840FC" w:rsidRDefault="00A840FC" w:rsidP="00A840FC">
      <w:pPr>
        <w:spacing w:after="0" w:line="240" w:lineRule="auto"/>
        <w:rPr>
          <w:rFonts w:ascii="Times New Roman" w:eastAsia="Arial Unicode MS" w:hAnsi="Times New Roman" w:cs="Times New Roman"/>
          <w:b/>
          <w:lang w:val="lt-LT"/>
        </w:rPr>
      </w:pPr>
      <w:r w:rsidRPr="00A840FC">
        <w:rPr>
          <w:rFonts w:ascii="Times New Roman" w:eastAsia="Arial Unicode MS" w:hAnsi="Times New Roman" w:cs="Times New Roman"/>
          <w:b/>
          <w:lang w:val="lt-LT"/>
        </w:rPr>
        <w:t>Atidžiai perskaitykite visą šį lapelį, prieš pradėdami vartoti vaistą, nes jame pateikiama Jums svarbi informacija.</w:t>
      </w:r>
    </w:p>
    <w:p w14:paraId="18947D45" w14:textId="77777777" w:rsidR="00A840FC" w:rsidRPr="00A840FC" w:rsidRDefault="00A840FC" w:rsidP="00A840FC">
      <w:pPr>
        <w:numPr>
          <w:ilvl w:val="0"/>
          <w:numId w:val="20"/>
        </w:numPr>
        <w:spacing w:after="0" w:line="240" w:lineRule="auto"/>
        <w:ind w:left="567" w:hanging="567"/>
        <w:contextualSpacing/>
        <w:rPr>
          <w:rFonts w:ascii="Times New Roman" w:eastAsia="Arial Unicode MS" w:hAnsi="Times New Roman" w:cs="Times New Roman"/>
          <w:lang w:val="lt-LT"/>
        </w:rPr>
      </w:pPr>
      <w:r w:rsidRPr="00A840FC">
        <w:rPr>
          <w:rFonts w:ascii="Times New Roman" w:eastAsia="Arial Unicode MS" w:hAnsi="Times New Roman" w:cs="Times New Roman"/>
          <w:lang w:val="lt-LT"/>
        </w:rPr>
        <w:t>Neišmeskite šio lapelio, nes vėl gali prireikti jį perskaityti.</w:t>
      </w:r>
    </w:p>
    <w:p w14:paraId="139670EC" w14:textId="77777777" w:rsidR="00A840FC" w:rsidRPr="00A840FC" w:rsidRDefault="00A840FC" w:rsidP="00A840FC">
      <w:pPr>
        <w:numPr>
          <w:ilvl w:val="0"/>
          <w:numId w:val="20"/>
        </w:numPr>
        <w:spacing w:after="0" w:line="240" w:lineRule="auto"/>
        <w:ind w:left="567" w:hanging="567"/>
        <w:contextualSpacing/>
        <w:rPr>
          <w:rFonts w:ascii="Times New Roman" w:eastAsia="Arial Unicode MS" w:hAnsi="Times New Roman" w:cs="Times New Roman"/>
          <w:lang w:val="lt-LT"/>
        </w:rPr>
      </w:pPr>
      <w:r w:rsidRPr="00A840FC">
        <w:rPr>
          <w:rFonts w:ascii="Times New Roman" w:eastAsia="Arial Unicode MS" w:hAnsi="Times New Roman" w:cs="Times New Roman"/>
          <w:lang w:val="lt-LT"/>
        </w:rPr>
        <w:t>Jeigu kiltų daugiau klausimų, kreipkitės į gydytoją arba vaistininką.</w:t>
      </w:r>
    </w:p>
    <w:p w14:paraId="0D76D1B3" w14:textId="77777777" w:rsidR="00A840FC" w:rsidRPr="00A840FC" w:rsidRDefault="00A840FC" w:rsidP="00A840FC">
      <w:pPr>
        <w:numPr>
          <w:ilvl w:val="0"/>
          <w:numId w:val="20"/>
        </w:numPr>
        <w:spacing w:after="0" w:line="240" w:lineRule="auto"/>
        <w:ind w:left="567" w:hanging="567"/>
        <w:contextualSpacing/>
        <w:rPr>
          <w:rFonts w:ascii="Times New Roman" w:eastAsia="Arial Unicode MS" w:hAnsi="Times New Roman" w:cs="Times New Roman"/>
          <w:lang w:val="lt-LT"/>
        </w:rPr>
      </w:pPr>
      <w:r w:rsidRPr="00A840FC">
        <w:rPr>
          <w:rFonts w:ascii="Times New Roman" w:eastAsia="Arial Unicode MS" w:hAnsi="Times New Roman" w:cs="Times New Roman"/>
          <w:lang w:val="lt-LT"/>
        </w:rPr>
        <w:t>Šis vaistas skirtas tik Jums, todėl kitiems žmonėms jo duoti negalima. Vaistas gali jiems pakenkti (net tiems, kurių ligos požymiai yra tokie patys kaip Jūsų).</w:t>
      </w:r>
    </w:p>
    <w:p w14:paraId="225769D7" w14:textId="77777777" w:rsidR="00A840FC" w:rsidRPr="00A840FC" w:rsidRDefault="00A840FC" w:rsidP="00A840FC">
      <w:pPr>
        <w:numPr>
          <w:ilvl w:val="0"/>
          <w:numId w:val="20"/>
        </w:numPr>
        <w:spacing w:after="0" w:line="240" w:lineRule="auto"/>
        <w:ind w:left="567" w:hanging="567"/>
        <w:contextualSpacing/>
        <w:rPr>
          <w:rFonts w:ascii="Times New Roman" w:eastAsia="Arial Unicode MS" w:hAnsi="Times New Roman" w:cs="Times New Roman"/>
          <w:lang w:val="lt-LT"/>
        </w:rPr>
      </w:pPr>
      <w:r w:rsidRPr="00A840FC">
        <w:rPr>
          <w:rFonts w:ascii="Times New Roman" w:eastAsia="Arial Unicode MS" w:hAnsi="Times New Roman" w:cs="Times New Roman"/>
          <w:lang w:val="lt-LT"/>
        </w:rPr>
        <w:t>Jeigu pasireiškė šalutinis poveikis (net jeigu jis šiame lapelyje nenurodytas) kreipkitės į gydytoją arba vaistininką. Žr. 4 skyrių.</w:t>
      </w:r>
    </w:p>
    <w:p w14:paraId="0E841E39" w14:textId="77777777" w:rsidR="00A840FC" w:rsidRPr="00A840FC" w:rsidRDefault="00A840FC" w:rsidP="00A840FC">
      <w:pPr>
        <w:tabs>
          <w:tab w:val="num" w:pos="567"/>
        </w:tabs>
        <w:spacing w:after="0" w:line="240" w:lineRule="auto"/>
        <w:ind w:left="567" w:hanging="567"/>
        <w:rPr>
          <w:rFonts w:ascii="Times New Roman" w:eastAsia="Arial Unicode MS" w:hAnsi="Times New Roman" w:cs="Times New Roman"/>
          <w:lang w:val="lt-LT"/>
        </w:rPr>
      </w:pPr>
    </w:p>
    <w:p w14:paraId="7D881E43" w14:textId="77777777" w:rsidR="00A840FC" w:rsidRPr="00A840FC" w:rsidRDefault="00A840FC" w:rsidP="00A840FC">
      <w:pPr>
        <w:spacing w:after="0" w:line="240" w:lineRule="auto"/>
        <w:ind w:left="567" w:hanging="567"/>
        <w:rPr>
          <w:rFonts w:ascii="Times New Roman" w:eastAsia="Arial Unicode MS" w:hAnsi="Times New Roman" w:cs="Times New Roman"/>
          <w:lang w:val="lt-LT"/>
        </w:rPr>
      </w:pPr>
    </w:p>
    <w:p w14:paraId="69FDDAF6" w14:textId="77777777" w:rsidR="00A840FC" w:rsidRPr="00A840FC" w:rsidRDefault="00A840FC" w:rsidP="00A840FC">
      <w:pPr>
        <w:spacing w:after="0" w:line="240" w:lineRule="auto"/>
        <w:ind w:left="567" w:hanging="567"/>
        <w:rPr>
          <w:rFonts w:ascii="Times New Roman" w:eastAsia="Arial Unicode MS" w:hAnsi="Times New Roman" w:cs="Times New Roman"/>
          <w:b/>
          <w:lang w:val="lt-LT"/>
        </w:rPr>
      </w:pPr>
      <w:r w:rsidRPr="00A840FC">
        <w:rPr>
          <w:rFonts w:ascii="Times New Roman" w:eastAsia="Arial Unicode MS" w:hAnsi="Times New Roman" w:cs="Times New Roman"/>
          <w:b/>
          <w:lang w:val="lt-LT"/>
        </w:rPr>
        <w:t>Apie ką rašoma šiame lapelyje?</w:t>
      </w:r>
    </w:p>
    <w:p w14:paraId="4AC5FB7D" w14:textId="77777777" w:rsidR="00A840FC" w:rsidRPr="00A840FC" w:rsidRDefault="00A840FC" w:rsidP="00A840FC">
      <w:pPr>
        <w:spacing w:after="0" w:line="240" w:lineRule="auto"/>
        <w:ind w:left="567" w:hanging="567"/>
        <w:rPr>
          <w:rFonts w:ascii="Times New Roman" w:eastAsia="Arial Unicode MS" w:hAnsi="Times New Roman" w:cs="Times New Roman"/>
          <w:b/>
          <w:lang w:val="lt-LT"/>
        </w:rPr>
      </w:pPr>
    </w:p>
    <w:p w14:paraId="284DC85F" w14:textId="77777777" w:rsidR="00A840FC" w:rsidRPr="00A840FC" w:rsidRDefault="00A840FC" w:rsidP="00A840FC">
      <w:pPr>
        <w:tabs>
          <w:tab w:val="left" w:pos="567"/>
        </w:tabs>
        <w:spacing w:after="0" w:line="240" w:lineRule="auto"/>
        <w:ind w:left="567" w:hanging="567"/>
        <w:rPr>
          <w:rFonts w:ascii="Times New Roman" w:eastAsia="Arial Unicode MS" w:hAnsi="Times New Roman" w:cs="Times New Roman"/>
          <w:lang w:val="lt-LT"/>
        </w:rPr>
      </w:pPr>
      <w:r w:rsidRPr="00A840FC">
        <w:rPr>
          <w:rFonts w:ascii="Times New Roman" w:eastAsia="Arial Unicode MS" w:hAnsi="Times New Roman" w:cs="Times New Roman"/>
          <w:lang w:val="lt-LT"/>
        </w:rPr>
        <w:t>1.</w:t>
      </w:r>
      <w:r w:rsidRPr="00A840FC">
        <w:rPr>
          <w:rFonts w:ascii="Times New Roman" w:eastAsia="Arial Unicode MS" w:hAnsi="Times New Roman" w:cs="Times New Roman"/>
          <w:lang w:val="lt-LT"/>
        </w:rPr>
        <w:tab/>
        <w:t>Kas yra Ketipinor ir kam jis vartojamas</w:t>
      </w:r>
    </w:p>
    <w:p w14:paraId="4B0CB5CF" w14:textId="77777777" w:rsidR="00A840FC" w:rsidRPr="00A840FC" w:rsidRDefault="00A840FC" w:rsidP="00A840FC">
      <w:pPr>
        <w:tabs>
          <w:tab w:val="left" w:pos="567"/>
        </w:tabs>
        <w:spacing w:after="0" w:line="240" w:lineRule="auto"/>
        <w:ind w:left="567" w:hanging="567"/>
        <w:rPr>
          <w:rFonts w:ascii="Times New Roman" w:eastAsia="Arial Unicode MS" w:hAnsi="Times New Roman" w:cs="Times New Roman"/>
          <w:lang w:val="lt-LT"/>
        </w:rPr>
      </w:pPr>
      <w:r w:rsidRPr="00A840FC">
        <w:rPr>
          <w:rFonts w:ascii="Times New Roman" w:eastAsia="Arial Unicode MS" w:hAnsi="Times New Roman" w:cs="Times New Roman"/>
          <w:lang w:val="lt-LT"/>
        </w:rPr>
        <w:t>2.</w:t>
      </w:r>
      <w:r w:rsidRPr="00A840FC">
        <w:rPr>
          <w:rFonts w:ascii="Times New Roman" w:eastAsia="Arial Unicode MS" w:hAnsi="Times New Roman" w:cs="Times New Roman"/>
          <w:lang w:val="lt-LT"/>
        </w:rPr>
        <w:tab/>
        <w:t>Kas žinotina prieš vartojant Ketipinor</w:t>
      </w:r>
    </w:p>
    <w:p w14:paraId="41A7A31C" w14:textId="77777777" w:rsidR="00A840FC" w:rsidRPr="00A840FC" w:rsidRDefault="00A840FC" w:rsidP="00A840FC">
      <w:pPr>
        <w:tabs>
          <w:tab w:val="left" w:pos="567"/>
        </w:tabs>
        <w:spacing w:after="0" w:line="240" w:lineRule="auto"/>
        <w:ind w:left="567" w:hanging="567"/>
        <w:rPr>
          <w:rFonts w:ascii="Times New Roman" w:eastAsia="Arial Unicode MS" w:hAnsi="Times New Roman" w:cs="Times New Roman"/>
          <w:lang w:val="lt-LT"/>
        </w:rPr>
      </w:pPr>
      <w:r w:rsidRPr="00A840FC">
        <w:rPr>
          <w:rFonts w:ascii="Times New Roman" w:eastAsia="Arial Unicode MS" w:hAnsi="Times New Roman" w:cs="Times New Roman"/>
          <w:lang w:val="lt-LT"/>
        </w:rPr>
        <w:t>3.</w:t>
      </w:r>
      <w:r w:rsidRPr="00A840FC">
        <w:rPr>
          <w:rFonts w:ascii="Times New Roman" w:eastAsia="Arial Unicode MS" w:hAnsi="Times New Roman" w:cs="Times New Roman"/>
          <w:lang w:val="lt-LT"/>
        </w:rPr>
        <w:tab/>
        <w:t>Kaip vartoti Ketipinor</w:t>
      </w:r>
    </w:p>
    <w:p w14:paraId="57294C00" w14:textId="77777777" w:rsidR="00A840FC" w:rsidRPr="00A840FC" w:rsidRDefault="00A840FC" w:rsidP="00A840FC">
      <w:pPr>
        <w:tabs>
          <w:tab w:val="left" w:pos="567"/>
        </w:tabs>
        <w:spacing w:after="0" w:line="240" w:lineRule="auto"/>
        <w:ind w:left="567" w:hanging="567"/>
        <w:rPr>
          <w:rFonts w:ascii="Times New Roman" w:eastAsia="Arial Unicode MS" w:hAnsi="Times New Roman" w:cs="Times New Roman"/>
          <w:lang w:val="lt-LT"/>
        </w:rPr>
      </w:pPr>
      <w:bookmarkStart w:id="76" w:name="OLE_LINK1"/>
      <w:bookmarkStart w:id="77" w:name="OLE_LINK2"/>
      <w:r w:rsidRPr="00A840FC">
        <w:rPr>
          <w:rFonts w:ascii="Times New Roman" w:eastAsia="Arial Unicode MS" w:hAnsi="Times New Roman" w:cs="Times New Roman"/>
          <w:lang w:val="lt-LT"/>
        </w:rPr>
        <w:t>4</w:t>
      </w:r>
      <w:bookmarkEnd w:id="76"/>
      <w:bookmarkEnd w:id="77"/>
      <w:r w:rsidRPr="00A840FC">
        <w:rPr>
          <w:rFonts w:ascii="Times New Roman" w:eastAsia="Arial Unicode MS" w:hAnsi="Times New Roman" w:cs="Times New Roman"/>
          <w:lang w:val="lt-LT"/>
        </w:rPr>
        <w:t>.</w:t>
      </w:r>
      <w:r w:rsidRPr="00A840FC">
        <w:rPr>
          <w:rFonts w:ascii="Times New Roman" w:eastAsia="Arial Unicode MS" w:hAnsi="Times New Roman" w:cs="Times New Roman"/>
          <w:lang w:val="lt-LT"/>
        </w:rPr>
        <w:tab/>
        <w:t>Galimas šalutinis poveikis</w:t>
      </w:r>
    </w:p>
    <w:p w14:paraId="66558C3E" w14:textId="77777777" w:rsidR="00A840FC" w:rsidRPr="00A840FC" w:rsidRDefault="00A840FC" w:rsidP="00A840FC">
      <w:pPr>
        <w:tabs>
          <w:tab w:val="left" w:pos="567"/>
        </w:tabs>
        <w:spacing w:after="0" w:line="240" w:lineRule="auto"/>
        <w:ind w:left="567" w:hanging="567"/>
        <w:rPr>
          <w:rFonts w:ascii="Times New Roman" w:eastAsia="Arial Unicode MS" w:hAnsi="Times New Roman" w:cs="Times New Roman"/>
          <w:lang w:val="lt-LT"/>
        </w:rPr>
      </w:pPr>
      <w:r w:rsidRPr="00A840FC">
        <w:rPr>
          <w:rFonts w:ascii="Times New Roman" w:eastAsia="Arial Unicode MS" w:hAnsi="Times New Roman" w:cs="Times New Roman"/>
          <w:lang w:val="lt-LT"/>
        </w:rPr>
        <w:t>5.</w:t>
      </w:r>
      <w:r w:rsidRPr="00A840FC">
        <w:rPr>
          <w:rFonts w:ascii="Times New Roman" w:eastAsia="Arial Unicode MS" w:hAnsi="Times New Roman" w:cs="Times New Roman"/>
          <w:lang w:val="lt-LT"/>
        </w:rPr>
        <w:tab/>
        <w:t>Kaip laikyti Ketipinor</w:t>
      </w:r>
    </w:p>
    <w:p w14:paraId="7AF2041B" w14:textId="77777777" w:rsidR="00A840FC" w:rsidRPr="00A840FC" w:rsidRDefault="00A840FC" w:rsidP="00A840FC">
      <w:pPr>
        <w:tabs>
          <w:tab w:val="left" w:pos="567"/>
        </w:tabs>
        <w:spacing w:after="0" w:line="240" w:lineRule="auto"/>
        <w:ind w:left="567" w:hanging="567"/>
        <w:rPr>
          <w:rFonts w:ascii="Times New Roman" w:eastAsia="Arial Unicode MS" w:hAnsi="Times New Roman" w:cs="Times New Roman"/>
          <w:lang w:val="lt-LT"/>
        </w:rPr>
      </w:pPr>
      <w:r w:rsidRPr="00A840FC">
        <w:rPr>
          <w:rFonts w:ascii="Times New Roman" w:eastAsia="Arial Unicode MS" w:hAnsi="Times New Roman" w:cs="Times New Roman"/>
          <w:lang w:val="lt-LT"/>
        </w:rPr>
        <w:t>6.</w:t>
      </w:r>
      <w:r w:rsidRPr="00A840FC">
        <w:rPr>
          <w:rFonts w:ascii="Times New Roman" w:eastAsia="Arial Unicode MS" w:hAnsi="Times New Roman" w:cs="Times New Roman"/>
          <w:lang w:val="lt-LT"/>
        </w:rPr>
        <w:tab/>
        <w:t>Pakuotės turinys ir kita informacija</w:t>
      </w:r>
    </w:p>
    <w:p w14:paraId="31947AFE" w14:textId="77777777" w:rsidR="00A840FC" w:rsidRPr="00A840FC" w:rsidRDefault="00A840FC" w:rsidP="00A840FC">
      <w:pPr>
        <w:tabs>
          <w:tab w:val="left" w:pos="567"/>
        </w:tabs>
        <w:spacing w:after="0" w:line="240" w:lineRule="auto"/>
        <w:rPr>
          <w:rFonts w:ascii="Times New Roman" w:eastAsia="Arial Unicode MS" w:hAnsi="Times New Roman" w:cs="Times New Roman"/>
          <w:lang w:val="lt-LT"/>
        </w:rPr>
      </w:pPr>
    </w:p>
    <w:p w14:paraId="283F2D6E" w14:textId="77777777" w:rsidR="00A840FC" w:rsidRPr="00A840FC" w:rsidRDefault="00A840FC" w:rsidP="00A840FC">
      <w:pPr>
        <w:spacing w:after="0" w:line="240" w:lineRule="auto"/>
        <w:rPr>
          <w:rFonts w:ascii="Times New Roman" w:eastAsia="Arial Unicode MS" w:hAnsi="Times New Roman" w:cs="Times New Roman"/>
          <w:lang w:val="lt-LT"/>
        </w:rPr>
      </w:pPr>
    </w:p>
    <w:p w14:paraId="1ABE8F8F" w14:textId="77777777" w:rsidR="00A840FC" w:rsidRPr="00A840FC" w:rsidRDefault="00A840FC" w:rsidP="00A840F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8" w:name="_Toc129243139"/>
      <w:bookmarkStart w:id="79" w:name="_Toc129243264"/>
      <w:r w:rsidRPr="00A840FC">
        <w:rPr>
          <w:rFonts w:ascii="Times New Roman" w:eastAsia="Times New Roman" w:hAnsi="Times New Roman" w:cs="Times New Roman"/>
          <w:b/>
          <w:lang w:val="lt-LT"/>
        </w:rPr>
        <w:t>1.</w:t>
      </w:r>
      <w:r w:rsidRPr="00A840FC">
        <w:rPr>
          <w:rFonts w:ascii="Times New Roman" w:eastAsia="Times New Roman" w:hAnsi="Times New Roman" w:cs="Times New Roman"/>
          <w:b/>
          <w:lang w:val="lt-LT"/>
        </w:rPr>
        <w:tab/>
        <w:t>Kas yra Ketipinor ir kam jis vartojamas</w:t>
      </w:r>
      <w:bookmarkEnd w:id="78"/>
      <w:bookmarkEnd w:id="79"/>
    </w:p>
    <w:p w14:paraId="1B961613" w14:textId="77777777" w:rsidR="00A840FC" w:rsidRPr="00A840FC" w:rsidRDefault="00A840FC" w:rsidP="00A840FC">
      <w:pPr>
        <w:spacing w:after="0" w:line="240" w:lineRule="auto"/>
        <w:rPr>
          <w:rFonts w:ascii="Times New Roman" w:eastAsia="Arial Unicode MS" w:hAnsi="Times New Roman" w:cs="Times New Roman"/>
          <w:lang w:val="lt-LT"/>
        </w:rPr>
      </w:pPr>
    </w:p>
    <w:p w14:paraId="67D9A86C"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Ketipinor sudėtyje yra medžiagos vadinamos kvetiapinu. Šis vaistas priklauso vaistų nuo psichozės grupei. Ketipinor gali būti vartojamas tam tikroms ligoms gydyti, pavyzdžiui:</w:t>
      </w:r>
    </w:p>
    <w:p w14:paraId="241F290D" w14:textId="77777777" w:rsidR="00A840FC" w:rsidRPr="00A840FC" w:rsidRDefault="00A840FC" w:rsidP="00A840FC">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 xml:space="preserve">bipolinei depresijai, kurios metu jaučiate liūdesį. Jums gali pasirodyti, kad jaučiatės depresiškas, galite jausti kaltę, jėgų trūkumą, prarasti apetitą arba gali būti sunku užmigti. </w:t>
      </w:r>
    </w:p>
    <w:p w14:paraId="5A76AE30" w14:textId="77777777" w:rsidR="00A840FC" w:rsidRPr="00A840FC" w:rsidRDefault="00A840FC" w:rsidP="00A840FC">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 xml:space="preserve">Manijai. Jūs galite jaustis labai sujaudintas, pakilios nuotaikos, susijaudinęs, entuziastingas arba pernelyg aktyvus, arba galite priimti neteisingus sprendimus, elgdamasis agresyviai ar pavojingai. </w:t>
      </w:r>
    </w:p>
    <w:p w14:paraId="160558CF" w14:textId="77777777" w:rsidR="00A840FC" w:rsidRPr="00A840FC" w:rsidRDefault="00A840FC" w:rsidP="00A840FC">
      <w:pPr>
        <w:numPr>
          <w:ilvl w:val="0"/>
          <w:numId w:val="5"/>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Šizofrenijai. Jūs galite išgirsti ar pajusti tai, ko nėra, tikėti dalykais, kurie nėra tikri, arba jaustis neįprastai įtariu, būti sunerimusiu, susipainiojusiu, kaltu, įsitempusiu arba prislėgtu.</w:t>
      </w:r>
    </w:p>
    <w:p w14:paraId="662CA9DB" w14:textId="77777777" w:rsidR="00A840FC" w:rsidRPr="00A840FC" w:rsidRDefault="00A840FC" w:rsidP="00A840FC">
      <w:pPr>
        <w:spacing w:after="0" w:line="240" w:lineRule="auto"/>
        <w:rPr>
          <w:rFonts w:ascii="Times New Roman" w:eastAsia="Times New Roman" w:hAnsi="Times New Roman" w:cs="Times New Roman"/>
          <w:lang w:val="lt-LT"/>
        </w:rPr>
      </w:pPr>
    </w:p>
    <w:p w14:paraId="5A7D1A49"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Kai pasijusite geriau Jūsų gydytojas gali ir toliau skirti Ketipinor, kad simptomai nepasikartotų.</w:t>
      </w:r>
    </w:p>
    <w:p w14:paraId="0C6659A9" w14:textId="77777777" w:rsidR="00A840FC" w:rsidRPr="00A840FC" w:rsidRDefault="00A840FC" w:rsidP="00A840FC">
      <w:pPr>
        <w:spacing w:after="0" w:line="240" w:lineRule="auto"/>
        <w:rPr>
          <w:rFonts w:ascii="Times New Roman" w:eastAsia="Arial Unicode MS" w:hAnsi="Times New Roman" w:cs="Times New Roman"/>
          <w:lang w:val="lt-LT"/>
        </w:rPr>
      </w:pPr>
    </w:p>
    <w:p w14:paraId="4D8A5487" w14:textId="77777777" w:rsidR="00A840FC" w:rsidRPr="00A840FC" w:rsidRDefault="00A840FC" w:rsidP="00A840FC">
      <w:pPr>
        <w:spacing w:after="0" w:line="240" w:lineRule="auto"/>
        <w:rPr>
          <w:rFonts w:ascii="Times New Roman" w:eastAsia="Arial Unicode MS" w:hAnsi="Times New Roman" w:cs="Times New Roman"/>
          <w:lang w:val="lt-LT"/>
        </w:rPr>
      </w:pPr>
    </w:p>
    <w:p w14:paraId="4ED9985B" w14:textId="77777777" w:rsidR="00A840FC" w:rsidRPr="00A840FC" w:rsidRDefault="00A840FC" w:rsidP="00A840F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0" w:name="_Toc129243140"/>
      <w:bookmarkStart w:id="81" w:name="_Toc129243265"/>
      <w:r w:rsidRPr="00A840FC">
        <w:rPr>
          <w:rFonts w:ascii="Times New Roman" w:eastAsia="Times New Roman" w:hAnsi="Times New Roman" w:cs="Times New Roman"/>
          <w:b/>
          <w:lang w:val="lt-LT"/>
        </w:rPr>
        <w:t>2.</w:t>
      </w:r>
      <w:r w:rsidRPr="00A840FC">
        <w:rPr>
          <w:rFonts w:ascii="Times New Roman" w:eastAsia="Times New Roman" w:hAnsi="Times New Roman" w:cs="Times New Roman"/>
          <w:b/>
          <w:lang w:val="lt-LT"/>
        </w:rPr>
        <w:tab/>
        <w:t xml:space="preserve">Kas žinotina prieš vartojant </w:t>
      </w:r>
      <w:bookmarkEnd w:id="80"/>
      <w:bookmarkEnd w:id="81"/>
      <w:r w:rsidRPr="00A840FC">
        <w:rPr>
          <w:rFonts w:ascii="Times New Roman" w:eastAsia="Times New Roman" w:hAnsi="Times New Roman" w:cs="Times New Roman"/>
          <w:b/>
          <w:lang w:val="lt-LT"/>
        </w:rPr>
        <w:t>Ketipinor</w:t>
      </w:r>
    </w:p>
    <w:p w14:paraId="0CB6C8AF" w14:textId="77777777" w:rsidR="00A840FC" w:rsidRPr="00A840FC" w:rsidRDefault="00A840FC" w:rsidP="00A840FC">
      <w:pPr>
        <w:spacing w:after="0" w:line="240" w:lineRule="auto"/>
        <w:rPr>
          <w:rFonts w:ascii="Times New Roman" w:eastAsia="Arial Unicode MS" w:hAnsi="Times New Roman" w:cs="Times New Roman"/>
          <w:lang w:val="lt-LT"/>
        </w:rPr>
      </w:pPr>
    </w:p>
    <w:p w14:paraId="5B3D8B15" w14:textId="34540219" w:rsidR="00A840FC" w:rsidRPr="00A840FC" w:rsidRDefault="00A840FC" w:rsidP="00A840FC">
      <w:pPr>
        <w:spacing w:after="0" w:line="240" w:lineRule="auto"/>
        <w:rPr>
          <w:rFonts w:ascii="Times New Roman" w:eastAsia="Times New Roman" w:hAnsi="Times New Roman" w:cs="Times New Roman"/>
          <w:b/>
          <w:bCs/>
          <w:lang w:val="lt-LT"/>
        </w:rPr>
      </w:pPr>
      <w:r w:rsidRPr="00A840FC">
        <w:rPr>
          <w:rFonts w:ascii="Times New Roman" w:eastAsia="Times New Roman" w:hAnsi="Times New Roman" w:cs="Times New Roman"/>
          <w:b/>
          <w:bCs/>
          <w:lang w:val="lt-LT"/>
        </w:rPr>
        <w:t xml:space="preserve">Ketipinor vartoti </w:t>
      </w:r>
      <w:r w:rsidR="00A11679">
        <w:rPr>
          <w:rFonts w:ascii="Times New Roman" w:eastAsia="Times New Roman" w:hAnsi="Times New Roman" w:cs="Times New Roman"/>
          <w:b/>
          <w:bCs/>
          <w:lang w:val="lt-LT"/>
        </w:rPr>
        <w:t>draudžiama</w:t>
      </w:r>
      <w:r w:rsidRPr="00A840FC">
        <w:rPr>
          <w:rFonts w:ascii="Times New Roman" w:eastAsia="Times New Roman" w:hAnsi="Times New Roman" w:cs="Times New Roman"/>
          <w:b/>
          <w:bCs/>
          <w:lang w:val="lt-LT"/>
        </w:rPr>
        <w:t>:</w:t>
      </w:r>
    </w:p>
    <w:p w14:paraId="630D9698" w14:textId="77777777" w:rsidR="00A840FC" w:rsidRPr="00A840FC" w:rsidRDefault="00A840FC" w:rsidP="00A840FC">
      <w:pPr>
        <w:numPr>
          <w:ilvl w:val="0"/>
          <w:numId w:val="21"/>
        </w:numPr>
        <w:spacing w:after="0" w:line="240" w:lineRule="auto"/>
        <w:ind w:left="567" w:hanging="567"/>
        <w:contextualSpacing/>
        <w:rPr>
          <w:rFonts w:ascii="Times New Roman" w:eastAsia="Arial Unicode MS" w:hAnsi="Times New Roman" w:cs="Times New Roman"/>
          <w:lang w:val="lt-LT"/>
        </w:rPr>
      </w:pPr>
      <w:r w:rsidRPr="00A840FC">
        <w:rPr>
          <w:rFonts w:ascii="Times New Roman" w:eastAsia="Arial Unicode MS" w:hAnsi="Times New Roman" w:cs="Times New Roman"/>
          <w:lang w:val="lt-LT"/>
        </w:rPr>
        <w:t>jeigu yra alergija kvetiapinui arba bet kuriai pagalbinei šio vaisto medžiagai (jos išvardytos 6 skyriuje);</w:t>
      </w:r>
    </w:p>
    <w:p w14:paraId="1B5729A0" w14:textId="77777777" w:rsidR="00A840FC" w:rsidRPr="00A840FC" w:rsidRDefault="00A840FC" w:rsidP="00A840FC">
      <w:pPr>
        <w:numPr>
          <w:ilvl w:val="0"/>
          <w:numId w:val="21"/>
        </w:numPr>
        <w:spacing w:after="0" w:line="240" w:lineRule="auto"/>
        <w:ind w:left="567" w:hanging="567"/>
        <w:contextualSpacing/>
        <w:rPr>
          <w:rFonts w:ascii="Times New Roman" w:eastAsia="Arial Unicode MS" w:hAnsi="Times New Roman" w:cs="Times New Roman"/>
          <w:lang w:val="lt-LT"/>
        </w:rPr>
      </w:pPr>
      <w:r w:rsidRPr="00A840FC">
        <w:rPr>
          <w:rFonts w:ascii="Times New Roman" w:eastAsia="Arial Unicode MS" w:hAnsi="Times New Roman" w:cs="Times New Roman"/>
          <w:lang w:val="lt-LT"/>
        </w:rPr>
        <w:t>jeigu vartojate bent vieną iš toliau išvardytų vaistų:</w:t>
      </w:r>
    </w:p>
    <w:p w14:paraId="79E4A1E2" w14:textId="77777777" w:rsidR="00A840FC" w:rsidRPr="00A840FC" w:rsidRDefault="00A840FC" w:rsidP="00A840FC">
      <w:pPr>
        <w:numPr>
          <w:ilvl w:val="0"/>
          <w:numId w:val="6"/>
        </w:numPr>
        <w:spacing w:after="0" w:line="240" w:lineRule="auto"/>
        <w:ind w:left="1134" w:hanging="567"/>
        <w:rPr>
          <w:rFonts w:ascii="Times New Roman" w:eastAsia="Arial Unicode MS" w:hAnsi="Times New Roman" w:cs="Times New Roman"/>
          <w:lang w:val="lt-LT"/>
        </w:rPr>
      </w:pPr>
      <w:r w:rsidRPr="00A840FC">
        <w:rPr>
          <w:rFonts w:ascii="Times New Roman" w:eastAsia="Arial Unicode MS" w:hAnsi="Times New Roman" w:cs="Times New Roman"/>
          <w:lang w:val="lt-LT"/>
        </w:rPr>
        <w:t>vaistų ŽIV infekcijai gydyti;</w:t>
      </w:r>
    </w:p>
    <w:p w14:paraId="5323553C" w14:textId="77777777" w:rsidR="00A840FC" w:rsidRPr="00A840FC" w:rsidRDefault="00A840FC" w:rsidP="00A840FC">
      <w:pPr>
        <w:numPr>
          <w:ilvl w:val="0"/>
          <w:numId w:val="6"/>
        </w:numPr>
        <w:spacing w:after="0" w:line="240" w:lineRule="auto"/>
        <w:ind w:left="1134" w:hanging="567"/>
        <w:rPr>
          <w:rFonts w:ascii="Times New Roman" w:eastAsia="Arial Unicode MS" w:hAnsi="Times New Roman" w:cs="Times New Roman"/>
          <w:lang w:val="lt-LT"/>
        </w:rPr>
      </w:pPr>
      <w:r w:rsidRPr="00A840FC">
        <w:rPr>
          <w:rFonts w:ascii="Times New Roman" w:eastAsia="Arial Unicode MS" w:hAnsi="Times New Roman" w:cs="Times New Roman"/>
          <w:lang w:val="lt-LT"/>
        </w:rPr>
        <w:t>azolo grupės vaistų (nuo grybelinių infekcinių ligų);</w:t>
      </w:r>
    </w:p>
    <w:p w14:paraId="0D89BBA3" w14:textId="77777777" w:rsidR="00A840FC" w:rsidRPr="00A840FC" w:rsidRDefault="00A840FC" w:rsidP="00A840FC">
      <w:pPr>
        <w:numPr>
          <w:ilvl w:val="0"/>
          <w:numId w:val="6"/>
        </w:numPr>
        <w:spacing w:after="0" w:line="240" w:lineRule="auto"/>
        <w:ind w:left="1134" w:hanging="567"/>
        <w:rPr>
          <w:rFonts w:ascii="Times New Roman" w:eastAsia="Arial Unicode MS" w:hAnsi="Times New Roman" w:cs="Times New Roman"/>
          <w:lang w:val="lt-LT"/>
        </w:rPr>
      </w:pPr>
      <w:r w:rsidRPr="00A840FC">
        <w:rPr>
          <w:rFonts w:ascii="Times New Roman" w:eastAsia="Arial Unicode MS" w:hAnsi="Times New Roman" w:cs="Times New Roman"/>
          <w:lang w:val="lt-LT"/>
        </w:rPr>
        <w:t>eritromicino arba klaritromicino (vaistų infekcinėms ligoms gydyti);</w:t>
      </w:r>
    </w:p>
    <w:p w14:paraId="77F011B6" w14:textId="77777777" w:rsidR="00A840FC" w:rsidRPr="00A840FC" w:rsidRDefault="00A840FC" w:rsidP="00A840FC">
      <w:pPr>
        <w:numPr>
          <w:ilvl w:val="0"/>
          <w:numId w:val="6"/>
        </w:numPr>
        <w:spacing w:after="0" w:line="240" w:lineRule="auto"/>
        <w:ind w:left="1134" w:hanging="567"/>
        <w:rPr>
          <w:rFonts w:ascii="Times New Roman" w:eastAsia="Arial Unicode MS" w:hAnsi="Times New Roman" w:cs="Times New Roman"/>
          <w:lang w:val="lt-LT"/>
        </w:rPr>
      </w:pPr>
      <w:r w:rsidRPr="00A840FC">
        <w:rPr>
          <w:rFonts w:ascii="Times New Roman" w:eastAsia="Arial Unicode MS" w:hAnsi="Times New Roman" w:cs="Times New Roman"/>
          <w:lang w:val="lt-LT"/>
        </w:rPr>
        <w:t>nefazodono (vaisto nuo depresijos).</w:t>
      </w:r>
    </w:p>
    <w:p w14:paraId="4FE4677B" w14:textId="77777777" w:rsidR="00A840FC" w:rsidRPr="00A840FC" w:rsidRDefault="00A840FC" w:rsidP="00A840FC">
      <w:pPr>
        <w:spacing w:after="0" w:line="240" w:lineRule="auto"/>
        <w:rPr>
          <w:rFonts w:ascii="Times New Roman" w:eastAsia="Arial Unicode MS" w:hAnsi="Times New Roman" w:cs="Times New Roman"/>
          <w:lang w:val="lt-LT"/>
        </w:rPr>
      </w:pPr>
    </w:p>
    <w:p w14:paraId="0862B6F9"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Jeigu kyla abejonių, prieš vartodami Ketipinor, kreipkitės į gydytoją arba vaistininką.</w:t>
      </w:r>
    </w:p>
    <w:p w14:paraId="4E122767" w14:textId="77777777" w:rsidR="00A840FC" w:rsidRPr="00A840FC" w:rsidRDefault="00A840FC" w:rsidP="00A840FC">
      <w:pPr>
        <w:spacing w:after="0" w:line="240" w:lineRule="auto"/>
        <w:rPr>
          <w:rFonts w:ascii="Times New Roman" w:eastAsia="Times New Roman" w:hAnsi="Times New Roman" w:cs="Times New Roman"/>
          <w:b/>
          <w:bCs/>
          <w:lang w:val="lt-LT"/>
        </w:rPr>
      </w:pPr>
    </w:p>
    <w:p w14:paraId="297E760F" w14:textId="77777777" w:rsidR="00A840FC" w:rsidRPr="00A840FC" w:rsidRDefault="00A840FC" w:rsidP="00A840FC">
      <w:pPr>
        <w:spacing w:after="0" w:line="240" w:lineRule="auto"/>
        <w:rPr>
          <w:rFonts w:ascii="Times New Roman" w:eastAsia="Times New Roman" w:hAnsi="Times New Roman" w:cs="Times New Roman"/>
          <w:b/>
          <w:bCs/>
          <w:lang w:val="lt-LT"/>
        </w:rPr>
      </w:pPr>
      <w:r w:rsidRPr="00A840FC">
        <w:rPr>
          <w:rFonts w:ascii="Times New Roman" w:eastAsia="Times New Roman" w:hAnsi="Times New Roman" w:cs="Times New Roman"/>
          <w:b/>
          <w:bCs/>
          <w:lang w:val="lt-LT"/>
        </w:rPr>
        <w:lastRenderedPageBreak/>
        <w:t>Įspėjimai ir atsargumo priemonės</w:t>
      </w:r>
    </w:p>
    <w:p w14:paraId="7383D68B" w14:textId="77777777" w:rsidR="00A840FC" w:rsidRPr="00A840FC" w:rsidRDefault="00A840FC" w:rsidP="00A840FC">
      <w:pPr>
        <w:spacing w:after="0" w:line="240" w:lineRule="auto"/>
        <w:rPr>
          <w:rFonts w:ascii="Times New Roman" w:eastAsia="Times New Roman" w:hAnsi="Times New Roman" w:cs="Times New Roman"/>
          <w:b/>
          <w:bCs/>
          <w:u w:val="single"/>
          <w:lang w:val="lt-LT"/>
        </w:rPr>
      </w:pPr>
    </w:p>
    <w:p w14:paraId="23CA7C12" w14:textId="77777777" w:rsidR="00A840FC" w:rsidRDefault="00A840FC" w:rsidP="00A840FC">
      <w:pPr>
        <w:tabs>
          <w:tab w:val="left" w:pos="360"/>
          <w:tab w:val="left" w:pos="567"/>
        </w:tabs>
        <w:spacing w:after="0" w:line="240" w:lineRule="auto"/>
        <w:rPr>
          <w:rFonts w:ascii="Times New Roman" w:eastAsia="Times New Roman" w:hAnsi="Times New Roman" w:cs="Times New Roman"/>
          <w:u w:val="single"/>
          <w:lang w:val="lt-LT"/>
        </w:rPr>
      </w:pPr>
      <w:r w:rsidRPr="00A840FC">
        <w:rPr>
          <w:rFonts w:ascii="Times New Roman" w:eastAsia="Times New Roman" w:hAnsi="Times New Roman" w:cs="Times New Roman"/>
          <w:u w:val="single"/>
          <w:lang w:val="lt-LT"/>
        </w:rPr>
        <w:t>Pasitarkite su gydytoju arba vaistininku prieš pradėdami vartoti Ketipinor, jeigu:</w:t>
      </w:r>
    </w:p>
    <w:p w14:paraId="0CA275CE" w14:textId="6C65D5AB" w:rsidR="00C75800" w:rsidRPr="006A2CAD" w:rsidRDefault="00C75800" w:rsidP="006A2CAD">
      <w:pPr>
        <w:pStyle w:val="Sraopastraipa"/>
        <w:numPr>
          <w:ilvl w:val="0"/>
          <w:numId w:val="28"/>
        </w:numPr>
        <w:tabs>
          <w:tab w:val="left" w:pos="567"/>
        </w:tabs>
        <w:ind w:left="567" w:hanging="567"/>
        <w:rPr>
          <w:rFonts w:eastAsia="Times New Roman"/>
        </w:rPr>
      </w:pPr>
      <w:r w:rsidRPr="006A2CAD">
        <w:rPr>
          <w:rFonts w:eastAsia="Times New Roman"/>
        </w:rPr>
        <w:t>sergate depresija arba turite kitą sutrikimą, gydomą antidepresantais. Šiuos vaistus vartojant kartu su Ketipinor gali išsivystyti serotonino sindromas – sutrikimas, galintis kelti pavojų gyvybei (žr. „Kiti vaistai ir Ketipinor“);</w:t>
      </w:r>
    </w:p>
    <w:p w14:paraId="2A0695D5" w14:textId="77777777" w:rsidR="00A840FC" w:rsidRPr="00A840FC" w:rsidRDefault="00A840FC" w:rsidP="00A840FC">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Jūs ar kas nors iš šeimos narių turi kokių nors širdies sutrikimų, pavyzdžiui, širdies ritmo sutrikimų, širdies raumens nusilpimas ar širdies uždegimas, arba jeigu vartojate vaistų, kurie gali daryti įtaką širdies susitraukimų dažniui;</w:t>
      </w:r>
    </w:p>
    <w:p w14:paraId="59AED74E" w14:textId="77777777" w:rsidR="00A840FC" w:rsidRPr="00A840FC" w:rsidRDefault="00A840FC" w:rsidP="00A840FC">
      <w:pPr>
        <w:numPr>
          <w:ilvl w:val="0"/>
          <w:numId w:val="8"/>
        </w:numPr>
        <w:tabs>
          <w:tab w:val="left" w:pos="567"/>
        </w:tabs>
        <w:spacing w:after="0" w:line="240" w:lineRule="auto"/>
        <w:ind w:hanging="720"/>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Jūsų žemas kraujospūdis;</w:t>
      </w:r>
    </w:p>
    <w:p w14:paraId="2386BDC1" w14:textId="77777777" w:rsidR="00A840FC" w:rsidRPr="00A840FC" w:rsidRDefault="00A840FC" w:rsidP="00A840FC">
      <w:pPr>
        <w:numPr>
          <w:ilvl w:val="0"/>
          <w:numId w:val="8"/>
        </w:numPr>
        <w:tabs>
          <w:tab w:val="left" w:pos="567"/>
        </w:tabs>
        <w:spacing w:after="0" w:line="240" w:lineRule="auto"/>
        <w:ind w:hanging="720"/>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Jums yra buvęs insultas (ypač, jeigu esate vyresnio amžiaus);</w:t>
      </w:r>
    </w:p>
    <w:p w14:paraId="032A569B"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turite kepenų veiklos sutrikimų;</w:t>
      </w:r>
    </w:p>
    <w:p w14:paraId="0A492259"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Jums kada nors yra buvę traukulių priepuolių;</w:t>
      </w:r>
    </w:p>
    <w:p w14:paraId="32B75FFD" w14:textId="77777777" w:rsidR="00A840FC" w:rsidRPr="00A840FC" w:rsidRDefault="00A840FC" w:rsidP="00A840FC">
      <w:pPr>
        <w:numPr>
          <w:ilvl w:val="0"/>
          <w:numId w:val="9"/>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sergate cukriniu diabetu arba yra padidėjęs diabeto atsiradimo pavojus. Tokiu atveju, kol vartojate Ketipinor, Jūsų gydytojas gali tikrini gliukozės kiekį kraujyje; </w:t>
      </w:r>
    </w:p>
    <w:p w14:paraId="3FEA4B76" w14:textId="77777777" w:rsidR="00A840FC" w:rsidRPr="00A840FC" w:rsidRDefault="00A840FC" w:rsidP="00A840FC">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žinote, kad Jums praeityje buvo nustatytas baltųjų kraujo kūnelių sumažėjimas (kuris galėjo atsirasti dėl kitų vaistų vartojimo);</w:t>
      </w:r>
    </w:p>
    <w:p w14:paraId="1A5DC14D" w14:textId="77777777" w:rsidR="00A840FC" w:rsidRPr="00A840FC" w:rsidRDefault="00A840FC" w:rsidP="00A840FC">
      <w:pPr>
        <w:numPr>
          <w:ilvl w:val="0"/>
          <w:numId w:val="9"/>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esate senyvas pacientas, sergantis Parkinsono liga (PL)/parkinsonizmu;</w:t>
      </w:r>
    </w:p>
    <w:p w14:paraId="19CD7773" w14:textId="77777777" w:rsidR="00A840FC" w:rsidRPr="00A840FC" w:rsidRDefault="00A840FC" w:rsidP="00A840FC">
      <w:pPr>
        <w:numPr>
          <w:ilvl w:val="0"/>
          <w:numId w:val="9"/>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Jūs esate senyvas pacientas, sergantis demencija (yra smegenų funkcijos susilpnėjimas). Tokiu atveju Ketipinor vartoti negalima, nes vartojant vaistus, kurių grupei priklauso Ketipinor, gali padidėti insulto pavojus, o senyviems pacientams, sergantiems demencija, kai kuriais atvejais ir mirties pavojus.</w:t>
      </w:r>
    </w:p>
    <w:p w14:paraId="7A6C2D66" w14:textId="77777777" w:rsidR="00A840FC" w:rsidRPr="00A840FC" w:rsidRDefault="00A840FC" w:rsidP="00A840FC">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Jums arba šeimos nariams yra buvę kraujo krešulių, kadangi tokie vaistai kaip šis yra susiję su krešulių susidarymu;</w:t>
      </w:r>
    </w:p>
    <w:p w14:paraId="23168BDB" w14:textId="77777777" w:rsidR="00A840FC" w:rsidRPr="00A840FC" w:rsidRDefault="00A840FC" w:rsidP="00A840FC">
      <w:pPr>
        <w:numPr>
          <w:ilvl w:val="0"/>
          <w:numId w:val="24"/>
        </w:numPr>
        <w:tabs>
          <w:tab w:val="left" w:pos="567"/>
        </w:tabs>
        <w:autoSpaceDE w:val="0"/>
        <w:autoSpaceDN w:val="0"/>
        <w:adjustRightInd w:val="0"/>
        <w:spacing w:after="0" w:line="240" w:lineRule="auto"/>
        <w:ind w:left="567" w:hanging="567"/>
        <w:contextualSpacing/>
        <w:rPr>
          <w:rFonts w:ascii="Times New Roman" w:eastAsia="Calibri" w:hAnsi="Times New Roman" w:cs="Times New Roman"/>
          <w:color w:val="000000"/>
          <w:lang w:val="lt-LT" w:eastAsia="lt-LT" w:bidi="lt-LT"/>
        </w:rPr>
      </w:pPr>
      <w:r w:rsidRPr="00A840FC">
        <w:rPr>
          <w:rFonts w:ascii="Times New Roman" w:eastAsia="Calibri" w:hAnsi="Times New Roman" w:cs="Times New Roman"/>
          <w:color w:val="000000"/>
          <w:lang w:val="lt-LT" w:eastAsia="lt-LT" w:bidi="lt-LT"/>
        </w:rPr>
        <w:t>Jums dabar yra arba anksčiau yra buvęs sutrikimas, kuris pasireiškia trumpomis kvėpavimo pauzėmis normalaus nakties miego metu (jis vadinamas miego apnėja), arba vartojate vaistų, slopinančių normalią smegenų veiklą (raminamųjų vaistų);</w:t>
      </w:r>
    </w:p>
    <w:p w14:paraId="33001651" w14:textId="77777777" w:rsidR="00A840FC" w:rsidRPr="00A840FC" w:rsidRDefault="00A840FC" w:rsidP="00A840FC">
      <w:pPr>
        <w:numPr>
          <w:ilvl w:val="0"/>
          <w:numId w:val="24"/>
        </w:numPr>
        <w:tabs>
          <w:tab w:val="left" w:pos="567"/>
        </w:tabs>
        <w:autoSpaceDE w:val="0"/>
        <w:autoSpaceDN w:val="0"/>
        <w:adjustRightInd w:val="0"/>
        <w:spacing w:after="0" w:line="240" w:lineRule="auto"/>
        <w:ind w:left="567" w:hanging="567"/>
        <w:contextualSpacing/>
        <w:rPr>
          <w:rFonts w:ascii="Times New Roman" w:eastAsia="Calibri" w:hAnsi="Times New Roman" w:cs="Times New Roman"/>
          <w:color w:val="000000"/>
          <w:lang w:val="lt-LT" w:eastAsia="lt-LT" w:bidi="lt-LT"/>
        </w:rPr>
      </w:pPr>
      <w:r w:rsidRPr="00A840FC">
        <w:rPr>
          <w:rFonts w:ascii="Times New Roman" w:eastAsia="Calibri" w:hAnsi="Times New Roman" w:cs="Times New Roman"/>
          <w:color w:val="000000"/>
          <w:lang w:val="lt-LT" w:eastAsia="lt-LT" w:bidi="lt-LT"/>
        </w:rPr>
        <w:t>Jums dabar yra arba anksčiau yra pasireiškęs sutrikimas, dėl kurio pilnai neišsituština šlapimo pūslė (jis vadinamas šlapimo susilaikymu), padidėjusi Jūsų prostata, užsikimšusios žarnos arba padidėjęs akispūdis. Tokių sutrikimų kartais sukelia vaistai, kurie yra vadinami anticholinerginiais, jie veikia nervų ląstelių funkciją ir todėl vartojami tam tikroms ligoms gydyti;</w:t>
      </w:r>
    </w:p>
    <w:p w14:paraId="2564FF63" w14:textId="77777777" w:rsidR="00A840FC" w:rsidRPr="00A840FC" w:rsidRDefault="00A840FC" w:rsidP="00A840FC">
      <w:pPr>
        <w:numPr>
          <w:ilvl w:val="0"/>
          <w:numId w:val="9"/>
        </w:numPr>
        <w:tabs>
          <w:tab w:val="left" w:pos="567"/>
        </w:tabs>
        <w:spacing w:after="0" w:line="240" w:lineRule="auto"/>
        <w:ind w:hanging="502"/>
        <w:contextualSpacing/>
        <w:rPr>
          <w:rFonts w:ascii="Times New Roman" w:eastAsia="Calibri" w:hAnsi="Times New Roman" w:cs="Times New Roman"/>
          <w:lang w:val="lt-LT"/>
        </w:rPr>
      </w:pPr>
      <w:r w:rsidRPr="00A840FC">
        <w:rPr>
          <w:rFonts w:ascii="Times New Roman" w:eastAsia="Calibri" w:hAnsi="Times New Roman" w:cs="Times New Roman"/>
          <w:lang w:val="lt-LT"/>
        </w:rPr>
        <w:t>Jums yra buvę problemų, susijusių su piktnaudžiavimu alkoholiu arba vaistais.</w:t>
      </w:r>
    </w:p>
    <w:p w14:paraId="2EA64A43" w14:textId="77777777" w:rsidR="00A840FC" w:rsidRPr="00A840FC" w:rsidRDefault="00A840FC" w:rsidP="00A840FC">
      <w:pPr>
        <w:tabs>
          <w:tab w:val="left" w:pos="360"/>
          <w:tab w:val="left" w:pos="567"/>
        </w:tabs>
        <w:spacing w:after="0" w:line="240" w:lineRule="auto"/>
        <w:rPr>
          <w:rFonts w:ascii="Times New Roman" w:eastAsia="Times New Roman" w:hAnsi="Times New Roman" w:cs="Times New Roman"/>
          <w:lang w:val="lt-LT"/>
        </w:rPr>
      </w:pPr>
    </w:p>
    <w:p w14:paraId="3C7BC940" w14:textId="77777777" w:rsidR="00A840FC" w:rsidRPr="00A840FC" w:rsidRDefault="00A840FC" w:rsidP="00A840FC">
      <w:pPr>
        <w:tabs>
          <w:tab w:val="left" w:pos="567"/>
        </w:tabs>
        <w:spacing w:after="0" w:line="240" w:lineRule="auto"/>
        <w:rPr>
          <w:rFonts w:ascii="Times New Roman" w:eastAsia="Times New Roman" w:hAnsi="Times New Roman" w:cs="Times New Roman"/>
          <w:u w:val="single"/>
          <w:lang w:val="lt-LT"/>
        </w:rPr>
      </w:pPr>
      <w:r w:rsidRPr="00A840FC">
        <w:rPr>
          <w:rFonts w:ascii="Times New Roman" w:eastAsia="Times New Roman" w:hAnsi="Times New Roman" w:cs="Times New Roman"/>
          <w:u w:val="single"/>
          <w:lang w:val="lt-LT"/>
        </w:rPr>
        <w:t>Nedelsiant pasakykite gydytojui, jeigu Jums pavartojus Ketipinor pasireiškia kuri nors iš toliau nurodytų būklių:</w:t>
      </w:r>
    </w:p>
    <w:p w14:paraId="73E47F14" w14:textId="77777777" w:rsidR="00A840FC" w:rsidRPr="00A840FC" w:rsidRDefault="00A840FC" w:rsidP="00A840FC">
      <w:pPr>
        <w:numPr>
          <w:ilvl w:val="0"/>
          <w:numId w:val="7"/>
        </w:numPr>
        <w:tabs>
          <w:tab w:val="clear" w:pos="360"/>
          <w:tab w:val="num" w:pos="0"/>
          <w:tab w:val="left" w:pos="567"/>
          <w:tab w:val="num" w:pos="2061"/>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karščiuojate ir tuo pačiu metu labai įtempti raumenys, prakaituojate arba sutrikusi Jūsų sąmonė (sutrikimas vadinamas piktybiniu neurolepsiniu sindromu). Tokiu atveju Jums reikia skubaus medicininio gydymo;</w:t>
      </w:r>
    </w:p>
    <w:p w14:paraId="1FEC1283" w14:textId="77777777" w:rsidR="00A840FC" w:rsidRPr="00A840FC" w:rsidRDefault="00A840FC" w:rsidP="00A840FC">
      <w:pPr>
        <w:numPr>
          <w:ilvl w:val="0"/>
          <w:numId w:val="7"/>
        </w:numPr>
        <w:tabs>
          <w:tab w:val="clear" w:pos="360"/>
          <w:tab w:val="num" w:pos="0"/>
          <w:tab w:val="left" w:pos="567"/>
          <w:tab w:val="num" w:pos="2061"/>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atsirado nevalingų judesių, daugiausia veido arba liežuvio;</w:t>
      </w:r>
    </w:p>
    <w:p w14:paraId="3E8EE2F6" w14:textId="77777777" w:rsidR="00A840FC" w:rsidRPr="00A840FC" w:rsidRDefault="00A840FC" w:rsidP="00A840FC">
      <w:pPr>
        <w:numPr>
          <w:ilvl w:val="0"/>
          <w:numId w:val="7"/>
        </w:numPr>
        <w:tabs>
          <w:tab w:val="clear" w:pos="360"/>
          <w:tab w:val="num" w:pos="0"/>
          <w:tab w:val="left" w:pos="567"/>
          <w:tab w:val="num" w:pos="2061"/>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jaučiate svaigulį arba didelį mieguistumą. Senyviems pacientams dėl to padidėja atsitiktinio susižeidimo (griuvimo) rizika;</w:t>
      </w:r>
    </w:p>
    <w:p w14:paraId="0AA5DA20" w14:textId="77777777" w:rsidR="00A840FC" w:rsidRPr="00A840FC" w:rsidRDefault="00A840FC" w:rsidP="00A840FC">
      <w:pPr>
        <w:numPr>
          <w:ilvl w:val="0"/>
          <w:numId w:val="7"/>
        </w:numPr>
        <w:tabs>
          <w:tab w:val="clear" w:pos="360"/>
          <w:tab w:val="num" w:pos="0"/>
          <w:tab w:val="left" w:pos="567"/>
          <w:tab w:val="num" w:pos="2061"/>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prasidėjo traukulių priepuoliai;</w:t>
      </w:r>
    </w:p>
    <w:p w14:paraId="17ADC08A" w14:textId="77777777" w:rsidR="00A840FC" w:rsidRPr="00A840FC" w:rsidRDefault="00A840FC" w:rsidP="00A840FC">
      <w:pPr>
        <w:numPr>
          <w:ilvl w:val="0"/>
          <w:numId w:val="7"/>
        </w:numPr>
        <w:tabs>
          <w:tab w:val="clear" w:pos="360"/>
          <w:tab w:val="num" w:pos="0"/>
          <w:tab w:val="left" w:pos="567"/>
          <w:tab w:val="num" w:pos="2061"/>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ilgai trunka ir skausminga erekcija (priapizmas);</w:t>
      </w:r>
    </w:p>
    <w:p w14:paraId="7FC02979" w14:textId="77777777" w:rsidR="00A840FC" w:rsidRPr="00A840FC" w:rsidRDefault="00A840FC" w:rsidP="00A840FC">
      <w:pPr>
        <w:numPr>
          <w:ilvl w:val="0"/>
          <w:numId w:val="7"/>
        </w:numPr>
        <w:tabs>
          <w:tab w:val="clear" w:pos="360"/>
          <w:tab w:val="num" w:pos="0"/>
          <w:tab w:val="left" w:pos="567"/>
          <w:tab w:val="num" w:pos="2061"/>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pasireiškia dažni ir nereguliarūs širdies susitraukimai, net ramybėje, širdies plakimo pojūtis, kvėpavimo sutrikimai, krūtinės skausmas arba nepaaiškinamas nuovargis. Gydytojas turės patikrinti Jūsų širdį ir prireikus nedelsdamas nukreips kardiologo konsultacijai.</w:t>
      </w:r>
    </w:p>
    <w:p w14:paraId="0A0401C5"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p>
    <w:p w14:paraId="56C48AF4" w14:textId="15E15180"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Tokia būklė gali atsirasti, dėl šios grupės vaistų vartojimo.</w:t>
      </w:r>
    </w:p>
    <w:p w14:paraId="4D1388CF" w14:textId="77777777" w:rsidR="00A840FC" w:rsidRPr="00A840FC" w:rsidRDefault="00A840FC" w:rsidP="00A840FC">
      <w:pPr>
        <w:numPr>
          <w:ilvl w:val="12"/>
          <w:numId w:val="0"/>
        </w:numPr>
        <w:spacing w:after="0" w:line="240" w:lineRule="auto"/>
        <w:ind w:left="567" w:hanging="567"/>
        <w:rPr>
          <w:rFonts w:ascii="Times New Roman" w:eastAsia="Times New Roman" w:hAnsi="Times New Roman" w:cs="Times New Roman"/>
          <w:lang w:val="lt-LT"/>
        </w:rPr>
      </w:pPr>
    </w:p>
    <w:p w14:paraId="017442B2" w14:textId="77777777" w:rsidR="00A840FC" w:rsidRPr="00A840FC" w:rsidRDefault="00A840FC" w:rsidP="00A840FC">
      <w:pPr>
        <w:autoSpaceDE w:val="0"/>
        <w:autoSpaceDN w:val="0"/>
        <w:adjustRightInd w:val="0"/>
        <w:spacing w:after="0" w:line="240" w:lineRule="auto"/>
        <w:rPr>
          <w:rFonts w:ascii="Times New Roman" w:eastAsia="Calibri" w:hAnsi="Times New Roman" w:cs="Times New Roman"/>
          <w:lang w:val="lt-LT" w:eastAsia="lt-LT" w:bidi="lt-LT"/>
        </w:rPr>
      </w:pPr>
      <w:r w:rsidRPr="00A840FC">
        <w:rPr>
          <w:rFonts w:ascii="Times New Roman" w:eastAsia="Calibri" w:hAnsi="Times New Roman" w:cs="Times New Roman"/>
          <w:lang w:val="lt-LT" w:eastAsia="lt-LT" w:bidi="lt-LT"/>
        </w:rPr>
        <w:t>Kiek įmanoma greičiau praneškite gydytojui, jei Jums pasireiškė:</w:t>
      </w:r>
    </w:p>
    <w:p w14:paraId="642F63CE" w14:textId="77777777" w:rsidR="00A840FC" w:rsidRPr="00A840FC" w:rsidRDefault="00A840FC" w:rsidP="00A840FC">
      <w:pPr>
        <w:numPr>
          <w:ilvl w:val="0"/>
          <w:numId w:val="22"/>
        </w:numPr>
        <w:tabs>
          <w:tab w:val="left" w:pos="720"/>
        </w:tabs>
        <w:spacing w:after="0" w:line="240" w:lineRule="auto"/>
        <w:ind w:left="567" w:hanging="567"/>
        <w:rPr>
          <w:rFonts w:ascii="Times New Roman" w:eastAsia="Times New Roman" w:hAnsi="Times New Roman" w:cs="Times New Roman"/>
          <w:lang w:val="lt-LT" w:eastAsia="lt-LT" w:bidi="lt-LT"/>
        </w:rPr>
      </w:pPr>
      <w:r w:rsidRPr="00A840FC">
        <w:rPr>
          <w:rFonts w:ascii="Times New Roman" w:eastAsia="Times New Roman" w:hAnsi="Times New Roman" w:cs="Times New Roman"/>
          <w:lang w:val="lt-LT" w:eastAsia="lt-LT" w:bidi="lt-LT"/>
        </w:rPr>
        <w:t>karščiavimas, į gripą panašūs simptomai, gerklės skausmas ar bet kokia kita infekcija, kadangi toks poveikis gali pasireikšti dėl labai mažo baltųjų kraujo ląstelių kiekio ir gali tekti sustabdyti Ketipinor vartojimą ir (arba) skirti gydymą;</w:t>
      </w:r>
    </w:p>
    <w:p w14:paraId="0914B812" w14:textId="77777777" w:rsidR="00A840FC" w:rsidRPr="00A840FC" w:rsidRDefault="00A840FC" w:rsidP="00A840FC">
      <w:pPr>
        <w:numPr>
          <w:ilvl w:val="0"/>
          <w:numId w:val="22"/>
        </w:numPr>
        <w:tabs>
          <w:tab w:val="left" w:pos="720"/>
        </w:tabs>
        <w:spacing w:after="0" w:line="240" w:lineRule="auto"/>
        <w:ind w:left="567" w:hanging="567"/>
        <w:rPr>
          <w:rFonts w:ascii="Times New Roman" w:eastAsia="Times New Roman" w:hAnsi="Times New Roman" w:cs="Times New Roman"/>
          <w:lang w:val="lt-LT" w:eastAsia="lt-LT" w:bidi="lt-LT"/>
        </w:rPr>
      </w:pPr>
      <w:r w:rsidRPr="00A840FC">
        <w:rPr>
          <w:rFonts w:ascii="Times New Roman" w:eastAsia="Times New Roman" w:hAnsi="Times New Roman" w:cs="Times New Roman"/>
          <w:lang w:val="lt-LT" w:eastAsia="lt-LT" w:bidi="lt-LT"/>
        </w:rPr>
        <w:lastRenderedPageBreak/>
        <w:t>vidurių užkietėjimas kartu su nuolatiniu pilvo skausmu arba į gydymą nereaguojantis vidurių užkietėjimas, kadangi tai gali sukelti sunkesnį žarnyno užsikimšimą.</w:t>
      </w:r>
    </w:p>
    <w:p w14:paraId="7AE64E7F" w14:textId="77777777" w:rsidR="00A840FC" w:rsidRPr="00A840FC" w:rsidRDefault="00A840FC" w:rsidP="00A840FC">
      <w:pPr>
        <w:tabs>
          <w:tab w:val="left" w:pos="360"/>
          <w:tab w:val="left" w:pos="567"/>
        </w:tabs>
        <w:spacing w:after="0" w:line="240" w:lineRule="auto"/>
        <w:rPr>
          <w:rFonts w:ascii="Times New Roman" w:eastAsia="Times New Roman" w:hAnsi="Times New Roman" w:cs="Times New Roman"/>
          <w:lang w:val="lt-LT"/>
        </w:rPr>
      </w:pPr>
    </w:p>
    <w:p w14:paraId="705E54AC" w14:textId="77777777" w:rsidR="00A840FC" w:rsidRPr="00A840FC" w:rsidRDefault="00A840FC" w:rsidP="00A840FC">
      <w:pPr>
        <w:keepNext/>
        <w:keepLines/>
        <w:tabs>
          <w:tab w:val="left" w:pos="567"/>
        </w:tabs>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b/>
          <w:lang w:val="lt-LT"/>
        </w:rPr>
        <w:t xml:space="preserve">Mintys apie savižudybę ir depresijos pasunkėjimas </w:t>
      </w:r>
    </w:p>
    <w:p w14:paraId="6DE3321C" w14:textId="77777777" w:rsidR="00A840FC" w:rsidRPr="00A840FC" w:rsidRDefault="00A840FC" w:rsidP="00A840FC">
      <w:pPr>
        <w:keepNext/>
        <w:keepLines/>
        <w:tabs>
          <w:tab w:val="left" w:pos="567"/>
        </w:tabs>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Jeigu Jums yra depresija, kartais gali atsirasti minčių apie savęs žalojimą arbą savižudybę. Pirmą kartą pradedant gydymą tokių minčių gali padaugėti, nes visiems šiems vaistams reikia laiko, įprastai dviejų savaičių, tačiau kartais ir ilgiau, kol pasireikš jų poveikis. Tokių minčių tikimybė yra didesnė ir staiga nutraukus vaisto vartojimą. Jauniems suaugusiems tokių minčių atsiradimo tikimybė yra didesnė. Klinikinių tyrimų metu gauti duomenys parodė, kad sergantiems depresija jaunesniems kaip 25 metų amžiaus suaugusiems minčių apie savižudybę arba savižudiško elgesio pavojus yra didesnis. </w:t>
      </w:r>
    </w:p>
    <w:p w14:paraId="40063E1A" w14:textId="77777777" w:rsidR="00A840FC" w:rsidRPr="00A840FC" w:rsidRDefault="00A840FC" w:rsidP="00A840FC">
      <w:pPr>
        <w:tabs>
          <w:tab w:val="left" w:pos="567"/>
        </w:tabs>
        <w:autoSpaceDE w:val="0"/>
        <w:autoSpaceDN w:val="0"/>
        <w:adjustRightInd w:val="0"/>
        <w:spacing w:after="0" w:line="240" w:lineRule="auto"/>
        <w:rPr>
          <w:rFonts w:ascii="Times New Roman" w:eastAsia="Times New Roman" w:hAnsi="Times New Roman" w:cs="Times New Roman"/>
          <w:lang w:val="lt-LT"/>
        </w:rPr>
      </w:pPr>
    </w:p>
    <w:p w14:paraId="4A8954DE" w14:textId="77777777" w:rsidR="00A840FC" w:rsidRPr="00A840FC" w:rsidRDefault="00A840FC" w:rsidP="00A840FC">
      <w:pPr>
        <w:tabs>
          <w:tab w:val="left" w:pos="567"/>
        </w:tabs>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Jeigu Jums bet kuriuo metu atsirado minčių apie savęs žalojimą arba savižudybę, iš karto kreipkitės į gydytoją arba vykite į artimiausią ligoninę. Jums gali būti naudinga pasakyti draugui arba giminaičiui, jog sergate depresija ir paprašyti jų perskaityti šį pakuotės lapelį. Galite jų paprašyti, kad pasakytų, jeigu jiems pasirodys, kad Jūsų depresija pasunkėjo arba jiems tapo neramu dėl Jūsų elgesio pokyčių.</w:t>
      </w:r>
    </w:p>
    <w:p w14:paraId="1189B84B" w14:textId="77777777" w:rsidR="00A840FC" w:rsidRPr="00A840FC" w:rsidRDefault="00A840FC" w:rsidP="00A840FC">
      <w:pPr>
        <w:tabs>
          <w:tab w:val="left" w:pos="360"/>
          <w:tab w:val="left" w:pos="567"/>
        </w:tabs>
        <w:spacing w:after="0" w:line="240" w:lineRule="auto"/>
        <w:rPr>
          <w:rFonts w:ascii="Times New Roman" w:eastAsia="Times New Roman" w:hAnsi="Times New Roman" w:cs="Times New Roman"/>
          <w:lang w:val="lt-LT"/>
        </w:rPr>
      </w:pPr>
    </w:p>
    <w:p w14:paraId="6B6FE172" w14:textId="77777777" w:rsidR="00A840FC" w:rsidRPr="00A840FC" w:rsidRDefault="00A840FC" w:rsidP="00A840FC">
      <w:pPr>
        <w:tabs>
          <w:tab w:val="left" w:pos="360"/>
          <w:tab w:val="left" w:pos="567"/>
        </w:tabs>
        <w:spacing w:after="0" w:line="240" w:lineRule="auto"/>
        <w:rPr>
          <w:rFonts w:ascii="Times New Roman" w:eastAsia="Times New Roman" w:hAnsi="Times New Roman" w:cs="Times New Roman"/>
          <w:b/>
          <w:bCs/>
          <w:lang w:val="lt-LT"/>
        </w:rPr>
      </w:pPr>
      <w:r w:rsidRPr="00A840FC">
        <w:rPr>
          <w:rFonts w:ascii="Times New Roman" w:eastAsia="Times New Roman" w:hAnsi="Times New Roman" w:cs="Times New Roman"/>
          <w:b/>
          <w:bCs/>
          <w:lang w:val="lt-LT"/>
        </w:rPr>
        <w:t>Sunkios nepageidaujamos odos reakcijos (SNOR)</w:t>
      </w:r>
    </w:p>
    <w:p w14:paraId="3E28C834" w14:textId="77777777" w:rsidR="00A840FC" w:rsidRPr="00A840FC" w:rsidRDefault="00A840FC" w:rsidP="00A840FC">
      <w:pPr>
        <w:tabs>
          <w:tab w:val="left" w:pos="360"/>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Labai retai pranešta apie vartojant šį vaistą pasireiškusias sunkias nepageidaujamas odos reakcijas (SNOR), kurios gali būti pavojingos gyvybei ar mirtinos. Jos dažniausiai pasireiškia kaip:</w:t>
      </w:r>
    </w:p>
    <w:p w14:paraId="3D953B0C" w14:textId="77777777" w:rsidR="00A840FC" w:rsidRPr="00A840FC" w:rsidRDefault="00A840FC" w:rsidP="00A840FC">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Stivenso ir Džonsono (</w:t>
      </w:r>
      <w:r w:rsidRPr="00A840FC">
        <w:rPr>
          <w:rFonts w:ascii="Times New Roman" w:eastAsia="Times New Roman" w:hAnsi="Times New Roman" w:cs="Times New Roman"/>
          <w:i/>
          <w:iCs/>
          <w:lang w:val="lt-LT"/>
        </w:rPr>
        <w:t>Stevens-Johnson</w:t>
      </w:r>
      <w:r w:rsidRPr="00A840FC">
        <w:rPr>
          <w:rFonts w:ascii="Times New Roman" w:eastAsia="Times New Roman" w:hAnsi="Times New Roman" w:cs="Times New Roman"/>
          <w:lang w:val="lt-LT"/>
        </w:rPr>
        <w:t>) sindromas, t. y. išplitęs odos išbėrimas su pūslėmis ir lupimusi, ypač aplink burną, nosį, akis ir lytinius organus;</w:t>
      </w:r>
    </w:p>
    <w:p w14:paraId="21071221" w14:textId="77777777" w:rsidR="00A840FC" w:rsidRPr="00A840FC" w:rsidRDefault="00A840FC" w:rsidP="00A840FC">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toksinė epidermio nekrolizė (TEN) – sunkesnė forma, sukelianti išplitusį odos lupimąsi;</w:t>
      </w:r>
    </w:p>
    <w:p w14:paraId="274F3C81" w14:textId="00005BDE" w:rsidR="00A840FC" w:rsidRDefault="00A840FC" w:rsidP="00A840FC">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reakcija į vaistą su eozinofilija ir sisteminiais simptomais (</w:t>
      </w:r>
      <w:r w:rsidRPr="00A840FC">
        <w:rPr>
          <w:rFonts w:ascii="Times New Roman" w:eastAsia="Times New Roman" w:hAnsi="Times New Roman" w:cs="Times New Roman"/>
          <w:i/>
          <w:iCs/>
          <w:lang w:val="lt-LT"/>
        </w:rPr>
        <w:t>DRESS</w:t>
      </w:r>
      <w:r w:rsidRPr="00A840FC">
        <w:rPr>
          <w:rFonts w:ascii="Times New Roman" w:eastAsia="Times New Roman" w:hAnsi="Times New Roman" w:cs="Times New Roman"/>
          <w:lang w:val="lt-LT"/>
        </w:rPr>
        <w:t>), kai atsiranda į gripą panašių simptomų su išbėrimu, karščiavimu, liaukų patinimu ir nenormaliais kraujo tyrimų rezultatais (įskaitant baltųjų kraujo ląstelių kiekio padidėjimą (eozinofiliją) ir kepenų fermentų suaktyvėjimą)</w:t>
      </w:r>
      <w:r w:rsidR="00DF1A9C">
        <w:rPr>
          <w:rFonts w:ascii="Times New Roman" w:eastAsia="Times New Roman" w:hAnsi="Times New Roman" w:cs="Times New Roman"/>
          <w:lang w:val="lt-LT"/>
        </w:rPr>
        <w:t>;</w:t>
      </w:r>
    </w:p>
    <w:p w14:paraId="503D9DDC" w14:textId="11F15DDB" w:rsidR="00DF1A9C" w:rsidRDefault="00DF1A9C" w:rsidP="00DF1A9C">
      <w:pPr>
        <w:pStyle w:val="Sraopastraipa"/>
        <w:numPr>
          <w:ilvl w:val="0"/>
          <w:numId w:val="22"/>
        </w:numPr>
        <w:tabs>
          <w:tab w:val="left" w:pos="567"/>
        </w:tabs>
        <w:ind w:left="567" w:hanging="567"/>
        <w:rPr>
          <w:rFonts w:eastAsia="Times New Roman"/>
        </w:rPr>
      </w:pPr>
      <w:r w:rsidRPr="00DF1A9C">
        <w:rPr>
          <w:rFonts w:eastAsia="Times New Roman"/>
        </w:rPr>
        <w:t>ūmin</w:t>
      </w:r>
      <w:r>
        <w:rPr>
          <w:rFonts w:eastAsia="Times New Roman"/>
        </w:rPr>
        <w:t>ė</w:t>
      </w:r>
      <w:r w:rsidRPr="00DF1A9C">
        <w:rPr>
          <w:rFonts w:eastAsia="Times New Roman"/>
        </w:rPr>
        <w:t xml:space="preserve"> generalizuot</w:t>
      </w:r>
      <w:r>
        <w:rPr>
          <w:rFonts w:eastAsia="Times New Roman"/>
        </w:rPr>
        <w:t>a</w:t>
      </w:r>
      <w:r w:rsidRPr="00DF1A9C">
        <w:rPr>
          <w:rFonts w:eastAsia="Times New Roman"/>
        </w:rPr>
        <w:t xml:space="preserve"> egzantemin</w:t>
      </w:r>
      <w:r>
        <w:rPr>
          <w:rFonts w:eastAsia="Times New Roman"/>
        </w:rPr>
        <w:t>ė</w:t>
      </w:r>
      <w:r w:rsidRPr="00DF1A9C">
        <w:rPr>
          <w:rFonts w:eastAsia="Times New Roman"/>
        </w:rPr>
        <w:t xml:space="preserve"> pustulioz</w:t>
      </w:r>
      <w:r>
        <w:rPr>
          <w:rFonts w:eastAsia="Times New Roman"/>
        </w:rPr>
        <w:t>ė</w:t>
      </w:r>
      <w:r w:rsidRPr="00DF1A9C">
        <w:rPr>
          <w:rFonts w:eastAsia="Times New Roman"/>
        </w:rPr>
        <w:t xml:space="preserve"> (AGEP),</w:t>
      </w:r>
      <w:r>
        <w:rPr>
          <w:rFonts w:eastAsia="Times New Roman"/>
        </w:rPr>
        <w:t xml:space="preserve"> mažos pūlingos pūslelės;</w:t>
      </w:r>
    </w:p>
    <w:p w14:paraId="73AA4A0F" w14:textId="2D4210B7" w:rsidR="00DF1A9C" w:rsidRPr="001E0791" w:rsidRDefault="00DF1A9C" w:rsidP="001E0791">
      <w:pPr>
        <w:pStyle w:val="Sraopastraipa"/>
        <w:numPr>
          <w:ilvl w:val="0"/>
          <w:numId w:val="22"/>
        </w:numPr>
        <w:tabs>
          <w:tab w:val="left" w:pos="567"/>
        </w:tabs>
        <w:ind w:left="567" w:hanging="567"/>
        <w:rPr>
          <w:rFonts w:eastAsia="Times New Roman"/>
        </w:rPr>
      </w:pPr>
      <w:r>
        <w:rPr>
          <w:rFonts w:eastAsia="Times New Roman"/>
        </w:rPr>
        <w:t>daugiaformė raudonė (</w:t>
      </w:r>
      <w:r w:rsidR="00765952" w:rsidRPr="001E0791">
        <w:rPr>
          <w:rFonts w:eastAsia="Times New Roman"/>
          <w:i/>
          <w:iCs/>
        </w:rPr>
        <w:t>erythema multiforme</w:t>
      </w:r>
      <w:r w:rsidR="00765952" w:rsidRPr="00765952">
        <w:rPr>
          <w:rFonts w:eastAsia="Times New Roman"/>
        </w:rPr>
        <w:t>, EM</w:t>
      </w:r>
      <w:r>
        <w:rPr>
          <w:rFonts w:eastAsia="Times New Roman"/>
        </w:rPr>
        <w:t xml:space="preserve">), </w:t>
      </w:r>
      <w:r w:rsidRPr="00DF1A9C">
        <w:rPr>
          <w:rFonts w:eastAsia="Times New Roman"/>
        </w:rPr>
        <w:t xml:space="preserve">odos </w:t>
      </w:r>
      <w:r>
        <w:rPr>
          <w:rFonts w:eastAsia="Times New Roman"/>
        </w:rPr>
        <w:t>iš</w:t>
      </w:r>
      <w:r w:rsidRPr="00DF1A9C">
        <w:rPr>
          <w:rFonts w:eastAsia="Times New Roman"/>
        </w:rPr>
        <w:t>bėrimas su niežtinčiomis</w:t>
      </w:r>
      <w:r>
        <w:rPr>
          <w:rFonts w:eastAsia="Times New Roman"/>
        </w:rPr>
        <w:t>,</w:t>
      </w:r>
      <w:r w:rsidRPr="00DF1A9C">
        <w:rPr>
          <w:rFonts w:eastAsia="Times New Roman"/>
        </w:rPr>
        <w:t xml:space="preserve"> </w:t>
      </w:r>
      <w:r>
        <w:rPr>
          <w:rFonts w:eastAsia="Times New Roman"/>
        </w:rPr>
        <w:t xml:space="preserve">raudonos spalvos, </w:t>
      </w:r>
      <w:r w:rsidR="00D77851">
        <w:rPr>
          <w:rFonts w:eastAsia="Times New Roman"/>
        </w:rPr>
        <w:t>nevienodomis</w:t>
      </w:r>
      <w:r w:rsidRPr="00DF1A9C">
        <w:rPr>
          <w:rFonts w:eastAsia="Times New Roman"/>
        </w:rPr>
        <w:t xml:space="preserve"> dėmėmis</w:t>
      </w:r>
      <w:r>
        <w:rPr>
          <w:rFonts w:eastAsia="Times New Roman"/>
        </w:rPr>
        <w:t>.</w:t>
      </w:r>
    </w:p>
    <w:p w14:paraId="25D0E367" w14:textId="77777777" w:rsidR="00A840FC" w:rsidRPr="00A840FC" w:rsidRDefault="00A840FC" w:rsidP="00A840FC">
      <w:pPr>
        <w:tabs>
          <w:tab w:val="left" w:pos="360"/>
          <w:tab w:val="left" w:pos="567"/>
        </w:tabs>
        <w:spacing w:after="0" w:line="240" w:lineRule="auto"/>
        <w:rPr>
          <w:rFonts w:ascii="Times New Roman" w:eastAsia="Times New Roman" w:hAnsi="Times New Roman" w:cs="Times New Roman"/>
          <w:lang w:val="lt-LT"/>
        </w:rPr>
      </w:pPr>
    </w:p>
    <w:p w14:paraId="59B0A548" w14:textId="77777777" w:rsidR="00A840FC" w:rsidRPr="00A840FC" w:rsidRDefault="00A840FC" w:rsidP="00A840FC">
      <w:pPr>
        <w:tabs>
          <w:tab w:val="left" w:pos="360"/>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Jei Jums atsiranda tokių simptomų, nutraukite Ketipinor vartojimą ir nedelsdami kreipkitės į gydytoją arba medicininės pagalbos.</w:t>
      </w:r>
    </w:p>
    <w:p w14:paraId="68C1A434" w14:textId="77777777" w:rsidR="00A840FC" w:rsidRPr="00A840FC" w:rsidRDefault="00A840FC" w:rsidP="00A840FC">
      <w:pPr>
        <w:tabs>
          <w:tab w:val="left" w:pos="360"/>
          <w:tab w:val="left" w:pos="567"/>
        </w:tabs>
        <w:spacing w:after="0" w:line="240" w:lineRule="auto"/>
        <w:rPr>
          <w:rFonts w:ascii="Times New Roman" w:eastAsia="Times New Roman" w:hAnsi="Times New Roman" w:cs="Times New Roman"/>
          <w:lang w:val="lt-LT"/>
        </w:rPr>
      </w:pPr>
    </w:p>
    <w:p w14:paraId="67C5520E" w14:textId="77777777" w:rsidR="00A840FC" w:rsidRPr="00A840FC" w:rsidRDefault="00A840FC" w:rsidP="00A840FC">
      <w:pPr>
        <w:tabs>
          <w:tab w:val="left" w:pos="567"/>
        </w:tabs>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b/>
          <w:lang w:val="lt-LT"/>
        </w:rPr>
        <w:t>Kūno svorio padidėjimas</w:t>
      </w:r>
    </w:p>
    <w:p w14:paraId="17E9C3E5" w14:textId="77777777" w:rsidR="00A840FC" w:rsidRPr="00A840FC" w:rsidRDefault="00A840FC" w:rsidP="00A840FC">
      <w:pPr>
        <w:tabs>
          <w:tab w:val="left" w:pos="360"/>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Pacientams vartojantiems Ketipinor pastebėtas svorio augimas. Jūs ir gydytojas turėtų reguliariai tikrinti Jūsų kūno svorį.</w:t>
      </w:r>
    </w:p>
    <w:p w14:paraId="7E0CF5BD" w14:textId="77777777" w:rsidR="00A840FC" w:rsidRPr="00A840FC" w:rsidRDefault="00A840FC" w:rsidP="00A840FC">
      <w:pPr>
        <w:tabs>
          <w:tab w:val="left" w:pos="360"/>
          <w:tab w:val="left" w:pos="567"/>
        </w:tabs>
        <w:spacing w:after="0" w:line="240" w:lineRule="auto"/>
        <w:rPr>
          <w:rFonts w:ascii="Times New Roman" w:eastAsia="Times New Roman" w:hAnsi="Times New Roman" w:cs="Times New Roman"/>
          <w:lang w:val="lt-LT"/>
        </w:rPr>
      </w:pPr>
    </w:p>
    <w:p w14:paraId="523C53C9" w14:textId="77777777" w:rsidR="00A840FC" w:rsidRPr="00A840FC" w:rsidRDefault="00A840FC" w:rsidP="00A840FC">
      <w:pPr>
        <w:tabs>
          <w:tab w:val="left" w:pos="567"/>
        </w:tabs>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b/>
          <w:lang w:val="lt-LT"/>
        </w:rPr>
        <w:t>Vaikams ir paaugliams</w:t>
      </w:r>
    </w:p>
    <w:p w14:paraId="6F67373C"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Ketipinor nėra skirtas vartoti vaikams ir jaunesniems nei 18 metų amžiaus paaugliams.</w:t>
      </w:r>
    </w:p>
    <w:p w14:paraId="65BEE43E" w14:textId="77777777" w:rsidR="00A840FC" w:rsidRPr="00A840FC" w:rsidRDefault="00A840FC" w:rsidP="00A840FC">
      <w:pPr>
        <w:tabs>
          <w:tab w:val="left" w:pos="360"/>
          <w:tab w:val="left" w:pos="567"/>
        </w:tabs>
        <w:spacing w:after="0" w:line="240" w:lineRule="auto"/>
        <w:rPr>
          <w:rFonts w:ascii="Times New Roman" w:eastAsia="Times New Roman" w:hAnsi="Times New Roman" w:cs="Times New Roman"/>
          <w:lang w:val="lt-LT"/>
        </w:rPr>
      </w:pPr>
    </w:p>
    <w:p w14:paraId="67470AA5" w14:textId="77777777" w:rsidR="00A840FC" w:rsidRPr="00A840FC" w:rsidRDefault="00A840FC" w:rsidP="00A840FC">
      <w:pPr>
        <w:spacing w:after="0" w:line="240" w:lineRule="auto"/>
        <w:rPr>
          <w:rFonts w:ascii="Times New Roman" w:eastAsia="Times New Roman" w:hAnsi="Times New Roman" w:cs="Times New Roman"/>
          <w:b/>
          <w:bCs/>
          <w:lang w:val="lt-LT"/>
        </w:rPr>
      </w:pPr>
      <w:r w:rsidRPr="00A840FC">
        <w:rPr>
          <w:rFonts w:ascii="Times New Roman" w:eastAsia="Times New Roman" w:hAnsi="Times New Roman" w:cs="Times New Roman"/>
          <w:b/>
          <w:bCs/>
          <w:lang w:val="lt-LT"/>
        </w:rPr>
        <w:t>Kiti vaistai ir Ketipinor</w:t>
      </w:r>
    </w:p>
    <w:p w14:paraId="2B7039E7"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Jeigu vartojate ar neseniai vartojote kitų vaistų</w:t>
      </w:r>
      <w:r w:rsidRPr="00A840FC">
        <w:rPr>
          <w:rFonts w:ascii="Times New Roman" w:eastAsia="Times New Roman" w:hAnsi="Times New Roman" w:cs="Times New Roman"/>
          <w:snapToGrid w:val="0"/>
          <w:lang w:val="lt-LT"/>
        </w:rPr>
        <w:t xml:space="preserve"> </w:t>
      </w:r>
      <w:r w:rsidRPr="00A840FC">
        <w:rPr>
          <w:rFonts w:ascii="Times New Roman" w:eastAsia="Arial Unicode MS" w:hAnsi="Times New Roman" w:cs="Times New Roman"/>
          <w:lang w:val="lt-LT"/>
        </w:rPr>
        <w:t>arba dėl to nesate tikri, apie tai pasakykite gydytojui arba vaistininkui.</w:t>
      </w:r>
    </w:p>
    <w:p w14:paraId="463051DF" w14:textId="77777777" w:rsidR="00082DEE" w:rsidRPr="00A840FC" w:rsidRDefault="00082DEE" w:rsidP="00A840FC">
      <w:pPr>
        <w:spacing w:after="0" w:line="240" w:lineRule="auto"/>
        <w:rPr>
          <w:rFonts w:ascii="Times New Roman" w:eastAsia="Times New Roman" w:hAnsi="Times New Roman" w:cs="Times New Roman"/>
          <w:lang w:val="lt-LT"/>
        </w:rPr>
      </w:pPr>
    </w:p>
    <w:p w14:paraId="01FC2EE5" w14:textId="77777777" w:rsidR="00A840FC" w:rsidRPr="00A840FC" w:rsidRDefault="00A840FC" w:rsidP="00A840FC">
      <w:pPr>
        <w:numPr>
          <w:ilvl w:val="12"/>
          <w:numId w:val="0"/>
        </w:numPr>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Nevartokite Ketipinor, jei vartojate bet kurį iš šių vaistų:</w:t>
      </w:r>
    </w:p>
    <w:p w14:paraId="429FC3A9" w14:textId="77777777" w:rsidR="00A840FC" w:rsidRPr="00A840FC" w:rsidRDefault="00A840FC" w:rsidP="00D2664A">
      <w:pPr>
        <w:numPr>
          <w:ilvl w:val="0"/>
          <w:numId w:val="9"/>
        </w:numPr>
        <w:tabs>
          <w:tab w:val="left" w:pos="567"/>
        </w:tabs>
        <w:spacing w:after="0" w:line="240" w:lineRule="auto"/>
        <w:ind w:hanging="502"/>
        <w:rPr>
          <w:rFonts w:ascii="Times New Roman" w:eastAsia="Times New Roman" w:hAnsi="Times New Roman" w:cs="Times New Roman"/>
          <w:lang w:val="lt-LT"/>
        </w:rPr>
      </w:pPr>
      <w:r w:rsidRPr="00A840FC">
        <w:rPr>
          <w:rFonts w:ascii="Times New Roman" w:eastAsia="Times New Roman" w:hAnsi="Times New Roman" w:cs="Times New Roman"/>
          <w:lang w:val="lt-LT"/>
        </w:rPr>
        <w:t>kai kurių vaistų nuo ŽIV;</w:t>
      </w:r>
    </w:p>
    <w:p w14:paraId="0621F448" w14:textId="77777777" w:rsidR="00A840FC" w:rsidRPr="00A840FC" w:rsidRDefault="00A840FC" w:rsidP="00D2664A">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azolo grupės vaistų (nuo grybelinių infekcinių ligų);</w:t>
      </w:r>
    </w:p>
    <w:p w14:paraId="5FA51604" w14:textId="77777777" w:rsidR="00A840FC" w:rsidRPr="00A840FC" w:rsidRDefault="00A840FC" w:rsidP="00D2664A">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eritromicino arba klaritromicino (antibiotikų);</w:t>
      </w:r>
    </w:p>
    <w:p w14:paraId="5B4A8991" w14:textId="77777777" w:rsidR="00A840FC" w:rsidRPr="00A840FC" w:rsidRDefault="00A840FC" w:rsidP="00D2664A">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 xml:space="preserve">nefazodono (vaisto nuo depresijos). </w:t>
      </w:r>
    </w:p>
    <w:p w14:paraId="558C7204" w14:textId="77777777" w:rsidR="00A840FC" w:rsidRPr="00A840FC" w:rsidRDefault="00A840FC" w:rsidP="00A840FC">
      <w:pPr>
        <w:spacing w:after="0" w:line="240" w:lineRule="auto"/>
        <w:rPr>
          <w:rFonts w:ascii="Times New Roman" w:eastAsia="Times New Roman" w:hAnsi="Times New Roman" w:cs="Times New Roman"/>
          <w:lang w:val="lt-LT"/>
        </w:rPr>
      </w:pPr>
    </w:p>
    <w:p w14:paraId="07FEE457" w14:textId="77777777" w:rsid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Jeigu vartojate bent vieną iš toliau išvardytų vaistų, pasakykite gydytojui:</w:t>
      </w:r>
    </w:p>
    <w:p w14:paraId="0C6DCB07" w14:textId="22C770DD" w:rsidR="0062376A" w:rsidRPr="006A2CAD" w:rsidRDefault="0062376A" w:rsidP="006A2CAD">
      <w:pPr>
        <w:pStyle w:val="Sraopastraipa"/>
        <w:numPr>
          <w:ilvl w:val="0"/>
          <w:numId w:val="9"/>
        </w:numPr>
        <w:tabs>
          <w:tab w:val="left" w:pos="567"/>
        </w:tabs>
        <w:ind w:hanging="502"/>
        <w:rPr>
          <w:rFonts w:eastAsia="Times New Roman"/>
        </w:rPr>
      </w:pPr>
      <w:r w:rsidRPr="006A2CAD">
        <w:rPr>
          <w:rFonts w:eastAsia="Times New Roman"/>
        </w:rPr>
        <w:t>antidepresantų. Šie vaistai gali sąveikauti su Ketipinor, todėl galite patirti šiuos simptomus: nevalingus ritmiškus raumenų trūkčiojimus (įskaitant raumenis, valdančius akių judesius), neįprastą jaudulį (ažitaciją), haliucinacijas, komą, prakaitavimo sustiprėjimą, drebulį, refleksų sustiprėjimą, raumenų įtampos sustiprėjimą, kūno temperatūros pakilimą virš 38 °C (tai vadinama serotonino sindromu). Jeigu patiriate tokius simptomus, kreipkitės į gydytoją;</w:t>
      </w:r>
    </w:p>
    <w:p w14:paraId="588A8BC3"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lastRenderedPageBreak/>
        <w:sym w:font="Symbol" w:char="F0B7"/>
      </w:r>
      <w:r w:rsidRPr="00A840FC">
        <w:rPr>
          <w:rFonts w:ascii="Times New Roman" w:eastAsia="Times New Roman" w:hAnsi="Times New Roman" w:cs="Times New Roman"/>
          <w:lang w:val="lt-LT"/>
        </w:rPr>
        <w:tab/>
        <w:t>vaistų epilepsijai gydyti (pavyzdžiui, fenitoino arba karbamazepino);</w:t>
      </w:r>
    </w:p>
    <w:p w14:paraId="56208D7B"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vaistų aukšto kraujospūdžio ligai gydyti;</w:t>
      </w:r>
    </w:p>
    <w:p w14:paraId="39E09920"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barbitūratų (vaistų miego sutikimams gydyti);</w:t>
      </w:r>
    </w:p>
    <w:p w14:paraId="785F3A9C"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tioridazino ar ličio (kitų vaistų nuo psichozės);</w:t>
      </w:r>
    </w:p>
    <w:p w14:paraId="785878A4" w14:textId="77777777" w:rsidR="00A840FC" w:rsidRPr="00A840FC" w:rsidRDefault="00A840FC" w:rsidP="00A840FC">
      <w:pPr>
        <w:numPr>
          <w:ilvl w:val="0"/>
          <w:numId w:val="9"/>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vaistų, kurie gali turėti įtakos širdies susitraukimų dažniui, pavyzdžiui, vaistų, kurie sutrikdo elektrolitų pusiausvyrą (sumažina kalio arba magnio kiekį), pvz., diuretikų (šlapimą varančių piliulių) arba tam tikros rūšies antibiotikų (vaistų infekcinėms ligoms gydyti);</w:t>
      </w:r>
    </w:p>
    <w:p w14:paraId="75192316" w14:textId="77777777" w:rsidR="00A840FC" w:rsidRPr="00A840FC" w:rsidRDefault="00A840FC" w:rsidP="00A840FC">
      <w:pPr>
        <w:numPr>
          <w:ilvl w:val="0"/>
          <w:numId w:val="9"/>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vidurių užkietėjimą sukelti galinčių vaistų;</w:t>
      </w:r>
    </w:p>
    <w:p w14:paraId="6063F867" w14:textId="77777777" w:rsidR="00A840FC" w:rsidRPr="00A840FC" w:rsidRDefault="00A840FC" w:rsidP="00A840FC">
      <w:pPr>
        <w:numPr>
          <w:ilvl w:val="0"/>
          <w:numId w:val="9"/>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vaistų vadinamų anticholinerginiais, veikiančių nervų ląstelių funkciją ir todėl vartojamų tam tikroms ligoms gydyti.</w:t>
      </w:r>
    </w:p>
    <w:p w14:paraId="763D7988"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p>
    <w:p w14:paraId="2F6C48C0" w14:textId="77777777" w:rsidR="00A840FC" w:rsidRPr="00A840FC" w:rsidRDefault="00A840FC" w:rsidP="00A840FC">
      <w:pPr>
        <w:tabs>
          <w:tab w:val="left" w:pos="360"/>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Prieš nutraukiant bet kurio iš Jūsų vaistų vartojimą, prašome pasitarti su gydytoju.</w:t>
      </w:r>
    </w:p>
    <w:p w14:paraId="682FA86B" w14:textId="77777777" w:rsidR="00A840FC" w:rsidRPr="00A840FC" w:rsidRDefault="00A840FC" w:rsidP="00A840FC">
      <w:pPr>
        <w:tabs>
          <w:tab w:val="left" w:pos="360"/>
          <w:tab w:val="left" w:pos="567"/>
        </w:tabs>
        <w:spacing w:after="0" w:line="240" w:lineRule="auto"/>
        <w:rPr>
          <w:rFonts w:ascii="Times New Roman" w:eastAsia="Times New Roman" w:hAnsi="Times New Roman" w:cs="Times New Roman"/>
          <w:lang w:val="lt-LT"/>
        </w:rPr>
      </w:pPr>
    </w:p>
    <w:p w14:paraId="075CF355" w14:textId="77777777" w:rsidR="00A840FC" w:rsidRPr="00A840FC" w:rsidRDefault="00A840FC" w:rsidP="00A840FC">
      <w:pPr>
        <w:spacing w:after="0" w:line="240" w:lineRule="auto"/>
        <w:rPr>
          <w:rFonts w:ascii="Times New Roman" w:eastAsia="Times New Roman" w:hAnsi="Times New Roman" w:cs="Times New Roman"/>
          <w:b/>
          <w:bCs/>
          <w:lang w:val="lt-LT"/>
        </w:rPr>
      </w:pPr>
      <w:r w:rsidRPr="00A840FC">
        <w:rPr>
          <w:rFonts w:ascii="Times New Roman" w:eastAsia="Times New Roman" w:hAnsi="Times New Roman" w:cs="Times New Roman"/>
          <w:b/>
          <w:bCs/>
          <w:lang w:val="lt-LT"/>
        </w:rPr>
        <w:t xml:space="preserve">Ketipinor vartojimas su maistu, gėrimais ir alkoholiu </w:t>
      </w:r>
    </w:p>
    <w:p w14:paraId="13EFAAEB"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Ketipinor galima vartoti valgant arba nevalgius.</w:t>
      </w:r>
    </w:p>
    <w:p w14:paraId="6C7CC532" w14:textId="77777777" w:rsidR="00A840FC" w:rsidRPr="00A840FC" w:rsidRDefault="00A840FC" w:rsidP="00A840FC">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Saikingai vartokite alkoholį. Kartu vartojant Ketipinor ir alkoholį, galite jaustis mieguistas.</w:t>
      </w:r>
    </w:p>
    <w:p w14:paraId="09A6087A" w14:textId="77777777" w:rsidR="00A840FC" w:rsidRPr="00A840FC" w:rsidRDefault="00A840FC" w:rsidP="00A840FC">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Negerkite greipfrutų sulčių, kol vartojate Ketipinor. Jos gali pakeisti vaisto poveikį.</w:t>
      </w:r>
    </w:p>
    <w:p w14:paraId="419FE6CB" w14:textId="77777777" w:rsidR="00A840FC" w:rsidRPr="00A840FC" w:rsidRDefault="00A840FC" w:rsidP="00A840FC">
      <w:pPr>
        <w:spacing w:after="0" w:line="240" w:lineRule="auto"/>
        <w:rPr>
          <w:rFonts w:ascii="Times New Roman" w:eastAsia="Arial Unicode MS" w:hAnsi="Times New Roman" w:cs="Times New Roman"/>
          <w:lang w:val="lt-LT"/>
        </w:rPr>
      </w:pPr>
    </w:p>
    <w:p w14:paraId="2E65D59C" w14:textId="77777777" w:rsidR="00A840FC" w:rsidRPr="00A840FC" w:rsidRDefault="00A840FC" w:rsidP="00A840FC">
      <w:pPr>
        <w:spacing w:after="0" w:line="240" w:lineRule="auto"/>
        <w:rPr>
          <w:rFonts w:ascii="Times New Roman" w:eastAsia="Times New Roman" w:hAnsi="Times New Roman" w:cs="Times New Roman"/>
          <w:b/>
          <w:bCs/>
          <w:lang w:val="lt-LT"/>
        </w:rPr>
      </w:pPr>
      <w:r w:rsidRPr="00A840FC">
        <w:rPr>
          <w:rFonts w:ascii="Times New Roman" w:eastAsia="Times New Roman" w:hAnsi="Times New Roman" w:cs="Times New Roman"/>
          <w:b/>
          <w:bCs/>
          <w:lang w:val="lt-LT"/>
        </w:rPr>
        <w:t>Nėštumas ir žindymo laikotarpis</w:t>
      </w:r>
    </w:p>
    <w:p w14:paraId="13C08FAD"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Jeigu esate nėščia, žindote kūdikį, manote, kad galbūt esate nėščia, arba planuojate pastoti, tai prieš vartodama šį vaistą pasitarkite su gydytoju arba vaistininku. Nėštumo metu Ketipinor vartoti negalima, nebent tai būsite aptarę su gydytoju. Jeigu žindote, Ketipinor vartoti negalima.</w:t>
      </w:r>
    </w:p>
    <w:p w14:paraId="5D5496B2" w14:textId="77777777" w:rsidR="00A840FC" w:rsidRPr="00A840FC" w:rsidRDefault="00A840FC" w:rsidP="00A840FC">
      <w:pPr>
        <w:spacing w:after="0" w:line="240" w:lineRule="auto"/>
        <w:rPr>
          <w:rFonts w:ascii="Times New Roman" w:eastAsia="Arial Unicode MS" w:hAnsi="Times New Roman" w:cs="Times New Roman"/>
          <w:lang w:val="lt-LT"/>
        </w:rPr>
      </w:pPr>
    </w:p>
    <w:p w14:paraId="11260302" w14:textId="77777777" w:rsidR="00A840FC" w:rsidRPr="00A840FC" w:rsidRDefault="00A840FC" w:rsidP="00A840FC">
      <w:pPr>
        <w:autoSpaceDE w:val="0"/>
        <w:autoSpaceDN w:val="0"/>
        <w:adjustRightInd w:val="0"/>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Naujagimiams, kurių motinos paskutinio nėštumo trimestro laikotarpiu (paskutiniais trimis nėštumo mėnesiais) vartojo Ketipinor, gali atsirasti šių nutraukimui būdingų simptomų: drebulys, raumenų sustingimas ir (arba) silpnumas, mieguistumas, baimingas susijaudinimas, kvėpavimo sutrikimas ir maitinimosi pasunkėjimas. Jeigu Jūsų kūdikiui atsiranda bet kuris iš šių simptomų, gali tekti kreiptis į gydytoją.</w:t>
      </w:r>
    </w:p>
    <w:p w14:paraId="7A4E1D1E" w14:textId="77777777" w:rsidR="00A840FC" w:rsidRPr="00A840FC" w:rsidRDefault="00A840FC" w:rsidP="00A840FC">
      <w:pPr>
        <w:spacing w:after="0" w:line="240" w:lineRule="auto"/>
        <w:rPr>
          <w:rFonts w:ascii="Times New Roman" w:eastAsia="Arial Unicode MS" w:hAnsi="Times New Roman" w:cs="Times New Roman"/>
          <w:lang w:val="lt-LT"/>
        </w:rPr>
      </w:pPr>
    </w:p>
    <w:p w14:paraId="21C00D59" w14:textId="77777777" w:rsidR="00A840FC" w:rsidRPr="00A840FC" w:rsidRDefault="00A840FC" w:rsidP="00A840FC">
      <w:pPr>
        <w:spacing w:after="0" w:line="240" w:lineRule="auto"/>
        <w:rPr>
          <w:rFonts w:ascii="Times New Roman" w:eastAsia="Times New Roman" w:hAnsi="Times New Roman" w:cs="Times New Roman"/>
          <w:b/>
          <w:bCs/>
          <w:lang w:val="lt-LT"/>
        </w:rPr>
      </w:pPr>
      <w:r w:rsidRPr="00A840FC">
        <w:rPr>
          <w:rFonts w:ascii="Times New Roman" w:eastAsia="Times New Roman" w:hAnsi="Times New Roman" w:cs="Times New Roman"/>
          <w:b/>
          <w:bCs/>
          <w:lang w:val="lt-LT"/>
        </w:rPr>
        <w:t>Vairavimas ir mechanizmų valdymas</w:t>
      </w:r>
    </w:p>
    <w:p w14:paraId="5FCCD623" w14:textId="77777777" w:rsidR="00A840FC" w:rsidRPr="00A840FC" w:rsidRDefault="00A840FC" w:rsidP="00A840FC">
      <w:pPr>
        <w:tabs>
          <w:tab w:val="left" w:pos="360"/>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Jūsų tabletės gali sukelti mieguistumą. Kol nežinote, koks bus tablečių poveikis, vairuoti ir valdyti mechanizmų negalima.</w:t>
      </w:r>
    </w:p>
    <w:p w14:paraId="503FEF81" w14:textId="77777777" w:rsidR="00A840FC" w:rsidRPr="00A840FC" w:rsidRDefault="00A840FC" w:rsidP="00A840FC">
      <w:pPr>
        <w:spacing w:after="0" w:line="240" w:lineRule="auto"/>
        <w:rPr>
          <w:rFonts w:ascii="Times New Roman" w:eastAsia="Arial Unicode MS" w:hAnsi="Times New Roman" w:cs="Times New Roman"/>
          <w:lang w:val="lt-LT"/>
        </w:rPr>
      </w:pPr>
    </w:p>
    <w:p w14:paraId="3FD40C31" w14:textId="77777777" w:rsidR="00A840FC" w:rsidRPr="00A840FC" w:rsidRDefault="00A840FC" w:rsidP="00A840FC">
      <w:pPr>
        <w:spacing w:after="0" w:line="240" w:lineRule="auto"/>
        <w:rPr>
          <w:rFonts w:ascii="Times New Roman" w:eastAsia="Calibri" w:hAnsi="Times New Roman" w:cs="Times New Roman"/>
          <w:b/>
          <w:iCs/>
          <w:lang w:val="lt-LT"/>
        </w:rPr>
      </w:pPr>
      <w:r w:rsidRPr="00A840FC">
        <w:rPr>
          <w:rFonts w:ascii="Times New Roman" w:eastAsia="Calibri" w:hAnsi="Times New Roman" w:cs="Times New Roman"/>
          <w:b/>
          <w:iCs/>
          <w:lang w:val="lt-LT"/>
        </w:rPr>
        <w:t>Poveikis vaistų tyrimų šlapime duomenims</w:t>
      </w:r>
    </w:p>
    <w:p w14:paraId="44E495F5" w14:textId="77777777" w:rsidR="00A840FC" w:rsidRPr="00A840FC" w:rsidRDefault="00A840FC" w:rsidP="00A840FC">
      <w:pPr>
        <w:spacing w:after="0" w:line="240" w:lineRule="auto"/>
        <w:rPr>
          <w:rFonts w:ascii="Times New Roman" w:eastAsia="Calibri" w:hAnsi="Times New Roman" w:cs="Times New Roman"/>
          <w:lang w:val="lt-LT" w:eastAsia="lt-LT"/>
        </w:rPr>
      </w:pPr>
      <w:r w:rsidRPr="00A840FC">
        <w:rPr>
          <w:rFonts w:ascii="Times New Roman" w:eastAsia="Calibri" w:hAnsi="Times New Roman" w:cs="Times New Roman"/>
          <w:iCs/>
          <w:lang w:val="lt-LT"/>
        </w:rPr>
        <w:t xml:space="preserve">Jeigu atliekamas Jūsų šlapimo tyrimas, vartojant Ketipinor gali būti metadonui arba vaistams depresijai gydyti (vadinamiems tricikliniams antidepresantams) būdingas teigiamas rezultatas, nors nei metadono, nei triciklinių antidepresantų Jūs nevartojate. </w:t>
      </w:r>
      <w:r w:rsidRPr="00A840FC">
        <w:rPr>
          <w:rFonts w:ascii="Times New Roman" w:eastAsia="Calibri" w:hAnsi="Times New Roman" w:cs="Times New Roman"/>
          <w:lang w:val="lt-LT" w:eastAsia="lt-LT"/>
        </w:rPr>
        <w:t>Tokiais atvejais reikia tirti specifiškesniu metodu.</w:t>
      </w:r>
    </w:p>
    <w:p w14:paraId="1059AFE6" w14:textId="77777777" w:rsidR="00A840FC" w:rsidRPr="00A840FC" w:rsidRDefault="00A840FC" w:rsidP="00A840FC">
      <w:pPr>
        <w:spacing w:after="0" w:line="240" w:lineRule="auto"/>
        <w:rPr>
          <w:rFonts w:ascii="Times New Roman" w:eastAsia="Calibri" w:hAnsi="Times New Roman" w:cs="Times New Roman"/>
          <w:lang w:val="lt-LT" w:eastAsia="lt-LT"/>
        </w:rPr>
      </w:pPr>
    </w:p>
    <w:p w14:paraId="5BBDC080" w14:textId="77777777" w:rsidR="00A840FC" w:rsidRPr="00A840FC" w:rsidRDefault="00A840FC" w:rsidP="00A840FC">
      <w:pPr>
        <w:keepNext/>
        <w:keepLines/>
        <w:numPr>
          <w:ilvl w:val="12"/>
          <w:numId w:val="0"/>
        </w:num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Ketipinor sudėtyje yra laktozės</w:t>
      </w:r>
    </w:p>
    <w:p w14:paraId="198EE650" w14:textId="1B360726" w:rsidR="00A840FC" w:rsidRPr="00A840FC" w:rsidRDefault="00A840FC" w:rsidP="00A840FC">
      <w:pPr>
        <w:keepNext/>
        <w:keepLines/>
        <w:numPr>
          <w:ilvl w:val="12"/>
          <w:numId w:val="0"/>
        </w:numPr>
        <w:spacing w:after="0" w:line="240" w:lineRule="auto"/>
        <w:rPr>
          <w:rFonts w:ascii="Times New Roman" w:eastAsia="Times New Roman" w:hAnsi="Times New Roman" w:cs="Times New Roman"/>
          <w:lang w:val="lt-LT"/>
        </w:rPr>
      </w:pPr>
      <w:r w:rsidRPr="00A840FC">
        <w:rPr>
          <w:rFonts w:ascii="Times New Roman" w:eastAsia="Calibri" w:hAnsi="Times New Roman" w:cs="Times New Roman"/>
          <w:color w:val="000000"/>
          <w:lang w:val="lt-LT"/>
        </w:rPr>
        <w:t>Šio vaisto 100 mg, 200 mg ir 300 mg tabletėse yra atitinkamai</w:t>
      </w:r>
      <w:r w:rsidRPr="00A840FC">
        <w:rPr>
          <w:rFonts w:ascii="Times New Roman" w:eastAsia="Times New Roman" w:hAnsi="Times New Roman" w:cs="Times New Roman"/>
          <w:lang w:val="lt-LT"/>
        </w:rPr>
        <w:t xml:space="preserve"> </w:t>
      </w:r>
      <w:r w:rsidR="00DF1A9C">
        <w:rPr>
          <w:rFonts w:ascii="Times New Roman" w:eastAsia="Times New Roman" w:hAnsi="Times New Roman" w:cs="Times New Roman"/>
          <w:lang w:val="lt-LT"/>
        </w:rPr>
        <w:t>19,7</w:t>
      </w:r>
      <w:r w:rsidRPr="00A840FC">
        <w:rPr>
          <w:rFonts w:ascii="Times New Roman" w:eastAsia="Times New Roman" w:hAnsi="Times New Roman" w:cs="Times New Roman"/>
          <w:lang w:val="lt-LT"/>
        </w:rPr>
        <w:t xml:space="preserve"> mg, </w:t>
      </w:r>
      <w:r w:rsidR="00DF1A9C">
        <w:rPr>
          <w:rFonts w:ascii="Times New Roman" w:eastAsia="Times New Roman" w:hAnsi="Times New Roman" w:cs="Times New Roman"/>
          <w:lang w:val="lt-LT"/>
        </w:rPr>
        <w:t>39,3</w:t>
      </w:r>
      <w:r w:rsidRPr="00A840FC">
        <w:rPr>
          <w:rFonts w:ascii="Times New Roman" w:eastAsia="Times New Roman" w:hAnsi="Times New Roman" w:cs="Times New Roman"/>
          <w:lang w:val="lt-LT"/>
        </w:rPr>
        <w:t xml:space="preserve"> mg ir </w:t>
      </w:r>
      <w:r w:rsidR="00DF1A9C">
        <w:rPr>
          <w:rFonts w:ascii="Times New Roman" w:eastAsia="Times New Roman" w:hAnsi="Times New Roman" w:cs="Times New Roman"/>
          <w:lang w:val="lt-LT"/>
        </w:rPr>
        <w:t>59</w:t>
      </w:r>
      <w:r w:rsidRPr="00A840FC">
        <w:rPr>
          <w:rFonts w:ascii="Times New Roman" w:eastAsia="Times New Roman" w:hAnsi="Times New Roman" w:cs="Times New Roman"/>
          <w:lang w:val="lt-LT"/>
        </w:rPr>
        <w:t xml:space="preserve"> mg laktozės </w:t>
      </w:r>
      <w:r w:rsidR="00DF1A9C">
        <w:rPr>
          <w:rFonts w:ascii="Times New Roman" w:eastAsia="Times New Roman" w:hAnsi="Times New Roman" w:cs="Times New Roman"/>
          <w:lang w:val="lt-LT"/>
        </w:rPr>
        <w:t>(</w:t>
      </w:r>
      <w:r w:rsidRPr="00A840FC">
        <w:rPr>
          <w:rFonts w:ascii="Times New Roman" w:eastAsia="Times New Roman" w:hAnsi="Times New Roman" w:cs="Times New Roman"/>
          <w:lang w:val="lt-LT"/>
        </w:rPr>
        <w:t>monohidrato</w:t>
      </w:r>
      <w:r w:rsidR="00DF1A9C">
        <w:rPr>
          <w:rFonts w:ascii="Times New Roman" w:eastAsia="Times New Roman" w:hAnsi="Times New Roman" w:cs="Times New Roman"/>
          <w:lang w:val="lt-LT"/>
        </w:rPr>
        <w:t xml:space="preserve"> pavidalu)</w:t>
      </w:r>
      <w:r w:rsidRPr="00A840FC">
        <w:rPr>
          <w:rFonts w:ascii="Times New Roman" w:eastAsia="Times New Roman" w:hAnsi="Times New Roman" w:cs="Times New Roman"/>
          <w:lang w:val="lt-LT"/>
        </w:rPr>
        <w:t>. Jeigu gydytojas Jums yra sakęs, kad netoleruojate kurių nors angliavandenių, kreipkitės į jį, prieš pradėdami vartoti šį vaistą.</w:t>
      </w:r>
    </w:p>
    <w:p w14:paraId="1A264F8D" w14:textId="77777777" w:rsidR="00A840FC" w:rsidRPr="00A840FC" w:rsidRDefault="00A840FC" w:rsidP="00A840FC">
      <w:pPr>
        <w:spacing w:after="0" w:line="240" w:lineRule="auto"/>
        <w:rPr>
          <w:rFonts w:ascii="Times New Roman" w:eastAsia="Arial Unicode MS" w:hAnsi="Times New Roman" w:cs="Times New Roman"/>
          <w:lang w:val="lt-LT"/>
        </w:rPr>
      </w:pPr>
    </w:p>
    <w:p w14:paraId="4AC68873" w14:textId="77777777" w:rsidR="00A840FC" w:rsidRPr="00A840FC" w:rsidRDefault="00A840FC" w:rsidP="00A840FC">
      <w:pPr>
        <w:spacing w:after="0" w:line="240" w:lineRule="auto"/>
        <w:rPr>
          <w:rFonts w:ascii="Times New Roman" w:eastAsia="Arial Unicode MS" w:hAnsi="Times New Roman" w:cs="Times New Roman"/>
          <w:b/>
          <w:lang w:val="lt-LT"/>
        </w:rPr>
      </w:pPr>
      <w:r w:rsidRPr="00A840FC">
        <w:rPr>
          <w:rFonts w:ascii="Times New Roman" w:eastAsia="Arial Unicode MS" w:hAnsi="Times New Roman" w:cs="Times New Roman"/>
          <w:b/>
          <w:lang w:val="lt-LT"/>
        </w:rPr>
        <w:t>Pagalbinės medžiagos</w:t>
      </w:r>
    </w:p>
    <w:p w14:paraId="3D6D6E68"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Šio vaisto tabletėje yra mažiau kaip 1 mmol (23 mg) natrio, t. y. jis beveik neturi reikšmės.</w:t>
      </w:r>
    </w:p>
    <w:p w14:paraId="2A316253" w14:textId="77777777" w:rsidR="00A840FC" w:rsidRPr="00A840FC" w:rsidRDefault="00A840FC" w:rsidP="00A840FC">
      <w:pPr>
        <w:spacing w:after="0" w:line="240" w:lineRule="auto"/>
        <w:rPr>
          <w:rFonts w:ascii="Times New Roman" w:eastAsia="Arial Unicode MS" w:hAnsi="Times New Roman" w:cs="Times New Roman"/>
          <w:lang w:val="lt-LT"/>
        </w:rPr>
      </w:pPr>
    </w:p>
    <w:p w14:paraId="4395DC20" w14:textId="77777777" w:rsidR="00A840FC" w:rsidRPr="00A840FC" w:rsidRDefault="00A840FC" w:rsidP="00A840FC">
      <w:pPr>
        <w:spacing w:after="0" w:line="240" w:lineRule="auto"/>
        <w:rPr>
          <w:rFonts w:ascii="Times New Roman" w:eastAsia="Arial Unicode MS" w:hAnsi="Times New Roman" w:cs="Times New Roman"/>
          <w:lang w:val="lt-LT"/>
        </w:rPr>
      </w:pPr>
    </w:p>
    <w:p w14:paraId="672A8686" w14:textId="77777777" w:rsidR="00A840FC" w:rsidRPr="00A840FC" w:rsidRDefault="00A840FC" w:rsidP="00A840F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2" w:name="_Toc129243141"/>
      <w:bookmarkStart w:id="83" w:name="_Toc129243266"/>
      <w:r w:rsidRPr="00A840FC">
        <w:rPr>
          <w:rFonts w:ascii="Times New Roman" w:eastAsia="Times New Roman" w:hAnsi="Times New Roman" w:cs="Times New Roman"/>
          <w:b/>
          <w:lang w:val="lt-LT"/>
        </w:rPr>
        <w:t>3.</w:t>
      </w:r>
      <w:r w:rsidRPr="00A840FC">
        <w:rPr>
          <w:rFonts w:ascii="Times New Roman" w:eastAsia="Times New Roman" w:hAnsi="Times New Roman" w:cs="Times New Roman"/>
          <w:b/>
          <w:lang w:val="lt-LT"/>
        </w:rPr>
        <w:tab/>
        <w:t xml:space="preserve">Kaip vartoti </w:t>
      </w:r>
      <w:bookmarkEnd w:id="82"/>
      <w:bookmarkEnd w:id="83"/>
      <w:r w:rsidRPr="00A840FC">
        <w:rPr>
          <w:rFonts w:ascii="Times New Roman" w:eastAsia="Times New Roman" w:hAnsi="Times New Roman" w:cs="Times New Roman"/>
          <w:b/>
          <w:lang w:val="lt-LT"/>
        </w:rPr>
        <w:t>Ketipinor</w:t>
      </w:r>
    </w:p>
    <w:p w14:paraId="6577A6C8" w14:textId="77777777" w:rsidR="00A840FC" w:rsidRPr="00A840FC" w:rsidRDefault="00A840FC" w:rsidP="00A840FC">
      <w:pPr>
        <w:spacing w:after="0" w:line="240" w:lineRule="auto"/>
        <w:rPr>
          <w:rFonts w:ascii="Times New Roman" w:eastAsia="Arial Unicode MS" w:hAnsi="Times New Roman" w:cs="Times New Roman"/>
          <w:lang w:val="lt-LT"/>
        </w:rPr>
      </w:pPr>
    </w:p>
    <w:p w14:paraId="3A463A45" w14:textId="77777777" w:rsidR="00A840FC" w:rsidRPr="00A840FC" w:rsidRDefault="00A840FC" w:rsidP="00A840FC">
      <w:pPr>
        <w:tabs>
          <w:tab w:val="left" w:pos="360"/>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Visada vartokite šį vaistą tiksliai kaip nurodė gydytojas arba vaistininkas. Jeigu abejojate, kreipkitės į gydytoją arba vaistininką. Gydytojas nuspręs, kokią pradinę dozę reikia vartoti. Įprastai dozė yra nuo 150 iki 800 mg per parą. Tai priklauso nuo Jūsų ligos tipo ir poreikio.</w:t>
      </w:r>
    </w:p>
    <w:p w14:paraId="33364D52" w14:textId="77777777" w:rsidR="00A840FC" w:rsidRPr="00A840FC" w:rsidRDefault="00A840FC" w:rsidP="00A840FC">
      <w:pPr>
        <w:tabs>
          <w:tab w:val="left" w:pos="360"/>
          <w:tab w:val="left" w:pos="567"/>
        </w:tabs>
        <w:spacing w:after="0" w:line="240" w:lineRule="auto"/>
        <w:rPr>
          <w:rFonts w:ascii="Times New Roman" w:eastAsia="Times New Roman" w:hAnsi="Times New Roman" w:cs="Times New Roman"/>
          <w:lang w:val="lt-LT"/>
        </w:rPr>
      </w:pPr>
    </w:p>
    <w:p w14:paraId="45411DFA" w14:textId="77777777" w:rsidR="00A840FC" w:rsidRPr="00A840FC" w:rsidRDefault="00A840FC" w:rsidP="00A840FC">
      <w:pPr>
        <w:numPr>
          <w:ilvl w:val="0"/>
          <w:numId w:val="17"/>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Tabletes vartokite vieną kartą prieš einant miegoti arba du kartus per parą, priklausomai nuo Jūsų ligos.</w:t>
      </w:r>
    </w:p>
    <w:p w14:paraId="6E27DBD4" w14:textId="77777777" w:rsidR="00A840FC" w:rsidRPr="00A840FC" w:rsidRDefault="00A840FC" w:rsidP="00A840FC">
      <w:pPr>
        <w:numPr>
          <w:ilvl w:val="0"/>
          <w:numId w:val="17"/>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lastRenderedPageBreak/>
        <w:t xml:space="preserve">Prarykite tabletę visą, užgerdami vandeniu. </w:t>
      </w:r>
    </w:p>
    <w:p w14:paraId="0A295652" w14:textId="77777777" w:rsidR="00A840FC" w:rsidRPr="00A840FC" w:rsidRDefault="00A840FC" w:rsidP="00A840FC">
      <w:pPr>
        <w:numPr>
          <w:ilvl w:val="0"/>
          <w:numId w:val="17"/>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Tabletės galima vartoti su maistu arba be jo.</w:t>
      </w:r>
    </w:p>
    <w:p w14:paraId="6EE13678" w14:textId="77777777" w:rsidR="00A840FC" w:rsidRPr="00A840FC" w:rsidRDefault="00A840FC" w:rsidP="00A840FC">
      <w:pPr>
        <w:numPr>
          <w:ilvl w:val="0"/>
          <w:numId w:val="17"/>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Negerkite greipfrutų sulčių, kol vartojate Ketipinor. Jos gali pakeisti vaisto poveikį.</w:t>
      </w:r>
    </w:p>
    <w:p w14:paraId="50F379A7" w14:textId="77777777" w:rsidR="00A840FC" w:rsidRPr="00A840FC" w:rsidRDefault="00A840FC" w:rsidP="00A840FC">
      <w:pPr>
        <w:numPr>
          <w:ilvl w:val="0"/>
          <w:numId w:val="17"/>
        </w:numPr>
        <w:tabs>
          <w:tab w:val="left" w:pos="567"/>
          <w:tab w:val="left" w:pos="851"/>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Net ir pasijutę geriau nenustokite vartoti tablečių, nebent taip bus nurodęs gydytojas.</w:t>
      </w:r>
    </w:p>
    <w:p w14:paraId="278ED06A" w14:textId="77777777" w:rsidR="00A840FC" w:rsidRPr="00A840FC" w:rsidRDefault="00A840FC" w:rsidP="00A840FC">
      <w:pPr>
        <w:spacing w:after="0" w:line="240" w:lineRule="auto"/>
        <w:rPr>
          <w:rFonts w:ascii="Times New Roman" w:eastAsia="Arial Unicode MS" w:hAnsi="Times New Roman" w:cs="Times New Roman"/>
          <w:lang w:val="lt-LT"/>
        </w:rPr>
      </w:pPr>
    </w:p>
    <w:p w14:paraId="2CDE36B2"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Pacientai, kuriems yra kepenų funkcijos sutrikimų</w:t>
      </w:r>
    </w:p>
    <w:p w14:paraId="63E50961" w14:textId="77777777" w:rsidR="00A840FC" w:rsidRPr="00A840FC" w:rsidRDefault="00A840FC" w:rsidP="00A840FC">
      <w:pPr>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Jeigu Jums yra kepenų funkcijos sutrikimų, gydytojas gali koreguoti dozę.</w:t>
      </w:r>
    </w:p>
    <w:p w14:paraId="64A5A959" w14:textId="77777777" w:rsidR="00A840FC" w:rsidRPr="00A840FC" w:rsidRDefault="00A840FC" w:rsidP="00A840FC">
      <w:pPr>
        <w:spacing w:after="0" w:line="240" w:lineRule="auto"/>
        <w:rPr>
          <w:rFonts w:ascii="Times New Roman" w:eastAsia="Times New Roman" w:hAnsi="Times New Roman" w:cs="Times New Roman"/>
          <w:lang w:val="lt-LT"/>
        </w:rPr>
      </w:pPr>
    </w:p>
    <w:p w14:paraId="425EB6BD" w14:textId="77777777" w:rsidR="00A840FC" w:rsidRPr="00A840FC" w:rsidRDefault="00A840FC" w:rsidP="001E0791">
      <w:pPr>
        <w:keepNext/>
        <w:keepLine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Senyvi pacientai</w:t>
      </w:r>
    </w:p>
    <w:p w14:paraId="469550B8" w14:textId="77777777" w:rsidR="00A840FC" w:rsidRPr="00A840FC" w:rsidRDefault="00A840FC" w:rsidP="001E0791">
      <w:pPr>
        <w:keepNext/>
        <w:keepLine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Senyviems pacientas gydytojas gali koreguoti dozę.</w:t>
      </w:r>
    </w:p>
    <w:p w14:paraId="69467770" w14:textId="77777777" w:rsidR="00A840FC" w:rsidRPr="00A840FC" w:rsidRDefault="00A840FC" w:rsidP="001E0791">
      <w:pPr>
        <w:keepNext/>
        <w:keepLines/>
        <w:spacing w:after="0" w:line="240" w:lineRule="auto"/>
        <w:rPr>
          <w:rFonts w:ascii="Times New Roman" w:eastAsia="Times New Roman" w:hAnsi="Times New Roman" w:cs="Times New Roman"/>
          <w:lang w:val="lt-LT"/>
        </w:rPr>
      </w:pPr>
    </w:p>
    <w:p w14:paraId="4F60E04C" w14:textId="77777777"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Vartojimas vaikams ir paaugliams</w:t>
      </w:r>
    </w:p>
    <w:p w14:paraId="5289B0EE"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Vaikams ir jaunesniems nei 18 metų amžiaus paaugliams Ketipinor vartoti negalima.</w:t>
      </w:r>
    </w:p>
    <w:p w14:paraId="075574D4" w14:textId="77777777" w:rsidR="00A840FC" w:rsidRPr="00A840FC" w:rsidRDefault="00A840FC" w:rsidP="00A840FC">
      <w:pPr>
        <w:spacing w:after="0" w:line="240" w:lineRule="auto"/>
        <w:rPr>
          <w:rFonts w:ascii="Times New Roman" w:eastAsia="Times New Roman" w:hAnsi="Times New Roman" w:cs="Times New Roman"/>
          <w:b/>
          <w:bCs/>
          <w:lang w:val="lt-LT"/>
        </w:rPr>
      </w:pPr>
    </w:p>
    <w:p w14:paraId="746F9EBD" w14:textId="02BCFA7A" w:rsidR="00A840FC" w:rsidRPr="00A840FC" w:rsidRDefault="00A840FC" w:rsidP="00A840FC">
      <w:pPr>
        <w:spacing w:after="0" w:line="240" w:lineRule="auto"/>
        <w:rPr>
          <w:rFonts w:ascii="Times New Roman" w:eastAsia="Times New Roman" w:hAnsi="Times New Roman" w:cs="Times New Roman"/>
          <w:b/>
          <w:bCs/>
          <w:lang w:val="lt-LT"/>
        </w:rPr>
      </w:pPr>
      <w:r w:rsidRPr="00A840FC">
        <w:rPr>
          <w:rFonts w:ascii="Times New Roman" w:eastAsia="Times New Roman" w:hAnsi="Times New Roman" w:cs="Times New Roman"/>
          <w:b/>
          <w:bCs/>
          <w:lang w:val="lt-LT"/>
        </w:rPr>
        <w:t>Ką daryti pavartojus per didelę Ketipinor dozę</w:t>
      </w:r>
    </w:p>
    <w:p w14:paraId="79299B90"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Jeigu pavartojote didesnę dozę nei paskyrė gydytojas, Jūs galite jaustis mieguistas, gali svaigti galva ir neįprastai plakti širdis. Kreipkitės į gydytoją arba artimiausią ligoninę. Su savimi turėkite Ketipinor tablečių pakuotę. </w:t>
      </w:r>
    </w:p>
    <w:p w14:paraId="4C41DA86" w14:textId="77777777" w:rsidR="00A840FC" w:rsidRPr="00A840FC" w:rsidRDefault="00A840FC" w:rsidP="00A840FC">
      <w:pPr>
        <w:spacing w:after="0" w:line="240" w:lineRule="auto"/>
        <w:rPr>
          <w:rFonts w:ascii="Times New Roman" w:eastAsia="Times New Roman" w:hAnsi="Times New Roman" w:cs="Times New Roman"/>
          <w:lang w:val="lt-LT"/>
        </w:rPr>
      </w:pPr>
    </w:p>
    <w:p w14:paraId="15692039" w14:textId="77777777" w:rsidR="00A840FC" w:rsidRPr="00A840FC" w:rsidRDefault="00A840FC" w:rsidP="00A840FC">
      <w:pPr>
        <w:spacing w:after="0" w:line="240" w:lineRule="auto"/>
        <w:rPr>
          <w:rFonts w:ascii="Times New Roman" w:eastAsia="Times New Roman" w:hAnsi="Times New Roman" w:cs="Times New Roman"/>
          <w:b/>
          <w:bCs/>
          <w:lang w:val="lt-LT"/>
        </w:rPr>
      </w:pPr>
      <w:r w:rsidRPr="00A840FC">
        <w:rPr>
          <w:rFonts w:ascii="Times New Roman" w:eastAsia="Times New Roman" w:hAnsi="Times New Roman" w:cs="Times New Roman"/>
          <w:b/>
          <w:bCs/>
          <w:lang w:val="lt-LT"/>
        </w:rPr>
        <w:t>Pamiršus pavartoti Ketipinor</w:t>
      </w:r>
    </w:p>
    <w:p w14:paraId="7D05E081"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Pamiršus dozę, kitą dozę išgerkite iš karto, kai prisiminsite. Jeigu jau beveik laikas gerti kitą dozę, sulaukite to laiko. Negalima vartoti dvigubos dozės norint kompensuoti praleistą dozę.</w:t>
      </w:r>
    </w:p>
    <w:p w14:paraId="65829EBC" w14:textId="77777777" w:rsidR="00A840FC" w:rsidRPr="00A840FC" w:rsidRDefault="00A840FC" w:rsidP="00A840FC">
      <w:pPr>
        <w:spacing w:after="0" w:line="240" w:lineRule="auto"/>
        <w:rPr>
          <w:rFonts w:ascii="Times New Roman" w:eastAsia="Times New Roman" w:hAnsi="Times New Roman" w:cs="Times New Roman"/>
          <w:lang w:val="lt-LT"/>
        </w:rPr>
      </w:pPr>
    </w:p>
    <w:p w14:paraId="5F108576" w14:textId="77777777" w:rsidR="00A840FC" w:rsidRPr="00A840FC" w:rsidRDefault="00A840FC" w:rsidP="00A840FC">
      <w:pPr>
        <w:spacing w:after="0" w:line="240" w:lineRule="auto"/>
        <w:rPr>
          <w:rFonts w:ascii="Times New Roman" w:eastAsia="Times New Roman" w:hAnsi="Times New Roman" w:cs="Times New Roman"/>
          <w:b/>
          <w:bCs/>
          <w:lang w:val="lt-LT"/>
        </w:rPr>
      </w:pPr>
      <w:r w:rsidRPr="00A840FC">
        <w:rPr>
          <w:rFonts w:ascii="Times New Roman" w:eastAsia="Times New Roman" w:hAnsi="Times New Roman" w:cs="Times New Roman"/>
          <w:b/>
          <w:bCs/>
          <w:lang w:val="lt-LT"/>
        </w:rPr>
        <w:t>Nustojus vartoti Ketipinor</w:t>
      </w:r>
    </w:p>
    <w:p w14:paraId="17DCE0AD"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Jeigu staiga nutrauksite Ketipinor vartojimą, Jums bus sunku užmigti (nemiga), gali pykinti arba skaudės galvą, viduriuosite, vemsite, svaigs galva arba būsite dirglus. Prieš baigiant gydymą, gydytojas gali patarti mažinti dozę laipsniškai. </w:t>
      </w:r>
    </w:p>
    <w:p w14:paraId="0FA41A67" w14:textId="77777777" w:rsidR="00A840FC" w:rsidRPr="00A840FC" w:rsidRDefault="00A840FC" w:rsidP="00A840FC">
      <w:pPr>
        <w:spacing w:after="0" w:line="240" w:lineRule="auto"/>
        <w:rPr>
          <w:rFonts w:ascii="Times New Roman" w:eastAsia="Arial Unicode MS" w:hAnsi="Times New Roman" w:cs="Times New Roman"/>
          <w:lang w:val="lt-LT"/>
        </w:rPr>
      </w:pPr>
    </w:p>
    <w:p w14:paraId="259594D2"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Jeigu kiltų daugiau klausimų dėl šio vaisto vartojimo, kreipkitės į gydytoją, vaistininką arba slaugytoją.</w:t>
      </w:r>
    </w:p>
    <w:p w14:paraId="767B06FD" w14:textId="77777777" w:rsidR="00A840FC" w:rsidRPr="00A840FC" w:rsidRDefault="00A840FC" w:rsidP="00A840FC">
      <w:pPr>
        <w:spacing w:after="0" w:line="240" w:lineRule="auto"/>
        <w:rPr>
          <w:rFonts w:ascii="Times New Roman" w:eastAsia="Arial Unicode MS" w:hAnsi="Times New Roman" w:cs="Times New Roman"/>
          <w:lang w:val="lt-LT"/>
        </w:rPr>
      </w:pPr>
    </w:p>
    <w:p w14:paraId="68C81BC8" w14:textId="77777777" w:rsidR="00A840FC" w:rsidRPr="00A840FC" w:rsidRDefault="00A840FC" w:rsidP="00A840FC">
      <w:pPr>
        <w:spacing w:after="0" w:line="240" w:lineRule="auto"/>
        <w:rPr>
          <w:rFonts w:ascii="Times New Roman" w:eastAsia="Arial Unicode MS" w:hAnsi="Times New Roman" w:cs="Times New Roman"/>
          <w:lang w:val="lt-LT"/>
        </w:rPr>
      </w:pPr>
    </w:p>
    <w:p w14:paraId="5FDEBBDE" w14:textId="77777777" w:rsidR="00A840FC" w:rsidRPr="00A840FC" w:rsidRDefault="00A840FC" w:rsidP="00A840F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4" w:name="_Toc129243142"/>
      <w:bookmarkStart w:id="85" w:name="_Toc129243267"/>
      <w:r w:rsidRPr="00A840FC">
        <w:rPr>
          <w:rFonts w:ascii="Times New Roman" w:eastAsia="Times New Roman" w:hAnsi="Times New Roman" w:cs="Times New Roman"/>
          <w:b/>
          <w:lang w:val="lt-LT"/>
        </w:rPr>
        <w:t>4.</w:t>
      </w:r>
      <w:r w:rsidRPr="00A840FC">
        <w:rPr>
          <w:rFonts w:ascii="Times New Roman" w:eastAsia="Times New Roman" w:hAnsi="Times New Roman" w:cs="Times New Roman"/>
          <w:b/>
          <w:lang w:val="lt-LT"/>
        </w:rPr>
        <w:tab/>
        <w:t>Galimas šalutinis poveikis</w:t>
      </w:r>
      <w:bookmarkEnd w:id="84"/>
      <w:bookmarkEnd w:id="85"/>
    </w:p>
    <w:p w14:paraId="7EDA2948" w14:textId="77777777" w:rsidR="00A840FC" w:rsidRPr="00A840FC" w:rsidRDefault="00A840FC" w:rsidP="00A840FC">
      <w:pPr>
        <w:spacing w:after="0" w:line="240" w:lineRule="auto"/>
        <w:rPr>
          <w:rFonts w:ascii="Times New Roman" w:eastAsia="Arial Unicode MS" w:hAnsi="Times New Roman" w:cs="Times New Roman"/>
          <w:lang w:val="lt-LT"/>
        </w:rPr>
      </w:pPr>
    </w:p>
    <w:p w14:paraId="126EB61B"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Šis vaistas, kaip ir visi kiti, gali sukelti šalutinį poveikį, nors jis pasireiškia ne visiems žmonėms.</w:t>
      </w:r>
    </w:p>
    <w:p w14:paraId="3C4CE288" w14:textId="096FD6CD" w:rsidR="00A840FC" w:rsidRDefault="00A840FC" w:rsidP="00A840FC">
      <w:pPr>
        <w:tabs>
          <w:tab w:val="left" w:pos="360"/>
          <w:tab w:val="left" w:pos="567"/>
        </w:tabs>
        <w:spacing w:after="0" w:line="240" w:lineRule="auto"/>
        <w:rPr>
          <w:rFonts w:ascii="Times New Roman" w:eastAsia="Times New Roman" w:hAnsi="Times New Roman" w:cs="Times New Roman"/>
          <w:b/>
          <w:lang w:val="lt-LT"/>
        </w:rPr>
      </w:pPr>
    </w:p>
    <w:p w14:paraId="229031BE" w14:textId="0715F0A2" w:rsidR="003215D3" w:rsidRPr="001E0791" w:rsidRDefault="003215D3" w:rsidP="00A840FC">
      <w:pPr>
        <w:tabs>
          <w:tab w:val="left" w:pos="360"/>
          <w:tab w:val="left" w:pos="567"/>
        </w:tabs>
        <w:spacing w:after="0" w:line="240" w:lineRule="auto"/>
        <w:rPr>
          <w:rFonts w:ascii="Times New Roman" w:eastAsia="Times New Roman" w:hAnsi="Times New Roman" w:cs="Times New Roman"/>
          <w:bCs/>
          <w:lang w:val="lt-LT"/>
        </w:rPr>
      </w:pPr>
      <w:bookmarkStart w:id="86" w:name="_Hlk92200404"/>
      <w:r w:rsidRPr="001E0791">
        <w:rPr>
          <w:rFonts w:ascii="Times New Roman" w:eastAsia="Times New Roman" w:hAnsi="Times New Roman" w:cs="Times New Roman"/>
          <w:bCs/>
          <w:u w:val="single"/>
          <w:lang w:val="lt-LT"/>
        </w:rPr>
        <w:t>Labai dažni šalutinio poveikio reiškiniai</w:t>
      </w:r>
      <w:r w:rsidRPr="001E0791">
        <w:rPr>
          <w:rFonts w:ascii="Times New Roman" w:eastAsia="Times New Roman" w:hAnsi="Times New Roman" w:cs="Times New Roman"/>
          <w:bCs/>
          <w:lang w:val="lt-LT"/>
        </w:rPr>
        <w:t xml:space="preserve"> (</w:t>
      </w:r>
      <w:r w:rsidRPr="001E0791">
        <w:rPr>
          <w:rFonts w:ascii="Times New Roman" w:eastAsia="Times New Roman" w:hAnsi="Times New Roman" w:cs="Times New Roman"/>
          <w:bCs/>
          <w:i/>
          <w:iCs/>
          <w:lang w:val="lt-LT"/>
        </w:rPr>
        <w:t>gali pasireikšti ne rečiau kaip 1 iš 10 asmenų</w:t>
      </w:r>
      <w:r w:rsidRPr="001E0791">
        <w:rPr>
          <w:rFonts w:ascii="Times New Roman" w:eastAsia="Times New Roman" w:hAnsi="Times New Roman" w:cs="Times New Roman"/>
          <w:bCs/>
          <w:lang w:val="lt-LT"/>
        </w:rPr>
        <w:t>):</w:t>
      </w:r>
    </w:p>
    <w:bookmarkEnd w:id="86"/>
    <w:p w14:paraId="1B45248A" w14:textId="77777777" w:rsidR="00A840FC" w:rsidRPr="00A840FC" w:rsidRDefault="00A840FC" w:rsidP="00A840FC">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Svaigulys (dėl šio poveikio galite nukristi), galvos skausmas, burnos sausmė.</w:t>
      </w:r>
    </w:p>
    <w:p w14:paraId="4697844B" w14:textId="77777777" w:rsidR="00A840FC" w:rsidRPr="00A840FC" w:rsidRDefault="00A840FC" w:rsidP="00A840FC">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Mieguistumas (tęsiant Ketipinor tablečių vartojimą, šis poveikis po kurio laiko išnyksta) (dėl šio poveikio galite nukristi).</w:t>
      </w:r>
    </w:p>
    <w:p w14:paraId="3DBB19FF" w14:textId="77777777" w:rsidR="00A840FC" w:rsidRPr="00A840FC" w:rsidRDefault="00A840FC" w:rsidP="00A840FC">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Nutraukimo simptomai (simptomai atsirandantys nutraukus Ketipinor vartojimą); negalėjimas užmigti (nemiga), pykinimas, galvos skausmas, viduriavimas, vėmimas, svaigulys ir dirglumas. Patartina nutraukti vaisto vartojimą laipsniškai per 1–2 savaites.</w:t>
      </w:r>
    </w:p>
    <w:p w14:paraId="4DE122ED" w14:textId="77777777" w:rsidR="00A840FC" w:rsidRPr="00A840FC" w:rsidRDefault="00A840FC" w:rsidP="00A840FC">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Svorio padidėjimas.</w:t>
      </w:r>
    </w:p>
    <w:p w14:paraId="5105CF63" w14:textId="77777777" w:rsidR="00A840FC" w:rsidRPr="00A840FC" w:rsidRDefault="00A840FC" w:rsidP="00A840FC">
      <w:pPr>
        <w:numPr>
          <w:ilvl w:val="0"/>
          <w:numId w:val="5"/>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Nenormalūs raumenų judesiai. Gali atsirasti neįprasti raumenų judesiai, galintys pasireikšti sunkumu pradėti judėti, drebuliu, nuovargiu arba neskausmingu raumenų sustingimu.</w:t>
      </w:r>
    </w:p>
    <w:p w14:paraId="66F1FB61" w14:textId="77777777" w:rsidR="00A840FC" w:rsidRPr="00A840FC" w:rsidRDefault="00A840FC" w:rsidP="00A840FC">
      <w:pPr>
        <w:numPr>
          <w:ilvl w:val="0"/>
          <w:numId w:val="5"/>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Tam tikrų riebalų (trigliceridų ir bendrojo cholesterolio) kiekio pokytis.</w:t>
      </w:r>
    </w:p>
    <w:p w14:paraId="6C45A016" w14:textId="4B548E33" w:rsidR="00A840FC" w:rsidRDefault="00A840FC" w:rsidP="00A840FC">
      <w:pPr>
        <w:tabs>
          <w:tab w:val="left" w:pos="360"/>
          <w:tab w:val="left" w:pos="567"/>
        </w:tabs>
        <w:spacing w:after="0" w:line="240" w:lineRule="auto"/>
        <w:rPr>
          <w:rFonts w:ascii="Times New Roman" w:eastAsia="Times New Roman" w:hAnsi="Times New Roman" w:cs="Times New Roman"/>
          <w:lang w:val="lt-LT"/>
        </w:rPr>
      </w:pPr>
    </w:p>
    <w:p w14:paraId="7A9C5AB2" w14:textId="77777777" w:rsidR="003215D3" w:rsidRPr="00D5317A" w:rsidRDefault="003215D3" w:rsidP="003215D3">
      <w:pPr>
        <w:keepNext/>
        <w:keepLines/>
        <w:tabs>
          <w:tab w:val="left" w:pos="360"/>
          <w:tab w:val="left" w:pos="567"/>
        </w:tabs>
        <w:spacing w:after="0" w:line="240" w:lineRule="auto"/>
        <w:rPr>
          <w:rFonts w:ascii="Times New Roman" w:eastAsia="Calibri" w:hAnsi="Times New Roman" w:cs="Times New Roman"/>
          <w:lang w:val="lt-LT"/>
        </w:rPr>
      </w:pPr>
      <w:r w:rsidRPr="003215D3">
        <w:rPr>
          <w:rFonts w:ascii="Times New Roman" w:eastAsia="Calibri" w:hAnsi="Times New Roman" w:cs="Times New Roman"/>
          <w:u w:val="single"/>
          <w:lang w:val="lt-LT"/>
        </w:rPr>
        <w:t>Dažni šalutinio poveikio reiškiniai</w:t>
      </w:r>
      <w:r w:rsidRPr="00D5317A">
        <w:rPr>
          <w:rFonts w:ascii="Times New Roman" w:eastAsia="Calibri" w:hAnsi="Times New Roman" w:cs="Times New Roman"/>
          <w:lang w:val="lt-LT"/>
        </w:rPr>
        <w:t xml:space="preserve"> (</w:t>
      </w:r>
      <w:r w:rsidRPr="00D5317A">
        <w:rPr>
          <w:rFonts w:ascii="Times New Roman" w:eastAsia="Calibri" w:hAnsi="Times New Roman" w:cs="Times New Roman"/>
          <w:i/>
          <w:iCs/>
          <w:lang w:val="lt-LT"/>
        </w:rPr>
        <w:t>gali pasireikšti rečiau kaip 1 iš 10 asmenų</w:t>
      </w:r>
      <w:r w:rsidRPr="00D5317A">
        <w:rPr>
          <w:rFonts w:ascii="Times New Roman" w:eastAsia="Calibri" w:hAnsi="Times New Roman" w:cs="Times New Roman"/>
          <w:lang w:val="lt-LT"/>
        </w:rPr>
        <w:t>):</w:t>
      </w:r>
    </w:p>
    <w:p w14:paraId="23A85C35" w14:textId="77777777" w:rsidR="00A840FC" w:rsidRPr="00A840FC" w:rsidRDefault="00A840FC" w:rsidP="00A840FC">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Dažnas širdies plakimas.</w:t>
      </w:r>
    </w:p>
    <w:p w14:paraId="0CE62BC8" w14:textId="77777777" w:rsidR="00A840FC" w:rsidRPr="00A840FC" w:rsidRDefault="00A840FC" w:rsidP="00A840FC">
      <w:pPr>
        <w:numPr>
          <w:ilvl w:val="0"/>
          <w:numId w:val="13"/>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Jausmas, kad stipriai, dažnai plaka širdis arba neįvyksta kai kurie širdies susitraukimai.</w:t>
      </w:r>
    </w:p>
    <w:p w14:paraId="752A58EA" w14:textId="77777777" w:rsidR="00A840FC" w:rsidRPr="00A840FC" w:rsidRDefault="00A840FC" w:rsidP="00A840FC">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Vidurių užkietėjimas, skrandžio veiklos sutrikimas (virškinimo sutrikimas).</w:t>
      </w:r>
    </w:p>
    <w:p w14:paraId="74A21139" w14:textId="77777777" w:rsidR="00A840FC" w:rsidRPr="00A840FC" w:rsidRDefault="00A840FC" w:rsidP="00A840FC">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Silpnumo pojūtis.</w:t>
      </w:r>
    </w:p>
    <w:p w14:paraId="087BC09B" w14:textId="77777777" w:rsidR="00A840FC" w:rsidRPr="00A840FC" w:rsidRDefault="00A840FC" w:rsidP="00A840FC">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Rankų ir kojų tinimas.</w:t>
      </w:r>
    </w:p>
    <w:p w14:paraId="0E98A865" w14:textId="77777777" w:rsidR="00A840FC" w:rsidRPr="00A840FC" w:rsidRDefault="00A840FC" w:rsidP="00A840FC">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Kraujo spaudimo sumažėjimas stojantis. Dėl to galite jausti galvos sukimąsi arba nualpti (galite nukristi).</w:t>
      </w:r>
    </w:p>
    <w:p w14:paraId="1180D302" w14:textId="77777777" w:rsidR="00A840FC" w:rsidRPr="00A840FC" w:rsidRDefault="00A840FC" w:rsidP="00A840FC">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lastRenderedPageBreak/>
        <w:t>•</w:t>
      </w:r>
      <w:r w:rsidRPr="00A840FC">
        <w:rPr>
          <w:rFonts w:ascii="Times New Roman" w:eastAsia="Times New Roman" w:hAnsi="Times New Roman" w:cs="Times New Roman"/>
          <w:lang w:val="lt-LT"/>
        </w:rPr>
        <w:tab/>
        <w:t>Gliukozės kiekio kraujyje padaugėjimas.</w:t>
      </w:r>
    </w:p>
    <w:p w14:paraId="162B9C91" w14:textId="77777777" w:rsidR="00A840FC" w:rsidRPr="00A840FC" w:rsidRDefault="00A840FC" w:rsidP="00A840FC">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Neryškus matymas.</w:t>
      </w:r>
    </w:p>
    <w:p w14:paraId="222219EE" w14:textId="77777777" w:rsidR="00A840FC" w:rsidRPr="00A840FC" w:rsidRDefault="00A840FC" w:rsidP="00A840FC">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Neįprasti sapnai arba košmarai.</w:t>
      </w:r>
    </w:p>
    <w:p w14:paraId="11497C3B" w14:textId="77777777" w:rsidR="00A840FC" w:rsidRPr="00A840FC" w:rsidRDefault="00A840FC" w:rsidP="00A840FC">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Apetito padidėjimas.</w:t>
      </w:r>
    </w:p>
    <w:p w14:paraId="4B2FA2D3" w14:textId="77777777" w:rsidR="00A840FC" w:rsidRPr="00A840FC" w:rsidRDefault="00A840FC" w:rsidP="00A840FC">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Dirglumas.</w:t>
      </w:r>
    </w:p>
    <w:p w14:paraId="7D8645C0" w14:textId="77777777" w:rsidR="00A840FC" w:rsidRPr="00A840FC" w:rsidRDefault="00A840FC" w:rsidP="00A840FC">
      <w:pPr>
        <w:numPr>
          <w:ilvl w:val="0"/>
          <w:numId w:val="10"/>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Kalbos arba kalbėsenos sutrikimas.</w:t>
      </w:r>
    </w:p>
    <w:p w14:paraId="232ED36F" w14:textId="77777777" w:rsidR="00A840FC" w:rsidRPr="00A840FC" w:rsidRDefault="00A840FC" w:rsidP="00A840FC">
      <w:pPr>
        <w:numPr>
          <w:ilvl w:val="0"/>
          <w:numId w:val="10"/>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Mintys apie savižudybę ir depresijos pasunkėjimas.</w:t>
      </w:r>
    </w:p>
    <w:p w14:paraId="56720664" w14:textId="77777777" w:rsidR="00A840FC" w:rsidRPr="00A840FC" w:rsidRDefault="00A840FC" w:rsidP="00A840FC">
      <w:pPr>
        <w:numPr>
          <w:ilvl w:val="0"/>
          <w:numId w:val="10"/>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Dusulys.</w:t>
      </w:r>
    </w:p>
    <w:p w14:paraId="6F6C0597" w14:textId="77777777" w:rsidR="00A840FC" w:rsidRPr="00A840FC" w:rsidRDefault="00A840FC" w:rsidP="00A840FC">
      <w:pPr>
        <w:numPr>
          <w:ilvl w:val="0"/>
          <w:numId w:val="10"/>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Vėmimas (ypač senyviems pacientams).</w:t>
      </w:r>
    </w:p>
    <w:p w14:paraId="1E1F54D7" w14:textId="77777777" w:rsidR="00A840FC" w:rsidRPr="00A840FC" w:rsidRDefault="00A840FC" w:rsidP="00A840FC">
      <w:pPr>
        <w:numPr>
          <w:ilvl w:val="0"/>
          <w:numId w:val="10"/>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Karščiavimas.</w:t>
      </w:r>
    </w:p>
    <w:p w14:paraId="33066DA2" w14:textId="77777777" w:rsidR="00A840FC" w:rsidRPr="00A840FC" w:rsidRDefault="00A840FC" w:rsidP="00A840FC">
      <w:pPr>
        <w:numPr>
          <w:ilvl w:val="0"/>
          <w:numId w:val="5"/>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Skydliaukės hormonų kiekio pokytis kraujyje.</w:t>
      </w:r>
    </w:p>
    <w:p w14:paraId="18A8BC2A" w14:textId="77777777" w:rsidR="00A840FC" w:rsidRPr="00A840FC" w:rsidRDefault="00A840FC" w:rsidP="00A840FC">
      <w:pPr>
        <w:numPr>
          <w:ilvl w:val="0"/>
          <w:numId w:val="5"/>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Tam tikros rūšies kraujo ląstelių kiekio sumažėjimas.</w:t>
      </w:r>
    </w:p>
    <w:p w14:paraId="1C4768B5" w14:textId="77777777" w:rsidR="00A840FC" w:rsidRPr="00A840FC" w:rsidRDefault="00A840FC" w:rsidP="00A840FC">
      <w:pPr>
        <w:numPr>
          <w:ilvl w:val="0"/>
          <w:numId w:val="5"/>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Kraujo tyrimu nustatomas kepenų fermentų aktyvumo padidėjimas.</w:t>
      </w:r>
    </w:p>
    <w:p w14:paraId="7A88AC3C" w14:textId="77777777" w:rsidR="00A840FC" w:rsidRPr="00A840FC" w:rsidRDefault="00A840FC" w:rsidP="00A840FC">
      <w:pPr>
        <w:numPr>
          <w:ilvl w:val="0"/>
          <w:numId w:val="5"/>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Hormono prolaktino kiekio kraujyje padidėjimas. Retais atvejais dėl hormono prolaktino kiekio padidėjimo gali:</w:t>
      </w:r>
    </w:p>
    <w:p w14:paraId="68447ABF" w14:textId="77777777" w:rsidR="00A840FC" w:rsidRPr="00A840FC" w:rsidRDefault="00A840FC" w:rsidP="00A840FC">
      <w:pPr>
        <w:numPr>
          <w:ilvl w:val="1"/>
          <w:numId w:val="5"/>
        </w:numPr>
        <w:autoSpaceDE w:val="0"/>
        <w:autoSpaceDN w:val="0"/>
        <w:adjustRightInd w:val="0"/>
        <w:spacing w:after="0" w:line="240" w:lineRule="auto"/>
        <w:ind w:left="1134" w:hanging="567"/>
        <w:contextualSpacing/>
        <w:rPr>
          <w:rFonts w:ascii="Times New Roman" w:eastAsia="Calibri" w:hAnsi="Times New Roman" w:cs="Times New Roman"/>
          <w:lang w:val="lt-LT"/>
        </w:rPr>
      </w:pPr>
      <w:r w:rsidRPr="00A840FC">
        <w:rPr>
          <w:rFonts w:ascii="Times New Roman" w:eastAsia="Calibri" w:hAnsi="Times New Roman" w:cs="Times New Roman"/>
          <w:lang w:val="lt-LT"/>
        </w:rPr>
        <w:t>padidėti krūtys ir netikėtai išsiskirti pieno (vyrams ir moterims);</w:t>
      </w:r>
    </w:p>
    <w:p w14:paraId="2625E275" w14:textId="77777777" w:rsidR="00A840FC" w:rsidRPr="00A840FC" w:rsidRDefault="00A840FC" w:rsidP="00A840FC">
      <w:pPr>
        <w:numPr>
          <w:ilvl w:val="1"/>
          <w:numId w:val="5"/>
        </w:numPr>
        <w:autoSpaceDE w:val="0"/>
        <w:autoSpaceDN w:val="0"/>
        <w:adjustRightInd w:val="0"/>
        <w:spacing w:after="0" w:line="240" w:lineRule="auto"/>
        <w:ind w:left="1134" w:hanging="567"/>
        <w:contextualSpacing/>
        <w:rPr>
          <w:rFonts w:ascii="Times New Roman" w:eastAsia="Calibri" w:hAnsi="Times New Roman" w:cs="Times New Roman"/>
          <w:lang w:val="lt-LT"/>
        </w:rPr>
      </w:pPr>
      <w:r w:rsidRPr="00A840FC">
        <w:rPr>
          <w:rFonts w:ascii="Times New Roman" w:eastAsia="Calibri" w:hAnsi="Times New Roman" w:cs="Times New Roman"/>
          <w:lang w:val="lt-LT"/>
        </w:rPr>
        <w:t>išnykti ar pasidaryti nereguliarios mėnesinės (moterims).</w:t>
      </w:r>
    </w:p>
    <w:p w14:paraId="166D59A7" w14:textId="77777777" w:rsidR="00A840FC" w:rsidRPr="00A840FC" w:rsidRDefault="00A840FC" w:rsidP="00A840FC">
      <w:pPr>
        <w:tabs>
          <w:tab w:val="left" w:pos="567"/>
        </w:tabs>
        <w:spacing w:after="0" w:line="240" w:lineRule="auto"/>
        <w:ind w:left="720"/>
        <w:contextualSpacing/>
        <w:rPr>
          <w:rFonts w:ascii="Times New Roman" w:eastAsia="Times New Roman" w:hAnsi="Times New Roman" w:cs="Times New Roman"/>
          <w:lang w:val="lt-LT"/>
        </w:rPr>
      </w:pPr>
    </w:p>
    <w:p w14:paraId="4C29E5F1" w14:textId="7A2330C1" w:rsidR="00BC5C52" w:rsidRPr="00D5317A" w:rsidRDefault="00BC5C52" w:rsidP="00BC5C52">
      <w:pPr>
        <w:keepNext/>
        <w:keepLines/>
        <w:tabs>
          <w:tab w:val="left" w:pos="360"/>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u w:val="single"/>
          <w:lang w:val="lt-LT"/>
        </w:rPr>
        <w:t>Ned</w:t>
      </w:r>
      <w:r w:rsidRPr="003215D3">
        <w:rPr>
          <w:rFonts w:ascii="Times New Roman" w:eastAsia="Calibri" w:hAnsi="Times New Roman" w:cs="Times New Roman"/>
          <w:u w:val="single"/>
          <w:lang w:val="lt-LT"/>
        </w:rPr>
        <w:t>ažni šalutinio poveikio reiškiniai</w:t>
      </w:r>
      <w:r w:rsidRPr="00D5317A">
        <w:rPr>
          <w:rFonts w:ascii="Times New Roman" w:eastAsia="Calibri" w:hAnsi="Times New Roman" w:cs="Times New Roman"/>
          <w:lang w:val="lt-LT"/>
        </w:rPr>
        <w:t xml:space="preserve"> (</w:t>
      </w:r>
      <w:r w:rsidRPr="00D5317A">
        <w:rPr>
          <w:rFonts w:ascii="Times New Roman" w:eastAsia="Calibri" w:hAnsi="Times New Roman" w:cs="Times New Roman"/>
          <w:i/>
          <w:iCs/>
          <w:lang w:val="lt-LT"/>
        </w:rPr>
        <w:t>gali pasireikšti rečiau kaip 1 iš 10</w:t>
      </w:r>
      <w:r>
        <w:rPr>
          <w:rFonts w:ascii="Times New Roman" w:eastAsia="Calibri" w:hAnsi="Times New Roman" w:cs="Times New Roman"/>
          <w:i/>
          <w:iCs/>
          <w:lang w:val="lt-LT"/>
        </w:rPr>
        <w:t xml:space="preserve">0 </w:t>
      </w:r>
      <w:r w:rsidRPr="00D5317A">
        <w:rPr>
          <w:rFonts w:ascii="Times New Roman" w:eastAsia="Calibri" w:hAnsi="Times New Roman" w:cs="Times New Roman"/>
          <w:i/>
          <w:iCs/>
          <w:lang w:val="lt-LT"/>
        </w:rPr>
        <w:t>asmenų</w:t>
      </w:r>
      <w:r w:rsidRPr="00D5317A">
        <w:rPr>
          <w:rFonts w:ascii="Times New Roman" w:eastAsia="Calibri" w:hAnsi="Times New Roman" w:cs="Times New Roman"/>
          <w:lang w:val="lt-LT"/>
        </w:rPr>
        <w:t>):</w:t>
      </w:r>
    </w:p>
    <w:p w14:paraId="52E6A297" w14:textId="77777777" w:rsidR="00A840FC" w:rsidRPr="00A840FC" w:rsidRDefault="00A840FC" w:rsidP="00A840FC">
      <w:pPr>
        <w:numPr>
          <w:ilvl w:val="0"/>
          <w:numId w:val="14"/>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Traukulių priepuoliai.</w:t>
      </w:r>
    </w:p>
    <w:p w14:paraId="74F85B96" w14:textId="77777777" w:rsidR="00A840FC" w:rsidRPr="00A840FC" w:rsidRDefault="00A840FC" w:rsidP="00A840FC">
      <w:pPr>
        <w:numPr>
          <w:ilvl w:val="0"/>
          <w:numId w:val="14"/>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Alerginės reakcijos, kurios gali pasireikšti guzeliais (pūslėmis), odos paburkimu ir patinimu aplink burną.</w:t>
      </w:r>
    </w:p>
    <w:p w14:paraId="76DE766F" w14:textId="77777777" w:rsidR="00A840FC" w:rsidRPr="00A840FC" w:rsidRDefault="00A840FC" w:rsidP="00A840FC">
      <w:pPr>
        <w:numPr>
          <w:ilvl w:val="0"/>
          <w:numId w:val="14"/>
        </w:numPr>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Nemalonus pojūtis kojose (vadinamasis neramių kojų sindromas).</w:t>
      </w:r>
    </w:p>
    <w:p w14:paraId="4F7284B9" w14:textId="77777777" w:rsidR="00A840FC" w:rsidRPr="00A840FC" w:rsidRDefault="00A840FC" w:rsidP="00A840FC">
      <w:pPr>
        <w:numPr>
          <w:ilvl w:val="0"/>
          <w:numId w:val="14"/>
        </w:numPr>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Sunkumas nuryti.</w:t>
      </w:r>
    </w:p>
    <w:p w14:paraId="775A858B" w14:textId="77777777" w:rsidR="00A840FC" w:rsidRPr="00A840FC" w:rsidRDefault="00A840FC" w:rsidP="00A840FC">
      <w:pPr>
        <w:numPr>
          <w:ilvl w:val="0"/>
          <w:numId w:val="14"/>
        </w:numPr>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Nevalingi judesiai, daugiausia veido arba liežuvio;</w:t>
      </w:r>
    </w:p>
    <w:p w14:paraId="66C22B9E" w14:textId="77777777" w:rsidR="00A840FC" w:rsidRPr="00A840FC" w:rsidRDefault="00A840FC" w:rsidP="00A840FC">
      <w:pPr>
        <w:numPr>
          <w:ilvl w:val="0"/>
          <w:numId w:val="14"/>
        </w:numPr>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Erekcijos sutrikimas.</w:t>
      </w:r>
    </w:p>
    <w:p w14:paraId="42102BA2" w14:textId="77777777" w:rsidR="00A840FC" w:rsidRPr="00A840FC" w:rsidRDefault="00A840FC" w:rsidP="00A840FC">
      <w:pPr>
        <w:numPr>
          <w:ilvl w:val="0"/>
          <w:numId w:val="14"/>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Cukrinis diabetas.</w:t>
      </w:r>
    </w:p>
    <w:p w14:paraId="0166BA86" w14:textId="77777777" w:rsidR="00A840FC" w:rsidRPr="00A840FC" w:rsidRDefault="00A840FC" w:rsidP="00A840FC">
      <w:pPr>
        <w:numPr>
          <w:ilvl w:val="0"/>
          <w:numId w:val="14"/>
        </w:numPr>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Širdies elektrinio aktyvumo pokyčiai matomi elektrokardiogramoje (QT pailgėjimas).</w:t>
      </w:r>
    </w:p>
    <w:p w14:paraId="5D0E63E5" w14:textId="77777777" w:rsidR="00A840FC" w:rsidRPr="00A840FC" w:rsidRDefault="00A840FC" w:rsidP="00A840FC">
      <w:pPr>
        <w:numPr>
          <w:ilvl w:val="0"/>
          <w:numId w:val="14"/>
        </w:numPr>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bidi="lt-LT"/>
        </w:rPr>
        <w:t>Retesnis nei įprastas širdies plakimas, kuris gali pasireikšti gydymo pradžioje ir gali būti susijęs su mažu kraujospūdžiu ir alpuliu</w:t>
      </w:r>
      <w:r w:rsidRPr="00A840FC">
        <w:rPr>
          <w:rFonts w:ascii="Times New Roman" w:eastAsia="Times New Roman" w:hAnsi="Times New Roman" w:cs="Times New Roman"/>
          <w:lang w:val="lt-LT"/>
        </w:rPr>
        <w:t xml:space="preserve">. </w:t>
      </w:r>
    </w:p>
    <w:p w14:paraId="0C1B3165" w14:textId="77777777" w:rsidR="00A840FC" w:rsidRPr="00A840FC" w:rsidRDefault="00A840FC" w:rsidP="00A840FC">
      <w:pPr>
        <w:numPr>
          <w:ilvl w:val="0"/>
          <w:numId w:val="14"/>
        </w:numPr>
        <w:spacing w:after="0" w:line="240" w:lineRule="auto"/>
        <w:ind w:left="567" w:hanging="567"/>
        <w:contextualSpacing/>
        <w:rPr>
          <w:rFonts w:ascii="Times New Roman" w:eastAsia="Times New Roman" w:hAnsi="Times New Roman" w:cs="Times New Roman"/>
          <w:lang w:val="lt-LT" w:bidi="lt-LT"/>
        </w:rPr>
      </w:pPr>
      <w:r w:rsidRPr="00A840FC">
        <w:rPr>
          <w:rFonts w:ascii="Times New Roman" w:eastAsia="Times New Roman" w:hAnsi="Times New Roman" w:cs="Times New Roman"/>
          <w:lang w:val="lt-LT" w:bidi="lt-LT"/>
        </w:rPr>
        <w:t>Šlapinimosi pasunkėjimas.</w:t>
      </w:r>
    </w:p>
    <w:p w14:paraId="0A42AF89" w14:textId="77777777" w:rsidR="00A840FC" w:rsidRPr="00A840FC" w:rsidRDefault="00A840FC" w:rsidP="00A840FC">
      <w:pPr>
        <w:numPr>
          <w:ilvl w:val="0"/>
          <w:numId w:val="14"/>
        </w:numPr>
        <w:spacing w:after="0" w:line="240" w:lineRule="auto"/>
        <w:ind w:left="567" w:hanging="567"/>
        <w:contextualSpacing/>
        <w:rPr>
          <w:rFonts w:ascii="Times New Roman" w:eastAsia="Times New Roman" w:hAnsi="Times New Roman" w:cs="Times New Roman"/>
          <w:lang w:val="lt-LT" w:bidi="lt-LT"/>
        </w:rPr>
      </w:pPr>
      <w:r w:rsidRPr="00A840FC">
        <w:rPr>
          <w:rFonts w:ascii="Times New Roman" w:eastAsia="Times New Roman" w:hAnsi="Times New Roman" w:cs="Times New Roman"/>
          <w:lang w:val="lt-LT" w:bidi="lt-LT"/>
        </w:rPr>
        <w:t>Apalpimas (gali sukelti griuvimus).</w:t>
      </w:r>
    </w:p>
    <w:p w14:paraId="3B54C4F4" w14:textId="77777777" w:rsidR="00A840FC" w:rsidRPr="00A840FC" w:rsidRDefault="00A840FC" w:rsidP="00A840FC">
      <w:pPr>
        <w:numPr>
          <w:ilvl w:val="0"/>
          <w:numId w:val="14"/>
        </w:numPr>
        <w:spacing w:after="0" w:line="240" w:lineRule="auto"/>
        <w:ind w:left="567" w:hanging="567"/>
        <w:contextualSpacing/>
        <w:rPr>
          <w:rFonts w:ascii="Times New Roman" w:eastAsia="Times New Roman" w:hAnsi="Times New Roman" w:cs="Times New Roman"/>
          <w:lang w:val="lt-LT" w:bidi="lt-LT"/>
        </w:rPr>
      </w:pPr>
      <w:r w:rsidRPr="00A840FC">
        <w:rPr>
          <w:rFonts w:ascii="Times New Roman" w:eastAsia="Times New Roman" w:hAnsi="Times New Roman" w:cs="Times New Roman"/>
          <w:lang w:val="lt-LT" w:bidi="lt-LT"/>
        </w:rPr>
        <w:t>Nosies užgulimas.</w:t>
      </w:r>
    </w:p>
    <w:p w14:paraId="3E14A898" w14:textId="77777777" w:rsidR="00A840FC" w:rsidRPr="00A840FC" w:rsidRDefault="00A840FC" w:rsidP="00A840FC">
      <w:pPr>
        <w:numPr>
          <w:ilvl w:val="0"/>
          <w:numId w:val="14"/>
        </w:numPr>
        <w:spacing w:after="0" w:line="240" w:lineRule="auto"/>
        <w:ind w:left="567" w:hanging="567"/>
        <w:contextualSpacing/>
        <w:rPr>
          <w:rFonts w:ascii="Times New Roman" w:eastAsia="Times New Roman" w:hAnsi="Times New Roman" w:cs="Times New Roman"/>
          <w:lang w:val="lt-LT" w:bidi="lt-LT"/>
        </w:rPr>
      </w:pPr>
      <w:r w:rsidRPr="00A840FC">
        <w:rPr>
          <w:rFonts w:ascii="Times New Roman" w:eastAsia="Times New Roman" w:hAnsi="Times New Roman" w:cs="Times New Roman"/>
          <w:lang w:val="lt-LT" w:bidi="lt-LT"/>
        </w:rPr>
        <w:t>Raudonųjų kraujo ląstelių kiekio sumažėjimas.</w:t>
      </w:r>
    </w:p>
    <w:p w14:paraId="3994B4E6" w14:textId="77777777" w:rsidR="00A840FC" w:rsidRPr="00A840FC" w:rsidRDefault="00A840FC" w:rsidP="00A840FC">
      <w:pPr>
        <w:numPr>
          <w:ilvl w:val="0"/>
          <w:numId w:val="14"/>
        </w:numPr>
        <w:spacing w:after="0" w:line="240" w:lineRule="auto"/>
        <w:ind w:left="567" w:hanging="567"/>
        <w:contextualSpacing/>
        <w:rPr>
          <w:rFonts w:ascii="Times New Roman" w:eastAsia="Times New Roman" w:hAnsi="Times New Roman" w:cs="Times New Roman"/>
          <w:lang w:val="lt-LT" w:bidi="lt-LT"/>
        </w:rPr>
      </w:pPr>
      <w:r w:rsidRPr="00A840FC">
        <w:rPr>
          <w:rFonts w:ascii="Times New Roman" w:eastAsia="Times New Roman" w:hAnsi="Times New Roman" w:cs="Times New Roman"/>
          <w:lang w:val="lt-LT" w:bidi="lt-LT"/>
        </w:rPr>
        <w:t>Natrio kiekio kraujyje sumažėjimas.</w:t>
      </w:r>
    </w:p>
    <w:p w14:paraId="18ECA1B1" w14:textId="1E8E4ADA" w:rsidR="00A840FC" w:rsidRDefault="00A840FC" w:rsidP="00A840FC">
      <w:pPr>
        <w:numPr>
          <w:ilvl w:val="0"/>
          <w:numId w:val="14"/>
        </w:numPr>
        <w:spacing w:after="0" w:line="240" w:lineRule="auto"/>
        <w:ind w:left="567" w:hanging="567"/>
        <w:contextualSpacing/>
        <w:rPr>
          <w:rFonts w:ascii="Times New Roman" w:eastAsia="Times New Roman" w:hAnsi="Times New Roman" w:cs="Times New Roman"/>
          <w:lang w:val="lt-LT" w:bidi="lt-LT"/>
        </w:rPr>
      </w:pPr>
      <w:r w:rsidRPr="00A840FC">
        <w:rPr>
          <w:rFonts w:ascii="Times New Roman" w:eastAsia="Times New Roman" w:hAnsi="Times New Roman" w:cs="Times New Roman"/>
          <w:lang w:val="lt-LT" w:bidi="lt-LT"/>
        </w:rPr>
        <w:t>Esamo cukrinio diabeto pasunkėjimas.</w:t>
      </w:r>
    </w:p>
    <w:p w14:paraId="53DA4EC2" w14:textId="435E2801" w:rsidR="00DF1A9C" w:rsidRPr="00A840FC" w:rsidRDefault="003215D3" w:rsidP="00A840FC">
      <w:pPr>
        <w:numPr>
          <w:ilvl w:val="0"/>
          <w:numId w:val="14"/>
        </w:numPr>
        <w:spacing w:after="0" w:line="240" w:lineRule="auto"/>
        <w:ind w:left="567" w:hanging="567"/>
        <w:contextualSpacing/>
        <w:rPr>
          <w:rFonts w:ascii="Times New Roman" w:eastAsia="Times New Roman" w:hAnsi="Times New Roman" w:cs="Times New Roman"/>
          <w:lang w:val="lt-LT" w:bidi="lt-LT"/>
        </w:rPr>
      </w:pPr>
      <w:r>
        <w:rPr>
          <w:rFonts w:ascii="Times New Roman" w:eastAsia="Times New Roman" w:hAnsi="Times New Roman" w:cs="Times New Roman"/>
          <w:lang w:val="lt-LT" w:bidi="lt-LT"/>
        </w:rPr>
        <w:t>Sumišimas</w:t>
      </w:r>
      <w:r w:rsidR="00DF1A9C">
        <w:rPr>
          <w:rFonts w:ascii="Times New Roman" w:eastAsia="Times New Roman" w:hAnsi="Times New Roman" w:cs="Times New Roman"/>
          <w:lang w:val="lt-LT" w:bidi="lt-LT"/>
        </w:rPr>
        <w:t>.</w:t>
      </w:r>
    </w:p>
    <w:p w14:paraId="4903B760" w14:textId="7EF82977" w:rsidR="00A840FC" w:rsidRDefault="00A840FC" w:rsidP="00A840FC">
      <w:pPr>
        <w:tabs>
          <w:tab w:val="left" w:pos="360"/>
          <w:tab w:val="left" w:pos="567"/>
        </w:tabs>
        <w:spacing w:after="0" w:line="240" w:lineRule="auto"/>
        <w:rPr>
          <w:rFonts w:ascii="Times New Roman" w:eastAsia="Times New Roman" w:hAnsi="Times New Roman" w:cs="Times New Roman"/>
          <w:lang w:val="lt-LT"/>
        </w:rPr>
      </w:pPr>
    </w:p>
    <w:p w14:paraId="06A3AD4D" w14:textId="027861F1" w:rsidR="00BC5C52" w:rsidRPr="00D5317A" w:rsidRDefault="00BC5C52" w:rsidP="00BC5C52">
      <w:pPr>
        <w:keepNext/>
        <w:keepLines/>
        <w:tabs>
          <w:tab w:val="left" w:pos="360"/>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u w:val="single"/>
          <w:lang w:val="lt-LT"/>
        </w:rPr>
        <w:t xml:space="preserve">Reti </w:t>
      </w:r>
      <w:r w:rsidRPr="003215D3">
        <w:rPr>
          <w:rFonts w:ascii="Times New Roman" w:eastAsia="Calibri" w:hAnsi="Times New Roman" w:cs="Times New Roman"/>
          <w:u w:val="single"/>
          <w:lang w:val="lt-LT"/>
        </w:rPr>
        <w:t>šalutinio poveikio reiškiniai</w:t>
      </w:r>
      <w:r w:rsidRPr="00D5317A">
        <w:rPr>
          <w:rFonts w:ascii="Times New Roman" w:eastAsia="Calibri" w:hAnsi="Times New Roman" w:cs="Times New Roman"/>
          <w:lang w:val="lt-LT"/>
        </w:rPr>
        <w:t xml:space="preserve"> (</w:t>
      </w:r>
      <w:r w:rsidRPr="00D5317A">
        <w:rPr>
          <w:rFonts w:ascii="Times New Roman" w:eastAsia="Calibri" w:hAnsi="Times New Roman" w:cs="Times New Roman"/>
          <w:i/>
          <w:iCs/>
          <w:lang w:val="lt-LT"/>
        </w:rPr>
        <w:t>gali pasireikšti rečiau kaip 1 iš 1</w:t>
      </w:r>
      <w:r>
        <w:rPr>
          <w:rFonts w:ascii="Times New Roman" w:eastAsia="Calibri" w:hAnsi="Times New Roman" w:cs="Times New Roman"/>
          <w:i/>
          <w:iCs/>
          <w:lang w:val="lt-LT"/>
        </w:rPr>
        <w:t> 00</w:t>
      </w:r>
      <w:r w:rsidRPr="00D5317A">
        <w:rPr>
          <w:rFonts w:ascii="Times New Roman" w:eastAsia="Calibri" w:hAnsi="Times New Roman" w:cs="Times New Roman"/>
          <w:i/>
          <w:iCs/>
          <w:lang w:val="lt-LT"/>
        </w:rPr>
        <w:t>0 asmenų</w:t>
      </w:r>
      <w:r w:rsidRPr="00D5317A">
        <w:rPr>
          <w:rFonts w:ascii="Times New Roman" w:eastAsia="Calibri" w:hAnsi="Times New Roman" w:cs="Times New Roman"/>
          <w:lang w:val="lt-LT"/>
        </w:rPr>
        <w:t>):</w:t>
      </w:r>
    </w:p>
    <w:p w14:paraId="1B5C493F" w14:textId="77777777" w:rsidR="00A840FC" w:rsidRPr="00A840FC" w:rsidRDefault="00A840FC" w:rsidP="00A840FC">
      <w:pPr>
        <w:numPr>
          <w:ilvl w:val="0"/>
          <w:numId w:val="15"/>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Aukštos temperatūros (karščiavimo), padidėjusio prakaitavimo, raumenų sustingimo, mieguistumo arba alpulio (sutrikimo vadinamo piktybiniu neurolepsiniu sindromu) derinys.</w:t>
      </w:r>
    </w:p>
    <w:p w14:paraId="3E72C71C" w14:textId="77777777" w:rsidR="00A840FC" w:rsidRPr="00A840FC" w:rsidRDefault="00A840FC" w:rsidP="00A840FC">
      <w:pPr>
        <w:numPr>
          <w:ilvl w:val="0"/>
          <w:numId w:val="10"/>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Odos arba akių pageltonavimas (gelta).</w:t>
      </w:r>
    </w:p>
    <w:p w14:paraId="544D531D" w14:textId="77777777" w:rsidR="00A840FC" w:rsidRPr="00A840FC" w:rsidRDefault="00A840FC" w:rsidP="00A840FC">
      <w:pPr>
        <w:numPr>
          <w:ilvl w:val="0"/>
          <w:numId w:val="10"/>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Kepenų uždegimas (hepatitas).</w:t>
      </w:r>
    </w:p>
    <w:p w14:paraId="357A667D" w14:textId="77777777" w:rsidR="00A840FC" w:rsidRPr="00A840FC" w:rsidRDefault="00A840FC" w:rsidP="00A840FC">
      <w:pPr>
        <w:numPr>
          <w:ilvl w:val="0"/>
          <w:numId w:val="10"/>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Ilgai trunkanti skausminga erekcija (priapizmas).</w:t>
      </w:r>
    </w:p>
    <w:p w14:paraId="33BA92EA" w14:textId="77777777" w:rsidR="00A840FC" w:rsidRPr="00A840FC" w:rsidRDefault="00A840FC" w:rsidP="00A840FC">
      <w:pPr>
        <w:numPr>
          <w:ilvl w:val="0"/>
          <w:numId w:val="10"/>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Krūtų paburkimas ir netikėtai prasidėjusi pieno gamyba (galaktorėja).</w:t>
      </w:r>
    </w:p>
    <w:p w14:paraId="17A2FC1E" w14:textId="77777777" w:rsidR="00A840FC" w:rsidRPr="00A840FC" w:rsidRDefault="00A840FC" w:rsidP="00A840FC">
      <w:pPr>
        <w:numPr>
          <w:ilvl w:val="0"/>
          <w:numId w:val="10"/>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Mėnesinių ciklo sutrikimai.</w:t>
      </w:r>
    </w:p>
    <w:p w14:paraId="62AECDF5" w14:textId="77777777" w:rsidR="00A840FC" w:rsidRPr="00A840FC" w:rsidRDefault="00A840FC" w:rsidP="00A840FC">
      <w:pPr>
        <w:numPr>
          <w:ilvl w:val="0"/>
          <w:numId w:val="10"/>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Kraujo krešuliai venose, ypač kojose (simptomai: kojų patinimas, skausmas ir paraudimas), krešuliai gali keliauti per kraujagysles į plaučius ir sukelti krūtinės skausmą ir sunkumą kvėpuoti. Atsiradus šiems simptomams kreipkitės į gydytoją.</w:t>
      </w:r>
    </w:p>
    <w:p w14:paraId="67201FA5" w14:textId="77777777" w:rsidR="00A840FC" w:rsidRPr="00A840FC" w:rsidRDefault="00A840FC" w:rsidP="00A840FC">
      <w:pPr>
        <w:numPr>
          <w:ilvl w:val="0"/>
          <w:numId w:val="10"/>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Vaikščiojimas, kalbėjimas ir valgymas miegant.</w:t>
      </w:r>
    </w:p>
    <w:p w14:paraId="566AEF81" w14:textId="77777777" w:rsidR="00A840FC" w:rsidRPr="00A840FC" w:rsidRDefault="00A840FC" w:rsidP="00A840FC">
      <w:pPr>
        <w:numPr>
          <w:ilvl w:val="0"/>
          <w:numId w:val="10"/>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Sumažėjusi kūno temperatūra (hipotermija).</w:t>
      </w:r>
    </w:p>
    <w:p w14:paraId="5F731DA6" w14:textId="77777777" w:rsidR="00A840FC" w:rsidRPr="00A840FC" w:rsidRDefault="00A840FC" w:rsidP="00A840FC">
      <w:pPr>
        <w:numPr>
          <w:ilvl w:val="0"/>
          <w:numId w:val="10"/>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Kasos uždegimas.</w:t>
      </w:r>
    </w:p>
    <w:p w14:paraId="5E4557D3" w14:textId="77777777" w:rsidR="00A840FC" w:rsidRPr="00A840FC" w:rsidRDefault="00A840FC" w:rsidP="00A840FC">
      <w:pPr>
        <w:numPr>
          <w:ilvl w:val="0"/>
          <w:numId w:val="10"/>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Būklė (vadinama metaboliniu sindromu), kuri gali pasireikšti 3 ar daugiau simptomų deriniu: riebalų susikaupimu pilvo srityje, „gerojo cholesterolio“ (DTL-C) kiekio sumažėjimu, riebalų rūšies, vadinamos trigliceridais, kiekio kraujyje padidėjimu, dideliu kraujospūdžiu ir cukraus kiekio kraujyje padidėjimu. </w:t>
      </w:r>
    </w:p>
    <w:p w14:paraId="2547106C" w14:textId="77777777" w:rsidR="00A840FC" w:rsidRPr="00A840FC" w:rsidRDefault="00A840FC" w:rsidP="00A840FC">
      <w:pPr>
        <w:numPr>
          <w:ilvl w:val="0"/>
          <w:numId w:val="10"/>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lastRenderedPageBreak/>
        <w:t>Simptomų derinys: karščiavimas, į gripą panašūs simptomai, gerklės skausmas ar bet kokia kita infekcija, kai yra labai mažas baltųjų kraujo ląstelių kiekis (būklė, vadinama agranulocitoze).</w:t>
      </w:r>
    </w:p>
    <w:p w14:paraId="324DBFC0" w14:textId="77777777" w:rsidR="00A840FC" w:rsidRPr="00A840FC" w:rsidRDefault="00A840FC" w:rsidP="00A840FC">
      <w:pPr>
        <w:numPr>
          <w:ilvl w:val="0"/>
          <w:numId w:val="10"/>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Žarnyno užsikimšimas.</w:t>
      </w:r>
    </w:p>
    <w:p w14:paraId="6BC1EB49" w14:textId="77777777" w:rsidR="00A840FC" w:rsidRPr="00A840FC" w:rsidRDefault="00A840FC" w:rsidP="00A840FC">
      <w:pPr>
        <w:numPr>
          <w:ilvl w:val="0"/>
          <w:numId w:val="10"/>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Padidėjęs kreatinfosfokinazės (raumenyse susidarančios medžiagos) aktyvumas kraujyje.</w:t>
      </w:r>
    </w:p>
    <w:p w14:paraId="096C34C0" w14:textId="69D1FEF1" w:rsidR="00A840FC" w:rsidRDefault="00A840FC" w:rsidP="00A840FC">
      <w:pPr>
        <w:tabs>
          <w:tab w:val="left" w:pos="567"/>
        </w:tabs>
        <w:spacing w:after="0" w:line="240" w:lineRule="auto"/>
        <w:ind w:left="567" w:hanging="567"/>
        <w:rPr>
          <w:rFonts w:ascii="Times New Roman" w:eastAsia="Times New Roman" w:hAnsi="Times New Roman" w:cs="Times New Roman"/>
          <w:lang w:val="lt-LT"/>
        </w:rPr>
      </w:pPr>
    </w:p>
    <w:p w14:paraId="57F8443B" w14:textId="66B6EAAD" w:rsidR="00BC5C52" w:rsidRPr="00D5317A" w:rsidRDefault="00BC5C52" w:rsidP="00BC5C52">
      <w:pPr>
        <w:keepNext/>
        <w:keepLines/>
        <w:tabs>
          <w:tab w:val="left" w:pos="360"/>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u w:val="single"/>
          <w:lang w:val="lt-LT"/>
        </w:rPr>
        <w:t xml:space="preserve">Labai reti </w:t>
      </w:r>
      <w:r w:rsidRPr="003215D3">
        <w:rPr>
          <w:rFonts w:ascii="Times New Roman" w:eastAsia="Calibri" w:hAnsi="Times New Roman" w:cs="Times New Roman"/>
          <w:u w:val="single"/>
          <w:lang w:val="lt-LT"/>
        </w:rPr>
        <w:t>šalutinio poveikio reiškiniai</w:t>
      </w:r>
      <w:r w:rsidRPr="00D5317A">
        <w:rPr>
          <w:rFonts w:ascii="Times New Roman" w:eastAsia="Calibri" w:hAnsi="Times New Roman" w:cs="Times New Roman"/>
          <w:lang w:val="lt-LT"/>
        </w:rPr>
        <w:t xml:space="preserve"> (</w:t>
      </w:r>
      <w:r w:rsidRPr="00D5317A">
        <w:rPr>
          <w:rFonts w:ascii="Times New Roman" w:eastAsia="Calibri" w:hAnsi="Times New Roman" w:cs="Times New Roman"/>
          <w:i/>
          <w:iCs/>
          <w:lang w:val="lt-LT"/>
        </w:rPr>
        <w:t>gali pasireikšti rečiau kaip 1 iš 1</w:t>
      </w:r>
      <w:r>
        <w:rPr>
          <w:rFonts w:ascii="Times New Roman" w:eastAsia="Calibri" w:hAnsi="Times New Roman" w:cs="Times New Roman"/>
          <w:i/>
          <w:iCs/>
          <w:lang w:val="lt-LT"/>
        </w:rPr>
        <w:t>0 00</w:t>
      </w:r>
      <w:r w:rsidRPr="00D5317A">
        <w:rPr>
          <w:rFonts w:ascii="Times New Roman" w:eastAsia="Calibri" w:hAnsi="Times New Roman" w:cs="Times New Roman"/>
          <w:i/>
          <w:iCs/>
          <w:lang w:val="lt-LT"/>
        </w:rPr>
        <w:t>0 asmenų</w:t>
      </w:r>
      <w:r w:rsidRPr="00D5317A">
        <w:rPr>
          <w:rFonts w:ascii="Times New Roman" w:eastAsia="Calibri" w:hAnsi="Times New Roman" w:cs="Times New Roman"/>
          <w:lang w:val="lt-LT"/>
        </w:rPr>
        <w:t>):</w:t>
      </w:r>
    </w:p>
    <w:p w14:paraId="37BFB15C" w14:textId="77777777" w:rsidR="00A840FC" w:rsidRPr="00A840FC" w:rsidRDefault="00A840FC" w:rsidP="00A840FC">
      <w:pPr>
        <w:numPr>
          <w:ilvl w:val="0"/>
          <w:numId w:val="16"/>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Sunkus bėrimas, pūslės arba raudonų odos lopų atsiradimas.</w:t>
      </w:r>
    </w:p>
    <w:p w14:paraId="5003F31C" w14:textId="77777777" w:rsidR="00A840FC" w:rsidRPr="00A840FC" w:rsidRDefault="00A840FC" w:rsidP="00A840FC">
      <w:pPr>
        <w:numPr>
          <w:ilvl w:val="0"/>
          <w:numId w:val="16"/>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Sunki alerginė reakcija (vadinama anafilaksija), gali būti sunku kvėpuoti arba ištikti šokas.</w:t>
      </w:r>
    </w:p>
    <w:p w14:paraId="42924719" w14:textId="77777777" w:rsidR="00A840FC" w:rsidRPr="00A840FC" w:rsidRDefault="00A840FC" w:rsidP="00A840FC">
      <w:pPr>
        <w:numPr>
          <w:ilvl w:val="0"/>
          <w:numId w:val="16"/>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Greitas odos patinimas, dažniausiai akių, lūpų arba burnos plote (angioneurozinė edema).</w:t>
      </w:r>
    </w:p>
    <w:p w14:paraId="00BE6054" w14:textId="77777777" w:rsidR="00A840FC" w:rsidRPr="00A840FC" w:rsidRDefault="00A840FC" w:rsidP="00A840FC">
      <w:pPr>
        <w:numPr>
          <w:ilvl w:val="0"/>
          <w:numId w:val="16"/>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Sunki būklė, pasireiškianti pūslių atsiradimu ant odos, burnoje, akyse ir lytiniuose organuose (Stivenso-Džonsono [</w:t>
      </w:r>
      <w:r w:rsidRPr="00A840FC">
        <w:rPr>
          <w:rFonts w:ascii="Times New Roman" w:eastAsia="Times New Roman" w:hAnsi="Times New Roman" w:cs="Times New Roman"/>
          <w:i/>
          <w:lang w:val="lt-LT"/>
        </w:rPr>
        <w:t>Stevens-Johnson</w:t>
      </w:r>
      <w:r w:rsidRPr="00A840FC">
        <w:rPr>
          <w:rFonts w:ascii="Times New Roman" w:eastAsia="Times New Roman" w:hAnsi="Times New Roman" w:cs="Times New Roman"/>
          <w:lang w:val="lt-LT"/>
        </w:rPr>
        <w:t>] sindromas). Žr. 2 skyrių.</w:t>
      </w:r>
    </w:p>
    <w:p w14:paraId="22822C9E" w14:textId="77777777" w:rsidR="00A840FC" w:rsidRPr="00A840FC" w:rsidRDefault="00A840FC" w:rsidP="00A840FC">
      <w:pPr>
        <w:numPr>
          <w:ilvl w:val="0"/>
          <w:numId w:val="16"/>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Netinkama hormono, kuris kontroliuoja šlapimo tūrį, sekrecija.</w:t>
      </w:r>
    </w:p>
    <w:p w14:paraId="76F6626B" w14:textId="77777777" w:rsidR="00A840FC" w:rsidRPr="00A840FC" w:rsidRDefault="00A840FC" w:rsidP="00A840FC">
      <w:pPr>
        <w:numPr>
          <w:ilvl w:val="0"/>
          <w:numId w:val="16"/>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Raumeninių skaidulų irimas ir raumenų skausmas (rabdomiolizė).</w:t>
      </w:r>
    </w:p>
    <w:p w14:paraId="652A90FA" w14:textId="4BAF67C1" w:rsidR="00A840FC" w:rsidRPr="00F6099F" w:rsidRDefault="00A840FC" w:rsidP="00A840FC">
      <w:pPr>
        <w:tabs>
          <w:tab w:val="left" w:pos="567"/>
        </w:tabs>
        <w:spacing w:after="0" w:line="240" w:lineRule="auto"/>
        <w:rPr>
          <w:rFonts w:ascii="Times New Roman" w:eastAsia="Times New Roman" w:hAnsi="Times New Roman" w:cs="Times New Roman"/>
          <w:lang w:val="lt-LT"/>
        </w:rPr>
      </w:pPr>
    </w:p>
    <w:p w14:paraId="232C378C" w14:textId="21B26E1D" w:rsidR="00BC5C52" w:rsidRPr="00F6099F" w:rsidRDefault="00BC5C52" w:rsidP="00A840FC">
      <w:pPr>
        <w:tabs>
          <w:tab w:val="left" w:pos="567"/>
        </w:tabs>
        <w:spacing w:after="0" w:line="240" w:lineRule="auto"/>
        <w:rPr>
          <w:rFonts w:ascii="Times New Roman" w:eastAsia="Times New Roman" w:hAnsi="Times New Roman" w:cs="Times New Roman"/>
          <w:lang w:val="lt-LT"/>
        </w:rPr>
      </w:pPr>
      <w:r w:rsidRPr="001E0791">
        <w:rPr>
          <w:rFonts w:ascii="Times New Roman" w:eastAsia="Times New Roman" w:hAnsi="Times New Roman" w:cs="Times New Roman"/>
          <w:u w:val="single"/>
          <w:lang w:val="lt-LT"/>
        </w:rPr>
        <w:t>Šalutinio poveikio reiškiniai, kurių dažnis nežinomas</w:t>
      </w:r>
      <w:r w:rsidRPr="00F6099F">
        <w:rPr>
          <w:rFonts w:ascii="Times New Roman" w:eastAsia="Times New Roman" w:hAnsi="Times New Roman" w:cs="Times New Roman"/>
          <w:lang w:val="lt-LT"/>
        </w:rPr>
        <w:t xml:space="preserve"> (</w:t>
      </w:r>
      <w:r w:rsidRPr="001E0791">
        <w:rPr>
          <w:rFonts w:ascii="Times New Roman" w:eastAsia="Times New Roman" w:hAnsi="Times New Roman" w:cs="Times New Roman"/>
          <w:i/>
          <w:iCs/>
          <w:lang w:val="lt-LT"/>
        </w:rPr>
        <w:t>negali būti apskaičiuotas pagal turimus duomenis</w:t>
      </w:r>
      <w:r w:rsidRPr="00F6099F">
        <w:rPr>
          <w:rFonts w:ascii="Times New Roman" w:eastAsia="Times New Roman" w:hAnsi="Times New Roman" w:cs="Times New Roman"/>
          <w:lang w:val="lt-LT"/>
        </w:rPr>
        <w:t>):</w:t>
      </w:r>
    </w:p>
    <w:p w14:paraId="41752922" w14:textId="77777777" w:rsidR="00A840FC" w:rsidRPr="00F6099F" w:rsidRDefault="00A840FC" w:rsidP="00A840FC">
      <w:pPr>
        <w:keepNext/>
        <w:keepLines/>
        <w:numPr>
          <w:ilvl w:val="0"/>
          <w:numId w:val="18"/>
        </w:numPr>
        <w:tabs>
          <w:tab w:val="left" w:pos="567"/>
        </w:tabs>
        <w:spacing w:after="0" w:line="240" w:lineRule="auto"/>
        <w:ind w:left="567" w:hanging="567"/>
        <w:rPr>
          <w:rFonts w:ascii="Times New Roman" w:eastAsia="Times New Roman" w:hAnsi="Times New Roman" w:cs="Times New Roman"/>
          <w:lang w:val="lt-LT"/>
        </w:rPr>
      </w:pPr>
      <w:r w:rsidRPr="00F6099F">
        <w:rPr>
          <w:rFonts w:ascii="Times New Roman" w:eastAsia="Times New Roman" w:hAnsi="Times New Roman" w:cs="Times New Roman"/>
          <w:lang w:val="lt-LT"/>
        </w:rPr>
        <w:t>Odos išbėrimas nevienodomis raudonomis dėmėmis (daugiaformė raudonė (eritema)).</w:t>
      </w:r>
    </w:p>
    <w:p w14:paraId="14CD82C1" w14:textId="3CF6AA6E" w:rsidR="003215D3" w:rsidRPr="00F6099F" w:rsidRDefault="003215D3" w:rsidP="001E0791">
      <w:pPr>
        <w:pStyle w:val="Sraopastraipa"/>
        <w:keepNext/>
        <w:keepLines/>
        <w:numPr>
          <w:ilvl w:val="0"/>
          <w:numId w:val="18"/>
        </w:numPr>
        <w:tabs>
          <w:tab w:val="left" w:pos="567"/>
        </w:tabs>
        <w:ind w:left="567" w:hanging="567"/>
        <w:rPr>
          <w:rFonts w:eastAsia="Times New Roman"/>
        </w:rPr>
      </w:pPr>
      <w:r w:rsidRPr="00F6099F">
        <w:rPr>
          <w:rFonts w:eastAsia="Times New Roman"/>
        </w:rPr>
        <w:t>Greitai atsirandantys raudoni odos plotai su mažomis pustulėmis (mažomis pūslelėmis su baltu</w:t>
      </w:r>
      <w:r w:rsidR="00F6099F" w:rsidRPr="00F6099F">
        <w:rPr>
          <w:rFonts w:eastAsia="Times New Roman"/>
        </w:rPr>
        <w:t xml:space="preserve"> arba </w:t>
      </w:r>
      <w:r w:rsidRPr="00F6099F">
        <w:rPr>
          <w:rFonts w:eastAsia="Times New Roman"/>
        </w:rPr>
        <w:t xml:space="preserve">geltonu skysčiu, būklė vadinama </w:t>
      </w:r>
      <w:r w:rsidR="00F6099F" w:rsidRPr="00F6099F">
        <w:rPr>
          <w:rFonts w:eastAsia="Times New Roman"/>
        </w:rPr>
        <w:t xml:space="preserve">ūmine generalizuota egzanteminę pustuliozę </w:t>
      </w:r>
      <w:r w:rsidRPr="00F6099F">
        <w:rPr>
          <w:rFonts w:eastAsia="Times New Roman"/>
        </w:rPr>
        <w:t>(AGEP)). Žr. 2</w:t>
      </w:r>
      <w:r w:rsidR="00F6099F" w:rsidRPr="00F6099F">
        <w:rPr>
          <w:rFonts w:eastAsia="Times New Roman"/>
        </w:rPr>
        <w:t> </w:t>
      </w:r>
      <w:r w:rsidRPr="00F6099F">
        <w:rPr>
          <w:rFonts w:eastAsia="Times New Roman"/>
        </w:rPr>
        <w:t>skyrių.</w:t>
      </w:r>
    </w:p>
    <w:p w14:paraId="46B7CEF3" w14:textId="003F52A9" w:rsidR="00A840FC" w:rsidRPr="00F6099F" w:rsidRDefault="00A840FC" w:rsidP="00A840FC">
      <w:pPr>
        <w:keepNext/>
        <w:keepLines/>
        <w:numPr>
          <w:ilvl w:val="0"/>
          <w:numId w:val="18"/>
        </w:numPr>
        <w:tabs>
          <w:tab w:val="left" w:pos="567"/>
        </w:tabs>
        <w:spacing w:after="0" w:line="240" w:lineRule="auto"/>
        <w:ind w:left="567" w:hanging="567"/>
        <w:rPr>
          <w:rFonts w:ascii="Times New Roman" w:eastAsia="Times New Roman" w:hAnsi="Times New Roman" w:cs="Times New Roman"/>
          <w:lang w:val="lt-LT"/>
        </w:rPr>
      </w:pPr>
      <w:r w:rsidRPr="00F6099F">
        <w:rPr>
          <w:rFonts w:ascii="Times New Roman" w:eastAsia="Times New Roman" w:hAnsi="Times New Roman" w:cs="Times New Roman"/>
          <w:lang w:val="lt-LT"/>
        </w:rPr>
        <w:t>Sunki, staiga prasidėjusi alerginė reakcija, pasireiškianti karščiavimu, puslių atsiradimu ant odos ir odos lupimusi (toksinė epidermio nekrolizė (Lajelio (</w:t>
      </w:r>
      <w:r w:rsidRPr="00F6099F">
        <w:rPr>
          <w:rFonts w:ascii="Times New Roman" w:eastAsia="Times New Roman" w:hAnsi="Times New Roman" w:cs="Times New Roman"/>
          <w:i/>
          <w:lang w:val="lt-LT"/>
        </w:rPr>
        <w:t>Lyell</w:t>
      </w:r>
      <w:r w:rsidRPr="00F6099F">
        <w:rPr>
          <w:rFonts w:ascii="Times New Roman" w:eastAsia="Times New Roman" w:hAnsi="Times New Roman" w:cs="Times New Roman"/>
          <w:lang w:val="lt-LT"/>
        </w:rPr>
        <w:t>) sindromas)).</w:t>
      </w:r>
      <w:r w:rsidR="00F6099F" w:rsidRPr="001E0791">
        <w:rPr>
          <w:rFonts w:eastAsia="Times New Roman"/>
          <w:lang w:val="lt-LT"/>
        </w:rPr>
        <w:t xml:space="preserve"> </w:t>
      </w:r>
      <w:r w:rsidR="00F6099F" w:rsidRPr="001E0791">
        <w:rPr>
          <w:rFonts w:ascii="Times New Roman" w:eastAsia="Times New Roman" w:hAnsi="Times New Roman" w:cs="Times New Roman"/>
          <w:lang w:val="lt-LT"/>
        </w:rPr>
        <w:t>Žr. 2 skyrių.</w:t>
      </w:r>
    </w:p>
    <w:p w14:paraId="148B12B4" w14:textId="77777777" w:rsidR="00A840FC" w:rsidRPr="00A840FC" w:rsidRDefault="00A840FC" w:rsidP="00A840FC">
      <w:pPr>
        <w:numPr>
          <w:ilvl w:val="0"/>
          <w:numId w:val="18"/>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Reakcija į vaistą su eozinofilija ir sisteminiais simptomais (</w:t>
      </w:r>
      <w:r w:rsidRPr="00A840FC">
        <w:rPr>
          <w:rFonts w:ascii="Times New Roman" w:eastAsia="Times New Roman" w:hAnsi="Times New Roman" w:cs="Times New Roman"/>
          <w:i/>
          <w:iCs/>
          <w:lang w:val="lt-LT"/>
        </w:rPr>
        <w:t>DRESS</w:t>
      </w:r>
      <w:r w:rsidRPr="00A840FC">
        <w:rPr>
          <w:rFonts w:ascii="Times New Roman" w:eastAsia="Times New Roman" w:hAnsi="Times New Roman" w:cs="Times New Roman"/>
          <w:lang w:val="lt-LT"/>
        </w:rPr>
        <w:t>), kai atsiranda į gripą panašių simptomų su išbėrimu, karščiavimu, liaukų patinimu ir nenormaliais kraujo tyrimų rezultatais (įskaitant baltųjų kraujo ląstelių kiekio padidėjimą (eozinofiliją) ir kepenų fermentų suaktyvėjimą). Žr. 2 skyrių.</w:t>
      </w:r>
    </w:p>
    <w:p w14:paraId="36592F60" w14:textId="77777777" w:rsidR="00A840FC" w:rsidRPr="00A840FC" w:rsidRDefault="00A840FC" w:rsidP="00A840FC">
      <w:pPr>
        <w:numPr>
          <w:ilvl w:val="0"/>
          <w:numId w:val="18"/>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Širdies raumens pažeidimas (kardiomiopatija).</w:t>
      </w:r>
    </w:p>
    <w:p w14:paraId="167B4141" w14:textId="77777777" w:rsidR="00A840FC" w:rsidRPr="00A840FC" w:rsidRDefault="00A840FC" w:rsidP="00A840FC">
      <w:pPr>
        <w:numPr>
          <w:ilvl w:val="0"/>
          <w:numId w:val="18"/>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Širdies raumens uždegimas (miokarditas).</w:t>
      </w:r>
    </w:p>
    <w:p w14:paraId="11832A1E" w14:textId="77777777" w:rsidR="00A840FC" w:rsidRPr="00A840FC" w:rsidRDefault="00A840FC" w:rsidP="00A840FC">
      <w:pPr>
        <w:numPr>
          <w:ilvl w:val="0"/>
          <w:numId w:val="18"/>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Kraujagyslių uždegimas (vaskulitas), kuris dažnai pasireiškia su odos išbėrimu mažomis raudonomis ar purpurinėmis iškilomis dėmelėmis.</w:t>
      </w:r>
    </w:p>
    <w:p w14:paraId="6FF369A8" w14:textId="77777777" w:rsidR="00A840FC" w:rsidRPr="00A840FC" w:rsidRDefault="00A840FC" w:rsidP="00A840FC">
      <w:pPr>
        <w:numPr>
          <w:ilvl w:val="0"/>
          <w:numId w:val="18"/>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Motinų, kurios nėštumo metu vartojo Ketipinor, naujagimiams gali atsirasti nutraukimo simptomų.</w:t>
      </w:r>
    </w:p>
    <w:p w14:paraId="68294B0A" w14:textId="77777777" w:rsidR="00A840FC" w:rsidRPr="00A840FC" w:rsidRDefault="00A840FC" w:rsidP="00A840FC">
      <w:pPr>
        <w:numPr>
          <w:ilvl w:val="0"/>
          <w:numId w:val="18"/>
        </w:numPr>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Insultas.</w:t>
      </w:r>
    </w:p>
    <w:p w14:paraId="1330A5F6"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p>
    <w:p w14:paraId="4C5B945A"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Vaistų grupė, kuriai priklauso Ketipinor, gali sukelti širdies ritmo sutrikimus, kurie gali būti sunkūs, o rimtais atvejais mirtini.</w:t>
      </w:r>
    </w:p>
    <w:p w14:paraId="70570D32"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p>
    <w:p w14:paraId="56A22276"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Kai kuriuos šalutinius poveikius galima nustatyti tik kraujo tyrimų metu. Tokie poveikiai yra kai kurių riebalų ląstelių (trigliceridų ir bendro cholesterolio) arba gliukozės kiekio padidėjimas kraujyje, skydliaukės hormonų kiekio padidėjimas kraujyje, kepenų fermento kiekio padidėjimas, kai kurių tipų kraujo ląstelių skaičiaus sumažėjimas, raudonųjų kraujo kūnelių kiekio sumažėjimas kraujyje, padidėjęs kreatinfosfokinazės aktyvumas (raumenų medžiaga), natrio kiekio sumažėjimas kraujyje, padidėjęs hormono prolaktino kiekis kraujyje. Hormono prolaktino kiekio padidėjimas retais atvejais gali pasireikšti:</w:t>
      </w:r>
    </w:p>
    <w:p w14:paraId="2510E6E7"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vyrams ir moterims krūtų paburkimu ir netikėtai prasidėjusia pieno gamyba;</w:t>
      </w:r>
    </w:p>
    <w:p w14:paraId="14770430"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moterims galimu mėnesinių išnykimu arba nereguliariu jų ciklu.</w:t>
      </w:r>
    </w:p>
    <w:p w14:paraId="34E857DE" w14:textId="77777777" w:rsidR="00A840FC" w:rsidRPr="00A840FC" w:rsidRDefault="00A840FC" w:rsidP="00A840FC">
      <w:pPr>
        <w:tabs>
          <w:tab w:val="left" w:pos="360"/>
          <w:tab w:val="left" w:pos="567"/>
        </w:tabs>
        <w:spacing w:after="0" w:line="240" w:lineRule="auto"/>
        <w:rPr>
          <w:rFonts w:ascii="Times New Roman" w:eastAsia="Times New Roman" w:hAnsi="Times New Roman" w:cs="Times New Roman"/>
          <w:lang w:val="lt-LT"/>
        </w:rPr>
      </w:pPr>
    </w:p>
    <w:p w14:paraId="507F9C7D" w14:textId="77777777" w:rsidR="00A840FC" w:rsidRPr="00A840FC" w:rsidRDefault="00A840FC" w:rsidP="00A840FC">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Todėl, retkarčiais gydytojas gali nurodyti Jums atlikti kraujo tyrimus.</w:t>
      </w:r>
    </w:p>
    <w:p w14:paraId="4AA35421" w14:textId="77777777" w:rsidR="00A840FC" w:rsidRPr="00A840FC" w:rsidRDefault="00A840FC" w:rsidP="00A840FC">
      <w:pPr>
        <w:tabs>
          <w:tab w:val="left" w:pos="360"/>
          <w:tab w:val="left" w:pos="567"/>
        </w:tabs>
        <w:spacing w:after="0" w:line="240" w:lineRule="auto"/>
        <w:rPr>
          <w:rFonts w:ascii="Times New Roman" w:eastAsia="Times New Roman" w:hAnsi="Times New Roman" w:cs="Times New Roman"/>
          <w:lang w:val="lt-LT"/>
        </w:rPr>
      </w:pPr>
    </w:p>
    <w:p w14:paraId="76DF6554" w14:textId="77777777" w:rsidR="00A840FC" w:rsidRPr="00A840FC" w:rsidRDefault="00A840FC" w:rsidP="00A840FC">
      <w:pPr>
        <w:keepNext/>
        <w:keepLines/>
        <w:tabs>
          <w:tab w:val="left" w:pos="360"/>
          <w:tab w:val="left" w:pos="567"/>
        </w:tab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Papildomas šalutinis poveikis vaikams ir paaugliams</w:t>
      </w:r>
    </w:p>
    <w:p w14:paraId="733F4491" w14:textId="77777777" w:rsidR="00A840FC" w:rsidRPr="00A840FC" w:rsidRDefault="00A840FC" w:rsidP="00A840FC">
      <w:pPr>
        <w:keepNext/>
        <w:keepLines/>
        <w:tabs>
          <w:tab w:val="left" w:pos="360"/>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Toks pats šalutinis poveikis kaip suaugusiems gali būti ir paaugliams, ir vaikams.</w:t>
      </w:r>
    </w:p>
    <w:p w14:paraId="5D367505" w14:textId="77777777" w:rsidR="00A840FC" w:rsidRPr="00A840FC" w:rsidRDefault="00A840FC" w:rsidP="00A840FC">
      <w:pPr>
        <w:tabs>
          <w:tab w:val="left" w:pos="360"/>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Toliau pateikiamas šalutinis poveikis dažniau pastebėtas vaikams ir paaugliams arba nebuvo pastebėtas suaugusiesiems.</w:t>
      </w:r>
    </w:p>
    <w:p w14:paraId="0D3434E2" w14:textId="77777777" w:rsidR="00A840FC" w:rsidRPr="00A840FC" w:rsidRDefault="00A840FC" w:rsidP="00A840FC">
      <w:pPr>
        <w:tabs>
          <w:tab w:val="left" w:pos="360"/>
          <w:tab w:val="left" w:pos="567"/>
        </w:tabs>
        <w:spacing w:after="0" w:line="240" w:lineRule="auto"/>
        <w:rPr>
          <w:rFonts w:ascii="Times New Roman" w:eastAsia="Times New Roman" w:hAnsi="Times New Roman" w:cs="Times New Roman"/>
          <w:b/>
          <w:lang w:val="lt-LT"/>
        </w:rPr>
      </w:pPr>
    </w:p>
    <w:p w14:paraId="2DDCCE0E" w14:textId="77777777" w:rsidR="003215D3" w:rsidRPr="00D5317A" w:rsidRDefault="003215D3" w:rsidP="003215D3">
      <w:pPr>
        <w:tabs>
          <w:tab w:val="left" w:pos="360"/>
          <w:tab w:val="left" w:pos="567"/>
        </w:tabs>
        <w:spacing w:after="0" w:line="240" w:lineRule="auto"/>
        <w:rPr>
          <w:rFonts w:ascii="Times New Roman" w:eastAsia="Times New Roman" w:hAnsi="Times New Roman" w:cs="Times New Roman"/>
          <w:bCs/>
          <w:lang w:val="lt-LT"/>
        </w:rPr>
      </w:pPr>
      <w:r w:rsidRPr="00D5317A">
        <w:rPr>
          <w:rFonts w:ascii="Times New Roman" w:eastAsia="Times New Roman" w:hAnsi="Times New Roman" w:cs="Times New Roman"/>
          <w:bCs/>
          <w:u w:val="single"/>
          <w:lang w:val="lt-LT"/>
        </w:rPr>
        <w:t>Labai dažni šalutinio poveikio reiškiniai</w:t>
      </w:r>
      <w:r w:rsidRPr="00D5317A">
        <w:rPr>
          <w:rFonts w:ascii="Times New Roman" w:eastAsia="Times New Roman" w:hAnsi="Times New Roman" w:cs="Times New Roman"/>
          <w:bCs/>
          <w:lang w:val="lt-LT"/>
        </w:rPr>
        <w:t xml:space="preserve"> (</w:t>
      </w:r>
      <w:r w:rsidRPr="00D5317A">
        <w:rPr>
          <w:rFonts w:ascii="Times New Roman" w:eastAsia="Times New Roman" w:hAnsi="Times New Roman" w:cs="Times New Roman"/>
          <w:bCs/>
          <w:i/>
          <w:iCs/>
          <w:lang w:val="lt-LT"/>
        </w:rPr>
        <w:t>gali pasireikšti ne rečiau kaip 1 iš 10 asmenų</w:t>
      </w:r>
      <w:r w:rsidRPr="00D5317A">
        <w:rPr>
          <w:rFonts w:ascii="Times New Roman" w:eastAsia="Times New Roman" w:hAnsi="Times New Roman" w:cs="Times New Roman"/>
          <w:bCs/>
          <w:lang w:val="lt-LT"/>
        </w:rPr>
        <w:t>):</w:t>
      </w:r>
    </w:p>
    <w:p w14:paraId="1B084884" w14:textId="77777777" w:rsidR="00A840FC" w:rsidRPr="00A840FC" w:rsidRDefault="00A840FC" w:rsidP="00A840FC">
      <w:pPr>
        <w:numPr>
          <w:ilvl w:val="0"/>
          <w:numId w:val="11"/>
        </w:numPr>
        <w:tabs>
          <w:tab w:val="left" w:pos="0"/>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lastRenderedPageBreak/>
        <w:t>Padidėjęs hormono, vadinamo prolaktinu, kiekis kraujyje. Padidėjęs hormono, vadinamo prolaktinu, kiekis kraujyje retais atvejais gali sukelti:</w:t>
      </w:r>
    </w:p>
    <w:p w14:paraId="27D2A7DA" w14:textId="77777777" w:rsidR="00A840FC" w:rsidRPr="00A840FC" w:rsidRDefault="00A840FC" w:rsidP="00A840FC">
      <w:pPr>
        <w:numPr>
          <w:ilvl w:val="0"/>
          <w:numId w:val="12"/>
        </w:numPr>
        <w:tabs>
          <w:tab w:val="left" w:pos="567"/>
        </w:tabs>
        <w:spacing w:after="0" w:line="240" w:lineRule="auto"/>
        <w:ind w:left="1134"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krūtų paburkimą ir netikėtai prasidėjusią pieno gamybą berniukams ir mergaitėms;</w:t>
      </w:r>
    </w:p>
    <w:p w14:paraId="577E1D00" w14:textId="77777777" w:rsidR="00A840FC" w:rsidRPr="00A840FC" w:rsidRDefault="00A840FC" w:rsidP="00A840FC">
      <w:pPr>
        <w:numPr>
          <w:ilvl w:val="0"/>
          <w:numId w:val="12"/>
        </w:numPr>
        <w:tabs>
          <w:tab w:val="left" w:pos="567"/>
        </w:tabs>
        <w:spacing w:after="0" w:line="240" w:lineRule="auto"/>
        <w:ind w:left="1134"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nereguliarų mėnesinių ciklą arba jų nebuvimą mergaitėms.</w:t>
      </w:r>
    </w:p>
    <w:p w14:paraId="1C2B7BCB" w14:textId="77777777" w:rsidR="00A840FC" w:rsidRPr="00A840FC" w:rsidRDefault="00A840FC" w:rsidP="00A840FC">
      <w:pPr>
        <w:numPr>
          <w:ilvl w:val="0"/>
          <w:numId w:val="11"/>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Padidėjęs apetitas.</w:t>
      </w:r>
    </w:p>
    <w:p w14:paraId="4B38D8B6" w14:textId="77777777" w:rsidR="00A840FC" w:rsidRPr="00A840FC" w:rsidRDefault="00A840FC" w:rsidP="00A840FC">
      <w:pPr>
        <w:numPr>
          <w:ilvl w:val="0"/>
          <w:numId w:val="11"/>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Vėmimas.</w:t>
      </w:r>
    </w:p>
    <w:p w14:paraId="5EDEA046" w14:textId="77777777" w:rsidR="00A840FC" w:rsidRPr="00A840FC" w:rsidRDefault="00A840FC" w:rsidP="00A840FC">
      <w:pPr>
        <w:numPr>
          <w:ilvl w:val="0"/>
          <w:numId w:val="11"/>
        </w:numPr>
        <w:tabs>
          <w:tab w:val="left" w:pos="0"/>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Neįprasti raumenų judesiai, galintys pasireikšti sunkumu pradėti judėti, drebuliu, nuovargiu arba neskausmingu raumenų sustingimu.</w:t>
      </w:r>
    </w:p>
    <w:p w14:paraId="1DB77553" w14:textId="77777777" w:rsidR="00A840FC" w:rsidRPr="00A840FC" w:rsidRDefault="00A840FC" w:rsidP="00A840FC">
      <w:pPr>
        <w:numPr>
          <w:ilvl w:val="0"/>
          <w:numId w:val="11"/>
        </w:numPr>
        <w:tabs>
          <w:tab w:val="left" w:pos="0"/>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Kraujospūdžio padidėjimas.</w:t>
      </w:r>
    </w:p>
    <w:p w14:paraId="221CA71A" w14:textId="77777777" w:rsidR="00A840FC" w:rsidRPr="00A840FC" w:rsidRDefault="00A840FC" w:rsidP="00A840FC">
      <w:pPr>
        <w:spacing w:after="0" w:line="240" w:lineRule="auto"/>
        <w:rPr>
          <w:rFonts w:ascii="Times New Roman" w:eastAsia="Arial Unicode MS" w:hAnsi="Times New Roman" w:cs="Times New Roman"/>
          <w:lang w:val="lt-LT"/>
        </w:rPr>
      </w:pPr>
    </w:p>
    <w:p w14:paraId="6A1E1311" w14:textId="2A3E8379" w:rsidR="003215D3" w:rsidRPr="001E0791" w:rsidRDefault="003215D3">
      <w:pPr>
        <w:keepNext/>
        <w:keepLines/>
        <w:tabs>
          <w:tab w:val="left" w:pos="360"/>
          <w:tab w:val="left" w:pos="567"/>
        </w:tabs>
        <w:spacing w:after="0" w:line="240" w:lineRule="auto"/>
        <w:rPr>
          <w:rFonts w:ascii="Times New Roman" w:eastAsia="Calibri" w:hAnsi="Times New Roman" w:cs="Times New Roman"/>
          <w:lang w:val="lt-LT"/>
        </w:rPr>
      </w:pPr>
      <w:r w:rsidRPr="003215D3">
        <w:rPr>
          <w:rFonts w:ascii="Times New Roman" w:eastAsia="Calibri" w:hAnsi="Times New Roman" w:cs="Times New Roman"/>
          <w:u w:val="single"/>
          <w:lang w:val="lt-LT"/>
        </w:rPr>
        <w:t>Dažni šalutinio poveikio reiškiniai</w:t>
      </w:r>
      <w:r w:rsidRPr="001E0791">
        <w:rPr>
          <w:rFonts w:ascii="Times New Roman" w:eastAsia="Calibri" w:hAnsi="Times New Roman" w:cs="Times New Roman"/>
          <w:lang w:val="lt-LT"/>
        </w:rPr>
        <w:t xml:space="preserve"> (</w:t>
      </w:r>
      <w:r w:rsidRPr="001E0791">
        <w:rPr>
          <w:rFonts w:ascii="Times New Roman" w:eastAsia="Calibri" w:hAnsi="Times New Roman" w:cs="Times New Roman"/>
          <w:i/>
          <w:iCs/>
          <w:lang w:val="lt-LT"/>
        </w:rPr>
        <w:t>gali pasireikšti rečiau kaip 1 iš 10 asmenų</w:t>
      </w:r>
      <w:r w:rsidRPr="001E0791">
        <w:rPr>
          <w:rFonts w:ascii="Times New Roman" w:eastAsia="Calibri" w:hAnsi="Times New Roman" w:cs="Times New Roman"/>
          <w:lang w:val="lt-LT"/>
        </w:rPr>
        <w:t>):</w:t>
      </w:r>
    </w:p>
    <w:p w14:paraId="740F52AC" w14:textId="77777777" w:rsidR="00A840FC" w:rsidRPr="00A840FC" w:rsidRDefault="00A840FC" w:rsidP="001E0791">
      <w:pPr>
        <w:keepNext/>
        <w:keepLines/>
        <w:numPr>
          <w:ilvl w:val="0"/>
          <w:numId w:val="26"/>
        </w:numPr>
        <w:spacing w:after="0" w:line="240" w:lineRule="auto"/>
        <w:ind w:left="567" w:hanging="567"/>
        <w:contextualSpacing/>
        <w:rPr>
          <w:rFonts w:ascii="Times New Roman" w:eastAsia="Calibri" w:hAnsi="Times New Roman" w:cs="Times New Roman"/>
          <w:lang w:val="lt-LT" w:eastAsia="lt-LT" w:bidi="lt-LT"/>
        </w:rPr>
      </w:pPr>
      <w:r w:rsidRPr="00A840FC">
        <w:rPr>
          <w:rFonts w:ascii="Times New Roman" w:eastAsia="Calibri" w:hAnsi="Times New Roman" w:cs="Times New Roman"/>
          <w:lang w:val="lt-LT" w:eastAsia="lt-LT" w:bidi="lt-LT"/>
        </w:rPr>
        <w:t>Silpnumo, alpulio pojūtis (galima nugriūti).</w:t>
      </w:r>
    </w:p>
    <w:p w14:paraId="0AE39171" w14:textId="77777777" w:rsidR="00A840FC" w:rsidRPr="00A840FC" w:rsidRDefault="00A840FC" w:rsidP="001E0791">
      <w:pPr>
        <w:keepNext/>
        <w:keepLines/>
        <w:numPr>
          <w:ilvl w:val="0"/>
          <w:numId w:val="26"/>
        </w:numPr>
        <w:spacing w:after="0" w:line="240" w:lineRule="auto"/>
        <w:ind w:left="567" w:hanging="567"/>
        <w:contextualSpacing/>
        <w:rPr>
          <w:rFonts w:ascii="Times New Roman" w:eastAsia="Calibri" w:hAnsi="Times New Roman" w:cs="Times New Roman"/>
          <w:lang w:val="lt-LT" w:eastAsia="lt-LT" w:bidi="lt-LT"/>
        </w:rPr>
      </w:pPr>
      <w:r w:rsidRPr="00A840FC">
        <w:rPr>
          <w:rFonts w:ascii="Times New Roman" w:eastAsia="Calibri" w:hAnsi="Times New Roman" w:cs="Times New Roman"/>
          <w:lang w:val="lt-LT" w:eastAsia="lt-LT" w:bidi="lt-LT"/>
        </w:rPr>
        <w:t>Nosies užgulimas.</w:t>
      </w:r>
    </w:p>
    <w:p w14:paraId="574F4064" w14:textId="77777777" w:rsidR="00A840FC" w:rsidRPr="00A840FC" w:rsidRDefault="00A840FC" w:rsidP="00A840FC">
      <w:pPr>
        <w:numPr>
          <w:ilvl w:val="0"/>
          <w:numId w:val="26"/>
        </w:numPr>
        <w:spacing w:after="0" w:line="240" w:lineRule="auto"/>
        <w:ind w:left="567" w:right="-2" w:hanging="567"/>
        <w:contextualSpacing/>
        <w:rPr>
          <w:rFonts w:ascii="Times New Roman" w:eastAsia="Calibri" w:hAnsi="Times New Roman" w:cs="Times New Roman"/>
          <w:lang w:val="lt-LT" w:eastAsia="lt-LT" w:bidi="lt-LT"/>
        </w:rPr>
      </w:pPr>
      <w:r w:rsidRPr="00A840FC">
        <w:rPr>
          <w:rFonts w:ascii="Times New Roman" w:eastAsia="Calibri" w:hAnsi="Times New Roman" w:cs="Times New Roman"/>
          <w:lang w:val="lt-LT" w:eastAsia="lt-LT" w:bidi="lt-LT"/>
        </w:rPr>
        <w:t>Dirglumas.</w:t>
      </w:r>
    </w:p>
    <w:p w14:paraId="166619D7" w14:textId="77777777" w:rsidR="00A840FC" w:rsidRPr="00A840FC" w:rsidRDefault="00A840FC" w:rsidP="00A840FC">
      <w:pPr>
        <w:tabs>
          <w:tab w:val="left" w:pos="567"/>
        </w:tabs>
        <w:spacing w:after="0" w:line="240" w:lineRule="auto"/>
        <w:rPr>
          <w:rFonts w:ascii="Times New Roman" w:eastAsia="Times New Roman" w:hAnsi="Times New Roman" w:cs="Times New Roman"/>
          <w:b/>
          <w:snapToGrid w:val="0"/>
          <w:lang w:val="lt-LT"/>
        </w:rPr>
      </w:pPr>
    </w:p>
    <w:p w14:paraId="65FA1AF4" w14:textId="77777777" w:rsidR="00A840FC" w:rsidRPr="00A840FC" w:rsidRDefault="00A840FC" w:rsidP="00A840FC">
      <w:pPr>
        <w:keepNext/>
        <w:keepLines/>
        <w:tabs>
          <w:tab w:val="left" w:pos="567"/>
        </w:tabs>
        <w:spacing w:after="0" w:line="240" w:lineRule="auto"/>
        <w:rPr>
          <w:rFonts w:ascii="Times New Roman" w:eastAsia="Times New Roman" w:hAnsi="Times New Roman" w:cs="Times New Roman"/>
          <w:b/>
          <w:snapToGrid w:val="0"/>
          <w:lang w:val="lt-LT"/>
        </w:rPr>
      </w:pPr>
      <w:r w:rsidRPr="00A840FC">
        <w:rPr>
          <w:rFonts w:ascii="Times New Roman" w:eastAsia="Times New Roman" w:hAnsi="Times New Roman" w:cs="Times New Roman"/>
          <w:b/>
          <w:snapToGrid w:val="0"/>
          <w:lang w:val="lt-LT"/>
        </w:rPr>
        <w:t>Pranešimas apie šalutinį poveikį</w:t>
      </w:r>
    </w:p>
    <w:p w14:paraId="46E8F847" w14:textId="725555F1" w:rsidR="00A840FC" w:rsidRPr="00A840FC" w:rsidRDefault="00A840FC" w:rsidP="00A840FC">
      <w:pPr>
        <w:keepNext/>
        <w:keepLines/>
        <w:spacing w:after="0" w:line="240" w:lineRule="auto"/>
        <w:ind w:right="-449"/>
        <w:rPr>
          <w:rFonts w:ascii="Times New Roman" w:eastAsia="Times New Roman" w:hAnsi="Times New Roman" w:cs="Times New Roman"/>
          <w:snapToGrid w:val="0"/>
          <w:lang w:val="lt-LT"/>
        </w:rPr>
      </w:pPr>
      <w:r w:rsidRPr="00A840FC">
        <w:rPr>
          <w:rFonts w:ascii="Times New Roman" w:eastAsia="Times New Roman" w:hAnsi="Times New Roman" w:cs="Times New Roman"/>
          <w:snapToGrid w:val="0"/>
          <w:lang w:val="lt-LT"/>
        </w:rPr>
        <w:t xml:space="preserve">Jeigu pasireiškė šalutinis poveikis, įskaitant šiame lapelyje nenurodytą, pasakykite gydytojui arba vaistininkui. </w:t>
      </w:r>
      <w:r w:rsidR="00BC5C52" w:rsidRPr="00BC5C52">
        <w:rPr>
          <w:rFonts w:ascii="Times New Roman" w:eastAsia="Times New Roman" w:hAnsi="Times New Roman" w:cs="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BC5C52" w:rsidRPr="00BC5C52">
          <w:rPr>
            <w:rStyle w:val="Hipersaitas"/>
            <w:rFonts w:ascii="Times New Roman" w:eastAsia="Times New Roman" w:hAnsi="Times New Roman" w:cs="Times New Roman"/>
            <w:snapToGrid w:val="0"/>
            <w:lang w:val="lt-LT"/>
          </w:rPr>
          <w:t>https://vapris.vvkt.lt/vvkt-web/public/nrv</w:t>
        </w:r>
      </w:hyperlink>
      <w:r w:rsidR="00BC5C52" w:rsidRPr="00BC5C52">
        <w:rPr>
          <w:rFonts w:ascii="Times New Roman" w:eastAsia="Times New Roman" w:hAnsi="Times New Roman" w:cs="Times New Roman"/>
          <w:snapToGrid w:val="0"/>
          <w:lang w:val="lt-LT"/>
        </w:rPr>
        <w:t xml:space="preserve"> arba užpildant Paciento pranešimo apie įtariamą nepageidaujamą reakciją (ĮNR) formą, kuri skelbiama </w:t>
      </w:r>
      <w:hyperlink r:id="rId14" w:history="1">
        <w:r w:rsidR="00BC5C52" w:rsidRPr="00BC5C52">
          <w:rPr>
            <w:rStyle w:val="Hipersaitas"/>
            <w:rFonts w:ascii="Times New Roman" w:eastAsia="Times New Roman" w:hAnsi="Times New Roman" w:cs="Times New Roman"/>
            <w:snapToGrid w:val="0"/>
            <w:lang w:val="lt-LT"/>
          </w:rPr>
          <w:t>https://www.vvkt.lt/index.php?4004286486</w:t>
        </w:r>
      </w:hyperlink>
      <w:r w:rsidR="00BC5C52" w:rsidRPr="00BC5C52">
        <w:rPr>
          <w:rFonts w:ascii="Times New Roman" w:eastAsia="Times New Roman" w:hAnsi="Times New Roman" w:cs="Times New Roman"/>
          <w:snapToGrid w:val="0"/>
          <w:lang w:val="lt-LT"/>
        </w:rPr>
        <w:t xml:space="preserve">, ir atsiunčiant elektroniniu paštu (adresu </w:t>
      </w:r>
      <w:hyperlink r:id="rId15" w:history="1">
        <w:r w:rsidR="00BC5C52" w:rsidRPr="00BC5C52">
          <w:rPr>
            <w:rStyle w:val="Hipersaitas"/>
            <w:rFonts w:ascii="Times New Roman" w:eastAsia="Times New Roman" w:hAnsi="Times New Roman" w:cs="Times New Roman"/>
            <w:snapToGrid w:val="0"/>
            <w:lang w:val="lt-LT"/>
          </w:rPr>
          <w:t>NepageidaujamaR@vvkt.lt</w:t>
        </w:r>
      </w:hyperlink>
      <w:r w:rsidR="00BC5C52" w:rsidRPr="00BC5C52">
        <w:rPr>
          <w:rFonts w:ascii="Times New Roman" w:eastAsia="Times New Roman" w:hAnsi="Times New Roman" w:cs="Times New Roman"/>
          <w:snapToGrid w:val="0"/>
          <w:lang w:val="lt-LT"/>
        </w:rPr>
        <w:t>) arba nemokamu telefonu 8 800 73 568. Pranešdami apie šalutinį poveikį galite mums padėti gauti daugiau informacijos apie šio vaisto saugumą.</w:t>
      </w:r>
    </w:p>
    <w:p w14:paraId="72899C5F" w14:textId="77777777" w:rsidR="00A840FC" w:rsidRPr="00A840FC" w:rsidRDefault="00A840FC" w:rsidP="00A840FC">
      <w:pPr>
        <w:tabs>
          <w:tab w:val="left" w:pos="567"/>
        </w:tabs>
        <w:spacing w:after="0" w:line="240" w:lineRule="auto"/>
        <w:ind w:right="-449"/>
        <w:rPr>
          <w:rFonts w:ascii="Times New Roman" w:eastAsia="Times New Roman" w:hAnsi="Times New Roman" w:cs="Times New Roman"/>
          <w:snapToGrid w:val="0"/>
          <w:lang w:val="lt-LT"/>
        </w:rPr>
      </w:pPr>
    </w:p>
    <w:p w14:paraId="2440EDE3" w14:textId="77777777" w:rsidR="00A840FC" w:rsidRPr="00A840FC" w:rsidRDefault="00A840FC" w:rsidP="00A840FC">
      <w:pPr>
        <w:spacing w:after="0" w:line="240" w:lineRule="auto"/>
        <w:rPr>
          <w:rFonts w:ascii="Times New Roman" w:eastAsia="Arial Unicode MS" w:hAnsi="Times New Roman" w:cs="Times New Roman"/>
          <w:lang w:val="lt-LT"/>
        </w:rPr>
      </w:pPr>
    </w:p>
    <w:p w14:paraId="69F2DD3A" w14:textId="77777777" w:rsidR="00A840FC" w:rsidRPr="00A840FC" w:rsidRDefault="00A840FC" w:rsidP="00A840F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7" w:name="_Toc129243143"/>
      <w:bookmarkStart w:id="88" w:name="_Toc129243268"/>
      <w:r w:rsidRPr="00A840FC">
        <w:rPr>
          <w:rFonts w:ascii="Times New Roman" w:eastAsia="Times New Roman" w:hAnsi="Times New Roman" w:cs="Times New Roman"/>
          <w:b/>
          <w:lang w:val="lt-LT"/>
        </w:rPr>
        <w:t>5.</w:t>
      </w:r>
      <w:r w:rsidRPr="00A840FC">
        <w:rPr>
          <w:rFonts w:ascii="Times New Roman" w:eastAsia="Times New Roman" w:hAnsi="Times New Roman" w:cs="Times New Roman"/>
          <w:b/>
          <w:lang w:val="lt-LT"/>
        </w:rPr>
        <w:tab/>
        <w:t xml:space="preserve">Kaip laikyti </w:t>
      </w:r>
      <w:bookmarkEnd w:id="87"/>
      <w:bookmarkEnd w:id="88"/>
      <w:r w:rsidRPr="00A840FC">
        <w:rPr>
          <w:rFonts w:ascii="Times New Roman" w:eastAsia="Times New Roman" w:hAnsi="Times New Roman" w:cs="Times New Roman"/>
          <w:b/>
          <w:lang w:val="lt-LT"/>
        </w:rPr>
        <w:t>Ketipinor</w:t>
      </w:r>
    </w:p>
    <w:p w14:paraId="251DEA04" w14:textId="77777777" w:rsidR="00A840FC" w:rsidRPr="00A840FC" w:rsidRDefault="00A840FC" w:rsidP="00A840FC">
      <w:pPr>
        <w:spacing w:after="0" w:line="240" w:lineRule="auto"/>
        <w:rPr>
          <w:rFonts w:ascii="Times New Roman" w:eastAsia="Arial Unicode MS" w:hAnsi="Times New Roman" w:cs="Times New Roman"/>
          <w:lang w:val="lt-LT"/>
        </w:rPr>
      </w:pPr>
    </w:p>
    <w:p w14:paraId="07A75D2B"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Šį vaistą laikykite vaikams nepastebimoje ir nepasiekiamoje vietoje.</w:t>
      </w:r>
    </w:p>
    <w:p w14:paraId="32C92371" w14:textId="77777777" w:rsidR="00575656" w:rsidRDefault="00575656" w:rsidP="00A840FC">
      <w:pPr>
        <w:spacing w:after="0" w:line="240" w:lineRule="auto"/>
        <w:rPr>
          <w:rFonts w:ascii="Times New Roman" w:eastAsia="Arial Unicode MS" w:hAnsi="Times New Roman" w:cs="Times New Roman"/>
          <w:lang w:val="lt-LT"/>
        </w:rPr>
      </w:pPr>
    </w:p>
    <w:p w14:paraId="3AADF990" w14:textId="3115F79E"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Ant pakuotės po „EXP“ nurodytam tinkamumo laikui pasibaigus, šio vaisto vartoti negalima.</w:t>
      </w:r>
      <w:r w:rsidRPr="00A840FC">
        <w:rPr>
          <w:rFonts w:ascii="Times New Roman" w:eastAsia="Calibri" w:hAnsi="Times New Roman" w:cs="Times New Roman"/>
          <w:lang w:val="lt-LT"/>
        </w:rPr>
        <w:t xml:space="preserve"> </w:t>
      </w:r>
      <w:r w:rsidRPr="00A840FC">
        <w:rPr>
          <w:rFonts w:ascii="Times New Roman" w:eastAsia="Arial Unicode MS" w:hAnsi="Times New Roman" w:cs="Times New Roman"/>
          <w:lang w:val="lt-LT"/>
        </w:rPr>
        <w:t>Vaistas tinkamas vartoti iki paskutinės nurodyto mėnesio dienos.</w:t>
      </w:r>
    </w:p>
    <w:p w14:paraId="3F4BD2F8" w14:textId="77777777" w:rsidR="00A840FC" w:rsidRPr="00A840FC" w:rsidRDefault="00A840FC" w:rsidP="00A840FC">
      <w:pPr>
        <w:spacing w:after="0" w:line="240" w:lineRule="auto"/>
        <w:rPr>
          <w:rFonts w:ascii="Times New Roman" w:eastAsia="Arial Unicode MS" w:hAnsi="Times New Roman" w:cs="Times New Roman"/>
          <w:lang w:val="lt-LT"/>
        </w:rPr>
      </w:pPr>
    </w:p>
    <w:p w14:paraId="5AE93CC6" w14:textId="77777777" w:rsidR="00A840FC" w:rsidRPr="00A840FC" w:rsidRDefault="00A840FC" w:rsidP="00A840FC">
      <w:pPr>
        <w:autoSpaceDE w:val="0"/>
        <w:autoSpaceDN w:val="0"/>
        <w:adjustRightInd w:val="0"/>
        <w:spacing w:after="0" w:line="240" w:lineRule="auto"/>
        <w:rPr>
          <w:rFonts w:ascii="Times New Roman" w:eastAsia="Calibri" w:hAnsi="Times New Roman" w:cs="Times New Roman"/>
          <w:color w:val="000000"/>
          <w:lang w:val="lt-LT" w:eastAsia="lt-LT" w:bidi="lt-LT"/>
        </w:rPr>
      </w:pPr>
      <w:r w:rsidRPr="00A840FC">
        <w:rPr>
          <w:rFonts w:ascii="Times New Roman" w:eastAsia="Calibri" w:hAnsi="Times New Roman" w:cs="Times New Roman"/>
          <w:color w:val="000000"/>
          <w:lang w:val="lt-LT" w:eastAsia="lt-LT" w:bidi="lt-LT"/>
        </w:rPr>
        <w:t>Šiam vaistui specialių laikymo sąlygų nereikia.</w:t>
      </w:r>
    </w:p>
    <w:p w14:paraId="40CD591D" w14:textId="77777777" w:rsidR="00A840FC" w:rsidRPr="00A840FC" w:rsidRDefault="00A840FC" w:rsidP="00A840FC">
      <w:pPr>
        <w:spacing w:after="0" w:line="240" w:lineRule="auto"/>
        <w:rPr>
          <w:rFonts w:ascii="Times New Roman" w:eastAsia="Arial Unicode MS" w:hAnsi="Times New Roman" w:cs="Times New Roman"/>
          <w:lang w:val="lt-LT"/>
        </w:rPr>
      </w:pPr>
    </w:p>
    <w:p w14:paraId="20E07791" w14:textId="77777777" w:rsidR="00A840FC" w:rsidRPr="00A840FC" w:rsidRDefault="00A840FC" w:rsidP="00A840FC">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Vaistų negalima išmesti į kanalizaciją arba su buitinėmis atliekomis. Kaip išmesti nereikalingus vaistus, klauskite vaistininko. Šios priemonės padės apsaugoti aplinką.</w:t>
      </w:r>
    </w:p>
    <w:p w14:paraId="5E57BAD5" w14:textId="77777777" w:rsidR="00A840FC" w:rsidRPr="00A840FC" w:rsidRDefault="00A840FC" w:rsidP="00A840FC">
      <w:pPr>
        <w:spacing w:after="0" w:line="240" w:lineRule="auto"/>
        <w:rPr>
          <w:rFonts w:ascii="Times New Roman" w:eastAsia="Arial Unicode MS" w:hAnsi="Times New Roman" w:cs="Times New Roman"/>
          <w:lang w:val="lt-LT"/>
        </w:rPr>
      </w:pPr>
    </w:p>
    <w:p w14:paraId="66A77051" w14:textId="77777777" w:rsidR="00A840FC" w:rsidRPr="00A840FC" w:rsidRDefault="00A840FC" w:rsidP="00A840FC">
      <w:pPr>
        <w:spacing w:after="0" w:line="240" w:lineRule="auto"/>
        <w:rPr>
          <w:rFonts w:ascii="Times New Roman" w:eastAsia="Arial Unicode MS" w:hAnsi="Times New Roman" w:cs="Times New Roman"/>
          <w:lang w:val="lt-LT"/>
        </w:rPr>
      </w:pPr>
    </w:p>
    <w:p w14:paraId="408CC5B1" w14:textId="77777777" w:rsidR="00A840FC" w:rsidRPr="00A840FC" w:rsidRDefault="00A840FC" w:rsidP="00A840F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9" w:name="_Toc129243144"/>
      <w:bookmarkStart w:id="90" w:name="_Toc129243269"/>
      <w:r w:rsidRPr="00A840FC">
        <w:rPr>
          <w:rFonts w:ascii="Times New Roman" w:eastAsia="Times New Roman" w:hAnsi="Times New Roman" w:cs="Times New Roman"/>
          <w:b/>
          <w:lang w:val="lt-LT"/>
        </w:rPr>
        <w:t>6.</w:t>
      </w:r>
      <w:r w:rsidRPr="00A840FC">
        <w:rPr>
          <w:rFonts w:ascii="Times New Roman" w:eastAsia="Times New Roman" w:hAnsi="Times New Roman" w:cs="Times New Roman"/>
          <w:b/>
          <w:lang w:val="lt-LT"/>
        </w:rPr>
        <w:tab/>
      </w:r>
      <w:bookmarkEnd w:id="89"/>
      <w:bookmarkEnd w:id="90"/>
      <w:r w:rsidRPr="00A840FC">
        <w:rPr>
          <w:rFonts w:ascii="Times New Roman" w:eastAsia="Times New Roman" w:hAnsi="Times New Roman" w:cs="Times New Roman"/>
          <w:b/>
          <w:lang w:val="lt-LT"/>
        </w:rPr>
        <w:t>Pakuotės turinys ir kita informacija</w:t>
      </w:r>
    </w:p>
    <w:p w14:paraId="7388F136" w14:textId="77777777" w:rsidR="00A840FC" w:rsidRPr="00A840FC" w:rsidRDefault="00A840FC" w:rsidP="00A840FC">
      <w:pPr>
        <w:spacing w:after="0" w:line="240" w:lineRule="auto"/>
        <w:rPr>
          <w:rFonts w:ascii="Times New Roman" w:eastAsia="Arial Unicode MS" w:hAnsi="Times New Roman" w:cs="Times New Roman"/>
          <w:lang w:val="lt-LT"/>
        </w:rPr>
      </w:pPr>
    </w:p>
    <w:p w14:paraId="679AA39E" w14:textId="77777777" w:rsidR="00A840FC" w:rsidRPr="00A840FC" w:rsidRDefault="00A840FC" w:rsidP="00A840FC">
      <w:pPr>
        <w:spacing w:after="0" w:line="240" w:lineRule="auto"/>
        <w:rPr>
          <w:rFonts w:ascii="Times New Roman" w:eastAsia="Times New Roman" w:hAnsi="Times New Roman" w:cs="Times New Roman"/>
          <w:b/>
          <w:bCs/>
          <w:lang w:val="lt-LT"/>
        </w:rPr>
      </w:pPr>
      <w:r w:rsidRPr="00A840FC">
        <w:rPr>
          <w:rFonts w:ascii="Times New Roman" w:eastAsia="Times New Roman" w:hAnsi="Times New Roman" w:cs="Times New Roman"/>
          <w:b/>
          <w:bCs/>
          <w:lang w:val="lt-LT"/>
        </w:rPr>
        <w:t>Ketipinor sudėtis</w:t>
      </w:r>
    </w:p>
    <w:p w14:paraId="3283E01B" w14:textId="77777777" w:rsidR="00A840FC" w:rsidRPr="00A840FC" w:rsidRDefault="00A840FC" w:rsidP="00A840FC">
      <w:pPr>
        <w:numPr>
          <w:ilvl w:val="12"/>
          <w:numId w:val="0"/>
        </w:numPr>
        <w:spacing w:after="0" w:line="240" w:lineRule="auto"/>
        <w:ind w:right="-2"/>
        <w:rPr>
          <w:rFonts w:ascii="Times New Roman" w:eastAsia="Times New Roman" w:hAnsi="Times New Roman" w:cs="Times New Roman"/>
          <w:u w:val="single"/>
          <w:lang w:val="lt-LT"/>
        </w:rPr>
      </w:pPr>
    </w:p>
    <w:p w14:paraId="08394161" w14:textId="77777777" w:rsidR="00A840FC" w:rsidRPr="00A840FC" w:rsidRDefault="00A840FC" w:rsidP="00A840FC">
      <w:pPr>
        <w:numPr>
          <w:ilvl w:val="0"/>
          <w:numId w:val="3"/>
        </w:numPr>
        <w:spacing w:after="0" w:line="240" w:lineRule="auto"/>
        <w:ind w:left="567" w:right="-2"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Veiklioji medžiaga yra kvetiapinas. Kiekvienoje plėvele dengtoje tabletėje yra 25 mg, 100 mg, 200 mg arba 300 mg kvetiapino (fumarato pavidalu).</w:t>
      </w:r>
    </w:p>
    <w:p w14:paraId="178DEA5A" w14:textId="77777777" w:rsidR="00A840FC" w:rsidRPr="00A840FC" w:rsidRDefault="00A840FC" w:rsidP="00A840FC">
      <w:pPr>
        <w:numPr>
          <w:ilvl w:val="0"/>
          <w:numId w:val="3"/>
        </w:numPr>
        <w:spacing w:after="0" w:line="240" w:lineRule="auto"/>
        <w:ind w:left="567" w:right="-2"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Pagalbinės 25 mg tabletės branduolio medžiagos yra mikrokristalinė celiuliozė, kroskarmeliozės natrio druska, povidonas (K 30), magnio stearatas.</w:t>
      </w:r>
    </w:p>
    <w:p w14:paraId="3A643671" w14:textId="77777777" w:rsidR="00A840FC" w:rsidRPr="00A840FC" w:rsidRDefault="00A840FC" w:rsidP="00A840FC">
      <w:pPr>
        <w:numPr>
          <w:ilvl w:val="0"/>
          <w:numId w:val="3"/>
        </w:numPr>
        <w:spacing w:after="0" w:line="240" w:lineRule="auto"/>
        <w:ind w:left="567" w:right="-2"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Pagalbinės 100 mg, 200 mg ir 300 mg tablečių branduolio medžiagos yra mikrokristalinė celiuliozė, kalcio-vandenilio fosfatas dihidratas, laktozė monohidratas, karboksimetilkrakmolo A natrio druska, povidonas (K 30), magnio stearatas; </w:t>
      </w:r>
    </w:p>
    <w:p w14:paraId="31896C49" w14:textId="76B6BC5B" w:rsidR="00A840FC" w:rsidRPr="00A840FC" w:rsidRDefault="00A840FC" w:rsidP="00A840FC">
      <w:pPr>
        <w:numPr>
          <w:ilvl w:val="0"/>
          <w:numId w:val="3"/>
        </w:numPr>
        <w:spacing w:after="0" w:line="240" w:lineRule="auto"/>
        <w:ind w:left="567" w:right="-2"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Pagalbinės 25 mg ir 100 mg tabletės plėvelės medžiagos yra </w:t>
      </w:r>
      <w:r w:rsidRPr="00A840FC">
        <w:rPr>
          <w:rFonts w:ascii="Times New Roman" w:eastAsia="Times New Roman" w:hAnsi="Times New Roman" w:cs="Times New Roman"/>
          <w:i/>
          <w:lang w:val="lt-LT"/>
        </w:rPr>
        <w:t>Opadry</w:t>
      </w:r>
      <w:r w:rsidRPr="00A840FC" w:rsidDel="00E155F0">
        <w:rPr>
          <w:rFonts w:ascii="Times New Roman" w:eastAsia="Times New Roman" w:hAnsi="Times New Roman" w:cs="Times New Roman"/>
          <w:i/>
          <w:lang w:val="lt-LT"/>
        </w:rPr>
        <w:t xml:space="preserve"> </w:t>
      </w:r>
      <w:r w:rsidRPr="00A840FC">
        <w:rPr>
          <w:rFonts w:ascii="Times New Roman" w:eastAsia="Times New Roman" w:hAnsi="Times New Roman" w:cs="Times New Roman"/>
          <w:i/>
          <w:lang w:val="lt-LT"/>
        </w:rPr>
        <w:t>II</w:t>
      </w:r>
      <w:r w:rsidRPr="00A840FC">
        <w:rPr>
          <w:rFonts w:ascii="Times New Roman" w:eastAsia="Times New Roman" w:hAnsi="Times New Roman" w:cs="Times New Roman"/>
          <w:lang w:val="lt-LT"/>
        </w:rPr>
        <w:t xml:space="preserve"> (</w:t>
      </w:r>
      <w:r w:rsidRPr="00A840FC">
        <w:rPr>
          <w:rFonts w:ascii="Times New Roman" w:eastAsia="Times New Roman" w:hAnsi="Times New Roman" w:cs="Times New Roman"/>
          <w:i/>
          <w:lang w:val="lt-LT"/>
        </w:rPr>
        <w:t>Opadry II</w:t>
      </w:r>
      <w:r w:rsidRPr="00A840FC">
        <w:rPr>
          <w:rFonts w:ascii="Times New Roman" w:eastAsia="Times New Roman" w:hAnsi="Times New Roman" w:cs="Times New Roman"/>
          <w:lang w:val="lt-LT"/>
        </w:rPr>
        <w:t xml:space="preserve"> sudėtis: dalinai hidrolizuotas polivinilo alkoholis, makrogolis, talkas, titano dioksidas ir geležies oksidas).</w:t>
      </w:r>
    </w:p>
    <w:p w14:paraId="000C0131" w14:textId="5B64ECF0" w:rsidR="00A840FC" w:rsidRPr="00A840FC" w:rsidRDefault="00A840FC" w:rsidP="00A840FC">
      <w:pPr>
        <w:numPr>
          <w:ilvl w:val="0"/>
          <w:numId w:val="3"/>
        </w:numPr>
        <w:spacing w:after="0" w:line="240" w:lineRule="auto"/>
        <w:ind w:left="567" w:right="-2"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Pagalbinės 200 mg ir 300 mg tablečių plėvelės medžiagos yra </w:t>
      </w:r>
      <w:r w:rsidRPr="00A840FC">
        <w:rPr>
          <w:rFonts w:ascii="Times New Roman" w:eastAsia="Times New Roman" w:hAnsi="Times New Roman" w:cs="Times New Roman"/>
          <w:i/>
          <w:lang w:val="lt-LT"/>
        </w:rPr>
        <w:t>Opadry II</w:t>
      </w:r>
      <w:r w:rsidRPr="00A840FC">
        <w:rPr>
          <w:rFonts w:ascii="Times New Roman" w:eastAsia="Times New Roman" w:hAnsi="Times New Roman" w:cs="Times New Roman"/>
          <w:lang w:val="lt-LT"/>
        </w:rPr>
        <w:t xml:space="preserve"> (</w:t>
      </w:r>
      <w:r w:rsidRPr="00A840FC">
        <w:rPr>
          <w:rFonts w:ascii="Times New Roman" w:eastAsia="Times New Roman" w:hAnsi="Times New Roman" w:cs="Times New Roman"/>
          <w:i/>
          <w:lang w:val="lt-LT"/>
        </w:rPr>
        <w:t>Opadry II</w:t>
      </w:r>
      <w:r w:rsidRPr="00A840FC">
        <w:rPr>
          <w:rFonts w:ascii="Times New Roman" w:eastAsia="Times New Roman" w:hAnsi="Times New Roman" w:cs="Times New Roman"/>
          <w:lang w:val="lt-LT"/>
        </w:rPr>
        <w:t xml:space="preserve"> sudėtis: dalinai hidrolizuotas polivinilo alkoholis, makrogolis, talkas, titano dioksidas).</w:t>
      </w:r>
    </w:p>
    <w:p w14:paraId="67967204" w14:textId="77777777" w:rsidR="00A840FC" w:rsidRPr="00A840FC" w:rsidRDefault="00A840FC" w:rsidP="00A840FC">
      <w:pPr>
        <w:spacing w:after="0" w:line="240" w:lineRule="auto"/>
        <w:rPr>
          <w:rFonts w:ascii="Times New Roman" w:eastAsia="Arial Unicode MS" w:hAnsi="Times New Roman" w:cs="Times New Roman"/>
          <w:lang w:val="lt-LT"/>
        </w:rPr>
      </w:pPr>
    </w:p>
    <w:p w14:paraId="11A0ECA8" w14:textId="77777777" w:rsidR="00A840FC" w:rsidRPr="00A840FC" w:rsidRDefault="00A840FC" w:rsidP="00A840FC">
      <w:pPr>
        <w:spacing w:after="0" w:line="240" w:lineRule="auto"/>
        <w:rPr>
          <w:rFonts w:ascii="Times New Roman" w:eastAsia="Times New Roman" w:hAnsi="Times New Roman" w:cs="Times New Roman"/>
          <w:b/>
          <w:bCs/>
          <w:lang w:val="lt-LT"/>
        </w:rPr>
      </w:pPr>
      <w:bookmarkStart w:id="91" w:name="OLE_LINK3"/>
      <w:r w:rsidRPr="00A840FC">
        <w:rPr>
          <w:rFonts w:ascii="Times New Roman" w:eastAsia="Times New Roman" w:hAnsi="Times New Roman" w:cs="Times New Roman"/>
          <w:b/>
          <w:bCs/>
          <w:lang w:val="lt-LT"/>
        </w:rPr>
        <w:lastRenderedPageBreak/>
        <w:t>Ketipinor išvaizda ir kiekis pakuotėje</w:t>
      </w:r>
    </w:p>
    <w:p w14:paraId="65A3AB0B" w14:textId="77777777" w:rsidR="00A840FC" w:rsidRPr="00A840FC" w:rsidRDefault="00A840FC" w:rsidP="00A840FC">
      <w:pPr>
        <w:spacing w:after="0" w:line="240" w:lineRule="auto"/>
        <w:rPr>
          <w:rFonts w:ascii="Times New Roman" w:eastAsia="Times New Roman" w:hAnsi="Times New Roman" w:cs="Times New Roman"/>
          <w:b/>
          <w:bCs/>
          <w:lang w:val="lt-LT"/>
        </w:rPr>
      </w:pPr>
    </w:p>
    <w:p w14:paraId="52E59FCF" w14:textId="77777777" w:rsidR="00A840FC" w:rsidRPr="00A840FC" w:rsidRDefault="00A840FC" w:rsidP="00A840FC">
      <w:pPr>
        <w:spacing w:after="0" w:line="240" w:lineRule="auto"/>
        <w:rPr>
          <w:rFonts w:ascii="Times New Roman" w:eastAsia="Times New Roman" w:hAnsi="Times New Roman" w:cs="Times New Roman"/>
          <w:bCs/>
          <w:lang w:val="lt-LT"/>
        </w:rPr>
      </w:pPr>
      <w:r w:rsidRPr="00A840FC">
        <w:rPr>
          <w:rFonts w:ascii="Times New Roman" w:eastAsia="Times New Roman" w:hAnsi="Times New Roman" w:cs="Times New Roman"/>
          <w:bCs/>
          <w:lang w:val="lt-LT"/>
        </w:rPr>
        <w:t>Ketipinor 25 mg. Tabletė yra ruda arba tamsiai rausva, apvali, išgaubta, dengta plėvele, 6 mm skersmens, vienoje pusėje įspausta „OR41“, kita pusė – lygi.</w:t>
      </w:r>
    </w:p>
    <w:p w14:paraId="4E30A7BB" w14:textId="77777777" w:rsidR="00A840FC" w:rsidRPr="00A840FC" w:rsidRDefault="00A840FC" w:rsidP="00A840FC">
      <w:pPr>
        <w:spacing w:after="0" w:line="240" w:lineRule="auto"/>
        <w:rPr>
          <w:rFonts w:ascii="Times New Roman" w:eastAsia="Times New Roman" w:hAnsi="Times New Roman" w:cs="Times New Roman"/>
          <w:bCs/>
          <w:lang w:val="lt-LT"/>
        </w:rPr>
      </w:pPr>
      <w:r w:rsidRPr="00A840FC">
        <w:rPr>
          <w:rFonts w:ascii="Times New Roman" w:eastAsia="Times New Roman" w:hAnsi="Times New Roman" w:cs="Times New Roman"/>
          <w:bCs/>
          <w:lang w:val="lt-LT"/>
        </w:rPr>
        <w:t>Ketipinor 100 mg. Tabletė yra gelsva, apvali, išgaubta, dengta plėvele, 8 mm skersmens, vienoje pusėje įspausta „OR411“, kita pusė – lygi.</w:t>
      </w:r>
    </w:p>
    <w:p w14:paraId="3B9FA17A" w14:textId="77777777" w:rsidR="00A840FC" w:rsidRPr="00A840FC" w:rsidRDefault="00A840FC" w:rsidP="00A840FC">
      <w:pPr>
        <w:spacing w:after="0" w:line="240" w:lineRule="auto"/>
        <w:rPr>
          <w:rFonts w:ascii="Times New Roman" w:eastAsia="Times New Roman" w:hAnsi="Times New Roman" w:cs="Times New Roman"/>
          <w:bCs/>
          <w:lang w:val="lt-LT"/>
        </w:rPr>
      </w:pPr>
      <w:r w:rsidRPr="00A840FC">
        <w:rPr>
          <w:rFonts w:ascii="Times New Roman" w:eastAsia="Times New Roman" w:hAnsi="Times New Roman" w:cs="Times New Roman"/>
          <w:bCs/>
          <w:lang w:val="lt-LT"/>
        </w:rPr>
        <w:t>Ketipinor 200 mg. Tabletė yra balta, apvali, išgaubta, dengta plėvele, 11 mm skersmens, vienoje pusėje įspausta „OR412“, kita pusė – lygi.</w:t>
      </w:r>
    </w:p>
    <w:p w14:paraId="7602986A" w14:textId="77777777" w:rsidR="00A840FC" w:rsidRPr="00A840FC" w:rsidRDefault="00A840FC" w:rsidP="00A840FC">
      <w:pPr>
        <w:spacing w:after="0" w:line="240" w:lineRule="auto"/>
        <w:rPr>
          <w:rFonts w:ascii="Times New Roman" w:eastAsia="Times New Roman" w:hAnsi="Times New Roman" w:cs="Times New Roman"/>
          <w:bCs/>
          <w:lang w:val="lt-LT"/>
        </w:rPr>
      </w:pPr>
      <w:r w:rsidRPr="00A840FC">
        <w:rPr>
          <w:rFonts w:ascii="Times New Roman" w:eastAsia="Times New Roman" w:hAnsi="Times New Roman" w:cs="Times New Roman"/>
          <w:bCs/>
          <w:lang w:val="lt-LT"/>
        </w:rPr>
        <w:t>Ketipinor 300 mg. Tabletė yra balta, kapsulės formos, dengta plėvele, 19 mm ilgio, vienoje pusėje įspausta „OR413“, kita pusė – lygi.</w:t>
      </w:r>
    </w:p>
    <w:p w14:paraId="5C9E0534" w14:textId="77777777" w:rsidR="00A840FC" w:rsidRPr="00A840FC" w:rsidRDefault="00A840FC" w:rsidP="00A840FC">
      <w:pPr>
        <w:spacing w:after="0" w:line="240" w:lineRule="auto"/>
        <w:rPr>
          <w:rFonts w:ascii="Times New Roman" w:eastAsia="Times New Roman" w:hAnsi="Times New Roman" w:cs="Times New Roman"/>
          <w:bCs/>
          <w:lang w:val="lt-LT"/>
        </w:rPr>
      </w:pPr>
    </w:p>
    <w:p w14:paraId="353A8EE8" w14:textId="77777777" w:rsidR="00A840FC" w:rsidRPr="00A840FC" w:rsidRDefault="00A840FC" w:rsidP="00A840FC">
      <w:pPr>
        <w:spacing w:after="0" w:line="240" w:lineRule="auto"/>
        <w:rPr>
          <w:rFonts w:ascii="Times New Roman" w:eastAsia="Times New Roman" w:hAnsi="Times New Roman" w:cs="Times New Roman"/>
          <w:bCs/>
          <w:lang w:val="lt-LT"/>
        </w:rPr>
      </w:pPr>
      <w:r w:rsidRPr="00A840FC">
        <w:rPr>
          <w:rFonts w:ascii="Times New Roman" w:eastAsia="Times New Roman" w:hAnsi="Times New Roman" w:cs="Times New Roman"/>
          <w:bCs/>
          <w:lang w:val="lt-LT"/>
        </w:rPr>
        <w:t>Tabletės tiekiamos lizdinėmis plokštelėmis kartono dėžutėje ir DTPE plačiakakliais indais.</w:t>
      </w:r>
    </w:p>
    <w:p w14:paraId="22892D27" w14:textId="77777777" w:rsidR="00A840FC" w:rsidRPr="00A840FC" w:rsidRDefault="00A840FC" w:rsidP="00A840FC">
      <w:pPr>
        <w:spacing w:after="0" w:line="240" w:lineRule="auto"/>
        <w:rPr>
          <w:rFonts w:ascii="Times New Roman" w:eastAsia="Times New Roman" w:hAnsi="Times New Roman" w:cs="Times New Roman"/>
          <w:bCs/>
          <w:lang w:val="lt-LT"/>
        </w:rPr>
      </w:pPr>
    </w:p>
    <w:p w14:paraId="039606F7" w14:textId="77777777" w:rsidR="00A840FC" w:rsidRPr="00A840FC" w:rsidRDefault="00A840FC" w:rsidP="00A840FC">
      <w:pPr>
        <w:spacing w:after="0" w:line="240" w:lineRule="auto"/>
        <w:rPr>
          <w:rFonts w:ascii="Times New Roman" w:eastAsia="Times New Roman" w:hAnsi="Times New Roman" w:cs="Times New Roman"/>
          <w:bCs/>
          <w:lang w:val="lt-LT"/>
        </w:rPr>
      </w:pPr>
      <w:r w:rsidRPr="00A840FC">
        <w:rPr>
          <w:rFonts w:ascii="Times New Roman" w:eastAsia="Times New Roman" w:hAnsi="Times New Roman" w:cs="Times New Roman"/>
          <w:bCs/>
          <w:lang w:val="lt-LT"/>
        </w:rPr>
        <w:t>Lizdinės plokštelės:</w:t>
      </w:r>
    </w:p>
    <w:p w14:paraId="2D95E462" w14:textId="77777777" w:rsidR="00A840FC" w:rsidRPr="00A840FC" w:rsidRDefault="00A840FC" w:rsidP="00A840FC">
      <w:pPr>
        <w:spacing w:after="0" w:line="240" w:lineRule="auto"/>
        <w:rPr>
          <w:rFonts w:ascii="Times New Roman" w:eastAsia="Times New Roman" w:hAnsi="Times New Roman" w:cs="Times New Roman"/>
          <w:bCs/>
          <w:lang w:val="lt-LT"/>
        </w:rPr>
      </w:pPr>
      <w:r w:rsidRPr="00A840FC">
        <w:rPr>
          <w:rFonts w:ascii="Times New Roman" w:eastAsia="Times New Roman" w:hAnsi="Times New Roman" w:cs="Times New Roman"/>
          <w:bCs/>
          <w:lang w:val="lt-LT"/>
        </w:rPr>
        <w:t>25 mg: 6, 10, 30, 60 arba 100 tablečių.</w:t>
      </w:r>
    </w:p>
    <w:p w14:paraId="6A675559" w14:textId="77777777" w:rsidR="00A840FC" w:rsidRPr="00A840FC" w:rsidRDefault="00A840FC" w:rsidP="00A840FC">
      <w:pPr>
        <w:spacing w:after="0" w:line="240" w:lineRule="auto"/>
        <w:rPr>
          <w:rFonts w:ascii="Times New Roman" w:eastAsia="Times New Roman" w:hAnsi="Times New Roman" w:cs="Times New Roman"/>
          <w:bCs/>
          <w:lang w:val="lt-LT"/>
        </w:rPr>
      </w:pPr>
      <w:r w:rsidRPr="00A840FC">
        <w:rPr>
          <w:rFonts w:ascii="Times New Roman" w:eastAsia="Times New Roman" w:hAnsi="Times New Roman" w:cs="Times New Roman"/>
          <w:bCs/>
          <w:lang w:val="lt-LT"/>
        </w:rPr>
        <w:t>100 mg, 200 mg ir 300 mg: 30, 60, 90 arba 100 tablečių.</w:t>
      </w:r>
    </w:p>
    <w:p w14:paraId="194217B1" w14:textId="77777777" w:rsidR="00A840FC" w:rsidRPr="00A840FC" w:rsidRDefault="00A840FC" w:rsidP="00A840FC">
      <w:pPr>
        <w:spacing w:after="0" w:line="240" w:lineRule="auto"/>
        <w:rPr>
          <w:rFonts w:ascii="Times New Roman" w:eastAsia="Times New Roman" w:hAnsi="Times New Roman" w:cs="Times New Roman"/>
          <w:bCs/>
          <w:lang w:val="lt-LT"/>
        </w:rPr>
      </w:pPr>
    </w:p>
    <w:p w14:paraId="1793AB68" w14:textId="77777777" w:rsidR="00A840FC" w:rsidRPr="00A840FC" w:rsidRDefault="00A840FC" w:rsidP="00A840FC">
      <w:pPr>
        <w:spacing w:after="0" w:line="240" w:lineRule="auto"/>
        <w:rPr>
          <w:rFonts w:ascii="Times New Roman" w:eastAsia="Times New Roman" w:hAnsi="Times New Roman" w:cs="Times New Roman"/>
          <w:bCs/>
          <w:lang w:val="lt-LT"/>
        </w:rPr>
      </w:pPr>
      <w:r w:rsidRPr="00A840FC">
        <w:rPr>
          <w:rFonts w:ascii="Times New Roman" w:eastAsia="Times New Roman" w:hAnsi="Times New Roman" w:cs="Times New Roman"/>
          <w:bCs/>
          <w:lang w:val="lt-LT"/>
        </w:rPr>
        <w:t>Plačiakakliai indai:</w:t>
      </w:r>
    </w:p>
    <w:p w14:paraId="172380E9" w14:textId="77777777" w:rsidR="00A840FC" w:rsidRPr="00A840FC" w:rsidRDefault="00A840FC" w:rsidP="00A840FC">
      <w:pPr>
        <w:spacing w:after="0" w:line="240" w:lineRule="auto"/>
        <w:rPr>
          <w:rFonts w:ascii="Times New Roman" w:eastAsia="Times New Roman" w:hAnsi="Times New Roman" w:cs="Times New Roman"/>
          <w:bCs/>
          <w:lang w:val="lt-LT"/>
        </w:rPr>
      </w:pPr>
      <w:r w:rsidRPr="00A840FC">
        <w:rPr>
          <w:rFonts w:ascii="Times New Roman" w:eastAsia="Times New Roman" w:hAnsi="Times New Roman" w:cs="Times New Roman"/>
          <w:bCs/>
          <w:lang w:val="lt-LT"/>
        </w:rPr>
        <w:t>25 mg, 100 mg, 200 mg ir 300 mg: 100 tablečių.</w:t>
      </w:r>
    </w:p>
    <w:p w14:paraId="4815331A" w14:textId="77777777" w:rsidR="00A840FC" w:rsidRPr="00A840FC" w:rsidRDefault="00A840FC" w:rsidP="00A840FC">
      <w:pPr>
        <w:spacing w:after="0" w:line="240" w:lineRule="auto"/>
        <w:rPr>
          <w:rFonts w:ascii="Times New Roman" w:eastAsia="Times New Roman" w:hAnsi="Times New Roman" w:cs="Times New Roman"/>
          <w:bCs/>
          <w:lang w:val="lt-LT"/>
        </w:rPr>
      </w:pPr>
    </w:p>
    <w:p w14:paraId="705638B8" w14:textId="77777777" w:rsidR="00A840FC" w:rsidRPr="00A840FC" w:rsidRDefault="00A840FC" w:rsidP="00A840FC">
      <w:pPr>
        <w:spacing w:after="0" w:line="240" w:lineRule="auto"/>
        <w:rPr>
          <w:rFonts w:ascii="Times New Roman" w:eastAsia="Times New Roman" w:hAnsi="Times New Roman" w:cs="Times New Roman"/>
          <w:bCs/>
          <w:lang w:val="lt-LT"/>
        </w:rPr>
      </w:pPr>
      <w:r w:rsidRPr="00A840FC">
        <w:rPr>
          <w:rFonts w:ascii="Times New Roman" w:eastAsia="Times New Roman" w:hAnsi="Times New Roman" w:cs="Times New Roman"/>
          <w:bCs/>
          <w:lang w:val="lt-LT"/>
        </w:rPr>
        <w:t>Gali būti tiekiamos ne visų dydžių pakuotės.</w:t>
      </w:r>
    </w:p>
    <w:bookmarkEnd w:id="91"/>
    <w:p w14:paraId="36CAE79A" w14:textId="77777777" w:rsidR="00A840FC" w:rsidRPr="00A840FC" w:rsidRDefault="00A840FC" w:rsidP="00A840FC">
      <w:pPr>
        <w:spacing w:after="0" w:line="240" w:lineRule="auto"/>
        <w:rPr>
          <w:rFonts w:ascii="Times New Roman" w:eastAsia="Arial Unicode MS" w:hAnsi="Times New Roman" w:cs="Times New Roman"/>
          <w:lang w:val="lt-LT"/>
        </w:rPr>
      </w:pPr>
    </w:p>
    <w:p w14:paraId="2123C30F"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 xml:space="preserve">Registruotojas </w:t>
      </w:r>
    </w:p>
    <w:p w14:paraId="73FECE31"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Orion Corporation</w:t>
      </w:r>
    </w:p>
    <w:p w14:paraId="11393367"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Orionintie 1</w:t>
      </w:r>
    </w:p>
    <w:p w14:paraId="5A75A4CC"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FI-02200 Espoo</w:t>
      </w:r>
    </w:p>
    <w:p w14:paraId="6E4010A8"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Suomija</w:t>
      </w:r>
    </w:p>
    <w:p w14:paraId="2ACBE21C"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p>
    <w:p w14:paraId="6AAE275B"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b/>
          <w:lang w:val="lt-LT"/>
        </w:rPr>
        <w:t>Gamintojas</w:t>
      </w:r>
      <w:r w:rsidRPr="00A840FC">
        <w:rPr>
          <w:rFonts w:ascii="Times New Roman" w:eastAsia="Times New Roman" w:hAnsi="Times New Roman" w:cs="Times New Roman"/>
          <w:lang w:val="lt-LT"/>
        </w:rPr>
        <w:t xml:space="preserve"> </w:t>
      </w:r>
    </w:p>
    <w:p w14:paraId="3628D06F"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Orion Corporation Orion Pharma</w:t>
      </w:r>
    </w:p>
    <w:p w14:paraId="56D10E43"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Orionintie 1</w:t>
      </w:r>
    </w:p>
    <w:p w14:paraId="2D1CF54F"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FI-02200 Espoo</w:t>
      </w:r>
    </w:p>
    <w:p w14:paraId="4AFBB0CA" w14:textId="77777777" w:rsidR="00A840FC" w:rsidRPr="00A840FC" w:rsidRDefault="00A840FC" w:rsidP="00A840FC">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Suomija</w:t>
      </w:r>
    </w:p>
    <w:p w14:paraId="34BA0E19" w14:textId="77777777" w:rsidR="00A840FC" w:rsidRPr="00A840FC" w:rsidRDefault="00A840FC" w:rsidP="00A840FC">
      <w:pPr>
        <w:spacing w:after="0" w:line="240" w:lineRule="auto"/>
        <w:rPr>
          <w:rFonts w:ascii="Times New Roman" w:eastAsia="Times New Roman" w:hAnsi="Times New Roman" w:cs="Times New Roman"/>
          <w:lang w:val="lt-LT"/>
        </w:rPr>
      </w:pPr>
    </w:p>
    <w:p w14:paraId="60BBB151"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arba</w:t>
      </w:r>
    </w:p>
    <w:p w14:paraId="1B8E6145" w14:textId="77777777" w:rsidR="00A840FC" w:rsidRPr="00A840FC" w:rsidRDefault="00A840FC" w:rsidP="00A840FC">
      <w:pPr>
        <w:spacing w:after="0" w:line="240" w:lineRule="auto"/>
        <w:rPr>
          <w:rFonts w:ascii="Times New Roman" w:eastAsia="Times New Roman" w:hAnsi="Times New Roman" w:cs="Times New Roman"/>
          <w:lang w:val="lt-LT"/>
        </w:rPr>
      </w:pPr>
    </w:p>
    <w:p w14:paraId="40365CAC"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Orion Corporation Orion Pharma</w:t>
      </w:r>
    </w:p>
    <w:p w14:paraId="008E0CB4"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Joensuunkatu 7</w:t>
      </w:r>
    </w:p>
    <w:p w14:paraId="6489FD2D"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FI-24100 Salo</w:t>
      </w:r>
    </w:p>
    <w:p w14:paraId="1CC29280" w14:textId="77777777" w:rsidR="00A840FC" w:rsidRPr="00A840FC" w:rsidRDefault="00A840FC" w:rsidP="00A840FC">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Suomija</w:t>
      </w:r>
    </w:p>
    <w:p w14:paraId="6F7AEDB2" w14:textId="77777777" w:rsidR="00A840FC" w:rsidRPr="00A840FC" w:rsidRDefault="00A840FC" w:rsidP="00A840FC">
      <w:pPr>
        <w:spacing w:after="0" w:line="240" w:lineRule="auto"/>
        <w:rPr>
          <w:rFonts w:ascii="Times New Roman" w:eastAsia="Times New Roman" w:hAnsi="Times New Roman" w:cs="Times New Roman"/>
          <w:lang w:val="lt-LT"/>
        </w:rPr>
      </w:pPr>
    </w:p>
    <w:p w14:paraId="5018CDE8" w14:textId="77777777" w:rsidR="00B421F7" w:rsidRPr="00A840FC" w:rsidRDefault="00B421F7" w:rsidP="00B421F7">
      <w:pPr>
        <w:numPr>
          <w:ilvl w:val="12"/>
          <w:numId w:val="0"/>
        </w:numPr>
        <w:tabs>
          <w:tab w:val="left" w:pos="567"/>
        </w:tabs>
        <w:spacing w:after="0" w:line="240" w:lineRule="auto"/>
        <w:ind w:right="-2"/>
        <w:rPr>
          <w:rFonts w:ascii="Times New Roman" w:eastAsia="Times New Roman" w:hAnsi="Times New Roman" w:cs="Times New Roman"/>
          <w:snapToGrid w:val="0"/>
          <w:lang w:val="lt-LT"/>
        </w:rPr>
      </w:pPr>
      <w:r w:rsidRPr="00A840FC">
        <w:rPr>
          <w:rFonts w:ascii="Times New Roman" w:eastAsia="Times New Roman" w:hAnsi="Times New Roman" w:cs="Times New Roman"/>
          <w:snapToGrid w:val="0"/>
          <w:lang w:val="lt-LT"/>
        </w:rPr>
        <w:t>Jeigu apie šį vaistą norite sužinoti daugiau, kreipkitės į vietinį registruotojo atstovą</w:t>
      </w:r>
      <w:r>
        <w:rPr>
          <w:rFonts w:ascii="Times New Roman" w:eastAsia="Times New Roman" w:hAnsi="Times New Roman" w:cs="Times New Roman"/>
          <w:snapToGrid w:val="0"/>
          <w:lang w:val="lt-LT"/>
        </w:rPr>
        <w:t>:</w:t>
      </w:r>
    </w:p>
    <w:tbl>
      <w:tblPr>
        <w:tblW w:w="4678" w:type="dxa"/>
        <w:tblInd w:w="-34" w:type="dxa"/>
        <w:tblLayout w:type="fixed"/>
        <w:tblLook w:val="0000" w:firstRow="0" w:lastRow="0" w:firstColumn="0" w:lastColumn="0" w:noHBand="0" w:noVBand="0"/>
      </w:tblPr>
      <w:tblGrid>
        <w:gridCol w:w="4678"/>
      </w:tblGrid>
      <w:tr w:rsidR="00B421F7" w:rsidRPr="00A840FC" w14:paraId="2B73F36E" w14:textId="77777777" w:rsidTr="00275BB4">
        <w:tc>
          <w:tcPr>
            <w:tcW w:w="4678" w:type="dxa"/>
          </w:tcPr>
          <w:p w14:paraId="35F98B86" w14:textId="77777777" w:rsidR="00B421F7" w:rsidRPr="00A840FC" w:rsidRDefault="00B421F7" w:rsidP="00275BB4">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UAB </w:t>
            </w:r>
            <w:r>
              <w:rPr>
                <w:rFonts w:ascii="Times New Roman" w:eastAsia="Times New Roman" w:hAnsi="Times New Roman" w:cs="Times New Roman"/>
                <w:lang w:val="lt-LT"/>
              </w:rPr>
              <w:t>„</w:t>
            </w:r>
            <w:r w:rsidRPr="00A840FC">
              <w:rPr>
                <w:rFonts w:ascii="Times New Roman" w:eastAsia="Times New Roman" w:hAnsi="Times New Roman" w:cs="Times New Roman"/>
                <w:lang w:val="lt-LT"/>
              </w:rPr>
              <w:t>ORION PHARMA</w:t>
            </w:r>
            <w:r>
              <w:rPr>
                <w:rFonts w:ascii="Times New Roman" w:eastAsia="Times New Roman" w:hAnsi="Times New Roman" w:cs="Times New Roman"/>
                <w:lang w:val="lt-LT"/>
              </w:rPr>
              <w:t>“</w:t>
            </w:r>
          </w:p>
          <w:p w14:paraId="416A70BE" w14:textId="77777777" w:rsidR="00B421F7" w:rsidRPr="00A840FC" w:rsidRDefault="00B421F7" w:rsidP="00275BB4">
            <w:pPr>
              <w:tabs>
                <w:tab w:val="left" w:pos="-720"/>
              </w:tabs>
              <w:suppressAutoHyphen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Tel. +370 5 276 9499</w:t>
            </w:r>
          </w:p>
        </w:tc>
      </w:tr>
    </w:tbl>
    <w:p w14:paraId="1A4E849A" w14:textId="77777777" w:rsidR="00B421F7" w:rsidRPr="00A840FC" w:rsidRDefault="00B421F7" w:rsidP="00B421F7">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 xml:space="preserve">El. paštas: </w:t>
      </w:r>
      <w:hyperlink r:id="rId16" w:history="1">
        <w:r w:rsidRPr="00A840FC">
          <w:rPr>
            <w:rFonts w:ascii="Times New Roman" w:eastAsia="Arial Unicode MS" w:hAnsi="Times New Roman" w:cs="Times New Roman"/>
            <w:color w:val="0000FF"/>
            <w:u w:val="single"/>
            <w:lang w:val="lt-LT"/>
          </w:rPr>
          <w:t>info@orionpharma.lt</w:t>
        </w:r>
      </w:hyperlink>
    </w:p>
    <w:p w14:paraId="34792730" w14:textId="77777777" w:rsidR="00A840FC" w:rsidRPr="00A840FC" w:rsidRDefault="00A840FC" w:rsidP="00A840FC">
      <w:pPr>
        <w:spacing w:after="0" w:line="240" w:lineRule="auto"/>
        <w:rPr>
          <w:rFonts w:ascii="Times New Roman" w:eastAsia="Arial Unicode MS" w:hAnsi="Times New Roman" w:cs="Times New Roman"/>
          <w:lang w:val="lt-LT"/>
        </w:rPr>
      </w:pPr>
    </w:p>
    <w:p w14:paraId="26E12126" w14:textId="77777777" w:rsidR="00A840FC" w:rsidRPr="00A840FC" w:rsidRDefault="00A840FC" w:rsidP="00A840FC">
      <w:pPr>
        <w:keepNext/>
        <w:keepLines/>
        <w:numPr>
          <w:ilvl w:val="12"/>
          <w:numId w:val="0"/>
        </w:numPr>
        <w:tabs>
          <w:tab w:val="left" w:pos="567"/>
        </w:tabs>
        <w:spacing w:after="0" w:line="240" w:lineRule="auto"/>
        <w:ind w:right="-2"/>
        <w:rPr>
          <w:rFonts w:ascii="Times New Roman" w:eastAsia="Times New Roman" w:hAnsi="Times New Roman" w:cs="Times New Roman"/>
          <w:snapToGrid w:val="0"/>
          <w:lang w:val="lt-LT"/>
        </w:rPr>
      </w:pPr>
      <w:r w:rsidRPr="00A840FC">
        <w:rPr>
          <w:rFonts w:ascii="Times New Roman" w:eastAsia="Times New Roman" w:hAnsi="Times New Roman" w:cs="Times New Roman"/>
          <w:b/>
          <w:snapToGrid w:val="0"/>
          <w:lang w:val="lt-LT"/>
        </w:rPr>
        <w:t>Šis vaistas EEE valstybėse narėse registruotas tokiais pavadinimais</w:t>
      </w:r>
      <w:r w:rsidRPr="00A840FC">
        <w:rPr>
          <w:rFonts w:ascii="Times New Roman" w:eastAsia="Times New Roman" w:hAnsi="Times New Roman" w:cs="Times New Roman"/>
          <w:snapToGrid w:val="0"/>
          <w:lang w:val="lt-LT"/>
        </w:rPr>
        <w:t>:</w:t>
      </w:r>
    </w:p>
    <w:p w14:paraId="25C177F0" w14:textId="77777777" w:rsidR="00A840FC" w:rsidRPr="00A840FC" w:rsidRDefault="00A840FC" w:rsidP="00A840FC">
      <w:pPr>
        <w:keepNext/>
        <w:keepLines/>
        <w:tabs>
          <w:tab w:val="left" w:pos="1304"/>
        </w:tabs>
        <w:spacing w:after="0" w:line="240" w:lineRule="auto"/>
        <w:rPr>
          <w:rFonts w:ascii="Times New Roman" w:eastAsia="Calibri" w:hAnsi="Times New Roman" w:cs="Times New Roman"/>
          <w:b/>
          <w:lang w:val="lt-LT" w:eastAsia="lt-LT"/>
        </w:rPr>
      </w:pPr>
    </w:p>
    <w:p w14:paraId="0A22F075" w14:textId="77777777" w:rsidR="00A840FC" w:rsidRPr="00A840FC" w:rsidRDefault="00A840FC" w:rsidP="00A840FC">
      <w:pPr>
        <w:keepNext/>
        <w:keepLines/>
        <w:tabs>
          <w:tab w:val="left" w:pos="1304"/>
        </w:tabs>
        <w:spacing w:after="0" w:line="240" w:lineRule="auto"/>
        <w:rPr>
          <w:rFonts w:ascii="Times New Roman" w:eastAsia="Calibri" w:hAnsi="Times New Roman" w:cs="Times New Roman"/>
          <w:lang w:val="lt-LT" w:eastAsia="lt-LT"/>
        </w:rPr>
      </w:pPr>
      <w:r w:rsidRPr="00A840FC">
        <w:rPr>
          <w:rFonts w:ascii="Times New Roman" w:eastAsia="Calibri" w:hAnsi="Times New Roman" w:cs="Times New Roman"/>
          <w:lang w:val="lt-LT" w:eastAsia="lt-LT"/>
        </w:rPr>
        <w:t>Suomija, Estija, Latvija, Lietuva, Lenkija: Ketipinor</w:t>
      </w:r>
    </w:p>
    <w:p w14:paraId="796F69CE" w14:textId="77777777" w:rsidR="00A840FC" w:rsidRPr="00A840FC" w:rsidRDefault="00A840FC" w:rsidP="00A840FC">
      <w:pPr>
        <w:keepNext/>
        <w:keepLines/>
        <w:numPr>
          <w:ilvl w:val="12"/>
          <w:numId w:val="0"/>
        </w:numPr>
        <w:tabs>
          <w:tab w:val="left" w:pos="1304"/>
        </w:tabs>
        <w:spacing w:after="0" w:line="240" w:lineRule="auto"/>
        <w:ind w:right="-2"/>
        <w:outlineLvl w:val="0"/>
        <w:rPr>
          <w:rFonts w:ascii="Times New Roman" w:eastAsia="Calibri" w:hAnsi="Times New Roman" w:cs="Times New Roman"/>
          <w:lang w:val="lt-LT" w:eastAsia="lt-LT"/>
        </w:rPr>
      </w:pPr>
      <w:r w:rsidRPr="00A840FC">
        <w:rPr>
          <w:rFonts w:ascii="Times New Roman" w:eastAsia="Calibri" w:hAnsi="Times New Roman" w:cs="Times New Roman"/>
          <w:lang w:val="lt-LT" w:eastAsia="lt-LT"/>
        </w:rPr>
        <w:t>Vengrija: Quetiapine Orion</w:t>
      </w:r>
    </w:p>
    <w:p w14:paraId="423AF19B" w14:textId="77777777" w:rsidR="00A840FC" w:rsidRPr="00A840FC" w:rsidRDefault="00A840FC" w:rsidP="00A840FC">
      <w:pPr>
        <w:numPr>
          <w:ilvl w:val="12"/>
          <w:numId w:val="0"/>
        </w:numPr>
        <w:tabs>
          <w:tab w:val="left" w:pos="1304"/>
        </w:tabs>
        <w:spacing w:after="0" w:line="240" w:lineRule="auto"/>
        <w:ind w:right="-2"/>
        <w:outlineLvl w:val="0"/>
        <w:rPr>
          <w:rFonts w:ascii="Times New Roman" w:eastAsia="Calibri" w:hAnsi="Times New Roman" w:cs="Times New Roman"/>
          <w:b/>
          <w:lang w:val="lt-LT" w:eastAsia="lt-LT"/>
        </w:rPr>
      </w:pPr>
    </w:p>
    <w:p w14:paraId="25F5397F" w14:textId="3D320124" w:rsidR="00A840FC" w:rsidRPr="00A840FC" w:rsidRDefault="00A840FC" w:rsidP="00A840FC">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 xml:space="preserve">Šis pakuotės lapelis paskutinį kartą peržiūrėtas </w:t>
      </w:r>
      <w:r w:rsidR="00D01499">
        <w:rPr>
          <w:rFonts w:ascii="Times New Roman" w:eastAsia="Times New Roman" w:hAnsi="Times New Roman" w:cs="Times New Roman"/>
          <w:b/>
          <w:lang w:val="lt-LT"/>
        </w:rPr>
        <w:t>202</w:t>
      </w:r>
      <w:r w:rsidR="00FD03B4">
        <w:rPr>
          <w:rFonts w:ascii="Times New Roman" w:eastAsia="Times New Roman" w:hAnsi="Times New Roman" w:cs="Times New Roman"/>
          <w:b/>
          <w:lang w:val="lt-LT"/>
        </w:rPr>
        <w:t>4-06-24.</w:t>
      </w:r>
    </w:p>
    <w:p w14:paraId="4BAB77CE" w14:textId="77777777" w:rsidR="00A840FC" w:rsidRPr="00A840FC" w:rsidRDefault="00A840FC" w:rsidP="00A840FC">
      <w:pPr>
        <w:spacing w:after="0" w:line="240" w:lineRule="auto"/>
        <w:rPr>
          <w:rFonts w:ascii="Times New Roman" w:eastAsia="Times New Roman" w:hAnsi="Times New Roman" w:cs="Times New Roman"/>
          <w:lang w:val="lt-LT"/>
        </w:rPr>
      </w:pPr>
    </w:p>
    <w:p w14:paraId="12ACF8CA" w14:textId="0FE30D0B" w:rsidR="00E347D5" w:rsidRDefault="00A840FC" w:rsidP="006A2CAD">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17" w:history="1">
        <w:r w:rsidRPr="00A840FC">
          <w:rPr>
            <w:rFonts w:ascii="Times New Roman" w:eastAsia="Calibri" w:hAnsi="Times New Roman" w:cs="Times New Roman"/>
            <w:u w:val="single"/>
            <w:lang w:val="lt-LT"/>
          </w:rPr>
          <w:t>http://www.vvkt.lt/</w:t>
        </w:r>
      </w:hyperlink>
      <w:r w:rsidRPr="00A840FC">
        <w:rPr>
          <w:rFonts w:ascii="Times New Roman" w:eastAsia="Times New Roman" w:hAnsi="Times New Roman" w:cs="Times New Roman"/>
          <w:lang w:val="lt-LT"/>
        </w:rPr>
        <w:t>.</w:t>
      </w:r>
    </w:p>
    <w:p w14:paraId="14781BB1" w14:textId="77777777" w:rsidR="00CA19FD" w:rsidRPr="00827776" w:rsidRDefault="00CA19FD" w:rsidP="006A2CAD">
      <w:pPr>
        <w:spacing w:after="0" w:line="240" w:lineRule="auto"/>
        <w:rPr>
          <w:lang w:val="lt-LT"/>
        </w:rPr>
      </w:pPr>
      <w:bookmarkStart w:id="92" w:name="_GoBack"/>
      <w:bookmarkEnd w:id="92"/>
    </w:p>
    <w:sectPr w:rsidR="00CA19FD" w:rsidRPr="00827776" w:rsidSect="007C33A1">
      <w:footerReference w:type="even" r:id="rId18"/>
      <w:footerReference w:type="default" r:id="rId1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07B30" w14:textId="77777777" w:rsidR="0049514D" w:rsidRDefault="0049514D">
      <w:pPr>
        <w:spacing w:after="0" w:line="240" w:lineRule="auto"/>
      </w:pPr>
      <w:r>
        <w:separator/>
      </w:r>
    </w:p>
  </w:endnote>
  <w:endnote w:type="continuationSeparator" w:id="0">
    <w:p w14:paraId="74FD7A77" w14:textId="77777777" w:rsidR="0049514D" w:rsidRDefault="0049514D">
      <w:pPr>
        <w:spacing w:after="0" w:line="240" w:lineRule="auto"/>
      </w:pPr>
      <w:r>
        <w:continuationSeparator/>
      </w:r>
    </w:p>
  </w:endnote>
  <w:endnote w:type="continuationNotice" w:id="1">
    <w:p w14:paraId="09B2C55B" w14:textId="77777777" w:rsidR="0049514D" w:rsidRDefault="004951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B2D4B" w14:textId="77777777" w:rsidR="00FD03B4" w:rsidRDefault="00A840FC" w:rsidP="007C33A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36</w:t>
    </w:r>
    <w:r>
      <w:rPr>
        <w:rStyle w:val="Puslapionumeris"/>
      </w:rPr>
      <w:fldChar w:fldCharType="end"/>
    </w:r>
  </w:p>
  <w:p w14:paraId="5FD5995E" w14:textId="77777777" w:rsidR="00FD03B4" w:rsidRDefault="00FD03B4" w:rsidP="007C33A1">
    <w:pPr>
      <w:pStyle w:val="Porat"/>
      <w:ind w:right="360"/>
    </w:pPr>
  </w:p>
  <w:p w14:paraId="2069A68F" w14:textId="77777777" w:rsidR="00FD03B4" w:rsidRDefault="00FD03B4"/>
  <w:p w14:paraId="102775A6" w14:textId="77777777" w:rsidR="00FD03B4" w:rsidRDefault="00FD03B4" w:rsidP="007C33A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839112"/>
      <w:docPartObj>
        <w:docPartGallery w:val="Page Numbers (Bottom of Page)"/>
        <w:docPartUnique/>
      </w:docPartObj>
    </w:sdtPr>
    <w:sdtEndPr/>
    <w:sdtContent>
      <w:p w14:paraId="2635D762" w14:textId="67136F8E" w:rsidR="00FD03B4" w:rsidRDefault="00A840FC">
        <w:pPr>
          <w:pStyle w:val="Porat"/>
          <w:jc w:val="center"/>
        </w:pPr>
        <w:r w:rsidRPr="002E5EFD">
          <w:rPr>
            <w:sz w:val="22"/>
          </w:rPr>
          <w:fldChar w:fldCharType="begin"/>
        </w:r>
        <w:r w:rsidRPr="002E5EFD">
          <w:rPr>
            <w:sz w:val="22"/>
          </w:rPr>
          <w:instrText>PAGE   \* MERGEFORMAT</w:instrText>
        </w:r>
        <w:r w:rsidRPr="002E5EFD">
          <w:rPr>
            <w:sz w:val="22"/>
          </w:rPr>
          <w:fldChar w:fldCharType="separate"/>
        </w:r>
        <w:r w:rsidR="00CA19FD">
          <w:rPr>
            <w:noProof/>
            <w:sz w:val="22"/>
          </w:rPr>
          <w:t>45</w:t>
        </w:r>
        <w:r w:rsidRPr="002E5EFD">
          <w:rPr>
            <w:sz w:val="22"/>
          </w:rPr>
          <w:fldChar w:fldCharType="end"/>
        </w:r>
      </w:p>
    </w:sdtContent>
  </w:sdt>
  <w:p w14:paraId="7A94918E" w14:textId="77777777" w:rsidR="00FD03B4" w:rsidRDefault="00FD03B4" w:rsidP="007C33A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D2707" w14:textId="77777777" w:rsidR="0049514D" w:rsidRDefault="0049514D">
      <w:pPr>
        <w:spacing w:after="0" w:line="240" w:lineRule="auto"/>
      </w:pPr>
      <w:r>
        <w:separator/>
      </w:r>
    </w:p>
  </w:footnote>
  <w:footnote w:type="continuationSeparator" w:id="0">
    <w:p w14:paraId="3A02299E" w14:textId="77777777" w:rsidR="0049514D" w:rsidRDefault="0049514D">
      <w:pPr>
        <w:spacing w:after="0" w:line="240" w:lineRule="auto"/>
      </w:pPr>
      <w:r>
        <w:continuationSeparator/>
      </w:r>
    </w:p>
  </w:footnote>
  <w:footnote w:type="continuationNotice" w:id="1">
    <w:p w14:paraId="1F0E69D1" w14:textId="77777777" w:rsidR="0049514D" w:rsidRDefault="0049514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9D469A"/>
    <w:multiLevelType w:val="hybridMultilevel"/>
    <w:tmpl w:val="8162276E"/>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4696708"/>
    <w:multiLevelType w:val="hybridMultilevel"/>
    <w:tmpl w:val="C3482146"/>
    <w:lvl w:ilvl="0" w:tplc="61A4266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7EA4B89"/>
    <w:multiLevelType w:val="hybridMultilevel"/>
    <w:tmpl w:val="44942CE4"/>
    <w:lvl w:ilvl="0" w:tplc="61A4266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8745FA"/>
    <w:multiLevelType w:val="hybridMultilevel"/>
    <w:tmpl w:val="993657FE"/>
    <w:lvl w:ilvl="0" w:tplc="61A4266A">
      <w:start w:val="1"/>
      <w:numFmt w:val="bullet"/>
      <w:lvlText w:val="•"/>
      <w:lvlJc w:val="left"/>
      <w:pPr>
        <w:ind w:left="720" w:hanging="360"/>
      </w:pPr>
      <w:rPr>
        <w:rFonts w:ascii="Times New Roman" w:eastAsia="Times New Roman" w:hAnsi="Times New Roman" w:cs="Times New Roman" w:hint="default"/>
      </w:rPr>
    </w:lvl>
    <w:lvl w:ilvl="1" w:tplc="D2BAA4E4">
      <w:numFmt w:val="bullet"/>
      <w:lvlText w:val="•"/>
      <w:lvlJc w:val="left"/>
      <w:pPr>
        <w:ind w:left="1650" w:hanging="57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D9D36BF"/>
    <w:multiLevelType w:val="hybridMultilevel"/>
    <w:tmpl w:val="E4EE42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1225C37"/>
    <w:multiLevelType w:val="hybridMultilevel"/>
    <w:tmpl w:val="24E02F6A"/>
    <w:lvl w:ilvl="0" w:tplc="61A4266A">
      <w:start w:val="1"/>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419095C"/>
    <w:multiLevelType w:val="hybridMultilevel"/>
    <w:tmpl w:val="79A2DF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0020A6D"/>
    <w:multiLevelType w:val="hybridMultilevel"/>
    <w:tmpl w:val="DCA8A0AE"/>
    <w:lvl w:ilvl="0" w:tplc="04270001">
      <w:start w:val="1"/>
      <w:numFmt w:val="bullet"/>
      <w:lvlText w:val=""/>
      <w:lvlJc w:val="left"/>
      <w:pPr>
        <w:ind w:left="502"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260E55"/>
    <w:multiLevelType w:val="hybridMultilevel"/>
    <w:tmpl w:val="78E2D5D0"/>
    <w:lvl w:ilvl="0" w:tplc="4C22463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2FE7F4C"/>
    <w:multiLevelType w:val="hybridMultilevel"/>
    <w:tmpl w:val="B93CA3A0"/>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3823603D"/>
    <w:multiLevelType w:val="hybridMultilevel"/>
    <w:tmpl w:val="B1C8C6B0"/>
    <w:lvl w:ilvl="0" w:tplc="61A4266A">
      <w:start w:val="1"/>
      <w:numFmt w:val="bullet"/>
      <w:lvlText w:val="•"/>
      <w:lvlJc w:val="left"/>
      <w:pPr>
        <w:ind w:left="720" w:hanging="360"/>
      </w:pPr>
      <w:rPr>
        <w:rFonts w:ascii="Times New Roman" w:eastAsia="Times New Roman" w:hAnsi="Times New Roman" w:cs="Times New Roman" w:hint="default"/>
      </w:rPr>
    </w:lvl>
    <w:lvl w:ilvl="1" w:tplc="043EFD76">
      <w:numFmt w:val="bullet"/>
      <w:lvlText w:val="•"/>
      <w:lvlJc w:val="left"/>
      <w:pPr>
        <w:ind w:left="1650" w:hanging="57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8D04348"/>
    <w:multiLevelType w:val="hybridMultilevel"/>
    <w:tmpl w:val="C59EB130"/>
    <w:lvl w:ilvl="0" w:tplc="61A4266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DF82203"/>
    <w:multiLevelType w:val="hybridMultilevel"/>
    <w:tmpl w:val="01EABF60"/>
    <w:lvl w:ilvl="0" w:tplc="910C0EB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3A42B04"/>
    <w:multiLevelType w:val="hybridMultilevel"/>
    <w:tmpl w:val="EB0E3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1847FE"/>
    <w:multiLevelType w:val="hybridMultilevel"/>
    <w:tmpl w:val="3DD47478"/>
    <w:lvl w:ilvl="0" w:tplc="B4E431C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AD6EBF"/>
    <w:multiLevelType w:val="hybridMultilevel"/>
    <w:tmpl w:val="D5EE96A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C8390B"/>
    <w:multiLevelType w:val="hybridMultilevel"/>
    <w:tmpl w:val="3A60CC8C"/>
    <w:lvl w:ilvl="0" w:tplc="0427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15:restartNumberingAfterBreak="0">
    <w:nsid w:val="4CA21AD9"/>
    <w:multiLevelType w:val="hybridMultilevel"/>
    <w:tmpl w:val="DE74B69C"/>
    <w:lvl w:ilvl="0" w:tplc="B8262522">
      <w:numFmt w:val="bullet"/>
      <w:lvlText w:val="-"/>
      <w:lvlJc w:val="left"/>
      <w:pPr>
        <w:ind w:left="720" w:hanging="360"/>
      </w:pPr>
      <w:rPr>
        <w:rFonts w:ascii="Times New Roman" w:eastAsia="Times New Roman"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20" w15:restartNumberingAfterBreak="0">
    <w:nsid w:val="4DDC237C"/>
    <w:multiLevelType w:val="hybridMultilevel"/>
    <w:tmpl w:val="241226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4F6610"/>
    <w:multiLevelType w:val="hybridMultilevel"/>
    <w:tmpl w:val="7DB89D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E875CF1"/>
    <w:multiLevelType w:val="hybridMultilevel"/>
    <w:tmpl w:val="C3F4E69A"/>
    <w:lvl w:ilvl="0" w:tplc="0409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23" w15:restartNumberingAfterBreak="0">
    <w:nsid w:val="561B0D06"/>
    <w:multiLevelType w:val="hybridMultilevel"/>
    <w:tmpl w:val="C4F4807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4" w15:restartNumberingAfterBreak="0">
    <w:nsid w:val="6540154E"/>
    <w:multiLevelType w:val="hybridMultilevel"/>
    <w:tmpl w:val="E79E59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231557"/>
    <w:multiLevelType w:val="hybridMultilevel"/>
    <w:tmpl w:val="D2E89614"/>
    <w:lvl w:ilvl="0" w:tplc="61A4266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5BF6847"/>
    <w:multiLevelType w:val="hybridMultilevel"/>
    <w:tmpl w:val="6144D63E"/>
    <w:lvl w:ilvl="0" w:tplc="61A4266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764957"/>
    <w:multiLevelType w:val="hybridMultilevel"/>
    <w:tmpl w:val="9E72FF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0"/>
    <w:lvlOverride w:ilvl="0">
      <w:lvl w:ilvl="0">
        <w:start w:val="1"/>
        <w:numFmt w:val="bullet"/>
        <w:lvlText w:val="-"/>
        <w:legacy w:legacy="1" w:legacySpace="0" w:legacyIndent="360"/>
        <w:lvlJc w:val="left"/>
        <w:pPr>
          <w:ind w:left="360" w:hanging="360"/>
        </w:pPr>
      </w:lvl>
    </w:lvlOverride>
  </w:num>
  <w:num w:numId="4">
    <w:abstractNumId w:val="10"/>
  </w:num>
  <w:num w:numId="5">
    <w:abstractNumId w:val="6"/>
  </w:num>
  <w:num w:numId="6">
    <w:abstractNumId w:val="5"/>
  </w:num>
  <w:num w:numId="7">
    <w:abstractNumId w:val="23"/>
  </w:num>
  <w:num w:numId="8">
    <w:abstractNumId w:val="7"/>
  </w:num>
  <w:num w:numId="9">
    <w:abstractNumId w:val="8"/>
  </w:num>
  <w:num w:numId="10">
    <w:abstractNumId w:val="12"/>
  </w:num>
  <w:num w:numId="11">
    <w:abstractNumId w:val="21"/>
  </w:num>
  <w:num w:numId="12">
    <w:abstractNumId w:val="14"/>
  </w:num>
  <w:num w:numId="13">
    <w:abstractNumId w:val="13"/>
  </w:num>
  <w:num w:numId="14">
    <w:abstractNumId w:val="2"/>
  </w:num>
  <w:num w:numId="15">
    <w:abstractNumId w:val="25"/>
  </w:num>
  <w:num w:numId="16">
    <w:abstractNumId w:val="4"/>
  </w:num>
  <w:num w:numId="17">
    <w:abstractNumId w:val="1"/>
  </w:num>
  <w:num w:numId="18">
    <w:abstractNumId w:val="3"/>
  </w:num>
  <w:num w:numId="19">
    <w:abstractNumId w:val="24"/>
  </w:num>
  <w:num w:numId="20">
    <w:abstractNumId w:val="20"/>
  </w:num>
  <w:num w:numId="21">
    <w:abstractNumId w:val="17"/>
  </w:num>
  <w:num w:numId="22">
    <w:abstractNumId w:val="19"/>
  </w:num>
  <w:num w:numId="23">
    <w:abstractNumId w:val="11"/>
  </w:num>
  <w:num w:numId="24">
    <w:abstractNumId w:val="18"/>
  </w:num>
  <w:num w:numId="25">
    <w:abstractNumId w:val="15"/>
  </w:num>
  <w:num w:numId="26">
    <w:abstractNumId w:val="22"/>
  </w:num>
  <w:num w:numId="27">
    <w:abstractNumId w:val="26"/>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376"/>
    <w:rsid w:val="000354E5"/>
    <w:rsid w:val="00053BF8"/>
    <w:rsid w:val="00082DEE"/>
    <w:rsid w:val="00164D0E"/>
    <w:rsid w:val="0019523D"/>
    <w:rsid w:val="001E0791"/>
    <w:rsid w:val="00267135"/>
    <w:rsid w:val="002A4702"/>
    <w:rsid w:val="003215D3"/>
    <w:rsid w:val="003763F7"/>
    <w:rsid w:val="0049514D"/>
    <w:rsid w:val="00575656"/>
    <w:rsid w:val="00591A30"/>
    <w:rsid w:val="0062376A"/>
    <w:rsid w:val="006A2CAD"/>
    <w:rsid w:val="006D36BF"/>
    <w:rsid w:val="00765952"/>
    <w:rsid w:val="00827776"/>
    <w:rsid w:val="008317AF"/>
    <w:rsid w:val="009015A7"/>
    <w:rsid w:val="009504CE"/>
    <w:rsid w:val="009724F1"/>
    <w:rsid w:val="009C2192"/>
    <w:rsid w:val="00A11679"/>
    <w:rsid w:val="00A4775A"/>
    <w:rsid w:val="00A80745"/>
    <w:rsid w:val="00A840FC"/>
    <w:rsid w:val="00A84848"/>
    <w:rsid w:val="00B01C57"/>
    <w:rsid w:val="00B421F7"/>
    <w:rsid w:val="00BC5C52"/>
    <w:rsid w:val="00BD48BD"/>
    <w:rsid w:val="00C75800"/>
    <w:rsid w:val="00C76EEE"/>
    <w:rsid w:val="00C77CCD"/>
    <w:rsid w:val="00CA19FD"/>
    <w:rsid w:val="00CB69F0"/>
    <w:rsid w:val="00CB6B37"/>
    <w:rsid w:val="00D01499"/>
    <w:rsid w:val="00D14376"/>
    <w:rsid w:val="00D2664A"/>
    <w:rsid w:val="00D403A6"/>
    <w:rsid w:val="00D65AD6"/>
    <w:rsid w:val="00D77851"/>
    <w:rsid w:val="00DA5893"/>
    <w:rsid w:val="00DF1A9C"/>
    <w:rsid w:val="00E347D5"/>
    <w:rsid w:val="00EA488F"/>
    <w:rsid w:val="00F33E7B"/>
    <w:rsid w:val="00F6099F"/>
    <w:rsid w:val="00FA32A9"/>
    <w:rsid w:val="00FD03B4"/>
    <w:rsid w:val="00FE0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A3592"/>
  <w15:chartTrackingRefBased/>
  <w15:docId w15:val="{21666185-84A4-4BD8-8995-91BDAE66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A840FC"/>
    <w:pPr>
      <w:keepNext/>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prastasis"/>
    <w:next w:val="prastasis"/>
    <w:link w:val="Antrat2Diagrama"/>
    <w:qFormat/>
    <w:rsid w:val="00A840FC"/>
    <w:pPr>
      <w:keepNext/>
      <w:spacing w:before="240" w:after="60" w:line="240" w:lineRule="auto"/>
      <w:outlineLvl w:val="1"/>
    </w:pPr>
    <w:rPr>
      <w:rFonts w:ascii="Arial" w:eastAsia="Times New Roman" w:hAnsi="Arial" w:cs="Arial"/>
      <w:b/>
      <w:bCs/>
      <w:i/>
      <w:iCs/>
      <w:sz w:val="28"/>
      <w:szCs w:val="28"/>
      <w:lang w:val="lt-LT"/>
    </w:rPr>
  </w:style>
  <w:style w:type="paragraph" w:styleId="Antrat3">
    <w:name w:val="heading 3"/>
    <w:basedOn w:val="prastasis"/>
    <w:next w:val="prastasis"/>
    <w:link w:val="Antrat3Diagrama"/>
    <w:qFormat/>
    <w:rsid w:val="00A840FC"/>
    <w:pPr>
      <w:keepNext/>
      <w:spacing w:before="240" w:after="60" w:line="240" w:lineRule="auto"/>
      <w:outlineLvl w:val="2"/>
    </w:pPr>
    <w:rPr>
      <w:rFonts w:ascii="Arial" w:eastAsia="Times New Roman" w:hAnsi="Arial" w:cs="Arial"/>
      <w:b/>
      <w:bCs/>
      <w:sz w:val="26"/>
      <w:szCs w:val="26"/>
      <w:lang w:val="lt-LT"/>
    </w:rPr>
  </w:style>
  <w:style w:type="paragraph" w:styleId="Antrat4">
    <w:name w:val="heading 4"/>
    <w:basedOn w:val="prastasis"/>
    <w:next w:val="prastasis"/>
    <w:link w:val="Antrat4Diagrama"/>
    <w:uiPriority w:val="99"/>
    <w:qFormat/>
    <w:rsid w:val="00A840FC"/>
    <w:pPr>
      <w:keepNext/>
      <w:tabs>
        <w:tab w:val="left" w:pos="567"/>
      </w:tabs>
      <w:spacing w:after="0" w:line="260" w:lineRule="exact"/>
      <w:jc w:val="both"/>
      <w:outlineLvl w:val="3"/>
    </w:pPr>
    <w:rPr>
      <w:rFonts w:ascii="Calibri" w:eastAsia="Times New Roman" w:hAnsi="Calibri" w:cs="Times New Roman"/>
      <w:b/>
      <w:bCs/>
      <w:sz w:val="28"/>
      <w:szCs w:val="28"/>
      <w:lang w:val="en-GB" w:eastAsia="lt-LT"/>
    </w:rPr>
  </w:style>
  <w:style w:type="paragraph" w:styleId="Antrat5">
    <w:name w:val="heading 5"/>
    <w:basedOn w:val="prastasis"/>
    <w:next w:val="prastasis"/>
    <w:link w:val="Antrat5Diagrama"/>
    <w:uiPriority w:val="99"/>
    <w:qFormat/>
    <w:rsid w:val="00A840FC"/>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rsid w:val="00A840FC"/>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rsid w:val="00A840FC"/>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A840FC"/>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A840FC"/>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840FC"/>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A840FC"/>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A840FC"/>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uiPriority w:val="99"/>
    <w:rsid w:val="00A840FC"/>
    <w:rPr>
      <w:rFonts w:ascii="Calibri" w:eastAsia="Times New Roman" w:hAnsi="Calibri" w:cs="Times New Roman"/>
      <w:b/>
      <w:bCs/>
      <w:sz w:val="28"/>
      <w:szCs w:val="28"/>
      <w:lang w:val="en-GB" w:eastAsia="lt-LT"/>
    </w:rPr>
  </w:style>
  <w:style w:type="character" w:customStyle="1" w:styleId="Antrat5Diagrama">
    <w:name w:val="Antraštė 5 Diagrama"/>
    <w:basedOn w:val="Numatytasispastraiposriftas"/>
    <w:link w:val="Antrat5"/>
    <w:uiPriority w:val="99"/>
    <w:rsid w:val="00A840FC"/>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A840FC"/>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A840FC"/>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A840FC"/>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A840FC"/>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A840FC"/>
  </w:style>
  <w:style w:type="numbering" w:customStyle="1" w:styleId="NoList11">
    <w:name w:val="No List11"/>
    <w:next w:val="Sraonra"/>
    <w:uiPriority w:val="99"/>
    <w:semiHidden/>
    <w:unhideWhenUsed/>
    <w:rsid w:val="00A840FC"/>
  </w:style>
  <w:style w:type="numbering" w:customStyle="1" w:styleId="NoList111">
    <w:name w:val="No List111"/>
    <w:next w:val="Sraonra"/>
    <w:semiHidden/>
    <w:unhideWhenUsed/>
    <w:rsid w:val="00A840FC"/>
  </w:style>
  <w:style w:type="character" w:styleId="Hipersaitas">
    <w:name w:val="Hyperlink"/>
    <w:basedOn w:val="Numatytasispastraiposriftas"/>
    <w:rsid w:val="00A840FC"/>
    <w:rPr>
      <w:color w:val="0000FF"/>
      <w:u w:val="single"/>
    </w:rPr>
  </w:style>
  <w:style w:type="paragraph" w:customStyle="1" w:styleId="PI-1EMEASMCA">
    <w:name w:val="PI-1 EMEA_SMCA"/>
    <w:basedOn w:val="Antrat2"/>
    <w:autoRedefine/>
    <w:rsid w:val="00A840FC"/>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A840F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character" w:customStyle="1" w:styleId="PI-1labEMEASMCAChar">
    <w:name w:val="PI-1_lab EMEA_SMCA Char"/>
    <w:basedOn w:val="Numatytasispastraiposriftas"/>
    <w:link w:val="PI-1labEMEASMCA"/>
    <w:rsid w:val="00A840FC"/>
    <w:rPr>
      <w:rFonts w:ascii="Times New Roman" w:eastAsia="Times New Roman" w:hAnsi="Times New Roman" w:cs="Times New Roman"/>
      <w:b/>
      <w:noProof/>
      <w:lang w:val="lt-LT"/>
    </w:rPr>
  </w:style>
  <w:style w:type="paragraph" w:customStyle="1" w:styleId="PI-2EMEASMCA">
    <w:name w:val="PI-2 EMEA_SMCA"/>
    <w:basedOn w:val="Antrat3"/>
    <w:autoRedefine/>
    <w:rsid w:val="00A840FC"/>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A840FC"/>
    <w:pPr>
      <w:spacing w:after="0" w:line="240" w:lineRule="auto"/>
    </w:pPr>
    <w:rPr>
      <w:rFonts w:ascii="Times New Roman" w:eastAsia="Arial Unicode MS" w:hAnsi="Times New Roman" w:cs="Times New Roman"/>
      <w:noProof/>
      <w:lang w:val="lt-LT"/>
    </w:rPr>
  </w:style>
  <w:style w:type="character" w:customStyle="1" w:styleId="BTEMEASMCAChar">
    <w:name w:val="BT EMEA_SMCA Char"/>
    <w:basedOn w:val="Numatytasispastraiposriftas"/>
    <w:link w:val="BTEMEASMCA"/>
    <w:rsid w:val="00A840FC"/>
    <w:rPr>
      <w:rFonts w:ascii="Times New Roman" w:eastAsia="Arial Unicode MS" w:hAnsi="Times New Roman" w:cs="Times New Roman"/>
      <w:noProof/>
      <w:lang w:val="lt-LT"/>
    </w:rPr>
  </w:style>
  <w:style w:type="paragraph" w:customStyle="1" w:styleId="TTEMEASMCA">
    <w:name w:val="TT EMEA_SMCA"/>
    <w:basedOn w:val="Antrat1"/>
    <w:link w:val="TTEMEASMCAChar"/>
    <w:autoRedefine/>
    <w:rsid w:val="00A840FC"/>
    <w:pPr>
      <w:keepNext w:val="0"/>
      <w:tabs>
        <w:tab w:val="left" w:pos="567"/>
      </w:tabs>
      <w:spacing w:before="0" w:after="0"/>
      <w:jc w:val="center"/>
    </w:pPr>
    <w:rPr>
      <w:rFonts w:ascii="Times New Roman" w:hAnsi="Times New Roman" w:cs="Times New Roman"/>
      <w:bCs w:val="0"/>
      <w:caps/>
      <w:kern w:val="0"/>
      <w:sz w:val="22"/>
      <w:szCs w:val="22"/>
      <w:lang w:val="en-US"/>
    </w:rPr>
  </w:style>
  <w:style w:type="character" w:customStyle="1" w:styleId="TTEMEASMCAChar">
    <w:name w:val="TT EMEA_SMCA Char"/>
    <w:basedOn w:val="Numatytasispastraiposriftas"/>
    <w:link w:val="TTEMEASMCA"/>
    <w:rsid w:val="00A840FC"/>
    <w:rPr>
      <w:rFonts w:ascii="Times New Roman" w:eastAsia="Times New Roman" w:hAnsi="Times New Roman" w:cs="Times New Roman"/>
      <w:b/>
      <w:caps/>
    </w:rPr>
  </w:style>
  <w:style w:type="paragraph" w:customStyle="1" w:styleId="BTAnIIEMEASMCA">
    <w:name w:val="BT(AnII) EMEA_SMCA"/>
    <w:basedOn w:val="Debesliotekstas"/>
    <w:autoRedefine/>
    <w:rsid w:val="00A840FC"/>
    <w:pPr>
      <w:tabs>
        <w:tab w:val="left" w:pos="1701"/>
      </w:tabs>
      <w:ind w:left="1134"/>
    </w:pPr>
    <w:rPr>
      <w:rFonts w:ascii="Times New Roman" w:hAnsi="Times New Roman"/>
      <w:b/>
      <w:sz w:val="22"/>
      <w:szCs w:val="22"/>
      <w:lang w:val="en-GB"/>
    </w:rPr>
  </w:style>
  <w:style w:type="paragraph" w:styleId="Debesliotekstas">
    <w:name w:val="Balloon Text"/>
    <w:basedOn w:val="prastasis"/>
    <w:link w:val="DebesliotekstasDiagrama"/>
    <w:uiPriority w:val="99"/>
    <w:rsid w:val="00A840FC"/>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uiPriority w:val="99"/>
    <w:rsid w:val="00A840FC"/>
    <w:rPr>
      <w:rFonts w:ascii="Tahoma" w:eastAsia="Times New Roman" w:hAnsi="Tahoma" w:cs="Tahoma"/>
      <w:sz w:val="16"/>
      <w:szCs w:val="16"/>
      <w:lang w:val="lt-LT"/>
    </w:rPr>
  </w:style>
  <w:style w:type="paragraph" w:customStyle="1" w:styleId="BT-EMEASMCA">
    <w:name w:val="BT- EMEA_SMCA"/>
    <w:basedOn w:val="BTEMEASMCA"/>
    <w:autoRedefine/>
    <w:rsid w:val="00A840FC"/>
    <w:pPr>
      <w:numPr>
        <w:numId w:val="1"/>
      </w:numPr>
      <w:tabs>
        <w:tab w:val="clear" w:pos="720"/>
        <w:tab w:val="num" w:pos="360"/>
      </w:tabs>
      <w:ind w:left="0" w:firstLine="0"/>
    </w:pPr>
  </w:style>
  <w:style w:type="paragraph" w:customStyle="1" w:styleId="PI-3EMEASMCA">
    <w:name w:val="PI-3 EMEA_SMCA"/>
    <w:basedOn w:val="prastasis"/>
    <w:autoRedefine/>
    <w:rsid w:val="00A840FC"/>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sid w:val="00A840FC"/>
    <w:rPr>
      <w:b/>
    </w:rPr>
  </w:style>
  <w:style w:type="paragraph" w:customStyle="1" w:styleId="BTbeEMEASMCA">
    <w:name w:val="BT(be) EMEA_SMCA"/>
    <w:basedOn w:val="BTEMEASMCA"/>
    <w:autoRedefine/>
    <w:rsid w:val="00A840FC"/>
    <w:pPr>
      <w:jc w:val="center"/>
    </w:pPr>
    <w:rPr>
      <w:b/>
    </w:rPr>
  </w:style>
  <w:style w:type="paragraph" w:customStyle="1" w:styleId="BTeEMEASMCA">
    <w:name w:val="BT(e) EMEA_SMCA"/>
    <w:basedOn w:val="BTEMEASMCA"/>
    <w:autoRedefine/>
    <w:rsid w:val="00A840FC"/>
    <w:pPr>
      <w:jc w:val="center"/>
    </w:pPr>
  </w:style>
  <w:style w:type="paragraph" w:customStyle="1" w:styleId="BTgEMEASMCA">
    <w:name w:val="BT(g) EMEA_SMCA"/>
    <w:basedOn w:val="BTEMEASMCA"/>
    <w:link w:val="BTgEMEASMCAChar"/>
    <w:autoRedefine/>
    <w:rsid w:val="00A840FC"/>
    <w:rPr>
      <w:i/>
      <w:color w:val="008000"/>
    </w:rPr>
  </w:style>
  <w:style w:type="character" w:customStyle="1" w:styleId="BTgEMEASMCAChar">
    <w:name w:val="BT(g) EMEA_SMCA Char"/>
    <w:basedOn w:val="BTEMEASMCAChar"/>
    <w:link w:val="BTgEMEASMCA"/>
    <w:rsid w:val="00A840FC"/>
    <w:rPr>
      <w:rFonts w:ascii="Times New Roman" w:eastAsia="Arial Unicode MS" w:hAnsi="Times New Roman" w:cs="Times New Roman"/>
      <w:i/>
      <w:noProof/>
      <w:color w:val="008000"/>
      <w:lang w:val="lt-LT"/>
    </w:rPr>
  </w:style>
  <w:style w:type="paragraph" w:customStyle="1" w:styleId="BTuEMEASMCA">
    <w:name w:val="BT(u) EMEA_SMCA"/>
    <w:basedOn w:val="BTEMEASMCA"/>
    <w:autoRedefine/>
    <w:rsid w:val="00A840FC"/>
    <w:rPr>
      <w:u w:val="single"/>
    </w:rPr>
  </w:style>
  <w:style w:type="character" w:customStyle="1" w:styleId="DokumentostruktraDiagrama">
    <w:name w:val="Dokumento struktūra Diagrama"/>
    <w:basedOn w:val="Numatytasispastraiposriftas"/>
    <w:link w:val="Dokumentostruktra"/>
    <w:rsid w:val="00A840FC"/>
    <w:rPr>
      <w:rFonts w:ascii="Tahoma" w:eastAsia="Times New Roman" w:hAnsi="Tahoma" w:cs="Tahoma"/>
      <w:sz w:val="20"/>
      <w:szCs w:val="20"/>
      <w:shd w:val="clear" w:color="auto" w:fill="000080"/>
    </w:rPr>
  </w:style>
  <w:style w:type="paragraph" w:styleId="Dokumentostruktra">
    <w:name w:val="Document Map"/>
    <w:basedOn w:val="prastasis"/>
    <w:link w:val="DokumentostruktraDiagrama"/>
    <w:rsid w:val="00A840FC"/>
    <w:pPr>
      <w:shd w:val="clear" w:color="auto" w:fill="000080"/>
      <w:spacing w:after="0" w:line="240" w:lineRule="auto"/>
    </w:pPr>
    <w:rPr>
      <w:rFonts w:ascii="Tahoma" w:eastAsia="Times New Roman" w:hAnsi="Tahoma" w:cs="Tahoma"/>
      <w:sz w:val="20"/>
      <w:szCs w:val="20"/>
    </w:rPr>
  </w:style>
  <w:style w:type="character" w:customStyle="1" w:styleId="DocumentMapChar1">
    <w:name w:val="Document Map Char1"/>
    <w:basedOn w:val="Numatytasispastraiposriftas"/>
    <w:uiPriority w:val="99"/>
    <w:semiHidden/>
    <w:rsid w:val="00A840FC"/>
    <w:rPr>
      <w:rFonts w:ascii="Segoe UI" w:hAnsi="Segoe UI" w:cs="Segoe UI"/>
      <w:sz w:val="16"/>
      <w:szCs w:val="16"/>
    </w:rPr>
  </w:style>
  <w:style w:type="character" w:customStyle="1" w:styleId="DokumentostruktraDiagrama1">
    <w:name w:val="Dokumento struktūra Diagrama1"/>
    <w:basedOn w:val="Numatytasispastraiposriftas"/>
    <w:uiPriority w:val="99"/>
    <w:semiHidden/>
    <w:rsid w:val="00A840FC"/>
    <w:rPr>
      <w:rFonts w:ascii="Tahoma" w:eastAsia="Times New Roman" w:hAnsi="Tahoma" w:cs="Tahoma"/>
      <w:b w:val="0"/>
      <w:bCs w:val="0"/>
      <w:smallCaps w:val="0"/>
      <w:kern w:val="0"/>
      <w:sz w:val="16"/>
      <w:szCs w:val="16"/>
    </w:rPr>
  </w:style>
  <w:style w:type="paragraph" w:customStyle="1" w:styleId="EMEAEnBodyText">
    <w:name w:val="EMEA En Body Text"/>
    <w:basedOn w:val="prastasis"/>
    <w:rsid w:val="00A840FC"/>
    <w:pPr>
      <w:spacing w:before="120" w:after="120" w:line="240" w:lineRule="auto"/>
      <w:jc w:val="both"/>
    </w:pPr>
    <w:rPr>
      <w:rFonts w:ascii="Times New Roman" w:eastAsia="Times New Roman" w:hAnsi="Times New Roman" w:cs="Times New Roman"/>
      <w:szCs w:val="20"/>
    </w:rPr>
  </w:style>
  <w:style w:type="paragraph" w:styleId="Pagrindinistekstas">
    <w:name w:val="Body Text"/>
    <w:basedOn w:val="prastasis"/>
    <w:link w:val="PagrindinistekstasDiagrama"/>
    <w:rsid w:val="00A840FC"/>
    <w:pPr>
      <w:spacing w:after="0" w:line="240" w:lineRule="auto"/>
    </w:pPr>
    <w:rPr>
      <w:rFonts w:ascii="Times New Roman" w:eastAsia="Times New Roma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A840FC"/>
    <w:rPr>
      <w:rFonts w:ascii="Times New Roman" w:eastAsia="Times New Roman" w:hAnsi="Times New Roman" w:cs="Times New Roman"/>
      <w:i/>
      <w:color w:val="008000"/>
      <w:szCs w:val="20"/>
      <w:lang w:val="en-GB"/>
    </w:rPr>
  </w:style>
  <w:style w:type="character" w:customStyle="1" w:styleId="KomentarotekstasDiagrama">
    <w:name w:val="Komentaro tekstas Diagrama"/>
    <w:basedOn w:val="Numatytasispastraiposriftas"/>
    <w:link w:val="Komentarotekstas"/>
    <w:semiHidden/>
    <w:rsid w:val="00A840FC"/>
    <w:rPr>
      <w:rFonts w:eastAsia="Times New Roman" w:cs="Times New Roman"/>
      <w:sz w:val="20"/>
      <w:szCs w:val="20"/>
    </w:rPr>
  </w:style>
  <w:style w:type="paragraph" w:customStyle="1" w:styleId="CommentText1">
    <w:name w:val="Comment Text1"/>
    <w:basedOn w:val="prastasis"/>
    <w:next w:val="Komentarotekstas"/>
    <w:rsid w:val="00A840FC"/>
    <w:pPr>
      <w:spacing w:after="0" w:line="240" w:lineRule="auto"/>
    </w:pPr>
    <w:rPr>
      <w:rFonts w:eastAsia="Times New Roman" w:cs="Times New Roman"/>
      <w:sz w:val="20"/>
      <w:szCs w:val="20"/>
      <w:lang w:val="en-GB"/>
    </w:rPr>
  </w:style>
  <w:style w:type="character" w:customStyle="1" w:styleId="CommentTextChar1">
    <w:name w:val="Comment Text Char1"/>
    <w:basedOn w:val="Numatytasispastraiposriftas"/>
    <w:uiPriority w:val="99"/>
    <w:semiHidden/>
    <w:rsid w:val="00A840FC"/>
    <w:rPr>
      <w:sz w:val="20"/>
      <w:szCs w:val="20"/>
    </w:rPr>
  </w:style>
  <w:style w:type="character" w:customStyle="1" w:styleId="KomentarotekstasDiagrama1">
    <w:name w:val="Komentaro tekstas Diagrama1"/>
    <w:basedOn w:val="Numatytasispastraiposriftas"/>
    <w:uiPriority w:val="99"/>
    <w:semiHidden/>
    <w:rsid w:val="00A840FC"/>
    <w:rPr>
      <w:rFonts w:eastAsia="Times New Roman" w:cs="Times New Roman"/>
      <w:b w:val="0"/>
      <w:bCs w:val="0"/>
      <w:smallCaps w:val="0"/>
      <w:kern w:val="0"/>
      <w:sz w:val="20"/>
      <w:szCs w:val="20"/>
    </w:rPr>
  </w:style>
  <w:style w:type="character" w:customStyle="1" w:styleId="KomentarotemaDiagrama">
    <w:name w:val="Komentaro tema Diagrama"/>
    <w:basedOn w:val="KomentarotekstasDiagrama"/>
    <w:link w:val="Komentarotema"/>
    <w:semiHidden/>
    <w:rsid w:val="00A840FC"/>
    <w:rPr>
      <w:rFonts w:eastAsia="Times New Roman" w:cs="Times New Roman"/>
      <w:sz w:val="20"/>
      <w:szCs w:val="20"/>
    </w:rPr>
  </w:style>
  <w:style w:type="paragraph" w:customStyle="1" w:styleId="CommentSubject1">
    <w:name w:val="Comment Subject1"/>
    <w:basedOn w:val="Komentarotekstas"/>
    <w:next w:val="Komentarotekstas"/>
    <w:rsid w:val="00A840FC"/>
    <w:pPr>
      <w:spacing w:after="0"/>
    </w:pPr>
    <w:rPr>
      <w:lang w:val="en-GB"/>
    </w:rPr>
  </w:style>
  <w:style w:type="character" w:customStyle="1" w:styleId="CommentSubjectChar1">
    <w:name w:val="Comment Subject Char1"/>
    <w:basedOn w:val="CommentTextChar1"/>
    <w:uiPriority w:val="99"/>
    <w:semiHidden/>
    <w:rsid w:val="00A840FC"/>
    <w:rPr>
      <w:b/>
      <w:bCs/>
      <w:sz w:val="20"/>
      <w:szCs w:val="20"/>
    </w:rPr>
  </w:style>
  <w:style w:type="character" w:customStyle="1" w:styleId="KomentarotemaDiagrama1">
    <w:name w:val="Komentaro tema Diagrama1"/>
    <w:basedOn w:val="KomentarotekstasDiagrama1"/>
    <w:uiPriority w:val="99"/>
    <w:semiHidden/>
    <w:rsid w:val="00A840FC"/>
    <w:rPr>
      <w:rFonts w:eastAsia="Times New Roman" w:cs="Times New Roman"/>
      <w:b w:val="0"/>
      <w:bCs w:val="0"/>
      <w:smallCaps w:val="0"/>
      <w:kern w:val="0"/>
      <w:sz w:val="20"/>
      <w:szCs w:val="20"/>
    </w:rPr>
  </w:style>
  <w:style w:type="paragraph" w:styleId="Porat">
    <w:name w:val="footer"/>
    <w:basedOn w:val="prastasis"/>
    <w:link w:val="PoratDiagrama"/>
    <w:uiPriority w:val="99"/>
    <w:rsid w:val="00A840FC"/>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uiPriority w:val="99"/>
    <w:rsid w:val="00A840FC"/>
    <w:rPr>
      <w:rFonts w:ascii="Times New Roman" w:eastAsia="Times New Roman" w:hAnsi="Times New Roman" w:cs="Times New Roman"/>
      <w:sz w:val="24"/>
      <w:szCs w:val="24"/>
      <w:lang w:val="lt-LT"/>
    </w:rPr>
  </w:style>
  <w:style w:type="character" w:styleId="Puslapionumeris">
    <w:name w:val="page number"/>
    <w:basedOn w:val="Numatytasispastraiposriftas"/>
    <w:rsid w:val="00A840FC"/>
  </w:style>
  <w:style w:type="paragraph" w:styleId="Antrats">
    <w:name w:val="header"/>
    <w:basedOn w:val="prastasis"/>
    <w:link w:val="AntratsDiagrama"/>
    <w:rsid w:val="00A840FC"/>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rsid w:val="00A840FC"/>
    <w:rPr>
      <w:rFonts w:ascii="Times New Roman" w:eastAsia="Times New Roman" w:hAnsi="Times New Roman" w:cs="Times New Roman"/>
      <w:sz w:val="24"/>
      <w:szCs w:val="24"/>
      <w:lang w:val="lt-LT"/>
    </w:rPr>
  </w:style>
  <w:style w:type="character" w:customStyle="1" w:styleId="CharChar10">
    <w:name w:val="Char Char10"/>
    <w:rsid w:val="00A840FC"/>
    <w:rPr>
      <w:rFonts w:ascii="Arial" w:hAnsi="Arial"/>
      <w:sz w:val="32"/>
      <w:szCs w:val="32"/>
      <w:lang w:val="x-none" w:eastAsia="x-none" w:bidi="ar-SA"/>
    </w:rPr>
  </w:style>
  <w:style w:type="paragraph" w:styleId="Pavadinimas">
    <w:name w:val="Title"/>
    <w:basedOn w:val="prastasis"/>
    <w:link w:val="PavadinimasDiagrama"/>
    <w:qFormat/>
    <w:rsid w:val="00A840FC"/>
    <w:pPr>
      <w:spacing w:after="0" w:line="240" w:lineRule="auto"/>
      <w:jc w:val="center"/>
    </w:pPr>
    <w:rPr>
      <w:rFonts w:ascii="Verdana" w:eastAsia="Times New Roman" w:hAnsi="Verdana" w:cs="Times New Roman"/>
      <w:sz w:val="28"/>
      <w:szCs w:val="20"/>
      <w:lang w:val="en-GB"/>
    </w:rPr>
  </w:style>
  <w:style w:type="character" w:customStyle="1" w:styleId="PavadinimasDiagrama">
    <w:name w:val="Pavadinimas Diagrama"/>
    <w:basedOn w:val="Numatytasispastraiposriftas"/>
    <w:link w:val="Pavadinimas"/>
    <w:rsid w:val="00A840FC"/>
    <w:rPr>
      <w:rFonts w:ascii="Verdana" w:eastAsia="Times New Roman" w:hAnsi="Verdana" w:cs="Times New Roman"/>
      <w:sz w:val="28"/>
      <w:szCs w:val="20"/>
      <w:lang w:val="en-GB"/>
    </w:rPr>
  </w:style>
  <w:style w:type="paragraph" w:customStyle="1" w:styleId="Default">
    <w:name w:val="Default"/>
    <w:rsid w:val="00A840FC"/>
    <w:pPr>
      <w:autoSpaceDE w:val="0"/>
      <w:autoSpaceDN w:val="0"/>
      <w:adjustRightInd w:val="0"/>
      <w:spacing w:after="0" w:line="240" w:lineRule="auto"/>
    </w:pPr>
    <w:rPr>
      <w:rFonts w:ascii="Times New Roman" w:eastAsia="Calibri" w:hAnsi="Times New Roman" w:cs="Times New Roman"/>
      <w:color w:val="000000"/>
      <w:sz w:val="24"/>
      <w:szCs w:val="24"/>
      <w:lang w:eastAsia="zh-CN"/>
    </w:rPr>
  </w:style>
  <w:style w:type="character" w:customStyle="1" w:styleId="CharChar11">
    <w:name w:val="Char Char11"/>
    <w:rsid w:val="00A840FC"/>
    <w:rPr>
      <w:rFonts w:ascii="Arial" w:hAnsi="Arial"/>
      <w:sz w:val="32"/>
      <w:szCs w:val="32"/>
      <w:lang w:val="x-none" w:eastAsia="x-none" w:bidi="ar-SA"/>
    </w:rPr>
  </w:style>
  <w:style w:type="character" w:customStyle="1" w:styleId="CharChar12">
    <w:name w:val="Char Char12"/>
    <w:rsid w:val="00A840FC"/>
    <w:rPr>
      <w:rFonts w:ascii="Arial" w:hAnsi="Arial"/>
      <w:sz w:val="32"/>
      <w:szCs w:val="32"/>
      <w:lang w:val="x-none" w:eastAsia="x-none" w:bidi="ar-SA"/>
    </w:rPr>
  </w:style>
  <w:style w:type="numbering" w:customStyle="1" w:styleId="NoList2">
    <w:name w:val="No List2"/>
    <w:next w:val="Sraonra"/>
    <w:uiPriority w:val="99"/>
    <w:semiHidden/>
    <w:unhideWhenUsed/>
    <w:rsid w:val="00A840FC"/>
  </w:style>
  <w:style w:type="numbering" w:customStyle="1" w:styleId="NoList1111">
    <w:name w:val="No List1111"/>
    <w:next w:val="Sraonra"/>
    <w:uiPriority w:val="99"/>
    <w:semiHidden/>
    <w:unhideWhenUsed/>
    <w:rsid w:val="00A840FC"/>
  </w:style>
  <w:style w:type="paragraph" w:customStyle="1" w:styleId="BodytextAgency">
    <w:name w:val="Body text (Agency)"/>
    <w:basedOn w:val="prastasis"/>
    <w:link w:val="BodytextAgencyChar"/>
    <w:uiPriority w:val="99"/>
    <w:rsid w:val="00A840FC"/>
    <w:pPr>
      <w:spacing w:after="140" w:line="280" w:lineRule="atLeast"/>
    </w:pPr>
    <w:rPr>
      <w:rFonts w:ascii="Verdana" w:eastAsia="Calibri" w:hAnsi="Verdana" w:cs="Times New Roman"/>
      <w:sz w:val="20"/>
      <w:szCs w:val="20"/>
      <w:lang w:val="en-GB" w:eastAsia="lt-LT"/>
    </w:rPr>
  </w:style>
  <w:style w:type="paragraph" w:customStyle="1" w:styleId="NormalAgency">
    <w:name w:val="Normal (Agency)"/>
    <w:link w:val="NormalAgencyChar"/>
    <w:uiPriority w:val="99"/>
    <w:rsid w:val="00A840FC"/>
    <w:pPr>
      <w:spacing w:after="200" w:line="276" w:lineRule="auto"/>
    </w:pPr>
    <w:rPr>
      <w:rFonts w:ascii="Verdana" w:eastAsia="Calibri" w:hAnsi="Verdana" w:cs="Times New Roman"/>
      <w:lang w:val="en-GB" w:eastAsia="lt-LT"/>
    </w:rPr>
  </w:style>
  <w:style w:type="paragraph" w:customStyle="1" w:styleId="TabletextrowsAgency">
    <w:name w:val="Table text rows (Agency)"/>
    <w:basedOn w:val="prastasis"/>
    <w:uiPriority w:val="99"/>
    <w:rsid w:val="00A840FC"/>
    <w:pPr>
      <w:spacing w:after="0" w:line="280" w:lineRule="exact"/>
    </w:pPr>
    <w:rPr>
      <w:rFonts w:ascii="Verdana" w:eastAsia="Times New Roman" w:hAnsi="Verdana" w:cs="Times New Roman"/>
      <w:sz w:val="18"/>
      <w:szCs w:val="20"/>
      <w:lang w:val="en-GB"/>
    </w:rPr>
  </w:style>
  <w:style w:type="character" w:customStyle="1" w:styleId="tw4winError">
    <w:name w:val="tw4winError"/>
    <w:uiPriority w:val="99"/>
    <w:rsid w:val="00A840FC"/>
    <w:rPr>
      <w:rFonts w:ascii="Courier New" w:hAnsi="Courier New"/>
      <w:color w:val="00FF00"/>
      <w:sz w:val="40"/>
    </w:rPr>
  </w:style>
  <w:style w:type="character" w:customStyle="1" w:styleId="tw4winTerm">
    <w:name w:val="tw4winTerm"/>
    <w:uiPriority w:val="99"/>
    <w:rsid w:val="00A840FC"/>
    <w:rPr>
      <w:color w:val="0000FF"/>
    </w:rPr>
  </w:style>
  <w:style w:type="character" w:customStyle="1" w:styleId="tw4winPopup">
    <w:name w:val="tw4winPopup"/>
    <w:uiPriority w:val="99"/>
    <w:rsid w:val="00A840FC"/>
    <w:rPr>
      <w:rFonts w:ascii="Courier New" w:hAnsi="Courier New"/>
      <w:noProof/>
      <w:color w:val="008000"/>
    </w:rPr>
  </w:style>
  <w:style w:type="character" w:customStyle="1" w:styleId="tw4winJump">
    <w:name w:val="tw4winJump"/>
    <w:uiPriority w:val="99"/>
    <w:rsid w:val="00A840FC"/>
    <w:rPr>
      <w:rFonts w:ascii="Courier New" w:hAnsi="Courier New"/>
      <w:noProof/>
      <w:color w:val="008080"/>
    </w:rPr>
  </w:style>
  <w:style w:type="character" w:customStyle="1" w:styleId="tw4winExternal">
    <w:name w:val="tw4winExternal"/>
    <w:uiPriority w:val="99"/>
    <w:rsid w:val="00A840FC"/>
    <w:rPr>
      <w:rFonts w:ascii="Courier New" w:hAnsi="Courier New"/>
      <w:noProof/>
      <w:color w:val="808080"/>
    </w:rPr>
  </w:style>
  <w:style w:type="character" w:customStyle="1" w:styleId="tw4winInternal">
    <w:name w:val="tw4winInternal"/>
    <w:uiPriority w:val="99"/>
    <w:rsid w:val="00A840FC"/>
    <w:rPr>
      <w:rFonts w:ascii="Courier New" w:hAnsi="Courier New"/>
      <w:noProof/>
      <w:color w:val="FF0000"/>
    </w:rPr>
  </w:style>
  <w:style w:type="character" w:customStyle="1" w:styleId="DONOTTRANSLATE">
    <w:name w:val="DO_NOT_TRANSLATE"/>
    <w:uiPriority w:val="99"/>
    <w:rsid w:val="00A840FC"/>
    <w:rPr>
      <w:rFonts w:ascii="Courier New" w:hAnsi="Courier New"/>
      <w:noProof/>
      <w:color w:val="800000"/>
    </w:rPr>
  </w:style>
  <w:style w:type="character" w:styleId="Komentaronuoroda">
    <w:name w:val="annotation reference"/>
    <w:uiPriority w:val="99"/>
    <w:rsid w:val="00A840FC"/>
    <w:rPr>
      <w:rFonts w:cs="Times New Roman"/>
      <w:sz w:val="16"/>
    </w:rPr>
  </w:style>
  <w:style w:type="character" w:customStyle="1" w:styleId="tw4winMark">
    <w:name w:val="tw4winMark"/>
    <w:uiPriority w:val="99"/>
    <w:rsid w:val="00A840FC"/>
    <w:rPr>
      <w:rFonts w:ascii="Courier New" w:hAnsi="Courier New"/>
      <w:vanish/>
      <w:color w:val="800080"/>
      <w:sz w:val="24"/>
      <w:vertAlign w:val="subscript"/>
    </w:rPr>
  </w:style>
  <w:style w:type="character" w:customStyle="1" w:styleId="HeaderChar1">
    <w:name w:val="Header Char1"/>
    <w:basedOn w:val="Numatytasispastraiposriftas"/>
    <w:uiPriority w:val="99"/>
    <w:rsid w:val="00A840FC"/>
    <w:rPr>
      <w:rFonts w:ascii="Times New Roman" w:eastAsia="SimSun" w:hAnsi="Times New Roman" w:cs="Times New Roman"/>
      <w:szCs w:val="20"/>
      <w:lang w:val="en-GB" w:eastAsia="zh-CN"/>
    </w:rPr>
  </w:style>
  <w:style w:type="paragraph" w:styleId="Pagrindiniotekstotrauka">
    <w:name w:val="Body Text Indent"/>
    <w:basedOn w:val="prastasis"/>
    <w:link w:val="PagrindiniotekstotraukaDiagrama"/>
    <w:uiPriority w:val="99"/>
    <w:rsid w:val="00A840FC"/>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A840FC"/>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A840FC"/>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A840FC"/>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A840F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A840FC"/>
    <w:rPr>
      <w:rFonts w:ascii="Times New Roman" w:eastAsia="SimSun" w:hAnsi="Times New Roman" w:cs="Times New Roman"/>
      <w:b/>
      <w:bCs/>
      <w:color w:val="0000FF"/>
      <w:lang w:val="en-GB"/>
    </w:rPr>
  </w:style>
  <w:style w:type="paragraph" w:styleId="Pagrindinistekstas2">
    <w:name w:val="Body Text 2"/>
    <w:basedOn w:val="prastasis"/>
    <w:link w:val="Pagrindinistekstas2Diagrama"/>
    <w:uiPriority w:val="99"/>
    <w:rsid w:val="00A840F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A840FC"/>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A840FC"/>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A840FC"/>
    <w:pPr>
      <w:tabs>
        <w:tab w:val="clear" w:pos="720"/>
        <w:tab w:val="num" w:pos="360"/>
      </w:tabs>
      <w:ind w:left="709" w:hanging="425"/>
    </w:pPr>
    <w:rPr>
      <w:sz w:val="22"/>
    </w:rPr>
  </w:style>
  <w:style w:type="paragraph" w:customStyle="1" w:styleId="AHeader3">
    <w:name w:val="AHeader 3"/>
    <w:basedOn w:val="AHeader2"/>
    <w:uiPriority w:val="99"/>
    <w:rsid w:val="00A840FC"/>
    <w:pPr>
      <w:ind w:left="1276" w:hanging="567"/>
    </w:pPr>
  </w:style>
  <w:style w:type="paragraph" w:customStyle="1" w:styleId="AHeader2abc">
    <w:name w:val="AHeader 2 abc"/>
    <w:basedOn w:val="AHeader3"/>
    <w:uiPriority w:val="99"/>
    <w:rsid w:val="00A840FC"/>
    <w:pPr>
      <w:jc w:val="both"/>
    </w:pPr>
    <w:rPr>
      <w:b w:val="0"/>
      <w:bCs w:val="0"/>
    </w:rPr>
  </w:style>
  <w:style w:type="paragraph" w:customStyle="1" w:styleId="AHeader3abc">
    <w:name w:val="AHeader 3 abc"/>
    <w:basedOn w:val="AHeader2abc"/>
    <w:uiPriority w:val="99"/>
    <w:rsid w:val="00A840FC"/>
    <w:pPr>
      <w:ind w:left="1701" w:hanging="425"/>
    </w:pPr>
  </w:style>
  <w:style w:type="paragraph" w:styleId="Pagrindiniotekstotrauka3">
    <w:name w:val="Body Text Indent 3"/>
    <w:basedOn w:val="prastasis"/>
    <w:link w:val="Pagrindiniotekstotrauka3Diagrama"/>
    <w:uiPriority w:val="99"/>
    <w:rsid w:val="00A840FC"/>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A840FC"/>
    <w:rPr>
      <w:rFonts w:ascii="Times New Roman" w:eastAsia="SimSun" w:hAnsi="Times New Roman" w:cs="Times New Roman"/>
      <w:szCs w:val="21"/>
      <w:lang w:val="en-GB"/>
    </w:rPr>
  </w:style>
  <w:style w:type="character" w:styleId="Perirtashipersaitas">
    <w:name w:val="FollowedHyperlink"/>
    <w:uiPriority w:val="99"/>
    <w:rsid w:val="00A840FC"/>
    <w:rPr>
      <w:rFonts w:cs="Times New Roman"/>
      <w:color w:val="800080"/>
      <w:u w:val="single"/>
    </w:rPr>
  </w:style>
  <w:style w:type="character" w:styleId="Grietas">
    <w:name w:val="Strong"/>
    <w:uiPriority w:val="99"/>
    <w:qFormat/>
    <w:rsid w:val="00A840FC"/>
    <w:rPr>
      <w:rFonts w:cs="Times New Roman"/>
      <w:b/>
    </w:rPr>
  </w:style>
  <w:style w:type="character" w:customStyle="1" w:styleId="BodytextAgencyChar">
    <w:name w:val="Body text (Agency) Char"/>
    <w:link w:val="BodytextAgency"/>
    <w:uiPriority w:val="99"/>
    <w:locked/>
    <w:rsid w:val="00A840FC"/>
    <w:rPr>
      <w:rFonts w:ascii="Verdana" w:eastAsia="Calibri" w:hAnsi="Verdana" w:cs="Times New Roman"/>
      <w:sz w:val="20"/>
      <w:szCs w:val="20"/>
      <w:lang w:val="en-GB" w:eastAsia="lt-LT"/>
    </w:rPr>
  </w:style>
  <w:style w:type="table" w:customStyle="1" w:styleId="TablegridAgencyblack">
    <w:name w:val="Table grid (Agency) black"/>
    <w:uiPriority w:val="99"/>
    <w:semiHidden/>
    <w:rsid w:val="00A840FC"/>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A840FC"/>
    <w:pPr>
      <w:keepNext/>
    </w:pPr>
    <w:rPr>
      <w:rFonts w:eastAsia="SimSun" w:cs="Verdana"/>
      <w:b/>
      <w:szCs w:val="18"/>
      <w:lang w:eastAsia="en-GB"/>
    </w:rPr>
  </w:style>
  <w:style w:type="character" w:customStyle="1" w:styleId="NormalAgencyChar">
    <w:name w:val="Normal (Agency) Char"/>
    <w:link w:val="NormalAgency"/>
    <w:uiPriority w:val="99"/>
    <w:locked/>
    <w:rsid w:val="00A840FC"/>
    <w:rPr>
      <w:rFonts w:ascii="Verdana" w:eastAsia="Calibri" w:hAnsi="Verdana" w:cs="Times New Roman"/>
      <w:lang w:val="en-GB" w:eastAsia="lt-LT"/>
    </w:rPr>
  </w:style>
  <w:style w:type="paragraph" w:styleId="Paprastasistekstas">
    <w:name w:val="Plain Text"/>
    <w:basedOn w:val="prastasis"/>
    <w:link w:val="PaprastasistekstasDiagrama"/>
    <w:uiPriority w:val="99"/>
    <w:rsid w:val="00A840FC"/>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rsid w:val="00A840FC"/>
    <w:rPr>
      <w:rFonts w:ascii="Courier New" w:eastAsia="SimSun" w:hAnsi="Courier New" w:cs="Times New Roman"/>
      <w:sz w:val="20"/>
      <w:szCs w:val="20"/>
    </w:rPr>
  </w:style>
  <w:style w:type="paragraph" w:styleId="Dokumentoinaostekstas">
    <w:name w:val="endnote text"/>
    <w:basedOn w:val="prastasis"/>
    <w:link w:val="DokumentoinaostekstasDiagrama"/>
    <w:uiPriority w:val="99"/>
    <w:rsid w:val="00A840FC"/>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A840FC"/>
    <w:rPr>
      <w:rFonts w:ascii="Times New Roman" w:eastAsia="SimSun" w:hAnsi="Times New Roman" w:cs="Times New Roman"/>
      <w:szCs w:val="20"/>
      <w:lang w:val="en-GB"/>
    </w:rPr>
  </w:style>
  <w:style w:type="table" w:customStyle="1" w:styleId="TablegridAgencyblack1">
    <w:name w:val="Table grid (Agency) black1"/>
    <w:uiPriority w:val="99"/>
    <w:semiHidden/>
    <w:rsid w:val="00A840FC"/>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styleId="Sraopastraipa">
    <w:name w:val="List Paragraph"/>
    <w:basedOn w:val="prastasis"/>
    <w:uiPriority w:val="99"/>
    <w:qFormat/>
    <w:rsid w:val="00A840FC"/>
    <w:pPr>
      <w:spacing w:after="0" w:line="240" w:lineRule="auto"/>
      <w:ind w:left="720"/>
      <w:contextualSpacing/>
    </w:pPr>
    <w:rPr>
      <w:rFonts w:ascii="Times New Roman" w:eastAsia="Calibri" w:hAnsi="Times New Roman" w:cs="Times New Roman"/>
      <w:lang w:val="lt-LT"/>
    </w:rPr>
  </w:style>
  <w:style w:type="paragraph" w:styleId="Betarp">
    <w:name w:val="No Spacing"/>
    <w:uiPriority w:val="99"/>
    <w:qFormat/>
    <w:rsid w:val="00A840FC"/>
    <w:pPr>
      <w:spacing w:after="0" w:line="240" w:lineRule="auto"/>
    </w:pPr>
    <w:rPr>
      <w:rFonts w:ascii="Times New Roman" w:eastAsia="Calibri" w:hAnsi="Times New Roman" w:cs="Times New Roman"/>
      <w:lang w:val="lt-LT"/>
    </w:rPr>
  </w:style>
  <w:style w:type="paragraph" w:styleId="Pataisymai">
    <w:name w:val="Revision"/>
    <w:hidden/>
    <w:uiPriority w:val="99"/>
    <w:semiHidden/>
    <w:rsid w:val="00A840FC"/>
    <w:pPr>
      <w:spacing w:after="0" w:line="240" w:lineRule="auto"/>
    </w:pPr>
    <w:rPr>
      <w:rFonts w:ascii="Times New Roman" w:eastAsia="Calibri" w:hAnsi="Times New Roman" w:cs="Times New Roman"/>
      <w:lang w:val="lt-LT"/>
    </w:rPr>
  </w:style>
  <w:style w:type="numbering" w:customStyle="1" w:styleId="NoList21">
    <w:name w:val="No List21"/>
    <w:next w:val="Sraonra"/>
    <w:semiHidden/>
    <w:unhideWhenUsed/>
    <w:rsid w:val="00A840FC"/>
  </w:style>
  <w:style w:type="table" w:customStyle="1" w:styleId="TableGrid1">
    <w:name w:val="Table Grid1"/>
    <w:basedOn w:val="prastojilentel"/>
    <w:next w:val="Lentelstinklelis"/>
    <w:uiPriority w:val="59"/>
    <w:rsid w:val="00A840F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2">
    <w:name w:val="Comment Text2"/>
    <w:basedOn w:val="prastasis"/>
    <w:next w:val="Komentarotekstas"/>
    <w:semiHidden/>
    <w:unhideWhenUsed/>
    <w:rsid w:val="00A840FC"/>
    <w:pPr>
      <w:spacing w:line="240" w:lineRule="auto"/>
    </w:pPr>
    <w:rPr>
      <w:rFonts w:eastAsia="Times New Roman" w:cs="Times New Roman"/>
      <w:sz w:val="20"/>
      <w:szCs w:val="20"/>
      <w:lang w:val="lt-LT"/>
    </w:rPr>
  </w:style>
  <w:style w:type="character" w:customStyle="1" w:styleId="CommentTextChar2">
    <w:name w:val="Comment Text Char2"/>
    <w:basedOn w:val="Numatytasispastraiposriftas"/>
    <w:uiPriority w:val="99"/>
    <w:semiHidden/>
    <w:rsid w:val="00A840FC"/>
    <w:rPr>
      <w:sz w:val="20"/>
      <w:szCs w:val="20"/>
    </w:rPr>
  </w:style>
  <w:style w:type="paragraph" w:customStyle="1" w:styleId="CommentSubject2">
    <w:name w:val="Comment Subject2"/>
    <w:basedOn w:val="Komentarotekstas"/>
    <w:next w:val="Komentarotekstas"/>
    <w:semiHidden/>
    <w:unhideWhenUsed/>
    <w:rsid w:val="00A840FC"/>
    <w:rPr>
      <w:lang w:val="lt-LT"/>
    </w:rPr>
  </w:style>
  <w:style w:type="character" w:customStyle="1" w:styleId="CommentSubjectChar2">
    <w:name w:val="Comment Subject Char2"/>
    <w:basedOn w:val="CommentTextChar2"/>
    <w:uiPriority w:val="99"/>
    <w:semiHidden/>
    <w:rsid w:val="00A840FC"/>
    <w:rPr>
      <w:b/>
      <w:bCs/>
      <w:sz w:val="20"/>
      <w:szCs w:val="20"/>
    </w:rPr>
  </w:style>
  <w:style w:type="table" w:customStyle="1" w:styleId="TableGrid2">
    <w:name w:val="Table Grid2"/>
    <w:basedOn w:val="prastojilentel"/>
    <w:next w:val="Lentelstinklelis"/>
    <w:uiPriority w:val="39"/>
    <w:rsid w:val="00A840FC"/>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A840FC"/>
    <w:rPr>
      <w:color w:val="605E5C"/>
      <w:shd w:val="clear" w:color="auto" w:fill="E1DFDD"/>
    </w:rPr>
  </w:style>
  <w:style w:type="paragraph" w:styleId="Komentarotekstas">
    <w:name w:val="annotation text"/>
    <w:basedOn w:val="prastasis"/>
    <w:link w:val="KomentarotekstasDiagrama"/>
    <w:semiHidden/>
    <w:unhideWhenUsed/>
    <w:rsid w:val="00A840FC"/>
    <w:pPr>
      <w:spacing w:line="240" w:lineRule="auto"/>
    </w:pPr>
    <w:rPr>
      <w:rFonts w:eastAsia="Times New Roman" w:cs="Times New Roman"/>
      <w:sz w:val="20"/>
      <w:szCs w:val="20"/>
    </w:rPr>
  </w:style>
  <w:style w:type="character" w:customStyle="1" w:styleId="CommentTextChar3">
    <w:name w:val="Comment Text Char3"/>
    <w:basedOn w:val="Numatytasispastraiposriftas"/>
    <w:uiPriority w:val="99"/>
    <w:semiHidden/>
    <w:rsid w:val="00A840FC"/>
    <w:rPr>
      <w:sz w:val="20"/>
      <w:szCs w:val="20"/>
    </w:rPr>
  </w:style>
  <w:style w:type="paragraph" w:styleId="Komentarotema">
    <w:name w:val="annotation subject"/>
    <w:basedOn w:val="Komentarotekstas"/>
    <w:next w:val="Komentarotekstas"/>
    <w:link w:val="KomentarotemaDiagrama"/>
    <w:semiHidden/>
    <w:unhideWhenUsed/>
    <w:rsid w:val="00A840FC"/>
  </w:style>
  <w:style w:type="character" w:customStyle="1" w:styleId="CommentSubjectChar3">
    <w:name w:val="Comment Subject Char3"/>
    <w:basedOn w:val="KomentarotekstasDiagrama"/>
    <w:uiPriority w:val="99"/>
    <w:semiHidden/>
    <w:rsid w:val="00A840FC"/>
    <w:rPr>
      <w:rFonts w:eastAsia="Times New Roman" w:cs="Times New Roman"/>
      <w:b/>
      <w:bCs/>
      <w:sz w:val="20"/>
      <w:szCs w:val="20"/>
    </w:rPr>
  </w:style>
  <w:style w:type="table" w:styleId="Lentelstinklelis">
    <w:name w:val="Table Grid"/>
    <w:basedOn w:val="prastojilentel"/>
    <w:uiPriority w:val="39"/>
    <w:rsid w:val="00A84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Numatytasispastraiposriftas"/>
    <w:uiPriority w:val="99"/>
    <w:semiHidden/>
    <w:unhideWhenUsed/>
    <w:rsid w:val="00BC5C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info@orionpharma.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6454C7-1D50-4662-BE07-BC246146CBFA}">
  <ds:schemaRefs>
    <ds:schemaRef ds:uri="http://www.w3.org/XML/1998/namespace"/>
    <ds:schemaRef ds:uri="f1ce74ce-6288-40aa-b392-4d3bb9648aad"/>
    <ds:schemaRef ds:uri="http://purl.org/dc/dcmitype/"/>
    <ds:schemaRef ds:uri="http://purl.org/dc/term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d773f5e4-4fda-4e10-ae40-9e97953da94b"/>
    <ds:schemaRef ds:uri="http://schemas.microsoft.com/office/2006/metadata/properties"/>
  </ds:schemaRefs>
</ds:datastoreItem>
</file>

<file path=customXml/itemProps2.xml><?xml version="1.0" encoding="utf-8"?>
<ds:datastoreItem xmlns:ds="http://schemas.openxmlformats.org/officeDocument/2006/customXml" ds:itemID="{D4668472-AEAA-45D5-AD47-9428A2DFFC59}">
  <ds:schemaRefs>
    <ds:schemaRef ds:uri="http://schemas.microsoft.com/sharepoint/v3/contenttype/forms"/>
  </ds:schemaRefs>
</ds:datastoreItem>
</file>

<file path=customXml/itemProps3.xml><?xml version="1.0" encoding="utf-8"?>
<ds:datastoreItem xmlns:ds="http://schemas.openxmlformats.org/officeDocument/2006/customXml" ds:itemID="{3BB67137-CACB-4A05-B0DE-ED8ED5400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66593</Words>
  <Characters>37959</Characters>
  <Application>Microsoft Office Word</Application>
  <DocSecurity>0</DocSecurity>
  <Lines>316</Lines>
  <Paragraphs>208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Jatkone</dc:creator>
  <cp:keywords/>
  <dc:description/>
  <cp:lastModifiedBy>Albina Burkauskaitė</cp:lastModifiedBy>
  <cp:revision>3</cp:revision>
  <dcterms:created xsi:type="dcterms:W3CDTF">2024-09-10T08:06:00Z</dcterms:created>
  <dcterms:modified xsi:type="dcterms:W3CDTF">2024-09-10T08:08:00Z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