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vadinimas"/>
        <w:rPr>
          <w:szCs w:val="22"/>
        </w:rPr>
      </w:pPr>
      <w:r w:rsidRPr="00A3792F">
        <w:rPr>
          <w:szCs w:val="22"/>
        </w:rPr>
        <w:t>I PRIEDAS</w:t>
      </w:r>
    </w:p>
    <w:p w:rsidR="00586818" w:rsidRPr="00A3792F" w:rsidRDefault="00586818" w:rsidP="00586818">
      <w:pPr>
        <w:pStyle w:val="Pagrindinistekstas"/>
        <w:spacing w:after="0"/>
        <w:rPr>
          <w:szCs w:val="22"/>
        </w:rPr>
      </w:pPr>
    </w:p>
    <w:p w:rsidR="00586818" w:rsidRPr="00A3792F" w:rsidRDefault="00586818" w:rsidP="00586818">
      <w:pPr>
        <w:pStyle w:val="Pavadinimas"/>
        <w:rPr>
          <w:szCs w:val="22"/>
        </w:rPr>
      </w:pPr>
      <w:r w:rsidRPr="00A3792F">
        <w:rPr>
          <w:szCs w:val="22"/>
        </w:rPr>
        <w:t>PREPARATO CHARAKTERISTIKŲ SANTRAUKA</w:t>
      </w:r>
    </w:p>
    <w:p w:rsidR="00586818" w:rsidRPr="00A3792F" w:rsidRDefault="00586818" w:rsidP="00586818">
      <w:pPr>
        <w:pStyle w:val="Pavadinimas"/>
        <w:rPr>
          <w:szCs w:val="22"/>
        </w:rPr>
      </w:pPr>
    </w:p>
    <w:p w:rsidR="00586818" w:rsidRPr="00A3792F" w:rsidRDefault="00586818" w:rsidP="00586818">
      <w:pPr>
        <w:pStyle w:val="Pavadinimas"/>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vadinimas"/>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br w:type="page"/>
      </w:r>
    </w:p>
    <w:p w:rsidR="00586818" w:rsidRPr="00A3792F" w:rsidRDefault="00586818" w:rsidP="00586818">
      <w:pPr>
        <w:pStyle w:val="Antrat2"/>
        <w:rPr>
          <w:szCs w:val="22"/>
        </w:rPr>
      </w:pPr>
      <w:r w:rsidRPr="00A3792F">
        <w:rPr>
          <w:szCs w:val="22"/>
        </w:rPr>
        <w:lastRenderedPageBreak/>
        <w:t>1.</w:t>
      </w:r>
      <w:r w:rsidRPr="00A3792F">
        <w:rPr>
          <w:szCs w:val="22"/>
        </w:rPr>
        <w:tab/>
        <w:t>VAISTINIO PREPARATO PAVADINIMAS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Ostemax 70 mg tabletės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Antrat2"/>
        <w:rPr>
          <w:szCs w:val="22"/>
        </w:rPr>
      </w:pPr>
      <w:r w:rsidRPr="00A3792F">
        <w:rPr>
          <w:szCs w:val="22"/>
        </w:rPr>
        <w:t>2.</w:t>
      </w:r>
      <w:r w:rsidRPr="00A3792F">
        <w:rPr>
          <w:szCs w:val="22"/>
        </w:rPr>
        <w:tab/>
        <w:t>KOKYBINĖ IR KIEKYBINĖ SUDĖTIS</w:t>
      </w:r>
    </w:p>
    <w:p w:rsidR="00586818" w:rsidRPr="00A3792F" w:rsidRDefault="00586818" w:rsidP="00586818">
      <w:pPr>
        <w:pStyle w:val="Pagrindinistekstas"/>
        <w:spacing w:after="0"/>
        <w:rPr>
          <w:szCs w:val="22"/>
        </w:rPr>
      </w:pPr>
    </w:p>
    <w:p w:rsidR="00586818" w:rsidRPr="00A3792F" w:rsidRDefault="00586818" w:rsidP="00586818">
      <w:pPr>
        <w:rPr>
          <w:szCs w:val="22"/>
        </w:rPr>
      </w:pPr>
      <w:r w:rsidRPr="00A3792F">
        <w:rPr>
          <w:szCs w:val="22"/>
        </w:rPr>
        <w:t xml:space="preserve">Vienoje tabletėje yra 70 mg alendrono rūgšties (natrio alendronato trihidrato pavidalu). </w:t>
      </w:r>
    </w:p>
    <w:p w:rsidR="00586818" w:rsidRPr="00A3792F" w:rsidRDefault="00586818" w:rsidP="00586818">
      <w:pPr>
        <w:rPr>
          <w:szCs w:val="22"/>
        </w:rPr>
      </w:pPr>
      <w:r w:rsidRPr="00A3792F">
        <w:rPr>
          <w:szCs w:val="22"/>
          <w:u w:val="single"/>
        </w:rPr>
        <w:t>Pagalbinė medžiaga, kurios poveikis žinomas</w:t>
      </w:r>
      <w:r w:rsidRPr="00A3792F">
        <w:rPr>
          <w:szCs w:val="22"/>
        </w:rPr>
        <w:t>: vienoje tabletėje yra 128,64 mg laktozės monohidrato.</w:t>
      </w:r>
    </w:p>
    <w:p w:rsidR="00586818" w:rsidRPr="00A3792F" w:rsidRDefault="00586818" w:rsidP="00586818">
      <w:pPr>
        <w:ind w:left="567" w:hanging="567"/>
        <w:rPr>
          <w:szCs w:val="22"/>
        </w:rPr>
      </w:pPr>
    </w:p>
    <w:p w:rsidR="00586818" w:rsidRPr="00A3792F" w:rsidRDefault="00586818" w:rsidP="00586818">
      <w:pPr>
        <w:ind w:left="567" w:hanging="567"/>
        <w:rPr>
          <w:szCs w:val="22"/>
        </w:rPr>
      </w:pPr>
      <w:r w:rsidRPr="00A3792F">
        <w:rPr>
          <w:szCs w:val="22"/>
        </w:rPr>
        <w:t>Visos pagalbinės medžiagos išvardytos 6.1 skyriuje.</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Antrat2"/>
        <w:rPr>
          <w:szCs w:val="22"/>
        </w:rPr>
      </w:pPr>
      <w:r w:rsidRPr="00A3792F">
        <w:rPr>
          <w:szCs w:val="22"/>
        </w:rPr>
        <w:t>3.</w:t>
      </w:r>
      <w:r w:rsidRPr="00A3792F">
        <w:rPr>
          <w:szCs w:val="22"/>
        </w:rPr>
        <w:tab/>
        <w:t>FARMACINĖ FORMA</w:t>
      </w:r>
    </w:p>
    <w:p w:rsidR="00586818" w:rsidRPr="00A3792F" w:rsidRDefault="00586818" w:rsidP="00586818">
      <w:pPr>
        <w:pStyle w:val="Pagrindinistekstas"/>
        <w:spacing w:after="0"/>
        <w:rPr>
          <w:szCs w:val="22"/>
        </w:rPr>
      </w:pPr>
    </w:p>
    <w:p w:rsidR="00586818" w:rsidRPr="00A3792F" w:rsidRDefault="00586818" w:rsidP="00586818">
      <w:pPr>
        <w:ind w:left="567" w:hanging="567"/>
        <w:rPr>
          <w:szCs w:val="22"/>
        </w:rPr>
      </w:pPr>
      <w:r w:rsidRPr="00A3792F">
        <w:rPr>
          <w:szCs w:val="22"/>
        </w:rPr>
        <w:t>Tabletė.</w:t>
      </w:r>
    </w:p>
    <w:p w:rsidR="00586818" w:rsidRPr="00A3792F" w:rsidRDefault="00586818" w:rsidP="00586818">
      <w:pPr>
        <w:rPr>
          <w:szCs w:val="22"/>
        </w:rPr>
      </w:pPr>
      <w:r w:rsidRPr="00A3792F">
        <w:rPr>
          <w:szCs w:val="22"/>
        </w:rPr>
        <w:t>Tabletė yra balta, pailga, abipus išgaubta.</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Antrat2"/>
        <w:rPr>
          <w:szCs w:val="22"/>
        </w:rPr>
      </w:pPr>
      <w:r w:rsidRPr="00A3792F">
        <w:rPr>
          <w:caps/>
          <w:szCs w:val="22"/>
        </w:rPr>
        <w:t>4.</w:t>
      </w:r>
      <w:r w:rsidRPr="00A3792F">
        <w:rPr>
          <w:caps/>
          <w:szCs w:val="22"/>
        </w:rPr>
        <w:tab/>
      </w:r>
      <w:r w:rsidRPr="00A3792F">
        <w:rPr>
          <w:szCs w:val="22"/>
        </w:rPr>
        <w:t>KLINIKINĖ INFORMACIJA</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4.1</w:t>
      </w:r>
      <w:r w:rsidRPr="00A3792F">
        <w:rPr>
          <w:szCs w:val="22"/>
        </w:rPr>
        <w:tab/>
        <w:t>Terapinės indikacijos</w:t>
      </w:r>
    </w:p>
    <w:p w:rsidR="00586818" w:rsidRPr="00A3792F" w:rsidRDefault="00586818" w:rsidP="00586818">
      <w:pPr>
        <w:pStyle w:val="Pagrindinistekstas"/>
        <w:spacing w:after="0"/>
        <w:rPr>
          <w:b/>
          <w:szCs w:val="22"/>
        </w:rPr>
      </w:pPr>
    </w:p>
    <w:p w:rsidR="00586818" w:rsidRPr="00A3792F" w:rsidRDefault="00586818" w:rsidP="00586818">
      <w:pPr>
        <w:rPr>
          <w:szCs w:val="22"/>
        </w:rPr>
      </w:pPr>
      <w:r w:rsidRPr="00A3792F">
        <w:rPr>
          <w:szCs w:val="22"/>
        </w:rPr>
        <w:t>Pomenopauzinės osteoporozės gydymas, stuburo ir šlaunikaulio lūžių rizikos mažinimas.</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4.2</w:t>
      </w:r>
      <w:r w:rsidRPr="00A3792F">
        <w:rPr>
          <w:szCs w:val="22"/>
        </w:rPr>
        <w:tab/>
        <w:t>Dozavimas ir vartojimo metodas</w:t>
      </w:r>
    </w:p>
    <w:p w:rsidR="00586818" w:rsidRPr="00A3792F" w:rsidRDefault="00586818" w:rsidP="00586818">
      <w:pPr>
        <w:pStyle w:val="Pagrindinistekstas"/>
        <w:spacing w:after="0"/>
        <w:rPr>
          <w:szCs w:val="22"/>
        </w:rPr>
      </w:pPr>
    </w:p>
    <w:p w:rsidR="00FB3F5B" w:rsidRPr="00A3792F" w:rsidRDefault="00FB3F5B" w:rsidP="00586818">
      <w:pPr>
        <w:pStyle w:val="Pagrindinistekstas"/>
        <w:spacing w:after="0"/>
        <w:rPr>
          <w:szCs w:val="22"/>
          <w:u w:val="single"/>
        </w:rPr>
      </w:pPr>
      <w:r w:rsidRPr="00A3792F">
        <w:rPr>
          <w:szCs w:val="22"/>
          <w:u w:val="single"/>
        </w:rPr>
        <w:t>Dozavimas</w:t>
      </w:r>
    </w:p>
    <w:p w:rsidR="00586818" w:rsidRPr="00A3792F" w:rsidRDefault="00586818" w:rsidP="00330ECC">
      <w:pPr>
        <w:rPr>
          <w:szCs w:val="22"/>
        </w:rPr>
      </w:pPr>
      <w:r w:rsidRPr="00A3792F">
        <w:rPr>
          <w:szCs w:val="22"/>
        </w:rPr>
        <w:t>Rekomenduojama dozė yra viena 70 mg tabletė kartą per savaitę.</w:t>
      </w:r>
      <w:r w:rsidR="00810E52" w:rsidRPr="00A3792F">
        <w:rPr>
          <w:szCs w:val="22"/>
        </w:rPr>
        <w:t xml:space="preserve"> Optimali osteoporozės gydymo bisfosfonatais trukmė nėra nustatyta. Gydymo pratęsimo būtinybę, remiantis </w:t>
      </w:r>
      <w:r w:rsidR="00810E52" w:rsidRPr="00A3792F">
        <w:rPr>
          <w:iCs/>
          <w:szCs w:val="22"/>
        </w:rPr>
        <w:t>Ostemax 70 mg tabletės</w:t>
      </w:r>
      <w:r w:rsidR="00810E52" w:rsidRPr="00A3792F">
        <w:rPr>
          <w:i/>
          <w:iCs/>
          <w:szCs w:val="22"/>
        </w:rPr>
        <w:t xml:space="preserve"> </w:t>
      </w:r>
      <w:r w:rsidR="00810E52" w:rsidRPr="00A3792F">
        <w:rPr>
          <w:szCs w:val="22"/>
        </w:rPr>
        <w:t>gydymo nauda ir galima rizika konkrečiam pacientui, reikia vertinti periodiškai, ypač praėjus 5 ar daugiau gydymo metų.</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i/>
          <w:szCs w:val="22"/>
        </w:rPr>
      </w:pPr>
      <w:r w:rsidRPr="00A3792F">
        <w:rPr>
          <w:szCs w:val="22"/>
          <w:u w:val="single"/>
        </w:rPr>
        <w:t>Vaistinis preparatas yra skirtas tik suaugusiems žmonėms</w:t>
      </w:r>
      <w:r w:rsidRPr="00A3792F">
        <w:rPr>
          <w:i/>
          <w:szCs w:val="22"/>
        </w:rPr>
        <w:t>.</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i/>
          <w:szCs w:val="22"/>
        </w:rPr>
      </w:pPr>
      <w:r w:rsidRPr="00A3792F">
        <w:rPr>
          <w:i/>
          <w:szCs w:val="22"/>
        </w:rPr>
        <w:t>Senyviems pacientams</w:t>
      </w:r>
    </w:p>
    <w:p w:rsidR="00586818" w:rsidRPr="00A3792F" w:rsidRDefault="00586818" w:rsidP="00586818">
      <w:pPr>
        <w:rPr>
          <w:szCs w:val="22"/>
        </w:rPr>
      </w:pPr>
      <w:r w:rsidRPr="00A3792F">
        <w:rPr>
          <w:szCs w:val="22"/>
        </w:rPr>
        <w:t>Klinikinių tyrimų metu alendronato veiksmingumas ir saugumas jaunesniems bei pagyvenusiems žmonėms buvo panašus, todėl pagyvenusiems pacientams dozę koreguoti nebūtina.</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i/>
          <w:szCs w:val="22"/>
        </w:rPr>
      </w:pPr>
      <w:r w:rsidRPr="00A3792F">
        <w:rPr>
          <w:i/>
          <w:szCs w:val="22"/>
        </w:rPr>
        <w:t>Pacientams, kurių inkstų funkcija sutrikusi</w:t>
      </w:r>
    </w:p>
    <w:p w:rsidR="00586818" w:rsidRPr="00A3792F" w:rsidRDefault="00586818" w:rsidP="00586818">
      <w:pPr>
        <w:rPr>
          <w:szCs w:val="22"/>
        </w:rPr>
      </w:pPr>
      <w:r w:rsidRPr="00A3792F">
        <w:rPr>
          <w:szCs w:val="22"/>
        </w:rPr>
        <w:t>Pacientams, kuriems glomerulų filtracijos greitis yra didesnis negu 35 ml/min., dozę koreguoti nebūtina. Kadangi nėra patirties, alendronato nerekomenduojama vartoti ligoniams, kuriems glomerulų filtracijos greitis mažesnis negu 35 ml/min.</w:t>
      </w:r>
    </w:p>
    <w:p w:rsidR="00586818" w:rsidRPr="00A3792F" w:rsidRDefault="00586818" w:rsidP="00586818">
      <w:pPr>
        <w:rPr>
          <w:szCs w:val="22"/>
        </w:rPr>
      </w:pPr>
    </w:p>
    <w:p w:rsidR="00586818" w:rsidRPr="00A3792F" w:rsidRDefault="00586818" w:rsidP="00586818">
      <w:pPr>
        <w:rPr>
          <w:i/>
          <w:szCs w:val="22"/>
        </w:rPr>
      </w:pPr>
      <w:r w:rsidRPr="00A3792F">
        <w:rPr>
          <w:i/>
          <w:szCs w:val="22"/>
        </w:rPr>
        <w:t>Pacientams, kurių kepenų funkcija sutrikusi</w:t>
      </w:r>
    </w:p>
    <w:p w:rsidR="00586818" w:rsidRPr="00A3792F" w:rsidRDefault="00586818" w:rsidP="00586818">
      <w:pPr>
        <w:rPr>
          <w:szCs w:val="22"/>
        </w:rPr>
      </w:pPr>
      <w:r w:rsidRPr="00A3792F">
        <w:rPr>
          <w:szCs w:val="22"/>
        </w:rPr>
        <w:t>Dozės koreguoti nebūtina.</w:t>
      </w:r>
    </w:p>
    <w:p w:rsidR="00586818" w:rsidRPr="00A3792F" w:rsidRDefault="00586818" w:rsidP="00586818">
      <w:pPr>
        <w:rPr>
          <w:szCs w:val="22"/>
        </w:rPr>
      </w:pPr>
    </w:p>
    <w:p w:rsidR="00586818" w:rsidRPr="00A3792F" w:rsidRDefault="00586818" w:rsidP="00586818">
      <w:pPr>
        <w:rPr>
          <w:i/>
          <w:color w:val="000000"/>
          <w:spacing w:val="-3"/>
          <w:szCs w:val="22"/>
        </w:rPr>
      </w:pPr>
      <w:r w:rsidRPr="00A3792F">
        <w:rPr>
          <w:i/>
          <w:color w:val="000000"/>
          <w:spacing w:val="-3"/>
          <w:szCs w:val="22"/>
        </w:rPr>
        <w:t xml:space="preserve">Vaikų populiacija </w:t>
      </w:r>
    </w:p>
    <w:p w:rsidR="00586818" w:rsidRPr="00A3792F" w:rsidRDefault="00586818" w:rsidP="00586818">
      <w:pPr>
        <w:rPr>
          <w:szCs w:val="22"/>
        </w:rPr>
      </w:pPr>
      <w:r w:rsidRPr="00A3792F">
        <w:rPr>
          <w:szCs w:val="22"/>
        </w:rPr>
        <w:t>Ostemax nerekomenduojama vartoti jaunesniems kaip 18 metų vaikams, nes duomenų apie saugumą ir veiksmingumą nepakanka (žr. 5.1 skyrių).</w:t>
      </w:r>
    </w:p>
    <w:p w:rsidR="00FB3F5B" w:rsidRPr="00A3792F" w:rsidRDefault="00FB3F5B" w:rsidP="00586818">
      <w:pPr>
        <w:rPr>
          <w:szCs w:val="22"/>
        </w:rPr>
      </w:pPr>
    </w:p>
    <w:p w:rsidR="00FB3F5B" w:rsidRPr="00A3792F" w:rsidRDefault="00FB3F5B" w:rsidP="00586818">
      <w:pPr>
        <w:rPr>
          <w:szCs w:val="22"/>
          <w:u w:val="single"/>
        </w:rPr>
      </w:pPr>
      <w:r w:rsidRPr="00A3792F">
        <w:rPr>
          <w:szCs w:val="22"/>
          <w:u w:val="single"/>
        </w:rPr>
        <w:t>Vartojimo metodas</w:t>
      </w:r>
    </w:p>
    <w:p w:rsidR="00FB3F5B" w:rsidRPr="00A3792F" w:rsidRDefault="00FB3F5B" w:rsidP="00FB3F5B">
      <w:pPr>
        <w:pStyle w:val="Pagrindinistekstas"/>
        <w:spacing w:after="0"/>
        <w:rPr>
          <w:szCs w:val="22"/>
        </w:rPr>
      </w:pPr>
      <w:r w:rsidRPr="00A3792F">
        <w:rPr>
          <w:szCs w:val="22"/>
        </w:rPr>
        <w:t xml:space="preserve">Vaistinį preparatą reikia vartoti per burną. </w:t>
      </w:r>
    </w:p>
    <w:p w:rsidR="009F423C" w:rsidRPr="00A3792F" w:rsidRDefault="009F423C" w:rsidP="009F423C">
      <w:pPr>
        <w:pStyle w:val="Pagrindinistekstas"/>
        <w:spacing w:after="0"/>
        <w:rPr>
          <w:i/>
          <w:iCs/>
          <w:szCs w:val="22"/>
        </w:rPr>
      </w:pPr>
    </w:p>
    <w:p w:rsidR="009F423C" w:rsidRPr="00A3792F" w:rsidRDefault="009F423C" w:rsidP="007B3D98">
      <w:pPr>
        <w:pStyle w:val="Pagrindinistekstas"/>
        <w:keepNext/>
        <w:spacing w:after="0"/>
        <w:rPr>
          <w:i/>
          <w:iCs/>
          <w:szCs w:val="22"/>
        </w:rPr>
      </w:pPr>
      <w:r w:rsidRPr="00A3792F">
        <w:rPr>
          <w:i/>
          <w:iCs/>
          <w:szCs w:val="22"/>
        </w:rPr>
        <w:lastRenderedPageBreak/>
        <w:t>Kad alendonato absorbcija būtų pakankama:</w:t>
      </w:r>
    </w:p>
    <w:p w:rsidR="009F423C" w:rsidRPr="00A3792F" w:rsidRDefault="009F423C" w:rsidP="007B3D98">
      <w:pPr>
        <w:pStyle w:val="Pagrindinistekstas"/>
        <w:keepNext/>
        <w:spacing w:after="0"/>
        <w:rPr>
          <w:szCs w:val="22"/>
        </w:rPr>
      </w:pPr>
      <w:r w:rsidRPr="00A3792F">
        <w:rPr>
          <w:szCs w:val="22"/>
        </w:rPr>
        <w:t>Ostemax  geriamas ryte, likus ne mažiau kaip 30 minučių iki pusryčių, gėrimų ar kitokių vaistinių preparatų vartojimo, užgeriama paprastu vandeniu. Kiti skysčiai, įskaitant mineralinį vandenį, maistas ar kai kurie vaistiniai produktai, gali mažinti alendronato absorbciją (žr. 4.5 skyrių).</w:t>
      </w:r>
    </w:p>
    <w:p w:rsidR="009F423C" w:rsidRPr="00A3792F" w:rsidRDefault="009F423C" w:rsidP="009F423C">
      <w:pPr>
        <w:pStyle w:val="Pagrindinistekstas"/>
        <w:spacing w:after="0"/>
        <w:rPr>
          <w:i/>
          <w:szCs w:val="22"/>
        </w:rPr>
      </w:pPr>
    </w:p>
    <w:p w:rsidR="009F423C" w:rsidRPr="00A3792F" w:rsidRDefault="009F423C" w:rsidP="009F423C">
      <w:pPr>
        <w:pStyle w:val="Pagrindinistekstas"/>
        <w:spacing w:after="0"/>
        <w:rPr>
          <w:i/>
          <w:szCs w:val="22"/>
        </w:rPr>
      </w:pPr>
      <w:r w:rsidRPr="00A3792F">
        <w:rPr>
          <w:i/>
          <w:szCs w:val="22"/>
        </w:rPr>
        <w:t>Vaistinio preparato patekimui į skrandį skatinti ir tokiu būdu mažinti lokalaus ir stemplės dirginimo bei nepageidaujamo poveikio riziką, reikia laikytis toliau pateiktų nurodymų (žr. 4.4 skyrių):</w:t>
      </w:r>
    </w:p>
    <w:p w:rsidR="009F423C" w:rsidRPr="00A3792F" w:rsidRDefault="009F423C" w:rsidP="009F423C">
      <w:pPr>
        <w:numPr>
          <w:ilvl w:val="0"/>
          <w:numId w:val="1"/>
        </w:numPr>
        <w:ind w:left="567" w:hanging="567"/>
        <w:rPr>
          <w:szCs w:val="22"/>
        </w:rPr>
      </w:pPr>
      <w:r w:rsidRPr="00A3792F">
        <w:rPr>
          <w:szCs w:val="22"/>
        </w:rPr>
        <w:t>Ostemax  reikia gerti ryte, ką tik atsikėlus, užsigeriant pilna stikline vandens, t. y ne mažiau kaip 200 ml.</w:t>
      </w:r>
    </w:p>
    <w:p w:rsidR="009F423C" w:rsidRPr="00A3792F" w:rsidRDefault="009F423C" w:rsidP="009F423C">
      <w:pPr>
        <w:numPr>
          <w:ilvl w:val="0"/>
          <w:numId w:val="1"/>
        </w:numPr>
        <w:ind w:left="567" w:hanging="567"/>
        <w:rPr>
          <w:szCs w:val="22"/>
        </w:rPr>
      </w:pPr>
      <w:r w:rsidRPr="00A3792F">
        <w:rPr>
          <w:szCs w:val="22"/>
        </w:rPr>
        <w:t>Pacientas turi nuryti visą tabletę. Tabletės negalima smulkinti ar kramtyti ar leisti jai ištirpti burnoje, kadangi gali atsirasti burnos ir gerklės opų.</w:t>
      </w:r>
    </w:p>
    <w:p w:rsidR="009F423C" w:rsidRPr="00A3792F" w:rsidRDefault="009F423C" w:rsidP="009F423C">
      <w:pPr>
        <w:numPr>
          <w:ilvl w:val="0"/>
          <w:numId w:val="1"/>
        </w:numPr>
        <w:ind w:left="567" w:hanging="567"/>
        <w:rPr>
          <w:szCs w:val="22"/>
        </w:rPr>
      </w:pPr>
      <w:r w:rsidRPr="00A3792F">
        <w:rPr>
          <w:szCs w:val="22"/>
        </w:rPr>
        <w:t>Pusryčiauti galima tik praėjus ne mažiau kaip pusvalandžiui po vaistinio preparato gėrimo, iki valgio draudžiama atsigulti.</w:t>
      </w:r>
    </w:p>
    <w:p w:rsidR="009F423C" w:rsidRPr="00A3792F" w:rsidRDefault="009F423C" w:rsidP="009F423C">
      <w:pPr>
        <w:numPr>
          <w:ilvl w:val="0"/>
          <w:numId w:val="1"/>
        </w:numPr>
        <w:ind w:left="567" w:hanging="567"/>
        <w:rPr>
          <w:szCs w:val="22"/>
        </w:rPr>
      </w:pPr>
      <w:r w:rsidRPr="00A3792F">
        <w:rPr>
          <w:szCs w:val="22"/>
        </w:rPr>
        <w:t>Išgėrus Ostemax, pacientas turi nesigulti mažiausiai 30 minučių.</w:t>
      </w:r>
    </w:p>
    <w:p w:rsidR="009F423C" w:rsidRPr="00A3792F" w:rsidRDefault="009F423C" w:rsidP="009F423C">
      <w:pPr>
        <w:rPr>
          <w:szCs w:val="22"/>
        </w:rPr>
      </w:pPr>
    </w:p>
    <w:p w:rsidR="009F423C" w:rsidRPr="00A3792F" w:rsidRDefault="009F423C" w:rsidP="009F423C">
      <w:pPr>
        <w:rPr>
          <w:szCs w:val="22"/>
        </w:rPr>
      </w:pPr>
      <w:r w:rsidRPr="00A3792F">
        <w:rPr>
          <w:szCs w:val="22"/>
        </w:rPr>
        <w:t>Ostemax 70 mg tabletės negalima gerti vakare, prieš miegą, ir neatsikėlus iš lovos ryte.</w:t>
      </w:r>
    </w:p>
    <w:p w:rsidR="009F423C" w:rsidRPr="00A3792F" w:rsidRDefault="009F423C" w:rsidP="009F423C">
      <w:pPr>
        <w:rPr>
          <w:szCs w:val="22"/>
        </w:rPr>
      </w:pPr>
      <w:r w:rsidRPr="00A3792F">
        <w:rPr>
          <w:szCs w:val="22"/>
        </w:rPr>
        <w:t>Jeigu maiste trūksta kalcio ir vitamino D, jų būtina vartoti papildomai (žr. 4.4 skyrių).</w:t>
      </w:r>
    </w:p>
    <w:p w:rsidR="009F423C" w:rsidRPr="00A3792F" w:rsidRDefault="009F423C" w:rsidP="009F423C">
      <w:pPr>
        <w:rPr>
          <w:szCs w:val="22"/>
        </w:rPr>
      </w:pPr>
    </w:p>
    <w:p w:rsidR="009F423C" w:rsidRPr="00A3792F" w:rsidRDefault="009F423C" w:rsidP="009F423C">
      <w:pPr>
        <w:rPr>
          <w:szCs w:val="22"/>
        </w:rPr>
      </w:pPr>
      <w:r w:rsidRPr="00A3792F">
        <w:rPr>
          <w:szCs w:val="22"/>
        </w:rPr>
        <w:t xml:space="preserve">Optimali osteoporozės gydymo bisfosfonatais trukmė nėra nustatyta. Gydymo pratęsimo būtinybę, remiantis </w:t>
      </w:r>
      <w:r w:rsidRPr="00A3792F">
        <w:rPr>
          <w:iCs/>
          <w:szCs w:val="22"/>
        </w:rPr>
        <w:t>Ostemax 70 mg tabletės</w:t>
      </w:r>
      <w:r w:rsidRPr="00A3792F">
        <w:rPr>
          <w:i/>
          <w:iCs/>
          <w:szCs w:val="22"/>
        </w:rPr>
        <w:t xml:space="preserve"> </w:t>
      </w:r>
      <w:r w:rsidRPr="00A3792F">
        <w:rPr>
          <w:szCs w:val="22"/>
        </w:rPr>
        <w:t>gydymo nauda ir galima rizika konkrečiam pacientui, reikia vertinti periodiškai, ypač praėjus 5 ar daugiau gydymo metų.</w:t>
      </w:r>
    </w:p>
    <w:p w:rsidR="00810E52" w:rsidRPr="00A3792F" w:rsidRDefault="00810E52" w:rsidP="00810E52">
      <w:pPr>
        <w:rPr>
          <w:szCs w:val="22"/>
        </w:rPr>
      </w:pPr>
    </w:p>
    <w:p w:rsidR="00810E52" w:rsidRPr="00A3792F" w:rsidRDefault="00810E52" w:rsidP="00810E52">
      <w:pPr>
        <w:rPr>
          <w:szCs w:val="22"/>
        </w:rPr>
      </w:pPr>
      <w:r w:rsidRPr="00A3792F">
        <w:rPr>
          <w:szCs w:val="22"/>
        </w:rPr>
        <w:t>Ar Ostemax 70 mg tabletės tinka gliukokortikoidų sukeltos osteoporozės gydymui, neištirta.</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4.3</w:t>
      </w:r>
      <w:r w:rsidRPr="00A3792F">
        <w:rPr>
          <w:szCs w:val="22"/>
        </w:rPr>
        <w:tab/>
        <w:t>Kontraindikacijos</w:t>
      </w:r>
    </w:p>
    <w:p w:rsidR="00586818" w:rsidRPr="00A3792F" w:rsidRDefault="00586818" w:rsidP="00586818">
      <w:pPr>
        <w:pStyle w:val="Pagrindinistekstas"/>
        <w:spacing w:after="0"/>
        <w:rPr>
          <w:szCs w:val="22"/>
        </w:rPr>
      </w:pPr>
    </w:p>
    <w:p w:rsidR="00586818" w:rsidRPr="00A3792F" w:rsidRDefault="00586818" w:rsidP="00586818">
      <w:pPr>
        <w:pStyle w:val="Pagrindinistekstas"/>
        <w:numPr>
          <w:ilvl w:val="0"/>
          <w:numId w:val="2"/>
        </w:numPr>
        <w:spacing w:after="0"/>
        <w:ind w:left="567" w:hanging="567"/>
        <w:rPr>
          <w:szCs w:val="22"/>
        </w:rPr>
      </w:pPr>
      <w:r w:rsidRPr="00A3792F">
        <w:rPr>
          <w:szCs w:val="22"/>
        </w:rPr>
        <w:t xml:space="preserve">Padidėjęs jautrumas veikliajai arba bet kuriai 6.1 skyriuje nurodytai pagalbinei medžiagai. </w:t>
      </w:r>
    </w:p>
    <w:p w:rsidR="00586818" w:rsidRPr="00A3792F" w:rsidRDefault="00586818" w:rsidP="00586818">
      <w:pPr>
        <w:pStyle w:val="Pagrindinistekstas"/>
        <w:numPr>
          <w:ilvl w:val="0"/>
          <w:numId w:val="2"/>
        </w:numPr>
        <w:spacing w:after="0"/>
        <w:ind w:left="567" w:hanging="567"/>
        <w:rPr>
          <w:szCs w:val="22"/>
        </w:rPr>
      </w:pPr>
      <w:r w:rsidRPr="00A3792F">
        <w:rPr>
          <w:szCs w:val="22"/>
        </w:rPr>
        <w:t>Stemplės anomalijos ar kiti faktoriai, pvz., susiaurėjimas, achalazija, dėl kurių ji lėčiau ištuštėja.</w:t>
      </w:r>
    </w:p>
    <w:p w:rsidR="00586818" w:rsidRPr="00A3792F" w:rsidRDefault="00586818" w:rsidP="00586818">
      <w:pPr>
        <w:pStyle w:val="Pagrindinistekstas"/>
        <w:numPr>
          <w:ilvl w:val="0"/>
          <w:numId w:val="2"/>
        </w:numPr>
        <w:spacing w:after="0"/>
        <w:ind w:left="567" w:hanging="567"/>
        <w:rPr>
          <w:szCs w:val="22"/>
        </w:rPr>
      </w:pPr>
      <w:r w:rsidRPr="00A3792F">
        <w:rPr>
          <w:szCs w:val="22"/>
        </w:rPr>
        <w:t>Negalėjimas stovėti arba sėdėti geriant vaistinį preparatą ir po to mažiausiai 30 minučių.</w:t>
      </w:r>
    </w:p>
    <w:p w:rsidR="00586818" w:rsidRPr="00A3792F" w:rsidRDefault="00586818" w:rsidP="00586818">
      <w:pPr>
        <w:numPr>
          <w:ilvl w:val="0"/>
          <w:numId w:val="2"/>
        </w:numPr>
        <w:ind w:left="567" w:hanging="567"/>
        <w:rPr>
          <w:szCs w:val="22"/>
        </w:rPr>
      </w:pPr>
      <w:r w:rsidRPr="00A3792F">
        <w:rPr>
          <w:szCs w:val="22"/>
        </w:rPr>
        <w:t>Hipokalcemija.</w:t>
      </w:r>
    </w:p>
    <w:p w:rsidR="00586818" w:rsidRPr="00A3792F" w:rsidRDefault="00586818" w:rsidP="00586818">
      <w:pPr>
        <w:numPr>
          <w:ilvl w:val="0"/>
          <w:numId w:val="2"/>
        </w:numPr>
        <w:ind w:left="567" w:hanging="567"/>
        <w:rPr>
          <w:szCs w:val="22"/>
        </w:rPr>
      </w:pPr>
      <w:r w:rsidRPr="00A3792F">
        <w:rPr>
          <w:szCs w:val="22"/>
        </w:rPr>
        <w:t xml:space="preserve">Žiūrėti ir 4.4 skyrių. </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4.4</w:t>
      </w:r>
      <w:r w:rsidRPr="00A3792F">
        <w:rPr>
          <w:szCs w:val="22"/>
        </w:rPr>
        <w:tab/>
        <w:t>Specialūs įspėjimai ir atsargumo priemonės</w:t>
      </w:r>
    </w:p>
    <w:p w:rsidR="00586818" w:rsidRPr="00A3792F" w:rsidRDefault="00586818" w:rsidP="00586818">
      <w:pPr>
        <w:pStyle w:val="Pagrindinistekstas"/>
        <w:spacing w:after="0"/>
        <w:rPr>
          <w:szCs w:val="22"/>
        </w:rPr>
      </w:pPr>
    </w:p>
    <w:p w:rsidR="00586818" w:rsidRPr="00A3792F" w:rsidRDefault="00586818" w:rsidP="00586818">
      <w:pPr>
        <w:rPr>
          <w:szCs w:val="22"/>
        </w:rPr>
      </w:pPr>
      <w:r w:rsidRPr="00A3792F">
        <w:rPr>
          <w:szCs w:val="22"/>
        </w:rPr>
        <w:t xml:space="preserve">Alendronatas gali sukelti lokalų viršutinės virškinimo trakto dalies gleivinės dirginimą. Kadangi vaistinis preparatas gali sunkinti pagrindinę ligą, pacientams, kuriems yra aktyvių viršutinės virškinimo trakto dalies sutrikimų, pvz., rijimo sutrikimų, stemplės erozijų, skrandžio, dvylikapirštės žarnos uždegimas ar opa, jo reikia vartoti atsargiai. Be to, atsargiai šio vaistinio preparato turi vartoti pacientai, kuriems neseniai, t. y. per praėjusius metus, buvo sunkesnė virškinimo trakto liga (pvz., pepsinė opa), kraujavimas ar viršutinės virškinimo trakto dalies operacija, bet ne prievarčio plastika (žr. 4.3 skyrių). </w:t>
      </w:r>
      <w:r w:rsidRPr="00A3792F">
        <w:rPr>
          <w:rStyle w:val="hps"/>
          <w:color w:val="000000"/>
          <w:szCs w:val="22"/>
        </w:rPr>
        <w:t xml:space="preserve">Pacientams, turintiems taip </w:t>
      </w:r>
      <w:r w:rsidRPr="00A3792F">
        <w:rPr>
          <w:szCs w:val="22"/>
        </w:rPr>
        <w:t>vadinamąją</w:t>
      </w:r>
      <w:r w:rsidRPr="00A3792F">
        <w:rPr>
          <w:color w:val="000000"/>
          <w:szCs w:val="22"/>
        </w:rPr>
        <w:t xml:space="preserve"> </w:t>
      </w:r>
      <w:r w:rsidRPr="00A3792F">
        <w:rPr>
          <w:rStyle w:val="hps"/>
          <w:color w:val="000000"/>
          <w:szCs w:val="22"/>
        </w:rPr>
        <w:t>Barretto</w:t>
      </w:r>
      <w:r w:rsidRPr="00A3792F">
        <w:rPr>
          <w:color w:val="000000"/>
          <w:szCs w:val="22"/>
        </w:rPr>
        <w:t xml:space="preserve"> </w:t>
      </w:r>
      <w:r w:rsidRPr="00A3792F">
        <w:rPr>
          <w:rStyle w:val="hps"/>
          <w:color w:val="000000"/>
          <w:szCs w:val="22"/>
        </w:rPr>
        <w:t>stemplę</w:t>
      </w:r>
      <w:r w:rsidRPr="00A3792F">
        <w:rPr>
          <w:color w:val="000000"/>
          <w:szCs w:val="22"/>
        </w:rPr>
        <w:t xml:space="preserve">, gydytojas </w:t>
      </w:r>
      <w:r w:rsidRPr="00A3792F">
        <w:rPr>
          <w:rStyle w:val="hps"/>
          <w:color w:val="000000"/>
          <w:szCs w:val="22"/>
        </w:rPr>
        <w:t>turi apsvarstyti</w:t>
      </w:r>
      <w:r w:rsidRPr="00A3792F">
        <w:rPr>
          <w:color w:val="000000"/>
          <w:szCs w:val="22"/>
        </w:rPr>
        <w:t xml:space="preserve"> alendronato </w:t>
      </w:r>
      <w:r w:rsidRPr="00A3792F">
        <w:rPr>
          <w:rStyle w:val="hps"/>
          <w:color w:val="000000"/>
          <w:szCs w:val="22"/>
        </w:rPr>
        <w:t>naudą ir galimą riziką</w:t>
      </w:r>
      <w:r w:rsidRPr="00A3792F">
        <w:rPr>
          <w:color w:val="000000"/>
          <w:szCs w:val="22"/>
        </w:rPr>
        <w:t xml:space="preserve"> atsižvelgiant į </w:t>
      </w:r>
      <w:r w:rsidRPr="00A3792F">
        <w:rPr>
          <w:rStyle w:val="hps"/>
          <w:color w:val="000000"/>
          <w:szCs w:val="22"/>
        </w:rPr>
        <w:t>ligonio būklę.</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Alendronatu gydomiems pacientams pastebėta nepageidaujamo poveikio stemplei (ezofagito, stemplės opų ir erozijų bei retai dėl šių pokyčių atsiradusio stemplės susiaurėjimo) atvejų. Kartais toks nepageidaujamas poveikis būna sunkus, pacientus reikia gydyti ligoninėje. Gydytojas turi atidžiai stebėti, ar neatsirado galimo stemplės pažeidimo požymių bei simptomų. Pacientą būtina informuoti, kad sutrikus rijimui, atsiradus skausmui už krūtinkaulio, rėmeniui arba šiems simptomams pasunkėjus, alendronato vartojimą reikia nutraukti ir kreiptis į gydytoją.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Sunkaus nepageidaujamo poveikio stemplei rizika būna didesnė, jeigu pacientas nesilaiko alendronato gėrimo taisyklių ir nenutraukia šio vaistinio preparato vartojimo atsiradus stemplės dirginimo simptom</w:t>
      </w:r>
      <w:r w:rsidR="00204026" w:rsidRPr="00A3792F">
        <w:rPr>
          <w:szCs w:val="22"/>
        </w:rPr>
        <w:t>ams</w:t>
      </w:r>
      <w:r w:rsidRPr="00A3792F">
        <w:rPr>
          <w:szCs w:val="22"/>
        </w:rPr>
        <w:t xml:space="preserve">, todėl labai svarbu tiksliai ir suprantamai pacientui paaiškinti, kaip vartoti alendronato </w:t>
      </w:r>
      <w:r w:rsidRPr="00A3792F">
        <w:rPr>
          <w:szCs w:val="22"/>
        </w:rPr>
        <w:lastRenderedPageBreak/>
        <w:t xml:space="preserve">(žr. 4.2 skyrių). Pacientą reikia informuoti, kad vaistinio preparato vartojimo instrukcijos nesilaikymas gali didinti nepageidaujamo poveikio stemplei riziką.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Nors didelių klinikinių tyrimų metu nepageidaujamo poveikio rizikos padidėjimo nepastebėta, pranešimų, gautų po to, kai vaistinis preparatas buvo pradėtas platinti, duomenimis, retai atsirasdavo skrandžio ir dvylikapirštės žarnos opų, kurios kartais būdavo sunkios ir sukeldavo komplikacijų.</w:t>
      </w:r>
    </w:p>
    <w:p w:rsidR="00586818" w:rsidRPr="00A3792F" w:rsidRDefault="00586818" w:rsidP="00586818">
      <w:pPr>
        <w:pStyle w:val="Pagrindinistekstas"/>
        <w:spacing w:after="0"/>
        <w:rPr>
          <w:szCs w:val="22"/>
        </w:rPr>
      </w:pPr>
      <w:r w:rsidRPr="00A3792F">
        <w:rPr>
          <w:szCs w:val="22"/>
        </w:rPr>
        <w:t>Pacientus reikia instruktuoti, kad neišgėrus Ostemax 70 mg tabletės, prisiminus ją reikia išgerti kitą rytą. Negalima vartoti dviejų tablečių per parą. Toliau vaist</w:t>
      </w:r>
      <w:r w:rsidR="00204026" w:rsidRPr="00A3792F">
        <w:rPr>
          <w:szCs w:val="22"/>
        </w:rPr>
        <w:t>inio preparat</w:t>
      </w:r>
      <w:r w:rsidRPr="00A3792F">
        <w:rPr>
          <w:szCs w:val="22"/>
        </w:rPr>
        <w:t>o reikia vartoti taip, kaip paskirta, t. y. konkrečią dieną kartą per savaitę.</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Ligoniams, kurių glomerulų filtracijos greitis mažesnis negu 35 ml/min., alendronato vartoti nerekomenduojama. (žr. 4.2 skyrių).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Reikia atsižvelgti į kitų priežasčių (ne estrogenų trūkumo) sukeltą osteoporozę bei paciento amžių.</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Prieš pradedant vartoti alendronato, reikia sunormalinti kalcio kiekį kraujo plazmoje (žr. 4.3 skyrių). Būtina efektyviai šalinti ir kitokias priežastis, pvz., vitamino D trūkumą ir prieskydinių liaukų veiklos susilpnėjimą, kurios sutrikdo mineralų apykaitą. Jei pacientui yra minėtų sutrikimų, vartojant Ostemax  reikia nuolat stebėti, ar neatsirado hipokalcemijos simptomų ir ar nepakito kalcio koncentracij</w:t>
      </w:r>
      <w:r w:rsidR="00204026" w:rsidRPr="00A3792F">
        <w:rPr>
          <w:szCs w:val="22"/>
        </w:rPr>
        <w:t>a</w:t>
      </w:r>
      <w:r w:rsidRPr="00A3792F">
        <w:rPr>
          <w:szCs w:val="22"/>
        </w:rPr>
        <w:t xml:space="preserve"> kraujo serume.</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Kadangi alendronatas didina mineralų kiekį kauluose, kraujo serume gali šiek tiek sumažėti kalcio ir fosfatų koncentracija, ypač gliukokortikoidais gydomiems pacientams (jiems gali būti sumažėjusi kalcio absorbcija), tačiau tokie pokyčiai simptomų nesukelia. Vis dėlto, pastebėta retų simptominės hipokalcemijos atvejų, kurie retkarčiais būdavo sunkūs ir dažnai atsirasdavo pacientams, kuriems buvo šį sutrikimą skatinančių faktorių, pvz., prieskydinių liaukų veiklos susilpnėjimas, vitamino D trūkumas ir kalcio absorbcijos sutrikimas.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Būtina pasirūpinti, kad ligoniai, ypač gydomi gliukokortikoidais, vartotų pakankamą kalcio ir vitamino D kiekį.</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Pacientams, kuriems taikomas gydymas nuo vėžio, įskaitant visų pirma gydymą į veną vartojamais bisfosfonatais, pastebėta žandikaulio nekrozės, dažniausiai susijusios su danties šalinimu ir</w:t>
      </w:r>
      <w:r w:rsidR="00893BA2" w:rsidRPr="00A3792F">
        <w:rPr>
          <w:szCs w:val="22"/>
        </w:rPr>
        <w:t xml:space="preserve"> (</w:t>
      </w:r>
      <w:r w:rsidRPr="00A3792F">
        <w:rPr>
          <w:szCs w:val="22"/>
        </w:rPr>
        <w:t>ar</w:t>
      </w:r>
      <w:r w:rsidR="00893BA2" w:rsidRPr="00A3792F">
        <w:rPr>
          <w:szCs w:val="22"/>
        </w:rPr>
        <w:t>ba)</w:t>
      </w:r>
      <w:r w:rsidRPr="00A3792F">
        <w:rPr>
          <w:szCs w:val="22"/>
        </w:rPr>
        <w:t xml:space="preserve"> lokalia infekcija, įskaitant osteomielitą, atvejų. Dauguma šių pacientų kartu vartojo chemoterapinių vaist</w:t>
      </w:r>
      <w:r w:rsidR="00893BA2" w:rsidRPr="00A3792F">
        <w:rPr>
          <w:szCs w:val="22"/>
        </w:rPr>
        <w:t>inių preparat</w:t>
      </w:r>
      <w:r w:rsidRPr="00A3792F">
        <w:rPr>
          <w:szCs w:val="22"/>
        </w:rPr>
        <w:t>ų ir kortikosteroidų. Be to žandikaulio nekrozės atvejų pastebėta osteoporoze sergantiems pacientams, kurie vartojo geriamųjų bisfosfonatų.</w:t>
      </w:r>
    </w:p>
    <w:p w:rsidR="00586818" w:rsidRPr="00A3792F" w:rsidRDefault="00586818" w:rsidP="00586818">
      <w:pPr>
        <w:textAlignment w:val="top"/>
        <w:rPr>
          <w:color w:val="000000"/>
          <w:szCs w:val="22"/>
        </w:rPr>
      </w:pPr>
    </w:p>
    <w:p w:rsidR="00586818" w:rsidRPr="00A3792F" w:rsidRDefault="00586818" w:rsidP="00586818">
      <w:pPr>
        <w:textAlignment w:val="top"/>
        <w:rPr>
          <w:color w:val="000000"/>
          <w:szCs w:val="22"/>
        </w:rPr>
      </w:pPr>
      <w:r w:rsidRPr="00A3792F">
        <w:rPr>
          <w:color w:val="000000"/>
          <w:szCs w:val="22"/>
        </w:rPr>
        <w:t xml:space="preserve">Vertinant asmens riziką susirgti žandikaulio nekroze turi būti atsižvelgiama į šiuos rizikos veiksnius: </w:t>
      </w:r>
    </w:p>
    <w:p w:rsidR="00586818" w:rsidRPr="00A3792F" w:rsidRDefault="00586818" w:rsidP="00330ECC">
      <w:pPr>
        <w:numPr>
          <w:ilvl w:val="0"/>
          <w:numId w:val="3"/>
        </w:numPr>
        <w:tabs>
          <w:tab w:val="clear" w:pos="1428"/>
        </w:tabs>
        <w:ind w:left="567" w:hanging="567"/>
        <w:textAlignment w:val="top"/>
        <w:rPr>
          <w:color w:val="888888"/>
          <w:szCs w:val="22"/>
        </w:rPr>
      </w:pPr>
      <w:r w:rsidRPr="00A3792F">
        <w:rPr>
          <w:color w:val="000000"/>
          <w:szCs w:val="22"/>
        </w:rPr>
        <w:t>bisfosfonatų efektyvumo (aukščiausias zoledrono rūgšties), vartojimo būdo (žr. anksčiau) ir kumuliacinės dozės;</w:t>
      </w:r>
    </w:p>
    <w:p w:rsidR="00586818" w:rsidRPr="00A3792F" w:rsidRDefault="00586818" w:rsidP="00330ECC">
      <w:pPr>
        <w:numPr>
          <w:ilvl w:val="0"/>
          <w:numId w:val="3"/>
        </w:numPr>
        <w:tabs>
          <w:tab w:val="clear" w:pos="1428"/>
        </w:tabs>
        <w:ind w:left="567" w:hanging="567"/>
        <w:textAlignment w:val="top"/>
        <w:rPr>
          <w:color w:val="888888"/>
          <w:szCs w:val="22"/>
        </w:rPr>
      </w:pPr>
      <w:r w:rsidRPr="00A3792F">
        <w:rPr>
          <w:color w:val="000000"/>
          <w:szCs w:val="22"/>
        </w:rPr>
        <w:t>vėžys, chemoterapija, radioterapija, kortikosteroidų vartojimas, rūkymas;</w:t>
      </w:r>
    </w:p>
    <w:p w:rsidR="00586818" w:rsidRPr="00A3792F" w:rsidRDefault="00586818" w:rsidP="00330ECC">
      <w:pPr>
        <w:numPr>
          <w:ilvl w:val="0"/>
          <w:numId w:val="3"/>
        </w:numPr>
        <w:tabs>
          <w:tab w:val="clear" w:pos="1428"/>
        </w:tabs>
        <w:ind w:left="567" w:hanging="567"/>
        <w:textAlignment w:val="top"/>
        <w:rPr>
          <w:color w:val="888888"/>
          <w:szCs w:val="22"/>
        </w:rPr>
      </w:pPr>
      <w:r w:rsidRPr="00A3792F">
        <w:rPr>
          <w:color w:val="000000"/>
          <w:szCs w:val="22"/>
        </w:rPr>
        <w:t>buvusios dantų ligos, bloga burnos higiena, periodonto ligos, invazinės dantų gydymo procedūros ir blogai pritaikyti dantų protezai.</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Laikoma, jog prieš gydymą geriamaisiais bisfosfonatais pacientams, kurių dantų būklė prasta, reikalinga patikrinti dantis ir atlikti jų profilaktines procedūras.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Gydymo metu šiems pacientams reikia vengti, jei įmanoma, invazinių dantų gydymo procedūrų. Jeigu bisfosfonatais gydomam ligoniui atsirado žandikaulio nekrozė, chirurginė dantų operacija šį pažeidimą gali pasunkinti. Ar pacientams, kuriems būtina atlikti dantų procedūras, bisfosfonatų vartojimo nutraukimas sumažina žandikaulio nekrozės riziką, nežinoma, nes nėra informacijos.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Klinikinius sprendimus gydytojas turi daryti vadovaudamasis gydymo planu, pagrįstu naudos ir rizikos santykio kiekvienam pacientui įvertinimu.</w:t>
      </w:r>
    </w:p>
    <w:p w:rsidR="00586818" w:rsidRPr="00A3792F" w:rsidRDefault="00586818" w:rsidP="00586818">
      <w:pPr>
        <w:pStyle w:val="Pagrindinistekstas"/>
        <w:tabs>
          <w:tab w:val="left" w:pos="0"/>
        </w:tabs>
        <w:spacing w:after="0"/>
        <w:rPr>
          <w:color w:val="000000"/>
          <w:szCs w:val="22"/>
        </w:rPr>
      </w:pPr>
    </w:p>
    <w:p w:rsidR="00586818" w:rsidRPr="00A3792F" w:rsidRDefault="00586818" w:rsidP="00586818">
      <w:pPr>
        <w:pStyle w:val="Pagrindinistekstas"/>
        <w:tabs>
          <w:tab w:val="left" w:pos="0"/>
        </w:tabs>
        <w:spacing w:after="0"/>
        <w:rPr>
          <w:color w:val="000000"/>
          <w:szCs w:val="22"/>
        </w:rPr>
      </w:pPr>
      <w:r w:rsidRPr="00A3792F">
        <w:rPr>
          <w:color w:val="000000"/>
          <w:szCs w:val="22"/>
        </w:rPr>
        <w:lastRenderedPageBreak/>
        <w:t>Gydymo bisfosfonatais metu, visi pacientai turi būti skatinami palaikyti gerą burnos higieną, įprastine tvarka tikrinti dantis bei informuoti apie bet kokius burnos simptomus, tokius kaip dantų mobilumą, skausmą ar patinimą.</w:t>
      </w:r>
    </w:p>
    <w:p w:rsidR="00586818" w:rsidRPr="00A3792F" w:rsidRDefault="00586818" w:rsidP="00586818">
      <w:pPr>
        <w:pStyle w:val="Pagrindinistekstas"/>
        <w:tabs>
          <w:tab w:val="left" w:pos="0"/>
        </w:tabs>
        <w:spacing w:after="0"/>
        <w:rPr>
          <w:szCs w:val="22"/>
        </w:rPr>
      </w:pPr>
    </w:p>
    <w:p w:rsidR="008E720E" w:rsidRPr="00A3792F" w:rsidRDefault="008E720E" w:rsidP="00586818">
      <w:pPr>
        <w:pStyle w:val="Pagrindinistekstas"/>
        <w:tabs>
          <w:tab w:val="left" w:pos="0"/>
        </w:tabs>
        <w:spacing w:after="0"/>
        <w:rPr>
          <w:szCs w:val="22"/>
        </w:rPr>
      </w:pPr>
      <w:r w:rsidRPr="00A3792F">
        <w:rPr>
          <w:szCs w:val="22"/>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rsidR="008E720E" w:rsidRPr="00A3792F" w:rsidRDefault="008E720E" w:rsidP="00586818">
      <w:pPr>
        <w:pStyle w:val="Pagrindinistekstas"/>
        <w:tabs>
          <w:tab w:val="left" w:pos="0"/>
        </w:tabs>
        <w:spacing w:after="0"/>
        <w:rPr>
          <w:szCs w:val="22"/>
        </w:rPr>
      </w:pPr>
    </w:p>
    <w:p w:rsidR="00586818" w:rsidRPr="00A3792F" w:rsidRDefault="00586818" w:rsidP="00586818">
      <w:pPr>
        <w:pStyle w:val="Pagrindinistekstas"/>
        <w:tabs>
          <w:tab w:val="left" w:pos="0"/>
        </w:tabs>
        <w:spacing w:after="0"/>
        <w:rPr>
          <w:szCs w:val="22"/>
        </w:rPr>
      </w:pPr>
      <w:r w:rsidRPr="00A3792F">
        <w:rPr>
          <w:szCs w:val="22"/>
        </w:rPr>
        <w:t>Pacientams, vartojantiems bisfosfonatų, pastebėta kaulų, sąnarių ir</w:t>
      </w:r>
      <w:r w:rsidR="00893BA2" w:rsidRPr="00A3792F">
        <w:rPr>
          <w:szCs w:val="22"/>
        </w:rPr>
        <w:t xml:space="preserve"> (</w:t>
      </w:r>
      <w:r w:rsidRPr="00A3792F">
        <w:rPr>
          <w:szCs w:val="22"/>
        </w:rPr>
        <w:t>ar</w:t>
      </w:r>
      <w:r w:rsidR="00893BA2" w:rsidRPr="00A3792F">
        <w:rPr>
          <w:szCs w:val="22"/>
        </w:rPr>
        <w:t>ba)</w:t>
      </w:r>
      <w:r w:rsidRPr="00A3792F">
        <w:rPr>
          <w:szCs w:val="22"/>
        </w:rPr>
        <w:t xml:space="preserve"> raumenų skausmo atvejų. Po to, kai vaistinis preparatas pateko į rinką, šie simptomai retai būdavo sunkūs ir </w:t>
      </w:r>
      <w:r w:rsidR="00893BA2" w:rsidRPr="00A3792F">
        <w:rPr>
          <w:szCs w:val="22"/>
        </w:rPr>
        <w:t>(</w:t>
      </w:r>
      <w:r w:rsidRPr="00A3792F">
        <w:rPr>
          <w:szCs w:val="22"/>
        </w:rPr>
        <w:t>ar</w:t>
      </w:r>
      <w:r w:rsidR="00893BA2" w:rsidRPr="00A3792F">
        <w:rPr>
          <w:szCs w:val="22"/>
        </w:rPr>
        <w:t>ba)</w:t>
      </w:r>
      <w:r w:rsidRPr="00A3792F">
        <w:rPr>
          <w:szCs w:val="22"/>
        </w:rPr>
        <w:t xml:space="preserve"> sukeliantys neįgalumą (žr. 4.8 skyrių). Simptomų atsiradimo pradžia labai įvairi: pradėjus gydymą jų atsirasdavo po paros ar po kelių mėnesių. Nutraukus gydymą daugumai pacientų simptomai palengvėjo. Atnaujinus gydymą tuo pačiu vaistiniu preparatu ar kitu bisfosfonatu, daliai žmonių simptomai pasikartojo.</w:t>
      </w:r>
    </w:p>
    <w:p w:rsidR="00586818" w:rsidRPr="00A3792F" w:rsidRDefault="00586818" w:rsidP="00586818">
      <w:pPr>
        <w:pStyle w:val="Default1"/>
        <w:rPr>
          <w:rFonts w:ascii="Times New Roman" w:hAnsi="Times New Roman"/>
          <w:iCs/>
          <w:color w:val="000000"/>
          <w:sz w:val="22"/>
          <w:szCs w:val="22"/>
          <w:lang w:val="lt-LT"/>
        </w:rPr>
      </w:pPr>
    </w:p>
    <w:p w:rsidR="00586818" w:rsidRPr="00A3792F" w:rsidRDefault="00586818" w:rsidP="00586818">
      <w:pPr>
        <w:pStyle w:val="Default1"/>
        <w:rPr>
          <w:rFonts w:ascii="Times New Roman" w:hAnsi="Times New Roman"/>
          <w:color w:val="000000"/>
          <w:sz w:val="22"/>
          <w:szCs w:val="22"/>
          <w:lang w:val="lt-LT"/>
        </w:rPr>
      </w:pPr>
      <w:r w:rsidRPr="00A3792F">
        <w:rPr>
          <w:rFonts w:ascii="Times New Roman" w:hAnsi="Times New Roman"/>
          <w:iCs/>
          <w:color w:val="000000"/>
          <w:sz w:val="22"/>
          <w:szCs w:val="22"/>
          <w:lang w:val="lt-LT"/>
        </w:rPr>
        <w:t xml:space="preserve">Atipiniai šlaunikaulio lūžiai </w:t>
      </w:r>
    </w:p>
    <w:p w:rsidR="00586818" w:rsidRPr="00A3792F" w:rsidRDefault="00586818" w:rsidP="00586818">
      <w:pPr>
        <w:pStyle w:val="Default"/>
        <w:rPr>
          <w:rFonts w:ascii="Times New Roman" w:hAnsi="Times New Roman" w:cs="Times New Roman"/>
          <w:sz w:val="22"/>
          <w:szCs w:val="22"/>
          <w:lang w:val="lt-LT"/>
        </w:rPr>
      </w:pPr>
      <w:r w:rsidRPr="00A3792F">
        <w:rPr>
          <w:rFonts w:ascii="Times New Roman" w:hAnsi="Times New Roman" w:cs="Times New Roman"/>
          <w:iCs/>
          <w:sz w:val="22"/>
          <w:szCs w:val="22"/>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rsidR="00586818" w:rsidRPr="00A3792F" w:rsidRDefault="00586818" w:rsidP="00586818">
      <w:pPr>
        <w:pStyle w:val="Pagrindinistekstas"/>
        <w:spacing w:after="0"/>
        <w:rPr>
          <w:iCs/>
          <w:szCs w:val="22"/>
        </w:rPr>
      </w:pPr>
      <w:r w:rsidRPr="00A3792F">
        <w:rPr>
          <w:iCs/>
          <w:szCs w:val="22"/>
        </w:rPr>
        <w:t>Pacientams reikia patarti, kad bisfosfonatų vartojimo metu praneštų apie bet kokį šlaunies, klubo ar kirkšnies skausmą, o visus pacientus, kuriems pasireiškia tokie simptomai, reikia ištirti, ar jie nepatyrė nepilno šlaunikaulio lūžio.</w:t>
      </w:r>
    </w:p>
    <w:p w:rsidR="00586818" w:rsidRPr="00A3792F" w:rsidRDefault="00586818" w:rsidP="00586818">
      <w:pPr>
        <w:pStyle w:val="Pagrindinistekstas"/>
        <w:spacing w:after="0"/>
        <w:rPr>
          <w:iCs/>
          <w:szCs w:val="22"/>
        </w:rPr>
      </w:pPr>
    </w:p>
    <w:p w:rsidR="00586818" w:rsidRPr="00A3792F" w:rsidRDefault="00586818" w:rsidP="00586818">
      <w:pPr>
        <w:pStyle w:val="Pagrindinistekstas"/>
        <w:spacing w:after="0"/>
        <w:rPr>
          <w:iCs/>
          <w:szCs w:val="22"/>
        </w:rPr>
      </w:pPr>
      <w:r w:rsidRPr="00A3792F">
        <w:rPr>
          <w:iCs/>
          <w:szCs w:val="22"/>
        </w:rPr>
        <w:t>Po vaistinio preparato patekimo į rinką yra gauta pranešimų apie sunkias odos reakcijas, įskaitant St</w:t>
      </w:r>
      <w:r w:rsidR="00893BA2" w:rsidRPr="00A3792F">
        <w:rPr>
          <w:iCs/>
          <w:szCs w:val="22"/>
        </w:rPr>
        <w:t>i</w:t>
      </w:r>
      <w:r w:rsidRPr="00A3792F">
        <w:rPr>
          <w:iCs/>
          <w:szCs w:val="22"/>
        </w:rPr>
        <w:t>vens</w:t>
      </w:r>
      <w:r w:rsidR="00893BA2" w:rsidRPr="00A3792F">
        <w:rPr>
          <w:iCs/>
          <w:szCs w:val="22"/>
        </w:rPr>
        <w:t>o</w:t>
      </w:r>
      <w:r w:rsidRPr="00A3792F">
        <w:rPr>
          <w:iCs/>
          <w:szCs w:val="22"/>
        </w:rPr>
        <w:t>-</w:t>
      </w:r>
      <w:r w:rsidR="00893BA2" w:rsidRPr="00A3792F">
        <w:rPr>
          <w:iCs/>
          <w:szCs w:val="22"/>
        </w:rPr>
        <w:t>Dž</w:t>
      </w:r>
      <w:r w:rsidRPr="00A3792F">
        <w:rPr>
          <w:iCs/>
          <w:szCs w:val="22"/>
        </w:rPr>
        <w:t>onson</w:t>
      </w:r>
      <w:r w:rsidR="00893BA2" w:rsidRPr="00A3792F">
        <w:rPr>
          <w:iCs/>
          <w:szCs w:val="22"/>
        </w:rPr>
        <w:t>o</w:t>
      </w:r>
      <w:r w:rsidRPr="00A3792F">
        <w:rPr>
          <w:iCs/>
          <w:szCs w:val="22"/>
        </w:rPr>
        <w:t xml:space="preserve"> sindromą ir toksinę epidermio nekrolizę.</w:t>
      </w:r>
    </w:p>
    <w:p w:rsidR="00586818" w:rsidRPr="00A3792F" w:rsidRDefault="00586818" w:rsidP="00586818">
      <w:pPr>
        <w:pStyle w:val="Pagrindinistekstas"/>
        <w:spacing w:after="0"/>
        <w:rPr>
          <w:szCs w:val="22"/>
        </w:rPr>
      </w:pPr>
    </w:p>
    <w:p w:rsidR="006E63ED" w:rsidRDefault="00586818" w:rsidP="006E63ED">
      <w:pPr>
        <w:rPr>
          <w:szCs w:val="22"/>
        </w:rPr>
      </w:pPr>
      <w:proofErr w:type="spellStart"/>
      <w:r w:rsidRPr="00A3792F">
        <w:rPr>
          <w:szCs w:val="22"/>
        </w:rPr>
        <w:t>Ostemax</w:t>
      </w:r>
      <w:proofErr w:type="spellEnd"/>
      <w:r w:rsidRPr="00A3792F">
        <w:rPr>
          <w:szCs w:val="22"/>
        </w:rPr>
        <w:t xml:space="preserve"> sudėtyje yra laktozės</w:t>
      </w:r>
      <w:r w:rsidR="006E63ED">
        <w:rPr>
          <w:szCs w:val="22"/>
        </w:rPr>
        <w:t xml:space="preserve">. </w:t>
      </w:r>
      <w:r w:rsidR="006E63ED" w:rsidRPr="006E63ED">
        <w:rPr>
          <w:szCs w:val="22"/>
        </w:rPr>
        <w:t>Šio vaistinio preparato negalima</w:t>
      </w:r>
      <w:r w:rsidR="006E63ED">
        <w:rPr>
          <w:szCs w:val="22"/>
        </w:rPr>
        <w:t xml:space="preserve"> </w:t>
      </w:r>
      <w:r w:rsidR="006E63ED" w:rsidRPr="006E63ED">
        <w:rPr>
          <w:szCs w:val="22"/>
        </w:rPr>
        <w:t>vartoti pacientams, kuriems nustatytas retas paveldimas</w:t>
      </w:r>
      <w:r w:rsidR="006E63ED">
        <w:rPr>
          <w:szCs w:val="22"/>
        </w:rPr>
        <w:t xml:space="preserve"> </w:t>
      </w:r>
      <w:r w:rsidR="006E63ED" w:rsidRPr="006E63ED">
        <w:rPr>
          <w:szCs w:val="22"/>
        </w:rPr>
        <w:t xml:space="preserve">sutrikimas – </w:t>
      </w:r>
      <w:proofErr w:type="spellStart"/>
      <w:r w:rsidR="006E63ED" w:rsidRPr="006E63ED">
        <w:rPr>
          <w:szCs w:val="22"/>
        </w:rPr>
        <w:t>galaktozės</w:t>
      </w:r>
      <w:proofErr w:type="spellEnd"/>
      <w:r w:rsidR="006E63ED" w:rsidRPr="006E63ED">
        <w:rPr>
          <w:szCs w:val="22"/>
        </w:rPr>
        <w:t xml:space="preserve"> </w:t>
      </w:r>
      <w:proofErr w:type="spellStart"/>
      <w:r w:rsidR="006E63ED" w:rsidRPr="006E63ED">
        <w:rPr>
          <w:szCs w:val="22"/>
        </w:rPr>
        <w:t>netoleravimas</w:t>
      </w:r>
      <w:proofErr w:type="spellEnd"/>
      <w:r w:rsidR="006E63ED" w:rsidRPr="006E63ED">
        <w:rPr>
          <w:szCs w:val="22"/>
        </w:rPr>
        <w:t>, visiškas laktazės</w:t>
      </w:r>
      <w:r w:rsidR="006E63ED">
        <w:rPr>
          <w:szCs w:val="22"/>
        </w:rPr>
        <w:t xml:space="preserve"> </w:t>
      </w:r>
      <w:r w:rsidR="006E63ED" w:rsidRPr="006E63ED">
        <w:rPr>
          <w:szCs w:val="22"/>
        </w:rPr>
        <w:t xml:space="preserve">stygius arba gliukozės ir </w:t>
      </w:r>
      <w:proofErr w:type="spellStart"/>
      <w:r w:rsidR="006E63ED" w:rsidRPr="006E63ED">
        <w:rPr>
          <w:szCs w:val="22"/>
        </w:rPr>
        <w:t>galaktozės</w:t>
      </w:r>
      <w:proofErr w:type="spellEnd"/>
      <w:r w:rsidR="006E63ED" w:rsidRPr="006E63ED">
        <w:rPr>
          <w:szCs w:val="22"/>
        </w:rPr>
        <w:t xml:space="preserve"> </w:t>
      </w:r>
      <w:proofErr w:type="spellStart"/>
      <w:r w:rsidR="006E63ED" w:rsidRPr="006E63ED">
        <w:rPr>
          <w:szCs w:val="22"/>
        </w:rPr>
        <w:t>malabsorbcija</w:t>
      </w:r>
      <w:proofErr w:type="spellEnd"/>
      <w:r w:rsidR="006E63ED" w:rsidRPr="006E63ED">
        <w:rPr>
          <w:szCs w:val="22"/>
        </w:rPr>
        <w:t>.</w:t>
      </w:r>
    </w:p>
    <w:p w:rsidR="006E63ED" w:rsidRDefault="006E63ED" w:rsidP="00586818">
      <w:pPr>
        <w:rPr>
          <w:szCs w:val="22"/>
        </w:rPr>
      </w:pPr>
    </w:p>
    <w:p w:rsidR="006E63ED" w:rsidRPr="00A3792F" w:rsidRDefault="009374F1" w:rsidP="00586818">
      <w:pPr>
        <w:rPr>
          <w:szCs w:val="22"/>
        </w:rPr>
      </w:pPr>
      <w:r w:rsidRPr="009374F1">
        <w:rPr>
          <w:szCs w:val="22"/>
        </w:rPr>
        <w:t>Šio vaisto tabletė</w:t>
      </w:r>
      <w:r w:rsidR="003424BC">
        <w:rPr>
          <w:szCs w:val="22"/>
        </w:rPr>
        <w:t>je</w:t>
      </w:r>
      <w:r w:rsidRPr="009374F1">
        <w:rPr>
          <w:szCs w:val="22"/>
        </w:rPr>
        <w:t xml:space="preserve"> yra mažiau kaip 1 </w:t>
      </w:r>
      <w:proofErr w:type="spellStart"/>
      <w:r w:rsidRPr="009374F1">
        <w:rPr>
          <w:szCs w:val="22"/>
        </w:rPr>
        <w:t>mmol</w:t>
      </w:r>
      <w:proofErr w:type="spellEnd"/>
      <w:r w:rsidRPr="009374F1">
        <w:rPr>
          <w:szCs w:val="22"/>
        </w:rPr>
        <w:t xml:space="preserve"> (23 mg) natrio, </w:t>
      </w:r>
      <w:proofErr w:type="spellStart"/>
      <w:r w:rsidRPr="009374F1">
        <w:rPr>
          <w:szCs w:val="22"/>
        </w:rPr>
        <w:t>t.y</w:t>
      </w:r>
      <w:proofErr w:type="spellEnd"/>
      <w:r w:rsidRPr="009374F1">
        <w:rPr>
          <w:szCs w:val="22"/>
        </w:rPr>
        <w:t>. jis beveik neturi reikšmės.</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4.5</w:t>
      </w:r>
      <w:r w:rsidRPr="00A3792F">
        <w:rPr>
          <w:szCs w:val="22"/>
        </w:rPr>
        <w:tab/>
        <w:t>Sąveika su kitais vaistiniais preparatais ir kitokia sąveika</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Gali būti, kad kartu vartojamas maistas ir gėrimai, įskaitant mineralinį vandenį, kalcio papildai, antacidiniai preparatai, kai kurie kiti geriamieji vaistiniai preparatai gali daryti įtaką alendronato absorbcijai. Išgėrus šio vaistinio preparato, kitokių preparatų galima gerti ne anksčiau kaip po 30 minučių (žr. 4.2 ir 5.2 skyrių).</w:t>
      </w:r>
    </w:p>
    <w:p w:rsidR="00586818" w:rsidRPr="00A3792F" w:rsidRDefault="00586818" w:rsidP="00586818">
      <w:pPr>
        <w:rPr>
          <w:szCs w:val="22"/>
        </w:rPr>
      </w:pPr>
    </w:p>
    <w:p w:rsidR="00586818" w:rsidRPr="00A3792F" w:rsidRDefault="00586818" w:rsidP="00586818">
      <w:pPr>
        <w:rPr>
          <w:szCs w:val="22"/>
        </w:rPr>
      </w:pPr>
      <w:r w:rsidRPr="00A3792F">
        <w:rPr>
          <w:szCs w:val="22"/>
        </w:rPr>
        <w:t>Pacientams, vartojantiems kartu alendronato paros dozėmis didesnėmis nei 10 mg ir acetilsalicilo rūgšties turinčius preparatus, didėja nepageidaujamo poveikio viršutinei virškinimo trakto daliai dažnumas.</w:t>
      </w:r>
    </w:p>
    <w:p w:rsidR="00586818" w:rsidRPr="00A3792F" w:rsidRDefault="00586818" w:rsidP="00586818">
      <w:pPr>
        <w:rPr>
          <w:szCs w:val="22"/>
        </w:rPr>
      </w:pPr>
    </w:p>
    <w:p w:rsidR="00586818" w:rsidRPr="00A3792F" w:rsidRDefault="00586818" w:rsidP="00586818">
      <w:pPr>
        <w:rPr>
          <w:szCs w:val="22"/>
        </w:rPr>
      </w:pPr>
      <w:r w:rsidRPr="00A3792F">
        <w:rPr>
          <w:szCs w:val="22"/>
        </w:rPr>
        <w:t>Kadangi NVNU vartojimas yra susijęs su virškinimo trakto sudirginimu, juos vartojant kartu su alendronatu reikia imtis atsargumo priemonių.</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lastRenderedPageBreak/>
        <w:t xml:space="preserve">Kitokios klinikai reikšmingos alendronato ir kitų vaistinių preparatų sąveikos atsirasti neturėtų.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Kai kurie pacientai klinikinių tyrimų metu vartojo alendronato ir estrogenų (per burną, į makštį arba ant odos). Nepageidaujamo poveikio, susijusio su minėtų vaistinių preparatų vartojimu kartu, nenustatyta.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Nors specifinių sąveikos tyrimų neatlikta, remiantis klinikinių tyrimų, kurių metu pacientai gėrė alendronato kartu su įvairiais dažniausiai vartojamais vaistiniais preparatais, duomenimis, kliniškai nepageidaujamos sąveikos nepastebėta.</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4.6</w:t>
      </w:r>
      <w:r w:rsidRPr="00A3792F">
        <w:rPr>
          <w:szCs w:val="22"/>
        </w:rPr>
        <w:tab/>
        <w:t>Vaisingumas, nėštumo ir žindymo laikotarpis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Alendronatas yra skirtas moterims postmenopauzės periodu, todėl neturi būti vartojamas nėštumo ar žindymo laikotarpiu</w:t>
      </w:r>
      <w:r w:rsidR="00BE1CE8" w:rsidRPr="00A3792F">
        <w:rPr>
          <w:szCs w:val="22"/>
        </w:rPr>
        <w:t>.</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iCs/>
          <w:szCs w:val="22"/>
          <w:u w:val="single"/>
        </w:rPr>
      </w:pPr>
      <w:r w:rsidRPr="00A3792F">
        <w:rPr>
          <w:iCs/>
          <w:szCs w:val="22"/>
          <w:u w:val="single"/>
        </w:rPr>
        <w:t>Nėštumas</w:t>
      </w:r>
    </w:p>
    <w:p w:rsidR="00586818" w:rsidRPr="00A3792F" w:rsidRDefault="00586818" w:rsidP="00586818">
      <w:pPr>
        <w:rPr>
          <w:szCs w:val="22"/>
        </w:rPr>
      </w:pPr>
      <w:r w:rsidRPr="00A3792F">
        <w:rPr>
          <w:szCs w:val="22"/>
        </w:rPr>
        <w:t xml:space="preserve">Nėštumo metu alendronato vartoti negalima. Apie alendronato vartojimą nėščioms moterims duomenų nepakanka. Tyrimų su gyvūnais metu tiesioginio žalingo poveikio vaikingumui, gemalo / vaisiaus ar atsivestų jauniklių vystymuisi nepastebėta. Žiurkėms, kurios vaikingumo metu vartojo alendronato, pastebėta su hipokalcemija susijęs jauniklių atsivedimo pasunkėjimas (žr. 5.3 skyrių). </w:t>
      </w:r>
    </w:p>
    <w:p w:rsidR="00586818" w:rsidRPr="00A3792F" w:rsidRDefault="00586818" w:rsidP="00586818">
      <w:pPr>
        <w:pStyle w:val="Pagrindinistekstas"/>
        <w:spacing w:after="0"/>
        <w:rPr>
          <w:iCs/>
          <w:szCs w:val="22"/>
          <w:u w:val="single"/>
        </w:rPr>
      </w:pPr>
    </w:p>
    <w:p w:rsidR="00586818" w:rsidRPr="00A3792F" w:rsidRDefault="00586818" w:rsidP="00586818">
      <w:pPr>
        <w:pStyle w:val="Pagrindinistekstas"/>
        <w:spacing w:after="0"/>
        <w:rPr>
          <w:iCs/>
          <w:szCs w:val="22"/>
          <w:u w:val="single"/>
        </w:rPr>
      </w:pPr>
      <w:r w:rsidRPr="00A3792F">
        <w:rPr>
          <w:iCs/>
          <w:szCs w:val="22"/>
          <w:u w:val="single"/>
        </w:rPr>
        <w:t>Žindymas</w:t>
      </w:r>
    </w:p>
    <w:p w:rsidR="00586818" w:rsidRPr="00A3792F" w:rsidRDefault="00586818" w:rsidP="00586818">
      <w:pPr>
        <w:pStyle w:val="Pagrindinistekstas"/>
        <w:spacing w:after="0"/>
        <w:rPr>
          <w:szCs w:val="22"/>
        </w:rPr>
      </w:pPr>
      <w:r w:rsidRPr="00A3792F">
        <w:rPr>
          <w:szCs w:val="22"/>
        </w:rPr>
        <w:t>Ar alendronatas išsiskiria su žindyvės pienu, nežinoma. Žindymo metu alendronato vartoti negalima.</w:t>
      </w:r>
    </w:p>
    <w:p w:rsidR="00586818" w:rsidRPr="00A3792F" w:rsidRDefault="00586818" w:rsidP="00586818">
      <w:pPr>
        <w:pStyle w:val="Pagrindinistekstas"/>
        <w:spacing w:after="0"/>
        <w:rPr>
          <w:szCs w:val="22"/>
        </w:rPr>
      </w:pPr>
    </w:p>
    <w:p w:rsidR="00586818" w:rsidRPr="00A3792F" w:rsidRDefault="00586818" w:rsidP="00586818">
      <w:pPr>
        <w:pStyle w:val="CM4"/>
        <w:jc w:val="both"/>
        <w:rPr>
          <w:rFonts w:ascii="Times New Roman" w:hAnsi="Times New Roman" w:cs="Times New Roman"/>
          <w:color w:val="000000"/>
          <w:sz w:val="22"/>
          <w:szCs w:val="22"/>
          <w:u w:val="single"/>
          <w:lang w:val="lt-LT"/>
        </w:rPr>
      </w:pPr>
      <w:r w:rsidRPr="00A3792F">
        <w:rPr>
          <w:rFonts w:ascii="Times New Roman" w:hAnsi="Times New Roman" w:cs="Times New Roman"/>
          <w:sz w:val="22"/>
          <w:szCs w:val="22"/>
          <w:u w:val="single"/>
          <w:lang w:val="lt-LT"/>
        </w:rPr>
        <w:t>Vaisingumas</w:t>
      </w:r>
      <w:r w:rsidRPr="00A3792F">
        <w:rPr>
          <w:rFonts w:ascii="Times New Roman" w:hAnsi="Times New Roman" w:cs="Times New Roman"/>
          <w:color w:val="000000"/>
          <w:sz w:val="22"/>
          <w:szCs w:val="22"/>
          <w:u w:val="single"/>
          <w:lang w:val="lt-LT"/>
        </w:rPr>
        <w:t xml:space="preserve"> </w:t>
      </w:r>
    </w:p>
    <w:p w:rsidR="00586818" w:rsidRPr="00A3792F" w:rsidRDefault="00586818" w:rsidP="00586818">
      <w:pPr>
        <w:pStyle w:val="CM4"/>
        <w:jc w:val="both"/>
        <w:rPr>
          <w:rFonts w:ascii="Times New Roman" w:hAnsi="Times New Roman" w:cs="Times New Roman"/>
          <w:color w:val="000000"/>
          <w:sz w:val="22"/>
          <w:szCs w:val="22"/>
          <w:lang w:val="lt-LT"/>
        </w:rPr>
      </w:pPr>
      <w:r w:rsidRPr="00A3792F">
        <w:rPr>
          <w:rFonts w:ascii="Times New Roman" w:hAnsi="Times New Roman" w:cs="Times New Roman"/>
          <w:color w:val="000000"/>
          <w:sz w:val="22"/>
          <w:szCs w:val="22"/>
          <w:lang w:val="lt-LT"/>
        </w:rPr>
        <w:t>Žiurkėms, kurios alendronato gėrė iki 5 mg/kg per parą (1,3 karto didesnė dozė už 40 mg paros dozę žmog</w:t>
      </w:r>
      <w:r w:rsidR="00BE1CE8" w:rsidRPr="00A3792F">
        <w:rPr>
          <w:rFonts w:ascii="Times New Roman" w:hAnsi="Times New Roman" w:cs="Times New Roman"/>
          <w:color w:val="000000"/>
          <w:sz w:val="22"/>
          <w:szCs w:val="22"/>
          <w:lang w:val="lt-LT"/>
        </w:rPr>
        <w:t>u</w:t>
      </w:r>
      <w:r w:rsidRPr="00A3792F">
        <w:rPr>
          <w:rFonts w:ascii="Times New Roman" w:hAnsi="Times New Roman" w:cs="Times New Roman"/>
          <w:color w:val="000000"/>
          <w:sz w:val="22"/>
          <w:szCs w:val="22"/>
          <w:lang w:val="lt-LT"/>
        </w:rPr>
        <w:t>i, skaičiuojant pagal paviršiaus plotą, mg/m</w:t>
      </w:r>
      <w:r w:rsidRPr="00A3792F">
        <w:rPr>
          <w:rFonts w:ascii="Times New Roman" w:hAnsi="Times New Roman" w:cs="Times New Roman"/>
          <w:color w:val="000000"/>
          <w:sz w:val="22"/>
          <w:szCs w:val="22"/>
          <w:vertAlign w:val="superscript"/>
          <w:lang w:val="lt-LT"/>
        </w:rPr>
        <w:t>2</w:t>
      </w:r>
      <w:r w:rsidRPr="00A3792F">
        <w:rPr>
          <w:rFonts w:ascii="Times New Roman" w:hAnsi="Times New Roman" w:cs="Times New Roman"/>
          <w:color w:val="000000"/>
          <w:sz w:val="22"/>
          <w:szCs w:val="22"/>
          <w:lang w:val="lt-LT"/>
        </w:rPr>
        <w:t xml:space="preserve">), alendronatas poveikio vaisingumui neturėjo.  </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4.7</w:t>
      </w:r>
      <w:r w:rsidRPr="00A3792F">
        <w:rPr>
          <w:szCs w:val="22"/>
        </w:rPr>
        <w:tab/>
        <w:t>Poveikis gebėjimui vairuoti ir valdyti mechanizmus</w:t>
      </w:r>
    </w:p>
    <w:p w:rsidR="00586818" w:rsidRPr="00A3792F" w:rsidRDefault="00586818" w:rsidP="00586818">
      <w:pPr>
        <w:pStyle w:val="Pagrindinistekstas"/>
        <w:spacing w:after="0"/>
        <w:rPr>
          <w:szCs w:val="22"/>
        </w:rPr>
      </w:pPr>
    </w:p>
    <w:p w:rsidR="00586818" w:rsidRPr="00A3792F" w:rsidRDefault="00586818" w:rsidP="00586818">
      <w:pPr>
        <w:rPr>
          <w:szCs w:val="22"/>
        </w:rPr>
      </w:pPr>
      <w:r w:rsidRPr="00A3792F">
        <w:rPr>
          <w:szCs w:val="22"/>
        </w:rPr>
        <w:t>Ostemax 70 mg tabletės gebėjimo vairuoti ir valdyti mechanizmus neveikia arba veikia nereikšmingai.</w:t>
      </w:r>
    </w:p>
    <w:p w:rsidR="00586818" w:rsidRPr="00A3792F" w:rsidRDefault="00586818" w:rsidP="00586818">
      <w:pPr>
        <w:rPr>
          <w:szCs w:val="22"/>
        </w:rPr>
      </w:pPr>
      <w:r w:rsidRPr="00A3792F">
        <w:rPr>
          <w:szCs w:val="22"/>
        </w:rPr>
        <w:t>Vis dėlto, gydymo alendronatu metu buvo pranešta apie tam tikrą nepageidaujamą poveikį, kuris gali paveikti kai kurių pacientų gebėjimą vairuoti ar valdyti mechanizmus. Alendronato sukelta reakcija individualiems pacientams gali skirtis (žr. 4.8 skyrių).</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4.8</w:t>
      </w:r>
      <w:r w:rsidRPr="00A3792F">
        <w:rPr>
          <w:szCs w:val="22"/>
        </w:rPr>
        <w:tab/>
        <w:t>Nepageidaujamas poveikis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Vienerių metų klinikinio tyrimo, kuriame dalyvavo moterys po menopauzės, sergančios osteoporoze, duomenimis, 70 mg alendronato tablečių (n = 519) ir šio vaistinio preparato 10 mg tablečių, kurių pacientės (n = 370) gėrė kartą per parą, saugumas yra panašus.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Dviejų trejus metus trukusių labai panašių klinikinių tyrimų, kuriuose dalyvavo moterys po menopauzės, duomenimis, 10 mg alendronato (n = 196) paros dozės saugumas yra toks pat, kaip ir placebo (n = 397).</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Lentelėje išvardytas nepageidaujamas poveikis, kurį tyrėjai įvertino kaip galimą, galbūt susijusį su vaistinio preparato vartojimu arba neabejotinai jo sukeltą ir kuris pasireiškė ≥1% moterų vienerių metų klinikinio tyrimo metu ar ≥1% moterų, vartojusių 10 mg alendronato paros dozę ir dažniau, negu pacientėms, vartojusioms placebo, trejų metų klinikinių tyrimų metu. </w:t>
      </w:r>
    </w:p>
    <w:p w:rsidR="00586818" w:rsidRPr="00A3792F" w:rsidRDefault="00586818" w:rsidP="00586818">
      <w:pPr>
        <w:pStyle w:val="Pagrindinistekstas"/>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1842"/>
        <w:gridCol w:w="1701"/>
        <w:gridCol w:w="1134"/>
      </w:tblGrid>
      <w:tr w:rsidR="00586818" w:rsidRPr="00A3792F" w:rsidTr="00586818">
        <w:tc>
          <w:tcPr>
            <w:tcW w:w="2552" w:type="dxa"/>
            <w:tcBorders>
              <w:top w:val="single" w:sz="4" w:space="0" w:color="auto"/>
              <w:left w:val="single" w:sz="4" w:space="0" w:color="auto"/>
              <w:bottom w:val="single" w:sz="4" w:space="0" w:color="auto"/>
              <w:right w:val="single" w:sz="4" w:space="0" w:color="auto"/>
            </w:tcBorders>
          </w:tcPr>
          <w:p w:rsidR="00586818" w:rsidRPr="00A3792F" w:rsidRDefault="00586818" w:rsidP="007B3D98">
            <w:pPr>
              <w:pStyle w:val="Pagrindinistekstas"/>
              <w:keepNext/>
              <w:spacing w:after="0"/>
              <w:jc w:val="center"/>
              <w:rPr>
                <w:szCs w:val="22"/>
              </w:rPr>
            </w:pPr>
          </w:p>
        </w:tc>
        <w:tc>
          <w:tcPr>
            <w:tcW w:w="3685" w:type="dxa"/>
            <w:gridSpan w:val="2"/>
            <w:tcBorders>
              <w:top w:val="single" w:sz="4" w:space="0" w:color="auto"/>
              <w:left w:val="single" w:sz="4" w:space="0" w:color="auto"/>
              <w:bottom w:val="single" w:sz="4" w:space="0" w:color="auto"/>
              <w:right w:val="single" w:sz="4" w:space="0" w:color="auto"/>
            </w:tcBorders>
            <w:hideMark/>
          </w:tcPr>
          <w:p w:rsidR="00586818" w:rsidRPr="00A3792F" w:rsidRDefault="00586818" w:rsidP="007B3D98">
            <w:pPr>
              <w:pStyle w:val="Pagrindinistekstas"/>
              <w:keepNext/>
              <w:spacing w:after="0"/>
              <w:jc w:val="center"/>
              <w:rPr>
                <w:szCs w:val="22"/>
              </w:rPr>
            </w:pPr>
            <w:r w:rsidRPr="00A3792F">
              <w:rPr>
                <w:szCs w:val="22"/>
              </w:rPr>
              <w:t>Vienerių metų tyrimas</w:t>
            </w:r>
          </w:p>
        </w:tc>
        <w:tc>
          <w:tcPr>
            <w:tcW w:w="2835" w:type="dxa"/>
            <w:gridSpan w:val="2"/>
            <w:tcBorders>
              <w:top w:val="single" w:sz="4" w:space="0" w:color="auto"/>
              <w:left w:val="single" w:sz="4" w:space="0" w:color="auto"/>
              <w:bottom w:val="single" w:sz="4" w:space="0" w:color="auto"/>
              <w:right w:val="single" w:sz="4" w:space="0" w:color="auto"/>
            </w:tcBorders>
            <w:hideMark/>
          </w:tcPr>
          <w:p w:rsidR="00586818" w:rsidRPr="00A3792F" w:rsidRDefault="00586818" w:rsidP="007B3D98">
            <w:pPr>
              <w:pStyle w:val="Pagrindinistekstas"/>
              <w:keepNext/>
              <w:spacing w:after="0"/>
              <w:jc w:val="center"/>
              <w:rPr>
                <w:szCs w:val="22"/>
              </w:rPr>
            </w:pPr>
            <w:r w:rsidRPr="00A3792F">
              <w:rPr>
                <w:szCs w:val="22"/>
              </w:rPr>
              <w:t>Trejų metų tyrimai</w:t>
            </w:r>
          </w:p>
        </w:tc>
      </w:tr>
      <w:tr w:rsidR="00586818" w:rsidRPr="00A3792F" w:rsidTr="00586818">
        <w:tc>
          <w:tcPr>
            <w:tcW w:w="2552" w:type="dxa"/>
            <w:tcBorders>
              <w:top w:val="single" w:sz="4" w:space="0" w:color="auto"/>
              <w:left w:val="single" w:sz="4" w:space="0" w:color="auto"/>
              <w:bottom w:val="single" w:sz="4" w:space="0" w:color="auto"/>
              <w:right w:val="single" w:sz="4" w:space="0" w:color="auto"/>
            </w:tcBorders>
          </w:tcPr>
          <w:p w:rsidR="00586818" w:rsidRPr="00A3792F" w:rsidRDefault="00586818" w:rsidP="007B3D98">
            <w:pPr>
              <w:pStyle w:val="Pagrindinistekstas"/>
              <w:keepNext/>
              <w:spacing w:after="0"/>
              <w:jc w:val="center"/>
              <w:rPr>
                <w:szCs w:val="22"/>
              </w:rPr>
            </w:pPr>
          </w:p>
        </w:tc>
        <w:tc>
          <w:tcPr>
            <w:tcW w:w="1843" w:type="dxa"/>
            <w:tcBorders>
              <w:top w:val="single" w:sz="4" w:space="0" w:color="auto"/>
              <w:left w:val="single" w:sz="4" w:space="0" w:color="auto"/>
              <w:bottom w:val="single" w:sz="4" w:space="0" w:color="auto"/>
              <w:right w:val="single" w:sz="4" w:space="0" w:color="auto"/>
            </w:tcBorders>
            <w:hideMark/>
          </w:tcPr>
          <w:p w:rsidR="00586818" w:rsidRPr="00A3792F" w:rsidRDefault="00586818" w:rsidP="007B3D98">
            <w:pPr>
              <w:pStyle w:val="Pagrindinistekstas"/>
              <w:keepNext/>
              <w:spacing w:after="0"/>
              <w:jc w:val="center"/>
              <w:rPr>
                <w:szCs w:val="22"/>
              </w:rPr>
            </w:pPr>
            <w:r w:rsidRPr="00A3792F">
              <w:rPr>
                <w:szCs w:val="22"/>
              </w:rPr>
              <w:t>70 mg alendronato kartą per savaitę</w:t>
            </w:r>
          </w:p>
          <w:p w:rsidR="00586818" w:rsidRPr="00A3792F" w:rsidRDefault="00586818" w:rsidP="007B3D98">
            <w:pPr>
              <w:pStyle w:val="Pagrindinistekstas"/>
              <w:keepNext/>
              <w:spacing w:after="0"/>
              <w:jc w:val="center"/>
              <w:rPr>
                <w:szCs w:val="22"/>
              </w:rPr>
            </w:pPr>
            <w:r w:rsidRPr="00A3792F">
              <w:rPr>
                <w:szCs w:val="22"/>
              </w:rPr>
              <w:t>(n = 519)</w:t>
            </w:r>
          </w:p>
          <w:p w:rsidR="00586818" w:rsidRPr="00A3792F" w:rsidRDefault="00586818" w:rsidP="007B3D98">
            <w:pPr>
              <w:pStyle w:val="Pagrindinistekstas"/>
              <w:keepNext/>
              <w:spacing w:after="0"/>
              <w:jc w:val="center"/>
              <w:rPr>
                <w:szCs w:val="22"/>
              </w:rPr>
            </w:pPr>
            <w:r w:rsidRPr="00A3792F">
              <w:rPr>
                <w:szCs w:val="22"/>
              </w:rPr>
              <w:t>%</w:t>
            </w:r>
          </w:p>
        </w:tc>
        <w:tc>
          <w:tcPr>
            <w:tcW w:w="1842" w:type="dxa"/>
            <w:tcBorders>
              <w:top w:val="single" w:sz="4" w:space="0" w:color="auto"/>
              <w:left w:val="single" w:sz="4" w:space="0" w:color="auto"/>
              <w:bottom w:val="single" w:sz="4" w:space="0" w:color="auto"/>
              <w:right w:val="single" w:sz="4" w:space="0" w:color="auto"/>
            </w:tcBorders>
            <w:hideMark/>
          </w:tcPr>
          <w:p w:rsidR="00586818" w:rsidRPr="00A3792F" w:rsidRDefault="00586818" w:rsidP="007B3D98">
            <w:pPr>
              <w:pStyle w:val="Pagrindinistekstas"/>
              <w:keepNext/>
              <w:spacing w:after="0"/>
              <w:jc w:val="center"/>
              <w:rPr>
                <w:szCs w:val="22"/>
              </w:rPr>
            </w:pPr>
            <w:r w:rsidRPr="00A3792F">
              <w:rPr>
                <w:szCs w:val="22"/>
              </w:rPr>
              <w:t xml:space="preserve">10 mg alendronato kartą per parą </w:t>
            </w:r>
          </w:p>
          <w:p w:rsidR="00586818" w:rsidRPr="00A3792F" w:rsidRDefault="00586818" w:rsidP="007B3D98">
            <w:pPr>
              <w:pStyle w:val="Pagrindinistekstas"/>
              <w:keepNext/>
              <w:spacing w:after="0"/>
              <w:jc w:val="center"/>
              <w:rPr>
                <w:szCs w:val="22"/>
              </w:rPr>
            </w:pPr>
            <w:r w:rsidRPr="00A3792F">
              <w:rPr>
                <w:szCs w:val="22"/>
              </w:rPr>
              <w:t>(n = 370)</w:t>
            </w:r>
          </w:p>
          <w:p w:rsidR="00586818" w:rsidRPr="00A3792F" w:rsidRDefault="00586818" w:rsidP="007B3D98">
            <w:pPr>
              <w:pStyle w:val="Pagrindinistekstas"/>
              <w:keepNext/>
              <w:spacing w:after="0"/>
              <w:jc w:val="center"/>
              <w:rPr>
                <w:szCs w:val="22"/>
              </w:rPr>
            </w:pPr>
            <w:r w:rsidRPr="00A3792F">
              <w:rPr>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586818" w:rsidRPr="00A3792F" w:rsidRDefault="00586818" w:rsidP="007B3D98">
            <w:pPr>
              <w:pStyle w:val="Pagrindinistekstas"/>
              <w:keepNext/>
              <w:spacing w:after="0"/>
              <w:jc w:val="center"/>
              <w:rPr>
                <w:szCs w:val="22"/>
              </w:rPr>
            </w:pPr>
            <w:r w:rsidRPr="00A3792F">
              <w:rPr>
                <w:szCs w:val="22"/>
              </w:rPr>
              <w:t xml:space="preserve">10 mg alendronato kartą per parą </w:t>
            </w:r>
          </w:p>
          <w:p w:rsidR="00586818" w:rsidRPr="00A3792F" w:rsidRDefault="00586818" w:rsidP="007B3D98">
            <w:pPr>
              <w:pStyle w:val="Pagrindinistekstas"/>
              <w:keepNext/>
              <w:spacing w:after="0"/>
              <w:jc w:val="center"/>
              <w:rPr>
                <w:szCs w:val="22"/>
              </w:rPr>
            </w:pPr>
            <w:r w:rsidRPr="00A3792F">
              <w:rPr>
                <w:szCs w:val="22"/>
              </w:rPr>
              <w:t>(n = 196)</w:t>
            </w:r>
          </w:p>
          <w:p w:rsidR="00586818" w:rsidRPr="00A3792F" w:rsidRDefault="00586818" w:rsidP="007B3D98">
            <w:pPr>
              <w:pStyle w:val="Pagrindinistekstas"/>
              <w:keepNext/>
              <w:spacing w:after="0"/>
              <w:jc w:val="center"/>
              <w:rPr>
                <w:szCs w:val="22"/>
              </w:rPr>
            </w:pPr>
            <w:r w:rsidRPr="00A3792F">
              <w:rPr>
                <w:szCs w:val="22"/>
              </w:rPr>
              <w:t>%</w:t>
            </w:r>
          </w:p>
        </w:tc>
        <w:tc>
          <w:tcPr>
            <w:tcW w:w="1134" w:type="dxa"/>
            <w:tcBorders>
              <w:top w:val="single" w:sz="4" w:space="0" w:color="auto"/>
              <w:left w:val="single" w:sz="4" w:space="0" w:color="auto"/>
              <w:bottom w:val="single" w:sz="4" w:space="0" w:color="auto"/>
              <w:right w:val="single" w:sz="4" w:space="0" w:color="auto"/>
            </w:tcBorders>
          </w:tcPr>
          <w:p w:rsidR="00586818" w:rsidRPr="00A3792F" w:rsidRDefault="00586818" w:rsidP="007B3D98">
            <w:pPr>
              <w:pStyle w:val="Pagrindinistekstas"/>
              <w:keepNext/>
              <w:spacing w:after="0"/>
              <w:jc w:val="center"/>
              <w:rPr>
                <w:szCs w:val="22"/>
              </w:rPr>
            </w:pPr>
            <w:r w:rsidRPr="00A3792F">
              <w:rPr>
                <w:szCs w:val="22"/>
              </w:rPr>
              <w:t>Placebas (n=397)</w:t>
            </w:r>
          </w:p>
          <w:p w:rsidR="00586818" w:rsidRPr="00A3792F" w:rsidRDefault="00586818" w:rsidP="007B3D98">
            <w:pPr>
              <w:pStyle w:val="Pagrindinistekstas"/>
              <w:keepNext/>
              <w:spacing w:after="0"/>
              <w:jc w:val="center"/>
              <w:rPr>
                <w:szCs w:val="22"/>
              </w:rPr>
            </w:pPr>
          </w:p>
          <w:p w:rsidR="00586818" w:rsidRPr="00A3792F" w:rsidRDefault="00586818" w:rsidP="007B3D98">
            <w:pPr>
              <w:pStyle w:val="Pagrindinistekstas"/>
              <w:keepNext/>
              <w:spacing w:after="0"/>
              <w:jc w:val="center"/>
              <w:rPr>
                <w:szCs w:val="22"/>
              </w:rPr>
            </w:pPr>
          </w:p>
          <w:p w:rsidR="00586818" w:rsidRPr="00A3792F" w:rsidRDefault="00586818" w:rsidP="007B3D98">
            <w:pPr>
              <w:pStyle w:val="Pagrindinistekstas"/>
              <w:keepNext/>
              <w:spacing w:after="0"/>
              <w:jc w:val="center"/>
              <w:rPr>
                <w:szCs w:val="22"/>
              </w:rPr>
            </w:pPr>
            <w:r w:rsidRPr="00A3792F">
              <w:rPr>
                <w:szCs w:val="22"/>
              </w:rPr>
              <w:t>%</w:t>
            </w:r>
          </w:p>
        </w:tc>
      </w:tr>
      <w:tr w:rsidR="00586818" w:rsidRPr="00A3792F" w:rsidTr="00586818">
        <w:tc>
          <w:tcPr>
            <w:tcW w:w="2552" w:type="dxa"/>
            <w:tcBorders>
              <w:top w:val="single" w:sz="4" w:space="0" w:color="auto"/>
              <w:left w:val="single" w:sz="4" w:space="0" w:color="auto"/>
              <w:bottom w:val="nil"/>
              <w:right w:val="nil"/>
            </w:tcBorders>
          </w:tcPr>
          <w:p w:rsidR="00586818" w:rsidRPr="00A3792F" w:rsidRDefault="00586818">
            <w:pPr>
              <w:pStyle w:val="Pagrindinistekstas"/>
              <w:spacing w:after="0"/>
              <w:jc w:val="center"/>
              <w:rPr>
                <w:szCs w:val="22"/>
              </w:rPr>
            </w:pPr>
          </w:p>
        </w:tc>
        <w:tc>
          <w:tcPr>
            <w:tcW w:w="1843"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842"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701"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134" w:type="dxa"/>
            <w:tcBorders>
              <w:top w:val="single" w:sz="4" w:space="0" w:color="auto"/>
              <w:left w:val="nil"/>
              <w:bottom w:val="nil"/>
              <w:right w:val="single" w:sz="4" w:space="0" w:color="auto"/>
            </w:tcBorders>
          </w:tcPr>
          <w:p w:rsidR="00586818" w:rsidRPr="00A3792F" w:rsidRDefault="00586818">
            <w:pPr>
              <w:pStyle w:val="Pagrindinistekstas"/>
              <w:spacing w:after="0"/>
              <w:jc w:val="center"/>
              <w:rPr>
                <w:szCs w:val="22"/>
              </w:rPr>
            </w:pP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i/>
                <w:szCs w:val="22"/>
              </w:rPr>
            </w:pPr>
            <w:r w:rsidRPr="00A3792F">
              <w:rPr>
                <w:i/>
                <w:szCs w:val="22"/>
              </w:rPr>
              <w:t>Virškinimo trakto sutrikimai</w:t>
            </w:r>
          </w:p>
        </w:tc>
        <w:tc>
          <w:tcPr>
            <w:tcW w:w="1843" w:type="dxa"/>
            <w:tcBorders>
              <w:top w:val="nil"/>
              <w:left w:val="nil"/>
              <w:bottom w:val="nil"/>
              <w:right w:val="nil"/>
            </w:tcBorders>
          </w:tcPr>
          <w:p w:rsidR="00586818" w:rsidRPr="00A3792F" w:rsidRDefault="00586818">
            <w:pPr>
              <w:pStyle w:val="Pagrindinistekstas"/>
              <w:spacing w:after="0"/>
              <w:jc w:val="center"/>
              <w:rPr>
                <w:szCs w:val="22"/>
              </w:rPr>
            </w:pPr>
          </w:p>
        </w:tc>
        <w:tc>
          <w:tcPr>
            <w:tcW w:w="1842" w:type="dxa"/>
            <w:tcBorders>
              <w:top w:val="nil"/>
              <w:left w:val="nil"/>
              <w:bottom w:val="nil"/>
              <w:right w:val="nil"/>
            </w:tcBorders>
          </w:tcPr>
          <w:p w:rsidR="00586818" w:rsidRPr="00A3792F" w:rsidRDefault="00586818">
            <w:pPr>
              <w:pStyle w:val="Pagrindinistekstas"/>
              <w:spacing w:after="0"/>
              <w:jc w:val="center"/>
              <w:rPr>
                <w:szCs w:val="22"/>
              </w:rPr>
            </w:pPr>
          </w:p>
        </w:tc>
        <w:tc>
          <w:tcPr>
            <w:tcW w:w="1701" w:type="dxa"/>
            <w:tcBorders>
              <w:top w:val="nil"/>
              <w:left w:val="nil"/>
              <w:bottom w:val="nil"/>
              <w:right w:val="nil"/>
            </w:tcBorders>
          </w:tcPr>
          <w:p w:rsidR="00586818" w:rsidRPr="00A3792F" w:rsidRDefault="00586818">
            <w:pPr>
              <w:pStyle w:val="Pagrindinistekstas"/>
              <w:spacing w:after="0"/>
              <w:jc w:val="center"/>
              <w:rPr>
                <w:szCs w:val="22"/>
              </w:rPr>
            </w:pPr>
          </w:p>
        </w:tc>
        <w:tc>
          <w:tcPr>
            <w:tcW w:w="1134" w:type="dxa"/>
            <w:tcBorders>
              <w:top w:val="nil"/>
              <w:left w:val="nil"/>
              <w:bottom w:val="nil"/>
              <w:right w:val="single" w:sz="4" w:space="0" w:color="auto"/>
            </w:tcBorders>
          </w:tcPr>
          <w:p w:rsidR="00586818" w:rsidRPr="00A3792F" w:rsidRDefault="00586818">
            <w:pPr>
              <w:pStyle w:val="Pagrindinistekstas"/>
              <w:spacing w:after="0"/>
              <w:jc w:val="center"/>
              <w:rPr>
                <w:szCs w:val="22"/>
              </w:rPr>
            </w:pP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Pilvo skausmas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3,7</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3,0</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6,6</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4,8</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Virškinimo sutrikimas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2,7</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2,2</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3,6</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3,5</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Atsirūgimas rūgštimi</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1,9</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2,4</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2,0</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4,3</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Pykinimas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1,9</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2,4</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3,6</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4,0</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Pilvo pūtimas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1,0</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1,4</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1,0</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0,8</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Vidurių užkietėjimas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0,8</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1,6</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3,1</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1,8</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Viduriavimas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0,6</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0,5</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3,1</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1,8</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Rijimo sutrikimas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0,4</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0,5</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1,0</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0,0</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Flatulencija</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0,4</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1,6</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2,6</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0,5</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Skrandžio uždegimas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0,2</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1,1</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0,5</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1,3</w:t>
            </w: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Opos</w:t>
            </w:r>
          </w:p>
        </w:tc>
        <w:tc>
          <w:tcPr>
            <w:tcW w:w="1843"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0,0</w:t>
            </w:r>
          </w:p>
        </w:tc>
        <w:tc>
          <w:tcPr>
            <w:tcW w:w="1842"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1,1</w:t>
            </w:r>
          </w:p>
        </w:tc>
        <w:tc>
          <w:tcPr>
            <w:tcW w:w="1701" w:type="dxa"/>
            <w:tcBorders>
              <w:top w:val="nil"/>
              <w:left w:val="nil"/>
              <w:bottom w:val="nil"/>
              <w:right w:val="nil"/>
            </w:tcBorders>
            <w:hideMark/>
          </w:tcPr>
          <w:p w:rsidR="00586818" w:rsidRPr="00A3792F" w:rsidRDefault="00586818">
            <w:pPr>
              <w:pStyle w:val="Pagrindinistekstas"/>
              <w:spacing w:after="0"/>
              <w:jc w:val="center"/>
              <w:rPr>
                <w:szCs w:val="22"/>
              </w:rPr>
            </w:pPr>
            <w:r w:rsidRPr="00A3792F">
              <w:rPr>
                <w:szCs w:val="22"/>
              </w:rPr>
              <w:t>0,0</w:t>
            </w:r>
          </w:p>
        </w:tc>
        <w:tc>
          <w:tcPr>
            <w:tcW w:w="1134" w:type="dxa"/>
            <w:tcBorders>
              <w:top w:val="nil"/>
              <w:left w:val="nil"/>
              <w:bottom w:val="nil"/>
              <w:right w:val="single" w:sz="4" w:space="0" w:color="auto"/>
            </w:tcBorders>
            <w:hideMark/>
          </w:tcPr>
          <w:p w:rsidR="00586818" w:rsidRPr="00A3792F" w:rsidRDefault="00586818">
            <w:pPr>
              <w:pStyle w:val="Pagrindinistekstas"/>
              <w:spacing w:after="0"/>
              <w:jc w:val="center"/>
              <w:rPr>
                <w:szCs w:val="22"/>
              </w:rPr>
            </w:pPr>
            <w:r w:rsidRPr="00A3792F">
              <w:rPr>
                <w:szCs w:val="22"/>
              </w:rPr>
              <w:t>0,0</w:t>
            </w:r>
          </w:p>
        </w:tc>
      </w:tr>
      <w:tr w:rsidR="00586818" w:rsidRPr="00A3792F" w:rsidTr="00586818">
        <w:tc>
          <w:tcPr>
            <w:tcW w:w="2552" w:type="dxa"/>
            <w:tcBorders>
              <w:top w:val="nil"/>
              <w:left w:val="single" w:sz="4" w:space="0" w:color="auto"/>
              <w:bottom w:val="single" w:sz="4" w:space="0" w:color="auto"/>
              <w:right w:val="nil"/>
            </w:tcBorders>
            <w:hideMark/>
          </w:tcPr>
          <w:p w:rsidR="00586818" w:rsidRPr="00A3792F" w:rsidRDefault="00586818">
            <w:pPr>
              <w:pStyle w:val="Pagrindinistekstas"/>
              <w:spacing w:after="0"/>
              <w:rPr>
                <w:szCs w:val="22"/>
              </w:rPr>
            </w:pPr>
            <w:r w:rsidRPr="00A3792F">
              <w:rPr>
                <w:szCs w:val="22"/>
              </w:rPr>
              <w:t>Stemplės opos</w:t>
            </w:r>
          </w:p>
        </w:tc>
        <w:tc>
          <w:tcPr>
            <w:tcW w:w="1843"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0,0</w:t>
            </w:r>
          </w:p>
        </w:tc>
        <w:tc>
          <w:tcPr>
            <w:tcW w:w="1842"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0,0</w:t>
            </w:r>
          </w:p>
        </w:tc>
        <w:tc>
          <w:tcPr>
            <w:tcW w:w="1701"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1,5</w:t>
            </w:r>
          </w:p>
        </w:tc>
        <w:tc>
          <w:tcPr>
            <w:tcW w:w="1134" w:type="dxa"/>
            <w:tcBorders>
              <w:top w:val="nil"/>
              <w:left w:val="nil"/>
              <w:bottom w:val="single" w:sz="4" w:space="0" w:color="auto"/>
              <w:right w:val="single" w:sz="4" w:space="0" w:color="auto"/>
            </w:tcBorders>
            <w:hideMark/>
          </w:tcPr>
          <w:p w:rsidR="00586818" w:rsidRPr="00A3792F" w:rsidRDefault="00586818">
            <w:pPr>
              <w:pStyle w:val="Pagrindinistekstas"/>
              <w:spacing w:after="0"/>
              <w:jc w:val="center"/>
              <w:rPr>
                <w:szCs w:val="22"/>
              </w:rPr>
            </w:pPr>
            <w:r w:rsidRPr="00A3792F">
              <w:rPr>
                <w:szCs w:val="22"/>
              </w:rPr>
              <w:t>0,0</w:t>
            </w:r>
          </w:p>
        </w:tc>
      </w:tr>
      <w:tr w:rsidR="00586818" w:rsidRPr="00A3792F" w:rsidTr="00586818">
        <w:tc>
          <w:tcPr>
            <w:tcW w:w="2552" w:type="dxa"/>
            <w:tcBorders>
              <w:top w:val="single" w:sz="4" w:space="0" w:color="auto"/>
              <w:left w:val="single" w:sz="4" w:space="0" w:color="auto"/>
              <w:bottom w:val="nil"/>
              <w:right w:val="nil"/>
            </w:tcBorders>
            <w:hideMark/>
          </w:tcPr>
          <w:p w:rsidR="00586818" w:rsidRPr="00A3792F" w:rsidRDefault="00586818">
            <w:pPr>
              <w:pStyle w:val="Pagrindinistekstas"/>
              <w:spacing w:after="0"/>
              <w:rPr>
                <w:i/>
                <w:szCs w:val="22"/>
              </w:rPr>
            </w:pPr>
            <w:r w:rsidRPr="00A3792F">
              <w:rPr>
                <w:i/>
                <w:szCs w:val="22"/>
              </w:rPr>
              <w:t>Raumenų, kaulų ir jungiamojo audinio sutrikimai</w:t>
            </w:r>
          </w:p>
        </w:tc>
        <w:tc>
          <w:tcPr>
            <w:tcW w:w="1843"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842"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701"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134" w:type="dxa"/>
            <w:tcBorders>
              <w:top w:val="single" w:sz="4" w:space="0" w:color="auto"/>
              <w:left w:val="nil"/>
              <w:bottom w:val="nil"/>
              <w:right w:val="single" w:sz="4" w:space="0" w:color="auto"/>
            </w:tcBorders>
          </w:tcPr>
          <w:p w:rsidR="00586818" w:rsidRPr="00A3792F" w:rsidRDefault="00586818">
            <w:pPr>
              <w:pStyle w:val="Pagrindinistekstas"/>
              <w:spacing w:after="0"/>
              <w:jc w:val="center"/>
              <w:rPr>
                <w:szCs w:val="22"/>
              </w:rPr>
            </w:pPr>
          </w:p>
        </w:tc>
      </w:tr>
      <w:tr w:rsidR="00586818" w:rsidRPr="00A3792F" w:rsidTr="00586818">
        <w:tc>
          <w:tcPr>
            <w:tcW w:w="2552" w:type="dxa"/>
            <w:tcBorders>
              <w:top w:val="nil"/>
              <w:left w:val="single" w:sz="4" w:space="0" w:color="auto"/>
              <w:bottom w:val="nil"/>
              <w:right w:val="nil"/>
            </w:tcBorders>
            <w:hideMark/>
          </w:tcPr>
          <w:p w:rsidR="00586818" w:rsidRPr="00A3792F" w:rsidRDefault="00586818">
            <w:pPr>
              <w:pStyle w:val="Pagrindinistekstas"/>
              <w:spacing w:after="0"/>
              <w:rPr>
                <w:szCs w:val="22"/>
              </w:rPr>
            </w:pPr>
            <w:r w:rsidRPr="00A3792F">
              <w:rPr>
                <w:szCs w:val="22"/>
              </w:rPr>
              <w:t>Skeleto ir raumenų (kaulų, raumenų, sąnarių) skausmas</w:t>
            </w:r>
          </w:p>
        </w:tc>
        <w:tc>
          <w:tcPr>
            <w:tcW w:w="1843" w:type="dxa"/>
            <w:tcBorders>
              <w:top w:val="nil"/>
              <w:left w:val="nil"/>
              <w:bottom w:val="nil"/>
              <w:right w:val="nil"/>
            </w:tcBorders>
          </w:tcPr>
          <w:p w:rsidR="00586818" w:rsidRPr="00A3792F" w:rsidRDefault="00586818">
            <w:pPr>
              <w:pStyle w:val="Pagrindinistekstas"/>
              <w:spacing w:after="0"/>
              <w:jc w:val="center"/>
              <w:rPr>
                <w:szCs w:val="22"/>
              </w:rPr>
            </w:pPr>
          </w:p>
          <w:p w:rsidR="00586818" w:rsidRPr="00A3792F" w:rsidRDefault="00586818">
            <w:pPr>
              <w:pStyle w:val="Pagrindinistekstas"/>
              <w:spacing w:after="0"/>
              <w:jc w:val="center"/>
              <w:rPr>
                <w:szCs w:val="22"/>
              </w:rPr>
            </w:pPr>
            <w:r w:rsidRPr="00A3792F">
              <w:rPr>
                <w:szCs w:val="22"/>
              </w:rPr>
              <w:t>2,9</w:t>
            </w:r>
          </w:p>
        </w:tc>
        <w:tc>
          <w:tcPr>
            <w:tcW w:w="1842" w:type="dxa"/>
            <w:tcBorders>
              <w:top w:val="nil"/>
              <w:left w:val="nil"/>
              <w:bottom w:val="nil"/>
              <w:right w:val="nil"/>
            </w:tcBorders>
          </w:tcPr>
          <w:p w:rsidR="00586818" w:rsidRPr="00A3792F" w:rsidRDefault="00586818">
            <w:pPr>
              <w:pStyle w:val="Pagrindinistekstas"/>
              <w:spacing w:after="0"/>
              <w:jc w:val="center"/>
              <w:rPr>
                <w:szCs w:val="22"/>
              </w:rPr>
            </w:pPr>
          </w:p>
          <w:p w:rsidR="00586818" w:rsidRPr="00A3792F" w:rsidRDefault="00586818">
            <w:pPr>
              <w:pStyle w:val="Pagrindinistekstas"/>
              <w:spacing w:after="0"/>
              <w:jc w:val="center"/>
              <w:rPr>
                <w:szCs w:val="22"/>
              </w:rPr>
            </w:pPr>
            <w:r w:rsidRPr="00A3792F">
              <w:rPr>
                <w:szCs w:val="22"/>
              </w:rPr>
              <w:t>3,2</w:t>
            </w:r>
          </w:p>
        </w:tc>
        <w:tc>
          <w:tcPr>
            <w:tcW w:w="1701" w:type="dxa"/>
            <w:tcBorders>
              <w:top w:val="nil"/>
              <w:left w:val="nil"/>
              <w:bottom w:val="nil"/>
              <w:right w:val="nil"/>
            </w:tcBorders>
          </w:tcPr>
          <w:p w:rsidR="00586818" w:rsidRPr="00A3792F" w:rsidRDefault="00586818">
            <w:pPr>
              <w:pStyle w:val="Pagrindinistekstas"/>
              <w:spacing w:after="0"/>
              <w:jc w:val="center"/>
              <w:rPr>
                <w:szCs w:val="22"/>
              </w:rPr>
            </w:pPr>
          </w:p>
          <w:p w:rsidR="00586818" w:rsidRPr="00A3792F" w:rsidRDefault="00586818">
            <w:pPr>
              <w:pStyle w:val="Pagrindinistekstas"/>
              <w:spacing w:after="0"/>
              <w:jc w:val="center"/>
              <w:rPr>
                <w:szCs w:val="22"/>
              </w:rPr>
            </w:pPr>
            <w:r w:rsidRPr="00A3792F">
              <w:rPr>
                <w:szCs w:val="22"/>
              </w:rPr>
              <w:t>4,1</w:t>
            </w:r>
          </w:p>
        </w:tc>
        <w:tc>
          <w:tcPr>
            <w:tcW w:w="1134" w:type="dxa"/>
            <w:tcBorders>
              <w:top w:val="nil"/>
              <w:left w:val="nil"/>
              <w:bottom w:val="nil"/>
              <w:right w:val="single" w:sz="4" w:space="0" w:color="auto"/>
            </w:tcBorders>
          </w:tcPr>
          <w:p w:rsidR="00586818" w:rsidRPr="00A3792F" w:rsidRDefault="00586818">
            <w:pPr>
              <w:pStyle w:val="Pagrindinistekstas"/>
              <w:spacing w:after="0"/>
              <w:jc w:val="center"/>
              <w:rPr>
                <w:szCs w:val="22"/>
              </w:rPr>
            </w:pPr>
          </w:p>
          <w:p w:rsidR="00586818" w:rsidRPr="00A3792F" w:rsidRDefault="00586818">
            <w:pPr>
              <w:pStyle w:val="Pagrindinistekstas"/>
              <w:spacing w:after="0"/>
              <w:jc w:val="center"/>
              <w:rPr>
                <w:szCs w:val="22"/>
              </w:rPr>
            </w:pPr>
            <w:r w:rsidRPr="00A3792F">
              <w:rPr>
                <w:szCs w:val="22"/>
              </w:rPr>
              <w:t>2,5</w:t>
            </w:r>
          </w:p>
        </w:tc>
      </w:tr>
      <w:tr w:rsidR="00586818" w:rsidRPr="00A3792F" w:rsidTr="00586818">
        <w:tc>
          <w:tcPr>
            <w:tcW w:w="2552" w:type="dxa"/>
            <w:tcBorders>
              <w:top w:val="nil"/>
              <w:left w:val="single" w:sz="4" w:space="0" w:color="auto"/>
              <w:bottom w:val="single" w:sz="4" w:space="0" w:color="auto"/>
              <w:right w:val="nil"/>
            </w:tcBorders>
            <w:hideMark/>
          </w:tcPr>
          <w:p w:rsidR="00586818" w:rsidRPr="00A3792F" w:rsidRDefault="00586818">
            <w:pPr>
              <w:pStyle w:val="Pagrindinistekstas"/>
              <w:spacing w:after="0"/>
              <w:rPr>
                <w:szCs w:val="22"/>
              </w:rPr>
            </w:pPr>
            <w:r w:rsidRPr="00A3792F">
              <w:rPr>
                <w:szCs w:val="22"/>
              </w:rPr>
              <w:t>Raumenų mėšlungis</w:t>
            </w:r>
          </w:p>
        </w:tc>
        <w:tc>
          <w:tcPr>
            <w:tcW w:w="1843"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0,2</w:t>
            </w:r>
          </w:p>
        </w:tc>
        <w:tc>
          <w:tcPr>
            <w:tcW w:w="1842"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1,1</w:t>
            </w:r>
          </w:p>
        </w:tc>
        <w:tc>
          <w:tcPr>
            <w:tcW w:w="1701"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0,0</w:t>
            </w:r>
          </w:p>
        </w:tc>
        <w:tc>
          <w:tcPr>
            <w:tcW w:w="1134" w:type="dxa"/>
            <w:tcBorders>
              <w:top w:val="nil"/>
              <w:left w:val="nil"/>
              <w:bottom w:val="single" w:sz="4" w:space="0" w:color="auto"/>
              <w:right w:val="single" w:sz="4" w:space="0" w:color="auto"/>
            </w:tcBorders>
            <w:hideMark/>
          </w:tcPr>
          <w:p w:rsidR="00586818" w:rsidRPr="00A3792F" w:rsidRDefault="00586818">
            <w:pPr>
              <w:pStyle w:val="Pagrindinistekstas"/>
              <w:spacing w:after="0"/>
              <w:jc w:val="center"/>
              <w:rPr>
                <w:szCs w:val="22"/>
              </w:rPr>
            </w:pPr>
            <w:r w:rsidRPr="00A3792F">
              <w:rPr>
                <w:szCs w:val="22"/>
              </w:rPr>
              <w:t>1,0</w:t>
            </w:r>
          </w:p>
        </w:tc>
      </w:tr>
      <w:tr w:rsidR="00586818" w:rsidRPr="00A3792F" w:rsidTr="00586818">
        <w:tc>
          <w:tcPr>
            <w:tcW w:w="2552" w:type="dxa"/>
            <w:tcBorders>
              <w:top w:val="single" w:sz="4" w:space="0" w:color="auto"/>
              <w:left w:val="single" w:sz="4" w:space="0" w:color="auto"/>
              <w:bottom w:val="nil"/>
              <w:right w:val="nil"/>
            </w:tcBorders>
            <w:hideMark/>
          </w:tcPr>
          <w:p w:rsidR="00586818" w:rsidRPr="00A3792F" w:rsidRDefault="00586818">
            <w:pPr>
              <w:pStyle w:val="Pagrindinistekstas"/>
              <w:spacing w:after="0"/>
              <w:rPr>
                <w:i/>
                <w:szCs w:val="22"/>
              </w:rPr>
            </w:pPr>
            <w:r w:rsidRPr="00A3792F">
              <w:rPr>
                <w:i/>
                <w:szCs w:val="22"/>
              </w:rPr>
              <w:t>Nervų sistemos sutrikimai</w:t>
            </w:r>
          </w:p>
        </w:tc>
        <w:tc>
          <w:tcPr>
            <w:tcW w:w="1843"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842"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701" w:type="dxa"/>
            <w:tcBorders>
              <w:top w:val="single" w:sz="4" w:space="0" w:color="auto"/>
              <w:left w:val="nil"/>
              <w:bottom w:val="nil"/>
              <w:right w:val="nil"/>
            </w:tcBorders>
          </w:tcPr>
          <w:p w:rsidR="00586818" w:rsidRPr="00A3792F" w:rsidRDefault="00586818">
            <w:pPr>
              <w:pStyle w:val="Pagrindinistekstas"/>
              <w:spacing w:after="0"/>
              <w:jc w:val="center"/>
              <w:rPr>
                <w:szCs w:val="22"/>
              </w:rPr>
            </w:pPr>
          </w:p>
        </w:tc>
        <w:tc>
          <w:tcPr>
            <w:tcW w:w="1134" w:type="dxa"/>
            <w:tcBorders>
              <w:top w:val="single" w:sz="4" w:space="0" w:color="auto"/>
              <w:left w:val="nil"/>
              <w:bottom w:val="nil"/>
              <w:right w:val="single" w:sz="4" w:space="0" w:color="auto"/>
            </w:tcBorders>
          </w:tcPr>
          <w:p w:rsidR="00586818" w:rsidRPr="00A3792F" w:rsidRDefault="00586818">
            <w:pPr>
              <w:pStyle w:val="Pagrindinistekstas"/>
              <w:spacing w:after="0"/>
              <w:jc w:val="center"/>
              <w:rPr>
                <w:szCs w:val="22"/>
              </w:rPr>
            </w:pPr>
          </w:p>
        </w:tc>
      </w:tr>
      <w:tr w:rsidR="00586818" w:rsidRPr="00A3792F" w:rsidTr="00586818">
        <w:tc>
          <w:tcPr>
            <w:tcW w:w="2552" w:type="dxa"/>
            <w:tcBorders>
              <w:top w:val="nil"/>
              <w:left w:val="single" w:sz="4" w:space="0" w:color="auto"/>
              <w:bottom w:val="single" w:sz="4" w:space="0" w:color="auto"/>
              <w:right w:val="nil"/>
            </w:tcBorders>
            <w:hideMark/>
          </w:tcPr>
          <w:p w:rsidR="00586818" w:rsidRPr="00A3792F" w:rsidRDefault="00586818">
            <w:pPr>
              <w:pStyle w:val="Pagrindinistekstas"/>
              <w:spacing w:after="0"/>
              <w:rPr>
                <w:szCs w:val="22"/>
              </w:rPr>
            </w:pPr>
            <w:r w:rsidRPr="00A3792F">
              <w:rPr>
                <w:szCs w:val="22"/>
              </w:rPr>
              <w:t>Galvos skausmas</w:t>
            </w:r>
          </w:p>
        </w:tc>
        <w:tc>
          <w:tcPr>
            <w:tcW w:w="1843"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0,4</w:t>
            </w:r>
          </w:p>
        </w:tc>
        <w:tc>
          <w:tcPr>
            <w:tcW w:w="1842"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0,3</w:t>
            </w:r>
          </w:p>
        </w:tc>
        <w:tc>
          <w:tcPr>
            <w:tcW w:w="1701" w:type="dxa"/>
            <w:tcBorders>
              <w:top w:val="nil"/>
              <w:left w:val="nil"/>
              <w:bottom w:val="single" w:sz="4" w:space="0" w:color="auto"/>
              <w:right w:val="nil"/>
            </w:tcBorders>
            <w:hideMark/>
          </w:tcPr>
          <w:p w:rsidR="00586818" w:rsidRPr="00A3792F" w:rsidRDefault="00586818">
            <w:pPr>
              <w:pStyle w:val="Pagrindinistekstas"/>
              <w:spacing w:after="0"/>
              <w:jc w:val="center"/>
              <w:rPr>
                <w:szCs w:val="22"/>
              </w:rPr>
            </w:pPr>
            <w:r w:rsidRPr="00A3792F">
              <w:rPr>
                <w:szCs w:val="22"/>
              </w:rPr>
              <w:t>2,6</w:t>
            </w:r>
          </w:p>
        </w:tc>
        <w:tc>
          <w:tcPr>
            <w:tcW w:w="1134" w:type="dxa"/>
            <w:tcBorders>
              <w:top w:val="nil"/>
              <w:left w:val="nil"/>
              <w:bottom w:val="single" w:sz="4" w:space="0" w:color="auto"/>
              <w:right w:val="single" w:sz="4" w:space="0" w:color="auto"/>
            </w:tcBorders>
            <w:hideMark/>
          </w:tcPr>
          <w:p w:rsidR="00586818" w:rsidRPr="00A3792F" w:rsidRDefault="00586818">
            <w:pPr>
              <w:pStyle w:val="Pagrindinistekstas"/>
              <w:spacing w:after="0"/>
              <w:jc w:val="center"/>
              <w:rPr>
                <w:szCs w:val="22"/>
              </w:rPr>
            </w:pPr>
            <w:r w:rsidRPr="00A3792F">
              <w:rPr>
                <w:szCs w:val="22"/>
              </w:rPr>
              <w:t>1,5</w:t>
            </w:r>
          </w:p>
        </w:tc>
      </w:tr>
    </w:tbl>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Klinikinių tyrimų metu ir</w:t>
      </w:r>
      <w:r w:rsidR="009D38FF" w:rsidRPr="00A3792F">
        <w:rPr>
          <w:szCs w:val="22"/>
        </w:rPr>
        <w:t xml:space="preserve"> (</w:t>
      </w:r>
      <w:r w:rsidRPr="00A3792F">
        <w:rPr>
          <w:szCs w:val="22"/>
        </w:rPr>
        <w:t>ar</w:t>
      </w:r>
      <w:r w:rsidR="009D38FF" w:rsidRPr="00A3792F">
        <w:rPr>
          <w:szCs w:val="22"/>
        </w:rPr>
        <w:t>ba)</w:t>
      </w:r>
      <w:r w:rsidRPr="00A3792F">
        <w:rPr>
          <w:szCs w:val="22"/>
        </w:rPr>
        <w:t xml:space="preserve"> po to, kai vaistinis preparatas buvo pradėtas platinti, pastebėti toliau išvardyti nepageidaujami reiškiniai.</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586818" w:rsidRPr="00A3792F" w:rsidRDefault="00586818" w:rsidP="00586818">
      <w:pPr>
        <w:pStyle w:val="Pagrindinistekstas"/>
        <w:spacing w:after="0"/>
        <w:rPr>
          <w:iCs/>
          <w:szCs w:val="22"/>
          <w:u w:val="single"/>
        </w:rPr>
      </w:pPr>
    </w:p>
    <w:p w:rsidR="00586818" w:rsidRPr="00A3792F" w:rsidRDefault="00586818" w:rsidP="00586818">
      <w:pPr>
        <w:pStyle w:val="Pagrindinistekstas"/>
        <w:spacing w:after="0"/>
        <w:rPr>
          <w:iCs/>
          <w:szCs w:val="22"/>
          <w:u w:val="single"/>
        </w:rPr>
      </w:pPr>
      <w:r w:rsidRPr="00A3792F">
        <w:rPr>
          <w:iCs/>
          <w:szCs w:val="22"/>
          <w:u w:val="single"/>
        </w:rPr>
        <w:t>Imuninės sistemos sutrikimai</w:t>
      </w:r>
    </w:p>
    <w:p w:rsidR="00586818" w:rsidRPr="00A3792F" w:rsidRDefault="00586818" w:rsidP="00586818">
      <w:pPr>
        <w:pStyle w:val="Pagrindinistekstas"/>
        <w:spacing w:after="0"/>
        <w:rPr>
          <w:szCs w:val="22"/>
        </w:rPr>
      </w:pPr>
      <w:r w:rsidRPr="00A3792F">
        <w:rPr>
          <w:i/>
          <w:iCs/>
          <w:szCs w:val="22"/>
        </w:rPr>
        <w:t xml:space="preserve">Reti: </w:t>
      </w:r>
      <w:r w:rsidRPr="00A3792F">
        <w:rPr>
          <w:szCs w:val="22"/>
        </w:rPr>
        <w:t>padidėjusio jautrumo reakcijos, įskaitant dilgėlinę ir angioedemą.</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u w:val="single"/>
        </w:rPr>
      </w:pPr>
      <w:r w:rsidRPr="00A3792F">
        <w:rPr>
          <w:szCs w:val="22"/>
          <w:u w:val="single"/>
        </w:rPr>
        <w:t>Metabolizmo ir mitybos sutrikimai</w:t>
      </w:r>
    </w:p>
    <w:p w:rsidR="00586818" w:rsidRPr="00A3792F" w:rsidRDefault="00586818" w:rsidP="00586818">
      <w:pPr>
        <w:rPr>
          <w:szCs w:val="22"/>
        </w:rPr>
      </w:pPr>
      <w:r w:rsidRPr="00A3792F">
        <w:rPr>
          <w:i/>
          <w:iCs/>
          <w:szCs w:val="22"/>
        </w:rPr>
        <w:t>Reti:</w:t>
      </w:r>
      <w:r w:rsidRPr="00A3792F">
        <w:rPr>
          <w:szCs w:val="22"/>
        </w:rPr>
        <w:t xml:space="preserve"> Hipokalcemijos simptomai, dažniausiai susiję su jautrinamosiomis būklėmis.</w:t>
      </w:r>
    </w:p>
    <w:p w:rsidR="00586818" w:rsidRPr="00A3792F" w:rsidRDefault="00586818" w:rsidP="00586818">
      <w:pPr>
        <w:rPr>
          <w:szCs w:val="22"/>
        </w:rPr>
      </w:pPr>
    </w:p>
    <w:p w:rsidR="00586818" w:rsidRPr="00A3792F" w:rsidRDefault="00586818" w:rsidP="00586818">
      <w:pPr>
        <w:outlineLvl w:val="0"/>
        <w:rPr>
          <w:szCs w:val="22"/>
          <w:u w:val="single"/>
        </w:rPr>
      </w:pPr>
      <w:r w:rsidRPr="00A3792F">
        <w:rPr>
          <w:szCs w:val="22"/>
          <w:u w:val="single"/>
        </w:rPr>
        <w:t>Nervų sistemos sutrikimai</w:t>
      </w:r>
    </w:p>
    <w:p w:rsidR="00586818" w:rsidRPr="00A3792F" w:rsidRDefault="00586818" w:rsidP="00586818">
      <w:pPr>
        <w:rPr>
          <w:szCs w:val="22"/>
        </w:rPr>
      </w:pPr>
      <w:r w:rsidRPr="00A3792F">
        <w:rPr>
          <w:i/>
          <w:szCs w:val="22"/>
        </w:rPr>
        <w:t xml:space="preserve">Dažni: </w:t>
      </w:r>
      <w:r w:rsidRPr="00A3792F">
        <w:rPr>
          <w:szCs w:val="22"/>
        </w:rPr>
        <w:t>galvos skausmas, galvos svaigimas.</w:t>
      </w:r>
    </w:p>
    <w:p w:rsidR="00586818" w:rsidRPr="00A3792F" w:rsidRDefault="00586818" w:rsidP="00586818">
      <w:pPr>
        <w:rPr>
          <w:szCs w:val="22"/>
        </w:rPr>
      </w:pPr>
      <w:r w:rsidRPr="00A3792F">
        <w:rPr>
          <w:i/>
          <w:szCs w:val="22"/>
        </w:rPr>
        <w:t>Nedažni:</w:t>
      </w:r>
      <w:r w:rsidRPr="00A3792F">
        <w:rPr>
          <w:szCs w:val="22"/>
        </w:rPr>
        <w:t xml:space="preserve"> disgeuzija</w:t>
      </w:r>
      <w:r w:rsidRPr="00A3792F">
        <w:rPr>
          <w:szCs w:val="22"/>
          <w:vertAlign w:val="superscript"/>
          <w:lang w:val="en-US"/>
        </w:rPr>
        <w:t>Ϯ</w:t>
      </w:r>
      <w:r w:rsidRPr="00A3792F">
        <w:rPr>
          <w:szCs w:val="22"/>
        </w:rPr>
        <w:t>.</w:t>
      </w:r>
    </w:p>
    <w:p w:rsidR="00586818" w:rsidRPr="00A3792F" w:rsidRDefault="00586818" w:rsidP="00586818">
      <w:pPr>
        <w:outlineLvl w:val="0"/>
        <w:rPr>
          <w:szCs w:val="22"/>
          <w:u w:val="single"/>
        </w:rPr>
      </w:pPr>
    </w:p>
    <w:p w:rsidR="00586818" w:rsidRPr="00A3792F" w:rsidRDefault="00586818" w:rsidP="00586818">
      <w:pPr>
        <w:outlineLvl w:val="0"/>
        <w:rPr>
          <w:szCs w:val="22"/>
          <w:u w:val="single"/>
        </w:rPr>
      </w:pPr>
      <w:r w:rsidRPr="00A3792F">
        <w:rPr>
          <w:szCs w:val="22"/>
          <w:u w:val="single"/>
        </w:rPr>
        <w:t>Akių sutrikimai</w:t>
      </w:r>
    </w:p>
    <w:p w:rsidR="00586818" w:rsidRPr="00A3792F" w:rsidRDefault="00586818" w:rsidP="00586818">
      <w:pPr>
        <w:rPr>
          <w:szCs w:val="22"/>
        </w:rPr>
      </w:pPr>
      <w:r w:rsidRPr="00A3792F">
        <w:rPr>
          <w:i/>
          <w:szCs w:val="22"/>
        </w:rPr>
        <w:t>Nedažni:</w:t>
      </w:r>
      <w:r w:rsidRPr="00A3792F">
        <w:rPr>
          <w:szCs w:val="22"/>
        </w:rPr>
        <w:t xml:space="preserve"> akies uždegimas (uveitas, skleritas, episkleritas).</w:t>
      </w:r>
    </w:p>
    <w:p w:rsidR="00586818" w:rsidRPr="00A3792F" w:rsidRDefault="00586818" w:rsidP="00586818">
      <w:pPr>
        <w:pStyle w:val="prastasiniatinklio"/>
        <w:spacing w:before="0" w:beforeAutospacing="0" w:after="0" w:afterAutospacing="0"/>
        <w:rPr>
          <w:i/>
          <w:sz w:val="22"/>
          <w:szCs w:val="22"/>
          <w:lang w:val="lt-LT"/>
        </w:rPr>
      </w:pPr>
    </w:p>
    <w:p w:rsidR="00586818" w:rsidRPr="00A3792F" w:rsidRDefault="00586818" w:rsidP="00586818">
      <w:pPr>
        <w:outlineLvl w:val="0"/>
        <w:rPr>
          <w:szCs w:val="22"/>
          <w:u w:val="single"/>
        </w:rPr>
      </w:pPr>
      <w:r w:rsidRPr="00A3792F">
        <w:rPr>
          <w:szCs w:val="22"/>
          <w:u w:val="single"/>
        </w:rPr>
        <w:t xml:space="preserve">Ausų ir labirintų sutrikimai </w:t>
      </w:r>
    </w:p>
    <w:p w:rsidR="00586818" w:rsidRPr="00A3792F" w:rsidRDefault="00586818" w:rsidP="00586818">
      <w:pPr>
        <w:pStyle w:val="prastasiniatinklio"/>
        <w:spacing w:before="0" w:beforeAutospacing="0" w:after="0" w:afterAutospacing="0"/>
        <w:rPr>
          <w:i/>
          <w:sz w:val="22"/>
          <w:szCs w:val="22"/>
          <w:lang w:val="lt-LT" w:eastAsia="lt-LT"/>
        </w:rPr>
      </w:pPr>
      <w:r w:rsidRPr="00A3792F">
        <w:rPr>
          <w:i/>
          <w:sz w:val="22"/>
          <w:szCs w:val="22"/>
          <w:lang w:val="lt-LT" w:eastAsia="lt-LT"/>
        </w:rPr>
        <w:t xml:space="preserve">Dažni: </w:t>
      </w:r>
      <w:r w:rsidRPr="00A3792F">
        <w:rPr>
          <w:sz w:val="22"/>
          <w:szCs w:val="22"/>
          <w:lang w:val="lt-LT" w:eastAsia="lt-LT"/>
        </w:rPr>
        <w:t>galvos svaigimas (</w:t>
      </w:r>
      <w:r w:rsidRPr="00A3792F">
        <w:rPr>
          <w:i/>
          <w:sz w:val="22"/>
          <w:szCs w:val="22"/>
          <w:lang w:val="lt-LT" w:eastAsia="lt-LT"/>
        </w:rPr>
        <w:t>vertigo</w:t>
      </w:r>
      <w:r w:rsidRPr="00A3792F">
        <w:rPr>
          <w:sz w:val="22"/>
          <w:szCs w:val="22"/>
          <w:lang w:val="lt-LT" w:eastAsia="lt-LT"/>
        </w:rPr>
        <w:t>).</w:t>
      </w:r>
    </w:p>
    <w:p w:rsidR="00586818" w:rsidRPr="00A3792F" w:rsidRDefault="00586818" w:rsidP="00586818">
      <w:pPr>
        <w:rPr>
          <w:szCs w:val="22"/>
        </w:rPr>
      </w:pPr>
    </w:p>
    <w:p w:rsidR="00586818" w:rsidRPr="00A3792F" w:rsidRDefault="00586818" w:rsidP="007B3D98">
      <w:pPr>
        <w:keepNext/>
        <w:outlineLvl w:val="0"/>
        <w:rPr>
          <w:szCs w:val="22"/>
          <w:u w:val="single"/>
        </w:rPr>
      </w:pPr>
      <w:r w:rsidRPr="00A3792F">
        <w:rPr>
          <w:szCs w:val="22"/>
          <w:u w:val="single"/>
        </w:rPr>
        <w:lastRenderedPageBreak/>
        <w:t>Virškinimo trakto sutrikimai</w:t>
      </w:r>
    </w:p>
    <w:p w:rsidR="00586818" w:rsidRPr="00A3792F" w:rsidRDefault="00586818" w:rsidP="007B3D98">
      <w:pPr>
        <w:keepNext/>
        <w:rPr>
          <w:szCs w:val="22"/>
        </w:rPr>
      </w:pPr>
      <w:r w:rsidRPr="00A3792F">
        <w:rPr>
          <w:i/>
          <w:szCs w:val="22"/>
        </w:rPr>
        <w:t>Dažni:</w:t>
      </w:r>
      <w:r w:rsidRPr="00A3792F">
        <w:rPr>
          <w:szCs w:val="22"/>
        </w:rPr>
        <w:t xml:space="preserve"> pilvo skausmas, dispepsija, vidurių užkietėjimas, viduriavimas, dujų susikaupimas virškinimo trakte, stemplės opos*, disfagija*, pilvo tempimas, rūgšties regurgitacija.</w:t>
      </w:r>
    </w:p>
    <w:p w:rsidR="00586818" w:rsidRPr="00A3792F" w:rsidRDefault="00586818" w:rsidP="00586818">
      <w:pPr>
        <w:rPr>
          <w:szCs w:val="22"/>
        </w:rPr>
      </w:pPr>
      <w:r w:rsidRPr="00A3792F">
        <w:rPr>
          <w:i/>
          <w:szCs w:val="22"/>
        </w:rPr>
        <w:t xml:space="preserve">Nedažni: </w:t>
      </w:r>
      <w:r w:rsidRPr="00A3792F">
        <w:rPr>
          <w:szCs w:val="22"/>
        </w:rPr>
        <w:t>pykinimas, vėmimas, gastritas, ezofagitas*, stemplės erozijos*, melena</w:t>
      </w:r>
      <w:r w:rsidRPr="00A3792F">
        <w:rPr>
          <w:szCs w:val="22"/>
          <w:vertAlign w:val="superscript"/>
          <w:lang w:val="en-US"/>
        </w:rPr>
        <w:t>Ϯ</w:t>
      </w:r>
      <w:r w:rsidRPr="00A3792F">
        <w:rPr>
          <w:szCs w:val="22"/>
        </w:rPr>
        <w:t>.</w:t>
      </w:r>
    </w:p>
    <w:p w:rsidR="00586818" w:rsidRPr="00A3792F" w:rsidRDefault="00586818" w:rsidP="00586818">
      <w:pPr>
        <w:rPr>
          <w:szCs w:val="22"/>
        </w:rPr>
      </w:pPr>
      <w:r w:rsidRPr="00A3792F">
        <w:rPr>
          <w:i/>
          <w:szCs w:val="22"/>
        </w:rPr>
        <w:t>Reti:</w:t>
      </w:r>
      <w:r w:rsidRPr="00A3792F">
        <w:rPr>
          <w:szCs w:val="22"/>
        </w:rPr>
        <w:t xml:space="preserve"> stemplės striktūra*, stemplės išopėjimas*, viršutinės virškinimo trakto dalies POK (prakiurimas, opos ir kraujavimas)</w:t>
      </w:r>
      <w:r w:rsidRPr="00A3792F">
        <w:rPr>
          <w:szCs w:val="22"/>
          <w:vertAlign w:val="superscript"/>
        </w:rPr>
        <w:t xml:space="preserve"> §</w:t>
      </w:r>
      <w:r w:rsidRPr="00A3792F">
        <w:rPr>
          <w:szCs w:val="22"/>
        </w:rPr>
        <w:t>.</w:t>
      </w:r>
    </w:p>
    <w:p w:rsidR="00586818" w:rsidRPr="00A3792F" w:rsidRDefault="00586818" w:rsidP="00586818">
      <w:pPr>
        <w:rPr>
          <w:szCs w:val="22"/>
        </w:rPr>
      </w:pPr>
    </w:p>
    <w:p w:rsidR="00586818" w:rsidRPr="00A3792F" w:rsidRDefault="00586818" w:rsidP="00586818">
      <w:pPr>
        <w:rPr>
          <w:szCs w:val="22"/>
          <w:u w:val="single"/>
        </w:rPr>
      </w:pPr>
      <w:r w:rsidRPr="00A3792F">
        <w:rPr>
          <w:szCs w:val="22"/>
          <w:u w:val="single"/>
        </w:rPr>
        <w:t>Odos ir poodinio audinio sutrikimai</w:t>
      </w:r>
    </w:p>
    <w:p w:rsidR="00586818" w:rsidRPr="00A3792F" w:rsidRDefault="00586818" w:rsidP="00586818">
      <w:pPr>
        <w:rPr>
          <w:i/>
          <w:szCs w:val="22"/>
        </w:rPr>
      </w:pPr>
      <w:r w:rsidRPr="00A3792F">
        <w:rPr>
          <w:i/>
          <w:szCs w:val="22"/>
        </w:rPr>
        <w:t xml:space="preserve">Dažni: </w:t>
      </w:r>
      <w:r w:rsidRPr="00A3792F">
        <w:rPr>
          <w:szCs w:val="22"/>
        </w:rPr>
        <w:t>alopecija</w:t>
      </w:r>
      <w:r w:rsidRPr="00A3792F">
        <w:rPr>
          <w:szCs w:val="22"/>
          <w:vertAlign w:val="superscript"/>
          <w:lang w:val="en-US"/>
        </w:rPr>
        <w:t>Ϯ</w:t>
      </w:r>
      <w:r w:rsidRPr="00A3792F">
        <w:rPr>
          <w:szCs w:val="22"/>
        </w:rPr>
        <w:t>, niežulys</w:t>
      </w:r>
      <w:r w:rsidRPr="00A3792F">
        <w:rPr>
          <w:szCs w:val="22"/>
          <w:vertAlign w:val="superscript"/>
          <w:lang w:val="en-US"/>
        </w:rPr>
        <w:t>Ϯ</w:t>
      </w:r>
      <w:r w:rsidRPr="00A3792F">
        <w:rPr>
          <w:szCs w:val="22"/>
        </w:rPr>
        <w:t>.</w:t>
      </w:r>
    </w:p>
    <w:p w:rsidR="00586818" w:rsidRPr="00A3792F" w:rsidRDefault="00586818" w:rsidP="00586818">
      <w:pPr>
        <w:rPr>
          <w:szCs w:val="22"/>
        </w:rPr>
      </w:pPr>
      <w:r w:rsidRPr="00A3792F">
        <w:rPr>
          <w:i/>
          <w:szCs w:val="22"/>
        </w:rPr>
        <w:t>Nedažni:</w:t>
      </w:r>
      <w:r w:rsidRPr="00A3792F">
        <w:rPr>
          <w:szCs w:val="22"/>
        </w:rPr>
        <w:t xml:space="preserve"> bėrimas, eritema.</w:t>
      </w:r>
    </w:p>
    <w:p w:rsidR="00586818" w:rsidRPr="00A3792F" w:rsidRDefault="00586818" w:rsidP="00586818">
      <w:pPr>
        <w:tabs>
          <w:tab w:val="left" w:pos="2900"/>
        </w:tabs>
        <w:rPr>
          <w:szCs w:val="22"/>
        </w:rPr>
      </w:pPr>
      <w:r w:rsidRPr="00A3792F">
        <w:rPr>
          <w:i/>
          <w:szCs w:val="22"/>
        </w:rPr>
        <w:t xml:space="preserve">Reti: </w:t>
      </w:r>
      <w:r w:rsidRPr="00A3792F">
        <w:rPr>
          <w:szCs w:val="22"/>
        </w:rPr>
        <w:t>bėrimas su jautrumu saulės šviesai, sunkios odos reakcijos atvejai, įskaitant</w:t>
      </w:r>
      <w:r w:rsidR="009D38FF" w:rsidRPr="00A3792F">
        <w:rPr>
          <w:szCs w:val="22"/>
        </w:rPr>
        <w:t xml:space="preserve"> Stivenso -Džonsono</w:t>
      </w:r>
      <w:r w:rsidR="009D38FF" w:rsidRPr="00A3792F" w:rsidDel="009D38FF">
        <w:rPr>
          <w:szCs w:val="22"/>
        </w:rPr>
        <w:t xml:space="preserve"> </w:t>
      </w:r>
      <w:r w:rsidRPr="00A3792F">
        <w:rPr>
          <w:szCs w:val="22"/>
        </w:rPr>
        <w:t xml:space="preserve"> sindromą ir toksinę epidermolizę</w:t>
      </w:r>
      <w:r w:rsidRPr="00A3792F">
        <w:rPr>
          <w:szCs w:val="22"/>
          <w:vertAlign w:val="superscript"/>
        </w:rPr>
        <w:t>ᴣ</w:t>
      </w:r>
      <w:r w:rsidRPr="00A3792F">
        <w:rPr>
          <w:szCs w:val="22"/>
        </w:rPr>
        <w:t>.</w:t>
      </w:r>
    </w:p>
    <w:p w:rsidR="00586818" w:rsidRPr="00A3792F" w:rsidRDefault="00586818" w:rsidP="00586818">
      <w:pPr>
        <w:pStyle w:val="Pagrindinistekstas"/>
        <w:spacing w:after="0"/>
        <w:rPr>
          <w:szCs w:val="22"/>
          <w:u w:val="single"/>
        </w:rPr>
      </w:pPr>
    </w:p>
    <w:p w:rsidR="008E720E" w:rsidRPr="00A3792F" w:rsidRDefault="00586818" w:rsidP="00586818">
      <w:pPr>
        <w:pStyle w:val="Pagrindinistekstas"/>
        <w:spacing w:after="0"/>
        <w:rPr>
          <w:szCs w:val="22"/>
          <w:u w:val="single"/>
        </w:rPr>
      </w:pPr>
      <w:r w:rsidRPr="00A3792F">
        <w:rPr>
          <w:szCs w:val="22"/>
          <w:u w:val="single"/>
        </w:rPr>
        <w:t xml:space="preserve">Skeleto, raumenų ir jungiamojo audinio sutrikimai </w:t>
      </w:r>
    </w:p>
    <w:p w:rsidR="00586818" w:rsidRPr="00A3792F" w:rsidRDefault="00586818" w:rsidP="00586818">
      <w:pPr>
        <w:pStyle w:val="Pagrindinistekstas"/>
        <w:spacing w:after="0"/>
        <w:rPr>
          <w:szCs w:val="22"/>
        </w:rPr>
      </w:pPr>
      <w:r w:rsidRPr="00A3792F">
        <w:rPr>
          <w:i/>
          <w:szCs w:val="22"/>
        </w:rPr>
        <w:t>Labai dažni:</w:t>
      </w:r>
      <w:r w:rsidRPr="00A3792F">
        <w:rPr>
          <w:szCs w:val="22"/>
        </w:rPr>
        <w:t xml:space="preserve"> skeleto ir raumenų (kaulų, raumenų, sąnarių) skausmas, kartais sunkus</w:t>
      </w:r>
      <w:r w:rsidRPr="00A3792F">
        <w:rPr>
          <w:szCs w:val="22"/>
          <w:vertAlign w:val="superscript"/>
          <w:lang w:val="en-US"/>
        </w:rPr>
        <w:t>Ϯ</w:t>
      </w:r>
      <w:r w:rsidRPr="00A3792F">
        <w:rPr>
          <w:szCs w:val="22"/>
          <w:vertAlign w:val="superscript"/>
        </w:rPr>
        <w:t>§</w:t>
      </w:r>
      <w:r w:rsidRPr="00A3792F">
        <w:rPr>
          <w:szCs w:val="22"/>
        </w:rPr>
        <w:t>.</w:t>
      </w:r>
    </w:p>
    <w:p w:rsidR="008E720E" w:rsidRPr="00A3792F" w:rsidRDefault="00586818" w:rsidP="00586818">
      <w:pPr>
        <w:pStyle w:val="Pagrindinistekstas"/>
        <w:spacing w:after="0"/>
        <w:rPr>
          <w:szCs w:val="22"/>
        </w:rPr>
      </w:pPr>
      <w:r w:rsidRPr="00A3792F">
        <w:rPr>
          <w:i/>
          <w:szCs w:val="22"/>
        </w:rPr>
        <w:t xml:space="preserve">Dažni: </w:t>
      </w:r>
      <w:r w:rsidRPr="00A3792F">
        <w:rPr>
          <w:szCs w:val="22"/>
        </w:rPr>
        <w:t>sąnarių patinimas</w:t>
      </w:r>
      <w:r w:rsidRPr="00A3792F">
        <w:rPr>
          <w:szCs w:val="22"/>
          <w:vertAlign w:val="superscript"/>
          <w:lang w:val="en-US"/>
        </w:rPr>
        <w:t>Ϯ</w:t>
      </w:r>
      <w:r w:rsidRPr="00A3792F">
        <w:rPr>
          <w:szCs w:val="22"/>
        </w:rPr>
        <w:t>.</w:t>
      </w:r>
    </w:p>
    <w:p w:rsidR="00586818" w:rsidRPr="00A3792F" w:rsidRDefault="00586818" w:rsidP="00586818">
      <w:pPr>
        <w:pStyle w:val="Pagrindinistekstas"/>
        <w:spacing w:after="0"/>
        <w:rPr>
          <w:szCs w:val="22"/>
        </w:rPr>
      </w:pPr>
      <w:r w:rsidRPr="00A3792F">
        <w:rPr>
          <w:i/>
          <w:szCs w:val="22"/>
        </w:rPr>
        <w:t xml:space="preserve">Reti: </w:t>
      </w:r>
      <w:r w:rsidRPr="00A3792F">
        <w:rPr>
          <w:szCs w:val="22"/>
        </w:rPr>
        <w:t>žandikaulio osteonekrozė</w:t>
      </w:r>
      <w:r w:rsidRPr="00A3792F">
        <w:rPr>
          <w:szCs w:val="22"/>
          <w:vertAlign w:val="superscript"/>
        </w:rPr>
        <w:t>ᴣ§</w:t>
      </w:r>
      <w:r w:rsidRPr="00A3792F">
        <w:rPr>
          <w:szCs w:val="22"/>
        </w:rPr>
        <w:t>; atipiniai šlaunikaulio pogūbriniai ir diafizės lūžiai (nepageidaujama reakcija į bi</w:t>
      </w:r>
      <w:r w:rsidR="009D38FF" w:rsidRPr="00A3792F">
        <w:rPr>
          <w:szCs w:val="22"/>
        </w:rPr>
        <w:t>s</w:t>
      </w:r>
      <w:r w:rsidRPr="00A3792F">
        <w:rPr>
          <w:szCs w:val="22"/>
        </w:rPr>
        <w:t xml:space="preserve">fosfonatų klasės </w:t>
      </w:r>
      <w:r w:rsidR="009D38FF" w:rsidRPr="00A3792F">
        <w:rPr>
          <w:szCs w:val="22"/>
        </w:rPr>
        <w:t xml:space="preserve">vaistinius </w:t>
      </w:r>
      <w:r w:rsidRPr="00A3792F">
        <w:rPr>
          <w:szCs w:val="22"/>
        </w:rPr>
        <w:t>preparatus)</w:t>
      </w:r>
      <w:r w:rsidRPr="00A3792F">
        <w:rPr>
          <w:iCs/>
          <w:szCs w:val="22"/>
          <w:vertAlign w:val="superscript"/>
        </w:rPr>
        <w:t xml:space="preserve"> ┴</w:t>
      </w:r>
      <w:r w:rsidRPr="00A3792F">
        <w:rPr>
          <w:szCs w:val="22"/>
        </w:rPr>
        <w:t>.</w:t>
      </w:r>
    </w:p>
    <w:p w:rsidR="008E720E" w:rsidRPr="00A3792F" w:rsidRDefault="008E720E" w:rsidP="00586818">
      <w:pPr>
        <w:pStyle w:val="Pagrindinistekstas"/>
        <w:spacing w:after="0"/>
        <w:rPr>
          <w:szCs w:val="22"/>
        </w:rPr>
      </w:pPr>
      <w:r w:rsidRPr="00A3792F">
        <w:rPr>
          <w:i/>
          <w:szCs w:val="22"/>
        </w:rPr>
        <w:t>Labai reti:</w:t>
      </w:r>
      <w:r w:rsidRPr="00A3792F">
        <w:rPr>
          <w:szCs w:val="22"/>
        </w:rPr>
        <w:t xml:space="preserve"> išorinio ausies kanalo osteonekrozė (bisfosfonatų grupės vaist</w:t>
      </w:r>
      <w:r w:rsidR="009D38FF" w:rsidRPr="00A3792F">
        <w:rPr>
          <w:szCs w:val="22"/>
        </w:rPr>
        <w:t>iniams preparat</w:t>
      </w:r>
      <w:r w:rsidRPr="00A3792F">
        <w:rPr>
          <w:szCs w:val="22"/>
        </w:rPr>
        <w:t>ams būdinga nepageidaujama reakcija).</w:t>
      </w:r>
    </w:p>
    <w:p w:rsidR="00586818" w:rsidRPr="00A3792F" w:rsidRDefault="00586818" w:rsidP="00586818">
      <w:pPr>
        <w:pStyle w:val="Antrat3"/>
        <w:rPr>
          <w:szCs w:val="22"/>
        </w:rPr>
      </w:pPr>
    </w:p>
    <w:p w:rsidR="00586818" w:rsidRPr="00A3792F" w:rsidRDefault="00586818" w:rsidP="00586818">
      <w:pPr>
        <w:rPr>
          <w:szCs w:val="22"/>
          <w:u w:val="single"/>
        </w:rPr>
      </w:pPr>
      <w:r w:rsidRPr="00A3792F">
        <w:rPr>
          <w:szCs w:val="22"/>
          <w:u w:val="single"/>
        </w:rPr>
        <w:t>Bendrieji sutrikimai ir vartojimo vietos pažeidimai</w:t>
      </w:r>
    </w:p>
    <w:p w:rsidR="00586818" w:rsidRPr="00A3792F" w:rsidRDefault="00586818" w:rsidP="00586818">
      <w:pPr>
        <w:pStyle w:val="Pagrindinistekstas"/>
        <w:spacing w:after="0"/>
        <w:rPr>
          <w:szCs w:val="22"/>
        </w:rPr>
      </w:pPr>
      <w:r w:rsidRPr="00A3792F">
        <w:rPr>
          <w:i/>
          <w:szCs w:val="22"/>
        </w:rPr>
        <w:t xml:space="preserve">Dažni: </w:t>
      </w:r>
      <w:r w:rsidRPr="00A3792F">
        <w:rPr>
          <w:szCs w:val="22"/>
        </w:rPr>
        <w:t>astenija</w:t>
      </w:r>
      <w:r w:rsidRPr="00A3792F">
        <w:rPr>
          <w:szCs w:val="22"/>
          <w:vertAlign w:val="superscript"/>
          <w:lang w:val="en-US"/>
        </w:rPr>
        <w:t>Ϯ</w:t>
      </w:r>
      <w:r w:rsidRPr="00A3792F">
        <w:rPr>
          <w:szCs w:val="22"/>
        </w:rPr>
        <w:t>, periferinė edema</w:t>
      </w:r>
      <w:r w:rsidRPr="00A3792F">
        <w:rPr>
          <w:szCs w:val="22"/>
          <w:vertAlign w:val="superscript"/>
          <w:lang w:val="en-US"/>
        </w:rPr>
        <w:t>Ϯ</w:t>
      </w:r>
      <w:r w:rsidRPr="00A3792F">
        <w:rPr>
          <w:szCs w:val="22"/>
        </w:rPr>
        <w:t>.</w:t>
      </w:r>
    </w:p>
    <w:p w:rsidR="00586818" w:rsidRPr="00A3792F" w:rsidRDefault="00586818" w:rsidP="00586818">
      <w:pPr>
        <w:pStyle w:val="Pagrindinistekstas"/>
        <w:spacing w:after="0"/>
        <w:rPr>
          <w:szCs w:val="22"/>
          <w:vertAlign w:val="superscript"/>
        </w:rPr>
      </w:pPr>
      <w:r w:rsidRPr="00A3792F">
        <w:rPr>
          <w:i/>
          <w:szCs w:val="22"/>
        </w:rPr>
        <w:t>Nedažni:</w:t>
      </w:r>
      <w:r w:rsidRPr="00A3792F">
        <w:rPr>
          <w:szCs w:val="22"/>
        </w:rPr>
        <w:t xml:space="preserve"> praeinantys ūmios fazės simptomai (mialgija, bendras negalavimas ir retai, karščiavimas), dažniausiai susiję su gydymo pradžia.</w:t>
      </w:r>
    </w:p>
    <w:p w:rsidR="00586818" w:rsidRPr="00A3792F" w:rsidRDefault="00586818" w:rsidP="00586818">
      <w:pPr>
        <w:rPr>
          <w:szCs w:val="22"/>
        </w:rPr>
      </w:pPr>
    </w:p>
    <w:p w:rsidR="00586818" w:rsidRPr="00A3792F" w:rsidRDefault="00586818" w:rsidP="00586818">
      <w:pPr>
        <w:rPr>
          <w:szCs w:val="22"/>
        </w:rPr>
      </w:pPr>
      <w:r w:rsidRPr="00A3792F">
        <w:rPr>
          <w:szCs w:val="22"/>
          <w:vertAlign w:val="superscript"/>
        </w:rPr>
        <w:t>§</w:t>
      </w:r>
      <w:r w:rsidRPr="00A3792F">
        <w:rPr>
          <w:szCs w:val="22"/>
        </w:rPr>
        <w:t xml:space="preserve"> Žr. 4.4 skyrių</w:t>
      </w:r>
      <w:r w:rsidR="009D38FF" w:rsidRPr="00A3792F">
        <w:rPr>
          <w:szCs w:val="22"/>
        </w:rPr>
        <w:t>.</w:t>
      </w:r>
    </w:p>
    <w:p w:rsidR="00586818" w:rsidRPr="00A3792F" w:rsidRDefault="00586818" w:rsidP="00586818">
      <w:pPr>
        <w:rPr>
          <w:szCs w:val="22"/>
        </w:rPr>
      </w:pPr>
      <w:r w:rsidRPr="00A3792F">
        <w:rPr>
          <w:szCs w:val="22"/>
          <w:vertAlign w:val="superscript"/>
          <w:lang w:val="en-US"/>
        </w:rPr>
        <w:t>Ϯ</w:t>
      </w:r>
      <w:r w:rsidRPr="00A3792F">
        <w:rPr>
          <w:szCs w:val="22"/>
        </w:rPr>
        <w:t xml:space="preserve"> Klinikinių tyrimų metu dažnis buvo panašus kaip ir placebo grupėje.</w:t>
      </w:r>
    </w:p>
    <w:p w:rsidR="00586818" w:rsidRPr="00A3792F" w:rsidRDefault="00586818" w:rsidP="00586818">
      <w:pPr>
        <w:pStyle w:val="prastasiniatinklio"/>
        <w:spacing w:before="0" w:beforeAutospacing="0" w:after="0" w:afterAutospacing="0"/>
        <w:rPr>
          <w:sz w:val="22"/>
          <w:szCs w:val="22"/>
          <w:lang w:val="lt-LT"/>
        </w:rPr>
      </w:pPr>
      <w:r w:rsidRPr="00A3792F">
        <w:rPr>
          <w:sz w:val="22"/>
          <w:szCs w:val="22"/>
          <w:lang w:val="lt-LT"/>
        </w:rPr>
        <w:t>*Žr. 4.2 ir 4.4 skyri</w:t>
      </w:r>
      <w:r w:rsidR="009D38FF" w:rsidRPr="00A3792F">
        <w:rPr>
          <w:sz w:val="22"/>
          <w:szCs w:val="22"/>
          <w:lang w:val="lt-LT"/>
        </w:rPr>
        <w:t>us.</w:t>
      </w:r>
      <w:r w:rsidRPr="00A3792F">
        <w:rPr>
          <w:sz w:val="22"/>
          <w:szCs w:val="22"/>
          <w:lang w:val="lt-LT"/>
        </w:rPr>
        <w:t xml:space="preserve"> </w:t>
      </w:r>
    </w:p>
    <w:p w:rsidR="00586818" w:rsidRPr="00A3792F" w:rsidRDefault="00586818" w:rsidP="00586818">
      <w:pPr>
        <w:pStyle w:val="prastasiniatinklio"/>
        <w:spacing w:before="0" w:beforeAutospacing="0" w:after="0" w:afterAutospacing="0"/>
        <w:rPr>
          <w:sz w:val="22"/>
          <w:szCs w:val="22"/>
          <w:lang w:val="lt-LT"/>
        </w:rPr>
      </w:pPr>
      <w:r w:rsidRPr="00A3792F">
        <w:rPr>
          <w:sz w:val="22"/>
          <w:szCs w:val="22"/>
          <w:vertAlign w:val="superscript"/>
          <w:lang w:val="lt-LT"/>
        </w:rPr>
        <w:t>ᴣ</w:t>
      </w:r>
      <w:r w:rsidRPr="00A3792F">
        <w:rPr>
          <w:sz w:val="22"/>
          <w:szCs w:val="22"/>
          <w:lang w:val="lt-LT"/>
        </w:rPr>
        <w:t xml:space="preserve"> Ši nepageidaujama reakcija nustatyta po vaistinio preparato patekimo į rinką. Reakcija priskirta prie retų remiantis atitinkamasi klinikiniais tyrimais.</w:t>
      </w:r>
    </w:p>
    <w:p w:rsidR="00586818" w:rsidRPr="00A3792F" w:rsidRDefault="00586818" w:rsidP="00586818">
      <w:pPr>
        <w:pStyle w:val="prastasiniatinklio"/>
        <w:spacing w:before="0" w:beforeAutospacing="0" w:after="0" w:afterAutospacing="0"/>
        <w:rPr>
          <w:b/>
          <w:bCs/>
          <w:i/>
          <w:iCs/>
          <w:sz w:val="22"/>
          <w:szCs w:val="22"/>
          <w:lang w:val="lt-LT"/>
        </w:rPr>
      </w:pPr>
      <w:r w:rsidRPr="00A3792F">
        <w:rPr>
          <w:iCs/>
          <w:sz w:val="22"/>
          <w:szCs w:val="22"/>
          <w:vertAlign w:val="superscript"/>
          <w:lang w:val="lt-LT"/>
        </w:rPr>
        <w:t>┴</w:t>
      </w:r>
      <w:r w:rsidRPr="00A3792F">
        <w:rPr>
          <w:sz w:val="22"/>
          <w:szCs w:val="22"/>
          <w:lang w:val="lt-LT"/>
        </w:rPr>
        <w:t xml:space="preserve"> Nustatyta po vaist</w:t>
      </w:r>
      <w:r w:rsidR="009D38FF" w:rsidRPr="00A3792F">
        <w:rPr>
          <w:sz w:val="22"/>
          <w:szCs w:val="22"/>
          <w:lang w:val="lt-LT"/>
        </w:rPr>
        <w:t>inio preparat</w:t>
      </w:r>
      <w:r w:rsidRPr="00A3792F">
        <w:rPr>
          <w:sz w:val="22"/>
          <w:szCs w:val="22"/>
          <w:lang w:val="lt-LT"/>
        </w:rPr>
        <w:t>o patekimo į rinką.</w:t>
      </w:r>
    </w:p>
    <w:p w:rsidR="00E84B29" w:rsidRPr="00A3792F" w:rsidRDefault="00E84B29" w:rsidP="00586818">
      <w:pPr>
        <w:tabs>
          <w:tab w:val="left" w:pos="567"/>
        </w:tabs>
        <w:autoSpaceDE w:val="0"/>
        <w:autoSpaceDN w:val="0"/>
        <w:adjustRightInd w:val="0"/>
        <w:spacing w:line="260" w:lineRule="exact"/>
        <w:jc w:val="both"/>
        <w:rPr>
          <w:rFonts w:eastAsia="Times New Roman"/>
          <w:noProof/>
          <w:snapToGrid w:val="0"/>
          <w:szCs w:val="22"/>
          <w:u w:val="single"/>
          <w:lang w:eastAsia="en-US"/>
        </w:rPr>
      </w:pPr>
    </w:p>
    <w:p w:rsidR="00586818" w:rsidRPr="00A3792F" w:rsidRDefault="00586818" w:rsidP="00586818">
      <w:pPr>
        <w:tabs>
          <w:tab w:val="left" w:pos="567"/>
        </w:tabs>
        <w:autoSpaceDE w:val="0"/>
        <w:autoSpaceDN w:val="0"/>
        <w:adjustRightInd w:val="0"/>
        <w:spacing w:line="260" w:lineRule="exact"/>
        <w:jc w:val="both"/>
        <w:rPr>
          <w:rFonts w:eastAsia="Times New Roman"/>
          <w:snapToGrid w:val="0"/>
          <w:szCs w:val="22"/>
          <w:u w:val="single"/>
          <w:lang w:eastAsia="en-US"/>
        </w:rPr>
      </w:pPr>
      <w:r w:rsidRPr="00A3792F">
        <w:rPr>
          <w:rFonts w:eastAsia="Times New Roman"/>
          <w:noProof/>
          <w:snapToGrid w:val="0"/>
          <w:szCs w:val="22"/>
          <w:u w:val="single"/>
          <w:lang w:eastAsia="en-US"/>
        </w:rPr>
        <w:t>Pranešimas apie įtariamas nepageidaujamas reakcijas</w:t>
      </w:r>
    </w:p>
    <w:p w:rsidR="00586818" w:rsidRPr="00A3792F" w:rsidRDefault="00586818" w:rsidP="00586818">
      <w:pPr>
        <w:pStyle w:val="Pagrindinistekstas"/>
        <w:spacing w:after="0"/>
        <w:rPr>
          <w:szCs w:val="22"/>
        </w:rPr>
      </w:pPr>
      <w:r w:rsidRPr="00A3792F">
        <w:rPr>
          <w:rFonts w:eastAsia="Times New Roman"/>
          <w:noProof/>
          <w:snapToGrid w:val="0"/>
          <w:szCs w:val="22"/>
          <w:lang w:eastAsia="en-US"/>
        </w:rPr>
        <w:t xml:space="preserve">Svarbu pranešti apie įtariamas nepageidaujamas reakcijas, pastebėtas po vaistinio preparato </w:t>
      </w:r>
      <w:r w:rsidR="009D38FF" w:rsidRPr="00A3792F">
        <w:rPr>
          <w:rFonts w:eastAsia="Times New Roman"/>
          <w:noProof/>
          <w:snapToGrid w:val="0"/>
          <w:szCs w:val="22"/>
          <w:lang w:eastAsia="en-US"/>
        </w:rPr>
        <w:t>registracijos</w:t>
      </w:r>
      <w:r w:rsidRPr="00A3792F">
        <w:rPr>
          <w:rFonts w:eastAsia="Times New Roman"/>
          <w:noProof/>
          <w:snapToGrid w:val="0"/>
          <w:szCs w:val="22"/>
          <w:lang w:eastAsia="en-US"/>
        </w:rPr>
        <w:t>, nes tai leidžia nuolat stebėti vaistinio preparato naudos ir rizikos santykį.</w:t>
      </w:r>
      <w:r w:rsidRPr="00A3792F">
        <w:rPr>
          <w:rFonts w:eastAsia="Times New Roman"/>
          <w:snapToGrid w:val="0"/>
          <w:szCs w:val="22"/>
          <w:lang w:eastAsia="en-US"/>
        </w:rPr>
        <w:t xml:space="preserve"> </w:t>
      </w:r>
      <w:r w:rsidR="009D38FF" w:rsidRPr="00A3792F">
        <w:rPr>
          <w:rFonts w:eastAsia="Times New Roman"/>
          <w:snapToGrid w:val="0"/>
          <w:szCs w:val="22"/>
          <w:lang w:eastAsia="en-US"/>
        </w:rPr>
        <w:t xml:space="preserve">Sveikatos priežiūros specialistai turi pranešti apie bet kokias įtariamas nepageidaujamas reakcijas, užpildę interneto svetainėje </w:t>
      </w:r>
      <w:hyperlink r:id="rId9" w:history="1">
        <w:r w:rsidR="00330ECC" w:rsidRPr="00A3792F">
          <w:rPr>
            <w:rStyle w:val="Hipersaitas"/>
            <w:rFonts w:eastAsia="Times New Roman"/>
            <w:snapToGrid w:val="0"/>
            <w:szCs w:val="22"/>
            <w:lang w:eastAsia="en-US"/>
          </w:rPr>
          <w:t>http://www.vvkt.lt/</w:t>
        </w:r>
      </w:hyperlink>
      <w:r w:rsidR="00330ECC" w:rsidRPr="00A3792F">
        <w:rPr>
          <w:rFonts w:eastAsia="Times New Roman"/>
          <w:snapToGrid w:val="0"/>
          <w:szCs w:val="22"/>
          <w:lang w:eastAsia="en-US"/>
        </w:rPr>
        <w:t xml:space="preserve"> </w:t>
      </w:r>
      <w:r w:rsidR="009D38FF" w:rsidRPr="00A3792F">
        <w:rPr>
          <w:rFonts w:eastAsia="Times New Roman"/>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00330ECC" w:rsidRPr="00A3792F">
          <w:rPr>
            <w:rStyle w:val="Hipersaitas"/>
            <w:rFonts w:eastAsia="Times New Roman"/>
            <w:snapToGrid w:val="0"/>
            <w:szCs w:val="22"/>
            <w:lang w:eastAsia="en-US"/>
          </w:rPr>
          <w:t>NepageidaujamaR@vvkt.lt</w:t>
        </w:r>
      </w:hyperlink>
      <w:r w:rsidR="00330ECC" w:rsidRPr="00A3792F">
        <w:rPr>
          <w:rFonts w:eastAsia="Times New Roman"/>
          <w:snapToGrid w:val="0"/>
          <w:szCs w:val="22"/>
          <w:lang w:eastAsia="en-US"/>
        </w:rPr>
        <w:t xml:space="preserve"> </w:t>
      </w:r>
      <w:r w:rsidR="009D38FF" w:rsidRPr="00A3792F">
        <w:rPr>
          <w:rFonts w:eastAsia="Times New Roman"/>
          <w:snapToGrid w:val="0"/>
          <w:szCs w:val="22"/>
          <w:lang w:eastAsia="en-US"/>
        </w:rPr>
        <w:t xml:space="preserve">), per interneto svetainę (adresu </w:t>
      </w:r>
      <w:hyperlink r:id="rId11" w:history="1">
        <w:r w:rsidR="00330ECC" w:rsidRPr="00A3792F">
          <w:rPr>
            <w:rStyle w:val="Hipersaitas"/>
            <w:rFonts w:eastAsia="Times New Roman"/>
            <w:snapToGrid w:val="0"/>
            <w:szCs w:val="22"/>
            <w:lang w:eastAsia="en-US"/>
          </w:rPr>
          <w:t>http://www.vvkt.lt</w:t>
        </w:r>
      </w:hyperlink>
      <w:r w:rsidR="00330ECC" w:rsidRPr="00A3792F">
        <w:rPr>
          <w:rFonts w:eastAsia="Times New Roman"/>
          <w:snapToGrid w:val="0"/>
          <w:szCs w:val="22"/>
          <w:lang w:eastAsia="en-US"/>
        </w:rPr>
        <w:t xml:space="preserve"> </w:t>
      </w:r>
      <w:r w:rsidR="009D38FF" w:rsidRPr="00A3792F">
        <w:rPr>
          <w:rFonts w:eastAsia="Times New Roman"/>
          <w:snapToGrid w:val="0"/>
          <w:szCs w:val="22"/>
          <w:lang w:eastAsia="en-US"/>
        </w:rPr>
        <w:t>).</w:t>
      </w:r>
      <w:r w:rsidR="009D38FF" w:rsidRPr="00A3792F" w:rsidDel="009D38FF">
        <w:rPr>
          <w:szCs w:val="22"/>
        </w:rPr>
        <w:t xml:space="preserve"> </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4.9</w:t>
      </w:r>
      <w:r w:rsidRPr="00A3792F">
        <w:rPr>
          <w:szCs w:val="22"/>
        </w:rPr>
        <w:tab/>
        <w:t>Perdozavimas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Išgėrus per didelę dozę gali pasireikšti hipokalcemija, hipofosfatemija ir atsirasti nepageidaujamų reiškinių viršutinėje virškinimo trakto dalyje, pvz., skrandžio sutrikimas, rėmuo, stemplės, skrandžio uždegimas ar opos. </w:t>
      </w:r>
    </w:p>
    <w:p w:rsidR="00586818" w:rsidRPr="00A3792F" w:rsidRDefault="00586818" w:rsidP="00586818">
      <w:pPr>
        <w:pStyle w:val="Pagrindinistekstas"/>
        <w:spacing w:after="0"/>
        <w:rPr>
          <w:szCs w:val="22"/>
        </w:rPr>
      </w:pPr>
      <w:r w:rsidRPr="00A3792F">
        <w:rPr>
          <w:szCs w:val="22"/>
        </w:rPr>
        <w:t>Apie specifinį alendronato perdozavimo gydymą duomenų nėra. Alendronatui surišti reikia vartoti pieno ir antacidinių vaist</w:t>
      </w:r>
      <w:r w:rsidR="009D38FF" w:rsidRPr="00A3792F">
        <w:rPr>
          <w:szCs w:val="22"/>
        </w:rPr>
        <w:t>inių preparat</w:t>
      </w:r>
      <w:r w:rsidRPr="00A3792F">
        <w:rPr>
          <w:szCs w:val="22"/>
        </w:rPr>
        <w:t>ų. Dėl stemplės dirginimo rizikos negalima sukelti vėmimo, ligonis visą laiką turi būti vertikalioje padėtyje.</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7B3D98">
      <w:pPr>
        <w:pStyle w:val="Antrat2"/>
        <w:keepNext/>
        <w:rPr>
          <w:szCs w:val="22"/>
        </w:rPr>
      </w:pPr>
      <w:r w:rsidRPr="00A3792F">
        <w:rPr>
          <w:szCs w:val="22"/>
        </w:rPr>
        <w:lastRenderedPageBreak/>
        <w:t>5.</w:t>
      </w:r>
      <w:r w:rsidRPr="00A3792F">
        <w:rPr>
          <w:szCs w:val="22"/>
        </w:rPr>
        <w:tab/>
        <w:t>FARMAKOLOGINĖS SAVYBĖS</w:t>
      </w:r>
    </w:p>
    <w:p w:rsidR="00586818" w:rsidRPr="00A3792F" w:rsidRDefault="00586818" w:rsidP="007B3D98">
      <w:pPr>
        <w:pStyle w:val="Pagrindinistekstas"/>
        <w:keepNext/>
        <w:spacing w:after="0"/>
        <w:rPr>
          <w:szCs w:val="22"/>
        </w:rPr>
      </w:pPr>
    </w:p>
    <w:p w:rsidR="00586818" w:rsidRPr="00A3792F" w:rsidRDefault="00586818" w:rsidP="007B3D98">
      <w:pPr>
        <w:pStyle w:val="Antrat3"/>
        <w:keepNext/>
        <w:rPr>
          <w:szCs w:val="22"/>
        </w:rPr>
      </w:pPr>
      <w:r w:rsidRPr="00A3792F">
        <w:rPr>
          <w:szCs w:val="22"/>
        </w:rPr>
        <w:t>5.1</w:t>
      </w:r>
      <w:r w:rsidRPr="00A3792F">
        <w:rPr>
          <w:szCs w:val="22"/>
        </w:rPr>
        <w:tab/>
        <w:t>Farmakodinaminės savybės</w:t>
      </w:r>
    </w:p>
    <w:p w:rsidR="00586818" w:rsidRPr="00A3792F" w:rsidRDefault="00586818" w:rsidP="007B3D98">
      <w:pPr>
        <w:pStyle w:val="Pagrindinistekstas"/>
        <w:keepNext/>
        <w:spacing w:after="0"/>
        <w:rPr>
          <w:szCs w:val="22"/>
        </w:rPr>
      </w:pPr>
    </w:p>
    <w:p w:rsidR="00586818" w:rsidRPr="00A3792F" w:rsidRDefault="00586818" w:rsidP="007B3D98">
      <w:pPr>
        <w:pStyle w:val="Pagrindinistekstas"/>
        <w:keepNext/>
        <w:spacing w:after="0"/>
        <w:rPr>
          <w:szCs w:val="22"/>
        </w:rPr>
      </w:pPr>
      <w:r w:rsidRPr="00A3792F">
        <w:rPr>
          <w:szCs w:val="22"/>
        </w:rPr>
        <w:t>Farmakoterapinė grupė – Vaist</w:t>
      </w:r>
      <w:r w:rsidR="009D38FF" w:rsidRPr="00A3792F">
        <w:rPr>
          <w:szCs w:val="22"/>
        </w:rPr>
        <w:t>iniai preparat</w:t>
      </w:r>
      <w:r w:rsidRPr="00A3792F">
        <w:rPr>
          <w:szCs w:val="22"/>
        </w:rPr>
        <w:t>ai kaulų ligoms gydyti, bisfosfonatai</w:t>
      </w:r>
      <w:r w:rsidR="009D38FF" w:rsidRPr="00A3792F">
        <w:rPr>
          <w:szCs w:val="22"/>
        </w:rPr>
        <w:t>,</w:t>
      </w:r>
      <w:r w:rsidRPr="00A3792F">
        <w:rPr>
          <w:szCs w:val="22"/>
        </w:rPr>
        <w:t xml:space="preserve"> ATC kodas – M05BA04</w:t>
      </w:r>
      <w:r w:rsidR="009D38FF" w:rsidRPr="00A3792F">
        <w:rPr>
          <w:szCs w:val="22"/>
        </w:rPr>
        <w:t>.</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Veiklioji Ostemax medžiaga, natrio alendronato trihidratas, yra bisfosfonatas, kuris slopina osteoklastų sukeliamą kaulų rezorbciją ir nedaro tiesioginio poveikio kaulo formavimuisi. Ikiklinikinių tyrimų duomenimis, alendronatas geriausiai kaupiasi aktyvios kaulinio audinio rezorbcijos vietoje. Vaistinis preparatas slopina osteoklastų aktyvumą, tačiau jų atsiradimui ir prisirišimui prie kaulinio audinio įtakos nedaro. Alendronatu gydomiems pacientams formuojasi normalus kaulas.</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szCs w:val="22"/>
        </w:rPr>
      </w:pPr>
      <w:r w:rsidRPr="00A3792F">
        <w:rPr>
          <w:i/>
          <w:szCs w:val="22"/>
        </w:rPr>
        <w:t>Postmenopauzinės osteoporozės gydymas</w:t>
      </w:r>
      <w:r w:rsidRPr="00A3792F">
        <w:rPr>
          <w:szCs w:val="22"/>
        </w:rPr>
        <w:t xml:space="preserve"> </w:t>
      </w:r>
    </w:p>
    <w:p w:rsidR="00586818" w:rsidRPr="00A3792F" w:rsidRDefault="00586818" w:rsidP="00586818">
      <w:pPr>
        <w:pStyle w:val="Pagrindinistekstas"/>
        <w:spacing w:after="0"/>
        <w:rPr>
          <w:szCs w:val="22"/>
        </w:rPr>
      </w:pPr>
      <w:r w:rsidRPr="00A3792F">
        <w:rPr>
          <w:szCs w:val="22"/>
        </w:rPr>
        <w:t>Osteoporoz</w:t>
      </w:r>
      <w:r w:rsidR="009D38FF" w:rsidRPr="00A3792F">
        <w:rPr>
          <w:szCs w:val="22"/>
        </w:rPr>
        <w:t>ė</w:t>
      </w:r>
      <w:r w:rsidRPr="00A3792F">
        <w:rPr>
          <w:szCs w:val="22"/>
        </w:rPr>
        <w:t xml:space="preserve"> yra būklė, kurios metu stuburo ar šlaunikaulio mineralinis tankis būna du su puse karto mažesnis už sveikų jaunų žmonių kaulų mineralinį tankį arba kurios metu, nepriklausomai nuo kaulų mineralinio tankio, būna per dažnas kaulų lūžinėjimas.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Daugelyje centrų atlikto vienerių metų klinikinio tyrimo, kuriame dalyvavo moterys po menopauzės, sergančios osteoporoze, metu nustatyta, kad gydymas 70 mg alendronato tabletėmis (n = 519) yra toks pat veiksmingas, kaip ir gydymas šio vaistinio preparato 10 mg tabletėmis. Moterims, vartojusioms 70 mg dozę kartą per savaitę, stuburo juosmeninės dalies kaulų mineralinių medžiagų tankis per metus padidėjo 5,1% (95</w:t>
      </w:r>
      <w:r w:rsidR="009D38FF" w:rsidRPr="00A3792F">
        <w:rPr>
          <w:szCs w:val="22"/>
        </w:rPr>
        <w:t xml:space="preserve"> </w:t>
      </w:r>
      <w:r w:rsidRPr="00A3792F">
        <w:rPr>
          <w:szCs w:val="22"/>
        </w:rPr>
        <w:t>% patikimumo intervalas – 4,8; 5,4 %), o moterims, vartojusioms 10 mg vaistinio preparato per parą – 5,4</w:t>
      </w:r>
      <w:r w:rsidR="009D38FF" w:rsidRPr="00A3792F">
        <w:rPr>
          <w:szCs w:val="22"/>
        </w:rPr>
        <w:t xml:space="preserve"> </w:t>
      </w:r>
      <w:r w:rsidRPr="00A3792F">
        <w:rPr>
          <w:szCs w:val="22"/>
        </w:rPr>
        <w:t>% (95</w:t>
      </w:r>
      <w:r w:rsidR="009D38FF" w:rsidRPr="00A3792F">
        <w:rPr>
          <w:szCs w:val="22"/>
        </w:rPr>
        <w:t xml:space="preserve"> </w:t>
      </w:r>
      <w:r w:rsidRPr="00A3792F">
        <w:rPr>
          <w:szCs w:val="22"/>
        </w:rPr>
        <w:t>% patikimumo intervalas – 5,0; 5,8 %). Be to, moterims, vartojusioms 70 mg dozę per savaitę arba 10 mg dozę per parą, vidutinis šlaunikaulio kaklelio mineralinis tankis padidėjo atitinkamai 2,3</w:t>
      </w:r>
      <w:r w:rsidR="009D38FF" w:rsidRPr="00A3792F">
        <w:rPr>
          <w:szCs w:val="22"/>
        </w:rPr>
        <w:t xml:space="preserve"> </w:t>
      </w:r>
      <w:r w:rsidRPr="00A3792F">
        <w:rPr>
          <w:szCs w:val="22"/>
        </w:rPr>
        <w:t>% ir 2,9</w:t>
      </w:r>
      <w:r w:rsidR="009D38FF" w:rsidRPr="00A3792F">
        <w:rPr>
          <w:szCs w:val="22"/>
        </w:rPr>
        <w:t xml:space="preserve"> </w:t>
      </w:r>
      <w:r w:rsidRPr="00A3792F">
        <w:rPr>
          <w:szCs w:val="22"/>
        </w:rPr>
        <w:t>%, bendras vidutinis šlaunikaulio mineralinis tankis – 2,9</w:t>
      </w:r>
      <w:r w:rsidR="009D38FF" w:rsidRPr="00A3792F">
        <w:rPr>
          <w:szCs w:val="22"/>
        </w:rPr>
        <w:t xml:space="preserve"> </w:t>
      </w:r>
      <w:r w:rsidRPr="00A3792F">
        <w:rPr>
          <w:szCs w:val="22"/>
        </w:rPr>
        <w:t>% ir 3,1</w:t>
      </w:r>
      <w:r w:rsidR="009D38FF" w:rsidRPr="00A3792F">
        <w:rPr>
          <w:szCs w:val="22"/>
        </w:rPr>
        <w:t xml:space="preserve"> </w:t>
      </w:r>
      <w:r w:rsidRPr="00A3792F">
        <w:rPr>
          <w:szCs w:val="22"/>
        </w:rPr>
        <w:t>%. Abiejų šių grupių moterims kaulų mineralinis tankis panašiai padidėjo ir kitose skeleto vietose.</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Alendronato poveikis moterų po menopauzės kaulų masei ir lūžių dažnumui nustatytas dviejų labai panašių pirminio efektyvumo klinikinių tyrimų (n – 994) bei </w:t>
      </w:r>
      <w:r w:rsidRPr="00A3792F">
        <w:rPr>
          <w:i/>
          <w:szCs w:val="22"/>
        </w:rPr>
        <w:t>Fracture Intervention Trial (FIT)</w:t>
      </w:r>
      <w:r w:rsidRPr="00A3792F">
        <w:rPr>
          <w:szCs w:val="22"/>
        </w:rPr>
        <w:t xml:space="preserve"> klinikinio tyrimo (n – 6,459), metu.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Pirminio efektyvumo tyrimo duomenimis, vartojant 10 mg alendronato paros dozę po 3 metų vidutinis stuburo, šlaunikaulio kaklelio ir gumburo mineralinis tankis padidėja, palyginti su placebu, atitinkamai 8,8 %, 5,9 % ir 7,8 %. Be to, reikšmingai padidėja viso kūno kaulų mineralinis tankis. Nustatyta, kad, pacientėms vartojusioms alendrono rūgšties, 48 % sumažėjo stuburo lūžių: vienas ar daugiau stuburo lūžių buvo 3,2 % moterų, vartojusių alendrono rūgšties ir 6,2 % moterų, kurios vartojo placebą. Pratęsus šį tyrimą dar dvejus metus nustatyta, kad stuburo ir šlaunikaulio gumburo mineralinis tankis toliau didėjo, o šlaunikaulio kaklelio bei viso kūno mineralinis tankis nepakito.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FIT klinikinis tyrimas apibendrina dviejų placebu kontroliuojamų klinikinių tyrimų, kurių metu moterys dvejus metus vartojo 5 mg alendronato paros dozę ir po to vienerius ar dvejus metus 10 mg alendronato dozę.</w:t>
      </w:r>
    </w:p>
    <w:p w:rsidR="00586818" w:rsidRPr="00A3792F" w:rsidRDefault="00586818" w:rsidP="00586818">
      <w:pPr>
        <w:pStyle w:val="Pagrindinistekstas"/>
        <w:numPr>
          <w:ilvl w:val="0"/>
          <w:numId w:val="4"/>
        </w:numPr>
        <w:tabs>
          <w:tab w:val="num" w:pos="567"/>
        </w:tabs>
        <w:spacing w:after="0"/>
        <w:ind w:left="567" w:hanging="567"/>
        <w:rPr>
          <w:szCs w:val="22"/>
        </w:rPr>
      </w:pPr>
      <w:r w:rsidRPr="00A3792F">
        <w:rPr>
          <w:i/>
          <w:szCs w:val="22"/>
        </w:rPr>
        <w:t>FIT I</w:t>
      </w:r>
      <w:r w:rsidRPr="00A3792F">
        <w:rPr>
          <w:szCs w:val="22"/>
        </w:rPr>
        <w:t>. Šis klinikinis tyrimas truko 3 metus. Jame dalyvavo 2027 pacientės, kurioms prieš tyrimą buvo bent vienas kompresinis stuburo slankstelio kūno lūžis. Tyrimo metu nustatyta, kad vartojant vaistinio preparato kasdien, ≥1 naujų stuburo slankstelių lūžių dažnumas sumažėjo 47 % (7,9 % vartojant alendronato ir 15 % - placebo). Be to, nustatyta, kad statistiškai reikšmingai sumažėjo šlaunikaulio lūžių atvejų (lūžių buvo atitinkamai 1,1 % ir 2,2 %, dažnumas sumažėjo 51 %).</w:t>
      </w:r>
    </w:p>
    <w:p w:rsidR="00586818" w:rsidRPr="00A3792F" w:rsidRDefault="00586818" w:rsidP="00586818">
      <w:pPr>
        <w:pStyle w:val="Pagrindinistekstas"/>
        <w:numPr>
          <w:ilvl w:val="0"/>
          <w:numId w:val="4"/>
        </w:numPr>
        <w:tabs>
          <w:tab w:val="num" w:pos="567"/>
        </w:tabs>
        <w:spacing w:after="0"/>
        <w:ind w:left="567" w:hanging="567"/>
        <w:rPr>
          <w:szCs w:val="22"/>
        </w:rPr>
      </w:pPr>
      <w:r w:rsidRPr="00A3792F">
        <w:rPr>
          <w:i/>
          <w:szCs w:val="22"/>
        </w:rPr>
        <w:t>FIT II</w:t>
      </w:r>
      <w:r w:rsidRPr="00A3792F">
        <w:rPr>
          <w:szCs w:val="22"/>
        </w:rPr>
        <w:t>. Klinikinis tyrimas truko 4 metus. Jame dalyvavo 4432 pacientės, kurių kaulų masė buvo maža, bet prieš tyrimą joms nebuvo nė vieno stuburo slankstelio lūžio. Šio tyrimo duomenimis, moterims kurioms yra osteoporozė (37 % pasaulio moterų atitinka minėtus osteoporozės kriterijus), reikšmingai skiriasi lūžių dažnumas: šlaunikaulio (lūžių buvo 1 % alendronato vartojančių moterų ir 2,2 % moterų, kurios vartojo placebo, dažnumas sumažėjo 56 %), ≥1 stuburo slankstelių lūžių (atatinkamai 2,9 % ir 5,8 %, dažnumas sumažėjo 50 %).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u w:val="single"/>
        </w:rPr>
      </w:pPr>
      <w:r w:rsidRPr="00A3792F">
        <w:rPr>
          <w:szCs w:val="22"/>
          <w:u w:val="single"/>
        </w:rPr>
        <w:t>Vaikų populiacija</w:t>
      </w:r>
    </w:p>
    <w:p w:rsidR="00586818" w:rsidRPr="00A3792F" w:rsidRDefault="00586818" w:rsidP="00586818">
      <w:pPr>
        <w:pStyle w:val="Pagrindinistekstas"/>
        <w:spacing w:after="0"/>
        <w:rPr>
          <w:szCs w:val="22"/>
        </w:rPr>
      </w:pPr>
      <w:r w:rsidRPr="00A3792F">
        <w:rPr>
          <w:szCs w:val="22"/>
        </w:rPr>
        <w:t>Natrio alendronato tyrimų atlikta su mažu kiekiu vaikų, jaunesnių kaip 18 metų, su nebaigtin</w:t>
      </w:r>
      <w:r w:rsidR="003D5D39" w:rsidRPr="00A3792F">
        <w:rPr>
          <w:szCs w:val="22"/>
        </w:rPr>
        <w:t>e</w:t>
      </w:r>
      <w:r w:rsidRPr="00A3792F">
        <w:rPr>
          <w:szCs w:val="22"/>
        </w:rPr>
        <w:t xml:space="preserve"> osteogeneze. Rezultatų, pagrindžiančių natrio alendronato vartojimą vaikams su nebaigtin</w:t>
      </w:r>
      <w:r w:rsidR="003D5D39" w:rsidRPr="00A3792F">
        <w:rPr>
          <w:szCs w:val="22"/>
        </w:rPr>
        <w:t>e</w:t>
      </w:r>
      <w:r w:rsidRPr="00A3792F">
        <w:rPr>
          <w:szCs w:val="22"/>
        </w:rPr>
        <w:t xml:space="preserve"> osteogeneze, nepakanka.</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5.2</w:t>
      </w:r>
      <w:r w:rsidRPr="00A3792F">
        <w:rPr>
          <w:szCs w:val="22"/>
        </w:rPr>
        <w:tab/>
        <w:t>Farmakokinetinės savybės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i/>
          <w:szCs w:val="22"/>
        </w:rPr>
      </w:pPr>
      <w:r w:rsidRPr="00A3792F">
        <w:rPr>
          <w:i/>
          <w:szCs w:val="22"/>
        </w:rPr>
        <w:t>Absorbcija</w:t>
      </w:r>
    </w:p>
    <w:p w:rsidR="00586818" w:rsidRPr="00A3792F" w:rsidRDefault="00586818" w:rsidP="00586818">
      <w:pPr>
        <w:pStyle w:val="Pagrindinistekstas"/>
        <w:spacing w:after="0"/>
        <w:rPr>
          <w:szCs w:val="22"/>
        </w:rPr>
      </w:pPr>
      <w:r w:rsidRPr="00A3792F">
        <w:rPr>
          <w:szCs w:val="22"/>
        </w:rPr>
        <w:t>Išgėrus iš ryto nevalgius, t. y. dvi valandas prieš standartizuotus pusryčius, nuo 5 mg iki 70 mg alendronato, šios medžiagos vidutinis biologinis prieinamumas, palyginti su į veną suleista doze, moterims buvo 0,64 %. Vaistinio preparato išgėrus valandą arba pusė valandos prieš standartizuotus pusryčius, jo biologinis prieinamumas sumažėja ir būna atitinkamai 0,46</w:t>
      </w:r>
      <w:r w:rsidR="003D5D39" w:rsidRPr="00A3792F">
        <w:rPr>
          <w:szCs w:val="22"/>
        </w:rPr>
        <w:t xml:space="preserve"> </w:t>
      </w:r>
      <w:r w:rsidRPr="00A3792F">
        <w:rPr>
          <w:szCs w:val="22"/>
        </w:rPr>
        <w:t>% ir 0,39</w:t>
      </w:r>
      <w:r w:rsidR="003D5D39" w:rsidRPr="00A3792F">
        <w:rPr>
          <w:szCs w:val="22"/>
        </w:rPr>
        <w:t xml:space="preserve"> </w:t>
      </w:r>
      <w:r w:rsidRPr="00A3792F">
        <w:rPr>
          <w:szCs w:val="22"/>
        </w:rPr>
        <w:t xml:space="preserve">%. Osteoporozės tyrimų metu alendronatas buvo veiksmingas, išgėrus jo mažiausiai 30 minučių prieš pirmąjį tos dienos valgymą arba gėrimą.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Išgėrus vaistinio preparato standartizuotų pusryčių metu ar po jų praėjus iki dviejų valandų, jo biologinis prieinamumas buvo nereikšmingas. Kartu vartojama kava arba apelsinų sultys alendronato biologinį prieinamumą sumažino maždaug 60 %.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 xml:space="preserve">Sveikų žmonių, kurie penkias dienas tris kartus per parą gėrė po 20 mg prednizolono, biologinis alendronato prieinamumas organizme reikšmingai nepakito (padidėjo vidutiniškai 20 – 44 </w:t>
      </w:r>
      <w:r w:rsidRPr="00A3792F">
        <w:rPr>
          <w:szCs w:val="22"/>
        </w:rPr>
        <w:sym w:font="Symbol" w:char="F025"/>
      </w:r>
      <w:r w:rsidRPr="00A3792F">
        <w:rPr>
          <w:szCs w:val="22"/>
        </w:rPr>
        <w:t>).</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i/>
          <w:szCs w:val="22"/>
        </w:rPr>
      </w:pPr>
      <w:r w:rsidRPr="00A3792F">
        <w:rPr>
          <w:i/>
          <w:szCs w:val="22"/>
        </w:rPr>
        <w:t>Pasiskirstymas</w:t>
      </w:r>
    </w:p>
    <w:p w:rsidR="00586818" w:rsidRPr="00A3792F" w:rsidRDefault="00586818" w:rsidP="00586818">
      <w:pPr>
        <w:pStyle w:val="Pagrindinistekstas"/>
        <w:spacing w:after="0"/>
        <w:rPr>
          <w:szCs w:val="22"/>
        </w:rPr>
      </w:pPr>
      <w:r w:rsidRPr="00A3792F">
        <w:rPr>
          <w:szCs w:val="22"/>
        </w:rPr>
        <w:t>Tiriant alendronato pasiskirstymą, žiurkėms į veną buvo leidžiama 1 mg/kg kūno svorio dozė. Nustatyta, kad alendronatas trumpam patenka į minkštuosius audinius, tačiau vėliau greitai prasiskverbia į kaulinį audinį arba išsiskiria iš organizmo su šlapimu. Nusistovėjus pusiausvyrinei koncentracija kraujyje vidutinis tariamasis preparato pasiskirstymo tūris žmogaus organizme, išskyrus kaulus, yra 28 litrai. Išgėrus gydomąją dozę, kraujo plazmoje atsiradusi alendronato koncentracija būna mažesnė už tokią, kurią įmanoma nustatyti, t. y. 5 ng/ml. Žmogaus kraujo plazmoje maždaug 78 </w:t>
      </w:r>
      <w:r w:rsidRPr="00A3792F">
        <w:rPr>
          <w:szCs w:val="22"/>
        </w:rPr>
        <w:sym w:font="Symbol" w:char="F025"/>
      </w:r>
      <w:r w:rsidRPr="00A3792F">
        <w:rPr>
          <w:szCs w:val="22"/>
        </w:rPr>
        <w:t xml:space="preserve"> vaistinio preparato prisijungia prie baltymų. </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szCs w:val="22"/>
        </w:rPr>
      </w:pPr>
      <w:r w:rsidRPr="00A3792F">
        <w:rPr>
          <w:i/>
          <w:szCs w:val="22"/>
        </w:rPr>
        <w:t>Biotransformacija</w:t>
      </w:r>
      <w:r w:rsidRPr="00A3792F">
        <w:rPr>
          <w:szCs w:val="22"/>
        </w:rPr>
        <w:t xml:space="preserve"> </w:t>
      </w:r>
    </w:p>
    <w:p w:rsidR="00586818" w:rsidRPr="00A3792F" w:rsidRDefault="00586818" w:rsidP="00586818">
      <w:pPr>
        <w:pStyle w:val="Pagrindinistekstas"/>
        <w:spacing w:after="0"/>
        <w:rPr>
          <w:szCs w:val="22"/>
        </w:rPr>
      </w:pPr>
      <w:r w:rsidRPr="00A3792F">
        <w:rPr>
          <w:szCs w:val="22"/>
        </w:rPr>
        <w:t xml:space="preserve">Duomenų, kad alendronatas yra metabolizuojamas gyvūnų arba žmogaus organizme, nėra. </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szCs w:val="22"/>
        </w:rPr>
      </w:pPr>
      <w:r w:rsidRPr="00A3792F">
        <w:rPr>
          <w:i/>
          <w:szCs w:val="22"/>
        </w:rPr>
        <w:t>Eliminacija</w:t>
      </w:r>
    </w:p>
    <w:p w:rsidR="00586818" w:rsidRPr="00A3792F" w:rsidRDefault="00586818" w:rsidP="00586818">
      <w:pPr>
        <w:pStyle w:val="Pagrindinistekstas"/>
        <w:spacing w:after="0"/>
        <w:rPr>
          <w:szCs w:val="22"/>
        </w:rPr>
      </w:pPr>
      <w:r w:rsidRPr="00A3792F">
        <w:rPr>
          <w:szCs w:val="22"/>
        </w:rPr>
        <w:t xml:space="preserve">Į veną suleidus </w:t>
      </w:r>
      <w:r w:rsidRPr="00A3792F">
        <w:rPr>
          <w:szCs w:val="22"/>
          <w:vertAlign w:val="superscript"/>
        </w:rPr>
        <w:t>14</w:t>
      </w:r>
      <w:r w:rsidRPr="00A3792F">
        <w:rPr>
          <w:szCs w:val="22"/>
        </w:rPr>
        <w:t xml:space="preserve">C žymėto alendronato vienkartinę dozę, per 72 valandas maždaug 50 </w:t>
      </w:r>
      <w:r w:rsidRPr="00A3792F">
        <w:rPr>
          <w:szCs w:val="22"/>
        </w:rPr>
        <w:sym w:font="Symbol" w:char="F025"/>
      </w:r>
      <w:r w:rsidRPr="00A3792F">
        <w:rPr>
          <w:szCs w:val="22"/>
        </w:rPr>
        <w:t xml:space="preserve"> radioaktyviosios medžiagos atsiranda šlapime, išmatose jos būna labai nedaug arba visai nebūna. Į veną suleidus 10 mg vienkartinę dozę, alendronato inkstų klirensas yra 71 ml/min., per šešias valandas vaistinio preparato koncentracija kraujo plazmoje sumažėja daugiau kaip 95 </w:t>
      </w:r>
      <w:r w:rsidRPr="00A3792F">
        <w:rPr>
          <w:szCs w:val="22"/>
        </w:rPr>
        <w:sym w:font="Symbol" w:char="F025"/>
      </w:r>
      <w:r w:rsidRPr="00A3792F">
        <w:rPr>
          <w:szCs w:val="22"/>
        </w:rPr>
        <w:t xml:space="preserve">. Galutinis pusinės eliminacijos iš žmogaus organizmo periodas trunka daugiau kaip 10 metų, vadinasi, vaistinis preparatas atsipalaiduoja iš kaulinio audinio lėtai. Alendronatą iš žiurkių organizmo šalina ne nuo rūgščių ar šarmų priklausoma šalinimo sistema, todėl kitokių medžiagų, išskiriamų iš žmogaus organizmo minėta transporto sistema, šalinimas tikriausiai nepakinta. </w:t>
      </w:r>
    </w:p>
    <w:p w:rsidR="00586818" w:rsidRPr="00A3792F" w:rsidRDefault="00586818" w:rsidP="00586818">
      <w:pPr>
        <w:pStyle w:val="Pagrindinistekstas"/>
        <w:spacing w:after="0"/>
        <w:rPr>
          <w:i/>
          <w:szCs w:val="22"/>
        </w:rPr>
      </w:pPr>
    </w:p>
    <w:p w:rsidR="00586818" w:rsidRPr="00A3792F" w:rsidRDefault="00586818" w:rsidP="00586818">
      <w:pPr>
        <w:pStyle w:val="Pagrindinistekstas"/>
        <w:spacing w:after="0"/>
        <w:rPr>
          <w:i/>
          <w:szCs w:val="22"/>
        </w:rPr>
      </w:pPr>
      <w:r w:rsidRPr="00A3792F">
        <w:rPr>
          <w:i/>
          <w:szCs w:val="22"/>
        </w:rPr>
        <w:t>Ypatingos populiacijos</w:t>
      </w:r>
    </w:p>
    <w:p w:rsidR="00586818" w:rsidRPr="00A3792F" w:rsidRDefault="00586818" w:rsidP="00586818">
      <w:pPr>
        <w:pStyle w:val="Pagrindinistekstas"/>
        <w:spacing w:after="0"/>
        <w:rPr>
          <w:szCs w:val="22"/>
        </w:rPr>
      </w:pPr>
      <w:r w:rsidRPr="00A3792F">
        <w:rPr>
          <w:szCs w:val="22"/>
        </w:rPr>
        <w:t>Ikiklinikinių tyrimų metu nustatyta, kad vaistinio preparato dalis, kuri nesikaupia kauliniame audinyje, greitai šalinama iš organizmo su šlapimu. Gyvūnams į veną ilgai leidžiant ne didesnę kaip 35 mg/ kg kūno svorio dozę, t. y. tokią dozę, kurią vartojant vaistinis preparatas organizme kaupiasi, kaulinio audinio įsotinimo nepastebėta. Nors klinikinių duomenų nėra, manoma, kad pacientams, kurių inkstų veikla yra sutrikusi, pro inkstus su šlapimu vaistinio preparato šalinama mažiau. Tokiems žmonėms gali šiek tiek padidėti vaistinio preparato kaupimasis kauliniame audinyje (žr. 4.2 skyrių).</w:t>
      </w:r>
    </w:p>
    <w:p w:rsidR="00586818" w:rsidRPr="00A3792F" w:rsidRDefault="00586818" w:rsidP="00586818">
      <w:pPr>
        <w:pStyle w:val="Pagrindinistekstas"/>
        <w:spacing w:after="0"/>
        <w:rPr>
          <w:szCs w:val="22"/>
        </w:rPr>
      </w:pPr>
    </w:p>
    <w:p w:rsidR="00586818" w:rsidRPr="00A3792F" w:rsidRDefault="00586818" w:rsidP="007B3D98">
      <w:pPr>
        <w:pStyle w:val="Antrat3"/>
        <w:keepNext/>
        <w:rPr>
          <w:szCs w:val="22"/>
        </w:rPr>
      </w:pPr>
      <w:r w:rsidRPr="00A3792F">
        <w:rPr>
          <w:szCs w:val="22"/>
        </w:rPr>
        <w:lastRenderedPageBreak/>
        <w:t>5.3</w:t>
      </w:r>
      <w:r w:rsidRPr="00A3792F">
        <w:rPr>
          <w:szCs w:val="22"/>
        </w:rPr>
        <w:tab/>
        <w:t>Ikiklinikinių saugumo tyrimų duomenys</w:t>
      </w:r>
    </w:p>
    <w:p w:rsidR="00586818" w:rsidRPr="00A3792F" w:rsidRDefault="00586818" w:rsidP="007B3D98">
      <w:pPr>
        <w:pStyle w:val="Pagrindinistekstas"/>
        <w:keepNext/>
        <w:spacing w:after="0"/>
        <w:rPr>
          <w:szCs w:val="22"/>
        </w:rPr>
      </w:pPr>
    </w:p>
    <w:p w:rsidR="00586818" w:rsidRPr="00A3792F" w:rsidRDefault="00586818" w:rsidP="007B3D98">
      <w:pPr>
        <w:pStyle w:val="Pagrindinistekstas"/>
        <w:keepNext/>
        <w:spacing w:after="0"/>
        <w:rPr>
          <w:szCs w:val="22"/>
        </w:rPr>
      </w:pPr>
      <w:r w:rsidRPr="00A3792F">
        <w:rPr>
          <w:szCs w:val="22"/>
        </w:rPr>
        <w:t xml:space="preserve">Įprastų farmakologinio saugumo, kartotinių dozių toksiškumo, genotoksiškumo, galimo kancerogeniškumo, ir vystymuisi ikiklinikinių tyrimų duomenys specifinio pavojaus žmogui nerodo. </w:t>
      </w:r>
    </w:p>
    <w:p w:rsidR="00586818" w:rsidRPr="00A3792F" w:rsidRDefault="00586818" w:rsidP="00586818">
      <w:pPr>
        <w:pStyle w:val="Pagrindinistekstas"/>
        <w:spacing w:after="0"/>
        <w:rPr>
          <w:szCs w:val="22"/>
        </w:rPr>
      </w:pPr>
      <w:r w:rsidRPr="00A3792F">
        <w:rPr>
          <w:szCs w:val="22"/>
        </w:rPr>
        <w:t>Tyrimo su žiurkėmis metu pastebėta, kad tarp alendronato vartojimo vaikingumo metu ir gimdymo veiklos sutrikimo jauniklių atsivedimo metu, susijusio su hipokalcemija, yra priklausomumas. Žiurkių, kurios vaikingumo metu vartojo dideles alendronato dozes, atsivestiems jaunikliams dažniau pastebėtas nepasibaigęs kaulėjimas. Ar minėti pokyčiai reikšmingi žmogui, nežinoma.</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Antrat2"/>
        <w:rPr>
          <w:szCs w:val="22"/>
        </w:rPr>
      </w:pPr>
      <w:r w:rsidRPr="00A3792F">
        <w:rPr>
          <w:szCs w:val="22"/>
        </w:rPr>
        <w:t>6.</w:t>
      </w:r>
      <w:r w:rsidRPr="00A3792F">
        <w:rPr>
          <w:szCs w:val="22"/>
        </w:rPr>
        <w:tab/>
        <w:t>FARMACINĖ INFORMACIJA</w:t>
      </w:r>
    </w:p>
    <w:p w:rsidR="00586818" w:rsidRPr="00A3792F" w:rsidRDefault="00586818" w:rsidP="00586818">
      <w:pPr>
        <w:pStyle w:val="Pagrindinistekstas"/>
        <w:spacing w:after="0"/>
        <w:rPr>
          <w:b/>
          <w:szCs w:val="22"/>
        </w:rPr>
      </w:pPr>
    </w:p>
    <w:p w:rsidR="00586818" w:rsidRPr="00A3792F" w:rsidRDefault="00586818" w:rsidP="00586818">
      <w:pPr>
        <w:pStyle w:val="Antrat3"/>
        <w:rPr>
          <w:szCs w:val="22"/>
        </w:rPr>
      </w:pPr>
      <w:r w:rsidRPr="00A3792F">
        <w:rPr>
          <w:szCs w:val="22"/>
        </w:rPr>
        <w:t>6.1</w:t>
      </w:r>
      <w:r w:rsidRPr="00A3792F">
        <w:rPr>
          <w:szCs w:val="22"/>
        </w:rPr>
        <w:tab/>
        <w:t>Pagalbinių medžiagų sąrašas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Laktozė monohidratas</w:t>
      </w:r>
    </w:p>
    <w:p w:rsidR="00586818" w:rsidRPr="00A3792F" w:rsidRDefault="00586818" w:rsidP="00586818">
      <w:pPr>
        <w:pStyle w:val="Pagrindinistekstas"/>
        <w:spacing w:after="0"/>
        <w:rPr>
          <w:szCs w:val="22"/>
        </w:rPr>
      </w:pPr>
      <w:r w:rsidRPr="00A3792F">
        <w:rPr>
          <w:szCs w:val="22"/>
        </w:rPr>
        <w:t xml:space="preserve">Mikrokristalinė celiuliozė (E460) </w:t>
      </w:r>
    </w:p>
    <w:p w:rsidR="00586818" w:rsidRPr="00A3792F" w:rsidRDefault="00586818" w:rsidP="00586818">
      <w:pPr>
        <w:pStyle w:val="Pagrindinistekstas"/>
        <w:spacing w:after="0"/>
        <w:rPr>
          <w:szCs w:val="22"/>
        </w:rPr>
      </w:pPr>
      <w:r w:rsidRPr="00A3792F">
        <w:rPr>
          <w:szCs w:val="22"/>
        </w:rPr>
        <w:t xml:space="preserve">Kroskarmeliozės natrio druska (E466) </w:t>
      </w:r>
    </w:p>
    <w:p w:rsidR="00586818" w:rsidRPr="00A3792F" w:rsidRDefault="00586818" w:rsidP="00586818">
      <w:pPr>
        <w:pStyle w:val="Pagrindinistekstas"/>
        <w:spacing w:after="0"/>
        <w:rPr>
          <w:szCs w:val="22"/>
        </w:rPr>
      </w:pPr>
      <w:r w:rsidRPr="00A3792F">
        <w:rPr>
          <w:szCs w:val="22"/>
        </w:rPr>
        <w:t>Bevandenis koloidinis silicio dioksidas (E551)</w:t>
      </w:r>
    </w:p>
    <w:p w:rsidR="00586818" w:rsidRPr="00A3792F" w:rsidRDefault="00586818" w:rsidP="00586818">
      <w:pPr>
        <w:pStyle w:val="Pagrindinistekstas"/>
        <w:spacing w:after="0"/>
        <w:rPr>
          <w:szCs w:val="22"/>
        </w:rPr>
      </w:pPr>
      <w:r w:rsidRPr="00A3792F">
        <w:rPr>
          <w:szCs w:val="22"/>
        </w:rPr>
        <w:t>Magnio stearatas (E572)</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6.2</w:t>
      </w:r>
      <w:r w:rsidRPr="00A3792F">
        <w:rPr>
          <w:szCs w:val="22"/>
        </w:rPr>
        <w:tab/>
        <w:t>Nesuderinamumas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Duomenys nebūtini.</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6.3</w:t>
      </w:r>
      <w:r w:rsidRPr="00A3792F">
        <w:rPr>
          <w:szCs w:val="22"/>
        </w:rPr>
        <w:tab/>
        <w:t>Tinkamumo laikas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2 metai.</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6.4</w:t>
      </w:r>
      <w:r w:rsidRPr="00A3792F">
        <w:rPr>
          <w:szCs w:val="22"/>
        </w:rPr>
        <w:tab/>
        <w:t>Specialios laikymo sąlygos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Šiam vaistiniam preparatui specialių laikymo sąlygų nereikia.</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6.5</w:t>
      </w:r>
      <w:r w:rsidRPr="00A3792F">
        <w:rPr>
          <w:szCs w:val="22"/>
        </w:rPr>
        <w:tab/>
        <w:t>Talpyklės pobūdis ir jos turinys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PVC ir aliuminio folijos lizdinė plokštelė, kurioje yra 4 tabletės.</w:t>
      </w:r>
    </w:p>
    <w:p w:rsidR="00586818" w:rsidRPr="00A3792F" w:rsidRDefault="00586818" w:rsidP="00586818">
      <w:pPr>
        <w:pStyle w:val="Pagrindinistekstas"/>
        <w:spacing w:after="0"/>
        <w:rPr>
          <w:szCs w:val="22"/>
        </w:rPr>
      </w:pPr>
      <w:r w:rsidRPr="00A3792F">
        <w:rPr>
          <w:szCs w:val="22"/>
        </w:rPr>
        <w:t>Kartono dėžutėje yra 4 tabletės ir pakuotės lapelis.</w:t>
      </w:r>
    </w:p>
    <w:p w:rsidR="00586818" w:rsidRPr="00A3792F" w:rsidRDefault="00586818" w:rsidP="00586818">
      <w:pPr>
        <w:pStyle w:val="Pagrindinistekstas"/>
        <w:spacing w:after="0"/>
        <w:rPr>
          <w:szCs w:val="22"/>
        </w:rPr>
      </w:pPr>
    </w:p>
    <w:p w:rsidR="00586818" w:rsidRPr="00A3792F" w:rsidRDefault="00586818" w:rsidP="00586818">
      <w:pPr>
        <w:pStyle w:val="Antrat3"/>
        <w:rPr>
          <w:szCs w:val="22"/>
        </w:rPr>
      </w:pPr>
      <w:r w:rsidRPr="00A3792F">
        <w:rPr>
          <w:szCs w:val="22"/>
        </w:rPr>
        <w:t>6.6</w:t>
      </w:r>
      <w:r w:rsidRPr="00A3792F">
        <w:rPr>
          <w:szCs w:val="22"/>
        </w:rPr>
        <w:tab/>
        <w:t xml:space="preserve">Specialūs reikalavimai atliekoms tvarkyti </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Specialių reikalavimų nėra.</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I-1EMEASMCA"/>
      </w:pPr>
      <w:r w:rsidRPr="00A3792F">
        <w:t>7.</w:t>
      </w:r>
      <w:r w:rsidRPr="00A3792F">
        <w:tab/>
      </w:r>
      <w:r w:rsidR="003D5D39" w:rsidRPr="00A3792F">
        <w:t>REGISTRUOTOJAS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Pharmaceutical Works POLPHARMA SA</w:t>
      </w:r>
    </w:p>
    <w:p w:rsidR="00586818" w:rsidRPr="00A3792F" w:rsidRDefault="00586818" w:rsidP="00586818">
      <w:pPr>
        <w:pStyle w:val="Pagrindinistekstas"/>
        <w:spacing w:after="0"/>
        <w:rPr>
          <w:szCs w:val="22"/>
        </w:rPr>
      </w:pPr>
      <w:r w:rsidRPr="00A3792F">
        <w:rPr>
          <w:szCs w:val="22"/>
        </w:rPr>
        <w:t>19 Pelplińska Street, 83-200 Starogard Gdański</w:t>
      </w:r>
    </w:p>
    <w:p w:rsidR="00586818" w:rsidRPr="00A3792F" w:rsidRDefault="00586818" w:rsidP="00586818">
      <w:pPr>
        <w:pStyle w:val="Pagrindinistekstas"/>
        <w:spacing w:after="0"/>
        <w:rPr>
          <w:szCs w:val="22"/>
        </w:rPr>
      </w:pPr>
      <w:r w:rsidRPr="00A3792F">
        <w:rPr>
          <w:szCs w:val="22"/>
        </w:rPr>
        <w:t>Lenkija</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I-1EMEASMCA"/>
      </w:pPr>
      <w:r w:rsidRPr="00A3792F">
        <w:t>8.</w:t>
      </w:r>
      <w:r w:rsidRPr="00A3792F">
        <w:tab/>
      </w:r>
      <w:r w:rsidR="003D5D39" w:rsidRPr="00A3792F">
        <w:t xml:space="preserve">REGISTRACIJOS </w:t>
      </w:r>
      <w:r w:rsidRPr="00A3792F">
        <w:t>PAŽYMĖJIMO NUMERIS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LT/1/08/1134/001</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7B3D98">
      <w:pPr>
        <w:pStyle w:val="Antrat2"/>
        <w:keepNext/>
        <w:rPr>
          <w:szCs w:val="22"/>
        </w:rPr>
      </w:pPr>
      <w:r w:rsidRPr="00A3792F">
        <w:rPr>
          <w:szCs w:val="22"/>
        </w:rPr>
        <w:lastRenderedPageBreak/>
        <w:t>9.</w:t>
      </w:r>
      <w:r w:rsidRPr="00A3792F">
        <w:rPr>
          <w:szCs w:val="22"/>
        </w:rPr>
        <w:tab/>
      </w:r>
      <w:r w:rsidR="003D5D39" w:rsidRPr="00A3792F">
        <w:rPr>
          <w:szCs w:val="22"/>
        </w:rPr>
        <w:t>REGISTRAVIMO</w:t>
      </w:r>
      <w:r w:rsidRPr="00A3792F">
        <w:rPr>
          <w:szCs w:val="22"/>
        </w:rPr>
        <w:t xml:space="preserve"> / </w:t>
      </w:r>
      <w:r w:rsidR="003D5D39" w:rsidRPr="00A3792F">
        <w:rPr>
          <w:szCs w:val="22"/>
        </w:rPr>
        <w:t xml:space="preserve">PERREGISTRAVIMO </w:t>
      </w:r>
      <w:r w:rsidRPr="00A3792F">
        <w:rPr>
          <w:szCs w:val="22"/>
        </w:rPr>
        <w:t xml:space="preserve">DATA </w:t>
      </w:r>
    </w:p>
    <w:p w:rsidR="00586818" w:rsidRPr="00A3792F" w:rsidRDefault="00586818" w:rsidP="007B3D98">
      <w:pPr>
        <w:pStyle w:val="Pagrindinistekstas"/>
        <w:keepNext/>
        <w:spacing w:after="0"/>
        <w:rPr>
          <w:szCs w:val="22"/>
        </w:rPr>
      </w:pPr>
    </w:p>
    <w:p w:rsidR="00586818" w:rsidRPr="00A3792F" w:rsidRDefault="003D5D39" w:rsidP="007B3D98">
      <w:pPr>
        <w:pStyle w:val="Pagrindinistekstas"/>
        <w:keepNext/>
        <w:spacing w:after="0"/>
        <w:rPr>
          <w:szCs w:val="22"/>
        </w:rPr>
      </w:pPr>
      <w:r w:rsidRPr="00A3792F">
        <w:rPr>
          <w:szCs w:val="22"/>
        </w:rPr>
        <w:t>Registravimo data</w:t>
      </w:r>
      <w:r w:rsidR="00586818" w:rsidRPr="00A3792F">
        <w:rPr>
          <w:szCs w:val="22"/>
        </w:rPr>
        <w:t xml:space="preserve"> 2008 m. gegužės  12 d.</w:t>
      </w:r>
    </w:p>
    <w:p w:rsidR="00586818" w:rsidRPr="00A3792F" w:rsidRDefault="003D5D39" w:rsidP="00586818">
      <w:pPr>
        <w:ind w:left="567" w:hanging="567"/>
        <w:rPr>
          <w:rFonts w:eastAsia="Times New Roman"/>
          <w:szCs w:val="22"/>
          <w:lang w:eastAsia="en-US"/>
        </w:rPr>
      </w:pPr>
      <w:r w:rsidRPr="00A3792F">
        <w:rPr>
          <w:rFonts w:eastAsia="Times New Roman"/>
          <w:szCs w:val="22"/>
          <w:lang w:eastAsia="en-US"/>
        </w:rPr>
        <w:t>Paskutinio perregistravimo data</w:t>
      </w:r>
      <w:r w:rsidR="00586818" w:rsidRPr="00A3792F">
        <w:rPr>
          <w:rFonts w:eastAsia="Times New Roman"/>
          <w:szCs w:val="22"/>
          <w:lang w:eastAsia="en-US"/>
        </w:rPr>
        <w:t xml:space="preserve"> 2013 m. spalio 18 d.</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Antrat2"/>
        <w:rPr>
          <w:szCs w:val="22"/>
        </w:rPr>
      </w:pPr>
      <w:r w:rsidRPr="00A3792F">
        <w:rPr>
          <w:szCs w:val="22"/>
        </w:rPr>
        <w:t>10.</w:t>
      </w:r>
      <w:r w:rsidRPr="00A3792F">
        <w:rPr>
          <w:szCs w:val="22"/>
        </w:rPr>
        <w:tab/>
        <w:t>TEKSTO PERŽIŪROS DATA</w:t>
      </w:r>
    </w:p>
    <w:p w:rsidR="00586818" w:rsidRPr="00A3792F" w:rsidRDefault="00586818" w:rsidP="00586818">
      <w:pPr>
        <w:pStyle w:val="Pagrindinistekstas"/>
        <w:spacing w:after="0"/>
        <w:rPr>
          <w:szCs w:val="22"/>
        </w:rPr>
      </w:pPr>
    </w:p>
    <w:p w:rsidR="00586818" w:rsidRPr="00A3792F" w:rsidRDefault="007B3D98" w:rsidP="00586818">
      <w:pPr>
        <w:pStyle w:val="Pagrindinistekstas"/>
        <w:spacing w:after="0"/>
        <w:rPr>
          <w:szCs w:val="22"/>
        </w:rPr>
      </w:pPr>
      <w:r>
        <w:rPr>
          <w:rFonts w:eastAsia="Times New Roman"/>
          <w:szCs w:val="22"/>
          <w:lang w:eastAsia="en-US"/>
        </w:rPr>
        <w:t>2020 m. gruodžio 15 d.</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t>Išsami informacija apie šį vaistinį preparatą pateikiama Valstybinės vaistų kontrolės tarnybos prie Lietuvos Respublikos sveikatos apsaugos ministerijos tinklalapyje http://www.vvkt.lt</w:t>
      </w:r>
      <w:r w:rsidRPr="00A3792F">
        <w:rPr>
          <w:szCs w:val="22"/>
        </w:rPr>
        <w:br w:type="page"/>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TTEMEASMCA"/>
        <w:rPr>
          <w:rFonts w:ascii="Times New Roman" w:hAnsi="Times New Roman" w:cs="Times New Roman"/>
        </w:rPr>
      </w:pPr>
      <w:bookmarkStart w:id="0" w:name="_Toc129243128"/>
      <w:bookmarkStart w:id="1" w:name="_Toc129243253"/>
      <w:r w:rsidRPr="00A3792F">
        <w:rPr>
          <w:rFonts w:ascii="Times New Roman" w:hAnsi="Times New Roman" w:cs="Times New Roman"/>
        </w:rPr>
        <w:t>II PRIEDAS</w:t>
      </w:r>
      <w:bookmarkEnd w:id="0"/>
      <w:bookmarkEnd w:id="1"/>
    </w:p>
    <w:p w:rsidR="00586818" w:rsidRPr="00A3792F" w:rsidRDefault="00586818" w:rsidP="00586818">
      <w:pPr>
        <w:pStyle w:val="TTEMEASMCA"/>
        <w:rPr>
          <w:rFonts w:ascii="Times New Roman" w:hAnsi="Times New Roman" w:cs="Times New Roman"/>
        </w:rPr>
      </w:pPr>
    </w:p>
    <w:p w:rsidR="00586818" w:rsidRPr="00A3792F" w:rsidRDefault="003D5D39" w:rsidP="00586818">
      <w:pPr>
        <w:pStyle w:val="TTEMEASMCA"/>
        <w:rPr>
          <w:rFonts w:ascii="Times New Roman" w:hAnsi="Times New Roman" w:cs="Times New Roman"/>
        </w:rPr>
      </w:pPr>
      <w:r w:rsidRPr="00A3792F">
        <w:rPr>
          <w:rFonts w:ascii="Times New Roman" w:hAnsi="Times New Roman" w:cs="Times New Roman"/>
        </w:rPr>
        <w:t xml:space="preserve">REGISTRACIJOS </w:t>
      </w:r>
      <w:r w:rsidR="00586818" w:rsidRPr="00A3792F">
        <w:rPr>
          <w:rFonts w:ascii="Times New Roman" w:hAnsi="Times New Roman" w:cs="Times New Roman"/>
        </w:rPr>
        <w:t>SĄLYGOS</w:t>
      </w:r>
    </w:p>
    <w:p w:rsidR="00586818" w:rsidRPr="00A3792F" w:rsidRDefault="00586818" w:rsidP="008E720E">
      <w:pPr>
        <w:pStyle w:val="BTEMEASMCA"/>
        <w:rPr>
          <w:rFonts w:ascii="Times New Roman" w:hAnsi="Times New Roman" w:cs="Times New Roman"/>
        </w:rPr>
      </w:pPr>
    </w:p>
    <w:p w:rsidR="00586818" w:rsidRPr="00A3792F" w:rsidRDefault="00586818" w:rsidP="00586818">
      <w:pPr>
        <w:pStyle w:val="BTAnIIEMEASMCA"/>
        <w:rPr>
          <w:rFonts w:cs="Times New Roman"/>
          <w:highlight w:val="yellow"/>
          <w:lang w:val="lt-LT"/>
        </w:rPr>
      </w:pPr>
      <w:r w:rsidRPr="00A3792F">
        <w:rPr>
          <w:rFonts w:cs="Times New Roman"/>
          <w:lang w:val="lt-LT"/>
        </w:rPr>
        <w:t>A.</w:t>
      </w:r>
      <w:r w:rsidRPr="00A3792F">
        <w:rPr>
          <w:rFonts w:cs="Times New Roman"/>
          <w:lang w:val="lt-LT"/>
        </w:rPr>
        <w:tab/>
        <w:t>GAMINTOJAS (-AI), ATSAKINGAS (-I) UŽ SERIJŲ IŠLEIDIMĄ</w:t>
      </w:r>
    </w:p>
    <w:p w:rsidR="00586818" w:rsidRPr="00A3792F" w:rsidRDefault="00586818" w:rsidP="008E720E">
      <w:pPr>
        <w:pStyle w:val="BTEMEASMCA"/>
        <w:rPr>
          <w:rFonts w:ascii="Times New Roman" w:hAnsi="Times New Roman" w:cs="Times New Roman"/>
          <w:highlight w:val="yellow"/>
        </w:rPr>
      </w:pPr>
    </w:p>
    <w:p w:rsidR="00586818" w:rsidRPr="00A3792F" w:rsidRDefault="00586818" w:rsidP="00586818">
      <w:pPr>
        <w:pStyle w:val="BTAnIIEMEASMCA"/>
        <w:rPr>
          <w:rFonts w:cs="Times New Roman"/>
          <w:lang w:val="lt-LT"/>
        </w:rPr>
      </w:pPr>
      <w:r w:rsidRPr="00A3792F">
        <w:rPr>
          <w:rFonts w:cs="Times New Roman"/>
          <w:lang w:val="lt-LT"/>
        </w:rPr>
        <w:t>B.</w:t>
      </w:r>
      <w:r w:rsidRPr="00A3792F">
        <w:rPr>
          <w:rFonts w:cs="Times New Roman"/>
          <w:lang w:val="lt-LT"/>
        </w:rPr>
        <w:tab/>
        <w:t>TIEKIMO IR VARTOJIMO SĄLYGOS AR APRIBOJIMAI</w:t>
      </w:r>
    </w:p>
    <w:p w:rsidR="00586818" w:rsidRPr="00A3792F" w:rsidRDefault="00586818" w:rsidP="008E720E">
      <w:pPr>
        <w:pStyle w:val="BTEMEASMCA"/>
        <w:rPr>
          <w:rFonts w:ascii="Times New Roman" w:hAnsi="Times New Roman" w:cs="Times New Roman"/>
          <w:highlight w:val="yellow"/>
        </w:rPr>
      </w:pPr>
    </w:p>
    <w:p w:rsidR="00586818" w:rsidRPr="00A3792F" w:rsidRDefault="00586818" w:rsidP="00586818">
      <w:pPr>
        <w:pStyle w:val="Pagrindinistekstas"/>
        <w:spacing w:after="0"/>
        <w:rPr>
          <w:szCs w:val="22"/>
        </w:rPr>
      </w:pPr>
    </w:p>
    <w:p w:rsidR="00586818" w:rsidRPr="00A3792F" w:rsidRDefault="00586818" w:rsidP="00586818">
      <w:pPr>
        <w:pStyle w:val="PI-1EMEASMCA"/>
      </w:pPr>
      <w:r w:rsidRPr="00A3792F">
        <w:rPr>
          <w:b w:val="0"/>
        </w:rPr>
        <w:br w:type="page"/>
      </w:r>
      <w:r w:rsidRPr="00A3792F">
        <w:lastRenderedPageBreak/>
        <w:t>A.</w:t>
      </w:r>
      <w:r w:rsidRPr="00A3792F">
        <w:tab/>
        <w:t>GAMINTOJAS, ATSAKINGAS UŽ SERIJŲ IŠLEIDIMĄ</w:t>
      </w:r>
    </w:p>
    <w:p w:rsidR="00586818" w:rsidRPr="00A3792F" w:rsidRDefault="00586818" w:rsidP="008E720E">
      <w:pPr>
        <w:pStyle w:val="BTEMEASMCA"/>
        <w:rPr>
          <w:rFonts w:ascii="Times New Roman" w:hAnsi="Times New Roman" w:cs="Times New Roman"/>
          <w:highlight w:val="yellow"/>
        </w:rPr>
      </w:pPr>
    </w:p>
    <w:p w:rsidR="00586818" w:rsidRPr="00A3792F" w:rsidRDefault="00586818" w:rsidP="008E720E">
      <w:pPr>
        <w:pStyle w:val="BTuEMEASMCA"/>
        <w:rPr>
          <w:rFonts w:ascii="Times New Roman" w:hAnsi="Times New Roman" w:cs="Times New Roman"/>
        </w:rPr>
      </w:pPr>
      <w:r w:rsidRPr="00A3792F">
        <w:rPr>
          <w:rFonts w:ascii="Times New Roman" w:hAnsi="Times New Roman" w:cs="Times New Roman"/>
        </w:rPr>
        <w:t>Gamintojo, atsakingo už serijų išleidimą, pavadinimas ir adresas</w:t>
      </w:r>
    </w:p>
    <w:p w:rsidR="00586818" w:rsidRPr="00A3792F" w:rsidRDefault="00586818" w:rsidP="008E720E">
      <w:pPr>
        <w:pStyle w:val="BTuEMEASMCA"/>
        <w:rPr>
          <w:rFonts w:ascii="Times New Roman" w:hAnsi="Times New Roman" w:cs="Times New Roman"/>
        </w:rPr>
      </w:pPr>
    </w:p>
    <w:p w:rsidR="00586818" w:rsidRPr="00A3792F" w:rsidRDefault="00586818" w:rsidP="00586818">
      <w:pPr>
        <w:pStyle w:val="Pagrindinistekstas"/>
        <w:spacing w:after="0"/>
        <w:rPr>
          <w:szCs w:val="22"/>
        </w:rPr>
      </w:pPr>
      <w:r w:rsidRPr="00A3792F">
        <w:rPr>
          <w:szCs w:val="22"/>
        </w:rPr>
        <w:t>Pharmaceutical Works Polpharma SA</w:t>
      </w:r>
    </w:p>
    <w:p w:rsidR="00586818" w:rsidRPr="00A3792F" w:rsidRDefault="00586818" w:rsidP="00586818">
      <w:pPr>
        <w:pStyle w:val="Pagrindinistekstas"/>
        <w:spacing w:after="0"/>
        <w:rPr>
          <w:szCs w:val="22"/>
        </w:rPr>
      </w:pPr>
      <w:r w:rsidRPr="00A3792F">
        <w:rPr>
          <w:szCs w:val="22"/>
        </w:rPr>
        <w:t>Ul. Pelplińska 19, 83-200 Starogard Gdański</w:t>
      </w:r>
    </w:p>
    <w:p w:rsidR="00586818" w:rsidRPr="00A3792F" w:rsidRDefault="00586818" w:rsidP="00586818">
      <w:pPr>
        <w:pStyle w:val="Pagrindinistekstas"/>
        <w:spacing w:after="0"/>
        <w:rPr>
          <w:szCs w:val="22"/>
        </w:rPr>
      </w:pPr>
      <w:r w:rsidRPr="00A3792F">
        <w:rPr>
          <w:szCs w:val="22"/>
        </w:rPr>
        <w:t>Lenkija</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I-1EMEASMCA"/>
      </w:pPr>
      <w:bookmarkStart w:id="2" w:name="_Toc129243129"/>
      <w:bookmarkStart w:id="3" w:name="_Toc129243254"/>
      <w:r w:rsidRPr="00A3792F">
        <w:t>B.</w:t>
      </w:r>
      <w:r w:rsidRPr="00A3792F">
        <w:tab/>
        <w:t>TIEKIMO IR VARTOJIMO SĄLYGOS AR APRIBOJIMAI</w:t>
      </w:r>
      <w:bookmarkEnd w:id="2"/>
      <w:bookmarkEnd w:id="3"/>
    </w:p>
    <w:p w:rsidR="00586818" w:rsidRPr="00A3792F" w:rsidRDefault="00586818" w:rsidP="008E720E">
      <w:pPr>
        <w:pStyle w:val="BTEMEASMCA"/>
        <w:rPr>
          <w:rFonts w:ascii="Times New Roman" w:hAnsi="Times New Roman" w:cs="Times New Roman"/>
        </w:rPr>
      </w:pPr>
    </w:p>
    <w:p w:rsidR="00586818" w:rsidRPr="00A3792F" w:rsidRDefault="00586818" w:rsidP="008E720E">
      <w:pPr>
        <w:pStyle w:val="BTEMEASMCA"/>
        <w:rPr>
          <w:rFonts w:ascii="Times New Roman" w:hAnsi="Times New Roman" w:cs="Times New Roman"/>
        </w:rPr>
      </w:pPr>
      <w:r w:rsidRPr="00A3792F">
        <w:rPr>
          <w:rFonts w:ascii="Times New Roman" w:hAnsi="Times New Roman" w:cs="Times New Roman"/>
        </w:rPr>
        <w:t>Receptinis vaistinis preparatas.</w:t>
      </w:r>
    </w:p>
    <w:p w:rsidR="00586818" w:rsidRPr="00A3792F" w:rsidRDefault="00586818" w:rsidP="008E720E">
      <w:pPr>
        <w:pStyle w:val="BTEMEASMCA"/>
        <w:rPr>
          <w:rFonts w:ascii="Times New Roman" w:hAnsi="Times New Roman" w:cs="Times New Roman"/>
          <w:highlight w:val="yellow"/>
        </w:rPr>
      </w:pPr>
    </w:p>
    <w:p w:rsidR="00586818" w:rsidRPr="00A3792F" w:rsidRDefault="00586818">
      <w:pPr>
        <w:pStyle w:val="BTEMEASMCA"/>
        <w:rPr>
          <w:rFonts w:ascii="Times New Roman" w:hAnsi="Times New Roman" w:cs="Times New Roman"/>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r w:rsidRPr="00A3792F">
        <w:rPr>
          <w:szCs w:val="22"/>
        </w:rPr>
        <w:br w:type="page"/>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vadinimas"/>
        <w:rPr>
          <w:szCs w:val="22"/>
        </w:rPr>
      </w:pPr>
      <w:r w:rsidRPr="00A3792F">
        <w:rPr>
          <w:szCs w:val="22"/>
        </w:rPr>
        <w:t>III PRIEDAS</w:t>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jc w:val="center"/>
        <w:rPr>
          <w:b/>
          <w:szCs w:val="22"/>
        </w:rPr>
      </w:pPr>
      <w:r w:rsidRPr="00A3792F">
        <w:rPr>
          <w:b/>
          <w:szCs w:val="22"/>
        </w:rPr>
        <w:t>ŽENKLINIMAS IR PAKUOTĖS LAPELIS</w:t>
      </w:r>
    </w:p>
    <w:p w:rsidR="00586818" w:rsidRPr="00A3792F" w:rsidRDefault="00586818" w:rsidP="00586818">
      <w:pPr>
        <w:pStyle w:val="Pagrindinistekstas"/>
        <w:spacing w:after="0"/>
        <w:rPr>
          <w:szCs w:val="22"/>
        </w:rPr>
      </w:pPr>
      <w:r w:rsidRPr="00A3792F">
        <w:rPr>
          <w:szCs w:val="22"/>
        </w:rPr>
        <w:br w:type="page"/>
      </w: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grindinistekstas"/>
        <w:spacing w:after="0"/>
        <w:rPr>
          <w:szCs w:val="22"/>
        </w:rPr>
      </w:pPr>
    </w:p>
    <w:p w:rsidR="00586818" w:rsidRPr="00A3792F" w:rsidRDefault="00586818" w:rsidP="00586818">
      <w:pPr>
        <w:pStyle w:val="Pavadinimas"/>
        <w:rPr>
          <w:szCs w:val="22"/>
        </w:rPr>
      </w:pPr>
      <w:r w:rsidRPr="00A3792F">
        <w:rPr>
          <w:szCs w:val="22"/>
        </w:rPr>
        <w:t>A. ŽENKLINIMAS</w:t>
      </w:r>
    </w:p>
    <w:p w:rsidR="00586818" w:rsidRPr="00A3792F" w:rsidRDefault="00586818" w:rsidP="008E720E">
      <w:pPr>
        <w:pStyle w:val="BTEMEASMCA"/>
        <w:rPr>
          <w:rFonts w:ascii="Times New Roman" w:hAnsi="Times New Roman" w:cs="Times New Roman"/>
        </w:rPr>
      </w:pPr>
      <w:r w:rsidRPr="00A3792F">
        <w:rPr>
          <w:rFonts w:ascii="Times New Roman" w:hAnsi="Times New Roman" w:cs="Times New Roman"/>
        </w:rPr>
        <w:br w:type="page"/>
      </w:r>
      <w:bookmarkStart w:id="4" w:name="_Toc126852427"/>
    </w:p>
    <w:bookmarkEnd w:id="4"/>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lastRenderedPageBreak/>
        <w:t>INFORMACIJA ANT IŠORINĖS PAKUOTĖS</w:t>
      </w: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bCs/>
          <w:noProof/>
        </w:rPr>
      </w:pPr>
      <w:r w:rsidRPr="00EB60B9">
        <w:rPr>
          <w:b/>
          <w:noProof/>
        </w:rPr>
        <w:t>KARTONO DĖŽUTĖ</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w:t>
      </w:r>
      <w:r w:rsidRPr="00EB60B9">
        <w:rPr>
          <w:b/>
          <w:noProof/>
        </w:rPr>
        <w:tab/>
        <w:t>VAISTINIO PREPARATO PAVADINIMAS</w:t>
      </w:r>
    </w:p>
    <w:p w:rsidR="0024494E" w:rsidRPr="00EB60B9" w:rsidRDefault="0024494E" w:rsidP="0024494E"/>
    <w:p w:rsidR="0024494E" w:rsidRPr="00EB60B9" w:rsidRDefault="0024494E" w:rsidP="0024494E">
      <w:r w:rsidRPr="00EB60B9">
        <w:t>Ostemax 70 mg tabletės</w:t>
      </w:r>
    </w:p>
    <w:p w:rsidR="0024494E" w:rsidRPr="00EB60B9" w:rsidRDefault="0024494E" w:rsidP="0024494E">
      <w:r w:rsidRPr="00EB60B9">
        <w:t>Alendrono rūgštis</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2.</w:t>
      </w:r>
      <w:r w:rsidRPr="00EB60B9">
        <w:rPr>
          <w:b/>
          <w:noProof/>
        </w:rPr>
        <w:tab/>
        <w:t>VEIKLIOJI (-IOS) MEDŽIAGA (-OS) IR JOS (-Ų) KIEKIS (-IAI)</w:t>
      </w:r>
    </w:p>
    <w:p w:rsidR="0024494E" w:rsidRPr="00EB60B9" w:rsidRDefault="0024494E" w:rsidP="0024494E"/>
    <w:p w:rsidR="0024494E" w:rsidRPr="00EB60B9" w:rsidRDefault="0024494E" w:rsidP="0024494E">
      <w:r w:rsidRPr="00EB60B9">
        <w:t>Vienoje tabletėje yra 70 mg alendrono rūgšties (natrio alendronato trihidrato pavidalu).</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highlight w:val="lightGray"/>
        </w:rPr>
      </w:pPr>
      <w:r w:rsidRPr="00EB60B9">
        <w:rPr>
          <w:b/>
          <w:noProof/>
        </w:rPr>
        <w:t>3.</w:t>
      </w:r>
      <w:r w:rsidRPr="00EB60B9">
        <w:rPr>
          <w:b/>
          <w:noProof/>
        </w:rPr>
        <w:tab/>
        <w:t>PAGALBINIŲ MEDŽIAGŲ SĄRAŠAS</w:t>
      </w:r>
    </w:p>
    <w:p w:rsidR="0024494E" w:rsidRPr="00EB60B9" w:rsidRDefault="0024494E" w:rsidP="0024494E"/>
    <w:p w:rsidR="0024494E" w:rsidRPr="00EB60B9" w:rsidRDefault="0024494E" w:rsidP="0024494E">
      <w:r w:rsidRPr="00EB60B9">
        <w:t>Tablečių sudėtyje yra laktozės monohidrato.</w:t>
      </w:r>
      <w:r>
        <w:t xml:space="preserve"> </w:t>
      </w:r>
      <w:r w:rsidRPr="00E27956">
        <w:t>Daugiau informacijos pateikta pakuotės lapelyje.</w:t>
      </w:r>
    </w:p>
    <w:p w:rsidR="0024494E" w:rsidRPr="00EB60B9" w:rsidRDefault="0024494E" w:rsidP="0024494E">
      <w:bookmarkStart w:id="5" w:name="_Toc126852431"/>
    </w:p>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4.</w:t>
      </w:r>
      <w:r w:rsidRPr="00EB60B9">
        <w:rPr>
          <w:b/>
          <w:noProof/>
        </w:rPr>
        <w:tab/>
        <w:t>FARMACINĖ FORMA IR KIEKIS PAKUOTĖJE</w:t>
      </w:r>
    </w:p>
    <w:bookmarkEnd w:id="5"/>
    <w:p w:rsidR="0024494E" w:rsidRPr="00EB60B9" w:rsidRDefault="0024494E" w:rsidP="0024494E"/>
    <w:p w:rsidR="0024494E" w:rsidRPr="00EB60B9" w:rsidRDefault="0024494E" w:rsidP="0024494E">
      <w:r w:rsidRPr="00EB60B9">
        <w:t>4 tabletės</w:t>
      </w:r>
    </w:p>
    <w:p w:rsidR="0024494E" w:rsidRPr="00EB60B9" w:rsidRDefault="0024494E" w:rsidP="0024494E"/>
    <w:p w:rsidR="0024494E" w:rsidRPr="00EB60B9" w:rsidRDefault="0024494E" w:rsidP="0024494E">
      <w:bookmarkStart w:id="6" w:name="_Toc126852432"/>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highlight w:val="lightGray"/>
        </w:rPr>
      </w:pPr>
      <w:r w:rsidRPr="00EB60B9">
        <w:rPr>
          <w:b/>
          <w:noProof/>
        </w:rPr>
        <w:t>5.</w:t>
      </w:r>
      <w:r w:rsidRPr="00EB60B9">
        <w:rPr>
          <w:b/>
          <w:noProof/>
        </w:rPr>
        <w:tab/>
        <w:t>VARTOJIMO METODAS IR BŪDAS (-AI)</w:t>
      </w:r>
    </w:p>
    <w:p w:rsidR="0024494E" w:rsidRPr="00EB60B9" w:rsidRDefault="0024494E" w:rsidP="0024494E"/>
    <w:bookmarkEnd w:id="6"/>
    <w:p w:rsidR="0024494E" w:rsidRPr="00EB60B9" w:rsidRDefault="0024494E" w:rsidP="0024494E">
      <w:r w:rsidRPr="00EB60B9">
        <w:t>Vartoti per burną.</w:t>
      </w:r>
    </w:p>
    <w:p w:rsidR="0024494E" w:rsidRPr="00EB60B9" w:rsidRDefault="0024494E" w:rsidP="0024494E">
      <w:r w:rsidRPr="00EB60B9">
        <w:t>Prieš vartojimą perskaitykite pakuotės lapelį.</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6.</w:t>
      </w:r>
      <w:r w:rsidRPr="00EB60B9">
        <w:rPr>
          <w:b/>
          <w:noProof/>
        </w:rPr>
        <w:tab/>
        <w:t>SPECIALUS ĮSPĖJIMAS, KAD VAISTINĮ PREPARATĄ BŪTINA LAIKYTI</w:t>
      </w: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ind w:firstLine="567"/>
        <w:rPr>
          <w:b/>
          <w:noProof/>
        </w:rPr>
      </w:pPr>
      <w:r w:rsidRPr="00EB60B9">
        <w:rPr>
          <w:b/>
          <w:noProof/>
        </w:rPr>
        <w:t>VAIKAMS NEPASTEBIMOJE IR NEPASIEKIAMOJE VIETOJE</w:t>
      </w:r>
    </w:p>
    <w:p w:rsidR="0024494E" w:rsidRPr="00EB60B9" w:rsidRDefault="0024494E" w:rsidP="0024494E"/>
    <w:p w:rsidR="0024494E" w:rsidRPr="00EB60B9" w:rsidRDefault="0024494E" w:rsidP="0024494E">
      <w:r w:rsidRPr="00EB60B9">
        <w:t>Laikyti vaikams nepastebimoje ir nepasiekiamoje vietoje.</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highlight w:val="lightGray"/>
        </w:rPr>
      </w:pPr>
      <w:r w:rsidRPr="00EB60B9">
        <w:rPr>
          <w:b/>
          <w:noProof/>
        </w:rPr>
        <w:t>7.</w:t>
      </w:r>
      <w:r w:rsidRPr="00EB60B9">
        <w:rPr>
          <w:b/>
          <w:noProof/>
        </w:rPr>
        <w:tab/>
        <w:t>KITAS (-I) SPECIALUS (-ŪS) ĮSPĖJIMAS (-AI) (JEI REIKIA)</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highlight w:val="lightGray"/>
        </w:rPr>
      </w:pPr>
      <w:r w:rsidRPr="00EB60B9">
        <w:rPr>
          <w:b/>
          <w:noProof/>
        </w:rPr>
        <w:t>8.</w:t>
      </w:r>
      <w:r w:rsidRPr="00EB60B9">
        <w:rPr>
          <w:b/>
          <w:noProof/>
        </w:rPr>
        <w:tab/>
        <w:t>TINKAMUMO LAIKAS</w:t>
      </w:r>
    </w:p>
    <w:p w:rsidR="0024494E" w:rsidRPr="00EB60B9" w:rsidRDefault="0024494E" w:rsidP="0024494E"/>
    <w:p w:rsidR="0024494E" w:rsidRPr="00EB60B9" w:rsidRDefault="0024494E" w:rsidP="0024494E">
      <w:r>
        <w:t>EXP:</w:t>
      </w:r>
      <w:r w:rsidRPr="00EB60B9">
        <w:t xml:space="preserve"> {mm.MMMM } </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9.</w:t>
      </w:r>
      <w:r w:rsidRPr="00EB60B9">
        <w:rPr>
          <w:b/>
          <w:noProof/>
        </w:rPr>
        <w:tab/>
        <w:t>SPECIALIOS LAIKYMO SĄLYGOS</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bCs/>
          <w:noProof/>
        </w:rPr>
      </w:pPr>
      <w:r w:rsidRPr="00EB60B9">
        <w:rPr>
          <w:b/>
          <w:noProof/>
        </w:rPr>
        <w:t>10.</w:t>
      </w:r>
      <w:r w:rsidRPr="00EB60B9">
        <w:rPr>
          <w:b/>
          <w:noProof/>
        </w:rPr>
        <w:tab/>
        <w:t xml:space="preserve">SPECIALIOS ATSARGUMO PRIEMONĖS DĖL NESUVARTOTO </w:t>
      </w:r>
      <w:r w:rsidRPr="00EB60B9">
        <w:rPr>
          <w:b/>
          <w:bCs/>
          <w:noProof/>
        </w:rPr>
        <w:t>VAISTINIO</w:t>
      </w: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ind w:firstLine="567"/>
        <w:rPr>
          <w:b/>
          <w:noProof/>
        </w:rPr>
      </w:pPr>
      <w:r w:rsidRPr="00EB60B9">
        <w:rPr>
          <w:b/>
          <w:bCs/>
          <w:noProof/>
        </w:rPr>
        <w:t xml:space="preserve">PREPARATO AR JO ATLIEKŲ </w:t>
      </w:r>
      <w:r w:rsidRPr="00EB60B9">
        <w:rPr>
          <w:b/>
          <w:noProof/>
        </w:rPr>
        <w:t>TVARKYMO (JEI REIKIA)</w:t>
      </w:r>
    </w:p>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11.</w:t>
      </w:r>
      <w:r w:rsidRPr="00EB60B9">
        <w:rPr>
          <w:b/>
          <w:noProof/>
        </w:rPr>
        <w:tab/>
        <w:t>REGISTRUOTOJO PAVADINIMAS IR ADRESAS</w:t>
      </w:r>
    </w:p>
    <w:p w:rsidR="0024494E" w:rsidRPr="00EB60B9" w:rsidRDefault="0024494E" w:rsidP="0024494E"/>
    <w:p w:rsidR="0024494E" w:rsidRPr="00EB60B9" w:rsidRDefault="0024494E" w:rsidP="0024494E">
      <w:r w:rsidRPr="00EB60B9">
        <w:t>Pharmaceutical Works POLPHARMA SA</w:t>
      </w:r>
    </w:p>
    <w:p w:rsidR="0024494E" w:rsidRPr="00EB60B9" w:rsidRDefault="0024494E" w:rsidP="0024494E">
      <w:r w:rsidRPr="00EB60B9">
        <w:t>19 Pelplińska Street, 83-200 Starogard Gdański</w:t>
      </w:r>
    </w:p>
    <w:p w:rsidR="0024494E" w:rsidRPr="00EB60B9" w:rsidRDefault="0024494E" w:rsidP="0024494E">
      <w:r w:rsidRPr="00EB60B9">
        <w:t>Lenkija</w:t>
      </w:r>
    </w:p>
    <w:p w:rsidR="0024494E" w:rsidRDefault="0024494E" w:rsidP="0024494E">
      <w:r>
        <w:t>(logo) POLPHARMA</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12.</w:t>
      </w:r>
      <w:r w:rsidRPr="00EB60B9">
        <w:rPr>
          <w:b/>
          <w:noProof/>
        </w:rPr>
        <w:tab/>
        <w:t>REGISTRACIJOS PAŽYMĖJIMO NUMERIS</w:t>
      </w:r>
      <w:r>
        <w:rPr>
          <w:b/>
          <w:noProof/>
        </w:rPr>
        <w:t xml:space="preserve"> </w:t>
      </w:r>
      <w:r w:rsidRPr="004A6E50">
        <w:rPr>
          <w:b/>
          <w:noProof/>
        </w:rPr>
        <w:t>(-IAI)</w:t>
      </w:r>
      <w:r w:rsidRPr="00EB60B9">
        <w:rPr>
          <w:b/>
          <w:noProof/>
        </w:rPr>
        <w:t xml:space="preserve"> </w:t>
      </w:r>
    </w:p>
    <w:p w:rsidR="0024494E" w:rsidRPr="00EB60B9" w:rsidRDefault="0024494E" w:rsidP="0024494E"/>
    <w:p w:rsidR="0024494E" w:rsidRPr="00EB60B9" w:rsidRDefault="0024494E" w:rsidP="0024494E">
      <w:r w:rsidRPr="00EB60B9">
        <w:t>LT/1/08/1134/001</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13.</w:t>
      </w:r>
      <w:r w:rsidRPr="00EB60B9">
        <w:rPr>
          <w:b/>
          <w:noProof/>
        </w:rPr>
        <w:tab/>
        <w:t>SERIJOS NUMERIS</w:t>
      </w:r>
    </w:p>
    <w:p w:rsidR="0024494E" w:rsidRPr="00EB60B9" w:rsidRDefault="0024494E" w:rsidP="0024494E"/>
    <w:p w:rsidR="0024494E" w:rsidRPr="00EB60B9" w:rsidRDefault="0024494E" w:rsidP="0024494E">
      <w:r>
        <w:t>Lot:</w:t>
      </w:r>
      <w:r w:rsidRPr="00EB60B9">
        <w:t xml:space="preserve"> {numeris}</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14.</w:t>
      </w:r>
      <w:r w:rsidRPr="00EB60B9">
        <w:rPr>
          <w:b/>
          <w:noProof/>
        </w:rPr>
        <w:tab/>
        <w:t>PARDAVIMO (IŠDAVIMO) TVARKA</w:t>
      </w:r>
    </w:p>
    <w:p w:rsidR="0024494E" w:rsidRPr="00EB60B9" w:rsidRDefault="0024494E" w:rsidP="0024494E"/>
    <w:p w:rsidR="0024494E" w:rsidRPr="00EB60B9" w:rsidRDefault="0024494E" w:rsidP="0024494E">
      <w:r w:rsidRPr="00EB60B9">
        <w:t>Receptinis vaist</w:t>
      </w:r>
      <w:r>
        <w:t>as</w:t>
      </w:r>
      <w:r w:rsidRPr="00EB60B9">
        <w:t>.</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15.</w:t>
      </w:r>
      <w:r w:rsidRPr="00EB60B9">
        <w:rPr>
          <w:b/>
          <w:noProof/>
        </w:rPr>
        <w:tab/>
        <w:t>VARTOJIMO INSTRUKCIJA</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16.</w:t>
      </w:r>
      <w:r w:rsidRPr="00EB60B9">
        <w:rPr>
          <w:b/>
          <w:noProof/>
        </w:rPr>
        <w:tab/>
        <w:t>INFORMACIJA BRAILIO RAŠTU</w:t>
      </w:r>
    </w:p>
    <w:p w:rsidR="0024494E" w:rsidRPr="00EB60B9" w:rsidRDefault="0024494E" w:rsidP="0024494E"/>
    <w:p w:rsidR="0024494E" w:rsidRPr="00EB60B9" w:rsidRDefault="0024494E" w:rsidP="0024494E">
      <w:r>
        <w:t>o</w:t>
      </w:r>
      <w:r w:rsidRPr="00EB60B9">
        <w:t>stemax 70 mg</w:t>
      </w:r>
    </w:p>
    <w:p w:rsidR="0024494E" w:rsidRDefault="0024494E" w:rsidP="0024494E"/>
    <w:p w:rsidR="0024494E" w:rsidRPr="00E27956" w:rsidRDefault="0024494E" w:rsidP="0024494E">
      <w:pPr>
        <w:rPr>
          <w:rFonts w:eastAsia="Times New Roman"/>
          <w:noProof/>
          <w:shd w:val="clear" w:color="auto" w:fill="CCCCCC"/>
        </w:rPr>
      </w:pPr>
    </w:p>
    <w:p w:rsidR="0024494E" w:rsidRPr="00E27956" w:rsidRDefault="0024494E" w:rsidP="0024494E">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zCs w:val="24"/>
        </w:rPr>
      </w:pPr>
      <w:r w:rsidRPr="00E27956">
        <w:rPr>
          <w:rFonts w:eastAsia="Times New Roman"/>
          <w:b/>
          <w:noProof/>
          <w:szCs w:val="24"/>
        </w:rPr>
        <w:t>17.</w:t>
      </w:r>
      <w:r w:rsidRPr="00E27956">
        <w:rPr>
          <w:rFonts w:eastAsia="Times New Roman"/>
          <w:b/>
          <w:noProof/>
          <w:szCs w:val="24"/>
        </w:rPr>
        <w:tab/>
        <w:t>UNIKALUS IDENTIFIKATORIUS – 2D BRŪKŠNINIS KODAS</w:t>
      </w:r>
    </w:p>
    <w:p w:rsidR="0024494E" w:rsidRPr="00E27956" w:rsidRDefault="0024494E" w:rsidP="0024494E">
      <w:pPr>
        <w:rPr>
          <w:rFonts w:eastAsia="Times New Roman"/>
          <w:noProof/>
          <w:szCs w:val="24"/>
        </w:rPr>
      </w:pPr>
    </w:p>
    <w:p w:rsidR="0024494E" w:rsidRPr="00E27956" w:rsidRDefault="0024494E" w:rsidP="0024494E">
      <w:pPr>
        <w:rPr>
          <w:rFonts w:eastAsia="Times New Roman"/>
          <w:noProof/>
          <w:shd w:val="clear" w:color="auto" w:fill="CCCCCC"/>
        </w:rPr>
      </w:pPr>
      <w:r w:rsidRPr="00E27956">
        <w:rPr>
          <w:rFonts w:eastAsia="Times New Roman"/>
          <w:noProof/>
          <w:szCs w:val="24"/>
          <w:highlight w:val="lightGray"/>
        </w:rPr>
        <w:t>2D brūkšninis kodas su nurodytu unikaliu identifikatoriumi.</w:t>
      </w:r>
    </w:p>
    <w:p w:rsidR="0024494E" w:rsidRPr="00E27956" w:rsidRDefault="0024494E" w:rsidP="0024494E">
      <w:pPr>
        <w:rPr>
          <w:rFonts w:eastAsia="Times New Roman"/>
          <w:noProof/>
          <w:shd w:val="clear" w:color="auto" w:fill="CCCCCC"/>
        </w:rPr>
      </w:pPr>
    </w:p>
    <w:p w:rsidR="0024494E" w:rsidRPr="00E27956" w:rsidRDefault="0024494E" w:rsidP="0024494E">
      <w:pPr>
        <w:rPr>
          <w:rFonts w:eastAsia="Times New Roman"/>
          <w:noProof/>
          <w:szCs w:val="24"/>
        </w:rPr>
      </w:pPr>
    </w:p>
    <w:p w:rsidR="0024494E" w:rsidRPr="00E27956" w:rsidRDefault="0024494E" w:rsidP="0024494E">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zCs w:val="24"/>
        </w:rPr>
      </w:pPr>
      <w:r w:rsidRPr="00E27956">
        <w:rPr>
          <w:rFonts w:eastAsia="Times New Roman"/>
          <w:b/>
          <w:noProof/>
          <w:szCs w:val="24"/>
        </w:rPr>
        <w:t>18.</w:t>
      </w:r>
      <w:r w:rsidRPr="00E27956">
        <w:rPr>
          <w:rFonts w:eastAsia="Times New Roman"/>
          <w:b/>
          <w:noProof/>
          <w:szCs w:val="24"/>
        </w:rPr>
        <w:tab/>
        <w:t>UNIKALUS IDENTIFIKATORIUS – ŽMONĖMS SUPRANTAMI DUOMENYS</w:t>
      </w:r>
    </w:p>
    <w:p w:rsidR="0024494E" w:rsidRPr="00E27956" w:rsidRDefault="0024494E" w:rsidP="0024494E">
      <w:pPr>
        <w:rPr>
          <w:rFonts w:eastAsia="Times New Roman"/>
          <w:noProof/>
          <w:szCs w:val="24"/>
        </w:rPr>
      </w:pPr>
    </w:p>
    <w:p w:rsidR="0024494E" w:rsidRPr="00E27956" w:rsidRDefault="0024494E" w:rsidP="0024494E">
      <w:pPr>
        <w:rPr>
          <w:rFonts w:eastAsia="Times New Roman"/>
          <w:color w:val="008000"/>
        </w:rPr>
      </w:pPr>
      <w:r w:rsidRPr="00E27956">
        <w:rPr>
          <w:rFonts w:eastAsia="Times New Roman"/>
          <w:szCs w:val="24"/>
        </w:rPr>
        <w:t xml:space="preserve">PC: {numeris} </w:t>
      </w:r>
    </w:p>
    <w:p w:rsidR="0024494E" w:rsidRPr="00E27956" w:rsidRDefault="0024494E" w:rsidP="0024494E">
      <w:pPr>
        <w:rPr>
          <w:rFonts w:eastAsia="Times New Roman"/>
        </w:rPr>
      </w:pPr>
      <w:r w:rsidRPr="00E27956">
        <w:rPr>
          <w:rFonts w:eastAsia="Times New Roman"/>
          <w:szCs w:val="24"/>
        </w:rPr>
        <w:t>SN: {numeris}</w:t>
      </w:r>
    </w:p>
    <w:p w:rsidR="0024494E" w:rsidRPr="00EB60B9" w:rsidRDefault="0024494E" w:rsidP="0024494E">
      <w:r w:rsidRPr="00E27956">
        <w:rPr>
          <w:rFonts w:eastAsia="Times New Roman"/>
          <w:szCs w:val="24"/>
          <w:highlight w:val="lightGray"/>
        </w:rPr>
        <w:t>NN: {numeris}</w:t>
      </w:r>
    </w:p>
    <w:p w:rsidR="0024494E" w:rsidRPr="00EB60B9" w:rsidRDefault="0024494E" w:rsidP="0024494E">
      <w:r w:rsidRPr="00EB60B9">
        <w:br w:type="page"/>
      </w: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lastRenderedPageBreak/>
        <w:t xml:space="preserve">MINIMALI </w:t>
      </w:r>
      <w:r w:rsidRPr="00EB60B9">
        <w:rPr>
          <w:b/>
          <w:caps/>
          <w:noProof/>
        </w:rPr>
        <w:t xml:space="preserve">informacija ant </w:t>
      </w:r>
      <w:r w:rsidRPr="00EB60B9">
        <w:rPr>
          <w:b/>
          <w:noProof/>
        </w:rPr>
        <w:t>LIZDINIŲ PLOKŠTELIŲ ARBA DVISLUOKSNIŲ JUOSTELIŲ</w:t>
      </w: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LIZDINĖ PLOKŠTELĖ</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1.</w:t>
      </w:r>
      <w:r w:rsidRPr="00EB60B9">
        <w:rPr>
          <w:b/>
          <w:noProof/>
        </w:rPr>
        <w:tab/>
        <w:t>VAISTINIO PREPARATO PAVADINIMAS</w:t>
      </w:r>
    </w:p>
    <w:p w:rsidR="0024494E" w:rsidRPr="00EB60B9" w:rsidRDefault="0024494E" w:rsidP="0024494E">
      <w:pPr>
        <w:tabs>
          <w:tab w:val="left" w:pos="540"/>
        </w:tabs>
        <w:rPr>
          <w:b/>
          <w:noProof/>
        </w:rPr>
      </w:pPr>
    </w:p>
    <w:p w:rsidR="0024494E" w:rsidRPr="00EB60B9" w:rsidRDefault="0024494E" w:rsidP="0024494E">
      <w:r w:rsidRPr="00EB60B9">
        <w:t>Ostemax 70 mg tabletės</w:t>
      </w:r>
    </w:p>
    <w:p w:rsidR="0024494E" w:rsidRPr="00EB60B9" w:rsidRDefault="0024494E" w:rsidP="0024494E">
      <w:r w:rsidRPr="00EB60B9">
        <w:t>Acidum alendronicum</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2.</w:t>
      </w:r>
      <w:r w:rsidRPr="00EB60B9">
        <w:rPr>
          <w:b/>
          <w:noProof/>
        </w:rPr>
        <w:tab/>
        <w:t>REGISTRUOTOJO PAVADINIMAS</w:t>
      </w:r>
    </w:p>
    <w:p w:rsidR="0024494E" w:rsidRPr="00EB60B9" w:rsidRDefault="0024494E" w:rsidP="0024494E"/>
    <w:p w:rsidR="0024494E" w:rsidRPr="00EB60B9" w:rsidRDefault="0024494E" w:rsidP="0024494E">
      <w:r w:rsidRPr="00522D14">
        <w:t>(logo) POLPHARMA</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3.</w:t>
      </w:r>
      <w:r w:rsidRPr="00EB60B9">
        <w:rPr>
          <w:b/>
          <w:noProof/>
        </w:rPr>
        <w:tab/>
        <w:t>TINKAMUMO LAIKAS</w:t>
      </w:r>
    </w:p>
    <w:p w:rsidR="0024494E" w:rsidRPr="00EB60B9" w:rsidRDefault="0024494E" w:rsidP="0024494E"/>
    <w:p w:rsidR="0024494E" w:rsidRPr="00EB60B9" w:rsidRDefault="0024494E" w:rsidP="0024494E">
      <w:r w:rsidRPr="00EB60B9">
        <w:t xml:space="preserve">EXP {mm.MMMM} </w:t>
      </w:r>
    </w:p>
    <w:p w:rsidR="0024494E" w:rsidRPr="00EB60B9" w:rsidRDefault="0024494E" w:rsidP="0024494E"/>
    <w:p w:rsidR="0024494E" w:rsidRPr="00EB60B9" w:rsidRDefault="0024494E" w:rsidP="0024494E"/>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4.</w:t>
      </w:r>
      <w:r w:rsidRPr="00EB60B9">
        <w:rPr>
          <w:b/>
          <w:noProof/>
        </w:rPr>
        <w:tab/>
        <w:t>SERIJOS NUMERIS</w:t>
      </w:r>
    </w:p>
    <w:p w:rsidR="0024494E" w:rsidRPr="00EB60B9" w:rsidRDefault="0024494E" w:rsidP="0024494E"/>
    <w:p w:rsidR="0024494E" w:rsidRPr="00EB60B9" w:rsidRDefault="0024494E" w:rsidP="0024494E">
      <w:r w:rsidRPr="00EB60B9">
        <w:t>Lot {numeris}</w:t>
      </w:r>
    </w:p>
    <w:p w:rsidR="0024494E" w:rsidRPr="00EB60B9" w:rsidRDefault="0024494E" w:rsidP="0024494E"/>
    <w:p w:rsidR="0024494E" w:rsidRPr="00EB60B9" w:rsidRDefault="0024494E" w:rsidP="0024494E">
      <w:bookmarkStart w:id="7" w:name="_Toc126852449"/>
    </w:p>
    <w:p w:rsidR="0024494E" w:rsidRPr="00EB60B9" w:rsidRDefault="0024494E" w:rsidP="0024494E">
      <w:pPr>
        <w:pBdr>
          <w:top w:val="single" w:sz="4" w:space="1" w:color="auto"/>
          <w:left w:val="single" w:sz="4" w:space="4" w:color="auto"/>
          <w:bottom w:val="single" w:sz="4" w:space="1" w:color="auto"/>
          <w:right w:val="single" w:sz="4" w:space="4" w:color="auto"/>
        </w:pBdr>
        <w:tabs>
          <w:tab w:val="left" w:pos="540"/>
        </w:tabs>
        <w:rPr>
          <w:b/>
          <w:noProof/>
        </w:rPr>
      </w:pPr>
      <w:r w:rsidRPr="00EB60B9">
        <w:rPr>
          <w:b/>
          <w:noProof/>
        </w:rPr>
        <w:t>5.</w:t>
      </w:r>
      <w:r w:rsidRPr="00EB60B9">
        <w:rPr>
          <w:b/>
          <w:noProof/>
        </w:rPr>
        <w:tab/>
        <w:t>KITA</w:t>
      </w:r>
    </w:p>
    <w:p w:rsidR="0024494E" w:rsidRPr="00EB60B9" w:rsidRDefault="0024494E" w:rsidP="0024494E"/>
    <w:bookmarkEnd w:id="7"/>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r w:rsidRPr="00EB60B9">
        <w:br w:type="page"/>
      </w:r>
    </w:p>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 w:rsidR="0024494E" w:rsidRPr="00EB60B9" w:rsidRDefault="0024494E" w:rsidP="0024494E">
      <w:pPr>
        <w:jc w:val="center"/>
        <w:outlineLvl w:val="0"/>
        <w:rPr>
          <w:b/>
          <w:kern w:val="28"/>
        </w:rPr>
      </w:pPr>
      <w:r w:rsidRPr="00EB60B9">
        <w:rPr>
          <w:b/>
          <w:kern w:val="28"/>
        </w:rPr>
        <w:t>B. PAKUOTĖS LAPELIS</w:t>
      </w:r>
    </w:p>
    <w:p w:rsidR="0024494E" w:rsidRPr="00EB60B9" w:rsidRDefault="0024494E" w:rsidP="0024494E">
      <w:pPr>
        <w:tabs>
          <w:tab w:val="left" w:pos="567"/>
        </w:tabs>
        <w:ind w:left="567" w:hanging="567"/>
        <w:jc w:val="center"/>
        <w:outlineLvl w:val="0"/>
        <w:rPr>
          <w:b/>
        </w:rPr>
      </w:pPr>
      <w:r w:rsidRPr="00EB60B9">
        <w:br w:type="page"/>
      </w:r>
      <w:r w:rsidRPr="00EB60B9">
        <w:rPr>
          <w:b/>
        </w:rPr>
        <w:lastRenderedPageBreak/>
        <w:t>Pakuotės lapelis: informacija vartotojui</w:t>
      </w:r>
    </w:p>
    <w:p w:rsidR="0024494E" w:rsidRPr="00EB60B9" w:rsidRDefault="0024494E" w:rsidP="0024494E">
      <w:pPr>
        <w:jc w:val="center"/>
        <w:rPr>
          <w:b/>
          <w:bCs/>
        </w:rPr>
      </w:pPr>
    </w:p>
    <w:p w:rsidR="0024494E" w:rsidRPr="00EB60B9" w:rsidRDefault="0024494E" w:rsidP="0024494E">
      <w:pPr>
        <w:jc w:val="center"/>
        <w:rPr>
          <w:b/>
          <w:bCs/>
        </w:rPr>
      </w:pPr>
      <w:r w:rsidRPr="00EB60B9">
        <w:rPr>
          <w:b/>
          <w:bCs/>
        </w:rPr>
        <w:t>Ostemax 70 mg tabletės</w:t>
      </w:r>
    </w:p>
    <w:p w:rsidR="0024494E" w:rsidRPr="00EB60B9" w:rsidRDefault="0024494E" w:rsidP="0024494E">
      <w:pPr>
        <w:jc w:val="center"/>
      </w:pPr>
      <w:r w:rsidRPr="00EB60B9">
        <w:t>Alendrono rūgštis</w:t>
      </w:r>
    </w:p>
    <w:p w:rsidR="0024494E" w:rsidRPr="00EB60B9" w:rsidRDefault="0024494E" w:rsidP="0024494E"/>
    <w:p w:rsidR="0024494E" w:rsidRPr="00EB60B9" w:rsidRDefault="0024494E" w:rsidP="0024494E">
      <w:pPr>
        <w:rPr>
          <w:b/>
          <w:noProof/>
        </w:rPr>
      </w:pPr>
      <w:r w:rsidRPr="00EB60B9">
        <w:rPr>
          <w:b/>
          <w:noProof/>
        </w:rPr>
        <w:t>Atidžiai perskaitykite visą šį lapelį, prieš pradėdami vartoti vaistą, nes jame pateikiama Jums svarbi informacija.</w:t>
      </w:r>
    </w:p>
    <w:p w:rsidR="0024494E" w:rsidRPr="00EB60B9" w:rsidRDefault="0024494E" w:rsidP="0024494E">
      <w:pPr>
        <w:numPr>
          <w:ilvl w:val="0"/>
          <w:numId w:val="5"/>
        </w:numPr>
        <w:ind w:left="567" w:hanging="567"/>
      </w:pPr>
      <w:r w:rsidRPr="00EB60B9">
        <w:t>Neišmeskite šio lapelio, nes vėl gali prireikti jį perskaityti.</w:t>
      </w:r>
    </w:p>
    <w:p w:rsidR="0024494E" w:rsidRPr="00EB60B9" w:rsidRDefault="0024494E" w:rsidP="0024494E">
      <w:pPr>
        <w:numPr>
          <w:ilvl w:val="0"/>
          <w:numId w:val="5"/>
        </w:numPr>
        <w:ind w:left="567" w:hanging="567"/>
      </w:pPr>
      <w:r w:rsidRPr="00EB60B9">
        <w:t>Jeigu kiltų daugiau klausimų, kreipkitės į gydytoją arba vaistininką.</w:t>
      </w:r>
    </w:p>
    <w:p w:rsidR="0024494E" w:rsidRPr="00EB60B9" w:rsidRDefault="0024494E" w:rsidP="0024494E">
      <w:pPr>
        <w:numPr>
          <w:ilvl w:val="0"/>
          <w:numId w:val="5"/>
        </w:numPr>
        <w:ind w:left="567" w:hanging="567"/>
      </w:pPr>
      <w:r w:rsidRPr="00EB60B9">
        <w:t>Šis vaistas skirtas tik Jums, todėl kitiems žmonėms jo duoti negalima. Vaistas gali jiems pakenkti (net tiems, kurių ligos požymiai yra tokie patys kaip Jūsų).</w:t>
      </w:r>
    </w:p>
    <w:p w:rsidR="0024494E" w:rsidRPr="00EB60B9" w:rsidRDefault="0024494E" w:rsidP="0024494E">
      <w:pPr>
        <w:numPr>
          <w:ilvl w:val="0"/>
          <w:numId w:val="5"/>
        </w:numPr>
        <w:ind w:left="567" w:hanging="567"/>
      </w:pPr>
      <w:r w:rsidRPr="00EB60B9">
        <w:t>Jeigu pasireiškė šalutinis poveikis (net jeigu jis šiame lapelyje nenurodytas), kreipkitės į gydytoją arba vaistininką. Žr. 4 skyrių.</w:t>
      </w:r>
    </w:p>
    <w:p w:rsidR="0024494E" w:rsidRPr="00EB60B9" w:rsidRDefault="0024494E" w:rsidP="0024494E"/>
    <w:p w:rsidR="0024494E" w:rsidRPr="00EB60B9" w:rsidRDefault="0024494E" w:rsidP="0024494E">
      <w:pPr>
        <w:rPr>
          <w:b/>
        </w:rPr>
      </w:pPr>
      <w:r w:rsidRPr="00EB60B9">
        <w:rPr>
          <w:b/>
        </w:rPr>
        <w:t>Apie ką rašoma šiame lapelyje?</w:t>
      </w:r>
    </w:p>
    <w:p w:rsidR="0024494E" w:rsidRPr="00EB60B9" w:rsidRDefault="0024494E" w:rsidP="0024494E">
      <w:pPr>
        <w:rPr>
          <w:b/>
        </w:rPr>
      </w:pPr>
    </w:p>
    <w:p w:rsidR="0024494E" w:rsidRPr="00EB60B9" w:rsidRDefault="0024494E" w:rsidP="0024494E">
      <w:pPr>
        <w:tabs>
          <w:tab w:val="left" w:pos="540"/>
        </w:tabs>
      </w:pPr>
      <w:r w:rsidRPr="00EB60B9">
        <w:t>1.</w:t>
      </w:r>
      <w:r w:rsidRPr="00EB60B9">
        <w:tab/>
        <w:t>Kas yra Ostemax ir kam jis vartojamas</w:t>
      </w:r>
    </w:p>
    <w:p w:rsidR="0024494E" w:rsidRPr="00EB60B9" w:rsidRDefault="0024494E" w:rsidP="0024494E">
      <w:pPr>
        <w:tabs>
          <w:tab w:val="left" w:pos="540"/>
        </w:tabs>
      </w:pPr>
      <w:r w:rsidRPr="00EB60B9">
        <w:t>2.</w:t>
      </w:r>
      <w:r w:rsidRPr="00EB60B9">
        <w:tab/>
        <w:t>Kas žinotina prieš vartojant Ostemax</w:t>
      </w:r>
    </w:p>
    <w:p w:rsidR="0024494E" w:rsidRPr="00EB60B9" w:rsidRDefault="0024494E" w:rsidP="0024494E">
      <w:pPr>
        <w:tabs>
          <w:tab w:val="left" w:pos="540"/>
        </w:tabs>
      </w:pPr>
      <w:r w:rsidRPr="00EB60B9">
        <w:t>3.</w:t>
      </w:r>
      <w:r w:rsidRPr="00EB60B9">
        <w:tab/>
        <w:t>Kaip vartoti Ostemax</w:t>
      </w:r>
    </w:p>
    <w:p w:rsidR="0024494E" w:rsidRPr="00EB60B9" w:rsidRDefault="0024494E" w:rsidP="0024494E">
      <w:pPr>
        <w:tabs>
          <w:tab w:val="left" w:pos="540"/>
        </w:tabs>
      </w:pPr>
      <w:r w:rsidRPr="00EB60B9">
        <w:t>4.</w:t>
      </w:r>
      <w:r w:rsidRPr="00EB60B9">
        <w:tab/>
        <w:t>Galimas šalutinis poveikis</w:t>
      </w:r>
    </w:p>
    <w:p w:rsidR="0024494E" w:rsidRPr="00EB60B9" w:rsidRDefault="0024494E" w:rsidP="0024494E">
      <w:pPr>
        <w:tabs>
          <w:tab w:val="left" w:pos="540"/>
        </w:tabs>
      </w:pPr>
      <w:r w:rsidRPr="00EB60B9">
        <w:t>5.</w:t>
      </w:r>
      <w:r w:rsidRPr="00EB60B9">
        <w:tab/>
        <w:t>Kaip laikyti Ostemax</w:t>
      </w:r>
    </w:p>
    <w:p w:rsidR="0024494E" w:rsidRPr="00EB60B9" w:rsidRDefault="0024494E" w:rsidP="0024494E">
      <w:pPr>
        <w:tabs>
          <w:tab w:val="left" w:pos="540"/>
        </w:tabs>
      </w:pPr>
      <w:r w:rsidRPr="00EB60B9">
        <w:t>6.</w:t>
      </w:r>
      <w:r w:rsidRPr="00EB60B9">
        <w:tab/>
        <w:t>Pakuotės turinys ir kita informacija</w:t>
      </w:r>
    </w:p>
    <w:p w:rsidR="0024494E" w:rsidRPr="00EB60B9" w:rsidRDefault="0024494E" w:rsidP="0024494E"/>
    <w:p w:rsidR="0024494E" w:rsidRPr="00EB60B9" w:rsidRDefault="0024494E" w:rsidP="0024494E"/>
    <w:p w:rsidR="0024494E" w:rsidRPr="00EB60B9" w:rsidRDefault="0024494E" w:rsidP="0024494E">
      <w:pPr>
        <w:tabs>
          <w:tab w:val="left" w:pos="540"/>
        </w:tabs>
        <w:outlineLvl w:val="1"/>
        <w:rPr>
          <w:rFonts w:eastAsia="Times New Roman"/>
          <w:b/>
        </w:rPr>
      </w:pPr>
      <w:r w:rsidRPr="00EB60B9">
        <w:rPr>
          <w:rFonts w:eastAsia="Times New Roman"/>
          <w:b/>
        </w:rPr>
        <w:t>1.</w:t>
      </w:r>
      <w:r w:rsidRPr="00EB60B9">
        <w:rPr>
          <w:rFonts w:eastAsia="Times New Roman"/>
          <w:b/>
        </w:rPr>
        <w:tab/>
        <w:t>Kas yra Ostemax ir kam jis vartojamas</w:t>
      </w:r>
    </w:p>
    <w:p w:rsidR="0024494E" w:rsidRPr="00EB60B9" w:rsidRDefault="0024494E" w:rsidP="0024494E"/>
    <w:p w:rsidR="0024494E" w:rsidRPr="00EB60B9" w:rsidRDefault="0024494E" w:rsidP="0024494E">
      <w:r w:rsidRPr="00EB60B9">
        <w:t>Ostemax 70 mg tabletės yra ne hormoninių vaistų grupės, vadinamos bisfosfonatais, vaistas.</w:t>
      </w:r>
    </w:p>
    <w:p w:rsidR="0024494E" w:rsidRPr="00EB60B9" w:rsidRDefault="0024494E" w:rsidP="0024494E">
      <w:r w:rsidRPr="00EB60B9">
        <w:t xml:space="preserve">Šis vaistas saugo nuo kaulų masės mažėjimo, pasireiškiančio moterims po menopauzės, ir padeda kaulams atsistatyti. Ostemax 70 mg tabletės mažina stuburo ir šlaunikaulio lūžių riziką. </w:t>
      </w:r>
    </w:p>
    <w:p w:rsidR="0024494E" w:rsidRPr="00EB60B9" w:rsidRDefault="0024494E" w:rsidP="0024494E"/>
    <w:p w:rsidR="0024494E" w:rsidRPr="00EB60B9" w:rsidRDefault="0024494E" w:rsidP="0024494E">
      <w:r w:rsidRPr="00EB60B9">
        <w:t>Jūsų gydytojas paskyrė Ostemax, kadangi Jūs sergate liga, kuri vadinama osteoporoze.</w:t>
      </w:r>
    </w:p>
    <w:p w:rsidR="0024494E" w:rsidRPr="00EB60B9" w:rsidRDefault="0024494E" w:rsidP="0024494E">
      <w:pPr>
        <w:rPr>
          <w:i/>
        </w:rPr>
      </w:pPr>
    </w:p>
    <w:p w:rsidR="0024494E" w:rsidRPr="00EB60B9" w:rsidRDefault="0024494E" w:rsidP="0024494E">
      <w:pPr>
        <w:rPr>
          <w:i/>
        </w:rPr>
      </w:pPr>
      <w:r w:rsidRPr="00EB60B9">
        <w:rPr>
          <w:i/>
        </w:rPr>
        <w:t>Kas yra osteoporozė?</w:t>
      </w:r>
    </w:p>
    <w:p w:rsidR="0024494E" w:rsidRPr="00EB60B9" w:rsidRDefault="0024494E" w:rsidP="0024494E">
      <w:r w:rsidRPr="00EB60B9">
        <w:t>Osteoporozė sukelia kaulų retėjimą ir juos silpnina. Ji dažniau pasireiškia moterims po menopauzės. Šiuo laikotarpiu kiaušidės nustoja gaminti moterišką hormoną, kuris vadinamas estrogenu ir kuris padeda palaikyti moters griaučių sveikatingumą. Dėl minėto pokyčio kaulai pradeda akyti ir silpnėti. Kuo anksčiau moteriai prasideda menopauzė, tuo būna didesnė osteoporozės rizika.</w:t>
      </w:r>
    </w:p>
    <w:p w:rsidR="0024494E" w:rsidRPr="00EB60B9" w:rsidRDefault="0024494E" w:rsidP="0024494E"/>
    <w:p w:rsidR="0024494E" w:rsidRPr="00EB60B9" w:rsidRDefault="0024494E" w:rsidP="0024494E">
      <w:r w:rsidRPr="00EB60B9">
        <w:t>Ankstyvuoju laikotarpiu osteoporozė paprastai nesukelia jokių simptomų. Jeigu ši liga negydoma, ji gali sukelti kaulų lūžimą. Nors lūžiai paprastai sukelia skausmą, stuburo kaulų lūžių galima nepastebėti tol, kol jie nesukelia ūgio sumažėjimo.</w:t>
      </w:r>
    </w:p>
    <w:p w:rsidR="0024494E" w:rsidRPr="00EB60B9" w:rsidRDefault="0024494E" w:rsidP="0024494E"/>
    <w:p w:rsidR="0024494E" w:rsidRPr="00EB60B9" w:rsidRDefault="0024494E" w:rsidP="0024494E">
      <w:r w:rsidRPr="00EB60B9">
        <w:t>Kaulai gali lūžti įprastinės kasdieninės veiklos, pvz., kėlimo, metu ar dėl nedidelės traumos, kuri normaliai kaulų lūžimo neturėtų sukelti. Paprastai lūžta šlaunies, stuburo ar riešo kaulai. Šis pažeidimas gali sukelti ne tik skausmą, bet ir reikšmingą deformaciją bei negalią, pvz., atsiranda kupra dėl iškrypusio stuburo („našlės kupra“) ir sumažėja judrumas.</w:t>
      </w:r>
    </w:p>
    <w:p w:rsidR="0024494E" w:rsidRPr="00EB60B9" w:rsidRDefault="0024494E" w:rsidP="0024494E">
      <w:pPr>
        <w:rPr>
          <w:i/>
          <w:iCs/>
        </w:rPr>
      </w:pPr>
    </w:p>
    <w:p w:rsidR="0024494E" w:rsidRPr="00EB60B9" w:rsidRDefault="0024494E" w:rsidP="0024494E">
      <w:pPr>
        <w:rPr>
          <w:i/>
          <w:iCs/>
        </w:rPr>
      </w:pPr>
      <w:r w:rsidRPr="00EB60B9">
        <w:rPr>
          <w:i/>
          <w:iCs/>
        </w:rPr>
        <w:t>Kaip galima gydyti osteoporozę?</w:t>
      </w:r>
    </w:p>
    <w:p w:rsidR="0024494E" w:rsidRPr="00EB60B9" w:rsidRDefault="0024494E" w:rsidP="0024494E">
      <w:pPr>
        <w:rPr>
          <w:i/>
          <w:iCs/>
        </w:rPr>
      </w:pPr>
    </w:p>
    <w:p w:rsidR="0024494E" w:rsidRPr="00EB60B9" w:rsidRDefault="0024494E" w:rsidP="0024494E">
      <w:r w:rsidRPr="00EB60B9">
        <w:t xml:space="preserve">Svarbu atsiminti, jog osteoporozę galima gydyti ir tai pradėti niekada nevėlu. Jūsų osteoporozei gydyti gydytojas paskyrė Ostemax. </w:t>
      </w:r>
    </w:p>
    <w:p w:rsidR="0024494E" w:rsidRPr="00EB60B9" w:rsidRDefault="0024494E" w:rsidP="0024494E"/>
    <w:p w:rsidR="0024494E" w:rsidRPr="00EB60B9" w:rsidRDefault="0024494E" w:rsidP="0024494E">
      <w:r w:rsidRPr="00EB60B9">
        <w:t>Ostemax gydomam pacientui gydytojas gali rekomenduoti šiek tiek pakeisti gyvenimo būdą, kadangi jo pokyčiai gali pagerinti sveikatos būklę.</w:t>
      </w:r>
    </w:p>
    <w:p w:rsidR="0024494E" w:rsidRPr="00EB60B9" w:rsidRDefault="0024494E" w:rsidP="0024494E"/>
    <w:p w:rsidR="0024494E" w:rsidRPr="00EB60B9" w:rsidRDefault="0024494E" w:rsidP="0024494E">
      <w:r w:rsidRPr="00EB60B9">
        <w:lastRenderedPageBreak/>
        <w:t xml:space="preserve">Rekomenduojama: </w:t>
      </w:r>
    </w:p>
    <w:p w:rsidR="0024494E" w:rsidRPr="00EB60B9" w:rsidRDefault="0024494E" w:rsidP="0024494E">
      <w:pPr>
        <w:numPr>
          <w:ilvl w:val="0"/>
          <w:numId w:val="6"/>
        </w:numPr>
        <w:tabs>
          <w:tab w:val="num" w:pos="709"/>
        </w:tabs>
        <w:ind w:left="709" w:hanging="709"/>
      </w:pPr>
      <w:r w:rsidRPr="00EB60B9">
        <w:rPr>
          <w:bCs/>
        </w:rPr>
        <w:t>Atsisakyti rūkymo</w:t>
      </w:r>
      <w:r w:rsidRPr="00EB60B9">
        <w:t>. Manoma, kad rūkymas didina kaulų retėjimo greitį, vadinasi, gali didinti lūžių riziką.</w:t>
      </w:r>
    </w:p>
    <w:p w:rsidR="0024494E" w:rsidRPr="00EB60B9" w:rsidRDefault="0024494E" w:rsidP="0024494E">
      <w:pPr>
        <w:numPr>
          <w:ilvl w:val="0"/>
          <w:numId w:val="6"/>
        </w:numPr>
        <w:tabs>
          <w:tab w:val="num" w:pos="709"/>
        </w:tabs>
        <w:ind w:left="709" w:hanging="709"/>
      </w:pPr>
      <w:r w:rsidRPr="00EB60B9">
        <w:rPr>
          <w:bCs/>
        </w:rPr>
        <w:t>Mankštintis</w:t>
      </w:r>
      <w:r w:rsidRPr="00EB60B9">
        <w:t>. Kaulų, kaip ir raumenų, tvirtumo ir sveikatingumo palaikymui reikalinga mankšta. Prieš pradedant fizinio lavinimo programą reikia pasitarti su gydytoju.</w:t>
      </w:r>
    </w:p>
    <w:p w:rsidR="0024494E" w:rsidRPr="00EB60B9" w:rsidRDefault="0024494E" w:rsidP="0024494E">
      <w:pPr>
        <w:numPr>
          <w:ilvl w:val="0"/>
          <w:numId w:val="6"/>
        </w:numPr>
        <w:tabs>
          <w:tab w:val="num" w:pos="709"/>
        </w:tabs>
        <w:ind w:left="709" w:hanging="709"/>
      </w:pPr>
      <w:r w:rsidRPr="00EB60B9">
        <w:rPr>
          <w:bCs/>
        </w:rPr>
        <w:t>Laikytis subalansuotos dietos</w:t>
      </w:r>
      <w:r w:rsidRPr="00EB60B9">
        <w:t>. Gydytojas gali patarti, kaip laikytis dietos ir ar reikia vartoti kokių nors maisto papildų.</w:t>
      </w:r>
    </w:p>
    <w:p w:rsidR="0024494E" w:rsidRPr="00EB60B9" w:rsidRDefault="0024494E" w:rsidP="0024494E"/>
    <w:p w:rsidR="0024494E" w:rsidRPr="00EB60B9" w:rsidRDefault="0024494E" w:rsidP="0024494E"/>
    <w:p w:rsidR="0024494E" w:rsidRPr="00EB60B9" w:rsidRDefault="0024494E" w:rsidP="0024494E">
      <w:pPr>
        <w:tabs>
          <w:tab w:val="left" w:pos="540"/>
        </w:tabs>
        <w:outlineLvl w:val="1"/>
        <w:rPr>
          <w:rFonts w:eastAsia="Times New Roman"/>
          <w:b/>
        </w:rPr>
      </w:pPr>
      <w:r w:rsidRPr="00EB60B9">
        <w:rPr>
          <w:rFonts w:eastAsia="Times New Roman"/>
          <w:b/>
        </w:rPr>
        <w:t>2.</w:t>
      </w:r>
      <w:r w:rsidRPr="00EB60B9">
        <w:rPr>
          <w:rFonts w:eastAsia="Times New Roman"/>
          <w:b/>
        </w:rPr>
        <w:tab/>
        <w:t>Kas žinotina prieš vartojant Ostemax</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Ostemax vartoti negalima:</w:t>
      </w:r>
    </w:p>
    <w:p w:rsidR="0024494E" w:rsidRPr="00EB60B9" w:rsidRDefault="0024494E" w:rsidP="0024494E">
      <w:pPr>
        <w:ind w:left="709" w:hanging="709"/>
      </w:pPr>
      <w:r w:rsidRPr="00EB60B9">
        <w:t>-</w:t>
      </w:r>
      <w:r w:rsidRPr="00EB60B9">
        <w:tab/>
        <w:t>jeigu yra alergija natrio alendronato trihidratui arba bet kuriai pagalbinei šio vaisto medžiagai (jos išvardytos 6 skyriuje);</w:t>
      </w:r>
    </w:p>
    <w:p w:rsidR="0024494E" w:rsidRPr="00EB60B9" w:rsidRDefault="0024494E" w:rsidP="0024494E">
      <w:pPr>
        <w:ind w:left="709" w:hanging="709"/>
      </w:pPr>
      <w:r w:rsidRPr="00EB60B9">
        <w:t>-</w:t>
      </w:r>
      <w:r w:rsidRPr="00EB60B9">
        <w:tab/>
        <w:t>jeigu yra stemplės</w:t>
      </w:r>
      <w:r w:rsidRPr="00EB60B9">
        <w:rPr>
          <w:b/>
        </w:rPr>
        <w:t xml:space="preserve"> </w:t>
      </w:r>
      <w:r w:rsidRPr="00EB60B9">
        <w:t xml:space="preserve">(vamzdelio, jungiančio burną su skrandžiu) sutrikimų sunkinančių rijimą, pvz., susiaurėjimas; </w:t>
      </w:r>
    </w:p>
    <w:p w:rsidR="0024494E" w:rsidRPr="00EB60B9" w:rsidRDefault="0024494E" w:rsidP="0024494E">
      <w:pPr>
        <w:numPr>
          <w:ilvl w:val="0"/>
          <w:numId w:val="7"/>
        </w:numPr>
      </w:pPr>
      <w:r w:rsidRPr="00EB60B9">
        <w:t>jeigu negalite tiesiai stovėti ar sėdėti ne mažiau kaip 30 minučių;</w:t>
      </w:r>
    </w:p>
    <w:p w:rsidR="0024494E" w:rsidRPr="00EB60B9" w:rsidRDefault="0024494E" w:rsidP="0024494E">
      <w:pPr>
        <w:numPr>
          <w:ilvl w:val="0"/>
          <w:numId w:val="7"/>
        </w:numPr>
      </w:pPr>
      <w:r w:rsidRPr="00EB60B9">
        <w:t>jeigu gydytojas nustatė, kad Jūsų kraujyje yra per mažai kalcio.</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 xml:space="preserve">Įspėjimai ir atsargumo priemonės </w:t>
      </w:r>
    </w:p>
    <w:p w:rsidR="0024494E" w:rsidRPr="00EB60B9" w:rsidRDefault="0024494E" w:rsidP="0024494E">
      <w:pPr>
        <w:tabs>
          <w:tab w:val="left" w:pos="540"/>
        </w:tabs>
        <w:outlineLvl w:val="2"/>
        <w:rPr>
          <w:rFonts w:eastAsia="Times New Roman"/>
          <w:bCs/>
        </w:rPr>
      </w:pPr>
      <w:r w:rsidRPr="00EB60B9">
        <w:rPr>
          <w:rFonts w:eastAsia="Times New Roman"/>
          <w:bCs/>
        </w:rPr>
        <w:t>Pasitarkite su gydytoju arba vaistininku prieš pradėdami vartoti Ostemax:</w:t>
      </w:r>
    </w:p>
    <w:p w:rsidR="0024494E" w:rsidRPr="00EB60B9" w:rsidRDefault="0024494E" w:rsidP="0024494E">
      <w:pPr>
        <w:numPr>
          <w:ilvl w:val="0"/>
          <w:numId w:val="8"/>
        </w:numPr>
        <w:tabs>
          <w:tab w:val="num" w:pos="567"/>
        </w:tabs>
        <w:ind w:left="567" w:hanging="567"/>
      </w:pPr>
      <w:r w:rsidRPr="00EB60B9">
        <w:t>jeigu vargina inkstų veiklos sutrikimai;</w:t>
      </w:r>
    </w:p>
    <w:p w:rsidR="0024494E" w:rsidRPr="00EB60B9" w:rsidRDefault="0024494E" w:rsidP="0024494E">
      <w:pPr>
        <w:numPr>
          <w:ilvl w:val="0"/>
          <w:numId w:val="8"/>
        </w:numPr>
        <w:tabs>
          <w:tab w:val="num" w:pos="567"/>
        </w:tabs>
        <w:ind w:left="567" w:hanging="567"/>
      </w:pPr>
      <w:r w:rsidRPr="00EB60B9">
        <w:t>jeigu esate alergiškas kokiai nors medžiagai;</w:t>
      </w:r>
    </w:p>
    <w:p w:rsidR="0024494E" w:rsidRPr="00EB60B9" w:rsidRDefault="0024494E" w:rsidP="0024494E">
      <w:pPr>
        <w:numPr>
          <w:ilvl w:val="0"/>
          <w:numId w:val="8"/>
        </w:numPr>
        <w:tabs>
          <w:tab w:val="num" w:pos="567"/>
        </w:tabs>
        <w:ind w:left="567" w:hanging="567"/>
      </w:pPr>
      <w:r w:rsidRPr="00EB60B9">
        <w:t xml:space="preserve">jeigu gydytojas sakė, kad Jums yra </w:t>
      </w:r>
      <w:r w:rsidRPr="00EB60B9">
        <w:rPr>
          <w:i/>
        </w:rPr>
        <w:t>Barretto stemplė</w:t>
      </w:r>
      <w:r w:rsidRPr="00EB60B9">
        <w:t xml:space="preserve"> (būklė, susijusi su ląstelių, ribojančių apatinę stemplės dalį, pokyčiais);</w:t>
      </w:r>
    </w:p>
    <w:p w:rsidR="0024494E" w:rsidRPr="00EB60B9" w:rsidRDefault="0024494E" w:rsidP="0024494E">
      <w:pPr>
        <w:numPr>
          <w:ilvl w:val="0"/>
          <w:numId w:val="8"/>
        </w:numPr>
        <w:tabs>
          <w:tab w:val="num" w:pos="567"/>
        </w:tabs>
        <w:ind w:left="567" w:hanging="567"/>
      </w:pPr>
      <w:r w:rsidRPr="00EB60B9">
        <w:t>turite rijimo ar virškinimo sutrikimų;</w:t>
      </w:r>
    </w:p>
    <w:p w:rsidR="0024494E" w:rsidRPr="00EB60B9" w:rsidRDefault="0024494E" w:rsidP="0024494E">
      <w:pPr>
        <w:numPr>
          <w:ilvl w:val="0"/>
          <w:numId w:val="8"/>
        </w:numPr>
        <w:tabs>
          <w:tab w:val="num" w:pos="540"/>
          <w:tab w:val="left" w:pos="567"/>
        </w:tabs>
        <w:ind w:left="540" w:hanging="540"/>
      </w:pPr>
      <w:r w:rsidRPr="00EB60B9">
        <w:t>jeigu sergate vėžiu ir (arba), jums taikomas vėžio gydymas, toks kaip chemoterapija arba radioterapija ir kt;</w:t>
      </w:r>
    </w:p>
    <w:p w:rsidR="0024494E" w:rsidRPr="00EB60B9" w:rsidRDefault="0024494E" w:rsidP="0024494E">
      <w:pPr>
        <w:tabs>
          <w:tab w:val="left" w:pos="567"/>
        </w:tabs>
        <w:rPr>
          <w:b/>
        </w:rPr>
      </w:pPr>
      <w:r w:rsidRPr="00EB60B9">
        <w:t>-</w:t>
      </w:r>
      <w:r w:rsidRPr="00EB60B9">
        <w:tab/>
        <w:t>jeigu Jums yra dantenų liga;</w:t>
      </w:r>
    </w:p>
    <w:p w:rsidR="0024494E" w:rsidRPr="00EB60B9" w:rsidRDefault="0024494E" w:rsidP="0024494E">
      <w:pPr>
        <w:numPr>
          <w:ilvl w:val="0"/>
          <w:numId w:val="8"/>
        </w:numPr>
        <w:tabs>
          <w:tab w:val="left" w:pos="567"/>
        </w:tabs>
      </w:pPr>
      <w:r w:rsidRPr="00EB60B9">
        <w:t>jeigu vartojate kortikosteroidinius vaistus (pvz., prednizolono ar deksametazono);</w:t>
      </w:r>
    </w:p>
    <w:p w:rsidR="0024494E" w:rsidRPr="00EB60B9" w:rsidRDefault="0024494E" w:rsidP="0024494E">
      <w:pPr>
        <w:numPr>
          <w:ilvl w:val="0"/>
          <w:numId w:val="8"/>
        </w:numPr>
        <w:tabs>
          <w:tab w:val="left" w:pos="567"/>
        </w:tabs>
      </w:pPr>
      <w:r w:rsidRPr="00EB60B9">
        <w:t>jeigu Jums trūksta vitamino D ar skundžiatės prieskydinių liaukų veiklos susilpnėjimu;</w:t>
      </w:r>
    </w:p>
    <w:p w:rsidR="0024494E" w:rsidRPr="00EB60B9" w:rsidRDefault="0024494E" w:rsidP="0024494E">
      <w:pPr>
        <w:numPr>
          <w:ilvl w:val="0"/>
          <w:numId w:val="8"/>
        </w:numPr>
        <w:tabs>
          <w:tab w:val="num" w:pos="567"/>
        </w:tabs>
        <w:ind w:left="567" w:hanging="567"/>
      </w:pPr>
      <w:r w:rsidRPr="00EB60B9">
        <w:t>jeigu rūkote ar anksčiau rūkėte (kadangi gali padidėti dantų ligų ir žandikaulio pažeidimo rizika).</w:t>
      </w:r>
    </w:p>
    <w:p w:rsidR="0024494E" w:rsidRPr="00EB60B9" w:rsidRDefault="0024494E" w:rsidP="0024494E">
      <w:pPr>
        <w:tabs>
          <w:tab w:val="left" w:pos="567"/>
        </w:tabs>
      </w:pPr>
    </w:p>
    <w:p w:rsidR="0024494E" w:rsidRPr="00EB60B9" w:rsidRDefault="0024494E" w:rsidP="0024494E">
      <w:pPr>
        <w:tabs>
          <w:tab w:val="left" w:pos="567"/>
        </w:tabs>
      </w:pPr>
      <w:r w:rsidRPr="00EB60B9">
        <w:t>Jums gali būti patarta prieš pradedant gydymą Ostemax pasitikrinti dantis.</w:t>
      </w:r>
    </w:p>
    <w:p w:rsidR="0024494E" w:rsidRPr="00EB60B9" w:rsidRDefault="0024494E" w:rsidP="0024494E">
      <w:r w:rsidRPr="00EB60B9">
        <w:t xml:space="preserve">Gydymo metu reikia laikytis tinkamos profilaktinės dantų priežiūros, kaip rekomenduota odontologo. </w:t>
      </w:r>
    </w:p>
    <w:p w:rsidR="0024494E" w:rsidRPr="00EB60B9" w:rsidRDefault="0024494E" w:rsidP="0024494E">
      <w:pPr>
        <w:tabs>
          <w:tab w:val="left" w:pos="567"/>
        </w:tabs>
        <w:rPr>
          <w:color w:val="000000"/>
        </w:rPr>
      </w:pPr>
    </w:p>
    <w:p w:rsidR="0024494E" w:rsidRPr="00EB60B9" w:rsidRDefault="0024494E" w:rsidP="0024494E">
      <w:pPr>
        <w:tabs>
          <w:tab w:val="left" w:pos="567"/>
        </w:tabs>
        <w:rPr>
          <w:color w:val="000000"/>
        </w:rPr>
      </w:pPr>
      <w:r w:rsidRPr="00EB60B9">
        <w:rPr>
          <w:color w:val="000000"/>
        </w:rPr>
        <w:t>Ostemax gydymo metu svarbu palaikyti gerą burnos higieną. Gydymo metu Jūs turėtumėte periodiškai tikrinti dantis ir kreiptis į savo gydytoją ar odontologą, jei pajutote kokias nors burnos ar dantų problemas pvz., paslankius dantis, skausmą ar patinimą.</w:t>
      </w:r>
    </w:p>
    <w:p w:rsidR="0024494E" w:rsidRPr="00EB60B9" w:rsidRDefault="0024494E" w:rsidP="0024494E">
      <w:pPr>
        <w:rPr>
          <w:b/>
        </w:rPr>
      </w:pPr>
    </w:p>
    <w:p w:rsidR="0024494E" w:rsidRPr="00EB60B9" w:rsidRDefault="0024494E" w:rsidP="0024494E">
      <w:pPr>
        <w:tabs>
          <w:tab w:val="left" w:pos="567"/>
        </w:tabs>
      </w:pPr>
      <w:r w:rsidRPr="00EB60B9">
        <w:t>Nutraukite Ostemax vartojimą ir kreipkitės į gydytoją jeigu pasireiškia stemplės dirginimas, uždegimas ar išopėjimas, kurie dažnai pasireiškia krūtinės skausmu, rėmeniu, sunkumu ar skausmu ryjant. Šis šalutinis poveikis būna sunkesnis, jei atsiradus minėtiems simptomams pacientas toliau vartoja Ostemax. Šio šalutinio poveikio rizika padidėja, jei nesilaikoma 3 skyriaus “Kaip vartoti Ostemax 70 mg tablečių” nurodymų.</w:t>
      </w:r>
    </w:p>
    <w:p w:rsidR="0024494E" w:rsidRPr="00EB60B9" w:rsidRDefault="0024494E" w:rsidP="0024494E"/>
    <w:p w:rsidR="0024494E" w:rsidRPr="00EB60B9" w:rsidRDefault="0024494E" w:rsidP="0024494E">
      <w:r w:rsidRPr="00EB60B9">
        <w:t>Nutraukite Ostemax vartojimą ir kreipkitės į gydytoją jeigu pasireiškia šie simptomai (angioedema):</w:t>
      </w:r>
    </w:p>
    <w:p w:rsidR="0024494E" w:rsidRPr="00EB60B9" w:rsidRDefault="0024494E" w:rsidP="0024494E">
      <w:pPr>
        <w:numPr>
          <w:ilvl w:val="0"/>
          <w:numId w:val="9"/>
        </w:numPr>
      </w:pPr>
      <w:r w:rsidRPr="00EB60B9">
        <w:t>Veido, liežuvio, gerklės pabrinkimas.</w:t>
      </w:r>
    </w:p>
    <w:p w:rsidR="0024494E" w:rsidRPr="00EB60B9" w:rsidRDefault="0024494E" w:rsidP="0024494E">
      <w:pPr>
        <w:numPr>
          <w:ilvl w:val="0"/>
          <w:numId w:val="9"/>
        </w:numPr>
      </w:pPr>
      <w:r w:rsidRPr="00EB60B9">
        <w:t>Pasunkėjęs rijimas.</w:t>
      </w:r>
    </w:p>
    <w:p w:rsidR="0024494E" w:rsidRPr="00EB60B9" w:rsidRDefault="0024494E" w:rsidP="0024494E">
      <w:pPr>
        <w:numPr>
          <w:ilvl w:val="0"/>
          <w:numId w:val="9"/>
        </w:numPr>
      </w:pPr>
      <w:r w:rsidRPr="00EB60B9">
        <w:t xml:space="preserve">Dilgėlinė ir pasunkėjęs kvėpavimas. </w:t>
      </w:r>
    </w:p>
    <w:p w:rsidR="0024494E" w:rsidRPr="00EB60B9" w:rsidRDefault="0024494E" w:rsidP="0024494E"/>
    <w:p w:rsidR="0024494E" w:rsidRPr="00EB60B9" w:rsidRDefault="0024494E" w:rsidP="0024494E">
      <w:pPr>
        <w:rPr>
          <w:b/>
        </w:rPr>
      </w:pPr>
      <w:r w:rsidRPr="00EB60B9">
        <w:rPr>
          <w:b/>
        </w:rPr>
        <w:t>Vaikams ir paaugliams</w:t>
      </w:r>
    </w:p>
    <w:p w:rsidR="0024494E" w:rsidRPr="00EB60B9" w:rsidRDefault="0024494E" w:rsidP="0024494E">
      <w:r w:rsidRPr="00EB60B9">
        <w:rPr>
          <w:color w:val="000000"/>
          <w:spacing w:val="-3"/>
        </w:rPr>
        <w:t>Ostemax vartoti vaikams ir paaugliams negalima.</w:t>
      </w:r>
    </w:p>
    <w:p w:rsidR="0024494E" w:rsidRPr="00EB60B9" w:rsidRDefault="0024494E" w:rsidP="0024494E"/>
    <w:p w:rsidR="0024494E" w:rsidRPr="00EB60B9" w:rsidRDefault="0024494E" w:rsidP="0024494E">
      <w:r w:rsidRPr="00EB60B9">
        <w:rPr>
          <w:b/>
        </w:rPr>
        <w:lastRenderedPageBreak/>
        <w:t>Kiti vaistai ir Ostemax</w:t>
      </w:r>
    </w:p>
    <w:p w:rsidR="0024494E" w:rsidRPr="00EB60B9" w:rsidRDefault="0024494E" w:rsidP="0024494E">
      <w:r w:rsidRPr="00EB60B9">
        <w:t xml:space="preserve">Jeigu vartojate ar neseniai vartojote kitų vaistų </w:t>
      </w:r>
      <w:r w:rsidRPr="00EB60B9">
        <w:rPr>
          <w:noProof/>
        </w:rPr>
        <w:t xml:space="preserve">arba dėl to nesate tikri, apie tai </w:t>
      </w:r>
      <w:r w:rsidRPr="00EB60B9">
        <w:t>pasakykite gydytojui arba vaistininkui.</w:t>
      </w:r>
    </w:p>
    <w:p w:rsidR="0024494E" w:rsidRPr="00EB60B9" w:rsidRDefault="0024494E" w:rsidP="0024494E">
      <w:r w:rsidRPr="00EB60B9">
        <w:t xml:space="preserve">Nesteroidiniai vaistai nuo uždegimo (pvz., aspirinas, ibuprofenas, indometacinas) gali dirginti virškinimo traktą, todėl su Ostemax jų reikia vartoti atsargiai. </w:t>
      </w:r>
    </w:p>
    <w:p w:rsidR="0024494E" w:rsidRPr="00EB60B9" w:rsidRDefault="0024494E" w:rsidP="0024494E">
      <w:r w:rsidRPr="00EB60B9">
        <w:t>Ostemax gali sąveikauti</w:t>
      </w:r>
      <w:r w:rsidRPr="00EB60B9">
        <w:rPr>
          <w:b/>
        </w:rPr>
        <w:t xml:space="preserve"> </w:t>
      </w:r>
      <w:r w:rsidRPr="00EB60B9">
        <w:t>su kalcio papildais, antacidiniais preparatais ir kai kuriais geriamaisiais vaistais. Nurijus Ostemax, privalote bent 30 min. nevartoti kitų vaistų.</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Ostemax vartojimas su maistu ir gėrimais</w:t>
      </w:r>
    </w:p>
    <w:p w:rsidR="0024494E" w:rsidRPr="00EB60B9" w:rsidRDefault="0024494E" w:rsidP="0024494E">
      <w:r w:rsidRPr="00EB60B9">
        <w:t xml:space="preserve">Ostemax gali sąveikauti su maistu, gėrimais ir kitais vaistais, kurių Jūs geriate, todėl yra svarbu tiksliai laikytis 3 skyriaus “Kaip vartoti Ostemax” patarimų. </w:t>
      </w:r>
    </w:p>
    <w:p w:rsidR="0024494E" w:rsidRPr="00EB60B9" w:rsidRDefault="0024494E" w:rsidP="0024494E">
      <w:pPr>
        <w:tabs>
          <w:tab w:val="left" w:pos="540"/>
        </w:tabs>
        <w:outlineLvl w:val="2"/>
        <w:rPr>
          <w:rFonts w:eastAsia="Times New Roman"/>
          <w:b/>
          <w:bCs/>
        </w:rPr>
      </w:pPr>
    </w:p>
    <w:p w:rsidR="0024494E" w:rsidRPr="00EB60B9" w:rsidRDefault="0024494E" w:rsidP="0024494E">
      <w:pPr>
        <w:tabs>
          <w:tab w:val="left" w:pos="540"/>
        </w:tabs>
        <w:outlineLvl w:val="2"/>
        <w:rPr>
          <w:rFonts w:eastAsia="Times New Roman"/>
          <w:b/>
          <w:bCs/>
        </w:rPr>
      </w:pPr>
      <w:r w:rsidRPr="00EB60B9">
        <w:rPr>
          <w:rFonts w:eastAsia="Times New Roman"/>
          <w:b/>
          <w:bCs/>
        </w:rPr>
        <w:t>Nėštumas, žindymo laikotarpis ir vaisingumas</w:t>
      </w:r>
    </w:p>
    <w:p w:rsidR="0024494E" w:rsidRPr="00EB60B9" w:rsidRDefault="0024494E" w:rsidP="0024494E">
      <w:r w:rsidRPr="00EB60B9">
        <w:t>Ostemax skirtas tik moterims po menopauzės. Jeigu esate nėščia, žindote kūdikį, manote, kad galbūt esate nėščia arba planuojate pastoti, tai prieš vartodama šį vaistą pasitarkite su gydytoju arba vaistininku. Jei esate nėščia ar planuojate pastoti, vartoti Ostemax negalima.</w:t>
      </w:r>
    </w:p>
    <w:p w:rsidR="0024494E" w:rsidRPr="00EB60B9" w:rsidRDefault="0024494E" w:rsidP="0024494E">
      <w:pPr>
        <w:tabs>
          <w:tab w:val="left" w:pos="540"/>
        </w:tabs>
        <w:outlineLvl w:val="2"/>
        <w:rPr>
          <w:rFonts w:eastAsia="Times New Roman"/>
          <w:bCs/>
        </w:rPr>
      </w:pPr>
      <w:r w:rsidRPr="00EB60B9">
        <w:rPr>
          <w:rFonts w:eastAsia="Times New Roman"/>
          <w:bCs/>
        </w:rPr>
        <w:t>Jeigu žindote kūdikį, vartoti Ostemax negalima.</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Vairavimas ir mechanizmų valdymas</w:t>
      </w:r>
    </w:p>
    <w:p w:rsidR="0024494E" w:rsidRPr="00EB60B9" w:rsidRDefault="0024494E" w:rsidP="0024494E">
      <w:pPr>
        <w:textAlignment w:val="top"/>
        <w:rPr>
          <w:color w:val="888888"/>
        </w:rPr>
      </w:pPr>
      <w:r w:rsidRPr="00EB60B9">
        <w:t xml:space="preserve">Ostemax 70 mg tabletės Jūsų gebėjimui vairuoti transportą ir valdyti veikiančius mechanizmus įtakos nedaro. Vis dėlto, tam tikras šalutinis poveikis gali paveikti kai kurių pacientų gebėjimą vairuoti ar valdyti mechanizmus. </w:t>
      </w:r>
      <w:r w:rsidRPr="00EB60B9">
        <w:rPr>
          <w:color w:val="000000"/>
        </w:rPr>
        <w:t>Įsitikinkite, kad jūs žinote, kaip veikia šis vaistas prieš pradėdami vairuoti ar valdyti mechanizmus.</w:t>
      </w:r>
    </w:p>
    <w:p w:rsidR="0024494E" w:rsidRPr="00EB60B9" w:rsidRDefault="0024494E" w:rsidP="0024494E"/>
    <w:p w:rsidR="0024494E" w:rsidRPr="00EB60B9" w:rsidRDefault="0024494E" w:rsidP="0024494E">
      <w:pPr>
        <w:ind w:left="567" w:hanging="567"/>
        <w:outlineLvl w:val="0"/>
        <w:rPr>
          <w:b/>
        </w:rPr>
      </w:pPr>
      <w:proofErr w:type="spellStart"/>
      <w:r w:rsidRPr="00EB60B9">
        <w:rPr>
          <w:b/>
        </w:rPr>
        <w:t>Ostemax</w:t>
      </w:r>
      <w:proofErr w:type="spellEnd"/>
      <w:r w:rsidRPr="00EB60B9">
        <w:rPr>
          <w:b/>
        </w:rPr>
        <w:t xml:space="preserve"> sudėtyje yra laktozės</w:t>
      </w:r>
      <w:r w:rsidR="006E63ED">
        <w:rPr>
          <w:b/>
        </w:rPr>
        <w:t xml:space="preserve"> ir n</w:t>
      </w:r>
      <w:r w:rsidR="006E63ED" w:rsidRPr="006E63ED">
        <w:rPr>
          <w:b/>
        </w:rPr>
        <w:t>atris</w:t>
      </w:r>
    </w:p>
    <w:p w:rsidR="0024494E" w:rsidRDefault="0024494E" w:rsidP="006E63ED">
      <w:pPr>
        <w:rPr>
          <w:bCs/>
          <w:iCs/>
        </w:rPr>
      </w:pPr>
      <w:proofErr w:type="spellStart"/>
      <w:r w:rsidRPr="00EB60B9">
        <w:t>Ostemax</w:t>
      </w:r>
      <w:proofErr w:type="spellEnd"/>
      <w:r w:rsidRPr="00EB60B9">
        <w:t xml:space="preserve"> sudėtyje yra laktozės</w:t>
      </w:r>
      <w:r w:rsidR="006E63ED">
        <w:t>.</w:t>
      </w:r>
      <w:r w:rsidRPr="00EB60B9">
        <w:t xml:space="preserve"> </w:t>
      </w:r>
      <w:r w:rsidR="006E63ED" w:rsidRPr="006E63ED">
        <w:rPr>
          <w:bCs/>
          <w:iCs/>
        </w:rPr>
        <w:t>Jeigu gydytojas Jums yra sakęs, kad netoleruojate</w:t>
      </w:r>
      <w:r w:rsidR="006E63ED">
        <w:rPr>
          <w:bCs/>
          <w:iCs/>
        </w:rPr>
        <w:t xml:space="preserve"> </w:t>
      </w:r>
      <w:r w:rsidR="006E63ED" w:rsidRPr="006E63ED">
        <w:rPr>
          <w:bCs/>
          <w:iCs/>
        </w:rPr>
        <w:t>kokių nors angliavandenių, kreipkitės į jį prieš</w:t>
      </w:r>
      <w:r w:rsidR="006E63ED">
        <w:rPr>
          <w:bCs/>
          <w:iCs/>
        </w:rPr>
        <w:t xml:space="preserve"> </w:t>
      </w:r>
      <w:r w:rsidR="006E63ED" w:rsidRPr="006E63ED">
        <w:rPr>
          <w:bCs/>
          <w:iCs/>
        </w:rPr>
        <w:t>pradėdami vartoti šį vaistą.</w:t>
      </w:r>
    </w:p>
    <w:p w:rsidR="006E63ED" w:rsidRDefault="006E63ED" w:rsidP="006E63ED">
      <w:pPr>
        <w:rPr>
          <w:bCs/>
          <w:iCs/>
        </w:rPr>
      </w:pPr>
    </w:p>
    <w:p w:rsidR="006E63ED" w:rsidRDefault="006E63ED" w:rsidP="006E63ED">
      <w:pPr>
        <w:rPr>
          <w:bCs/>
          <w:iCs/>
        </w:rPr>
      </w:pPr>
      <w:r w:rsidRPr="006E63ED">
        <w:rPr>
          <w:bCs/>
          <w:iCs/>
        </w:rPr>
        <w:t>Šio vaisto tabletė</w:t>
      </w:r>
      <w:r w:rsidR="003424BC">
        <w:rPr>
          <w:bCs/>
          <w:iCs/>
        </w:rPr>
        <w:t xml:space="preserve">je </w:t>
      </w:r>
      <w:r w:rsidRPr="006E63ED">
        <w:rPr>
          <w:bCs/>
          <w:iCs/>
        </w:rPr>
        <w:t xml:space="preserve"> yra</w:t>
      </w:r>
      <w:r>
        <w:rPr>
          <w:bCs/>
          <w:iCs/>
        </w:rPr>
        <w:t xml:space="preserve"> </w:t>
      </w:r>
      <w:r w:rsidRPr="006E63ED">
        <w:rPr>
          <w:bCs/>
          <w:iCs/>
        </w:rPr>
        <w:t xml:space="preserve">mažiau kaip 1 </w:t>
      </w:r>
      <w:proofErr w:type="spellStart"/>
      <w:r w:rsidRPr="006E63ED">
        <w:rPr>
          <w:bCs/>
          <w:iCs/>
        </w:rPr>
        <w:t>mmol</w:t>
      </w:r>
      <w:proofErr w:type="spellEnd"/>
      <w:r w:rsidRPr="006E63ED">
        <w:rPr>
          <w:bCs/>
          <w:iCs/>
        </w:rPr>
        <w:t xml:space="preserve"> (23 mg) natrio, </w:t>
      </w:r>
      <w:proofErr w:type="spellStart"/>
      <w:r w:rsidRPr="006E63ED">
        <w:rPr>
          <w:bCs/>
          <w:iCs/>
        </w:rPr>
        <w:t>t.y</w:t>
      </w:r>
      <w:proofErr w:type="spellEnd"/>
      <w:r w:rsidRPr="006E63ED">
        <w:rPr>
          <w:bCs/>
          <w:iCs/>
        </w:rPr>
        <w:t>. jis beveik</w:t>
      </w:r>
      <w:r>
        <w:rPr>
          <w:bCs/>
          <w:iCs/>
        </w:rPr>
        <w:t xml:space="preserve"> </w:t>
      </w:r>
      <w:r w:rsidRPr="006E63ED">
        <w:rPr>
          <w:bCs/>
          <w:iCs/>
        </w:rPr>
        <w:t>neturi reikšmės.</w:t>
      </w:r>
    </w:p>
    <w:p w:rsidR="006E63ED" w:rsidRPr="00EB60B9" w:rsidRDefault="006E63ED" w:rsidP="006E63ED">
      <w:pPr>
        <w:rPr>
          <w:bCs/>
          <w:iCs/>
        </w:rPr>
      </w:pPr>
    </w:p>
    <w:p w:rsidR="0024494E" w:rsidRPr="00EB60B9" w:rsidRDefault="0024494E" w:rsidP="0024494E"/>
    <w:p w:rsidR="0024494E" w:rsidRPr="00EB60B9" w:rsidRDefault="0024494E" w:rsidP="0024494E">
      <w:pPr>
        <w:tabs>
          <w:tab w:val="left" w:pos="540"/>
        </w:tabs>
        <w:outlineLvl w:val="1"/>
        <w:rPr>
          <w:rFonts w:eastAsia="Times New Roman"/>
          <w:b/>
        </w:rPr>
      </w:pPr>
      <w:r w:rsidRPr="00EB60B9">
        <w:rPr>
          <w:rFonts w:eastAsia="Times New Roman"/>
          <w:b/>
        </w:rPr>
        <w:t>3.</w:t>
      </w:r>
      <w:r w:rsidRPr="00EB60B9">
        <w:rPr>
          <w:rFonts w:eastAsia="Times New Roman"/>
          <w:b/>
        </w:rPr>
        <w:tab/>
        <w:t xml:space="preserve">Kaip vartoti Ostemax </w:t>
      </w:r>
    </w:p>
    <w:p w:rsidR="0024494E" w:rsidRPr="00EB60B9" w:rsidRDefault="0024494E" w:rsidP="0024494E"/>
    <w:p w:rsidR="0024494E" w:rsidRPr="00EB60B9" w:rsidRDefault="0024494E" w:rsidP="0024494E">
      <w:r w:rsidRPr="00EB60B9">
        <w:t xml:space="preserve">Visada vartokite šį vaistą tiksliai kaip nurodė gydytojas. Jeigu abejojate, kreipkitės į gydytoją arba vaistininką. </w:t>
      </w:r>
    </w:p>
    <w:p w:rsidR="0024494E" w:rsidRPr="00EB60B9" w:rsidRDefault="0024494E" w:rsidP="0024494E"/>
    <w:p w:rsidR="0024494E" w:rsidRPr="00EB60B9" w:rsidRDefault="0024494E" w:rsidP="0024494E">
      <w:r w:rsidRPr="00EB60B9">
        <w:t>Vaistas skirtas tik suaugusiems pacientams.</w:t>
      </w:r>
    </w:p>
    <w:p w:rsidR="0024494E" w:rsidRPr="00EB60B9" w:rsidRDefault="0024494E" w:rsidP="0024494E">
      <w:r w:rsidRPr="00EB60B9">
        <w:t>Rekomenduojama Ostemax dozė yra viena tabletė, kurią reikia gerti kartą per savaitę.</w:t>
      </w:r>
    </w:p>
    <w:p w:rsidR="0024494E" w:rsidRPr="00EB60B9" w:rsidRDefault="0024494E" w:rsidP="0024494E"/>
    <w:p w:rsidR="0024494E" w:rsidRPr="00EB60B9" w:rsidRDefault="0024494E" w:rsidP="0024494E">
      <w:r w:rsidRPr="00EB60B9">
        <w:t>Kad Ostemax 70 mg tabletės padėtų, reikia laikytis toliau pateiktų nurodymų.</w:t>
      </w:r>
    </w:p>
    <w:p w:rsidR="0024494E" w:rsidRPr="00EB60B9" w:rsidRDefault="0024494E" w:rsidP="0024494E">
      <w:pPr>
        <w:rPr>
          <w:b/>
        </w:rPr>
      </w:pPr>
    </w:p>
    <w:p w:rsidR="0024494E" w:rsidRPr="00EB60B9" w:rsidRDefault="0024494E" w:rsidP="0024494E">
      <w:r w:rsidRPr="00EB60B9">
        <w:t>Jeigu nesilaikysite šių veiksmų ir nurodymų, Jums gali pasireikšti šalutinis poveikis (žr. 4 skyrių „Galimas šalutinis poveikis“)</w:t>
      </w:r>
    </w:p>
    <w:p w:rsidR="0024494E" w:rsidRPr="00EB60B9" w:rsidRDefault="0024494E" w:rsidP="0024494E">
      <w:pPr>
        <w:tabs>
          <w:tab w:val="left" w:pos="360"/>
        </w:tabs>
      </w:pPr>
      <w:r w:rsidRPr="00EB60B9">
        <w:t>1.</w:t>
      </w:r>
      <w:r w:rsidRPr="00EB60B9">
        <w:tab/>
        <w:t>Pasirinkite dieną. Pasirinkite Jums tinkamiausią savaitės dieną, kurią vartosite vaistą. Kiekvieną savaitę, Jūsų pasirinktą dieną išgerkite vieną Ostemax 70 mg tabletę;</w:t>
      </w:r>
    </w:p>
    <w:p w:rsidR="0024494E" w:rsidRPr="00EB60B9" w:rsidRDefault="0024494E" w:rsidP="0024494E">
      <w:r w:rsidRPr="00EB60B9">
        <w:t>Labai svarbu įvykdyti 2, 3, 4 ir 5 veiksmus, kurie padeda Ostemax greitai patekti į Jūsų skrandį ir sumažina stemplės (vamzdelio, jungiančio burną su skrandžiu) dirginimo galimybę.</w:t>
      </w:r>
    </w:p>
    <w:p w:rsidR="0024494E" w:rsidRPr="00EB60B9" w:rsidRDefault="0024494E" w:rsidP="0024494E">
      <w:pPr>
        <w:tabs>
          <w:tab w:val="left" w:pos="360"/>
        </w:tabs>
      </w:pPr>
    </w:p>
    <w:p w:rsidR="0024494E" w:rsidRPr="00EB60B9" w:rsidRDefault="0024494E" w:rsidP="0024494E">
      <w:pPr>
        <w:tabs>
          <w:tab w:val="left" w:pos="360"/>
        </w:tabs>
      </w:pPr>
      <w:r w:rsidRPr="00EB60B9">
        <w:t>2.</w:t>
      </w:r>
      <w:r w:rsidRPr="00EB60B9">
        <w:tab/>
        <w:t>Prieš vartojimą nevalgyti ir negerti</w:t>
      </w:r>
      <w:r w:rsidRPr="00EB60B9">
        <w:rPr>
          <w:b/>
        </w:rPr>
        <w:t xml:space="preserve">. </w:t>
      </w:r>
      <w:r w:rsidRPr="00EB60B9">
        <w:t xml:space="preserve">Ostemax reikia gerti ryte, tik pabudus, prieš valgymą, gėrimą ar kitų vaistų vartojimą. Tabletę reikia nuryti, užsigeriant pilna stikline (ne mažiau kaip 200 ml) geriamojo vandens. </w:t>
      </w:r>
    </w:p>
    <w:p w:rsidR="0024494E" w:rsidRPr="00EB60B9" w:rsidRDefault="0024494E" w:rsidP="0024494E">
      <w:pPr>
        <w:tabs>
          <w:tab w:val="left" w:pos="360"/>
        </w:tabs>
      </w:pPr>
      <w:r w:rsidRPr="00EB60B9">
        <w:t>Nevartokite:</w:t>
      </w:r>
    </w:p>
    <w:p w:rsidR="0024494E" w:rsidRPr="00EB60B9" w:rsidRDefault="0024494E" w:rsidP="0024494E">
      <w:pPr>
        <w:tabs>
          <w:tab w:val="left" w:pos="360"/>
        </w:tabs>
      </w:pPr>
      <w:r w:rsidRPr="00EB60B9">
        <w:t>- mineralinio vandens;</w:t>
      </w:r>
    </w:p>
    <w:p w:rsidR="0024494E" w:rsidRPr="00EB60B9" w:rsidRDefault="0024494E" w:rsidP="0024494E">
      <w:pPr>
        <w:tabs>
          <w:tab w:val="left" w:pos="360"/>
        </w:tabs>
      </w:pPr>
      <w:r w:rsidRPr="00EB60B9">
        <w:t>- kavos ar arbatos;</w:t>
      </w:r>
    </w:p>
    <w:p w:rsidR="0024494E" w:rsidRPr="00EB60B9" w:rsidRDefault="0024494E" w:rsidP="0024494E">
      <w:pPr>
        <w:tabs>
          <w:tab w:val="left" w:pos="360"/>
        </w:tabs>
      </w:pPr>
      <w:r w:rsidRPr="00EB60B9">
        <w:t>- sulčių.</w:t>
      </w:r>
    </w:p>
    <w:p w:rsidR="0024494E" w:rsidRPr="00EB60B9" w:rsidRDefault="0024494E" w:rsidP="0024494E">
      <w:pPr>
        <w:tabs>
          <w:tab w:val="left" w:pos="360"/>
        </w:tabs>
      </w:pPr>
    </w:p>
    <w:p w:rsidR="0024494E" w:rsidRPr="00EB60B9" w:rsidRDefault="0024494E" w:rsidP="0024494E">
      <w:pPr>
        <w:numPr>
          <w:ilvl w:val="0"/>
          <w:numId w:val="10"/>
        </w:numPr>
        <w:tabs>
          <w:tab w:val="left" w:pos="360"/>
        </w:tabs>
      </w:pPr>
      <w:r w:rsidRPr="00EB60B9">
        <w:t>Reikia nuryti visą tabletę. Tabletės smulkinti ar kramtyti ar leisti jai ištirpti burnoje negalima.</w:t>
      </w:r>
    </w:p>
    <w:p w:rsidR="0024494E" w:rsidRPr="00EB60B9" w:rsidRDefault="0024494E" w:rsidP="0024494E"/>
    <w:p w:rsidR="0024494E" w:rsidRPr="00EB60B9" w:rsidRDefault="0024494E" w:rsidP="0024494E">
      <w:pPr>
        <w:tabs>
          <w:tab w:val="left" w:pos="360"/>
        </w:tabs>
      </w:pPr>
      <w:r w:rsidRPr="00EB60B9">
        <w:t>3.</w:t>
      </w:r>
      <w:r w:rsidRPr="00EB60B9">
        <w:tab/>
        <w:t>Gultis negalima</w:t>
      </w:r>
      <w:r w:rsidRPr="00EB60B9">
        <w:rPr>
          <w:b/>
        </w:rPr>
        <w:t>.</w:t>
      </w:r>
      <w:r w:rsidRPr="00EB60B9">
        <w:t xml:space="preserve"> Išgėrus Ostemax, gultis negalima. Jūs turite likti vertikalioje padėtyje, t. y. sėdėti, stovėti ar vaikščioti, mažiausiai 30 minučių ir vėl neatsigulti iki pirmojo Jūsų dienos maitinimosi. Ostemax negalima gerti vakare, prieš miegą, ir neatsikėlus iš lovos ryte.</w:t>
      </w:r>
    </w:p>
    <w:p w:rsidR="0024494E" w:rsidRPr="00EB60B9" w:rsidRDefault="0024494E" w:rsidP="0024494E"/>
    <w:p w:rsidR="0024494E" w:rsidRPr="00EB60B9" w:rsidRDefault="0024494E" w:rsidP="0024494E">
      <w:pPr>
        <w:numPr>
          <w:ilvl w:val="0"/>
          <w:numId w:val="11"/>
        </w:numPr>
      </w:pPr>
      <w:r w:rsidRPr="00EB60B9">
        <w:t>Valgyti negalima</w:t>
      </w:r>
      <w:r w:rsidRPr="00EB60B9">
        <w:rPr>
          <w:b/>
        </w:rPr>
        <w:t>.</w:t>
      </w:r>
      <w:r w:rsidRPr="00EB60B9">
        <w:t xml:space="preserve"> Nurijus Ostemax, pusryčiauti, gerti ar vartoti kitų vaistų, įskaitant antacidinius (skrandžio rūgštingumą mažinančius) preparatus, kalcio papildus ir vitaminus, galima ne anksčiau kaip po 30 minučių. Ostemax 70 mg tabletės yra veiksmingos, jei vartojamos, kai skrandis tuščias.</w:t>
      </w:r>
    </w:p>
    <w:p w:rsidR="0024494E" w:rsidRPr="00EB60B9" w:rsidRDefault="0024494E" w:rsidP="0024494E"/>
    <w:p w:rsidR="0024494E" w:rsidRPr="00EB60B9" w:rsidRDefault="0024494E" w:rsidP="0024494E">
      <w:pPr>
        <w:tabs>
          <w:tab w:val="left" w:pos="360"/>
        </w:tabs>
      </w:pPr>
      <w:r w:rsidRPr="00EB60B9">
        <w:t>5.</w:t>
      </w:r>
      <w:r w:rsidRPr="00EB60B9">
        <w:tab/>
        <w:t>Jei ryjant atsiranda skausmas ar sunkumas, pradeda skaudėti krūtinę, atsiranda ar pasunkėja rėmuo, reikia nutraukti Ostemax vartojimą ir kreiptis į gydytoją.</w:t>
      </w:r>
    </w:p>
    <w:p w:rsidR="0024494E" w:rsidRPr="00EB60B9" w:rsidRDefault="0024494E" w:rsidP="0024494E">
      <w:pPr>
        <w:tabs>
          <w:tab w:val="left" w:pos="567"/>
        </w:tabs>
      </w:pPr>
    </w:p>
    <w:p w:rsidR="0024494E" w:rsidRPr="00EB60B9" w:rsidRDefault="0024494E" w:rsidP="0024494E">
      <w:r w:rsidRPr="00EB60B9">
        <w:t>Jeigu manote, kad Ostemax 70 mg tabletės veikia per stipriai arba per silpnai, kreipkitės į gydytoją arba vaistininką.</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Ką daryti pavartojus per didelę Ostemax dozę?</w:t>
      </w:r>
    </w:p>
    <w:p w:rsidR="0024494E" w:rsidRPr="00EB60B9" w:rsidRDefault="0024494E" w:rsidP="0024494E">
      <w:pPr>
        <w:rPr>
          <w:b/>
        </w:rPr>
      </w:pPr>
      <w:r w:rsidRPr="00EB60B9">
        <w:t>Netyčia nurijus per daug tablečių reikia išgerti pilną stiklinę vandens ir nedelsiant kreiptis į gydytoją. Atsigulti</w:t>
      </w:r>
      <w:r w:rsidRPr="00EB60B9">
        <w:rPr>
          <w:b/>
        </w:rPr>
        <w:t xml:space="preserve"> </w:t>
      </w:r>
      <w:r w:rsidRPr="00EB60B9">
        <w:t>ar sau sukelti vėmimą negalima</w:t>
      </w:r>
      <w:r w:rsidRPr="00EB60B9">
        <w:rPr>
          <w:b/>
        </w:rPr>
        <w:t>.</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Pamiršus pavartoti Ostemax</w:t>
      </w:r>
    </w:p>
    <w:p w:rsidR="0024494E" w:rsidRPr="00EB60B9" w:rsidRDefault="0024494E" w:rsidP="0024494E">
      <w:r w:rsidRPr="00EB60B9">
        <w:t>Neišgėrus Ostemax, prisiminus ją reikia išgerti kitą rytą. Negalima vartoti dviejų tablečių per parą. Toliau vaisto reikia vartoti taip, kaip paskirta, t. y. konkrečią dieną kartą per savaitę.</w:t>
      </w:r>
    </w:p>
    <w:p w:rsidR="0024494E" w:rsidRPr="00EB60B9" w:rsidRDefault="0024494E" w:rsidP="0024494E"/>
    <w:p w:rsidR="0024494E" w:rsidRPr="00EB60B9" w:rsidRDefault="0024494E" w:rsidP="0024494E">
      <w:pPr>
        <w:tabs>
          <w:tab w:val="left" w:pos="540"/>
        </w:tabs>
        <w:outlineLvl w:val="2"/>
        <w:rPr>
          <w:rFonts w:eastAsia="Times New Roman"/>
          <w:b/>
          <w:bCs/>
        </w:rPr>
      </w:pPr>
      <w:r w:rsidRPr="00EB60B9">
        <w:rPr>
          <w:rFonts w:eastAsia="Times New Roman"/>
          <w:b/>
          <w:bCs/>
        </w:rPr>
        <w:t xml:space="preserve">Nustojus vartoti Ostemax </w:t>
      </w:r>
    </w:p>
    <w:p w:rsidR="0024494E" w:rsidRPr="00EB60B9" w:rsidRDefault="0024494E" w:rsidP="0024494E">
      <w:r w:rsidRPr="00EB60B9">
        <w:t>Labai svarbu Ostemax vartoti tiek laiko, kiek nurodė gydytojas. Šis vaistas gydo osteoporozę tik tokiu atveju, jeigu jo vartojama ilgai.</w:t>
      </w:r>
    </w:p>
    <w:p w:rsidR="0024494E" w:rsidRPr="00EB60B9" w:rsidRDefault="0024494E" w:rsidP="0024494E"/>
    <w:p w:rsidR="0024494E" w:rsidRPr="00EB60B9" w:rsidRDefault="0024494E" w:rsidP="0024494E">
      <w:r w:rsidRPr="00EB60B9">
        <w:t>Jeigu kiltų daugiau klausimų dėl šio vaisto vartojimo, kreipkitės į gydytoją arba vaistininką.</w:t>
      </w:r>
    </w:p>
    <w:p w:rsidR="0024494E" w:rsidRPr="00EB60B9" w:rsidRDefault="0024494E" w:rsidP="0024494E"/>
    <w:p w:rsidR="0024494E" w:rsidRPr="00EB60B9" w:rsidRDefault="0024494E" w:rsidP="0024494E"/>
    <w:p w:rsidR="0024494E" w:rsidRPr="00EB60B9" w:rsidRDefault="0024494E" w:rsidP="0024494E">
      <w:pPr>
        <w:tabs>
          <w:tab w:val="left" w:pos="540"/>
        </w:tabs>
        <w:outlineLvl w:val="1"/>
        <w:rPr>
          <w:rFonts w:eastAsia="Times New Roman"/>
          <w:b/>
        </w:rPr>
      </w:pPr>
      <w:r w:rsidRPr="00EB60B9">
        <w:rPr>
          <w:rFonts w:eastAsia="Times New Roman"/>
          <w:b/>
        </w:rPr>
        <w:t>4.</w:t>
      </w:r>
      <w:r w:rsidRPr="00EB60B9">
        <w:rPr>
          <w:rFonts w:eastAsia="Times New Roman"/>
          <w:b/>
        </w:rPr>
        <w:tab/>
        <w:t>Galimas šalutinis poveikis</w:t>
      </w:r>
    </w:p>
    <w:p w:rsidR="0024494E" w:rsidRPr="00EB60B9" w:rsidRDefault="0024494E" w:rsidP="0024494E"/>
    <w:p w:rsidR="0024494E" w:rsidRPr="00EB60B9" w:rsidRDefault="0024494E" w:rsidP="0024494E">
      <w:r w:rsidRPr="00EB60B9">
        <w:t>Šis vaistas, kaip ir visi kiti, gali sukelti šalutinį poveikį, nors jis pasireiškia ne visiems žmonėms.</w:t>
      </w:r>
    </w:p>
    <w:p w:rsidR="0024494E" w:rsidRPr="00EB60B9" w:rsidRDefault="0024494E" w:rsidP="0024494E"/>
    <w:p w:rsidR="0024494E" w:rsidRPr="00EB60B9" w:rsidRDefault="0024494E" w:rsidP="0024494E">
      <w:r w:rsidRPr="00EB60B9">
        <w:t>Labai dažni</w:t>
      </w:r>
      <w:r w:rsidRPr="00EB60B9">
        <w:rPr>
          <w:b/>
        </w:rPr>
        <w:t xml:space="preserve"> </w:t>
      </w:r>
      <w:r w:rsidRPr="00EB60B9">
        <w:t>(pastebėti daugiau kaip 1 iš 10 gydytų ligonių)</w:t>
      </w:r>
    </w:p>
    <w:p w:rsidR="0024494E" w:rsidRPr="00EB60B9" w:rsidRDefault="0024494E" w:rsidP="0024494E">
      <w:pPr>
        <w:numPr>
          <w:ilvl w:val="0"/>
          <w:numId w:val="12"/>
        </w:numPr>
      </w:pPr>
      <w:r w:rsidRPr="00EB60B9">
        <w:t>Kaulų, raumenų ir sąnarių skausmas (kartais sunkus).</w:t>
      </w:r>
    </w:p>
    <w:p w:rsidR="0024494E" w:rsidRPr="00EB60B9" w:rsidRDefault="0024494E" w:rsidP="0024494E"/>
    <w:p w:rsidR="0024494E" w:rsidRPr="00EB60B9" w:rsidRDefault="0024494E" w:rsidP="0024494E">
      <w:r w:rsidRPr="00EB60B9">
        <w:t>Dažni (pastebėti mažiau kaip 1 iš 10 gydytų ligonių)</w:t>
      </w:r>
    </w:p>
    <w:p w:rsidR="0024494E" w:rsidRPr="00EB60B9" w:rsidRDefault="0024494E" w:rsidP="0024494E">
      <w:pPr>
        <w:numPr>
          <w:ilvl w:val="0"/>
          <w:numId w:val="12"/>
        </w:numPr>
      </w:pPr>
      <w:r w:rsidRPr="00EB60B9">
        <w:t xml:space="preserve">Pilvo skausmas, nemalonūs pojūčiai pilve, vidurių užkietėjimas, viduriavimas, dujų susikaupimas žarnyne, rijimo pasunkėjimas, patinimas, atsirūgimas rūgštimi, stemplės išopėjimas. </w:t>
      </w:r>
    </w:p>
    <w:p w:rsidR="0024494E" w:rsidRPr="00EB60B9" w:rsidRDefault="0024494E" w:rsidP="0024494E">
      <w:pPr>
        <w:ind w:left="720"/>
      </w:pPr>
      <w:r w:rsidRPr="00EB60B9">
        <w:t>Nedelsiant kreipkitės į gydytoją jeigu pasireiškia stemplės dirginimas (žr. poskyrį „Specialių atsargumo priemonių vartojant Ostemax reikia“).</w:t>
      </w:r>
    </w:p>
    <w:p w:rsidR="0024494E" w:rsidRPr="00EB60B9" w:rsidRDefault="0024494E" w:rsidP="0024494E">
      <w:pPr>
        <w:numPr>
          <w:ilvl w:val="0"/>
          <w:numId w:val="13"/>
        </w:numPr>
        <w:ind w:left="709" w:hanging="283"/>
        <w:contextualSpacing/>
      </w:pPr>
      <w:r w:rsidRPr="00EB60B9">
        <w:t>Galvos skausmas.</w:t>
      </w:r>
    </w:p>
    <w:p w:rsidR="0024494E" w:rsidRPr="00EB60B9" w:rsidRDefault="0024494E" w:rsidP="0024494E">
      <w:pPr>
        <w:numPr>
          <w:ilvl w:val="0"/>
          <w:numId w:val="13"/>
        </w:numPr>
        <w:ind w:left="709" w:hanging="283"/>
        <w:contextualSpacing/>
      </w:pPr>
      <w:r w:rsidRPr="00EB60B9">
        <w:t>Svaigulys.</w:t>
      </w:r>
    </w:p>
    <w:p w:rsidR="0024494E" w:rsidRPr="00EB60B9" w:rsidRDefault="0024494E" w:rsidP="0024494E">
      <w:pPr>
        <w:numPr>
          <w:ilvl w:val="0"/>
          <w:numId w:val="13"/>
        </w:numPr>
        <w:ind w:left="709" w:hanging="283"/>
        <w:contextualSpacing/>
      </w:pPr>
      <w:r w:rsidRPr="00EB60B9">
        <w:t>Galvos svaigimas.</w:t>
      </w:r>
    </w:p>
    <w:p w:rsidR="0024494E" w:rsidRPr="00EB60B9" w:rsidRDefault="0024494E" w:rsidP="0024494E">
      <w:pPr>
        <w:numPr>
          <w:ilvl w:val="0"/>
          <w:numId w:val="13"/>
        </w:numPr>
        <w:ind w:left="709" w:hanging="283"/>
        <w:contextualSpacing/>
      </w:pPr>
      <w:r w:rsidRPr="00EB60B9">
        <w:t>Niežulys.</w:t>
      </w:r>
    </w:p>
    <w:p w:rsidR="0024494E" w:rsidRPr="00EB60B9" w:rsidRDefault="0024494E" w:rsidP="0024494E">
      <w:pPr>
        <w:numPr>
          <w:ilvl w:val="0"/>
          <w:numId w:val="13"/>
        </w:numPr>
        <w:ind w:left="709" w:hanging="283"/>
        <w:contextualSpacing/>
      </w:pPr>
      <w:r w:rsidRPr="00EB60B9">
        <w:t>Plaukų slinkimas.</w:t>
      </w:r>
    </w:p>
    <w:p w:rsidR="0024494E" w:rsidRPr="00EB60B9" w:rsidRDefault="0024494E" w:rsidP="0024494E">
      <w:pPr>
        <w:numPr>
          <w:ilvl w:val="0"/>
          <w:numId w:val="13"/>
        </w:numPr>
        <w:ind w:left="709" w:hanging="283"/>
        <w:contextualSpacing/>
      </w:pPr>
      <w:r w:rsidRPr="00EB60B9">
        <w:t>Rankų ir kojų tinimas.</w:t>
      </w:r>
    </w:p>
    <w:p w:rsidR="0024494E" w:rsidRPr="00EB60B9" w:rsidRDefault="0024494E" w:rsidP="0024494E">
      <w:pPr>
        <w:numPr>
          <w:ilvl w:val="0"/>
          <w:numId w:val="13"/>
        </w:numPr>
        <w:ind w:left="709" w:hanging="283"/>
        <w:contextualSpacing/>
      </w:pPr>
      <w:r w:rsidRPr="00EB60B9">
        <w:t>Silpnumas.</w:t>
      </w:r>
    </w:p>
    <w:p w:rsidR="0024494E" w:rsidRPr="00EB60B9" w:rsidRDefault="0024494E" w:rsidP="0024494E"/>
    <w:p w:rsidR="0024494E" w:rsidRPr="00EB60B9" w:rsidRDefault="0024494E" w:rsidP="0024494E">
      <w:r w:rsidRPr="00EB60B9">
        <w:lastRenderedPageBreak/>
        <w:t>Nedažni</w:t>
      </w:r>
      <w:r w:rsidRPr="00EB60B9">
        <w:rPr>
          <w:b/>
        </w:rPr>
        <w:t xml:space="preserve"> </w:t>
      </w:r>
      <w:r w:rsidRPr="00EB60B9">
        <w:t>(pastebėti mažiau kaip 1 iš 100 gydytų ligonių)</w:t>
      </w:r>
    </w:p>
    <w:p w:rsidR="0024494E" w:rsidRPr="00EB60B9" w:rsidRDefault="0024494E" w:rsidP="0024494E">
      <w:pPr>
        <w:numPr>
          <w:ilvl w:val="0"/>
          <w:numId w:val="14"/>
        </w:numPr>
      </w:pPr>
      <w:r w:rsidRPr="00EB60B9">
        <w:t>Pykinimas, vėmimas, skrandžio ar stemplės uždegimas, stemplės žaizdos, tuštinimasis tamsiomis ar panašiomis į degutą išmatomis.</w:t>
      </w:r>
    </w:p>
    <w:p w:rsidR="0024494E" w:rsidRPr="00EB60B9" w:rsidRDefault="0024494E" w:rsidP="0024494E">
      <w:pPr>
        <w:numPr>
          <w:ilvl w:val="0"/>
          <w:numId w:val="14"/>
        </w:numPr>
      </w:pPr>
      <w:r w:rsidRPr="00EB60B9">
        <w:t>Bėrimas, odos paraudimas.</w:t>
      </w:r>
    </w:p>
    <w:p w:rsidR="0024494E" w:rsidRPr="00EB60B9" w:rsidRDefault="0024494E" w:rsidP="0024494E">
      <w:pPr>
        <w:numPr>
          <w:ilvl w:val="0"/>
          <w:numId w:val="14"/>
        </w:numPr>
      </w:pPr>
      <w:r w:rsidRPr="00EB60B9">
        <w:t>Skonio pojūčio pokyčiai.</w:t>
      </w:r>
    </w:p>
    <w:p w:rsidR="0024494E" w:rsidRPr="00EB60B9" w:rsidRDefault="0024494E" w:rsidP="0024494E">
      <w:pPr>
        <w:numPr>
          <w:ilvl w:val="0"/>
          <w:numId w:val="14"/>
        </w:numPr>
      </w:pPr>
      <w:r w:rsidRPr="00EB60B9">
        <w:t>Akies uždegimas su tokiais simptomais kaip akies skausmas, neryškus matymas ar paraudimas.</w:t>
      </w:r>
    </w:p>
    <w:p w:rsidR="0024494E" w:rsidRPr="00EB60B9" w:rsidRDefault="0024494E" w:rsidP="0024494E">
      <w:pPr>
        <w:numPr>
          <w:ilvl w:val="0"/>
          <w:numId w:val="14"/>
        </w:numPr>
      </w:pPr>
      <w:r w:rsidRPr="00EB60B9">
        <w:t>Praeinantys, į gripą panašūs simptomai, kaip raumenų skausmas, bendras negalavimo pojūtis, kartais karščiavimas, dažniausiai pasireiškiantis gydymo pradžioje.</w:t>
      </w:r>
    </w:p>
    <w:p w:rsidR="0024494E" w:rsidRPr="00EB60B9" w:rsidRDefault="0024494E" w:rsidP="0024494E"/>
    <w:p w:rsidR="0024494E" w:rsidRPr="00EB60B9" w:rsidRDefault="0024494E" w:rsidP="0024494E">
      <w:r w:rsidRPr="00EB60B9">
        <w:t>Reti (pastebėti mažiau kaip 1 iš 1000 gydytų ligonių)</w:t>
      </w:r>
    </w:p>
    <w:p w:rsidR="0024494E" w:rsidRPr="00EB60B9" w:rsidRDefault="0024494E" w:rsidP="0024494E">
      <w:pPr>
        <w:numPr>
          <w:ilvl w:val="0"/>
          <w:numId w:val="15"/>
        </w:numPr>
      </w:pPr>
      <w:r w:rsidRPr="00EB60B9">
        <w:t xml:space="preserve">Stemplės susiaurėjimas, gerklės ir (arba) burnos pabrinkimas (kuris atsiranda sukramčius tabletę arba ją čiulpiant), skrandžio ir (arba) dvylikapirštės žarnos opos (kartais jos būna sunkios ir kraujuoja). </w:t>
      </w:r>
    </w:p>
    <w:p w:rsidR="0024494E" w:rsidRPr="00EB60B9" w:rsidRDefault="0024494E" w:rsidP="0024494E">
      <w:pPr>
        <w:numPr>
          <w:ilvl w:val="0"/>
          <w:numId w:val="15"/>
        </w:numPr>
        <w:tabs>
          <w:tab w:val="left" w:pos="2900"/>
        </w:tabs>
      </w:pPr>
      <w:r w:rsidRPr="00EB60B9">
        <w:t>Bėrimas su jautrumu saulės šviesai.</w:t>
      </w:r>
    </w:p>
    <w:p w:rsidR="0024494E" w:rsidRPr="00EB60B9" w:rsidRDefault="0024494E" w:rsidP="0024494E">
      <w:pPr>
        <w:numPr>
          <w:ilvl w:val="0"/>
          <w:numId w:val="15"/>
        </w:numPr>
      </w:pPr>
      <w:r w:rsidRPr="00EB60B9">
        <w:t>Padidėjusio jautrumo reakcijos įskaitant dilgėlinę ar veido, lūpų, liežuvio ir (arba) gerklės pabrinkimą, dėl kurio pasunkėja kvėpavimas ar rijimas (dar vadinama angioedema, žr. poskyrį „Įspėjimai ir atsargumo priemonės“).</w:t>
      </w:r>
    </w:p>
    <w:p w:rsidR="0024494E" w:rsidRPr="00EB60B9" w:rsidRDefault="0024494E" w:rsidP="0024494E">
      <w:pPr>
        <w:numPr>
          <w:ilvl w:val="0"/>
          <w:numId w:val="15"/>
        </w:numPr>
      </w:pPr>
      <w:r w:rsidRPr="00EB60B9">
        <w:t>Sunkios odos reakcijos kaip išplitęs odos pažeidimas (odos lupimasis), odos ir gleivinių pokyčiai.</w:t>
      </w:r>
    </w:p>
    <w:p w:rsidR="0024494E" w:rsidRPr="00EB60B9" w:rsidRDefault="0024494E" w:rsidP="0024494E">
      <w:pPr>
        <w:numPr>
          <w:ilvl w:val="0"/>
          <w:numId w:val="15"/>
        </w:numPr>
      </w:pPr>
      <w:r w:rsidRPr="00EB60B9">
        <w:t>Per mažo kalcio kiekio kraujyje simptomai, tokie kaip raumenų mėšlungis ar spazmai ir (arba) dilgčiojimo pojūtis pirštuose ar aplink burną.</w:t>
      </w:r>
    </w:p>
    <w:p w:rsidR="0024494E" w:rsidRPr="00EB60B9" w:rsidRDefault="0024494E" w:rsidP="0024494E">
      <w:pPr>
        <w:numPr>
          <w:ilvl w:val="0"/>
          <w:numId w:val="15"/>
        </w:numPr>
        <w:tabs>
          <w:tab w:val="clear" w:pos="720"/>
          <w:tab w:val="left" w:pos="709"/>
        </w:tabs>
      </w:pPr>
      <w:r w:rsidRPr="00EB60B9">
        <w:t>Stiprus kaulų ir raumenų skausmas.</w:t>
      </w:r>
    </w:p>
    <w:p w:rsidR="0024494E" w:rsidRPr="00EB60B9" w:rsidRDefault="0024494E" w:rsidP="0024494E">
      <w:pPr>
        <w:numPr>
          <w:ilvl w:val="0"/>
          <w:numId w:val="15"/>
        </w:numPr>
        <w:tabs>
          <w:tab w:val="clear" w:pos="720"/>
          <w:tab w:val="left" w:pos="709"/>
        </w:tabs>
      </w:pPr>
      <w:r w:rsidRPr="00EB60B9">
        <w:t xml:space="preserve">Burnos ir (arba) žandikaulio skausmas, patinimas ar žaizdos burnoje, sustingimo ar sunkumo pojūtis žandikaulyje ar dantų praradimas. Tai gali būti kaulų pažeidimų žandikaulyje (osteonekrozė) požymiai, paprastai siejami su uždelstu gydymu ir infekcija, dažnai lydimi danties pašalinimu. Kreipkitės į gydytoją ir odontologą, jei pajutote šiuos simptomus. </w:t>
      </w:r>
    </w:p>
    <w:p w:rsidR="0024494E" w:rsidRPr="00EB60B9" w:rsidRDefault="0024494E" w:rsidP="0024494E">
      <w:pPr>
        <w:numPr>
          <w:ilvl w:val="0"/>
          <w:numId w:val="15"/>
        </w:numPr>
        <w:tabs>
          <w:tab w:val="clear" w:pos="720"/>
          <w:tab w:val="left" w:pos="709"/>
        </w:tabs>
      </w:pPr>
      <w:r w:rsidRPr="00EB60B9">
        <w:rPr>
          <w:iCs/>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rsidR="0024494E" w:rsidRPr="00EB60B9" w:rsidRDefault="0024494E" w:rsidP="0024494E">
      <w:pPr>
        <w:ind w:left="720"/>
      </w:pPr>
    </w:p>
    <w:p w:rsidR="0024494E" w:rsidRPr="00EB60B9" w:rsidRDefault="0024494E" w:rsidP="0024494E">
      <w:r w:rsidRPr="00EB60B9">
        <w:t>Labai reti (pastebėti mažiau kaip 1 iš 10000</w:t>
      </w:r>
      <w:r w:rsidRPr="00EB60B9">
        <w:rPr>
          <w:rFonts w:ascii="Calibri" w:hAnsi="Calibri"/>
        </w:rPr>
        <w:t xml:space="preserve"> </w:t>
      </w:r>
      <w:r w:rsidRPr="00EB60B9">
        <w:t>gydytų ligonių)</w:t>
      </w:r>
    </w:p>
    <w:p w:rsidR="0024494E" w:rsidRPr="00EB60B9" w:rsidRDefault="0024494E" w:rsidP="0024494E">
      <w:pPr>
        <w:numPr>
          <w:ilvl w:val="0"/>
          <w:numId w:val="17"/>
        </w:numPr>
      </w:pPr>
      <w:r w:rsidRPr="00EB60B9">
        <w:t>Pasakykite  savo gydytojui, jeigu Jums skauda ausį, iš ausies teka išskyros ir (arba) Jums prasidėjęs ausies uždegimas. Tai gali būtų ausyje esančio kaulo pažeidimo požymiai.</w:t>
      </w:r>
    </w:p>
    <w:p w:rsidR="0024494E" w:rsidRPr="00EB60B9" w:rsidRDefault="0024494E" w:rsidP="0024494E">
      <w:pPr>
        <w:tabs>
          <w:tab w:val="left" w:pos="567"/>
        </w:tabs>
        <w:rPr>
          <w:rFonts w:eastAsia="Times New Roman"/>
          <w:b/>
          <w:noProof/>
          <w:snapToGrid w:val="0"/>
        </w:rPr>
      </w:pPr>
    </w:p>
    <w:p w:rsidR="0024494E" w:rsidRPr="00EB60B9" w:rsidRDefault="0024494E" w:rsidP="0024494E">
      <w:pPr>
        <w:tabs>
          <w:tab w:val="left" w:pos="567"/>
        </w:tabs>
        <w:rPr>
          <w:rFonts w:eastAsia="Times New Roman"/>
          <w:b/>
          <w:snapToGrid w:val="0"/>
        </w:rPr>
      </w:pPr>
      <w:r w:rsidRPr="00EB60B9">
        <w:rPr>
          <w:rFonts w:eastAsia="Times New Roman"/>
          <w:b/>
          <w:noProof/>
          <w:snapToGrid w:val="0"/>
        </w:rPr>
        <w:t>Pranešimas apie šalutinį poveikį</w:t>
      </w:r>
    </w:p>
    <w:p w:rsidR="0024494E" w:rsidRPr="00EB60B9" w:rsidRDefault="0024494E" w:rsidP="0024494E">
      <w:pPr>
        <w:tabs>
          <w:tab w:val="left" w:pos="567"/>
        </w:tabs>
        <w:spacing w:line="260" w:lineRule="exact"/>
        <w:ind w:right="-449"/>
      </w:pPr>
      <w:r w:rsidRPr="00EB60B9">
        <w:rPr>
          <w:rFonts w:eastAsia="Times New Roman"/>
          <w:noProof/>
          <w:snapToGrid w:val="0"/>
        </w:rPr>
        <w:t>Jeigu pasireiškė šalutinis poveikis, įskaitant šiame lapelyje nenurodytą, pasakykite gydytojui arba vaistininkui</w:t>
      </w:r>
      <w:r w:rsidRPr="00EB60B9">
        <w:rPr>
          <w:rFonts w:eastAsia="Times New Roman"/>
          <w:snapToGrid w:val="0"/>
        </w:rPr>
        <w:t>.</w:t>
      </w:r>
      <w:r w:rsidRPr="00EB60B9">
        <w:rPr>
          <w:rFonts w:eastAsia="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4494E" w:rsidRPr="00EB60B9" w:rsidRDefault="0024494E" w:rsidP="0024494E"/>
    <w:p w:rsidR="0024494E" w:rsidRPr="00EB60B9" w:rsidRDefault="0024494E" w:rsidP="0024494E"/>
    <w:p w:rsidR="0024494E" w:rsidRPr="00EB60B9" w:rsidRDefault="0024494E" w:rsidP="0024494E">
      <w:pPr>
        <w:tabs>
          <w:tab w:val="left" w:pos="540"/>
        </w:tabs>
        <w:outlineLvl w:val="1"/>
        <w:rPr>
          <w:rFonts w:eastAsia="Times New Roman"/>
          <w:b/>
        </w:rPr>
      </w:pPr>
      <w:r w:rsidRPr="00EB60B9">
        <w:rPr>
          <w:rFonts w:eastAsia="Times New Roman"/>
          <w:b/>
        </w:rPr>
        <w:t>5.</w:t>
      </w:r>
      <w:r w:rsidRPr="00EB60B9">
        <w:rPr>
          <w:rFonts w:eastAsia="Times New Roman"/>
          <w:b/>
        </w:rPr>
        <w:tab/>
        <w:t>Kaip laikyti Ostemax</w:t>
      </w:r>
    </w:p>
    <w:p w:rsidR="0024494E" w:rsidRPr="00EB60B9" w:rsidRDefault="0024494E" w:rsidP="0024494E"/>
    <w:p w:rsidR="0024494E" w:rsidRPr="00EB60B9" w:rsidRDefault="0024494E" w:rsidP="0024494E">
      <w:r w:rsidRPr="00EB60B9">
        <w:t>Šį vaistą laikykite vaikams nepastebimoje ir nepasiekiamoje vietoje.</w:t>
      </w:r>
    </w:p>
    <w:p w:rsidR="0024494E" w:rsidRPr="00EB60B9" w:rsidRDefault="0024494E" w:rsidP="0024494E">
      <w:r w:rsidRPr="00EB60B9">
        <w:t xml:space="preserve">Šiam vaistui specialių laikymo sąlygų nereikia. </w:t>
      </w:r>
    </w:p>
    <w:p w:rsidR="0024494E" w:rsidRPr="00EB60B9" w:rsidRDefault="0024494E" w:rsidP="0024494E"/>
    <w:p w:rsidR="0024494E" w:rsidRPr="00EB60B9" w:rsidRDefault="0024494E" w:rsidP="0024494E">
      <w:r w:rsidRPr="00EB60B9">
        <w:t>Ant dėžutės po ir lizdinės plokštelės po „EXP“ nurodytam tinkamumo laikui pasibaigus, šio vaisto vartoti negalima. Vaistas tinkamas vartoti iki paskutinės nurodyto mėnesio dienos.</w:t>
      </w:r>
    </w:p>
    <w:p w:rsidR="0024494E" w:rsidRPr="00EB60B9" w:rsidRDefault="0024494E" w:rsidP="0024494E"/>
    <w:p w:rsidR="0024494E" w:rsidRPr="00EB60B9" w:rsidRDefault="0024494E" w:rsidP="0024494E">
      <w:r w:rsidRPr="00EB60B9">
        <w:t>Vaistų negalima išmesti į kanalizaciją arba su buitinėmis atliekomis. Kaip išmesti nereikalingus vaistus, klauskite vaistininko. Šios priemonės padės apsaugoti aplinką.</w:t>
      </w:r>
    </w:p>
    <w:p w:rsidR="0024494E" w:rsidRPr="00EB60B9" w:rsidRDefault="0024494E" w:rsidP="0024494E"/>
    <w:p w:rsidR="0024494E" w:rsidRPr="00EB60B9" w:rsidRDefault="0024494E" w:rsidP="0024494E"/>
    <w:p w:rsidR="0024494E" w:rsidRPr="00EB60B9" w:rsidRDefault="0024494E" w:rsidP="0024494E">
      <w:pPr>
        <w:tabs>
          <w:tab w:val="left" w:pos="540"/>
          <w:tab w:val="left" w:pos="567"/>
        </w:tabs>
        <w:ind w:left="567" w:hanging="567"/>
        <w:outlineLvl w:val="1"/>
        <w:rPr>
          <w:b/>
        </w:rPr>
      </w:pPr>
      <w:bookmarkStart w:id="8" w:name="_Toc129243144"/>
      <w:bookmarkStart w:id="9" w:name="_Toc129243269"/>
      <w:r w:rsidRPr="00EB60B9">
        <w:rPr>
          <w:b/>
        </w:rPr>
        <w:t>6.</w:t>
      </w:r>
      <w:r w:rsidRPr="00EB60B9">
        <w:rPr>
          <w:b/>
        </w:rPr>
        <w:tab/>
        <w:t>Pakuotės turinys ir kita informacija</w:t>
      </w:r>
      <w:bookmarkEnd w:id="8"/>
      <w:bookmarkEnd w:id="9"/>
    </w:p>
    <w:p w:rsidR="0024494E" w:rsidRPr="00EB60B9" w:rsidRDefault="0024494E" w:rsidP="0024494E"/>
    <w:p w:rsidR="0024494E" w:rsidRPr="00EB60B9" w:rsidRDefault="0024494E" w:rsidP="0024494E">
      <w:pPr>
        <w:rPr>
          <w:b/>
        </w:rPr>
      </w:pPr>
      <w:r w:rsidRPr="00EB60B9">
        <w:rPr>
          <w:b/>
        </w:rPr>
        <w:t>Ostemax sudėtis</w:t>
      </w:r>
    </w:p>
    <w:p w:rsidR="0024494E" w:rsidRPr="00EB60B9" w:rsidRDefault="0024494E" w:rsidP="0024494E">
      <w:pPr>
        <w:numPr>
          <w:ilvl w:val="0"/>
          <w:numId w:val="8"/>
        </w:numPr>
        <w:tabs>
          <w:tab w:val="num" w:pos="567"/>
        </w:tabs>
        <w:ind w:left="567" w:hanging="567"/>
      </w:pPr>
      <w:r w:rsidRPr="00EB60B9">
        <w:t>Veiklioji medžiaga yra alendrono rūgštis. Vienoje tabletėje yra 70 mg alendrono rūgšties (natrio alendronato trihidrato pavidalu).</w:t>
      </w:r>
    </w:p>
    <w:p w:rsidR="0024494E" w:rsidRPr="00EB60B9" w:rsidRDefault="0024494E" w:rsidP="0024494E">
      <w:pPr>
        <w:numPr>
          <w:ilvl w:val="0"/>
          <w:numId w:val="8"/>
        </w:numPr>
        <w:tabs>
          <w:tab w:val="num" w:pos="567"/>
        </w:tabs>
        <w:ind w:left="567" w:hanging="567"/>
        <w:contextualSpacing/>
      </w:pPr>
      <w:r w:rsidRPr="00EB60B9">
        <w:t xml:space="preserve">Pagalbinės medžiagos yra laktozė monohidratas, mikrokristalinė celiuliozė (E460), kroskarmeliozės natrio druska (E466), bevandenis koloidinis silicio dioksidas (E551), magnio stearatas (E572). </w:t>
      </w:r>
    </w:p>
    <w:p w:rsidR="0024494E" w:rsidRPr="00EB60B9" w:rsidRDefault="0024494E" w:rsidP="0024494E"/>
    <w:p w:rsidR="0024494E" w:rsidRPr="00EB60B9" w:rsidRDefault="0024494E" w:rsidP="0024494E">
      <w:pPr>
        <w:rPr>
          <w:b/>
          <w:bCs/>
        </w:rPr>
      </w:pPr>
      <w:r w:rsidRPr="00EB60B9">
        <w:rPr>
          <w:b/>
          <w:bCs/>
        </w:rPr>
        <w:t>Ostemax išvaizda ir kiekis pakuotėje</w:t>
      </w:r>
    </w:p>
    <w:p w:rsidR="0024494E" w:rsidRPr="00EB60B9" w:rsidRDefault="0024494E" w:rsidP="0024494E">
      <w:r w:rsidRPr="00EB60B9">
        <w:t xml:space="preserve">Ostemax </w:t>
      </w:r>
      <w:r w:rsidRPr="00EB60B9">
        <w:rPr>
          <w:bCs/>
        </w:rPr>
        <w:t xml:space="preserve">tabletės yra </w:t>
      </w:r>
      <w:r w:rsidRPr="00EB60B9">
        <w:t>baltos, pailgos, abipus išgaubtos.</w:t>
      </w:r>
    </w:p>
    <w:p w:rsidR="0024494E" w:rsidRPr="00EB60B9" w:rsidRDefault="0024494E" w:rsidP="0024494E">
      <w:pPr>
        <w:rPr>
          <w:u w:val="single"/>
        </w:rPr>
      </w:pPr>
      <w:r w:rsidRPr="00EB60B9">
        <w:t>Kartono dėžutėje yra 4 tabletės lizdinėje plokštelėje.</w:t>
      </w:r>
    </w:p>
    <w:p w:rsidR="0024494E" w:rsidRPr="00EB60B9" w:rsidRDefault="0024494E" w:rsidP="0024494E"/>
    <w:p w:rsidR="0024494E" w:rsidRPr="00EB60B9" w:rsidRDefault="0024494E" w:rsidP="0024494E">
      <w:pPr>
        <w:rPr>
          <w:b/>
          <w:bCs/>
        </w:rPr>
      </w:pPr>
      <w:r w:rsidRPr="00EB60B9">
        <w:rPr>
          <w:b/>
          <w:bCs/>
        </w:rPr>
        <w:t>Registruotojas ir gamintojas</w:t>
      </w:r>
    </w:p>
    <w:p w:rsidR="0024494E" w:rsidRPr="00EB60B9" w:rsidRDefault="0024494E" w:rsidP="0024494E">
      <w:r w:rsidRPr="00EB60B9">
        <w:t>Pharmaceutical Works POLPHARMA SA</w:t>
      </w:r>
    </w:p>
    <w:p w:rsidR="0024494E" w:rsidRPr="00EB60B9" w:rsidRDefault="0024494E" w:rsidP="0024494E">
      <w:r w:rsidRPr="00EB60B9">
        <w:t>19 Pelplińska Street, 83-200 Starogard Gdański</w:t>
      </w:r>
    </w:p>
    <w:p w:rsidR="0024494E" w:rsidRPr="00EB60B9" w:rsidRDefault="0024494E" w:rsidP="0024494E">
      <w:r w:rsidRPr="00EB60B9">
        <w:t>Lenkija</w:t>
      </w:r>
    </w:p>
    <w:p w:rsidR="0024494E" w:rsidRPr="00EB60B9" w:rsidRDefault="0024494E" w:rsidP="0024494E"/>
    <w:p w:rsidR="0024494E" w:rsidRPr="00EB60B9" w:rsidRDefault="0024494E" w:rsidP="0024494E">
      <w:r w:rsidRPr="00EB60B9">
        <w:t>Jeigu apie šį vaistą norite sužinoti daugiau, kreipkitės į vietinį registruotojo atstovą.</w:t>
      </w:r>
    </w:p>
    <w:p w:rsidR="0024494E" w:rsidRPr="00EB60B9" w:rsidRDefault="0024494E" w:rsidP="0024494E"/>
    <w:tbl>
      <w:tblPr>
        <w:tblW w:w="4680" w:type="dxa"/>
        <w:tblInd w:w="-34" w:type="dxa"/>
        <w:tblLayout w:type="fixed"/>
        <w:tblLook w:val="00A0" w:firstRow="1" w:lastRow="0" w:firstColumn="1" w:lastColumn="0" w:noHBand="0" w:noVBand="0"/>
      </w:tblPr>
      <w:tblGrid>
        <w:gridCol w:w="4680"/>
      </w:tblGrid>
      <w:tr w:rsidR="0024494E" w:rsidRPr="00EB60B9" w:rsidTr="00581BA1">
        <w:tc>
          <w:tcPr>
            <w:tcW w:w="4678" w:type="dxa"/>
          </w:tcPr>
          <w:p w:rsidR="0024494E" w:rsidRPr="00EB60B9" w:rsidRDefault="0024494E" w:rsidP="00581BA1">
            <w:r w:rsidRPr="00EB60B9">
              <w:t>Farmacijos įmonės „Polpharma“ atstovybė</w:t>
            </w:r>
          </w:p>
          <w:p w:rsidR="0024494E" w:rsidRPr="00EB60B9" w:rsidRDefault="0024494E" w:rsidP="00581BA1">
            <w:r w:rsidRPr="00EB60B9">
              <w:t>E. Ožeškienės g. 18A</w:t>
            </w:r>
          </w:p>
          <w:p w:rsidR="0024494E" w:rsidRPr="00EB60B9" w:rsidRDefault="0024494E" w:rsidP="00581BA1">
            <w:r w:rsidRPr="00EB60B9">
              <w:t>LT-44254 Kaunas</w:t>
            </w:r>
          </w:p>
          <w:p w:rsidR="0024494E" w:rsidRPr="00EB60B9" w:rsidRDefault="0024494E" w:rsidP="00581BA1">
            <w:r w:rsidRPr="00EB60B9">
              <w:t>Tel./faks. +370 37 32 51 31</w:t>
            </w:r>
          </w:p>
        </w:tc>
      </w:tr>
    </w:tbl>
    <w:p w:rsidR="0024494E" w:rsidRPr="00EB60B9" w:rsidRDefault="0024494E" w:rsidP="0024494E"/>
    <w:p w:rsidR="0024494E" w:rsidRPr="00EB60B9" w:rsidRDefault="0024494E" w:rsidP="0024494E">
      <w:pPr>
        <w:rPr>
          <w:b/>
          <w:noProof/>
        </w:rPr>
      </w:pPr>
      <w:r w:rsidRPr="00EB60B9">
        <w:rPr>
          <w:b/>
          <w:bCs/>
          <w:noProof/>
        </w:rPr>
        <w:t>Šis pakuotės lapelis</w:t>
      </w:r>
      <w:r w:rsidRPr="00EB60B9">
        <w:rPr>
          <w:b/>
          <w:noProof/>
        </w:rPr>
        <w:t xml:space="preserve"> paskutinį kartą peržiūrėtas</w:t>
      </w:r>
      <w:r w:rsidR="007B3D98">
        <w:rPr>
          <w:b/>
          <w:noProof/>
        </w:rPr>
        <w:t xml:space="preserve"> 2020-12-15</w:t>
      </w:r>
      <w:r w:rsidR="00846A73">
        <w:rPr>
          <w:b/>
          <w:noProof/>
        </w:rPr>
        <w:t>.</w:t>
      </w:r>
    </w:p>
    <w:p w:rsidR="0024494E" w:rsidRPr="00EB60B9" w:rsidRDefault="0024494E" w:rsidP="0024494E"/>
    <w:p w:rsidR="0024494E" w:rsidRPr="00EB60B9" w:rsidRDefault="0024494E" w:rsidP="0024494E">
      <w:r w:rsidRPr="00EB60B9">
        <w:t xml:space="preserve">Išsami informacija apie šį vaistą pateikiama Valstybinės vaistų kontrolės tarnybos prie Lietuvos Respublikos sveikatos apsaugos ministerijos tinklalapyje </w:t>
      </w:r>
      <w:hyperlink r:id="rId12" w:history="1">
        <w:r w:rsidRPr="00EB60B9">
          <w:rPr>
            <w:color w:val="0000FF"/>
            <w:u w:val="single"/>
          </w:rPr>
          <w:t>http://www.vvkt.lt/</w:t>
        </w:r>
      </w:hyperlink>
    </w:p>
    <w:p w:rsidR="0024494E" w:rsidRPr="00EB60B9" w:rsidRDefault="0024494E" w:rsidP="0024494E"/>
    <w:p w:rsidR="0024494E" w:rsidRPr="00EB60B9" w:rsidRDefault="0024494E" w:rsidP="0024494E"/>
    <w:p w:rsidR="0024494E" w:rsidRPr="00EB60B9" w:rsidRDefault="0024494E" w:rsidP="0024494E">
      <w:bookmarkStart w:id="10" w:name="_GoBack"/>
      <w:bookmarkEnd w:id="10"/>
    </w:p>
    <w:p w:rsidR="0024494E" w:rsidRPr="00EB60B9" w:rsidRDefault="0024494E" w:rsidP="0024494E"/>
    <w:p w:rsidR="0024494E" w:rsidRPr="00EB60B9" w:rsidRDefault="0024494E" w:rsidP="0024494E"/>
    <w:p w:rsidR="0024494E" w:rsidRPr="00EB60B9" w:rsidRDefault="0024494E" w:rsidP="0024494E"/>
    <w:p w:rsidR="00B25986" w:rsidRPr="00A3792F" w:rsidRDefault="00B25986">
      <w:pPr>
        <w:rPr>
          <w:szCs w:val="22"/>
        </w:rPr>
      </w:pPr>
    </w:p>
    <w:sectPr w:rsidR="00B25986" w:rsidRPr="00A37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5AD7"/>
    <w:multiLevelType w:val="hybridMultilevel"/>
    <w:tmpl w:val="4D1CBE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7395807"/>
    <w:multiLevelType w:val="hybridMultilevel"/>
    <w:tmpl w:val="75329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67694"/>
    <w:multiLevelType w:val="hybridMultilevel"/>
    <w:tmpl w:val="C674EC38"/>
    <w:lvl w:ilvl="0" w:tplc="300801E2">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136E09DF"/>
    <w:multiLevelType w:val="hybridMultilevel"/>
    <w:tmpl w:val="C762ADF8"/>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15:restartNumberingAfterBreak="0">
    <w:nsid w:val="1E747A4B"/>
    <w:multiLevelType w:val="hybridMultilevel"/>
    <w:tmpl w:val="C666E17C"/>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35DE3EE9"/>
    <w:multiLevelType w:val="hybridMultilevel"/>
    <w:tmpl w:val="EB1C17EA"/>
    <w:lvl w:ilvl="0" w:tplc="AEE05BA6">
      <w:start w:val="1"/>
      <w:numFmt w:val="bullet"/>
      <w:lvlText w:val=""/>
      <w:lvlJc w:val="left"/>
      <w:pPr>
        <w:tabs>
          <w:tab w:val="num" w:pos="1428"/>
        </w:tabs>
        <w:ind w:left="1428"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36407BAA"/>
    <w:multiLevelType w:val="hybridMultilevel"/>
    <w:tmpl w:val="1494E4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3FB533C5"/>
    <w:multiLevelType w:val="singleLevel"/>
    <w:tmpl w:val="74A41D9A"/>
    <w:lvl w:ilvl="0">
      <w:start w:val="2"/>
      <w:numFmt w:val="bullet"/>
      <w:lvlText w:val="-"/>
      <w:lvlJc w:val="left"/>
      <w:pPr>
        <w:tabs>
          <w:tab w:val="num" w:pos="720"/>
        </w:tabs>
        <w:ind w:left="720" w:hanging="720"/>
      </w:pPr>
    </w:lvl>
  </w:abstractNum>
  <w:abstractNum w:abstractNumId="8" w15:restartNumberingAfterBreak="0">
    <w:nsid w:val="46394C15"/>
    <w:multiLevelType w:val="hybridMultilevel"/>
    <w:tmpl w:val="1BA26AA4"/>
    <w:lvl w:ilvl="0" w:tplc="9BE07462">
      <w:start w:val="1"/>
      <w:numFmt w:val="bullet"/>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4EC533DC"/>
    <w:multiLevelType w:val="hybridMultilevel"/>
    <w:tmpl w:val="7AF48124"/>
    <w:lvl w:ilvl="0" w:tplc="300801E2">
      <w:start w:val="4"/>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5391254A"/>
    <w:multiLevelType w:val="hybridMultilevel"/>
    <w:tmpl w:val="9EE430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57BB60CC"/>
    <w:multiLevelType w:val="hybridMultilevel"/>
    <w:tmpl w:val="80DAA67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5FE76A1B"/>
    <w:multiLevelType w:val="hybridMultilevel"/>
    <w:tmpl w:val="97B68B9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7B966A0"/>
    <w:multiLevelType w:val="hybridMultilevel"/>
    <w:tmpl w:val="04EE968C"/>
    <w:lvl w:ilvl="0" w:tplc="0409000F">
      <w:start w:val="4"/>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6B5557F0"/>
    <w:multiLevelType w:val="hybridMultilevel"/>
    <w:tmpl w:val="9FD432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C4310BE"/>
    <w:multiLevelType w:val="hybridMultilevel"/>
    <w:tmpl w:val="F3BCFF1C"/>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3C"/>
    <w:rsid w:val="00023B3C"/>
    <w:rsid w:val="000B5C55"/>
    <w:rsid w:val="00155700"/>
    <w:rsid w:val="00204026"/>
    <w:rsid w:val="0022293B"/>
    <w:rsid w:val="00233011"/>
    <w:rsid w:val="0024494E"/>
    <w:rsid w:val="002D5F50"/>
    <w:rsid w:val="00330ECC"/>
    <w:rsid w:val="003424BC"/>
    <w:rsid w:val="003D5D39"/>
    <w:rsid w:val="00445AFE"/>
    <w:rsid w:val="004C07A6"/>
    <w:rsid w:val="00536C72"/>
    <w:rsid w:val="00586818"/>
    <w:rsid w:val="00593CE2"/>
    <w:rsid w:val="00623704"/>
    <w:rsid w:val="006E63ED"/>
    <w:rsid w:val="00756810"/>
    <w:rsid w:val="007860AA"/>
    <w:rsid w:val="007B3D98"/>
    <w:rsid w:val="00810E52"/>
    <w:rsid w:val="00813E78"/>
    <w:rsid w:val="00816E53"/>
    <w:rsid w:val="00846A73"/>
    <w:rsid w:val="00865432"/>
    <w:rsid w:val="00893BA2"/>
    <w:rsid w:val="008A75EB"/>
    <w:rsid w:val="008E720E"/>
    <w:rsid w:val="009374F1"/>
    <w:rsid w:val="009544A6"/>
    <w:rsid w:val="009D38FF"/>
    <w:rsid w:val="009F423C"/>
    <w:rsid w:val="00A27B60"/>
    <w:rsid w:val="00A3792F"/>
    <w:rsid w:val="00A8533C"/>
    <w:rsid w:val="00AE0141"/>
    <w:rsid w:val="00B25986"/>
    <w:rsid w:val="00BE1CE8"/>
    <w:rsid w:val="00C94846"/>
    <w:rsid w:val="00D5561F"/>
    <w:rsid w:val="00D82CA6"/>
    <w:rsid w:val="00DC5136"/>
    <w:rsid w:val="00E32B7F"/>
    <w:rsid w:val="00E4588A"/>
    <w:rsid w:val="00E84B29"/>
    <w:rsid w:val="00ED07E8"/>
    <w:rsid w:val="00F42F1A"/>
    <w:rsid w:val="00F463C8"/>
    <w:rsid w:val="00F6279C"/>
    <w:rsid w:val="00F818AB"/>
    <w:rsid w:val="00FB3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A061"/>
  <w15:docId w15:val="{F8C81D14-487E-4B88-84DC-6EE56C5B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6818"/>
    <w:pPr>
      <w:spacing w:after="0" w:line="240" w:lineRule="auto"/>
    </w:pPr>
    <w:rPr>
      <w:rFonts w:ascii="Times New Roman" w:eastAsia="Calibri" w:hAnsi="Times New Roman" w:cs="Times New Roman"/>
      <w:szCs w:val="20"/>
      <w:lang w:val="lt-LT" w:eastAsia="lt-LT"/>
    </w:rPr>
  </w:style>
  <w:style w:type="paragraph" w:styleId="Antrat1">
    <w:name w:val="heading 1"/>
    <w:basedOn w:val="prastasis"/>
    <w:next w:val="prastasis"/>
    <w:link w:val="Antrat1Diagrama"/>
    <w:uiPriority w:val="99"/>
    <w:qFormat/>
    <w:rsid w:val="00586818"/>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autoRedefine/>
    <w:uiPriority w:val="99"/>
    <w:semiHidden/>
    <w:unhideWhenUsed/>
    <w:qFormat/>
    <w:rsid w:val="00586818"/>
    <w:pPr>
      <w:tabs>
        <w:tab w:val="left" w:pos="540"/>
      </w:tabs>
      <w:outlineLvl w:val="1"/>
    </w:pPr>
    <w:rPr>
      <w:rFonts w:eastAsia="Times New Roman"/>
      <w:b/>
    </w:rPr>
  </w:style>
  <w:style w:type="paragraph" w:styleId="Antrat3">
    <w:name w:val="heading 3"/>
    <w:basedOn w:val="prastasis"/>
    <w:next w:val="prastasis"/>
    <w:link w:val="Antrat3Diagrama"/>
    <w:autoRedefine/>
    <w:uiPriority w:val="99"/>
    <w:semiHidden/>
    <w:unhideWhenUsed/>
    <w:qFormat/>
    <w:rsid w:val="00586818"/>
    <w:pPr>
      <w:tabs>
        <w:tab w:val="left" w:pos="540"/>
      </w:tabs>
      <w:outlineLvl w:val="2"/>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86818"/>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uiPriority w:val="99"/>
    <w:semiHidden/>
    <w:rsid w:val="0058681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semiHidden/>
    <w:rsid w:val="00586818"/>
    <w:rPr>
      <w:rFonts w:ascii="Times New Roman" w:eastAsia="Times New Roman" w:hAnsi="Times New Roman" w:cs="Times New Roman"/>
      <w:b/>
      <w:bCs/>
      <w:szCs w:val="24"/>
      <w:lang w:val="lt-LT" w:eastAsia="lt-LT"/>
    </w:rPr>
  </w:style>
  <w:style w:type="character" w:styleId="Hipersaitas">
    <w:name w:val="Hyperlink"/>
    <w:uiPriority w:val="99"/>
    <w:unhideWhenUsed/>
    <w:rsid w:val="00586818"/>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586818"/>
    <w:rPr>
      <w:color w:val="800080" w:themeColor="followedHyperlink"/>
      <w:u w:val="single"/>
    </w:rPr>
  </w:style>
  <w:style w:type="paragraph" w:styleId="prastasiniatinklio">
    <w:name w:val="Normal (Web)"/>
    <w:basedOn w:val="prastasis"/>
    <w:uiPriority w:val="99"/>
    <w:semiHidden/>
    <w:unhideWhenUsed/>
    <w:rsid w:val="00586818"/>
    <w:pPr>
      <w:spacing w:before="100" w:beforeAutospacing="1" w:after="100" w:afterAutospacing="1"/>
    </w:pPr>
    <w:rPr>
      <w:sz w:val="24"/>
      <w:szCs w:val="24"/>
      <w:lang w:val="pl-PL" w:eastAsia="pl-PL"/>
    </w:rPr>
  </w:style>
  <w:style w:type="paragraph" w:styleId="Komentarotekstas">
    <w:name w:val="annotation text"/>
    <w:basedOn w:val="prastasis"/>
    <w:link w:val="KomentarotekstasDiagrama"/>
    <w:uiPriority w:val="99"/>
    <w:semiHidden/>
    <w:unhideWhenUsed/>
    <w:rsid w:val="00586818"/>
    <w:rPr>
      <w:sz w:val="20"/>
    </w:rPr>
  </w:style>
  <w:style w:type="character" w:customStyle="1" w:styleId="KomentarotekstasDiagrama">
    <w:name w:val="Komentaro tekstas Diagrama"/>
    <w:basedOn w:val="Numatytasispastraiposriftas"/>
    <w:link w:val="Komentarotekstas"/>
    <w:uiPriority w:val="99"/>
    <w:semiHidden/>
    <w:rsid w:val="00586818"/>
    <w:rPr>
      <w:rFonts w:ascii="Times New Roman" w:eastAsia="Calibri" w:hAnsi="Times New Roman" w:cs="Times New Roman"/>
      <w:sz w:val="20"/>
      <w:szCs w:val="20"/>
      <w:lang w:val="lt-LT" w:eastAsia="lt-LT"/>
    </w:rPr>
  </w:style>
  <w:style w:type="paragraph" w:styleId="Antrats">
    <w:name w:val="header"/>
    <w:basedOn w:val="prastasis"/>
    <w:link w:val="AntratsDiagrama"/>
    <w:uiPriority w:val="99"/>
    <w:semiHidden/>
    <w:unhideWhenUsed/>
    <w:rsid w:val="00586818"/>
    <w:pPr>
      <w:tabs>
        <w:tab w:val="center" w:pos="4819"/>
        <w:tab w:val="right" w:pos="9638"/>
      </w:tabs>
    </w:pPr>
  </w:style>
  <w:style w:type="character" w:customStyle="1" w:styleId="AntratsDiagrama">
    <w:name w:val="Antraštės Diagrama"/>
    <w:basedOn w:val="Numatytasispastraiposriftas"/>
    <w:link w:val="Antrats"/>
    <w:uiPriority w:val="99"/>
    <w:semiHidden/>
    <w:rsid w:val="00586818"/>
    <w:rPr>
      <w:rFonts w:ascii="Times New Roman" w:eastAsia="Calibri" w:hAnsi="Times New Roman" w:cs="Times New Roman"/>
      <w:szCs w:val="20"/>
      <w:lang w:val="lt-LT" w:eastAsia="lt-LT"/>
    </w:rPr>
  </w:style>
  <w:style w:type="paragraph" w:styleId="Porat">
    <w:name w:val="footer"/>
    <w:basedOn w:val="prastasis"/>
    <w:link w:val="PoratDiagrama"/>
    <w:uiPriority w:val="99"/>
    <w:semiHidden/>
    <w:unhideWhenUsed/>
    <w:rsid w:val="00586818"/>
    <w:pPr>
      <w:tabs>
        <w:tab w:val="center" w:pos="4153"/>
        <w:tab w:val="right" w:pos="8306"/>
      </w:tabs>
    </w:pPr>
  </w:style>
  <w:style w:type="character" w:customStyle="1" w:styleId="PoratDiagrama">
    <w:name w:val="Poraštė Diagrama"/>
    <w:basedOn w:val="Numatytasispastraiposriftas"/>
    <w:link w:val="Porat"/>
    <w:uiPriority w:val="99"/>
    <w:semiHidden/>
    <w:rsid w:val="00586818"/>
    <w:rPr>
      <w:rFonts w:ascii="Times New Roman" w:eastAsia="Calibri" w:hAnsi="Times New Roman" w:cs="Times New Roman"/>
      <w:szCs w:val="20"/>
      <w:lang w:val="lt-LT" w:eastAsia="lt-LT"/>
    </w:rPr>
  </w:style>
  <w:style w:type="paragraph" w:styleId="Pavadinimas">
    <w:name w:val="Title"/>
    <w:basedOn w:val="prastasis"/>
    <w:link w:val="PavadinimasDiagrama"/>
    <w:autoRedefine/>
    <w:uiPriority w:val="99"/>
    <w:qFormat/>
    <w:rsid w:val="00586818"/>
    <w:pPr>
      <w:jc w:val="center"/>
      <w:outlineLvl w:val="0"/>
    </w:pPr>
    <w:rPr>
      <w:b/>
      <w:kern w:val="28"/>
    </w:rPr>
  </w:style>
  <w:style w:type="character" w:customStyle="1" w:styleId="PavadinimasDiagrama">
    <w:name w:val="Pavadinimas Diagrama"/>
    <w:basedOn w:val="Numatytasispastraiposriftas"/>
    <w:link w:val="Pavadinimas"/>
    <w:uiPriority w:val="99"/>
    <w:rsid w:val="00586818"/>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uiPriority w:val="99"/>
    <w:unhideWhenUsed/>
    <w:rsid w:val="00586818"/>
    <w:pPr>
      <w:spacing w:after="120"/>
    </w:pPr>
  </w:style>
  <w:style w:type="character" w:customStyle="1" w:styleId="PagrindinistekstasDiagrama">
    <w:name w:val="Pagrindinis tekstas Diagrama"/>
    <w:basedOn w:val="Numatytasispastraiposriftas"/>
    <w:link w:val="Pagrindinistekstas"/>
    <w:uiPriority w:val="99"/>
    <w:rsid w:val="00586818"/>
    <w:rPr>
      <w:rFonts w:ascii="Times New Roman" w:eastAsia="Calibri"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586818"/>
    <w:rPr>
      <w:b/>
      <w:bCs/>
    </w:rPr>
  </w:style>
  <w:style w:type="character" w:customStyle="1" w:styleId="KomentarotemaDiagrama">
    <w:name w:val="Komentaro tema Diagrama"/>
    <w:basedOn w:val="KomentarotekstasDiagrama"/>
    <w:link w:val="Komentarotema"/>
    <w:uiPriority w:val="99"/>
    <w:semiHidden/>
    <w:rsid w:val="00586818"/>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868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6818"/>
    <w:rPr>
      <w:rFonts w:ascii="Tahoma" w:eastAsia="Calibri" w:hAnsi="Tahoma" w:cs="Tahoma"/>
      <w:sz w:val="16"/>
      <w:szCs w:val="16"/>
      <w:lang w:val="lt-LT" w:eastAsia="lt-LT"/>
    </w:rPr>
  </w:style>
  <w:style w:type="paragraph" w:styleId="Sraopastraipa">
    <w:name w:val="List Paragraph"/>
    <w:basedOn w:val="prastasis"/>
    <w:uiPriority w:val="99"/>
    <w:qFormat/>
    <w:rsid w:val="00586818"/>
    <w:pPr>
      <w:ind w:left="720"/>
      <w:contextualSpacing/>
    </w:pPr>
  </w:style>
  <w:style w:type="character" w:customStyle="1" w:styleId="BTEMEASMCAChar">
    <w:name w:val="BT EMEA_SMCA Char"/>
    <w:link w:val="BTEMEASMCA"/>
    <w:uiPriority w:val="99"/>
    <w:semiHidden/>
    <w:locked/>
    <w:rsid w:val="008E720E"/>
    <w:rPr>
      <w:lang w:val="lt-LT"/>
    </w:rPr>
  </w:style>
  <w:style w:type="paragraph" w:customStyle="1" w:styleId="BTEMEASMCA">
    <w:name w:val="BT EMEA_SMCA"/>
    <w:basedOn w:val="prastasis"/>
    <w:link w:val="BTEMEASMCAChar"/>
    <w:autoRedefine/>
    <w:uiPriority w:val="99"/>
    <w:semiHidden/>
    <w:rsid w:val="008E720E"/>
    <w:rPr>
      <w:rFonts w:asciiTheme="minorHAnsi" w:eastAsiaTheme="minorHAnsi" w:hAnsiTheme="minorHAnsi" w:cstheme="minorBidi"/>
      <w:szCs w:val="22"/>
      <w:lang w:eastAsia="en-US"/>
    </w:rPr>
  </w:style>
  <w:style w:type="paragraph" w:customStyle="1" w:styleId="PI-1EMEASMCA">
    <w:name w:val="PI-1 EMEA_SMCA"/>
    <w:basedOn w:val="Antrat2"/>
    <w:autoRedefine/>
    <w:uiPriority w:val="99"/>
    <w:semiHidden/>
    <w:rsid w:val="00586818"/>
    <w:pPr>
      <w:tabs>
        <w:tab w:val="left" w:pos="567"/>
      </w:tabs>
      <w:ind w:left="567" w:hanging="567"/>
    </w:pPr>
    <w:rPr>
      <w:rFonts w:eastAsia="Calibri"/>
      <w:szCs w:val="22"/>
      <w:lang w:eastAsia="en-US"/>
    </w:rPr>
  </w:style>
  <w:style w:type="character" w:customStyle="1" w:styleId="TTEMEASMCAChar">
    <w:name w:val="TT EMEA_SMCA Char"/>
    <w:link w:val="TTEMEASMCA"/>
    <w:uiPriority w:val="99"/>
    <w:semiHidden/>
    <w:locked/>
    <w:rsid w:val="00586818"/>
    <w:rPr>
      <w:b/>
      <w:lang w:val="lt-LT"/>
    </w:rPr>
  </w:style>
  <w:style w:type="paragraph" w:customStyle="1" w:styleId="BTbEMEASMCA">
    <w:name w:val="BT(b) EMEA_SMCA"/>
    <w:basedOn w:val="BTEMEASMCA"/>
    <w:autoRedefine/>
    <w:uiPriority w:val="99"/>
    <w:semiHidden/>
    <w:rsid w:val="00233011"/>
    <w:rPr>
      <w:rFonts w:ascii="Times New Roman" w:hAnsi="Times New Roman" w:cs="Times New Roman"/>
      <w:b/>
      <w:noProof/>
    </w:rPr>
  </w:style>
  <w:style w:type="paragraph" w:customStyle="1" w:styleId="TTEMEASMCA">
    <w:name w:val="TT EMEA_SMCA"/>
    <w:basedOn w:val="Antrat1"/>
    <w:next w:val="BTbEMEASMCA"/>
    <w:link w:val="TTEMEASMCAChar"/>
    <w:autoRedefine/>
    <w:uiPriority w:val="99"/>
    <w:semiHidden/>
    <w:rsid w:val="00586818"/>
    <w:pPr>
      <w:keepNext w:val="0"/>
      <w:keepLines w:val="0"/>
      <w:tabs>
        <w:tab w:val="left" w:pos="567"/>
      </w:tabs>
      <w:spacing w:before="0"/>
      <w:ind w:left="567" w:hanging="567"/>
      <w:jc w:val="center"/>
    </w:pPr>
    <w:rPr>
      <w:rFonts w:asciiTheme="minorHAnsi" w:eastAsiaTheme="minorHAnsi" w:hAnsiTheme="minorHAnsi" w:cstheme="minorBidi"/>
      <w:bCs w:val="0"/>
      <w:color w:val="auto"/>
      <w:sz w:val="22"/>
      <w:szCs w:val="22"/>
      <w:lang w:eastAsia="en-US"/>
    </w:rPr>
  </w:style>
  <w:style w:type="paragraph" w:customStyle="1" w:styleId="BTAnIIEMEASMCA">
    <w:name w:val="BT(AnII) EMEA_SMCA"/>
    <w:basedOn w:val="Debesliotekstas"/>
    <w:autoRedefine/>
    <w:uiPriority w:val="99"/>
    <w:semiHidden/>
    <w:rsid w:val="00586818"/>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semiHidden/>
    <w:rsid w:val="00586818"/>
    <w:rPr>
      <w:noProof/>
      <w:u w:val="single"/>
    </w:rPr>
  </w:style>
  <w:style w:type="paragraph" w:customStyle="1" w:styleId="PI-2EMEASMCA">
    <w:name w:val="PI-2 EMEA_SMCA"/>
    <w:basedOn w:val="Antrat3"/>
    <w:autoRedefine/>
    <w:uiPriority w:val="99"/>
    <w:semiHidden/>
    <w:rsid w:val="00586818"/>
    <w:pPr>
      <w:keepLines/>
      <w:tabs>
        <w:tab w:val="left" w:pos="567"/>
      </w:tabs>
      <w:ind w:left="567" w:hanging="567"/>
    </w:pPr>
    <w:rPr>
      <w:rFonts w:eastAsia="Calibri"/>
      <w:bCs w:val="0"/>
      <w:kern w:val="28"/>
      <w:szCs w:val="22"/>
      <w:lang w:eastAsia="en-US"/>
    </w:rPr>
  </w:style>
  <w:style w:type="paragraph" w:customStyle="1" w:styleId="PI-3EMEASMCA">
    <w:name w:val="PI-3 EMEA_SMCA"/>
    <w:basedOn w:val="prastasis"/>
    <w:autoRedefine/>
    <w:uiPriority w:val="99"/>
    <w:semiHidden/>
    <w:rsid w:val="00586818"/>
    <w:pPr>
      <w:spacing w:line="220" w:lineRule="exact"/>
    </w:pPr>
    <w:rPr>
      <w:b/>
      <w:bCs/>
      <w:szCs w:val="22"/>
      <w:lang w:eastAsia="en-US"/>
    </w:rPr>
  </w:style>
  <w:style w:type="paragraph" w:customStyle="1" w:styleId="Default">
    <w:name w:val="Default"/>
    <w:uiPriority w:val="99"/>
    <w:semiHidden/>
    <w:rsid w:val="00586818"/>
    <w:pPr>
      <w:autoSpaceDE w:val="0"/>
      <w:autoSpaceDN w:val="0"/>
      <w:adjustRightInd w:val="0"/>
      <w:spacing w:after="0" w:line="240" w:lineRule="auto"/>
    </w:pPr>
    <w:rPr>
      <w:rFonts w:ascii="Verdana" w:eastAsia="Calibri" w:hAnsi="Verdana" w:cs="Verdana"/>
      <w:color w:val="000000"/>
      <w:sz w:val="24"/>
      <w:szCs w:val="24"/>
    </w:rPr>
  </w:style>
  <w:style w:type="paragraph" w:customStyle="1" w:styleId="Default1">
    <w:name w:val="Default1"/>
    <w:basedOn w:val="Default"/>
    <w:next w:val="Default"/>
    <w:uiPriority w:val="99"/>
    <w:semiHidden/>
    <w:rsid w:val="00586818"/>
    <w:rPr>
      <w:rFonts w:cs="Times New Roman"/>
      <w:color w:val="auto"/>
    </w:rPr>
  </w:style>
  <w:style w:type="character" w:customStyle="1" w:styleId="PI-1labEMEASMCAChar">
    <w:name w:val="PI-1_lab EMEA_SMCA Char"/>
    <w:link w:val="PI-1labEMEASMCA"/>
    <w:uiPriority w:val="99"/>
    <w:semiHidden/>
    <w:locked/>
    <w:rsid w:val="00586818"/>
    <w:rPr>
      <w:rFonts w:ascii="Times New Roman" w:hAnsi="Times New Roman" w:cs="Times New Roman"/>
      <w:b/>
      <w:noProof/>
      <w:lang w:val="lt-LT"/>
    </w:rPr>
  </w:style>
  <w:style w:type="paragraph" w:customStyle="1" w:styleId="PI-1labEMEASMCA">
    <w:name w:val="PI-1_lab EMEA_SMCA"/>
    <w:basedOn w:val="prastasis"/>
    <w:link w:val="PI-1labEMEASMCAChar"/>
    <w:autoRedefine/>
    <w:uiPriority w:val="99"/>
    <w:semiHidden/>
    <w:rsid w:val="00586818"/>
    <w:pPr>
      <w:pBdr>
        <w:top w:val="single" w:sz="4" w:space="1" w:color="auto"/>
        <w:left w:val="single" w:sz="4" w:space="4" w:color="auto"/>
        <w:bottom w:val="single" w:sz="4" w:space="1" w:color="auto"/>
        <w:right w:val="single" w:sz="4" w:space="4" w:color="auto"/>
      </w:pBdr>
      <w:tabs>
        <w:tab w:val="left" w:pos="540"/>
      </w:tabs>
    </w:pPr>
    <w:rPr>
      <w:rFonts w:eastAsiaTheme="minorHAnsi"/>
      <w:b/>
      <w:noProof/>
      <w:szCs w:val="22"/>
      <w:lang w:eastAsia="en-US"/>
    </w:rPr>
  </w:style>
  <w:style w:type="paragraph" w:customStyle="1" w:styleId="CM4">
    <w:name w:val="CM4"/>
    <w:basedOn w:val="Default"/>
    <w:next w:val="Default"/>
    <w:uiPriority w:val="99"/>
    <w:semiHidden/>
    <w:rsid w:val="00586818"/>
    <w:pPr>
      <w:spacing w:line="231" w:lineRule="atLeast"/>
    </w:pPr>
    <w:rPr>
      <w:rFonts w:ascii="Arial" w:hAnsi="Arial" w:cs="Arial"/>
      <w:color w:val="auto"/>
      <w:lang w:eastAsia="lt-LT"/>
    </w:rPr>
  </w:style>
  <w:style w:type="character" w:styleId="Komentaronuoroda">
    <w:name w:val="annotation reference"/>
    <w:uiPriority w:val="99"/>
    <w:semiHidden/>
    <w:unhideWhenUsed/>
    <w:rsid w:val="00586818"/>
    <w:rPr>
      <w:rFonts w:ascii="Times New Roman" w:hAnsi="Times New Roman" w:cs="Times New Roman" w:hint="default"/>
      <w:sz w:val="16"/>
      <w:szCs w:val="16"/>
    </w:rPr>
  </w:style>
  <w:style w:type="character" w:styleId="Puslapionumeris">
    <w:name w:val="page number"/>
    <w:uiPriority w:val="99"/>
    <w:semiHidden/>
    <w:unhideWhenUsed/>
    <w:rsid w:val="00586818"/>
    <w:rPr>
      <w:rFonts w:ascii="Times New Roman" w:hAnsi="Times New Roman" w:cs="Times New Roman" w:hint="default"/>
    </w:rPr>
  </w:style>
  <w:style w:type="character" w:customStyle="1" w:styleId="FooterChar">
    <w:name w:val="Footer Char"/>
    <w:uiPriority w:val="99"/>
    <w:locked/>
    <w:rsid w:val="00586818"/>
    <w:rPr>
      <w:rFonts w:ascii="Times New Roman" w:hAnsi="Times New Roman" w:cs="Times New Roman" w:hint="default"/>
      <w:sz w:val="20"/>
      <w:szCs w:val="20"/>
      <w:lang w:eastAsia="lt-LT"/>
    </w:rPr>
  </w:style>
  <w:style w:type="character" w:customStyle="1" w:styleId="hps">
    <w:name w:val="hps"/>
    <w:uiPriority w:val="99"/>
    <w:rsid w:val="00586818"/>
    <w:rPr>
      <w:rFonts w:ascii="Times New Roman" w:hAnsi="Times New Roman" w:cs="Times New Roman" w:hint="default"/>
    </w:rPr>
  </w:style>
  <w:style w:type="character" w:customStyle="1" w:styleId="CommentTextChar">
    <w:name w:val="Comment Text Char"/>
    <w:uiPriority w:val="99"/>
    <w:semiHidden/>
    <w:rsid w:val="00586818"/>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6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82db5bd2-3f09-4eff-b4f8-de6a53cd5a02">Ostemax</Trade_x0020_name>
    <Procedure_number xmlns="82db5bd2-3f09-4eff-b4f8-de6a53cd5a02"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3DCE3-5BF1-48B7-828D-40D4D4F963BD}">
  <ds:schemaRefs>
    <ds:schemaRef ds:uri="http://purl.org/dc/terms/"/>
    <ds:schemaRef ds:uri="http://purl.org/dc/dcmitype/"/>
    <ds:schemaRef ds:uri="http://schemas.microsoft.com/sharepoint/v4"/>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82db5bd2-3f09-4eff-b4f8-de6a53cd5a02"/>
    <ds:schemaRef ds:uri="http://schemas.microsoft.com/office/2006/metadata/properties"/>
  </ds:schemaRefs>
</ds:datastoreItem>
</file>

<file path=customXml/itemProps2.xml><?xml version="1.0" encoding="utf-8"?>
<ds:datastoreItem xmlns:ds="http://schemas.openxmlformats.org/officeDocument/2006/customXml" ds:itemID="{C558DD14-1328-4C61-ADF1-9CC07DAE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21CE8-97FA-47CE-BD2B-8A9579B2F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C683E-F550-4CA1-9ADF-FD514F648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29849</Words>
  <Characters>17014</Characters>
  <Application>Microsoft Office Word</Application>
  <DocSecurity>0</DocSecurity>
  <Lines>141</Lines>
  <Paragraphs>93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gosia_e</dc:creator>
  <cp:keywords/>
  <dc:description/>
  <cp:lastModifiedBy>Albina Burkauskaitė</cp:lastModifiedBy>
  <cp:revision>3</cp:revision>
  <dcterms:created xsi:type="dcterms:W3CDTF">2020-12-28T09:21:00Z</dcterms:created>
  <dcterms:modified xsi:type="dcterms:W3CDTF">2020-12-28T09:22:00Z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