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133" w:rsidRDefault="001A1133" w:rsidP="001A1133">
      <w:pPr>
        <w:spacing w:after="0" w:line="240" w:lineRule="auto"/>
        <w:jc w:val="center"/>
        <w:rPr>
          <w:rFonts w:ascii="Times New Roman" w:hAnsi="Times New Roman"/>
          <w:b/>
          <w:noProof/>
          <w:lang w:eastAsia="lt-LT"/>
        </w:rPr>
      </w:pPr>
      <w:r>
        <w:rPr>
          <w:rFonts w:ascii="Times New Roman" w:hAnsi="Times New Roman"/>
          <w:b/>
          <w:noProof/>
          <w:lang w:eastAsia="lt-LT"/>
        </w:rPr>
        <w:t>Pakuotės lapelis: informacija vartotojui</w:t>
      </w:r>
    </w:p>
    <w:p w:rsidR="001A1133" w:rsidRDefault="001A1133" w:rsidP="001A1133">
      <w:pPr>
        <w:spacing w:after="0" w:line="240" w:lineRule="auto"/>
        <w:jc w:val="center"/>
        <w:rPr>
          <w:rFonts w:ascii="Times New Roman" w:hAnsi="Times New Roman"/>
          <w:b/>
          <w:noProof/>
          <w:lang w:eastAsia="lt-LT"/>
        </w:rPr>
      </w:pPr>
    </w:p>
    <w:p w:rsidR="001A1133" w:rsidRDefault="001A1133" w:rsidP="001A1133">
      <w:pPr>
        <w:spacing w:after="0" w:line="240" w:lineRule="auto"/>
        <w:jc w:val="center"/>
        <w:rPr>
          <w:rFonts w:ascii="Times New Roman" w:hAnsi="Times New Roman"/>
          <w:b/>
          <w:noProof/>
          <w:lang w:eastAsia="lt-LT"/>
        </w:rPr>
      </w:pPr>
      <w:r>
        <w:rPr>
          <w:rFonts w:ascii="Times New Roman" w:hAnsi="Times New Roman"/>
          <w:b/>
          <w:noProof/>
          <w:lang w:eastAsia="lt-LT"/>
        </w:rPr>
        <w:t>ARCOXIA 30 mg plėvele dengtos tabletės</w:t>
      </w:r>
    </w:p>
    <w:p w:rsidR="001A1133" w:rsidRDefault="001A1133" w:rsidP="001A1133">
      <w:pPr>
        <w:spacing w:after="0" w:line="240" w:lineRule="auto"/>
        <w:jc w:val="center"/>
        <w:rPr>
          <w:rFonts w:ascii="Times New Roman" w:hAnsi="Times New Roman"/>
          <w:b/>
          <w:noProof/>
          <w:lang w:eastAsia="lt-LT"/>
        </w:rPr>
      </w:pPr>
      <w:r>
        <w:rPr>
          <w:rFonts w:ascii="Times New Roman" w:hAnsi="Times New Roman"/>
          <w:b/>
          <w:noProof/>
          <w:lang w:eastAsia="lt-LT"/>
        </w:rPr>
        <w:t>ARCOXIA 60 mg plėvele dengtos tabletės</w:t>
      </w:r>
    </w:p>
    <w:p w:rsidR="001A1133" w:rsidRDefault="001A1133" w:rsidP="001A1133">
      <w:pPr>
        <w:spacing w:after="0" w:line="240" w:lineRule="auto"/>
        <w:jc w:val="center"/>
        <w:rPr>
          <w:rFonts w:ascii="Times New Roman" w:hAnsi="Times New Roman"/>
          <w:b/>
          <w:noProof/>
          <w:lang w:eastAsia="lt-LT"/>
        </w:rPr>
      </w:pPr>
      <w:r>
        <w:rPr>
          <w:rFonts w:ascii="Times New Roman" w:hAnsi="Times New Roman"/>
          <w:b/>
          <w:noProof/>
          <w:lang w:eastAsia="lt-LT"/>
        </w:rPr>
        <w:t>ARCOXIA 90 mg plėvele dengtos tabletės</w:t>
      </w:r>
    </w:p>
    <w:p w:rsidR="001A1133" w:rsidRDefault="001A1133" w:rsidP="001A1133">
      <w:pPr>
        <w:spacing w:after="0" w:line="240" w:lineRule="auto"/>
        <w:jc w:val="center"/>
        <w:rPr>
          <w:rFonts w:ascii="Times New Roman" w:hAnsi="Times New Roman"/>
          <w:b/>
          <w:noProof/>
          <w:lang w:eastAsia="lt-LT"/>
        </w:rPr>
      </w:pPr>
      <w:r>
        <w:rPr>
          <w:rFonts w:ascii="Times New Roman" w:hAnsi="Times New Roman"/>
          <w:b/>
          <w:noProof/>
          <w:lang w:eastAsia="lt-LT"/>
        </w:rPr>
        <w:t>ARCOXIA 120 mg plėvele dengtos tabletės</w:t>
      </w:r>
    </w:p>
    <w:p w:rsidR="001A1133" w:rsidRDefault="001A1133" w:rsidP="001A1133">
      <w:pPr>
        <w:spacing w:after="0" w:line="240" w:lineRule="auto"/>
        <w:jc w:val="center"/>
        <w:rPr>
          <w:rFonts w:ascii="Times New Roman" w:hAnsi="Times New Roman"/>
          <w:noProof/>
          <w:lang w:eastAsia="lt-LT"/>
        </w:rPr>
      </w:pPr>
    </w:p>
    <w:p w:rsidR="001A1133" w:rsidRDefault="001A1133" w:rsidP="001A1133">
      <w:pPr>
        <w:spacing w:after="0" w:line="240" w:lineRule="auto"/>
        <w:jc w:val="center"/>
        <w:rPr>
          <w:rFonts w:ascii="Times New Roman" w:hAnsi="Times New Roman"/>
          <w:noProof/>
          <w:lang w:eastAsia="lt-LT"/>
        </w:rPr>
      </w:pPr>
      <w:r>
        <w:rPr>
          <w:rFonts w:ascii="Times New Roman" w:hAnsi="Times New Roman"/>
          <w:noProof/>
          <w:lang w:eastAsia="lt-LT"/>
        </w:rPr>
        <w:t>etorikoksibas</w:t>
      </w:r>
    </w:p>
    <w:p w:rsidR="001A1133" w:rsidRDefault="001A1133" w:rsidP="001A1133">
      <w:pPr>
        <w:spacing w:after="0" w:line="240" w:lineRule="auto"/>
        <w:rPr>
          <w:rFonts w:ascii="Times New Roman" w:hAnsi="Times New Roman"/>
          <w:b/>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rsidR="001A1133" w:rsidRDefault="001A1133" w:rsidP="001A1133">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rsidR="001A1133" w:rsidRDefault="001A1133" w:rsidP="001A1133">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rsidR="001A1133" w:rsidRDefault="001A1133" w:rsidP="001A1133">
      <w:pPr>
        <w:numPr>
          <w:ilvl w:val="0"/>
          <w:numId w:val="1"/>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rsidR="001A1133" w:rsidRDefault="001A1133" w:rsidP="001A1133">
      <w:pPr>
        <w:numPr>
          <w:ilvl w:val="0"/>
          <w:numId w:val="1"/>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rsidR="001A1133" w:rsidRDefault="001A1133" w:rsidP="001A1133">
      <w:pPr>
        <w:spacing w:after="0" w:line="240" w:lineRule="auto"/>
        <w:ind w:right="-2"/>
        <w:rPr>
          <w:rFonts w:ascii="Times New Roman" w:hAnsi="Times New Roman"/>
          <w:noProof/>
          <w:lang w:eastAsia="lt-LT"/>
        </w:rPr>
      </w:pPr>
    </w:p>
    <w:p w:rsidR="001A1133" w:rsidRDefault="001A1133" w:rsidP="001A1133">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rsidR="001A1133" w:rsidRDefault="001A1133" w:rsidP="001A1133">
      <w:pPr>
        <w:spacing w:after="0" w:line="240" w:lineRule="auto"/>
        <w:jc w:val="both"/>
        <w:rPr>
          <w:rFonts w:ascii="Times New Roman" w:hAnsi="Times New Roman"/>
          <w:b/>
          <w:noProof/>
          <w:lang w:eastAsia="lt-LT"/>
        </w:rPr>
      </w:pPr>
    </w:p>
    <w:p w:rsidR="001A1133" w:rsidRDefault="001A1133" w:rsidP="001A1133">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Kas yra ARCOXIA ir kam jis vartojamas</w:t>
      </w:r>
    </w:p>
    <w:p w:rsidR="001A1133" w:rsidRDefault="001A1133" w:rsidP="001A1133">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Kas žinotina prieš vartojant ARCOXIA</w:t>
      </w:r>
    </w:p>
    <w:p w:rsidR="001A1133" w:rsidRDefault="001A1133" w:rsidP="001A1133">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Kaip vartoti ARCOXIA</w:t>
      </w:r>
    </w:p>
    <w:p w:rsidR="001A1133" w:rsidRDefault="001A1133" w:rsidP="001A1133">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rsidR="001A1133" w:rsidRDefault="001A1133" w:rsidP="001A1133">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Kaip laikyti ARCOXIA</w:t>
      </w:r>
    </w:p>
    <w:p w:rsidR="001A1133" w:rsidRDefault="001A1133" w:rsidP="001A1133">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p>
    <w:p w:rsidR="001A1133" w:rsidRDefault="001A1133" w:rsidP="001A1133">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Kas yra ARCOXIA</w:t>
      </w:r>
      <w:r>
        <w:rPr>
          <w:rFonts w:ascii="Times New Roman" w:hAnsi="Times New Roman"/>
          <w:noProof/>
          <w:lang w:eastAsia="lt-LT"/>
        </w:rPr>
        <w:t xml:space="preserve"> </w:t>
      </w:r>
      <w:r>
        <w:rPr>
          <w:rFonts w:ascii="Times New Roman" w:hAnsi="Times New Roman"/>
          <w:b/>
          <w:noProof/>
          <w:lang w:eastAsia="lt-LT"/>
        </w:rPr>
        <w:t>ir kam jis vartojamas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b/>
          <w:noProof/>
          <w:lang w:eastAsia="lt-LT"/>
        </w:rPr>
        <w:t>Kas yra ARCOXIA</w:t>
      </w:r>
    </w:p>
    <w:p w:rsidR="001A1133" w:rsidRDefault="001A1133" w:rsidP="001A1133">
      <w:pPr>
        <w:numPr>
          <w:ilvl w:val="0"/>
          <w:numId w:val="2"/>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ARCOXIA sudėtyje yra veikliosios medžiagos etorikoksibo. ARCOXIA </w:t>
      </w:r>
      <w:r>
        <w:rPr>
          <w:rFonts w:ascii="Times New Roman" w:hAnsi="Times New Roman"/>
          <w:lang w:eastAsia="lt-LT"/>
        </w:rPr>
        <w:t>yra vienas iš selektyvių COX-2 inhibitorių grupės vaistų. Jie priklauso nesteroidinių vaistų nuo uždegimo (NVNU) šeimai.</w:t>
      </w:r>
    </w:p>
    <w:p w:rsidR="001A1133" w:rsidRDefault="001A1133" w:rsidP="001A1133">
      <w:pPr>
        <w:spacing w:after="0" w:line="240" w:lineRule="auto"/>
        <w:rPr>
          <w:rFonts w:ascii="Times New Roman" w:hAnsi="Times New Roman"/>
          <w:lang w:eastAsia="lt-LT"/>
        </w:rPr>
      </w:pPr>
    </w:p>
    <w:p w:rsidR="001A1133" w:rsidRDefault="001A1133" w:rsidP="001A1133">
      <w:pPr>
        <w:spacing w:after="0" w:line="240" w:lineRule="auto"/>
        <w:rPr>
          <w:rFonts w:ascii="Times New Roman" w:hAnsi="Times New Roman"/>
          <w:lang w:eastAsia="lt-LT"/>
        </w:rPr>
      </w:pPr>
      <w:r>
        <w:rPr>
          <w:rFonts w:ascii="Times New Roman" w:hAnsi="Times New Roman"/>
          <w:b/>
          <w:noProof/>
          <w:lang w:eastAsia="lt-LT"/>
        </w:rPr>
        <w:t>Kam vartojamas ARCOXIA</w:t>
      </w:r>
    </w:p>
    <w:p w:rsidR="001A1133" w:rsidRDefault="001A1133" w:rsidP="001A1133">
      <w:pPr>
        <w:numPr>
          <w:ilvl w:val="0"/>
          <w:numId w:val="2"/>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ARCOXIA </w:t>
      </w:r>
      <w:r>
        <w:rPr>
          <w:rFonts w:ascii="Times New Roman" w:hAnsi="Times New Roman"/>
          <w:lang w:eastAsia="lt-LT"/>
        </w:rPr>
        <w:t xml:space="preserve">padeda sumažinti sąnarių ir raumenų skausmą ir patinimą (uždegimą) </w:t>
      </w:r>
      <w:proofErr w:type="spellStart"/>
      <w:r>
        <w:rPr>
          <w:rFonts w:ascii="Times New Roman" w:hAnsi="Times New Roman"/>
          <w:lang w:eastAsia="lt-LT"/>
        </w:rPr>
        <w:t>osteoartritu</w:t>
      </w:r>
      <w:proofErr w:type="spellEnd"/>
      <w:r>
        <w:rPr>
          <w:rFonts w:ascii="Times New Roman" w:hAnsi="Times New Roman"/>
          <w:lang w:eastAsia="lt-LT"/>
        </w:rPr>
        <w:t xml:space="preserve">, reumatoidiniu artritu,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ar podagra sergantiems 16 metų ir vyresniems žmonėms.</w:t>
      </w:r>
    </w:p>
    <w:p w:rsidR="001A1133" w:rsidRDefault="001A1133" w:rsidP="001A1133">
      <w:pPr>
        <w:numPr>
          <w:ilvl w:val="0"/>
          <w:numId w:val="2"/>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ARCOXIA taip pat galima trumpai malšinti dantų operacijos sukeltą vidutinio stiprumo skausmą 16 metų ir vyresniems žmonėms.</w:t>
      </w: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b/>
          <w:noProof/>
          <w:lang w:eastAsia="lt-LT"/>
        </w:rPr>
        <w:t>Kas yra podagra?</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rsidR="001A1133" w:rsidRDefault="001A1133" w:rsidP="001A1133">
      <w:pPr>
        <w:spacing w:after="0" w:line="240" w:lineRule="auto"/>
        <w:rPr>
          <w:rFonts w:ascii="Times New Roman" w:hAnsi="Times New Roman"/>
          <w:noProof/>
          <w:lang w:eastAsia="lt-LT"/>
        </w:rPr>
      </w:pPr>
    </w:p>
    <w:p w:rsidR="001A1133" w:rsidRDefault="001A1133" w:rsidP="001A1133">
      <w:pPr>
        <w:keepNext/>
        <w:spacing w:after="0" w:line="240" w:lineRule="auto"/>
        <w:rPr>
          <w:rFonts w:ascii="Times New Roman" w:hAnsi="Times New Roman"/>
          <w:b/>
          <w:noProof/>
          <w:lang w:eastAsia="lt-LT"/>
        </w:rPr>
      </w:pPr>
      <w:r>
        <w:rPr>
          <w:rFonts w:ascii="Times New Roman" w:hAnsi="Times New Roman"/>
          <w:b/>
          <w:noProof/>
          <w:lang w:eastAsia="lt-LT"/>
        </w:rPr>
        <w:t>Kas yra ankilozinis spondilitas?</w:t>
      </w:r>
    </w:p>
    <w:p w:rsidR="001A1133" w:rsidRDefault="001A1133" w:rsidP="001A1133">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p>
    <w:p w:rsidR="001A1133" w:rsidRDefault="001A1133" w:rsidP="001A1133">
      <w:pPr>
        <w:spacing w:after="0" w:line="240" w:lineRule="auto"/>
        <w:jc w:val="both"/>
        <w:rPr>
          <w:rFonts w:ascii="Times New Roman" w:hAnsi="Times New Roman"/>
          <w:noProof/>
          <w:lang w:eastAsia="lt-LT"/>
        </w:rPr>
      </w:pPr>
    </w:p>
    <w:p w:rsidR="001A1133" w:rsidRDefault="001A1133" w:rsidP="001A1133">
      <w:pPr>
        <w:spacing w:after="0" w:line="240" w:lineRule="auto"/>
        <w:jc w:val="both"/>
        <w:rPr>
          <w:rFonts w:ascii="Times New Roman" w:hAnsi="Times New Roman"/>
          <w:noProof/>
          <w:lang w:eastAsia="lt-LT"/>
        </w:rPr>
      </w:pPr>
    </w:p>
    <w:p w:rsidR="001A1133" w:rsidRDefault="001A1133" w:rsidP="001A1133">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r>
        <w:rPr>
          <w:rFonts w:ascii="Times New Roman" w:hAnsi="Times New Roman"/>
          <w:b/>
          <w:noProof/>
          <w:lang w:eastAsia="lt-LT"/>
        </w:rPr>
        <w:t>ARCOXIA</w:t>
      </w:r>
    </w:p>
    <w:p w:rsidR="001A1133" w:rsidRDefault="001A1133" w:rsidP="001A1133">
      <w:pPr>
        <w:keepNext/>
        <w:keepLines/>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b/>
          <w:bCs/>
          <w:noProof/>
          <w:lang w:eastAsia="lt-LT"/>
        </w:rPr>
      </w:pPr>
      <w:r>
        <w:rPr>
          <w:rFonts w:ascii="Times New Roman" w:hAnsi="Times New Roman"/>
          <w:b/>
          <w:caps/>
          <w:noProof/>
        </w:rPr>
        <w:t xml:space="preserve">ARCOXIA </w:t>
      </w:r>
      <w:r>
        <w:rPr>
          <w:rFonts w:ascii="Times New Roman" w:hAnsi="Times New Roman"/>
          <w:b/>
          <w:bCs/>
          <w:noProof/>
          <w:lang w:eastAsia="lt-LT"/>
        </w:rPr>
        <w:t>vartoti negalima</w:t>
      </w:r>
    </w:p>
    <w:p w:rsidR="001A1133" w:rsidRDefault="001A1133" w:rsidP="001A1133">
      <w:pPr>
        <w:keepNext/>
        <w:keepLines/>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yra alergija (padidėjęs jautrumas) etorikoksibui arba bet kuriai pagalbinei šio vaisto medžiagai (jos išvardytos 6 skyriuje);</w:t>
      </w:r>
    </w:p>
    <w:p w:rsidR="001A1133" w:rsidRDefault="001A1133" w:rsidP="001A1133">
      <w:pPr>
        <w:keepLines/>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yra alergija nesteroidiniams vaistams nuo uždegimo (NVNU), įskaitant aspiriną ir COX-2 inhibitorius (žr. "Galimas šalutinis poveikis" 4 skyriuje);</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šiuo metu yra skrandžio opa ar kraujuoja iš skrandžio arba žarnų;</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kepenų liga;</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inkstų liga;</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esate nėščia ar manote, kad galėjote pastoti, ar žindote kūdikį (žr. "Nėštumas, žindymo laikotarpis ir vaisingumas");</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Jums yra mažiau nei 16 metų;</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uždegimine žarnų liga, pavyzdžiui, Krono liga, opiniu kolitu arba kolitu;</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Jums yra padidėjęs kraujospūdis, kuris nebuvo tinkamai gydomas (pasitikrinkite pas gydytoją ar slaugytoją ar Jūsų kraujospūdis tinkamai kontroliuojamas);</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patvirtinta širdies liga, įskaitant širdies nepakankamumą (vidutinio ar sunkaus tipo), krūtinės angina (krūtinės skausmu);</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miokardo infarktu, atlikta šuntavimo operacija, buvo periferinių arterijų liga (nepakankama kraujotaka kojose ar rankose dėl susiaurėjusio ar užsikimšusio arterijų spindžio);</w:t>
      </w:r>
    </w:p>
    <w:p w:rsidR="001A1133" w:rsidRDefault="001A1133" w:rsidP="001A1133">
      <w:pPr>
        <w:numPr>
          <w:ilvl w:val="0"/>
          <w:numId w:val="3"/>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rsidR="001A1133" w:rsidRDefault="001A1133" w:rsidP="001A1133">
      <w:pPr>
        <w:spacing w:after="0" w:line="240" w:lineRule="auto"/>
        <w:ind w:left="567" w:hanging="567"/>
        <w:rPr>
          <w:rFonts w:ascii="Times New Roman" w:hAnsi="Times New Roman"/>
          <w:noProof/>
          <w:lang w:eastAsia="lt-LT"/>
        </w:rPr>
      </w:pPr>
    </w:p>
    <w:p w:rsidR="001A1133" w:rsidRDefault="001A1133" w:rsidP="001A1133">
      <w:pPr>
        <w:spacing w:after="0" w:line="240" w:lineRule="auto"/>
        <w:ind w:left="567" w:hanging="567"/>
        <w:rPr>
          <w:rFonts w:ascii="Times New Roman" w:hAnsi="Times New Roman"/>
          <w:noProof/>
          <w:lang w:eastAsia="lt-LT"/>
        </w:rPr>
      </w:pPr>
      <w:r>
        <w:rPr>
          <w:rFonts w:ascii="Times New Roman" w:hAnsi="Times New Roman"/>
          <w:noProof/>
          <w:lang w:eastAsia="lt-LT"/>
        </w:rPr>
        <w:t>Jei manote, kad bent viena iš šių būklių Jums tinka, negerkite tablečių, nepasitarę su gydytoju.</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Pasitarkite su gydytoju arba vaistininku, prieš pradėdami vartoti ARCOXIA, jeigu:</w:t>
      </w:r>
    </w:p>
    <w:p w:rsidR="001A1133" w:rsidRDefault="001A1133" w:rsidP="001A1133">
      <w:pPr>
        <w:spacing w:after="0" w:line="240" w:lineRule="auto"/>
        <w:rPr>
          <w:rFonts w:ascii="Times New Roman" w:hAnsi="Times New Roman"/>
          <w:noProof/>
          <w:lang w:eastAsia="lt-LT"/>
        </w:rPr>
      </w:pP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Jums buvo kraujavimas iš skrandžio ar buvo skrandžio opų;</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netekote daug vandens, pvz., po užsitęsusio vėmimo ar viduriavimo;</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Jums yra patinimų dėl skysčių susilaikymo;</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širdies nepakankamumu ar kokia kita širdies liga;</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Jūsų kraujospūdis yra padidėjęs. Kai kuriems žmonėms ARCOXIA gali didinti kraujospūdį, ypač vartojant dideles dozes, todėl gydytojas retkarčiais norės patikrinti Jūsų kraujospūdį;</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kokiomis nors kepenų ar inkstų ligomis;</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 gydėtės nuo infekcinės ligos. </w:t>
      </w:r>
      <w:r>
        <w:rPr>
          <w:rFonts w:ascii="Times New Roman" w:hAnsi="Times New Roman"/>
          <w:lang w:eastAsia="lt-LT"/>
        </w:rPr>
        <w:t>ARCOXIA</w:t>
      </w:r>
      <w:r>
        <w:rPr>
          <w:rFonts w:ascii="Times New Roman" w:hAnsi="Times New Roman"/>
          <w:noProof/>
          <w:lang w:eastAsia="lt-LT"/>
        </w:rPr>
        <w:t xml:space="preserve"> gali užmaskuoti ar paslėpti karščiavimą, kuris yra infekcinės ligos požymis;</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cukriniu diabetu, Jums yra padidėjusi cholesterolio koncentracija kraujyje arba Jūs rūkote. Tai gali padidinti širdies ligų pavojų;</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ketinate pastoti;</w:t>
      </w:r>
    </w:p>
    <w:p w:rsidR="001A1133" w:rsidRDefault="001A1133" w:rsidP="001A1133">
      <w:pPr>
        <w:numPr>
          <w:ilvl w:val="0"/>
          <w:numId w:val="4"/>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esate vyresnis (-ė) nei 65 metų.</w:t>
      </w:r>
    </w:p>
    <w:p w:rsidR="001A1133" w:rsidRDefault="001A1133" w:rsidP="001A1133">
      <w:pPr>
        <w:spacing w:after="0" w:line="240" w:lineRule="auto"/>
        <w:ind w:left="133"/>
        <w:rPr>
          <w:rFonts w:ascii="Times New Roman" w:hAnsi="Times New Roman"/>
          <w:noProof/>
          <w:lang w:eastAsia="lt-LT"/>
        </w:rPr>
      </w:pPr>
    </w:p>
    <w:p w:rsidR="001A1133" w:rsidRDefault="001A1133" w:rsidP="001A1133">
      <w:pPr>
        <w:spacing w:after="0" w:line="240" w:lineRule="auto"/>
        <w:rPr>
          <w:rFonts w:ascii="Times New Roman" w:hAnsi="Times New Roman"/>
          <w:lang w:eastAsia="lt-LT"/>
        </w:rPr>
      </w:pPr>
      <w:r>
        <w:rPr>
          <w:rFonts w:ascii="Times New Roman" w:hAnsi="Times New Roman"/>
          <w:lang w:eastAsia="lt-LT"/>
        </w:rPr>
        <w:t xml:space="preserve">Jeigu nesate tikri, ar kuris iš išvardytų punktų tinka Jums, </w:t>
      </w:r>
      <w:r>
        <w:rPr>
          <w:rFonts w:ascii="Times New Roman" w:hAnsi="Times New Roman"/>
          <w:b/>
          <w:lang w:eastAsia="lt-LT"/>
        </w:rPr>
        <w:t xml:space="preserve">pasitarkite su gydytoju prieš pradėdami vartoti ARCOXIA, </w:t>
      </w:r>
      <w:r>
        <w:rPr>
          <w:rFonts w:ascii="Times New Roman" w:hAnsi="Times New Roman"/>
          <w:lang w:eastAsia="lt-LT"/>
        </w:rPr>
        <w:t>kad įsitikintumėte, ar šis vaistas Jums tinkamas.</w:t>
      </w:r>
    </w:p>
    <w:p w:rsidR="001A1133" w:rsidRDefault="001A1133" w:rsidP="001A1133">
      <w:pPr>
        <w:spacing w:after="0" w:line="240" w:lineRule="auto"/>
        <w:ind w:left="133"/>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ARCOXIA vienodai gerai veiksmingas vyresniems ir jaunesniems suaugusiems pacientams. Jei esate vyresnis (-ė) kaip 65 metų, gydytojas norės reguliariai tikrinti Jūsų sveikatą. Vyresniems kaip 65 metų pacientams dozės koreguoti nereikia.</w:t>
      </w:r>
    </w:p>
    <w:p w:rsidR="001A1133" w:rsidRDefault="001A1133" w:rsidP="001A1133">
      <w:pPr>
        <w:spacing w:after="0" w:line="240" w:lineRule="auto"/>
        <w:rPr>
          <w:rFonts w:ascii="Times New Roman" w:hAnsi="Times New Roman"/>
          <w:b/>
          <w:noProof/>
          <w:lang w:eastAsia="lt-LT"/>
        </w:rPr>
      </w:pPr>
    </w:p>
    <w:p w:rsidR="001A1133" w:rsidRDefault="001A1133" w:rsidP="001A1133">
      <w:pPr>
        <w:keepNext/>
        <w:spacing w:after="0" w:line="240" w:lineRule="auto"/>
        <w:rPr>
          <w:rFonts w:ascii="Times New Roman" w:hAnsi="Times New Roman"/>
          <w:b/>
          <w:noProof/>
          <w:lang w:eastAsia="lt-LT"/>
        </w:rPr>
      </w:pPr>
      <w:r>
        <w:rPr>
          <w:rFonts w:ascii="Times New Roman" w:hAnsi="Times New Roman"/>
          <w:b/>
          <w:noProof/>
          <w:lang w:eastAsia="lt-LT"/>
        </w:rPr>
        <w:t>Vaikams ir paaugliams</w:t>
      </w:r>
    </w:p>
    <w:p w:rsidR="001A1133" w:rsidRDefault="001A1133" w:rsidP="001A1133">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 metų vaikams ir paaugliams.</w:t>
      </w:r>
    </w:p>
    <w:p w:rsidR="001A1133" w:rsidRDefault="001A1133" w:rsidP="001A1133">
      <w:pPr>
        <w:spacing w:after="0" w:line="240" w:lineRule="auto"/>
        <w:rPr>
          <w:rFonts w:ascii="Times New Roman" w:hAnsi="Times New Roman"/>
          <w:noProof/>
          <w:lang w:eastAsia="lt-LT"/>
        </w:rPr>
      </w:pPr>
    </w:p>
    <w:p w:rsidR="001A1133" w:rsidRDefault="001A1133" w:rsidP="001A1133">
      <w:pPr>
        <w:keepNext/>
        <w:spacing w:after="0" w:line="240" w:lineRule="auto"/>
        <w:rPr>
          <w:rFonts w:ascii="Times New Roman" w:hAnsi="Times New Roman"/>
          <w:b/>
          <w:noProof/>
          <w:lang w:eastAsia="lt-LT"/>
        </w:rPr>
      </w:pPr>
      <w:r>
        <w:rPr>
          <w:rFonts w:ascii="Times New Roman" w:hAnsi="Times New Roman"/>
          <w:b/>
          <w:noProof/>
          <w:lang w:eastAsia="lt-LT"/>
        </w:rPr>
        <w:t>Kiti vaistai ir ARCOXIA</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Jeigu vartojate arba neseniai vartojote kitų vaistų arba dėl to nesate tikri, apie tai pasakykite gydytojui arba vaistininkui.</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 xml:space="preserve">Pradėjus vartoti </w:t>
      </w:r>
      <w:r>
        <w:rPr>
          <w:rFonts w:ascii="Times New Roman" w:hAnsi="Times New Roman"/>
          <w:lang w:eastAsia="lt-LT"/>
        </w:rPr>
        <w:t>ARCOXIA</w:t>
      </w:r>
      <w:r>
        <w:rPr>
          <w:rFonts w:ascii="Times New Roman" w:hAnsi="Times New Roman"/>
          <w:noProof/>
          <w:lang w:eastAsia="lt-LT"/>
        </w:rPr>
        <w:t>, gydytojas gali norėti tikrinti, ar tinkamai veikia Jūsų vartojami vaistai, ypač jeigu vartojate bet kurį iš toliau išvardytų vaistų:</w:t>
      </w:r>
    </w:p>
    <w:p w:rsidR="001A1133" w:rsidRDefault="001A1133" w:rsidP="001A1133">
      <w:pPr>
        <w:spacing w:after="0" w:line="240" w:lineRule="auto"/>
        <w:rPr>
          <w:rFonts w:ascii="Times New Roman" w:hAnsi="Times New Roman"/>
          <w:noProof/>
          <w:lang w:eastAsia="lt-LT"/>
        </w:rPr>
      </w:pP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kraują skystinantys vaistai (antikoaguliantai), pavyzdžiui, varfarinas;</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rifampicinas (antibiotikas);</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metotreksatas (vaistas imuninei sistemai slopinti ir dažnai vartojamas reumatoidiniam artritui gydyti);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ciklosporinas ar takrolimuzas (vaistai imuninei sistemai slopinti);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litis (vaistas kai kurioms depresijos rūšims gydyti);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AKF inhibitoriais ir angiotenzino receptorių blokatoriais vadinami vaistai, kurie vartojami, kad padėtų kontroliuoti padidėjusį kraujospūdį ir širdies nepakankamumą, pavyzdžiui, enalaprilis ar ramiprilis bei losartanas ar valsartanas;</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diuretikai (šlapimą varantys vaistai);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digoksinas (vaistas širdies nepakankamumui ir nereguliariam širdies ritmui gydyti);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minoksidilis (vaistas padidėjusiam kraujospūdžiui gydyti);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salbutamolio tabletės arba geriamasis tirpalas (vaistas astmai gydyti);</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apsaugai nuo nėštumo skirtos tabletės (toks derinys gali didinti šalutinio poveikio pavojų);</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pakaitinė hormonų terapija (toks derinys gali didinti šalutinio poveikio pavojų);</w:t>
      </w:r>
    </w:p>
    <w:p w:rsidR="001A1133" w:rsidRDefault="001A1133" w:rsidP="001A1133">
      <w:pPr>
        <w:numPr>
          <w:ilvl w:val="0"/>
          <w:numId w:val="5"/>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aspirinas, ARCOXIA vartojant kartu su aspirinu, padidėja skrandžio opų rizika.</w:t>
      </w:r>
    </w:p>
    <w:p w:rsidR="001A1133" w:rsidRDefault="001A1133" w:rsidP="001A1133">
      <w:pPr>
        <w:tabs>
          <w:tab w:val="num" w:pos="567"/>
        </w:tabs>
        <w:spacing w:after="0" w:line="240" w:lineRule="auto"/>
        <w:ind w:left="567"/>
        <w:rPr>
          <w:rFonts w:ascii="Times New Roman" w:hAnsi="Times New Roman"/>
          <w:lang w:eastAsia="lt-LT"/>
        </w:rPr>
      </w:pPr>
      <w:r>
        <w:rPr>
          <w:rFonts w:ascii="Times New Roman" w:hAnsi="Times New Roman"/>
          <w:lang w:eastAsia="lt-LT"/>
        </w:rPr>
        <w:t xml:space="preserve">- </w:t>
      </w:r>
      <w:r>
        <w:rPr>
          <w:rFonts w:ascii="Times New Roman" w:hAnsi="Times New Roman"/>
          <w:noProof/>
          <w:lang w:eastAsia="lt-LT"/>
        </w:rPr>
        <w:t>aspirinas miokardo infarkto ar insulto profilaktikai:</w:t>
      </w:r>
    </w:p>
    <w:p w:rsidR="001A1133" w:rsidRDefault="001A1133" w:rsidP="001A1133">
      <w:pPr>
        <w:tabs>
          <w:tab w:val="num" w:pos="567"/>
        </w:tabs>
        <w:spacing w:after="0" w:line="240" w:lineRule="auto"/>
        <w:ind w:left="567"/>
        <w:rPr>
          <w:rFonts w:ascii="Times New Roman" w:hAnsi="Times New Roman"/>
          <w:noProof/>
          <w:lang w:eastAsia="lt-LT"/>
        </w:rPr>
      </w:pPr>
      <w:r>
        <w:rPr>
          <w:rFonts w:ascii="Times New Roman" w:hAnsi="Times New Roman"/>
          <w:lang w:eastAsia="lt-LT"/>
        </w:rPr>
        <w:t>ARCOXIA</w:t>
      </w:r>
      <w:r>
        <w:rPr>
          <w:rFonts w:ascii="Times New Roman" w:hAnsi="Times New Roman"/>
          <w:noProof/>
          <w:lang w:eastAsia="lt-LT"/>
        </w:rPr>
        <w:t xml:space="preserve"> galima vartoti kartu su </w:t>
      </w:r>
      <w:r>
        <w:rPr>
          <w:rFonts w:ascii="Times New Roman" w:hAnsi="Times New Roman"/>
          <w:b/>
        </w:rPr>
        <w:t>mažomis</w:t>
      </w:r>
      <w:r>
        <w:rPr>
          <w:rFonts w:ascii="Times New Roman" w:hAnsi="Times New Roman"/>
          <w:noProof/>
          <w:lang w:eastAsia="lt-LT"/>
        </w:rPr>
        <w:t xml:space="preserve"> aspirino dozėmis. Jeigu vartojate mažas aspirino dozes miokardo infarkto ar insulto profilaktikai, nepasitarę su gydytoju, jo nenutraukite.</w:t>
      </w:r>
    </w:p>
    <w:p w:rsidR="001A1133" w:rsidRDefault="001A1133" w:rsidP="001A1133">
      <w:pPr>
        <w:tabs>
          <w:tab w:val="num" w:pos="567"/>
        </w:tabs>
        <w:spacing w:after="0" w:line="240" w:lineRule="auto"/>
        <w:ind w:left="567"/>
        <w:rPr>
          <w:rFonts w:ascii="Times New Roman" w:hAnsi="Times New Roman"/>
          <w:noProof/>
          <w:lang w:eastAsia="lt-LT"/>
        </w:rPr>
      </w:pPr>
      <w:r>
        <w:rPr>
          <w:rFonts w:ascii="Times New Roman" w:hAnsi="Times New Roman"/>
          <w:noProof/>
          <w:lang w:eastAsia="lt-LT"/>
        </w:rPr>
        <w:t>- aspirinas ir kiti nesteroidiniai vaistai nuo uždegimo (NVNU):</w:t>
      </w:r>
    </w:p>
    <w:p w:rsidR="001A1133" w:rsidRDefault="001A1133" w:rsidP="001A1133">
      <w:pPr>
        <w:tabs>
          <w:tab w:val="num" w:pos="567"/>
        </w:tabs>
        <w:spacing w:after="0" w:line="240" w:lineRule="auto"/>
        <w:ind w:left="567"/>
        <w:rPr>
          <w:rFonts w:ascii="Times New Roman" w:hAnsi="Times New Roman"/>
          <w:lang w:eastAsia="lt-LT"/>
        </w:rPr>
      </w:pPr>
      <w:r>
        <w:rPr>
          <w:rFonts w:ascii="Times New Roman" w:hAnsi="Times New Roman"/>
          <w:noProof/>
          <w:lang w:eastAsia="lt-LT"/>
        </w:rPr>
        <w:t xml:space="preserve">vartodami </w:t>
      </w:r>
      <w:r>
        <w:rPr>
          <w:rFonts w:ascii="Times New Roman" w:hAnsi="Times New Roman"/>
          <w:lang w:eastAsia="lt-LT"/>
        </w:rPr>
        <w:t>ARCOXIA</w:t>
      </w:r>
      <w:r>
        <w:rPr>
          <w:rFonts w:ascii="Times New Roman" w:hAnsi="Times New Roman"/>
          <w:noProof/>
          <w:lang w:eastAsia="lt-LT"/>
        </w:rPr>
        <w:t xml:space="preserve">, nevartokite </w:t>
      </w:r>
      <w:r>
        <w:rPr>
          <w:rFonts w:ascii="Times New Roman" w:hAnsi="Times New Roman"/>
          <w:b/>
        </w:rPr>
        <w:t>didelių</w:t>
      </w:r>
      <w:r>
        <w:rPr>
          <w:rFonts w:ascii="Times New Roman" w:hAnsi="Times New Roman"/>
          <w:noProof/>
          <w:lang w:eastAsia="lt-LT"/>
        </w:rPr>
        <w:t xml:space="preserve"> aspirino dozių arba kitų priešuždegiminių vaistų.</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rPr>
      </w:pPr>
      <w:r>
        <w:rPr>
          <w:rFonts w:ascii="Times New Roman" w:hAnsi="Times New Roman"/>
          <w:b/>
          <w:noProof/>
          <w:lang w:eastAsia="lt-LT"/>
        </w:rPr>
        <w:t>ARCOXIA vartojimas su maistu ir gėrimais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Vartojant nevalgius ARCOXIA poveikis gali prasidėti greičiau.</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i/>
          <w:noProof/>
          <w:lang w:eastAsia="lt-LT"/>
        </w:rPr>
      </w:pPr>
      <w:r>
        <w:rPr>
          <w:rFonts w:ascii="Times New Roman" w:hAnsi="Times New Roman"/>
          <w:i/>
          <w:noProof/>
          <w:lang w:eastAsia="lt-LT"/>
        </w:rPr>
        <w:t>Nėštumas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 xml:space="preserve">Nėštumo metu </w:t>
      </w:r>
      <w:r>
        <w:rPr>
          <w:rFonts w:ascii="Times New Roman" w:hAnsi="Times New Roman"/>
          <w:lang w:eastAsia="lt-LT"/>
        </w:rPr>
        <w:t>ARCOXIA</w:t>
      </w:r>
      <w:r>
        <w:rPr>
          <w:rFonts w:ascii="Times New Roman" w:hAnsi="Times New Roman"/>
          <w:noProof/>
          <w:lang w:eastAsia="lt-LT"/>
        </w:rPr>
        <w:t xml:space="preserve"> 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i/>
          <w:noProof/>
          <w:lang w:eastAsia="lt-LT"/>
        </w:rPr>
      </w:pPr>
      <w:r>
        <w:rPr>
          <w:rFonts w:ascii="Times New Roman" w:hAnsi="Times New Roman"/>
          <w:i/>
          <w:noProof/>
          <w:lang w:eastAsia="lt-LT"/>
        </w:rPr>
        <w:t>Žindymas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 xml:space="preserve">Nežinoma, ar </w:t>
      </w:r>
      <w:r>
        <w:rPr>
          <w:rFonts w:ascii="Times New Roman" w:hAnsi="Times New Roman"/>
          <w:lang w:eastAsia="lt-LT"/>
        </w:rPr>
        <w:t>ARCOXIA</w:t>
      </w:r>
      <w:r>
        <w:rPr>
          <w:rFonts w:ascii="Times New Roman" w:hAnsi="Times New Roman"/>
          <w:noProof/>
          <w:lang w:eastAsia="lt-LT"/>
        </w:rPr>
        <w:t xml:space="preserve"> išsiskiria su motinos pienu. Jei žindote ar ketinate tai daryti, prieš pradėdama vartoti </w:t>
      </w:r>
      <w:r>
        <w:rPr>
          <w:rFonts w:ascii="Times New Roman" w:hAnsi="Times New Roman"/>
          <w:lang w:eastAsia="lt-LT"/>
        </w:rPr>
        <w:t>ARCOXIA</w:t>
      </w:r>
      <w:r>
        <w:rPr>
          <w:rFonts w:ascii="Times New Roman" w:hAnsi="Times New Roman"/>
          <w:noProof/>
          <w:lang w:eastAsia="lt-LT"/>
        </w:rPr>
        <w:t xml:space="preserve">, pasitarkite su savo gydytoju. Vartodama </w:t>
      </w:r>
      <w:r>
        <w:rPr>
          <w:rFonts w:ascii="Times New Roman" w:hAnsi="Times New Roman"/>
          <w:lang w:eastAsia="lt-LT"/>
        </w:rPr>
        <w:t>ARCOXIA</w:t>
      </w:r>
      <w:r>
        <w:rPr>
          <w:rFonts w:ascii="Times New Roman" w:hAnsi="Times New Roman"/>
          <w:noProof/>
          <w:lang w:eastAsia="lt-LT"/>
        </w:rPr>
        <w:t>, nežindykite.</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i/>
          <w:noProof/>
          <w:lang w:eastAsia="lt-LT"/>
        </w:rPr>
      </w:pPr>
      <w:r>
        <w:rPr>
          <w:rFonts w:ascii="Times New Roman" w:hAnsi="Times New Roman"/>
          <w:i/>
          <w:noProof/>
          <w:lang w:eastAsia="lt-LT"/>
        </w:rPr>
        <w:t>Vaisingumas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Pastoti ketinančioms moterims ARCOXIA vartoti nerekomenduojama.</w:t>
      </w:r>
    </w:p>
    <w:p w:rsidR="001A1133" w:rsidRDefault="001A1133" w:rsidP="001A1133">
      <w:pPr>
        <w:spacing w:after="0" w:line="240" w:lineRule="auto"/>
        <w:rPr>
          <w:rFonts w:ascii="Times New Roman" w:hAnsi="Times New Roman"/>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 xml:space="preserve">Kai kuriems pacientams, vartojusiems </w:t>
      </w:r>
      <w:r>
        <w:rPr>
          <w:rFonts w:ascii="Times New Roman" w:hAnsi="Times New Roman"/>
          <w:lang w:eastAsia="lt-LT"/>
        </w:rPr>
        <w:t>ARCOXIA</w:t>
      </w:r>
      <w:r>
        <w:rPr>
          <w:rFonts w:ascii="Times New Roman" w:hAnsi="Times New Roman"/>
          <w:noProof/>
          <w:lang w:eastAsia="lt-LT"/>
        </w:rPr>
        <w:t>, pasitaikė galvos svaigimas ir mieguistumas.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Jei Jums pasireiškia galvos svaigimas arba mieguistumas, nevairuokite.</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Jei pasireiškia galvos svaigimas arba mieguistumas, nedirbkite su įrankiais arba mechanizmais.</w:t>
      </w:r>
    </w:p>
    <w:p w:rsidR="001A1133" w:rsidRDefault="001A1133" w:rsidP="001A1133">
      <w:pPr>
        <w:spacing w:after="0" w:line="240" w:lineRule="auto"/>
        <w:rPr>
          <w:rFonts w:ascii="Times New Roman" w:hAnsi="Times New Roman"/>
          <w:b/>
          <w:noProof/>
          <w:lang w:eastAsia="lt-LT"/>
        </w:rPr>
      </w:pPr>
    </w:p>
    <w:p w:rsidR="001A1133" w:rsidRDefault="001A1133" w:rsidP="001A1133">
      <w:pPr>
        <w:keepNext/>
        <w:spacing w:after="0" w:line="240" w:lineRule="auto"/>
        <w:rPr>
          <w:rFonts w:ascii="Times New Roman" w:hAnsi="Times New Roman"/>
          <w:b/>
          <w:noProof/>
          <w:lang w:eastAsia="lt-LT"/>
        </w:rPr>
      </w:pPr>
      <w:r>
        <w:rPr>
          <w:rFonts w:ascii="Times New Roman" w:hAnsi="Times New Roman"/>
          <w:b/>
        </w:rPr>
        <w:t>ARCOXIA sudėtyje yra laktozės</w:t>
      </w:r>
    </w:p>
    <w:p w:rsidR="001A1133" w:rsidRDefault="001A1133" w:rsidP="001A1133">
      <w:pPr>
        <w:keepNext/>
        <w:spacing w:after="0" w:line="240" w:lineRule="auto"/>
        <w:rPr>
          <w:rFonts w:ascii="Times New Roman" w:hAnsi="Times New Roman"/>
          <w:noProof/>
          <w:lang w:eastAsia="lt-LT"/>
        </w:rPr>
      </w:pPr>
      <w:r>
        <w:rPr>
          <w:rFonts w:ascii="Times New Roman" w:hAnsi="Times New Roman"/>
          <w:noProof/>
          <w:lang w:eastAsia="lt-LT"/>
        </w:rPr>
        <w:t>Jeigu gydytojas Jums yra sakęs, kad netoleruojate kokių nors angliavandenių, kreipkitės į jį prieš pradėdami vartoti šį vaistą.</w:t>
      </w:r>
    </w:p>
    <w:p w:rsidR="001A1133" w:rsidRDefault="001A1133" w:rsidP="001A1133">
      <w:pPr>
        <w:spacing w:after="0" w:line="240" w:lineRule="auto"/>
        <w:rPr>
          <w:rFonts w:ascii="Times New Roman" w:hAnsi="Times New Roman"/>
          <w:noProof/>
          <w:lang w:eastAsia="lt-LT"/>
        </w:rPr>
      </w:pPr>
    </w:p>
    <w:p w:rsidR="001A1133" w:rsidRPr="00F720E4" w:rsidRDefault="001A1133" w:rsidP="001A1133">
      <w:pPr>
        <w:spacing w:after="0" w:line="240" w:lineRule="auto"/>
        <w:rPr>
          <w:rFonts w:ascii="Times New Roman" w:hAnsi="Times New Roman"/>
          <w:b/>
          <w:noProof/>
          <w:lang w:eastAsia="lt-LT"/>
        </w:rPr>
      </w:pPr>
      <w:r w:rsidRPr="00F720E4">
        <w:rPr>
          <w:rFonts w:ascii="Times New Roman" w:hAnsi="Times New Roman"/>
          <w:b/>
          <w:noProof/>
          <w:lang w:eastAsia="lt-LT"/>
        </w:rPr>
        <w:t>ARCOXIA sudėtyje yra natrio</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Šio vaisto plėvele dengtoje tabletėje yra mažiau kaip 1 mmol (23 mg) natrio, t.y. jis beveik neturi reikšmės.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t>3.</w:t>
      </w:r>
      <w:r>
        <w:rPr>
          <w:rFonts w:ascii="Times New Roman" w:hAnsi="Times New Roman"/>
          <w:b/>
        </w:rPr>
        <w:tab/>
        <w:t>Kaip vartoti ARCOXIA</w:t>
      </w:r>
    </w:p>
    <w:p w:rsidR="001A1133" w:rsidRDefault="001A1133" w:rsidP="001A1133">
      <w:pPr>
        <w:keepNext/>
        <w:keepLines/>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 kaip nurodė gydytojas. Jeigu abejojate, kreipkitės į gydytoją arba vaistininką.</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 xml:space="preserve">Nevartokite didesnės negu rekomenduojamos dozės Jūsų ligai gydyti. Gydytojas retkarčiais norės aptarti Jūsų gydymą. Svarbu, kad Jūs vartotumėte mažiausią dozę, kuri numalšina skausmą, bei nevartotumėte </w:t>
      </w:r>
      <w:r>
        <w:rPr>
          <w:rFonts w:ascii="Times New Roman" w:hAnsi="Times New Roman"/>
          <w:lang w:eastAsia="lt-LT"/>
        </w:rPr>
        <w:t>ARCOXIA</w:t>
      </w:r>
      <w:r>
        <w:rPr>
          <w:rFonts w:ascii="Times New Roman" w:hAnsi="Times New Roman"/>
          <w:noProof/>
          <w:lang w:eastAsia="lt-LT"/>
        </w:rPr>
        <w:t xml:space="preserve"> ilgiau nei būtina, kadangi ilgai vartojant vaistą, ypač didelėmis dozėmis, gali padidėti miokardo infarkto ir insulto rizika.</w:t>
      </w:r>
    </w:p>
    <w:p w:rsidR="001A1133" w:rsidRDefault="001A1133" w:rsidP="001A1133">
      <w:pPr>
        <w:pStyle w:val="Betarp"/>
        <w:rPr>
          <w:rFonts w:ascii="Times New Roman" w:hAnsi="Times New Roman"/>
          <w:noProof/>
          <w:lang w:eastAsia="lt-LT"/>
        </w:rPr>
      </w:pPr>
    </w:p>
    <w:p w:rsidR="001A1133" w:rsidRDefault="001A1133" w:rsidP="001A1133">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rsidR="001A1133" w:rsidRDefault="001A1133" w:rsidP="001A1133">
      <w:pPr>
        <w:pStyle w:val="Betarp"/>
        <w:rPr>
          <w:rFonts w:ascii="Times New Roman" w:hAnsi="Times New Roman"/>
          <w:i/>
          <w:noProof/>
          <w:lang w:eastAsia="lt-LT"/>
        </w:rPr>
      </w:pPr>
    </w:p>
    <w:p w:rsidR="001A1133" w:rsidRPr="00F720E4" w:rsidRDefault="001A1133" w:rsidP="001A1133">
      <w:pPr>
        <w:pStyle w:val="Betarp"/>
        <w:rPr>
          <w:rFonts w:ascii="Times New Roman" w:hAnsi="Times New Roman"/>
        </w:rPr>
      </w:pPr>
      <w:r w:rsidRPr="00F720E4">
        <w:rPr>
          <w:rFonts w:ascii="Times New Roman" w:hAnsi="Times New Roman"/>
        </w:rPr>
        <w:t>Rekomenduojama dozė yra:</w:t>
      </w:r>
    </w:p>
    <w:p w:rsidR="001A1133" w:rsidRDefault="001A1133" w:rsidP="001A1133">
      <w:pPr>
        <w:pStyle w:val="Betarp"/>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i/>
          <w:noProof/>
          <w:lang w:eastAsia="lt-LT"/>
        </w:rPr>
        <w:t>Osteoartritas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Rekomenduojama dozė yra 30 mg vieną kartą per parą, jei reikia, galima padidinti iki didžiausios 60 mg dozės vieną kartą per parą.</w:t>
      </w: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i/>
          <w:noProof/>
          <w:lang w:eastAsia="lt-LT"/>
        </w:rPr>
        <w:t>Reumatoidinis artritas</w:t>
      </w: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jc w:val="both"/>
        <w:rPr>
          <w:rFonts w:ascii="Times New Roman" w:hAnsi="Times New Roman"/>
          <w:i/>
          <w:noProof/>
          <w:lang w:eastAsia="lt-LT"/>
        </w:rPr>
      </w:pPr>
      <w:r>
        <w:rPr>
          <w:rFonts w:ascii="Times New Roman" w:hAnsi="Times New Roman"/>
          <w:i/>
          <w:noProof/>
          <w:lang w:eastAsia="lt-LT"/>
        </w:rPr>
        <w:t>Ankilozinis spondilitas</w:t>
      </w:r>
    </w:p>
    <w:p w:rsidR="001A1133" w:rsidRDefault="001A1133" w:rsidP="001A1133">
      <w:pPr>
        <w:spacing w:after="0" w:line="240" w:lineRule="auto"/>
        <w:jc w:val="both"/>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rsidR="001A1133" w:rsidRDefault="001A1133" w:rsidP="001A1133">
      <w:pPr>
        <w:spacing w:after="0" w:line="240" w:lineRule="auto"/>
        <w:jc w:val="both"/>
        <w:rPr>
          <w:rFonts w:ascii="Times New Roman" w:hAnsi="Times New Roman"/>
          <w:noProof/>
          <w:lang w:eastAsia="lt-LT"/>
        </w:rPr>
      </w:pPr>
    </w:p>
    <w:p w:rsidR="001A1133" w:rsidRDefault="001A1133" w:rsidP="001A1133">
      <w:pPr>
        <w:spacing w:after="0" w:line="240" w:lineRule="auto"/>
        <w:jc w:val="both"/>
        <w:rPr>
          <w:rFonts w:ascii="Times New Roman" w:hAnsi="Times New Roman"/>
          <w:i/>
          <w:noProof/>
          <w:lang w:eastAsia="lt-LT"/>
        </w:rPr>
      </w:pPr>
      <w:r>
        <w:rPr>
          <w:rFonts w:ascii="Times New Roman" w:hAnsi="Times New Roman"/>
          <w:i/>
          <w:noProof/>
          <w:lang w:eastAsia="lt-LT"/>
        </w:rPr>
        <w:t>Ūminio skausmo būklės</w:t>
      </w:r>
    </w:p>
    <w:p w:rsidR="001A1133" w:rsidRDefault="001A1133" w:rsidP="001A1133">
      <w:pPr>
        <w:spacing w:after="0" w:line="240" w:lineRule="auto"/>
        <w:jc w:val="both"/>
        <w:rPr>
          <w:rFonts w:ascii="Times New Roman" w:hAnsi="Times New Roman"/>
          <w:noProof/>
          <w:lang w:eastAsia="lt-LT"/>
        </w:rPr>
      </w:pPr>
      <w:r>
        <w:rPr>
          <w:rFonts w:ascii="Times New Roman" w:hAnsi="Times New Roman"/>
          <w:noProof/>
          <w:lang w:eastAsia="lt-LT"/>
        </w:rPr>
        <w:t>Etorikoksibą galima vartoti tik ūminio skausmo laikotarpiu.</w:t>
      </w:r>
    </w:p>
    <w:p w:rsidR="001A1133" w:rsidRDefault="001A1133" w:rsidP="001A1133">
      <w:pPr>
        <w:spacing w:after="0" w:line="240" w:lineRule="auto"/>
        <w:jc w:val="both"/>
        <w:rPr>
          <w:rFonts w:ascii="Times New Roman" w:hAnsi="Times New Roman"/>
          <w:noProof/>
          <w:lang w:eastAsia="lt-LT"/>
        </w:rPr>
      </w:pPr>
    </w:p>
    <w:p w:rsidR="001A1133" w:rsidRDefault="001A1133" w:rsidP="001A1133">
      <w:pPr>
        <w:spacing w:after="0" w:line="240" w:lineRule="auto"/>
        <w:ind w:left="567"/>
        <w:jc w:val="both"/>
        <w:rPr>
          <w:rFonts w:ascii="Times New Roman" w:hAnsi="Times New Roman"/>
          <w:i/>
          <w:noProof/>
          <w:lang w:eastAsia="lt-LT"/>
        </w:rPr>
      </w:pPr>
      <w:r>
        <w:rPr>
          <w:rFonts w:ascii="Times New Roman" w:hAnsi="Times New Roman"/>
          <w:i/>
          <w:noProof/>
          <w:lang w:eastAsia="lt-LT"/>
        </w:rPr>
        <w:t>Podagra</w:t>
      </w:r>
    </w:p>
    <w:p w:rsidR="001A1133" w:rsidRDefault="001A1133" w:rsidP="001A1133">
      <w:pPr>
        <w:spacing w:after="0" w:line="240" w:lineRule="auto"/>
        <w:ind w:left="567"/>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 parų gydymo trukmės.</w:t>
      </w:r>
    </w:p>
    <w:p w:rsidR="001A1133" w:rsidRDefault="001A1133" w:rsidP="001A1133">
      <w:pPr>
        <w:spacing w:after="0" w:line="240" w:lineRule="auto"/>
        <w:ind w:left="567"/>
        <w:jc w:val="both"/>
        <w:rPr>
          <w:rFonts w:ascii="Times New Roman" w:hAnsi="Times New Roman"/>
          <w:noProof/>
          <w:lang w:eastAsia="lt-LT"/>
        </w:rPr>
      </w:pPr>
    </w:p>
    <w:p w:rsidR="001A1133" w:rsidRDefault="001A1133" w:rsidP="001A1133">
      <w:pPr>
        <w:spacing w:after="0" w:line="240" w:lineRule="auto"/>
        <w:ind w:left="567"/>
        <w:rPr>
          <w:rFonts w:ascii="Times New Roman" w:hAnsi="Times New Roman"/>
          <w:i/>
          <w:lang w:eastAsia="lt-LT"/>
        </w:rPr>
      </w:pPr>
      <w:r>
        <w:rPr>
          <w:rFonts w:ascii="Times New Roman" w:hAnsi="Times New Roman"/>
          <w:i/>
          <w:lang w:eastAsia="lt-LT"/>
        </w:rPr>
        <w:t>Skausmas po dantų operacijos</w:t>
      </w:r>
    </w:p>
    <w:p w:rsidR="001A1133" w:rsidRDefault="001A1133" w:rsidP="001A1133">
      <w:pPr>
        <w:spacing w:after="0" w:line="240" w:lineRule="auto"/>
        <w:ind w:left="567"/>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rsidR="001A1133" w:rsidRDefault="001A1133" w:rsidP="001A1133">
      <w:pPr>
        <w:spacing w:after="0" w:line="240" w:lineRule="auto"/>
        <w:jc w:val="both"/>
        <w:rPr>
          <w:rFonts w:ascii="Times New Roman" w:hAnsi="Times New Roman"/>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rsidR="001A1133" w:rsidRDefault="001A1133" w:rsidP="001A1133">
      <w:pPr>
        <w:numPr>
          <w:ilvl w:val="0"/>
          <w:numId w:val="6"/>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 sergate lengva kepenų liga, nevartokite daugiau kaip 60 mg per parą.</w:t>
      </w:r>
    </w:p>
    <w:p w:rsidR="001A1133" w:rsidRDefault="001A1133" w:rsidP="001A1133">
      <w:pPr>
        <w:numPr>
          <w:ilvl w:val="0"/>
          <w:numId w:val="6"/>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Jei sergate </w:t>
      </w:r>
      <w:r>
        <w:rPr>
          <w:rFonts w:ascii="Times New Roman" w:hAnsi="Times New Roman"/>
          <w:b/>
          <w:lang w:eastAsia="lt-LT"/>
        </w:rPr>
        <w:t>vidutinio sunkumo</w:t>
      </w:r>
      <w:r>
        <w:rPr>
          <w:rFonts w:ascii="Times New Roman" w:hAnsi="Times New Roman"/>
          <w:lang w:eastAsia="lt-LT"/>
        </w:rPr>
        <w:t xml:space="preserve"> kepenų liga, nevartokite daugiau kaip </w:t>
      </w:r>
      <w:r>
        <w:rPr>
          <w:rFonts w:ascii="Times New Roman" w:hAnsi="Times New Roman"/>
          <w:b/>
          <w:lang w:eastAsia="lt-LT"/>
        </w:rPr>
        <w:t>30 mg per parą</w:t>
      </w:r>
      <w:r>
        <w:rPr>
          <w:rFonts w:ascii="Times New Roman" w:hAnsi="Times New Roman"/>
          <w:lang w:eastAsia="lt-LT"/>
        </w:rPr>
        <w:t>.</w:t>
      </w:r>
    </w:p>
    <w:p w:rsidR="001A1133" w:rsidRDefault="001A1133" w:rsidP="001A1133">
      <w:pPr>
        <w:spacing w:after="0" w:line="240" w:lineRule="auto"/>
        <w:rPr>
          <w:rFonts w:ascii="Times New Roman" w:hAnsi="Times New Roman"/>
          <w:b/>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Jaunesniems nei 16 metų vaikams ir paaugliams ARCOXIA tablečių vartoti negalima.</w:t>
      </w:r>
    </w:p>
    <w:p w:rsidR="001A1133" w:rsidRDefault="001A1133" w:rsidP="001A1133">
      <w:pPr>
        <w:spacing w:after="0" w:line="240" w:lineRule="auto"/>
        <w:rPr>
          <w:rFonts w:ascii="Times New Roman" w:hAnsi="Times New Roman"/>
          <w:noProof/>
          <w:lang w:eastAsia="lt-LT"/>
        </w:rPr>
      </w:pPr>
    </w:p>
    <w:p w:rsidR="001A1133" w:rsidRDefault="001A1133" w:rsidP="001A1133">
      <w:pPr>
        <w:keepNext/>
        <w:spacing w:after="0" w:line="240" w:lineRule="auto"/>
        <w:rPr>
          <w:rFonts w:ascii="Times New Roman" w:hAnsi="Times New Roman"/>
          <w:b/>
        </w:rPr>
      </w:pPr>
      <w:r>
        <w:rPr>
          <w:rFonts w:ascii="Times New Roman" w:hAnsi="Times New Roman"/>
          <w:b/>
        </w:rPr>
        <w:t>Senyvi pacientai</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rsidR="001A1133" w:rsidRDefault="001A1133" w:rsidP="001A1133">
      <w:pPr>
        <w:spacing w:after="0" w:line="240" w:lineRule="auto"/>
        <w:rPr>
          <w:rFonts w:ascii="Times New Roman" w:hAnsi="Times New Roman"/>
          <w:noProof/>
          <w:lang w:eastAsia="lt-LT"/>
        </w:rPr>
      </w:pPr>
    </w:p>
    <w:p w:rsidR="001A1133" w:rsidRDefault="001A1133" w:rsidP="001A1133">
      <w:pPr>
        <w:keepNext/>
        <w:spacing w:after="0" w:line="240" w:lineRule="auto"/>
        <w:rPr>
          <w:rFonts w:ascii="Times New Roman" w:hAnsi="Times New Roman"/>
          <w:noProof/>
          <w:lang w:eastAsia="lt-LT"/>
        </w:rPr>
      </w:pPr>
      <w:r>
        <w:rPr>
          <w:rFonts w:ascii="Times New Roman" w:hAnsi="Times New Roman"/>
          <w:noProof/>
          <w:lang w:eastAsia="lt-LT"/>
        </w:rPr>
        <w:t>Vartojimo metodas</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ARCOXIA tabletės skirtos vartoti per burną. Gerkite tabletes vieną kartą per parą. ARCOXIA galima vartoti valgio metu arba nevalgius.</w:t>
      </w: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Ką daryti pavartojus per didelę </w:t>
      </w:r>
      <w:r>
        <w:rPr>
          <w:rFonts w:ascii="Times New Roman" w:hAnsi="Times New Roman"/>
          <w:b/>
          <w:lang w:eastAsia="lt-LT"/>
        </w:rPr>
        <w:t>ARCOXIA</w:t>
      </w:r>
      <w:r>
        <w:rPr>
          <w:rFonts w:ascii="Times New Roman" w:hAnsi="Times New Roman"/>
          <w:noProof/>
          <w:lang w:eastAsia="lt-LT"/>
        </w:rPr>
        <w:t xml:space="preserve"> </w:t>
      </w:r>
      <w:r>
        <w:rPr>
          <w:rFonts w:ascii="Times New Roman" w:hAnsi="Times New Roman"/>
          <w:b/>
          <w:noProof/>
          <w:lang w:eastAsia="lt-LT"/>
        </w:rPr>
        <w:t>dozę?</w:t>
      </w: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noProof/>
          <w:lang w:eastAsia="lt-LT"/>
        </w:rPr>
        <w:t xml:space="preserve">Niekada nevartokite daugiau tablečių negu rekomenduoja gydytojas. Jei išgėrėte per daug </w:t>
      </w:r>
      <w:r>
        <w:rPr>
          <w:rFonts w:ascii="Times New Roman" w:hAnsi="Times New Roman"/>
          <w:lang w:eastAsia="lt-LT"/>
        </w:rPr>
        <w:t>ARCOXIA</w:t>
      </w:r>
      <w:r>
        <w:rPr>
          <w:rFonts w:ascii="Times New Roman" w:hAnsi="Times New Roman"/>
          <w:noProof/>
          <w:lang w:eastAsia="lt-LT"/>
        </w:rPr>
        <w:t xml:space="preserve"> tablečių, nedelsdami kreipkitės medicinos pagalbos.</w:t>
      </w:r>
    </w:p>
    <w:p w:rsidR="001A1133" w:rsidRDefault="001A1133" w:rsidP="001A1133">
      <w:pPr>
        <w:spacing w:after="0" w:line="240" w:lineRule="auto"/>
        <w:rPr>
          <w:rFonts w:ascii="Times New Roman" w:hAnsi="Times New Roman"/>
          <w:b/>
          <w:noProof/>
          <w:lang w:eastAsia="lt-LT"/>
        </w:rPr>
      </w:pPr>
    </w:p>
    <w:p w:rsidR="001A1133" w:rsidRDefault="001A1133" w:rsidP="001A1133">
      <w:pPr>
        <w:keepNext/>
        <w:spacing w:after="0" w:line="240" w:lineRule="auto"/>
        <w:rPr>
          <w:rFonts w:ascii="Times New Roman" w:hAnsi="Times New Roman"/>
          <w:b/>
          <w:noProof/>
          <w:lang w:eastAsia="lt-LT"/>
        </w:rPr>
      </w:pPr>
      <w:r>
        <w:rPr>
          <w:rFonts w:ascii="Times New Roman" w:hAnsi="Times New Roman"/>
          <w:b/>
          <w:noProof/>
          <w:lang w:eastAsia="lt-LT"/>
        </w:rPr>
        <w:t xml:space="preserve">Pamiršus pavartoti </w:t>
      </w:r>
      <w:r>
        <w:rPr>
          <w:rFonts w:ascii="Times New Roman" w:hAnsi="Times New Roman"/>
          <w:b/>
          <w:bCs/>
          <w:lang w:eastAsia="lt-LT"/>
        </w:rPr>
        <w:t>ARCOXIA</w:t>
      </w:r>
    </w:p>
    <w:p w:rsidR="001A1133" w:rsidRDefault="001A1133" w:rsidP="001A1133">
      <w:pPr>
        <w:keepNext/>
        <w:spacing w:after="0" w:line="240" w:lineRule="auto"/>
        <w:rPr>
          <w:rFonts w:ascii="Times New Roman" w:hAnsi="Times New Roman"/>
          <w:noProof/>
          <w:lang w:eastAsia="lt-LT"/>
        </w:rPr>
      </w:pPr>
      <w:r>
        <w:rPr>
          <w:rFonts w:ascii="Times New Roman" w:hAnsi="Times New Roman"/>
          <w:noProof/>
          <w:lang w:eastAsia="lt-LT"/>
        </w:rPr>
        <w:t>ARCOXIA visada vartokite tiksliai, kaip nurodė gydytojas. Praleidus dozę, kitą dieną vaistą toliau vartokite kaip įprasta. Negalima vartoti dvigubos dozės norint kompensuoti praleistą tabletę.</w:t>
      </w:r>
    </w:p>
    <w:p w:rsidR="001A1133" w:rsidRDefault="001A1133" w:rsidP="001A1133">
      <w:pPr>
        <w:keepNext/>
        <w:keepLines/>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rsidR="001A1133" w:rsidRDefault="001A1133" w:rsidP="001A1133">
      <w:pPr>
        <w:keepNext/>
        <w:keepLines/>
        <w:spacing w:after="0" w:line="240" w:lineRule="auto"/>
        <w:rPr>
          <w:rFonts w:ascii="Times New Roman" w:hAnsi="Times New Roman"/>
          <w:b/>
          <w:noProof/>
          <w:lang w:eastAsia="lt-LT"/>
        </w:rPr>
      </w:pP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ARCOXIA nebevartokite ir nedelsdami kreipkitės į gydytoją (žiūrėkite </w:t>
      </w:r>
      <w:r>
        <w:rPr>
          <w:rFonts w:ascii="Times New Roman" w:hAnsi="Times New Roman"/>
          <w:b/>
        </w:rPr>
        <w:t>2 skyrių „</w:t>
      </w:r>
      <w:r>
        <w:rPr>
          <w:rFonts w:ascii="Times New Roman" w:hAnsi="Times New Roman"/>
          <w:b/>
          <w:noProof/>
          <w:lang w:eastAsia="lt-LT"/>
        </w:rPr>
        <w:t>Kas žinotina prieš vartojant</w:t>
      </w:r>
      <w:r>
        <w:rPr>
          <w:rFonts w:ascii="Times New Roman" w:hAnsi="Times New Roman"/>
          <w:b/>
        </w:rPr>
        <w:t xml:space="preserve"> </w:t>
      </w:r>
      <w:r>
        <w:rPr>
          <w:rFonts w:ascii="Times New Roman" w:hAnsi="Times New Roman"/>
          <w:b/>
          <w:noProof/>
          <w:lang w:eastAsia="lt-LT"/>
        </w:rPr>
        <w:t>ARCOXIA“):</w:t>
      </w:r>
    </w:p>
    <w:p w:rsidR="001A1133" w:rsidRDefault="001A1133" w:rsidP="001A1133">
      <w:pPr>
        <w:numPr>
          <w:ilvl w:val="0"/>
          <w:numId w:val="7"/>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pasireiškia arba pablogėja dusulys, krūtinės skausmas arba kulkšnių tinimas;</w:t>
      </w:r>
    </w:p>
    <w:p w:rsidR="001A1133" w:rsidRDefault="001A1133" w:rsidP="001A1133">
      <w:pPr>
        <w:numPr>
          <w:ilvl w:val="0"/>
          <w:numId w:val="7"/>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odos arba akių pageltimas (gelta) – tai kepenų veiklos sutrikimų požymiai;</w:t>
      </w:r>
    </w:p>
    <w:p w:rsidR="001A1133" w:rsidRDefault="001A1133" w:rsidP="001A1133">
      <w:pPr>
        <w:numPr>
          <w:ilvl w:val="0"/>
          <w:numId w:val="7"/>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stiprus arba nuolatinis skrandžio skausmas arba pajuodusios išmatos;</w:t>
      </w:r>
    </w:p>
    <w:p w:rsidR="001A1133" w:rsidRDefault="001A1133" w:rsidP="001A1133">
      <w:pPr>
        <w:numPr>
          <w:ilvl w:val="0"/>
          <w:numId w:val="7"/>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alerginė reakcija, kuri pasireiškia odos sutrikimais, pavyzdžiui, </w:t>
      </w:r>
      <w:proofErr w:type="spellStart"/>
      <w:r>
        <w:rPr>
          <w:rFonts w:ascii="Times New Roman" w:hAnsi="Times New Roman"/>
          <w:lang w:eastAsia="lt-LT"/>
        </w:rPr>
        <w:t>išopėjimais</w:t>
      </w:r>
      <w:proofErr w:type="spellEnd"/>
      <w:r>
        <w:rPr>
          <w:rFonts w:ascii="Times New Roman" w:hAnsi="Times New Roman"/>
          <w:lang w:eastAsia="lt-LT"/>
        </w:rPr>
        <w:t xml:space="preserve"> arba pūslėmis, arba veido, lūpų, liežuvio ar gerklų tinimu, dėl kurio gali pasidaryti sunku kvėpuoti.</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Žemiau išvardintų galimų šalutinių poveikių dažnis apibrėžtas naudojant šį susitarimą:</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Labai dažnas (pasireiškia daugiau kaip 1 iš 10 pacientų)</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Dažnas (pasireiškia nuo 1 iki 10 iš 100 pacientų)</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Nedažnas (pasireiškia nuo 1 iki 10 iš 1000 pacientų)</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Retas (pasireiškia nuo 1 iki 10 iš 10 000 pacientų)</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Labai retas (pasireiškia mažiau kaip 1 iš 10 000 pacientų)</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Gydymo ARCOXIA metu gali pasireikšti toliau išvardinti šalutiniai poveikiai.</w:t>
      </w: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b/>
          <w:i/>
          <w:noProof/>
          <w:lang w:eastAsia="lt-LT"/>
        </w:rPr>
        <w:t>Labai dažnas:</w:t>
      </w:r>
    </w:p>
    <w:p w:rsidR="001A1133" w:rsidRDefault="001A1133" w:rsidP="001A1133">
      <w:pPr>
        <w:keepNext/>
        <w:keepLines/>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skrandžio skausmas.</w:t>
      </w:r>
    </w:p>
    <w:p w:rsidR="001A1133" w:rsidRDefault="001A1133" w:rsidP="001A1133">
      <w:pPr>
        <w:keepNext/>
        <w:keepLines/>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b/>
          <w:noProof/>
          <w:lang w:eastAsia="lt-LT"/>
        </w:rPr>
      </w:pPr>
      <w:r>
        <w:rPr>
          <w:rFonts w:ascii="Times New Roman" w:hAnsi="Times New Roman"/>
          <w:b/>
          <w:i/>
          <w:noProof/>
          <w:lang w:eastAsia="lt-LT"/>
        </w:rPr>
        <w:t>Dažnas:</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galvos svaigimas, galvos skausmas;</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palpitacijos (greitas ar nereguliarus širdies plakimas), nereguliarus širdies ritmas (aritmija);</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vidurių užkietėjimas, vėjavimas (dujų išsiskyrimas), gastritas (skrandžio gleivinės uždegimas), rėmuo, viduriavimas, nevirškinimas (dispepsija) ar skrandžio diskomfortas, pykinimas, vėmimas, stemplės uždegimas, burnos opos;</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kepenų veiklą rodančių kraujo tyrimų pokyčiai;</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kraujosruvos;</w:t>
      </w:r>
    </w:p>
    <w:p w:rsidR="001A1133" w:rsidRDefault="001A1133" w:rsidP="001A1133">
      <w:pPr>
        <w:keepNext/>
        <w:keepLines/>
        <w:numPr>
          <w:ilvl w:val="0"/>
          <w:numId w:val="9"/>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rsidR="001A1133" w:rsidRDefault="001A1133" w:rsidP="001A1133">
      <w:pPr>
        <w:spacing w:after="0" w:line="240" w:lineRule="auto"/>
        <w:rPr>
          <w:rFonts w:ascii="Times New Roman" w:hAnsi="Times New Roman"/>
          <w:b/>
          <w:i/>
          <w:noProof/>
          <w:lang w:eastAsia="lt-LT"/>
        </w:rPr>
      </w:pPr>
    </w:p>
    <w:p w:rsidR="001A1133" w:rsidRDefault="001A1133" w:rsidP="001A1133">
      <w:pPr>
        <w:keepNext/>
        <w:spacing w:after="0" w:line="240" w:lineRule="auto"/>
        <w:rPr>
          <w:rFonts w:ascii="Times New Roman" w:hAnsi="Times New Roman"/>
          <w:b/>
          <w:i/>
          <w:noProof/>
          <w:lang w:eastAsia="lt-LT"/>
        </w:rPr>
      </w:pPr>
      <w:r>
        <w:rPr>
          <w:rFonts w:ascii="Times New Roman" w:hAnsi="Times New Roman"/>
          <w:b/>
          <w:i/>
          <w:noProof/>
          <w:lang w:eastAsia="lt-LT"/>
        </w:rPr>
        <w:t>Nedažnas: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tiek sunki, kad ją reikėtų nedelsiant gydyti);</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 nesančių dalykų matymas, jautimas ar girdėjimas (haliucinacijos);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negalėjimas užmigti, nutirpimas ar dilgsėjimas, mieguistumas;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neryškus matymas, akių sudirginimas ir paraudimas;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skambėjimas ausyse, vertigo (sukimosi jutimas ramybėje);</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karščio pylimas, insultas, mikroinsultas (praeinantis galvos smegenų išemijos priepuolis), sunkus kraujospūdžio padidėjimas, kraujagyslių uždegimas;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kosulys, dusulys, kraujavimas iš nosies;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žarnų pūtimas, tuštinimosi įpročių pokyčiai, burnos sausmė, skrandžio opos, skrandžio gleivinės uždegimas, kuris gali būti stiprus ir sukelti kraujavimą, dirgliosios žarnos sindromas, kasos uždegimas;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veido patinimas, odos išbėrimas arba niežulys, odos paraudimas;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kalio kiekio kraujyje padidėjimas, inkstų veiklą atspindinčių kraujo ir šlapimo rodmenų pokyčiai, sunkūs inkstų veiklos sutrikimai;</w:t>
      </w:r>
    </w:p>
    <w:p w:rsidR="001A1133" w:rsidRDefault="001A1133" w:rsidP="001A1133">
      <w:pPr>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i/>
          <w:noProof/>
          <w:lang w:eastAsia="lt-LT"/>
        </w:rPr>
        <w:t>Retas:</w:t>
      </w:r>
    </w:p>
    <w:p w:rsidR="001A1133" w:rsidRDefault="001A1133" w:rsidP="001A1133">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angioedema (alerginė reakcija, įskaitant veido, lūpų, liežuvio ir (arba) gerklės patinimą, galinti pasunkinti kvėpavimą ar rijimą, kuri gali būti tiek sunki, kad gali prireikti neatidėliotinos medicininės pagalbos), anafilaksinė ar anafilaktoidinė reakcija, įskaitant šoką (sunki alerginė reakcija, kad gali prireikti neatidėliotinos medicininės pagalbos);</w:t>
      </w:r>
    </w:p>
    <w:p w:rsidR="001A1133" w:rsidRDefault="001A1133" w:rsidP="001A1133">
      <w:pPr>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rsidR="001A1133" w:rsidRDefault="001A1133" w:rsidP="001A1133">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kepenų ligos (hepatitas);</w:t>
      </w:r>
    </w:p>
    <w:p w:rsidR="001A1133" w:rsidRDefault="001A1133" w:rsidP="001A1133">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rsidR="001A1133" w:rsidRDefault="001A1133" w:rsidP="001A1133">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rsidR="001A1133" w:rsidRDefault="001A1133" w:rsidP="001A1133">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b/>
          <w:noProof/>
          <w:lang w:eastAsia="lt-LT"/>
        </w:rPr>
      </w:pPr>
      <w:r>
        <w:rPr>
          <w:rFonts w:ascii="Times New Roman" w:hAnsi="Times New Roman"/>
          <w:b/>
          <w:noProof/>
          <w:lang w:eastAsia="lt-LT"/>
        </w:rPr>
        <w:t>Pranešimas apie šalutinį poveikį</w:t>
      </w:r>
    </w:p>
    <w:p w:rsidR="001A1133" w:rsidRPr="00B50BA8" w:rsidRDefault="001A1133" w:rsidP="001A1133">
      <w:pPr>
        <w:spacing w:after="0" w:line="240" w:lineRule="auto"/>
        <w:rPr>
          <w:rFonts w:ascii="Times New Roman" w:hAnsi="Times New Roman"/>
          <w:iCs/>
          <w:noProof/>
          <w:lang w:eastAsia="lt-LT"/>
        </w:rPr>
      </w:pPr>
      <w:r>
        <w:rPr>
          <w:rFonts w:ascii="Times New Roman" w:hAnsi="Times New Roman"/>
          <w:noProof/>
          <w:lang w:eastAsia="lt-LT"/>
        </w:rPr>
        <w:t xml:space="preserve">Jeigu pasireiškė šalutinis poveikis, įskaitant šiame lapelyje nenurodytą, pasakykite gydytojui arba vaistininkui. </w:t>
      </w:r>
      <w:r w:rsidRPr="00B50BA8">
        <w:rPr>
          <w:rFonts w:ascii="Times New Roman" w:hAnsi="Times New Roman"/>
          <w:iCs/>
          <w:noProof/>
          <w:lang w:eastAsia="lt-LT"/>
        </w:rPr>
        <w:t>Apie šalutinį poveikį taip pat galite pranešti Valstybinei vaistų kontrolės tarnybai prie Lietuvos Respublikos sveikatos apsaugos ministerijos nemokamu telefonu 8</w:t>
      </w:r>
      <w:r>
        <w:rPr>
          <w:rFonts w:ascii="Times New Roman" w:hAnsi="Times New Roman"/>
          <w:iCs/>
          <w:noProof/>
          <w:lang w:eastAsia="lt-LT"/>
        </w:rPr>
        <w:t> </w:t>
      </w:r>
      <w:r w:rsidRPr="00B50BA8">
        <w:rPr>
          <w:rFonts w:ascii="Times New Roman" w:hAnsi="Times New Roman"/>
          <w:iCs/>
          <w:noProof/>
          <w:lang w:eastAsia="lt-LT"/>
        </w:rPr>
        <w:t>800</w:t>
      </w:r>
      <w:r>
        <w:rPr>
          <w:rFonts w:ascii="Times New Roman" w:hAnsi="Times New Roman"/>
          <w:iCs/>
          <w:noProof/>
          <w:lang w:eastAsia="lt-LT"/>
        </w:rPr>
        <w:t> </w:t>
      </w:r>
      <w:r w:rsidRPr="00B50BA8">
        <w:rPr>
          <w:rFonts w:ascii="Times New Roman" w:hAnsi="Times New Roman"/>
          <w:iCs/>
          <w:noProof/>
          <w:lang w:eastAsia="lt-LT"/>
        </w:rPr>
        <w:t xml:space="preserve">73568 arba užpildyti interneto svetainėje </w:t>
      </w:r>
      <w:hyperlink r:id="rId5" w:history="1">
        <w:r w:rsidRPr="0036377A">
          <w:rPr>
            <w:rStyle w:val="Hipersaitas"/>
            <w:rFonts w:eastAsia="SimSun"/>
          </w:rPr>
          <w:t>www.vvkt.lt</w:t>
        </w:r>
      </w:hyperlink>
      <w:r w:rsidRPr="00B50BA8">
        <w:rPr>
          <w:rFonts w:ascii="Times New Roman" w:hAnsi="Times New Roman"/>
          <w:iCs/>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w:t>
      </w:r>
      <w:r>
        <w:rPr>
          <w:rFonts w:ascii="Times New Roman" w:hAnsi="Times New Roman"/>
          <w:iCs/>
          <w:noProof/>
          <w:lang w:eastAsia="lt-LT"/>
        </w:rPr>
        <w:t> </w:t>
      </w:r>
      <w:r w:rsidRPr="00B50BA8">
        <w:rPr>
          <w:rFonts w:ascii="Times New Roman" w:hAnsi="Times New Roman"/>
          <w:iCs/>
          <w:noProof/>
          <w:lang w:eastAsia="lt-LT"/>
        </w:rPr>
        <w:t>800</w:t>
      </w:r>
      <w:r w:rsidRPr="00B50BA8">
        <w:rPr>
          <w:rFonts w:ascii="Times New Roman" w:hAnsi="Times New Roman"/>
        </w:rPr>
        <w:t> </w:t>
      </w:r>
      <w:r w:rsidRPr="00B50BA8">
        <w:rPr>
          <w:rFonts w:ascii="Times New Roman" w:hAnsi="Times New Roman"/>
          <w:iCs/>
          <w:noProof/>
          <w:lang w:eastAsia="lt-LT"/>
        </w:rPr>
        <w:t xml:space="preserve">20131, el. paštu </w:t>
      </w:r>
      <w:hyperlink r:id="rId6" w:history="1">
        <w:r w:rsidRPr="0036377A">
          <w:rPr>
            <w:rStyle w:val="Hipersaitas"/>
            <w:rFonts w:eastAsia="SimSun"/>
          </w:rPr>
          <w:t>NepageidaujamaR@vvkt.lt</w:t>
        </w:r>
      </w:hyperlink>
      <w:r w:rsidRPr="00B50BA8">
        <w:rPr>
          <w:rFonts w:ascii="Times New Roman" w:hAnsi="Times New Roman"/>
          <w:iCs/>
          <w:noProof/>
          <w:lang w:eastAsia="lt-LT"/>
        </w:rPr>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B50BA8">
        <w:rPr>
          <w:rFonts w:ascii="Times New Roman" w:hAnsi="Times New Roman"/>
          <w:iCs/>
          <w:noProof/>
          <w:lang w:eastAsia="lt-LT"/>
        </w:rPr>
        <w:t>). Pranešdami apie šalutinį poveikį galite mums padėti gauti daugiau informacijos apie šio vaisto saugumą.</w:t>
      </w:r>
    </w:p>
    <w:p w:rsidR="001A1133" w:rsidRPr="00B50BA8" w:rsidRDefault="001A1133" w:rsidP="001A1133">
      <w:pPr>
        <w:spacing w:after="0" w:line="240" w:lineRule="auto"/>
        <w:rPr>
          <w:rFonts w:ascii="Times New Roman" w:hAnsi="Times New Roman"/>
          <w:iCs/>
          <w:noProof/>
          <w:lang w:eastAsia="lt-LT"/>
        </w:rPr>
      </w:pPr>
    </w:p>
    <w:p w:rsidR="001A1133" w:rsidRPr="00B50BA8" w:rsidRDefault="001A1133" w:rsidP="001A1133">
      <w:pPr>
        <w:spacing w:after="0" w:line="240" w:lineRule="auto"/>
        <w:rPr>
          <w:rFonts w:ascii="Times New Roman" w:hAnsi="Times New Roman"/>
          <w:iCs/>
          <w:noProof/>
          <w:lang w:eastAsia="lt-LT"/>
        </w:rPr>
      </w:pPr>
    </w:p>
    <w:p w:rsidR="001A1133" w:rsidRDefault="001A1133" w:rsidP="001A1133">
      <w:pPr>
        <w:keepNext/>
        <w:tabs>
          <w:tab w:val="left" w:pos="567"/>
        </w:tabs>
        <w:spacing w:after="0" w:line="240" w:lineRule="auto"/>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Kaip laikyti ARCOXIA</w:t>
      </w:r>
    </w:p>
    <w:p w:rsidR="001A1133" w:rsidRDefault="001A1133" w:rsidP="001A1133">
      <w:pPr>
        <w:keepNext/>
        <w:spacing w:after="0" w:line="240" w:lineRule="auto"/>
        <w:rPr>
          <w:rFonts w:ascii="Times New Roman" w:hAnsi="Times New Roman"/>
          <w:noProof/>
          <w:lang w:eastAsia="lt-LT"/>
        </w:rPr>
      </w:pPr>
    </w:p>
    <w:p w:rsidR="001A1133" w:rsidRDefault="001A1133" w:rsidP="001A1133">
      <w:pPr>
        <w:keepNext/>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iCs/>
          <w:noProof/>
          <w:lang w:eastAsia="lt-LT"/>
        </w:rPr>
      </w:pPr>
      <w:r>
        <w:rPr>
          <w:rFonts w:ascii="Times New Roman" w:hAnsi="Times New Roman"/>
          <w:iCs/>
          <w:noProof/>
          <w:lang w:eastAsia="lt-LT"/>
        </w:rPr>
        <w:t>Ant dėžutės po „EXP“ nurodytam tinkamumo laikui pasibaigus, šio vaisto vartoti negalima. Vaistas tinkamas vartoti iki paskutinės nurodyto mėnesio dienos.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Buteliukai: Buteliuką laikyti sandarų, kad vaistas būtų apsaugotas nuo drėgmės.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Lizdinės plokštelės: Laikyti gamintojo pakuotėje, kad vaistas būtų apsaugotas nuo drėgmės.</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p>
    <w:p w:rsidR="001A1133" w:rsidRDefault="001A1133" w:rsidP="001A1133">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rsidR="001A1133" w:rsidRDefault="001A1133" w:rsidP="001A1133">
      <w:pPr>
        <w:keepNext/>
        <w:keepLines/>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b/>
          <w:noProof/>
          <w:lang w:eastAsia="lt-LT"/>
        </w:rPr>
      </w:pPr>
      <w:r>
        <w:rPr>
          <w:rFonts w:ascii="Times New Roman" w:hAnsi="Times New Roman"/>
          <w:b/>
          <w:lang w:eastAsia="lt-LT"/>
        </w:rPr>
        <w:t>ARCOXIA</w:t>
      </w:r>
      <w:r>
        <w:rPr>
          <w:rFonts w:ascii="Times New Roman" w:hAnsi="Times New Roman"/>
          <w:noProof/>
          <w:lang w:eastAsia="lt-LT"/>
        </w:rPr>
        <w:t xml:space="preserve"> </w:t>
      </w:r>
      <w:r>
        <w:rPr>
          <w:rFonts w:ascii="Times New Roman" w:hAnsi="Times New Roman"/>
          <w:b/>
          <w:noProof/>
          <w:lang w:eastAsia="lt-LT"/>
        </w:rPr>
        <w:t>sudėtis</w:t>
      </w:r>
    </w:p>
    <w:p w:rsidR="001A1133" w:rsidRDefault="001A1133" w:rsidP="001A1133">
      <w:pPr>
        <w:numPr>
          <w:ilvl w:val="0"/>
          <w:numId w:val="7"/>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 xml:space="preserve">. Kiekvienoje plėvele dengtoje tabletėje yra 30 mg, 60 mg, 90 mg arba 120 mg </w:t>
      </w:r>
      <w:proofErr w:type="spellStart"/>
      <w:r>
        <w:rPr>
          <w:rFonts w:ascii="Times New Roman" w:hAnsi="Times New Roman"/>
          <w:lang w:eastAsia="lt-LT"/>
        </w:rPr>
        <w:t>etorikoksibo</w:t>
      </w:r>
      <w:proofErr w:type="spellEnd"/>
      <w:r>
        <w:rPr>
          <w:rFonts w:ascii="Times New Roman" w:hAnsi="Times New Roman"/>
          <w:lang w:eastAsia="lt-LT"/>
        </w:rPr>
        <w:t>.</w:t>
      </w:r>
    </w:p>
    <w:p w:rsidR="001A1133" w:rsidRDefault="001A1133" w:rsidP="001A1133">
      <w:pPr>
        <w:numPr>
          <w:ilvl w:val="0"/>
          <w:numId w:val="7"/>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Pagalbinės medžiagos:</w:t>
      </w:r>
    </w:p>
    <w:p w:rsidR="001A1133" w:rsidRDefault="001A1133" w:rsidP="001A1133">
      <w:pPr>
        <w:tabs>
          <w:tab w:val="num" w:pos="567"/>
        </w:tabs>
        <w:spacing w:after="0" w:line="240" w:lineRule="auto"/>
        <w:ind w:left="567" w:hanging="567"/>
        <w:rPr>
          <w:rFonts w:ascii="Times New Roman" w:hAnsi="Times New Roman"/>
          <w:noProof/>
          <w:lang w:eastAsia="lt-LT"/>
        </w:rPr>
      </w:pPr>
      <w:r>
        <w:rPr>
          <w:rFonts w:ascii="Times New Roman" w:hAnsi="Times New Roman"/>
          <w:lang w:eastAsia="lt-LT"/>
        </w:rPr>
        <w:tab/>
        <w:t xml:space="preserve">Tabletės branduolys: </w:t>
      </w:r>
      <w:r>
        <w:rPr>
          <w:rFonts w:ascii="Times New Roman" w:hAnsi="Times New Roman"/>
          <w:noProof/>
          <w:lang w:eastAsia="lt-LT"/>
        </w:rPr>
        <w:t>bevandenis kalcio-vandenilio fosfatas, kroskarmeliozės natrio druska, magnio stearatas, mikrokristalinė celiuliozė.</w:t>
      </w:r>
    </w:p>
    <w:p w:rsidR="001A1133" w:rsidRDefault="001A1133" w:rsidP="001A1133">
      <w:p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ab/>
        <w:t xml:space="preserve">Tabletės plėvelė: karnaubo vaškas, laktozė monohidratas, hipromeliozė, titano dioksidas </w:t>
      </w:r>
      <w:r>
        <w:rPr>
          <w:rFonts w:ascii="Times New Roman" w:hAnsi="Times New Roman"/>
          <w:lang w:eastAsia="lt-LT"/>
        </w:rPr>
        <w:t>(E171)</w:t>
      </w:r>
      <w:r>
        <w:rPr>
          <w:rFonts w:ascii="Times New Roman" w:hAnsi="Times New Roman"/>
          <w:noProof/>
          <w:lang w:eastAsia="lt-LT"/>
        </w:rPr>
        <w:t>, triacetinas. Be to, 30 mg, 60 mg ir 120 mg tabletėse yra geltonojo geležies oksido (E172, dažiklio) ir indigokarmino (E132, dažiklio).</w:t>
      </w:r>
    </w:p>
    <w:p w:rsidR="001A1133" w:rsidRDefault="001A1133" w:rsidP="001A1133">
      <w:pPr>
        <w:spacing w:after="0" w:line="240" w:lineRule="auto"/>
        <w:jc w:val="both"/>
        <w:rPr>
          <w:rFonts w:ascii="Times New Roman" w:hAnsi="Times New Roman"/>
          <w:strike/>
          <w:lang w:eastAsia="lt-LT"/>
        </w:rPr>
      </w:pPr>
    </w:p>
    <w:p w:rsidR="001A1133" w:rsidRDefault="001A1133" w:rsidP="001A1133">
      <w:pPr>
        <w:keepNext/>
        <w:keepLines/>
        <w:numPr>
          <w:ilvl w:val="12"/>
          <w:numId w:val="0"/>
        </w:numPr>
        <w:spacing w:after="0" w:line="240" w:lineRule="auto"/>
        <w:ind w:right="-2"/>
        <w:rPr>
          <w:rFonts w:ascii="Times New Roman" w:hAnsi="Times New Roman"/>
          <w:b/>
          <w:bCs/>
          <w:noProof/>
          <w:lang w:eastAsia="lt-LT"/>
        </w:rPr>
      </w:pPr>
      <w:r>
        <w:rPr>
          <w:rFonts w:ascii="Times New Roman" w:hAnsi="Times New Roman"/>
          <w:b/>
          <w:lang w:eastAsia="lt-LT"/>
        </w:rPr>
        <w:t>ARCOXIA išvaizda ir kiekis pakuotėje</w:t>
      </w: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noProof/>
          <w:lang w:eastAsia="lt-LT"/>
        </w:rPr>
        <w:t>Išleidžiamos keturių stiprumų ARCOXIA tabletės:</w:t>
      </w:r>
    </w:p>
    <w:p w:rsidR="001A1133" w:rsidRDefault="001A1133" w:rsidP="001A1133">
      <w:pPr>
        <w:keepNext/>
        <w:keepLines/>
        <w:spacing w:after="0" w:line="240" w:lineRule="auto"/>
        <w:rPr>
          <w:rFonts w:ascii="Times New Roman" w:hAnsi="Times New Roman"/>
          <w:noProof/>
          <w:lang w:eastAsia="lt-LT"/>
        </w:rPr>
      </w:pPr>
    </w:p>
    <w:p w:rsidR="001A1133" w:rsidRDefault="001A1133" w:rsidP="001A1133">
      <w:pPr>
        <w:keepNext/>
        <w:keepLines/>
        <w:spacing w:after="0" w:line="240" w:lineRule="auto"/>
        <w:rPr>
          <w:rFonts w:ascii="Times New Roman" w:hAnsi="Times New Roman"/>
          <w:noProof/>
          <w:lang w:eastAsia="lt-LT"/>
        </w:rPr>
      </w:pPr>
      <w:r>
        <w:rPr>
          <w:rFonts w:ascii="Times New Roman" w:hAnsi="Times New Roman"/>
          <w:noProof/>
          <w:lang w:eastAsia="lt-LT"/>
        </w:rPr>
        <w:t>30 mg tabletės yra mėlynai žalios, obuolio formos, abipus išgaubtos, plėvele dengtos, vienoje jų pusėje yra žyma "ACX 30", kitoje – "101".</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60 mg tabletės yra tamsiai žalios, obuolio formos, abipus išgaubtos, plėvele dengtos, vienoje jų pusėje yra žyma "ARCOXIA 60", kitoje – "200".</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90 mg tabletės yra baltos, obuolio formos, abipus išgaubtos, plėvele dengtos, vienoje jų pusėje yra žyma "ARCOXIA 90", kitoje – "202".</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120 mg tabletės yra žalsvos, obuolio formos, abipus išgaubtos, plėvele dengtos, vienoje jų pusėje yra žyma "ARCOXIA 120", kitoje – "204".</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Pakuotės dydžiai:</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30 mg</w:t>
      </w: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 xml:space="preserve">Pakuotėje yra 2, 7, 14, 20, 28, 49, 98 tabletės arba sudėtinėje pakuotėje yra 98 tabletės </w:t>
      </w:r>
      <w:bookmarkStart w:id="0" w:name="OLE_LINK6"/>
      <w:bookmarkStart w:id="1" w:name="OLE_LINK5"/>
      <w:r>
        <w:rPr>
          <w:rFonts w:ascii="Times New Roman" w:hAnsi="Times New Roman"/>
          <w:noProof/>
          <w:lang w:eastAsia="lt-LT"/>
        </w:rPr>
        <w:t>(2 pakuotės po 49 tabletes)</w:t>
      </w:r>
      <w:bookmarkEnd w:id="0"/>
      <w:bookmarkEnd w:id="1"/>
      <w:r>
        <w:rPr>
          <w:rFonts w:ascii="Times New Roman" w:hAnsi="Times New Roman"/>
          <w:noProof/>
          <w:lang w:eastAsia="lt-LT"/>
        </w:rPr>
        <w:t xml:space="preserve"> lizdinėse plokštelėse.</w:t>
      </w:r>
    </w:p>
    <w:p w:rsidR="001A1133" w:rsidRDefault="001A1133" w:rsidP="001A1133">
      <w:pPr>
        <w:spacing w:after="0" w:line="240" w:lineRule="auto"/>
        <w:rPr>
          <w:rFonts w:ascii="Times New Roman" w:hAnsi="Times New Roman"/>
          <w:noProof/>
          <w:lang w:eastAsia="lt-LT"/>
        </w:rPr>
      </w:pPr>
    </w:p>
    <w:p w:rsidR="001A1133" w:rsidRDefault="001A1133" w:rsidP="001A1133">
      <w:pPr>
        <w:spacing w:after="0" w:line="240" w:lineRule="auto"/>
        <w:rPr>
          <w:rFonts w:ascii="Times New Roman" w:hAnsi="Times New Roman"/>
          <w:noProof/>
          <w:lang w:eastAsia="lt-LT"/>
        </w:rPr>
      </w:pPr>
      <w:r>
        <w:rPr>
          <w:rFonts w:ascii="Times New Roman" w:hAnsi="Times New Roman"/>
          <w:noProof/>
          <w:lang w:eastAsia="lt-LT"/>
        </w:rPr>
        <w:t>60 mg</w:t>
      </w:r>
    </w:p>
    <w:p w:rsidR="001A1133" w:rsidRDefault="001A1133" w:rsidP="001A1133">
      <w:pPr>
        <w:spacing w:after="0" w:line="240" w:lineRule="auto"/>
        <w:rPr>
          <w:rFonts w:ascii="Times New Roman" w:hAnsi="Times New Roman"/>
          <w:lang w:eastAsia="lt-LT"/>
        </w:rPr>
      </w:pPr>
      <w:r>
        <w:rPr>
          <w:rFonts w:ascii="Times New Roman" w:hAnsi="Times New Roman"/>
          <w:noProof/>
          <w:lang w:eastAsia="lt-LT"/>
        </w:rPr>
        <w:t xml:space="preserve">Pakuotėje yra </w:t>
      </w:r>
      <w:r>
        <w:rPr>
          <w:rFonts w:ascii="Times New Roman" w:hAnsi="Times New Roman"/>
          <w:lang w:eastAsia="lt-LT"/>
        </w:rPr>
        <w:t>2, 5, 7, 10, 14, 20, 28, 30, 50, 84</w:t>
      </w:r>
      <w:r w:rsidRPr="00730725">
        <w:rPr>
          <w:rFonts w:ascii="Times New Roman" w:hAnsi="Times New Roman"/>
          <w:lang w:eastAsia="lt-LT"/>
        </w:rPr>
        <w:t xml:space="preserve">, </w:t>
      </w:r>
      <w:r>
        <w:rPr>
          <w:rFonts w:ascii="Times New Roman" w:hAnsi="Times New Roman"/>
          <w:lang w:eastAsia="lt-LT"/>
        </w:rPr>
        <w:t>98, 100 tablečių lizdinėse plokštelėse</w:t>
      </w:r>
      <w:r>
        <w:rPr>
          <w:rFonts w:ascii="Times New Roman" w:hAnsi="Times New Roman"/>
          <w:noProof/>
          <w:lang w:eastAsia="lt-LT"/>
        </w:rPr>
        <w:t xml:space="preserve"> arba sudėtinėje pakuotėje yra 98 tabletės (2 pakuotės po 49 tabletes) lizdinėse plokštelėse; arba 30 ir 90 tablečių buteliukuose su sausiklio talpyklėmis</w:t>
      </w:r>
      <w:r>
        <w:rPr>
          <w:rFonts w:ascii="Times New Roman" w:hAnsi="Times New Roman"/>
          <w:lang w:eastAsia="lt-LT"/>
        </w:rPr>
        <w:t xml:space="preserve">. Buteliukuose esantis </w:t>
      </w:r>
      <w:proofErr w:type="spellStart"/>
      <w:r>
        <w:rPr>
          <w:rFonts w:ascii="Times New Roman" w:hAnsi="Times New Roman"/>
          <w:lang w:eastAsia="lt-LT"/>
        </w:rPr>
        <w:t>sausiklis</w:t>
      </w:r>
      <w:proofErr w:type="spellEnd"/>
      <w:r>
        <w:rPr>
          <w:rFonts w:ascii="Times New Roman" w:hAnsi="Times New Roman"/>
          <w:lang w:eastAsia="lt-LT"/>
        </w:rPr>
        <w:t xml:space="preserve"> (viena arba dvi </w:t>
      </w:r>
      <w:proofErr w:type="spellStart"/>
      <w:r>
        <w:rPr>
          <w:rFonts w:ascii="Times New Roman" w:hAnsi="Times New Roman"/>
          <w:lang w:eastAsia="lt-LT"/>
        </w:rPr>
        <w:t>talpyklės</w:t>
      </w:r>
      <w:proofErr w:type="spellEnd"/>
      <w:r>
        <w:rPr>
          <w:rFonts w:ascii="Times New Roman" w:hAnsi="Times New Roman"/>
          <w:lang w:eastAsia="lt-LT"/>
        </w:rPr>
        <w:t>) skirtas apsaugoti tabletes nuo drėgmės, jo negalima nuryti.</w:t>
      </w:r>
    </w:p>
    <w:p w:rsidR="001A1133" w:rsidRDefault="001A1133" w:rsidP="001A1133">
      <w:pPr>
        <w:spacing w:after="0" w:line="240" w:lineRule="auto"/>
        <w:rPr>
          <w:rFonts w:ascii="Times New Roman" w:hAnsi="Times New Roman"/>
          <w:lang w:eastAsia="lt-LT"/>
        </w:rPr>
      </w:pPr>
    </w:p>
    <w:p w:rsidR="001A1133" w:rsidRPr="0006453D" w:rsidRDefault="001A1133" w:rsidP="001A1133">
      <w:pPr>
        <w:keepNext/>
        <w:tabs>
          <w:tab w:val="left" w:pos="4995"/>
        </w:tabs>
        <w:spacing w:after="0" w:line="240" w:lineRule="auto"/>
        <w:rPr>
          <w:rFonts w:ascii="Times New Roman" w:hAnsi="Times New Roman"/>
          <w:noProof/>
          <w:lang w:eastAsia="lt-LT"/>
        </w:rPr>
      </w:pPr>
      <w:r>
        <w:rPr>
          <w:rFonts w:ascii="Times New Roman" w:hAnsi="Times New Roman"/>
          <w:noProof/>
          <w:lang w:eastAsia="lt-LT"/>
        </w:rPr>
        <w:t>90 </w:t>
      </w:r>
      <w:r w:rsidRPr="0006453D">
        <w:rPr>
          <w:rFonts w:ascii="Times New Roman" w:hAnsi="Times New Roman"/>
          <w:noProof/>
          <w:lang w:eastAsia="lt-LT"/>
        </w:rPr>
        <w:t>mg</w:t>
      </w:r>
    </w:p>
    <w:p w:rsidR="001A1133" w:rsidRDefault="001A1133" w:rsidP="001A1133">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Pakuotėje yra 2, 5, 7, 10, 14, 20, 28,</w:t>
      </w:r>
      <w:r>
        <w:rPr>
          <w:rFonts w:ascii="Times New Roman" w:hAnsi="Times New Roman"/>
          <w:noProof/>
          <w:lang w:eastAsia="lt-LT"/>
        </w:rPr>
        <w:t xml:space="preserve"> </w:t>
      </w:r>
      <w:r w:rsidRPr="0006453D">
        <w:rPr>
          <w:rFonts w:ascii="Times New Roman" w:hAnsi="Times New Roman"/>
          <w:noProof/>
          <w:lang w:eastAsia="lt-LT"/>
        </w:rPr>
        <w:t xml:space="preserve">30, 50, 84, </w:t>
      </w:r>
      <w:r>
        <w:rPr>
          <w:rFonts w:ascii="Times New Roman" w:hAnsi="Times New Roman"/>
          <w:noProof/>
          <w:lang w:eastAsia="lt-LT"/>
        </w:rPr>
        <w:t xml:space="preserve">98, </w:t>
      </w:r>
      <w:r w:rsidRPr="0006453D">
        <w:rPr>
          <w:rFonts w:ascii="Times New Roman" w:hAnsi="Times New Roman"/>
          <w:noProof/>
          <w:lang w:eastAsia="lt-LT"/>
        </w:rPr>
        <w:t>100</w:t>
      </w:r>
      <w:r>
        <w:rPr>
          <w:rFonts w:ascii="Times New Roman" w:hAnsi="Times New Roman"/>
          <w:noProof/>
          <w:lang w:eastAsia="lt-LT"/>
        </w:rPr>
        <w:t> </w:t>
      </w:r>
      <w:r w:rsidRPr="0006453D">
        <w:rPr>
          <w:rFonts w:ascii="Times New Roman" w:hAnsi="Times New Roman"/>
          <w:noProof/>
          <w:lang w:eastAsia="lt-LT"/>
        </w:rPr>
        <w:t>tablečių lizdinėse plokštelėse arba sudėtinėje</w:t>
      </w:r>
      <w:r>
        <w:rPr>
          <w:rFonts w:ascii="Times New Roman" w:hAnsi="Times New Roman"/>
          <w:noProof/>
          <w:lang w:eastAsia="lt-LT"/>
        </w:rPr>
        <w:t xml:space="preserve"> </w:t>
      </w:r>
      <w:r w:rsidRPr="0006453D">
        <w:rPr>
          <w:rFonts w:ascii="Times New Roman" w:hAnsi="Times New Roman"/>
          <w:noProof/>
          <w:lang w:eastAsia="lt-LT"/>
        </w:rPr>
        <w:t>pakuotėje yra 98</w:t>
      </w:r>
      <w:r>
        <w:rPr>
          <w:rFonts w:ascii="Times New Roman" w:hAnsi="Times New Roman"/>
          <w:noProof/>
          <w:lang w:eastAsia="lt-LT"/>
        </w:rPr>
        <w:t> </w:t>
      </w:r>
      <w:r w:rsidRPr="0006453D">
        <w:rPr>
          <w:rFonts w:ascii="Times New Roman" w:hAnsi="Times New Roman"/>
          <w:noProof/>
          <w:lang w:eastAsia="lt-LT"/>
        </w:rPr>
        <w:t>tabletės (2</w:t>
      </w:r>
      <w:r>
        <w:rPr>
          <w:rFonts w:ascii="Times New Roman" w:hAnsi="Times New Roman"/>
          <w:noProof/>
          <w:lang w:eastAsia="lt-LT"/>
        </w:rPr>
        <w:t> </w:t>
      </w:r>
      <w:r w:rsidRPr="0006453D">
        <w:rPr>
          <w:rFonts w:ascii="Times New Roman" w:hAnsi="Times New Roman"/>
          <w:noProof/>
          <w:lang w:eastAsia="lt-LT"/>
        </w:rPr>
        <w:t>pakuotės po 49</w:t>
      </w:r>
      <w:r>
        <w:rPr>
          <w:rFonts w:ascii="Times New Roman" w:hAnsi="Times New Roman"/>
          <w:noProof/>
          <w:lang w:eastAsia="lt-LT"/>
        </w:rPr>
        <w:t> </w:t>
      </w:r>
      <w:r w:rsidRPr="0006453D">
        <w:rPr>
          <w:rFonts w:ascii="Times New Roman" w:hAnsi="Times New Roman"/>
          <w:noProof/>
          <w:lang w:eastAsia="lt-LT"/>
        </w:rPr>
        <w:t>tabletes) lizdinėse plokštelėse; arba 30 ir 90</w:t>
      </w:r>
      <w:r>
        <w:rPr>
          <w:rFonts w:ascii="Times New Roman" w:hAnsi="Times New Roman"/>
          <w:noProof/>
          <w:lang w:eastAsia="lt-LT"/>
        </w:rPr>
        <w:t> </w:t>
      </w:r>
      <w:r w:rsidRPr="0006453D">
        <w:rPr>
          <w:rFonts w:ascii="Times New Roman" w:hAnsi="Times New Roman"/>
          <w:noProof/>
          <w:lang w:eastAsia="lt-LT"/>
        </w:rPr>
        <w:t>tablečių</w:t>
      </w:r>
      <w:r>
        <w:rPr>
          <w:rFonts w:ascii="Times New Roman" w:hAnsi="Times New Roman"/>
          <w:noProof/>
          <w:lang w:eastAsia="lt-LT"/>
        </w:rPr>
        <w:t xml:space="preserve"> </w:t>
      </w:r>
      <w:r w:rsidRPr="0006453D">
        <w:rPr>
          <w:rFonts w:ascii="Times New Roman" w:hAnsi="Times New Roman"/>
          <w:noProof/>
          <w:lang w:eastAsia="lt-LT"/>
        </w:rPr>
        <w:t>buteliukuose su sausiklio talpyklėmis. Buteliukuose esantis sausiklis (viena arba dvi talpyklės) skirtas</w:t>
      </w:r>
      <w:r>
        <w:rPr>
          <w:rFonts w:ascii="Times New Roman" w:hAnsi="Times New Roman"/>
          <w:noProof/>
          <w:lang w:eastAsia="lt-LT"/>
        </w:rPr>
        <w:t xml:space="preserve"> </w:t>
      </w:r>
      <w:r w:rsidRPr="0006453D">
        <w:rPr>
          <w:rFonts w:ascii="Times New Roman" w:hAnsi="Times New Roman"/>
          <w:noProof/>
          <w:lang w:eastAsia="lt-LT"/>
        </w:rPr>
        <w:t>apsaugoti tabletes nuo drėgmės, jo negalima nuryti.</w:t>
      </w:r>
    </w:p>
    <w:p w:rsidR="001A1133" w:rsidRPr="0006453D" w:rsidRDefault="001A1133" w:rsidP="001A1133">
      <w:pPr>
        <w:keepNext/>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120</w:t>
      </w:r>
      <w:r>
        <w:rPr>
          <w:rFonts w:ascii="Times New Roman" w:hAnsi="Times New Roman"/>
          <w:noProof/>
          <w:lang w:eastAsia="lt-LT"/>
        </w:rPr>
        <w:t> </w:t>
      </w:r>
      <w:r w:rsidRPr="0006453D">
        <w:rPr>
          <w:rFonts w:ascii="Times New Roman" w:hAnsi="Times New Roman"/>
          <w:noProof/>
          <w:lang w:eastAsia="lt-LT"/>
        </w:rPr>
        <w:t>mg</w:t>
      </w:r>
    </w:p>
    <w:p w:rsidR="001A1133" w:rsidRDefault="001A1133" w:rsidP="001A1133">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Pakuotėje yra 2, 5, 7, 10, 14, 20, 28,</w:t>
      </w:r>
      <w:r>
        <w:rPr>
          <w:rFonts w:ascii="Times New Roman" w:hAnsi="Times New Roman"/>
          <w:noProof/>
          <w:lang w:eastAsia="lt-LT"/>
        </w:rPr>
        <w:t xml:space="preserve"> </w:t>
      </w:r>
      <w:r w:rsidRPr="0006453D">
        <w:rPr>
          <w:rFonts w:ascii="Times New Roman" w:hAnsi="Times New Roman"/>
          <w:noProof/>
          <w:lang w:eastAsia="lt-LT"/>
        </w:rPr>
        <w:t>30, 50, 84, 100</w:t>
      </w:r>
      <w:r>
        <w:rPr>
          <w:rFonts w:ascii="Times New Roman" w:hAnsi="Times New Roman"/>
          <w:noProof/>
          <w:lang w:eastAsia="lt-LT"/>
        </w:rPr>
        <w:t> </w:t>
      </w:r>
      <w:r w:rsidRPr="0006453D">
        <w:rPr>
          <w:rFonts w:ascii="Times New Roman" w:hAnsi="Times New Roman"/>
          <w:noProof/>
          <w:lang w:eastAsia="lt-LT"/>
        </w:rPr>
        <w:t>tablečių lizdinėse plokštelėse arba sudėtinėje</w:t>
      </w:r>
      <w:r>
        <w:rPr>
          <w:rFonts w:ascii="Times New Roman" w:hAnsi="Times New Roman"/>
          <w:noProof/>
          <w:lang w:eastAsia="lt-LT"/>
        </w:rPr>
        <w:t xml:space="preserve"> </w:t>
      </w:r>
      <w:r w:rsidRPr="0006453D">
        <w:rPr>
          <w:rFonts w:ascii="Times New Roman" w:hAnsi="Times New Roman"/>
          <w:noProof/>
          <w:lang w:eastAsia="lt-LT"/>
        </w:rPr>
        <w:t>pakuotėje yra 98</w:t>
      </w:r>
      <w:r>
        <w:rPr>
          <w:rFonts w:ascii="Times New Roman" w:hAnsi="Times New Roman"/>
          <w:noProof/>
          <w:lang w:eastAsia="lt-LT"/>
        </w:rPr>
        <w:t> </w:t>
      </w:r>
      <w:r w:rsidRPr="0006453D">
        <w:rPr>
          <w:rFonts w:ascii="Times New Roman" w:hAnsi="Times New Roman"/>
          <w:noProof/>
          <w:lang w:eastAsia="lt-LT"/>
        </w:rPr>
        <w:t>tabletės (2</w:t>
      </w:r>
      <w:r>
        <w:rPr>
          <w:rFonts w:ascii="Times New Roman" w:hAnsi="Times New Roman"/>
          <w:noProof/>
          <w:lang w:eastAsia="lt-LT"/>
        </w:rPr>
        <w:t> </w:t>
      </w:r>
      <w:r w:rsidRPr="0006453D">
        <w:rPr>
          <w:rFonts w:ascii="Times New Roman" w:hAnsi="Times New Roman"/>
          <w:noProof/>
          <w:lang w:eastAsia="lt-LT"/>
        </w:rPr>
        <w:t>pakuotės po 49</w:t>
      </w:r>
      <w:r>
        <w:rPr>
          <w:rFonts w:ascii="Times New Roman" w:hAnsi="Times New Roman"/>
          <w:noProof/>
          <w:lang w:eastAsia="lt-LT"/>
        </w:rPr>
        <w:t> </w:t>
      </w:r>
      <w:r w:rsidRPr="0006453D">
        <w:rPr>
          <w:rFonts w:ascii="Times New Roman" w:hAnsi="Times New Roman"/>
          <w:noProof/>
          <w:lang w:eastAsia="lt-LT"/>
        </w:rPr>
        <w:t>tabletes) lizdinėse plokštelėse; arba 30 ir 90</w:t>
      </w:r>
      <w:r>
        <w:rPr>
          <w:rFonts w:ascii="Times New Roman" w:hAnsi="Times New Roman"/>
          <w:noProof/>
          <w:lang w:eastAsia="lt-LT"/>
        </w:rPr>
        <w:t> </w:t>
      </w:r>
      <w:r w:rsidRPr="0006453D">
        <w:rPr>
          <w:rFonts w:ascii="Times New Roman" w:hAnsi="Times New Roman"/>
          <w:noProof/>
          <w:lang w:eastAsia="lt-LT"/>
        </w:rPr>
        <w:t>tablečių</w:t>
      </w:r>
      <w:r>
        <w:rPr>
          <w:rFonts w:ascii="Times New Roman" w:hAnsi="Times New Roman"/>
          <w:noProof/>
          <w:lang w:eastAsia="lt-LT"/>
        </w:rPr>
        <w:t xml:space="preserve"> </w:t>
      </w:r>
      <w:r w:rsidRPr="0006453D">
        <w:rPr>
          <w:rFonts w:ascii="Times New Roman" w:hAnsi="Times New Roman"/>
          <w:noProof/>
          <w:lang w:eastAsia="lt-LT"/>
        </w:rPr>
        <w:t>buteliukuose su sausiklio talpyklėmis. Buteliukuose esantis sausiklis (viena arba dvi talpyklės) skirtas</w:t>
      </w:r>
      <w:r>
        <w:rPr>
          <w:rFonts w:ascii="Times New Roman" w:hAnsi="Times New Roman"/>
          <w:noProof/>
          <w:lang w:eastAsia="lt-LT"/>
        </w:rPr>
        <w:t xml:space="preserve"> </w:t>
      </w:r>
      <w:r w:rsidRPr="0006453D">
        <w:rPr>
          <w:rFonts w:ascii="Times New Roman" w:hAnsi="Times New Roman"/>
          <w:noProof/>
          <w:lang w:eastAsia="lt-LT"/>
        </w:rPr>
        <w:t>apsaugoti tabletes nuo drėgmės, jo negalima nuryti.</w:t>
      </w:r>
    </w:p>
    <w:p w:rsidR="001A1133" w:rsidRPr="0006453D" w:rsidRDefault="001A1133" w:rsidP="001A1133">
      <w:pPr>
        <w:tabs>
          <w:tab w:val="left" w:pos="4995"/>
        </w:tabs>
        <w:spacing w:after="0" w:line="240" w:lineRule="auto"/>
        <w:rPr>
          <w:rFonts w:ascii="Times New Roman" w:hAnsi="Times New Roman"/>
          <w:noProof/>
          <w:lang w:eastAsia="lt-LT"/>
        </w:rPr>
      </w:pPr>
    </w:p>
    <w:p w:rsidR="001A1133" w:rsidRPr="0006453D" w:rsidRDefault="001A1133" w:rsidP="001A1133">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60</w:t>
      </w:r>
      <w:r>
        <w:rPr>
          <w:rFonts w:ascii="Times New Roman" w:hAnsi="Times New Roman"/>
          <w:noProof/>
          <w:lang w:eastAsia="lt-LT"/>
        </w:rPr>
        <w:t> </w:t>
      </w:r>
      <w:r w:rsidRPr="0006453D">
        <w:rPr>
          <w:rFonts w:ascii="Times New Roman" w:hAnsi="Times New Roman"/>
          <w:noProof/>
          <w:lang w:eastAsia="lt-LT"/>
        </w:rPr>
        <w:t>mg, 90</w:t>
      </w:r>
      <w:r>
        <w:rPr>
          <w:rFonts w:ascii="Times New Roman" w:hAnsi="Times New Roman"/>
          <w:noProof/>
          <w:lang w:eastAsia="lt-LT"/>
        </w:rPr>
        <w:t> </w:t>
      </w:r>
      <w:r w:rsidRPr="0006453D">
        <w:rPr>
          <w:rFonts w:ascii="Times New Roman" w:hAnsi="Times New Roman"/>
          <w:noProof/>
          <w:lang w:eastAsia="lt-LT"/>
        </w:rPr>
        <w:t>mg ir 120</w:t>
      </w:r>
      <w:r>
        <w:rPr>
          <w:rFonts w:ascii="Times New Roman" w:hAnsi="Times New Roman"/>
          <w:noProof/>
          <w:lang w:eastAsia="lt-LT"/>
        </w:rPr>
        <w:t> </w:t>
      </w:r>
      <w:r w:rsidRPr="0006453D">
        <w:rPr>
          <w:rFonts w:ascii="Times New Roman" w:hAnsi="Times New Roman"/>
          <w:noProof/>
          <w:lang w:eastAsia="lt-LT"/>
        </w:rPr>
        <w:t>mg</w:t>
      </w:r>
    </w:p>
    <w:p w:rsidR="001A1133" w:rsidRPr="00730725" w:rsidRDefault="001A1133" w:rsidP="001A1133">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Aliuminio/aliuminio vienadozėse lizdinėse plokštelėse yra 5, 50 arba 100</w:t>
      </w:r>
      <w:r>
        <w:rPr>
          <w:rFonts w:ascii="Times New Roman" w:hAnsi="Times New Roman"/>
          <w:noProof/>
          <w:lang w:eastAsia="lt-LT"/>
        </w:rPr>
        <w:t> </w:t>
      </w:r>
      <w:r w:rsidRPr="0006453D">
        <w:rPr>
          <w:rFonts w:ascii="Times New Roman" w:hAnsi="Times New Roman"/>
          <w:noProof/>
          <w:lang w:eastAsia="lt-LT"/>
        </w:rPr>
        <w:t>tablečių.</w:t>
      </w:r>
    </w:p>
    <w:p w:rsidR="001A1133" w:rsidRDefault="001A1133" w:rsidP="001A1133">
      <w:pPr>
        <w:tabs>
          <w:tab w:val="left" w:pos="4995"/>
        </w:tabs>
        <w:spacing w:after="0" w:line="240" w:lineRule="auto"/>
        <w:rPr>
          <w:rFonts w:ascii="Times New Roman" w:hAnsi="Times New Roman"/>
          <w:noProof/>
          <w:lang w:eastAsia="lt-LT"/>
        </w:rPr>
      </w:pPr>
    </w:p>
    <w:p w:rsidR="001A1133" w:rsidRDefault="001A1133" w:rsidP="001A1133">
      <w:pPr>
        <w:tabs>
          <w:tab w:val="left" w:pos="4995"/>
        </w:tabs>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rsidR="001A1133" w:rsidRDefault="001A1133" w:rsidP="001A1133">
      <w:pPr>
        <w:spacing w:after="0" w:line="240" w:lineRule="auto"/>
        <w:rPr>
          <w:rFonts w:ascii="Times New Roman" w:hAnsi="Times New Roman"/>
          <w:noProof/>
          <w:lang w:eastAsia="lt-LT"/>
        </w:rPr>
      </w:pPr>
    </w:p>
    <w:p w:rsidR="001A1133" w:rsidRDefault="001A1133" w:rsidP="001A1133">
      <w:pPr>
        <w:keepNext/>
        <w:spacing w:after="0" w:line="240" w:lineRule="auto"/>
        <w:rPr>
          <w:rFonts w:ascii="Times New Roman" w:hAnsi="Times New Roman"/>
          <w:b/>
          <w:noProof/>
          <w:lang w:eastAsia="lt-LT"/>
        </w:rPr>
      </w:pPr>
      <w:r>
        <w:rPr>
          <w:rFonts w:ascii="Times New Roman" w:hAnsi="Times New Roman"/>
          <w:b/>
          <w:noProof/>
          <w:lang w:eastAsia="lt-LT"/>
        </w:rPr>
        <w:t>Registruotojas ir gamintojas</w:t>
      </w:r>
    </w:p>
    <w:p w:rsidR="001A1133" w:rsidRDefault="001A1133" w:rsidP="001A1133">
      <w:pPr>
        <w:keepNext/>
        <w:spacing w:after="0" w:line="240" w:lineRule="auto"/>
        <w:rPr>
          <w:rFonts w:ascii="Times New Roman" w:hAnsi="Times New Roman"/>
          <w:b/>
          <w:noProof/>
          <w:lang w:eastAsia="lt-LT"/>
        </w:rPr>
      </w:pPr>
    </w:p>
    <w:tbl>
      <w:tblPr>
        <w:tblW w:w="0" w:type="auto"/>
        <w:tblLayout w:type="fixed"/>
        <w:tblLook w:val="04A0" w:firstRow="1" w:lastRow="0" w:firstColumn="1" w:lastColumn="0" w:noHBand="0" w:noVBand="1"/>
      </w:tblPr>
      <w:tblGrid>
        <w:gridCol w:w="4320"/>
        <w:gridCol w:w="4320"/>
      </w:tblGrid>
      <w:tr w:rsidR="001A1133" w:rsidTr="00B07076">
        <w:trPr>
          <w:cantSplit/>
        </w:trPr>
        <w:tc>
          <w:tcPr>
            <w:tcW w:w="4320" w:type="dxa"/>
            <w:hideMark/>
          </w:tcPr>
          <w:p w:rsidR="001A1133" w:rsidRDefault="001A1133" w:rsidP="00B07076">
            <w:pPr>
              <w:spacing w:after="0" w:line="240" w:lineRule="auto"/>
              <w:rPr>
                <w:rFonts w:ascii="Times New Roman" w:hAnsi="Times New Roman"/>
                <w:noProof/>
                <w:lang w:eastAsia="lt-LT"/>
              </w:rPr>
            </w:pPr>
            <w:r>
              <w:rPr>
                <w:rFonts w:ascii="Times New Roman" w:hAnsi="Times New Roman"/>
                <w:b/>
                <w:noProof/>
                <w:lang w:eastAsia="lt-LT"/>
              </w:rPr>
              <w:t>Registruotojas</w:t>
            </w:r>
          </w:p>
          <w:p w:rsidR="001A1133" w:rsidRDefault="001A1133" w:rsidP="00B07076">
            <w:pPr>
              <w:spacing w:after="0" w:line="240" w:lineRule="auto"/>
              <w:rPr>
                <w:rFonts w:ascii="Times New Roman" w:hAnsi="Times New Roman"/>
              </w:rPr>
            </w:pPr>
            <w:r w:rsidRPr="006B79B0">
              <w:rPr>
                <w:rFonts w:ascii="Times New Roman" w:hAnsi="Times New Roman"/>
              </w:rPr>
              <w:t xml:space="preserve">N.V. </w:t>
            </w:r>
            <w:proofErr w:type="spellStart"/>
            <w:r w:rsidRPr="006B79B0">
              <w:rPr>
                <w:rFonts w:ascii="Times New Roman" w:hAnsi="Times New Roman"/>
              </w:rPr>
              <w:t>Organon</w:t>
            </w:r>
            <w:proofErr w:type="spellEnd"/>
            <w:r w:rsidRPr="006B79B0">
              <w:rPr>
                <w:rFonts w:ascii="Times New Roman" w:hAnsi="Times New Roman"/>
              </w:rPr>
              <w:t xml:space="preserve"> </w:t>
            </w:r>
          </w:p>
          <w:p w:rsidR="001A1133" w:rsidRDefault="001A1133" w:rsidP="00B07076">
            <w:pPr>
              <w:spacing w:after="0" w:line="240" w:lineRule="auto"/>
              <w:rPr>
                <w:rFonts w:ascii="Times New Roman" w:hAnsi="Times New Roman"/>
              </w:rPr>
            </w:pPr>
            <w:proofErr w:type="spellStart"/>
            <w:r w:rsidRPr="006B79B0">
              <w:rPr>
                <w:rFonts w:ascii="Times New Roman" w:hAnsi="Times New Roman"/>
              </w:rPr>
              <w:t>Kloosterstraat</w:t>
            </w:r>
            <w:proofErr w:type="spellEnd"/>
            <w:r w:rsidRPr="006B79B0">
              <w:rPr>
                <w:rFonts w:ascii="Times New Roman" w:hAnsi="Times New Roman"/>
              </w:rPr>
              <w:t xml:space="preserve"> 6 </w:t>
            </w:r>
          </w:p>
          <w:p w:rsidR="001A1133" w:rsidRDefault="001A1133" w:rsidP="00B07076">
            <w:pPr>
              <w:spacing w:after="0" w:line="240" w:lineRule="auto"/>
              <w:rPr>
                <w:rFonts w:ascii="Times New Roman" w:hAnsi="Times New Roman"/>
              </w:rPr>
            </w:pPr>
            <w:r w:rsidRPr="006B79B0">
              <w:rPr>
                <w:rFonts w:ascii="Times New Roman" w:hAnsi="Times New Roman"/>
              </w:rPr>
              <w:t xml:space="preserve">5349 AB </w:t>
            </w:r>
            <w:proofErr w:type="spellStart"/>
            <w:r w:rsidRPr="006B79B0">
              <w:rPr>
                <w:rFonts w:ascii="Times New Roman" w:hAnsi="Times New Roman"/>
              </w:rPr>
              <w:t>Oss</w:t>
            </w:r>
            <w:proofErr w:type="spellEnd"/>
            <w:r w:rsidRPr="006B79B0">
              <w:rPr>
                <w:rFonts w:ascii="Times New Roman" w:hAnsi="Times New Roman"/>
              </w:rPr>
              <w:t xml:space="preserve"> </w:t>
            </w:r>
          </w:p>
          <w:p w:rsidR="001A1133" w:rsidRPr="006B79B0" w:rsidRDefault="001A1133" w:rsidP="00B07076">
            <w:pPr>
              <w:spacing w:after="0" w:line="240" w:lineRule="auto"/>
              <w:rPr>
                <w:rFonts w:ascii="Times New Roman" w:hAnsi="Times New Roman"/>
                <w:lang w:eastAsia="lt-LT"/>
              </w:rPr>
            </w:pPr>
            <w:r w:rsidRPr="006B79B0">
              <w:rPr>
                <w:rFonts w:ascii="Times New Roman" w:hAnsi="Times New Roman"/>
              </w:rPr>
              <w:t>Nyderlandai</w:t>
            </w:r>
          </w:p>
          <w:p w:rsidR="001A1133" w:rsidRDefault="001A1133" w:rsidP="00B07076">
            <w:pPr>
              <w:spacing w:after="0" w:line="240" w:lineRule="auto"/>
              <w:rPr>
                <w:rFonts w:ascii="Times New Roman" w:hAnsi="Times New Roman"/>
                <w:noProof/>
                <w:lang w:eastAsia="lt-LT"/>
              </w:rPr>
            </w:pPr>
          </w:p>
        </w:tc>
        <w:tc>
          <w:tcPr>
            <w:tcW w:w="4320" w:type="dxa"/>
          </w:tcPr>
          <w:p w:rsidR="001A1133" w:rsidRDefault="001A1133" w:rsidP="00B07076">
            <w:pPr>
              <w:spacing w:after="0" w:line="240" w:lineRule="auto"/>
              <w:rPr>
                <w:rFonts w:ascii="Times New Roman" w:hAnsi="Times New Roman"/>
                <w:noProof/>
                <w:lang w:eastAsia="lt-LT"/>
              </w:rPr>
            </w:pPr>
            <w:r>
              <w:rPr>
                <w:rFonts w:ascii="Times New Roman" w:hAnsi="Times New Roman"/>
                <w:b/>
                <w:noProof/>
                <w:lang w:eastAsia="lt-LT"/>
              </w:rPr>
              <w:t>Gamintojas</w:t>
            </w:r>
          </w:p>
          <w:p w:rsidR="001A1133" w:rsidRDefault="001A1133" w:rsidP="00B07076">
            <w:pPr>
              <w:spacing w:after="0" w:line="240" w:lineRule="auto"/>
              <w:rPr>
                <w:rFonts w:ascii="Times New Roman" w:hAnsi="Times New Roman"/>
                <w:noProof/>
                <w:lang w:eastAsia="lt-LT"/>
              </w:rPr>
            </w:pPr>
            <w:r>
              <w:rPr>
                <w:rFonts w:ascii="Times New Roman" w:hAnsi="Times New Roman"/>
                <w:noProof/>
                <w:lang w:eastAsia="lt-LT"/>
              </w:rPr>
              <w:t>Merck Sharp &amp; Dohme B.V.</w:t>
            </w:r>
          </w:p>
          <w:p w:rsidR="001A1133" w:rsidRDefault="001A1133" w:rsidP="00B07076">
            <w:pPr>
              <w:spacing w:after="0" w:line="240" w:lineRule="auto"/>
              <w:rPr>
                <w:rFonts w:ascii="Times New Roman" w:hAnsi="Times New Roman"/>
                <w:noProof/>
                <w:lang w:eastAsia="lt-LT"/>
              </w:rPr>
            </w:pPr>
            <w:r>
              <w:rPr>
                <w:rFonts w:ascii="Times New Roman" w:hAnsi="Times New Roman"/>
                <w:noProof/>
                <w:lang w:eastAsia="lt-LT"/>
              </w:rPr>
              <w:t>Waarderweg 39</w:t>
            </w:r>
          </w:p>
          <w:p w:rsidR="001A1133" w:rsidRDefault="001A1133" w:rsidP="00B07076">
            <w:pPr>
              <w:spacing w:after="0" w:line="240" w:lineRule="auto"/>
              <w:rPr>
                <w:rFonts w:ascii="Times New Roman" w:hAnsi="Times New Roman"/>
                <w:noProof/>
                <w:lang w:eastAsia="lt-LT"/>
              </w:rPr>
            </w:pPr>
            <w:r>
              <w:rPr>
                <w:rFonts w:ascii="Times New Roman" w:hAnsi="Times New Roman"/>
                <w:noProof/>
                <w:lang w:eastAsia="lt-LT"/>
              </w:rPr>
              <w:t>2031 BN Haarlem</w:t>
            </w:r>
          </w:p>
          <w:p w:rsidR="001A1133" w:rsidRDefault="001A1133" w:rsidP="00B07076">
            <w:pPr>
              <w:spacing w:after="0" w:line="240" w:lineRule="auto"/>
              <w:rPr>
                <w:rFonts w:ascii="Times New Roman" w:hAnsi="Times New Roman"/>
                <w:noProof/>
                <w:lang w:eastAsia="lt-LT"/>
              </w:rPr>
            </w:pPr>
            <w:r>
              <w:rPr>
                <w:rFonts w:ascii="Times New Roman" w:hAnsi="Times New Roman"/>
                <w:noProof/>
                <w:lang w:eastAsia="lt-LT"/>
              </w:rPr>
              <w:t>Nyderlandai</w:t>
            </w:r>
          </w:p>
          <w:p w:rsidR="001A1133" w:rsidRPr="00D2425E" w:rsidRDefault="001A1133" w:rsidP="00B07076">
            <w:pPr>
              <w:spacing w:after="0" w:line="240" w:lineRule="auto"/>
              <w:rPr>
                <w:rFonts w:ascii="Times New Roman" w:hAnsi="Times New Roman"/>
                <w:i/>
                <w:lang w:eastAsia="lt-LT"/>
              </w:rPr>
            </w:pPr>
          </w:p>
          <w:p w:rsidR="001A1133" w:rsidRDefault="001A1133" w:rsidP="00B07076">
            <w:pPr>
              <w:pStyle w:val="Default"/>
              <w:rPr>
                <w:rFonts w:eastAsia="TimesNewRoman"/>
                <w:color w:val="auto"/>
                <w:sz w:val="22"/>
                <w:szCs w:val="22"/>
                <w:lang w:val="en-US" w:eastAsia="nl-BE"/>
              </w:rPr>
            </w:pPr>
            <w:proofErr w:type="spellStart"/>
            <w:r w:rsidRPr="00E8307A">
              <w:rPr>
                <w:rFonts w:eastAsia="TimesNewRoman"/>
                <w:color w:val="auto"/>
                <w:sz w:val="22"/>
                <w:szCs w:val="22"/>
                <w:lang w:val="en-US" w:eastAsia="nl-BE"/>
              </w:rPr>
              <w:t>Organon</w:t>
            </w:r>
            <w:proofErr w:type="spellEnd"/>
            <w:r w:rsidRPr="00E8307A">
              <w:rPr>
                <w:rFonts w:eastAsia="TimesNewRoman"/>
                <w:color w:val="auto"/>
                <w:sz w:val="22"/>
                <w:szCs w:val="22"/>
                <w:lang w:val="en-US" w:eastAsia="nl-BE"/>
              </w:rPr>
              <w:t xml:space="preserve"> Heist </w:t>
            </w:r>
            <w:proofErr w:type="spellStart"/>
            <w:r w:rsidRPr="00E8307A">
              <w:rPr>
                <w:rFonts w:eastAsia="TimesNewRoman"/>
                <w:color w:val="auto"/>
                <w:sz w:val="22"/>
                <w:szCs w:val="22"/>
                <w:lang w:val="en-US" w:eastAsia="nl-BE"/>
              </w:rPr>
              <w:t>bv</w:t>
            </w:r>
            <w:proofErr w:type="spellEnd"/>
          </w:p>
          <w:p w:rsidR="001A1133" w:rsidRPr="00D2425E" w:rsidRDefault="001A1133" w:rsidP="00B07076">
            <w:pPr>
              <w:pStyle w:val="Default"/>
              <w:rPr>
                <w:rFonts w:eastAsia="TimesNewRoman"/>
                <w:color w:val="auto"/>
                <w:sz w:val="22"/>
                <w:szCs w:val="22"/>
                <w:lang w:val="en-US" w:eastAsia="nl-BE"/>
              </w:rPr>
            </w:pPr>
            <w:proofErr w:type="spellStart"/>
            <w:r w:rsidRPr="00EB23EE">
              <w:rPr>
                <w:rFonts w:eastAsia="TimesNewRoman"/>
                <w:color w:val="auto"/>
                <w:sz w:val="22"/>
                <w:szCs w:val="22"/>
                <w:lang w:val="en-US" w:eastAsia="nl-BE"/>
              </w:rPr>
              <w:t>Industriepark</w:t>
            </w:r>
            <w:proofErr w:type="spellEnd"/>
            <w:r w:rsidRPr="00EB23EE">
              <w:rPr>
                <w:rFonts w:eastAsia="TimesNewRoman"/>
                <w:color w:val="auto"/>
                <w:sz w:val="22"/>
                <w:szCs w:val="22"/>
                <w:lang w:val="en-US" w:eastAsia="nl-BE"/>
              </w:rPr>
              <w:t xml:space="preserve"> 30</w:t>
            </w:r>
          </w:p>
          <w:p w:rsidR="001A1133" w:rsidRDefault="001A1133" w:rsidP="00B07076">
            <w:pPr>
              <w:autoSpaceDE w:val="0"/>
              <w:autoSpaceDN w:val="0"/>
              <w:adjustRightInd w:val="0"/>
              <w:spacing w:after="0"/>
              <w:rPr>
                <w:rFonts w:ascii="Times New Roman" w:eastAsia="TimesNewRoman" w:hAnsi="Times New Roman"/>
                <w:lang w:val="en-US" w:eastAsia="nl-BE"/>
              </w:rPr>
            </w:pPr>
            <w:r w:rsidRPr="00F720E4">
              <w:rPr>
                <w:rFonts w:ascii="Times New Roman" w:eastAsia="TimesNewRoman" w:hAnsi="Times New Roman"/>
                <w:lang w:val="en-US" w:eastAsia="nl-BE"/>
              </w:rPr>
              <w:t>2220</w:t>
            </w:r>
            <w:r>
              <w:rPr>
                <w:rFonts w:ascii="Times New Roman" w:eastAsia="TimesNewRoman" w:hAnsi="Times New Roman"/>
                <w:lang w:val="en-US" w:eastAsia="nl-BE"/>
              </w:rPr>
              <w:t xml:space="preserve"> </w:t>
            </w:r>
            <w:r w:rsidRPr="00F720E4">
              <w:rPr>
                <w:rFonts w:ascii="Times New Roman" w:eastAsia="TimesNewRoman" w:hAnsi="Times New Roman"/>
                <w:lang w:val="en-US" w:eastAsia="nl-BE"/>
              </w:rPr>
              <w:t>Heist-op-den-Berg</w:t>
            </w:r>
          </w:p>
          <w:p w:rsidR="001A1133" w:rsidRPr="00F720E4" w:rsidRDefault="001A1133" w:rsidP="00B07076">
            <w:pPr>
              <w:autoSpaceDE w:val="0"/>
              <w:autoSpaceDN w:val="0"/>
              <w:adjustRightInd w:val="0"/>
              <w:spacing w:after="0"/>
              <w:rPr>
                <w:rFonts w:ascii="Times New Roman" w:eastAsia="TimesNewRoman" w:hAnsi="Times New Roman"/>
                <w:lang w:val="en-US" w:eastAsia="nl-BE"/>
              </w:rPr>
            </w:pPr>
            <w:proofErr w:type="spellStart"/>
            <w:r>
              <w:rPr>
                <w:rFonts w:ascii="Times New Roman" w:eastAsia="TimesNewRoman" w:hAnsi="Times New Roman"/>
                <w:lang w:val="en-US" w:eastAsia="nl-BE"/>
              </w:rPr>
              <w:t>Belgija</w:t>
            </w:r>
            <w:proofErr w:type="spellEnd"/>
            <w:r w:rsidRPr="00F720E4">
              <w:rPr>
                <w:rFonts w:ascii="Times New Roman" w:eastAsia="TimesNewRoman" w:hAnsi="Times New Roman"/>
                <w:highlight w:val="lightGray"/>
                <w:lang w:val="en-US" w:eastAsia="nl-BE"/>
              </w:rPr>
              <w:t xml:space="preserve"> </w:t>
            </w:r>
          </w:p>
          <w:p w:rsidR="001A1133" w:rsidRDefault="001A1133" w:rsidP="00B07076">
            <w:pPr>
              <w:shd w:val="clear" w:color="auto" w:fill="FFFFFF" w:themeFill="background1"/>
              <w:spacing w:after="0" w:line="240" w:lineRule="auto"/>
              <w:rPr>
                <w:rFonts w:ascii="Times New Roman" w:hAnsi="Times New Roman"/>
                <w:noProof/>
                <w:lang w:eastAsia="lt-LT"/>
              </w:rPr>
            </w:pPr>
          </w:p>
        </w:tc>
      </w:tr>
    </w:tbl>
    <w:p w:rsidR="001A1133" w:rsidRPr="00630152" w:rsidRDefault="001A1133" w:rsidP="001A1133">
      <w:pPr>
        <w:pStyle w:val="BTEMEASMCA"/>
      </w:pPr>
      <w:r w:rsidRPr="00630152">
        <w:t xml:space="preserve">Jeigu apie šį vaistą norite sužinoti daugiau, kreipkitės į </w:t>
      </w:r>
      <w:r>
        <w:t>vietinį registruotojo</w:t>
      </w:r>
      <w:r w:rsidRPr="00630152">
        <w:t xml:space="preserve"> atstovą.</w:t>
      </w:r>
    </w:p>
    <w:p w:rsidR="001A1133" w:rsidRDefault="001A1133" w:rsidP="001A1133">
      <w:pPr>
        <w:keepNext/>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1A1133" w:rsidTr="00B07076">
        <w:tc>
          <w:tcPr>
            <w:tcW w:w="4678" w:type="dxa"/>
          </w:tcPr>
          <w:p w:rsidR="001A1133" w:rsidRPr="006B79B0" w:rsidRDefault="001A1133" w:rsidP="00B07076">
            <w:pPr>
              <w:spacing w:after="0"/>
              <w:rPr>
                <w:rFonts w:ascii="Times New Roman" w:hAnsi="Times New Roman"/>
              </w:rPr>
            </w:pPr>
            <w:proofErr w:type="spellStart"/>
            <w:r w:rsidRPr="006B79B0">
              <w:rPr>
                <w:rFonts w:ascii="Times New Roman" w:hAnsi="Times New Roman"/>
              </w:rPr>
              <w:t>Organon</w:t>
            </w:r>
            <w:proofErr w:type="spellEnd"/>
            <w:r w:rsidRPr="006B79B0">
              <w:rPr>
                <w:rFonts w:ascii="Times New Roman" w:hAnsi="Times New Roman"/>
              </w:rPr>
              <w:t xml:space="preserve"> </w:t>
            </w:r>
            <w:proofErr w:type="spellStart"/>
            <w:r w:rsidRPr="006B79B0">
              <w:rPr>
                <w:rFonts w:ascii="Times New Roman" w:hAnsi="Times New Roman"/>
              </w:rPr>
              <w:t>Pharma</w:t>
            </w:r>
            <w:proofErr w:type="spellEnd"/>
            <w:r w:rsidRPr="006B79B0">
              <w:rPr>
                <w:rFonts w:ascii="Times New Roman" w:hAnsi="Times New Roman"/>
              </w:rPr>
              <w:t xml:space="preserve"> B.V. Lithuania atstovybė</w:t>
            </w:r>
          </w:p>
          <w:p w:rsidR="001A1133" w:rsidRPr="006B79B0" w:rsidRDefault="001A1133" w:rsidP="00B07076">
            <w:pPr>
              <w:spacing w:after="0"/>
              <w:rPr>
                <w:rFonts w:ascii="Times New Roman" w:hAnsi="Times New Roman"/>
              </w:rPr>
            </w:pPr>
            <w:r w:rsidRPr="006B79B0">
              <w:rPr>
                <w:rFonts w:ascii="Times New Roman" w:hAnsi="Times New Roman"/>
              </w:rPr>
              <w:t>Tel.: +370 52041693</w:t>
            </w:r>
          </w:p>
          <w:p w:rsidR="001A1133" w:rsidRPr="006B79B0" w:rsidRDefault="001A1133" w:rsidP="00B07076">
            <w:pPr>
              <w:spacing w:after="0"/>
              <w:rPr>
                <w:rFonts w:ascii="Times New Roman" w:hAnsi="Times New Roman"/>
              </w:rPr>
            </w:pPr>
            <w:r w:rsidRPr="006B79B0">
              <w:rPr>
                <w:rFonts w:ascii="Times New Roman" w:hAnsi="Times New Roman"/>
              </w:rPr>
              <w:t>dpoc.lithuania@organon.com</w:t>
            </w:r>
          </w:p>
          <w:p w:rsidR="001A1133" w:rsidRDefault="001A1133" w:rsidP="00B07076">
            <w:pPr>
              <w:tabs>
                <w:tab w:val="left" w:pos="-720"/>
              </w:tabs>
              <w:suppressAutoHyphens/>
              <w:spacing w:after="0" w:line="240" w:lineRule="auto"/>
              <w:rPr>
                <w:rFonts w:ascii="Times New Roman" w:hAnsi="Times New Roman"/>
                <w:lang w:eastAsia="lt-LT"/>
              </w:rPr>
            </w:pPr>
          </w:p>
        </w:tc>
      </w:tr>
    </w:tbl>
    <w:p w:rsidR="001A1133" w:rsidRDefault="001A1133" w:rsidP="001A1133">
      <w:pPr>
        <w:suppressAutoHyphens/>
        <w:spacing w:after="0" w:line="240" w:lineRule="auto"/>
        <w:rPr>
          <w:rFonts w:ascii="Times New Roman" w:hAnsi="Times New Roman"/>
          <w:b/>
        </w:rPr>
      </w:pPr>
      <w:r>
        <w:rPr>
          <w:rFonts w:ascii="Times New Roman" w:hAnsi="Times New Roman"/>
          <w:b/>
        </w:rPr>
        <w:t>Šis vaistas EEE valstybėse narėse registruotas tokiais pavadinimais:</w:t>
      </w:r>
    </w:p>
    <w:p w:rsidR="001A1133" w:rsidRDefault="001A1133" w:rsidP="001A1133">
      <w:pPr>
        <w:suppressAutoHyphens/>
        <w:spacing w:after="0" w:line="240" w:lineRule="auto"/>
        <w:jc w:val="both"/>
        <w:rPr>
          <w:rFonts w:ascii="Times New Roman" w:hAnsi="Times New Roman"/>
          <w:spacing w:val="-2"/>
          <w:lang w:eastAsia="lt-LT"/>
        </w:rPr>
      </w:pPr>
    </w:p>
    <w:p w:rsidR="001A1133" w:rsidRDefault="001A1133" w:rsidP="001A1133">
      <w:pPr>
        <w:spacing w:after="0" w:line="240" w:lineRule="auto"/>
        <w:rPr>
          <w:rFonts w:ascii="Times New Roman" w:hAnsi="Times New Roman"/>
          <w:lang w:eastAsia="lt-LT"/>
        </w:rPr>
      </w:pPr>
      <w:r>
        <w:rPr>
          <w:rFonts w:ascii="Times New Roman" w:hAnsi="Times New Roman"/>
          <w:lang w:eastAsia="lt-LT"/>
        </w:rPr>
        <w:t>Belgija, Liuksemburgas</w:t>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 </w:t>
      </w:r>
      <w:proofErr w:type="spellStart"/>
      <w:r>
        <w:rPr>
          <w:rFonts w:ascii="Times New Roman" w:hAnsi="Times New Roman"/>
          <w:lang w:eastAsia="lt-LT"/>
        </w:rPr>
        <w:t>comprimés</w:t>
      </w:r>
      <w:proofErr w:type="spellEnd"/>
      <w:r>
        <w:rPr>
          <w:rFonts w:ascii="Times New Roman" w:hAnsi="Times New Roman"/>
          <w:lang w:eastAsia="lt-LT"/>
        </w:rPr>
        <w:t xml:space="preserve"> </w:t>
      </w:r>
      <w:proofErr w:type="spellStart"/>
      <w:r>
        <w:rPr>
          <w:rFonts w:ascii="Times New Roman" w:hAnsi="Times New Roman"/>
          <w:lang w:eastAsia="lt-LT"/>
        </w:rPr>
        <w:t>pelliculés</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Danija, Estija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Islandija, Norvegija</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Airija</w:t>
      </w:r>
      <w:r>
        <w:rPr>
          <w:rFonts w:ascii="Times New Roman" w:hAnsi="Times New Roman"/>
          <w:lang w:eastAsia="lt-LT"/>
        </w:rPr>
        <w:tab/>
      </w:r>
      <w:r>
        <w:rPr>
          <w:rFonts w:ascii="Times New Roman" w:hAnsi="Times New Roman"/>
          <w:lang w:eastAsia="lt-LT"/>
        </w:rPr>
        <w:tab/>
        <w:t xml:space="preserve">ARCOXIA 30, 60, 90 </w:t>
      </w:r>
      <w:proofErr w:type="spellStart"/>
      <w:r>
        <w:rPr>
          <w:rFonts w:ascii="Times New Roman" w:hAnsi="Times New Roman"/>
          <w:lang w:eastAsia="lt-LT"/>
        </w:rPr>
        <w:t>or</w:t>
      </w:r>
      <w:proofErr w:type="spellEnd"/>
      <w:r>
        <w:rPr>
          <w:rFonts w:ascii="Times New Roman" w:hAnsi="Times New Roman"/>
          <w:lang w:eastAsia="lt-LT"/>
        </w:rPr>
        <w:t xml:space="preserve"> 120 mg </w:t>
      </w:r>
      <w:proofErr w:type="spellStart"/>
      <w:r>
        <w:rPr>
          <w:rFonts w:ascii="Times New Roman" w:hAnsi="Times New Roman"/>
          <w:lang w:eastAsia="lt-LT"/>
        </w:rPr>
        <w:t>film-coated</w:t>
      </w:r>
      <w:proofErr w:type="spellEnd"/>
      <w:r>
        <w:rPr>
          <w:rFonts w:ascii="Times New Roman" w:hAnsi="Times New Roman"/>
          <w:lang w:eastAsia="lt-LT"/>
        </w:rPr>
        <w:t xml:space="preserve"> </w:t>
      </w:r>
      <w:proofErr w:type="spellStart"/>
      <w:r>
        <w:rPr>
          <w:rFonts w:ascii="Times New Roman" w:hAnsi="Times New Roman"/>
          <w:lang w:eastAsia="lt-LT"/>
        </w:rPr>
        <w:t>tablets</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Jungtinė Karalystė</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Austrija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w:t>
      </w:r>
      <w:proofErr w:type="spellStart"/>
      <w:r>
        <w:rPr>
          <w:rFonts w:ascii="Times New Roman" w:hAnsi="Times New Roman"/>
          <w:lang w:eastAsia="lt-LT"/>
        </w:rPr>
        <w:t>Filmtabletten</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Čekija</w:t>
      </w:r>
      <w:r>
        <w:rPr>
          <w:rFonts w:ascii="Times New Roman" w:hAnsi="Times New Roman"/>
          <w:lang w:eastAsia="lt-LT"/>
        </w:rPr>
        <w:tab/>
      </w:r>
      <w:r>
        <w:rPr>
          <w:rFonts w:ascii="Times New Roman" w:hAnsi="Times New Roman"/>
          <w:lang w:eastAsia="lt-LT"/>
        </w:rPr>
        <w:tab/>
        <w:t xml:space="preserve">ARCOXIA 30 mg, 60 mg, 90 mg </w:t>
      </w:r>
      <w:proofErr w:type="spellStart"/>
      <w:r>
        <w:rPr>
          <w:rFonts w:ascii="Times New Roman" w:hAnsi="Times New Roman"/>
          <w:lang w:eastAsia="lt-LT"/>
        </w:rPr>
        <w:t>potahované</w:t>
      </w:r>
      <w:proofErr w:type="spellEnd"/>
      <w:r>
        <w:rPr>
          <w:rFonts w:ascii="Times New Roman" w:hAnsi="Times New Roman"/>
          <w:lang w:eastAsia="lt-LT"/>
        </w:rPr>
        <w:t xml:space="preserve"> </w:t>
      </w:r>
      <w:proofErr w:type="spellStart"/>
      <w:r>
        <w:rPr>
          <w:rFonts w:ascii="Times New Roman" w:hAnsi="Times New Roman"/>
          <w:lang w:eastAsia="lt-LT"/>
        </w:rPr>
        <w:t>tablety</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Kipras, Malta</w:t>
      </w:r>
      <w:r>
        <w:rPr>
          <w:rFonts w:ascii="Times New Roman" w:hAnsi="Times New Roman"/>
          <w:lang w:eastAsia="lt-LT"/>
        </w:rPr>
        <w:tab/>
      </w:r>
      <w:r>
        <w:rPr>
          <w:rFonts w:ascii="Times New Roman" w:hAnsi="Times New Roman"/>
          <w:lang w:eastAsia="lt-LT"/>
        </w:rPr>
        <w:tab/>
        <w:t>ARCOXIA 60, 90, 120 mg</w:t>
      </w:r>
      <w:r w:rsidRPr="000F2AD5">
        <w:rPr>
          <w:rFonts w:ascii="Times New Roman" w:hAnsi="Times New Roman"/>
          <w:szCs w:val="20"/>
          <w:lang w:val="en-US"/>
        </w:rPr>
        <w:t xml:space="preserve"> </w:t>
      </w:r>
      <w:r w:rsidRPr="000F2AD5">
        <w:rPr>
          <w:rFonts w:ascii="Times New Roman" w:hAnsi="Times New Roman"/>
          <w:lang w:val="en-US" w:eastAsia="lt-LT"/>
        </w:rPr>
        <w:t>film-coated tablets</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Suomija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90 ja 120 mg </w:t>
      </w:r>
      <w:proofErr w:type="spellStart"/>
      <w:r>
        <w:rPr>
          <w:rFonts w:ascii="Times New Roman" w:hAnsi="Times New Roman"/>
          <w:lang w:eastAsia="lt-LT"/>
        </w:rPr>
        <w:t>tabletti</w:t>
      </w:r>
      <w:proofErr w:type="spellEnd"/>
      <w:r>
        <w:rPr>
          <w:rFonts w:ascii="Times New Roman" w:hAnsi="Times New Roman"/>
          <w:lang w:eastAsia="lt-LT"/>
        </w:rPr>
        <w:t xml:space="preserve">, </w:t>
      </w:r>
      <w:proofErr w:type="spellStart"/>
      <w:r>
        <w:rPr>
          <w:rFonts w:ascii="Times New Roman" w:hAnsi="Times New Roman"/>
          <w:lang w:eastAsia="lt-LT"/>
        </w:rPr>
        <w:t>kalvopäällysteinen</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Prancūzija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mg </w:t>
      </w:r>
      <w:proofErr w:type="spellStart"/>
      <w:r>
        <w:rPr>
          <w:rFonts w:ascii="Times New Roman" w:hAnsi="Times New Roman"/>
          <w:lang w:eastAsia="lt-LT"/>
        </w:rPr>
        <w:t>comprimé</w:t>
      </w:r>
      <w:proofErr w:type="spellEnd"/>
      <w:r>
        <w:rPr>
          <w:rFonts w:ascii="Times New Roman" w:hAnsi="Times New Roman"/>
          <w:lang w:eastAsia="lt-LT"/>
        </w:rPr>
        <w:t xml:space="preserve"> </w:t>
      </w:r>
      <w:proofErr w:type="spellStart"/>
      <w:r>
        <w:rPr>
          <w:rFonts w:ascii="Times New Roman" w:hAnsi="Times New Roman"/>
          <w:lang w:eastAsia="lt-LT"/>
        </w:rPr>
        <w:t>pelliculé</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Vokietija</w:t>
      </w:r>
      <w:r>
        <w:rPr>
          <w:rFonts w:ascii="Times New Roman" w:hAnsi="Times New Roman"/>
          <w:lang w:eastAsia="lt-LT"/>
        </w:rPr>
        <w:tab/>
      </w:r>
      <w:r>
        <w:rPr>
          <w:rFonts w:ascii="Times New Roman" w:hAnsi="Times New Roman"/>
          <w:lang w:eastAsia="lt-LT"/>
        </w:rPr>
        <w:tab/>
        <w:t xml:space="preserve">ARCOXIA 30/60/90/120 mg </w:t>
      </w:r>
      <w:proofErr w:type="spellStart"/>
      <w:r>
        <w:rPr>
          <w:rFonts w:ascii="Times New Roman" w:hAnsi="Times New Roman"/>
          <w:lang w:eastAsia="lt-LT"/>
        </w:rPr>
        <w:t>Filmtabletten</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Graikija</w:t>
      </w:r>
      <w:r>
        <w:rPr>
          <w:rFonts w:ascii="Times New Roman" w:hAnsi="Times New Roman"/>
          <w:lang w:eastAsia="lt-LT"/>
        </w:rPr>
        <w:tab/>
      </w:r>
      <w:r>
        <w:rPr>
          <w:rFonts w:ascii="Times New Roman" w:hAnsi="Times New Roman"/>
          <w:lang w:eastAsia="lt-LT"/>
        </w:rPr>
        <w:tab/>
        <w:t xml:space="preserve">ARCOXIA 30 mg, 60 mg, 90 mg,120 mg </w:t>
      </w:r>
      <w:proofErr w:type="spellStart"/>
      <w:r>
        <w:rPr>
          <w:rFonts w:ascii="Times New Roman" w:hAnsi="Times New Roman"/>
          <w:lang w:eastAsia="lt-LT"/>
        </w:rPr>
        <w:t>film-coated</w:t>
      </w:r>
      <w:proofErr w:type="spellEnd"/>
      <w:r>
        <w:rPr>
          <w:rFonts w:ascii="Times New Roman" w:hAnsi="Times New Roman"/>
          <w:lang w:eastAsia="lt-LT"/>
        </w:rPr>
        <w:t xml:space="preserve"> tabletes</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Vengrija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 </w:t>
      </w:r>
      <w:proofErr w:type="spellStart"/>
      <w:r>
        <w:rPr>
          <w:rFonts w:ascii="Times New Roman" w:hAnsi="Times New Roman"/>
          <w:lang w:eastAsia="lt-LT"/>
        </w:rPr>
        <w:t>filmtabletta</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Italija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90, 120 mg </w:t>
      </w:r>
      <w:proofErr w:type="spellStart"/>
      <w:r>
        <w:rPr>
          <w:rFonts w:ascii="Times New Roman" w:hAnsi="Times New Roman"/>
          <w:lang w:eastAsia="lt-LT"/>
        </w:rPr>
        <w:t>compresse</w:t>
      </w:r>
      <w:proofErr w:type="spellEnd"/>
      <w:r>
        <w:rPr>
          <w:rFonts w:ascii="Times New Roman" w:hAnsi="Times New Roman"/>
          <w:lang w:eastAsia="lt-LT"/>
        </w:rPr>
        <w:t xml:space="preserve"> </w:t>
      </w:r>
      <w:proofErr w:type="spellStart"/>
      <w:r>
        <w:rPr>
          <w:rFonts w:ascii="Times New Roman" w:hAnsi="Times New Roman"/>
          <w:lang w:eastAsia="lt-LT"/>
        </w:rPr>
        <w:t>rivestite</w:t>
      </w:r>
      <w:proofErr w:type="spellEnd"/>
      <w:r>
        <w:rPr>
          <w:rFonts w:ascii="Times New Roman" w:hAnsi="Times New Roman"/>
          <w:lang w:eastAsia="lt-LT"/>
        </w:rPr>
        <w:t xml:space="preserve"> </w:t>
      </w:r>
      <w:proofErr w:type="spellStart"/>
      <w:r>
        <w:rPr>
          <w:rFonts w:ascii="Times New Roman" w:hAnsi="Times New Roman"/>
          <w:lang w:eastAsia="lt-LT"/>
        </w:rPr>
        <w:t>con</w:t>
      </w:r>
      <w:proofErr w:type="spellEnd"/>
      <w:r>
        <w:rPr>
          <w:rFonts w:ascii="Times New Roman" w:hAnsi="Times New Roman"/>
          <w:lang w:eastAsia="lt-LT"/>
        </w:rPr>
        <w:t xml:space="preserve"> </w:t>
      </w:r>
      <w:proofErr w:type="spellStart"/>
      <w:r>
        <w:rPr>
          <w:rFonts w:ascii="Times New Roman" w:hAnsi="Times New Roman"/>
          <w:lang w:eastAsia="lt-LT"/>
        </w:rPr>
        <w:t>film</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Latvija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w:t>
      </w:r>
      <w:proofErr w:type="spellStart"/>
      <w:r>
        <w:rPr>
          <w:rFonts w:ascii="Times New Roman" w:hAnsi="Times New Roman"/>
          <w:lang w:eastAsia="lt-LT"/>
        </w:rPr>
        <w:t>un</w:t>
      </w:r>
      <w:proofErr w:type="spellEnd"/>
      <w:r>
        <w:rPr>
          <w:rFonts w:ascii="Times New Roman" w:hAnsi="Times New Roman"/>
          <w:lang w:eastAsia="lt-LT"/>
        </w:rPr>
        <w:t xml:space="preserve"> 120 mg </w:t>
      </w:r>
      <w:proofErr w:type="spellStart"/>
      <w:r>
        <w:rPr>
          <w:rFonts w:ascii="Times New Roman" w:hAnsi="Times New Roman"/>
          <w:lang w:eastAsia="lt-LT"/>
        </w:rPr>
        <w:t>apvalkotās</w:t>
      </w:r>
      <w:proofErr w:type="spellEnd"/>
      <w:r>
        <w:rPr>
          <w:rFonts w:ascii="Times New Roman" w:hAnsi="Times New Roman"/>
          <w:lang w:eastAsia="lt-LT"/>
        </w:rPr>
        <w:t xml:space="preserve"> tabletes</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Lietuva</w:t>
      </w:r>
      <w:r>
        <w:rPr>
          <w:rFonts w:ascii="Times New Roman" w:hAnsi="Times New Roman"/>
          <w:lang w:eastAsia="lt-LT"/>
        </w:rPr>
        <w:tab/>
      </w:r>
      <w:r>
        <w:rPr>
          <w:rFonts w:ascii="Times New Roman" w:hAnsi="Times New Roman"/>
          <w:lang w:eastAsia="lt-LT"/>
        </w:rPr>
        <w:tab/>
        <w:t>ARCOXIA 30 mg, 60 mg, 90 mg, 120 mg plėvele dengtos tabletės</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Nyderlandai</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 </w:t>
      </w:r>
      <w:proofErr w:type="spellStart"/>
      <w:r>
        <w:rPr>
          <w:rFonts w:ascii="Times New Roman" w:hAnsi="Times New Roman"/>
          <w:lang w:eastAsia="lt-LT"/>
        </w:rPr>
        <w:t>filmomhulde</w:t>
      </w:r>
      <w:proofErr w:type="spellEnd"/>
      <w:r>
        <w:rPr>
          <w:rFonts w:ascii="Times New Roman" w:hAnsi="Times New Roman"/>
          <w:lang w:eastAsia="lt-LT"/>
        </w:rPr>
        <w:t xml:space="preserve"> </w:t>
      </w:r>
      <w:proofErr w:type="spellStart"/>
      <w:r>
        <w:rPr>
          <w:rFonts w:ascii="Times New Roman" w:hAnsi="Times New Roman"/>
          <w:lang w:eastAsia="lt-LT"/>
        </w:rPr>
        <w:t>tabletten</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Lenkija</w:t>
      </w:r>
      <w:r>
        <w:rPr>
          <w:rFonts w:ascii="Times New Roman" w:hAnsi="Times New Roman"/>
          <w:lang w:eastAsia="lt-LT"/>
        </w:rPr>
        <w:tab/>
      </w:r>
      <w:r>
        <w:rPr>
          <w:rFonts w:ascii="Times New Roman" w:hAnsi="Times New Roman"/>
          <w:lang w:eastAsia="lt-LT"/>
        </w:rPr>
        <w:tab/>
        <w:t xml:space="preserve">ARCOXIA 30 mg, 60 mg, 90 mg, 120 mg </w:t>
      </w:r>
      <w:proofErr w:type="spellStart"/>
      <w:r>
        <w:rPr>
          <w:rFonts w:ascii="Times New Roman" w:hAnsi="Times New Roman"/>
          <w:lang w:eastAsia="lt-LT"/>
        </w:rPr>
        <w:t>tabletki</w:t>
      </w:r>
      <w:proofErr w:type="spellEnd"/>
      <w:r>
        <w:rPr>
          <w:rFonts w:ascii="Times New Roman" w:hAnsi="Times New Roman"/>
          <w:lang w:eastAsia="lt-LT"/>
        </w:rPr>
        <w:t xml:space="preserve"> </w:t>
      </w:r>
      <w:proofErr w:type="spellStart"/>
      <w:r>
        <w:rPr>
          <w:rFonts w:ascii="Times New Roman" w:hAnsi="Times New Roman"/>
          <w:lang w:eastAsia="lt-LT"/>
        </w:rPr>
        <w:t>powlekane</w:t>
      </w:r>
      <w:proofErr w:type="spellEnd"/>
    </w:p>
    <w:p w:rsidR="001A1133" w:rsidRDefault="001A1133" w:rsidP="001A1133">
      <w:pPr>
        <w:spacing w:after="0" w:line="240" w:lineRule="auto"/>
        <w:ind w:left="2592" w:hanging="2592"/>
        <w:rPr>
          <w:rFonts w:ascii="Times New Roman" w:hAnsi="Times New Roman"/>
          <w:lang w:eastAsia="lt-LT"/>
        </w:rPr>
      </w:pPr>
      <w:r>
        <w:rPr>
          <w:rFonts w:ascii="Times New Roman" w:hAnsi="Times New Roman"/>
          <w:lang w:eastAsia="lt-LT"/>
        </w:rPr>
        <w:t xml:space="preserve">Portugalija                    ARCOXIA 30 mg, 60 mg, 90 mg, 120 mg </w:t>
      </w:r>
      <w:proofErr w:type="spellStart"/>
      <w:r>
        <w:rPr>
          <w:rFonts w:ascii="Times New Roman" w:hAnsi="Times New Roman"/>
          <w:lang w:eastAsia="lt-LT"/>
        </w:rPr>
        <w:t>comprimidos</w:t>
      </w:r>
      <w:proofErr w:type="spellEnd"/>
      <w:r>
        <w:rPr>
          <w:rFonts w:ascii="Times New Roman" w:hAnsi="Times New Roman"/>
          <w:lang w:eastAsia="lt-LT"/>
        </w:rPr>
        <w:t xml:space="preserve"> </w:t>
      </w:r>
      <w:proofErr w:type="spellStart"/>
      <w:r>
        <w:rPr>
          <w:rFonts w:ascii="Times New Roman" w:hAnsi="Times New Roman"/>
          <w:lang w:eastAsia="lt-LT"/>
        </w:rPr>
        <w:t>revestidos</w:t>
      </w:r>
      <w:proofErr w:type="spellEnd"/>
      <w:r>
        <w:rPr>
          <w:rFonts w:ascii="Times New Roman" w:hAnsi="Times New Roman"/>
          <w:lang w:eastAsia="lt-LT"/>
        </w:rPr>
        <w:t xml:space="preserve"> </w:t>
      </w:r>
      <w:proofErr w:type="spellStart"/>
      <w:r>
        <w:rPr>
          <w:rFonts w:ascii="Times New Roman" w:hAnsi="Times New Roman"/>
          <w:lang w:eastAsia="lt-LT"/>
        </w:rPr>
        <w:t>por</w:t>
      </w:r>
      <w:proofErr w:type="spellEnd"/>
      <w:r>
        <w:rPr>
          <w:rFonts w:ascii="Times New Roman" w:hAnsi="Times New Roman"/>
          <w:lang w:eastAsia="lt-LT"/>
        </w:rPr>
        <w:t xml:space="preserve"> </w:t>
      </w:r>
      <w:proofErr w:type="spellStart"/>
      <w:r>
        <w:rPr>
          <w:rFonts w:ascii="Times New Roman" w:hAnsi="Times New Roman"/>
          <w:lang w:eastAsia="lt-LT"/>
        </w:rPr>
        <w:t>película</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Slovakija</w:t>
      </w:r>
      <w:r>
        <w:rPr>
          <w:rFonts w:ascii="Times New Roman" w:hAnsi="Times New Roman"/>
          <w:lang w:eastAsia="lt-LT"/>
        </w:rPr>
        <w:tab/>
      </w:r>
      <w:r>
        <w:rPr>
          <w:rFonts w:ascii="Times New Roman" w:hAnsi="Times New Roman"/>
          <w:lang w:eastAsia="lt-LT"/>
        </w:rPr>
        <w:tab/>
        <w:t>ARCOXIA 30 mg, 60 mg, 90 mg, 120 mg</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Slovėnija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30/60/90/120 mg </w:t>
      </w:r>
      <w:proofErr w:type="spellStart"/>
      <w:r>
        <w:rPr>
          <w:rFonts w:ascii="Times New Roman" w:hAnsi="Times New Roman"/>
          <w:lang w:eastAsia="lt-LT"/>
        </w:rPr>
        <w:t>filmsko</w:t>
      </w:r>
      <w:proofErr w:type="spellEnd"/>
      <w:r>
        <w:rPr>
          <w:rFonts w:ascii="Times New Roman" w:hAnsi="Times New Roman"/>
          <w:lang w:eastAsia="lt-LT"/>
        </w:rPr>
        <w:t xml:space="preserve"> </w:t>
      </w:r>
      <w:proofErr w:type="spellStart"/>
      <w:r>
        <w:rPr>
          <w:rFonts w:ascii="Times New Roman" w:hAnsi="Times New Roman"/>
          <w:lang w:eastAsia="lt-LT"/>
        </w:rPr>
        <w:t>obložene</w:t>
      </w:r>
      <w:proofErr w:type="spellEnd"/>
      <w:r>
        <w:rPr>
          <w:rFonts w:ascii="Times New Roman" w:hAnsi="Times New Roman"/>
          <w:lang w:eastAsia="lt-LT"/>
        </w:rPr>
        <w:t xml:space="preserve"> tablete</w:t>
      </w:r>
    </w:p>
    <w:p w:rsidR="001A1133" w:rsidRDefault="001A1133" w:rsidP="001A1133">
      <w:pPr>
        <w:spacing w:after="0" w:line="240" w:lineRule="auto"/>
        <w:rPr>
          <w:rFonts w:ascii="Times New Roman" w:hAnsi="Times New Roman"/>
          <w:lang w:eastAsia="lt-LT"/>
        </w:rPr>
      </w:pPr>
      <w:r>
        <w:rPr>
          <w:rFonts w:ascii="Times New Roman" w:hAnsi="Times New Roman"/>
          <w:lang w:eastAsia="lt-LT"/>
        </w:rPr>
        <w:t>Ispanija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90 y 120 mg </w:t>
      </w:r>
      <w:proofErr w:type="spellStart"/>
      <w:r>
        <w:rPr>
          <w:rFonts w:ascii="Times New Roman" w:hAnsi="Times New Roman"/>
          <w:lang w:eastAsia="lt-LT"/>
        </w:rPr>
        <w:t>comprimidos</w:t>
      </w:r>
      <w:proofErr w:type="spellEnd"/>
      <w:r>
        <w:rPr>
          <w:rFonts w:ascii="Times New Roman" w:hAnsi="Times New Roman"/>
          <w:lang w:eastAsia="lt-LT"/>
        </w:rPr>
        <w:t xml:space="preserve"> </w:t>
      </w:r>
      <w:proofErr w:type="spellStart"/>
      <w:r>
        <w:rPr>
          <w:rFonts w:ascii="Times New Roman" w:hAnsi="Times New Roman"/>
          <w:lang w:eastAsia="lt-LT"/>
        </w:rPr>
        <w:t>recubiertos</w:t>
      </w:r>
      <w:proofErr w:type="spellEnd"/>
      <w:r>
        <w:rPr>
          <w:rFonts w:ascii="Times New Roman" w:hAnsi="Times New Roman"/>
          <w:lang w:eastAsia="lt-LT"/>
        </w:rPr>
        <w:t xml:space="preserve"> </w:t>
      </w:r>
      <w:proofErr w:type="spellStart"/>
      <w:r>
        <w:rPr>
          <w:rFonts w:ascii="Times New Roman" w:hAnsi="Times New Roman"/>
          <w:lang w:eastAsia="lt-LT"/>
        </w:rPr>
        <w:t>con</w:t>
      </w:r>
      <w:proofErr w:type="spellEnd"/>
      <w:r>
        <w:rPr>
          <w:rFonts w:ascii="Times New Roman" w:hAnsi="Times New Roman"/>
          <w:lang w:eastAsia="lt-LT"/>
        </w:rPr>
        <w:t xml:space="preserve"> </w:t>
      </w:r>
      <w:proofErr w:type="spellStart"/>
      <w:r>
        <w:rPr>
          <w:rFonts w:ascii="Times New Roman" w:hAnsi="Times New Roman"/>
          <w:lang w:eastAsia="lt-LT"/>
        </w:rPr>
        <w:t>película</w:t>
      </w:r>
      <w:proofErr w:type="spellEnd"/>
    </w:p>
    <w:p w:rsidR="001A1133" w:rsidRDefault="001A1133" w:rsidP="001A1133">
      <w:pPr>
        <w:spacing w:after="0" w:line="240" w:lineRule="auto"/>
        <w:rPr>
          <w:rFonts w:ascii="Times New Roman" w:hAnsi="Times New Roman"/>
          <w:lang w:eastAsia="lt-LT"/>
        </w:rPr>
      </w:pPr>
      <w:r>
        <w:rPr>
          <w:rFonts w:ascii="Times New Roman" w:hAnsi="Times New Roman"/>
          <w:lang w:eastAsia="lt-LT"/>
        </w:rPr>
        <w:t>Švedija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w:t>
      </w:r>
      <w:proofErr w:type="spellStart"/>
      <w:r>
        <w:rPr>
          <w:rFonts w:ascii="Times New Roman" w:hAnsi="Times New Roman"/>
          <w:lang w:eastAsia="lt-LT"/>
        </w:rPr>
        <w:t>och</w:t>
      </w:r>
      <w:proofErr w:type="spellEnd"/>
      <w:r>
        <w:rPr>
          <w:rFonts w:ascii="Times New Roman" w:hAnsi="Times New Roman"/>
          <w:lang w:eastAsia="lt-LT"/>
        </w:rPr>
        <w:t xml:space="preserve"> 120 mg </w:t>
      </w:r>
      <w:proofErr w:type="spellStart"/>
      <w:r>
        <w:rPr>
          <w:rFonts w:ascii="Times New Roman" w:hAnsi="Times New Roman"/>
          <w:lang w:eastAsia="lt-LT"/>
        </w:rPr>
        <w:t>filmdragerade</w:t>
      </w:r>
      <w:proofErr w:type="spellEnd"/>
      <w:r>
        <w:rPr>
          <w:rFonts w:ascii="Times New Roman" w:hAnsi="Times New Roman"/>
          <w:lang w:eastAsia="lt-LT"/>
        </w:rPr>
        <w:t xml:space="preserve"> </w:t>
      </w:r>
      <w:proofErr w:type="spellStart"/>
      <w:r>
        <w:rPr>
          <w:rFonts w:ascii="Times New Roman" w:hAnsi="Times New Roman"/>
          <w:lang w:eastAsia="lt-LT"/>
        </w:rPr>
        <w:t>tabletter</w:t>
      </w:r>
      <w:proofErr w:type="spellEnd"/>
    </w:p>
    <w:p w:rsidR="001A1133" w:rsidRDefault="001A1133" w:rsidP="001A1133">
      <w:pPr>
        <w:spacing w:after="0" w:line="240" w:lineRule="auto"/>
        <w:rPr>
          <w:rFonts w:ascii="Times New Roman" w:hAnsi="Times New Roman"/>
          <w:lang w:eastAsia="lt-LT"/>
        </w:rPr>
      </w:pPr>
    </w:p>
    <w:p w:rsidR="001A1133" w:rsidRDefault="001A1133" w:rsidP="001A1133">
      <w:pPr>
        <w:spacing w:after="0" w:line="240" w:lineRule="auto"/>
        <w:rPr>
          <w:rFonts w:ascii="Times New Roman" w:hAnsi="Times New Roman"/>
          <w:b/>
          <w:noProof/>
          <w:lang w:eastAsia="lt-LT"/>
        </w:rPr>
      </w:pPr>
    </w:p>
    <w:p w:rsidR="001A1133" w:rsidRPr="005170FC" w:rsidRDefault="001A1133" w:rsidP="001A1133">
      <w:pPr>
        <w:spacing w:after="0" w:line="240" w:lineRule="auto"/>
        <w:rPr>
          <w:rFonts w:ascii="Times New Roman" w:hAnsi="Times New Roman"/>
          <w:b/>
          <w:caps/>
        </w:rPr>
      </w:pPr>
      <w:r>
        <w:rPr>
          <w:rFonts w:ascii="Times New Roman" w:hAnsi="Times New Roman"/>
          <w:b/>
          <w:noProof/>
          <w:lang w:eastAsia="lt-LT"/>
        </w:rPr>
        <w:t xml:space="preserve">Šis pakuotės lapelis paskutinį kartą peržiūrėtas </w:t>
      </w:r>
      <w:r>
        <w:rPr>
          <w:rFonts w:ascii="Times New Roman" w:hAnsi="Times New Roman"/>
          <w:b/>
          <w:snapToGrid w:val="0"/>
        </w:rPr>
        <w:t>2024-01-06.</w:t>
      </w:r>
    </w:p>
    <w:p w:rsidR="001A1133" w:rsidRDefault="001A1133" w:rsidP="001A1133">
      <w:pPr>
        <w:spacing w:after="0" w:line="240" w:lineRule="auto"/>
        <w:rPr>
          <w:rFonts w:ascii="Times New Roman" w:hAnsi="Times New Roman"/>
        </w:rPr>
      </w:pPr>
    </w:p>
    <w:p w:rsidR="001A1133" w:rsidRPr="00F720E4" w:rsidRDefault="001A1133" w:rsidP="001A1133">
      <w:pPr>
        <w:spacing w:after="0" w:line="240" w:lineRule="auto"/>
        <w:rPr>
          <w:rFonts w:ascii="Times New Roman" w:hAnsi="Times New Roman"/>
          <w:b/>
          <w:noProof/>
          <w:szCs w:val="24"/>
        </w:rPr>
      </w:pPr>
      <w:r w:rsidRPr="00F720E4">
        <w:rPr>
          <w:rFonts w:ascii="Times New Roman" w:hAnsi="Times New Roman"/>
          <w:b/>
          <w:noProof/>
          <w:szCs w:val="24"/>
        </w:rPr>
        <w:t>Kiti informacijos šaltiniai</w:t>
      </w:r>
    </w:p>
    <w:p w:rsidR="001A1133" w:rsidRPr="00031A2F" w:rsidRDefault="001A1133" w:rsidP="001A1133">
      <w:pPr>
        <w:spacing w:after="0" w:line="240" w:lineRule="auto"/>
        <w:rPr>
          <w:rFonts w:ascii="Times New Roman" w:hAnsi="Times New Roman"/>
        </w:rPr>
      </w:pPr>
    </w:p>
    <w:p w:rsidR="001A1133" w:rsidRPr="008A0B3D" w:rsidRDefault="001A1133" w:rsidP="001A1133">
      <w:pPr>
        <w:spacing w:after="0"/>
        <w:rPr>
          <w:rFonts w:ascii="Times New Roman" w:hAnsi="Times New Roman"/>
        </w:rPr>
      </w:pPr>
      <w:r>
        <w:rPr>
          <w:rFonts w:ascii="Times New Roman" w:hAnsi="Times New Roman"/>
          <w:noProof/>
        </w:rPr>
        <w:t xml:space="preserve">Išsami informacija apie šį vaistą pateikiama Valstybinės vaistų kontrolės tarnybos prie Lietuvos Respublikos sveikatos apsaugos ministerijos tinklalapyje </w:t>
      </w:r>
      <w:hyperlink r:id="rId8" w:history="1">
        <w:r w:rsidRPr="00031A2F">
          <w:rPr>
            <w:rStyle w:val="Hipersaitas"/>
          </w:rPr>
          <w:t>http://www.vvkt.lt</w:t>
        </w:r>
      </w:hyperlink>
      <w:r>
        <w:rPr>
          <w:rStyle w:val="Hipersaitas"/>
        </w:rPr>
        <w:t xml:space="preserve">/. </w:t>
      </w:r>
    </w:p>
    <w:p w:rsidR="009041DB" w:rsidRDefault="009041DB">
      <w:bookmarkStart w:id="2" w:name="_GoBack"/>
      <w:bookmarkEnd w:id="2"/>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2"/>
  </w:num>
  <w:num w:numId="3">
    <w:abstractNumId w:val="6"/>
  </w:num>
  <w:num w:numId="4">
    <w:abstractNumId w:val="9"/>
  </w:num>
  <w:num w:numId="5">
    <w:abstractNumId w:val="10"/>
  </w:num>
  <w:num w:numId="6">
    <w:abstractNumId w:val="7"/>
  </w:num>
  <w:num w:numId="7">
    <w:abstractNumId w:val="8"/>
  </w:num>
  <w:num w:numId="8">
    <w:abstractNumId w:val="2"/>
  </w:num>
  <w:num w:numId="9">
    <w:abstractNumId w:val="4"/>
  </w:num>
  <w:num w:numId="10">
    <w:abstractNumId w:val="1"/>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33"/>
    <w:rsid w:val="00004415"/>
    <w:rsid w:val="000A110A"/>
    <w:rsid w:val="001A1133"/>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2EDE"/>
  <w15:chartTrackingRefBased/>
  <w15:docId w15:val="{1CD4B0AE-0AC7-4ACE-A9F2-71FBCCE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1133"/>
    <w:pPr>
      <w:spacing w:after="200" w:line="276"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A1133"/>
    <w:rPr>
      <w:rFonts w:ascii="Times New Roman" w:hAnsi="Times New Roman" w:cs="Times New Roman" w:hint="default"/>
      <w:color w:val="0000FF"/>
      <w:u w:val="single"/>
    </w:rPr>
  </w:style>
  <w:style w:type="paragraph" w:styleId="Betarp">
    <w:name w:val="No Spacing"/>
    <w:uiPriority w:val="1"/>
    <w:qFormat/>
    <w:rsid w:val="001A1133"/>
    <w:pPr>
      <w:spacing w:after="0" w:line="240" w:lineRule="auto"/>
    </w:pPr>
    <w:rPr>
      <w:rFonts w:ascii="Calibri" w:hAnsi="Calibri" w:cs="Times New Roman"/>
    </w:rPr>
  </w:style>
  <w:style w:type="character" w:customStyle="1" w:styleId="BTEMEASMCAChar">
    <w:name w:val="BT EMEA_SMCA Char"/>
    <w:link w:val="BTEMEASMCA"/>
    <w:uiPriority w:val="99"/>
    <w:locked/>
    <w:rsid w:val="001A1133"/>
    <w:rPr>
      <w:noProof/>
      <w:lang w:eastAsia="x-none"/>
    </w:rPr>
  </w:style>
  <w:style w:type="paragraph" w:customStyle="1" w:styleId="BTEMEASMCA">
    <w:name w:val="BT EMEA_SMCA"/>
    <w:basedOn w:val="prastasis"/>
    <w:link w:val="BTEMEASMCAChar"/>
    <w:autoRedefine/>
    <w:uiPriority w:val="99"/>
    <w:rsid w:val="001A1133"/>
    <w:pPr>
      <w:spacing w:after="0" w:line="240" w:lineRule="auto"/>
    </w:pPr>
    <w:rPr>
      <w:rFonts w:asciiTheme="minorHAnsi" w:hAnsiTheme="minorHAnsi" w:cstheme="minorBidi"/>
      <w:noProof/>
      <w:lang w:eastAsia="x-none"/>
    </w:rPr>
  </w:style>
  <w:style w:type="paragraph" w:customStyle="1" w:styleId="Default">
    <w:name w:val="Default"/>
    <w:rsid w:val="001A1133"/>
    <w:pPr>
      <w:autoSpaceDE w:val="0"/>
      <w:autoSpaceDN w:val="0"/>
      <w:adjustRightInd w:val="0"/>
      <w:spacing w:after="0" w:line="240" w:lineRule="auto"/>
    </w:pPr>
    <w:rPr>
      <w:rFonts w:ascii="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13643</Words>
  <Characters>7778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2024-01-17T12:15:00Z</dcterms:created>
  <dcterms:modified xsi:type="dcterms:W3CDTF">2024-01-17T12:17:00Z</dcterms:modified>
</cp:coreProperties>
</file>