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5DF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26C9A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012443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7CEB45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FE92B5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F30C29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A5B26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B934F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B30C52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907A36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14C8D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96A985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962CAB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E08E15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BAC73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9794A5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D24EE3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CD4EB8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F5BC78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F03203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F806C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7297CA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9FE38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9E8186B" w14:textId="77777777" w:rsidR="00061CCE" w:rsidRPr="00061CCE" w:rsidRDefault="00061CCE" w:rsidP="00061CCE">
      <w:pPr>
        <w:spacing w:after="0" w:line="240" w:lineRule="auto"/>
        <w:jc w:val="center"/>
        <w:outlineLvl w:val="0"/>
        <w:rPr>
          <w:rFonts w:ascii="Times New Roman" w:eastAsia="Times New Roman" w:hAnsi="Times New Roman" w:cs="Times New Roman"/>
          <w:b/>
          <w:kern w:val="28"/>
          <w:lang w:eastAsia="lt-LT"/>
        </w:rPr>
      </w:pPr>
      <w:r w:rsidRPr="00061CCE">
        <w:rPr>
          <w:rFonts w:ascii="Times New Roman" w:eastAsia="Times New Roman" w:hAnsi="Times New Roman" w:cs="Times New Roman"/>
          <w:b/>
          <w:kern w:val="28"/>
          <w:lang w:eastAsia="lt-LT"/>
        </w:rPr>
        <w:t>I PRIEDAS</w:t>
      </w:r>
    </w:p>
    <w:p w14:paraId="17FD961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72D1CE" w14:textId="77777777" w:rsidR="00061CCE" w:rsidRPr="00061CCE" w:rsidRDefault="00061CCE" w:rsidP="00061CCE">
      <w:pPr>
        <w:spacing w:after="0" w:line="240" w:lineRule="auto"/>
        <w:jc w:val="center"/>
        <w:outlineLvl w:val="0"/>
        <w:rPr>
          <w:rFonts w:ascii="Times New Roman" w:eastAsia="Times New Roman" w:hAnsi="Times New Roman" w:cs="Times New Roman"/>
          <w:b/>
          <w:kern w:val="28"/>
          <w:lang w:eastAsia="lt-LT"/>
        </w:rPr>
      </w:pPr>
      <w:r w:rsidRPr="00061CCE">
        <w:rPr>
          <w:rFonts w:ascii="Times New Roman" w:eastAsia="Times New Roman" w:hAnsi="Times New Roman" w:cs="Times New Roman"/>
          <w:b/>
          <w:kern w:val="28"/>
          <w:lang w:eastAsia="lt-LT"/>
        </w:rPr>
        <w:t>PREPARATO CHARAKTERISTIKŲ SANTRAUKA</w:t>
      </w:r>
    </w:p>
    <w:p w14:paraId="2DE7BE8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E8604A9"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br w:type="page"/>
      </w:r>
      <w:r w:rsidRPr="00061CCE">
        <w:rPr>
          <w:rFonts w:ascii="Times New Roman" w:eastAsia="Times New Roman" w:hAnsi="Times New Roman" w:cs="Times New Roman"/>
          <w:b/>
          <w:szCs w:val="20"/>
          <w:lang w:eastAsia="lt-LT"/>
        </w:rPr>
        <w:lastRenderedPageBreak/>
        <w:t xml:space="preserve">1. </w:t>
      </w:r>
      <w:r w:rsidRPr="00061CCE">
        <w:rPr>
          <w:rFonts w:ascii="Times New Roman" w:eastAsia="Times New Roman" w:hAnsi="Times New Roman" w:cs="Times New Roman"/>
          <w:b/>
          <w:szCs w:val="20"/>
          <w:lang w:eastAsia="lt-LT"/>
        </w:rPr>
        <w:tab/>
        <w:t>VAISTINIO PREPARATO PAVADINIMAS</w:t>
      </w:r>
    </w:p>
    <w:p w14:paraId="666D8E4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3F80D31"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0" w:name="_GoBack"/>
      <w:r w:rsidRPr="00061CCE">
        <w:rPr>
          <w:rFonts w:ascii="Times New Roman" w:eastAsia="Times New Roman" w:hAnsi="Times New Roman" w:cs="Times New Roman"/>
          <w:lang w:eastAsia="lt-LT"/>
        </w:rPr>
        <w:t xml:space="preserve">Midazolam B. Braun </w:t>
      </w:r>
      <w:bookmarkEnd w:id="0"/>
      <w:r w:rsidRPr="00061CCE">
        <w:rPr>
          <w:rFonts w:ascii="Times New Roman" w:eastAsia="Times New Roman" w:hAnsi="Times New Roman" w:cs="Times New Roman"/>
          <w:lang w:eastAsia="lt-LT"/>
        </w:rPr>
        <w:t>1 mg/ml injekcinis ar infuzinis tirpalas</w:t>
      </w:r>
    </w:p>
    <w:p w14:paraId="2E1ECAA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E50FE7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43F3C54"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2.</w:t>
      </w:r>
      <w:r w:rsidRPr="00061CCE">
        <w:rPr>
          <w:rFonts w:ascii="Times New Roman" w:eastAsia="Times New Roman" w:hAnsi="Times New Roman" w:cs="Times New Roman"/>
          <w:b/>
          <w:szCs w:val="20"/>
          <w:lang w:eastAsia="lt-LT"/>
        </w:rPr>
        <w:tab/>
        <w:t>KOKYBINĖ IR KIEKYBINĖ SUDĖTIS</w:t>
      </w:r>
    </w:p>
    <w:p w14:paraId="78FA2A5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385FC5"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 ml  tirpalo yra</w:t>
      </w:r>
      <w:r w:rsidRPr="00061CCE">
        <w:rPr>
          <w:rFonts w:ascii="Times New Roman" w:eastAsia="Times New Roman" w:hAnsi="Times New Roman" w:cs="Times New Roman"/>
          <w:lang w:eastAsia="lt-LT"/>
        </w:rPr>
        <w:tab/>
        <w:t>1 mg midazolamo</w:t>
      </w:r>
    </w:p>
    <w:p w14:paraId="7DBED9B6"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
        <w:t>(midazolamo hidrochlorido pavidalu, 1,112 mg)</w:t>
      </w:r>
    </w:p>
    <w:p w14:paraId="1DB31075"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p>
    <w:p w14:paraId="798B1D5C"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Kiekvienoje 5 ml ampulėje yra</w:t>
      </w:r>
      <w:r w:rsidRPr="00061CCE">
        <w:rPr>
          <w:rFonts w:ascii="Times New Roman" w:eastAsia="Times New Roman" w:hAnsi="Times New Roman" w:cs="Times New Roman"/>
          <w:lang w:eastAsia="lt-LT"/>
        </w:rPr>
        <w:tab/>
        <w:t>5 mg midazolamo</w:t>
      </w:r>
    </w:p>
    <w:p w14:paraId="68F24FDA"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
        <w:t>(midazolamo hidrochlorido pavidalu, 5,56 mg)</w:t>
      </w:r>
    </w:p>
    <w:p w14:paraId="32EE3ABC"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p>
    <w:p w14:paraId="784FFE48"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50 ml buteliuke yra</w:t>
      </w:r>
      <w:r w:rsidRPr="00061CCE">
        <w:rPr>
          <w:rFonts w:ascii="Times New Roman" w:eastAsia="Times New Roman" w:hAnsi="Times New Roman" w:cs="Times New Roman"/>
          <w:lang w:eastAsia="lt-LT"/>
        </w:rPr>
        <w:tab/>
        <w:t>50 mg midazolamo</w:t>
      </w:r>
    </w:p>
    <w:p w14:paraId="2FDB1501"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
        <w:t>(midazolamo hidrochlorido pavidalu, 55,60 mg)</w:t>
      </w:r>
    </w:p>
    <w:p w14:paraId="02C1A328"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p>
    <w:p w14:paraId="599CD633"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100 ml buteliuke yra</w:t>
      </w:r>
      <w:r w:rsidRPr="00061CCE">
        <w:rPr>
          <w:rFonts w:ascii="Times New Roman" w:eastAsia="Times New Roman" w:hAnsi="Times New Roman" w:cs="Times New Roman"/>
          <w:lang w:eastAsia="lt-LT"/>
        </w:rPr>
        <w:tab/>
        <w:t>100 mg midazolamo</w:t>
      </w:r>
    </w:p>
    <w:p w14:paraId="70D243DC" w14:textId="77777777" w:rsidR="00061CCE" w:rsidRPr="00061CCE" w:rsidRDefault="00061CCE" w:rsidP="00061CCE">
      <w:pPr>
        <w:tabs>
          <w:tab w:val="left" w:pos="4201"/>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
        <w:t>(midazolamo hidrochlorido pavidalu, 111,2 mg)</w:t>
      </w:r>
    </w:p>
    <w:p w14:paraId="4D823DE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8D2E1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Pagalbinė medžiaga, kurios poveikis žinomas:</w:t>
      </w:r>
      <w:r w:rsidRPr="00061CCE">
        <w:rPr>
          <w:rFonts w:ascii="Times New Roman" w:eastAsia="Times New Roman" w:hAnsi="Times New Roman" w:cs="Times New Roman"/>
          <w:lang w:eastAsia="lt-LT"/>
        </w:rPr>
        <w:t xml:space="preserve"> natris 3,5 mg/ml</w:t>
      </w:r>
    </w:p>
    <w:p w14:paraId="7B2F0A0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6A0227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Visos pagalbinės medžiagos išvardytos 6.1 skyriuje.</w:t>
      </w:r>
    </w:p>
    <w:p w14:paraId="5857993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39E50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B7ECBA4"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3.</w:t>
      </w:r>
      <w:r w:rsidRPr="00061CCE">
        <w:rPr>
          <w:rFonts w:ascii="Times New Roman" w:eastAsia="Times New Roman" w:hAnsi="Times New Roman" w:cs="Times New Roman"/>
          <w:b/>
          <w:szCs w:val="20"/>
          <w:lang w:eastAsia="lt-LT"/>
        </w:rPr>
        <w:tab/>
        <w:t>FARMACINĖ FORMA</w:t>
      </w:r>
    </w:p>
    <w:p w14:paraId="2A573F1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01B965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Injekcinis ar infuzinis tirpalas.</w:t>
      </w:r>
    </w:p>
    <w:p w14:paraId="6D636AA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Skaidrus, bespalvis vandeninis tirpalas</w:t>
      </w:r>
    </w:p>
    <w:p w14:paraId="19FFB45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pH nuo 2,9 iki 3,7</w:t>
      </w:r>
    </w:p>
    <w:p w14:paraId="01B5D9C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86F6F6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6123F74"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4.</w:t>
      </w:r>
      <w:r w:rsidRPr="00061CCE">
        <w:rPr>
          <w:rFonts w:ascii="Times New Roman" w:eastAsia="Times New Roman" w:hAnsi="Times New Roman" w:cs="Times New Roman"/>
          <w:b/>
          <w:szCs w:val="20"/>
          <w:lang w:eastAsia="lt-LT"/>
        </w:rPr>
        <w:tab/>
        <w:t>KLINIKINĖ INFORMACIJA</w:t>
      </w:r>
    </w:p>
    <w:p w14:paraId="25191EF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FC654DB"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4.1</w:t>
      </w:r>
      <w:r w:rsidRPr="00061CCE">
        <w:rPr>
          <w:rFonts w:ascii="Times New Roman" w:eastAsia="Times New Roman" w:hAnsi="Times New Roman" w:cs="Times New Roman"/>
          <w:b/>
          <w:lang w:eastAsia="lt-LT"/>
        </w:rPr>
        <w:tab/>
        <w:t>Terapinės indikacijos</w:t>
      </w:r>
    </w:p>
    <w:p w14:paraId="06B22EF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CBFEE8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yra trumpo poveikio miegą sukeliantis vaistinis preparatas, kuris skiriamas toliau nurodytais atvejais.</w:t>
      </w:r>
    </w:p>
    <w:p w14:paraId="6A2D969D"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71F7F773" w14:textId="77777777" w:rsidR="00061CCE" w:rsidRPr="00061CCE" w:rsidRDefault="00061CCE" w:rsidP="00061CCE">
      <w:pPr>
        <w:spacing w:after="0" w:line="240" w:lineRule="auto"/>
        <w:rPr>
          <w:rFonts w:ascii="Times New Roman" w:eastAsia="Times New Roman" w:hAnsi="Times New Roman" w:cs="Times New Roman"/>
          <w:bCs/>
          <w:iCs/>
          <w:u w:val="single"/>
          <w:lang w:eastAsia="lt-LT"/>
        </w:rPr>
      </w:pPr>
      <w:r w:rsidRPr="00061CCE">
        <w:rPr>
          <w:rFonts w:ascii="Times New Roman" w:eastAsia="Times New Roman" w:hAnsi="Times New Roman" w:cs="Times New Roman"/>
          <w:bCs/>
          <w:iCs/>
          <w:u w:val="single"/>
          <w:lang w:eastAsia="lt-LT"/>
        </w:rPr>
        <w:t>Suaugusiesiems:</w:t>
      </w:r>
    </w:p>
    <w:p w14:paraId="50DCDEA1"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44559709" w14:textId="77777777" w:rsidR="00061CCE" w:rsidRPr="00061CCE" w:rsidRDefault="00061CCE" w:rsidP="00061CCE">
      <w:pPr>
        <w:numPr>
          <w:ilvl w:val="0"/>
          <w:numId w:val="1"/>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i/>
          <w:lang w:eastAsia="lt-LT"/>
        </w:rPr>
        <w:t>Nuraminimui (sedacijai), išliekant sąmonei,</w:t>
      </w:r>
      <w:r w:rsidRPr="00061CCE">
        <w:rPr>
          <w:rFonts w:ascii="Times New Roman" w:eastAsia="Times New Roman" w:hAnsi="Times New Roman" w:cs="Times New Roman"/>
          <w:lang w:eastAsia="lt-LT"/>
        </w:rPr>
        <w:t xml:space="preserve"> prieš diagnostines ar gydomąsias procedūras ir jų metu, kartu su vietine nejautra ar be jos.</w:t>
      </w:r>
      <w:r w:rsidRPr="00061CCE">
        <w:rPr>
          <w:rFonts w:ascii="Times New Roman" w:eastAsia="Times New Roman" w:hAnsi="Times New Roman" w:cs="Times New Roman"/>
          <w:u w:val="single"/>
          <w:lang w:eastAsia="lt-LT"/>
        </w:rPr>
        <w:t xml:space="preserve"> </w:t>
      </w:r>
    </w:p>
    <w:p w14:paraId="2290183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CFE2863" w14:textId="77777777" w:rsidR="00061CCE" w:rsidRPr="00061CCE" w:rsidRDefault="00061CCE" w:rsidP="00061CCE">
      <w:pPr>
        <w:numPr>
          <w:ilvl w:val="0"/>
          <w:numId w:val="1"/>
        </w:numPr>
        <w:spacing w:after="0" w:line="240" w:lineRule="auto"/>
        <w:ind w:left="567" w:hanging="567"/>
        <w:rPr>
          <w:rFonts w:ascii="Times New Roman" w:eastAsia="Times New Roman" w:hAnsi="Times New Roman" w:cs="Times New Roman"/>
          <w:i/>
          <w:lang w:eastAsia="lt-LT"/>
        </w:rPr>
      </w:pPr>
      <w:bookmarkStart w:id="1" w:name="_Hlk92866513"/>
      <w:r w:rsidRPr="00061CCE">
        <w:rPr>
          <w:rFonts w:ascii="Times New Roman" w:eastAsia="Times New Roman" w:hAnsi="Times New Roman" w:cs="Times New Roman"/>
          <w:i/>
          <w:lang w:eastAsia="lt-LT"/>
        </w:rPr>
        <w:t>Bendrajai anestezijai</w:t>
      </w:r>
    </w:p>
    <w:p w14:paraId="0D60241A" w14:textId="77777777" w:rsidR="00061CCE" w:rsidRPr="00061CCE" w:rsidRDefault="00061CCE" w:rsidP="00061CCE">
      <w:pPr>
        <w:numPr>
          <w:ilvl w:val="3"/>
          <w:numId w:val="16"/>
        </w:numPr>
        <w:tabs>
          <w:tab w:val="left" w:pos="284"/>
        </w:tabs>
        <w:spacing w:after="0" w:line="240" w:lineRule="auto"/>
        <w:ind w:left="1134" w:hanging="567"/>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premedikacijai prieš bendrosios anestezijos indukciją; </w:t>
      </w:r>
    </w:p>
    <w:p w14:paraId="3C55AD85" w14:textId="77777777" w:rsidR="00061CCE" w:rsidRPr="00061CCE" w:rsidRDefault="00061CCE" w:rsidP="00061CCE">
      <w:pPr>
        <w:numPr>
          <w:ilvl w:val="3"/>
          <w:numId w:val="16"/>
        </w:numPr>
        <w:tabs>
          <w:tab w:val="left" w:pos="284"/>
        </w:tabs>
        <w:spacing w:after="0" w:line="240" w:lineRule="auto"/>
        <w:ind w:left="1134" w:hanging="567"/>
        <w:rPr>
          <w:rFonts w:ascii="Times New Roman" w:eastAsia="Calibri" w:hAnsi="Times New Roman" w:cs="Times New Roman"/>
          <w:lang w:eastAsia="en-US"/>
        </w:rPr>
      </w:pPr>
      <w:r w:rsidRPr="00061CCE">
        <w:rPr>
          <w:rFonts w:ascii="Times New Roman" w:eastAsia="Calibri" w:hAnsi="Times New Roman" w:cs="Times New Roman"/>
          <w:lang w:eastAsia="en-US"/>
        </w:rPr>
        <w:t>bendrosios anestezijos indukcijai;</w:t>
      </w:r>
    </w:p>
    <w:p w14:paraId="3DEEAA5F" w14:textId="77777777" w:rsidR="00061CCE" w:rsidRPr="00061CCE" w:rsidRDefault="00061CCE" w:rsidP="00061CCE">
      <w:pPr>
        <w:numPr>
          <w:ilvl w:val="3"/>
          <w:numId w:val="16"/>
        </w:numPr>
        <w:tabs>
          <w:tab w:val="left" w:pos="284"/>
        </w:tabs>
        <w:spacing w:after="0" w:line="240" w:lineRule="auto"/>
        <w:ind w:left="1134" w:hanging="567"/>
        <w:rPr>
          <w:rFonts w:ascii="Times New Roman" w:eastAsia="Calibri" w:hAnsi="Times New Roman" w:cs="Times New Roman"/>
          <w:lang w:eastAsia="en-US"/>
        </w:rPr>
      </w:pPr>
      <w:r w:rsidRPr="00061CCE">
        <w:rPr>
          <w:rFonts w:ascii="Times New Roman" w:eastAsia="Calibri" w:hAnsi="Times New Roman" w:cs="Times New Roman"/>
          <w:lang w:eastAsia="en-US"/>
        </w:rPr>
        <w:t>kaip raminamoji (sedacinė) sudedamoji dalis kombinuotosios anestezijos metu.</w:t>
      </w:r>
    </w:p>
    <w:bookmarkEnd w:id="1"/>
    <w:p w14:paraId="080ADD4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3D87DD5" w14:textId="77777777" w:rsidR="00061CCE" w:rsidRPr="00061CCE" w:rsidRDefault="00061CCE" w:rsidP="00061CCE">
      <w:pPr>
        <w:numPr>
          <w:ilvl w:val="0"/>
          <w:numId w:val="2"/>
        </w:numPr>
        <w:spacing w:after="0" w:line="240" w:lineRule="auto"/>
        <w:ind w:left="567" w:hanging="567"/>
        <w:rPr>
          <w:rFonts w:ascii="Times New Roman" w:eastAsia="Times New Roman" w:hAnsi="Times New Roman" w:cs="Times New Roman"/>
          <w:i/>
          <w:lang w:eastAsia="lt-LT"/>
        </w:rPr>
      </w:pPr>
      <w:r w:rsidRPr="00061CCE">
        <w:rPr>
          <w:rFonts w:ascii="Times New Roman" w:eastAsia="Times New Roman" w:hAnsi="Times New Roman" w:cs="Times New Roman"/>
          <w:i/>
          <w:lang w:eastAsia="lt-LT"/>
        </w:rPr>
        <w:t>Sedacijai sukelti intensyvios terapijos skyriuje.</w:t>
      </w:r>
    </w:p>
    <w:p w14:paraId="43602A5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B4472BD" w14:textId="77777777" w:rsidR="00061CCE" w:rsidRPr="00061CCE" w:rsidRDefault="00061CCE" w:rsidP="00061CCE">
      <w:pPr>
        <w:spacing w:after="0" w:line="240" w:lineRule="auto"/>
        <w:rPr>
          <w:rFonts w:ascii="Times New Roman" w:eastAsia="Times New Roman" w:hAnsi="Times New Roman" w:cs="Times New Roman"/>
          <w:szCs w:val="20"/>
          <w:u w:val="single"/>
          <w:lang w:eastAsia="lt-LT"/>
        </w:rPr>
      </w:pPr>
      <w:r w:rsidRPr="00061CCE">
        <w:rPr>
          <w:rFonts w:ascii="Times New Roman" w:eastAsia="Times New Roman" w:hAnsi="Times New Roman" w:cs="Times New Roman"/>
          <w:szCs w:val="20"/>
          <w:u w:val="single"/>
          <w:lang w:eastAsia="lt-LT"/>
        </w:rPr>
        <w:t xml:space="preserve">Vaikams: </w:t>
      </w:r>
    </w:p>
    <w:p w14:paraId="6BF2AC87"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57D19826" w14:textId="77777777" w:rsidR="00061CCE" w:rsidRPr="00061CCE" w:rsidRDefault="00061CCE" w:rsidP="00061CCE">
      <w:pPr>
        <w:numPr>
          <w:ilvl w:val="0"/>
          <w:numId w:val="2"/>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i/>
          <w:lang w:eastAsia="lt-LT"/>
        </w:rPr>
        <w:t xml:space="preserve">Nuraminimui, išliekant sąmonei, </w:t>
      </w:r>
      <w:r w:rsidRPr="00061CCE">
        <w:rPr>
          <w:rFonts w:ascii="Times New Roman" w:eastAsia="Times New Roman" w:hAnsi="Times New Roman" w:cs="Times New Roman"/>
          <w:lang w:eastAsia="lt-LT"/>
        </w:rPr>
        <w:t>prieš diagnostines ar gydomąsias procedūras ir jų metu, kartu su vietine nejautra ar be jos.</w:t>
      </w:r>
    </w:p>
    <w:p w14:paraId="1EC6D33B" w14:textId="77777777" w:rsidR="00061CCE" w:rsidRPr="00061CCE" w:rsidRDefault="00061CCE" w:rsidP="00061CCE">
      <w:pPr>
        <w:spacing w:after="0" w:line="240" w:lineRule="auto"/>
        <w:ind w:left="567" w:hanging="567"/>
        <w:rPr>
          <w:rFonts w:ascii="Times New Roman" w:eastAsia="Times New Roman" w:hAnsi="Times New Roman" w:cs="Times New Roman"/>
          <w:lang w:eastAsia="lt-LT"/>
        </w:rPr>
      </w:pPr>
      <w:bookmarkStart w:id="2" w:name="_Hlk93485524"/>
    </w:p>
    <w:p w14:paraId="4CA247B7" w14:textId="77777777" w:rsidR="00061CCE" w:rsidRPr="00061CCE" w:rsidRDefault="00061CCE" w:rsidP="00061CCE">
      <w:pPr>
        <w:numPr>
          <w:ilvl w:val="0"/>
          <w:numId w:val="3"/>
        </w:numPr>
        <w:spacing w:after="0" w:line="240" w:lineRule="auto"/>
        <w:ind w:left="567" w:hanging="567"/>
        <w:rPr>
          <w:rFonts w:ascii="Times New Roman" w:eastAsia="Times New Roman" w:hAnsi="Times New Roman" w:cs="Times New Roman"/>
          <w:i/>
          <w:lang w:eastAsia="lt-LT"/>
        </w:rPr>
      </w:pPr>
      <w:bookmarkStart w:id="3" w:name="_Hlk93485506"/>
      <w:r w:rsidRPr="00061CCE">
        <w:rPr>
          <w:rFonts w:ascii="Times New Roman" w:eastAsia="Times New Roman" w:hAnsi="Times New Roman" w:cs="Times New Roman"/>
          <w:i/>
          <w:lang w:eastAsia="lt-LT"/>
        </w:rPr>
        <w:t>Bendrajai anestezijai</w:t>
      </w:r>
      <w:bookmarkEnd w:id="3"/>
    </w:p>
    <w:bookmarkEnd w:id="2"/>
    <w:p w14:paraId="08A603B0" w14:textId="77777777" w:rsidR="00061CCE" w:rsidRPr="00061CCE" w:rsidRDefault="00061CCE" w:rsidP="00061CCE">
      <w:pPr>
        <w:numPr>
          <w:ilvl w:val="0"/>
          <w:numId w:val="5"/>
        </w:numPr>
        <w:tabs>
          <w:tab w:val="left" w:pos="284"/>
        </w:tabs>
        <w:spacing w:after="0" w:line="240" w:lineRule="auto"/>
        <w:ind w:left="1134" w:hanging="567"/>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premedikacijai prieš bendrosios anestezijos indukciją. </w:t>
      </w:r>
    </w:p>
    <w:p w14:paraId="63E81FFF" w14:textId="77777777" w:rsidR="00061CCE" w:rsidRPr="00061CCE" w:rsidRDefault="00061CCE" w:rsidP="00061CCE">
      <w:pPr>
        <w:tabs>
          <w:tab w:val="num" w:pos="284"/>
        </w:tabs>
        <w:spacing w:after="0" w:line="240" w:lineRule="auto"/>
        <w:ind w:left="1080"/>
        <w:rPr>
          <w:rFonts w:ascii="Times New Roman" w:eastAsia="Times New Roman" w:hAnsi="Times New Roman" w:cs="Times New Roman"/>
          <w:lang w:eastAsia="lt-LT"/>
        </w:rPr>
      </w:pPr>
    </w:p>
    <w:p w14:paraId="5B206828" w14:textId="77777777" w:rsidR="00061CCE" w:rsidRPr="00061CCE" w:rsidRDefault="00061CCE" w:rsidP="00061CCE">
      <w:pPr>
        <w:numPr>
          <w:ilvl w:val="0"/>
          <w:numId w:val="3"/>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i/>
          <w:lang w:eastAsia="lt-LT"/>
        </w:rPr>
        <w:t>Sedacijai sukelti intensyvios terapijos skyriuje</w:t>
      </w:r>
      <w:r w:rsidRPr="00061CCE">
        <w:rPr>
          <w:rFonts w:ascii="Times New Roman" w:eastAsia="Times New Roman" w:hAnsi="Times New Roman" w:cs="Times New Roman"/>
          <w:lang w:eastAsia="lt-LT"/>
        </w:rPr>
        <w:t>.</w:t>
      </w:r>
    </w:p>
    <w:p w14:paraId="05489D4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C7537C"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4.2</w:t>
      </w:r>
      <w:r w:rsidRPr="00061CCE">
        <w:rPr>
          <w:rFonts w:ascii="Times New Roman" w:eastAsia="Times New Roman" w:hAnsi="Times New Roman" w:cs="Times New Roman"/>
          <w:b/>
          <w:lang w:eastAsia="lt-LT"/>
        </w:rPr>
        <w:tab/>
        <w:t>Dozavimas ir vartojimo metodas</w:t>
      </w:r>
    </w:p>
    <w:p w14:paraId="72DAA4F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8F6BD24" w14:textId="77777777" w:rsidR="00061CCE" w:rsidRPr="00061CCE" w:rsidRDefault="00061CCE" w:rsidP="00061CCE">
      <w:pPr>
        <w:spacing w:after="0" w:line="240" w:lineRule="auto"/>
        <w:rPr>
          <w:rFonts w:ascii="Times New Roman" w:eastAsia="Times New Roman" w:hAnsi="Times New Roman" w:cs="Times New Roman"/>
          <w:u w:val="single"/>
          <w:lang w:eastAsia="lt-LT"/>
        </w:rPr>
      </w:pPr>
      <w:bookmarkStart w:id="4" w:name="_Hlk92866558"/>
      <w:r w:rsidRPr="00061CCE">
        <w:rPr>
          <w:rFonts w:ascii="Times New Roman" w:eastAsia="Times New Roman" w:hAnsi="Times New Roman" w:cs="Times New Roman"/>
          <w:u w:val="single"/>
          <w:lang w:eastAsia="lt-LT"/>
        </w:rPr>
        <w:t>Standartinis dozavimas</w:t>
      </w:r>
    </w:p>
    <w:p w14:paraId="3CC2F734" w14:textId="77777777" w:rsidR="00061CCE" w:rsidRPr="00061CCE" w:rsidRDefault="00061CCE" w:rsidP="00061CCE">
      <w:pPr>
        <w:spacing w:after="0" w:line="240" w:lineRule="auto"/>
        <w:rPr>
          <w:rFonts w:ascii="Times New Roman" w:eastAsia="Times New Roman" w:hAnsi="Times New Roman" w:cs="Times New Roman"/>
          <w:lang w:eastAsia="lt-LT"/>
        </w:rPr>
      </w:pPr>
    </w:p>
    <w:bookmarkEnd w:id="4"/>
    <w:p w14:paraId="1E9259A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Midazolamas yra stiprus sedaciją sukeliantis vaistinis preparatas, todėl jo dozę reikia titruoti ir švirkšti iš lėto. Titravimas būtinas tam, kad atsižvelgiant į klinikinį poreikį, fizinę būseną, amžių bei kartu vartojamus vaistinius preparatus, saugiai būtų sukeltas pageidaujamas raminamasis poveikis. Vyresniems nei 60 metų amžiaus </w:t>
      </w:r>
      <w:bookmarkStart w:id="5" w:name="_Hlk93485638"/>
      <w:r w:rsidRPr="00061CCE">
        <w:rPr>
          <w:rFonts w:ascii="Times New Roman" w:eastAsia="Times New Roman" w:hAnsi="Times New Roman" w:cs="Times New Roman"/>
          <w:lang w:eastAsia="lt-LT"/>
        </w:rPr>
        <w:t>suaugusiesiems</w:t>
      </w:r>
      <w:bookmarkEnd w:id="5"/>
      <w:r w:rsidRPr="00061CCE">
        <w:rPr>
          <w:rFonts w:ascii="Times New Roman" w:eastAsia="Times New Roman" w:hAnsi="Times New Roman" w:cs="Times New Roman"/>
          <w:lang w:eastAsia="lt-LT"/>
        </w:rPr>
        <w:t xml:space="preserve">, nusilpusiems ar lėtinėmis ligomis sergantiems pacientams bei vaikams, dozė turi būti nustatoma ypač atsargiai bei atsižvelgiant į rizikos faktorius, susijusius su konkrečiu pacientu. </w:t>
      </w:r>
    </w:p>
    <w:p w14:paraId="6F86851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AC448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Standartinės dozės pateikiamos lentelėje žemiau. Papildoma informacija pateikiama tekste po lentele.</w:t>
      </w:r>
    </w:p>
    <w:p w14:paraId="69CED1D4"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6" w:name="_Hlk92866593"/>
    </w:p>
    <w:p w14:paraId="3E548E7A"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1 lentelė. Standartinės dozės</w:t>
      </w:r>
    </w:p>
    <w:bookmarkEnd w:id="6"/>
    <w:p w14:paraId="4CEABDB4" w14:textId="77777777" w:rsidR="00061CCE" w:rsidRPr="00061CCE" w:rsidRDefault="00061CCE" w:rsidP="00061CCE">
      <w:pPr>
        <w:spacing w:after="0" w:line="240" w:lineRule="auto"/>
        <w:rPr>
          <w:rFonts w:ascii="Times New Roman" w:eastAsia="Times New Roman" w:hAnsi="Times New Roman" w:cs="Times New Roman"/>
          <w:lang w:eastAsia="lt-LT"/>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9"/>
        <w:gridCol w:w="2555"/>
        <w:gridCol w:w="2464"/>
        <w:gridCol w:w="2464"/>
      </w:tblGrid>
      <w:tr w:rsidR="00061CCE" w:rsidRPr="00061CCE" w14:paraId="7453E609" w14:textId="77777777" w:rsidTr="00DA7146">
        <w:trPr>
          <w:cantSplit/>
          <w:tblHeader/>
        </w:trPr>
        <w:tc>
          <w:tcPr>
            <w:tcW w:w="1589" w:type="dxa"/>
            <w:tcBorders>
              <w:top w:val="single" w:sz="4" w:space="0" w:color="auto"/>
              <w:left w:val="single" w:sz="4" w:space="0" w:color="auto"/>
              <w:bottom w:val="single" w:sz="4" w:space="0" w:color="auto"/>
              <w:right w:val="single" w:sz="4" w:space="0" w:color="auto"/>
            </w:tcBorders>
          </w:tcPr>
          <w:p w14:paraId="647C84F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lang w:eastAsia="lt-LT"/>
              </w:rPr>
              <w:t>Indikacija</w:t>
            </w:r>
          </w:p>
        </w:tc>
        <w:tc>
          <w:tcPr>
            <w:tcW w:w="2555" w:type="dxa"/>
            <w:tcBorders>
              <w:top w:val="single" w:sz="4" w:space="0" w:color="auto"/>
              <w:left w:val="single" w:sz="4" w:space="0" w:color="auto"/>
              <w:bottom w:val="single" w:sz="4" w:space="0" w:color="auto"/>
              <w:right w:val="single" w:sz="4" w:space="0" w:color="auto"/>
            </w:tcBorders>
          </w:tcPr>
          <w:p w14:paraId="180705FA" w14:textId="77777777" w:rsidR="00061CCE" w:rsidRPr="00061CCE" w:rsidRDefault="00061CCE" w:rsidP="00061CCE">
            <w:pPr>
              <w:spacing w:after="0" w:line="240" w:lineRule="auto"/>
              <w:jc w:val="center"/>
              <w:rPr>
                <w:rFonts w:ascii="Times New Roman" w:eastAsia="Times New Roman" w:hAnsi="Times New Roman" w:cs="Times New Roman"/>
                <w:lang w:eastAsia="lt-LT"/>
              </w:rPr>
            </w:pPr>
            <w:r w:rsidRPr="00061CCE">
              <w:rPr>
                <w:rFonts w:ascii="Times New Roman" w:eastAsia="Times New Roman" w:hAnsi="Times New Roman" w:cs="Times New Roman"/>
                <w:b/>
                <w:bCs/>
                <w:lang w:eastAsia="lt-LT"/>
              </w:rPr>
              <w:t>Jaunesni nei 60 m. suaugusieji</w:t>
            </w:r>
          </w:p>
        </w:tc>
        <w:tc>
          <w:tcPr>
            <w:tcW w:w="2464" w:type="dxa"/>
            <w:tcBorders>
              <w:top w:val="single" w:sz="4" w:space="0" w:color="auto"/>
              <w:left w:val="single" w:sz="4" w:space="0" w:color="auto"/>
              <w:bottom w:val="single" w:sz="4" w:space="0" w:color="auto"/>
              <w:right w:val="single" w:sz="4" w:space="0" w:color="auto"/>
            </w:tcBorders>
          </w:tcPr>
          <w:p w14:paraId="607D0B67" w14:textId="77777777" w:rsidR="00061CCE" w:rsidRPr="00061CCE" w:rsidRDefault="00061CCE" w:rsidP="00061CCE">
            <w:pPr>
              <w:spacing w:after="0" w:line="240" w:lineRule="auto"/>
              <w:jc w:val="center"/>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60 m. ir vyresni suaugusieji, nusilpę ar lėtinėmis ligomis sergantys ligoniai</w:t>
            </w:r>
          </w:p>
        </w:tc>
        <w:tc>
          <w:tcPr>
            <w:tcW w:w="2464" w:type="dxa"/>
            <w:tcBorders>
              <w:top w:val="single" w:sz="4" w:space="0" w:color="auto"/>
              <w:left w:val="single" w:sz="4" w:space="0" w:color="auto"/>
              <w:bottom w:val="single" w:sz="4" w:space="0" w:color="auto"/>
              <w:right w:val="single" w:sz="4" w:space="0" w:color="auto"/>
            </w:tcBorders>
          </w:tcPr>
          <w:p w14:paraId="382B687A" w14:textId="77777777" w:rsidR="00061CCE" w:rsidRPr="00061CCE" w:rsidRDefault="00061CCE" w:rsidP="00061CCE">
            <w:pPr>
              <w:spacing w:after="0" w:line="240" w:lineRule="auto"/>
              <w:jc w:val="center"/>
              <w:rPr>
                <w:rFonts w:ascii="Times New Roman" w:eastAsia="Times New Roman" w:hAnsi="Times New Roman" w:cs="Times New Roman"/>
                <w:lang w:eastAsia="lt-LT"/>
              </w:rPr>
            </w:pPr>
            <w:r w:rsidRPr="00061CCE">
              <w:rPr>
                <w:rFonts w:ascii="Times New Roman" w:eastAsia="Times New Roman" w:hAnsi="Times New Roman" w:cs="Times New Roman"/>
                <w:b/>
                <w:bCs/>
                <w:lang w:eastAsia="lt-LT"/>
              </w:rPr>
              <w:t>Vaikai</w:t>
            </w:r>
          </w:p>
        </w:tc>
      </w:tr>
      <w:tr w:rsidR="00061CCE" w:rsidRPr="00061CCE" w14:paraId="0404C753" w14:textId="77777777" w:rsidTr="00DA7146">
        <w:trPr>
          <w:cantSplit/>
        </w:trPr>
        <w:tc>
          <w:tcPr>
            <w:tcW w:w="1589" w:type="dxa"/>
            <w:tcBorders>
              <w:top w:val="single" w:sz="4" w:space="0" w:color="auto"/>
              <w:left w:val="single" w:sz="4" w:space="0" w:color="auto"/>
              <w:bottom w:val="single" w:sz="4" w:space="0" w:color="auto"/>
              <w:right w:val="single" w:sz="4" w:space="0" w:color="auto"/>
            </w:tcBorders>
          </w:tcPr>
          <w:p w14:paraId="51ACDFA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 išliekant sąmonei</w:t>
            </w:r>
          </w:p>
        </w:tc>
        <w:tc>
          <w:tcPr>
            <w:tcW w:w="2555" w:type="dxa"/>
            <w:tcBorders>
              <w:top w:val="single" w:sz="4" w:space="0" w:color="auto"/>
              <w:left w:val="single" w:sz="4" w:space="0" w:color="auto"/>
              <w:bottom w:val="single" w:sz="4" w:space="0" w:color="auto"/>
              <w:right w:val="single" w:sz="4" w:space="0" w:color="auto"/>
            </w:tcBorders>
          </w:tcPr>
          <w:p w14:paraId="700DEC2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61297B1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Pradinė dozė: 2 – 2,5 mg</w:t>
            </w:r>
          </w:p>
          <w:p w14:paraId="0F651DE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Titravimo dozės: 1 mg</w:t>
            </w:r>
          </w:p>
          <w:p w14:paraId="3539890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Suminė dozė: 3,5 – 7,5 mg</w:t>
            </w:r>
          </w:p>
          <w:p w14:paraId="7B4B98E7" w14:textId="77777777" w:rsidR="00061CCE" w:rsidRPr="00061CCE" w:rsidRDefault="00061CCE" w:rsidP="00061CCE">
            <w:pPr>
              <w:spacing w:after="0" w:line="240" w:lineRule="auto"/>
              <w:rPr>
                <w:rFonts w:ascii="Times New Roman" w:eastAsia="Times New Roman" w:hAnsi="Times New Roman" w:cs="Times New Roman"/>
                <w:lang w:eastAsia="lt-LT"/>
              </w:rPr>
            </w:pPr>
          </w:p>
        </w:tc>
        <w:tc>
          <w:tcPr>
            <w:tcW w:w="2464" w:type="dxa"/>
            <w:tcBorders>
              <w:top w:val="single" w:sz="4" w:space="0" w:color="auto"/>
              <w:left w:val="single" w:sz="4" w:space="0" w:color="auto"/>
              <w:bottom w:val="single" w:sz="4" w:space="0" w:color="auto"/>
              <w:right w:val="single" w:sz="4" w:space="0" w:color="auto"/>
            </w:tcBorders>
          </w:tcPr>
          <w:p w14:paraId="1E35C65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1005B03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Pradinė dozė: 0,5 – 1 mg</w:t>
            </w:r>
          </w:p>
          <w:p w14:paraId="4546474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Titravimo dozės: </w:t>
            </w:r>
            <w:r w:rsidRPr="00061CCE">
              <w:rPr>
                <w:rFonts w:ascii="Times New Roman" w:eastAsia="Times New Roman" w:hAnsi="Times New Roman" w:cs="Times New Roman"/>
                <w:lang w:eastAsia="lt-LT"/>
              </w:rPr>
              <w:br/>
              <w:t>0,5 – 1 mg</w:t>
            </w:r>
          </w:p>
          <w:p w14:paraId="3429876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Bendra dozė: &lt; 3,5 mg</w:t>
            </w:r>
          </w:p>
          <w:p w14:paraId="383D1426" w14:textId="77777777" w:rsidR="00061CCE" w:rsidRPr="00061CCE" w:rsidRDefault="00061CCE" w:rsidP="00061CCE">
            <w:pPr>
              <w:spacing w:after="0" w:line="240" w:lineRule="auto"/>
              <w:rPr>
                <w:rFonts w:ascii="Times New Roman" w:eastAsia="Times New Roman" w:hAnsi="Times New Roman" w:cs="Times New Roman"/>
                <w:lang w:eastAsia="lt-LT"/>
              </w:rPr>
            </w:pPr>
          </w:p>
        </w:tc>
        <w:tc>
          <w:tcPr>
            <w:tcW w:w="2464" w:type="dxa"/>
            <w:tcBorders>
              <w:top w:val="single" w:sz="4" w:space="0" w:color="auto"/>
              <w:left w:val="single" w:sz="4" w:space="0" w:color="auto"/>
              <w:bottom w:val="single" w:sz="4" w:space="0" w:color="auto"/>
              <w:right w:val="single" w:sz="4" w:space="0" w:color="auto"/>
            </w:tcBorders>
          </w:tcPr>
          <w:p w14:paraId="1A3ACE73"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i.v. 6 mėn. </w:t>
            </w:r>
            <w:r w:rsidRPr="00061CCE">
              <w:rPr>
                <w:rFonts w:ascii="Times New Roman" w:eastAsia="Times New Roman" w:hAnsi="Times New Roman" w:cs="Times New Roman"/>
                <w:lang w:eastAsia="lt-LT"/>
              </w:rPr>
              <w:t>– </w:t>
            </w:r>
            <w:r w:rsidRPr="00061CCE">
              <w:rPr>
                <w:rFonts w:ascii="Times New Roman" w:eastAsia="Times New Roman" w:hAnsi="Times New Roman" w:cs="Times New Roman"/>
                <w:b/>
                <w:bCs/>
                <w:i/>
                <w:iCs/>
                <w:lang w:eastAsia="lt-LT"/>
              </w:rPr>
              <w:t>5 metų pacientams</w:t>
            </w:r>
          </w:p>
          <w:p w14:paraId="5D0EC0A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Pradinė dozė: 0,05 – 0,1 mg/kg kūno svorio</w:t>
            </w:r>
          </w:p>
          <w:p w14:paraId="1A02C82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Bendra dozė: &lt; 6 mg</w:t>
            </w:r>
          </w:p>
          <w:p w14:paraId="77C62E9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 6 </w:t>
            </w:r>
            <w:r w:rsidRPr="00061CCE">
              <w:rPr>
                <w:rFonts w:ascii="Times New Roman" w:eastAsia="Times New Roman" w:hAnsi="Times New Roman" w:cs="Times New Roman"/>
                <w:lang w:eastAsia="lt-LT"/>
              </w:rPr>
              <w:t>– </w:t>
            </w:r>
            <w:r w:rsidRPr="00061CCE">
              <w:rPr>
                <w:rFonts w:ascii="Times New Roman" w:eastAsia="Times New Roman" w:hAnsi="Times New Roman" w:cs="Times New Roman"/>
                <w:b/>
                <w:bCs/>
                <w:i/>
                <w:iCs/>
                <w:lang w:eastAsia="lt-LT"/>
              </w:rPr>
              <w:t>12 metų pacientams</w:t>
            </w:r>
          </w:p>
          <w:p w14:paraId="08F5C18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Pradinė dozė: 0,025 – 0,05 mg/kg kūno svorio</w:t>
            </w:r>
          </w:p>
          <w:p w14:paraId="570D2E5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Bendra dozė: &lt; 10 mg</w:t>
            </w:r>
          </w:p>
          <w:p w14:paraId="2FB73CC2"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Į tiesiąją žarną vyresniems nei 6 mėn. pacientams</w:t>
            </w:r>
          </w:p>
          <w:p w14:paraId="23A2BC1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0,3 – 0,5 mg/kg kūno svorio</w:t>
            </w:r>
          </w:p>
          <w:p w14:paraId="351586A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i.m. 1 – 15 metų pacientams</w:t>
            </w:r>
          </w:p>
          <w:p w14:paraId="15DAC00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0,05 – 0,15 mg/kg kūno svorio</w:t>
            </w:r>
          </w:p>
        </w:tc>
      </w:tr>
      <w:tr w:rsidR="00061CCE" w:rsidRPr="00061CCE" w14:paraId="7E9154CF" w14:textId="77777777" w:rsidTr="00DA7146">
        <w:trPr>
          <w:cantSplit/>
        </w:trPr>
        <w:tc>
          <w:tcPr>
            <w:tcW w:w="1589" w:type="dxa"/>
            <w:tcBorders>
              <w:top w:val="single" w:sz="4" w:space="0" w:color="auto"/>
              <w:left w:val="single" w:sz="4" w:space="0" w:color="auto"/>
              <w:bottom w:val="single" w:sz="4" w:space="0" w:color="auto"/>
              <w:right w:val="single" w:sz="4" w:space="0" w:color="auto"/>
            </w:tcBorders>
          </w:tcPr>
          <w:p w14:paraId="465F704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Premedikacija prieš anesteziją </w:t>
            </w:r>
          </w:p>
        </w:tc>
        <w:tc>
          <w:tcPr>
            <w:tcW w:w="2555" w:type="dxa"/>
            <w:tcBorders>
              <w:top w:val="single" w:sz="4" w:space="0" w:color="auto"/>
              <w:left w:val="single" w:sz="4" w:space="0" w:color="auto"/>
              <w:bottom w:val="single" w:sz="4" w:space="0" w:color="auto"/>
              <w:right w:val="single" w:sz="4" w:space="0" w:color="auto"/>
            </w:tcBorders>
          </w:tcPr>
          <w:p w14:paraId="56632550"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i.v.</w:t>
            </w:r>
          </w:p>
          <w:p w14:paraId="349B5FE1" w14:textId="77777777" w:rsidR="00061CCE" w:rsidRPr="00061CCE" w:rsidRDefault="00061CCE" w:rsidP="00061CCE">
            <w:pPr>
              <w:spacing w:after="0" w:line="240" w:lineRule="auto"/>
              <w:rPr>
                <w:rFonts w:ascii="Times New Roman" w:eastAsia="Times New Roman" w:hAnsi="Times New Roman" w:cs="Times New Roman"/>
                <w:bCs/>
                <w:iCs/>
                <w:lang w:eastAsia="lt-LT"/>
              </w:rPr>
            </w:pPr>
            <w:r w:rsidRPr="00061CCE">
              <w:rPr>
                <w:rFonts w:ascii="Times New Roman" w:eastAsia="Times New Roman" w:hAnsi="Times New Roman" w:cs="Times New Roman"/>
                <w:bCs/>
                <w:iCs/>
                <w:lang w:eastAsia="lt-LT"/>
              </w:rPr>
              <w:t>1 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iCs/>
                <w:lang w:eastAsia="lt-LT"/>
              </w:rPr>
              <w:t> 2 mg kartotinai</w:t>
            </w:r>
          </w:p>
          <w:p w14:paraId="47BA1135"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i.m.</w:t>
            </w:r>
          </w:p>
          <w:p w14:paraId="4832E94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0,07 – 0,1 mg/kg kūno svorio</w:t>
            </w:r>
          </w:p>
          <w:p w14:paraId="642B5BFF" w14:textId="77777777" w:rsidR="00061CCE" w:rsidRPr="00061CCE" w:rsidRDefault="00061CCE" w:rsidP="00061CCE">
            <w:pPr>
              <w:spacing w:after="0" w:line="240" w:lineRule="auto"/>
              <w:rPr>
                <w:rFonts w:ascii="Times New Roman" w:eastAsia="Times New Roman" w:hAnsi="Times New Roman" w:cs="Times New Roman"/>
                <w:lang w:eastAsia="lt-LT"/>
              </w:rPr>
            </w:pPr>
          </w:p>
        </w:tc>
        <w:tc>
          <w:tcPr>
            <w:tcW w:w="2464" w:type="dxa"/>
            <w:tcBorders>
              <w:top w:val="single" w:sz="4" w:space="0" w:color="auto"/>
              <w:left w:val="single" w:sz="4" w:space="0" w:color="auto"/>
              <w:bottom w:val="single" w:sz="4" w:space="0" w:color="auto"/>
              <w:right w:val="single" w:sz="4" w:space="0" w:color="auto"/>
            </w:tcBorders>
          </w:tcPr>
          <w:p w14:paraId="6E75295D"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i.v.</w:t>
            </w:r>
          </w:p>
          <w:p w14:paraId="1FC0CBE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Pradinė dozė: 0,5 mg</w:t>
            </w:r>
          </w:p>
          <w:p w14:paraId="425BEF6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Lėtas didinamasis titravimas pagal poreikį</w:t>
            </w:r>
          </w:p>
          <w:p w14:paraId="5BFB437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i.m.</w:t>
            </w:r>
          </w:p>
          <w:p w14:paraId="5158F7C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0,025 – 0,05 mg/kg kūno svorio</w:t>
            </w:r>
          </w:p>
          <w:p w14:paraId="5D26D10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52CFE49" w14:textId="77777777" w:rsidR="00061CCE" w:rsidRPr="00061CCE" w:rsidRDefault="00061CCE" w:rsidP="00061CCE">
            <w:pPr>
              <w:spacing w:after="0" w:line="240" w:lineRule="auto"/>
              <w:rPr>
                <w:rFonts w:ascii="Times New Roman" w:eastAsia="Times New Roman" w:hAnsi="Times New Roman" w:cs="Times New Roman"/>
                <w:lang w:eastAsia="lt-LT"/>
              </w:rPr>
            </w:pPr>
          </w:p>
        </w:tc>
        <w:tc>
          <w:tcPr>
            <w:tcW w:w="2464" w:type="dxa"/>
            <w:tcBorders>
              <w:top w:val="single" w:sz="4" w:space="0" w:color="auto"/>
              <w:left w:val="single" w:sz="4" w:space="0" w:color="auto"/>
              <w:bottom w:val="single" w:sz="4" w:space="0" w:color="auto"/>
              <w:right w:val="single" w:sz="4" w:space="0" w:color="auto"/>
            </w:tcBorders>
          </w:tcPr>
          <w:p w14:paraId="1A241814"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r w:rsidRPr="00061CCE">
              <w:rPr>
                <w:rFonts w:ascii="Times New Roman" w:eastAsia="Times New Roman" w:hAnsi="Times New Roman" w:cs="Times New Roman"/>
                <w:b/>
                <w:bCs/>
                <w:i/>
                <w:iCs/>
                <w:lang w:eastAsia="lt-LT"/>
              </w:rPr>
              <w:t>Į tiesiąją žarną vyresniems nei 6 mėn. pacientams</w:t>
            </w:r>
          </w:p>
          <w:p w14:paraId="75BC7DC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0,3 – 0,5 mg/kg kūno svorio</w:t>
            </w:r>
          </w:p>
          <w:p w14:paraId="5B31EBD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i.m. 1 – 15 metų pacientams</w:t>
            </w:r>
          </w:p>
          <w:p w14:paraId="2531B24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0,08</w:t>
            </w:r>
            <w:r w:rsidRPr="00061CCE">
              <w:rPr>
                <w:rFonts w:ascii="Times New Roman" w:eastAsia="Times New Roman" w:hAnsi="Times New Roman" w:cs="Times New Roman"/>
                <w:szCs w:val="20"/>
                <w:lang w:eastAsia="lt-LT"/>
              </w:rPr>
              <w:t xml:space="preserve"> </w:t>
            </w:r>
            <w:r w:rsidRPr="00061CCE">
              <w:rPr>
                <w:rFonts w:ascii="Times New Roman" w:eastAsia="Times New Roman" w:hAnsi="Times New Roman" w:cs="Times New Roman"/>
                <w:lang w:eastAsia="lt-LT"/>
              </w:rPr>
              <w:t>– 0,2 mg/kg kūno svorio</w:t>
            </w:r>
          </w:p>
        </w:tc>
      </w:tr>
      <w:tr w:rsidR="00061CCE" w:rsidRPr="00061CCE" w14:paraId="6BC72E5F" w14:textId="77777777" w:rsidTr="00DA7146">
        <w:trPr>
          <w:cantSplit/>
        </w:trPr>
        <w:tc>
          <w:tcPr>
            <w:tcW w:w="1589" w:type="dxa"/>
            <w:tcBorders>
              <w:top w:val="single" w:sz="4" w:space="0" w:color="auto"/>
              <w:left w:val="single" w:sz="4" w:space="0" w:color="auto"/>
              <w:bottom w:val="single" w:sz="4" w:space="0" w:color="auto"/>
              <w:right w:val="single" w:sz="4" w:space="0" w:color="auto"/>
            </w:tcBorders>
          </w:tcPr>
          <w:p w14:paraId="286F958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Anestezijos indukcija</w:t>
            </w:r>
          </w:p>
        </w:tc>
        <w:tc>
          <w:tcPr>
            <w:tcW w:w="2555" w:type="dxa"/>
            <w:tcBorders>
              <w:top w:val="single" w:sz="4" w:space="0" w:color="auto"/>
              <w:left w:val="single" w:sz="4" w:space="0" w:color="auto"/>
              <w:bottom w:val="single" w:sz="4" w:space="0" w:color="auto"/>
              <w:right w:val="single" w:sz="4" w:space="0" w:color="auto"/>
            </w:tcBorders>
          </w:tcPr>
          <w:p w14:paraId="5BC8B13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3D435BE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0,15 – 0,2 mg/kg kūno svorio</w:t>
            </w:r>
          </w:p>
          <w:p w14:paraId="5C298D5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 premedikacijos 0,3 – 0,35 mg/kg kūno svorio)</w:t>
            </w:r>
          </w:p>
        </w:tc>
        <w:tc>
          <w:tcPr>
            <w:tcW w:w="2464" w:type="dxa"/>
            <w:tcBorders>
              <w:top w:val="single" w:sz="4" w:space="0" w:color="auto"/>
              <w:left w:val="single" w:sz="4" w:space="0" w:color="auto"/>
              <w:bottom w:val="single" w:sz="4" w:space="0" w:color="auto"/>
              <w:right w:val="single" w:sz="4" w:space="0" w:color="auto"/>
            </w:tcBorders>
          </w:tcPr>
          <w:p w14:paraId="412086C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17DEFB9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0,05 – 0,15 mg/kg kūno svorio</w:t>
            </w:r>
          </w:p>
          <w:p w14:paraId="6065FF3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 premedikacijos 0,15 – 0,3 mg/kg kūno svorio)</w:t>
            </w:r>
          </w:p>
        </w:tc>
        <w:tc>
          <w:tcPr>
            <w:tcW w:w="2464" w:type="dxa"/>
            <w:tcBorders>
              <w:top w:val="single" w:sz="4" w:space="0" w:color="auto"/>
              <w:left w:val="single" w:sz="4" w:space="0" w:color="auto"/>
              <w:bottom w:val="single" w:sz="4" w:space="0" w:color="auto"/>
              <w:right w:val="single" w:sz="4" w:space="0" w:color="auto"/>
            </w:tcBorders>
          </w:tcPr>
          <w:p w14:paraId="43FD698D" w14:textId="77777777" w:rsidR="00061CCE" w:rsidRPr="00061CCE" w:rsidRDefault="00061CCE" w:rsidP="00061CCE">
            <w:pPr>
              <w:spacing w:after="0" w:line="240" w:lineRule="auto"/>
              <w:rPr>
                <w:rFonts w:ascii="Times New Roman" w:eastAsia="Times New Roman" w:hAnsi="Times New Roman" w:cs="Times New Roman"/>
                <w:lang w:eastAsia="lt-LT"/>
              </w:rPr>
            </w:pPr>
          </w:p>
        </w:tc>
      </w:tr>
      <w:tr w:rsidR="00061CCE" w:rsidRPr="00061CCE" w14:paraId="7747A206" w14:textId="77777777" w:rsidTr="00DA7146">
        <w:trPr>
          <w:cantSplit/>
        </w:trPr>
        <w:tc>
          <w:tcPr>
            <w:tcW w:w="1589" w:type="dxa"/>
            <w:tcBorders>
              <w:top w:val="single" w:sz="4" w:space="0" w:color="auto"/>
              <w:left w:val="single" w:sz="4" w:space="0" w:color="auto"/>
              <w:bottom w:val="single" w:sz="4" w:space="0" w:color="auto"/>
              <w:right w:val="single" w:sz="4" w:space="0" w:color="auto"/>
            </w:tcBorders>
          </w:tcPr>
          <w:p w14:paraId="534ADEC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 kombinuotos anestezijos metu</w:t>
            </w:r>
          </w:p>
        </w:tc>
        <w:tc>
          <w:tcPr>
            <w:tcW w:w="2555" w:type="dxa"/>
            <w:tcBorders>
              <w:top w:val="single" w:sz="4" w:space="0" w:color="auto"/>
              <w:left w:val="single" w:sz="4" w:space="0" w:color="auto"/>
              <w:bottom w:val="single" w:sz="4" w:space="0" w:color="auto"/>
              <w:right w:val="single" w:sz="4" w:space="0" w:color="auto"/>
            </w:tcBorders>
          </w:tcPr>
          <w:p w14:paraId="7A518AA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2540128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0,03</w:t>
            </w:r>
            <w:r w:rsidRPr="00061CCE">
              <w:rPr>
                <w:rFonts w:ascii="Times New Roman" w:eastAsia="Times New Roman" w:hAnsi="Times New Roman" w:cs="Times New Roman"/>
                <w:szCs w:val="20"/>
                <w:lang w:eastAsia="lt-LT"/>
              </w:rPr>
              <w:t> </w:t>
            </w:r>
            <w:r w:rsidRPr="00061CCE">
              <w:rPr>
                <w:rFonts w:ascii="Times New Roman" w:eastAsia="Times New Roman" w:hAnsi="Times New Roman" w:cs="Times New Roman"/>
                <w:lang w:eastAsia="lt-LT"/>
              </w:rPr>
              <w:t xml:space="preserve">– 0,1 mg/kg kūno svorio dozė suleidžiama tam tikru intervalu arba nuolatinės infuzijos būdu 0,03 – 0,1 mg/kg kūno svorio per </w:t>
            </w:r>
          </w:p>
          <w:p w14:paraId="2613052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kiekvieną valandą</w:t>
            </w:r>
          </w:p>
        </w:tc>
        <w:tc>
          <w:tcPr>
            <w:tcW w:w="2464" w:type="dxa"/>
            <w:tcBorders>
              <w:top w:val="single" w:sz="4" w:space="0" w:color="auto"/>
              <w:left w:val="single" w:sz="4" w:space="0" w:color="auto"/>
              <w:bottom w:val="single" w:sz="4" w:space="0" w:color="auto"/>
              <w:right w:val="single" w:sz="4" w:space="0" w:color="auto"/>
            </w:tcBorders>
          </w:tcPr>
          <w:p w14:paraId="42B89F2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3FBE5EA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Mažesnė dozė už rekomenduojamą jaunesniems nei 60 metų suaugusiesiems dozę</w:t>
            </w:r>
          </w:p>
        </w:tc>
        <w:tc>
          <w:tcPr>
            <w:tcW w:w="2464" w:type="dxa"/>
            <w:tcBorders>
              <w:top w:val="single" w:sz="4" w:space="0" w:color="auto"/>
              <w:left w:val="single" w:sz="4" w:space="0" w:color="auto"/>
              <w:bottom w:val="single" w:sz="4" w:space="0" w:color="auto"/>
              <w:right w:val="single" w:sz="4" w:space="0" w:color="auto"/>
            </w:tcBorders>
          </w:tcPr>
          <w:p w14:paraId="054305F1" w14:textId="77777777" w:rsidR="00061CCE" w:rsidRPr="00061CCE" w:rsidRDefault="00061CCE" w:rsidP="00061CCE">
            <w:pPr>
              <w:spacing w:after="0" w:line="240" w:lineRule="auto"/>
              <w:rPr>
                <w:rFonts w:ascii="Times New Roman" w:eastAsia="Times New Roman" w:hAnsi="Times New Roman" w:cs="Times New Roman"/>
                <w:lang w:eastAsia="lt-LT"/>
              </w:rPr>
            </w:pPr>
          </w:p>
        </w:tc>
      </w:tr>
      <w:tr w:rsidR="00061CCE" w:rsidRPr="00061CCE" w14:paraId="79DE1493" w14:textId="77777777" w:rsidTr="00DA7146">
        <w:trPr>
          <w:cantSplit/>
        </w:trPr>
        <w:tc>
          <w:tcPr>
            <w:tcW w:w="1589" w:type="dxa"/>
            <w:tcBorders>
              <w:top w:val="single" w:sz="4" w:space="0" w:color="auto"/>
              <w:left w:val="single" w:sz="4" w:space="0" w:color="auto"/>
              <w:bottom w:val="single" w:sz="4" w:space="0" w:color="auto"/>
              <w:right w:val="single" w:sz="4" w:space="0" w:color="auto"/>
            </w:tcBorders>
          </w:tcPr>
          <w:p w14:paraId="121FB83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 intensyvios terapijos skyriuje</w:t>
            </w:r>
          </w:p>
        </w:tc>
        <w:tc>
          <w:tcPr>
            <w:tcW w:w="5019" w:type="dxa"/>
            <w:gridSpan w:val="2"/>
            <w:tcBorders>
              <w:top w:val="single" w:sz="4" w:space="0" w:color="auto"/>
              <w:left w:val="single" w:sz="4" w:space="0" w:color="auto"/>
              <w:bottom w:val="single" w:sz="4" w:space="0" w:color="auto"/>
              <w:right w:val="single" w:sz="4" w:space="0" w:color="auto"/>
            </w:tcBorders>
          </w:tcPr>
          <w:p w14:paraId="65EAEF8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p>
          <w:p w14:paraId="00F39D7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Įsotinamoji dozė: 0,03</w:t>
            </w:r>
            <w:r w:rsidRPr="00061CCE">
              <w:rPr>
                <w:rFonts w:ascii="Times New Roman" w:eastAsia="Times New Roman" w:hAnsi="Times New Roman" w:cs="Times New Roman"/>
                <w:szCs w:val="20"/>
                <w:lang w:eastAsia="lt-LT"/>
              </w:rPr>
              <w:t> </w:t>
            </w:r>
            <w:r w:rsidRPr="00061CCE">
              <w:rPr>
                <w:rFonts w:ascii="Times New Roman" w:eastAsia="Times New Roman" w:hAnsi="Times New Roman" w:cs="Times New Roman"/>
                <w:lang w:eastAsia="lt-LT"/>
              </w:rPr>
              <w:t>– 0,3 mg/kg kūno svorio. Ją reikia suleisti palaipsniui pridedant po 1 – 2,5 mg.</w:t>
            </w:r>
          </w:p>
          <w:p w14:paraId="1CED3B3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Palaikomoji dozė: 0,03 – 0,2 mg/kg kūno svorio per valandą.</w:t>
            </w:r>
          </w:p>
          <w:p w14:paraId="5404B9E4" w14:textId="77777777" w:rsidR="00061CCE" w:rsidRPr="00061CCE" w:rsidRDefault="00061CCE" w:rsidP="00061CCE">
            <w:pPr>
              <w:spacing w:after="0" w:line="240" w:lineRule="auto"/>
              <w:rPr>
                <w:rFonts w:ascii="Times New Roman" w:eastAsia="Times New Roman" w:hAnsi="Times New Roman" w:cs="Times New Roman"/>
                <w:lang w:eastAsia="lt-LT"/>
              </w:rPr>
            </w:pPr>
          </w:p>
        </w:tc>
        <w:tc>
          <w:tcPr>
            <w:tcW w:w="2464" w:type="dxa"/>
            <w:tcBorders>
              <w:top w:val="single" w:sz="4" w:space="0" w:color="auto"/>
              <w:left w:val="single" w:sz="4" w:space="0" w:color="auto"/>
              <w:bottom w:val="single" w:sz="4" w:space="0" w:color="auto"/>
              <w:right w:val="single" w:sz="4" w:space="0" w:color="auto"/>
            </w:tcBorders>
          </w:tcPr>
          <w:p w14:paraId="545C452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w:t>
            </w:r>
            <w:r w:rsidRPr="00061CCE">
              <w:rPr>
                <w:rFonts w:ascii="Times New Roman" w:eastAsia="Times New Roman" w:hAnsi="Times New Roman" w:cs="Times New Roman"/>
                <w:lang w:eastAsia="lt-LT"/>
              </w:rPr>
              <w:t xml:space="preserve"> </w:t>
            </w:r>
            <w:r w:rsidRPr="00061CCE">
              <w:rPr>
                <w:rFonts w:ascii="Times New Roman" w:eastAsia="Calibri" w:hAnsi="Times New Roman" w:cs="Times New Roman"/>
                <w:lang w:eastAsia="en-US"/>
              </w:rPr>
              <w:t>≤</w:t>
            </w:r>
            <w:r w:rsidRPr="00061CCE">
              <w:rPr>
                <w:rFonts w:ascii="Times New Roman" w:eastAsia="Times New Roman" w:hAnsi="Times New Roman" w:cs="Times New Roman"/>
                <w:b/>
                <w:bCs/>
                <w:i/>
                <w:iCs/>
                <w:lang w:eastAsia="lt-LT"/>
              </w:rPr>
              <w:t xml:space="preserve"> 32 savaičių neišnešiotiems naujagimiams </w:t>
            </w:r>
          </w:p>
          <w:p w14:paraId="72D662F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0,03 mg/kg kūno svorio per valandą.</w:t>
            </w:r>
          </w:p>
          <w:p w14:paraId="25A0014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 &gt; 32 savaičių neišnešiotiems naujagimiams ir iki 6 mėnesių amžiaus kūdikiams</w:t>
            </w:r>
          </w:p>
          <w:p w14:paraId="065E401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0,06 mg/kg kūno svorio per valandą.</w:t>
            </w:r>
          </w:p>
          <w:p w14:paraId="68CD5B6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bCs/>
                <w:i/>
                <w:iCs/>
                <w:lang w:eastAsia="lt-LT"/>
              </w:rPr>
              <w:t>i.v. &gt; 6 mėn. amžiaus pacientams</w:t>
            </w:r>
          </w:p>
          <w:p w14:paraId="2938E00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Įsotinamoji dozė: 0,05 – 0,2 mg/kg kūno svorio</w:t>
            </w:r>
          </w:p>
          <w:p w14:paraId="05F7435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Palaikomoji dozė: 0,06 – 0,12 mg/kg kūno svorio per valandą.</w:t>
            </w:r>
          </w:p>
        </w:tc>
      </w:tr>
    </w:tbl>
    <w:p w14:paraId="57C8344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68B5334"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i/>
          <w:lang w:eastAsia="lt-LT"/>
        </w:rPr>
        <w:t>Dozavimas sedacijai, išliekant sąmonei</w:t>
      </w:r>
    </w:p>
    <w:p w14:paraId="1A03B494"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1B335E9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Sedacijai, išliekant sąmonei, prieš diagnostines ar chirurgines procedūras midazolamas yra leidžiamas į veną.</w:t>
      </w:r>
    </w:p>
    <w:p w14:paraId="1CBFC17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36E7F9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Dozė turi būti nustatoma individuliai ir titruojama, jos negalima suleisti greitai ar iš karto.</w:t>
      </w:r>
    </w:p>
    <w:p w14:paraId="4121EA5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28230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 kiekvienam pacientui gali prasidėti individualiai, priklausomai nuo paciento fizinės būsenos bei dozavimo aplinkybių (pvz. injekcijos greičio ir dozės stiprumo).</w:t>
      </w:r>
    </w:p>
    <w:p w14:paraId="17D4EDC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EB2DF8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Prireikus vėliau pagal individualų poreikį gali būti skiriamos papildomos dozės.</w:t>
      </w:r>
    </w:p>
    <w:p w14:paraId="0F354D8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AEB081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Suleidus vaistinį preparatą poveikis prasideda maždaug po 2 minučių ir maždaug po 5 – 10 minučių jis būna didžiausias.</w:t>
      </w:r>
    </w:p>
    <w:p w14:paraId="75A1ECA3"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60000F57" w14:textId="77777777" w:rsidR="00061CCE" w:rsidRPr="00061CCE" w:rsidRDefault="00061CCE" w:rsidP="00061CCE">
      <w:pPr>
        <w:keepNext/>
        <w:spacing w:after="0" w:line="240" w:lineRule="auto"/>
        <w:jc w:val="both"/>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Suaugusieji</w:t>
      </w:r>
    </w:p>
    <w:p w14:paraId="7D596C9F" w14:textId="77777777" w:rsidR="00061CCE" w:rsidRPr="00061CCE" w:rsidRDefault="00061CCE" w:rsidP="00061CCE">
      <w:pPr>
        <w:keepNext/>
        <w:spacing w:after="0" w:line="240" w:lineRule="auto"/>
        <w:jc w:val="both"/>
        <w:outlineLvl w:val="5"/>
        <w:rPr>
          <w:rFonts w:ascii="Times New Roman" w:eastAsia="Times New Roman" w:hAnsi="Times New Roman" w:cs="Times New Roman"/>
          <w:iCs/>
          <w:u w:val="single"/>
          <w:lang w:eastAsia="lt-LT"/>
        </w:rPr>
      </w:pPr>
    </w:p>
    <w:p w14:paraId="6AA8FEC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Midazolamą į veną reikia leisti lėtai, maždaug 1 mg per 30 sekundžių.</w:t>
      </w:r>
    </w:p>
    <w:p w14:paraId="7044062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CAD779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Cs/>
          <w:lang w:eastAsia="lt-LT"/>
        </w:rPr>
        <w:t xml:space="preserve">Jaunesniems nei 60 metų suaugusiesiems </w:t>
      </w:r>
      <w:r w:rsidRPr="00061CCE">
        <w:rPr>
          <w:rFonts w:ascii="Times New Roman" w:eastAsia="Times New Roman" w:hAnsi="Times New Roman" w:cs="Times New Roman"/>
          <w:lang w:eastAsia="lt-LT"/>
        </w:rPr>
        <w:t xml:space="preserve">pradinė dozė, t. y. 2 – 2,5 mg, skiriama 5 –10 minučių prieš procedūros pradžią. Prireikus pakartotinai galima švirkšti po 1 mg. </w:t>
      </w:r>
    </w:p>
    <w:p w14:paraId="25D198E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4E4711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Tokiu atveju vidutinė bendra dozė yra 3,5 – 7,5 mg. Dažniausiai neprireikia didesnė nei 5 mg bendros dozės. </w:t>
      </w:r>
    </w:p>
    <w:p w14:paraId="7AD2A97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EBCF44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Cs/>
          <w:lang w:eastAsia="lt-LT"/>
        </w:rPr>
        <w:t xml:space="preserve">Vyresniems nei 60 metų </w:t>
      </w:r>
      <w:bookmarkStart w:id="7" w:name="_Hlk93487015"/>
      <w:r w:rsidRPr="00061CCE">
        <w:rPr>
          <w:rFonts w:ascii="Times New Roman" w:eastAsia="Times New Roman" w:hAnsi="Times New Roman" w:cs="Times New Roman"/>
          <w:bCs/>
          <w:lang w:eastAsia="lt-LT"/>
        </w:rPr>
        <w:t>suaugusiesiems</w:t>
      </w:r>
      <w:bookmarkEnd w:id="7"/>
      <w:r w:rsidRPr="00061CCE">
        <w:rPr>
          <w:rFonts w:ascii="Times New Roman" w:eastAsia="Times New Roman" w:hAnsi="Times New Roman" w:cs="Times New Roman"/>
          <w:bCs/>
          <w:lang w:eastAsia="lt-LT"/>
        </w:rPr>
        <w:t xml:space="preserve">, nusilpusiems ir lėtinėmis ligomis sergantiems ligoniams </w:t>
      </w:r>
      <w:r w:rsidRPr="00061CCE">
        <w:rPr>
          <w:rFonts w:ascii="Times New Roman" w:eastAsia="Times New Roman" w:hAnsi="Times New Roman" w:cs="Times New Roman"/>
          <w:lang w:eastAsia="lt-LT"/>
        </w:rPr>
        <w:t>pradžioje turėtų būti skiriama 0,5 – 1 mg dozė</w:t>
      </w:r>
      <w:bookmarkStart w:id="8" w:name="_Hlk73029211"/>
      <w:r w:rsidRPr="00061CCE">
        <w:rPr>
          <w:rFonts w:ascii="Times New Roman" w:eastAsia="Times New Roman" w:hAnsi="Times New Roman" w:cs="Times New Roman"/>
          <w:lang w:eastAsia="lt-LT"/>
        </w:rPr>
        <w:t>, vartojama 5–10 minučių prieš procedūros pradžią</w:t>
      </w:r>
      <w:bookmarkEnd w:id="8"/>
      <w:r w:rsidRPr="00061CCE">
        <w:rPr>
          <w:rFonts w:ascii="Times New Roman" w:eastAsia="Times New Roman" w:hAnsi="Times New Roman" w:cs="Times New Roman"/>
          <w:lang w:eastAsia="lt-LT"/>
        </w:rPr>
        <w:t>. Jei reikia, pakartotinai galima skirti 0,5 – 1 mg papildomas dozes. Kadangi tokiems pacientams didžiausią poveikį galima pasiekti ne taip greitai, papildomas midazolamo dozes reikia titruoti labai lėtai ir atsargiai. Dažniausiai pakankama yra ne didesnė nei 3,5 mg bendra dozė.</w:t>
      </w:r>
    </w:p>
    <w:p w14:paraId="31F34558"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5CB811D1" w14:textId="77777777" w:rsidR="00061CCE" w:rsidRPr="00061CCE" w:rsidRDefault="00061CCE" w:rsidP="00061CCE">
      <w:pPr>
        <w:keepNext/>
        <w:spacing w:after="0" w:line="240" w:lineRule="auto"/>
        <w:jc w:val="both"/>
        <w:outlineLvl w:val="6"/>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Vaikų populiacija</w:t>
      </w:r>
    </w:p>
    <w:p w14:paraId="1C905865" w14:textId="77777777" w:rsidR="00061CCE" w:rsidRPr="00061CCE" w:rsidRDefault="00061CCE" w:rsidP="00061CCE">
      <w:pPr>
        <w:keepNext/>
        <w:spacing w:after="0" w:line="240" w:lineRule="auto"/>
        <w:rPr>
          <w:rFonts w:ascii="Times New Roman" w:eastAsia="Times New Roman" w:hAnsi="Times New Roman" w:cs="Times New Roman"/>
          <w:szCs w:val="20"/>
          <w:lang w:eastAsia="lt-LT"/>
        </w:rPr>
      </w:pPr>
    </w:p>
    <w:p w14:paraId="689BC98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Injekcija į veną:</w:t>
      </w:r>
      <w:r w:rsidRPr="00061CCE">
        <w:rPr>
          <w:rFonts w:ascii="Times New Roman" w:eastAsia="Times New Roman" w:hAnsi="Times New Roman" w:cs="Times New Roman"/>
          <w:lang w:eastAsia="lt-LT"/>
        </w:rPr>
        <w:t xml:space="preserve"> Midazolamo dozę reikia lėtai titruoti iki pasiekiamas pageidaujamas klinikinis efektas. Pradinę midazolamo dozę reikia sušvirkšti per 2 – 3 minutes.</w:t>
      </w:r>
    </w:p>
    <w:p w14:paraId="3B8EE15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366866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Reikia palaukti 2 – 5 minučių laikotarpį, kol pasireikš visiška sedacija, ir tik po to pradėti procedūrą ar kartoti dozę. </w:t>
      </w:r>
    </w:p>
    <w:p w14:paraId="3F3F6DD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būtina gilesnė sedacija, toliau po truputį titruokite dozę tol, kol bus pasiektas reikiamas sedacinis poveikis. </w:t>
      </w:r>
    </w:p>
    <w:p w14:paraId="7F66C41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47CF25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Kūdikiams ir jaunesniems nei 5 metų vaikams gali būti reikalinga gerokai didesnės dozės (mg/kg) nei vyresniems vaikams ar paaugliams.</w:t>
      </w:r>
    </w:p>
    <w:p w14:paraId="686A64C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4A9DAD9" w14:textId="77777777" w:rsidR="00061CCE" w:rsidRPr="00061CCE" w:rsidRDefault="00061CCE" w:rsidP="00061CCE">
      <w:pPr>
        <w:numPr>
          <w:ilvl w:val="0"/>
          <w:numId w:val="17"/>
        </w:numPr>
        <w:spacing w:after="0" w:line="240" w:lineRule="auto"/>
        <w:ind w:left="567" w:hanging="567"/>
        <w:contextualSpacing/>
        <w:rPr>
          <w:rFonts w:ascii="Times New Roman" w:eastAsia="Times New Roman" w:hAnsi="Times New Roman" w:cs="Times New Roman"/>
          <w:bCs/>
          <w:lang w:eastAsia="lt-LT"/>
        </w:rPr>
      </w:pPr>
      <w:r w:rsidRPr="00061CCE">
        <w:rPr>
          <w:rFonts w:ascii="Times New Roman" w:eastAsia="Times New Roman" w:hAnsi="Times New Roman" w:cs="Times New Roman"/>
          <w:bCs/>
          <w:iCs/>
          <w:lang w:eastAsia="lt-LT"/>
        </w:rPr>
        <w:t>Jaunesni nei 6 mėnesių kūdikiai</w:t>
      </w:r>
      <w:r w:rsidRPr="00061CCE">
        <w:rPr>
          <w:rFonts w:ascii="Times New Roman" w:eastAsia="Times New Roman" w:hAnsi="Times New Roman" w:cs="Times New Roman"/>
          <w:bCs/>
          <w:lang w:eastAsia="lt-LT"/>
        </w:rPr>
        <w:t>: Jaunesniems nei 6 mėnesių kūdikiams yra ypač pavojinga kvėpavimo takų obstrukcija ir hipoventiliacija. Dėl šios priežasties jaunesniems nei 6 mėnesių vaikams sedacija nerekomenduojama.</w:t>
      </w:r>
    </w:p>
    <w:p w14:paraId="133D9086" w14:textId="77777777" w:rsidR="00061CCE" w:rsidRPr="00061CCE" w:rsidRDefault="00061CCE" w:rsidP="00061CCE">
      <w:pPr>
        <w:spacing w:after="0" w:line="240" w:lineRule="auto"/>
        <w:ind w:left="567"/>
        <w:contextualSpacing/>
        <w:rPr>
          <w:rFonts w:ascii="Times New Roman" w:eastAsia="Times New Roman" w:hAnsi="Times New Roman" w:cs="Times New Roman"/>
          <w:bCs/>
          <w:lang w:eastAsia="lt-LT"/>
        </w:rPr>
      </w:pPr>
    </w:p>
    <w:p w14:paraId="3BDE286A" w14:textId="77777777" w:rsidR="00061CCE" w:rsidRPr="00061CCE" w:rsidRDefault="00061CCE" w:rsidP="00061CCE">
      <w:pPr>
        <w:numPr>
          <w:ilvl w:val="0"/>
          <w:numId w:val="17"/>
        </w:numPr>
        <w:spacing w:after="0" w:line="240" w:lineRule="auto"/>
        <w:ind w:left="567" w:hanging="567"/>
        <w:contextualSpacing/>
        <w:rPr>
          <w:rFonts w:ascii="Times New Roman" w:eastAsia="Times New Roman" w:hAnsi="Times New Roman" w:cs="Times New Roman"/>
          <w:bCs/>
          <w:lang w:eastAsia="lt-LT"/>
        </w:rPr>
      </w:pPr>
      <w:r w:rsidRPr="00061CCE">
        <w:rPr>
          <w:rFonts w:ascii="Times New Roman" w:eastAsia="Times New Roman" w:hAnsi="Times New Roman" w:cs="Times New Roman"/>
          <w:bCs/>
          <w:iCs/>
          <w:lang w:eastAsia="lt-LT"/>
        </w:rPr>
        <w:t>0,5 (6 mėnesių) – 5 metų vaikai</w:t>
      </w:r>
      <w:r w:rsidRPr="00061CCE">
        <w:rPr>
          <w:rFonts w:ascii="Times New Roman" w:eastAsia="Times New Roman" w:hAnsi="Times New Roman" w:cs="Times New Roman"/>
          <w:bCs/>
          <w:lang w:eastAsia="lt-LT"/>
        </w:rPr>
        <w:t>: Pradinė dozė yra 0,05 – 0,1 mg/kg kūno svorio. Pageidaujamo stiprumo raminamajam poveikiui sukelti gali prireikti net 0,6 mg/kg kūno svorio bendros dozės, tačiau ji neturėtų viršyti 6 mg. Ilgesnis raminamasis poveikis ir hipoventiliacijos pavojus gali būti susiję su didesnėmis vaistinio preparato dozėmis.</w:t>
      </w:r>
    </w:p>
    <w:p w14:paraId="54C14C23" w14:textId="77777777" w:rsidR="00061CCE" w:rsidRPr="00061CCE" w:rsidRDefault="00061CCE" w:rsidP="00061CCE">
      <w:pPr>
        <w:spacing w:after="0" w:line="240" w:lineRule="auto"/>
        <w:rPr>
          <w:rFonts w:ascii="Times New Roman" w:eastAsia="Times New Roman" w:hAnsi="Times New Roman" w:cs="Times New Roman"/>
          <w:bCs/>
          <w:lang w:eastAsia="lt-LT"/>
        </w:rPr>
      </w:pPr>
    </w:p>
    <w:p w14:paraId="1692CE8F" w14:textId="77777777" w:rsidR="00061CCE" w:rsidRPr="00061CCE" w:rsidRDefault="00061CCE" w:rsidP="00061CCE">
      <w:pPr>
        <w:numPr>
          <w:ilvl w:val="0"/>
          <w:numId w:val="17"/>
        </w:numPr>
        <w:spacing w:after="0" w:line="240" w:lineRule="auto"/>
        <w:ind w:left="567" w:hanging="567"/>
        <w:contextualSpacing/>
        <w:rPr>
          <w:rFonts w:ascii="Times New Roman" w:eastAsia="Times New Roman" w:hAnsi="Times New Roman" w:cs="Times New Roman"/>
          <w:bCs/>
          <w:szCs w:val="20"/>
          <w:lang w:eastAsia="lt-LT"/>
        </w:rPr>
      </w:pPr>
      <w:r w:rsidRPr="00061CCE">
        <w:rPr>
          <w:rFonts w:ascii="Times New Roman" w:eastAsia="Times New Roman" w:hAnsi="Times New Roman" w:cs="Times New Roman"/>
          <w:bCs/>
          <w:iCs/>
          <w:szCs w:val="20"/>
          <w:lang w:eastAsia="lt-LT"/>
        </w:rPr>
        <w:t>6 – 12 metų vaikai</w:t>
      </w:r>
      <w:r w:rsidRPr="00061CCE">
        <w:rPr>
          <w:rFonts w:ascii="Times New Roman" w:eastAsia="Times New Roman" w:hAnsi="Times New Roman" w:cs="Times New Roman"/>
          <w:bCs/>
          <w:szCs w:val="20"/>
          <w:lang w:eastAsia="lt-LT"/>
        </w:rPr>
        <w:t>: Pradinė dozė yra 0,025 – 0,05 mg/kg kūno svorio. Gali prireikti net 0,4 mg/kg kūno svorio, tačiau ji neturėtų viršyti 10 mg. Ilgesnis raminamasis poveikis ir hipoventiliacijos pavojus gali būti susiję su didesnėmis vaistinio preparato dozėmis.</w:t>
      </w:r>
    </w:p>
    <w:p w14:paraId="190AF062" w14:textId="77777777" w:rsidR="00061CCE" w:rsidRPr="00061CCE" w:rsidRDefault="00061CCE" w:rsidP="00061CCE">
      <w:pPr>
        <w:spacing w:after="0" w:line="240" w:lineRule="auto"/>
        <w:rPr>
          <w:rFonts w:ascii="Times New Roman" w:eastAsia="Times New Roman" w:hAnsi="Times New Roman" w:cs="Times New Roman"/>
          <w:bCs/>
          <w:szCs w:val="20"/>
          <w:lang w:eastAsia="lt-LT"/>
        </w:rPr>
      </w:pPr>
    </w:p>
    <w:p w14:paraId="53B4AE6D" w14:textId="77777777" w:rsidR="00061CCE" w:rsidRPr="00061CCE" w:rsidRDefault="00061CCE" w:rsidP="00061CCE">
      <w:pPr>
        <w:numPr>
          <w:ilvl w:val="0"/>
          <w:numId w:val="17"/>
        </w:numPr>
        <w:spacing w:after="0" w:line="240" w:lineRule="auto"/>
        <w:ind w:left="567" w:hanging="567"/>
        <w:contextualSpacing/>
        <w:rPr>
          <w:rFonts w:ascii="Times New Roman" w:eastAsia="Times New Roman" w:hAnsi="Times New Roman" w:cs="Times New Roman"/>
          <w:lang w:eastAsia="lt-LT"/>
        </w:rPr>
      </w:pPr>
      <w:r w:rsidRPr="00061CCE">
        <w:rPr>
          <w:rFonts w:ascii="Times New Roman" w:eastAsia="Times New Roman" w:hAnsi="Times New Roman" w:cs="Times New Roman"/>
          <w:bCs/>
          <w:iCs/>
          <w:lang w:eastAsia="lt-LT"/>
        </w:rPr>
        <w:t>12 – 16 metų vaikai</w:t>
      </w:r>
      <w:r w:rsidRPr="00061CCE">
        <w:rPr>
          <w:rFonts w:ascii="Times New Roman" w:eastAsia="Times New Roman" w:hAnsi="Times New Roman" w:cs="Times New Roman"/>
          <w:bCs/>
          <w:lang w:eastAsia="lt-LT"/>
        </w:rPr>
        <w:t>:</w:t>
      </w:r>
      <w:r w:rsidRPr="00061CCE">
        <w:rPr>
          <w:rFonts w:ascii="Times New Roman" w:eastAsia="Times New Roman" w:hAnsi="Times New Roman" w:cs="Times New Roman"/>
          <w:lang w:eastAsia="lt-LT"/>
        </w:rPr>
        <w:t xml:space="preserve"> dozuoti reikia kaip suaugusiesiems.</w:t>
      </w:r>
    </w:p>
    <w:p w14:paraId="559468BC" w14:textId="77777777" w:rsidR="00061CCE" w:rsidRPr="00061CCE" w:rsidRDefault="00061CCE" w:rsidP="00061CCE">
      <w:pPr>
        <w:spacing w:after="0" w:line="240" w:lineRule="auto"/>
        <w:jc w:val="both"/>
        <w:rPr>
          <w:rFonts w:ascii="Times New Roman" w:eastAsia="Times New Roman" w:hAnsi="Times New Roman" w:cs="Times New Roman"/>
          <w:u w:val="single"/>
          <w:lang w:eastAsia="lt-LT"/>
        </w:rPr>
      </w:pPr>
    </w:p>
    <w:p w14:paraId="3982C5A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Vartojimas į tiesiąją žarną:</w:t>
      </w:r>
      <w:r w:rsidRPr="00061CCE">
        <w:rPr>
          <w:rFonts w:ascii="Times New Roman" w:eastAsia="Times New Roman" w:hAnsi="Times New Roman" w:cs="Times New Roman"/>
          <w:lang w:eastAsia="lt-LT"/>
        </w:rPr>
        <w:t xml:space="preserve"> Dažniausiai į tiesiąją žarną vartojama 0,3 – 0,5 mg/kg kūno svorio bendra midazolamo dozė. Injekcinis tirpalas sušvirkščiamas į tiesiąją žarną švirkštu, ant kurio galo pritvirtintas plastmasinis </w:t>
      </w:r>
      <w:bookmarkStart w:id="9" w:name="_Hlk93487391"/>
      <w:r w:rsidRPr="00061CCE">
        <w:rPr>
          <w:rFonts w:ascii="Times New Roman" w:eastAsia="Times New Roman" w:hAnsi="Times New Roman" w:cs="Times New Roman"/>
          <w:lang w:eastAsia="lt-LT"/>
        </w:rPr>
        <w:t>aplikatorius</w:t>
      </w:r>
      <w:bookmarkEnd w:id="9"/>
      <w:r w:rsidRPr="00061CCE">
        <w:rPr>
          <w:rFonts w:ascii="Times New Roman" w:eastAsia="Times New Roman" w:hAnsi="Times New Roman" w:cs="Times New Roman"/>
          <w:lang w:eastAsia="lt-LT"/>
        </w:rPr>
        <w:t>. Jei tirpalo tūris yra per mažas, į švirkštą galima įsiurbti vandens, kad bendras tirpalo tūris būtų 10 ml. Visą reikalingą dozę reikėtų sušvirkšti iš karto ir, jei įmanoma, vaistinio preparato vartojimo į tiesiąją žarną nekartoti. Kadangi nepakanka patirties, jaunesniems nei 6 mėnesių vaikams vaistinio preparato vartoti į tiesiąją žarną nerekomenduojama.</w:t>
      </w:r>
    </w:p>
    <w:p w14:paraId="68E61500" w14:textId="77777777" w:rsidR="00061CCE" w:rsidRPr="00061CCE" w:rsidRDefault="00061CCE" w:rsidP="00061CCE">
      <w:pPr>
        <w:spacing w:after="0" w:line="240" w:lineRule="auto"/>
        <w:jc w:val="both"/>
        <w:rPr>
          <w:rFonts w:ascii="Times New Roman" w:eastAsia="Times New Roman" w:hAnsi="Times New Roman" w:cs="Times New Roman"/>
          <w:u w:val="single"/>
          <w:lang w:eastAsia="lt-LT"/>
        </w:rPr>
      </w:pPr>
    </w:p>
    <w:p w14:paraId="5DC07FB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Injekcija į raumenis:</w:t>
      </w:r>
      <w:r w:rsidRPr="00061CCE">
        <w:rPr>
          <w:rFonts w:ascii="Times New Roman" w:eastAsia="Times New Roman" w:hAnsi="Times New Roman" w:cs="Times New Roman"/>
          <w:lang w:eastAsia="lt-LT"/>
        </w:rPr>
        <w:t xml:space="preserve"> Vartojamų dozių intervalas 0,05 – 0,15 mg/kg kūno svorio. Didžiausia bendra vaistinio preparato dozė turėtų neviršyti 10,0 mg. Šiuo būdu vaistinis preparatas turėtų būti vartojamas tik išimtiniu atveju. Medikamento geriau vartoti į tiesiąją žarną nei leisti į raumenis, kadangi pastarasis vartojimo būdas yra skausmingas.</w:t>
      </w:r>
    </w:p>
    <w:p w14:paraId="3CF0335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5EF9D9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Vaikams, kurių kūno svoris mažesnis nei 15 kg</w:t>
      </w:r>
      <w:r w:rsidRPr="00061CCE">
        <w:rPr>
          <w:rFonts w:ascii="Times New Roman" w:eastAsia="Times New Roman" w:hAnsi="Times New Roman" w:cs="Times New Roman"/>
          <w:lang w:eastAsia="lt-LT"/>
        </w:rPr>
        <w:t>, injekuoti didesnės nei 1 mg/ml koncentracijos midazolamo tirpalo, nerekomenduojama. Didesnės koncentracijos tirpalą reikia skiesti iki 1 mg/ml.</w:t>
      </w:r>
    </w:p>
    <w:p w14:paraId="347CF6FB"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391BC836" w14:textId="77777777" w:rsidR="00061CCE" w:rsidRPr="00061CCE" w:rsidRDefault="00061CCE" w:rsidP="00061CCE">
      <w:pPr>
        <w:spacing w:after="0" w:line="240" w:lineRule="auto"/>
        <w:jc w:val="both"/>
        <w:rPr>
          <w:rFonts w:ascii="Times New Roman" w:eastAsia="Times New Roman" w:hAnsi="Times New Roman" w:cs="Times New Roman"/>
          <w:i/>
          <w:lang w:eastAsia="lt-LT"/>
        </w:rPr>
      </w:pPr>
      <w:r w:rsidRPr="00061CCE">
        <w:rPr>
          <w:rFonts w:ascii="Times New Roman" w:eastAsia="Times New Roman" w:hAnsi="Times New Roman" w:cs="Times New Roman"/>
          <w:i/>
          <w:lang w:eastAsia="lt-LT"/>
        </w:rPr>
        <w:t>Dozavimas premedikacijai prieš bendrąją anesteziją</w:t>
      </w:r>
    </w:p>
    <w:p w14:paraId="79DC8EF7"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1D65814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Atlikus premedikaciją, t. y. prieš pat procedūrą sušvirkštus midazolamo, pasireiškia sedacinis poveikis (atsiranda mieguistumas ar snaudulys bei sumažėja nerimas), atsipalaiduoja raumenys ir pasireiškia anterogradinė amnezija. </w:t>
      </w:r>
    </w:p>
    <w:p w14:paraId="5A1D823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918863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Midazolamas gali būti vartojamas kartu su anticholinerginiais vaistiniais preparatais. </w:t>
      </w:r>
    </w:p>
    <w:p w14:paraId="7CE2B65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079FBD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atliekama premedikacija, 20 – 60 minučių prieš anestezijos pradžią midazolamo reikia sušvirkšti į veną arba į raumenis giliai į didžiuosius raumenis arba vaikams pageidautina į tiesiąją žarną (žr. toliau). </w:t>
      </w:r>
    </w:p>
    <w:p w14:paraId="02BEADC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81DD39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Dėl skirtingo individualaus jautrumo vaistiniam preparatui po premedikacijos būtina tinkamai stebėti pacientą, kadangi gali atsirasti perdozavimo simptomų.</w:t>
      </w:r>
    </w:p>
    <w:p w14:paraId="5B4AD39F"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60A55918" w14:textId="77777777" w:rsidR="00061CCE" w:rsidRPr="00061CCE" w:rsidRDefault="00061CCE" w:rsidP="00061CCE">
      <w:pPr>
        <w:keepNext/>
        <w:spacing w:after="0" w:line="240" w:lineRule="auto"/>
        <w:jc w:val="both"/>
        <w:outlineLvl w:val="5"/>
        <w:rPr>
          <w:rFonts w:ascii="Times New Roman" w:eastAsia="Times New Roman" w:hAnsi="Times New Roman" w:cs="Times New Roman"/>
          <w:lang w:eastAsia="lt-LT"/>
        </w:rPr>
      </w:pPr>
      <w:r w:rsidRPr="00061CCE">
        <w:rPr>
          <w:rFonts w:ascii="Times New Roman" w:eastAsia="Times New Roman" w:hAnsi="Times New Roman" w:cs="Times New Roman"/>
          <w:iCs/>
          <w:u w:val="single"/>
          <w:lang w:eastAsia="lt-LT"/>
        </w:rPr>
        <w:t>Suaugusieji</w:t>
      </w:r>
    </w:p>
    <w:p w14:paraId="4257E1DC" w14:textId="77777777" w:rsidR="00061CCE" w:rsidRPr="00061CCE" w:rsidRDefault="00061CCE" w:rsidP="00061CCE">
      <w:pPr>
        <w:keepNext/>
        <w:spacing w:after="0" w:line="240" w:lineRule="auto"/>
        <w:jc w:val="both"/>
        <w:outlineLvl w:val="5"/>
        <w:rPr>
          <w:rFonts w:ascii="Times New Roman" w:eastAsia="Times New Roman" w:hAnsi="Times New Roman" w:cs="Times New Roman"/>
          <w:lang w:eastAsia="lt-LT"/>
        </w:rPr>
      </w:pPr>
    </w:p>
    <w:p w14:paraId="40807D3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Kad atsirastų raminamasis poveikis ir prieš operaciją buvusių įvykių amnezijai sukelti, jaunesniems nei 60 metų pacientams, kurių sveikatos būklė (pagal ASA (angl.</w:t>
      </w:r>
      <w:r w:rsidRPr="00061CCE">
        <w:rPr>
          <w:rFonts w:ascii="Times New Roman" w:eastAsia="Times New Roman" w:hAnsi="Times New Roman" w:cs="Times New Roman"/>
          <w:b/>
          <w:bCs/>
          <w:lang w:eastAsia="lt-LT"/>
        </w:rPr>
        <w:t xml:space="preserve"> </w:t>
      </w:r>
      <w:r w:rsidRPr="00061CCE">
        <w:rPr>
          <w:rFonts w:ascii="Times New Roman" w:eastAsia="Times New Roman" w:hAnsi="Times New Roman" w:cs="Times New Roman"/>
          <w:bCs/>
          <w:i/>
          <w:lang w:eastAsia="lt-LT"/>
        </w:rPr>
        <w:t>American Society of Anesthesiologists</w:t>
      </w:r>
      <w:r w:rsidRPr="00061CCE">
        <w:rPr>
          <w:rFonts w:ascii="Times New Roman" w:eastAsia="Times New Roman" w:hAnsi="Times New Roman" w:cs="Times New Roman"/>
          <w:bCs/>
          <w:lang w:eastAsia="lt-LT"/>
        </w:rPr>
        <w:t xml:space="preserve">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w:t>
      </w:r>
      <w:r w:rsidRPr="00061CCE">
        <w:rPr>
          <w:rFonts w:ascii="Times New Roman" w:eastAsia="Times New Roman" w:hAnsi="Times New Roman" w:cs="Times New Roman"/>
          <w:lang w:eastAsia="lt-LT"/>
        </w:rPr>
        <w:t>Amerikos Anesteziologų Draugija) vertinimo kriterijus) yra I ir II klasės, rekomenduojama skirti nuo 1 iki 2 mg į veną (kartojant pagal poreikį) arba 0,07</w:t>
      </w:r>
      <w:r w:rsidRPr="00061CCE">
        <w:rPr>
          <w:rFonts w:ascii="Times New Roman" w:eastAsia="Times New Roman" w:hAnsi="Times New Roman" w:cs="Times New Roman"/>
          <w:lang w:eastAsia="lt-LT"/>
        </w:rPr>
        <w:noBreakHyphen/>
        <w:t xml:space="preserve">0,1mg/kg kūno svorio midazolamo dozę į raumenis. </w:t>
      </w:r>
    </w:p>
    <w:p w14:paraId="1C50FEC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4AD09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midazolamas skiriamas </w:t>
      </w:r>
      <w:r w:rsidRPr="00061CCE">
        <w:rPr>
          <w:rFonts w:ascii="Times New Roman" w:eastAsia="Times New Roman" w:hAnsi="Times New Roman" w:cs="Times New Roman"/>
          <w:b/>
          <w:lang w:eastAsia="lt-LT"/>
        </w:rPr>
        <w:t>vyresniems nei 60 metų suaugusiesiems, nusilpusiems ar sergantiems lėtinėmis ligomis pacientams</w:t>
      </w:r>
      <w:r w:rsidRPr="00061CCE">
        <w:rPr>
          <w:rFonts w:ascii="Times New Roman" w:eastAsia="Times New Roman" w:hAnsi="Times New Roman" w:cs="Times New Roman"/>
          <w:lang w:eastAsia="lt-LT"/>
        </w:rPr>
        <w:t xml:space="preserve">, dozę reikia mažinti titruojant ir nustatyti, atsižvelgiant į kiekvieno ligonio būklę. </w:t>
      </w:r>
      <w:bookmarkStart w:id="10" w:name="_Hlk73631522"/>
      <w:r w:rsidRPr="00061CCE">
        <w:rPr>
          <w:rFonts w:ascii="Times New Roman" w:eastAsia="Times New Roman" w:hAnsi="Times New Roman" w:cs="Times New Roman"/>
          <w:lang w:eastAsia="lt-LT"/>
        </w:rPr>
        <w:t>Rekomenduojama dozė į veną yra 0,5 mg, jeigu reikia, ją galima lėtai didinti titruojant.</w:t>
      </w:r>
      <w:bookmarkEnd w:id="10"/>
      <w:r w:rsidRPr="00061CCE">
        <w:rPr>
          <w:rFonts w:ascii="Times New Roman" w:eastAsia="Times New Roman" w:hAnsi="Times New Roman" w:cs="Times New Roman"/>
          <w:lang w:eastAsia="lt-LT"/>
        </w:rPr>
        <w:t xml:space="preserve"> </w:t>
      </w:r>
      <w:bookmarkStart w:id="11" w:name="_Hlk73029513"/>
      <w:r w:rsidRPr="00061CCE">
        <w:rPr>
          <w:rFonts w:ascii="Times New Roman" w:eastAsia="Times New Roman" w:hAnsi="Times New Roman" w:cs="Times New Roman"/>
          <w:lang w:eastAsia="lt-LT"/>
        </w:rPr>
        <w:t>Rekomenduojama dozė į raumenis yra 0,025 </w:t>
      </w:r>
      <w:r w:rsidRPr="00061CCE">
        <w:rPr>
          <w:rFonts w:ascii="Times New Roman" w:eastAsia="Times New Roman" w:hAnsi="Times New Roman" w:cs="Times New Roman"/>
          <w:lang w:eastAsia="lt-LT"/>
        </w:rPr>
        <w:noBreakHyphen/>
        <w:t> 0,05 mg/kg kūno svorio, o įprastinė dozė yra 2 </w:t>
      </w:r>
      <w:r w:rsidRPr="00061CCE">
        <w:rPr>
          <w:rFonts w:ascii="Times New Roman" w:eastAsia="Times New Roman" w:hAnsi="Times New Roman" w:cs="Times New Roman"/>
          <w:lang w:eastAsia="lt-LT"/>
        </w:rPr>
        <w:noBreakHyphen/>
        <w:t> 3 mg. Jeigu kartu skiriama anestetikų, midazolamo dozę reikia sumažinti.</w:t>
      </w:r>
    </w:p>
    <w:bookmarkEnd w:id="11"/>
    <w:p w14:paraId="53300DF6"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7594748D" w14:textId="77777777" w:rsidR="00061CCE" w:rsidRPr="00061CCE" w:rsidRDefault="00061CCE" w:rsidP="00061CCE">
      <w:pPr>
        <w:keepNext/>
        <w:spacing w:after="0" w:line="240" w:lineRule="auto"/>
        <w:jc w:val="both"/>
        <w:outlineLvl w:val="5"/>
        <w:rPr>
          <w:rFonts w:ascii="Times New Roman" w:eastAsia="Times New Roman" w:hAnsi="Times New Roman" w:cs="Times New Roman"/>
          <w:u w:val="single"/>
          <w:lang w:eastAsia="lt-LT"/>
        </w:rPr>
      </w:pPr>
      <w:r w:rsidRPr="00061CCE">
        <w:rPr>
          <w:rFonts w:ascii="Times New Roman" w:eastAsia="Times New Roman" w:hAnsi="Times New Roman" w:cs="Times New Roman"/>
          <w:iCs/>
          <w:u w:val="single"/>
          <w:lang w:eastAsia="lt-LT"/>
        </w:rPr>
        <w:t>Vaikų populiacija</w:t>
      </w:r>
    </w:p>
    <w:p w14:paraId="5B482B6C" w14:textId="77777777" w:rsidR="00061CCE" w:rsidRPr="00061CCE" w:rsidRDefault="00061CCE" w:rsidP="00061CCE">
      <w:pPr>
        <w:keepNext/>
        <w:spacing w:after="0" w:line="240" w:lineRule="auto"/>
        <w:jc w:val="both"/>
        <w:outlineLvl w:val="5"/>
        <w:rPr>
          <w:rFonts w:ascii="Times New Roman" w:eastAsia="Times New Roman" w:hAnsi="Times New Roman" w:cs="Times New Roman"/>
          <w:u w:val="single"/>
          <w:lang w:eastAsia="lt-LT"/>
        </w:rPr>
      </w:pPr>
    </w:p>
    <w:p w14:paraId="7AB6C524"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bookmarkStart w:id="12" w:name="_Hlk92867409"/>
      <w:r w:rsidRPr="00061CCE">
        <w:rPr>
          <w:rFonts w:ascii="Times New Roman" w:eastAsia="Times New Roman" w:hAnsi="Times New Roman" w:cs="Times New Roman"/>
          <w:i/>
          <w:u w:val="single"/>
          <w:lang w:eastAsia="lt-LT"/>
        </w:rPr>
        <w:t>Naujagimiai ir jaunesni kaip 6 mėnesių vaikai</w:t>
      </w:r>
    </w:p>
    <w:p w14:paraId="50B60065"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713A088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Kadangi nepakanka patirties, jaunesniems nei 6 mėnesių vaikams vartoti nerekomenduojama.</w:t>
      </w:r>
    </w:p>
    <w:p w14:paraId="5A65AA62"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09466A51"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Vyresni kaip 6 mėnesių vaikai</w:t>
      </w:r>
    </w:p>
    <w:bookmarkEnd w:id="12"/>
    <w:p w14:paraId="6D694A70"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7B59A08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Vartojimas į tiesiąją žarną:</w:t>
      </w:r>
      <w:r w:rsidRPr="00061CCE">
        <w:rPr>
          <w:rFonts w:ascii="Times New Roman" w:eastAsia="Times New Roman" w:hAnsi="Times New Roman" w:cs="Times New Roman"/>
          <w:lang w:eastAsia="lt-LT"/>
        </w:rPr>
        <w:t xml:space="preserve"> Bendrą midazolamo dozę, kuri paprastai yra 0,3 – 0,5 mg/kg kūno svorio, reikėtų sušvirkšti į tiesiąją žarną 15 – 30 min. prieš anestezijos pradžią. </w:t>
      </w:r>
    </w:p>
    <w:p w14:paraId="3871106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48FD8E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Injekcinis tirpalas sušvirkščiamas į tiesiąją žarną švirkštu, ant kurio galo yra pritvirtintas plastmasinis </w:t>
      </w:r>
      <w:bookmarkStart w:id="13" w:name="_Hlk93489220"/>
      <w:r w:rsidRPr="00061CCE">
        <w:rPr>
          <w:rFonts w:ascii="Times New Roman" w:eastAsia="Times New Roman" w:hAnsi="Times New Roman" w:cs="Times New Roman"/>
          <w:lang w:eastAsia="lt-LT"/>
        </w:rPr>
        <w:t>aplikatorius</w:t>
      </w:r>
      <w:bookmarkEnd w:id="13"/>
      <w:r w:rsidRPr="00061CCE">
        <w:rPr>
          <w:rFonts w:ascii="Times New Roman" w:eastAsia="Times New Roman" w:hAnsi="Times New Roman" w:cs="Times New Roman"/>
          <w:lang w:eastAsia="lt-LT"/>
        </w:rPr>
        <w:t>. Jei tirpalo tūris yra per mažas, į švirkštą galima įsiurbti vandens, kad bendras tirpalo tūris būtų 10 ml.</w:t>
      </w:r>
    </w:p>
    <w:p w14:paraId="7D81BFD4"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75A9300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Injekcija į raumenis:</w:t>
      </w:r>
      <w:r w:rsidRPr="00061CCE">
        <w:rPr>
          <w:rFonts w:ascii="Times New Roman" w:eastAsia="Times New Roman" w:hAnsi="Times New Roman" w:cs="Times New Roman"/>
          <w:lang w:eastAsia="lt-LT"/>
        </w:rPr>
        <w:t xml:space="preserve"> Kadangi injekcija į raumenis yra skausminga, šiuo būdu vaistinį preparatą reikia vartoti tik išimtiniu atveju. Midazolamo geriau vartoti į tiesiąją žarną, tačiau pastebėta, kad injekuojant 0,08 – 0,2 mg/kg kūno svorio dozę į raumenis, midazolamas yra saugus ir veiksmingas. </w:t>
      </w:r>
    </w:p>
    <w:p w14:paraId="76A3B0A3"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00BC5D6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1 – 15 metų vaikams</w:t>
      </w:r>
      <w:r w:rsidRPr="00061CCE">
        <w:rPr>
          <w:rFonts w:ascii="Times New Roman" w:eastAsia="Times New Roman" w:hAnsi="Times New Roman" w:cs="Times New Roman"/>
          <w:lang w:eastAsia="lt-LT"/>
        </w:rPr>
        <w:t xml:space="preserve"> reikalingos santykinai didesnės dozės (jei vaistinis preparatas dozuojamas kg kūno svorio) nei suaugusiesiems.</w:t>
      </w:r>
    </w:p>
    <w:p w14:paraId="5558A39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89C4C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Vaikams, kurių kūno svoris mažesnis nei 15 kg</w:t>
      </w:r>
      <w:r w:rsidRPr="00061CCE">
        <w:rPr>
          <w:rFonts w:ascii="Times New Roman" w:eastAsia="Times New Roman" w:hAnsi="Times New Roman" w:cs="Times New Roman"/>
          <w:lang w:eastAsia="lt-LT"/>
        </w:rPr>
        <w:t>, injekuoti didesnės nei 1 mg/ml koncentracijos midazolamo tirpalo, nerekomenduojama. Didesnės koncentracijos tirpalą reikia skiesti iki 1 mg/ml.</w:t>
      </w:r>
    </w:p>
    <w:p w14:paraId="744E1C0B"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7396BC77"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Bendrosios anestezijos indukcija</w:t>
      </w:r>
    </w:p>
    <w:p w14:paraId="78C925C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7BB2992" w14:textId="77777777" w:rsidR="00061CCE" w:rsidRPr="00061CCE" w:rsidRDefault="00061CCE" w:rsidP="00061CCE">
      <w:pPr>
        <w:keepNext/>
        <w:spacing w:after="0" w:line="240" w:lineRule="auto"/>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 xml:space="preserve">Suaugusieji </w:t>
      </w:r>
    </w:p>
    <w:p w14:paraId="42369DA1"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444A104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 xml:space="preserve">Jei anestezijos indukcijai midazolamo vartojama prieš skiriant kitus anestetikus, organizmo reakcija gali būti skirtinga, todėl pageidaujamam efektui, atitinkančiam paciento amžių ir sveikatos būklę, sukelti dozę reikia titruoti. </w:t>
      </w:r>
      <w:bookmarkStart w:id="14" w:name="_Hlk73029686"/>
    </w:p>
    <w:p w14:paraId="685FC8D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A7BCE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midazolamo vartojama prieš arba kartu su kitais į veną leidžiamais ar inhaliaciniais anestezijos vaistiniais preparatais, pradinę kiekvieno vaistinio preparato dozę reikia gerokai sumažinti, kartais atskirų vaistinių preparatų dozes reikia sumažinti net iki 25 % nuo pradinės dozės. </w:t>
      </w:r>
    </w:p>
    <w:p w14:paraId="67071F5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7495D1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Pageidaujamas anestezijos lygis pasiekiamas laipsniškai titruojant dozę. Midazolamo dozę anestezijos indukcijai į veną reikia švirkšti iš lėto ir laipsniškai ją didinant. Kiekvieną ne daugiau kaip 5 mg padidintos dozės dalį reikia sušvirkšti per 20 – 30 sekundžių. Toliau dozę didinti galima tik po 2 minučių.</w:t>
      </w:r>
      <w:bookmarkEnd w:id="14"/>
    </w:p>
    <w:p w14:paraId="7485F09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16B762B" w14:textId="77777777" w:rsidR="00061CCE" w:rsidRPr="00061CCE" w:rsidRDefault="00061CCE" w:rsidP="00061CCE">
      <w:pPr>
        <w:numPr>
          <w:ilvl w:val="0"/>
          <w:numId w:val="18"/>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 xml:space="preserve">Jaunesniems nei 60 metų </w:t>
      </w:r>
      <w:bookmarkStart w:id="15" w:name="_Hlk93490124"/>
      <w:r w:rsidRPr="00061CCE">
        <w:rPr>
          <w:rFonts w:ascii="Times New Roman" w:eastAsia="Times New Roman" w:hAnsi="Times New Roman" w:cs="Times New Roman"/>
          <w:b/>
          <w:lang w:eastAsia="lt-LT"/>
        </w:rPr>
        <w:t>suaugusiesiems</w:t>
      </w:r>
      <w:bookmarkEnd w:id="15"/>
      <w:r w:rsidRPr="00061CCE">
        <w:rPr>
          <w:rFonts w:ascii="Times New Roman" w:eastAsia="Times New Roman" w:hAnsi="Times New Roman" w:cs="Times New Roman"/>
          <w:lang w:eastAsia="lt-LT"/>
        </w:rPr>
        <w:t xml:space="preserve">, kuriems atlikta premedikacija, paprastai pakanka į veną sušvirkšti 0,15 – 0,2 mg/kg kūno svorio dozę. </w:t>
      </w:r>
    </w:p>
    <w:p w14:paraId="22A13B25" w14:textId="77777777" w:rsidR="00061CCE" w:rsidRPr="00061CCE" w:rsidRDefault="00061CCE" w:rsidP="00061CCE">
      <w:pPr>
        <w:spacing w:after="0" w:line="240" w:lineRule="auto"/>
        <w:ind w:left="567"/>
        <w:rPr>
          <w:rFonts w:ascii="Times New Roman" w:eastAsia="Times New Roman" w:hAnsi="Times New Roman" w:cs="Times New Roman"/>
          <w:lang w:eastAsia="lt-LT"/>
        </w:rPr>
      </w:pPr>
    </w:p>
    <w:p w14:paraId="1E66C705" w14:textId="77777777" w:rsidR="00061CCE" w:rsidRPr="00061CCE" w:rsidRDefault="00061CCE" w:rsidP="00061CCE">
      <w:pPr>
        <w:numPr>
          <w:ilvl w:val="0"/>
          <w:numId w:val="18"/>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 jaunesniems nei 60 metų suaugusiesiems nedaryta premedikacija, dozė gali būti didesnė, 0,3 – 0,35 mg/kg kūno svorio į veną. Jei reikalinga visiška anestezijos indukcija, galima vartoti dozę, kuri yra 25 % didesnė už dozę, rekomenduojamą pacientui injekuoti iš pradžių. Be to indukciją galima užbaigti inhaliaciniais anestetikais. Jei organizmas vaistinio preparato poveikiui nejautrus, bendra dozė anestezijos indukcijai gali būti net 0,6 mg/kg kūno svorio, tačiau tokia didelė dozė gali ilginti atsibudimo po anestezijos periodą.</w:t>
      </w:r>
    </w:p>
    <w:p w14:paraId="67EDD6B7" w14:textId="77777777" w:rsidR="00061CCE" w:rsidRPr="00061CCE" w:rsidRDefault="00061CCE" w:rsidP="00061CCE">
      <w:pPr>
        <w:spacing w:after="0" w:line="240" w:lineRule="auto"/>
        <w:ind w:left="567"/>
        <w:rPr>
          <w:rFonts w:ascii="Times New Roman" w:eastAsia="Times New Roman" w:hAnsi="Times New Roman" w:cs="Times New Roman"/>
          <w:lang w:eastAsia="lt-LT"/>
        </w:rPr>
      </w:pPr>
    </w:p>
    <w:p w14:paraId="2A532AC2" w14:textId="77777777" w:rsidR="00061CCE" w:rsidRPr="00061CCE" w:rsidRDefault="00061CCE" w:rsidP="00061CCE">
      <w:pPr>
        <w:numPr>
          <w:ilvl w:val="0"/>
          <w:numId w:val="18"/>
        </w:numPr>
        <w:spacing w:after="0" w:line="240" w:lineRule="auto"/>
        <w:ind w:left="567" w:hanging="567"/>
        <w:contextualSpacing/>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Vyresniems nei 60 metų suaugusiesiems, nusilpusiems ar lėtinėmis ligomis sergantiems pacientams</w:t>
      </w:r>
      <w:bookmarkStart w:id="16" w:name="_Hlk92867619"/>
      <w:r w:rsidRPr="00061CCE">
        <w:rPr>
          <w:rFonts w:ascii="Times New Roman" w:eastAsia="Times New Roman" w:hAnsi="Times New Roman" w:cs="Times New Roman"/>
          <w:lang w:eastAsia="lt-LT"/>
        </w:rPr>
        <w:t>, kuriems atlikta premedikacija, dozę reikia reikšmingai sumažinti, pvz., iki į veną per 20–30 sekundžių leidžiamos</w:t>
      </w:r>
      <w:bookmarkEnd w:id="16"/>
      <w:r w:rsidRPr="00061CCE">
        <w:rPr>
          <w:rFonts w:ascii="Times New Roman" w:eastAsia="Times New Roman" w:hAnsi="Times New Roman" w:cs="Times New Roman"/>
          <w:lang w:eastAsia="lt-LT"/>
        </w:rPr>
        <w:t xml:space="preserve"> 0,05 – 0,15 mg/kg kūno svorio dozės, </w:t>
      </w:r>
      <w:bookmarkStart w:id="17" w:name="_Hlk92867667"/>
      <w:r w:rsidRPr="00061CCE">
        <w:rPr>
          <w:rFonts w:ascii="Times New Roman" w:eastAsia="Times New Roman" w:hAnsi="Times New Roman" w:cs="Times New Roman"/>
          <w:lang w:eastAsia="lt-LT"/>
        </w:rPr>
        <w:t>palaukiant 2 minutes, kol pasireikš poveikis</w:t>
      </w:r>
      <w:bookmarkEnd w:id="17"/>
      <w:r w:rsidRPr="00061CCE">
        <w:rPr>
          <w:rFonts w:ascii="Times New Roman" w:eastAsia="Times New Roman" w:hAnsi="Times New Roman" w:cs="Times New Roman"/>
          <w:lang w:eastAsia="lt-LT"/>
        </w:rPr>
        <w:t>.</w:t>
      </w:r>
    </w:p>
    <w:p w14:paraId="539C2D1E" w14:textId="77777777" w:rsidR="00061CCE" w:rsidRPr="00061CCE" w:rsidRDefault="00061CCE" w:rsidP="00061CCE">
      <w:pPr>
        <w:spacing w:after="0" w:line="240" w:lineRule="auto"/>
        <w:ind w:left="567"/>
        <w:contextualSpacing/>
        <w:rPr>
          <w:rFonts w:ascii="Times New Roman" w:eastAsia="Times New Roman" w:hAnsi="Times New Roman" w:cs="Times New Roman"/>
          <w:lang w:eastAsia="lt-LT"/>
        </w:rPr>
      </w:pPr>
    </w:p>
    <w:p w14:paraId="297BAD2B" w14:textId="77777777" w:rsidR="00061CCE" w:rsidRPr="00061CCE" w:rsidRDefault="00061CCE" w:rsidP="00061CCE">
      <w:pPr>
        <w:numPr>
          <w:ilvl w:val="0"/>
          <w:numId w:val="18"/>
        </w:numPr>
        <w:spacing w:after="0" w:line="240" w:lineRule="auto"/>
        <w:ind w:left="567" w:hanging="567"/>
        <w:contextualSpacing/>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 vyresniems nei 60 metų suaugusiesiems neatlikta premedikacija, paprastai anestezijos indukcijai reikalinga didesnė midazolamo dozė; tokiu atveju rekomenduojama pradžioje sušvirkšti 0,15 – 0,3 mg/kg kūno svorio dozę. Jei pacientui, kuris serga sunkia sistemine liga ar yra nusilpęs, premedikacija neatlikta, anestezijos indukcijai paprastai reikalinga mažesnė midazolamo dozė. Tokiu atveju paprastai pakanka į veną sušvirkšti 0,15 – 0,25 mg/kg kūno svorio dozę.</w:t>
      </w:r>
    </w:p>
    <w:p w14:paraId="08AF1939"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406767F0"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Sedacija kombinuotos anestezijos metu</w:t>
      </w:r>
    </w:p>
    <w:p w14:paraId="5A0B3FE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CA0237D" w14:textId="77777777" w:rsidR="00061CCE" w:rsidRPr="00061CCE" w:rsidRDefault="00061CCE" w:rsidP="00061CCE">
      <w:pPr>
        <w:keepNext/>
        <w:spacing w:after="0" w:line="240" w:lineRule="auto"/>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Suaugusieji</w:t>
      </w:r>
    </w:p>
    <w:p w14:paraId="267E5BB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Raminamajam poveikiui sukelti kombinuotosios anestezijos metu midazolamo galima pakartotinai į veną leisti mažas dozes (0,03 – 0,1 mg/kg kūno svorio) arba nuolatinės infuzijos būdu į veną lašinti po 0,03 – 0,1 mg/kg kūno svorio per valandą, paprastai kartu su analgetikais. Dozė ir intervalai tarp dozių gali būti skirtingi ir priklauso nuo individualios paciento reakcijos.</w:t>
      </w:r>
    </w:p>
    <w:p w14:paraId="58902A5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DB5C07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Vyresniems nei 60 metų suaugusiesiems, nusilpusiems ar lėtinėmis ligomis sergantiems pacientams reikalingos mažesnės palaikomosios dozės.</w:t>
      </w:r>
    </w:p>
    <w:p w14:paraId="30A5AC8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ED7ED2A" w14:textId="77777777" w:rsidR="00061CCE" w:rsidRPr="00061CCE" w:rsidRDefault="00061CCE" w:rsidP="00061CCE">
      <w:pPr>
        <w:spacing w:after="0" w:line="240" w:lineRule="auto"/>
        <w:rPr>
          <w:rFonts w:ascii="Times New Roman" w:eastAsia="Times New Roman" w:hAnsi="Times New Roman" w:cs="Times New Roman"/>
          <w:szCs w:val="20"/>
          <w:u w:val="single"/>
          <w:lang w:eastAsia="lt-LT"/>
        </w:rPr>
      </w:pPr>
      <w:r w:rsidRPr="00061CCE">
        <w:rPr>
          <w:rFonts w:ascii="Times New Roman" w:eastAsia="Times New Roman" w:hAnsi="Times New Roman" w:cs="Times New Roman"/>
          <w:szCs w:val="20"/>
          <w:u w:val="single"/>
          <w:lang w:eastAsia="lt-LT"/>
        </w:rPr>
        <w:t>Sedacija intensyvios terapijos skyriuose</w:t>
      </w:r>
    </w:p>
    <w:p w14:paraId="1CB23A5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C755D3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Pageidaujamas raminimas sukeliamas laipsniškai titruojant midazolamo dozę ir po to palaikomas nuolatinės infuzijos būdu, arba pakartotinai suleidžiama vienkartine doze, atsižvelgiant į klinikinį poreikį, paciento sveikatos būklę, amžių bei kartu vartojamus kitus vaistinius preparatus (žr. 4.5 skyrių „Sąveika su kitais vaistiniais preparatais ir kitokia sąveika“).</w:t>
      </w:r>
    </w:p>
    <w:p w14:paraId="3D8614F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BDF5006"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iCs/>
          <w:u w:val="single"/>
          <w:lang w:eastAsia="lt-LT"/>
        </w:rPr>
        <w:t>Suaugusieji</w:t>
      </w:r>
    </w:p>
    <w:p w14:paraId="210DDF88"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2C4526B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lastRenderedPageBreak/>
        <w:t>Įsotinamoji dozė į veną:</w:t>
      </w:r>
      <w:r w:rsidRPr="00061CCE">
        <w:rPr>
          <w:rFonts w:ascii="Times New Roman" w:eastAsia="Times New Roman" w:hAnsi="Times New Roman" w:cs="Times New Roman"/>
          <w:lang w:eastAsia="lt-LT"/>
        </w:rPr>
        <w:t xml:space="preserve"> Iš lėto laipsniškai didinant skiriama 0,03 – 0,3 mg/kg kūno svorio. Kiekvieną 1 – 2,5 miligramais padidintos dozės dalį reikia suleisti per 20 – 30 sekundžių. Kitą padidintos dozės dalį galima leisti tik po 2 minučių. </w:t>
      </w:r>
    </w:p>
    <w:p w14:paraId="73EB312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0CA0DA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yra hipovolemija, kraujagyslių spazmas ar hipotermija, įsotinamąją dozę reikia mažinti ar net praleisti. </w:t>
      </w:r>
    </w:p>
    <w:p w14:paraId="027B4B3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F022F2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Kai midazolamas skiriamas kartu su stipriais analgetikais, pastarieji vaistiniai preparatai turi būti vartojami pirmiau, kadangi pasireiškus analgetikų sukeltam bet kokiam maksimaliam slopinimui galima saugiai titruoti raminamąjį midazolamo poveikį. </w:t>
      </w:r>
    </w:p>
    <w:p w14:paraId="21D7329A" w14:textId="77777777" w:rsidR="00061CCE" w:rsidRPr="00061CCE" w:rsidRDefault="00061CCE" w:rsidP="00061CCE">
      <w:pPr>
        <w:spacing w:after="0" w:line="240" w:lineRule="auto"/>
        <w:rPr>
          <w:rFonts w:ascii="Times New Roman" w:eastAsia="Times New Roman" w:hAnsi="Times New Roman" w:cs="Times New Roman"/>
          <w:u w:val="single"/>
          <w:lang w:eastAsia="lt-LT"/>
        </w:rPr>
      </w:pPr>
    </w:p>
    <w:p w14:paraId="57BD031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Palaikomoji dozė į veną:</w:t>
      </w:r>
      <w:r w:rsidRPr="00061CCE">
        <w:rPr>
          <w:rFonts w:ascii="Times New Roman" w:eastAsia="Times New Roman" w:hAnsi="Times New Roman" w:cs="Times New Roman"/>
          <w:lang w:eastAsia="lt-LT"/>
        </w:rPr>
        <w:t xml:space="preserve"> Dozės gali svyruoti nuo 0,03 iki 0,2 mg/kg kūno svorio per valandą. </w:t>
      </w:r>
    </w:p>
    <w:p w14:paraId="092CEF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E874D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yra hipovolemija, kraujagyslių spazmas ar hipotermija, palaikomąją dozę reikia mažinti. Būtina reguliariai sekti sedacinį poveikį. </w:t>
      </w:r>
    </w:p>
    <w:p w14:paraId="3FD8429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67E66F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Esant ilgalaikei sedacijai, gali atsirasti toleravimas, todėl gali reikėti didesnės dozės.</w:t>
      </w:r>
    </w:p>
    <w:p w14:paraId="1A4073E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5AB803F" w14:textId="77777777" w:rsidR="00061CCE" w:rsidRPr="00061CCE" w:rsidRDefault="00061CCE" w:rsidP="00061CCE">
      <w:pPr>
        <w:spacing w:after="0" w:line="240" w:lineRule="auto"/>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Vyresni nei 6 mėnesių amžiaus vaikai</w:t>
      </w:r>
    </w:p>
    <w:p w14:paraId="0F63B91F" w14:textId="77777777" w:rsidR="00061CCE" w:rsidRPr="00061CCE" w:rsidRDefault="00061CCE" w:rsidP="00061CCE">
      <w:pPr>
        <w:spacing w:after="0" w:line="240" w:lineRule="auto"/>
        <w:rPr>
          <w:rFonts w:ascii="Times New Roman" w:eastAsia="Times New Roman" w:hAnsi="Times New Roman" w:cs="Times New Roman"/>
          <w:iCs/>
          <w:u w:val="single"/>
          <w:lang w:eastAsia="lt-LT"/>
        </w:rPr>
      </w:pPr>
    </w:p>
    <w:p w14:paraId="7FC191A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Intubuotiems ir ventiliuojamiems vaikams įsotinamoji dozė yra 0,05 – 0,2 mg/kg kūno svorio. Pageidaujamam klinikiniam poveikiui sukelti šią dozę reikia į veną leisti lėtai, t. y. ne trumpiau kaip per 2 – 3 minutes. Midazolamo į veną negalima leisti greitai. </w:t>
      </w:r>
    </w:p>
    <w:p w14:paraId="3FFCD69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1C1E1B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Vėliau nuolatinė vaistinio preparato dozė skiriama nepertraukiama infuzija į veną 0,06 – 0,12 mg/kg kūno svorio per valandą (1 – 2 µg/kg kūno svorio per minutę). Infuzijos greitis pagal poreikį gali būti didinamas arba mažinamas (paprastai skirtumas nuo pradinio iki paskesnio infuzijos greičio – 25 %) arba siekiant padidinti ar palaikyti norimą poveikį, gali būti papildomai leidžiama į veną midazolamo.</w:t>
      </w:r>
    </w:p>
    <w:p w14:paraId="65FDB29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0B8A3F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Pradedant infuzuoti midazolamo kraujotakos nepakankamumu sergantiems pacientams, įprasta įsotinamoji dozė turi būti titruojama lėtai didinant mažu vaistinio preparato kiekiu ir pacientas turi būti nuolat stebimas, kadangi šiuo atveju gali dažniau sutrikti kraujotaka, pvz. atsirasti hipotenzija. Be to minėtiems pacientams yra pavojingesnis midazolamo sukeliamas kvėpavimo slopinimas, todėl būtina atidžiai stebėti šių pacientų kvėpavimo dažnį ir kraujo įsotinimą deguonimi.</w:t>
      </w:r>
    </w:p>
    <w:p w14:paraId="5677308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58D2679" w14:textId="77777777" w:rsidR="00061CCE" w:rsidRPr="00061CCE" w:rsidRDefault="00061CCE" w:rsidP="00061CCE">
      <w:pPr>
        <w:spacing w:after="0" w:line="240" w:lineRule="auto"/>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Naujagimiai ir jaunesni nei 6 mėnesių amžiaus vaikai</w:t>
      </w:r>
    </w:p>
    <w:p w14:paraId="0309C6BA" w14:textId="77777777" w:rsidR="00061CCE" w:rsidRPr="00061CCE" w:rsidRDefault="00061CCE" w:rsidP="00061CCE">
      <w:pPr>
        <w:spacing w:after="0" w:line="240" w:lineRule="auto"/>
        <w:rPr>
          <w:rFonts w:ascii="Times New Roman" w:eastAsia="Times New Roman" w:hAnsi="Times New Roman" w:cs="Times New Roman"/>
          <w:iCs/>
          <w:u w:val="single"/>
          <w:lang w:eastAsia="lt-LT"/>
        </w:rPr>
      </w:pPr>
    </w:p>
    <w:p w14:paraId="29198E1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Midazolamas turi būti skiriamas nuolatinės infuzijos į veną būdu. 32 savaičių arba trumpesnio nėštumo neišnešiotiems naujagimiams medikamentą lašinti pradedant 0,03 mg/kg kūno svorio per valandą (0,5 µg/kg kūno svorio per minutę), o ilgesnio kaip 32 savaičių nėštumo neišnešiotiems naujagimiams ir jaunesniems nei 6 mėnesių amžiaus vaikams – 0,06 mg/kg kūno svorio per valandą (1 µg/kg kūno svorio per minutę).</w:t>
      </w:r>
    </w:p>
    <w:p w14:paraId="546CA48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6F0CB4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Intraveninė įsotinimo dozė nerekomenduojama neišnešiotiems kūdikiams, naujagimiams ir vaikams iki 6 mėnesių amžiaus, geriau pirmas keletą valandų medikamentą lašinti didesniu greičiu, kol kraujo plazmoje nusistovės reikalinga terapinė koncentracija. </w:t>
      </w:r>
    </w:p>
    <w:p w14:paraId="3EB31C6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855DC2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Infuzijos greitį reikia dažnai ir atidžiai peržiūrėti, ypač po pirmųjų 24 valandų, tam kad būtų vartojama mažiausia galima veiksminga dozė ir organizme vaistinio preparato kauptųsi kiek galima mažiau.</w:t>
      </w:r>
    </w:p>
    <w:p w14:paraId="10EAE51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E6343A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Būtina atidžiai stebėti kvėpavimo dažnį bei kraujo įsotinimą deguonimi.</w:t>
      </w:r>
    </w:p>
    <w:p w14:paraId="61271C2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470171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Neišnešiotiems kūdikiams, naujagimiams ir vaikams, kurių kūno svoris mažesnis nei 15 kg</w:t>
      </w:r>
      <w:r w:rsidRPr="00061CCE">
        <w:rPr>
          <w:rFonts w:ascii="Times New Roman" w:eastAsia="Times New Roman" w:hAnsi="Times New Roman" w:cs="Times New Roman"/>
          <w:lang w:eastAsia="lt-LT"/>
        </w:rPr>
        <w:t>, nerekomenduojama leisti didesnės nei 1 mg/ml koncentracijos midazolamo tirpalo. Didesnės koncentracijos tirpalą reikia skiesti iki 1 mg/ml koncentracijos.</w:t>
      </w:r>
    </w:p>
    <w:p w14:paraId="4B3321D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3A68722" w14:textId="77777777" w:rsidR="00061CCE" w:rsidRPr="00061CCE" w:rsidRDefault="00061CCE" w:rsidP="00061CCE">
      <w:pPr>
        <w:spacing w:after="0" w:line="240" w:lineRule="auto"/>
        <w:jc w:val="both"/>
        <w:rPr>
          <w:rFonts w:ascii="Times New Roman" w:eastAsia="Times New Roman" w:hAnsi="Times New Roman" w:cs="Times New Roman"/>
          <w:b/>
          <w:i/>
          <w:lang w:eastAsia="lt-LT"/>
        </w:rPr>
      </w:pPr>
      <w:bookmarkStart w:id="18" w:name="_Hlk73030102"/>
      <w:bookmarkStart w:id="19" w:name="_Hlk518652175"/>
      <w:r w:rsidRPr="00061CCE">
        <w:rPr>
          <w:rFonts w:ascii="Times New Roman" w:eastAsia="Times New Roman" w:hAnsi="Times New Roman" w:cs="Times New Roman"/>
          <w:b/>
          <w:i/>
          <w:lang w:eastAsia="lt-LT"/>
        </w:rPr>
        <w:t>Skyrimas specialiosioms pacientų grupėms</w:t>
      </w:r>
    </w:p>
    <w:p w14:paraId="269ADC26"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1DFC6B82" w14:textId="77777777" w:rsidR="00061CCE" w:rsidRPr="00061CCE" w:rsidRDefault="00061CCE" w:rsidP="00061CCE">
      <w:pPr>
        <w:spacing w:after="0" w:line="240" w:lineRule="auto"/>
        <w:jc w:val="both"/>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Pacientai, kuriems sutrikusi inkstų veikla</w:t>
      </w:r>
    </w:p>
    <w:p w14:paraId="77B51B90" w14:textId="77777777" w:rsidR="00061CCE" w:rsidRPr="00061CCE" w:rsidRDefault="00061CCE" w:rsidP="00061CCE">
      <w:pPr>
        <w:autoSpaceDE w:val="0"/>
        <w:autoSpaceDN w:val="0"/>
        <w:adjustRightInd w:val="0"/>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Pacientams, kuriems stipriai sutrikusi inkstų veikla, po midazolamo gali pasireikšti intensyvesnė ir ilgesnė sedacija, kuri gali būti susijusi su kliniškai reikšmingu kvėpavimo ir širdies bei kraujagyslių sistemų slopinimu. Todėl šiems pacientams midazolamą reikia dozuoti atsargiai ir titruoti iki pageidaujamo poveikio (žr. 4.4 skyrių).</w:t>
      </w:r>
    </w:p>
    <w:p w14:paraId="79EF4C22" w14:textId="77777777" w:rsidR="00061CCE" w:rsidRPr="00061CCE" w:rsidRDefault="00061CCE" w:rsidP="00061CCE">
      <w:pPr>
        <w:autoSpaceDE w:val="0"/>
        <w:autoSpaceDN w:val="0"/>
        <w:adjustRightInd w:val="0"/>
        <w:spacing w:after="0" w:line="240" w:lineRule="auto"/>
        <w:rPr>
          <w:rFonts w:ascii="Times New Roman" w:eastAsia="Times New Roman" w:hAnsi="Times New Roman" w:cs="Times New Roman"/>
          <w:lang w:eastAsia="lt-LT"/>
        </w:rPr>
      </w:pPr>
    </w:p>
    <w:bookmarkEnd w:id="18"/>
    <w:p w14:paraId="6C48B90C" w14:textId="77777777" w:rsidR="00061CCE" w:rsidRPr="00061CCE" w:rsidRDefault="00061CCE" w:rsidP="00061CCE">
      <w:pPr>
        <w:spacing w:after="0" w:line="240" w:lineRule="auto"/>
        <w:jc w:val="both"/>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Pacientai,</w:t>
      </w:r>
      <w:r w:rsidRPr="00061CCE">
        <w:rPr>
          <w:rFonts w:ascii="Times New Roman" w:eastAsia="Times New Roman" w:hAnsi="Times New Roman" w:cs="Times New Roman"/>
          <w:iCs/>
          <w:u w:val="single"/>
          <w:lang w:eastAsia="lt-LT"/>
        </w:rPr>
        <w:t xml:space="preserve"> </w:t>
      </w:r>
      <w:r w:rsidRPr="00061CCE">
        <w:rPr>
          <w:rFonts w:ascii="Times New Roman" w:eastAsia="Times New Roman" w:hAnsi="Times New Roman" w:cs="Times New Roman"/>
          <w:u w:val="single"/>
          <w:lang w:eastAsia="lt-LT"/>
        </w:rPr>
        <w:t>kuriems sutrikusi kepenų veikla</w:t>
      </w:r>
    </w:p>
    <w:p w14:paraId="3CEFF593" w14:textId="77777777" w:rsidR="00061CCE" w:rsidRPr="00061CCE" w:rsidRDefault="00061CCE" w:rsidP="00061CCE">
      <w:pPr>
        <w:autoSpaceDE w:val="0"/>
        <w:autoSpaceDN w:val="0"/>
        <w:adjustRightInd w:val="0"/>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Dėl kepenų veiklos sutrikimo sumažėja į veną suleisto midazolamo klirensas ir dėl to padidėja galutinis pusinės eliminacijos periodas. Klinikinis poveikis todėl gali būti stipresnis ir ilgesnis. Galima sumažinti reikiamą midazolamo dozę ir atitinkamai stebėti gyvybines funkcijas (žr. 4.4 skyrių).</w:t>
      </w:r>
      <w:bookmarkEnd w:id="19"/>
    </w:p>
    <w:p w14:paraId="5CACD7C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DDDC84C"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4.3</w:t>
      </w:r>
      <w:r w:rsidRPr="00061CCE">
        <w:rPr>
          <w:rFonts w:ascii="Times New Roman" w:eastAsia="Times New Roman" w:hAnsi="Times New Roman" w:cs="Times New Roman"/>
          <w:b/>
          <w:lang w:eastAsia="lt-LT"/>
        </w:rPr>
        <w:tab/>
        <w:t>Kontraindikacijos</w:t>
      </w:r>
    </w:p>
    <w:p w14:paraId="705A0CD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9AC3A80" w14:textId="77777777" w:rsidR="00061CCE" w:rsidRPr="00061CCE" w:rsidRDefault="00061CCE" w:rsidP="00061CCE">
      <w:pPr>
        <w:numPr>
          <w:ilvl w:val="0"/>
          <w:numId w:val="12"/>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Padidėjęs jautrumas midazolamui, benzodiazepinams arba bet kuriai 6.1 skyriuje nurodytai pagalbinei medžiagai.</w:t>
      </w:r>
    </w:p>
    <w:p w14:paraId="6F4D0D99" w14:textId="77777777" w:rsidR="00061CCE" w:rsidRPr="00061CCE" w:rsidRDefault="00061CCE" w:rsidP="00061CCE">
      <w:pPr>
        <w:numPr>
          <w:ilvl w:val="0"/>
          <w:numId w:val="12"/>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Sedacijai išliekant sąmonei sukelti pacientams, jei yra sunkus kvėpavimo nepakankamumas arba ūmus kvėpavimo slopinimas.</w:t>
      </w:r>
    </w:p>
    <w:p w14:paraId="7A0FA34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F724C5"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4.4</w:t>
      </w:r>
      <w:r w:rsidRPr="00061CCE">
        <w:rPr>
          <w:rFonts w:ascii="Times New Roman" w:eastAsia="Times New Roman" w:hAnsi="Times New Roman" w:cs="Times New Roman"/>
          <w:b/>
          <w:lang w:eastAsia="lt-LT"/>
        </w:rPr>
        <w:tab/>
        <w:t>Specialūs įspėjimai ir atsargumo priemonės</w:t>
      </w:r>
    </w:p>
    <w:p w14:paraId="584A74E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73ABDE"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20" w:name="_Hlk73030173"/>
      <w:r w:rsidRPr="00061CCE">
        <w:rPr>
          <w:rFonts w:ascii="Times New Roman" w:eastAsia="Times New Roman" w:hAnsi="Times New Roman" w:cs="Times New Roman"/>
          <w:lang w:eastAsia="lt-LT"/>
        </w:rPr>
        <w:t xml:space="preserve">Midazolamo gali skirti tik patyrę gydytojai įstaigoje, kuri yra pilnai aprūpinta kvėpavimo </w:t>
      </w:r>
      <w:bookmarkStart w:id="21" w:name="_Hlk73453104"/>
      <w:r w:rsidRPr="00061CCE">
        <w:rPr>
          <w:rFonts w:ascii="Times New Roman" w:eastAsia="Times New Roman" w:hAnsi="Times New Roman" w:cs="Times New Roman"/>
          <w:lang w:eastAsia="lt-LT"/>
        </w:rPr>
        <w:t xml:space="preserve">bei širdies ir kraujagyslių sistemų </w:t>
      </w:r>
      <w:bookmarkEnd w:id="21"/>
      <w:r w:rsidRPr="00061CCE">
        <w:rPr>
          <w:rFonts w:ascii="Times New Roman" w:eastAsia="Times New Roman" w:hAnsi="Times New Roman" w:cs="Times New Roman"/>
          <w:lang w:eastAsia="lt-LT"/>
        </w:rPr>
        <w:t>funkcijos stebėjimui ir palaikymui skirta įranga ir personalas yra specialiai išmokytas atpažinti ir valdyti tikėtinus nepageidaujamus reiškinius, įskaitant kvėpavimo ir širdies reanimacijos atlikimą.</w:t>
      </w:r>
      <w:bookmarkEnd w:id="20"/>
      <w:r w:rsidRPr="00061CCE">
        <w:rPr>
          <w:rFonts w:ascii="Times New Roman" w:eastAsia="Times New Roman" w:hAnsi="Times New Roman" w:cs="Times New Roman"/>
          <w:lang w:eastAsia="lt-LT"/>
        </w:rPr>
        <w:t xml:space="preserve"> </w:t>
      </w:r>
    </w:p>
    <w:p w14:paraId="5F95375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A7900A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Registruota sunkaus nepageidaujamo poveikio širdies ir kraujagyslių bei kvėpavimo organų sistemai atvejų, įskaitant kvėpavimo slopinimą, apnėją, kvėpavimo ir/ar širdies sustojimą. Tokių gyvybei pavojingų reiškinių gali atsirasti dažniau, kai vaistinio preparato injekuojama per greitai ar kai paskirta per didelė dozė (žr. 4.8 skyrių).</w:t>
      </w:r>
    </w:p>
    <w:p w14:paraId="0F1C31FD"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22" w:name="_Hlk92867846"/>
    </w:p>
    <w:p w14:paraId="47B6667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Benzodiazepinų nerekomenduojama skirti pagrindiniam psichozinės ligos gydymui.</w:t>
      </w:r>
    </w:p>
    <w:p w14:paraId="3B86B0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928A94A" w14:textId="77777777" w:rsidR="00061CCE" w:rsidRPr="00061CCE" w:rsidRDefault="00061CCE" w:rsidP="00061CCE">
      <w:pPr>
        <w:kinsoku w:val="0"/>
        <w:overflowPunct w:val="0"/>
        <w:spacing w:after="0" w:line="240" w:lineRule="auto"/>
        <w:ind w:right="54"/>
        <w:rPr>
          <w:rFonts w:ascii="Times New Roman" w:eastAsia="Times New Roman" w:hAnsi="Times New Roman" w:cs="Times New Roman"/>
          <w:lang w:eastAsia="lt-LT"/>
        </w:rPr>
      </w:pPr>
      <w:r w:rsidRPr="00061CCE">
        <w:rPr>
          <w:rFonts w:ascii="Times New Roman" w:eastAsia="Times New Roman" w:hAnsi="Times New Roman" w:cs="Times New Roman"/>
          <w:szCs w:val="20"/>
          <w:lang w:eastAsia="lt-LT"/>
        </w:rPr>
        <w:t>Ypač atsargiai reikia elgtis skiriant sedacijos (išliekant sąmonei) indikacijai pacientams, kurių kvėpavimo funkcija sutrikusi.</w:t>
      </w:r>
    </w:p>
    <w:bookmarkEnd w:id="22"/>
    <w:p w14:paraId="67F35CFD" w14:textId="77777777" w:rsidR="00061CCE" w:rsidRPr="00061CCE" w:rsidRDefault="00061CCE" w:rsidP="00061CCE">
      <w:pPr>
        <w:kinsoku w:val="0"/>
        <w:overflowPunct w:val="0"/>
        <w:spacing w:after="0" w:line="240" w:lineRule="auto"/>
        <w:ind w:right="54"/>
        <w:rPr>
          <w:rFonts w:ascii="Times New Roman" w:eastAsia="Times New Roman" w:hAnsi="Times New Roman" w:cs="Times New Roman"/>
          <w:lang w:eastAsia="lt-LT"/>
        </w:rPr>
      </w:pPr>
    </w:p>
    <w:p w14:paraId="7E433F5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Jaunesniems nei 6 mėnesių amžiaus pacientams yra labai pavojinga kvėpavimo takų obstrukcija bei hipoventiliacija, todėl klinikiniam poveikiui sukelti reikalingą dozę būtina titruoti labai lėtai, ir atidžiai stebėti kvėpavimo dažnį bei kraujo įsotinimą deguonimi.</w:t>
      </w:r>
    </w:p>
    <w:p w14:paraId="74E18F8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C4BD409" w14:textId="77777777" w:rsidR="00061CCE" w:rsidRPr="00061CCE" w:rsidRDefault="00061CCE" w:rsidP="00061CCE">
      <w:pPr>
        <w:kinsoku w:val="0"/>
        <w:overflowPunct w:val="0"/>
        <w:spacing w:after="0" w:line="240" w:lineRule="auto"/>
        <w:ind w:right="54"/>
        <w:rPr>
          <w:rFonts w:ascii="Times New Roman" w:eastAsia="Times New Roman" w:hAnsi="Times New Roman" w:cs="Times New Roman"/>
          <w:lang w:eastAsia="lt-LT"/>
        </w:rPr>
      </w:pPr>
      <w:bookmarkStart w:id="23" w:name="_Hlk72483650"/>
      <w:r w:rsidRPr="00061CCE">
        <w:rPr>
          <w:rFonts w:ascii="Times New Roman" w:eastAsia="Times New Roman" w:hAnsi="Times New Roman" w:cs="Times New Roman"/>
          <w:szCs w:val="20"/>
          <w:lang w:eastAsia="lt-LT"/>
        </w:rPr>
        <w:t>Skiriant midazolamą premedikacijai būtina po suvartojimo tinkamai stebėti pacientą, nes dėl individualaus jautrumo skirtumų gali pasireikšti perdozavimo simptomų.</w:t>
      </w:r>
    </w:p>
    <w:bookmarkEnd w:id="23"/>
    <w:p w14:paraId="5412145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4A33AD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Reikia laikytis ypatingų atsargumo priemonių, kai midazolamas yra skiriamas didelės rizikos pacientams:</w:t>
      </w:r>
    </w:p>
    <w:p w14:paraId="15159098" w14:textId="77777777" w:rsidR="00061CCE" w:rsidRPr="00061CCE" w:rsidRDefault="00061CCE" w:rsidP="00061CCE">
      <w:pPr>
        <w:numPr>
          <w:ilvl w:val="0"/>
          <w:numId w:val="1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vyresni nei 60 metų amžiaus </w:t>
      </w:r>
      <w:bookmarkStart w:id="24" w:name="_Hlk93491459"/>
      <w:r w:rsidRPr="00061CCE">
        <w:rPr>
          <w:rFonts w:ascii="Times New Roman" w:eastAsia="Times New Roman" w:hAnsi="Times New Roman" w:cs="Times New Roman"/>
          <w:szCs w:val="20"/>
          <w:lang w:eastAsia="lt-LT"/>
        </w:rPr>
        <w:t>suaugusieji</w:t>
      </w:r>
      <w:bookmarkEnd w:id="24"/>
      <w:r w:rsidRPr="00061CCE">
        <w:rPr>
          <w:rFonts w:ascii="Times New Roman" w:eastAsia="Times New Roman" w:hAnsi="Times New Roman" w:cs="Times New Roman"/>
          <w:szCs w:val="20"/>
          <w:lang w:eastAsia="lt-LT"/>
        </w:rPr>
        <w:t>;</w:t>
      </w:r>
    </w:p>
    <w:p w14:paraId="7758D10F" w14:textId="77777777" w:rsidR="00061CCE" w:rsidRPr="00061CCE" w:rsidRDefault="00061CCE" w:rsidP="00061CCE">
      <w:pPr>
        <w:numPr>
          <w:ilvl w:val="0"/>
          <w:numId w:val="1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nusilpusiems arba sergantiems lėtinėmis ligomis pacientams, pvz.:</w:t>
      </w:r>
    </w:p>
    <w:p w14:paraId="25593558" w14:textId="77777777" w:rsidR="00061CCE" w:rsidRPr="00061CCE" w:rsidRDefault="00061CCE" w:rsidP="00061CCE">
      <w:pPr>
        <w:numPr>
          <w:ilvl w:val="0"/>
          <w:numId w:val="14"/>
        </w:numPr>
        <w:spacing w:after="0" w:line="240" w:lineRule="auto"/>
        <w:ind w:left="851" w:hanging="284"/>
        <w:contextualSpacing/>
        <w:rPr>
          <w:rFonts w:ascii="Times New Roman" w:eastAsia="Times New Roman" w:hAnsi="Times New Roman" w:cs="Times New Roman"/>
          <w:szCs w:val="20"/>
          <w:lang w:eastAsia="lt-LT"/>
        </w:rPr>
      </w:pPr>
      <w:bookmarkStart w:id="25" w:name="_Hlk73030293"/>
      <w:r w:rsidRPr="00061CCE">
        <w:rPr>
          <w:rFonts w:ascii="Times New Roman" w:eastAsia="Times New Roman" w:hAnsi="Times New Roman" w:cs="Times New Roman"/>
          <w:szCs w:val="20"/>
          <w:lang w:eastAsia="lt-LT"/>
        </w:rPr>
        <w:t>pacientams, kuriems yra lėtinis kvėpavimo sistemos nepakankamumas;</w:t>
      </w:r>
    </w:p>
    <w:p w14:paraId="6A604569" w14:textId="77777777" w:rsidR="00061CCE" w:rsidRPr="00061CCE" w:rsidRDefault="00061CCE" w:rsidP="00061CCE">
      <w:pPr>
        <w:numPr>
          <w:ilvl w:val="0"/>
          <w:numId w:val="14"/>
        </w:numPr>
        <w:spacing w:after="0" w:line="240" w:lineRule="auto"/>
        <w:ind w:left="851" w:hanging="284"/>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pacientams, kuriems yra lėtinis inkstų funkcijos nepakankamumas;</w:t>
      </w:r>
    </w:p>
    <w:p w14:paraId="0A53C230" w14:textId="77777777" w:rsidR="00061CCE" w:rsidRPr="00061CCE" w:rsidRDefault="00061CCE" w:rsidP="00061CCE">
      <w:pPr>
        <w:numPr>
          <w:ilvl w:val="0"/>
          <w:numId w:val="14"/>
        </w:numPr>
        <w:spacing w:after="0" w:line="240" w:lineRule="auto"/>
        <w:ind w:left="851" w:hanging="284"/>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pacientams, kuriems sutrikusi kepenų funkcija (pacientams, kurių kepenų funkcija stipriai sutrikusi, benzodiazepinai gali sukelti arba paūminti encefalopatiją);</w:t>
      </w:r>
    </w:p>
    <w:p w14:paraId="4A4D5446" w14:textId="77777777" w:rsidR="00061CCE" w:rsidRPr="00061CCE" w:rsidRDefault="00061CCE" w:rsidP="00061CCE">
      <w:pPr>
        <w:numPr>
          <w:ilvl w:val="0"/>
          <w:numId w:val="14"/>
        </w:numPr>
        <w:spacing w:after="0" w:line="240" w:lineRule="auto"/>
        <w:ind w:left="851" w:hanging="284"/>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pacientams, kuriems sutrikusi širdies funkcija;</w:t>
      </w:r>
    </w:p>
    <w:p w14:paraId="13A6DB0C" w14:textId="77777777" w:rsidR="00061CCE" w:rsidRPr="00061CCE" w:rsidRDefault="00061CCE" w:rsidP="00061CCE">
      <w:pPr>
        <w:numPr>
          <w:ilvl w:val="0"/>
          <w:numId w:val="14"/>
        </w:numPr>
        <w:spacing w:after="0" w:line="240" w:lineRule="auto"/>
        <w:ind w:left="851" w:hanging="284"/>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vaikams, kurių širdies ir kraujagyslių sistema nestabili.</w:t>
      </w:r>
    </w:p>
    <w:bookmarkEnd w:id="25"/>
    <w:p w14:paraId="032E182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A60696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Šiems didelės rizikos pacientams reikalinga mažesnė vaistinio preparato dozė (žr. 4.2 skyrių „Dozavimas ir vartojimo metodas“). Be to reikia nuolat stebėti ar neatsirado ankstyvųjų gyvybinės veiklos funkcijų sutrikimo požymių.</w:t>
      </w:r>
    </w:p>
    <w:p w14:paraId="7FB77B5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03A5E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Midazolamo, kaip ir kitų CNS slopinančių ir (arba) raumenis atpalaiduojančių vaistinių preparatų, pacientams sergantiems generalizuota miastenija reikia vartoti ypač atsargiai. </w:t>
      </w:r>
    </w:p>
    <w:p w14:paraId="50014F89"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5D551DD3"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Tolerancija</w:t>
      </w:r>
    </w:p>
    <w:p w14:paraId="2566067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Buvo pastebėtas nežymus midazolamo veiksmingumo sumažėjimas, kai jis buvo ilgai vartojamas sedacijai sukelti intensyvios terapijos skyriuje gydomiems pacientams.</w:t>
      </w:r>
    </w:p>
    <w:p w14:paraId="5611C7E9"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032F0B97"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Priklausomybė</w:t>
      </w:r>
    </w:p>
    <w:p w14:paraId="3EDC60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 midazolamas intensyvios terapijos skyriuje skiriamas ilgai sedacijai sukelti, reikia atsiminti, kad šis vaistinis preparatas gali sukelti fizinę priklausomybę. Priklausomybės rizika didėja jei vaistinio preparato vartojama ilgiau ir (ar) didesnė dozė</w:t>
      </w:r>
      <w:r w:rsidRPr="00061CCE">
        <w:rPr>
          <w:rFonts w:ascii="Times New Roman" w:eastAsia="Times New Roman" w:hAnsi="Times New Roman" w:cs="Times New Roman"/>
          <w:szCs w:val="20"/>
          <w:lang w:eastAsia="lt-LT"/>
        </w:rPr>
        <w:t xml:space="preserve">, </w:t>
      </w:r>
      <w:r w:rsidRPr="00061CCE">
        <w:rPr>
          <w:rFonts w:ascii="Times New Roman" w:eastAsia="Times New Roman" w:hAnsi="Times New Roman" w:cs="Times New Roman"/>
          <w:lang w:eastAsia="lt-LT"/>
        </w:rPr>
        <w:t>taip pat didesnė rizika kyla alkoholio ir (arba) narkotikų priklausomybės anamnezę turėjusiems pacientams (žr. 4.8 skyrių).</w:t>
      </w:r>
    </w:p>
    <w:p w14:paraId="276CBEEC"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11E5357C"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Abstinencijos simptomai</w:t>
      </w:r>
    </w:p>
    <w:p w14:paraId="2141900B"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26" w:name="_Hlk73083965"/>
      <w:r w:rsidRPr="00061CCE">
        <w:rPr>
          <w:rFonts w:ascii="Times New Roman" w:eastAsia="Times New Roman" w:hAnsi="Times New Roman" w:cs="Times New Roman"/>
          <w:lang w:eastAsia="lt-LT"/>
        </w:rPr>
        <w:t xml:space="preserve">Jei intensyvios terapijos skyriuje midazolamu gydoma ilgai, gali atsirasti fizinė priklausomybė, todėl staiga nutraukus gydymą gali atsirasti abstinencijos simptomų. Gali pasireikšti galvos skausmas, viduriavimas, raumenų skausmas, stiprus nerimas, įtampa, neramumas, konfūzija, irzlumas, miego sutrikimai, nuotaikos pokyčiai, haliucinacijos ir traukuliai. Sunkiais atvejais gali pasireikšti šių simptomų: depersonalizacija, galūnių tirpimas ir dilgsėjimas, padidėjęs jautrumas šviesai, triukšmui ir fiziniam sąlyčiui. </w:t>
      </w:r>
    </w:p>
    <w:p w14:paraId="6B3FC01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Kadangi staiga nutraukus gydymą, abstinencijos simptomų gali atsirasti dažniau, rekomenduojama dozę mažinti laipsniškai.</w:t>
      </w:r>
    </w:p>
    <w:bookmarkEnd w:id="26"/>
    <w:p w14:paraId="07B97194"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7046DCDB"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Amnezija</w:t>
      </w:r>
    </w:p>
    <w:p w14:paraId="6993B032"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27" w:name="_Hlk73083986"/>
      <w:r w:rsidRPr="00061CCE">
        <w:rPr>
          <w:rFonts w:ascii="Times New Roman" w:eastAsia="Times New Roman" w:hAnsi="Times New Roman" w:cs="Times New Roman"/>
          <w:lang w:eastAsia="lt-LT"/>
        </w:rPr>
        <w:t xml:space="preserve">Vartojant terapines dozes gali pasireikšti anterogradinė amnezija (dažnai šis efektas yra labai pageidaujamas prieš diagnostines ar chirurgines procedūras bei jų metu), kurios trukmė yra tiesiogiai susijusi su skiriama vaistinio preparato doze: didesnės dozės kelia didesnę riziką. </w:t>
      </w:r>
    </w:p>
    <w:p w14:paraId="61DB6B1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Ilgesnė amnezija gali sukelti problemų ambulatoriniams ligoniams, kai jie iškart po procedūros išleidžiami į namus. </w:t>
      </w:r>
    </w:p>
    <w:p w14:paraId="39A7638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Po parenterinės midazolamo injekcijos pacientas gali išvykti iš ligoninės ar konsultacinio skyriaus tik su priežiūra.</w:t>
      </w:r>
    </w:p>
    <w:bookmarkEnd w:id="27"/>
    <w:p w14:paraId="65A1677D"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7C0C0A83"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Paradoksinės reakcijos</w:t>
      </w:r>
    </w:p>
    <w:p w14:paraId="74FC3734"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28" w:name="_Hlk73084246"/>
      <w:r w:rsidRPr="00061CCE">
        <w:rPr>
          <w:rFonts w:ascii="Times New Roman" w:eastAsia="Times New Roman" w:hAnsi="Times New Roman" w:cs="Times New Roman"/>
          <w:lang w:eastAsia="lt-LT"/>
        </w:rPr>
        <w:t>Vartojant midazolamo gali pasireikšti sekančios paradoksinės reakcijos: neramumas, sujaudinimas, irzlumas, nevalingi judesiai, įskaitant toninius/kloninius traukulius ir raumenų tremorą, hiperaktyvumas, priešiškumas, kliedesiai, pyktis, agresyvumas, nerimas, košmarai, haliucinacijos, psichozės, netinkamas elgesys ir kitas nepageidaujamas poveikis elgesiui, staigus sujaudinimas ir smurto protrūkis. Minėti sutrikimai gali pasireikšti vartojant vaistinį preparatą didelėmis dozėmis ir (arba) kai per greitai jo injekuojama. Šių reakcijų dažniausiai pastebėta vaikams ir pagyvenusiems pacientams. Pasireiškus tokių reakcijų reikia apsvarstyti vaistinio preparato vartojimo nutraukimo galimybę.</w:t>
      </w:r>
    </w:p>
    <w:p w14:paraId="0ADEAA3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350894" w14:textId="77777777" w:rsidR="00061CCE" w:rsidRPr="00061CCE" w:rsidRDefault="00061CCE" w:rsidP="00061CCE">
      <w:pPr>
        <w:spacing w:after="0" w:line="240" w:lineRule="auto"/>
        <w:rPr>
          <w:rFonts w:ascii="Times New Roman" w:eastAsia="Times New Roman" w:hAnsi="Times New Roman" w:cs="Times New Roman"/>
          <w:i/>
          <w:lang w:eastAsia="lt-LT"/>
        </w:rPr>
      </w:pPr>
      <w:r w:rsidRPr="00061CCE">
        <w:rPr>
          <w:rFonts w:ascii="Times New Roman" w:eastAsia="Times New Roman" w:hAnsi="Times New Roman" w:cs="Times New Roman"/>
          <w:i/>
          <w:lang w:eastAsia="lt-LT"/>
        </w:rPr>
        <w:t>Miego apnėja</w:t>
      </w:r>
    </w:p>
    <w:p w14:paraId="5C96CE4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Midazolamo ypač atsargiai reikia skirti pacientams, kuriems nustatytas miego apnėjos sindromas; tokius pacientus reikia reguliariai stebėti.</w:t>
      </w:r>
    </w:p>
    <w:bookmarkEnd w:id="28"/>
    <w:p w14:paraId="2073B888"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127B0B3B"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Pakitusi midazolamo eliminacija</w:t>
      </w:r>
    </w:p>
    <w:p w14:paraId="156A976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Midazolamo eliminacija gali pakisti pacientams, vartojantiems junginius, kurie slopina arba sužadina CYP3A4 fermentų aktyvumą, todėl gali reikėti atitinkamai koreguoti midazolamo dozę (žr. 4.5 skyrių). </w:t>
      </w:r>
    </w:p>
    <w:p w14:paraId="353EEA0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Midazolamo eliminacija taip pat gali būti sulėtėjusi pacientams, kurių kepenų veikla sutrikusi ir sumažėjęs širdies išmetimo tūris bei naujagimiams (žr. 5.2 skyrių).</w:t>
      </w:r>
    </w:p>
    <w:p w14:paraId="49A54E22"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65B359A6"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Neišnešioti kūdikiai ir naujagimiai</w:t>
      </w:r>
    </w:p>
    <w:p w14:paraId="2C83135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 xml:space="preserve">Dėl didesnės kvėpavimo sustojimo rizikos sukeliant sedaciją neišnešiotiems naujagimiams ir kūdikiams, kurie gimė neišnešioti ir nebuvo intubuoti, patariama laikytis visų įmanomų atsargumo priemonių. Būtina nuolat stebėti kvėpavimo dažnį bei kraujo įsotinimą deguonimi. </w:t>
      </w:r>
    </w:p>
    <w:p w14:paraId="3B89C8DF" w14:textId="77777777" w:rsidR="00061CCE" w:rsidRPr="00061CCE" w:rsidRDefault="00061CCE" w:rsidP="00061CCE">
      <w:pPr>
        <w:spacing w:after="0" w:line="240" w:lineRule="auto"/>
        <w:rPr>
          <w:rFonts w:ascii="Times New Roman" w:eastAsia="Calibri" w:hAnsi="Times New Roman" w:cs="Times New Roman"/>
          <w:lang w:eastAsia="en-US"/>
        </w:rPr>
      </w:pPr>
      <w:r w:rsidRPr="00061CCE">
        <w:rPr>
          <w:rFonts w:ascii="Times New Roman" w:eastAsia="Times New Roman" w:hAnsi="Times New Roman" w:cs="Times New Roman"/>
          <w:lang w:eastAsia="lt-LT"/>
        </w:rPr>
        <w:t>Naujagimiams negalima vaistinio preparato švirkšti greitai.</w:t>
      </w:r>
      <w:bookmarkStart w:id="29" w:name="_Hlk73084301"/>
      <w:r w:rsidRPr="00061CCE">
        <w:rPr>
          <w:rFonts w:ascii="Times New Roman" w:eastAsia="Times New Roman" w:hAnsi="Times New Roman" w:cs="Times New Roman"/>
          <w:lang w:eastAsia="lt-LT"/>
        </w:rPr>
        <w:t xml:space="preserve"> Naujagimių organų veikla yra silpnesnė ir (arba) nesubrendusi, juos labiau pažeidžia stipresnis ir (arba) ilgesnis midazolamo poveikis kvėpavimo sistem</w:t>
      </w:r>
      <w:r w:rsidRPr="00061CCE">
        <w:rPr>
          <w:rFonts w:ascii="Calibri" w:eastAsia="Calibri" w:hAnsi="Calibri" w:cs="Arial"/>
          <w:lang w:eastAsia="en-US"/>
        </w:rPr>
        <w:t xml:space="preserve">ai. </w:t>
      </w:r>
      <w:bookmarkStart w:id="30" w:name="_Hlk72483702"/>
      <w:r w:rsidRPr="00061CCE">
        <w:rPr>
          <w:rFonts w:ascii="Times New Roman" w:eastAsia="Calibri" w:hAnsi="Times New Roman" w:cs="Times New Roman"/>
          <w:lang w:eastAsia="en-US"/>
        </w:rPr>
        <w:t xml:space="preserve">Gauta pranešimų apie nepageidaujamus kraujotakos reiškinius vaikams, kurių nestabili </w:t>
      </w:r>
      <w:bookmarkStart w:id="31" w:name="_Hlk73862511"/>
      <w:r w:rsidRPr="00061CCE">
        <w:rPr>
          <w:rFonts w:ascii="Times New Roman" w:eastAsia="Calibri" w:hAnsi="Times New Roman" w:cs="Times New Roman"/>
          <w:lang w:eastAsia="en-US"/>
        </w:rPr>
        <w:t>širdies ir kraujagyslių funkcija</w:t>
      </w:r>
      <w:bookmarkEnd w:id="31"/>
      <w:r w:rsidRPr="00061CCE">
        <w:rPr>
          <w:rFonts w:ascii="Times New Roman" w:eastAsia="Calibri" w:hAnsi="Times New Roman" w:cs="Times New Roman"/>
          <w:lang w:eastAsia="en-US"/>
        </w:rPr>
        <w:t xml:space="preserve">; šiai populiacijai </w:t>
      </w:r>
      <w:bookmarkStart w:id="32" w:name="_Hlk73457015"/>
      <w:r w:rsidRPr="00061CCE">
        <w:rPr>
          <w:rFonts w:ascii="Times New Roman" w:eastAsia="Calibri" w:hAnsi="Times New Roman" w:cs="Times New Roman"/>
          <w:lang w:eastAsia="en-US"/>
        </w:rPr>
        <w:t xml:space="preserve">negalima vaistinio preparato </w:t>
      </w:r>
      <w:bookmarkEnd w:id="32"/>
      <w:r w:rsidRPr="00061CCE">
        <w:rPr>
          <w:rFonts w:ascii="Times New Roman" w:eastAsia="Calibri" w:hAnsi="Times New Roman" w:cs="Times New Roman"/>
          <w:lang w:eastAsia="en-US"/>
        </w:rPr>
        <w:t>į veną leisti greitai.</w:t>
      </w:r>
      <w:bookmarkEnd w:id="29"/>
      <w:bookmarkEnd w:id="30"/>
    </w:p>
    <w:p w14:paraId="2FEBEBCE" w14:textId="77777777" w:rsidR="00061CCE" w:rsidRPr="00061CCE" w:rsidRDefault="00061CCE" w:rsidP="00061CCE">
      <w:pPr>
        <w:kinsoku w:val="0"/>
        <w:overflowPunct w:val="0"/>
        <w:spacing w:after="0" w:line="240" w:lineRule="auto"/>
        <w:ind w:right="54"/>
        <w:rPr>
          <w:rFonts w:ascii="Times New Roman" w:eastAsia="Times New Roman" w:hAnsi="Times New Roman" w:cs="Times New Roman"/>
          <w:lang w:eastAsia="lt-LT"/>
        </w:rPr>
      </w:pPr>
      <w:bookmarkStart w:id="33" w:name="_Hlk73084333"/>
    </w:p>
    <w:p w14:paraId="08C1FAAE" w14:textId="77777777" w:rsidR="00061CCE" w:rsidRPr="00061CCE" w:rsidRDefault="00061CCE" w:rsidP="00061CCE">
      <w:pPr>
        <w:kinsoku w:val="0"/>
        <w:overflowPunct w:val="0"/>
        <w:spacing w:after="0" w:line="240" w:lineRule="auto"/>
        <w:rPr>
          <w:rFonts w:ascii="Times New Roman" w:eastAsia="Times New Roman" w:hAnsi="Times New Roman" w:cs="Times New Roman"/>
          <w:i/>
          <w:iCs/>
          <w:lang w:eastAsia="lt-LT"/>
        </w:rPr>
      </w:pPr>
      <w:bookmarkStart w:id="34" w:name="_Hlk72483733"/>
      <w:r w:rsidRPr="00061CCE">
        <w:rPr>
          <w:rFonts w:ascii="Times New Roman" w:eastAsia="Times New Roman" w:hAnsi="Times New Roman" w:cs="Times New Roman"/>
          <w:i/>
          <w:szCs w:val="20"/>
          <w:lang w:eastAsia="lt-LT"/>
        </w:rPr>
        <w:t>Jaunesni nei 6 mėnesių kūdikiai</w:t>
      </w:r>
    </w:p>
    <w:p w14:paraId="14BAAB92" w14:textId="77777777" w:rsidR="00061CCE" w:rsidRPr="00061CCE" w:rsidRDefault="00061CCE" w:rsidP="00061CCE">
      <w:pPr>
        <w:spacing w:after="0" w:line="240" w:lineRule="auto"/>
        <w:rPr>
          <w:rFonts w:ascii="Times New Roman" w:eastAsia="Calibri" w:hAnsi="Times New Roman" w:cs="Times New Roman"/>
          <w:i/>
          <w:lang w:eastAsia="en-US"/>
        </w:rPr>
      </w:pPr>
      <w:r w:rsidRPr="00061CCE">
        <w:rPr>
          <w:rFonts w:ascii="Times New Roman" w:eastAsia="Calibri" w:hAnsi="Times New Roman" w:cs="Times New Roman"/>
          <w:lang w:eastAsia="en-US"/>
        </w:rPr>
        <w:t xml:space="preserve">Šiai populiacijai midazolamas skirtas tik sedacijai sukelti intensyvios terapijos skyriuje. Jaunesniems nei 6 mėnesių amžiaus kūdikiams ypač pavojinga kvėpavimo takų obstrukcija ir hipoventiliacija, todėl dozę reikia didinti titruojant mažomis padalomis, kol bus pasiektas klinikinis poveikis, ir atidžiai stebėti </w:t>
      </w:r>
      <w:bookmarkStart w:id="35" w:name="_Hlk73457539"/>
      <w:r w:rsidRPr="00061CCE">
        <w:rPr>
          <w:rFonts w:ascii="Times New Roman" w:eastAsia="Calibri" w:hAnsi="Times New Roman" w:cs="Times New Roman"/>
          <w:lang w:eastAsia="en-US"/>
        </w:rPr>
        <w:t>kvėpavimo dažnį bei kraujo įsotinimą deguonimi</w:t>
      </w:r>
      <w:bookmarkEnd w:id="35"/>
      <w:r w:rsidRPr="00061CCE">
        <w:rPr>
          <w:rFonts w:ascii="Times New Roman" w:eastAsia="Calibri" w:hAnsi="Times New Roman" w:cs="Times New Roman"/>
          <w:lang w:eastAsia="en-US"/>
        </w:rPr>
        <w:t xml:space="preserve"> (dar žr. pirmiau esantį poskyrį „</w:t>
      </w:r>
      <w:r w:rsidRPr="00061CCE">
        <w:rPr>
          <w:rFonts w:ascii="Times New Roman" w:eastAsia="Calibri" w:hAnsi="Times New Roman" w:cs="Times New Roman"/>
          <w:i/>
          <w:lang w:eastAsia="en-US"/>
        </w:rPr>
        <w:t>Neišnešioti kūdikiai ir naujagimiai</w:t>
      </w:r>
      <w:r w:rsidRPr="00061CCE">
        <w:rPr>
          <w:rFonts w:ascii="Times New Roman" w:eastAsia="Calibri" w:hAnsi="Times New Roman" w:cs="Times New Roman"/>
          <w:lang w:eastAsia="en-US"/>
        </w:rPr>
        <w:t>“).</w:t>
      </w:r>
    </w:p>
    <w:p w14:paraId="5854C905" w14:textId="77777777" w:rsidR="00061CCE" w:rsidRPr="00061CCE" w:rsidRDefault="00061CCE" w:rsidP="00061CCE">
      <w:pPr>
        <w:kinsoku w:val="0"/>
        <w:overflowPunct w:val="0"/>
        <w:spacing w:after="0" w:line="240" w:lineRule="auto"/>
        <w:rPr>
          <w:rFonts w:ascii="Times New Roman" w:eastAsia="Times New Roman" w:hAnsi="Times New Roman" w:cs="Times New Roman"/>
          <w:lang w:eastAsia="lt-LT"/>
        </w:rPr>
      </w:pPr>
    </w:p>
    <w:p w14:paraId="47B09B82" w14:textId="77777777" w:rsidR="00061CCE" w:rsidRPr="00061CCE" w:rsidRDefault="00061CCE" w:rsidP="00061CCE">
      <w:pPr>
        <w:kinsoku w:val="0"/>
        <w:overflowPunct w:val="0"/>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szCs w:val="20"/>
          <w:lang w:eastAsia="lt-LT"/>
        </w:rPr>
        <w:t xml:space="preserve">Vartojimas kartu su alkoholiu / CNS </w:t>
      </w:r>
      <w:bookmarkStart w:id="36" w:name="_Hlk73457848"/>
      <w:r w:rsidRPr="00061CCE">
        <w:rPr>
          <w:rFonts w:ascii="Times New Roman" w:eastAsia="Times New Roman" w:hAnsi="Times New Roman" w:cs="Times New Roman"/>
          <w:i/>
          <w:szCs w:val="20"/>
          <w:lang w:eastAsia="lt-LT"/>
        </w:rPr>
        <w:t>slopinanči</w:t>
      </w:r>
      <w:bookmarkEnd w:id="36"/>
      <w:r w:rsidRPr="00061CCE">
        <w:rPr>
          <w:rFonts w:ascii="Times New Roman" w:eastAsia="Times New Roman" w:hAnsi="Times New Roman" w:cs="Times New Roman"/>
          <w:i/>
          <w:szCs w:val="20"/>
          <w:lang w:eastAsia="lt-LT"/>
        </w:rPr>
        <w:t>omis medžiagomis</w:t>
      </w:r>
    </w:p>
    <w:p w14:paraId="5D4AAA22" w14:textId="77777777" w:rsidR="00061CCE" w:rsidRPr="00061CCE" w:rsidRDefault="00061CCE" w:rsidP="00061CCE">
      <w:pPr>
        <w:kinsoku w:val="0"/>
        <w:overflowPunct w:val="0"/>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szCs w:val="20"/>
          <w:lang w:eastAsia="lt-LT"/>
        </w:rPr>
        <w:t>Reikia vengti midazolamą vartoti kartu su alkoholiu ir (arba) CNS slopinančiomis medžiagomis. Vartojant kartu gali sustiprėti klinikinis midazolamo poveikis, įskaitant galbūt sunkią sedaciją, galinčią baigtis koma ar mirtimi, arba kliniškai reikšmingą kvėpavimo slopinimą (žr. 4.5 skyrių).</w:t>
      </w:r>
    </w:p>
    <w:p w14:paraId="146DC760" w14:textId="77777777" w:rsidR="00061CCE" w:rsidRPr="00061CCE" w:rsidRDefault="00061CCE" w:rsidP="00061CCE">
      <w:pPr>
        <w:kinsoku w:val="0"/>
        <w:overflowPunct w:val="0"/>
        <w:spacing w:after="0" w:line="240" w:lineRule="auto"/>
        <w:rPr>
          <w:rFonts w:ascii="Times New Roman" w:eastAsia="Times New Roman" w:hAnsi="Times New Roman" w:cs="Times New Roman"/>
          <w:lang w:eastAsia="lt-LT"/>
        </w:rPr>
      </w:pPr>
    </w:p>
    <w:p w14:paraId="52866C5D" w14:textId="77777777" w:rsidR="00061CCE" w:rsidRPr="00061CCE" w:rsidRDefault="00061CCE" w:rsidP="00061CCE">
      <w:pPr>
        <w:kinsoku w:val="0"/>
        <w:overflowPunct w:val="0"/>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szCs w:val="20"/>
          <w:lang w:eastAsia="lt-LT"/>
        </w:rPr>
        <w:t>Piktnaudžiavimo alkoholiu arba vaistais (narkotikais) anamnezė</w:t>
      </w:r>
    </w:p>
    <w:p w14:paraId="09F8185C" w14:textId="77777777" w:rsidR="00061CCE" w:rsidRPr="00061CCE" w:rsidRDefault="00061CCE" w:rsidP="00061CCE">
      <w:pPr>
        <w:kinsoku w:val="0"/>
        <w:overflowPunct w:val="0"/>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szCs w:val="20"/>
          <w:lang w:eastAsia="lt-LT"/>
        </w:rPr>
        <w:t>Midazolamo, kaip ir kitų benzodiazepinų, reikia vengti pacientams, turintiems piktnaudžiavimo alkoholiu arba vaistais (narkotikais) anamnezę.</w:t>
      </w:r>
    </w:p>
    <w:p w14:paraId="0DCB3C78" w14:textId="77777777" w:rsidR="00061CCE" w:rsidRPr="00061CCE" w:rsidRDefault="00061CCE" w:rsidP="00061CCE">
      <w:pPr>
        <w:kinsoku w:val="0"/>
        <w:overflowPunct w:val="0"/>
        <w:spacing w:after="0" w:line="240" w:lineRule="auto"/>
        <w:rPr>
          <w:rFonts w:ascii="Times New Roman" w:eastAsia="Times New Roman" w:hAnsi="Times New Roman" w:cs="Times New Roman"/>
          <w:lang w:eastAsia="lt-LT"/>
        </w:rPr>
      </w:pPr>
    </w:p>
    <w:p w14:paraId="48DB802A" w14:textId="77777777" w:rsidR="00061CCE" w:rsidRPr="00061CCE" w:rsidRDefault="00061CCE" w:rsidP="00061CCE">
      <w:pPr>
        <w:kinsoku w:val="0"/>
        <w:overflowPunct w:val="0"/>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szCs w:val="20"/>
          <w:lang w:eastAsia="lt-LT"/>
        </w:rPr>
        <w:t>Išleidimo iš gydymo įstaigos kriterijai</w:t>
      </w:r>
    </w:p>
    <w:p w14:paraId="27D0AA6B" w14:textId="77777777" w:rsidR="00061CCE" w:rsidRPr="00061CCE" w:rsidRDefault="00061CCE" w:rsidP="00061CCE">
      <w:pPr>
        <w:kinsoku w:val="0"/>
        <w:overflowPunct w:val="0"/>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Pacientus, kuriems skirta midazolamo, iš ligoninės arba konsultacijų kabineto galima išleisti, tik jeigu tai rekomenduoja gydytojas ir jeigu juos lydi prižiūrintis asmuo. Rekomenduojama, kad išleisti pacientai į namus vyktų su priežiūra.</w:t>
      </w:r>
      <w:bookmarkEnd w:id="34"/>
    </w:p>
    <w:bookmarkEnd w:id="33"/>
    <w:p w14:paraId="0B26989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2B800BD"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Specialūs įspėjimai ir atsargumo priemonės dėl pagalbinių medžiagų</w:t>
      </w:r>
    </w:p>
    <w:p w14:paraId="48013B7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253E24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Šio vaistinio preparato 5 ml ampulėje yra 17,63 mg natrio, tai atitinka 0,88 % didžiausios PSO rekomenduojamos paros normos suaugusiesiems, kuri yra 2 g natrio.</w:t>
      </w:r>
    </w:p>
    <w:p w14:paraId="171DB78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15C2BA"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37" w:name="_Hlk92868207"/>
      <w:r w:rsidRPr="00061CCE">
        <w:rPr>
          <w:rFonts w:ascii="Times New Roman" w:eastAsia="Times New Roman" w:hAnsi="Times New Roman" w:cs="Times New Roman"/>
          <w:lang w:eastAsia="lt-LT"/>
        </w:rPr>
        <w:t xml:space="preserve">Šio vaistinio preparato 50 ml buteliuke yra 176,33 mg natrio, tai atitinka 8,81 % </w:t>
      </w:r>
      <w:bookmarkEnd w:id="37"/>
      <w:r w:rsidRPr="00061CCE">
        <w:rPr>
          <w:rFonts w:ascii="Times New Roman" w:eastAsia="Times New Roman" w:hAnsi="Times New Roman" w:cs="Times New Roman"/>
          <w:lang w:eastAsia="lt-LT"/>
        </w:rPr>
        <w:t>didžiausios PSO rekomenduojamos paros normos suaugusiesiems, kuri yra 2 g natrio.</w:t>
      </w:r>
    </w:p>
    <w:p w14:paraId="5FDC44D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04AD6B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Šio vaistinio preparato 100 ml buteliuke yra 352,65 mg natrio, tai atitinka 17,63 % didžiausios PSO rekomenduojamos paros normos suaugusiesiems, kuri yra 2 g natrio.</w:t>
      </w:r>
    </w:p>
    <w:p w14:paraId="721ACFD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9A443E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Didžiausioje šio preparato paros dozėje yra 69 % didžiausios PSO rekomenduojamos natrio paros normos.</w:t>
      </w:r>
    </w:p>
    <w:p w14:paraId="7DCD8B7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16C6E4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1 mg/ml laikomas vaistu, kurio sudėtyje yra daug natrio. Į tai būtina atsižvelgti pacientams, kuriems kontroliuojamas natrio kiekis maiste.</w:t>
      </w:r>
    </w:p>
    <w:p w14:paraId="47CFAB61"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04EE7F4F"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4.5</w:t>
      </w:r>
      <w:r w:rsidRPr="00061CCE">
        <w:rPr>
          <w:rFonts w:ascii="Times New Roman" w:eastAsia="Times New Roman" w:hAnsi="Times New Roman" w:cs="Times New Roman"/>
          <w:b/>
          <w:lang w:eastAsia="lt-LT"/>
        </w:rPr>
        <w:tab/>
        <w:t>Sąveika su kitais vaistiniais preparatais ir kitokia sąveika</w:t>
      </w:r>
    </w:p>
    <w:p w14:paraId="4C96AFB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BE0249F"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38" w:name="_Hlk73084464"/>
      <w:r w:rsidRPr="00061CCE">
        <w:rPr>
          <w:rFonts w:ascii="Times New Roman" w:eastAsia="Times New Roman" w:hAnsi="Times New Roman" w:cs="Times New Roman"/>
          <w:lang w:eastAsia="lt-LT"/>
        </w:rPr>
        <w:t>Midazolamą metabolizuoja citochromo P450 3A4 fermentai (CYP3A4 ir CYP3A5). CYP3A inhibitoriai ir aktyvatoriai gali atitinkamai padidinti arba sumažinti midazolamo koncentraciją plazmoje ir kartu jo poveikį, todėl reikia atitinkamai koreguoti dozę.</w:t>
      </w:r>
    </w:p>
    <w:p w14:paraId="70E9CE7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4A36C5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Farmakokinetinė sąveika su CYP3A4 inhibitoriais arba aktyvatoriais vartojant midazolamą per burną pasireiškia stipriau, nei vartojant į veną, ypač dėl to, kad CYP3A4 yra ir viršutinėje virškinimo trakto dalyje. Taip yra todėl, kad vartojant per burną pakinta ir sisteminis klirensas, ir prieinamumas, o vartojant parenteriniu būdu pakinta tik sisteminis klirensas. Po vienos į veną suleistos midazolamo dozės maksimalaus klinikinio poveikio dėl CYP3A4 slopinimo pasekmės bus mažos, tačiau toks </w:t>
      </w:r>
      <w:r w:rsidRPr="00061CCE">
        <w:rPr>
          <w:rFonts w:ascii="Times New Roman" w:eastAsia="Times New Roman" w:hAnsi="Times New Roman" w:cs="Times New Roman"/>
          <w:lang w:eastAsia="lt-LT"/>
        </w:rPr>
        <w:lastRenderedPageBreak/>
        <w:t>poveikis gali užsitęsti. Visgi midazolamo vartojant ilgai, esant CYP3A4 slopinimui gali padidėti ir poveikio stiprumas, ir trukmė.</w:t>
      </w:r>
    </w:p>
    <w:p w14:paraId="1C81662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B37F63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Į tiesiąją žarną ir į raumenis vartojamo midazolamo farmakokinetikos moduliacijos, susijusios su CYP3A4 poveikiu, tyrimų neatlikta. Tikėtina, kad tokia sąveika bus mažesnė vartojant vaistą į tiesiąją žarną nei per burną, nes aplenkiamas virškinimo traktas, o CYP3A4 moduliacijos poveikis vartojant į raumenis neturėtų stipriai skirtis nuo stebimo poveikio midazolamą vartojant į veną.</w:t>
      </w:r>
    </w:p>
    <w:p w14:paraId="1CEDDAAD" w14:textId="77777777" w:rsidR="00061CCE" w:rsidRPr="00061CCE" w:rsidRDefault="00061CCE" w:rsidP="00061CCE">
      <w:pPr>
        <w:kinsoku w:val="0"/>
        <w:overflowPunct w:val="0"/>
        <w:spacing w:after="0" w:line="240" w:lineRule="auto"/>
        <w:ind w:right="54"/>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Todėl vartojant midazolamą patartina atidžiai stebėti klinikinį poveikį ir gyvybinius parametrus bei atkreipti dėmesį į tai, kad kartu pavartojus CYP3A4 inhibitorių, poveikis gali būti stipresnis ir ilgesnis net po vienos dozės. Reikia atsižvelgti į tai, kad skiriant midazolamą didelėmis dozėmis arba ilgalaikėmis infuzijomis, pacientams, vartojantiems CYP3A4 inhibitorių, gali pasireikšti ilgai trunkantis migdomasis poveikis, pailgėti atsigavimo laikotarpis ir pasireikšti kvėpavimo slopinamas, todėl reikia koreguoti dozę.</w:t>
      </w:r>
    </w:p>
    <w:p w14:paraId="6BEADCE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C28D99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Calibri" w:hAnsi="Times New Roman" w:cs="Times New Roman"/>
          <w:lang w:eastAsia="en-US"/>
        </w:rPr>
        <w:t>Indukcijos atžvilgiu reikia turėti omenyje, kad maksimaliam poveikiui pasiekti ir taip pat išnykti reikia kelių parų.</w:t>
      </w:r>
      <w:r w:rsidRPr="00061CCE">
        <w:rPr>
          <w:rFonts w:ascii="Times New Roman" w:eastAsia="Times New Roman" w:hAnsi="Times New Roman" w:cs="Times New Roman"/>
          <w:lang w:eastAsia="lt-LT"/>
        </w:rPr>
        <w:t>. Kitaip nei vartojant su induktoriumi kelias paras tikėtina, kad gydant trumpą laiką pasireiškianti vaistinių preparatų sąveika su midazolamu bus mažiau akivaizdi, tačiau vartojant stiprių induktorių negalima atmesti tikimybės, kad atitinkamas indukcinis poveikis kils ir po trumpalaikio gydymo.</w:t>
      </w:r>
    </w:p>
    <w:bookmarkEnd w:id="38"/>
    <w:p w14:paraId="363049B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5883BAE"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39" w:name="_Hlk73084486"/>
      <w:r w:rsidRPr="00061CCE">
        <w:rPr>
          <w:rFonts w:ascii="Times New Roman" w:eastAsia="Times New Roman" w:hAnsi="Times New Roman" w:cs="Times New Roman"/>
          <w:lang w:eastAsia="lt-LT"/>
        </w:rPr>
        <w:t>Nežinoma, kad midazolamas keistų kitų vaistų farmakokinetiką.</w:t>
      </w:r>
    </w:p>
    <w:bookmarkEnd w:id="39"/>
    <w:p w14:paraId="0666726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33EC9EF" w14:textId="77777777" w:rsidR="00061CCE" w:rsidRPr="00061CCE" w:rsidRDefault="00061CCE" w:rsidP="00061CCE">
      <w:pPr>
        <w:spacing w:after="0" w:line="240" w:lineRule="auto"/>
        <w:rPr>
          <w:rFonts w:ascii="Times New Roman" w:eastAsia="Calibri" w:hAnsi="Times New Roman" w:cs="Times New Roman"/>
          <w:b/>
          <w:bCs/>
          <w:i/>
          <w:u w:val="single"/>
          <w:lang w:eastAsia="en-US"/>
        </w:rPr>
      </w:pPr>
      <w:bookmarkStart w:id="40" w:name="_Hlk73084522"/>
      <w:r w:rsidRPr="00061CCE">
        <w:rPr>
          <w:rFonts w:ascii="Times New Roman" w:eastAsia="Calibri" w:hAnsi="Times New Roman" w:cs="Times New Roman"/>
          <w:b/>
          <w:color w:val="000000"/>
          <w:lang w:eastAsia="en-US"/>
        </w:rPr>
        <w:t>2 lentelė. Midazolamo sąveika su vaistiniais preparatais, slopinančiais CYP3A</w:t>
      </w:r>
    </w:p>
    <w:tbl>
      <w:tblPr>
        <w:tblW w:w="95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851"/>
        <w:gridCol w:w="5925"/>
        <w:gridCol w:w="53"/>
      </w:tblGrid>
      <w:tr w:rsidR="00061CCE" w:rsidRPr="00061CCE" w14:paraId="0395B47B" w14:textId="77777777" w:rsidTr="00DA7146">
        <w:trPr>
          <w:trHeight w:val="493"/>
        </w:trPr>
        <w:tc>
          <w:tcPr>
            <w:tcW w:w="1859" w:type="pct"/>
            <w:gridSpan w:val="2"/>
            <w:shd w:val="clear" w:color="auto" w:fill="auto"/>
            <w:vAlign w:val="bottom"/>
          </w:tcPr>
          <w:p w14:paraId="3AD58F5F" w14:textId="77777777" w:rsidR="00061CCE" w:rsidRPr="00061CCE" w:rsidRDefault="00061CCE" w:rsidP="00061CCE">
            <w:pPr>
              <w:keepNext/>
              <w:spacing w:after="0" w:line="240" w:lineRule="auto"/>
              <w:ind w:right="459"/>
              <w:outlineLvl w:val="4"/>
              <w:rPr>
                <w:rFonts w:ascii="Times New Roman" w:eastAsia="Calibri" w:hAnsi="Times New Roman" w:cs="Times New Roman"/>
                <w:b/>
                <w:lang w:eastAsia="en-US"/>
              </w:rPr>
            </w:pPr>
            <w:r w:rsidRPr="00061CCE">
              <w:rPr>
                <w:rFonts w:ascii="Times New Roman" w:eastAsia="Calibri" w:hAnsi="Times New Roman" w:cs="Times New Roman"/>
                <w:b/>
                <w:lang w:eastAsia="en-US"/>
              </w:rPr>
              <w:t>Vaistinis preparatas</w:t>
            </w:r>
          </w:p>
        </w:tc>
        <w:tc>
          <w:tcPr>
            <w:tcW w:w="3141" w:type="pct"/>
            <w:gridSpan w:val="2"/>
            <w:shd w:val="clear" w:color="auto" w:fill="auto"/>
            <w:vAlign w:val="bottom"/>
          </w:tcPr>
          <w:p w14:paraId="2DE9F62C" w14:textId="77777777" w:rsidR="00061CCE" w:rsidRPr="00061CCE" w:rsidRDefault="00061CCE" w:rsidP="00061CCE">
            <w:pPr>
              <w:keepNext/>
              <w:spacing w:after="0" w:line="240" w:lineRule="auto"/>
              <w:ind w:right="459"/>
              <w:outlineLvl w:val="4"/>
              <w:rPr>
                <w:rFonts w:ascii="Times New Roman" w:eastAsia="Calibri" w:hAnsi="Times New Roman" w:cs="Times New Roman"/>
                <w:b/>
                <w:lang w:eastAsia="en-US"/>
              </w:rPr>
            </w:pPr>
            <w:r w:rsidRPr="00061CCE">
              <w:rPr>
                <w:rFonts w:ascii="Times New Roman" w:eastAsia="Calibri" w:hAnsi="Times New Roman" w:cs="Times New Roman"/>
                <w:b/>
                <w:lang w:eastAsia="en-US"/>
              </w:rPr>
              <w:t>Sąveika su į veną leidžiamu midazolamu</w:t>
            </w:r>
            <w:r w:rsidRPr="00061CCE">
              <w:rPr>
                <w:rFonts w:ascii="Times New Roman" w:eastAsia="Calibri" w:hAnsi="Times New Roman" w:cs="Times New Roman"/>
                <w:b/>
                <w:vertAlign w:val="superscript"/>
                <w:lang w:eastAsia="en-US"/>
              </w:rPr>
              <w:t>a</w:t>
            </w:r>
          </w:p>
        </w:tc>
      </w:tr>
      <w:tr w:rsidR="00061CCE" w:rsidRPr="00061CCE" w14:paraId="33EB8673" w14:textId="77777777" w:rsidTr="00DA7146">
        <w:trPr>
          <w:trHeight w:val="493"/>
        </w:trPr>
        <w:tc>
          <w:tcPr>
            <w:tcW w:w="5000" w:type="pct"/>
            <w:gridSpan w:val="4"/>
            <w:shd w:val="clear" w:color="auto" w:fill="auto"/>
            <w:vAlign w:val="bottom"/>
          </w:tcPr>
          <w:p w14:paraId="21397288" w14:textId="77777777" w:rsidR="00061CCE" w:rsidRPr="00061CCE" w:rsidRDefault="00061CCE" w:rsidP="00061CCE">
            <w:pPr>
              <w:keepNext/>
              <w:spacing w:after="0" w:line="240" w:lineRule="auto"/>
              <w:ind w:right="459"/>
              <w:outlineLvl w:val="4"/>
              <w:rPr>
                <w:rFonts w:ascii="Times New Roman" w:eastAsia="Calibri" w:hAnsi="Times New Roman" w:cs="Times New Roman"/>
                <w:b/>
                <w:lang w:eastAsia="en-US"/>
              </w:rPr>
            </w:pPr>
            <w:r w:rsidRPr="00061CCE">
              <w:rPr>
                <w:rFonts w:ascii="Times New Roman" w:eastAsia="Calibri" w:hAnsi="Times New Roman" w:cs="Times New Roman"/>
                <w:b/>
                <w:lang w:eastAsia="en-US"/>
              </w:rPr>
              <w:t>Azolų grupės priešgrybeliniai vaistiniai preparatai</w:t>
            </w:r>
            <w:r w:rsidRPr="00061CCE">
              <w:rPr>
                <w:rFonts w:ascii="Times New Roman" w:eastAsia="Calibri" w:hAnsi="Times New Roman" w:cs="Times New Roman"/>
                <w:b/>
                <w:vertAlign w:val="superscript"/>
                <w:lang w:eastAsia="en-US"/>
              </w:rPr>
              <w:t>b</w:t>
            </w:r>
          </w:p>
        </w:tc>
      </w:tr>
      <w:tr w:rsidR="00061CCE" w:rsidRPr="00061CCE" w14:paraId="4E48EAA5" w14:textId="77777777" w:rsidTr="00DA7146">
        <w:trPr>
          <w:trHeight w:val="493"/>
        </w:trPr>
        <w:tc>
          <w:tcPr>
            <w:tcW w:w="1859" w:type="pct"/>
            <w:gridSpan w:val="2"/>
            <w:shd w:val="clear" w:color="auto" w:fill="auto"/>
          </w:tcPr>
          <w:p w14:paraId="6D91C8B6"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Ketokonazolas, vorikonazolas</w:t>
            </w:r>
          </w:p>
        </w:tc>
        <w:tc>
          <w:tcPr>
            <w:tcW w:w="3141" w:type="pct"/>
            <w:gridSpan w:val="2"/>
            <w:shd w:val="clear" w:color="auto" w:fill="auto"/>
          </w:tcPr>
          <w:p w14:paraId="0CCDCD48"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Ketokonazolas ir vorikonazolas padidino į veną suleisto midazolamo koncentraciją plazmoje atitinkamai 5 kartus ir 3</w:t>
            </w:r>
            <w:r w:rsidRPr="00061CCE">
              <w:rPr>
                <w:rFonts w:ascii="Times New Roman" w:eastAsia="Calibri" w:hAnsi="Times New Roman" w:cs="Times New Roman"/>
                <w:lang w:eastAsia="en-US"/>
              </w:rPr>
              <w:noBreakHyphen/>
              <w:t>4 kartus, o galutinis pusinės eliminacijos periodas pailgėjo maždaug 3 kartus. Parenterinį midazolamą kartu su šiais stipriais CYP3A inhibitoriais galima skirti tik intensyvios terapijos skyriuje arba panašioje įstaigoje, kurioje galima užtikrinti atidų klinikinį stebėjimą ir atitinkamą medicininį būklės valdymą, jeigu pasireikštų kvėpavimo slopinimas ir (arba) ilgalaikė sedacija. Reikia numatyti titruojamojo dozavimo ir dozės koregavimo galimybę, ypač jeigu skiriama daugiau kaip viena midazolamo dozė į veną. Tos pačios rekomendacijos gali būti taikytinos ir skiriant su kitais azolų grupės priešgrybeliniais vaistais, nes gauta pranešimų (nors ir rečiau) apie padidėjusį į veną leidžiamo midazolamo sedacinį poveikį.</w:t>
            </w:r>
          </w:p>
        </w:tc>
      </w:tr>
      <w:tr w:rsidR="00061CCE" w:rsidRPr="00061CCE" w14:paraId="2E1C7C53" w14:textId="77777777" w:rsidTr="00DA7146">
        <w:trPr>
          <w:trHeight w:val="493"/>
        </w:trPr>
        <w:tc>
          <w:tcPr>
            <w:tcW w:w="1859" w:type="pct"/>
            <w:gridSpan w:val="2"/>
            <w:shd w:val="clear" w:color="auto" w:fill="auto"/>
          </w:tcPr>
          <w:p w14:paraId="5E5E8B37"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Flukonazolas, itrakonazolas</w:t>
            </w:r>
          </w:p>
        </w:tc>
        <w:tc>
          <w:tcPr>
            <w:tcW w:w="3141" w:type="pct"/>
            <w:gridSpan w:val="2"/>
            <w:shd w:val="clear" w:color="auto" w:fill="auto"/>
          </w:tcPr>
          <w:p w14:paraId="6C0F9D90"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Tiek flukonazolas, tiek itrakonazolas padidino į veną suleisto midazolamo koncentraciją plazmoje 2</w:t>
            </w:r>
            <w:r w:rsidRPr="00061CCE">
              <w:rPr>
                <w:rFonts w:ascii="Times New Roman" w:eastAsia="Calibri" w:hAnsi="Times New Roman" w:cs="Times New Roman"/>
                <w:lang w:eastAsia="en-US"/>
              </w:rPr>
              <w:noBreakHyphen/>
              <w:t>3 kartus, o galutinis pusinės eliminacijos periodas vartojant su itrakonazolu pailgėjo 2,4 karto, o su flukonazolu – 1,5 karto.</w:t>
            </w:r>
          </w:p>
        </w:tc>
      </w:tr>
      <w:tr w:rsidR="00061CCE" w:rsidRPr="00061CCE" w14:paraId="6688A55A" w14:textId="77777777" w:rsidTr="00DA7146">
        <w:trPr>
          <w:trHeight w:val="493"/>
        </w:trPr>
        <w:tc>
          <w:tcPr>
            <w:tcW w:w="1859" w:type="pct"/>
            <w:gridSpan w:val="2"/>
            <w:shd w:val="clear" w:color="auto" w:fill="auto"/>
          </w:tcPr>
          <w:p w14:paraId="15DA3BEB"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lastRenderedPageBreak/>
              <w:t>Pozakonazolas</w:t>
            </w:r>
          </w:p>
        </w:tc>
        <w:tc>
          <w:tcPr>
            <w:tcW w:w="3141" w:type="pct"/>
            <w:gridSpan w:val="2"/>
            <w:shd w:val="clear" w:color="auto" w:fill="auto"/>
          </w:tcPr>
          <w:p w14:paraId="70396FF3"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Pozakonazolas padidino į veną suleisto midazolamo koncentraciją plazmoje maždaug 2 kartus.</w:t>
            </w:r>
          </w:p>
        </w:tc>
      </w:tr>
      <w:tr w:rsidR="00061CCE" w:rsidRPr="00061CCE" w14:paraId="5C4BD086" w14:textId="77777777" w:rsidTr="00DA7146">
        <w:trPr>
          <w:trHeight w:val="493"/>
        </w:trPr>
        <w:tc>
          <w:tcPr>
            <w:tcW w:w="5000" w:type="pct"/>
            <w:gridSpan w:val="4"/>
            <w:shd w:val="clear" w:color="auto" w:fill="auto"/>
            <w:vAlign w:val="bottom"/>
          </w:tcPr>
          <w:p w14:paraId="233C5313" w14:textId="77777777" w:rsidR="00061CCE" w:rsidRPr="00061CCE" w:rsidRDefault="00061CCE" w:rsidP="00061CCE">
            <w:pPr>
              <w:keepNext/>
              <w:spacing w:after="0" w:line="240" w:lineRule="auto"/>
              <w:ind w:right="459"/>
              <w:outlineLvl w:val="4"/>
              <w:rPr>
                <w:rFonts w:ascii="Times New Roman" w:eastAsia="Calibri" w:hAnsi="Times New Roman" w:cs="Times New Roman"/>
                <w:b/>
                <w:lang w:eastAsia="en-US"/>
              </w:rPr>
            </w:pPr>
            <w:r w:rsidRPr="00061CCE">
              <w:rPr>
                <w:rFonts w:ascii="Times New Roman" w:eastAsia="Calibri" w:hAnsi="Times New Roman" w:cs="Times New Roman"/>
                <w:b/>
                <w:lang w:eastAsia="en-US"/>
              </w:rPr>
              <w:t>Makrolidų grupės antibiotikai</w:t>
            </w:r>
          </w:p>
        </w:tc>
      </w:tr>
      <w:tr w:rsidR="00061CCE" w:rsidRPr="00061CCE" w14:paraId="2FB4635F" w14:textId="77777777" w:rsidTr="00DA7146">
        <w:trPr>
          <w:trHeight w:val="493"/>
        </w:trPr>
        <w:tc>
          <w:tcPr>
            <w:tcW w:w="1859" w:type="pct"/>
            <w:gridSpan w:val="2"/>
            <w:shd w:val="clear" w:color="auto" w:fill="auto"/>
          </w:tcPr>
          <w:p w14:paraId="638B8F9A"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Eritromicinas</w:t>
            </w:r>
          </w:p>
        </w:tc>
        <w:tc>
          <w:tcPr>
            <w:tcW w:w="3141" w:type="pct"/>
            <w:gridSpan w:val="2"/>
            <w:shd w:val="clear" w:color="auto" w:fill="auto"/>
          </w:tcPr>
          <w:p w14:paraId="7C10E880"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Vartojant eritromiciną, į veną suleisto midazolamo koncentracija plazmoje padidėjo maždaug 1,6</w:t>
            </w:r>
            <w:r w:rsidRPr="00061CCE">
              <w:rPr>
                <w:rFonts w:ascii="Times New Roman" w:eastAsia="Calibri" w:hAnsi="Times New Roman" w:cs="Times New Roman"/>
                <w:lang w:eastAsia="en-US"/>
              </w:rPr>
              <w:noBreakHyphen/>
              <w:t>2 kartus, o midazolamo galutinis pusinės eliminacijos periodas pailgėjo 1,5</w:t>
            </w:r>
            <w:r w:rsidRPr="00061CCE">
              <w:rPr>
                <w:rFonts w:ascii="Times New Roman" w:eastAsia="Calibri" w:hAnsi="Times New Roman" w:cs="Times New Roman"/>
                <w:lang w:eastAsia="en-US"/>
              </w:rPr>
              <w:noBreakHyphen/>
              <w:t>1,8 karto.</w:t>
            </w:r>
          </w:p>
        </w:tc>
      </w:tr>
      <w:tr w:rsidR="00061CCE" w:rsidRPr="00061CCE" w14:paraId="2329C2B2" w14:textId="77777777" w:rsidTr="00DA7146">
        <w:trPr>
          <w:trHeight w:val="493"/>
        </w:trPr>
        <w:tc>
          <w:tcPr>
            <w:tcW w:w="1859" w:type="pct"/>
            <w:gridSpan w:val="2"/>
            <w:shd w:val="clear" w:color="auto" w:fill="auto"/>
          </w:tcPr>
          <w:p w14:paraId="36550A81"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Klaritromicinas</w:t>
            </w:r>
          </w:p>
        </w:tc>
        <w:tc>
          <w:tcPr>
            <w:tcW w:w="3141" w:type="pct"/>
            <w:gridSpan w:val="2"/>
            <w:shd w:val="clear" w:color="auto" w:fill="auto"/>
          </w:tcPr>
          <w:p w14:paraId="7780CC47"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Klaritromicinas padidino į veną suleisto midazolamo koncentraciją plazmoje iki 2,5 kartų, o galutinis pusinės eliminacijos periodas pailgėjo 1,5</w:t>
            </w:r>
            <w:r w:rsidRPr="00061CCE">
              <w:rPr>
                <w:rFonts w:ascii="Times New Roman" w:eastAsia="Calibri" w:hAnsi="Times New Roman" w:cs="Times New Roman"/>
                <w:lang w:eastAsia="en-US"/>
              </w:rPr>
              <w:noBreakHyphen/>
              <w:t>2 kartus.</w:t>
            </w:r>
          </w:p>
        </w:tc>
      </w:tr>
      <w:tr w:rsidR="00061CCE" w:rsidRPr="00061CCE" w14:paraId="1E9C64D0" w14:textId="77777777" w:rsidTr="00DA7146">
        <w:trPr>
          <w:trHeight w:val="493"/>
        </w:trPr>
        <w:tc>
          <w:tcPr>
            <w:tcW w:w="1859" w:type="pct"/>
            <w:gridSpan w:val="2"/>
            <w:shd w:val="clear" w:color="auto" w:fill="auto"/>
          </w:tcPr>
          <w:p w14:paraId="141EE6BB" w14:textId="77777777" w:rsidR="00061CCE" w:rsidRPr="00061CCE" w:rsidRDefault="00061CCE" w:rsidP="00061CCE">
            <w:pPr>
              <w:spacing w:after="0" w:line="240" w:lineRule="auto"/>
              <w:ind w:right="459"/>
              <w:rPr>
                <w:rFonts w:ascii="Times New Roman" w:eastAsia="Calibri" w:hAnsi="Times New Roman" w:cs="Times New Roman"/>
                <w:lang w:eastAsia="en-US"/>
              </w:rPr>
            </w:pPr>
          </w:p>
          <w:p w14:paraId="00865307"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Telitromicinas, </w:t>
            </w:r>
          </w:p>
          <w:p w14:paraId="3C2BE4C5"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p>
          <w:p w14:paraId="7AF4405E"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p>
          <w:p w14:paraId="0756438C"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Roksitromicinas</w:t>
            </w:r>
          </w:p>
        </w:tc>
        <w:tc>
          <w:tcPr>
            <w:tcW w:w="3141" w:type="pct"/>
            <w:gridSpan w:val="2"/>
            <w:shd w:val="clear" w:color="auto" w:fill="auto"/>
          </w:tcPr>
          <w:p w14:paraId="136A0CD5" w14:textId="77777777" w:rsidR="00061CCE" w:rsidRPr="00061CCE" w:rsidRDefault="00061CCE" w:rsidP="00061CCE">
            <w:pPr>
              <w:spacing w:after="0" w:line="240" w:lineRule="auto"/>
              <w:ind w:right="459"/>
              <w:rPr>
                <w:rFonts w:ascii="Times New Roman" w:eastAsia="Calibri" w:hAnsi="Times New Roman" w:cs="Times New Roman"/>
                <w:i/>
                <w:lang w:eastAsia="en-US"/>
              </w:rPr>
            </w:pPr>
            <w:r w:rsidRPr="00061CCE">
              <w:rPr>
                <w:rFonts w:ascii="Times New Roman" w:eastAsia="Calibri" w:hAnsi="Times New Roman" w:cs="Times New Roman"/>
                <w:i/>
                <w:lang w:eastAsia="en-US"/>
              </w:rPr>
              <w:t xml:space="preserve">Informacija apie per burną vartojamą midazolamą </w:t>
            </w:r>
          </w:p>
          <w:p w14:paraId="667AF8FB"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Telitromicinas padidino per burną suvartoto midazolamo koncentraciją plazmoje 6 kartus.</w:t>
            </w:r>
          </w:p>
          <w:p w14:paraId="16AE9877" w14:textId="77777777" w:rsidR="00061CCE" w:rsidRPr="00061CCE" w:rsidRDefault="00061CCE" w:rsidP="00061CCE">
            <w:pPr>
              <w:spacing w:after="0" w:line="240" w:lineRule="auto"/>
              <w:ind w:right="459"/>
              <w:rPr>
                <w:rFonts w:ascii="Times New Roman" w:eastAsia="Calibri" w:hAnsi="Times New Roman" w:cs="Times New Roman"/>
                <w:lang w:eastAsia="en-US"/>
              </w:rPr>
            </w:pPr>
          </w:p>
          <w:p w14:paraId="431BDA8E"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Informacijos apie roksitromicino sąveiką su į veną leidžiamu midazolamu nėra, tačiau atsižvelgiant į menką poveikį midazolamo galutiniam pusinės eliminacijos periodui per burną suvartojus tabletę (jis pailgėjo 30 %), manoma, kad roksitromicino poveikis į veną leidžiamam midazolamui bus mažas.</w:t>
            </w:r>
          </w:p>
        </w:tc>
      </w:tr>
      <w:tr w:rsidR="00061CCE" w:rsidRPr="00061CCE" w14:paraId="174C7D18" w14:textId="77777777" w:rsidTr="00DA7146">
        <w:trPr>
          <w:gridAfter w:val="1"/>
          <w:wAfter w:w="28" w:type="pct"/>
        </w:trPr>
        <w:tc>
          <w:tcPr>
            <w:tcW w:w="4972" w:type="pct"/>
            <w:gridSpan w:val="3"/>
            <w:shd w:val="clear" w:color="auto" w:fill="auto"/>
          </w:tcPr>
          <w:p w14:paraId="70D43043" w14:textId="77777777" w:rsidR="00061CCE" w:rsidRPr="00061CCE" w:rsidRDefault="00061CCE" w:rsidP="00061CCE">
            <w:pPr>
              <w:keepNext/>
              <w:spacing w:after="0" w:line="240" w:lineRule="auto"/>
              <w:ind w:right="459"/>
              <w:outlineLvl w:val="4"/>
              <w:rPr>
                <w:rFonts w:ascii="Times New Roman" w:eastAsia="Calibri" w:hAnsi="Times New Roman" w:cs="Times New Roman"/>
                <w:b/>
                <w:i/>
                <w:u w:val="single"/>
                <w:lang w:eastAsia="en-US"/>
              </w:rPr>
            </w:pPr>
            <w:r w:rsidRPr="00061CCE">
              <w:rPr>
                <w:rFonts w:ascii="Times New Roman" w:eastAsia="Calibri" w:hAnsi="Times New Roman" w:cs="Times New Roman"/>
                <w:b/>
                <w:u w:val="single"/>
                <w:lang w:eastAsia="en-US"/>
              </w:rPr>
              <w:lastRenderedPageBreak/>
              <w:t>Į veną leidžiami anestetikai</w:t>
            </w:r>
          </w:p>
        </w:tc>
      </w:tr>
      <w:tr w:rsidR="00061CCE" w:rsidRPr="00061CCE" w14:paraId="6D624919" w14:textId="77777777" w:rsidTr="00DA7146">
        <w:trPr>
          <w:gridAfter w:val="1"/>
          <w:wAfter w:w="28" w:type="pct"/>
        </w:trPr>
        <w:tc>
          <w:tcPr>
            <w:tcW w:w="1412" w:type="pct"/>
            <w:shd w:val="clear" w:color="auto" w:fill="auto"/>
          </w:tcPr>
          <w:p w14:paraId="6C67B3D8"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u w:val="single"/>
                <w:lang w:eastAsia="en-US"/>
              </w:rPr>
              <w:t>Propofolis</w:t>
            </w:r>
          </w:p>
        </w:tc>
        <w:tc>
          <w:tcPr>
            <w:tcW w:w="3560" w:type="pct"/>
            <w:gridSpan w:val="2"/>
            <w:shd w:val="clear" w:color="auto" w:fill="auto"/>
          </w:tcPr>
          <w:p w14:paraId="616B5329"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Į veną leidžiamas propofolis padidino į veną suleisto midazolamo AUC ir pusinės eliminacijos periodą 1,6 karto.</w:t>
            </w:r>
          </w:p>
        </w:tc>
      </w:tr>
      <w:tr w:rsidR="00061CCE" w:rsidRPr="00061CCE" w14:paraId="52D73606" w14:textId="77777777" w:rsidTr="00DA7146">
        <w:trPr>
          <w:gridAfter w:val="1"/>
          <w:wAfter w:w="28" w:type="pct"/>
        </w:trPr>
        <w:tc>
          <w:tcPr>
            <w:tcW w:w="4972" w:type="pct"/>
            <w:gridSpan w:val="3"/>
            <w:shd w:val="clear" w:color="auto" w:fill="auto"/>
          </w:tcPr>
          <w:p w14:paraId="6E9B31ED"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b/>
                <w:lang w:eastAsia="en-US"/>
              </w:rPr>
              <w:t>Proteazių inhibitoriai</w:t>
            </w:r>
            <w:r w:rsidRPr="00061CCE">
              <w:rPr>
                <w:rFonts w:ascii="Times New Roman" w:eastAsia="Calibri" w:hAnsi="Times New Roman" w:cs="Times New Roman"/>
                <w:b/>
                <w:vertAlign w:val="superscript"/>
                <w:lang w:eastAsia="en-US"/>
              </w:rPr>
              <w:t>c</w:t>
            </w:r>
          </w:p>
        </w:tc>
      </w:tr>
      <w:tr w:rsidR="00061CCE" w:rsidRPr="00061CCE" w14:paraId="12F67AB8" w14:textId="77777777" w:rsidTr="00DA7146">
        <w:trPr>
          <w:gridAfter w:val="1"/>
          <w:wAfter w:w="28" w:type="pct"/>
        </w:trPr>
        <w:tc>
          <w:tcPr>
            <w:tcW w:w="1412" w:type="pct"/>
            <w:shd w:val="clear" w:color="auto" w:fill="auto"/>
          </w:tcPr>
          <w:p w14:paraId="254077CC"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Sakvinaviras ir kiti ŽIV (žmogaus imunodeficito viruso) proteazių inhibotoriai</w:t>
            </w:r>
          </w:p>
        </w:tc>
        <w:tc>
          <w:tcPr>
            <w:tcW w:w="3560" w:type="pct"/>
            <w:gridSpan w:val="2"/>
            <w:shd w:val="clear" w:color="auto" w:fill="auto"/>
          </w:tcPr>
          <w:p w14:paraId="35408B00"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Vartojant kartu su proteazių inhibitoriais gali stipriai padidėti midazolamo koncentracija.</w:t>
            </w:r>
          </w:p>
          <w:p w14:paraId="08215A31"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Skyrus kartu su ritonaviru sustiprintu lopinaviru, į veną suleisto midazolamo koncentracija plazmoje padidėjo 5,4 karto ir panašiai pailgėjo galutinis pusinės eliminacijos periodas.</w:t>
            </w:r>
          </w:p>
          <w:p w14:paraId="028DBF74"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Jeigu su ŽIV proteazių inhibitoriais skiriama parenterinio midazolamo, reikia laikytis rekomendacijų, patiktų pirmiau dėl azolų grupės priešgrybelinių vaistų ketokonazolo ir vorikonazolo.</w:t>
            </w:r>
          </w:p>
        </w:tc>
      </w:tr>
      <w:tr w:rsidR="00061CCE" w:rsidRPr="00061CCE" w14:paraId="753E44A8" w14:textId="77777777" w:rsidTr="00DA7146">
        <w:trPr>
          <w:gridAfter w:val="1"/>
          <w:wAfter w:w="28" w:type="pct"/>
        </w:trPr>
        <w:tc>
          <w:tcPr>
            <w:tcW w:w="1412" w:type="pct"/>
            <w:shd w:val="clear" w:color="auto" w:fill="auto"/>
          </w:tcPr>
          <w:p w14:paraId="14CE9374"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Hepatito C viruso (HCV) proteazių inhibitoriai </w:t>
            </w:r>
          </w:p>
        </w:tc>
        <w:tc>
          <w:tcPr>
            <w:tcW w:w="3560" w:type="pct"/>
            <w:gridSpan w:val="2"/>
            <w:shd w:val="clear" w:color="auto" w:fill="auto"/>
          </w:tcPr>
          <w:p w14:paraId="53FB92DF"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Bocepreviras ir telapreviras mažina midazolamo klirensą. Dėl šio poveikio 3,4 karto padidėjo į veną suleisto midazolamo AUC ir 4 kartus pailgėjo jo pusinės eliminacijos periodas.</w:t>
            </w:r>
          </w:p>
        </w:tc>
      </w:tr>
      <w:tr w:rsidR="00061CCE" w:rsidRPr="00061CCE" w14:paraId="6535270E" w14:textId="77777777" w:rsidTr="00DA7146">
        <w:trPr>
          <w:gridAfter w:val="1"/>
          <w:wAfter w:w="28" w:type="pct"/>
        </w:trPr>
        <w:tc>
          <w:tcPr>
            <w:tcW w:w="4972" w:type="pct"/>
            <w:gridSpan w:val="3"/>
            <w:shd w:val="clear" w:color="auto" w:fill="auto"/>
          </w:tcPr>
          <w:p w14:paraId="70DCE474" w14:textId="77777777" w:rsidR="00061CCE" w:rsidRPr="00061CCE" w:rsidRDefault="00061CCE" w:rsidP="00061CCE">
            <w:pPr>
              <w:keepNext/>
              <w:spacing w:after="0" w:line="240" w:lineRule="auto"/>
              <w:ind w:right="459"/>
              <w:outlineLvl w:val="4"/>
              <w:rPr>
                <w:rFonts w:ascii="Times New Roman" w:eastAsia="Calibri" w:hAnsi="Times New Roman" w:cs="Times New Roman"/>
                <w:b/>
                <w:i/>
                <w:u w:val="single"/>
                <w:lang w:eastAsia="en-US"/>
              </w:rPr>
            </w:pPr>
            <w:r w:rsidRPr="00061CCE">
              <w:rPr>
                <w:rFonts w:ascii="Times New Roman" w:eastAsia="Calibri" w:hAnsi="Times New Roman" w:cs="Times New Roman"/>
                <w:b/>
                <w:lang w:eastAsia="en-US"/>
              </w:rPr>
              <w:t>Kalcio kanalų blokatoriai</w:t>
            </w:r>
          </w:p>
        </w:tc>
      </w:tr>
      <w:tr w:rsidR="00061CCE" w:rsidRPr="00061CCE" w14:paraId="1AAA8BD9" w14:textId="77777777" w:rsidTr="00DA7146">
        <w:trPr>
          <w:gridAfter w:val="1"/>
          <w:wAfter w:w="28" w:type="pct"/>
        </w:trPr>
        <w:tc>
          <w:tcPr>
            <w:tcW w:w="1412" w:type="pct"/>
            <w:shd w:val="clear" w:color="auto" w:fill="auto"/>
          </w:tcPr>
          <w:p w14:paraId="43283A19"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Diltiazemas</w:t>
            </w:r>
          </w:p>
        </w:tc>
        <w:tc>
          <w:tcPr>
            <w:tcW w:w="3560" w:type="pct"/>
            <w:gridSpan w:val="2"/>
            <w:shd w:val="clear" w:color="auto" w:fill="auto"/>
          </w:tcPr>
          <w:p w14:paraId="7949AE24"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Viena diltiazemo dozė, skirta pacientams, kuriems atliekama vainikinės arterijos šuntavimo operacija, padidino į veną suleisto midazolamo koncentraciją plazmoje maždaug 25 %, o galutinis pusinės eliminacijos periodas pailgėjo 43 %. Midazolamo skyrus per burną, šie parametrai padidėjo mažiau kaip 4 kartus.</w:t>
            </w:r>
          </w:p>
        </w:tc>
      </w:tr>
      <w:tr w:rsidR="00061CCE" w:rsidRPr="00061CCE" w14:paraId="04F60EAC" w14:textId="77777777" w:rsidTr="00DA7146">
        <w:trPr>
          <w:gridAfter w:val="1"/>
          <w:wAfter w:w="28" w:type="pct"/>
        </w:trPr>
        <w:tc>
          <w:tcPr>
            <w:tcW w:w="1412" w:type="pct"/>
            <w:shd w:val="clear" w:color="auto" w:fill="auto"/>
          </w:tcPr>
          <w:p w14:paraId="1BC3C58C"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Verapamilis</w:t>
            </w:r>
          </w:p>
        </w:tc>
        <w:tc>
          <w:tcPr>
            <w:tcW w:w="3560" w:type="pct"/>
            <w:gridSpan w:val="2"/>
            <w:shd w:val="clear" w:color="auto" w:fill="auto"/>
          </w:tcPr>
          <w:p w14:paraId="407E4ACD"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Informacija apie per burną vartojamą midazolamą</w:t>
            </w:r>
          </w:p>
          <w:p w14:paraId="48086421"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Verapamilis padidino per burną suvartoto midazolamo koncentraciją plazmoje 3 kartus. Midazolamo galutinis pusinės eliminacijos periodas padidėjo 41 %.</w:t>
            </w:r>
          </w:p>
        </w:tc>
      </w:tr>
      <w:tr w:rsidR="00061CCE" w:rsidRPr="00061CCE" w14:paraId="2EC2555E" w14:textId="77777777" w:rsidTr="00DA7146">
        <w:trPr>
          <w:gridAfter w:val="1"/>
          <w:wAfter w:w="28" w:type="pct"/>
        </w:trPr>
        <w:tc>
          <w:tcPr>
            <w:tcW w:w="4972" w:type="pct"/>
            <w:gridSpan w:val="3"/>
            <w:shd w:val="clear" w:color="auto" w:fill="auto"/>
          </w:tcPr>
          <w:p w14:paraId="6E9D974D" w14:textId="77777777" w:rsidR="00061CCE" w:rsidRPr="00061CCE" w:rsidRDefault="00061CCE" w:rsidP="00061CCE">
            <w:pPr>
              <w:keepNext/>
              <w:spacing w:after="0" w:line="240" w:lineRule="auto"/>
              <w:ind w:right="459"/>
              <w:outlineLvl w:val="4"/>
              <w:rPr>
                <w:rFonts w:ascii="Times New Roman" w:eastAsia="Calibri" w:hAnsi="Times New Roman" w:cs="Times New Roman"/>
                <w:i/>
                <w:u w:val="single"/>
                <w:lang w:eastAsia="en-US"/>
              </w:rPr>
            </w:pPr>
            <w:r w:rsidRPr="00061CCE">
              <w:rPr>
                <w:rFonts w:ascii="Times New Roman" w:eastAsia="Calibri" w:hAnsi="Times New Roman" w:cs="Times New Roman"/>
                <w:b/>
                <w:lang w:eastAsia="en-US"/>
              </w:rPr>
              <w:t>Įvairūs vaistiniai preparatai / vaistažolės</w:t>
            </w:r>
          </w:p>
        </w:tc>
      </w:tr>
      <w:tr w:rsidR="00061CCE" w:rsidRPr="00061CCE" w14:paraId="673542D8" w14:textId="77777777" w:rsidTr="00DA7146">
        <w:trPr>
          <w:gridAfter w:val="1"/>
          <w:wAfter w:w="28" w:type="pct"/>
        </w:trPr>
        <w:tc>
          <w:tcPr>
            <w:tcW w:w="1412" w:type="pct"/>
            <w:shd w:val="clear" w:color="auto" w:fill="auto"/>
          </w:tcPr>
          <w:p w14:paraId="7051BC4E"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Atorvastatinas</w:t>
            </w:r>
          </w:p>
        </w:tc>
        <w:tc>
          <w:tcPr>
            <w:tcW w:w="3560" w:type="pct"/>
            <w:gridSpan w:val="2"/>
            <w:shd w:val="clear" w:color="auto" w:fill="auto"/>
          </w:tcPr>
          <w:p w14:paraId="0AB1EF48"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Atorvastatinas į veną suleisto midazolamo koncentraciją plazmoje padidino 1,4 karto, palyginti su kontrolės grupe.</w:t>
            </w:r>
          </w:p>
        </w:tc>
      </w:tr>
      <w:tr w:rsidR="00061CCE" w:rsidRPr="00061CCE" w14:paraId="2FE2B975" w14:textId="77777777" w:rsidTr="00DA7146">
        <w:trPr>
          <w:gridAfter w:val="1"/>
          <w:wAfter w:w="28" w:type="pct"/>
        </w:trPr>
        <w:tc>
          <w:tcPr>
            <w:tcW w:w="1412" w:type="pct"/>
            <w:shd w:val="clear" w:color="auto" w:fill="auto"/>
          </w:tcPr>
          <w:p w14:paraId="01524053"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Fentanilis</w:t>
            </w:r>
          </w:p>
        </w:tc>
        <w:tc>
          <w:tcPr>
            <w:tcW w:w="3560" w:type="pct"/>
            <w:gridSpan w:val="2"/>
            <w:shd w:val="clear" w:color="auto" w:fill="auto"/>
          </w:tcPr>
          <w:p w14:paraId="4B7A5A30"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Į veną leidžiamas fentanilis veikia kaip silpnas midazolamo eliminacijos inhibitorius: į veną suleisto midazolamo AUC ir pusinės eliminacijos periodas esant fentanilio padidėjo 1,5 karto.</w:t>
            </w:r>
          </w:p>
        </w:tc>
      </w:tr>
      <w:tr w:rsidR="00061CCE" w:rsidRPr="00061CCE" w14:paraId="6C4E76C7" w14:textId="77777777" w:rsidTr="00DA7146">
        <w:trPr>
          <w:gridAfter w:val="1"/>
          <w:wAfter w:w="28" w:type="pct"/>
        </w:trPr>
        <w:tc>
          <w:tcPr>
            <w:tcW w:w="1412" w:type="pct"/>
            <w:shd w:val="clear" w:color="auto" w:fill="auto"/>
          </w:tcPr>
          <w:p w14:paraId="27F19087" w14:textId="77777777" w:rsidR="00061CCE" w:rsidRPr="00061CCE" w:rsidRDefault="00061CCE" w:rsidP="00061CCE">
            <w:pPr>
              <w:keepNext/>
              <w:spacing w:after="0" w:line="240" w:lineRule="auto"/>
              <w:ind w:right="459"/>
              <w:outlineLvl w:val="4"/>
              <w:rPr>
                <w:rFonts w:ascii="Times New Roman" w:eastAsia="Calibri" w:hAnsi="Times New Roman" w:cs="Times New Roman"/>
                <w:lang w:eastAsia="en-US"/>
              </w:rPr>
            </w:pPr>
            <w:r w:rsidRPr="00061CCE">
              <w:rPr>
                <w:rFonts w:ascii="Times New Roman" w:eastAsia="Calibri" w:hAnsi="Times New Roman" w:cs="Times New Roman"/>
                <w:lang w:eastAsia="en-US"/>
              </w:rPr>
              <w:t>Nefazodonas</w:t>
            </w:r>
          </w:p>
        </w:tc>
        <w:tc>
          <w:tcPr>
            <w:tcW w:w="3560" w:type="pct"/>
            <w:gridSpan w:val="2"/>
            <w:shd w:val="clear" w:color="auto" w:fill="auto"/>
          </w:tcPr>
          <w:p w14:paraId="79424868"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Informacija apie per burną vartojamą midazolamą </w:t>
            </w:r>
          </w:p>
          <w:p w14:paraId="7EE0B4EA"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Nefazodonas padidino per burną suvartoto midazolamo koncentraciją plazmoje 4,6 karto, o jo galutinis pusinės eliminacijos periodas pailgėjo 1,6 karto.</w:t>
            </w:r>
          </w:p>
          <w:p w14:paraId="0D896E05" w14:textId="77777777" w:rsidR="00061CCE" w:rsidRPr="00061CCE" w:rsidRDefault="00061CCE" w:rsidP="00061CCE">
            <w:pPr>
              <w:widowControl w:val="0"/>
              <w:kinsoku w:val="0"/>
              <w:overflowPunct w:val="0"/>
              <w:autoSpaceDE w:val="0"/>
              <w:autoSpaceDN w:val="0"/>
              <w:adjustRightInd w:val="0"/>
              <w:spacing w:after="0" w:line="240" w:lineRule="auto"/>
              <w:ind w:right="54"/>
              <w:rPr>
                <w:rFonts w:ascii="Times New Roman" w:eastAsia="Calibri" w:hAnsi="Times New Roman" w:cs="Times New Roman"/>
                <w:lang w:eastAsia="en-US"/>
              </w:rPr>
            </w:pPr>
          </w:p>
        </w:tc>
      </w:tr>
      <w:tr w:rsidR="00061CCE" w:rsidRPr="00061CCE" w14:paraId="41C02F01" w14:textId="77777777" w:rsidTr="00DA7146">
        <w:trPr>
          <w:gridAfter w:val="1"/>
          <w:wAfter w:w="28" w:type="pc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192F9CA4" w14:textId="77777777" w:rsidR="00061CCE" w:rsidRPr="00061CCE" w:rsidRDefault="00061CCE" w:rsidP="00061CCE">
            <w:pPr>
              <w:keepNext/>
              <w:spacing w:after="0" w:line="240" w:lineRule="auto"/>
              <w:rPr>
                <w:rFonts w:ascii="Times New Roman" w:eastAsia="Calibri" w:hAnsi="Times New Roman" w:cs="Times New Roman"/>
                <w:lang w:eastAsia="en-US"/>
              </w:rPr>
            </w:pPr>
          </w:p>
          <w:p w14:paraId="52990C3B" w14:textId="77777777" w:rsidR="00061CCE" w:rsidRPr="00061CCE" w:rsidRDefault="00061CCE" w:rsidP="00061CCE">
            <w:pPr>
              <w:keepNext/>
              <w:spacing w:after="0" w:line="240" w:lineRule="auto"/>
              <w:rPr>
                <w:rFonts w:ascii="Times New Roman" w:eastAsia="Calibri" w:hAnsi="Times New Roman" w:cs="Times New Roman"/>
                <w:lang w:eastAsia="en-US"/>
              </w:rPr>
            </w:pPr>
            <w:r w:rsidRPr="00061CCE">
              <w:rPr>
                <w:rFonts w:ascii="Times New Roman" w:eastAsia="Calibri" w:hAnsi="Times New Roman" w:cs="Times New Roman"/>
                <w:lang w:eastAsia="en-US"/>
              </w:rPr>
              <w:t>Aprepitantas</w:t>
            </w:r>
          </w:p>
        </w:tc>
        <w:tc>
          <w:tcPr>
            <w:tcW w:w="3560" w:type="pct"/>
            <w:gridSpan w:val="2"/>
            <w:tcBorders>
              <w:top w:val="single" w:sz="4" w:space="0" w:color="auto"/>
              <w:left w:val="single" w:sz="4" w:space="0" w:color="auto"/>
              <w:bottom w:val="single" w:sz="4" w:space="0" w:color="auto"/>
              <w:right w:val="single" w:sz="4" w:space="0" w:color="auto"/>
            </w:tcBorders>
            <w:shd w:val="clear" w:color="auto" w:fill="auto"/>
          </w:tcPr>
          <w:p w14:paraId="5477064E" w14:textId="77777777" w:rsidR="00061CCE" w:rsidRPr="00061CCE" w:rsidRDefault="00061CCE" w:rsidP="00061CCE">
            <w:pPr>
              <w:spacing w:after="0" w:line="240" w:lineRule="auto"/>
              <w:ind w:right="459"/>
              <w:rPr>
                <w:rFonts w:ascii="Times New Roman" w:eastAsia="Calibri" w:hAnsi="Times New Roman" w:cs="Times New Roman"/>
                <w:i/>
                <w:lang w:eastAsia="en-US"/>
              </w:rPr>
            </w:pPr>
            <w:r w:rsidRPr="00061CCE">
              <w:rPr>
                <w:rFonts w:ascii="Times New Roman" w:eastAsia="Calibri" w:hAnsi="Times New Roman" w:cs="Times New Roman"/>
                <w:i/>
                <w:lang w:eastAsia="en-US"/>
              </w:rPr>
              <w:t xml:space="preserve">Informacija apie per burną vartojamą midazolamą </w:t>
            </w:r>
          </w:p>
          <w:p w14:paraId="7539B420"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80 mg per parą ir didesnės aprepitanto dozės padidino per burną suvartoto midazolamo koncentraciją plazmoje maždaug 3,3 karto, o galutinis pusinės eliminacijos periodas padidėjo maždaug 2 kartus; didėjimas priklausė nuo dozės.</w:t>
            </w:r>
          </w:p>
        </w:tc>
      </w:tr>
      <w:tr w:rsidR="00061CCE" w:rsidRPr="00061CCE" w14:paraId="191DEC3F" w14:textId="77777777" w:rsidTr="00DA7146">
        <w:trPr>
          <w:gridAfter w:val="1"/>
          <w:wAfter w:w="28" w:type="pc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04D80B1D" w14:textId="77777777" w:rsidR="00061CCE" w:rsidRPr="00061CCE" w:rsidRDefault="00061CCE" w:rsidP="00061CCE">
            <w:pPr>
              <w:keepNext/>
              <w:spacing w:after="0" w:line="240" w:lineRule="auto"/>
              <w:rPr>
                <w:rFonts w:ascii="Times New Roman" w:eastAsia="Calibri" w:hAnsi="Times New Roman" w:cs="Times New Roman"/>
                <w:lang w:eastAsia="en-US"/>
              </w:rPr>
            </w:pPr>
          </w:p>
          <w:p w14:paraId="6F2F1187" w14:textId="77777777" w:rsidR="00061CCE" w:rsidRPr="00061CCE" w:rsidRDefault="00061CCE" w:rsidP="00061CCE">
            <w:pPr>
              <w:keepNext/>
              <w:spacing w:after="0" w:line="240" w:lineRule="auto"/>
              <w:rPr>
                <w:rFonts w:ascii="Times New Roman" w:eastAsia="Calibri" w:hAnsi="Times New Roman" w:cs="Times New Roman"/>
                <w:lang w:eastAsia="en-US"/>
              </w:rPr>
            </w:pPr>
            <w:r w:rsidRPr="00061CCE">
              <w:rPr>
                <w:rFonts w:ascii="Times New Roman" w:eastAsia="Calibri" w:hAnsi="Times New Roman" w:cs="Times New Roman"/>
                <w:lang w:eastAsia="en-US"/>
              </w:rPr>
              <w:t>Tirozinkinazės inhibitoriai</w:t>
            </w:r>
          </w:p>
        </w:tc>
        <w:tc>
          <w:tcPr>
            <w:tcW w:w="3560" w:type="pct"/>
            <w:gridSpan w:val="2"/>
            <w:tcBorders>
              <w:top w:val="single" w:sz="4" w:space="0" w:color="auto"/>
              <w:left w:val="single" w:sz="4" w:space="0" w:color="auto"/>
              <w:bottom w:val="single" w:sz="4" w:space="0" w:color="auto"/>
              <w:right w:val="single" w:sz="4" w:space="0" w:color="auto"/>
            </w:tcBorders>
            <w:shd w:val="clear" w:color="auto" w:fill="auto"/>
          </w:tcPr>
          <w:p w14:paraId="7BC05882" w14:textId="77777777" w:rsidR="00061CCE" w:rsidRPr="00061CCE" w:rsidRDefault="00061CCE" w:rsidP="00061CCE">
            <w:pPr>
              <w:spacing w:after="0" w:line="240" w:lineRule="auto"/>
              <w:ind w:right="459"/>
              <w:rPr>
                <w:rFonts w:ascii="Times New Roman" w:eastAsia="Calibri" w:hAnsi="Times New Roman" w:cs="Times New Roman"/>
                <w:i/>
                <w:lang w:eastAsia="en-US"/>
              </w:rPr>
            </w:pPr>
            <w:r w:rsidRPr="00061CCE">
              <w:rPr>
                <w:rFonts w:ascii="Times New Roman" w:eastAsia="Calibri" w:hAnsi="Times New Roman" w:cs="Times New Roman"/>
                <w:i/>
                <w:lang w:eastAsia="en-US"/>
              </w:rPr>
              <w:t xml:space="preserve">Informacija apie per burną vartojamą midazolamą </w:t>
            </w:r>
          </w:p>
          <w:p w14:paraId="1D1065CB"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Nustatyta, kad tirozinkinazės inhibitoriai yra stiprūs CYP3A4 inhibitoriai </w:t>
            </w:r>
            <w:r w:rsidRPr="00061CCE">
              <w:rPr>
                <w:rFonts w:ascii="Times New Roman" w:eastAsia="Calibri" w:hAnsi="Times New Roman" w:cs="Times New Roman"/>
                <w:i/>
                <w:iCs/>
                <w:lang w:eastAsia="en-US"/>
              </w:rPr>
              <w:t>in vitro</w:t>
            </w:r>
            <w:r w:rsidRPr="00061CCE">
              <w:rPr>
                <w:rFonts w:ascii="Times New Roman" w:eastAsia="Calibri" w:hAnsi="Times New Roman" w:cs="Times New Roman"/>
                <w:lang w:eastAsia="en-US"/>
              </w:rPr>
              <w:t xml:space="preserve"> (imatinibas, lapatinibas) arba </w:t>
            </w:r>
            <w:r w:rsidRPr="00061CCE">
              <w:rPr>
                <w:rFonts w:ascii="Times New Roman" w:eastAsia="Calibri" w:hAnsi="Times New Roman" w:cs="Times New Roman"/>
                <w:i/>
                <w:iCs/>
                <w:lang w:eastAsia="en-US"/>
              </w:rPr>
              <w:t>in vivo</w:t>
            </w:r>
            <w:r w:rsidRPr="00061CCE">
              <w:rPr>
                <w:rFonts w:ascii="Times New Roman" w:eastAsia="Calibri" w:hAnsi="Times New Roman" w:cs="Times New Roman"/>
                <w:lang w:eastAsia="en-US"/>
              </w:rPr>
              <w:t xml:space="preserve"> (idelalisibas). Skiriant kartu su idelalisibu, per burną vartojamo midazolamo ekspozicija padidėjo vidutiniškai 5,4 karto.</w:t>
            </w:r>
          </w:p>
        </w:tc>
      </w:tr>
      <w:tr w:rsidR="00061CCE" w:rsidRPr="00061CCE" w14:paraId="480354C8" w14:textId="77777777" w:rsidTr="00DA7146">
        <w:trPr>
          <w:gridAfter w:val="1"/>
          <w:wAfter w:w="28" w:type="pc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2BFCFC03" w14:textId="77777777" w:rsidR="00061CCE" w:rsidRPr="00061CCE" w:rsidRDefault="00061CCE" w:rsidP="00061CCE">
            <w:pPr>
              <w:keepNext/>
              <w:spacing w:after="0" w:line="240" w:lineRule="auto"/>
              <w:rPr>
                <w:rFonts w:ascii="Times New Roman" w:eastAsia="Calibri" w:hAnsi="Times New Roman" w:cs="Times New Roman"/>
                <w:lang w:eastAsia="en-US"/>
              </w:rPr>
            </w:pPr>
          </w:p>
          <w:p w14:paraId="235CD1BD" w14:textId="77777777" w:rsidR="00061CCE" w:rsidRPr="00061CCE" w:rsidRDefault="00061CCE" w:rsidP="00061CCE">
            <w:pPr>
              <w:keepNext/>
              <w:spacing w:after="0" w:line="240" w:lineRule="auto"/>
              <w:rPr>
                <w:rFonts w:ascii="Times New Roman" w:eastAsia="Calibri" w:hAnsi="Times New Roman" w:cs="Times New Roman"/>
                <w:lang w:eastAsia="en-US"/>
              </w:rPr>
            </w:pPr>
            <w:r w:rsidRPr="00061CCE">
              <w:rPr>
                <w:rFonts w:ascii="Times New Roman" w:eastAsia="Calibri" w:hAnsi="Times New Roman" w:cs="Times New Roman"/>
                <w:lang w:eastAsia="en-US"/>
              </w:rPr>
              <w:t>NK1 antagonistai</w:t>
            </w:r>
          </w:p>
        </w:tc>
        <w:tc>
          <w:tcPr>
            <w:tcW w:w="3560" w:type="pct"/>
            <w:gridSpan w:val="2"/>
            <w:tcBorders>
              <w:top w:val="single" w:sz="4" w:space="0" w:color="auto"/>
              <w:left w:val="single" w:sz="4" w:space="0" w:color="auto"/>
              <w:bottom w:val="single" w:sz="4" w:space="0" w:color="auto"/>
              <w:right w:val="single" w:sz="4" w:space="0" w:color="auto"/>
            </w:tcBorders>
            <w:shd w:val="clear" w:color="auto" w:fill="auto"/>
          </w:tcPr>
          <w:p w14:paraId="3AE7008C" w14:textId="77777777" w:rsidR="00061CCE" w:rsidRPr="00061CCE" w:rsidRDefault="00061CCE" w:rsidP="00061CCE">
            <w:pPr>
              <w:spacing w:after="0" w:line="240" w:lineRule="auto"/>
              <w:ind w:right="459"/>
              <w:rPr>
                <w:rFonts w:ascii="Times New Roman" w:eastAsia="Calibri" w:hAnsi="Times New Roman" w:cs="Times New Roman"/>
                <w:i/>
                <w:lang w:eastAsia="en-US"/>
              </w:rPr>
            </w:pPr>
            <w:r w:rsidRPr="00061CCE">
              <w:rPr>
                <w:rFonts w:ascii="Times New Roman" w:eastAsia="Calibri" w:hAnsi="Times New Roman" w:cs="Times New Roman"/>
                <w:i/>
                <w:lang w:eastAsia="en-US"/>
              </w:rPr>
              <w:t>Informacija apie per burną vartojamą midazolamą</w:t>
            </w:r>
          </w:p>
          <w:p w14:paraId="4B0CE03D"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NK1 receptorių antagonistai (aprepitantas, netupitantas, kazoprepitantas) padidino per burną suvartoto midazolamo koncentraciją plazmoje iki maždaug 2,5</w:t>
            </w:r>
            <w:r w:rsidRPr="00061CCE">
              <w:rPr>
                <w:rFonts w:ascii="Times New Roman" w:eastAsia="Calibri" w:hAnsi="Times New Roman" w:cs="Times New Roman"/>
                <w:lang w:eastAsia="en-US"/>
              </w:rPr>
              <w:noBreakHyphen/>
              <w:t>3,5 kartų, o galutinis pusinės eliminacijos periodas padidėjo maždaug 1,5</w:t>
            </w:r>
            <w:r w:rsidRPr="00061CCE">
              <w:rPr>
                <w:rFonts w:ascii="Times New Roman" w:eastAsia="Calibri" w:hAnsi="Times New Roman" w:cs="Times New Roman"/>
                <w:lang w:eastAsia="en-US"/>
              </w:rPr>
              <w:noBreakHyphen/>
              <w:t>2 kartus; didėjimas priklausė nuo dozės.</w:t>
            </w:r>
          </w:p>
        </w:tc>
      </w:tr>
      <w:tr w:rsidR="00061CCE" w:rsidRPr="00061CCE" w14:paraId="1C5FEC85" w14:textId="77777777" w:rsidTr="00DA7146">
        <w:trPr>
          <w:gridAfter w:val="1"/>
          <w:wAfter w:w="28" w:type="pc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42D86794" w14:textId="77777777" w:rsidR="00061CCE" w:rsidRPr="00061CCE" w:rsidRDefault="00061CCE" w:rsidP="00061CCE">
            <w:pPr>
              <w:keepNext/>
              <w:spacing w:after="0" w:line="240" w:lineRule="auto"/>
              <w:rPr>
                <w:rFonts w:ascii="Times New Roman" w:eastAsia="Calibri" w:hAnsi="Times New Roman" w:cs="Times New Roman"/>
                <w:lang w:eastAsia="en-US"/>
              </w:rPr>
            </w:pPr>
          </w:p>
          <w:p w14:paraId="030A7A54" w14:textId="77777777" w:rsidR="00061CCE" w:rsidRPr="00061CCE" w:rsidRDefault="00061CCE" w:rsidP="00061CCE">
            <w:pPr>
              <w:keepNext/>
              <w:spacing w:after="0" w:line="240" w:lineRule="auto"/>
              <w:rPr>
                <w:rFonts w:ascii="Times New Roman" w:eastAsia="Calibri" w:hAnsi="Times New Roman" w:cs="Times New Roman"/>
                <w:lang w:eastAsia="en-US"/>
              </w:rPr>
            </w:pPr>
            <w:r w:rsidRPr="00061CCE">
              <w:rPr>
                <w:rFonts w:ascii="Times New Roman" w:eastAsia="Calibri" w:hAnsi="Times New Roman" w:cs="Times New Roman"/>
                <w:lang w:eastAsia="en-US"/>
              </w:rPr>
              <w:t xml:space="preserve">Kiti </w:t>
            </w:r>
          </w:p>
        </w:tc>
        <w:tc>
          <w:tcPr>
            <w:tcW w:w="3560" w:type="pct"/>
            <w:gridSpan w:val="2"/>
            <w:tcBorders>
              <w:top w:val="single" w:sz="4" w:space="0" w:color="auto"/>
              <w:left w:val="single" w:sz="4" w:space="0" w:color="auto"/>
              <w:bottom w:val="single" w:sz="4" w:space="0" w:color="auto"/>
              <w:right w:val="single" w:sz="4" w:space="0" w:color="auto"/>
            </w:tcBorders>
            <w:shd w:val="clear" w:color="auto" w:fill="auto"/>
          </w:tcPr>
          <w:p w14:paraId="440388A9" w14:textId="77777777" w:rsidR="00061CCE" w:rsidRPr="00061CCE" w:rsidRDefault="00061CCE" w:rsidP="00061CCE">
            <w:pPr>
              <w:spacing w:after="0" w:line="240" w:lineRule="auto"/>
              <w:ind w:right="459"/>
              <w:rPr>
                <w:rFonts w:ascii="Times New Roman" w:eastAsia="Calibri" w:hAnsi="Times New Roman" w:cs="Times New Roman"/>
                <w:i/>
                <w:lang w:eastAsia="en-US"/>
              </w:rPr>
            </w:pPr>
            <w:r w:rsidRPr="00061CCE">
              <w:rPr>
                <w:rFonts w:ascii="Times New Roman" w:eastAsia="Calibri" w:hAnsi="Times New Roman" w:cs="Times New Roman"/>
                <w:i/>
                <w:lang w:eastAsia="en-US"/>
              </w:rPr>
              <w:t xml:space="preserve">Informacija apie per burną vartojamą midazolamą </w:t>
            </w:r>
          </w:p>
          <w:p w14:paraId="569E9250" w14:textId="77777777" w:rsidR="00061CCE" w:rsidRPr="00061CCE" w:rsidRDefault="00061CCE" w:rsidP="00061CCE">
            <w:pPr>
              <w:spacing w:after="0" w:line="240" w:lineRule="auto"/>
              <w:ind w:right="459"/>
              <w:rPr>
                <w:rFonts w:ascii="Times New Roman" w:eastAsia="Calibri" w:hAnsi="Times New Roman" w:cs="Times New Roman"/>
                <w:lang w:eastAsia="en-US"/>
              </w:rPr>
            </w:pPr>
            <w:r w:rsidRPr="00061CCE">
              <w:rPr>
                <w:rFonts w:ascii="Times New Roman" w:eastAsia="Calibri" w:hAnsi="Times New Roman" w:cs="Times New Roman"/>
                <w:lang w:eastAsia="en-US"/>
              </w:rPr>
              <w:t>Nustatyta, kad daug vaistų ir vaistažolių preparatų (everolimuzas, ciklosporinas, simepreviras, propiverinas) silpnai veikia midazolamo eliminaciją ir kartu keičia jo ekspoziciją (&lt; 2 kartus pakito AUC). Tikimasi, kad ši silpna sąveika bus dar silpnesnė vaisto skiriant į veną.</w:t>
            </w:r>
          </w:p>
        </w:tc>
      </w:tr>
    </w:tbl>
    <w:p w14:paraId="27015B8C" w14:textId="77777777" w:rsidR="00061CCE" w:rsidRPr="00061CCE" w:rsidRDefault="00061CCE" w:rsidP="00061CCE">
      <w:pPr>
        <w:spacing w:after="0" w:line="240" w:lineRule="auto"/>
        <w:ind w:right="459"/>
        <w:rPr>
          <w:rFonts w:ascii="Times New Roman" w:eastAsia="Calibri" w:hAnsi="Times New Roman" w:cs="Times New Roman"/>
          <w:color w:val="000000"/>
          <w:sz w:val="21"/>
          <w:szCs w:val="21"/>
          <w:lang w:eastAsia="en-US"/>
        </w:rPr>
      </w:pPr>
      <w:r w:rsidRPr="00061CCE">
        <w:rPr>
          <w:rFonts w:ascii="Times New Roman" w:eastAsia="Calibri" w:hAnsi="Times New Roman" w:cs="Times New Roman"/>
          <w:color w:val="000000"/>
          <w:sz w:val="21"/>
          <w:szCs w:val="21"/>
          <w:vertAlign w:val="superscript"/>
          <w:lang w:eastAsia="en-US"/>
        </w:rPr>
        <w:t>a</w:t>
      </w:r>
      <w:r w:rsidRPr="00061CCE">
        <w:rPr>
          <w:rFonts w:ascii="Times New Roman" w:eastAsia="Calibri" w:hAnsi="Times New Roman" w:cs="Times New Roman"/>
          <w:color w:val="000000"/>
          <w:sz w:val="21"/>
          <w:szCs w:val="21"/>
          <w:lang w:eastAsia="en-US"/>
        </w:rPr>
        <w:t xml:space="preserve"> Dėl kai kurių sąveikų yra patekta papildoma informacija apie per burną vartojamą midazolamą.. Sąveika su CYP3A inhibitoriais būna stipresnė vartojant per burną, palyginti su į veną leidžiamu midazolamu. Midazolam B. Braun neskirtas vartoti per burną.</w:t>
      </w:r>
    </w:p>
    <w:p w14:paraId="7A21CA4B" w14:textId="77777777" w:rsidR="00061CCE" w:rsidRPr="00061CCE" w:rsidRDefault="00061CCE" w:rsidP="00061CCE">
      <w:pPr>
        <w:spacing w:after="0" w:line="240" w:lineRule="auto"/>
        <w:ind w:right="459"/>
        <w:rPr>
          <w:rFonts w:ascii="Times New Roman" w:eastAsia="Calibri" w:hAnsi="Times New Roman" w:cs="Times New Roman"/>
          <w:color w:val="000000"/>
          <w:sz w:val="21"/>
          <w:szCs w:val="21"/>
          <w:lang w:eastAsia="en-US"/>
        </w:rPr>
      </w:pPr>
      <w:r w:rsidRPr="00061CCE">
        <w:rPr>
          <w:rFonts w:ascii="Times New Roman" w:eastAsia="Calibri" w:hAnsi="Times New Roman" w:cs="Times New Roman"/>
          <w:color w:val="000000"/>
          <w:sz w:val="21"/>
          <w:szCs w:val="21"/>
          <w:vertAlign w:val="superscript"/>
          <w:lang w:eastAsia="en-US"/>
        </w:rPr>
        <w:t>b</w:t>
      </w:r>
      <w:r w:rsidRPr="00061CCE">
        <w:rPr>
          <w:rFonts w:ascii="Times New Roman" w:eastAsia="Calibri" w:hAnsi="Times New Roman" w:cs="Times New Roman"/>
          <w:color w:val="000000"/>
          <w:sz w:val="21"/>
          <w:szCs w:val="21"/>
          <w:lang w:eastAsia="en-US"/>
        </w:rPr>
        <w:t xml:space="preserve"> Per burną vartojamo midazolamo skiriant kartu su azolų grupės priešgrybeliniais vaistais (ypač ketokonazolu, itrakonazolu arba vorikonazolu), jo ekspozicija bus žymiai didesnė, palyginti su leidimu į veną.</w:t>
      </w:r>
    </w:p>
    <w:p w14:paraId="7D5AA78A" w14:textId="77777777" w:rsidR="00061CCE" w:rsidRPr="00061CCE" w:rsidRDefault="00061CCE" w:rsidP="00061CCE">
      <w:pPr>
        <w:spacing w:after="0" w:line="240" w:lineRule="auto"/>
        <w:rPr>
          <w:rFonts w:ascii="Times New Roman" w:eastAsia="Calibri" w:hAnsi="Times New Roman" w:cs="Times New Roman"/>
          <w:b/>
          <w:bCs/>
          <w:i/>
          <w:sz w:val="21"/>
          <w:szCs w:val="21"/>
          <w:u w:val="single"/>
          <w:lang w:eastAsia="en-US"/>
        </w:rPr>
      </w:pPr>
      <w:r w:rsidRPr="00061CCE">
        <w:rPr>
          <w:rFonts w:ascii="Times New Roman" w:eastAsia="Calibri" w:hAnsi="Times New Roman" w:cs="Times New Roman"/>
          <w:color w:val="000000"/>
          <w:sz w:val="21"/>
          <w:szCs w:val="21"/>
          <w:vertAlign w:val="superscript"/>
          <w:lang w:eastAsia="en-US"/>
        </w:rPr>
        <w:t>c</w:t>
      </w:r>
      <w:r w:rsidRPr="00061CCE">
        <w:rPr>
          <w:rFonts w:ascii="Times New Roman" w:eastAsia="Calibri" w:hAnsi="Times New Roman" w:cs="Times New Roman"/>
          <w:color w:val="000000"/>
          <w:sz w:val="21"/>
          <w:szCs w:val="21"/>
          <w:lang w:eastAsia="en-US"/>
        </w:rPr>
        <w:t xml:space="preserve"> Remiantis duomenimis apie kitus CYP3A4 inhibitorius, tikėtina, kad midazolamo koncentracija plazmoje bus reikšmingai didesnė, nei midazolamą skiriant per burną, todėl proteazių inhibitorių negalima skirti kartu su per burną vartojamu midazolamu.</w:t>
      </w:r>
    </w:p>
    <w:p w14:paraId="19DA428F" w14:textId="77777777" w:rsidR="00061CCE" w:rsidRPr="00061CCE" w:rsidRDefault="00061CCE" w:rsidP="00061CCE">
      <w:pPr>
        <w:spacing w:after="0" w:line="240" w:lineRule="auto"/>
        <w:rPr>
          <w:rFonts w:ascii="Times New Roman" w:eastAsia="Calibri" w:hAnsi="Times New Roman" w:cs="Times New Roman"/>
          <w:b/>
          <w:bCs/>
          <w:i/>
          <w:sz w:val="21"/>
          <w:szCs w:val="21"/>
          <w:u w:val="single"/>
          <w:lang w:eastAsia="en-US"/>
        </w:rPr>
      </w:pPr>
    </w:p>
    <w:p w14:paraId="6538314D" w14:textId="77777777" w:rsidR="00061CCE" w:rsidRPr="00061CCE" w:rsidRDefault="00061CCE" w:rsidP="00061CCE">
      <w:pPr>
        <w:spacing w:after="0" w:line="240" w:lineRule="auto"/>
        <w:rPr>
          <w:rFonts w:ascii="Times New Roman" w:eastAsia="Calibri" w:hAnsi="Times New Roman" w:cs="Times New Roman"/>
          <w:b/>
          <w:bCs/>
          <w:i/>
          <w:u w:val="single"/>
          <w:lang w:eastAsia="en-US"/>
        </w:rPr>
      </w:pPr>
      <w:r w:rsidRPr="00061CCE">
        <w:rPr>
          <w:rFonts w:ascii="Times New Roman" w:eastAsia="Calibri" w:hAnsi="Times New Roman" w:cs="Times New Roman"/>
          <w:b/>
          <w:color w:val="000000"/>
          <w:lang w:eastAsia="en-US"/>
        </w:rPr>
        <w:t>3 lentelė. Midazolamo sąveika su vaistiniais preparatais, sužadinančiais CYP3A</w:t>
      </w:r>
    </w:p>
    <w:tbl>
      <w:tblPr>
        <w:tblW w:w="9497" w:type="dxa"/>
        <w:tblInd w:w="-8" w:type="dxa"/>
        <w:tblBorders>
          <w:top w:val="outset" w:sz="6" w:space="0" w:color="7B7B7B"/>
          <w:left w:val="outset" w:sz="6" w:space="0" w:color="7B7B7B"/>
          <w:bottom w:val="outset" w:sz="6" w:space="0" w:color="7B7B7B"/>
          <w:right w:val="outset" w:sz="6" w:space="0" w:color="7B7B7B"/>
        </w:tblBorders>
        <w:tblLayout w:type="fixed"/>
        <w:tblCellMar>
          <w:top w:w="24" w:type="dxa"/>
          <w:left w:w="24" w:type="dxa"/>
          <w:bottom w:w="24" w:type="dxa"/>
          <w:right w:w="24" w:type="dxa"/>
        </w:tblCellMar>
        <w:tblLook w:val="04A0" w:firstRow="1" w:lastRow="0" w:firstColumn="1" w:lastColumn="0" w:noHBand="0" w:noVBand="1"/>
      </w:tblPr>
      <w:tblGrid>
        <w:gridCol w:w="2693"/>
        <w:gridCol w:w="6804"/>
      </w:tblGrid>
      <w:tr w:rsidR="00061CCE" w:rsidRPr="00061CCE" w14:paraId="1F9567F0"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37C85082" w14:textId="77777777" w:rsidR="00061CCE" w:rsidRPr="00061CCE" w:rsidRDefault="00061CCE" w:rsidP="00061CCE">
            <w:pPr>
              <w:spacing w:after="0" w:line="240" w:lineRule="auto"/>
              <w:ind w:right="459"/>
              <w:rPr>
                <w:rFonts w:ascii="Times New Roman" w:eastAsia="Calibri" w:hAnsi="Times New Roman" w:cs="Times New Roman"/>
                <w:b/>
                <w:color w:val="000000"/>
                <w:lang w:eastAsia="en-US"/>
              </w:rPr>
            </w:pPr>
            <w:r w:rsidRPr="00061CCE">
              <w:rPr>
                <w:rFonts w:ascii="Times New Roman" w:eastAsia="Calibri" w:hAnsi="Times New Roman" w:cs="Times New Roman"/>
                <w:b/>
                <w:color w:val="000000"/>
                <w:lang w:eastAsia="en-US"/>
              </w:rPr>
              <w:t xml:space="preserve">Vaistinis preparatas </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1AC55688" w14:textId="77777777" w:rsidR="00061CCE" w:rsidRPr="00061CCE" w:rsidRDefault="00061CCE" w:rsidP="00061CCE">
            <w:pPr>
              <w:spacing w:after="0" w:line="240" w:lineRule="auto"/>
              <w:ind w:right="459"/>
              <w:rPr>
                <w:rFonts w:ascii="Times New Roman" w:eastAsia="Calibri" w:hAnsi="Times New Roman" w:cs="Times New Roman"/>
                <w:b/>
                <w:color w:val="000000"/>
                <w:lang w:eastAsia="en-US"/>
              </w:rPr>
            </w:pPr>
            <w:r w:rsidRPr="00061CCE">
              <w:rPr>
                <w:rFonts w:ascii="Times New Roman" w:eastAsia="Calibri" w:hAnsi="Times New Roman" w:cs="Times New Roman"/>
                <w:b/>
                <w:color w:val="000000"/>
                <w:lang w:eastAsia="en-US"/>
              </w:rPr>
              <w:t>Sąveika su į veną leidžiamu midazolamu</w:t>
            </w:r>
            <w:r w:rsidRPr="00061CCE">
              <w:rPr>
                <w:rFonts w:ascii="Times New Roman" w:eastAsia="Calibri" w:hAnsi="Times New Roman" w:cs="Times New Roman"/>
                <w:b/>
                <w:color w:val="000000"/>
                <w:vertAlign w:val="superscript"/>
                <w:lang w:eastAsia="en-US"/>
              </w:rPr>
              <w:t>a</w:t>
            </w:r>
          </w:p>
        </w:tc>
      </w:tr>
      <w:tr w:rsidR="00061CCE" w:rsidRPr="00061CCE" w14:paraId="735318F0" w14:textId="77777777" w:rsidTr="00DA7146">
        <w:trPr>
          <w:trHeight w:val="1441"/>
        </w:trPr>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41C1356F"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Rifampicinas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2C2BB599"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Po 7 paras 600 mg per parą vartotos rifampicino dozės, į veną suleisto midazolamo koncentracija plazmoje sumažėjo maždaug 60 %. G</w:t>
            </w:r>
            <w:r w:rsidRPr="00061CCE">
              <w:rPr>
                <w:rFonts w:ascii="Times New Roman" w:eastAsia="Calibri" w:hAnsi="Times New Roman" w:cs="Times New Roman"/>
                <w:lang w:eastAsia="en-US"/>
              </w:rPr>
              <w:t>alutinis pusinės eliminacijos periodas</w:t>
            </w:r>
            <w:r w:rsidRPr="00061CCE">
              <w:rPr>
                <w:rFonts w:ascii="Times New Roman" w:eastAsia="Calibri" w:hAnsi="Times New Roman" w:cs="Times New Roman"/>
                <w:color w:val="000000"/>
                <w:lang w:eastAsia="en-US"/>
              </w:rPr>
              <w:t xml:space="preserve"> sumažėjo maždaug 50 </w:t>
            </w:r>
            <w:r w:rsidRPr="00061CCE">
              <w:rPr>
                <w:rFonts w:ascii="Times New Roman" w:eastAsia="Calibri" w:hAnsi="Times New Roman" w:cs="Times New Roman"/>
                <w:color w:val="000000"/>
                <w:lang w:eastAsia="en-US"/>
              </w:rPr>
              <w:noBreakHyphen/>
              <w:t> 60 %.</w:t>
            </w:r>
          </w:p>
          <w:p w14:paraId="23E272FE"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Informacija apie per burną vartojamą midazolamą</w:t>
            </w:r>
          </w:p>
          <w:p w14:paraId="41624DE5"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Sveikiems savanoriams rifampicinas sumažino per burną suvartoto midazolamo koncentraciją plazmoje 96 %, o jo psichomotorinis poveikis praktiškai nepasireiškė.</w:t>
            </w:r>
          </w:p>
        </w:tc>
      </w:tr>
      <w:tr w:rsidR="00061CCE" w:rsidRPr="00061CCE" w14:paraId="79A2A4E7"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55F0ABB8"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p>
          <w:p w14:paraId="0CF8877D"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Karbamazepinas,</w:t>
            </w:r>
          </w:p>
          <w:p w14:paraId="3572917D"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fenitoinas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07444267" w14:textId="77777777" w:rsidR="00061CCE" w:rsidRPr="00061CCE" w:rsidRDefault="00061CCE" w:rsidP="00061CCE">
            <w:pPr>
              <w:spacing w:after="0" w:line="240" w:lineRule="auto"/>
              <w:ind w:right="459"/>
              <w:rPr>
                <w:rFonts w:ascii="Times New Roman" w:eastAsia="Calibri" w:hAnsi="Times New Roman" w:cs="Times New Roman"/>
                <w:i/>
                <w:color w:val="000000"/>
                <w:lang w:eastAsia="en-US"/>
              </w:rPr>
            </w:pPr>
            <w:r w:rsidRPr="00061CCE">
              <w:rPr>
                <w:rFonts w:ascii="Times New Roman" w:eastAsia="Calibri" w:hAnsi="Times New Roman" w:cs="Times New Roman"/>
                <w:i/>
                <w:color w:val="000000"/>
                <w:lang w:eastAsia="en-US"/>
              </w:rPr>
              <w:t xml:space="preserve">Informacija apie per burną vartojamą midazolamą </w:t>
            </w:r>
          </w:p>
          <w:p w14:paraId="60B422A9"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 xml:space="preserve">Skiriant kartotines karbamazepino arba fenitoino dozes, per burną suvartoto midazolamo koncentracija plazmoje sumažėjo iki 90 %, o </w:t>
            </w:r>
            <w:r w:rsidRPr="00061CCE">
              <w:rPr>
                <w:rFonts w:ascii="Times New Roman" w:eastAsia="Calibri" w:hAnsi="Times New Roman" w:cs="Times New Roman"/>
                <w:lang w:eastAsia="en-US"/>
              </w:rPr>
              <w:t>galutinis pusinės eliminacijos periodas</w:t>
            </w:r>
            <w:r w:rsidRPr="00061CCE">
              <w:rPr>
                <w:rFonts w:ascii="Times New Roman" w:eastAsia="Calibri" w:hAnsi="Times New Roman" w:cs="Times New Roman"/>
                <w:color w:val="000000"/>
                <w:lang w:eastAsia="en-US"/>
              </w:rPr>
              <w:t xml:space="preserve"> sutrumpėjo 60 %.</w:t>
            </w:r>
          </w:p>
        </w:tc>
      </w:tr>
      <w:tr w:rsidR="00061CCE" w:rsidRPr="00061CCE" w14:paraId="0FACA31B"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6F9D2741"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p>
          <w:p w14:paraId="7AF7D3D5"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Mitotanas,</w:t>
            </w:r>
          </w:p>
          <w:p w14:paraId="10868FE3"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enzalutamidas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154AB489" w14:textId="77777777" w:rsidR="00061CCE" w:rsidRPr="00061CCE" w:rsidRDefault="00061CCE" w:rsidP="00061CCE">
            <w:pPr>
              <w:spacing w:after="0" w:line="240" w:lineRule="auto"/>
              <w:ind w:right="459"/>
              <w:rPr>
                <w:rFonts w:ascii="Times New Roman" w:eastAsia="Calibri" w:hAnsi="Times New Roman" w:cs="Times New Roman"/>
                <w:i/>
                <w:color w:val="000000"/>
                <w:lang w:eastAsia="en-US"/>
              </w:rPr>
            </w:pPr>
            <w:r w:rsidRPr="00061CCE">
              <w:rPr>
                <w:rFonts w:ascii="Times New Roman" w:eastAsia="Calibri" w:hAnsi="Times New Roman" w:cs="Times New Roman"/>
                <w:i/>
                <w:color w:val="000000"/>
                <w:lang w:eastAsia="en-US"/>
              </w:rPr>
              <w:t>Informacija apie per burną vartojamą midazolamą</w:t>
            </w:r>
          </w:p>
          <w:p w14:paraId="6DFCA0AB"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Vėžiu sergantiems pacientams pavartojus mitotano arba enzalutamido stebėtas labai stiprus CYP3A4 sužadinimas, o midazolamo koncentracija sumažėjo stipriai ir ilgam. Per burną suvartoto midazolamo AUC atitinkamai sumažėjo 5 % ir 14 %, palyginti su normaliomis vertėmis.</w:t>
            </w:r>
          </w:p>
        </w:tc>
      </w:tr>
      <w:tr w:rsidR="00061CCE" w:rsidRPr="00061CCE" w14:paraId="6B3B1008"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6CF9F455"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Tikagreloras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4C1F638E"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Silpnas CYP3A induktorius tikagreloras į veną suleisto midazolamo (</w:t>
            </w:r>
            <w:r w:rsidRPr="00061CCE">
              <w:rPr>
                <w:rFonts w:ascii="Times New Roman" w:eastAsia="Calibri" w:hAnsi="Times New Roman" w:cs="Times New Roman"/>
                <w:color w:val="000000"/>
                <w:lang w:eastAsia="en-US"/>
              </w:rPr>
              <w:noBreakHyphen/>
              <w:t>12 %) ir 4</w:t>
            </w:r>
            <w:r w:rsidRPr="00061CCE">
              <w:rPr>
                <w:rFonts w:ascii="Times New Roman" w:eastAsia="Calibri" w:hAnsi="Times New Roman" w:cs="Times New Roman"/>
                <w:color w:val="000000"/>
                <w:lang w:eastAsia="en-US"/>
              </w:rPr>
              <w:noBreakHyphen/>
              <w:t>hidroksimidazolamo (</w:t>
            </w:r>
            <w:r w:rsidRPr="00061CCE">
              <w:rPr>
                <w:rFonts w:ascii="Times New Roman" w:eastAsia="Calibri" w:hAnsi="Times New Roman" w:cs="Times New Roman"/>
                <w:color w:val="000000"/>
                <w:lang w:eastAsia="en-US"/>
              </w:rPr>
              <w:noBreakHyphen/>
              <w:t>23 %) ekspoziciją paveikė mažai.</w:t>
            </w:r>
          </w:p>
        </w:tc>
      </w:tr>
      <w:tr w:rsidR="00061CCE" w:rsidRPr="00061CCE" w14:paraId="693F9854"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53E2EDC1"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p>
          <w:p w14:paraId="43C7DFDA"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Klobazamas,</w:t>
            </w:r>
          </w:p>
          <w:p w14:paraId="65E386C2"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efavirenzas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64B5B523" w14:textId="77777777" w:rsidR="00061CCE" w:rsidRPr="00061CCE" w:rsidRDefault="00061CCE" w:rsidP="00061CCE">
            <w:pPr>
              <w:spacing w:after="0" w:line="240" w:lineRule="auto"/>
              <w:ind w:right="459"/>
              <w:rPr>
                <w:rFonts w:ascii="Times New Roman" w:eastAsia="Calibri" w:hAnsi="Times New Roman" w:cs="Times New Roman"/>
                <w:i/>
                <w:color w:val="000000"/>
                <w:lang w:eastAsia="en-US"/>
              </w:rPr>
            </w:pPr>
            <w:r w:rsidRPr="00061CCE">
              <w:rPr>
                <w:rFonts w:ascii="Times New Roman" w:eastAsia="Calibri" w:hAnsi="Times New Roman" w:cs="Times New Roman"/>
                <w:i/>
                <w:color w:val="000000"/>
                <w:lang w:eastAsia="en-US"/>
              </w:rPr>
              <w:t>Informacija apie per burną vartojamą midazolamą</w:t>
            </w:r>
          </w:p>
          <w:p w14:paraId="29F2F8CD"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Klobazamas ir efavirenzas yra silpni midazolamo metabolizmo induktoriai ir pirminio junginio AUC sumažina maždaug 30 %. Dėl to 4</w:t>
            </w:r>
            <w:r w:rsidRPr="00061CCE">
              <w:rPr>
                <w:rFonts w:ascii="Times New Roman" w:eastAsia="Calibri" w:hAnsi="Times New Roman" w:cs="Times New Roman"/>
                <w:color w:val="000000"/>
                <w:lang w:eastAsia="en-US"/>
              </w:rPr>
              <w:noBreakHyphen/>
              <w:t>5 kartus padidėja veikliojo metabolito (1'</w:t>
            </w:r>
            <w:r w:rsidRPr="00061CCE">
              <w:rPr>
                <w:rFonts w:ascii="Times New Roman" w:eastAsia="Calibri" w:hAnsi="Times New Roman" w:cs="Times New Roman"/>
                <w:color w:val="000000"/>
                <w:lang w:eastAsia="en-US"/>
              </w:rPr>
              <w:noBreakHyphen/>
              <w:t>hidroksimidazolamo) santykis su pirminiu junginiu, tačiau šio reiškinio klinikinė reikšmė nežinoma.</w:t>
            </w:r>
          </w:p>
        </w:tc>
      </w:tr>
      <w:tr w:rsidR="00061CCE" w:rsidRPr="00061CCE" w14:paraId="058784FE"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47C3AFC6"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p>
          <w:p w14:paraId="393B0FEE"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Vemurafenibas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29DEDE80" w14:textId="77777777" w:rsidR="00061CCE" w:rsidRPr="00061CCE" w:rsidRDefault="00061CCE" w:rsidP="00061CCE">
            <w:pPr>
              <w:spacing w:after="0" w:line="240" w:lineRule="auto"/>
              <w:ind w:right="459"/>
              <w:rPr>
                <w:rFonts w:ascii="Times New Roman" w:eastAsia="Calibri" w:hAnsi="Times New Roman" w:cs="Times New Roman"/>
                <w:i/>
                <w:color w:val="000000"/>
                <w:lang w:eastAsia="en-US"/>
              </w:rPr>
            </w:pPr>
            <w:r w:rsidRPr="00061CCE">
              <w:rPr>
                <w:rFonts w:ascii="Times New Roman" w:eastAsia="Calibri" w:hAnsi="Times New Roman" w:cs="Times New Roman"/>
                <w:i/>
                <w:color w:val="000000"/>
                <w:lang w:eastAsia="en-US"/>
              </w:rPr>
              <w:t xml:space="preserve">Informacija apie per burną vartojamą midazolamą </w:t>
            </w:r>
          </w:p>
          <w:p w14:paraId="660AA173"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Vemurafenibas moduliuoja CYP izofermentus ir silpnai sužadina CYP3A4:</w:t>
            </w:r>
          </w:p>
          <w:p w14:paraId="40E0A786"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Vartojant kartotines dozes, per burną suvartoto midazolamo ekspozicija sumažėjo 39 % (kai kuriems individams iki 80 %).</w:t>
            </w:r>
          </w:p>
        </w:tc>
      </w:tr>
      <w:tr w:rsidR="00061CCE" w:rsidRPr="00061CCE" w14:paraId="6580F142" w14:textId="77777777" w:rsidTr="00DA7146">
        <w:tc>
          <w:tcPr>
            <w:tcW w:w="5000" w:type="pct"/>
            <w:gridSpan w:val="2"/>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3B05B86D"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b/>
                <w:color w:val="000000"/>
                <w:lang w:eastAsia="en-US"/>
              </w:rPr>
              <w:t>Vaistažolės ir maistas</w:t>
            </w:r>
            <w:r w:rsidRPr="00061CCE">
              <w:rPr>
                <w:rFonts w:ascii="Times New Roman" w:eastAsia="Calibri" w:hAnsi="Times New Roman" w:cs="Times New Roman"/>
                <w:color w:val="000000"/>
                <w:lang w:eastAsia="en-US"/>
              </w:rPr>
              <w:t xml:space="preserve"> </w:t>
            </w:r>
          </w:p>
        </w:tc>
      </w:tr>
      <w:tr w:rsidR="00061CCE" w:rsidRPr="00061CCE" w14:paraId="309524C5"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1EB44BA4"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Paprastoji jonažolė</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05C6A42E"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Paprastoji jonažolė sumažino į veną suleisto midazolamo koncentraciją plazmoje maždaug 20 </w:t>
            </w:r>
            <w:r w:rsidRPr="00061CCE">
              <w:rPr>
                <w:rFonts w:ascii="Times New Roman" w:eastAsia="Calibri" w:hAnsi="Times New Roman" w:cs="Times New Roman"/>
                <w:color w:val="000000"/>
                <w:lang w:eastAsia="en-US"/>
              </w:rPr>
              <w:noBreakHyphen/>
              <w:t xml:space="preserve"> 40 %, o </w:t>
            </w:r>
            <w:r w:rsidRPr="00061CCE">
              <w:rPr>
                <w:rFonts w:ascii="Times New Roman" w:eastAsia="Calibri" w:hAnsi="Times New Roman" w:cs="Times New Roman"/>
                <w:lang w:eastAsia="en-US"/>
              </w:rPr>
              <w:t>galutinis pusinės eliminacijos periodas</w:t>
            </w:r>
            <w:r w:rsidRPr="00061CCE">
              <w:rPr>
                <w:rFonts w:ascii="Times New Roman" w:eastAsia="Calibri" w:hAnsi="Times New Roman" w:cs="Times New Roman"/>
                <w:color w:val="000000"/>
                <w:lang w:eastAsia="en-US"/>
              </w:rPr>
              <w:t xml:space="preserve"> sutrumpėjo maždaug 15 </w:t>
            </w:r>
            <w:r w:rsidRPr="00061CCE">
              <w:rPr>
                <w:rFonts w:ascii="Times New Roman" w:eastAsia="Calibri" w:hAnsi="Times New Roman" w:cs="Times New Roman"/>
                <w:color w:val="000000"/>
                <w:lang w:eastAsia="en-US"/>
              </w:rPr>
              <w:noBreakHyphen/>
              <w:t> 17 %. CYP3A4 sužadinantis poveikis gali skirtis priklausomai nuo konkretaus paprastosios jonažolės ekstrakto.</w:t>
            </w:r>
          </w:p>
        </w:tc>
      </w:tr>
      <w:tr w:rsidR="00061CCE" w:rsidRPr="00061CCE" w14:paraId="1CFD3DB5"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64B06BE9"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p>
          <w:p w14:paraId="5F28BB62"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lastRenderedPageBreak/>
              <w:t>Kvercetinas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hideMark/>
          </w:tcPr>
          <w:p w14:paraId="38A99477" w14:textId="77777777" w:rsidR="00061CCE" w:rsidRPr="00061CCE" w:rsidRDefault="00061CCE" w:rsidP="00061CCE">
            <w:pPr>
              <w:spacing w:after="0" w:line="240" w:lineRule="auto"/>
              <w:ind w:right="459"/>
              <w:rPr>
                <w:rFonts w:ascii="Times New Roman" w:eastAsia="Calibri" w:hAnsi="Times New Roman" w:cs="Times New Roman"/>
                <w:i/>
                <w:color w:val="000000"/>
                <w:lang w:eastAsia="en-US"/>
              </w:rPr>
            </w:pPr>
            <w:r w:rsidRPr="00061CCE">
              <w:rPr>
                <w:rFonts w:ascii="Times New Roman" w:eastAsia="Calibri" w:hAnsi="Times New Roman" w:cs="Times New Roman"/>
                <w:i/>
                <w:color w:val="000000"/>
                <w:lang w:eastAsia="en-US"/>
              </w:rPr>
              <w:lastRenderedPageBreak/>
              <w:t xml:space="preserve">Informacija apie per burną vartojamą midazolamą </w:t>
            </w:r>
          </w:p>
          <w:p w14:paraId="5CB1685A"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lastRenderedPageBreak/>
              <w:t>Tiek kvercetinui (kurio yra ir dviskiaučio ginkmedžio (</w:t>
            </w:r>
            <w:r w:rsidRPr="00061CCE">
              <w:rPr>
                <w:rFonts w:ascii="Times New Roman" w:eastAsia="Calibri" w:hAnsi="Times New Roman" w:cs="Times New Roman"/>
                <w:i/>
                <w:iCs/>
                <w:color w:val="000000"/>
                <w:lang w:eastAsia="en-US"/>
              </w:rPr>
              <w:t>Ginkgo biloba</w:t>
            </w:r>
            <w:r w:rsidRPr="00061CCE">
              <w:rPr>
                <w:rFonts w:ascii="Times New Roman" w:eastAsia="Calibri" w:hAnsi="Times New Roman" w:cs="Times New Roman"/>
                <w:color w:val="000000"/>
                <w:lang w:eastAsia="en-US"/>
              </w:rPr>
              <w:t>) sudėtyje), tiek kininiam ženšeniui (</w:t>
            </w:r>
            <w:r w:rsidRPr="00061CCE">
              <w:rPr>
                <w:rFonts w:ascii="Times New Roman" w:eastAsia="Calibri" w:hAnsi="Times New Roman" w:cs="Times New Roman"/>
                <w:i/>
                <w:iCs/>
                <w:color w:val="000000"/>
                <w:lang w:eastAsia="en-US"/>
              </w:rPr>
              <w:t>Panax ginseng</w:t>
            </w:r>
            <w:r w:rsidRPr="00061CCE">
              <w:rPr>
                <w:rFonts w:ascii="Times New Roman" w:eastAsia="Calibri" w:hAnsi="Times New Roman" w:cs="Times New Roman"/>
                <w:color w:val="000000"/>
                <w:lang w:eastAsia="en-US"/>
              </w:rPr>
              <w:t>) būdingas silpnas fermentų sužadinamasis poveikis, jie per burną suvartoto midazolamo ekspoziciją sumažina maždaug 20 </w:t>
            </w:r>
            <w:r w:rsidRPr="00061CCE">
              <w:rPr>
                <w:rFonts w:ascii="Times New Roman" w:eastAsia="Calibri" w:hAnsi="Times New Roman" w:cs="Times New Roman"/>
                <w:color w:val="000000"/>
                <w:lang w:eastAsia="en-US"/>
              </w:rPr>
              <w:noBreakHyphen/>
              <w:t> 30 %.</w:t>
            </w:r>
          </w:p>
        </w:tc>
      </w:tr>
      <w:tr w:rsidR="00061CCE" w:rsidRPr="00061CCE" w14:paraId="1FBFBDF5" w14:textId="77777777" w:rsidTr="00DA7146">
        <w:tc>
          <w:tcPr>
            <w:tcW w:w="5000" w:type="pct"/>
            <w:gridSpan w:val="2"/>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tcPr>
          <w:p w14:paraId="3A3509A4" w14:textId="77777777" w:rsidR="00061CCE" w:rsidRPr="00061CCE" w:rsidRDefault="00061CCE" w:rsidP="00061CCE">
            <w:pPr>
              <w:keepNext/>
              <w:kinsoku w:val="0"/>
              <w:overflowPunct w:val="0"/>
              <w:spacing w:after="0" w:line="240" w:lineRule="auto"/>
              <w:ind w:right="57"/>
              <w:rPr>
                <w:rFonts w:ascii="Times New Roman" w:eastAsia="Times New Roman" w:hAnsi="Times New Roman" w:cs="Times New Roman"/>
                <w:b/>
                <w:color w:val="000000"/>
                <w:lang w:eastAsia="en-US"/>
              </w:rPr>
            </w:pPr>
            <w:r w:rsidRPr="00061CCE">
              <w:rPr>
                <w:rFonts w:ascii="Times New Roman" w:eastAsia="Times New Roman" w:hAnsi="Times New Roman" w:cs="Times New Roman"/>
                <w:b/>
                <w:color w:val="000000"/>
                <w:szCs w:val="24"/>
                <w:lang w:eastAsia="en-US"/>
              </w:rPr>
              <w:lastRenderedPageBreak/>
              <w:t>Ūminis baltymų išstūmimas</w:t>
            </w:r>
          </w:p>
        </w:tc>
      </w:tr>
      <w:tr w:rsidR="00061CCE" w:rsidRPr="00061CCE" w14:paraId="46688EEA" w14:textId="77777777" w:rsidTr="00DA7146">
        <w:tc>
          <w:tcPr>
            <w:tcW w:w="1418"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tcPr>
          <w:p w14:paraId="19E730A1"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lang w:eastAsia="en-US"/>
              </w:rPr>
              <w:t>Valpro rūgštis</w:t>
            </w:r>
          </w:p>
        </w:tc>
        <w:tc>
          <w:tcPr>
            <w:tcW w:w="3582" w:type="pct"/>
            <w:tcBorders>
              <w:top w:val="outset" w:sz="6" w:space="0" w:color="7B7B7B"/>
              <w:left w:val="outset" w:sz="6" w:space="0" w:color="7B7B7B"/>
              <w:bottom w:val="outset" w:sz="6" w:space="0" w:color="7B7B7B"/>
              <w:right w:val="outset" w:sz="6" w:space="0" w:color="7B7B7B"/>
            </w:tcBorders>
            <w:shd w:val="clear" w:color="auto" w:fill="auto"/>
            <w:tcMar>
              <w:top w:w="30" w:type="dxa"/>
              <w:left w:w="30" w:type="dxa"/>
              <w:bottom w:w="30" w:type="dxa"/>
              <w:right w:w="30" w:type="dxa"/>
            </w:tcMar>
          </w:tcPr>
          <w:p w14:paraId="5541550C" w14:textId="77777777" w:rsidR="00061CCE" w:rsidRPr="00061CCE" w:rsidRDefault="00061CCE" w:rsidP="00061CCE">
            <w:pPr>
              <w:spacing w:after="0" w:line="240" w:lineRule="auto"/>
              <w:ind w:right="459"/>
              <w:rPr>
                <w:rFonts w:ascii="Times New Roman" w:eastAsia="Calibri" w:hAnsi="Times New Roman" w:cs="Times New Roman"/>
                <w:color w:val="000000"/>
                <w:lang w:eastAsia="en-US"/>
              </w:rPr>
            </w:pPr>
            <w:r w:rsidRPr="00061CCE">
              <w:rPr>
                <w:rFonts w:ascii="Times New Roman" w:eastAsia="Calibri" w:hAnsi="Times New Roman" w:cs="Times New Roman"/>
                <w:lang w:eastAsia="en-US"/>
              </w:rPr>
              <w:t>Negalima atmesti tikimybės, kad dėl valpro rūgšties sukelto išstūmimo iš plazmos baltymų rišimosi vietų padidės laisvojo midazolamo koncentracija. Šios sąveikos klinikinė reikšmė nežinoma.</w:t>
            </w:r>
          </w:p>
        </w:tc>
      </w:tr>
    </w:tbl>
    <w:p w14:paraId="343F93E1" w14:textId="77777777" w:rsidR="00061CCE" w:rsidRPr="00061CCE" w:rsidRDefault="00061CCE" w:rsidP="00061CCE">
      <w:pPr>
        <w:spacing w:after="0" w:line="240" w:lineRule="auto"/>
        <w:rPr>
          <w:rFonts w:ascii="Times New Roman" w:eastAsia="Calibri" w:hAnsi="Times New Roman" w:cs="Times New Roman"/>
          <w:b/>
          <w:bCs/>
          <w:i/>
          <w:sz w:val="21"/>
          <w:szCs w:val="21"/>
          <w:u w:val="single"/>
          <w:lang w:eastAsia="en-US"/>
        </w:rPr>
      </w:pPr>
      <w:r w:rsidRPr="00061CCE">
        <w:rPr>
          <w:rFonts w:ascii="Times New Roman" w:eastAsia="Calibri" w:hAnsi="Times New Roman" w:cs="Times New Roman"/>
          <w:color w:val="000000"/>
          <w:sz w:val="21"/>
          <w:szCs w:val="21"/>
          <w:vertAlign w:val="superscript"/>
          <w:lang w:eastAsia="en-US"/>
        </w:rPr>
        <w:t>a</w:t>
      </w:r>
      <w:r w:rsidRPr="00061CCE">
        <w:rPr>
          <w:rFonts w:ascii="Times New Roman" w:eastAsia="Calibri" w:hAnsi="Times New Roman" w:cs="Times New Roman"/>
          <w:color w:val="000000"/>
          <w:sz w:val="21"/>
          <w:szCs w:val="21"/>
          <w:lang w:eastAsia="en-US"/>
        </w:rPr>
        <w:t xml:space="preserve"> </w:t>
      </w:r>
      <w:bookmarkStart w:id="41" w:name="_Hlk104992770"/>
      <w:r w:rsidRPr="00061CCE">
        <w:rPr>
          <w:rFonts w:ascii="Times New Roman" w:eastAsia="Calibri" w:hAnsi="Times New Roman" w:cs="Times New Roman"/>
          <w:color w:val="000000"/>
          <w:sz w:val="21"/>
          <w:szCs w:val="21"/>
          <w:lang w:eastAsia="en-US"/>
        </w:rPr>
        <w:t>Dėl kai kurių sąveikų yra patekta papildoma informacija apie per burną vartojamą midazolamą.</w:t>
      </w:r>
      <w:bookmarkEnd w:id="41"/>
      <w:r w:rsidRPr="00061CCE">
        <w:rPr>
          <w:rFonts w:ascii="Times New Roman" w:eastAsia="Calibri" w:hAnsi="Times New Roman" w:cs="Times New Roman"/>
          <w:color w:val="000000"/>
          <w:sz w:val="21"/>
          <w:szCs w:val="21"/>
          <w:lang w:eastAsia="en-US"/>
        </w:rPr>
        <w:t xml:space="preserve"> Sąveika su CYP3A induktoriais būna stipresnė vartojant per burną, palyginti su į veną leidžiamu midazolamu. Midazolam B. Braun neskirtas vartoti per burną.</w:t>
      </w:r>
    </w:p>
    <w:p w14:paraId="0618F5A9" w14:textId="77777777" w:rsidR="00061CCE" w:rsidRPr="00061CCE" w:rsidRDefault="00061CCE" w:rsidP="00061CCE">
      <w:pPr>
        <w:spacing w:after="0" w:line="240" w:lineRule="auto"/>
        <w:rPr>
          <w:rFonts w:ascii="Times New Roman" w:eastAsia="Calibri" w:hAnsi="Times New Roman" w:cs="Times New Roman"/>
          <w:lang w:eastAsia="en-US"/>
        </w:rPr>
      </w:pPr>
    </w:p>
    <w:p w14:paraId="0694FC7C" w14:textId="77777777" w:rsidR="00061CCE" w:rsidRPr="00061CCE" w:rsidRDefault="00061CCE" w:rsidP="00061CCE">
      <w:pPr>
        <w:spacing w:after="0" w:line="240" w:lineRule="auto"/>
        <w:rPr>
          <w:rFonts w:ascii="Times New Roman" w:eastAsia="Calibri" w:hAnsi="Times New Roman" w:cs="Times New Roman"/>
          <w:lang w:eastAsia="en-US"/>
        </w:rPr>
      </w:pPr>
      <w:r w:rsidRPr="00061CCE">
        <w:rPr>
          <w:rFonts w:ascii="Times New Roman" w:eastAsia="Calibri" w:hAnsi="Times New Roman" w:cs="Times New Roman"/>
          <w:color w:val="000000"/>
          <w:u w:val="single"/>
          <w:lang w:eastAsia="en-US"/>
        </w:rPr>
        <w:t>Farmakodinaminė vaistų sąveika (VS)</w:t>
      </w:r>
    </w:p>
    <w:p w14:paraId="1CA6DB58" w14:textId="77777777" w:rsidR="00061CCE" w:rsidRPr="00061CCE" w:rsidRDefault="00061CCE" w:rsidP="00061CCE">
      <w:pPr>
        <w:spacing w:after="0" w:line="240" w:lineRule="auto"/>
        <w:rPr>
          <w:rFonts w:ascii="Times New Roman" w:eastAsia="Calibri" w:hAnsi="Times New Roman" w:cs="Times New Roman"/>
          <w:lang w:eastAsia="en-US"/>
        </w:rPr>
      </w:pPr>
    </w:p>
    <w:p w14:paraId="48397E95" w14:textId="77777777" w:rsidR="00061CCE" w:rsidRPr="00061CCE" w:rsidRDefault="00061CCE" w:rsidP="00061CCE">
      <w:pPr>
        <w:spacing w:after="0" w:line="240" w:lineRule="auto"/>
        <w:rPr>
          <w:rFonts w:ascii="Times New Roman" w:eastAsia="Calibri" w:hAnsi="Times New Roman" w:cs="Times New Roman"/>
          <w:color w:val="000000"/>
          <w:lang w:eastAsia="en-US"/>
        </w:rPr>
      </w:pPr>
      <w:r w:rsidRPr="00061CCE">
        <w:rPr>
          <w:rFonts w:ascii="Times New Roman" w:eastAsia="Calibri" w:hAnsi="Times New Roman" w:cs="Times New Roman"/>
          <w:color w:val="000000"/>
          <w:lang w:eastAsia="en-US"/>
        </w:rPr>
        <w:t>Midazolamą skiriant kartu su kitomis sedacinėmis / miegą sukeliančiomis medžiagomis ir CNS slopinančiomis medžiagomis (įskaitant alkoholį), gali sustiprėti sedacija ir širdies bei kvėpavimo funkcijų slopinimas.</w:t>
      </w:r>
    </w:p>
    <w:bookmarkEnd w:id="40"/>
    <w:p w14:paraId="60B9FC22" w14:textId="77777777" w:rsidR="00061CCE" w:rsidRPr="00061CCE" w:rsidRDefault="00061CCE" w:rsidP="00061CCE">
      <w:pPr>
        <w:spacing w:after="0" w:line="240" w:lineRule="auto"/>
        <w:rPr>
          <w:rFonts w:ascii="Times New Roman" w:eastAsia="Calibri" w:hAnsi="Times New Roman" w:cs="Times New Roman"/>
          <w:color w:val="000000"/>
          <w:lang w:eastAsia="en-US"/>
        </w:rPr>
      </w:pPr>
    </w:p>
    <w:p w14:paraId="5A0A94AB"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2" w:name="_Hlk73084673"/>
      <w:r w:rsidRPr="00061CCE">
        <w:rPr>
          <w:rFonts w:ascii="Times New Roman" w:eastAsia="Times New Roman" w:hAnsi="Times New Roman" w:cs="Times New Roman"/>
          <w:iCs/>
          <w:lang w:eastAsia="lt-LT"/>
        </w:rPr>
        <w:t>Pavyzdžiai gali būti opiatų dariniai (jeigu jie</w:t>
      </w:r>
      <w:bookmarkEnd w:id="42"/>
      <w:r w:rsidRPr="00061CCE">
        <w:rPr>
          <w:rFonts w:ascii="Times New Roman" w:eastAsia="Times New Roman" w:hAnsi="Times New Roman" w:cs="Times New Roman"/>
          <w:lang w:eastAsia="lt-LT"/>
        </w:rPr>
        <w:t xml:space="preserve"> </w:t>
      </w:r>
      <w:bookmarkStart w:id="43" w:name="_Hlk73084763"/>
      <w:r w:rsidRPr="00061CCE">
        <w:rPr>
          <w:rFonts w:ascii="Times New Roman" w:eastAsia="Times New Roman" w:hAnsi="Times New Roman" w:cs="Times New Roman"/>
          <w:lang w:eastAsia="lt-LT"/>
        </w:rPr>
        <w:t>vartojami skausmui šalinti, kosuliui slopinti ar pakaitinei terapijai), vaistiniai preparatai psichozėms gydyti, kiti benzodiazepinai, vartojami nerimui šalinti ar miegui sukelti, barbitūratai, propofolis, ketaminas, etomidatas, raminamieji antidepresantai, ne naujausi H1 antihistaminai vaistiniai preparatai ir centrinio poveikio antihipertenziniai vaistiniai preparatai.</w:t>
      </w:r>
    </w:p>
    <w:bookmarkEnd w:id="43"/>
    <w:p w14:paraId="62F648A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4EE58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Alkoholis gali ryškiai sustiprinti raminamąjį midazolamo poveikį. Vartojant midazolamo gerti alkoholio griežtai draudžiama.</w:t>
      </w:r>
    </w:p>
    <w:p w14:paraId="76C8F76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C76E6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Midazolamas mažina minimalią inhaliuojamų anestetikų koncentraciją alveolėse.</w:t>
      </w:r>
    </w:p>
    <w:p w14:paraId="7BE32C5F"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552A393D"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4.6</w:t>
      </w:r>
      <w:r w:rsidRPr="00061CCE">
        <w:rPr>
          <w:rFonts w:ascii="Times New Roman" w:eastAsia="Times New Roman" w:hAnsi="Times New Roman" w:cs="Times New Roman"/>
          <w:b/>
          <w:lang w:eastAsia="lt-LT"/>
        </w:rPr>
        <w:tab/>
        <w:t>Vaisingumas, nėštumo ir žindymo laikotarpis</w:t>
      </w:r>
    </w:p>
    <w:p w14:paraId="4FE2B56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55D489"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Nėštumas</w:t>
      </w:r>
    </w:p>
    <w:p w14:paraId="42C7546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3FCC116"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4" w:name="_Hlk73085068"/>
      <w:r w:rsidRPr="00061CCE">
        <w:rPr>
          <w:rFonts w:ascii="Times New Roman" w:eastAsia="Times New Roman" w:hAnsi="Times New Roman" w:cs="Times New Roman"/>
          <w:lang w:eastAsia="lt-LT"/>
        </w:rPr>
        <w:t xml:space="preserve">Duomenų apie vartojimą nėštumo metu nepakanka, kad būtų galima įvertinti midazolamo saugumą nėštumo metu. Tyrimai su gyvūnais teratogeninio poveikio neparodė, tačiau žinoma, jog kiti benzodiazepinai vaisiui sukelia toksinį poveikį. </w:t>
      </w:r>
    </w:p>
    <w:p w14:paraId="42885D8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Duomenų apie poveikį nėštumui vartojant </w:t>
      </w:r>
      <w:bookmarkStart w:id="45" w:name="_Hlk93496673"/>
      <w:r w:rsidRPr="00061CCE">
        <w:rPr>
          <w:rFonts w:ascii="Times New Roman" w:eastAsia="Times New Roman" w:hAnsi="Times New Roman" w:cs="Times New Roman"/>
          <w:lang w:eastAsia="lt-LT"/>
        </w:rPr>
        <w:t xml:space="preserve">pirmųjų dviejų trimestrų metu </w:t>
      </w:r>
      <w:bookmarkEnd w:id="45"/>
      <w:r w:rsidRPr="00061CCE">
        <w:rPr>
          <w:rFonts w:ascii="Times New Roman" w:eastAsia="Times New Roman" w:hAnsi="Times New Roman" w:cs="Times New Roman"/>
          <w:lang w:eastAsia="lt-LT"/>
        </w:rPr>
        <w:t>nėra. Manoma, kad vartojant benzodiazepinų pirmojo nėštumo trimestro metu, padidėja įgimtų anomalijų rizika.</w:t>
      </w:r>
      <w:bookmarkEnd w:id="44"/>
    </w:p>
    <w:p w14:paraId="0478091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C01681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Pastebėta, jog midazolamas, vartojamas didelėmis dozėmis paskutinio nėštumo trimestro metu, gimdymo metu ar anestezijai indukuoti atliekant cezario pjūvį, sukelia nepageidaujamus reiškinius motinai ar vaisiui (didėja aspiracijos rizika motinai, dažniau sutrinka vaisiaus širdies ritmas, būna silpnesnis naujagimio čiulpimo refleksas, pasireiškia hipotonija, hipotermija, kvėpavimo slopinimas). </w:t>
      </w:r>
    </w:p>
    <w:p w14:paraId="2D01E3D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8E612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Be to naujagimiams, kurių motinos vėlyvuoju nėštumo laikotarpiu nuolat vartojo benzodiazepinų, po gimimo gali pasireikšti fizinė priklausomybė bei kartais gali pasireikšti nutraukimo sindromo simptomų.</w:t>
      </w:r>
    </w:p>
    <w:p w14:paraId="3D32224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5918F0"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6" w:name="_Hlk73085121"/>
      <w:r w:rsidRPr="00061CCE">
        <w:rPr>
          <w:rFonts w:ascii="Times New Roman" w:eastAsia="Times New Roman" w:hAnsi="Times New Roman" w:cs="Times New Roman"/>
          <w:lang w:eastAsia="lt-LT"/>
        </w:rPr>
        <w:t>Dėl aukščiau minėtų priežasčių midazolamo nėštumo metu vartoti galima, jeigu neabejotinai būtina, tačiau Cezario operacijos metu jo geriau nevartoti.</w:t>
      </w:r>
      <w:bookmarkEnd w:id="46"/>
    </w:p>
    <w:p w14:paraId="401E9CA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16CC15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prieš gimdymą bet kokios operacijos metu vartojama midazolamo, reikia atsižvelgti į galimą pavojų naujagimiui. </w:t>
      </w:r>
    </w:p>
    <w:p w14:paraId="7441ADB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B275F0"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Žindymas</w:t>
      </w:r>
    </w:p>
    <w:p w14:paraId="5763490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F5B7B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Midazolamas nedideliais kiekiais išsiskiria į motinos pieną. Žindyvėms motinoms patariama pavartojus midazolamo 24 valandas kūdikio nežindyti.</w:t>
      </w:r>
    </w:p>
    <w:p w14:paraId="6B967C7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32B569"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Vaisingumas</w:t>
      </w:r>
    </w:p>
    <w:p w14:paraId="3F66232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5EACB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Duomenų nėra.</w:t>
      </w:r>
    </w:p>
    <w:p w14:paraId="6714A8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E8D0236"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4.7</w:t>
      </w:r>
      <w:r w:rsidRPr="00061CCE">
        <w:rPr>
          <w:rFonts w:ascii="Times New Roman" w:eastAsia="Times New Roman" w:hAnsi="Times New Roman" w:cs="Times New Roman"/>
          <w:b/>
          <w:lang w:eastAsia="lt-LT"/>
        </w:rPr>
        <w:tab/>
        <w:t>Poveikis gebėjimui vairuoti ir valdyti mechanizmus</w:t>
      </w:r>
    </w:p>
    <w:p w14:paraId="229A8B1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D6B10C"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7" w:name="_Hlk73085208"/>
      <w:r w:rsidRPr="00061CCE">
        <w:rPr>
          <w:rFonts w:ascii="Times New Roman" w:eastAsia="Times New Roman" w:hAnsi="Times New Roman" w:cs="Times New Roman"/>
          <w:lang w:eastAsia="lt-LT"/>
        </w:rPr>
        <w:t xml:space="preserve">Sedacija, amnezija, dėmesio bei raumenų veiklos sutrikimai gali daryti neigiamą įtaką gebėjimui vairuoti ir valdyti mechanizmus. </w:t>
      </w:r>
    </w:p>
    <w:p w14:paraId="5052DBF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CDA54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Prieš skiriant midazolamo, pacientą reikia įspėti, kad vairuoti automobilį ar valdyti mechanizmus bus galima tik visiškai išnykus vaistinio preparato poveikiui. Kada vėl bus galima užsiimti šia veikla, turi spręsti vaistinį preparatą paskyręs gydytojas. </w:t>
      </w:r>
    </w:p>
    <w:p w14:paraId="0D4AECD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E6BB4B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Rekomenduojama, kad iš gydymo įstaigos į namus pacientą kas nors lydėtų.</w:t>
      </w:r>
    </w:p>
    <w:p w14:paraId="550193F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8958A3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Nepakankamai miegant arba vartojant alkoholio budrumas gali dar labiau susilpnėti.</w:t>
      </w:r>
    </w:p>
    <w:bookmarkEnd w:id="47"/>
    <w:p w14:paraId="5BE48858"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694F776D"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4.8</w:t>
      </w:r>
      <w:r w:rsidRPr="00061CCE">
        <w:rPr>
          <w:rFonts w:ascii="Times New Roman" w:eastAsia="Times New Roman" w:hAnsi="Times New Roman" w:cs="Times New Roman"/>
          <w:b/>
          <w:lang w:eastAsia="lt-LT"/>
        </w:rPr>
        <w:tab/>
        <w:t>Nepageidaujamas poveikis</w:t>
      </w:r>
    </w:p>
    <w:p w14:paraId="28A57A2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F4CC13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Nepageidaujamo poveikio dažnis apibūdinamas taip:</w:t>
      </w:r>
    </w:p>
    <w:p w14:paraId="6E9CABD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labai dažnas (≥ 1/10),</w:t>
      </w:r>
    </w:p>
    <w:p w14:paraId="0B799A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dažnas (nuo ≥ 1/100 iki (&lt; 1/10),</w:t>
      </w:r>
    </w:p>
    <w:p w14:paraId="5326CF9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nedažnas (nuo ≥ 1/1000 iki (&lt; 1/100),</w:t>
      </w:r>
    </w:p>
    <w:p w14:paraId="12F5EAC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retas (nuo ≥ 1/10000 iki &lt; 1/1000),</w:t>
      </w:r>
    </w:p>
    <w:p w14:paraId="7F3DC7B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labai retas (&lt; 1/10000) ir</w:t>
      </w:r>
    </w:p>
    <w:p w14:paraId="00237A0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dažnis nežinomas (negali būti apskaičiuotas pagal turimus duomenis).</w:t>
      </w:r>
    </w:p>
    <w:p w14:paraId="6C0CD0A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2AE8C4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Vartojant midazolamo injekcijomis pasireiškė žemiau aprašytas nepageidaujamas poveikis (dažnis nežinomas, negali būti apskaičiuotas pagal turimus duomenis).</w:t>
      </w:r>
    </w:p>
    <w:p w14:paraId="3D47C187"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04D8340F"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bCs/>
          <w:i/>
          <w:iCs/>
          <w:u w:val="single"/>
          <w:lang w:eastAsia="lt-LT"/>
        </w:rPr>
        <w:t>Imuninės</w:t>
      </w:r>
      <w:r w:rsidRPr="00061CCE">
        <w:rPr>
          <w:rFonts w:ascii="Times New Roman" w:eastAsia="Times New Roman" w:hAnsi="Times New Roman" w:cs="Times New Roman"/>
          <w:i/>
          <w:u w:val="single"/>
          <w:lang w:eastAsia="lt-LT"/>
        </w:rPr>
        <w:t xml:space="preserve"> sistemos sutrikimai</w:t>
      </w:r>
    </w:p>
    <w:p w14:paraId="7551D905"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8" w:name="_Hlk92868904"/>
      <w:r w:rsidRPr="00061CCE">
        <w:rPr>
          <w:rFonts w:ascii="Times New Roman" w:eastAsia="Times New Roman" w:hAnsi="Times New Roman" w:cs="Times New Roman"/>
          <w:lang w:eastAsia="lt-LT"/>
        </w:rPr>
        <w:t>Padidėjusio jautrumo reakcijos, angioneurozinė edema, anafilaksinis šokas</w:t>
      </w:r>
    </w:p>
    <w:bookmarkEnd w:id="48"/>
    <w:p w14:paraId="5FFF902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49DB0B"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Psichikos sutrikimai</w:t>
      </w:r>
    </w:p>
    <w:p w14:paraId="2E651BA6"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49" w:name="_Hlk73085307"/>
      <w:bookmarkStart w:id="50" w:name="_Hlk92868963"/>
      <w:r w:rsidRPr="00061CCE">
        <w:rPr>
          <w:rFonts w:ascii="Times New Roman" w:eastAsia="Times New Roman" w:hAnsi="Times New Roman" w:cs="Times New Roman"/>
          <w:lang w:eastAsia="lt-LT"/>
        </w:rPr>
        <w:t>Sumišimo būklė, dezorientacija, emociniai ir nuotaikų sutrikimai, libido pokyčiai</w:t>
      </w:r>
    </w:p>
    <w:p w14:paraId="77E2834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D3EC3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Ažitacija*, priešiškumas*, įniršis*, agresija*, susijaudinimas*</w:t>
      </w:r>
    </w:p>
    <w:p w14:paraId="2819487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CFD618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Fizinė priklausomybė nuo vaistų ir abstinencijos sindromas, piknaudžiavimas.</w:t>
      </w:r>
    </w:p>
    <w:p w14:paraId="4F928A1F" w14:textId="77777777" w:rsidR="00061CCE" w:rsidRPr="00061CCE" w:rsidRDefault="00061CCE" w:rsidP="00061CCE">
      <w:pPr>
        <w:spacing w:after="0" w:line="240" w:lineRule="auto"/>
        <w:rPr>
          <w:rFonts w:ascii="Times New Roman" w:eastAsia="Times New Roman" w:hAnsi="Times New Roman" w:cs="Times New Roman"/>
          <w:lang w:eastAsia="lt-LT"/>
        </w:rPr>
      </w:pPr>
    </w:p>
    <w:bookmarkEnd w:id="49"/>
    <w:p w14:paraId="43C9B5A2" w14:textId="77777777" w:rsidR="00061CCE" w:rsidRPr="00061CCE" w:rsidRDefault="00061CCE" w:rsidP="00061CCE">
      <w:pPr>
        <w:spacing w:after="0" w:line="240" w:lineRule="auto"/>
        <w:rPr>
          <w:rFonts w:ascii="Times New Roman" w:eastAsia="Times New Roman" w:hAnsi="Times New Roman" w:cs="Times New Roman"/>
          <w:lang w:eastAsia="lt-LT"/>
        </w:rPr>
      </w:pPr>
    </w:p>
    <w:bookmarkEnd w:id="50"/>
    <w:p w14:paraId="2C49D0AF"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Nervų sistemos sutrikimai</w:t>
      </w:r>
    </w:p>
    <w:p w14:paraId="26D7925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Sedacija (ilgalaikė ir pooperacinė), sumažėjęs budrumas, mieguistumas, galvos skausmas, svaigulys, judesių koordinacijos sutrikimas, anterogradinė amnezija, kurios trukmė tiesiogiai susijusi su suvartota doze. Anterogradinė amnezija gali laikytis iki procedūros pabaigos, o pavieniais atvejais net ilgiau (žr. 4.4 skyrių).</w:t>
      </w:r>
    </w:p>
    <w:p w14:paraId="371588A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Pastebėta traukulių. Jie dažniau pasireiškė neišnešiotiems kūdikiams ir naujagimiams.</w:t>
      </w:r>
    </w:p>
    <w:p w14:paraId="5028CE0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Abstinencijos (nutraukimo) traukuliai.</w:t>
      </w:r>
    </w:p>
    <w:p w14:paraId="4874CE7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Nevalingi judesiai (įskaitant toninius / kloninius judesius ir raumenų tremorą)*, padidėjęs aktyvumas*.</w:t>
      </w:r>
    </w:p>
    <w:p w14:paraId="44208E1B"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2CFE1528" w14:textId="77777777" w:rsidR="009D4A0B" w:rsidRPr="009B2CC0" w:rsidRDefault="009D4A0B" w:rsidP="003030A3">
      <w:pPr>
        <w:keepNext/>
        <w:spacing w:after="0" w:line="240" w:lineRule="auto"/>
        <w:rPr>
          <w:rFonts w:ascii="Times New Roman" w:eastAsia="Times New Roman" w:hAnsi="Times New Roman" w:cs="Times New Roman"/>
          <w:i/>
          <w:u w:val="single"/>
          <w:lang w:eastAsia="lt-LT"/>
        </w:rPr>
      </w:pPr>
      <w:r w:rsidRPr="009B2CC0">
        <w:rPr>
          <w:rFonts w:ascii="Times New Roman" w:eastAsia="Times New Roman" w:hAnsi="Times New Roman" w:cs="Times New Roman"/>
          <w:i/>
          <w:u w:val="single"/>
          <w:lang w:eastAsia="lt-LT"/>
        </w:rPr>
        <w:t>Širdies sutrikimai</w:t>
      </w:r>
    </w:p>
    <w:p w14:paraId="2A7E5C86" w14:textId="77777777" w:rsidR="009D4A0B" w:rsidRPr="009B2CC0" w:rsidRDefault="009D4A0B" w:rsidP="003030A3">
      <w:pPr>
        <w:keepNext/>
        <w:spacing w:after="0" w:line="240" w:lineRule="auto"/>
        <w:rPr>
          <w:rFonts w:ascii="Times New Roman" w:eastAsia="Times New Roman" w:hAnsi="Times New Roman" w:cs="Times New Roman"/>
          <w:bCs/>
          <w:iCs/>
          <w:lang w:eastAsia="lt-LT"/>
        </w:rPr>
      </w:pPr>
      <w:r w:rsidRPr="009B2CC0">
        <w:rPr>
          <w:rFonts w:ascii="Times New Roman" w:eastAsia="Times New Roman" w:hAnsi="Times New Roman" w:cs="Times New Roman"/>
          <w:bCs/>
          <w:iCs/>
          <w:lang w:eastAsia="lt-LT"/>
        </w:rPr>
        <w:t>Širdies sustojimas, bradikardija</w:t>
      </w:r>
      <w:bookmarkStart w:id="51" w:name="_Hlk138655479"/>
      <w:r>
        <w:rPr>
          <w:rFonts w:ascii="Times New Roman" w:eastAsia="Times New Roman" w:hAnsi="Times New Roman" w:cs="Times New Roman"/>
          <w:bCs/>
          <w:iCs/>
          <w:lang w:eastAsia="lt-LT"/>
        </w:rPr>
        <w:t xml:space="preserve">, </w:t>
      </w:r>
      <w:r w:rsidRPr="00BD605C">
        <w:rPr>
          <w:rFonts w:ascii="Times New Roman" w:eastAsia="Times New Roman" w:hAnsi="Times New Roman" w:cs="Times New Roman"/>
          <w:bCs/>
          <w:iCs/>
          <w:lang w:eastAsia="lt-LT"/>
        </w:rPr>
        <w:t>Kunio (</w:t>
      </w:r>
      <w:r w:rsidRPr="00BD605C">
        <w:rPr>
          <w:rFonts w:ascii="Times New Roman" w:eastAsia="Times New Roman" w:hAnsi="Times New Roman" w:cs="Times New Roman"/>
          <w:bCs/>
          <w:i/>
          <w:iCs/>
          <w:lang w:eastAsia="lt-LT"/>
        </w:rPr>
        <w:t>Kounis</w:t>
      </w:r>
      <w:r w:rsidRPr="00BD605C">
        <w:rPr>
          <w:rFonts w:ascii="Times New Roman" w:eastAsia="Times New Roman" w:hAnsi="Times New Roman" w:cs="Times New Roman"/>
          <w:bCs/>
          <w:iCs/>
          <w:lang w:eastAsia="lt-LT"/>
        </w:rPr>
        <w:t>) sindrom</w:t>
      </w:r>
      <w:r>
        <w:rPr>
          <w:rFonts w:ascii="Times New Roman" w:eastAsia="Times New Roman" w:hAnsi="Times New Roman" w:cs="Times New Roman"/>
          <w:bCs/>
          <w:iCs/>
          <w:lang w:eastAsia="lt-LT"/>
        </w:rPr>
        <w:t>as**</w:t>
      </w:r>
      <w:bookmarkEnd w:id="51"/>
    </w:p>
    <w:p w14:paraId="6A1848A2" w14:textId="77777777" w:rsidR="00061CCE" w:rsidRPr="00061CCE" w:rsidRDefault="00061CCE" w:rsidP="00061CCE">
      <w:pPr>
        <w:spacing w:after="0" w:line="240" w:lineRule="auto"/>
        <w:rPr>
          <w:rFonts w:ascii="Times New Roman" w:eastAsia="Times New Roman" w:hAnsi="Times New Roman" w:cs="Times New Roman"/>
          <w:bCs/>
          <w:iCs/>
          <w:lang w:eastAsia="lt-LT"/>
        </w:rPr>
      </w:pPr>
    </w:p>
    <w:p w14:paraId="40A7502F"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Kraujagyslių sutrikimai</w:t>
      </w:r>
    </w:p>
    <w:p w14:paraId="6DBBF30A" w14:textId="77777777" w:rsidR="00061CCE" w:rsidRPr="00061CCE" w:rsidRDefault="00061CCE" w:rsidP="00061CCE">
      <w:pPr>
        <w:spacing w:after="0" w:line="240" w:lineRule="auto"/>
        <w:rPr>
          <w:rFonts w:ascii="Times New Roman" w:eastAsia="Times New Roman" w:hAnsi="Times New Roman" w:cs="Times New Roman"/>
          <w:bCs/>
          <w:iCs/>
          <w:lang w:eastAsia="lt-LT"/>
        </w:rPr>
      </w:pPr>
      <w:r w:rsidRPr="00061CCE">
        <w:rPr>
          <w:rFonts w:ascii="Times New Roman" w:eastAsia="Times New Roman" w:hAnsi="Times New Roman" w:cs="Times New Roman"/>
          <w:bCs/>
          <w:iCs/>
          <w:lang w:eastAsia="lt-LT"/>
        </w:rPr>
        <w:lastRenderedPageBreak/>
        <w:t>Hipotonija, vazodilatacija, tromboflebitas, trombozė.</w:t>
      </w:r>
    </w:p>
    <w:p w14:paraId="5E67A9E9" w14:textId="77777777" w:rsidR="00061CCE" w:rsidRPr="00061CCE" w:rsidRDefault="00061CCE" w:rsidP="00061CCE">
      <w:pPr>
        <w:spacing w:after="0" w:line="240" w:lineRule="auto"/>
        <w:rPr>
          <w:rFonts w:ascii="Times New Roman" w:eastAsia="Times New Roman" w:hAnsi="Times New Roman" w:cs="Times New Roman"/>
          <w:bCs/>
          <w:iCs/>
          <w:lang w:eastAsia="lt-LT"/>
        </w:rPr>
      </w:pPr>
    </w:p>
    <w:p w14:paraId="49EE4369"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Kvėpavimo sistemos, krūtinės ląstos ir tarpuplaučio sutrikimai</w:t>
      </w:r>
    </w:p>
    <w:p w14:paraId="549CDEF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Kvėpavimo slopinimas, apnėja, kvėpavimo sustojimas, dusulys, gerklų spazmas, žagsulys</w:t>
      </w:r>
    </w:p>
    <w:p w14:paraId="2122C968"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4E95512E"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Virškinimo trakto sutrikimai</w:t>
      </w:r>
    </w:p>
    <w:p w14:paraId="5158269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Pykinimas, vėmimas, vidurių užkietėjimas, burnos džiūvimas</w:t>
      </w:r>
    </w:p>
    <w:p w14:paraId="3DCDDA6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418ACD" w14:textId="77777777" w:rsidR="00061CCE" w:rsidRPr="00061CCE" w:rsidRDefault="00061CCE" w:rsidP="00061CCE">
      <w:pPr>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Odos ir poodinio audinio sutrikimai</w:t>
      </w:r>
    </w:p>
    <w:p w14:paraId="76768FF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Išbėrimas, dilgėlinė, niežulys</w:t>
      </w:r>
    </w:p>
    <w:p w14:paraId="3D7E117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87092CB" w14:textId="77777777" w:rsidR="00061CCE" w:rsidRPr="00061CCE" w:rsidRDefault="00061CCE" w:rsidP="00061CCE">
      <w:pPr>
        <w:keepNext/>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Bendrieji sutrikimai ir vartojimo vietos pažeidimai</w:t>
      </w:r>
    </w:p>
    <w:p w14:paraId="01BC2EB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Nuovargis, paraudimas ir skausmas injekcijos vietoje</w:t>
      </w:r>
    </w:p>
    <w:p w14:paraId="2B5817F1" w14:textId="77777777" w:rsidR="00061CCE" w:rsidRPr="00061CCE" w:rsidRDefault="00061CCE" w:rsidP="00061CCE">
      <w:pPr>
        <w:widowControl w:val="0"/>
        <w:spacing w:after="0" w:line="240" w:lineRule="auto"/>
        <w:rPr>
          <w:rFonts w:ascii="Times New Roman" w:eastAsia="Times New Roman" w:hAnsi="Times New Roman" w:cs="Times New Roman"/>
          <w:i/>
          <w:u w:val="single"/>
          <w:lang w:eastAsia="lt-LT"/>
        </w:rPr>
      </w:pPr>
    </w:p>
    <w:p w14:paraId="6D9B31A5" w14:textId="77777777" w:rsidR="00061CCE" w:rsidRPr="00061CCE" w:rsidRDefault="00061CCE" w:rsidP="00061CCE">
      <w:pPr>
        <w:widowControl w:val="0"/>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Sužalojimai, apsinuodijimai ir procedūrų komplikacijos</w:t>
      </w:r>
    </w:p>
    <w:p w14:paraId="75CC8784" w14:textId="77777777" w:rsidR="00061CCE" w:rsidRPr="00061CCE" w:rsidRDefault="00061CCE" w:rsidP="00061CCE">
      <w:pPr>
        <w:widowControl w:val="0"/>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Kritimai, lūžiai. Didesnė kritimų ir kaulų lūžių rizika kyla pacientams, kartu vartojantiems raminamųjų (įskaitant alkoholinius gėrimus) ir pagyvenusiems pacientams</w:t>
      </w:r>
    </w:p>
    <w:p w14:paraId="4277C778" w14:textId="77777777" w:rsidR="00061CCE" w:rsidRPr="00061CCE" w:rsidRDefault="00061CCE" w:rsidP="00061CCE">
      <w:pPr>
        <w:widowControl w:val="0"/>
        <w:spacing w:after="0" w:line="240" w:lineRule="auto"/>
        <w:jc w:val="both"/>
        <w:rPr>
          <w:rFonts w:ascii="Times New Roman" w:eastAsia="Times New Roman" w:hAnsi="Times New Roman" w:cs="Times New Roman"/>
          <w:lang w:eastAsia="lt-LT"/>
        </w:rPr>
      </w:pPr>
    </w:p>
    <w:p w14:paraId="082C0B75" w14:textId="77777777" w:rsidR="00061CCE" w:rsidRPr="00061CCE" w:rsidRDefault="00061CCE" w:rsidP="00061CCE">
      <w:pPr>
        <w:widowControl w:val="0"/>
        <w:spacing w:after="0" w:line="240" w:lineRule="auto"/>
        <w:rPr>
          <w:rFonts w:ascii="Times New Roman" w:eastAsia="Times New Roman" w:hAnsi="Times New Roman" w:cs="Times New Roman"/>
          <w:i/>
          <w:u w:val="single"/>
          <w:lang w:eastAsia="lt-LT"/>
        </w:rPr>
      </w:pPr>
      <w:r w:rsidRPr="00061CCE">
        <w:rPr>
          <w:rFonts w:ascii="Times New Roman" w:eastAsia="Times New Roman" w:hAnsi="Times New Roman" w:cs="Times New Roman"/>
          <w:i/>
          <w:u w:val="single"/>
          <w:lang w:eastAsia="lt-LT"/>
        </w:rPr>
        <w:t>Socialinės aplinkybės</w:t>
      </w:r>
    </w:p>
    <w:p w14:paraId="1CC0383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Smurtavimas*</w:t>
      </w:r>
    </w:p>
    <w:p w14:paraId="153925A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*Pagal pranešimus, tokios paradoksinės reakcijos į vaistą dažniausiai pasireiškia vaikams ir pagyvenusiems asmenims (žr. 4.4 skyrių).</w:t>
      </w:r>
      <w:bookmarkStart w:id="52" w:name="_Hlk73085799"/>
    </w:p>
    <w:p w14:paraId="4C65DCF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F022AC" w14:textId="77777777" w:rsidR="009D4A0B" w:rsidRDefault="009D4A0B" w:rsidP="009D4A0B">
      <w:pPr>
        <w:spacing w:after="0" w:line="240" w:lineRule="auto"/>
        <w:rPr>
          <w:rFonts w:ascii="Times New Roman" w:eastAsia="Times New Roman" w:hAnsi="Times New Roman" w:cs="Times New Roman"/>
          <w:bCs/>
          <w:iCs/>
          <w:lang w:eastAsia="lt-LT"/>
        </w:rPr>
      </w:pPr>
      <w:bookmarkStart w:id="53" w:name="_Hlk138655529"/>
      <w:r w:rsidRPr="00BD605C">
        <w:rPr>
          <w:rFonts w:ascii="Times New Roman" w:eastAsia="Times New Roman" w:hAnsi="Times New Roman" w:cs="Times New Roman"/>
          <w:bCs/>
          <w:iCs/>
          <w:lang w:eastAsia="lt-LT"/>
        </w:rPr>
        <w:t>*</w:t>
      </w:r>
      <w:r>
        <w:rPr>
          <w:rFonts w:ascii="Times New Roman" w:eastAsia="Times New Roman" w:hAnsi="Times New Roman" w:cs="Times New Roman"/>
          <w:bCs/>
          <w:iCs/>
          <w:lang w:eastAsia="lt-LT"/>
        </w:rPr>
        <w:t>*</w:t>
      </w:r>
      <w:r w:rsidRPr="00BD605C">
        <w:rPr>
          <w:rFonts w:ascii="Times New Roman" w:eastAsia="Times New Roman" w:hAnsi="Times New Roman" w:cs="Times New Roman"/>
          <w:bCs/>
          <w:iCs/>
          <w:lang w:eastAsia="lt-LT"/>
        </w:rPr>
        <w:t>ypač po parenterinio vartojimo</w:t>
      </w:r>
    </w:p>
    <w:p w14:paraId="636EEFC2" w14:textId="77777777" w:rsidR="009D4A0B" w:rsidRDefault="009D4A0B" w:rsidP="009D4A0B">
      <w:pPr>
        <w:spacing w:after="0" w:line="240" w:lineRule="auto"/>
        <w:rPr>
          <w:rFonts w:ascii="Times New Roman" w:eastAsia="Times New Roman" w:hAnsi="Times New Roman" w:cs="Times New Roman"/>
          <w:bCs/>
          <w:iCs/>
          <w:lang w:eastAsia="lt-LT"/>
        </w:rPr>
      </w:pPr>
    </w:p>
    <w:bookmarkEnd w:id="53"/>
    <w:p w14:paraId="7ADBE2F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i/>
          <w:lang w:eastAsia="lt-LT"/>
        </w:rPr>
        <w:t xml:space="preserve">Inkstų veiklos sutrikimas: </w:t>
      </w:r>
      <w:r w:rsidRPr="00061CCE">
        <w:rPr>
          <w:rFonts w:ascii="Times New Roman" w:eastAsia="Times New Roman" w:hAnsi="Times New Roman" w:cs="Times New Roman"/>
          <w:lang w:eastAsia="lt-LT"/>
        </w:rPr>
        <w:t>pacientai, kurių stipriai sutrikusi inkstų veikla, labiau linkę į nepageidaujamas vaisto reakcijas (žr. 4.2 skyrių).</w:t>
      </w:r>
      <w:bookmarkEnd w:id="52"/>
    </w:p>
    <w:p w14:paraId="60A051F6"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017537FE"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54" w:name="_Hlk92869148"/>
      <w:bookmarkStart w:id="55" w:name="_Hlk73085828"/>
      <w:r w:rsidRPr="00061CCE">
        <w:rPr>
          <w:rFonts w:ascii="Times New Roman" w:eastAsia="Times New Roman" w:hAnsi="Times New Roman" w:cs="Times New Roman"/>
          <w:i/>
          <w:lang w:eastAsia="lt-LT"/>
        </w:rPr>
        <w:t>Priklausomybė:</w:t>
      </w:r>
      <w:r w:rsidRPr="00061CCE">
        <w:rPr>
          <w:rFonts w:ascii="Times New Roman" w:eastAsia="Times New Roman" w:hAnsi="Times New Roman" w:cs="Times New Roman"/>
          <w:lang w:eastAsia="lt-LT"/>
        </w:rPr>
        <w:t xml:space="preserve"> vartojant midazolamą (net ir terapinėmis dozėmis) gali išsivystyti fizinė priklausomybė. Po ilgalaikio i.v. leidžiamo vaistinio preparato vartojimo, </w:t>
      </w:r>
      <w:bookmarkStart w:id="56" w:name="_Hlk93498203"/>
      <w:r w:rsidRPr="00061CCE">
        <w:rPr>
          <w:rFonts w:ascii="Times New Roman" w:eastAsia="Times New Roman" w:hAnsi="Times New Roman" w:cs="Times New Roman"/>
          <w:lang w:eastAsia="lt-LT"/>
        </w:rPr>
        <w:t>nutraukus vartojimą</w:t>
      </w:r>
      <w:bookmarkEnd w:id="56"/>
      <w:r w:rsidRPr="00061CCE">
        <w:rPr>
          <w:rFonts w:ascii="Times New Roman" w:eastAsia="Times New Roman" w:hAnsi="Times New Roman" w:cs="Times New Roman"/>
          <w:lang w:eastAsia="lt-LT"/>
        </w:rPr>
        <w:t>, ypač nutraukus jį staigiai, gali pasireikšti abstinencijos (nutraukimo) simptomų, įskaitant abstinencijos sukeltus traukulius (žr. 4.4 skyrių). Gauta pranešimų apie piktnaudžiavimo atvejus.</w:t>
      </w:r>
    </w:p>
    <w:bookmarkEnd w:id="54"/>
    <w:p w14:paraId="08F1B4C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B14EA0"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57" w:name="_Hlk92869172"/>
      <w:bookmarkEnd w:id="55"/>
      <w:r w:rsidRPr="00061CCE">
        <w:rPr>
          <w:rFonts w:ascii="Times New Roman" w:eastAsia="Times New Roman" w:hAnsi="Times New Roman" w:cs="Times New Roman"/>
          <w:lang w:eastAsia="lt-LT"/>
        </w:rPr>
        <w:t xml:space="preserve">Pasireiškė sunkių su širdimi ir kvėpavimu susijusių nepageidaujamų reiškinių. Manoma, kad vyresniems nei 60 metų amžiaus </w:t>
      </w:r>
      <w:bookmarkStart w:id="58" w:name="_Hlk93498151"/>
      <w:r w:rsidRPr="00061CCE">
        <w:rPr>
          <w:rFonts w:ascii="Times New Roman" w:eastAsia="Times New Roman" w:hAnsi="Times New Roman" w:cs="Times New Roman"/>
          <w:lang w:eastAsia="lt-LT"/>
        </w:rPr>
        <w:t>suaugusiesiems</w:t>
      </w:r>
      <w:bookmarkEnd w:id="58"/>
      <w:r w:rsidRPr="00061CCE">
        <w:rPr>
          <w:rFonts w:ascii="Times New Roman" w:eastAsia="Times New Roman" w:hAnsi="Times New Roman" w:cs="Times New Roman"/>
          <w:lang w:eastAsia="lt-LT"/>
        </w:rPr>
        <w:t xml:space="preserve"> ir pacientams, kuriems yra kvėpavimo sistemos nepakankamumas ar sutrikusi širdies veikla, gyvybei pavojingų reiškinių atsiranda dažniau, ypač jei </w:t>
      </w:r>
      <w:bookmarkStart w:id="59" w:name="_Hlk519020899"/>
      <w:r w:rsidRPr="00061CCE">
        <w:rPr>
          <w:rFonts w:ascii="Times New Roman" w:eastAsia="Times New Roman" w:hAnsi="Times New Roman" w:cs="Times New Roman"/>
          <w:lang w:eastAsia="lt-LT"/>
        </w:rPr>
        <w:t>vaistinio preparato injekcija suleidžiama</w:t>
      </w:r>
      <w:bookmarkEnd w:id="59"/>
      <w:r w:rsidRPr="00061CCE">
        <w:rPr>
          <w:rFonts w:ascii="Times New Roman" w:eastAsia="Times New Roman" w:hAnsi="Times New Roman" w:cs="Times New Roman"/>
          <w:lang w:eastAsia="lt-LT"/>
        </w:rPr>
        <w:t xml:space="preserve"> per greitai ar paskirta dozė yra per didelė (žr. 4.4</w:t>
      </w:r>
      <w:r w:rsidRPr="00061CCE">
        <w:rPr>
          <w:rFonts w:ascii="Times New Roman" w:eastAsia="Times New Roman" w:hAnsi="Times New Roman" w:cs="Times New Roman"/>
          <w:b/>
          <w:lang w:eastAsia="lt-LT"/>
        </w:rPr>
        <w:t> </w:t>
      </w:r>
      <w:r w:rsidRPr="00061CCE">
        <w:rPr>
          <w:rFonts w:ascii="Times New Roman" w:eastAsia="Times New Roman" w:hAnsi="Times New Roman" w:cs="Times New Roman"/>
          <w:lang w:eastAsia="lt-LT"/>
        </w:rPr>
        <w:t>skyrių).</w:t>
      </w:r>
    </w:p>
    <w:p w14:paraId="1C2219AB" w14:textId="77777777" w:rsidR="00061CCE" w:rsidRPr="00061CCE" w:rsidRDefault="00061CCE" w:rsidP="00061CCE">
      <w:pPr>
        <w:autoSpaceDE w:val="0"/>
        <w:autoSpaceDN w:val="0"/>
        <w:adjustRightInd w:val="0"/>
        <w:spacing w:after="0" w:line="240" w:lineRule="auto"/>
        <w:jc w:val="both"/>
        <w:rPr>
          <w:rFonts w:ascii="Times New Roman" w:eastAsia="Times New Roman" w:hAnsi="Times New Roman" w:cs="Times New Roman"/>
          <w:highlight w:val="yellow"/>
          <w:u w:val="single"/>
          <w:lang w:eastAsia="lt-LT"/>
        </w:rPr>
      </w:pPr>
    </w:p>
    <w:bookmarkEnd w:id="57"/>
    <w:p w14:paraId="633F867E" w14:textId="77777777" w:rsidR="00061CCE" w:rsidRPr="00061CCE" w:rsidRDefault="00061CCE" w:rsidP="00061CCE">
      <w:pPr>
        <w:autoSpaceDE w:val="0"/>
        <w:autoSpaceDN w:val="0"/>
        <w:adjustRightInd w:val="0"/>
        <w:spacing w:after="0" w:line="240" w:lineRule="auto"/>
        <w:jc w:val="both"/>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Pranešimas apie įtariamas nepageidaujamas reakcijas</w:t>
      </w:r>
    </w:p>
    <w:p w14:paraId="171773A8" w14:textId="77777777" w:rsidR="00061CCE" w:rsidRPr="00061CCE" w:rsidRDefault="00061CCE" w:rsidP="00061CCE">
      <w:pPr>
        <w:tabs>
          <w:tab w:val="left" w:pos="567"/>
        </w:tabs>
        <w:suppressAutoHyphens/>
        <w:autoSpaceDE w:val="0"/>
        <w:autoSpaceDN w:val="0"/>
        <w:adjustRightInd w:val="0"/>
        <w:spacing w:after="0" w:line="260" w:lineRule="exact"/>
        <w:rPr>
          <w:rFonts w:ascii="Times New Roman" w:eastAsia="Times New Roman" w:hAnsi="Times New Roman" w:cs="Times New Roman"/>
          <w:noProof/>
          <w:snapToGrid w:val="0"/>
          <w:szCs w:val="24"/>
          <w:lang w:eastAsia="zh-CN"/>
        </w:rPr>
      </w:pPr>
      <w:r w:rsidRPr="00061CCE">
        <w:rPr>
          <w:rFonts w:ascii="Times New Roman" w:eastAsia="Times New Roman" w:hAnsi="Times New Roman" w:cs="Times New Roman"/>
          <w:noProof/>
          <w:snapToGrid w:val="0"/>
          <w:szCs w:val="24"/>
          <w:lang w:eastAsia="zh-CN"/>
        </w:rPr>
        <w:t>Svarbu pranešti apie įtariamas nepageidaujamas reakcijas, pastebėtas po vaistinio preparato registracijos, nes tai leidžia nuolat stebėti vaistinio preparato naudos ir rizikos santykį.</w:t>
      </w:r>
      <w:r w:rsidRPr="00061CCE">
        <w:rPr>
          <w:rFonts w:ascii="Times New Roman" w:eastAsia="Times New Roman" w:hAnsi="Times New Roman" w:cs="Times New Roman"/>
          <w:snapToGrid w:val="0"/>
          <w:szCs w:val="24"/>
          <w:lang w:eastAsia="zh-CN"/>
        </w:rPr>
        <w:t xml:space="preserve"> </w:t>
      </w:r>
      <w:r w:rsidRPr="00061CCE">
        <w:rPr>
          <w:rFonts w:ascii="Times New Roman" w:eastAsia="Times New Roman" w:hAnsi="Times New Roman" w:cs="Times New Roman"/>
          <w:noProof/>
          <w:snapToGrid w:val="0"/>
          <w:szCs w:val="24"/>
          <w:lang w:eastAsia="zh-CN"/>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061CCE">
          <w:rPr>
            <w:rFonts w:ascii="Times New Roman" w:eastAsia="Times New Roman" w:hAnsi="Times New Roman" w:cs="Times New Roman"/>
            <w:noProof/>
            <w:snapToGrid w:val="0"/>
            <w:color w:val="0000FF"/>
            <w:szCs w:val="24"/>
            <w:u w:val="single"/>
            <w:lang w:eastAsia="zh-CN"/>
          </w:rPr>
          <w:t>https://vapris.vvkt.lt/vvkt-web/public/nrvSpecialist</w:t>
        </w:r>
      </w:hyperlink>
      <w:r w:rsidRPr="00061CCE">
        <w:rPr>
          <w:rFonts w:ascii="Times New Roman" w:eastAsia="Times New Roman" w:hAnsi="Times New Roman" w:cs="Times New Roman"/>
          <w:noProof/>
          <w:snapToGrid w:val="0"/>
          <w:szCs w:val="24"/>
          <w:lang w:eastAsia="zh-CN"/>
        </w:rPr>
        <w:t xml:space="preserve"> arba užpildę Sveikatos priežiūros ar farmacijos specialisto pranešimo apie įtariamą nepageidaujamą reakciją (ĮNR) formą, kuri skelbiama </w:t>
      </w:r>
      <w:hyperlink r:id="rId12" w:history="1">
        <w:r w:rsidRPr="00061CCE">
          <w:rPr>
            <w:rFonts w:ascii="Times New Roman" w:eastAsia="Times New Roman" w:hAnsi="Times New Roman" w:cs="Times New Roman"/>
            <w:noProof/>
            <w:snapToGrid w:val="0"/>
            <w:color w:val="0000FF"/>
            <w:szCs w:val="24"/>
            <w:u w:val="single"/>
            <w:lang w:eastAsia="zh-CN"/>
          </w:rPr>
          <w:t>https://www.vvkt.lt/index.php?1399030386</w:t>
        </w:r>
      </w:hyperlink>
      <w:r w:rsidRPr="00061CCE">
        <w:rPr>
          <w:rFonts w:ascii="Times New Roman" w:eastAsia="Times New Roman" w:hAnsi="Times New Roman" w:cs="Times New Roman"/>
          <w:noProof/>
          <w:snapToGrid w:val="0"/>
          <w:szCs w:val="24"/>
          <w:lang w:eastAsia="zh-CN"/>
        </w:rPr>
        <w:t>, ir atsiųsti elektroniniu paštu (adresu NepageidaujamaR@vvkt.lt).</w:t>
      </w:r>
    </w:p>
    <w:p w14:paraId="79BCAC60" w14:textId="77777777" w:rsidR="00061CCE" w:rsidRPr="00061CCE" w:rsidRDefault="00061CCE" w:rsidP="00061CCE">
      <w:pPr>
        <w:autoSpaceDE w:val="0"/>
        <w:autoSpaceDN w:val="0"/>
        <w:adjustRightInd w:val="0"/>
        <w:spacing w:after="0" w:line="240" w:lineRule="auto"/>
        <w:rPr>
          <w:rFonts w:ascii="Times New Roman" w:eastAsia="Times New Roman" w:hAnsi="Times New Roman" w:cs="Times New Roman"/>
          <w:lang w:eastAsia="lt-LT"/>
        </w:rPr>
      </w:pPr>
    </w:p>
    <w:p w14:paraId="562DCF7E"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4.9</w:t>
      </w:r>
      <w:r w:rsidRPr="00061CCE">
        <w:rPr>
          <w:rFonts w:ascii="Times New Roman" w:eastAsia="Times New Roman" w:hAnsi="Times New Roman" w:cs="Times New Roman"/>
          <w:b/>
          <w:lang w:eastAsia="lt-LT"/>
        </w:rPr>
        <w:tab/>
        <w:t>Perdozavimas</w:t>
      </w:r>
    </w:p>
    <w:p w14:paraId="367DEEE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434E31" w14:textId="77777777" w:rsidR="00061CCE" w:rsidRPr="00061CCE" w:rsidRDefault="00061CCE" w:rsidP="00061CCE">
      <w:pPr>
        <w:keepNext/>
        <w:spacing w:after="0" w:line="240" w:lineRule="auto"/>
        <w:outlineLvl w:val="4"/>
        <w:rPr>
          <w:rFonts w:ascii="Times New Roman" w:eastAsia="Times New Roman" w:hAnsi="Times New Roman" w:cs="Times New Roman"/>
          <w:bCs/>
          <w:i/>
          <w:iCs/>
          <w:u w:val="single"/>
          <w:lang w:eastAsia="lt-LT"/>
        </w:rPr>
      </w:pPr>
      <w:r w:rsidRPr="00061CCE">
        <w:rPr>
          <w:rFonts w:ascii="Times New Roman" w:eastAsia="Times New Roman" w:hAnsi="Times New Roman" w:cs="Times New Roman"/>
          <w:bCs/>
          <w:i/>
          <w:iCs/>
          <w:u w:val="single"/>
          <w:lang w:eastAsia="lt-LT"/>
        </w:rPr>
        <w:t>Simptomai</w:t>
      </w:r>
    </w:p>
    <w:p w14:paraId="691B76B4"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p>
    <w:p w14:paraId="5DA5CD7A" w14:textId="77777777" w:rsidR="00061CCE" w:rsidRPr="00061CCE" w:rsidRDefault="00061CCE" w:rsidP="00061CCE">
      <w:pPr>
        <w:spacing w:after="0" w:line="240" w:lineRule="auto"/>
        <w:rPr>
          <w:rFonts w:ascii="Times New Roman" w:eastAsia="Times New Roman" w:hAnsi="Times New Roman" w:cs="Times New Roman"/>
          <w:szCs w:val="20"/>
          <w:lang w:eastAsia="lt-LT"/>
        </w:rPr>
      </w:pPr>
      <w:bookmarkStart w:id="60" w:name="_Hlk73085868"/>
      <w:r w:rsidRPr="00061CCE">
        <w:rPr>
          <w:rFonts w:ascii="Times New Roman" w:eastAsia="Times New Roman" w:hAnsi="Times New Roman" w:cs="Times New Roman"/>
          <w:lang w:eastAsia="lt-LT"/>
        </w:rPr>
        <w:t>Midazolamas, kaip ir kiti benzodiazepinai, dažnai sukelia snaudulį, ataksiją, dizartriją ir nistagmą. Midazolamo perdozavimas retai kelia pavojų gyvybei, jeigu jo vartojama vieno, tačiau gali sukelti arefleksiją, hipotenziją, širdies ir kraujagyslių bei kvėpavimo sistemos slopinimą, apnėją bei retais atvejais komą.</w:t>
      </w:r>
      <w:r w:rsidRPr="00061CCE">
        <w:rPr>
          <w:rFonts w:ascii="Times New Roman" w:eastAsia="Times New Roman" w:hAnsi="Times New Roman" w:cs="Times New Roman"/>
          <w:szCs w:val="20"/>
          <w:lang w:eastAsia="lt-LT"/>
        </w:rPr>
        <w:t xml:space="preserve"> </w:t>
      </w:r>
    </w:p>
    <w:p w14:paraId="3CC8A55A"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787C33F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Koma, jeigu pasireiškia, paprastai trunka kelias valandas. Poveikis gali būti ilgas ir kliniškai reikšmingas, ypač pagyvenusiems pacientams. Benzodiazepinų poveikis kvėpavimo slopinimui daug stipriau pasireiškia pacientams, sergantiems kvėpavimo sistemos ligomis.</w:t>
      </w:r>
    </w:p>
    <w:p w14:paraId="4FE2E63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EA5E70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Benzodiazepinai padidina kitų </w:t>
      </w:r>
      <w:bookmarkStart w:id="61" w:name="_Hlk73550072"/>
      <w:r w:rsidRPr="00061CCE">
        <w:rPr>
          <w:rFonts w:ascii="Times New Roman" w:eastAsia="Times New Roman" w:hAnsi="Times New Roman" w:cs="Times New Roman"/>
          <w:lang w:eastAsia="lt-LT"/>
        </w:rPr>
        <w:t>centrinę nervų sistemą slopinančių medžiagų</w:t>
      </w:r>
      <w:bookmarkEnd w:id="61"/>
      <w:r w:rsidRPr="00061CCE">
        <w:rPr>
          <w:rFonts w:ascii="Times New Roman" w:eastAsia="Times New Roman" w:hAnsi="Times New Roman" w:cs="Times New Roman"/>
          <w:lang w:eastAsia="lt-LT"/>
        </w:rPr>
        <w:t xml:space="preserve"> (įskaitant alkoholį) poveikį.</w:t>
      </w:r>
    </w:p>
    <w:bookmarkEnd w:id="60"/>
    <w:p w14:paraId="4D9DC43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87DAB21" w14:textId="77777777" w:rsidR="00061CCE" w:rsidRPr="00061CCE" w:rsidRDefault="00061CCE" w:rsidP="00061CCE">
      <w:pPr>
        <w:keepNext/>
        <w:spacing w:after="0" w:line="240" w:lineRule="auto"/>
        <w:outlineLvl w:val="4"/>
        <w:rPr>
          <w:rFonts w:ascii="Times New Roman" w:eastAsia="Times New Roman" w:hAnsi="Times New Roman" w:cs="Times New Roman"/>
          <w:bCs/>
          <w:i/>
          <w:iCs/>
          <w:u w:val="single"/>
          <w:lang w:eastAsia="lt-LT"/>
        </w:rPr>
      </w:pPr>
      <w:r w:rsidRPr="00061CCE">
        <w:rPr>
          <w:rFonts w:ascii="Times New Roman" w:eastAsia="Times New Roman" w:hAnsi="Times New Roman" w:cs="Times New Roman"/>
          <w:bCs/>
          <w:i/>
          <w:iCs/>
          <w:u w:val="single"/>
          <w:lang w:eastAsia="lt-LT"/>
        </w:rPr>
        <w:t xml:space="preserve">Gydymas </w:t>
      </w:r>
    </w:p>
    <w:p w14:paraId="481AE475"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p>
    <w:p w14:paraId="4ABB43A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Dažniausiai pakanka tik stebėti gyvybines funkcijas. Gydant perdozavimą intensyvios terapijos skyriuje reikia ypač atidžiai stebėti kvėpavimo bei širdies ir kraujagyslių sistemų veiklą. Jei dėl sunkaus apsinuodijimo atsirado kvėpavimo slopinimas ir koma, reikia skirti benzodiazepinų antagonisto </w:t>
      </w:r>
      <w:r w:rsidRPr="00061CCE">
        <w:rPr>
          <w:rFonts w:ascii="Times New Roman" w:eastAsia="Times New Roman" w:hAnsi="Times New Roman" w:cs="Times New Roman"/>
          <w:bCs/>
          <w:lang w:eastAsia="lt-LT"/>
        </w:rPr>
        <w:t>flumazenilio.</w:t>
      </w:r>
      <w:r w:rsidRPr="00061CCE">
        <w:rPr>
          <w:rFonts w:ascii="Times New Roman" w:eastAsia="Times New Roman" w:hAnsi="Times New Roman" w:cs="Times New Roman"/>
          <w:lang w:eastAsia="lt-LT"/>
        </w:rPr>
        <w:t xml:space="preserve"> Vaistui būdingas trumpas pusinės eliminacijos periodas, todėl pacientus, kuriems skirta </w:t>
      </w:r>
      <w:r w:rsidRPr="00061CCE">
        <w:rPr>
          <w:rFonts w:ascii="Times New Roman" w:eastAsia="Times New Roman" w:hAnsi="Times New Roman" w:cs="Times New Roman"/>
          <w:bCs/>
          <w:lang w:eastAsia="lt-LT"/>
        </w:rPr>
        <w:t>flumazenilio,</w:t>
      </w:r>
      <w:r w:rsidRPr="00061CCE">
        <w:rPr>
          <w:rFonts w:ascii="Times New Roman" w:eastAsia="Times New Roman" w:hAnsi="Times New Roman" w:cs="Times New Roman"/>
          <w:lang w:eastAsia="lt-LT"/>
        </w:rPr>
        <w:t xml:space="preserve"> reikia stebėti, kol išnyks jo poveikis. </w:t>
      </w:r>
    </w:p>
    <w:p w14:paraId="0D2048A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A8ED082"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62" w:name="_Hlk92869304"/>
      <w:r w:rsidRPr="00061CCE">
        <w:rPr>
          <w:rFonts w:ascii="Times New Roman" w:eastAsia="Times New Roman" w:hAnsi="Times New Roman" w:cs="Times New Roman"/>
          <w:lang w:eastAsia="lt-LT"/>
        </w:rPr>
        <w:t xml:space="preserve">Skiriant šio vaistinio preparato reikia imtis atsargumo priemonių, jei pacientas perdozavo kelių vaistinių preparatų arba jei jis serga epilepsija ir yra gydomas benzodiazepinais. </w:t>
      </w:r>
    </w:p>
    <w:bookmarkEnd w:id="62"/>
    <w:p w14:paraId="43E1CF6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8DED43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Flumazenilis neturėtų būti skiriamas pacientams, gydomiems tricikliais antidepresantais, kitais vaistiniais preparatais, dažniau sukeliančiais epilepsijos priepuolį, arba pacientams, kuriems yra EKG pakyčių (ilgesnis QRS arba QT intervalas).</w:t>
      </w:r>
    </w:p>
    <w:p w14:paraId="278069D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68725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5F706F0"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5.</w:t>
      </w:r>
      <w:r w:rsidRPr="00061CCE">
        <w:rPr>
          <w:rFonts w:ascii="Times New Roman" w:eastAsia="Times New Roman" w:hAnsi="Times New Roman" w:cs="Times New Roman"/>
          <w:b/>
          <w:szCs w:val="20"/>
          <w:lang w:eastAsia="lt-LT"/>
        </w:rPr>
        <w:tab/>
        <w:t>FARMAKOLOGINĖS</w:t>
      </w:r>
      <w:r w:rsidRPr="00061CCE">
        <w:rPr>
          <w:rFonts w:ascii="Times New Roman" w:eastAsia="Times New Roman" w:hAnsi="Times New Roman" w:cs="Times New Roman"/>
          <w:b/>
          <w:caps/>
          <w:szCs w:val="20"/>
          <w:lang w:eastAsia="lt-LT"/>
        </w:rPr>
        <w:t xml:space="preserve"> savybės</w:t>
      </w:r>
    </w:p>
    <w:p w14:paraId="60D1F9C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2684A44"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5.1</w:t>
      </w:r>
      <w:r w:rsidRPr="00061CCE">
        <w:rPr>
          <w:rFonts w:ascii="Times New Roman" w:eastAsia="Times New Roman" w:hAnsi="Times New Roman" w:cs="Times New Roman"/>
          <w:b/>
          <w:lang w:eastAsia="lt-LT"/>
        </w:rPr>
        <w:tab/>
        <w:t>Farmakodinaminės savybės</w:t>
      </w:r>
    </w:p>
    <w:p w14:paraId="25F6000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6BC09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Farmakoterapinė grupė – migdomieji ir raminamieji vaistiniai preparatai, benzodiazepinų grupės junginiai, ATC kodas – N05CD08.</w:t>
      </w:r>
    </w:p>
    <w:p w14:paraId="65C9507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72050EC"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63" w:name="_Hlk92869411"/>
      <w:r w:rsidRPr="00061CCE">
        <w:rPr>
          <w:rFonts w:ascii="Times New Roman" w:eastAsia="Times New Roman" w:hAnsi="Times New Roman" w:cs="Times New Roman"/>
          <w:lang w:eastAsia="lt-LT"/>
        </w:rPr>
        <w:t>Midazolamo poveikis yra hipnozinis ir sedacinis, jam būdinga staigi pradžia ir trumpalaikiškumas. Jis taip turi anksiolitinį, antikonvulsinį ir raumenis atpalaiduojantį poveikį. Viena ir (arba) kartotinės midazolamo dozės slopina psichomotorinę funkciją, tačiau sukelia tik minimalius hemodinaminius pokyčius.</w:t>
      </w:r>
    </w:p>
    <w:p w14:paraId="2DCD655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B4D0B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Pagrindinis benzodiazepinų veikimas medijuojamas sustiprėjus GABAerginei neurotransmisijai slopinamosiose sinapsėse. Terpėje esant benzodiazepinų, gamaaminosvi (GABA) receptorių afinitetas neurotransmiteriui padidėja dėl teigiamos alosterinės moduliacijos, dėl kurios sustiprėja išskirto GABA poveikis postsinapsiniam transmembraniniam chlorido jonų srautui.</w:t>
      </w:r>
    </w:p>
    <w:p w14:paraId="22B87CE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A9BD9F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Chemine prasme midazolamas yra imidazobenzodiazepino grupės darinys. Nors laisva bazė yra lipofilinė medžiaga, mažai tirpi vandenyje, dėl antroje imidazobenzodiazepino žiedo padėtyje esančio bazinio azoto veiklioji midazolamo medžiaga prisijungia prie rūgščių, todėl atsiranda vandenyje tirpių druskų, iš kurių gaunamas stabilus ir gerai toleruojamas injekcinis tirpalas. Dėl to ir dėl greitos metabolinės transformacijos poveikis greitai pasireiškia ir veikia trumpai. Dėl mažo toksiškumo midazolamui būdingas platus terapinis panaudojamumas.</w:t>
      </w:r>
    </w:p>
    <w:bookmarkEnd w:id="63"/>
    <w:p w14:paraId="6805E03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76EDF4"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64" w:name="_Hlk73086055"/>
      <w:r w:rsidRPr="00061CCE">
        <w:rPr>
          <w:rFonts w:ascii="Times New Roman" w:eastAsia="Times New Roman" w:hAnsi="Times New Roman" w:cs="Times New Roman"/>
          <w:lang w:eastAsia="lt-LT"/>
        </w:rPr>
        <w:t xml:space="preserve">Sušvirkštas į raumenis ar į veną </w:t>
      </w:r>
      <w:bookmarkEnd w:id="64"/>
      <w:r w:rsidRPr="00061CCE">
        <w:rPr>
          <w:rFonts w:ascii="Times New Roman" w:eastAsia="Times New Roman" w:hAnsi="Times New Roman" w:cs="Times New Roman"/>
          <w:lang w:eastAsia="lt-LT"/>
        </w:rPr>
        <w:t>sukelia trumpalaikę anterogradinę amneziją (pacientas negali prisiminti įvykių, buvusių didžiausio veikliosios medžiagos poveikio metu).</w:t>
      </w:r>
    </w:p>
    <w:p w14:paraId="219372EC" w14:textId="77777777" w:rsidR="00061CCE" w:rsidRPr="00061CCE" w:rsidRDefault="00061CCE" w:rsidP="00061CCE">
      <w:pPr>
        <w:spacing w:after="0" w:line="240" w:lineRule="auto"/>
        <w:jc w:val="both"/>
        <w:rPr>
          <w:rFonts w:ascii="Times New Roman" w:eastAsia="Times New Roman" w:hAnsi="Times New Roman" w:cs="Times New Roman"/>
          <w:lang w:eastAsia="lt-LT"/>
        </w:rPr>
      </w:pPr>
    </w:p>
    <w:p w14:paraId="30AC93F0"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5.2</w:t>
      </w:r>
      <w:r w:rsidRPr="00061CCE">
        <w:rPr>
          <w:rFonts w:ascii="Times New Roman" w:eastAsia="Times New Roman" w:hAnsi="Times New Roman" w:cs="Times New Roman"/>
          <w:b/>
          <w:lang w:eastAsia="lt-LT"/>
        </w:rPr>
        <w:tab/>
        <w:t>Farmakokinetinės savybės</w:t>
      </w:r>
    </w:p>
    <w:p w14:paraId="67B42D9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646A832" w14:textId="77777777" w:rsidR="00061CCE" w:rsidRPr="00061CCE" w:rsidRDefault="00061CCE" w:rsidP="00061CCE">
      <w:pPr>
        <w:spacing w:after="0" w:line="240" w:lineRule="auto"/>
        <w:rPr>
          <w:rFonts w:ascii="Times New Roman" w:eastAsia="Times New Roman" w:hAnsi="Times New Roman" w:cs="Times New Roman"/>
          <w:szCs w:val="20"/>
          <w:u w:val="single"/>
          <w:lang w:eastAsia="lt-LT"/>
        </w:rPr>
      </w:pPr>
      <w:r w:rsidRPr="00061CCE">
        <w:rPr>
          <w:rFonts w:ascii="Times New Roman" w:eastAsia="Times New Roman" w:hAnsi="Times New Roman" w:cs="Times New Roman"/>
          <w:szCs w:val="20"/>
          <w:u w:val="single"/>
          <w:lang w:eastAsia="lt-LT"/>
        </w:rPr>
        <w:t>Absorbcija</w:t>
      </w:r>
    </w:p>
    <w:p w14:paraId="5FAF3691"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5FCD3F8D" w14:textId="77777777" w:rsidR="00061CCE" w:rsidRPr="00061CCE" w:rsidRDefault="00061CCE" w:rsidP="00061CCE">
      <w:pPr>
        <w:numPr>
          <w:ilvl w:val="0"/>
          <w:numId w:val="19"/>
        </w:numPr>
        <w:spacing w:after="0" w:line="240" w:lineRule="auto"/>
        <w:ind w:left="567" w:hanging="567"/>
        <w:contextualSpacing/>
        <w:rPr>
          <w:rFonts w:ascii="Times New Roman" w:eastAsia="Times New Roman" w:hAnsi="Times New Roman" w:cs="Times New Roman"/>
          <w:szCs w:val="20"/>
          <w:lang w:eastAsia="lt-LT"/>
        </w:rPr>
      </w:pPr>
      <w:bookmarkStart w:id="65" w:name="_Hlk73086091"/>
      <w:r w:rsidRPr="00061CCE">
        <w:rPr>
          <w:rFonts w:ascii="Times New Roman" w:eastAsia="Times New Roman" w:hAnsi="Times New Roman" w:cs="Times New Roman"/>
          <w:i/>
          <w:szCs w:val="20"/>
          <w:lang w:eastAsia="lt-LT"/>
        </w:rPr>
        <w:t>leidžiant į raumenis</w:t>
      </w:r>
    </w:p>
    <w:p w14:paraId="600BED1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Sušvirkšta į raumenis visa midazolamo dozė greitai ir pilnai absorbuojama. Didžiausia koncentracija plazmoje yra pasiekiama per 30 minučių. Injekuoto į raumenis vaistinio preparato absoliutus biologinis įsisavinimas yra didesnis nei 90 %.</w:t>
      </w:r>
    </w:p>
    <w:bookmarkEnd w:id="65"/>
    <w:p w14:paraId="4494A37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50DB76" w14:textId="77777777" w:rsidR="00061CCE" w:rsidRPr="00061CCE" w:rsidRDefault="00061CCE" w:rsidP="00061CCE">
      <w:pPr>
        <w:keepNext/>
        <w:numPr>
          <w:ilvl w:val="0"/>
          <w:numId w:val="19"/>
        </w:numPr>
        <w:spacing w:after="0" w:line="240" w:lineRule="auto"/>
        <w:ind w:left="567" w:hanging="567"/>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vartojant į tiesiąją žarną</w:t>
      </w:r>
    </w:p>
    <w:p w14:paraId="5A000AA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Vartojamas į tiesiąją žarną midazolamas greitai absorbuojamas. Didžiausia koncentracija plazmoje yra pasiekiama maždaug per 30 minučių. Absoliutus biologinis įsisavinimas yra maždaug 50 %.</w:t>
      </w:r>
    </w:p>
    <w:p w14:paraId="4EA622E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696D203" w14:textId="77777777" w:rsidR="00061CCE" w:rsidRPr="00061CCE" w:rsidRDefault="00061CCE" w:rsidP="00061CCE">
      <w:pPr>
        <w:keepNext/>
        <w:spacing w:after="0" w:line="240" w:lineRule="auto"/>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Pasiskirstymas</w:t>
      </w:r>
    </w:p>
    <w:p w14:paraId="730396D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Jei midazolamas sušvirkščiamas į veną, vaistinio preparato koncentracijos plazmoje kitimo per laiką kreivės rodo, kad yra viena ar dvi skirtingos pasiskirstymo fazės. </w:t>
      </w:r>
    </w:p>
    <w:p w14:paraId="6BBF1A4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5F59E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Tariamasis pasiskirstymo tūris nusistovėjus pusiausvyrinei apykaitai yra nuo 0,7 iki1,2 l/kg. </w:t>
      </w:r>
    </w:p>
    <w:p w14:paraId="6E09ADF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64BB6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Nuo 96 iki 98 % midazolamo prisijungia prie plazmos baltymų, daugiausiai prie albuminų. </w:t>
      </w:r>
    </w:p>
    <w:p w14:paraId="2775EE8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24C8CE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Nedidelis vaistinio preparato kiekis lėtai prasiskverbia į smegenų skystį. </w:t>
      </w:r>
    </w:p>
    <w:p w14:paraId="7DC66E4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0819D7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Nustatyta, kad midazolamas lėtai prasiskverbia pro placentos barjerą ir patenka į vaisiaus kraujotaką. </w:t>
      </w:r>
    </w:p>
    <w:p w14:paraId="4781D76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B329FE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Nedidelis midazolamo kiekis išsiskiria su žindyvės pienu.</w:t>
      </w:r>
    </w:p>
    <w:p w14:paraId="402E48C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AABA40F" w14:textId="77777777" w:rsidR="00061CCE" w:rsidRPr="00061CCE" w:rsidRDefault="00061CCE" w:rsidP="00061CCE">
      <w:pPr>
        <w:keepNext/>
        <w:spacing w:after="0" w:line="240" w:lineRule="auto"/>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Metabolizmas</w:t>
      </w:r>
    </w:p>
    <w:p w14:paraId="35C1A72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Beveik visas midazolamas pašalinamas biotransformacijos būdu. </w:t>
      </w:r>
    </w:p>
    <w:p w14:paraId="61360C2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17D52F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Nuo 30 iki 60 % vaistinio preparato dozės pašalinama per kepenis. </w:t>
      </w:r>
    </w:p>
    <w:p w14:paraId="6FE3BD6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EE6920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Midazolamą hidroksilina citochromo P450 izofermentai CYP3A4 bei CYP3A5 ir pagrindinis metabolitas šlapime ir plazmoje yra alfa-hidroksimidazolamas. Alfa-hidroksimidazolamo koncentracijos plazmoje atitinka 12 % midazolamo koncentracijos plazmoje. Alfa-hidroksimidazolamas yra farmakologiškai aktyvus vaistinis preparatas, tačiau jo poveikis, palyginti su į veną vartojamo midazolamo poveikiu yra minimalus (maždaug 10</w:t>
      </w:r>
      <w:r w:rsidRPr="00061CCE">
        <w:rPr>
          <w:rFonts w:ascii="Times New Roman" w:eastAsia="Times New Roman" w:hAnsi="Times New Roman" w:cs="Times New Roman"/>
          <w:szCs w:val="20"/>
          <w:lang w:eastAsia="lt-LT"/>
        </w:rPr>
        <w:t> </w:t>
      </w:r>
      <w:r w:rsidRPr="00061CCE">
        <w:rPr>
          <w:rFonts w:ascii="Times New Roman" w:eastAsia="Times New Roman" w:hAnsi="Times New Roman" w:cs="Times New Roman"/>
          <w:lang w:eastAsia="lt-LT"/>
        </w:rPr>
        <w:t>%).</w:t>
      </w:r>
    </w:p>
    <w:p w14:paraId="3E7C0C0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7E53B76" w14:textId="77777777" w:rsidR="00061CCE" w:rsidRPr="00061CCE" w:rsidRDefault="00061CCE" w:rsidP="00061CCE">
      <w:pPr>
        <w:keepNext/>
        <w:spacing w:after="0" w:line="240" w:lineRule="auto"/>
        <w:outlineLvl w:val="5"/>
        <w:rPr>
          <w:rFonts w:ascii="Times New Roman" w:eastAsia="Times New Roman" w:hAnsi="Times New Roman" w:cs="Times New Roman"/>
          <w:iCs/>
          <w:u w:val="single"/>
          <w:lang w:eastAsia="lt-LT"/>
        </w:rPr>
      </w:pPr>
      <w:r w:rsidRPr="00061CCE">
        <w:rPr>
          <w:rFonts w:ascii="Times New Roman" w:eastAsia="Times New Roman" w:hAnsi="Times New Roman" w:cs="Times New Roman"/>
          <w:iCs/>
          <w:u w:val="single"/>
          <w:lang w:eastAsia="lt-LT"/>
        </w:rPr>
        <w:t>Eliminacija</w:t>
      </w:r>
    </w:p>
    <w:p w14:paraId="7026E113"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66" w:name="_Hlk92869584"/>
      <w:r w:rsidRPr="00061CCE">
        <w:rPr>
          <w:rFonts w:ascii="Times New Roman" w:eastAsia="Times New Roman" w:hAnsi="Times New Roman" w:cs="Times New Roman"/>
          <w:lang w:eastAsia="lt-LT"/>
        </w:rPr>
        <w:t xml:space="preserve">Sveikiems jauniems savanoriams midazolamo pusinės eliminacijos periodas svyruoja nuo 1,5 iki 2,5 valandos. Metabolito pusinės eliminacijos periodas trunka mažiau nei 1 valandą, todėl skyrus midazolamą </w:t>
      </w:r>
      <w:r w:rsidRPr="00061CCE">
        <w:rPr>
          <w:rFonts w:ascii="Times New Roman" w:eastAsia="Calibri" w:hAnsi="Times New Roman" w:cs="Times New Roman"/>
          <w:color w:val="000000"/>
          <w:lang w:eastAsia="en-US"/>
        </w:rPr>
        <w:t>pirminio junginio</w:t>
      </w:r>
      <w:r w:rsidRPr="00061CCE">
        <w:rPr>
          <w:rFonts w:ascii="Times New Roman" w:eastAsia="Times New Roman" w:hAnsi="Times New Roman" w:cs="Times New Roman"/>
          <w:lang w:eastAsia="lt-LT"/>
        </w:rPr>
        <w:t xml:space="preserve"> ir pagrindinio metabolito koncentracija mažėja lygiagrečiai.</w:t>
      </w:r>
    </w:p>
    <w:p w14:paraId="1E95937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B47C00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Midazolamo plazmos klirensas yra 300 – 500 ml/min. </w:t>
      </w:r>
    </w:p>
    <w:p w14:paraId="3A9DDCE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5304B2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Midazolamo metabolitai daugiausiai šalinami per inkstus: 60–80 % dozės išsiskiria su šlapimu alfa-hidroksimidazolamo junginių su gliukurono rūgštimi forma. </w:t>
      </w:r>
    </w:p>
    <w:p w14:paraId="38C1059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FFF6E0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Mažiau nei 1 % suvartotos dozės išsiskiria su šlapimu nepakitusia forma. </w:t>
      </w:r>
    </w:p>
    <w:p w14:paraId="652DFBE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24DD0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Į veną infuzijos būdu vartojamo midazolamo eliminacijos kinetika tokia pati, kaip ir iš karto suleistos dozės. Kartotinis midazolamo vartojimas vaistinius preparatus metabolizuojančių fermentų nesužadina.</w:t>
      </w:r>
    </w:p>
    <w:bookmarkEnd w:id="66"/>
    <w:p w14:paraId="11410E4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CE3388" w14:textId="77777777" w:rsidR="00061CCE" w:rsidRPr="00061CCE" w:rsidRDefault="00061CCE" w:rsidP="00061CCE">
      <w:pPr>
        <w:keepNext/>
        <w:spacing w:after="0" w:line="240" w:lineRule="auto"/>
        <w:outlineLvl w:val="4"/>
        <w:rPr>
          <w:rFonts w:ascii="Times New Roman" w:eastAsia="Times New Roman" w:hAnsi="Times New Roman" w:cs="Times New Roman"/>
          <w:bCs/>
          <w:i/>
          <w:iCs/>
          <w:u w:val="single"/>
          <w:lang w:eastAsia="lt-LT"/>
        </w:rPr>
      </w:pPr>
      <w:r w:rsidRPr="00061CCE">
        <w:rPr>
          <w:rFonts w:ascii="Times New Roman" w:eastAsia="Times New Roman" w:hAnsi="Times New Roman" w:cs="Times New Roman"/>
          <w:bCs/>
          <w:i/>
          <w:iCs/>
          <w:u w:val="single"/>
          <w:lang w:eastAsia="lt-LT"/>
        </w:rPr>
        <w:t xml:space="preserve">Specialiųjų pacientų grupių farmakokinetika </w:t>
      </w:r>
    </w:p>
    <w:p w14:paraId="0C9BAB8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B10C3BE"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Pagyvenę pacientai</w:t>
      </w:r>
    </w:p>
    <w:p w14:paraId="5D323E7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Vyresniems nei 60 metų amžiaus suaugusiesiems pusinės eliminacijos periodas gali būti ilgesnis net 4 kartus.</w:t>
      </w:r>
    </w:p>
    <w:p w14:paraId="6B9351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DA65454" w14:textId="77777777" w:rsidR="00061CCE" w:rsidRPr="00061CCE" w:rsidRDefault="00061CCE" w:rsidP="00061CCE">
      <w:pPr>
        <w:spacing w:after="0" w:line="240" w:lineRule="auto"/>
        <w:rPr>
          <w:rFonts w:ascii="Times New Roman" w:eastAsia="Times New Roman" w:hAnsi="Times New Roman" w:cs="Times New Roman"/>
          <w:i/>
          <w:szCs w:val="20"/>
          <w:lang w:eastAsia="lt-LT"/>
        </w:rPr>
      </w:pPr>
      <w:bookmarkStart w:id="67" w:name="_Hlk92869655"/>
      <w:r w:rsidRPr="00061CCE">
        <w:rPr>
          <w:rFonts w:ascii="Times New Roman" w:eastAsia="Times New Roman" w:hAnsi="Times New Roman" w:cs="Times New Roman"/>
          <w:i/>
          <w:szCs w:val="20"/>
          <w:lang w:eastAsia="lt-LT"/>
        </w:rPr>
        <w:t>Vaikai</w:t>
      </w:r>
    </w:p>
    <w:p w14:paraId="40FDDCAD"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lastRenderedPageBreak/>
        <w:t xml:space="preserve">Vaistinio preparato absorbcijos iš tiesiosios žarnos greitis vaikams ir suaugusiesiems panašus, tačiau vaikams bioįsisavinamumas yra mažesnis (5–18 %). Į veną ar į tiesiąją žarną vartojamo midazolamo pusinės eliminacijos periodas 3–10 metų amžiaus vaikams yra trumpesnis (1–1,5 val.) negu suaugusiesiems. Šis skirtumas </w:t>
      </w:r>
      <w:bookmarkStart w:id="68" w:name="_Hlk93500339"/>
      <w:r w:rsidRPr="00061CCE">
        <w:rPr>
          <w:rFonts w:ascii="Times New Roman" w:eastAsia="Times New Roman" w:hAnsi="Times New Roman" w:cs="Times New Roman"/>
          <w:szCs w:val="20"/>
          <w:lang w:eastAsia="lt-LT"/>
        </w:rPr>
        <w:t>derinasi su vaikams nustatytu didesniu metaboliniu klirensu</w:t>
      </w:r>
      <w:bookmarkEnd w:id="68"/>
      <w:r w:rsidRPr="00061CCE">
        <w:rPr>
          <w:rFonts w:ascii="Times New Roman" w:eastAsia="Times New Roman" w:hAnsi="Times New Roman" w:cs="Times New Roman"/>
          <w:szCs w:val="20"/>
          <w:lang w:eastAsia="lt-LT"/>
        </w:rPr>
        <w:t>.</w:t>
      </w:r>
    </w:p>
    <w:p w14:paraId="6607C198"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529AE1DF" w14:textId="77777777" w:rsidR="00061CCE" w:rsidRPr="00061CCE" w:rsidRDefault="00061CCE" w:rsidP="00061CCE">
      <w:pPr>
        <w:keepNext/>
        <w:spacing w:after="0" w:line="240" w:lineRule="auto"/>
        <w:rPr>
          <w:rFonts w:ascii="Times New Roman" w:eastAsia="Times New Roman" w:hAnsi="Times New Roman" w:cs="Times New Roman"/>
          <w:i/>
          <w:szCs w:val="20"/>
          <w:lang w:eastAsia="lt-LT"/>
        </w:rPr>
      </w:pPr>
      <w:r w:rsidRPr="00061CCE">
        <w:rPr>
          <w:rFonts w:ascii="Times New Roman" w:eastAsia="Times New Roman" w:hAnsi="Times New Roman" w:cs="Times New Roman"/>
          <w:i/>
          <w:szCs w:val="20"/>
          <w:lang w:eastAsia="lt-LT"/>
        </w:rPr>
        <w:t>Naujagimiai</w:t>
      </w:r>
    </w:p>
    <w:p w14:paraId="1AD8194E"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Naujagimiams pusinės eliminacijos periodas trunka vidutiniškai 12 valandų, tikriausiai dėl nesubrendusių kepenų bei mažesnio klirenso</w:t>
      </w:r>
      <w:bookmarkStart w:id="69" w:name="_Hlk73086889"/>
      <w:r w:rsidRPr="00061CCE">
        <w:rPr>
          <w:rFonts w:ascii="Times New Roman" w:eastAsia="Times New Roman" w:hAnsi="Times New Roman" w:cs="Times New Roman"/>
          <w:szCs w:val="20"/>
          <w:lang w:eastAsia="lt-LT"/>
        </w:rPr>
        <w:t xml:space="preserve"> (žr. 4.4 skyrių). Naujagimiams su asfiksijos susijusiu kepenų ir inkstų funkcijų sutrikimu dėl reikšmingai mažesnio ir kintamo klirenso kyla didesnė netikėto didelės midazolamo koncentracijos susidarymo serume rizika</w:t>
      </w:r>
      <w:bookmarkEnd w:id="69"/>
      <w:r w:rsidRPr="00061CCE">
        <w:rPr>
          <w:rFonts w:ascii="Times New Roman" w:eastAsia="Times New Roman" w:hAnsi="Times New Roman" w:cs="Times New Roman"/>
          <w:szCs w:val="20"/>
          <w:lang w:eastAsia="lt-LT"/>
        </w:rPr>
        <w:t>.</w:t>
      </w:r>
    </w:p>
    <w:p w14:paraId="6F4F9163"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p>
    <w:bookmarkEnd w:id="67"/>
    <w:p w14:paraId="5A896AD0"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Nutukę pacientai</w:t>
      </w:r>
    </w:p>
    <w:p w14:paraId="64D3A479"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0" w:name="_Hlk92869677"/>
      <w:r w:rsidRPr="00061CCE">
        <w:rPr>
          <w:rFonts w:ascii="Times New Roman" w:eastAsia="Times New Roman" w:hAnsi="Times New Roman" w:cs="Times New Roman"/>
          <w:lang w:eastAsia="lt-LT"/>
        </w:rPr>
        <w:t>Nutukusiems pacientams pusinės eliminacijos periodas trunka ilgiau nei normalaus kūno svorio pacientams (atitinkamai 5,9 valandos ir 2,3 valandos). Toks skirtumas yra dėl maždaug 50 % didesnio tariamojo pasiskirstymo tūrio, patikrinto atsižvelgiant į bendrąjį kūno svorį. Nutukusiems pacientams klirensas reikšmingai nesiskiria nuo nustatyto nenutukusiems pacientams.</w:t>
      </w:r>
    </w:p>
    <w:p w14:paraId="265999E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6726552"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Pacientai, kuriems sutrikusi kepenų funkcija</w:t>
      </w:r>
    </w:p>
    <w:p w14:paraId="7DA5E74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Pacientams, sergantiems kepenų ciroze, klirensas gali būti mažesnis, o eliminacija gali trukti ilgiau nei sveikiems savanoriams (žr. 4.4 skyrių).</w:t>
      </w:r>
    </w:p>
    <w:bookmarkEnd w:id="70"/>
    <w:p w14:paraId="60A6B5F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9F5B22"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Pacientai, kuriems sutrikusi inkstų funkcija</w:t>
      </w:r>
    </w:p>
    <w:p w14:paraId="5A780D1A"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1" w:name="_Hlk73086303"/>
      <w:r w:rsidRPr="00061CCE">
        <w:rPr>
          <w:rFonts w:ascii="Times New Roman" w:eastAsia="Times New Roman" w:hAnsi="Times New Roman" w:cs="Times New Roman"/>
          <w:lang w:eastAsia="lt-LT"/>
        </w:rPr>
        <w:t>Nesurišto midazolamo farmakokinetinės savybės pacientams, kurių inkstų funkcija stipriai sutrikusi, nepakinta. Pacientų, kurių inkstų funkcija stipriai sutrikusi, organizme kaupiasi silpną farmakologinį poveikį turintis pagrindinis veiklusis midazolamo metabolitas 1’</w:t>
      </w:r>
      <w:r w:rsidRPr="00061CCE">
        <w:rPr>
          <w:rFonts w:ascii="Times New Roman" w:eastAsia="Times New Roman" w:hAnsi="Times New Roman" w:cs="Times New Roman"/>
          <w:lang w:eastAsia="lt-LT"/>
        </w:rPr>
        <w:noBreakHyphen/>
        <w:t>hidroksimidazolamo gliukuronidas. Dėl šio kaupimosi gali pasireikšti ilgesnė sedacija, todėl midazolamą reikia skirti atsargiai ir titruoti iki pageidaujamo poveikio (žr. 4.4 skyrių).</w:t>
      </w:r>
    </w:p>
    <w:bookmarkEnd w:id="71"/>
    <w:p w14:paraId="4A9B920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3F2DB4"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 xml:space="preserve">Pacientai, kurių būklė yra kritiška </w:t>
      </w:r>
    </w:p>
    <w:p w14:paraId="0BC92D9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Kritiškos būklės metu midazolamo pusinės eliminacijos periodas gali būti ilgesnis net iki šešių kartų.</w:t>
      </w:r>
    </w:p>
    <w:p w14:paraId="3FE662C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68483C" w14:textId="77777777" w:rsidR="00061CCE" w:rsidRPr="00061CCE" w:rsidRDefault="00061CCE" w:rsidP="00061CCE">
      <w:pPr>
        <w:keepNext/>
        <w:spacing w:after="0" w:line="240" w:lineRule="auto"/>
        <w:outlineLvl w:val="5"/>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Pacientai, sergantys širdies nepakankamumu</w:t>
      </w:r>
    </w:p>
    <w:p w14:paraId="2FA7D46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Pacientams, sergantiems staziniu širdies nepakankamumu, pusinės eliminacijos periodas trunka ilgiau nei sveikiems asmenimis (žr. 4.4 skyrių).</w:t>
      </w:r>
    </w:p>
    <w:p w14:paraId="548C4C8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5FEFF2"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5.3</w:t>
      </w:r>
      <w:r w:rsidRPr="00061CCE">
        <w:rPr>
          <w:rFonts w:ascii="Times New Roman" w:eastAsia="Times New Roman" w:hAnsi="Times New Roman" w:cs="Times New Roman"/>
          <w:b/>
          <w:lang w:eastAsia="lt-LT"/>
        </w:rPr>
        <w:tab/>
        <w:t>Ikiklinikinių saugumo tyrimų duomenys</w:t>
      </w:r>
    </w:p>
    <w:p w14:paraId="6C84CCC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B12BD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Įprastų farmakologinio saugumo, kartotinių dozių toksiškumo, genotoksiškumo, galimo kancerogeniškumo, toksinio poveikio reprodukcijai ir vystymuisi ikiklinikinių tyrimų duomenys specifinio pavojaus žmogui nerodo.</w:t>
      </w:r>
    </w:p>
    <w:p w14:paraId="50EC860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CDF15C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Naujagimių pelių tyrimai rodo, kad midazolamas gali kelti apoptozinę neurodegeneraciją besivystančių pelių smegenyse, ypač jo skiriant kartu su kitais anestetikais. Visgi toks poveikis žmonėms nenustatytas, o pelėms skirtos dozės buvo didesnės nei naujagimių populiacijai rekomenduojama midazolamo dozė.</w:t>
      </w:r>
    </w:p>
    <w:p w14:paraId="355385E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045C0F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F09BFB0"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6.</w:t>
      </w:r>
      <w:r w:rsidRPr="00061CCE">
        <w:rPr>
          <w:rFonts w:ascii="Times New Roman" w:eastAsia="Times New Roman" w:hAnsi="Times New Roman" w:cs="Times New Roman"/>
          <w:b/>
          <w:szCs w:val="20"/>
          <w:lang w:eastAsia="lt-LT"/>
        </w:rPr>
        <w:tab/>
        <w:t>FARMACINĖ INFORMACIJA</w:t>
      </w:r>
    </w:p>
    <w:p w14:paraId="640BC6F6"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32DCA74E"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6.1</w:t>
      </w:r>
      <w:r w:rsidRPr="00061CCE">
        <w:rPr>
          <w:rFonts w:ascii="Times New Roman" w:eastAsia="Times New Roman" w:hAnsi="Times New Roman" w:cs="Times New Roman"/>
          <w:b/>
          <w:lang w:eastAsia="lt-LT"/>
        </w:rPr>
        <w:tab/>
        <w:t>Pagalbinių medžiagų sąrašas</w:t>
      </w:r>
    </w:p>
    <w:p w14:paraId="560B304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648F96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Natrio chloridas</w:t>
      </w:r>
    </w:p>
    <w:p w14:paraId="3895A35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10 % vandenilio chlorido rūgštis</w:t>
      </w:r>
    </w:p>
    <w:p w14:paraId="5FA7104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Injekcinis vanduo</w:t>
      </w:r>
    </w:p>
    <w:p w14:paraId="2729247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0683EBE"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6.2</w:t>
      </w:r>
      <w:r w:rsidRPr="00061CCE">
        <w:rPr>
          <w:rFonts w:ascii="Times New Roman" w:eastAsia="Times New Roman" w:hAnsi="Times New Roman" w:cs="Times New Roman"/>
          <w:b/>
          <w:lang w:eastAsia="lt-LT"/>
        </w:rPr>
        <w:tab/>
        <w:t>Nesuderinamumas</w:t>
      </w:r>
    </w:p>
    <w:p w14:paraId="6A3BFF9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AC9851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Midazolam B. Braun nesuderinamas su šarminės reakcijos parenteraliai vartoti skirtais vaistiniais preparatais, įskaitant šarminio pH parenteriniam maitinimui skirtus tirpalus.</w:t>
      </w:r>
    </w:p>
    <w:p w14:paraId="4003D4D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E0A18B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Midazolamą draudžiama maišyti su tirpalais, kurių sudėtyje yra vandenilio karbonatų ar kitais šarminės reakcijos tirpalais, aminoglikozidais, amoksicilinu, aminofilinu, fosfatais ar fenotiazinais dėl cheminio nesuderinamumo ir galimo nuosėdų atsiradimo.</w:t>
      </w:r>
    </w:p>
    <w:p w14:paraId="146437E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3C1243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Šis vaistinis preparatas negali būti skiedžiamas dekstrano tirpalais.</w:t>
      </w:r>
    </w:p>
    <w:p w14:paraId="0397D5B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2ED63C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Šio vaistinio preparato negalima maišyti su kitais, išskyrus nurodytus 6.6 skyriuje.</w:t>
      </w:r>
    </w:p>
    <w:p w14:paraId="1819B4E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D3D6260" w14:textId="77777777" w:rsidR="00061CCE" w:rsidRPr="00061CCE" w:rsidRDefault="00061CCE" w:rsidP="00061CCE">
      <w:pPr>
        <w:spacing w:after="0" w:line="240" w:lineRule="auto"/>
        <w:rPr>
          <w:rFonts w:ascii="Times New Roman" w:eastAsia="Times New Roman" w:hAnsi="Times New Roman" w:cs="Times New Roman"/>
          <w:i/>
          <w:iCs/>
          <w:lang w:eastAsia="lt-LT"/>
        </w:rPr>
      </w:pPr>
      <w:r w:rsidRPr="00061CCE">
        <w:rPr>
          <w:rFonts w:ascii="Times New Roman" w:eastAsia="Times New Roman" w:hAnsi="Times New Roman" w:cs="Times New Roman"/>
          <w:i/>
          <w:iCs/>
          <w:lang w:eastAsia="lt-LT"/>
        </w:rPr>
        <w:t>Literatūroje paminėtos su midazolamu nesuderinamos injekcinių vaistinių preparatų veikliosios medžiagos:</w:t>
      </w:r>
    </w:p>
    <w:tbl>
      <w:tblPr>
        <w:tblW w:w="8647" w:type="dxa"/>
        <w:tblInd w:w="70" w:type="dxa"/>
        <w:tblLayout w:type="fixed"/>
        <w:tblCellMar>
          <w:left w:w="70" w:type="dxa"/>
          <w:right w:w="70" w:type="dxa"/>
        </w:tblCellMar>
        <w:tblLook w:val="0000" w:firstRow="0" w:lastRow="0" w:firstColumn="0" w:lastColumn="0" w:noHBand="0" w:noVBand="0"/>
      </w:tblPr>
      <w:tblGrid>
        <w:gridCol w:w="3402"/>
        <w:gridCol w:w="2694"/>
        <w:gridCol w:w="2551"/>
      </w:tblGrid>
      <w:tr w:rsidR="00061CCE" w:rsidRPr="00061CCE" w14:paraId="0AACE450" w14:textId="77777777" w:rsidTr="00DA7146">
        <w:tc>
          <w:tcPr>
            <w:tcW w:w="3402" w:type="dxa"/>
          </w:tcPr>
          <w:p w14:paraId="26F3C4A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acikloviras</w:t>
            </w:r>
          </w:p>
        </w:tc>
        <w:tc>
          <w:tcPr>
            <w:tcW w:w="2694" w:type="dxa"/>
          </w:tcPr>
          <w:p w14:paraId="70CC3B5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flekainido acetatas</w:t>
            </w:r>
          </w:p>
        </w:tc>
        <w:tc>
          <w:tcPr>
            <w:tcW w:w="2551" w:type="dxa"/>
          </w:tcPr>
          <w:p w14:paraId="660C8DE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kalio kanrenoatas</w:t>
            </w:r>
          </w:p>
        </w:tc>
      </w:tr>
      <w:tr w:rsidR="00061CCE" w:rsidRPr="00061CCE" w14:paraId="4BF178F3" w14:textId="77777777" w:rsidTr="00DA7146">
        <w:tc>
          <w:tcPr>
            <w:tcW w:w="3402" w:type="dxa"/>
          </w:tcPr>
          <w:p w14:paraId="25BF7B2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albuminas</w:t>
            </w:r>
          </w:p>
        </w:tc>
        <w:tc>
          <w:tcPr>
            <w:tcW w:w="2694" w:type="dxa"/>
          </w:tcPr>
          <w:p w14:paraId="3DE523F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fluorouracilas</w:t>
            </w:r>
          </w:p>
        </w:tc>
        <w:tc>
          <w:tcPr>
            <w:tcW w:w="2551" w:type="dxa"/>
          </w:tcPr>
          <w:p w14:paraId="1AA1CAE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ranitidino hidrochloridas</w:t>
            </w:r>
          </w:p>
        </w:tc>
      </w:tr>
      <w:tr w:rsidR="00061CCE" w:rsidRPr="00061CCE" w14:paraId="44E53357" w14:textId="77777777" w:rsidTr="00DA7146">
        <w:tc>
          <w:tcPr>
            <w:tcW w:w="3402" w:type="dxa"/>
          </w:tcPr>
          <w:p w14:paraId="09B9E03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alteplazė (žmogaus plazminogeno aktyvatorius)</w:t>
            </w:r>
          </w:p>
        </w:tc>
        <w:tc>
          <w:tcPr>
            <w:tcW w:w="2694" w:type="dxa"/>
          </w:tcPr>
          <w:p w14:paraId="3ADC557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folio rūgštis</w:t>
            </w:r>
          </w:p>
        </w:tc>
        <w:tc>
          <w:tcPr>
            <w:tcW w:w="2551" w:type="dxa"/>
          </w:tcPr>
          <w:p w14:paraId="31C7466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natrio hidrokortizono-21-hemisukcinatas</w:t>
            </w:r>
          </w:p>
        </w:tc>
      </w:tr>
      <w:tr w:rsidR="00061CCE" w:rsidRPr="00061CCE" w14:paraId="7E7AA4A2" w14:textId="77777777" w:rsidTr="00DA7146">
        <w:tc>
          <w:tcPr>
            <w:tcW w:w="3402" w:type="dxa"/>
          </w:tcPr>
          <w:p w14:paraId="27EF5A7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amoksicilino natrio druska</w:t>
            </w:r>
          </w:p>
        </w:tc>
        <w:tc>
          <w:tcPr>
            <w:tcW w:w="2694" w:type="dxa"/>
          </w:tcPr>
          <w:p w14:paraId="246F24A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foskarneto natrio druska</w:t>
            </w:r>
          </w:p>
        </w:tc>
        <w:tc>
          <w:tcPr>
            <w:tcW w:w="2551" w:type="dxa"/>
          </w:tcPr>
          <w:p w14:paraId="56DD2FA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sulbaktamo natrio druska/ ampicilino natrio druska</w:t>
            </w:r>
          </w:p>
        </w:tc>
      </w:tr>
      <w:tr w:rsidR="00061CCE" w:rsidRPr="00061CCE" w14:paraId="65EF09EA" w14:textId="77777777" w:rsidTr="00DA7146">
        <w:tc>
          <w:tcPr>
            <w:tcW w:w="3402" w:type="dxa"/>
          </w:tcPr>
          <w:p w14:paraId="420AE22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acetazolamido natrio druska</w:t>
            </w:r>
          </w:p>
        </w:tc>
        <w:tc>
          <w:tcPr>
            <w:tcW w:w="2694" w:type="dxa"/>
          </w:tcPr>
          <w:p w14:paraId="36938D9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furozemido natrio druska</w:t>
            </w:r>
          </w:p>
        </w:tc>
        <w:tc>
          <w:tcPr>
            <w:tcW w:w="2551" w:type="dxa"/>
          </w:tcPr>
          <w:p w14:paraId="55ACEC3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teofilinas</w:t>
            </w:r>
          </w:p>
        </w:tc>
      </w:tr>
      <w:tr w:rsidR="00061CCE" w:rsidRPr="00061CCE" w14:paraId="3468238F" w14:textId="77777777" w:rsidTr="00DA7146">
        <w:tc>
          <w:tcPr>
            <w:tcW w:w="3402" w:type="dxa"/>
          </w:tcPr>
          <w:p w14:paraId="1E5C539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bumetanidas</w:t>
            </w:r>
          </w:p>
        </w:tc>
        <w:tc>
          <w:tcPr>
            <w:tcW w:w="2694" w:type="dxa"/>
          </w:tcPr>
          <w:p w14:paraId="56FF8BD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imipenemas</w:t>
            </w:r>
          </w:p>
        </w:tc>
        <w:tc>
          <w:tcPr>
            <w:tcW w:w="2551" w:type="dxa"/>
          </w:tcPr>
          <w:p w14:paraId="24A3A11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tiopentalio natrio druska</w:t>
            </w:r>
          </w:p>
        </w:tc>
      </w:tr>
      <w:tr w:rsidR="00061CCE" w:rsidRPr="00061CCE" w14:paraId="53F94587" w14:textId="77777777" w:rsidTr="00DA7146">
        <w:tc>
          <w:tcPr>
            <w:tcW w:w="3402" w:type="dxa"/>
          </w:tcPr>
          <w:p w14:paraId="1A28F8D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deksametazono-21-divandenilio fosfatas</w:t>
            </w:r>
          </w:p>
        </w:tc>
        <w:tc>
          <w:tcPr>
            <w:tcW w:w="2694" w:type="dxa"/>
          </w:tcPr>
          <w:p w14:paraId="30E0474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mezlocilino natrio druska</w:t>
            </w:r>
          </w:p>
        </w:tc>
        <w:tc>
          <w:tcPr>
            <w:tcW w:w="2551" w:type="dxa"/>
          </w:tcPr>
          <w:p w14:paraId="271B0E1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trimetoprimas/sulfametoksazolas</w:t>
            </w:r>
          </w:p>
        </w:tc>
      </w:tr>
      <w:tr w:rsidR="00061CCE" w:rsidRPr="00061CCE" w14:paraId="3B170D0D" w14:textId="77777777" w:rsidTr="00DA7146">
        <w:tc>
          <w:tcPr>
            <w:tcW w:w="3402" w:type="dxa"/>
          </w:tcPr>
          <w:p w14:paraId="1CED217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diazepamas</w:t>
            </w:r>
          </w:p>
        </w:tc>
        <w:tc>
          <w:tcPr>
            <w:tcW w:w="2694" w:type="dxa"/>
          </w:tcPr>
          <w:p w14:paraId="5029886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omeprazolo natrio druska</w:t>
            </w:r>
          </w:p>
        </w:tc>
        <w:tc>
          <w:tcPr>
            <w:tcW w:w="2551" w:type="dxa"/>
          </w:tcPr>
          <w:p w14:paraId="6462BDC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trometamolis</w:t>
            </w:r>
          </w:p>
        </w:tc>
      </w:tr>
      <w:tr w:rsidR="00061CCE" w:rsidRPr="00061CCE" w14:paraId="3E7B0C5A" w14:textId="77777777" w:rsidTr="00DA7146">
        <w:tc>
          <w:tcPr>
            <w:tcW w:w="3402" w:type="dxa"/>
          </w:tcPr>
          <w:p w14:paraId="7E5C876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dimenhidrinatas</w:t>
            </w:r>
          </w:p>
        </w:tc>
        <w:tc>
          <w:tcPr>
            <w:tcW w:w="2694" w:type="dxa"/>
          </w:tcPr>
          <w:p w14:paraId="3EC493C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fenobarbitalio natrio druska</w:t>
            </w:r>
          </w:p>
        </w:tc>
        <w:tc>
          <w:tcPr>
            <w:tcW w:w="2551" w:type="dxa"/>
          </w:tcPr>
          <w:p w14:paraId="1665124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urokinazė</w:t>
            </w:r>
          </w:p>
        </w:tc>
      </w:tr>
      <w:tr w:rsidR="00061CCE" w:rsidRPr="00061CCE" w14:paraId="39ACB834" w14:textId="77777777" w:rsidTr="00DA7146">
        <w:tc>
          <w:tcPr>
            <w:tcW w:w="3402" w:type="dxa"/>
          </w:tcPr>
          <w:p w14:paraId="1195BB6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dinatrio metotreksatas</w:t>
            </w:r>
          </w:p>
        </w:tc>
        <w:tc>
          <w:tcPr>
            <w:tcW w:w="2694" w:type="dxa"/>
          </w:tcPr>
          <w:p w14:paraId="3842342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fenitoino natrio druska</w:t>
            </w:r>
          </w:p>
        </w:tc>
        <w:tc>
          <w:tcPr>
            <w:tcW w:w="2551" w:type="dxa"/>
          </w:tcPr>
          <w:p w14:paraId="5ED8AE89" w14:textId="77777777" w:rsidR="00061CCE" w:rsidRPr="00061CCE" w:rsidRDefault="00061CCE" w:rsidP="00061CCE">
            <w:pPr>
              <w:spacing w:after="0" w:line="240" w:lineRule="auto"/>
              <w:rPr>
                <w:rFonts w:ascii="Times New Roman" w:eastAsia="Times New Roman" w:hAnsi="Times New Roman" w:cs="Times New Roman"/>
                <w:lang w:eastAsia="lt-LT"/>
              </w:rPr>
            </w:pPr>
          </w:p>
        </w:tc>
      </w:tr>
      <w:tr w:rsidR="00061CCE" w:rsidRPr="00061CCE" w14:paraId="4C09CE92" w14:textId="77777777" w:rsidTr="00DA7146">
        <w:tc>
          <w:tcPr>
            <w:tcW w:w="3402" w:type="dxa"/>
          </w:tcPr>
          <w:p w14:paraId="3223751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enoksimonas</w:t>
            </w:r>
          </w:p>
        </w:tc>
        <w:tc>
          <w:tcPr>
            <w:tcW w:w="2694" w:type="dxa"/>
          </w:tcPr>
          <w:p w14:paraId="154FB0C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perfenazino enantatas</w:t>
            </w:r>
          </w:p>
        </w:tc>
        <w:tc>
          <w:tcPr>
            <w:tcW w:w="2551" w:type="dxa"/>
          </w:tcPr>
          <w:p w14:paraId="2D3E59DA" w14:textId="77777777" w:rsidR="00061CCE" w:rsidRPr="00061CCE" w:rsidRDefault="00061CCE" w:rsidP="00061CCE">
            <w:pPr>
              <w:spacing w:after="0" w:line="240" w:lineRule="auto"/>
              <w:rPr>
                <w:rFonts w:ascii="Times New Roman" w:eastAsia="Times New Roman" w:hAnsi="Times New Roman" w:cs="Times New Roman"/>
                <w:lang w:eastAsia="lt-LT"/>
              </w:rPr>
            </w:pPr>
          </w:p>
        </w:tc>
      </w:tr>
    </w:tbl>
    <w:p w14:paraId="2F4690B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12B19AB"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6.3</w:t>
      </w:r>
      <w:r w:rsidRPr="00061CCE">
        <w:rPr>
          <w:rFonts w:ascii="Times New Roman" w:eastAsia="Times New Roman" w:hAnsi="Times New Roman" w:cs="Times New Roman"/>
          <w:b/>
          <w:lang w:eastAsia="lt-LT"/>
        </w:rPr>
        <w:tab/>
        <w:t>Tinkamumo laikas</w:t>
      </w:r>
    </w:p>
    <w:p w14:paraId="2D8496C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2983797" w14:textId="77777777" w:rsidR="00061CCE" w:rsidRPr="00061CCE" w:rsidRDefault="00061CCE" w:rsidP="00061CCE">
      <w:pPr>
        <w:numPr>
          <w:ilvl w:val="0"/>
          <w:numId w:val="19"/>
        </w:numPr>
        <w:spacing w:after="0" w:line="240" w:lineRule="auto"/>
        <w:ind w:left="567" w:hanging="567"/>
        <w:contextualSpacing/>
        <w:rPr>
          <w:rFonts w:ascii="Times New Roman" w:eastAsia="Times New Roman" w:hAnsi="Times New Roman" w:cs="Times New Roman"/>
          <w:bCs/>
          <w:iCs/>
          <w:lang w:eastAsia="lt-LT"/>
        </w:rPr>
      </w:pPr>
      <w:r w:rsidRPr="00061CCE">
        <w:rPr>
          <w:rFonts w:ascii="Times New Roman" w:eastAsia="Times New Roman" w:hAnsi="Times New Roman" w:cs="Times New Roman"/>
          <w:bCs/>
          <w:iCs/>
          <w:lang w:eastAsia="lt-LT"/>
        </w:rPr>
        <w:t>neatidarius</w:t>
      </w:r>
    </w:p>
    <w:p w14:paraId="34996EA7" w14:textId="77777777" w:rsidR="00061CCE" w:rsidRPr="00061CCE" w:rsidRDefault="00061CCE" w:rsidP="00061CCE">
      <w:pPr>
        <w:spacing w:after="0" w:line="240" w:lineRule="auto"/>
        <w:contextualSpacing/>
        <w:rPr>
          <w:rFonts w:ascii="Times New Roman" w:eastAsia="Times New Roman" w:hAnsi="Times New Roman" w:cs="Times New Roman"/>
          <w:bCs/>
          <w:iCs/>
          <w:lang w:eastAsia="lt-LT"/>
        </w:rPr>
      </w:pPr>
    </w:p>
    <w:p w14:paraId="7D36CB7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Stiklinės ampulės</w:t>
      </w:r>
      <w:r w:rsidRPr="00061CCE">
        <w:rPr>
          <w:rFonts w:ascii="Times New Roman" w:eastAsia="Times New Roman" w:hAnsi="Times New Roman" w:cs="Times New Roman"/>
          <w:lang w:eastAsia="lt-LT"/>
        </w:rPr>
        <w:tab/>
        <w:t>3 metai</w:t>
      </w:r>
    </w:p>
    <w:p w14:paraId="3A297DE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Polietileninės ampulės</w:t>
      </w:r>
      <w:r w:rsidRPr="00061CCE">
        <w:rPr>
          <w:rFonts w:ascii="Times New Roman" w:eastAsia="Times New Roman" w:hAnsi="Times New Roman" w:cs="Times New Roman"/>
          <w:lang w:eastAsia="lt-LT"/>
        </w:rPr>
        <w:tab/>
        <w:t>2 metai</w:t>
      </w:r>
    </w:p>
    <w:p w14:paraId="64D02517"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2" w:name="_Hlk92869788"/>
      <w:r w:rsidRPr="00061CCE">
        <w:rPr>
          <w:rFonts w:ascii="Times New Roman" w:eastAsia="Times New Roman" w:hAnsi="Times New Roman" w:cs="Times New Roman"/>
          <w:lang w:eastAsia="lt-LT"/>
        </w:rPr>
        <w:t>Polietileno buteliukai</w:t>
      </w:r>
      <w:r w:rsidRPr="00061CCE">
        <w:rPr>
          <w:rFonts w:ascii="Times New Roman" w:eastAsia="Times New Roman" w:hAnsi="Times New Roman" w:cs="Times New Roman"/>
          <w:lang w:eastAsia="lt-LT"/>
        </w:rPr>
        <w:tab/>
        <w:t>3 metai</w:t>
      </w:r>
    </w:p>
    <w:bookmarkEnd w:id="72"/>
    <w:p w14:paraId="202BCE35"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p w14:paraId="4B927B7B" w14:textId="77777777" w:rsidR="00061CCE" w:rsidRPr="00061CCE" w:rsidRDefault="00061CCE" w:rsidP="00061CCE">
      <w:pPr>
        <w:numPr>
          <w:ilvl w:val="0"/>
          <w:numId w:val="19"/>
        </w:numPr>
        <w:spacing w:after="0" w:line="240" w:lineRule="auto"/>
        <w:ind w:left="567" w:hanging="567"/>
        <w:contextualSpacing/>
        <w:rPr>
          <w:rFonts w:ascii="Times New Roman" w:eastAsia="Times New Roman" w:hAnsi="Times New Roman" w:cs="Times New Roman"/>
          <w:bCs/>
          <w:iCs/>
          <w:lang w:eastAsia="lt-LT"/>
        </w:rPr>
      </w:pPr>
      <w:r w:rsidRPr="00061CCE">
        <w:rPr>
          <w:rFonts w:ascii="Times New Roman" w:eastAsia="Times New Roman" w:hAnsi="Times New Roman" w:cs="Times New Roman"/>
          <w:bCs/>
          <w:iCs/>
          <w:lang w:eastAsia="lt-LT"/>
        </w:rPr>
        <w:t>pirmą kartą atidarius talpyklę</w:t>
      </w:r>
    </w:p>
    <w:p w14:paraId="4D97E850" w14:textId="77777777" w:rsidR="00061CCE" w:rsidRPr="00061CCE" w:rsidRDefault="00061CCE" w:rsidP="00061CCE">
      <w:pPr>
        <w:spacing w:after="0" w:line="240" w:lineRule="auto"/>
        <w:ind w:left="720"/>
        <w:contextualSpacing/>
        <w:rPr>
          <w:rFonts w:ascii="Times New Roman" w:eastAsia="Times New Roman" w:hAnsi="Times New Roman" w:cs="Times New Roman"/>
          <w:b/>
          <w:bCs/>
          <w:i/>
          <w:iCs/>
          <w:lang w:eastAsia="lt-LT"/>
        </w:rPr>
      </w:pPr>
    </w:p>
    <w:p w14:paraId="57B81B9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Po atidarymo šį vaistinį preparatą reikia suvartoti nedelsiant.</w:t>
      </w:r>
    </w:p>
    <w:p w14:paraId="4D07DB48"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4174280E" w14:textId="77777777" w:rsidR="00061CCE" w:rsidRPr="00061CCE" w:rsidRDefault="00061CCE" w:rsidP="00061CCE">
      <w:pPr>
        <w:numPr>
          <w:ilvl w:val="0"/>
          <w:numId w:val="19"/>
        </w:numPr>
        <w:spacing w:after="0" w:line="240" w:lineRule="auto"/>
        <w:ind w:left="567" w:hanging="567"/>
        <w:contextualSpacing/>
        <w:rPr>
          <w:rFonts w:ascii="Times New Roman" w:eastAsia="Times New Roman" w:hAnsi="Times New Roman" w:cs="Times New Roman"/>
          <w:bCs/>
          <w:iCs/>
          <w:lang w:eastAsia="lt-LT"/>
        </w:rPr>
      </w:pPr>
      <w:r w:rsidRPr="00061CCE">
        <w:rPr>
          <w:rFonts w:ascii="Times New Roman" w:eastAsia="Times New Roman" w:hAnsi="Times New Roman" w:cs="Times New Roman"/>
          <w:bCs/>
          <w:iCs/>
          <w:lang w:eastAsia="lt-LT"/>
        </w:rPr>
        <w:t>praskiedus</w:t>
      </w:r>
    </w:p>
    <w:p w14:paraId="20318531" w14:textId="77777777" w:rsidR="00061CCE" w:rsidRPr="00061CCE" w:rsidRDefault="00061CCE" w:rsidP="00061CCE">
      <w:pPr>
        <w:spacing w:after="0" w:line="240" w:lineRule="auto"/>
        <w:ind w:left="567"/>
        <w:contextualSpacing/>
        <w:rPr>
          <w:rFonts w:ascii="Times New Roman" w:eastAsia="Times New Roman" w:hAnsi="Times New Roman" w:cs="Times New Roman"/>
          <w:bCs/>
          <w:iCs/>
          <w:lang w:eastAsia="lt-LT"/>
        </w:rPr>
      </w:pPr>
    </w:p>
    <w:p w14:paraId="26CF760E" w14:textId="77777777" w:rsidR="00061CCE" w:rsidRPr="00061CCE" w:rsidRDefault="00061CCE" w:rsidP="00061CCE">
      <w:pPr>
        <w:spacing w:after="0" w:line="240" w:lineRule="auto"/>
        <w:rPr>
          <w:rFonts w:ascii="Times New Roman" w:eastAsia="Times New Roman" w:hAnsi="Times New Roman" w:cs="Times New Roman"/>
          <w:snapToGrid w:val="0"/>
          <w:lang w:eastAsia="lt-LT"/>
        </w:rPr>
      </w:pPr>
      <w:r w:rsidRPr="00061CCE">
        <w:rPr>
          <w:rFonts w:ascii="Times New Roman" w:eastAsia="Times New Roman" w:hAnsi="Times New Roman" w:cs="Times New Roman"/>
          <w:snapToGrid w:val="0"/>
          <w:lang w:eastAsia="lt-LT"/>
        </w:rPr>
        <w:t>Praskiesto tirpalo cheminis ir fizinis stabilumas kambario temperatūroje nekinta 24 valandas, 5 °C temperatūroje – 3 dienas.</w:t>
      </w:r>
    </w:p>
    <w:p w14:paraId="7FF0B4F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Mikrobiologiniu požiūriu, praskiestas tirpalas turėtų būti suvartojamas tuojau pat. Jei tirpalas nesuvartojamas iš karto, už jo saugojimo laiką ir laikymo sąlygas yra atsakingas vartotojas. Praskiestą tirpalą laikyti 2 °C – 8 °C temperatūroje ne ilgiau kaip 24 valandas, nebent vaistinis preparatas buvo skiedžiamas kontroliuojamomis ir įteisintomis aseptinėmis sąlygomis.</w:t>
      </w:r>
    </w:p>
    <w:p w14:paraId="505BB60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6246D0"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6.4</w:t>
      </w:r>
      <w:r w:rsidRPr="00061CCE">
        <w:rPr>
          <w:rFonts w:ascii="Times New Roman" w:eastAsia="Times New Roman" w:hAnsi="Times New Roman" w:cs="Times New Roman"/>
          <w:b/>
          <w:lang w:eastAsia="lt-LT"/>
        </w:rPr>
        <w:tab/>
        <w:t>Specialios laikymo sąlygos</w:t>
      </w:r>
    </w:p>
    <w:p w14:paraId="7A437C7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A0AD8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ne aukštesnėje kaip 25 °C temperatūroje.</w:t>
      </w:r>
    </w:p>
    <w:p w14:paraId="5D1E409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Talpykles laikyti išorinėje dėžutėje, kad vaistinis preparatas būtų apsaugotas nuo šviesos.</w:t>
      </w:r>
    </w:p>
    <w:p w14:paraId="6CA0BD04"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Atidaryto ir praskiesto vaistinio preparato laikymo sąlygos pateikiamos 6.3 skyriuje.</w:t>
      </w:r>
    </w:p>
    <w:p w14:paraId="6D802C5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315F51"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6.5</w:t>
      </w:r>
      <w:r w:rsidRPr="00061CCE">
        <w:rPr>
          <w:rFonts w:ascii="Times New Roman" w:eastAsia="Times New Roman" w:hAnsi="Times New Roman" w:cs="Times New Roman"/>
          <w:b/>
          <w:lang w:eastAsia="lt-LT"/>
        </w:rPr>
        <w:tab/>
        <w:t>Talpyklės pobūdis ir jos turinys</w:t>
      </w:r>
    </w:p>
    <w:p w14:paraId="2622874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ADB639" w14:textId="77777777" w:rsidR="00061CCE" w:rsidRPr="00061CCE" w:rsidRDefault="00061CCE" w:rsidP="00061CCE">
      <w:pPr>
        <w:numPr>
          <w:ilvl w:val="0"/>
          <w:numId w:val="20"/>
        </w:numPr>
        <w:spacing w:after="0" w:line="240" w:lineRule="auto"/>
        <w:ind w:left="567" w:hanging="567"/>
        <w:contextualSpacing/>
        <w:rPr>
          <w:rFonts w:ascii="Times New Roman" w:eastAsia="Times New Roman" w:hAnsi="Times New Roman" w:cs="Times New Roman"/>
          <w:lang w:eastAsia="en-US"/>
        </w:rPr>
      </w:pPr>
      <w:r w:rsidRPr="00061CCE">
        <w:rPr>
          <w:rFonts w:ascii="Times New Roman" w:eastAsia="Times New Roman" w:hAnsi="Times New Roman" w:cs="Times New Roman"/>
          <w:lang w:eastAsia="lt-LT"/>
        </w:rPr>
        <w:lastRenderedPageBreak/>
        <w:t xml:space="preserve">Bespalvio stiklo I tipo ampulė, </w:t>
      </w:r>
    </w:p>
    <w:p w14:paraId="443457FD" w14:textId="77777777" w:rsidR="00061CCE" w:rsidRPr="00061CCE" w:rsidRDefault="00061CCE" w:rsidP="00061CCE">
      <w:pPr>
        <w:spacing w:after="0" w:line="240" w:lineRule="auto"/>
        <w:ind w:firstLine="567"/>
        <w:contextualSpacing/>
        <w:rPr>
          <w:rFonts w:ascii="Times New Roman" w:eastAsia="Times New Roman" w:hAnsi="Times New Roman" w:cs="Times New Roman"/>
          <w:lang w:eastAsia="en-US"/>
        </w:rPr>
      </w:pPr>
      <w:r w:rsidRPr="00061CCE">
        <w:rPr>
          <w:rFonts w:ascii="Times New Roman" w:eastAsia="Times New Roman" w:hAnsi="Times New Roman" w:cs="Times New Roman"/>
          <w:lang w:eastAsia="lt-LT"/>
        </w:rPr>
        <w:t xml:space="preserve">kurioje yra </w:t>
      </w:r>
      <w:r w:rsidRPr="00061CCE">
        <w:rPr>
          <w:rFonts w:ascii="Times New Roman" w:eastAsia="Times New Roman" w:hAnsi="Times New Roman" w:cs="Times New Roman"/>
          <w:lang w:eastAsia="en-US"/>
        </w:rPr>
        <w:t>5 ml injekcinio tirpalo. Pakuotėje yra 10 ampulių.</w:t>
      </w:r>
    </w:p>
    <w:p w14:paraId="27204FF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A976E7" w14:textId="77777777" w:rsidR="00061CCE" w:rsidRPr="00061CCE" w:rsidRDefault="00061CCE" w:rsidP="00061CCE">
      <w:pPr>
        <w:numPr>
          <w:ilvl w:val="0"/>
          <w:numId w:val="20"/>
        </w:numPr>
        <w:spacing w:after="0" w:line="240" w:lineRule="auto"/>
        <w:ind w:left="567" w:hanging="567"/>
        <w:contextualSpacing/>
        <w:rPr>
          <w:rFonts w:ascii="Times New Roman" w:eastAsia="Times New Roman" w:hAnsi="Times New Roman" w:cs="Times New Roman"/>
          <w:szCs w:val="20"/>
          <w:lang w:eastAsia="en-US"/>
        </w:rPr>
      </w:pPr>
      <w:r w:rsidRPr="00061CCE">
        <w:rPr>
          <w:rFonts w:ascii="Times New Roman" w:eastAsia="Times New Roman" w:hAnsi="Times New Roman" w:cs="Times New Roman"/>
          <w:szCs w:val="20"/>
          <w:lang w:eastAsia="lt-LT"/>
        </w:rPr>
        <w:t xml:space="preserve">Permatoma polietileno ampulė (mažo tankio polietilenas, MTPE), </w:t>
      </w:r>
    </w:p>
    <w:p w14:paraId="0943352B" w14:textId="77777777" w:rsidR="00061CCE" w:rsidRPr="00061CCE" w:rsidRDefault="00061CCE" w:rsidP="00061CCE">
      <w:pPr>
        <w:spacing w:after="0" w:line="240" w:lineRule="auto"/>
        <w:ind w:firstLine="567"/>
        <w:contextualSpacing/>
        <w:rPr>
          <w:rFonts w:ascii="Times New Roman" w:eastAsia="Times New Roman" w:hAnsi="Times New Roman" w:cs="Times New Roman"/>
          <w:szCs w:val="20"/>
          <w:lang w:eastAsia="en-US"/>
        </w:rPr>
      </w:pPr>
      <w:r w:rsidRPr="00061CCE">
        <w:rPr>
          <w:rFonts w:ascii="Times New Roman" w:eastAsia="Times New Roman" w:hAnsi="Times New Roman" w:cs="Times New Roman"/>
          <w:szCs w:val="20"/>
          <w:lang w:eastAsia="lt-LT"/>
        </w:rPr>
        <w:t xml:space="preserve">kurioje yra 5 ml </w:t>
      </w:r>
      <w:r w:rsidRPr="00061CCE">
        <w:rPr>
          <w:rFonts w:ascii="Times New Roman" w:eastAsia="Times New Roman" w:hAnsi="Times New Roman" w:cs="Times New Roman"/>
          <w:szCs w:val="20"/>
          <w:lang w:eastAsia="en-US"/>
        </w:rPr>
        <w:t>injekcinio tirpalo</w:t>
      </w:r>
      <w:r w:rsidRPr="00061CCE">
        <w:rPr>
          <w:rFonts w:ascii="Times New Roman" w:eastAsia="Times New Roman" w:hAnsi="Times New Roman" w:cs="Times New Roman"/>
          <w:szCs w:val="20"/>
          <w:lang w:eastAsia="lt-LT"/>
        </w:rPr>
        <w:t xml:space="preserve">. </w:t>
      </w:r>
      <w:r w:rsidRPr="00061CCE">
        <w:rPr>
          <w:rFonts w:ascii="Times New Roman" w:eastAsia="Times New Roman" w:hAnsi="Times New Roman" w:cs="Times New Roman"/>
          <w:szCs w:val="20"/>
          <w:lang w:eastAsia="en-US"/>
        </w:rPr>
        <w:t>Pakuotėje yra 4, 10 arba 20 ampulių.</w:t>
      </w:r>
    </w:p>
    <w:p w14:paraId="725B5D67" w14:textId="77777777" w:rsidR="00061CCE" w:rsidRPr="00061CCE" w:rsidRDefault="00061CCE" w:rsidP="00061CCE">
      <w:pPr>
        <w:spacing w:after="0" w:line="240" w:lineRule="auto"/>
        <w:ind w:left="567" w:hanging="567"/>
        <w:rPr>
          <w:rFonts w:ascii="Times New Roman" w:eastAsia="Times New Roman" w:hAnsi="Times New Roman" w:cs="Times New Roman"/>
          <w:lang w:eastAsia="en-US"/>
        </w:rPr>
      </w:pPr>
    </w:p>
    <w:p w14:paraId="361B2DC2" w14:textId="77777777" w:rsidR="00061CCE" w:rsidRPr="00061CCE" w:rsidRDefault="00061CCE" w:rsidP="00061CCE">
      <w:pPr>
        <w:numPr>
          <w:ilvl w:val="0"/>
          <w:numId w:val="20"/>
        </w:numPr>
        <w:spacing w:after="0" w:line="240" w:lineRule="auto"/>
        <w:ind w:left="567" w:hanging="567"/>
        <w:contextualSpacing/>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Permatomas mažo tankio polietileno (MTPE) buteliukas, </w:t>
      </w:r>
    </w:p>
    <w:p w14:paraId="4BB73056" w14:textId="77777777" w:rsidR="00061CCE" w:rsidRPr="00061CCE" w:rsidRDefault="00061CCE" w:rsidP="00061CCE">
      <w:pPr>
        <w:spacing w:after="0" w:line="240" w:lineRule="auto"/>
        <w:ind w:firstLine="567"/>
        <w:contextualSpacing/>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kuriame yra 50 ml arba 100 ml tirpalo. Pakuotėje yra 10 buteliukų.</w:t>
      </w:r>
    </w:p>
    <w:p w14:paraId="4DC62A4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651F51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Gali būti tiekiamos ne visų dydžių pakuotės.</w:t>
      </w:r>
    </w:p>
    <w:p w14:paraId="5134256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88BED82" w14:textId="77777777" w:rsidR="00061CCE" w:rsidRPr="00061CCE" w:rsidRDefault="00061CCE" w:rsidP="00061CCE">
      <w:pPr>
        <w:keepNext/>
        <w:spacing w:after="0" w:line="240" w:lineRule="auto"/>
        <w:ind w:left="567" w:hanging="567"/>
        <w:outlineLvl w:val="2"/>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6.6</w:t>
      </w:r>
      <w:r w:rsidRPr="00061CCE">
        <w:rPr>
          <w:rFonts w:ascii="Times New Roman" w:eastAsia="Times New Roman" w:hAnsi="Times New Roman" w:cs="Times New Roman"/>
          <w:b/>
          <w:lang w:eastAsia="lt-LT"/>
        </w:rPr>
        <w:tab/>
        <w:t>Specialūs reikalavimai atliekoms tvarkyti ir vaistiniam preparatui ruošti</w:t>
      </w:r>
    </w:p>
    <w:p w14:paraId="0B236F3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6D71E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Nesuvartotą vaistinį preparatą ar atliekas reikia tvarkyti laikantis vietinių reikalavimų. </w:t>
      </w:r>
    </w:p>
    <w:p w14:paraId="26B7B99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1575CF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Vaistinis preparatas tiekiamas vienadozėse talpyklėse. Atidarius talpykles, nesuvartoto vaistinio preparato likučius reikia nedelsiant sunaikinti.</w:t>
      </w:r>
    </w:p>
    <w:p w14:paraId="3F96A01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089427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gali būti skiedžiamas su</w:t>
      </w:r>
    </w:p>
    <w:p w14:paraId="7CC899F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9 mg/ml (0,9 %) natrio chlorido tirpalu,</w:t>
      </w:r>
    </w:p>
    <w:p w14:paraId="36C7696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50 mg/ml (5 %) gliukozės tirpalu,</w:t>
      </w:r>
    </w:p>
    <w:p w14:paraId="1B246C9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Ringerio tirpalu ir</w:t>
      </w:r>
    </w:p>
    <w:p w14:paraId="5F65B4B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Hartmano tirpalu,</w:t>
      </w:r>
    </w:p>
    <w:p w14:paraId="5BD2B99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iki galutinės 15 mg midazolamo 100 – 1000 ml infuzinio tirpalo koncentracijos.</w:t>
      </w:r>
    </w:p>
    <w:p w14:paraId="3E27431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34532F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Suderinamumą su kitais tirpalais reikia patikrinti prieš maišant.</w:t>
      </w:r>
    </w:p>
    <w:p w14:paraId="10C0889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543F8E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Galima vartoti, tik jeigu tirpalas skaidrus ir bespalvis, o talpyklė ir jos uždoris nepažeisti.</w:t>
      </w:r>
    </w:p>
    <w:p w14:paraId="5BB142D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A5DE20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EB63CE1"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7.</w:t>
      </w:r>
      <w:r w:rsidRPr="00061CCE">
        <w:rPr>
          <w:rFonts w:ascii="Times New Roman" w:eastAsia="Times New Roman" w:hAnsi="Times New Roman" w:cs="Times New Roman"/>
          <w:b/>
          <w:szCs w:val="20"/>
          <w:lang w:eastAsia="lt-LT"/>
        </w:rPr>
        <w:tab/>
        <w:t>REGISTRUOTOJAS</w:t>
      </w:r>
    </w:p>
    <w:p w14:paraId="704A5F0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02B65FA"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14:paraId="4BF42613"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14:paraId="70658349"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34212 Melsungen, Vokietija</w:t>
      </w:r>
    </w:p>
    <w:p w14:paraId="016A864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EAEF85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Pašto adresas:</w:t>
      </w:r>
    </w:p>
    <w:p w14:paraId="4979D63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34209 Melsungen, Vokietija</w:t>
      </w:r>
    </w:p>
    <w:p w14:paraId="621B81E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4533BC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Tel: +49-5661-71-0</w:t>
      </w:r>
    </w:p>
    <w:p w14:paraId="182A333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Faksas: +49-5661-71-4567</w:t>
      </w:r>
    </w:p>
    <w:p w14:paraId="25FB959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FA71FD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97E6935"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8.</w:t>
      </w:r>
      <w:r w:rsidRPr="00061CCE">
        <w:rPr>
          <w:rFonts w:ascii="Times New Roman" w:eastAsia="Times New Roman" w:hAnsi="Times New Roman" w:cs="Times New Roman"/>
          <w:b/>
          <w:szCs w:val="20"/>
          <w:lang w:eastAsia="lt-LT"/>
        </w:rPr>
        <w:tab/>
        <w:t>REGISTRACIJOS PAŽYMĖJIMO NUMERIS (-IAI)</w:t>
      </w:r>
    </w:p>
    <w:p w14:paraId="5196DCC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39FFBC2" w14:textId="77777777" w:rsidR="00061CCE" w:rsidRPr="00061CCE" w:rsidRDefault="00061CCE" w:rsidP="00061CCE">
      <w:pPr>
        <w:spacing w:after="0" w:line="240" w:lineRule="auto"/>
        <w:rPr>
          <w:rFonts w:ascii="Times New Roman" w:eastAsia="Times New Roman" w:hAnsi="Times New Roman" w:cs="Times New Roman"/>
          <w:bCs/>
          <w:u w:val="single"/>
          <w:lang w:eastAsia="lt-LT"/>
        </w:rPr>
      </w:pPr>
      <w:r w:rsidRPr="00061CCE">
        <w:rPr>
          <w:rFonts w:ascii="Times New Roman" w:eastAsia="Times New Roman" w:hAnsi="Times New Roman" w:cs="Times New Roman"/>
          <w:bCs/>
          <w:u w:val="single"/>
          <w:lang w:eastAsia="lt-LT"/>
        </w:rPr>
        <w:t>Stiklinė ampulė:</w:t>
      </w:r>
    </w:p>
    <w:p w14:paraId="4B8A0FED"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lang w:eastAsia="lt-LT"/>
        </w:rPr>
        <w:t xml:space="preserve">(5 ml), N10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LT/1/08/1110/001</w:t>
      </w:r>
    </w:p>
    <w:p w14:paraId="0A91D7C2" w14:textId="77777777" w:rsidR="00061CCE" w:rsidRPr="00061CCE" w:rsidRDefault="00061CCE" w:rsidP="00061CCE">
      <w:pPr>
        <w:spacing w:after="0" w:line="240" w:lineRule="auto"/>
        <w:rPr>
          <w:rFonts w:ascii="Times New Roman" w:eastAsia="Times New Roman" w:hAnsi="Times New Roman" w:cs="Times New Roman"/>
          <w:bCs/>
          <w:u w:val="single"/>
          <w:lang w:eastAsia="lt-LT"/>
        </w:rPr>
      </w:pPr>
      <w:r w:rsidRPr="00061CCE">
        <w:rPr>
          <w:rFonts w:ascii="Times New Roman" w:eastAsia="Times New Roman" w:hAnsi="Times New Roman" w:cs="Times New Roman"/>
          <w:bCs/>
          <w:u w:val="single"/>
          <w:lang w:eastAsia="lt-LT"/>
        </w:rPr>
        <w:t>Polietileninė ampulė:</w:t>
      </w:r>
    </w:p>
    <w:p w14:paraId="180EED18"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lang w:eastAsia="lt-LT"/>
        </w:rPr>
        <w:t xml:space="preserve">(5 ml), N4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LT/1/08/1110/002</w:t>
      </w:r>
    </w:p>
    <w:p w14:paraId="0FAA6D5D"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lang w:eastAsia="lt-LT"/>
        </w:rPr>
        <w:t xml:space="preserve">(5 ml), N10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LT/1/08/1110/003</w:t>
      </w:r>
    </w:p>
    <w:p w14:paraId="183252BE"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lang w:eastAsia="lt-LT"/>
        </w:rPr>
        <w:t xml:space="preserve">(5 ml), N20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LT/1/08/1110/004</w:t>
      </w:r>
    </w:p>
    <w:p w14:paraId="5D9D0136" w14:textId="77777777" w:rsidR="00061CCE" w:rsidRPr="00061CCE" w:rsidRDefault="00061CCE" w:rsidP="00061CCE">
      <w:pPr>
        <w:spacing w:after="0" w:line="240" w:lineRule="auto"/>
        <w:rPr>
          <w:rFonts w:ascii="Times New Roman" w:eastAsia="Times New Roman" w:hAnsi="Times New Roman" w:cs="Times New Roman"/>
          <w:bCs/>
          <w:u w:val="single"/>
          <w:lang w:eastAsia="lt-LT"/>
        </w:rPr>
      </w:pPr>
      <w:r w:rsidRPr="00061CCE">
        <w:rPr>
          <w:rFonts w:ascii="Times New Roman" w:eastAsia="Times New Roman" w:hAnsi="Times New Roman" w:cs="Times New Roman"/>
          <w:bCs/>
          <w:u w:val="single"/>
          <w:lang w:eastAsia="lt-LT"/>
        </w:rPr>
        <w:t>Polietileno buteliukai:</w:t>
      </w:r>
    </w:p>
    <w:p w14:paraId="6B446BAD"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lang w:eastAsia="lt-LT"/>
        </w:rPr>
        <w:t xml:space="preserve">(50 ml), N10 </w:t>
      </w:r>
      <w:r w:rsidRPr="00061CCE">
        <w:rPr>
          <w:rFonts w:ascii="Times New Roman" w:eastAsia="Times New Roman" w:hAnsi="Times New Roman" w:cs="Times New Roman"/>
          <w:lang w:eastAsia="lt-LT"/>
        </w:rPr>
        <w:t>–</w:t>
      </w:r>
      <w:r w:rsidRPr="00061CCE">
        <w:rPr>
          <w:rFonts w:ascii="Times New Roman" w:eastAsia="Times New Roman" w:hAnsi="Times New Roman" w:cs="Times New Roman"/>
          <w:bCs/>
          <w:lang w:eastAsia="lt-LT"/>
        </w:rPr>
        <w:t xml:space="preserve"> LT/1/08/1110/012</w:t>
      </w:r>
    </w:p>
    <w:p w14:paraId="3AE3BDB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(100 ml), N10 – LT/1/08/1110/013</w:t>
      </w:r>
    </w:p>
    <w:p w14:paraId="4DF2D91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87F5AF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8D18920"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lastRenderedPageBreak/>
        <w:t>9.</w:t>
      </w:r>
      <w:r w:rsidRPr="00061CCE">
        <w:rPr>
          <w:rFonts w:ascii="Times New Roman" w:eastAsia="Times New Roman" w:hAnsi="Times New Roman" w:cs="Times New Roman"/>
          <w:b/>
          <w:szCs w:val="20"/>
          <w:lang w:eastAsia="lt-LT"/>
        </w:rPr>
        <w:tab/>
        <w:t>REGISTRAVIMO / PERREGISTRAVIMO DATA</w:t>
      </w:r>
    </w:p>
    <w:p w14:paraId="298670E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A65DC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Registravimo data 2008 m. balandžio 17 d.</w:t>
      </w:r>
    </w:p>
    <w:p w14:paraId="7A6891E7" w14:textId="77777777" w:rsidR="00061CCE" w:rsidRPr="00061CCE" w:rsidRDefault="00061CCE" w:rsidP="00061CCE">
      <w:pPr>
        <w:tabs>
          <w:tab w:val="left" w:pos="0"/>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Paskutinio perregistravimo data 2014 m. spalio 8 d.</w:t>
      </w:r>
    </w:p>
    <w:p w14:paraId="18B239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84F74B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B3E22DE" w14:textId="77777777" w:rsidR="00061CCE" w:rsidRPr="00061CCE" w:rsidRDefault="00061CCE" w:rsidP="00061CCE">
      <w:pPr>
        <w:keepNext/>
        <w:spacing w:after="0" w:line="240" w:lineRule="auto"/>
        <w:ind w:left="567" w:hanging="567"/>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10.</w:t>
      </w:r>
      <w:r w:rsidRPr="00061CCE">
        <w:rPr>
          <w:rFonts w:ascii="Times New Roman" w:eastAsia="Times New Roman" w:hAnsi="Times New Roman" w:cs="Times New Roman"/>
          <w:b/>
          <w:szCs w:val="20"/>
          <w:lang w:eastAsia="lt-LT"/>
        </w:rPr>
        <w:tab/>
        <w:t>TEKSTO PERŽIŪROS DATA</w:t>
      </w:r>
    </w:p>
    <w:p w14:paraId="49CC7EE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52E5A0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9EF7282" w14:textId="15AD8314" w:rsidR="009D4A0B" w:rsidRPr="009B2CC0" w:rsidRDefault="009D4A0B" w:rsidP="009D4A0B">
      <w:pPr>
        <w:spacing w:after="0" w:line="240" w:lineRule="auto"/>
        <w:rPr>
          <w:rFonts w:ascii="Times New Roman" w:eastAsia="Times New Roman" w:hAnsi="Times New Roman" w:cs="Times New Roman"/>
          <w:lang w:eastAsia="lt-LT"/>
        </w:rPr>
      </w:pPr>
      <w:bookmarkStart w:id="73" w:name="_Hlk73087125"/>
      <w:r w:rsidRPr="009B2CC0">
        <w:rPr>
          <w:rFonts w:ascii="Times New Roman" w:eastAsia="Times New Roman" w:hAnsi="Times New Roman" w:cs="Times New Roman"/>
          <w:lang w:eastAsia="lt-LT"/>
        </w:rPr>
        <w:t>202</w:t>
      </w:r>
      <w:r>
        <w:rPr>
          <w:rFonts w:ascii="Times New Roman" w:eastAsia="Times New Roman" w:hAnsi="Times New Roman" w:cs="Times New Roman"/>
          <w:lang w:eastAsia="lt-LT"/>
        </w:rPr>
        <w:t>3</w:t>
      </w:r>
      <w:r w:rsidR="00B04A4C">
        <w:rPr>
          <w:rFonts w:ascii="Times New Roman" w:eastAsia="Times New Roman" w:hAnsi="Times New Roman" w:cs="Times New Roman"/>
          <w:lang w:eastAsia="lt-LT"/>
        </w:rPr>
        <w:t> </w:t>
      </w:r>
      <w:r w:rsidRPr="009B2CC0">
        <w:rPr>
          <w:rFonts w:ascii="Times New Roman" w:eastAsia="Times New Roman" w:hAnsi="Times New Roman" w:cs="Times New Roman"/>
          <w:lang w:eastAsia="lt-LT"/>
        </w:rPr>
        <w:t xml:space="preserve">m. </w:t>
      </w:r>
      <w:r>
        <w:rPr>
          <w:rFonts w:ascii="Times New Roman" w:eastAsia="Times New Roman" w:hAnsi="Times New Roman" w:cs="Times New Roman"/>
          <w:lang w:eastAsia="lt-LT"/>
        </w:rPr>
        <w:t xml:space="preserve">rugpjūčio </w:t>
      </w:r>
      <w:r w:rsidR="00C87956">
        <w:rPr>
          <w:rFonts w:ascii="Times New Roman" w:eastAsia="Times New Roman" w:hAnsi="Times New Roman" w:cs="Times New Roman"/>
          <w:lang w:eastAsia="lt-LT"/>
        </w:rPr>
        <w:t>1 d</w:t>
      </w:r>
      <w:r>
        <w:rPr>
          <w:rFonts w:ascii="Times New Roman" w:eastAsia="Times New Roman" w:hAnsi="Times New Roman" w:cs="Times New Roman"/>
          <w:lang w:eastAsia="lt-LT"/>
        </w:rPr>
        <w:t>.</w:t>
      </w:r>
    </w:p>
    <w:bookmarkEnd w:id="73"/>
    <w:p w14:paraId="3A3D995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831A1AF" w14:textId="1FE0B526" w:rsidR="00061CCE" w:rsidRPr="00061CCE" w:rsidRDefault="00061CCE" w:rsidP="00061CCE">
      <w:pPr>
        <w:tabs>
          <w:tab w:val="left" w:pos="5954"/>
          <w:tab w:val="left" w:pos="6237"/>
          <w:tab w:val="left" w:pos="6663"/>
          <w:tab w:val="left" w:pos="6946"/>
        </w:tabs>
        <w:spacing w:after="0" w:line="240" w:lineRule="auto"/>
        <w:rPr>
          <w:rFonts w:ascii="Times New Roman" w:eastAsia="SimSun" w:hAnsi="Times New Roman" w:cs="Times New Roman"/>
          <w:lang w:eastAsia="lt-LT"/>
        </w:rPr>
      </w:pPr>
      <w:r w:rsidRPr="00061CCE">
        <w:rPr>
          <w:rFonts w:ascii="Times New Roman" w:eastAsia="SimSun" w:hAnsi="Times New Roman" w:cs="Times New Roman"/>
          <w:lang w:eastAsia="lt-LT"/>
        </w:rPr>
        <w:t>Išsami informacija apie šį vaistinį preparatą pateikiama Valstybinės vaistų kontrolės tarnybos prie Lietuvos Respublikos sveikatos apsaugos ministerijos tinklalapyje</w:t>
      </w:r>
      <w:r w:rsidRPr="00061CCE">
        <w:rPr>
          <w:rFonts w:ascii="Times New Roman" w:eastAsia="SimSun" w:hAnsi="Times New Roman" w:cs="Times New Roman"/>
          <w:i/>
          <w:lang w:eastAsia="lt-LT"/>
        </w:rPr>
        <w:t xml:space="preserve"> </w:t>
      </w:r>
      <w:hyperlink r:id="rId13" w:history="1">
        <w:r w:rsidRPr="00061CCE">
          <w:rPr>
            <w:rFonts w:ascii="Times New Roman" w:eastAsia="SimSun" w:hAnsi="Times New Roman" w:cs="Times New Roman"/>
            <w:color w:val="0000FF"/>
            <w:u w:val="single"/>
            <w:lang w:eastAsia="lt-LT"/>
          </w:rPr>
          <w:t>http://www.vvkt.lt</w:t>
        </w:r>
      </w:hyperlink>
    </w:p>
    <w:p w14:paraId="53149E0D" w14:textId="77777777" w:rsidR="00061CCE" w:rsidRPr="00061CCE" w:rsidRDefault="00061CCE" w:rsidP="00061CCE">
      <w:pPr>
        <w:spacing w:after="0" w:line="260" w:lineRule="exact"/>
        <w:rPr>
          <w:rFonts w:ascii="Times New Roman" w:eastAsia="Times New Roman" w:hAnsi="Times New Roman" w:cs="Times New Roman"/>
          <w:lang w:eastAsia="lt-LT"/>
        </w:rPr>
      </w:pPr>
      <w:r w:rsidRPr="00061CCE">
        <w:rPr>
          <w:rFonts w:ascii="Times New Roman" w:eastAsia="Times New Roman" w:hAnsi="Times New Roman" w:cs="Times New Roman"/>
          <w:lang w:eastAsia="lt-LT"/>
        </w:rPr>
        <w:br w:type="page"/>
      </w:r>
    </w:p>
    <w:p w14:paraId="59002CA4"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6BD7A33"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E05E293"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22D1F88C"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6C38CFD9"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A8AB27D"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15EE4C97"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1FCF4E6"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104C16AA"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20E3C04"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07215181"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2440727E"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7752131"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43873156"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347C9698"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2AAA23B4"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C288C1A"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1A93A7E0"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2D9BFB77"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40ADBD2"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3F9FEE17"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57DCA49"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5C63BDE"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0F39C79" w14:textId="77777777" w:rsidR="00061CCE" w:rsidRPr="00061CCE" w:rsidRDefault="00061CCE" w:rsidP="00061CCE">
      <w:pPr>
        <w:keepNext/>
        <w:spacing w:after="0" w:line="240" w:lineRule="auto"/>
        <w:ind w:left="567" w:hanging="567"/>
        <w:jc w:val="center"/>
        <w:outlineLvl w:val="1"/>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II PRIEDAS</w:t>
      </w:r>
    </w:p>
    <w:p w14:paraId="2CC6AC4B"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5CCC8705" w14:textId="77777777" w:rsidR="00061CCE" w:rsidRPr="00061CCE" w:rsidRDefault="00061CCE" w:rsidP="00061CCE">
      <w:pPr>
        <w:spacing w:after="0" w:line="240" w:lineRule="auto"/>
        <w:jc w:val="center"/>
        <w:rPr>
          <w:rFonts w:ascii="Times New Roman" w:eastAsia="Times New Roman" w:hAnsi="Times New Roman" w:cs="Times New Roman"/>
          <w:szCs w:val="20"/>
          <w:lang w:eastAsia="lt-LT"/>
        </w:rPr>
      </w:pPr>
      <w:r w:rsidRPr="00061CCE">
        <w:rPr>
          <w:rFonts w:ascii="Times New Roman" w:eastAsia="Times New Roman" w:hAnsi="Times New Roman" w:cs="Times New Roman"/>
          <w:b/>
          <w:szCs w:val="20"/>
          <w:lang w:eastAsia="lt-LT"/>
        </w:rPr>
        <w:t>REGISTRACIJOS SĄLYGOS</w:t>
      </w:r>
    </w:p>
    <w:p w14:paraId="2D64B97D"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0C2CAEC1" w14:textId="77777777" w:rsidR="00061CCE" w:rsidRPr="00061CCE" w:rsidRDefault="00061CCE" w:rsidP="00061CCE">
      <w:pPr>
        <w:numPr>
          <w:ilvl w:val="0"/>
          <w:numId w:val="4"/>
        </w:numPr>
        <w:spacing w:after="0" w:line="240" w:lineRule="auto"/>
        <w:ind w:left="1701" w:right="1416" w:hanging="567"/>
        <w:contextualSpacing/>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GAMINTOJAS (-AI), ATSAKINGAS (-I) UŽ SERIJŲ IŠLEIDIMĄ</w:t>
      </w:r>
    </w:p>
    <w:p w14:paraId="2938DA63" w14:textId="77777777" w:rsidR="00061CCE" w:rsidRPr="00061CCE" w:rsidRDefault="00061CCE" w:rsidP="00061CCE">
      <w:pPr>
        <w:spacing w:after="0" w:line="260" w:lineRule="exact"/>
        <w:ind w:left="1701" w:hanging="567"/>
        <w:rPr>
          <w:rFonts w:ascii="Times New Roman" w:eastAsia="Times New Roman" w:hAnsi="Times New Roman" w:cs="Times New Roman"/>
          <w:b/>
          <w:lang w:eastAsia="lt-LT"/>
        </w:rPr>
      </w:pPr>
    </w:p>
    <w:p w14:paraId="051ECB41" w14:textId="77777777" w:rsidR="00061CCE" w:rsidRPr="00061CCE" w:rsidRDefault="00061CCE" w:rsidP="00061CCE">
      <w:pPr>
        <w:numPr>
          <w:ilvl w:val="0"/>
          <w:numId w:val="4"/>
        </w:numPr>
        <w:suppressLineNumbers/>
        <w:spacing w:after="0" w:line="240" w:lineRule="auto"/>
        <w:ind w:left="1701" w:right="1416" w:hanging="567"/>
        <w:contextualSpacing/>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TIEKIMO IR VARTOJIMO SĄLYGOS AR APRIBOJIMAI</w:t>
      </w:r>
    </w:p>
    <w:p w14:paraId="09683470" w14:textId="77777777" w:rsidR="00061CCE" w:rsidRPr="00061CCE" w:rsidRDefault="00061CCE" w:rsidP="00061CCE">
      <w:pPr>
        <w:spacing w:after="0" w:line="240" w:lineRule="auto"/>
        <w:ind w:left="720"/>
        <w:contextualSpacing/>
        <w:rPr>
          <w:rFonts w:ascii="Times New Roman" w:eastAsia="Times New Roman" w:hAnsi="Times New Roman" w:cs="Times New Roman"/>
          <w:b/>
          <w:lang w:eastAsia="lt-LT"/>
        </w:rPr>
      </w:pPr>
    </w:p>
    <w:p w14:paraId="7DB06C8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4404797" w14:textId="77777777" w:rsidR="00061CCE" w:rsidRPr="00061CCE" w:rsidRDefault="00061CCE" w:rsidP="00061CCE">
      <w:pPr>
        <w:numPr>
          <w:ilvl w:val="0"/>
          <w:numId w:val="6"/>
        </w:numPr>
        <w:spacing w:after="0" w:line="260" w:lineRule="exact"/>
        <w:ind w:left="567" w:hanging="567"/>
        <w:contextualSpacing/>
        <w:rPr>
          <w:rFonts w:ascii="Times New Roman" w:eastAsia="Times New Roman" w:hAnsi="Times New Roman" w:cs="Times New Roman"/>
          <w:b/>
          <w:lang w:eastAsia="lt-LT"/>
        </w:rPr>
      </w:pPr>
      <w:r w:rsidRPr="00061CCE">
        <w:rPr>
          <w:rFonts w:ascii="Times New Roman" w:eastAsia="Times New Roman" w:hAnsi="Times New Roman" w:cs="Times New Roman"/>
          <w:lang w:eastAsia="lt-LT"/>
        </w:rPr>
        <w:br w:type="page"/>
      </w:r>
      <w:r w:rsidRPr="00061CCE">
        <w:rPr>
          <w:rFonts w:ascii="Times New Roman" w:eastAsia="Times New Roman" w:hAnsi="Times New Roman" w:cs="Times New Roman"/>
          <w:b/>
          <w:lang w:eastAsia="lt-LT"/>
        </w:rPr>
        <w:lastRenderedPageBreak/>
        <w:t>GAMINTOJAS (-AI), ATSAKINGAS (-I) UŽ SERIJŲ IŠLEIDIMĄ</w:t>
      </w:r>
    </w:p>
    <w:p w14:paraId="61074FE2"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0907DD2"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u w:val="single"/>
          <w:lang w:eastAsia="lt-LT"/>
        </w:rPr>
        <w:t>Gamintojo (-ų), atsakingo (-ų) už serijų išleidimą, pavadinimas (-ai) ir adresas (-ai)</w:t>
      </w:r>
    </w:p>
    <w:p w14:paraId="7237D0A1"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624BADB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14:paraId="0C534D3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14:paraId="72C6491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34212 Melsungen </w:t>
      </w:r>
    </w:p>
    <w:p w14:paraId="3BEED8D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Vokietija</w:t>
      </w:r>
    </w:p>
    <w:p w14:paraId="55016FB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327C7D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arba</w:t>
      </w:r>
    </w:p>
    <w:p w14:paraId="182AC02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1A565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Medical, S. A.</w:t>
      </w:r>
    </w:p>
    <w:p w14:paraId="7C6FD81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Carretera de Terrassa 121</w:t>
      </w:r>
    </w:p>
    <w:p w14:paraId="69C2E8C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Rubí </w:t>
      </w:r>
    </w:p>
    <w:p w14:paraId="75696AD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08191 Barcelona</w:t>
      </w:r>
    </w:p>
    <w:p w14:paraId="6833C12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Ispanija</w:t>
      </w:r>
    </w:p>
    <w:p w14:paraId="24868888"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58309130" w14:textId="77777777" w:rsidR="00061CCE" w:rsidRPr="00061CCE" w:rsidRDefault="00061CCE" w:rsidP="00061CCE">
      <w:pPr>
        <w:spacing w:after="0" w:line="240" w:lineRule="auto"/>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Su pakuote pateikiamame lapelyje nurodomas gamintojo, atsakingo už konkrečios serijos išleidimą, pavadinimas ir adresas.</w:t>
      </w:r>
    </w:p>
    <w:p w14:paraId="5A3EB8BA"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33418CB1"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74BF22F6" w14:textId="77777777" w:rsidR="00061CCE" w:rsidRPr="00061CCE" w:rsidRDefault="00061CCE" w:rsidP="00061CCE">
      <w:pPr>
        <w:suppressLineNumbers/>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b/>
          <w:lang w:eastAsia="lt-LT"/>
        </w:rPr>
        <w:t>B.</w:t>
      </w:r>
      <w:r w:rsidRPr="00061CCE">
        <w:rPr>
          <w:rFonts w:ascii="Times New Roman" w:eastAsia="Times New Roman" w:hAnsi="Times New Roman" w:cs="Times New Roman"/>
          <w:b/>
          <w:lang w:eastAsia="lt-LT"/>
        </w:rPr>
        <w:tab/>
        <w:t>TIEKIMO IR VARTOJIMO SĄLYGOS AR APRIBOJIMAI</w:t>
      </w:r>
    </w:p>
    <w:p w14:paraId="63AD2E34" w14:textId="77777777" w:rsidR="00061CCE" w:rsidRPr="00061CCE" w:rsidRDefault="00061CCE" w:rsidP="00061CCE">
      <w:pPr>
        <w:spacing w:after="0" w:line="260" w:lineRule="exact"/>
        <w:rPr>
          <w:rFonts w:ascii="Times New Roman" w:eastAsia="Times New Roman" w:hAnsi="Times New Roman" w:cs="Times New Roman"/>
          <w:lang w:eastAsia="lt-LT"/>
        </w:rPr>
      </w:pPr>
    </w:p>
    <w:p w14:paraId="05D25E08" w14:textId="77777777" w:rsidR="00061CCE" w:rsidRPr="00061CCE" w:rsidRDefault="00061CCE" w:rsidP="00061CCE">
      <w:pPr>
        <w:spacing w:after="0" w:line="260" w:lineRule="exact"/>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Receptinis vaistinis preparatas.</w:t>
      </w:r>
    </w:p>
    <w:p w14:paraId="726E03E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1990BE4" w14:textId="77777777" w:rsidR="00061CCE" w:rsidRPr="00061CCE" w:rsidRDefault="00061CCE" w:rsidP="00061CCE">
      <w:pPr>
        <w:tabs>
          <w:tab w:val="left" w:pos="567"/>
        </w:tabs>
        <w:spacing w:after="0" w:line="260" w:lineRule="exact"/>
        <w:rPr>
          <w:rFonts w:ascii="Times New Roman" w:eastAsia="Times New Roman" w:hAnsi="Times New Roman" w:cs="Times New Roman"/>
          <w:lang w:eastAsia="lt-LT"/>
        </w:rPr>
      </w:pPr>
    </w:p>
    <w:p w14:paraId="6769E23F" w14:textId="77777777" w:rsidR="00061CCE" w:rsidRPr="00061CCE" w:rsidRDefault="00061CCE" w:rsidP="00061CCE">
      <w:pPr>
        <w:spacing w:after="120" w:line="240" w:lineRule="auto"/>
        <w:rPr>
          <w:rFonts w:ascii="Times New Roman" w:eastAsia="Times New Roman" w:hAnsi="Times New Roman" w:cs="Times New Roman"/>
          <w:lang w:eastAsia="lt-LT"/>
        </w:rPr>
      </w:pPr>
    </w:p>
    <w:p w14:paraId="6419827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br w:type="page"/>
      </w:r>
    </w:p>
    <w:p w14:paraId="41AF3D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AD1F7B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4192D0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4E04D3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FF064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19FCC3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A69792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B5A731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7FEE91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941E59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01276F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F6B1E7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7CF71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41F7C0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6E6EAF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3D1FE2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10A70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E5084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7C010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C407D4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113D44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0C48C6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F4A292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B1879D5"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III PRIEDAS</w:t>
      </w:r>
    </w:p>
    <w:p w14:paraId="6506B11D" w14:textId="77777777" w:rsidR="00061CCE" w:rsidRPr="00061CCE" w:rsidRDefault="00061CCE" w:rsidP="00061CCE">
      <w:pPr>
        <w:spacing w:after="0" w:line="240" w:lineRule="auto"/>
        <w:jc w:val="center"/>
        <w:rPr>
          <w:rFonts w:ascii="Times New Roman" w:eastAsia="Times New Roman" w:hAnsi="Times New Roman" w:cs="Times New Roman"/>
          <w:lang w:eastAsia="lt-LT"/>
        </w:rPr>
      </w:pPr>
    </w:p>
    <w:p w14:paraId="4CC587BA"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ŽENKLINIMAS IR PAKUOTĖS LAPELIS</w:t>
      </w:r>
    </w:p>
    <w:p w14:paraId="50F4D92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br w:type="page"/>
      </w:r>
    </w:p>
    <w:p w14:paraId="5C3BFDF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8BDC0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84E1D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8D7F0A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F374B4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750715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19AC9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7FEF25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AA423D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5FFAAF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4EF1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8F687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A8511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F3C86D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0F01D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AC64D0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484E62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97EF26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6268A7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F9B261D"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0E11FE6E"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635A77E8"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20B6F718"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26321835"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A. ŽENKLINIMAS</w:t>
      </w:r>
    </w:p>
    <w:p w14:paraId="6AD75D7A"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br w:type="page"/>
      </w:r>
      <w:r w:rsidRPr="00061CCE">
        <w:rPr>
          <w:rFonts w:ascii="Times New Roman" w:eastAsia="Times New Roman" w:hAnsi="Times New Roman" w:cs="Times New Roman"/>
          <w:b/>
          <w:lang w:eastAsia="lt-LT"/>
        </w:rPr>
        <w:lastRenderedPageBreak/>
        <w:t>INFORMACIJA ANT IŠORINĖS PAKUOTĖS</w:t>
      </w:r>
    </w:p>
    <w:p w14:paraId="632A024F"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DA78D9A"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KARTONO DĖŽUTĖ</w:t>
      </w:r>
    </w:p>
    <w:p w14:paraId="7FF0454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F9EAA0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EEBF44"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VAISTINIO PREPARATO PAVADINIMAS</w:t>
      </w:r>
    </w:p>
    <w:p w14:paraId="162C67E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09BA8D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1 mg/ml injekcinis ar infuzinis tirpalas</w:t>
      </w:r>
    </w:p>
    <w:p w14:paraId="2EAA283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midazolamum</w:t>
      </w:r>
    </w:p>
    <w:p w14:paraId="50D5781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86D918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E73D8B5"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VEIKLIOJI (-IOS) MEDŽIAGA (-OS) IR JOS (-Ų) KIEKIS (-IAI)</w:t>
      </w:r>
    </w:p>
    <w:p w14:paraId="0D4D5F3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C4B659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1 ml tirpalo yra 1 mg midazolamo (atitinka 1,112 mg midazolamo hidrochlorido). </w:t>
      </w:r>
      <w:r w:rsidRPr="00061CCE">
        <w:rPr>
          <w:rFonts w:ascii="Times New Roman" w:eastAsia="Times New Roman" w:hAnsi="Times New Roman" w:cs="Times New Roman"/>
          <w:lang w:eastAsia="lt-LT"/>
        </w:rPr>
        <w:tab/>
      </w:r>
    </w:p>
    <w:p w14:paraId="23849E0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1AE71E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Kiekvienoje 5 ml ampulėje yra 5 mg midazolamo (atitinka 5,56 mg midazolamo hidrochlorido).</w:t>
      </w:r>
    </w:p>
    <w:p w14:paraId="0C5416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0EBB6A6" w14:textId="77777777" w:rsidR="00061CCE" w:rsidRPr="00061CCE" w:rsidRDefault="00061CCE" w:rsidP="00061CCE">
      <w:pPr>
        <w:shd w:val="clear" w:color="auto" w:fill="BFBFBF"/>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50 ml buteliuke yra 50 mg midazolamo (atitinka 55,6 mg midazolamo hidrochlorido).</w:t>
      </w:r>
    </w:p>
    <w:p w14:paraId="3DCABA3F" w14:textId="77777777" w:rsidR="00061CCE" w:rsidRPr="00061CCE" w:rsidRDefault="00061CCE" w:rsidP="00061CCE">
      <w:pPr>
        <w:shd w:val="clear" w:color="auto" w:fill="BFBFBF"/>
        <w:spacing w:after="0" w:line="240" w:lineRule="auto"/>
        <w:rPr>
          <w:rFonts w:ascii="Times New Roman" w:eastAsia="Times New Roman" w:hAnsi="Times New Roman" w:cs="Times New Roman"/>
          <w:lang w:eastAsia="lt-LT"/>
        </w:rPr>
      </w:pPr>
    </w:p>
    <w:p w14:paraId="2557E8B7" w14:textId="77777777" w:rsidR="00061CCE" w:rsidRPr="00061CCE" w:rsidRDefault="00061CCE" w:rsidP="00061CCE">
      <w:pPr>
        <w:shd w:val="clear" w:color="auto" w:fill="BFBFBF"/>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100 ml buteliuke yra 100 mg midazolamo (atitinka 111,2 mg midazolamo hidrochlorido).</w:t>
      </w:r>
    </w:p>
    <w:p w14:paraId="3887888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b/>
      </w:r>
      <w:r w:rsidRPr="00061CCE">
        <w:rPr>
          <w:rFonts w:ascii="Times New Roman" w:eastAsia="Times New Roman" w:hAnsi="Times New Roman" w:cs="Times New Roman"/>
          <w:lang w:eastAsia="lt-LT"/>
        </w:rPr>
        <w:tab/>
      </w:r>
    </w:p>
    <w:p w14:paraId="428E5B6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55FBAC"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PAGALBINIŲ MEDŽIAGŲ SĄRAŠAS</w:t>
      </w:r>
    </w:p>
    <w:p w14:paraId="7FA4F39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21B63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Natrii chloridum, Acidum hydrochloridum 10 %  Aqua ad iniectabile</w:t>
      </w:r>
    </w:p>
    <w:p w14:paraId="0658CF4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14822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5D2D8B4"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FARMACINĖ FORMA IR KIEKIS PAKUOTĖJE</w:t>
      </w:r>
    </w:p>
    <w:p w14:paraId="64D061D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947010D"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4" w:name="_Hlk73087391"/>
      <w:r w:rsidRPr="00061CCE">
        <w:rPr>
          <w:rFonts w:ascii="Times New Roman" w:eastAsia="Times New Roman" w:hAnsi="Times New Roman" w:cs="Times New Roman"/>
          <w:highlight w:val="lightGray"/>
          <w:lang w:eastAsia="lt-LT"/>
        </w:rPr>
        <w:t>Injekcinis ar infuzinis tirpalas</w:t>
      </w:r>
    </w:p>
    <w:bookmarkEnd w:id="74"/>
    <w:p w14:paraId="2400182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2AC68F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Stiklinės ampulės:</w:t>
      </w:r>
      <w:r w:rsidRPr="00061CCE">
        <w:rPr>
          <w:rFonts w:ascii="Times New Roman" w:eastAsia="Times New Roman" w:hAnsi="Times New Roman" w:cs="Times New Roman"/>
          <w:lang w:eastAsia="lt-LT"/>
        </w:rPr>
        <w:tab/>
        <w:t>10 x 5 ml</w:t>
      </w:r>
    </w:p>
    <w:p w14:paraId="1B44884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F2DDC5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Polietileninės ampulės:</w:t>
      </w:r>
      <w:r w:rsidRPr="00061CCE">
        <w:rPr>
          <w:rFonts w:ascii="Times New Roman" w:eastAsia="Times New Roman" w:hAnsi="Times New Roman" w:cs="Times New Roman"/>
          <w:highlight w:val="lightGray"/>
          <w:lang w:eastAsia="lt-LT"/>
        </w:rPr>
        <w:tab/>
        <w:t>4 x 5 ml</w:t>
      </w:r>
    </w:p>
    <w:p w14:paraId="0D6BFFA8" w14:textId="77777777" w:rsidR="00061CCE" w:rsidRPr="00061CCE" w:rsidRDefault="00061CCE" w:rsidP="00061CCE">
      <w:pPr>
        <w:spacing w:after="0" w:line="240" w:lineRule="auto"/>
        <w:ind w:left="1440" w:firstLine="720"/>
        <w:rPr>
          <w:rFonts w:ascii="Times New Roman" w:eastAsia="Times New Roman" w:hAnsi="Times New Roman" w:cs="Times New Roman"/>
          <w:highlight w:val="lightGray"/>
          <w:lang w:eastAsia="lt-LT"/>
        </w:rPr>
      </w:pPr>
      <w:r w:rsidRPr="00061CCE">
        <w:rPr>
          <w:rFonts w:ascii="Times New Roman" w:eastAsia="Times New Roman" w:hAnsi="Times New Roman" w:cs="Times New Roman"/>
          <w:highlight w:val="lightGray"/>
          <w:lang w:eastAsia="lt-LT"/>
        </w:rPr>
        <w:t>10 x 5 ml</w:t>
      </w:r>
    </w:p>
    <w:p w14:paraId="033B8D07" w14:textId="77777777" w:rsidR="00061CCE" w:rsidRPr="00061CCE" w:rsidRDefault="00061CCE" w:rsidP="00061CCE">
      <w:pPr>
        <w:spacing w:after="0" w:line="240" w:lineRule="auto"/>
        <w:ind w:left="1440" w:firstLine="720"/>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20 x 5 ml</w:t>
      </w:r>
    </w:p>
    <w:p w14:paraId="1E9DF37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C925010" w14:textId="77777777" w:rsidR="00061CCE" w:rsidRPr="00061CCE" w:rsidRDefault="00061CCE" w:rsidP="00061CCE">
      <w:pPr>
        <w:spacing w:after="0" w:line="240" w:lineRule="auto"/>
        <w:rPr>
          <w:rFonts w:ascii="Times New Roman" w:eastAsia="Times New Roman" w:hAnsi="Times New Roman" w:cs="Times New Roman"/>
          <w:highlight w:val="lightGray"/>
          <w:lang w:eastAsia="lt-LT"/>
        </w:rPr>
      </w:pPr>
      <w:r w:rsidRPr="00061CCE">
        <w:rPr>
          <w:rFonts w:ascii="Times New Roman" w:eastAsia="Times New Roman" w:hAnsi="Times New Roman" w:cs="Times New Roman"/>
          <w:highlight w:val="lightGray"/>
          <w:lang w:eastAsia="lt-LT"/>
        </w:rPr>
        <w:t>Polietileno buteliukai:</w:t>
      </w:r>
      <w:r w:rsidRPr="00061CCE">
        <w:rPr>
          <w:rFonts w:ascii="Times New Roman" w:eastAsia="Times New Roman" w:hAnsi="Times New Roman" w:cs="Times New Roman"/>
          <w:highlight w:val="lightGray"/>
          <w:lang w:eastAsia="lt-LT"/>
        </w:rPr>
        <w:tab/>
        <w:t>10 x 50 ml</w:t>
      </w:r>
    </w:p>
    <w:p w14:paraId="04163DE6" w14:textId="77777777" w:rsidR="00061CCE" w:rsidRPr="00061CCE" w:rsidRDefault="00061CCE" w:rsidP="00061CCE">
      <w:pPr>
        <w:spacing w:after="0" w:line="240" w:lineRule="auto"/>
        <w:ind w:left="1440" w:firstLine="720"/>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10 x 100 ml</w:t>
      </w:r>
    </w:p>
    <w:p w14:paraId="645149F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9059E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5D601CE"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VARTOJIMO METODAS IR BŪDAS (-AI)</w:t>
      </w:r>
    </w:p>
    <w:p w14:paraId="3E10249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C5865C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Leisti į veną, į raumenis arba vartoti į tiesiąją žarną.</w:t>
      </w:r>
    </w:p>
    <w:p w14:paraId="36459AF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756285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Tik vienkartiniam vartojimui.</w:t>
      </w:r>
    </w:p>
    <w:p w14:paraId="2F56065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Prieš vartojimą perskaitykite pakuotės lapelį.</w:t>
      </w:r>
    </w:p>
    <w:p w14:paraId="123F148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90414E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A1C34B"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 xml:space="preserve">SPECIALUS ĮSPĖJIMAS, KAD VAISTINĮ PREPARATĄ BŪTINA LAIKYTI VAIKAMS </w:t>
      </w:r>
      <w:r w:rsidRPr="00061CCE">
        <w:rPr>
          <w:rFonts w:ascii="Times New Roman" w:eastAsia="Times New Roman" w:hAnsi="Times New Roman" w:cs="Times New Roman"/>
          <w:b/>
          <w:bCs/>
          <w:lang w:eastAsia="lt-LT"/>
        </w:rPr>
        <w:t xml:space="preserve">NEPASTEBIMOJE IR </w:t>
      </w:r>
      <w:r w:rsidRPr="00061CCE">
        <w:rPr>
          <w:rFonts w:ascii="Times New Roman" w:eastAsia="Times New Roman" w:hAnsi="Times New Roman" w:cs="Times New Roman"/>
          <w:b/>
          <w:lang w:eastAsia="lt-LT"/>
        </w:rPr>
        <w:t>NEPASIEKIAMOJE VIETOJE</w:t>
      </w:r>
    </w:p>
    <w:p w14:paraId="74CDFFF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E294C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vaikams nepastebimoje ir nepasiekiamoje vietoje.</w:t>
      </w:r>
    </w:p>
    <w:p w14:paraId="1871961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897D25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36E03BD"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KITAS (-I) SPECIALUS (-ŪS) ĮSPĖJIMAS (-AI) (JEI REIKIA)</w:t>
      </w:r>
    </w:p>
    <w:p w14:paraId="3E924E3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DCF64AE"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5" w:name="_Hlk73087489"/>
    </w:p>
    <w:bookmarkEnd w:id="75"/>
    <w:p w14:paraId="685632B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E55A18"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TINKAMUMO LAIKAS</w:t>
      </w:r>
    </w:p>
    <w:p w14:paraId="72BE37F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675D22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Tinka iki </w:t>
      </w:r>
      <w:r w:rsidRPr="00061CCE">
        <w:rPr>
          <w:rFonts w:ascii="Times New Roman" w:eastAsia="Times New Roman" w:hAnsi="Times New Roman" w:cs="Times New Roman"/>
          <w:iCs/>
          <w:lang w:eastAsia="lt-LT"/>
        </w:rPr>
        <w:t>{mm.MMMM}</w:t>
      </w:r>
    </w:p>
    <w:p w14:paraId="710AF5E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88AEC8" w14:textId="77777777" w:rsidR="00061CCE" w:rsidRPr="00061CCE" w:rsidRDefault="00061CCE" w:rsidP="00061CCE">
      <w:pPr>
        <w:spacing w:after="0" w:line="240" w:lineRule="auto"/>
        <w:rPr>
          <w:rFonts w:ascii="Times New Roman" w:eastAsia="Times New Roman" w:hAnsi="Times New Roman" w:cs="Times New Roman"/>
          <w:noProof/>
          <w:color w:val="000000"/>
          <w:lang w:eastAsia="en-US"/>
        </w:rPr>
      </w:pPr>
      <w:r w:rsidRPr="00061CCE">
        <w:rPr>
          <w:rFonts w:ascii="Times New Roman" w:eastAsia="Times New Roman" w:hAnsi="Times New Roman" w:cs="Times New Roman"/>
          <w:lang w:eastAsia="en-US"/>
        </w:rPr>
        <w:t>Skaitykite pakuotės lapelį, kuriame nurodytas tinkamumo laikas praskiedus.</w:t>
      </w:r>
    </w:p>
    <w:p w14:paraId="32A5FEE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30D2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D030995"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SPECIALIOS LAIKYMO SĄLYGOS</w:t>
      </w:r>
    </w:p>
    <w:p w14:paraId="5893842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E40A82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ne aukštesnėje kaip 25 °C temperatūroje.</w:t>
      </w:r>
    </w:p>
    <w:p w14:paraId="017FA28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Talpykles laikyti išorinėje dėžutėje, kad vaistas būtų apsaugotas nuo šviesos.</w:t>
      </w:r>
    </w:p>
    <w:p w14:paraId="188BF8E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D79AA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65569AE"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SPECIALIOS ATSARGUMO PRIEMONĖS DĖL</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NESUVARTOTO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VAISTINIO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PREPARATO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AR</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JO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ATLIEK</w:t>
      </w:r>
      <w:r w:rsidRPr="00061CCE">
        <w:rPr>
          <w:rFonts w:ascii="Times New Roman" w:eastAsia="Times New Roman" w:hAnsi="Times New Roman" w:cs="Times New Roman"/>
          <w:lang w:eastAsia="lt-LT"/>
        </w:rPr>
        <w:t xml:space="preserve">Ų </w:t>
      </w:r>
      <w:r w:rsidRPr="00061CCE">
        <w:rPr>
          <w:rFonts w:ascii="Times New Roman" w:eastAsia="Times New Roman" w:hAnsi="Times New Roman" w:cs="Times New Roman"/>
          <w:b/>
          <w:lang w:eastAsia="lt-LT"/>
        </w:rPr>
        <w:t>TVARKYMO (JEI REIKIA)</w:t>
      </w:r>
    </w:p>
    <w:p w14:paraId="15C3E20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C2C14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Nesuvartotus vaisto likučius reikia sunaikinti.</w:t>
      </w:r>
    </w:p>
    <w:p w14:paraId="487E2E2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BBDEBE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0F02C9"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REGISTRUOTOJO PAVADINIMAS IR ADRESAS</w:t>
      </w:r>
    </w:p>
    <w:p w14:paraId="4AEAB00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86F388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14:paraId="4DD7AFC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34209 Melsungen</w:t>
      </w:r>
    </w:p>
    <w:p w14:paraId="667EB23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Vokietija</w:t>
      </w:r>
    </w:p>
    <w:p w14:paraId="2586E04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2572C3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48B9DD"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REGISTRACIJOS PAŽYMĖJIMO NUMERIS (-IAI)</w:t>
      </w:r>
    </w:p>
    <w:p w14:paraId="720F125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40C477" w14:textId="77777777" w:rsidR="00061CCE" w:rsidRPr="00061CCE" w:rsidRDefault="00061CCE" w:rsidP="00061CCE">
      <w:pPr>
        <w:spacing w:after="0" w:line="240" w:lineRule="auto"/>
        <w:rPr>
          <w:rFonts w:ascii="Times New Roman" w:eastAsia="Times New Roman" w:hAnsi="Times New Roman" w:cs="Times New Roman"/>
          <w:bCs/>
          <w:highlight w:val="lightGray"/>
          <w:u w:val="single"/>
          <w:lang w:eastAsia="lt-LT"/>
        </w:rPr>
      </w:pPr>
      <w:r w:rsidRPr="00061CCE">
        <w:rPr>
          <w:rFonts w:ascii="Times New Roman" w:eastAsia="Times New Roman" w:hAnsi="Times New Roman" w:cs="Times New Roman"/>
          <w:bCs/>
          <w:highlight w:val="lightGray"/>
          <w:u w:val="single"/>
          <w:lang w:eastAsia="lt-LT"/>
        </w:rPr>
        <w:t>Stiklinė ampulė:</w:t>
      </w:r>
    </w:p>
    <w:p w14:paraId="1ABDF01C"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 xml:space="preserve">(5 ml), N10 </w:t>
      </w:r>
      <w:r w:rsidRPr="00061CCE">
        <w:rPr>
          <w:rFonts w:ascii="Times New Roman" w:eastAsia="Times New Roman" w:hAnsi="Times New Roman" w:cs="Times New Roman"/>
          <w:highlight w:val="lightGray"/>
          <w:lang w:eastAsia="lt-LT"/>
        </w:rPr>
        <w:t>–</w:t>
      </w:r>
      <w:r w:rsidRPr="00061CCE">
        <w:rPr>
          <w:rFonts w:ascii="Times New Roman" w:eastAsia="Times New Roman" w:hAnsi="Times New Roman" w:cs="Times New Roman"/>
          <w:bCs/>
          <w:lang w:eastAsia="lt-LT"/>
        </w:rPr>
        <w:t xml:space="preserve"> LT/1/08/1110/001</w:t>
      </w:r>
    </w:p>
    <w:p w14:paraId="03B124B6" w14:textId="77777777" w:rsidR="00061CCE" w:rsidRPr="00061CCE" w:rsidRDefault="00061CCE" w:rsidP="00061CCE">
      <w:pPr>
        <w:spacing w:after="0" w:line="240" w:lineRule="auto"/>
        <w:rPr>
          <w:rFonts w:ascii="Times New Roman" w:eastAsia="Times New Roman" w:hAnsi="Times New Roman" w:cs="Times New Roman"/>
          <w:bCs/>
          <w:highlight w:val="lightGray"/>
          <w:u w:val="single"/>
          <w:lang w:eastAsia="lt-LT"/>
        </w:rPr>
      </w:pPr>
      <w:r w:rsidRPr="00061CCE">
        <w:rPr>
          <w:rFonts w:ascii="Times New Roman" w:eastAsia="Times New Roman" w:hAnsi="Times New Roman" w:cs="Times New Roman"/>
          <w:bCs/>
          <w:highlight w:val="lightGray"/>
          <w:u w:val="single"/>
          <w:lang w:eastAsia="lt-LT"/>
        </w:rPr>
        <w:t>Polietileninė ampulė:</w:t>
      </w:r>
    </w:p>
    <w:p w14:paraId="3DDA18FC"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(5 ml), N4 –</w:t>
      </w:r>
      <w:r w:rsidRPr="00061CCE">
        <w:rPr>
          <w:rFonts w:ascii="Times New Roman" w:eastAsia="Times New Roman" w:hAnsi="Times New Roman" w:cs="Times New Roman"/>
          <w:bCs/>
          <w:lang w:eastAsia="lt-LT"/>
        </w:rPr>
        <w:t xml:space="preserve"> LT/1/08/1110/002</w:t>
      </w:r>
    </w:p>
    <w:p w14:paraId="72FD3E3B"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(5 ml), N10 –</w:t>
      </w:r>
      <w:r w:rsidRPr="00061CCE">
        <w:rPr>
          <w:rFonts w:ascii="Times New Roman" w:eastAsia="Times New Roman" w:hAnsi="Times New Roman" w:cs="Times New Roman"/>
          <w:bCs/>
          <w:lang w:eastAsia="lt-LT"/>
        </w:rPr>
        <w:t xml:space="preserve"> LT/1/08/1110/003</w:t>
      </w:r>
    </w:p>
    <w:p w14:paraId="78495098"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 xml:space="preserve">(5 ml), N20 </w:t>
      </w:r>
      <w:r w:rsidRPr="00061CCE">
        <w:rPr>
          <w:rFonts w:ascii="Times New Roman" w:eastAsia="Times New Roman" w:hAnsi="Times New Roman" w:cs="Times New Roman"/>
          <w:highlight w:val="lightGray"/>
          <w:lang w:eastAsia="lt-LT"/>
        </w:rPr>
        <w:t>–</w:t>
      </w:r>
      <w:r w:rsidRPr="00061CCE">
        <w:rPr>
          <w:rFonts w:ascii="Times New Roman" w:eastAsia="Times New Roman" w:hAnsi="Times New Roman" w:cs="Times New Roman"/>
          <w:bCs/>
          <w:lang w:eastAsia="lt-LT"/>
        </w:rPr>
        <w:t xml:space="preserve"> LT/1/08/1110/004</w:t>
      </w:r>
    </w:p>
    <w:p w14:paraId="2FA5DE77"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highlight w:val="lightGray"/>
          <w:u w:val="single"/>
          <w:lang w:eastAsia="lt-LT"/>
        </w:rPr>
        <w:t>Polietileno buteliukai:</w:t>
      </w:r>
    </w:p>
    <w:p w14:paraId="09544FD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(50 ml), N10 –</w:t>
      </w:r>
      <w:r w:rsidRPr="00061CCE">
        <w:rPr>
          <w:rFonts w:ascii="Times New Roman" w:eastAsia="Times New Roman" w:hAnsi="Times New Roman" w:cs="Times New Roman"/>
          <w:lang w:eastAsia="lt-LT"/>
        </w:rPr>
        <w:t xml:space="preserve"> LT/1/08/1110/012</w:t>
      </w:r>
    </w:p>
    <w:p w14:paraId="02872E4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(100 ml), N10 –</w:t>
      </w:r>
      <w:r w:rsidRPr="00061CCE">
        <w:rPr>
          <w:rFonts w:ascii="Times New Roman" w:eastAsia="Times New Roman" w:hAnsi="Times New Roman" w:cs="Times New Roman"/>
          <w:lang w:eastAsia="lt-LT"/>
        </w:rPr>
        <w:t xml:space="preserve"> LT/1/08/1110/013</w:t>
      </w:r>
    </w:p>
    <w:p w14:paraId="1706ADA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4106C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7AD3391"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SERIJOS NUMERIS</w:t>
      </w:r>
    </w:p>
    <w:p w14:paraId="0AA01B8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4C68A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Serija:</w:t>
      </w:r>
    </w:p>
    <w:p w14:paraId="7D569B8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E98E52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A9CE177"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bCs/>
          <w:lang w:eastAsia="lt-LT"/>
        </w:rPr>
        <w:t>PARDAVIMO (IŠDAVIMO)</w:t>
      </w:r>
      <w:r w:rsidRPr="00061CCE">
        <w:rPr>
          <w:rFonts w:ascii="Times New Roman" w:eastAsia="Times New Roman" w:hAnsi="Times New Roman" w:cs="Times New Roman"/>
          <w:b/>
          <w:lang w:eastAsia="lt-LT"/>
        </w:rPr>
        <w:t xml:space="preserve"> TVARKA</w:t>
      </w:r>
    </w:p>
    <w:p w14:paraId="7F825E4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67D80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Receptinis vaistas.</w:t>
      </w:r>
    </w:p>
    <w:p w14:paraId="75D6954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29826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7BCF6F"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VARTOJIMO INSTRUKCIJA</w:t>
      </w:r>
    </w:p>
    <w:p w14:paraId="33D1830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9C9C1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E1D754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B27EFFD" w14:textId="77777777" w:rsidR="00061CCE" w:rsidRPr="00061CCE" w:rsidRDefault="00061CCE" w:rsidP="00061CCE">
      <w:pPr>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 xml:space="preserve">INFORMACIJA BRAILIO RAŠTU </w:t>
      </w:r>
    </w:p>
    <w:p w14:paraId="762EB1A5"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7862072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Priimtas pagrindimas informacijos Brailio raštu nepateikti.</w:t>
      </w:r>
    </w:p>
    <w:p w14:paraId="63B8E83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7B059DF" w14:textId="77777777" w:rsidR="00061CCE" w:rsidRPr="00061CCE" w:rsidRDefault="00061CCE" w:rsidP="00061CCE">
      <w:pPr>
        <w:spacing w:after="0" w:line="240" w:lineRule="auto"/>
        <w:rPr>
          <w:rFonts w:ascii="Times New Roman" w:eastAsia="Times New Roman" w:hAnsi="Times New Roman" w:cs="Times New Roman"/>
          <w:noProof/>
          <w:shd w:val="clear" w:color="auto" w:fill="CCCCCC"/>
          <w:lang w:eastAsia="lt-LT"/>
        </w:rPr>
      </w:pPr>
    </w:p>
    <w:p w14:paraId="53749115" w14:textId="77777777" w:rsidR="00061CCE" w:rsidRPr="00061CCE" w:rsidRDefault="00061CCE" w:rsidP="00061CC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061CCE">
        <w:rPr>
          <w:rFonts w:ascii="Times New Roman" w:eastAsia="Times New Roman" w:hAnsi="Times New Roman" w:cs="Times New Roman"/>
          <w:b/>
          <w:noProof/>
          <w:szCs w:val="20"/>
          <w:lang w:eastAsia="lt-LT"/>
        </w:rPr>
        <w:t>17.</w:t>
      </w:r>
      <w:r w:rsidRPr="00061CCE">
        <w:rPr>
          <w:rFonts w:ascii="Times New Roman" w:eastAsia="Times New Roman" w:hAnsi="Times New Roman" w:cs="Times New Roman"/>
          <w:b/>
          <w:noProof/>
          <w:szCs w:val="20"/>
          <w:lang w:eastAsia="lt-LT"/>
        </w:rPr>
        <w:tab/>
        <w:t>UNIKALUS IDENTIFIKATORIUS – 2D BRŪKŠNINIS KODAS</w:t>
      </w:r>
    </w:p>
    <w:p w14:paraId="39EEC100"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176EE5D5" w14:textId="77777777" w:rsidR="00061CCE" w:rsidRPr="00061CCE" w:rsidRDefault="00061CCE" w:rsidP="00061CCE">
      <w:pPr>
        <w:spacing w:after="0" w:line="240" w:lineRule="auto"/>
        <w:rPr>
          <w:rFonts w:ascii="Times New Roman" w:eastAsia="Times New Roman" w:hAnsi="Times New Roman" w:cs="Times New Roman"/>
          <w:noProof/>
          <w:shd w:val="clear" w:color="auto" w:fill="CCCCCC"/>
          <w:lang w:eastAsia="lt-LT"/>
        </w:rPr>
      </w:pPr>
      <w:r w:rsidRPr="00061CCE">
        <w:rPr>
          <w:rFonts w:ascii="Times New Roman" w:eastAsia="Times New Roman" w:hAnsi="Times New Roman" w:cs="Times New Roman"/>
          <w:noProof/>
          <w:szCs w:val="20"/>
          <w:highlight w:val="lightGray"/>
          <w:lang w:eastAsia="lt-LT"/>
        </w:rPr>
        <w:t>2D brūkšninis kodas su nurodytu unikaliu identifikatoriumi.</w:t>
      </w:r>
    </w:p>
    <w:p w14:paraId="1473E523"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3D2A3181"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16B9E7C6" w14:textId="77777777" w:rsidR="00061CCE" w:rsidRPr="00061CCE" w:rsidRDefault="00061CCE" w:rsidP="00061CC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eastAsia="lt-LT"/>
        </w:rPr>
      </w:pPr>
      <w:r w:rsidRPr="00061CCE">
        <w:rPr>
          <w:rFonts w:ascii="Times New Roman" w:eastAsia="Times New Roman" w:hAnsi="Times New Roman" w:cs="Times New Roman"/>
          <w:b/>
          <w:noProof/>
          <w:szCs w:val="20"/>
          <w:lang w:eastAsia="lt-LT"/>
        </w:rPr>
        <w:t>18.</w:t>
      </w:r>
      <w:r w:rsidRPr="00061CCE">
        <w:rPr>
          <w:rFonts w:ascii="Times New Roman" w:eastAsia="Times New Roman" w:hAnsi="Times New Roman" w:cs="Times New Roman"/>
          <w:b/>
          <w:noProof/>
          <w:szCs w:val="20"/>
          <w:lang w:eastAsia="lt-LT"/>
        </w:rPr>
        <w:tab/>
        <w:t>UNIKALUS IDENTIFIKATORIUS – ŽMONĖMS SUPRANTAMI DUOMENYS</w:t>
      </w:r>
    </w:p>
    <w:p w14:paraId="74FD5C76"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36D10A49" w14:textId="77777777" w:rsidR="00061CCE" w:rsidRPr="00061CCE" w:rsidRDefault="00061CCE" w:rsidP="00061CCE">
      <w:pPr>
        <w:spacing w:after="0" w:line="240" w:lineRule="auto"/>
        <w:rPr>
          <w:rFonts w:ascii="Times New Roman" w:eastAsia="Times New Roman" w:hAnsi="Times New Roman" w:cs="Times New Roman"/>
          <w:color w:val="008000"/>
          <w:lang w:eastAsia="lt-LT"/>
        </w:rPr>
      </w:pPr>
      <w:r w:rsidRPr="00061CCE">
        <w:rPr>
          <w:rFonts w:ascii="Times New Roman" w:eastAsia="Times New Roman" w:hAnsi="Times New Roman" w:cs="Times New Roman"/>
          <w:szCs w:val="20"/>
          <w:lang w:eastAsia="lt-LT"/>
        </w:rPr>
        <w:t xml:space="preserve">PC </w:t>
      </w:r>
    </w:p>
    <w:p w14:paraId="0C847042"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SN </w:t>
      </w:r>
    </w:p>
    <w:p w14:paraId="4FD3505E" w14:textId="77777777" w:rsidR="00061CCE" w:rsidRPr="00061CCE" w:rsidRDefault="00061CCE" w:rsidP="00061CCE">
      <w:pPr>
        <w:spacing w:after="0" w:line="240" w:lineRule="auto"/>
        <w:rPr>
          <w:rFonts w:ascii="Times New Roman" w:eastAsia="Times New Roman" w:hAnsi="Times New Roman" w:cs="Times New Roman"/>
          <w:noProof/>
          <w:vanish/>
          <w:lang w:eastAsia="lt-LT"/>
        </w:rPr>
      </w:pPr>
      <w:r w:rsidRPr="00061CCE">
        <w:rPr>
          <w:rFonts w:ascii="Times New Roman" w:eastAsia="Times New Roman" w:hAnsi="Times New Roman" w:cs="Times New Roman"/>
          <w:szCs w:val="20"/>
          <w:lang w:eastAsia="lt-LT"/>
        </w:rPr>
        <w:t>NN</w:t>
      </w:r>
    </w:p>
    <w:p w14:paraId="78BF0F6B" w14:textId="77777777" w:rsidR="00061CCE" w:rsidRPr="00061CCE" w:rsidRDefault="00061CCE" w:rsidP="00061CCE">
      <w:pPr>
        <w:spacing w:after="0" w:line="240" w:lineRule="auto"/>
        <w:rPr>
          <w:rFonts w:ascii="Times New Roman" w:eastAsia="Times New Roman" w:hAnsi="Times New Roman" w:cs="Times New Roman"/>
          <w:szCs w:val="24"/>
          <w:lang w:eastAsia="lt-LT"/>
        </w:rPr>
      </w:pPr>
    </w:p>
    <w:p w14:paraId="54BF83F1" w14:textId="77777777" w:rsidR="00061CCE" w:rsidRPr="00061CCE" w:rsidRDefault="00061CCE" w:rsidP="00061CCE">
      <w:pPr>
        <w:spacing w:after="0" w:line="240" w:lineRule="auto"/>
        <w:rPr>
          <w:rFonts w:ascii="Times New Roman" w:eastAsia="Times New Roman" w:hAnsi="Times New Roman" w:cs="Times New Roman"/>
          <w:szCs w:val="24"/>
          <w:lang w:eastAsia="lt-LT"/>
        </w:rPr>
      </w:pPr>
      <w:r w:rsidRPr="00061CCE">
        <w:rPr>
          <w:rFonts w:ascii="Times New Roman" w:eastAsia="Times New Roman" w:hAnsi="Times New Roman" w:cs="Times New Roman"/>
          <w:szCs w:val="24"/>
          <w:lang w:eastAsia="lt-LT"/>
        </w:rPr>
        <w:br w:type="page"/>
      </w:r>
    </w:p>
    <w:p w14:paraId="523588FF"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lastRenderedPageBreak/>
        <w:t>MINIMALI INFORMACIJA ANT MAŽŲ VIDINIŲ PAKUOČIŲ</w:t>
      </w:r>
    </w:p>
    <w:p w14:paraId="6AD56D4F"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p>
    <w:p w14:paraId="18CF6544"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BESPALVIO STIKLO IR PERMATOMA POLIETILENINĖ AMPULĖ</w:t>
      </w:r>
    </w:p>
    <w:p w14:paraId="676C9507"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4B9E17A4"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0AFDD037"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VAISTINIO PREPARATO PAVADINIMAS IR VARTOJIMO BŪDAS (-AI)</w:t>
      </w:r>
    </w:p>
    <w:p w14:paraId="46297518"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3F7DEC8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1 mg/ml injekcinis ar infuzinis tirpalas</w:t>
      </w:r>
    </w:p>
    <w:p w14:paraId="5CE752C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midazolamum</w:t>
      </w:r>
    </w:p>
    <w:p w14:paraId="315F796E" w14:textId="77777777" w:rsidR="00061CCE" w:rsidRPr="00061CCE" w:rsidRDefault="00061CCE" w:rsidP="00061CCE">
      <w:pP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lang w:eastAsia="lt-LT"/>
        </w:rPr>
        <w:t>i.v., i.m, į tiesiąją žarną</w:t>
      </w:r>
    </w:p>
    <w:p w14:paraId="36C24255"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55779AC2"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6878E32F"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VARTOJIMO METODAS</w:t>
      </w:r>
    </w:p>
    <w:p w14:paraId="00B072B2"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0C2CCA5E"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2D5C385D"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45EB2050"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TINKAMUMO LAIKAS</w:t>
      </w:r>
    </w:p>
    <w:p w14:paraId="68437B0F"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7FD4D6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EXP</w:t>
      </w:r>
      <w:r w:rsidRPr="00061CCE">
        <w:rPr>
          <w:rFonts w:ascii="Times New Roman" w:eastAsia="Times New Roman" w:hAnsi="Times New Roman" w:cs="Times New Roman"/>
          <w:iCs/>
          <w:lang w:eastAsia="lt-LT"/>
        </w:rPr>
        <w:t>{mm.MMMM}</w:t>
      </w:r>
    </w:p>
    <w:p w14:paraId="2333D81D"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16F69E63"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0E270B3E"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SERIJOS NUMERIS</w:t>
      </w:r>
    </w:p>
    <w:p w14:paraId="0AE703BF"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5B876F0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Lot</w:t>
      </w:r>
    </w:p>
    <w:p w14:paraId="75BB6C08"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322C5EDA"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6B3F930E"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KIEKIS (MASĖ, TŪRIS ARBA VIENETAI)</w:t>
      </w:r>
    </w:p>
    <w:p w14:paraId="00F97354"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7CCA1F1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5 mg/5 ml</w:t>
      </w:r>
    </w:p>
    <w:p w14:paraId="711719A1"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1E3F394A"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7A8592D6" w14:textId="77777777" w:rsidR="00061CCE" w:rsidRPr="00061CCE" w:rsidRDefault="00061CCE" w:rsidP="00061CCE">
      <w:pPr>
        <w:numPr>
          <w:ilvl w:val="0"/>
          <w:numId w:val="8"/>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KITA</w:t>
      </w:r>
    </w:p>
    <w:p w14:paraId="715F1C77"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68D403D4"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28A3CCEF"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2EF9BC6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br w:type="page"/>
      </w:r>
    </w:p>
    <w:p w14:paraId="3DBD6B26"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lastRenderedPageBreak/>
        <w:t>INFORMACIJA ANT VIDINĖS PAKUOTĖS</w:t>
      </w:r>
    </w:p>
    <w:p w14:paraId="26C45F55"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68A0124" w14:textId="77777777" w:rsidR="00061CCE" w:rsidRPr="00061CCE" w:rsidRDefault="00061CCE" w:rsidP="00061C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Permatomi polietileno buteliukai</w:t>
      </w:r>
    </w:p>
    <w:p w14:paraId="075AA3F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B4FEA3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3D8B9B1"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VAISTINIO PREPARATO PAVADINIMAS</w:t>
      </w:r>
    </w:p>
    <w:p w14:paraId="2C5864E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6232B0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1 mg/ml injekcinis ar infuzinis tirpalas</w:t>
      </w:r>
    </w:p>
    <w:p w14:paraId="1E36D88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midazolamum</w:t>
      </w:r>
    </w:p>
    <w:p w14:paraId="391E82B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289C37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A1C2795"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VEIKLIOJI (-IOS) MEDŽIAGA (-OS) IR JOS (-Ų) KIEKIS (-IAI)</w:t>
      </w:r>
    </w:p>
    <w:p w14:paraId="0527754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5CB82E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B68DA4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08A251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 ml tirpalo yra 1 mg midazolamo (atitinka 1,112 mg midazolamo hidrochlorido).</w:t>
      </w:r>
      <w:r w:rsidRPr="00061CCE">
        <w:rPr>
          <w:rFonts w:ascii="Times New Roman" w:eastAsia="Times New Roman" w:hAnsi="Times New Roman" w:cs="Times New Roman"/>
          <w:lang w:eastAsia="lt-LT"/>
        </w:rPr>
        <w:tab/>
      </w:r>
    </w:p>
    <w:p w14:paraId="4EBDBAC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50 ml buteliuke yra 50 mg midazolamo (atitinka 55,6 mg midazolamo hidrochlorido).</w:t>
      </w:r>
    </w:p>
    <w:p w14:paraId="5FB3FCF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FCD219" w14:textId="77777777" w:rsidR="00061CCE" w:rsidRPr="00061CCE" w:rsidRDefault="00061CCE" w:rsidP="00061CCE">
      <w:pPr>
        <w:spacing w:after="0" w:line="240" w:lineRule="auto"/>
        <w:rPr>
          <w:rFonts w:ascii="Times New Roman" w:eastAsia="Times New Roman" w:hAnsi="Times New Roman" w:cs="Times New Roman"/>
          <w:highlight w:val="lightGray"/>
          <w:lang w:eastAsia="lt-LT"/>
        </w:rPr>
      </w:pPr>
      <w:r w:rsidRPr="00061CCE">
        <w:rPr>
          <w:rFonts w:ascii="Times New Roman" w:eastAsia="Times New Roman" w:hAnsi="Times New Roman" w:cs="Times New Roman"/>
          <w:highlight w:val="lightGray"/>
          <w:lang w:eastAsia="lt-LT"/>
        </w:rPr>
        <w:t xml:space="preserve">1 ml tirpalo yra 1 mg midazolamo (atitinka 1,112 mg midazolamo hidrochlorido). </w:t>
      </w:r>
      <w:r w:rsidRPr="00061CCE">
        <w:rPr>
          <w:rFonts w:ascii="Times New Roman" w:eastAsia="Times New Roman" w:hAnsi="Times New Roman" w:cs="Times New Roman"/>
          <w:highlight w:val="lightGray"/>
          <w:lang w:eastAsia="lt-LT"/>
        </w:rPr>
        <w:tab/>
      </w:r>
    </w:p>
    <w:p w14:paraId="7C14C34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Kiekviename 100 ml buteliuke yra 100 mg midazolamo (atitinka 111,2 mg midazolamo hidrochlorido).</w:t>
      </w:r>
    </w:p>
    <w:p w14:paraId="43953FF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FC4664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95D4A5"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PAGALBINIŲ MEDŽIAGŲ SĄRAŠAS</w:t>
      </w:r>
    </w:p>
    <w:p w14:paraId="5B0B7FA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32D0EF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Natrii chloridum, Acidum hydrochloridum 10 %, Aqua ad iniectabile.</w:t>
      </w:r>
    </w:p>
    <w:p w14:paraId="52A4301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FD6913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58DCC29"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FARMACINĖ FORMA IR KIEKIS PAKUOTĖJE</w:t>
      </w:r>
    </w:p>
    <w:p w14:paraId="0BDE315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61888E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Injekcinis ar infuzinis tirpalas</w:t>
      </w:r>
    </w:p>
    <w:p w14:paraId="5649417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3613E8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50 ml</w:t>
      </w:r>
    </w:p>
    <w:p w14:paraId="54A7D79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100 ml</w:t>
      </w:r>
    </w:p>
    <w:p w14:paraId="4607B2C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63134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3E6619A"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VARTOJIMO METODAS IR BŪDAS (-AI)</w:t>
      </w:r>
    </w:p>
    <w:p w14:paraId="183B4B9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5D03A0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Leisti į veną, į raumenis arba vartoti į tiesiąją žarną</w:t>
      </w:r>
    </w:p>
    <w:p w14:paraId="104FB5C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CFE525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Tik vienkartiniam vartojimui.</w:t>
      </w:r>
    </w:p>
    <w:p w14:paraId="23A9976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Prieš vartojimą perskaitykite pakuotės lapelį.</w:t>
      </w:r>
    </w:p>
    <w:p w14:paraId="3C22A61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4B498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509337"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 xml:space="preserve">SPECIALUS ĮSPĖJIMAS, KAD VAISTINĮ PREPARATĄ BŪTINA LAIKYTI VAIKAMS </w:t>
      </w:r>
      <w:r w:rsidRPr="00061CCE">
        <w:rPr>
          <w:rFonts w:ascii="Times New Roman" w:eastAsia="Times New Roman" w:hAnsi="Times New Roman" w:cs="Times New Roman"/>
          <w:b/>
          <w:bCs/>
          <w:lang w:eastAsia="lt-LT"/>
        </w:rPr>
        <w:t xml:space="preserve">NEPASTEBIMOJE IR </w:t>
      </w:r>
      <w:r w:rsidRPr="00061CCE">
        <w:rPr>
          <w:rFonts w:ascii="Times New Roman" w:eastAsia="Times New Roman" w:hAnsi="Times New Roman" w:cs="Times New Roman"/>
          <w:b/>
          <w:lang w:eastAsia="lt-LT"/>
        </w:rPr>
        <w:t>NEPASIEKIAMOJE VIETOJE</w:t>
      </w:r>
    </w:p>
    <w:p w14:paraId="7D2C704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CDC690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vaikams nepastebimoje ir nepasiekiamoje vietoje.</w:t>
      </w:r>
    </w:p>
    <w:p w14:paraId="1EB6EAF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A60FE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60B208F"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KITAS (-I) SPECIALUS (-ŪS) ĮSPĖJIMAS (-AI) (JEI REIKIA)</w:t>
      </w:r>
    </w:p>
    <w:p w14:paraId="13ECE19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1966CC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2D8578E"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TINKAMUMO LAIKAS</w:t>
      </w:r>
    </w:p>
    <w:p w14:paraId="40A391B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E1A087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 xml:space="preserve">Tinka iki </w:t>
      </w:r>
      <w:r w:rsidRPr="00061CCE">
        <w:rPr>
          <w:rFonts w:ascii="Times New Roman" w:eastAsia="Times New Roman" w:hAnsi="Times New Roman" w:cs="Times New Roman"/>
          <w:iCs/>
          <w:lang w:eastAsia="lt-LT"/>
        </w:rPr>
        <w:t>{mm.MMMM}</w:t>
      </w:r>
    </w:p>
    <w:p w14:paraId="27C456F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248F402" w14:textId="77777777" w:rsidR="00061CCE" w:rsidRPr="00061CCE" w:rsidRDefault="00061CCE" w:rsidP="00061CCE">
      <w:pPr>
        <w:spacing w:after="0" w:line="240" w:lineRule="auto"/>
        <w:rPr>
          <w:rFonts w:ascii="Times New Roman" w:eastAsia="Times New Roman" w:hAnsi="Times New Roman" w:cs="Times New Roman"/>
          <w:noProof/>
          <w:color w:val="000000"/>
          <w:lang w:eastAsia="en-US"/>
        </w:rPr>
      </w:pPr>
      <w:r w:rsidRPr="00061CCE">
        <w:rPr>
          <w:rFonts w:ascii="Times New Roman" w:eastAsia="Times New Roman" w:hAnsi="Times New Roman" w:cs="Times New Roman"/>
          <w:lang w:eastAsia="en-US"/>
        </w:rPr>
        <w:t>Skaitykite pakuotės lapelį, kuriame nurodytas tinkamumo laikas praskiedus.</w:t>
      </w:r>
    </w:p>
    <w:p w14:paraId="33C5C5F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549963D"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SPECIALIOS LAIKYMO SĄLYGOS</w:t>
      </w:r>
    </w:p>
    <w:p w14:paraId="33156A6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79F5C1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ne aukštesnėje kaip 25 °C temperatūroje.</w:t>
      </w:r>
    </w:p>
    <w:p w14:paraId="179BB49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Buteliuką laikyti išorinėje dėžutėje, kad vaistas būtų apsaugotas nuo šviesos.</w:t>
      </w:r>
    </w:p>
    <w:p w14:paraId="4B6B07F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41CD6F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17055FE"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SPECIALIOS ATSARGUMO PRIEMONĖS DĖL</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NESUVARTOTO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VAISTINIO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PREPARATO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AR</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JO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ATLIEK</w:t>
      </w:r>
      <w:r w:rsidRPr="00061CCE">
        <w:rPr>
          <w:rFonts w:ascii="Times New Roman" w:eastAsia="Times New Roman" w:hAnsi="Times New Roman" w:cs="Times New Roman"/>
          <w:lang w:eastAsia="lt-LT"/>
        </w:rPr>
        <w:t xml:space="preserve">Ų </w:t>
      </w:r>
      <w:r w:rsidRPr="00061CCE">
        <w:rPr>
          <w:rFonts w:ascii="Times New Roman" w:eastAsia="Times New Roman" w:hAnsi="Times New Roman" w:cs="Times New Roman"/>
          <w:b/>
          <w:lang w:eastAsia="lt-LT"/>
        </w:rPr>
        <w:t>TVARKYMO (JEI REIKIA)</w:t>
      </w:r>
    </w:p>
    <w:p w14:paraId="0D9FBFF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939C7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Nesuvartotus vaisto likučius reikia sunaikinti.</w:t>
      </w:r>
    </w:p>
    <w:p w14:paraId="6DE6CDE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A772CF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9047278"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REGISTRUOTOJO PAVADINIMAS IR ADRESAS</w:t>
      </w:r>
    </w:p>
    <w:p w14:paraId="1AA839A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2B900F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B. Braun Melsungen AG </w:t>
      </w:r>
    </w:p>
    <w:p w14:paraId="4E6674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34209 Melsungen</w:t>
      </w:r>
    </w:p>
    <w:p w14:paraId="4B8E112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Vokietija</w:t>
      </w:r>
    </w:p>
    <w:p w14:paraId="2434F9E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F6412F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D389E31" w14:textId="77777777" w:rsidR="00061CCE" w:rsidRPr="00061CCE" w:rsidRDefault="00061CCE" w:rsidP="00061CCE">
      <w:pPr>
        <w:numPr>
          <w:ilvl w:val="0"/>
          <w:numId w:val="9"/>
        </w:num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REGISTRACIJOS PAŽYMĖJIMO NUMERIS (-IAI)</w:t>
      </w:r>
    </w:p>
    <w:p w14:paraId="60199F6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20632CD"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 xml:space="preserve">(50 ml), N10 </w:t>
      </w:r>
      <w:r w:rsidRPr="00061CCE">
        <w:rPr>
          <w:rFonts w:ascii="Times New Roman" w:eastAsia="Times New Roman" w:hAnsi="Times New Roman" w:cs="Times New Roman"/>
          <w:highlight w:val="lightGray"/>
          <w:lang w:eastAsia="lt-LT"/>
        </w:rPr>
        <w:t>–</w:t>
      </w:r>
      <w:r w:rsidRPr="00061CCE">
        <w:rPr>
          <w:rFonts w:ascii="Times New Roman" w:eastAsia="Times New Roman" w:hAnsi="Times New Roman" w:cs="Times New Roman"/>
          <w:bCs/>
          <w:lang w:eastAsia="lt-LT"/>
        </w:rPr>
        <w:t xml:space="preserve"> LT/1/08/1110/012</w:t>
      </w:r>
    </w:p>
    <w:p w14:paraId="52D7B545" w14:textId="77777777" w:rsidR="00061CCE" w:rsidRPr="00061CCE" w:rsidRDefault="00061CCE" w:rsidP="00061CCE">
      <w:pPr>
        <w:spacing w:after="0" w:line="240" w:lineRule="auto"/>
        <w:rPr>
          <w:rFonts w:ascii="Times New Roman" w:eastAsia="Times New Roman" w:hAnsi="Times New Roman" w:cs="Times New Roman"/>
          <w:bCs/>
          <w:lang w:eastAsia="lt-LT"/>
        </w:rPr>
      </w:pPr>
      <w:r w:rsidRPr="00061CCE">
        <w:rPr>
          <w:rFonts w:ascii="Times New Roman" w:eastAsia="Times New Roman" w:hAnsi="Times New Roman" w:cs="Times New Roman"/>
          <w:bCs/>
          <w:highlight w:val="lightGray"/>
          <w:lang w:eastAsia="lt-LT"/>
        </w:rPr>
        <w:t xml:space="preserve">(100 ml), N10 </w:t>
      </w:r>
      <w:r w:rsidRPr="00061CCE">
        <w:rPr>
          <w:rFonts w:ascii="Times New Roman" w:eastAsia="Times New Roman" w:hAnsi="Times New Roman" w:cs="Times New Roman"/>
          <w:highlight w:val="lightGray"/>
          <w:lang w:eastAsia="lt-LT"/>
        </w:rPr>
        <w:t>–</w:t>
      </w:r>
      <w:r w:rsidRPr="00061CCE">
        <w:rPr>
          <w:rFonts w:ascii="Times New Roman" w:eastAsia="Times New Roman" w:hAnsi="Times New Roman" w:cs="Times New Roman"/>
          <w:bCs/>
          <w:lang w:eastAsia="lt-LT"/>
        </w:rPr>
        <w:t xml:space="preserve"> LT/1/08/1110/013</w:t>
      </w:r>
    </w:p>
    <w:p w14:paraId="3851E6E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91395F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F6CF61A"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SERIJOS NUMERIS</w:t>
      </w:r>
    </w:p>
    <w:p w14:paraId="522A275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63379D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Serija:</w:t>
      </w:r>
    </w:p>
    <w:p w14:paraId="6FD6DD8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0FDD13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44F51E4"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bCs/>
          <w:lang w:eastAsia="lt-LT"/>
        </w:rPr>
        <w:t>PARDAVIMO (IŠDAVIMO)</w:t>
      </w:r>
      <w:r w:rsidRPr="00061CCE">
        <w:rPr>
          <w:rFonts w:ascii="Times New Roman" w:eastAsia="Times New Roman" w:hAnsi="Times New Roman" w:cs="Times New Roman"/>
          <w:b/>
          <w:lang w:eastAsia="lt-LT"/>
        </w:rPr>
        <w:t xml:space="preserve"> TVARKA</w:t>
      </w:r>
    </w:p>
    <w:p w14:paraId="320572C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6119CD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Receptinis vaistas.</w:t>
      </w:r>
    </w:p>
    <w:p w14:paraId="3CBB3F7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7FBEF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CE86D7"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VARTOJIMO INSTRUKCIJA</w:t>
      </w:r>
    </w:p>
    <w:p w14:paraId="1717B01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2CA140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D6E3B10" w14:textId="77777777" w:rsidR="00061CCE" w:rsidRPr="00061CCE" w:rsidRDefault="00061CCE" w:rsidP="00061CCE">
      <w:pPr>
        <w:numPr>
          <w:ilvl w:val="0"/>
          <w:numId w:val="9"/>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 xml:space="preserve">INFORMACIJA BRAILIO RAŠTU </w:t>
      </w:r>
    </w:p>
    <w:p w14:paraId="28DCA058"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33001E0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highlight w:val="lightGray"/>
          <w:lang w:eastAsia="lt-LT"/>
        </w:rPr>
        <w:t>Priimtas pagrindimas informacijos Brailio raštu nepateikti.</w:t>
      </w:r>
    </w:p>
    <w:p w14:paraId="268D702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154292" w14:textId="77777777" w:rsidR="00061CCE" w:rsidRPr="00061CCE" w:rsidRDefault="00061CCE" w:rsidP="00061CCE">
      <w:pPr>
        <w:spacing w:after="0" w:line="240" w:lineRule="auto"/>
        <w:rPr>
          <w:rFonts w:ascii="Times New Roman" w:eastAsia="Times New Roman" w:hAnsi="Times New Roman" w:cs="Times New Roman"/>
          <w:noProof/>
          <w:shd w:val="clear" w:color="auto" w:fill="CCCCCC"/>
          <w:lang w:eastAsia="lt-LT"/>
        </w:rPr>
      </w:pPr>
    </w:p>
    <w:p w14:paraId="19A794D0" w14:textId="77777777" w:rsidR="00061CCE" w:rsidRPr="00061CCE" w:rsidRDefault="00061CCE" w:rsidP="00061CC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061CCE">
        <w:rPr>
          <w:rFonts w:ascii="Times New Roman" w:eastAsia="Times New Roman" w:hAnsi="Times New Roman" w:cs="Times New Roman"/>
          <w:b/>
          <w:noProof/>
          <w:szCs w:val="20"/>
          <w:lang w:eastAsia="lt-LT"/>
        </w:rPr>
        <w:t>17.</w:t>
      </w:r>
      <w:r w:rsidRPr="00061CCE">
        <w:rPr>
          <w:rFonts w:ascii="Times New Roman" w:eastAsia="Times New Roman" w:hAnsi="Times New Roman" w:cs="Times New Roman"/>
          <w:b/>
          <w:noProof/>
          <w:szCs w:val="20"/>
          <w:lang w:eastAsia="lt-LT"/>
        </w:rPr>
        <w:tab/>
        <w:t>UNIKALUS IDENTIFIKATORIUS – 2D BRŪKŠNINIS KODAS</w:t>
      </w:r>
    </w:p>
    <w:p w14:paraId="4D04A4C3"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4631A555" w14:textId="77777777" w:rsidR="00061CCE" w:rsidRPr="00061CCE" w:rsidRDefault="00061CCE" w:rsidP="00061CCE">
      <w:pPr>
        <w:spacing w:after="0" w:line="240" w:lineRule="auto"/>
        <w:rPr>
          <w:rFonts w:ascii="Times New Roman" w:eastAsia="Times New Roman" w:hAnsi="Times New Roman" w:cs="Times New Roman"/>
          <w:noProof/>
          <w:szCs w:val="24"/>
          <w:highlight w:val="lightGray"/>
          <w:lang w:eastAsia="lt-LT"/>
        </w:rPr>
      </w:pPr>
      <w:r w:rsidRPr="00061CCE">
        <w:rPr>
          <w:rFonts w:ascii="Times New Roman" w:eastAsia="Times New Roman" w:hAnsi="Times New Roman" w:cs="Times New Roman"/>
          <w:noProof/>
          <w:szCs w:val="20"/>
          <w:highlight w:val="lightGray"/>
          <w:lang w:eastAsia="lt-LT"/>
        </w:rPr>
        <w:t>Duomenys nebūtini.</w:t>
      </w:r>
    </w:p>
    <w:p w14:paraId="79A07535"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1BBD6F76"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4D69C96C" w14:textId="77777777" w:rsidR="00061CCE" w:rsidRPr="00061CCE" w:rsidRDefault="00061CCE" w:rsidP="00061CC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eastAsia="lt-LT"/>
        </w:rPr>
      </w:pPr>
      <w:r w:rsidRPr="00061CCE">
        <w:rPr>
          <w:rFonts w:ascii="Times New Roman" w:eastAsia="Times New Roman" w:hAnsi="Times New Roman" w:cs="Times New Roman"/>
          <w:b/>
          <w:noProof/>
          <w:szCs w:val="20"/>
          <w:lang w:eastAsia="lt-LT"/>
        </w:rPr>
        <w:t>18.</w:t>
      </w:r>
      <w:r w:rsidRPr="00061CCE">
        <w:rPr>
          <w:rFonts w:ascii="Times New Roman" w:eastAsia="Times New Roman" w:hAnsi="Times New Roman" w:cs="Times New Roman"/>
          <w:b/>
          <w:noProof/>
          <w:szCs w:val="20"/>
          <w:lang w:eastAsia="lt-LT"/>
        </w:rPr>
        <w:tab/>
        <w:t>UNIKALUS IDENTIFIKATORIUS – ŽMONĖMS SUPRANTAMI DUOMENYS</w:t>
      </w:r>
    </w:p>
    <w:p w14:paraId="6E611FFB" w14:textId="77777777" w:rsidR="00061CCE" w:rsidRPr="00061CCE" w:rsidRDefault="00061CCE" w:rsidP="00061CCE">
      <w:pPr>
        <w:spacing w:after="0" w:line="240" w:lineRule="auto"/>
        <w:rPr>
          <w:rFonts w:ascii="Times New Roman" w:eastAsia="Times New Roman" w:hAnsi="Times New Roman" w:cs="Times New Roman"/>
          <w:noProof/>
          <w:szCs w:val="20"/>
          <w:lang w:eastAsia="lt-LT"/>
        </w:rPr>
      </w:pPr>
    </w:p>
    <w:p w14:paraId="62FC1A4D" w14:textId="090D201C"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noProof/>
          <w:szCs w:val="20"/>
          <w:highlight w:val="lightGray"/>
          <w:shd w:val="clear" w:color="auto" w:fill="CCCCCC"/>
          <w:lang w:eastAsia="lt-LT"/>
        </w:rPr>
        <w:t>Duomenys nebūtini.</w:t>
      </w:r>
      <w:r w:rsidRPr="00061CCE">
        <w:rPr>
          <w:rFonts w:ascii="Times New Roman" w:eastAsia="Times New Roman" w:hAnsi="Times New Roman" w:cs="Times New Roman"/>
          <w:szCs w:val="24"/>
          <w:lang w:eastAsia="lt-LT"/>
        </w:rPr>
        <w:br w:type="page"/>
      </w:r>
    </w:p>
    <w:p w14:paraId="7C89EC4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23AB77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19C148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BCCA53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4EBC3F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3CAAEE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1A4C6A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965123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78880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07F37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8135A5E"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497EAEF3"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1C0A8236"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5A32149A"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4E4D409F"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04B4E417"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2A9EEF0B"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2E4544AD"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326865DC"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6A18678F"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4549D375"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3C4208AB"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4C5367CE"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p>
    <w:p w14:paraId="36C221F4"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B. PAKUOTĖS LAPELIS</w:t>
      </w:r>
    </w:p>
    <w:p w14:paraId="509D587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F58C53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B92E151" w14:textId="77777777" w:rsidR="00061CCE" w:rsidRPr="00061CCE" w:rsidRDefault="00061CCE" w:rsidP="00061CCE">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lang w:eastAsia="lt-LT"/>
        </w:rPr>
        <w:br w:type="page"/>
      </w:r>
      <w:r w:rsidRPr="00061CCE">
        <w:rPr>
          <w:rFonts w:ascii="Times New Roman" w:eastAsia="Times New Roman" w:hAnsi="Times New Roman" w:cs="Times New Roman"/>
          <w:b/>
          <w:iCs/>
          <w:lang w:eastAsia="lt-LT"/>
        </w:rPr>
        <w:lastRenderedPageBreak/>
        <w:t>Pakuotės</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lapelis:</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informacija</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vartotojui</w:t>
      </w:r>
    </w:p>
    <w:p w14:paraId="5CDAB07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CB00551" w14:textId="77777777" w:rsidR="00061CCE" w:rsidRPr="00061CCE" w:rsidRDefault="00061CCE" w:rsidP="00061CCE">
      <w:pPr>
        <w:spacing w:after="0" w:line="240" w:lineRule="auto"/>
        <w:jc w:val="center"/>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Midazolam B. Braun 1 mg/ml injekcinis ar infuzinis tirpalas</w:t>
      </w:r>
    </w:p>
    <w:p w14:paraId="17C8D097" w14:textId="77777777" w:rsidR="00061CCE" w:rsidRPr="00061CCE" w:rsidRDefault="00061CCE" w:rsidP="00061CCE">
      <w:pPr>
        <w:spacing w:after="0" w:line="240" w:lineRule="auto"/>
        <w:jc w:val="center"/>
        <w:rPr>
          <w:rFonts w:ascii="Times New Roman" w:eastAsia="Times New Roman" w:hAnsi="Times New Roman" w:cs="Times New Roman"/>
          <w:lang w:eastAsia="lt-LT"/>
        </w:rPr>
      </w:pPr>
    </w:p>
    <w:p w14:paraId="0DF6F45F" w14:textId="77777777" w:rsidR="00061CCE" w:rsidRPr="00061CCE" w:rsidRDefault="00061CCE" w:rsidP="00061CCE">
      <w:pPr>
        <w:spacing w:after="0" w:line="240" w:lineRule="auto"/>
        <w:jc w:val="center"/>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midazolamas</w:t>
      </w:r>
    </w:p>
    <w:p w14:paraId="560986E0" w14:textId="77777777" w:rsidR="00061CCE" w:rsidRPr="00061CCE" w:rsidRDefault="00061CCE" w:rsidP="00061CCE">
      <w:pPr>
        <w:spacing w:after="0" w:line="240" w:lineRule="auto"/>
        <w:rPr>
          <w:rFonts w:ascii="Times New Roman" w:eastAsia="Times New Roman" w:hAnsi="Times New Roman" w:cs="Times New Roman"/>
          <w:b/>
          <w:bCs/>
          <w:lang w:eastAsia="lt-LT"/>
        </w:rPr>
      </w:pPr>
    </w:p>
    <w:p w14:paraId="46881937"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Atidžiai perskaitykite visą šį lapelį, prieš pradėdami vartoti vaistą, nes jame pateikiama Jums svarbi informacija.</w:t>
      </w:r>
    </w:p>
    <w:p w14:paraId="6E3C24A6" w14:textId="77777777" w:rsidR="00061CCE" w:rsidRPr="00061CCE" w:rsidRDefault="00061CCE" w:rsidP="00061CCE">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Neišmeskite lapelio, nes vėl gali prireikti jį perskaityti.</w:t>
      </w:r>
    </w:p>
    <w:p w14:paraId="1456F40F" w14:textId="77777777" w:rsidR="00061CCE" w:rsidRPr="00061CCE" w:rsidRDefault="00061CCE" w:rsidP="00061CCE">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Jeigu kiltų daugiau klausimų, kreipkitės į gydytoją arba vaistininką.</w:t>
      </w:r>
    </w:p>
    <w:p w14:paraId="66DDB1BF" w14:textId="77777777" w:rsidR="00061CCE" w:rsidRPr="00061CCE" w:rsidRDefault="00061CCE" w:rsidP="00061CCE">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14:paraId="61F8E57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4881AD1"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Apie ką rašoma šiame lapelyje?</w:t>
      </w:r>
    </w:p>
    <w:p w14:paraId="14797ED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w:t>
      </w:r>
      <w:r w:rsidRPr="00061CCE">
        <w:rPr>
          <w:rFonts w:ascii="Times New Roman" w:eastAsia="Times New Roman" w:hAnsi="Times New Roman" w:cs="Times New Roman"/>
          <w:lang w:eastAsia="lt-LT"/>
        </w:rPr>
        <w:tab/>
        <w:t>Kas yra Midazolam B. Braun ir kam jis vartojamas</w:t>
      </w:r>
    </w:p>
    <w:p w14:paraId="14030F4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2.</w:t>
      </w:r>
      <w:r w:rsidRPr="00061CCE">
        <w:rPr>
          <w:rFonts w:ascii="Times New Roman" w:eastAsia="Times New Roman" w:hAnsi="Times New Roman" w:cs="Times New Roman"/>
          <w:lang w:eastAsia="lt-LT"/>
        </w:rPr>
        <w:tab/>
        <w:t xml:space="preserve">Kas žinotina prieš vartojant Midazolam B. Braun </w:t>
      </w:r>
    </w:p>
    <w:p w14:paraId="546E4AE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w:t>
      </w:r>
      <w:r w:rsidRPr="00061CCE">
        <w:rPr>
          <w:rFonts w:ascii="Times New Roman" w:eastAsia="Times New Roman" w:hAnsi="Times New Roman" w:cs="Times New Roman"/>
          <w:lang w:eastAsia="lt-LT"/>
        </w:rPr>
        <w:tab/>
        <w:t>Kaip vartoti Midazolam B. Braun</w:t>
      </w:r>
    </w:p>
    <w:p w14:paraId="263D0CB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4.</w:t>
      </w:r>
      <w:r w:rsidRPr="00061CCE">
        <w:rPr>
          <w:rFonts w:ascii="Times New Roman" w:eastAsia="Times New Roman" w:hAnsi="Times New Roman" w:cs="Times New Roman"/>
          <w:lang w:eastAsia="lt-LT"/>
        </w:rPr>
        <w:tab/>
        <w:t>Galimas šalutinis poveikis</w:t>
      </w:r>
    </w:p>
    <w:p w14:paraId="0F1C845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5.</w:t>
      </w:r>
      <w:r w:rsidRPr="00061CCE">
        <w:rPr>
          <w:rFonts w:ascii="Times New Roman" w:eastAsia="Times New Roman" w:hAnsi="Times New Roman" w:cs="Times New Roman"/>
          <w:lang w:eastAsia="lt-LT"/>
        </w:rPr>
        <w:tab/>
        <w:t>Kaip laikyti Midazolam B. Braun</w:t>
      </w:r>
    </w:p>
    <w:p w14:paraId="540D031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6.</w:t>
      </w:r>
      <w:r w:rsidRPr="00061CCE">
        <w:rPr>
          <w:rFonts w:ascii="Times New Roman" w:eastAsia="Times New Roman" w:hAnsi="Times New Roman" w:cs="Times New Roman"/>
          <w:lang w:eastAsia="lt-LT"/>
        </w:rPr>
        <w:tab/>
        <w:t>Pakuotės turinys ir kita informacija</w:t>
      </w:r>
    </w:p>
    <w:p w14:paraId="123CB09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4FA13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2E9A230" w14:textId="77777777" w:rsidR="00061CCE" w:rsidRPr="00061CCE" w:rsidRDefault="00061CCE" w:rsidP="00061CCE">
      <w:pPr>
        <w:numPr>
          <w:ilvl w:val="0"/>
          <w:numId w:val="10"/>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Kas yra Midazolam B. Braun ir kam jis vartojamas</w:t>
      </w:r>
    </w:p>
    <w:p w14:paraId="47FFDD0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CF74B1" w14:textId="77777777" w:rsidR="00061CCE" w:rsidRPr="00061CCE" w:rsidRDefault="00061CCE" w:rsidP="00061CCE">
      <w:pPr>
        <w:spacing w:after="12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yra trumpo veikimo vaistas, vartojamas sedacijai (labai atsipalaidavusiai ramybės, mieguistumo ar miego būsenai) sukelti, šalinantis nerimą ir atpalaiduojantis raumenis. Jo veiklioji medžiaga midazolamas priklauso benzodiazepinais vadinamų medžiagų grupei.</w:t>
      </w:r>
    </w:p>
    <w:p w14:paraId="5ABC7CA5"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6" w:name="_Hlk92870434"/>
      <w:r w:rsidRPr="00061CCE">
        <w:rPr>
          <w:rFonts w:ascii="Times New Roman" w:eastAsia="Times New Roman" w:hAnsi="Times New Roman" w:cs="Times New Roman"/>
          <w:lang w:eastAsia="lt-LT"/>
        </w:rPr>
        <w:t>Šis vaistas vartojamas suaugusiesiems:</w:t>
      </w:r>
    </w:p>
    <w:p w14:paraId="0C06B7B0" w14:textId="77777777" w:rsidR="00061CCE" w:rsidRPr="00061CCE" w:rsidRDefault="00061CCE" w:rsidP="00061CCE">
      <w:pPr>
        <w:numPr>
          <w:ilvl w:val="0"/>
          <w:numId w:val="21"/>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bendrajai nejautrai (anestezijai) sukelti, kad užmigtumėte arba miego būklei palaikyti.</w:t>
      </w:r>
    </w:p>
    <w:p w14:paraId="78C18412" w14:textId="77777777" w:rsidR="00061CCE" w:rsidRPr="00061CCE" w:rsidRDefault="00061CCE" w:rsidP="00061CCE">
      <w:pPr>
        <w:spacing w:after="0" w:line="240" w:lineRule="auto"/>
        <w:contextualSpacing/>
        <w:rPr>
          <w:rFonts w:ascii="Times New Roman" w:eastAsia="Times New Roman" w:hAnsi="Times New Roman" w:cs="Times New Roman"/>
          <w:szCs w:val="20"/>
          <w:lang w:eastAsia="lt-LT"/>
        </w:rPr>
      </w:pPr>
    </w:p>
    <w:p w14:paraId="32F49C07" w14:textId="77777777" w:rsidR="00061CCE" w:rsidRPr="00061CCE" w:rsidRDefault="00061CCE" w:rsidP="00061CCE">
      <w:pPr>
        <w:spacing w:after="0" w:line="240" w:lineRule="auto"/>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Šis vaistas taip pat vartojamas suaugusiesiems ir vaikams:</w:t>
      </w:r>
    </w:p>
    <w:p w14:paraId="6D128B30" w14:textId="77777777" w:rsidR="00061CCE" w:rsidRPr="00061CCE" w:rsidRDefault="00061CCE" w:rsidP="00061CCE">
      <w:pPr>
        <w:numPr>
          <w:ilvl w:val="0"/>
          <w:numId w:val="21"/>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nusiraminimo arba mieguistumo pojūčiui sukelti intensyvios terapijos skyriuose. Tai vadinama sedacija;</w:t>
      </w:r>
    </w:p>
    <w:p w14:paraId="7B7297AF" w14:textId="77777777" w:rsidR="00061CCE" w:rsidRPr="00061CCE" w:rsidRDefault="00061CCE" w:rsidP="00061CCE">
      <w:pPr>
        <w:numPr>
          <w:ilvl w:val="0"/>
          <w:numId w:val="21"/>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prieš medicininę procedūrą arba chirurginę operaciją ir jų metu. Tada pacientai nemiega, tačiau būna labai ramūs ir mieguisti. Tai vadinama sedacija išliekant sąmonei;</w:t>
      </w:r>
    </w:p>
    <w:p w14:paraId="76322076" w14:textId="77777777" w:rsidR="00061CCE" w:rsidRPr="00061CCE" w:rsidRDefault="00061CCE" w:rsidP="00061CCE">
      <w:pPr>
        <w:numPr>
          <w:ilvl w:val="0"/>
          <w:numId w:val="21"/>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atsipalaidavimo arba mieguistumo pojūčiui sukelti prieš skiriant anestetikų. </w:t>
      </w:r>
    </w:p>
    <w:bookmarkEnd w:id="76"/>
    <w:p w14:paraId="7C1453D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2E22F03" w14:textId="77777777" w:rsidR="00061CCE" w:rsidRPr="00061CCE" w:rsidRDefault="00061CCE" w:rsidP="00061CCE">
      <w:pPr>
        <w:numPr>
          <w:ilvl w:val="0"/>
          <w:numId w:val="10"/>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Kas žinotina prieš vartojant Midazolam B. Braun</w:t>
      </w:r>
    </w:p>
    <w:p w14:paraId="2A3244F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58C2DB0"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vartoti draudžiama</w:t>
      </w:r>
    </w:p>
    <w:p w14:paraId="4DC1AC1A" w14:textId="77777777" w:rsidR="00061CCE" w:rsidRPr="00061CCE" w:rsidRDefault="00061CCE" w:rsidP="00061CCE">
      <w:pPr>
        <w:numPr>
          <w:ilvl w:val="0"/>
          <w:numId w:val="22"/>
        </w:numPr>
        <w:spacing w:after="0" w:line="240" w:lineRule="auto"/>
        <w:ind w:left="567" w:hanging="567"/>
        <w:rPr>
          <w:rFonts w:ascii="Times New Roman" w:eastAsia="Times New Roman" w:hAnsi="Times New Roman" w:cs="Times New Roman"/>
          <w:lang w:eastAsia="lt-LT"/>
        </w:rPr>
      </w:pPr>
      <w:bookmarkStart w:id="77" w:name="_Hlk92870459"/>
      <w:r w:rsidRPr="00061CCE">
        <w:rPr>
          <w:rFonts w:ascii="Times New Roman" w:eastAsia="Times New Roman" w:hAnsi="Times New Roman" w:cs="Times New Roman"/>
          <w:lang w:eastAsia="lt-LT"/>
        </w:rPr>
        <w:t>jeigu yra padidėjęs jautrumas (alergija) midazolamui arba bet kuriai pagalbinei šio vaisto medžiagai (jos išvardytos 6 skyriuje);</w:t>
      </w:r>
    </w:p>
    <w:p w14:paraId="19F44241" w14:textId="77777777" w:rsidR="00061CCE" w:rsidRPr="00061CCE" w:rsidRDefault="00061CCE" w:rsidP="00061CCE">
      <w:pPr>
        <w:numPr>
          <w:ilvl w:val="0"/>
          <w:numId w:val="22"/>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yra alergija vaistams benzodiazepinams, pvz., diazepamui arba nitrazepamui;</w:t>
      </w:r>
    </w:p>
    <w:p w14:paraId="4A9E852A" w14:textId="77777777" w:rsidR="00061CCE" w:rsidRPr="00061CCE" w:rsidRDefault="00061CCE" w:rsidP="00061CCE">
      <w:pPr>
        <w:numPr>
          <w:ilvl w:val="0"/>
          <w:numId w:val="22"/>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 pacientui, kuriam prieš procedūras reikia sukelti raminamąjį poveikį, yra kvėpavimo funkcijos slopinimas.</w:t>
      </w:r>
    </w:p>
    <w:bookmarkEnd w:id="77"/>
    <w:p w14:paraId="3E677606" w14:textId="77777777" w:rsidR="00061CCE" w:rsidRPr="00061CCE" w:rsidRDefault="00061CCE" w:rsidP="00061CCE">
      <w:pP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ab/>
      </w:r>
    </w:p>
    <w:p w14:paraId="22278EE3" w14:textId="77777777" w:rsidR="00061CCE" w:rsidRPr="00061CCE" w:rsidRDefault="00061CCE" w:rsidP="00061CCE">
      <w:pP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lang w:eastAsia="lt-LT"/>
        </w:rPr>
        <w:t>Įspėjimai</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ir</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atsargumo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priemonės</w:t>
      </w:r>
    </w:p>
    <w:p w14:paraId="62A1519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1C4C1E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Pasitarkite su gydytoju arba vaistininku, prieš pradėdami vartoti Midazolam B. Braun.</w:t>
      </w:r>
    </w:p>
    <w:p w14:paraId="544EF0B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376633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Visą vaisto skyrimo laiką Jūs būsite atidžiai stebimas. Gydytojas taip pat pasirūpins, kad būtų paruošta įranga ir vaistai, kurių gali prireikti teikiant skubią pagalbą arba atliekant gaivinimą (reanimaciją).</w:t>
      </w:r>
    </w:p>
    <w:p w14:paraId="1FCA208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 </w:t>
      </w:r>
    </w:p>
    <w:p w14:paraId="284EE789"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78" w:name="_Hlk92870485"/>
      <w:r w:rsidRPr="00061CCE">
        <w:rPr>
          <w:rFonts w:ascii="Times New Roman" w:eastAsia="Times New Roman" w:hAnsi="Times New Roman" w:cs="Times New Roman"/>
          <w:lang w:eastAsia="lt-LT"/>
        </w:rPr>
        <w:t>Gydytojas imsis specialių atsargumo priemonių ir gali ypač atidžiai koreguoti individualias vaisto dozes Jums, jeigu:</w:t>
      </w:r>
    </w:p>
    <w:p w14:paraId="76153C59" w14:textId="77777777" w:rsidR="00061CCE" w:rsidRPr="00061CCE" w:rsidRDefault="00061CCE" w:rsidP="00061CCE">
      <w:pPr>
        <w:numPr>
          <w:ilvl w:val="0"/>
          <w:numId w:val="2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esate vyresnis nei 60 metų;</w:t>
      </w:r>
    </w:p>
    <w:p w14:paraId="27B90A69" w14:textId="77777777" w:rsidR="00061CCE" w:rsidRPr="00061CCE" w:rsidRDefault="00061CCE" w:rsidP="00061CCE">
      <w:pPr>
        <w:numPr>
          <w:ilvl w:val="0"/>
          <w:numId w:val="2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ilgai sergate, pvz., kvėpavimo, inkstų, kepenų arba širdies ligomis;</w:t>
      </w:r>
    </w:p>
    <w:p w14:paraId="00D11D2A" w14:textId="77777777" w:rsidR="00061CCE" w:rsidRPr="00061CCE" w:rsidRDefault="00061CCE" w:rsidP="00061CCE">
      <w:pPr>
        <w:numPr>
          <w:ilvl w:val="0"/>
          <w:numId w:val="2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lastRenderedPageBreak/>
        <w:t>sergate liga, dėl kurios jaučiatės labai silpni, išsekę ir stokojate energijos</w:t>
      </w:r>
      <w:bookmarkStart w:id="79" w:name="_Hlk73087816"/>
      <w:r w:rsidRPr="00061CCE">
        <w:rPr>
          <w:rFonts w:ascii="Times New Roman" w:eastAsia="Times New Roman" w:hAnsi="Times New Roman" w:cs="Times New Roman"/>
          <w:szCs w:val="20"/>
          <w:lang w:eastAsia="lt-LT"/>
        </w:rPr>
        <w:t>;</w:t>
      </w:r>
    </w:p>
    <w:p w14:paraId="71587E84" w14:textId="77777777" w:rsidR="00061CCE" w:rsidRPr="00061CCE" w:rsidRDefault="00061CCE" w:rsidP="00061CCE">
      <w:pPr>
        <w:numPr>
          <w:ilvl w:val="0"/>
          <w:numId w:val="24"/>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turite sutrikimą, vadinamą </w:t>
      </w:r>
      <w:bookmarkEnd w:id="79"/>
      <w:r w:rsidRPr="00061CCE">
        <w:rPr>
          <w:rFonts w:ascii="Times New Roman" w:eastAsia="Times New Roman" w:hAnsi="Times New Roman" w:cs="Times New Roman"/>
          <w:szCs w:val="20"/>
          <w:lang w:eastAsia="lt-LT"/>
        </w:rPr>
        <w:t>generalizuota miastenija (lot. miastenia gravis – nervų ir raumenų liga, dėl kurios nusilpsta raumenys);</w:t>
      </w:r>
    </w:p>
    <w:p w14:paraId="6AFA78E0" w14:textId="77777777" w:rsidR="00061CCE" w:rsidRPr="00061CCE" w:rsidRDefault="00061CCE" w:rsidP="00061CCE">
      <w:pPr>
        <w:numPr>
          <w:ilvl w:val="0"/>
          <w:numId w:val="24"/>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Jums miegant retkarčiais sustoja kvėpavimas (miego apnėja);</w:t>
      </w:r>
    </w:p>
    <w:p w14:paraId="25FC168C" w14:textId="77777777" w:rsidR="00061CCE" w:rsidRPr="00061CCE" w:rsidRDefault="00061CCE" w:rsidP="00061CCE">
      <w:pPr>
        <w:numPr>
          <w:ilvl w:val="0"/>
          <w:numId w:val="24"/>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kada nors esate turėję priklausomybę nuo alkoholio;</w:t>
      </w:r>
    </w:p>
    <w:p w14:paraId="52F9C55C" w14:textId="77777777" w:rsidR="00061CCE" w:rsidRPr="00061CCE" w:rsidRDefault="00061CCE" w:rsidP="00061CCE">
      <w:pPr>
        <w:numPr>
          <w:ilvl w:val="0"/>
          <w:numId w:val="24"/>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kada nors esate turėję priklausomybę nuo narkotikų.</w:t>
      </w:r>
    </w:p>
    <w:bookmarkEnd w:id="78"/>
    <w:p w14:paraId="531545B8"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b/>
      </w:r>
    </w:p>
    <w:p w14:paraId="722081E0"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Jeigu vartosite šį vaistą ilgai, gali būti, kad:</w:t>
      </w:r>
    </w:p>
    <w:p w14:paraId="64236D00" w14:textId="77777777" w:rsidR="00061CCE" w:rsidRPr="00061CCE" w:rsidRDefault="00061CCE" w:rsidP="00061CCE">
      <w:pPr>
        <w:numPr>
          <w:ilvl w:val="0"/>
          <w:numId w:val="25"/>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išsivystys tolerancija midazolamui. Tokiu atveju vaisto poveikis sumažės ir jis gali Jums nepadėti;</w:t>
      </w:r>
    </w:p>
    <w:p w14:paraId="3E19984E" w14:textId="77777777" w:rsidR="00061CCE" w:rsidRPr="00061CCE" w:rsidRDefault="00061CCE" w:rsidP="00061CCE">
      <w:pPr>
        <w:numPr>
          <w:ilvl w:val="0"/>
          <w:numId w:val="25"/>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tapsite priklausomi nuo šio vaisto ir jo negavę patirsite abstinencijos (vartojimo nutraukimo) simptomus (žr. 3 skyriaus poskyrį „Nustojus vartoti Midazolam B. Braun“).</w:t>
      </w:r>
    </w:p>
    <w:p w14:paraId="76F4B31D"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24884404"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Tik pavartojus midazolamo atsiranda atminties spragų. Šio poveikio trukmė priklauso nuo suvartotos dozės. Pasirūpinkite, kad Jus kas nors palydėtų namo, kai būsite išleistas iš ligoninės arba poliklinikos po chirurginės arba diagnostinės procedūros.</w:t>
      </w:r>
    </w:p>
    <w:p w14:paraId="1AA6174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0D71597"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Vaikams</w:t>
      </w:r>
    </w:p>
    <w:p w14:paraId="0664412A"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4F248CBF" w14:textId="77777777" w:rsidR="00061CCE" w:rsidRPr="00061CCE" w:rsidRDefault="00061CCE" w:rsidP="00061CCE">
      <w:pPr>
        <w:spacing w:after="0" w:line="240" w:lineRule="auto"/>
        <w:rPr>
          <w:rFonts w:ascii="Times New Roman" w:eastAsia="Times New Roman" w:hAnsi="Times New Roman" w:cs="Times New Roman"/>
          <w:iCs/>
          <w:szCs w:val="20"/>
          <w:lang w:eastAsia="lt-LT"/>
        </w:rPr>
      </w:pPr>
      <w:bookmarkStart w:id="80" w:name="_Hlk92870519"/>
      <w:r w:rsidRPr="00061CCE">
        <w:rPr>
          <w:rFonts w:ascii="Times New Roman" w:eastAsia="Times New Roman" w:hAnsi="Times New Roman" w:cs="Times New Roman"/>
          <w:szCs w:val="20"/>
          <w:lang w:eastAsia="lt-LT"/>
        </w:rPr>
        <w:t>Jeigu ruošiamasi šio vaisto skirti Jūsų vaikui:</w:t>
      </w:r>
    </w:p>
    <w:p w14:paraId="483866D5" w14:textId="77777777" w:rsidR="00061CCE" w:rsidRPr="00061CCE" w:rsidRDefault="00061CCE" w:rsidP="00061CCE">
      <w:pPr>
        <w:numPr>
          <w:ilvl w:val="0"/>
          <w:numId w:val="42"/>
        </w:num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Jeigu bet kuri iš išvardytų sąlygų tinka Jūsų vaikui, pasakykite gydytojui arba slaugytojui.</w:t>
      </w:r>
    </w:p>
    <w:p w14:paraId="36CDE55A" w14:textId="77777777" w:rsidR="00061CCE" w:rsidRPr="00061CCE" w:rsidRDefault="00061CCE" w:rsidP="00061CCE">
      <w:pPr>
        <w:numPr>
          <w:ilvl w:val="0"/>
          <w:numId w:val="42"/>
        </w:num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Tai ypač svarbu, jeigu vaikas serga širdies liga arba turi kvėpavimo sutrikimų.</w:t>
      </w:r>
    </w:p>
    <w:bookmarkEnd w:id="80"/>
    <w:p w14:paraId="13E47DB9"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3FB7D562"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Kiti vaistai ir Midazolam B. Braun</w:t>
      </w:r>
    </w:p>
    <w:p w14:paraId="0A81ECC4"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3564DEB7"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81" w:name="_Hlk92870560"/>
      <w:r w:rsidRPr="00061CCE">
        <w:rPr>
          <w:rFonts w:ascii="Times New Roman" w:eastAsia="Times New Roman" w:hAnsi="Times New Roman" w:cs="Times New Roman"/>
          <w:lang w:eastAsia="lt-LT"/>
        </w:rPr>
        <w:t xml:space="preserve">Jeigu vartojate ar neseniai vartojote kitų vaistų, įskaitant nereceptinius vaistus ir </w:t>
      </w:r>
      <w:bookmarkStart w:id="82" w:name="_Hlk93506039"/>
      <w:r w:rsidRPr="00061CCE">
        <w:rPr>
          <w:rFonts w:ascii="Times New Roman" w:eastAsia="Times New Roman" w:hAnsi="Times New Roman" w:cs="Times New Roman"/>
          <w:lang w:eastAsia="lt-LT"/>
        </w:rPr>
        <w:t>augalinius vaistus</w:t>
      </w:r>
      <w:bookmarkEnd w:id="82"/>
      <w:r w:rsidRPr="00061CCE">
        <w:rPr>
          <w:rFonts w:ascii="Times New Roman" w:eastAsia="Times New Roman" w:hAnsi="Times New Roman" w:cs="Times New Roman"/>
          <w:lang w:eastAsia="lt-LT"/>
        </w:rPr>
        <w:t>, arba dėl to nesate tikri, apie tai pasakykite gydytojui arba vaistininkui.</w:t>
      </w:r>
    </w:p>
    <w:p w14:paraId="79C0DF3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73FCE1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Tai labai svarbu, nes Midazolam B. Braun gali turėti įtakos kitų vaistų poveikiui. Panašiai ir tam tikri kiti vaistai gali turėti įtakos Midazolam B. Braun poveikiui. </w:t>
      </w:r>
    </w:p>
    <w:p w14:paraId="65D24077"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FFF5AA" w14:textId="77777777" w:rsidR="00061CCE" w:rsidRPr="00061CCE" w:rsidRDefault="00061CCE" w:rsidP="00061CCE">
      <w:pPr>
        <w:spacing w:after="0" w:line="240" w:lineRule="auto"/>
        <w:rPr>
          <w:rFonts w:ascii="Times New Roman" w:eastAsia="Times New Roman" w:hAnsi="Times New Roman" w:cs="Times New Roman"/>
          <w:szCs w:val="20"/>
          <w:lang w:eastAsia="lt-LT"/>
        </w:rPr>
      </w:pPr>
      <w:bookmarkStart w:id="83" w:name="_Hlk73087878"/>
      <w:r w:rsidRPr="00061CCE">
        <w:rPr>
          <w:rFonts w:ascii="Times New Roman" w:eastAsia="Times New Roman" w:hAnsi="Times New Roman" w:cs="Times New Roman"/>
          <w:szCs w:val="20"/>
          <w:lang w:eastAsia="lt-LT"/>
        </w:rPr>
        <w:t>Ypač svarbu pasakyti gydytojui, jei vartojate bet kurį iš šių vaistų:</w:t>
      </w:r>
    </w:p>
    <w:p w14:paraId="6F804BD4"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trankviliantų (vaistų, vartojamų nerimui, stresui ir jauduliui gydyti);</w:t>
      </w:r>
    </w:p>
    <w:p w14:paraId="27E9F263"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migdomųjų (vaistų, kad užmigtumėte);</w:t>
      </w:r>
    </w:p>
    <w:p w14:paraId="550488DE"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raminamųjų (vaistų, kad jaustumėtės atsipalaidavę arba mieguisti);</w:t>
      </w:r>
    </w:p>
    <w:p w14:paraId="2A03A2BD"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antidepresantų (vaistų, vartojamų depresijai gydyti);</w:t>
      </w:r>
    </w:p>
    <w:p w14:paraId="6886EA53"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labai stiprių skausmą malšinančių vaistų;</w:t>
      </w:r>
    </w:p>
    <w:p w14:paraId="1AD85ECD"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antihistaminų (vaistų alergijoms gydyti);</w:t>
      </w:r>
    </w:p>
    <w:p w14:paraId="79B9A07B"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azolų grupės priešgrybelinių vaistų (vaistų grybelinėms infekcijoms gydyti), pvz., ketokonazolo, vorikonazolo, flukonazolo, itrakonazolo arba pozakonazolo;</w:t>
      </w:r>
    </w:p>
    <w:p w14:paraId="614E8FDC"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makrolidų grupės antibiotikų (vaistų bakterinėms infekcijoms gydyti), pvz., eritromicino, klaritromicino, telitromicino arba roksitromicino;</w:t>
      </w:r>
    </w:p>
    <w:p w14:paraId="1DF1CA75"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kalcio kanalų blokatorių (vaistų kraujospūdžiui mažinti), pavyzdžiui, diltiazemo arba verapamilio;</w:t>
      </w:r>
    </w:p>
    <w:p w14:paraId="5FF0B4AE"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proteazių inhibitorių (vaistų ŽIV infekcijai arba hepatitui C gydyti), pvz., bocepreviro, sakvinaviro, simepreviro arba telapreviro;</w:t>
      </w:r>
    </w:p>
    <w:p w14:paraId="305070AC"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tirozinkinazės inhibitorių (vaistų tam tikrų rūšių vėžiui gydyti), pvz., idelalisibo, imatinibo arba lapatinibo;</w:t>
      </w:r>
    </w:p>
    <w:p w14:paraId="18FF3AD2"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NK1 receptorių antagonistų (vaistų pykinimui ir vėmimui slopinti), pvz., aprepitanto, netupitanto arba kazoprepitanto;</w:t>
      </w:r>
    </w:p>
    <w:p w14:paraId="128056F2"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atorvastatino (vaisto cholesteroliui mažinti);</w:t>
      </w:r>
    </w:p>
    <w:p w14:paraId="60942E6B"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rifampicino (vaisto mikobakterijų infekcijoms, pvz., tuberkuliozei, gydyti);</w:t>
      </w:r>
    </w:p>
    <w:p w14:paraId="2FC5BB07"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tikagreloro (vaisto širdies smūgiui išvengti);</w:t>
      </w:r>
    </w:p>
    <w:p w14:paraId="4FA4D48F"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everolimuzo (vaisto, skiriamo persodinus organus ir tam tikrų rūšų vėžiui gydyti);</w:t>
      </w:r>
    </w:p>
    <w:p w14:paraId="017B43B3"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karbamazepino arba fenitoino (vaistų, skirtų epilepsijai gydyti);</w:t>
      </w:r>
    </w:p>
    <w:p w14:paraId="70E0E405"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ciklosporino (vaisto, skiriamo persodinus organus);</w:t>
      </w:r>
    </w:p>
    <w:p w14:paraId="7E988448"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propiverino (vaisto dirgliai šlapimo pūslei gydyti);</w:t>
      </w:r>
    </w:p>
    <w:p w14:paraId="3C17BC43"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lastRenderedPageBreak/>
        <w:t>mitotano arba enzalutamido (vaistų tam tikrų rūšių vėžiui gydyti);</w:t>
      </w:r>
    </w:p>
    <w:p w14:paraId="759E24C9"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klobazamo (vaisto epilepsijai arba nerimui gydyti);</w:t>
      </w:r>
    </w:p>
    <w:p w14:paraId="4EF63A0A" w14:textId="77777777" w:rsidR="00061CCE" w:rsidRPr="00061CCE" w:rsidRDefault="00061CCE" w:rsidP="00061CCE">
      <w:pPr>
        <w:numPr>
          <w:ilvl w:val="0"/>
          <w:numId w:val="26"/>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efavirenzo (vaisto ŽIV infekcijai gydyti);</w:t>
      </w:r>
    </w:p>
    <w:p w14:paraId="571D77C2"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Calibri" w:hAnsi="Times New Roman" w:cs="Times New Roman"/>
          <w:lang w:eastAsia="en-US"/>
        </w:rPr>
        <w:t>vemurafenibo (vaisto melanomai gydyti);</w:t>
      </w:r>
    </w:p>
    <w:p w14:paraId="20883D6C"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vaistažolių vaistų su jonažole, kvercetinu, dviskiaučiu ginkmedžiu arba kininiu ženšeniu;</w:t>
      </w:r>
    </w:p>
    <w:p w14:paraId="25A919F3" w14:textId="77777777" w:rsidR="00061CCE" w:rsidRPr="00061CCE" w:rsidRDefault="00061CCE" w:rsidP="00061CCE">
      <w:pPr>
        <w:numPr>
          <w:ilvl w:val="0"/>
          <w:numId w:val="26"/>
        </w:numPr>
        <w:spacing w:after="0" w:line="240" w:lineRule="auto"/>
        <w:ind w:left="567" w:hanging="567"/>
        <w:contextualSpacing/>
        <w:rPr>
          <w:rFonts w:ascii="Times New Roman" w:eastAsia="Times New Roman" w:hAnsi="Times New Roman" w:cs="Times New Roman"/>
          <w:szCs w:val="20"/>
          <w:lang w:eastAsia="lt-LT"/>
        </w:rPr>
      </w:pPr>
      <w:bookmarkStart w:id="84" w:name="_Hlk92870583"/>
      <w:r w:rsidRPr="00061CCE">
        <w:rPr>
          <w:rFonts w:ascii="Times New Roman" w:eastAsia="Times New Roman" w:hAnsi="Times New Roman" w:cs="Times New Roman"/>
          <w:szCs w:val="20"/>
          <w:lang w:eastAsia="lt-LT"/>
        </w:rPr>
        <w:t>valpro rūgšties (vaisto epilepsijai gydyti</w:t>
      </w:r>
      <w:bookmarkEnd w:id="84"/>
      <w:r w:rsidRPr="00061CCE">
        <w:rPr>
          <w:rFonts w:ascii="Times New Roman" w:eastAsia="Times New Roman" w:hAnsi="Times New Roman" w:cs="Times New Roman"/>
          <w:szCs w:val="20"/>
          <w:lang w:eastAsia="lt-LT"/>
        </w:rPr>
        <w:t>).</w:t>
      </w:r>
    </w:p>
    <w:bookmarkEnd w:id="81"/>
    <w:bookmarkEnd w:id="83"/>
    <w:p w14:paraId="63553E37"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5840B3FF"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vartojimas su alkoholiu</w:t>
      </w:r>
    </w:p>
    <w:p w14:paraId="45462CA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02CF065"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Jums suleido midazolamo, nevartokite alkoholinių gėrimų, nes alkoholis nekontroliuojamai stiprina midazolamo poveikį. Dėl to gali atsirasti sunkus nepageidaujamas poveikis širdies ir kraujagyslių bei kvėpavimo organų sistemoms.</w:t>
      </w:r>
    </w:p>
    <w:p w14:paraId="470F1CB8"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29CDAA5E"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Nėštumas ir žindymo laikotarpis</w:t>
      </w:r>
    </w:p>
    <w:p w14:paraId="520DA4B9"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70753F7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5D10DED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B42E9A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Midazolamo nėščioms moterims galima vartoti tik tuo atveju, kai gydytojas nusprendė, kad tai yra būtina.</w:t>
      </w:r>
    </w:p>
    <w:p w14:paraId="010A80F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B0145F1"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85" w:name="_Hlk92870632"/>
      <w:r w:rsidRPr="00061CCE">
        <w:rPr>
          <w:rFonts w:ascii="Times New Roman" w:eastAsia="Times New Roman" w:hAnsi="Times New Roman" w:cs="Times New Roman"/>
          <w:lang w:eastAsia="lt-LT"/>
        </w:rPr>
        <w:t>Jeigu žindote kūdikį, nutraukite žindymą dar 24 valandoms po midazolamo pavartojimo, nes midazolamas gali patekti į Jūsų pieną.</w:t>
      </w:r>
    </w:p>
    <w:bookmarkEnd w:id="85"/>
    <w:p w14:paraId="4AE4DE5B"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49332A0E"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Vairavimas ir mechanizmų valdymas</w:t>
      </w:r>
    </w:p>
    <w:p w14:paraId="4AE126EA"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3A9EB1F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Vairuoti ar valdyti mechanizmus galima tik visiškai išnykus vaisto poveikiui. Gydytojas patars, kada vėl galite pradėti tokią veiklą. </w:t>
      </w:r>
    </w:p>
    <w:p w14:paraId="751DBA6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084D65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Dėl šio vaisto galite jaustis apsnūdę, užmaršūs arba jis gali trikdyti dėmesingumą ir koordinaciją. Rekomenduojama, kad po išrašymo iš gydymo įstaigos namo Jus kas nors lydėtų.</w:t>
      </w:r>
    </w:p>
    <w:p w14:paraId="531E8D42"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561E00C8"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sudėtyje yra natrio</w:t>
      </w:r>
    </w:p>
    <w:p w14:paraId="5810D065"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1817A76F"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86" w:name="_Hlk92870687"/>
      <w:r w:rsidRPr="00061CCE">
        <w:rPr>
          <w:rFonts w:ascii="Times New Roman" w:eastAsia="Times New Roman" w:hAnsi="Times New Roman" w:cs="Times New Roman"/>
          <w:lang w:eastAsia="lt-LT"/>
        </w:rPr>
        <w:t>Kiekvienoje šio vaisto 5 ml ampulėje yra 17,63 mg natrio (valgomosios druskos sudedamosios dalies). Tai atitinka 0,88 % didžiausios rekomenduojamos natrio paros normos suaugusiesiems.</w:t>
      </w:r>
    </w:p>
    <w:p w14:paraId="5E7F00A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948CA6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šio vaisto 50 ml buteliuke yra 176,33 mg natrio (valgomosios druskos sudedamosios dalies). Tai atitinka 8,81 % didžiausios rekomenduojamos natrio paros normos suaugusiesiems.</w:t>
      </w:r>
    </w:p>
    <w:p w14:paraId="0889B30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5A6C73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šio vaisto 100 ml buteliuke yra 352,65 mg natrio (valgomosios druskos sudedamosios dalies). Tai atitinka 17,63 % didžiausios rekomenduojamos natrio paros normos suaugusiesiems.</w:t>
      </w:r>
    </w:p>
    <w:p w14:paraId="0A34C254" w14:textId="77777777" w:rsidR="00061CCE" w:rsidRPr="00061CCE" w:rsidRDefault="00061CCE" w:rsidP="00061CCE">
      <w:pPr>
        <w:spacing w:after="0" w:line="240" w:lineRule="auto"/>
        <w:rPr>
          <w:rFonts w:ascii="Times New Roman" w:eastAsia="Times New Roman" w:hAnsi="Times New Roman" w:cs="Times New Roman"/>
          <w:lang w:eastAsia="lt-LT"/>
        </w:rPr>
      </w:pPr>
    </w:p>
    <w:bookmarkEnd w:id="86"/>
    <w:p w14:paraId="250FB8F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7382BF4" w14:textId="77777777" w:rsidR="00061CCE" w:rsidRPr="00061CCE" w:rsidRDefault="00061CCE" w:rsidP="00061CCE">
      <w:pPr>
        <w:numPr>
          <w:ilvl w:val="0"/>
          <w:numId w:val="10"/>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Kaip vartoti Midazolam B. Braun</w:t>
      </w:r>
    </w:p>
    <w:p w14:paraId="70FB2760"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6E2271C0" w14:textId="77777777" w:rsidR="00061CCE" w:rsidRPr="00061CCE" w:rsidRDefault="00061CCE" w:rsidP="00061CCE">
      <w:pPr>
        <w:spacing w:after="0" w:line="240" w:lineRule="auto"/>
        <w:rPr>
          <w:rFonts w:ascii="Times New Roman" w:eastAsia="Times New Roman" w:hAnsi="Times New Roman" w:cs="Times New Roman"/>
          <w:iCs/>
          <w:lang w:eastAsia="lt-LT"/>
        </w:rPr>
      </w:pPr>
      <w:bookmarkStart w:id="87" w:name="_Hlk92871014"/>
      <w:r w:rsidRPr="00061CCE">
        <w:rPr>
          <w:rFonts w:ascii="Times New Roman" w:eastAsia="Times New Roman" w:hAnsi="Times New Roman" w:cs="Times New Roman"/>
          <w:lang w:eastAsia="lt-LT"/>
        </w:rPr>
        <w:t>Šį vaistą Jums suleis gydytojas arba slaugytojas. Tai bus atliekama vietoje, kurioje bus galima Jus stebėti ir, reikalui esant, gydyti šalutinį poveikį. Tai gali būti ligoninė arba ambulatorinis chirurginis skyrius. Ypač atidžiai bus stebimas kvėpavimas, širdies funkcija ir kraujotaka.</w:t>
      </w:r>
    </w:p>
    <w:p w14:paraId="3A72D7E6" w14:textId="77777777" w:rsidR="00061CCE" w:rsidRPr="00061CCE" w:rsidRDefault="00061CCE" w:rsidP="00061CCE">
      <w:pPr>
        <w:spacing w:after="0" w:line="240" w:lineRule="auto"/>
        <w:rPr>
          <w:rFonts w:ascii="Times New Roman" w:eastAsia="Times New Roman" w:hAnsi="Times New Roman" w:cs="Times New Roman"/>
          <w:iCs/>
          <w:lang w:eastAsia="lt-LT"/>
        </w:rPr>
      </w:pPr>
    </w:p>
    <w:p w14:paraId="62D163DA" w14:textId="77777777" w:rsidR="00061CCE" w:rsidRPr="00061CCE" w:rsidRDefault="00061CCE" w:rsidP="00061CCE">
      <w:pPr>
        <w:spacing w:after="0" w:line="240" w:lineRule="auto"/>
        <w:rPr>
          <w:rFonts w:ascii="Times New Roman" w:eastAsia="Times New Roman" w:hAnsi="Times New Roman" w:cs="Times New Roman"/>
          <w:iCs/>
          <w:lang w:eastAsia="lt-LT"/>
        </w:rPr>
      </w:pPr>
      <w:r w:rsidRPr="00061CCE">
        <w:rPr>
          <w:rFonts w:ascii="Times New Roman" w:eastAsia="Times New Roman" w:hAnsi="Times New Roman" w:cs="Times New Roman"/>
          <w:lang w:eastAsia="lt-LT"/>
        </w:rPr>
        <w:t>Nerekomenduojama šio vaisto vartoti jaunesniems kaip 6 mėnesių kūdikiams, tačiau intensyviosios priežiūros sąlygomis vaistas gali būti skiriamas ir jaunesniems kaip 6 mėnesių kūdikiams, jeigu gydytojas mano, kad tai būtina.</w:t>
      </w:r>
    </w:p>
    <w:bookmarkEnd w:id="87"/>
    <w:p w14:paraId="15F07F1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64911A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gali būti skiriamas švirkščiant į veną arba į raumenis. Jis taip pat gali būti skiriamas praskiedus, naudojant į veną įstatytą kaniulę. Taip pat galima vartoti į tiesiąją žarną, panaudojant specialų aplikatorių, jei negalima vartoti nei į veną, nei į raumenis.</w:t>
      </w:r>
    </w:p>
    <w:p w14:paraId="7C368A74"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88" w:name="_Hlk92871038"/>
    </w:p>
    <w:p w14:paraId="536A8817" w14:textId="77777777" w:rsidR="00061CCE" w:rsidRPr="00061CCE" w:rsidRDefault="00061CCE" w:rsidP="00061CCE">
      <w:pPr>
        <w:spacing w:after="0" w:line="240" w:lineRule="auto"/>
        <w:rPr>
          <w:rFonts w:ascii="Times New Roman" w:eastAsia="Times New Roman" w:hAnsi="Times New Roman" w:cs="Times New Roman"/>
          <w:i/>
          <w:lang w:eastAsia="lt-LT"/>
        </w:rPr>
      </w:pPr>
      <w:r w:rsidRPr="00061CCE">
        <w:rPr>
          <w:rFonts w:ascii="Times New Roman" w:eastAsia="Times New Roman" w:hAnsi="Times New Roman" w:cs="Times New Roman"/>
          <w:i/>
          <w:lang w:eastAsia="lt-LT"/>
        </w:rPr>
        <w:t>Dozavimas</w:t>
      </w:r>
    </w:p>
    <w:p w14:paraId="38F3AF40"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Gydytojas nustatys Jums arba Jūsų vaikui tinkamą dozę. Tai atliekama priklausomai nuo gydymo, kurį numatyta taikyti, ir atsižvelgiant į Jūsų ar Jūsų vaiko būklę.</w:t>
      </w:r>
    </w:p>
    <w:bookmarkEnd w:id="88"/>
    <w:p w14:paraId="7796FC5E"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765CA558"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Ką daryti pavartojus per didelę Midazolam B. Braun dozę</w:t>
      </w:r>
    </w:p>
    <w:p w14:paraId="5B402345"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4695E31C" w14:textId="77777777" w:rsidR="00061CCE" w:rsidRPr="00061CCE" w:rsidRDefault="00061CCE" w:rsidP="00061CCE">
      <w:pPr>
        <w:spacing w:after="0" w:line="240" w:lineRule="auto"/>
        <w:rPr>
          <w:rFonts w:ascii="Times New Roman" w:eastAsia="Times New Roman" w:hAnsi="Times New Roman" w:cs="Times New Roman"/>
          <w:szCs w:val="20"/>
          <w:lang w:eastAsia="lt-LT"/>
        </w:rPr>
      </w:pPr>
      <w:bookmarkStart w:id="89" w:name="_Hlk92871067"/>
      <w:r w:rsidRPr="00061CCE">
        <w:rPr>
          <w:rFonts w:ascii="Times New Roman" w:eastAsia="Times New Roman" w:hAnsi="Times New Roman" w:cs="Times New Roman"/>
          <w:szCs w:val="20"/>
          <w:lang w:eastAsia="lt-LT"/>
        </w:rPr>
        <w:t>Šį vaistą Jums suleis gydytojas. Jeigu netyčia Jums bus suleista per daug midazolamo, gali pasireikšti toks poveikis:</w:t>
      </w:r>
    </w:p>
    <w:p w14:paraId="7F36893A" w14:textId="77777777" w:rsidR="00061CCE" w:rsidRPr="00061CCE" w:rsidRDefault="00061CCE" w:rsidP="00061CCE">
      <w:pPr>
        <w:numPr>
          <w:ilvl w:val="0"/>
          <w:numId w:val="4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mieguistumas ir įprastos galimybės valdyti raumenis (koordinacijos) bei refleksus praradimas;</w:t>
      </w:r>
    </w:p>
    <w:p w14:paraId="6A3B7107" w14:textId="77777777" w:rsidR="00061CCE" w:rsidRPr="00061CCE" w:rsidRDefault="00061CCE" w:rsidP="00061CCE">
      <w:pPr>
        <w:numPr>
          <w:ilvl w:val="0"/>
          <w:numId w:val="4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kalbėjimo sutrikimai ir neįprasti akių judesiai;</w:t>
      </w:r>
    </w:p>
    <w:p w14:paraId="056BF63C" w14:textId="77777777" w:rsidR="00061CCE" w:rsidRPr="00061CCE" w:rsidRDefault="00061CCE" w:rsidP="00061CCE">
      <w:pPr>
        <w:numPr>
          <w:ilvl w:val="0"/>
          <w:numId w:val="4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žemas kraujospūdis. Tokiu atveju galite jausti liguistą galvos lengvumą arba svaigulį;</w:t>
      </w:r>
    </w:p>
    <w:p w14:paraId="19D2035D" w14:textId="77777777" w:rsidR="00061CCE" w:rsidRPr="00061CCE" w:rsidRDefault="00061CCE" w:rsidP="00061CCE">
      <w:pPr>
        <w:numPr>
          <w:ilvl w:val="0"/>
          <w:numId w:val="4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kvėpavimo arba širdies plakimo sulėtėjimas arba sustojimas ir sąmonės praradimas (koma).</w:t>
      </w:r>
    </w:p>
    <w:p w14:paraId="28D7B6AB"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bookmarkEnd w:id="89"/>
    <w:p w14:paraId="76877437"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Perdozavus dažniausiai pakanka tik stebėti gyvybines funkcijas (širdies veiklą, kraujotaką ir kvėpavimą). Reikalui esant Jums skirs atitinkamą palaikomąjį gydymą. </w:t>
      </w:r>
    </w:p>
    <w:p w14:paraId="458267BA"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Sunkaus apsinuodijimo atveju Jums gali skirti specifinį antidotą, kuris slopina midazolamo poveikį.</w:t>
      </w:r>
    </w:p>
    <w:p w14:paraId="36D22D40"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381ED28F"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Nustojus vartoti Midazolam B. Braun</w:t>
      </w:r>
    </w:p>
    <w:p w14:paraId="1180776B" w14:textId="77777777" w:rsidR="00061CCE" w:rsidRPr="00061CCE" w:rsidRDefault="00061CCE" w:rsidP="00061CCE">
      <w:pPr>
        <w:spacing w:after="0" w:line="240" w:lineRule="auto"/>
        <w:rPr>
          <w:rFonts w:ascii="Times New Roman" w:eastAsia="Times New Roman" w:hAnsi="Times New Roman" w:cs="Times New Roman"/>
          <w:szCs w:val="20"/>
          <w:lang w:eastAsia="lt-LT"/>
        </w:rPr>
      </w:pPr>
      <w:bookmarkStart w:id="90" w:name="_Hlk73087973"/>
    </w:p>
    <w:p w14:paraId="0871F195"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Staigiai nutraukus gydymą po ilgalaikio vartojimo gali pasireikšti šių abstinencijos (vartojimo nutraukimo) simptomų:</w:t>
      </w:r>
    </w:p>
    <w:p w14:paraId="164D8CF7"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galvos skausmas;</w:t>
      </w:r>
    </w:p>
    <w:p w14:paraId="38259D2C"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viduriavimas;</w:t>
      </w:r>
    </w:p>
    <w:p w14:paraId="160B78BA"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raumenų skausmas;</w:t>
      </w:r>
    </w:p>
    <w:p w14:paraId="512345F2"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nerimo, įtampos, nenustygimo, sumišimo jausmas arba bloga nuotaika (sudirgimas);</w:t>
      </w:r>
    </w:p>
    <w:p w14:paraId="513F2E9A"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miego sutrikimai;</w:t>
      </w:r>
    </w:p>
    <w:p w14:paraId="7FEBB40A"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nuotaikų kaita;</w:t>
      </w:r>
    </w:p>
    <w:p w14:paraId="1066EBA2"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haliucinacijos (nesamų dalykų matymas ir galbūt girdėjimas);</w:t>
      </w:r>
    </w:p>
    <w:p w14:paraId="576A4D0A"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traukuliai (konvulsijos);</w:t>
      </w:r>
    </w:p>
    <w:p w14:paraId="241A5266" w14:textId="77777777" w:rsidR="00061CCE" w:rsidRPr="00061CCE" w:rsidRDefault="00061CCE" w:rsidP="00061CCE">
      <w:pPr>
        <w:numPr>
          <w:ilvl w:val="0"/>
          <w:numId w:val="27"/>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depersonalizacija (tam tikras asmenybės susvetimėjimas);</w:t>
      </w:r>
    </w:p>
    <w:p w14:paraId="20D7DDC3" w14:textId="77777777" w:rsidR="00061CCE" w:rsidRPr="00061CCE" w:rsidRDefault="00061CCE" w:rsidP="00061CCE">
      <w:pPr>
        <w:numPr>
          <w:ilvl w:val="0"/>
          <w:numId w:val="27"/>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galūnių tirpimas ir dilgčiojimas;</w:t>
      </w:r>
    </w:p>
    <w:p w14:paraId="146338FD" w14:textId="77777777" w:rsidR="00061CCE" w:rsidRPr="00061CCE" w:rsidRDefault="00061CCE" w:rsidP="00061CCE">
      <w:pPr>
        <w:numPr>
          <w:ilvl w:val="0"/>
          <w:numId w:val="2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Calibri" w:hAnsi="Times New Roman" w:cs="Times New Roman"/>
          <w:lang w:eastAsia="en-US"/>
        </w:rPr>
        <w:t>padidėjęs jautrumas šviesai, triukšmui ir kūno sąlyčiui.</w:t>
      </w:r>
    </w:p>
    <w:bookmarkEnd w:id="90"/>
    <w:p w14:paraId="3D8E0FC3"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0DFF7B1E"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Gydymo midazolamu pabaigoje gydytojas laipsniškai mažins Jums skiriamą dozę, kad išvengtumėte tokio poveikio.</w:t>
      </w:r>
    </w:p>
    <w:p w14:paraId="1D22E81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F2FA5E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kiltų daugiau klausimų dėl šio vaisto vartojimo, kreipkitės į gydytoją arba vaistininką.</w:t>
      </w:r>
    </w:p>
    <w:p w14:paraId="41FC9B6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2E2D4BA"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307A549" w14:textId="77777777" w:rsidR="00061CCE" w:rsidRPr="00061CCE" w:rsidRDefault="00061CCE" w:rsidP="00061CCE">
      <w:pPr>
        <w:numPr>
          <w:ilvl w:val="0"/>
          <w:numId w:val="10"/>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Galimas šalutinis poveikis</w:t>
      </w:r>
    </w:p>
    <w:p w14:paraId="775CA07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784988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Šis vaistas, kaip ir visi kiti, gali sukelti šalutinį poveikį, nors jis pasireiškia ne visiems žmonėms. Gauta pranešimų apie toliau </w:t>
      </w:r>
      <w:bookmarkStart w:id="91" w:name="_Hlk104993481"/>
      <w:r w:rsidRPr="00061CCE">
        <w:rPr>
          <w:rFonts w:ascii="Times New Roman" w:eastAsia="Times New Roman" w:hAnsi="Times New Roman" w:cs="Times New Roman"/>
          <w:lang w:eastAsia="lt-LT"/>
        </w:rPr>
        <w:t>nurodytus šalutinio poveikio reiškinius, kurių dažnis nežinomas (negali būti apskaičiuotas pagal turimus duomenis).</w:t>
      </w:r>
    </w:p>
    <w:p w14:paraId="74DC156F" w14:textId="77777777" w:rsidR="00061CCE" w:rsidRPr="00061CCE" w:rsidRDefault="00061CCE" w:rsidP="00061CCE">
      <w:pPr>
        <w:spacing w:after="0" w:line="240" w:lineRule="auto"/>
        <w:rPr>
          <w:rFonts w:ascii="Times New Roman" w:eastAsia="Times New Roman" w:hAnsi="Times New Roman" w:cs="Times New Roman"/>
          <w:b/>
          <w:bCs/>
          <w:i/>
          <w:iCs/>
          <w:lang w:eastAsia="lt-LT"/>
        </w:rPr>
      </w:pPr>
    </w:p>
    <w:bookmarkEnd w:id="91"/>
    <w:p w14:paraId="10FC10D3" w14:textId="3332054A" w:rsidR="009D4A0B" w:rsidRPr="004119B1" w:rsidRDefault="009D4A0B" w:rsidP="009D4A0B">
      <w:pPr>
        <w:spacing w:after="0" w:line="240" w:lineRule="auto"/>
        <w:rPr>
          <w:rFonts w:ascii="Times New Roman" w:eastAsia="Times New Roman" w:hAnsi="Times New Roman" w:cs="Times New Roman"/>
          <w:noProof/>
          <w:szCs w:val="20"/>
          <w:lang w:eastAsia="lt-LT"/>
        </w:rPr>
      </w:pPr>
      <w:r w:rsidRPr="009B2CC0">
        <w:rPr>
          <w:rFonts w:ascii="Times New Roman" w:eastAsia="Times New Roman" w:hAnsi="Times New Roman" w:cs="Times New Roman"/>
          <w:b/>
          <w:szCs w:val="20"/>
          <w:lang w:eastAsia="lt-LT"/>
        </w:rPr>
        <w:t>Kartais šalutinio poveikio reiškiniai gali būti sunkūs. Pastebėjus bent vieną toliau nurodytą šalutinio poveikio reiškinį, reikia nutraukti šio vaisto vartojimą, todėl nedelsdami kreipkitės į gydytoją, jeigu pasireiškė:</w:t>
      </w:r>
    </w:p>
    <w:p w14:paraId="311E395B" w14:textId="6D5CBDF5" w:rsidR="009D4A0B" w:rsidRPr="009B2CC0" w:rsidRDefault="009D4A0B" w:rsidP="009D4A0B">
      <w:pPr>
        <w:numPr>
          <w:ilvl w:val="0"/>
          <w:numId w:val="28"/>
        </w:numPr>
        <w:spacing w:after="0" w:line="240" w:lineRule="auto"/>
        <w:ind w:left="567" w:hanging="567"/>
        <w:rPr>
          <w:rFonts w:ascii="Times New Roman" w:eastAsia="Times New Roman" w:hAnsi="Times New Roman" w:cs="Times New Roman"/>
          <w:szCs w:val="20"/>
          <w:lang w:eastAsia="lt-LT"/>
        </w:rPr>
      </w:pPr>
      <w:r w:rsidRPr="009B2CC0">
        <w:rPr>
          <w:rFonts w:ascii="Times New Roman" w:eastAsia="Times New Roman" w:hAnsi="Times New Roman" w:cs="Times New Roman"/>
          <w:szCs w:val="20"/>
          <w:lang w:eastAsia="lt-LT"/>
        </w:rPr>
        <w:t>anafilaksinis šokas (pavojinga gyvybei alerginė reakcija). Jos požymiai gali būti staigus išbėrimas, niežėjimas arba bėrimas ruplėmis (dilgėlinė) bei veido, lūpų, liežuvio ar kitų kūno dalių patinimas</w:t>
      </w:r>
      <w:bookmarkStart w:id="92" w:name="_Hlk92871157"/>
      <w:r w:rsidRPr="009B2CC0">
        <w:rPr>
          <w:rFonts w:ascii="Times New Roman" w:eastAsia="Times New Roman" w:hAnsi="Times New Roman" w:cs="Times New Roman"/>
          <w:szCs w:val="20"/>
          <w:lang w:eastAsia="lt-LT"/>
        </w:rPr>
        <w:t xml:space="preserve"> (angioneurozinė edema)</w:t>
      </w:r>
      <w:bookmarkEnd w:id="92"/>
      <w:r w:rsidRPr="009B2CC0">
        <w:rPr>
          <w:rFonts w:ascii="Times New Roman" w:eastAsia="Times New Roman" w:hAnsi="Times New Roman" w:cs="Times New Roman"/>
          <w:szCs w:val="20"/>
          <w:lang w:eastAsia="lt-LT"/>
        </w:rPr>
        <w:t>. Taip pat gali gniaužti kvapą, galite švokšti arba gali būti sunku kvėpuoti (bronchų spazmas)</w:t>
      </w:r>
      <w:bookmarkStart w:id="93" w:name="_Hlk138655286"/>
      <w:r>
        <w:rPr>
          <w:rFonts w:ascii="Times New Roman" w:eastAsia="Times New Roman" w:hAnsi="Times New Roman" w:cs="Times New Roman"/>
          <w:szCs w:val="20"/>
          <w:lang w:eastAsia="lt-LT"/>
        </w:rPr>
        <w:t xml:space="preserve"> </w:t>
      </w:r>
      <w:r w:rsidRPr="004119B1">
        <w:rPr>
          <w:rFonts w:ascii="Times New Roman" w:eastAsia="Times New Roman" w:hAnsi="Times New Roman" w:cs="Times New Roman"/>
          <w:szCs w:val="20"/>
          <w:lang w:eastAsia="lt-LT"/>
        </w:rPr>
        <w:t>arba gali išbalti oda, susilpnėti ir paspartėti pulsas ar galite pajusti, kad tuoj apalpsite. Be to, galite jausti skausmą krūtinės srityje, kuris gali rodyti sunkią alerginę reakciją, vadinamą Kunio (</w:t>
      </w:r>
      <w:r w:rsidRPr="004119B1">
        <w:rPr>
          <w:rFonts w:ascii="Times New Roman" w:eastAsia="Times New Roman" w:hAnsi="Times New Roman" w:cs="Times New Roman"/>
          <w:i/>
          <w:szCs w:val="20"/>
          <w:lang w:eastAsia="lt-LT"/>
        </w:rPr>
        <w:t>Kounis</w:t>
      </w:r>
      <w:r w:rsidRPr="004119B1">
        <w:rPr>
          <w:rFonts w:ascii="Times New Roman" w:eastAsia="Times New Roman" w:hAnsi="Times New Roman" w:cs="Times New Roman"/>
          <w:szCs w:val="20"/>
          <w:lang w:eastAsia="lt-LT"/>
        </w:rPr>
        <w:t>) sindromu</w:t>
      </w:r>
      <w:bookmarkEnd w:id="93"/>
      <w:r w:rsidRPr="009B2CC0">
        <w:rPr>
          <w:rFonts w:ascii="Times New Roman" w:eastAsia="Times New Roman" w:hAnsi="Times New Roman" w:cs="Times New Roman"/>
          <w:szCs w:val="20"/>
          <w:lang w:eastAsia="lt-LT"/>
        </w:rPr>
        <w:t>;</w:t>
      </w:r>
    </w:p>
    <w:p w14:paraId="283F35B6" w14:textId="2DB7915E" w:rsidR="00061CCE" w:rsidRPr="00061CCE" w:rsidRDefault="00061CCE" w:rsidP="00061CCE">
      <w:pPr>
        <w:numPr>
          <w:ilvl w:val="0"/>
          <w:numId w:val="28"/>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lastRenderedPageBreak/>
        <w:t>širdies smūgis (širdies sustojimas). Jo požymiai gali būti krūtinės skausmas, kuris gali plisti į kaklą, pečius ir kairiąja ranka žemyn, kvėpavimo problemos arba komplikacijos (kartais gali sustoti kvėpavimas)</w:t>
      </w:r>
      <w:r w:rsidR="008868BD">
        <w:rPr>
          <w:rFonts w:ascii="Times New Roman" w:eastAsia="Times New Roman" w:hAnsi="Times New Roman" w:cs="Times New Roman"/>
          <w:szCs w:val="20"/>
          <w:lang w:eastAsia="lt-LT"/>
        </w:rPr>
        <w:t>.</w:t>
      </w:r>
    </w:p>
    <w:p w14:paraId="1BFC47EF" w14:textId="77777777" w:rsidR="00061CCE" w:rsidRPr="00061CCE" w:rsidRDefault="00061CCE" w:rsidP="00061CCE">
      <w:pPr>
        <w:numPr>
          <w:ilvl w:val="0"/>
          <w:numId w:val="28"/>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dusimas ir staigus kvėpavimo takų užsikimšimas (gerklų spazmas).</w:t>
      </w:r>
    </w:p>
    <w:p w14:paraId="386053DF" w14:textId="77777777" w:rsidR="00061CCE" w:rsidRPr="00061CCE" w:rsidRDefault="00061CCE" w:rsidP="00061CCE">
      <w:pPr>
        <w:spacing w:after="0" w:line="240" w:lineRule="auto"/>
        <w:rPr>
          <w:rFonts w:ascii="Times New Roman" w:eastAsia="Times New Roman" w:hAnsi="Times New Roman" w:cs="Times New Roman"/>
          <w:iCs/>
          <w:lang w:eastAsia="lt-LT"/>
        </w:rPr>
      </w:pPr>
    </w:p>
    <w:p w14:paraId="627E66C1" w14:textId="77777777" w:rsidR="00061CCE" w:rsidRPr="00061CCE" w:rsidRDefault="00061CCE" w:rsidP="00061CCE">
      <w:pPr>
        <w:spacing w:after="0" w:line="240" w:lineRule="auto"/>
        <w:rPr>
          <w:rFonts w:ascii="Times New Roman" w:eastAsia="Times New Roman" w:hAnsi="Times New Roman" w:cs="Times New Roman"/>
          <w:szCs w:val="20"/>
          <w:lang w:eastAsia="lt-LT"/>
        </w:rPr>
      </w:pPr>
      <w:bookmarkStart w:id="94" w:name="_Hlk519010800"/>
      <w:r w:rsidRPr="00061CCE">
        <w:rPr>
          <w:rFonts w:ascii="Times New Roman" w:eastAsia="Times New Roman" w:hAnsi="Times New Roman" w:cs="Times New Roman"/>
          <w:szCs w:val="20"/>
          <w:lang w:eastAsia="lt-LT"/>
        </w:rPr>
        <w:t>Gyvybei pavojingas šalutinis poveikis dažniau pasireiškia vyresniems kaip 60 metų amžiaus suaugusiesiems, jau turintiems kvėpavimo sutrikimų ar širdies problemų, ypač jeigu injekcija leidžiama per greitai arba per didele doze.</w:t>
      </w:r>
    </w:p>
    <w:bookmarkEnd w:id="94"/>
    <w:p w14:paraId="2638E4AA" w14:textId="77777777" w:rsidR="00061CCE" w:rsidRPr="00061CCE" w:rsidRDefault="00061CCE" w:rsidP="00061CCE">
      <w:pPr>
        <w:spacing w:after="0" w:line="240" w:lineRule="auto"/>
        <w:jc w:val="both"/>
        <w:rPr>
          <w:rFonts w:ascii="Times New Roman" w:eastAsia="Times New Roman" w:hAnsi="Times New Roman" w:cs="Times New Roman"/>
          <w:bCs/>
          <w:noProof/>
          <w:szCs w:val="20"/>
          <w:lang w:eastAsia="lt-LT"/>
        </w:rPr>
      </w:pPr>
    </w:p>
    <w:p w14:paraId="6FA90C78" w14:textId="77777777" w:rsidR="00061CCE" w:rsidRPr="00061CCE" w:rsidRDefault="00061CCE" w:rsidP="00061CCE">
      <w:pPr>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Kitas šalutinis poveikis</w:t>
      </w:r>
    </w:p>
    <w:p w14:paraId="43505912" w14:textId="77777777" w:rsidR="00061CCE" w:rsidRPr="00061CCE" w:rsidRDefault="00061CCE" w:rsidP="00061CCE">
      <w:pPr>
        <w:spacing w:after="0" w:line="240" w:lineRule="auto"/>
        <w:jc w:val="both"/>
        <w:rPr>
          <w:rFonts w:ascii="Times New Roman" w:eastAsia="Times New Roman" w:hAnsi="Times New Roman" w:cs="Times New Roman"/>
          <w:b/>
          <w:noProof/>
          <w:szCs w:val="20"/>
          <w:lang w:eastAsia="lt-LT"/>
        </w:rPr>
      </w:pPr>
    </w:p>
    <w:p w14:paraId="7C75DC94" w14:textId="77777777" w:rsidR="00061CCE" w:rsidRPr="00061CCE" w:rsidRDefault="00061CCE" w:rsidP="00061CCE">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Imuninės sistemos sutrikimai:</w:t>
      </w:r>
    </w:p>
    <w:p w14:paraId="509C2030" w14:textId="77777777" w:rsidR="00061CCE" w:rsidRPr="00061CCE" w:rsidRDefault="00061CCE" w:rsidP="00061CCE">
      <w:pPr>
        <w:numPr>
          <w:ilvl w:val="0"/>
          <w:numId w:val="29"/>
        </w:numPr>
        <w:spacing w:after="0" w:line="240" w:lineRule="auto"/>
        <w:ind w:left="567" w:hanging="567"/>
        <w:contextualSpacing/>
        <w:jc w:val="both"/>
        <w:rPr>
          <w:rFonts w:ascii="Times New Roman" w:eastAsia="Times New Roman" w:hAnsi="Times New Roman" w:cs="Times New Roman"/>
          <w:i/>
          <w:iCs/>
          <w:lang w:eastAsia="lt-LT"/>
        </w:rPr>
      </w:pPr>
      <w:r w:rsidRPr="00061CCE">
        <w:rPr>
          <w:rFonts w:ascii="Times New Roman" w:eastAsia="Times New Roman" w:hAnsi="Times New Roman" w:cs="Times New Roman"/>
          <w:szCs w:val="20"/>
          <w:lang w:eastAsia="lt-LT"/>
        </w:rPr>
        <w:t>bendrosios alerginės reakcijos (odos reakcijos, širdies ir kraujo sistemos reakcijos).</w:t>
      </w:r>
    </w:p>
    <w:p w14:paraId="108BA62F"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58731D42"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Poveikis elgsenai:</w:t>
      </w:r>
    </w:p>
    <w:p w14:paraId="5336520E"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lang w:eastAsia="lt-LT"/>
        </w:rPr>
      </w:pPr>
      <w:bookmarkStart w:id="95" w:name="_Hlk73088386"/>
      <w:r w:rsidRPr="00061CCE">
        <w:rPr>
          <w:rFonts w:ascii="Times New Roman" w:eastAsia="Times New Roman" w:hAnsi="Times New Roman" w:cs="Times New Roman"/>
          <w:szCs w:val="20"/>
          <w:lang w:eastAsia="lt-LT"/>
        </w:rPr>
        <w:t>sujaudinimas (ažitacija);</w:t>
      </w:r>
    </w:p>
    <w:p w14:paraId="65F6BE32"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nenustygimas;</w:t>
      </w:r>
    </w:p>
    <w:p w14:paraId="45EB7F92"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irzlumas;</w:t>
      </w:r>
    </w:p>
    <w:p w14:paraId="7689E418"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nervingumas, nerimas;</w:t>
      </w:r>
    </w:p>
    <w:p w14:paraId="230067AE"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priešiškumas, pyktis arba agresija;</w:t>
      </w:r>
    </w:p>
    <w:p w14:paraId="61963488"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drebulys susijaudinus (paroksizminis jaudulys);</w:t>
      </w:r>
    </w:p>
    <w:p w14:paraId="5A6A39B2"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hiperaktyvumas;</w:t>
      </w:r>
    </w:p>
    <w:p w14:paraId="383437E8"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agresyvus elgesys;</w:t>
      </w:r>
    </w:p>
    <w:p w14:paraId="46519BBE"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lytinio potraukio (libido) pokyčiai;</w:t>
      </w:r>
    </w:p>
    <w:p w14:paraId="43D0A768" w14:textId="77777777" w:rsidR="00061CCE" w:rsidRPr="00061CCE" w:rsidRDefault="00061CCE" w:rsidP="00061CCE">
      <w:pPr>
        <w:numPr>
          <w:ilvl w:val="0"/>
          <w:numId w:val="3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netinkamas elgesys ir kiti elgesio sutrikimai.</w:t>
      </w:r>
    </w:p>
    <w:bookmarkEnd w:id="95"/>
    <w:p w14:paraId="36B32363"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1161684E" w14:textId="77777777" w:rsidR="00061CCE" w:rsidRPr="00061CCE" w:rsidRDefault="00061CCE" w:rsidP="00061CCE">
      <w:pPr>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Raumenų sutrikimai:</w:t>
      </w:r>
    </w:p>
    <w:p w14:paraId="60EB3BEB" w14:textId="77777777" w:rsidR="00061CCE" w:rsidRPr="00061CCE" w:rsidRDefault="00061CCE" w:rsidP="00061CCE">
      <w:pPr>
        <w:numPr>
          <w:ilvl w:val="0"/>
          <w:numId w:val="31"/>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raumenų spazmai ir raumenų tremoras (raumenų drebėjimas, kurio negalite kontroliuoti).</w:t>
      </w:r>
    </w:p>
    <w:p w14:paraId="3B66A06E" w14:textId="77777777" w:rsidR="00061CCE" w:rsidRPr="00061CCE" w:rsidRDefault="00061CCE" w:rsidP="00061CCE">
      <w:pPr>
        <w:spacing w:after="0" w:line="240" w:lineRule="auto"/>
        <w:ind w:left="66"/>
        <w:jc w:val="both"/>
        <w:rPr>
          <w:rFonts w:ascii="Times New Roman" w:eastAsia="Times New Roman" w:hAnsi="Times New Roman" w:cs="Times New Roman"/>
          <w:szCs w:val="20"/>
          <w:lang w:eastAsia="lt-LT"/>
        </w:rPr>
      </w:pPr>
    </w:p>
    <w:p w14:paraId="6B2571AD"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szCs w:val="20"/>
          <w:lang w:eastAsia="lt-LT"/>
        </w:rPr>
        <w:t>Psichiniai ir nervų sistemos sutrikimai:</w:t>
      </w:r>
    </w:p>
    <w:p w14:paraId="1686F243" w14:textId="77777777" w:rsidR="00061CCE" w:rsidRPr="00061CCE" w:rsidRDefault="00061CCE" w:rsidP="00061CCE">
      <w:pPr>
        <w:numPr>
          <w:ilvl w:val="0"/>
          <w:numId w:val="32"/>
        </w:numPr>
        <w:spacing w:after="0" w:line="240" w:lineRule="auto"/>
        <w:ind w:left="567" w:hanging="567"/>
        <w:jc w:val="both"/>
        <w:rPr>
          <w:rFonts w:ascii="Times New Roman" w:eastAsia="Times New Roman" w:hAnsi="Times New Roman" w:cs="Times New Roman"/>
          <w:szCs w:val="20"/>
          <w:lang w:eastAsia="lt-LT"/>
        </w:rPr>
      </w:pPr>
      <w:bookmarkStart w:id="96" w:name="_Hlk73088418"/>
      <w:r w:rsidRPr="00061CCE">
        <w:rPr>
          <w:rFonts w:ascii="Times New Roman" w:eastAsia="Times New Roman" w:hAnsi="Times New Roman" w:cs="Times New Roman"/>
          <w:szCs w:val="20"/>
          <w:lang w:eastAsia="lt-LT"/>
        </w:rPr>
        <w:t>sumišimas; orientacijos sutrikimai (dezorientacija);</w:t>
      </w:r>
    </w:p>
    <w:p w14:paraId="5208A3EB" w14:textId="77777777" w:rsidR="00061CCE" w:rsidRPr="00061CCE" w:rsidRDefault="00061CCE" w:rsidP="00061CCE">
      <w:pPr>
        <w:numPr>
          <w:ilvl w:val="0"/>
          <w:numId w:val="32"/>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psichozės (santykio su tikrove praradimas);</w:t>
      </w:r>
    </w:p>
    <w:p w14:paraId="30855553" w14:textId="77777777" w:rsidR="00061CCE" w:rsidRPr="00061CCE" w:rsidRDefault="00061CCE" w:rsidP="00061CCE">
      <w:pPr>
        <w:numPr>
          <w:ilvl w:val="0"/>
          <w:numId w:val="32"/>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emocijų ir nuotaikų sutrikimai;</w:t>
      </w:r>
    </w:p>
    <w:p w14:paraId="06271AA9" w14:textId="77777777" w:rsidR="00061CCE" w:rsidRPr="00061CCE" w:rsidRDefault="00061CCE" w:rsidP="00061CCE">
      <w:pPr>
        <w:numPr>
          <w:ilvl w:val="0"/>
          <w:numId w:val="32"/>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haliucinacijos (nesamų dalykų matymas ir galbūt girdėjimas);</w:t>
      </w:r>
    </w:p>
    <w:p w14:paraId="25368024"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mieguistumas bei ilgesnis raminamasis poveikis;</w:t>
      </w:r>
    </w:p>
    <w:p w14:paraId="36DEA824"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košmarai, nenormalūs sapnai;</w:t>
      </w:r>
    </w:p>
    <w:p w14:paraId="16E5365C"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budrumo sumažėjimas;</w:t>
      </w:r>
    </w:p>
    <w:p w14:paraId="7263339F"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galvos skausmas;</w:t>
      </w:r>
    </w:p>
    <w:p w14:paraId="62C0508C"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svaigulys;</w:t>
      </w:r>
    </w:p>
    <w:p w14:paraId="06DEF962"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raumenų koordinacijos sunkumai;</w:t>
      </w:r>
    </w:p>
    <w:p w14:paraId="3311D502"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traukuliai (konvulsijos), dažniau neišnešiotiems kūdikiams ir naujagimiams;</w:t>
      </w:r>
    </w:p>
    <w:p w14:paraId="4E256E3D"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laikina amnezija (atminties praradimas). Jos trukmė yra tiesiogiai susijusi su suvartotos midazolamo dozės dydžiu. Ji gali pasireikšti ir po gydymo. Pavieniais atvejais ji tęsėsi ilgai;</w:t>
      </w:r>
    </w:p>
    <w:p w14:paraId="0D030310"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bookmarkStart w:id="97" w:name="_Hlk519027662"/>
      <w:r w:rsidRPr="00061CCE">
        <w:rPr>
          <w:rFonts w:ascii="Times New Roman" w:eastAsia="Times New Roman" w:hAnsi="Times New Roman" w:cs="Times New Roman"/>
          <w:iCs/>
          <w:lang w:eastAsia="lt-LT"/>
        </w:rPr>
        <w:t>priklausomybė nuo vaistų</w:t>
      </w:r>
      <w:bookmarkEnd w:id="97"/>
      <w:r w:rsidRPr="00061CCE">
        <w:rPr>
          <w:rFonts w:ascii="Times New Roman" w:eastAsia="Times New Roman" w:hAnsi="Times New Roman" w:cs="Times New Roman"/>
          <w:iCs/>
          <w:lang w:eastAsia="lt-LT"/>
        </w:rPr>
        <w:t>, piktnaudžiavimas;</w:t>
      </w:r>
    </w:p>
    <w:p w14:paraId="47993BAD" w14:textId="77777777" w:rsidR="00061CCE" w:rsidRPr="00061CCE" w:rsidRDefault="00061CCE" w:rsidP="00061CCE">
      <w:pPr>
        <w:numPr>
          <w:ilvl w:val="0"/>
          <w:numId w:val="32"/>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abstinencijos (nutraukimo) simptomai, įskaitant kartais pasireiškiančius traukulius (konvulsijas).</w:t>
      </w:r>
    </w:p>
    <w:bookmarkEnd w:id="96"/>
    <w:p w14:paraId="5C9344E5" w14:textId="77777777" w:rsidR="00061CCE" w:rsidRPr="00061CCE" w:rsidRDefault="00061CCE" w:rsidP="00061CCE">
      <w:pPr>
        <w:spacing w:after="0" w:line="240" w:lineRule="auto"/>
        <w:rPr>
          <w:rFonts w:ascii="Times New Roman" w:eastAsia="Times New Roman" w:hAnsi="Times New Roman" w:cs="Times New Roman"/>
          <w:bCs/>
          <w:lang w:eastAsia="lt-LT"/>
        </w:rPr>
      </w:pPr>
    </w:p>
    <w:p w14:paraId="18C6F85C"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Širdies ir kraujotakos sutrikimai:</w:t>
      </w:r>
    </w:p>
    <w:p w14:paraId="24329BDE" w14:textId="77777777" w:rsidR="00061CCE" w:rsidRPr="00061CCE" w:rsidRDefault="00061CCE" w:rsidP="00061CCE">
      <w:pPr>
        <w:numPr>
          <w:ilvl w:val="0"/>
          <w:numId w:val="33"/>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žemas kraujospūdis;</w:t>
      </w:r>
    </w:p>
    <w:p w14:paraId="44926133" w14:textId="77777777" w:rsidR="00061CCE" w:rsidRPr="00061CCE" w:rsidRDefault="00061CCE" w:rsidP="00061CCE">
      <w:pPr>
        <w:numPr>
          <w:ilvl w:val="0"/>
          <w:numId w:val="33"/>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lėtas širdies ritmas;</w:t>
      </w:r>
    </w:p>
    <w:p w14:paraId="3EA7BB4B" w14:textId="77777777" w:rsidR="00061CCE" w:rsidRPr="00061CCE" w:rsidRDefault="00061CCE" w:rsidP="00061CCE">
      <w:pPr>
        <w:numPr>
          <w:ilvl w:val="0"/>
          <w:numId w:val="33"/>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kraujagyslių išsiplėtimas (vazodilatacija).</w:t>
      </w:r>
    </w:p>
    <w:p w14:paraId="43C8F6F3" w14:textId="77777777" w:rsidR="00061CCE" w:rsidRPr="00061CCE" w:rsidRDefault="00061CCE" w:rsidP="00061CCE">
      <w:pPr>
        <w:spacing w:after="0" w:line="240" w:lineRule="auto"/>
        <w:rPr>
          <w:rFonts w:ascii="Times New Roman" w:eastAsia="Times New Roman" w:hAnsi="Times New Roman" w:cs="Times New Roman"/>
          <w:i/>
          <w:iCs/>
          <w:lang w:eastAsia="lt-LT"/>
        </w:rPr>
      </w:pPr>
    </w:p>
    <w:p w14:paraId="0FB6A5CB"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Kvėpavimo sutrikimai:</w:t>
      </w:r>
    </w:p>
    <w:p w14:paraId="6D03043B" w14:textId="77777777" w:rsidR="00061CCE" w:rsidRPr="00061CCE" w:rsidRDefault="00061CCE" w:rsidP="00061CCE">
      <w:pPr>
        <w:numPr>
          <w:ilvl w:val="0"/>
          <w:numId w:val="34"/>
        </w:numPr>
        <w:spacing w:after="0" w:line="240" w:lineRule="auto"/>
        <w:ind w:left="567" w:hanging="567"/>
        <w:jc w:val="both"/>
        <w:rPr>
          <w:rFonts w:ascii="Times New Roman" w:eastAsia="Times New Roman" w:hAnsi="Times New Roman" w:cs="Times New Roman"/>
          <w:lang w:eastAsia="lt-LT"/>
        </w:rPr>
      </w:pPr>
      <w:bookmarkStart w:id="98" w:name="_Hlk73088443"/>
      <w:r w:rsidRPr="00061CCE">
        <w:rPr>
          <w:rFonts w:ascii="Times New Roman" w:eastAsia="Times New Roman" w:hAnsi="Times New Roman" w:cs="Times New Roman"/>
          <w:szCs w:val="20"/>
          <w:lang w:eastAsia="lt-LT"/>
        </w:rPr>
        <w:t>retas kvėpavimas (respiracinis distresas);</w:t>
      </w:r>
    </w:p>
    <w:p w14:paraId="27C64113" w14:textId="77777777" w:rsidR="00061CCE" w:rsidRPr="00061CCE" w:rsidRDefault="00061CCE" w:rsidP="00061CCE">
      <w:pPr>
        <w:numPr>
          <w:ilvl w:val="0"/>
          <w:numId w:val="34"/>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dusulys (dispnėja);</w:t>
      </w:r>
    </w:p>
    <w:p w14:paraId="7BBB3045" w14:textId="77777777" w:rsidR="00061CCE" w:rsidRPr="00061CCE" w:rsidRDefault="00061CCE" w:rsidP="00061CCE">
      <w:pPr>
        <w:numPr>
          <w:ilvl w:val="0"/>
          <w:numId w:val="34"/>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nekvėpavimas (apnėja, kvėpavimo sustojimas);</w:t>
      </w:r>
    </w:p>
    <w:p w14:paraId="5737B403" w14:textId="77777777" w:rsidR="00061CCE" w:rsidRPr="00061CCE" w:rsidRDefault="00061CCE" w:rsidP="00061CCE">
      <w:pPr>
        <w:numPr>
          <w:ilvl w:val="0"/>
          <w:numId w:val="34"/>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szCs w:val="20"/>
          <w:lang w:eastAsia="lt-LT"/>
        </w:rPr>
        <w:t>žagsulys</w:t>
      </w:r>
      <w:r w:rsidRPr="00061CCE">
        <w:rPr>
          <w:rFonts w:ascii="Times New Roman" w:eastAsia="Times New Roman" w:hAnsi="Times New Roman" w:cs="Times New Roman"/>
          <w:lang w:eastAsia="lt-LT"/>
        </w:rPr>
        <w:t>.</w:t>
      </w:r>
    </w:p>
    <w:bookmarkEnd w:id="98"/>
    <w:p w14:paraId="0F01B521"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4F8E64E4"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lastRenderedPageBreak/>
        <w:t>Virškinimo trakto ir burnos sutrikimai:</w:t>
      </w:r>
    </w:p>
    <w:p w14:paraId="24C1579F" w14:textId="77777777" w:rsidR="00061CCE" w:rsidRPr="00061CCE" w:rsidRDefault="00061CCE" w:rsidP="00061CCE">
      <w:pPr>
        <w:numPr>
          <w:ilvl w:val="0"/>
          <w:numId w:val="35"/>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pykinimas (šleikštulys); </w:t>
      </w:r>
    </w:p>
    <w:p w14:paraId="284B2B9B" w14:textId="77777777" w:rsidR="00061CCE" w:rsidRPr="00061CCE" w:rsidRDefault="00061CCE" w:rsidP="00061CCE">
      <w:pPr>
        <w:numPr>
          <w:ilvl w:val="0"/>
          <w:numId w:val="35"/>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vėmimas;</w:t>
      </w:r>
    </w:p>
    <w:p w14:paraId="66D49FAA" w14:textId="77777777" w:rsidR="00061CCE" w:rsidRPr="00061CCE" w:rsidRDefault="00061CCE" w:rsidP="00061CCE">
      <w:pPr>
        <w:numPr>
          <w:ilvl w:val="0"/>
          <w:numId w:val="35"/>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vidurių užkietėjimas; </w:t>
      </w:r>
    </w:p>
    <w:p w14:paraId="05FE2C1B" w14:textId="77777777" w:rsidR="00061CCE" w:rsidRPr="00061CCE" w:rsidRDefault="00061CCE" w:rsidP="00061CCE">
      <w:pPr>
        <w:numPr>
          <w:ilvl w:val="0"/>
          <w:numId w:val="35"/>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burnos džiūvimas.</w:t>
      </w:r>
    </w:p>
    <w:p w14:paraId="02EEB82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B1AF6A0"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Odos sutrikimai:</w:t>
      </w:r>
    </w:p>
    <w:p w14:paraId="74741EC8" w14:textId="77777777" w:rsidR="00061CCE" w:rsidRPr="00061CCE" w:rsidRDefault="00061CCE" w:rsidP="00061CCE">
      <w:pPr>
        <w:numPr>
          <w:ilvl w:val="0"/>
          <w:numId w:val="36"/>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išbėrimas;</w:t>
      </w:r>
    </w:p>
    <w:p w14:paraId="25CDDA84" w14:textId="77777777" w:rsidR="00061CCE" w:rsidRPr="00061CCE" w:rsidRDefault="00061CCE" w:rsidP="00061CCE">
      <w:pPr>
        <w:numPr>
          <w:ilvl w:val="0"/>
          <w:numId w:val="36"/>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dilgėlinė (išbėrimas ruplėmis);</w:t>
      </w:r>
    </w:p>
    <w:p w14:paraId="6544B72B" w14:textId="77777777" w:rsidR="00061CCE" w:rsidRPr="00061CCE" w:rsidRDefault="00061CCE" w:rsidP="00061CCE">
      <w:pPr>
        <w:numPr>
          <w:ilvl w:val="0"/>
          <w:numId w:val="36"/>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niežulys.</w:t>
      </w:r>
    </w:p>
    <w:p w14:paraId="1833D5D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79EB408" w14:textId="77777777" w:rsidR="00061CCE" w:rsidRPr="00061CCE" w:rsidRDefault="00061CCE" w:rsidP="00061CCE">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Vartojimo vietos pažeidimai:</w:t>
      </w:r>
    </w:p>
    <w:p w14:paraId="3E6D491C" w14:textId="77777777" w:rsidR="00061CCE" w:rsidRPr="00061CCE" w:rsidRDefault="00061CCE" w:rsidP="00061CCE">
      <w:pPr>
        <w:numPr>
          <w:ilvl w:val="0"/>
          <w:numId w:val="3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paraudimas;</w:t>
      </w:r>
    </w:p>
    <w:p w14:paraId="019A857A" w14:textId="77777777" w:rsidR="00061CCE" w:rsidRPr="00061CCE" w:rsidRDefault="00061CCE" w:rsidP="00061CCE">
      <w:pPr>
        <w:numPr>
          <w:ilvl w:val="0"/>
          <w:numId w:val="3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odos pabrinkimas; </w:t>
      </w:r>
    </w:p>
    <w:p w14:paraId="1FFF45AE" w14:textId="77777777" w:rsidR="00061CCE" w:rsidRPr="00061CCE" w:rsidRDefault="00061CCE" w:rsidP="00061CCE">
      <w:pPr>
        <w:numPr>
          <w:ilvl w:val="0"/>
          <w:numId w:val="3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kraujo krešulių susidarymas arba skausmas. </w:t>
      </w:r>
    </w:p>
    <w:p w14:paraId="1F20EC1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D0D34EF" w14:textId="77777777" w:rsidR="00061CCE" w:rsidRPr="00061CCE" w:rsidRDefault="00061CCE" w:rsidP="00061CCE">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Bendrieji sutrikimai:</w:t>
      </w:r>
    </w:p>
    <w:p w14:paraId="0EB49479" w14:textId="77777777" w:rsidR="00061CCE" w:rsidRPr="00061CCE" w:rsidRDefault="00061CCE" w:rsidP="00061CCE">
      <w:pPr>
        <w:numPr>
          <w:ilvl w:val="0"/>
          <w:numId w:val="38"/>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nuovargis.</w:t>
      </w:r>
    </w:p>
    <w:p w14:paraId="40B0A772" w14:textId="77777777" w:rsidR="00061CCE" w:rsidRPr="00061CCE" w:rsidRDefault="00061CCE" w:rsidP="00061CCE">
      <w:pPr>
        <w:spacing w:after="0" w:line="240" w:lineRule="auto"/>
        <w:ind w:left="68"/>
        <w:jc w:val="both"/>
        <w:rPr>
          <w:rFonts w:ascii="Times New Roman" w:eastAsia="Times New Roman" w:hAnsi="Times New Roman" w:cs="Times New Roman"/>
          <w:szCs w:val="20"/>
          <w:lang w:eastAsia="lt-LT"/>
        </w:rPr>
      </w:pPr>
    </w:p>
    <w:p w14:paraId="541490D0" w14:textId="77777777" w:rsidR="00061CCE" w:rsidRPr="00061CCE" w:rsidRDefault="00061CCE" w:rsidP="00061CCE">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lang w:eastAsia="lt-LT"/>
        </w:rPr>
        <w:t>Sužalojimai, apsinuodijimai ir procedūrų komplikacijos:</w:t>
      </w:r>
    </w:p>
    <w:p w14:paraId="34045195" w14:textId="77777777" w:rsidR="00061CCE" w:rsidRPr="00061CCE" w:rsidRDefault="00061CCE" w:rsidP="00061CCE">
      <w:pPr>
        <w:numPr>
          <w:ilvl w:val="0"/>
          <w:numId w:val="3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kritimas ir kaulų lūžiai. Ši rizika didesnė pacientams, kartu vartojantiems kitų raminamųjų (įskaitant alkoholį) ir pagyvenusiems žmonėms.</w:t>
      </w:r>
    </w:p>
    <w:p w14:paraId="24BA88B0"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31A8D53"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Pranešimas apie šalutinį poveikį</w:t>
      </w:r>
    </w:p>
    <w:p w14:paraId="4CAC6445" w14:textId="77777777" w:rsidR="00061CCE" w:rsidRPr="00061CCE" w:rsidRDefault="00061CCE" w:rsidP="00061CCE">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eastAsia="lt-LT"/>
        </w:rPr>
      </w:pPr>
      <w:r w:rsidRPr="00061CCE">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061CCE">
        <w:rPr>
          <w:rFonts w:ascii="Times New Roman" w:eastAsia="Times New Roman" w:hAnsi="Times New Roman" w:cs="Times New Roman"/>
          <w:snapToGrid w:val="0"/>
          <w:szCs w:val="24"/>
          <w:lang w:eastAsia="lt-LT"/>
        </w:rPr>
        <w:t xml:space="preserve"> </w:t>
      </w:r>
      <w:r w:rsidRPr="00061CCE">
        <w:rPr>
          <w:rFonts w:ascii="Times New Roman" w:eastAsia="Times New Roman" w:hAnsi="Times New Roman" w:cs="Times New Roman"/>
          <w:noProof/>
          <w:snapToGrid w:val="0"/>
          <w:szCs w:val="24"/>
          <w:lang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Pr="00061CCE">
          <w:rPr>
            <w:rFonts w:ascii="Times New Roman" w:eastAsia="Times New Roman" w:hAnsi="Times New Roman" w:cs="Times New Roman"/>
            <w:noProof/>
            <w:snapToGrid w:val="0"/>
            <w:color w:val="0000FF"/>
            <w:szCs w:val="24"/>
            <w:u w:val="single"/>
            <w:lang w:eastAsia="lt-LT"/>
          </w:rPr>
          <w:t>https://vapris.vvkt.lt/vvkt-web/public/nrvSpecialist</w:t>
        </w:r>
      </w:hyperlink>
      <w:r w:rsidRPr="00061CCE">
        <w:rPr>
          <w:rFonts w:ascii="Times New Roman" w:eastAsia="Times New Roman" w:hAnsi="Times New Roman" w:cs="Times New Roman"/>
          <w:noProof/>
          <w:snapToGrid w:val="0"/>
          <w:szCs w:val="24"/>
          <w:lang w:eastAsia="lt-LT"/>
        </w:rPr>
        <w:t xml:space="preserve"> arba užpildę Sveikatos priežiūros ar farmacijos specialisto pranešimo apie įtariamą nepageidaujamą reakciją (ĮNR) formą, kuri skelbiama </w:t>
      </w:r>
      <w:hyperlink r:id="rId15" w:history="1">
        <w:r w:rsidRPr="00061CCE">
          <w:rPr>
            <w:rFonts w:ascii="Times New Roman" w:eastAsia="Times New Roman" w:hAnsi="Times New Roman" w:cs="Times New Roman"/>
            <w:noProof/>
            <w:snapToGrid w:val="0"/>
            <w:color w:val="0000FF"/>
            <w:szCs w:val="24"/>
            <w:u w:val="single"/>
            <w:lang w:eastAsia="lt-LT"/>
          </w:rPr>
          <w:t>https://www.vvkt.lt/index.php?1399030386</w:t>
        </w:r>
      </w:hyperlink>
      <w:r w:rsidRPr="00061CCE">
        <w:rPr>
          <w:rFonts w:ascii="Times New Roman" w:eastAsia="Times New Roman" w:hAnsi="Times New Roman" w:cs="Times New Roman"/>
          <w:noProof/>
          <w:snapToGrid w:val="0"/>
          <w:szCs w:val="24"/>
          <w:lang w:eastAsia="lt-LT"/>
        </w:rPr>
        <w:t>, ir atsiųsti elektroniniu paštu (adresu NepageidaujamaR@vvkt.lt).</w:t>
      </w:r>
    </w:p>
    <w:p w14:paraId="0C8F90F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AB9552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303C76E" w14:textId="77777777" w:rsidR="00061CCE" w:rsidRPr="00061CCE" w:rsidRDefault="00061CCE" w:rsidP="00061CCE">
      <w:pPr>
        <w:numPr>
          <w:ilvl w:val="0"/>
          <w:numId w:val="10"/>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Kaip laikyti Midazolam B. Braun</w:t>
      </w:r>
    </w:p>
    <w:p w14:paraId="330684E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C265A42" w14:textId="77777777" w:rsidR="00061CCE" w:rsidRPr="00061CCE" w:rsidRDefault="00061CCE" w:rsidP="00061CCE">
      <w:pPr>
        <w:numPr>
          <w:ilvl w:val="12"/>
          <w:numId w:val="0"/>
        </w:numPr>
        <w:spacing w:after="0" w:line="240" w:lineRule="auto"/>
        <w:ind w:right="-2"/>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Už šio vaisto laikymą atsako gydytojas arba vaistininkas. Jis taip pat atsako už tinkamą nesuvartoto midazolamo likučių tvarkymą.</w:t>
      </w:r>
    </w:p>
    <w:p w14:paraId="06614782" w14:textId="77777777" w:rsidR="00061CCE" w:rsidRPr="00061CCE" w:rsidRDefault="00061CCE" w:rsidP="00061CCE">
      <w:pPr>
        <w:numPr>
          <w:ilvl w:val="12"/>
          <w:numId w:val="0"/>
        </w:numPr>
        <w:spacing w:after="0" w:line="240" w:lineRule="auto"/>
        <w:ind w:right="-2"/>
        <w:rPr>
          <w:rFonts w:ascii="Times New Roman" w:eastAsia="Times New Roman" w:hAnsi="Times New Roman" w:cs="Times New Roman"/>
          <w:lang w:eastAsia="lt-LT"/>
        </w:rPr>
      </w:pPr>
    </w:p>
    <w:p w14:paraId="5D00FC2C" w14:textId="77777777" w:rsidR="00061CCE" w:rsidRPr="00061CCE" w:rsidRDefault="00061CCE" w:rsidP="00061CCE">
      <w:pPr>
        <w:numPr>
          <w:ilvl w:val="12"/>
          <w:numId w:val="0"/>
        </w:numPr>
        <w:spacing w:after="0" w:line="240" w:lineRule="auto"/>
        <w:ind w:right="-2"/>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Šį vaistą laikykite vaikams nepastebimoje ir nepasiekiamoje vietoje.</w:t>
      </w:r>
    </w:p>
    <w:p w14:paraId="09D71BC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C52259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Ant etiketės ir dėžutės nurodytam tinkamumo laikui pasibaigus, šio vaisto vartoti negalima. Vaistas tinkamas vartoti iki paskutinės nurodyto mėnesio dienos.</w:t>
      </w:r>
    </w:p>
    <w:p w14:paraId="167912CF"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D359D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ne aukštesnėje kaip 25 °C temperatūroje. Praskiesto tirpalo cheminis ir fizinis stabilumas kambario temperatūroje nekinta 24 valandas, 5 °C temperatūroje – 3 dienas.</w:t>
      </w:r>
    </w:p>
    <w:p w14:paraId="7029F08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3FE6FEC"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Mikrobiologiniu požiūriu, praskiestas tirpalas turėtų būti suvartojamas tuojau pat po paruošimo. Jei tirpalas nesuvartojamas iš karto, už jo saugojimo laiką ir laikymo sąlygas yra atsakingas vartotojas. Praskiestą tirpalą laikyti 2° C – 8 °C temperatūroje ne ilgiau kaip 24 valandas</w:t>
      </w:r>
      <w:r w:rsidRPr="00061CCE">
        <w:rPr>
          <w:rFonts w:ascii="Times New Roman" w:eastAsia="Calibri" w:hAnsi="Times New Roman" w:cs="Times New Roman"/>
          <w:lang w:eastAsia="zh-CN"/>
        </w:rPr>
        <w:t>, nebent buvo taikytas praskiedimo metodas, apsaugantis nuo mikrobiologinės taršos rizikos.</w:t>
      </w:r>
    </w:p>
    <w:p w14:paraId="23187FC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Talpykles laikyti išorinėje dėžutėje, kad vaistas būtų apsaugotas nuo šviesos.</w:t>
      </w:r>
    </w:p>
    <w:p w14:paraId="7DEB0DB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D79510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226AB58" w14:textId="77777777" w:rsidR="00061CCE" w:rsidRPr="00061CCE" w:rsidRDefault="00061CCE" w:rsidP="00061CCE">
      <w:pPr>
        <w:numPr>
          <w:ilvl w:val="0"/>
          <w:numId w:val="10"/>
        </w:numPr>
        <w:spacing w:after="0" w:line="240" w:lineRule="auto"/>
        <w:ind w:hanging="720"/>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Pakuotės turinys ir kita informacija</w:t>
      </w:r>
    </w:p>
    <w:p w14:paraId="50885072"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82FA76"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sudėtis</w:t>
      </w:r>
    </w:p>
    <w:p w14:paraId="73CF3A8F" w14:textId="77777777" w:rsidR="00061CCE" w:rsidRPr="00061CCE" w:rsidRDefault="00061CCE" w:rsidP="00061CCE">
      <w:pPr>
        <w:numPr>
          <w:ilvl w:val="0"/>
          <w:numId w:val="15"/>
        </w:numPr>
        <w:spacing w:after="0" w:line="240" w:lineRule="auto"/>
        <w:ind w:left="567" w:hanging="567"/>
        <w:rPr>
          <w:rFonts w:ascii="Times New Roman" w:eastAsia="Times New Roman" w:hAnsi="Times New Roman" w:cs="Times New Roman"/>
          <w:i/>
          <w:iCs/>
          <w:lang w:eastAsia="lt-LT"/>
        </w:rPr>
      </w:pPr>
      <w:r w:rsidRPr="00061CCE">
        <w:rPr>
          <w:rFonts w:ascii="Times New Roman" w:eastAsia="Times New Roman" w:hAnsi="Times New Roman" w:cs="Times New Roman"/>
          <w:lang w:eastAsia="lt-LT"/>
        </w:rPr>
        <w:lastRenderedPageBreak/>
        <w:t>Veiklioji medžiaga yra midazolamas (midazolamo hidrochlorido pavidalu).</w:t>
      </w:r>
    </w:p>
    <w:p w14:paraId="70067AE7" w14:textId="77777777" w:rsidR="00061CCE" w:rsidRPr="00061CCE" w:rsidRDefault="00061CCE" w:rsidP="00061CCE">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Kiekviename ml </w:t>
      </w:r>
      <w:r w:rsidRPr="00061CCE">
        <w:rPr>
          <w:rFonts w:ascii="Times New Roman" w:eastAsia="Times New Roman" w:hAnsi="Times New Roman" w:cs="Times New Roman"/>
          <w:noProof/>
          <w:szCs w:val="20"/>
          <w:lang w:eastAsia="en-US"/>
        </w:rPr>
        <w:t xml:space="preserve">Midazolam B. Braun 1 mg/ml </w:t>
      </w:r>
      <w:r w:rsidRPr="00061CCE">
        <w:rPr>
          <w:rFonts w:ascii="Times New Roman" w:eastAsia="Times New Roman" w:hAnsi="Times New Roman" w:cs="Times New Roman"/>
          <w:lang w:eastAsia="lt-LT"/>
        </w:rPr>
        <w:t>yra 1 mg midazolamo.</w:t>
      </w:r>
    </w:p>
    <w:p w14:paraId="43A5F2F8" w14:textId="77777777" w:rsidR="00061CCE" w:rsidRPr="00061CCE" w:rsidRDefault="00061CCE" w:rsidP="00061CCE">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Vienoje 5 ml ampulėje yra 5 mg midazolamo.</w:t>
      </w:r>
    </w:p>
    <w:p w14:paraId="5066E218" w14:textId="77777777" w:rsidR="00061CCE" w:rsidRPr="00061CCE" w:rsidRDefault="00061CCE" w:rsidP="00061CCE">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Viename 50 ml buteliuke yra 50 mg midazolamo.</w:t>
      </w:r>
    </w:p>
    <w:p w14:paraId="15FC8FEF" w14:textId="77777777" w:rsidR="00061CCE" w:rsidRPr="00061CCE" w:rsidRDefault="00061CCE" w:rsidP="00061CCE">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Viename 100 ml buteliuke yra 100 mg midazolamo.</w:t>
      </w:r>
    </w:p>
    <w:p w14:paraId="152A75C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8F6193C" w14:textId="77777777" w:rsidR="00061CCE" w:rsidRPr="00061CCE" w:rsidRDefault="00061CCE" w:rsidP="00061CCE">
      <w:pPr>
        <w:numPr>
          <w:ilvl w:val="0"/>
          <w:numId w:val="15"/>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Pagalbinės medžiagos</w:t>
      </w:r>
      <w:r w:rsidRPr="00061CCE">
        <w:rPr>
          <w:rFonts w:ascii="Times New Roman" w:eastAsia="Times New Roman" w:hAnsi="Times New Roman" w:cs="Times New Roman"/>
          <w:b/>
          <w:bCs/>
          <w:lang w:eastAsia="lt-LT"/>
        </w:rPr>
        <w:t xml:space="preserve"> </w:t>
      </w:r>
      <w:r w:rsidRPr="00061CCE">
        <w:rPr>
          <w:rFonts w:ascii="Times New Roman" w:eastAsia="Times New Roman" w:hAnsi="Times New Roman" w:cs="Times New Roman"/>
          <w:lang w:eastAsia="lt-LT"/>
        </w:rPr>
        <w:t>yra natrio chloridas, 10 % vandenilio chlorido rūgštis ir injekcinis vanduo.</w:t>
      </w:r>
    </w:p>
    <w:p w14:paraId="3432CB85"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1BB6740D"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išvaizda ir kiekis pakuotėje</w:t>
      </w:r>
    </w:p>
    <w:p w14:paraId="418EDC2E"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yra skaidrus, bespalvis vandeninis tirpalas.</w:t>
      </w:r>
    </w:p>
    <w:p w14:paraId="20A1B92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 B. Braun </w:t>
      </w:r>
      <w:r w:rsidRPr="00061CCE">
        <w:rPr>
          <w:rFonts w:ascii="Times New Roman" w:eastAsia="Times New Roman" w:hAnsi="Times New Roman" w:cs="Times New Roman"/>
          <w:noProof/>
          <w:szCs w:val="20"/>
          <w:lang w:eastAsia="en-US"/>
        </w:rPr>
        <w:t>1 mg/ml</w:t>
      </w:r>
      <w:r w:rsidRPr="00061CCE">
        <w:rPr>
          <w:rFonts w:ascii="Times New Roman" w:eastAsia="Times New Roman" w:hAnsi="Times New Roman" w:cs="Times New Roman"/>
          <w:lang w:eastAsia="lt-LT"/>
        </w:rPr>
        <w:t xml:space="preserve"> tiekiamas:</w:t>
      </w:r>
    </w:p>
    <w:p w14:paraId="77493BAC" w14:textId="77777777" w:rsidR="00061CCE" w:rsidRPr="00061CCE" w:rsidRDefault="00061CCE" w:rsidP="00061CCE">
      <w:pPr>
        <w:tabs>
          <w:tab w:val="left" w:pos="567"/>
        </w:tabs>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 ml bespalvio stiklo ampulėse, pakuotėje yra 10 ampulių.</w:t>
      </w:r>
    </w:p>
    <w:p w14:paraId="4F833742" w14:textId="77777777" w:rsidR="00061CCE" w:rsidRPr="00061CCE" w:rsidRDefault="00061CCE" w:rsidP="00061CCE">
      <w:pPr>
        <w:tabs>
          <w:tab w:val="left" w:pos="567"/>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 ml permatomose polietileninėse ampulėse, pakuotėje yra 4, 10 arba 20 ampulių.</w:t>
      </w:r>
    </w:p>
    <w:p w14:paraId="77EBCFE4" w14:textId="77777777" w:rsidR="00061CCE" w:rsidRPr="00061CCE" w:rsidRDefault="00061CCE" w:rsidP="00061CCE">
      <w:pPr>
        <w:tabs>
          <w:tab w:val="left" w:pos="567"/>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50 ml ir 100 ml permatomuose polietileno buteliukuose, pakuotėje yra 10 buteliukų.</w:t>
      </w:r>
    </w:p>
    <w:p w14:paraId="2C9353C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2B015C7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Gali būti tiekiamos ne visų dydžių pakuotės.</w:t>
      </w:r>
    </w:p>
    <w:p w14:paraId="6E445DE0"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4FD239C2"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Registruotojas ir gamintojas</w:t>
      </w:r>
    </w:p>
    <w:p w14:paraId="4EFEAA28"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AD2A2D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Registruotojas:</w:t>
      </w:r>
    </w:p>
    <w:p w14:paraId="1DBDD192"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14:paraId="161DA21D"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14:paraId="09E0DE5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34212 Melsungen, Vokietija</w:t>
      </w:r>
    </w:p>
    <w:p w14:paraId="12BF9FF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5C682B61" w14:textId="77777777" w:rsidR="00061CCE" w:rsidRPr="00061CCE" w:rsidRDefault="00061CCE" w:rsidP="00061CCE">
      <w:pPr>
        <w:spacing w:after="0" w:line="240" w:lineRule="auto"/>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Pašto adresas:</w:t>
      </w:r>
    </w:p>
    <w:p w14:paraId="23551CF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34209 Melsungen, Vokietija</w:t>
      </w:r>
    </w:p>
    <w:p w14:paraId="13457C8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6BC67153"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Tel: +49-5661-71-0</w:t>
      </w:r>
    </w:p>
    <w:p w14:paraId="36F65EC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Faksas: +49-5661-71-4567</w:t>
      </w:r>
    </w:p>
    <w:p w14:paraId="249F1293"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59844C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Gamintojas:</w:t>
      </w:r>
    </w:p>
    <w:p w14:paraId="3D945D8A"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14:paraId="7FD554A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14:paraId="361D0BCB"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34212 Melsungen, Vokietija</w:t>
      </w:r>
    </w:p>
    <w:p w14:paraId="135A3A19" w14:textId="77777777" w:rsidR="00061CCE" w:rsidRPr="00061CCE" w:rsidRDefault="00061CCE" w:rsidP="00061CCE">
      <w:pPr>
        <w:spacing w:after="0" w:line="240" w:lineRule="auto"/>
        <w:rPr>
          <w:rFonts w:ascii="Times New Roman" w:eastAsia="Times New Roman" w:hAnsi="Times New Roman" w:cs="Times New Roman"/>
          <w:lang w:eastAsia="lt-LT"/>
        </w:rPr>
      </w:pPr>
    </w:p>
    <w:p w14:paraId="07739246"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Medical, S. A.</w:t>
      </w:r>
    </w:p>
    <w:p w14:paraId="77BF3BF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Carretera de Terrassa 121</w:t>
      </w:r>
    </w:p>
    <w:p w14:paraId="7E6BE62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Rubí</w:t>
      </w:r>
    </w:p>
    <w:p w14:paraId="0C68DF8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08191 Barcelona, Ispanija</w:t>
      </w:r>
    </w:p>
    <w:p w14:paraId="2E53050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41F56524"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apie šį vaistą norite sužinoti daugiau, kreipkitės į vietinį registruotojo atstovą:</w:t>
      </w:r>
    </w:p>
    <w:p w14:paraId="7E35F05D"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531B44"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UAB „B. Braun Medical“</w:t>
      </w:r>
    </w:p>
    <w:p w14:paraId="6D49E6BA"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Viršuliškių skg. 34-1</w:t>
      </w:r>
    </w:p>
    <w:p w14:paraId="4725647B"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05132 Vilnius</w:t>
      </w:r>
    </w:p>
    <w:p w14:paraId="008CA6B8"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Lietuva</w:t>
      </w:r>
      <w:r w:rsidRPr="00061CCE">
        <w:rPr>
          <w:rFonts w:ascii="Times New Roman" w:eastAsia="Times New Roman" w:hAnsi="Times New Roman" w:cs="Times New Roman"/>
          <w:szCs w:val="20"/>
          <w:lang w:eastAsia="lt-LT"/>
        </w:rPr>
        <w:tab/>
      </w:r>
    </w:p>
    <w:p w14:paraId="2EE480C4"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Tel. (8 5) 237 4333</w:t>
      </w:r>
    </w:p>
    <w:p w14:paraId="0F2CA138"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Calibri" w:hAnsi="Times New Roman" w:cs="Arial"/>
          <w:lang w:eastAsia="zh-CN"/>
        </w:rPr>
        <w:t>El. paštas: office.lt@bbraun.com</w:t>
      </w:r>
    </w:p>
    <w:p w14:paraId="3E31A14C" w14:textId="77777777" w:rsidR="00061CCE" w:rsidRPr="00061CCE" w:rsidRDefault="00061CCE" w:rsidP="00061CCE">
      <w:pPr>
        <w:spacing w:after="0" w:line="240" w:lineRule="auto"/>
        <w:rPr>
          <w:rFonts w:ascii="Times New Roman" w:eastAsia="Times New Roman" w:hAnsi="Times New Roman" w:cs="Times New Roman"/>
          <w:b/>
          <w:lang w:eastAsia="lt-LT"/>
        </w:rPr>
      </w:pPr>
    </w:p>
    <w:p w14:paraId="1105A86E" w14:textId="77777777"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Šis vaistas Europos ekonominės erdvės valstybėse narėse registruotas tokiais</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pavadinimais:</w:t>
      </w:r>
    </w:p>
    <w:tbl>
      <w:tblPr>
        <w:tblW w:w="0" w:type="auto"/>
        <w:tblInd w:w="786" w:type="dxa"/>
        <w:tblLook w:val="04A0" w:firstRow="1" w:lastRow="0" w:firstColumn="1" w:lastColumn="0" w:noHBand="0" w:noVBand="1"/>
      </w:tblPr>
      <w:tblGrid>
        <w:gridCol w:w="2900"/>
        <w:gridCol w:w="4839"/>
      </w:tblGrid>
      <w:tr w:rsidR="00061CCE" w:rsidRPr="00061CCE" w14:paraId="13AE9407" w14:textId="77777777" w:rsidTr="00DA7146">
        <w:tc>
          <w:tcPr>
            <w:tcW w:w="2900" w:type="dxa"/>
            <w:shd w:val="clear" w:color="auto" w:fill="auto"/>
            <w:vAlign w:val="center"/>
          </w:tcPr>
          <w:p w14:paraId="211B4E97"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bookmarkStart w:id="99" w:name="_Hlk73088730"/>
            <w:r w:rsidRPr="00061CCE">
              <w:rPr>
                <w:rFonts w:ascii="Times New Roman" w:eastAsia="Times New Roman" w:hAnsi="Times New Roman" w:cs="Times New Roman"/>
                <w:lang w:eastAsia="en-US"/>
              </w:rPr>
              <w:t>Begija</w:t>
            </w:r>
          </w:p>
        </w:tc>
        <w:tc>
          <w:tcPr>
            <w:tcW w:w="4839" w:type="dxa"/>
            <w:shd w:val="clear" w:color="auto" w:fill="auto"/>
            <w:vAlign w:val="center"/>
          </w:tcPr>
          <w:p w14:paraId="2FA2CD66"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01D349C9" w14:textId="77777777" w:rsidTr="00DA7146">
        <w:tc>
          <w:tcPr>
            <w:tcW w:w="2900" w:type="dxa"/>
            <w:shd w:val="clear" w:color="auto" w:fill="auto"/>
            <w:vAlign w:val="center"/>
          </w:tcPr>
          <w:p w14:paraId="2B719F72"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Kipras</w:t>
            </w:r>
          </w:p>
        </w:tc>
        <w:tc>
          <w:tcPr>
            <w:tcW w:w="4839" w:type="dxa"/>
            <w:shd w:val="clear" w:color="auto" w:fill="auto"/>
            <w:vAlign w:val="center"/>
          </w:tcPr>
          <w:p w14:paraId="40FE9628"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061CCE" w:rsidRPr="00061CCE" w14:paraId="75009864" w14:textId="77777777" w:rsidTr="00DA7146">
        <w:trPr>
          <w:trHeight w:val="164"/>
        </w:trPr>
        <w:tc>
          <w:tcPr>
            <w:tcW w:w="2900" w:type="dxa"/>
            <w:shd w:val="clear" w:color="auto" w:fill="auto"/>
            <w:vAlign w:val="center"/>
          </w:tcPr>
          <w:p w14:paraId="21C261EA"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Danija</w:t>
            </w:r>
          </w:p>
        </w:tc>
        <w:tc>
          <w:tcPr>
            <w:tcW w:w="4839" w:type="dxa"/>
            <w:shd w:val="clear" w:color="auto" w:fill="auto"/>
            <w:vAlign w:val="center"/>
          </w:tcPr>
          <w:p w14:paraId="393302D6"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51EA7B90" w14:textId="77777777" w:rsidTr="00DA7146">
        <w:tc>
          <w:tcPr>
            <w:tcW w:w="2900" w:type="dxa"/>
            <w:shd w:val="clear" w:color="auto" w:fill="auto"/>
            <w:vAlign w:val="center"/>
          </w:tcPr>
          <w:p w14:paraId="32E32D90"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Estija</w:t>
            </w:r>
          </w:p>
        </w:tc>
        <w:tc>
          <w:tcPr>
            <w:tcW w:w="4839" w:type="dxa"/>
            <w:shd w:val="clear" w:color="auto" w:fill="auto"/>
            <w:vAlign w:val="center"/>
          </w:tcPr>
          <w:p w14:paraId="5057C341"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50D2D759" w14:textId="77777777" w:rsidTr="00DA7146">
        <w:trPr>
          <w:trHeight w:val="310"/>
        </w:trPr>
        <w:tc>
          <w:tcPr>
            <w:tcW w:w="2900" w:type="dxa"/>
            <w:shd w:val="clear" w:color="auto" w:fill="auto"/>
            <w:vAlign w:val="center"/>
          </w:tcPr>
          <w:p w14:paraId="2B93332F"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Prancūzija</w:t>
            </w:r>
          </w:p>
        </w:tc>
        <w:tc>
          <w:tcPr>
            <w:tcW w:w="4839" w:type="dxa"/>
            <w:shd w:val="clear" w:color="auto" w:fill="auto"/>
            <w:vAlign w:val="center"/>
          </w:tcPr>
          <w:p w14:paraId="491F4CD1"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061CCE" w:rsidRPr="00061CCE" w14:paraId="1AE96C9B" w14:textId="77777777" w:rsidTr="00DA7146">
        <w:trPr>
          <w:trHeight w:val="285"/>
        </w:trPr>
        <w:tc>
          <w:tcPr>
            <w:tcW w:w="2900" w:type="dxa"/>
            <w:shd w:val="clear" w:color="auto" w:fill="auto"/>
            <w:vAlign w:val="center"/>
          </w:tcPr>
          <w:p w14:paraId="439C60FA"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lastRenderedPageBreak/>
              <w:t>Vokietija</w:t>
            </w:r>
          </w:p>
        </w:tc>
        <w:tc>
          <w:tcPr>
            <w:tcW w:w="4839" w:type="dxa"/>
            <w:shd w:val="clear" w:color="auto" w:fill="auto"/>
            <w:vAlign w:val="center"/>
          </w:tcPr>
          <w:p w14:paraId="61412305"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4C67EA83" w14:textId="77777777" w:rsidTr="00DA7146">
        <w:trPr>
          <w:trHeight w:val="321"/>
        </w:trPr>
        <w:tc>
          <w:tcPr>
            <w:tcW w:w="2900" w:type="dxa"/>
            <w:shd w:val="clear" w:color="auto" w:fill="auto"/>
            <w:vAlign w:val="center"/>
          </w:tcPr>
          <w:p w14:paraId="07F83E78"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Graikija</w:t>
            </w:r>
          </w:p>
        </w:tc>
        <w:tc>
          <w:tcPr>
            <w:tcW w:w="4839" w:type="dxa"/>
            <w:shd w:val="clear" w:color="auto" w:fill="auto"/>
            <w:vAlign w:val="center"/>
          </w:tcPr>
          <w:p w14:paraId="598131FF"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7AA86243" w14:textId="77777777" w:rsidTr="00DA7146">
        <w:tc>
          <w:tcPr>
            <w:tcW w:w="2900" w:type="dxa"/>
            <w:shd w:val="clear" w:color="auto" w:fill="auto"/>
            <w:vAlign w:val="center"/>
          </w:tcPr>
          <w:p w14:paraId="499C8C7D"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Italija</w:t>
            </w:r>
          </w:p>
        </w:tc>
        <w:tc>
          <w:tcPr>
            <w:tcW w:w="4839" w:type="dxa"/>
            <w:shd w:val="clear" w:color="auto" w:fill="auto"/>
            <w:vAlign w:val="center"/>
          </w:tcPr>
          <w:p w14:paraId="15C67CA4"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766A43E7" w14:textId="77777777" w:rsidTr="00DA7146">
        <w:tc>
          <w:tcPr>
            <w:tcW w:w="2900" w:type="dxa"/>
            <w:shd w:val="clear" w:color="auto" w:fill="auto"/>
            <w:vAlign w:val="center"/>
          </w:tcPr>
          <w:p w14:paraId="28CE9782"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Latvia</w:t>
            </w:r>
          </w:p>
        </w:tc>
        <w:tc>
          <w:tcPr>
            <w:tcW w:w="4839" w:type="dxa"/>
            <w:shd w:val="clear" w:color="auto" w:fill="auto"/>
            <w:vAlign w:val="center"/>
          </w:tcPr>
          <w:p w14:paraId="189710C0"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581C9B35" w14:textId="77777777" w:rsidTr="00DA7146">
        <w:tc>
          <w:tcPr>
            <w:tcW w:w="2900" w:type="dxa"/>
            <w:shd w:val="clear" w:color="auto" w:fill="auto"/>
            <w:vAlign w:val="center"/>
          </w:tcPr>
          <w:p w14:paraId="65BBF0EC"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Lietuva</w:t>
            </w:r>
          </w:p>
        </w:tc>
        <w:tc>
          <w:tcPr>
            <w:tcW w:w="4839" w:type="dxa"/>
            <w:shd w:val="clear" w:color="auto" w:fill="auto"/>
            <w:vAlign w:val="center"/>
          </w:tcPr>
          <w:p w14:paraId="76167F3F"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1B41AF19" w14:textId="77777777" w:rsidTr="00DA7146">
        <w:tc>
          <w:tcPr>
            <w:tcW w:w="2900" w:type="dxa"/>
            <w:shd w:val="clear" w:color="auto" w:fill="auto"/>
            <w:vAlign w:val="center"/>
          </w:tcPr>
          <w:p w14:paraId="5C7B1BE4"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Liuksemburgas</w:t>
            </w:r>
          </w:p>
        </w:tc>
        <w:tc>
          <w:tcPr>
            <w:tcW w:w="4839" w:type="dxa"/>
            <w:shd w:val="clear" w:color="auto" w:fill="auto"/>
            <w:vAlign w:val="center"/>
          </w:tcPr>
          <w:p w14:paraId="79E9D949"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6EA96CDE" w14:textId="77777777" w:rsidTr="00DA7146">
        <w:tc>
          <w:tcPr>
            <w:tcW w:w="2900" w:type="dxa"/>
            <w:shd w:val="clear" w:color="auto" w:fill="auto"/>
            <w:vAlign w:val="center"/>
          </w:tcPr>
          <w:p w14:paraId="41E70303"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Malta</w:t>
            </w:r>
          </w:p>
        </w:tc>
        <w:tc>
          <w:tcPr>
            <w:tcW w:w="4839" w:type="dxa"/>
            <w:shd w:val="clear" w:color="auto" w:fill="auto"/>
            <w:vAlign w:val="center"/>
          </w:tcPr>
          <w:p w14:paraId="566B5504"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061CCE" w:rsidRPr="00061CCE" w14:paraId="00F3FB65" w14:textId="77777777" w:rsidTr="00DA7146">
        <w:tc>
          <w:tcPr>
            <w:tcW w:w="2900" w:type="dxa"/>
            <w:shd w:val="clear" w:color="auto" w:fill="auto"/>
            <w:vAlign w:val="center"/>
          </w:tcPr>
          <w:p w14:paraId="74C2687F"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Norvegija</w:t>
            </w:r>
          </w:p>
        </w:tc>
        <w:tc>
          <w:tcPr>
            <w:tcW w:w="4839" w:type="dxa"/>
            <w:shd w:val="clear" w:color="auto" w:fill="auto"/>
            <w:vAlign w:val="center"/>
          </w:tcPr>
          <w:p w14:paraId="612FC70C"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061CCE" w:rsidRPr="00061CCE" w14:paraId="60F470AC" w14:textId="77777777" w:rsidTr="00DA7146">
        <w:tc>
          <w:tcPr>
            <w:tcW w:w="2900" w:type="dxa"/>
            <w:shd w:val="clear" w:color="auto" w:fill="auto"/>
            <w:vAlign w:val="center"/>
          </w:tcPr>
          <w:p w14:paraId="2AFFF19D"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Lenkija</w:t>
            </w:r>
          </w:p>
        </w:tc>
        <w:tc>
          <w:tcPr>
            <w:tcW w:w="4839" w:type="dxa"/>
            <w:shd w:val="clear" w:color="auto" w:fill="auto"/>
            <w:vAlign w:val="center"/>
          </w:tcPr>
          <w:p w14:paraId="37E4D60D"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1 mg/ml stiprumas: Midazolam B. Braun </w:t>
            </w:r>
          </w:p>
        </w:tc>
      </w:tr>
      <w:tr w:rsidR="00061CCE" w:rsidRPr="00061CCE" w14:paraId="12008C2D" w14:textId="77777777" w:rsidTr="00DA7146">
        <w:tc>
          <w:tcPr>
            <w:tcW w:w="2900" w:type="dxa"/>
            <w:shd w:val="clear" w:color="auto" w:fill="auto"/>
            <w:vAlign w:val="center"/>
          </w:tcPr>
          <w:p w14:paraId="1C9364A2"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Slovėnija</w:t>
            </w:r>
          </w:p>
        </w:tc>
        <w:tc>
          <w:tcPr>
            <w:tcW w:w="4839" w:type="dxa"/>
            <w:shd w:val="clear" w:color="auto" w:fill="auto"/>
            <w:vAlign w:val="center"/>
          </w:tcPr>
          <w:p w14:paraId="5D884EC7"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p w14:paraId="5142FD69"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raztopina za injiciranje/infundiranje</w:t>
            </w:r>
          </w:p>
        </w:tc>
      </w:tr>
      <w:tr w:rsidR="00061CCE" w:rsidRPr="00061CCE" w14:paraId="518FBA35" w14:textId="77777777" w:rsidTr="00DA7146">
        <w:tc>
          <w:tcPr>
            <w:tcW w:w="2900" w:type="dxa"/>
            <w:shd w:val="clear" w:color="auto" w:fill="auto"/>
            <w:vAlign w:val="center"/>
          </w:tcPr>
          <w:p w14:paraId="3A0E4475"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Ispanija</w:t>
            </w:r>
          </w:p>
        </w:tc>
        <w:tc>
          <w:tcPr>
            <w:tcW w:w="4839" w:type="dxa"/>
            <w:shd w:val="clear" w:color="auto" w:fill="auto"/>
            <w:vAlign w:val="center"/>
          </w:tcPr>
          <w:p w14:paraId="5065197D" w14:textId="77777777" w:rsidR="00061CCE" w:rsidRPr="00061CCE" w:rsidRDefault="00061CCE" w:rsidP="00061CCE">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bookmarkEnd w:id="99"/>
    </w:tbl>
    <w:p w14:paraId="11E76F61"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6A893D5"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C3C4A0A" w14:textId="0300513F" w:rsidR="00061CCE" w:rsidRPr="00061CCE" w:rsidRDefault="00061CCE" w:rsidP="00061CCE">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Šis pakuotės lapelis paskutinį kartą peržiūrėtas</w:t>
      </w:r>
      <w:r w:rsidR="007012F0">
        <w:rPr>
          <w:rFonts w:ascii="Times New Roman" w:eastAsia="Times New Roman" w:hAnsi="Times New Roman" w:cs="Times New Roman"/>
          <w:b/>
          <w:lang w:eastAsia="lt-LT"/>
        </w:rPr>
        <w:t xml:space="preserve"> 2023</w:t>
      </w:r>
      <w:r w:rsidR="004037DB">
        <w:rPr>
          <w:rFonts w:ascii="Times New Roman" w:eastAsia="Times New Roman" w:hAnsi="Times New Roman" w:cs="Times New Roman"/>
          <w:b/>
          <w:lang w:eastAsia="lt-LT"/>
        </w:rPr>
        <w:t>-</w:t>
      </w:r>
      <w:r w:rsidR="007012F0">
        <w:rPr>
          <w:rFonts w:ascii="Times New Roman" w:eastAsia="Times New Roman" w:hAnsi="Times New Roman" w:cs="Times New Roman"/>
          <w:b/>
          <w:lang w:eastAsia="lt-LT"/>
        </w:rPr>
        <w:t xml:space="preserve"> 08</w:t>
      </w:r>
      <w:r w:rsidR="004037DB">
        <w:rPr>
          <w:rFonts w:ascii="Times New Roman" w:eastAsia="Times New Roman" w:hAnsi="Times New Roman" w:cs="Times New Roman"/>
          <w:b/>
          <w:lang w:eastAsia="lt-LT"/>
        </w:rPr>
        <w:t>-</w:t>
      </w:r>
      <w:r w:rsidR="007012F0">
        <w:rPr>
          <w:rFonts w:ascii="Times New Roman" w:eastAsia="Times New Roman" w:hAnsi="Times New Roman" w:cs="Times New Roman"/>
          <w:b/>
          <w:lang w:eastAsia="lt-LT"/>
        </w:rPr>
        <w:t xml:space="preserve"> 01</w:t>
      </w:r>
      <w:r w:rsidRPr="00061CCE">
        <w:rPr>
          <w:rFonts w:ascii="Times New Roman" w:eastAsia="Times New Roman" w:hAnsi="Times New Roman" w:cs="Times New Roman"/>
          <w:b/>
          <w:lang w:eastAsia="lt-LT"/>
        </w:rPr>
        <w:t>.</w:t>
      </w:r>
    </w:p>
    <w:p w14:paraId="6FF13E9E"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4FC1D33" w14:textId="12CBCE54"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061CCE">
        <w:rPr>
          <w:rFonts w:ascii="Times New Roman" w:eastAsia="Times New Roman" w:hAnsi="Times New Roman" w:cs="Times New Roman"/>
          <w:i/>
          <w:lang w:eastAsia="lt-LT"/>
        </w:rPr>
        <w:t xml:space="preserve"> </w:t>
      </w:r>
      <w:hyperlink r:id="rId16" w:history="1">
        <w:r w:rsidRPr="00061CCE">
          <w:rPr>
            <w:rFonts w:ascii="Times New Roman" w:eastAsia="SimSun" w:hAnsi="Times New Roman" w:cs="Times New Roman"/>
            <w:color w:val="0000FF"/>
            <w:u w:val="single"/>
            <w:lang w:eastAsia="lt-LT"/>
          </w:rPr>
          <w:t>http://www.vvkt.lt/</w:t>
        </w:r>
      </w:hyperlink>
    </w:p>
    <w:p w14:paraId="26F8F34A" w14:textId="77777777" w:rsidR="00061CCE" w:rsidRPr="00061CCE" w:rsidRDefault="00061CCE" w:rsidP="00061CCE">
      <w:pPr>
        <w:spacing w:after="0" w:line="240" w:lineRule="auto"/>
        <w:rPr>
          <w:rFonts w:ascii="Calibri" w:eastAsia="Calibri" w:hAnsi="Calibri" w:cs="Arial"/>
          <w:lang w:eastAsia="en-US"/>
        </w:rPr>
      </w:pPr>
      <w:r w:rsidRPr="00061CCE">
        <w:rPr>
          <w:rFonts w:ascii="Calibri" w:eastAsia="Calibri" w:hAnsi="Calibri" w:cs="Arial"/>
          <w:lang w:eastAsia="en-US"/>
        </w:rPr>
        <w:t>--------------------------------------------------------------------------------------------------------------------------------------</w:t>
      </w:r>
    </w:p>
    <w:p w14:paraId="379A157B"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Toliau pateikta informacija skirta tik sveikatos priežiūros specialistams.</w:t>
      </w:r>
    </w:p>
    <w:p w14:paraId="2D36E0FB"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2D61DA19"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Įspėjimai</w:t>
      </w:r>
    </w:p>
    <w:p w14:paraId="1DF8AD8D"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6826C41A" w14:textId="77777777" w:rsidR="00061CCE" w:rsidRPr="00061CCE" w:rsidRDefault="00061CCE" w:rsidP="00061CCE">
      <w:pPr>
        <w:spacing w:after="0" w:line="240" w:lineRule="auto"/>
        <w:rPr>
          <w:rFonts w:ascii="Times New Roman" w:eastAsia="Times New Roman" w:hAnsi="Times New Roman" w:cs="Times New Roman"/>
          <w:i/>
          <w:iCs/>
          <w:szCs w:val="20"/>
          <w:lang w:eastAsia="lt-LT"/>
        </w:rPr>
      </w:pPr>
      <w:r w:rsidRPr="00061CCE">
        <w:rPr>
          <w:rFonts w:ascii="Times New Roman" w:eastAsia="Times New Roman" w:hAnsi="Times New Roman" w:cs="Times New Roman"/>
          <w:i/>
          <w:iCs/>
          <w:szCs w:val="20"/>
          <w:lang w:eastAsia="lt-LT"/>
        </w:rPr>
        <w:t>Paradoksinės reakcijos</w:t>
      </w:r>
    </w:p>
    <w:p w14:paraId="323DF708"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0E3AC2BA" w14:textId="77777777" w:rsidR="00061CCE" w:rsidRPr="00061CCE" w:rsidRDefault="00061CCE" w:rsidP="00061CCE">
      <w:pPr>
        <w:spacing w:after="0" w:line="240" w:lineRule="auto"/>
        <w:rPr>
          <w:rFonts w:ascii="Times New Roman" w:eastAsia="Times New Roman" w:hAnsi="Times New Roman" w:cs="Times New Roman"/>
          <w:lang w:eastAsia="lt-LT"/>
        </w:rPr>
      </w:pPr>
      <w:bookmarkStart w:id="100" w:name="_Hlk73088907"/>
      <w:r w:rsidRPr="00061CCE">
        <w:rPr>
          <w:rFonts w:ascii="Times New Roman" w:eastAsia="Times New Roman" w:hAnsi="Times New Roman" w:cs="Times New Roman"/>
          <w:lang w:eastAsia="lt-LT"/>
        </w:rPr>
        <w:t>Vartojant midazolamo gali pasireikšti sekančios paradoksinės reakcijos: neramumas, sujaudinimas, irzlumas, nevalingi judesiai, įskaitant toninius/kloninius traukulius ir raumenų tremorą, hiperaktyvumas, priešiškumas, kliedesiai, pyktis, agresyvumas, nerimas, košmarai, haliucinacijos, psichozės, netinkamas elgesys ir kitoks nepageidaujamas poveikis elgesiui, staigus sujaudinimas ir smurto protrūkis. Minėti sutrikimai gali pasireikšti vartojant vaistinį preparatą didelėmis dozėmis ir (arba) kai per greitai jo injekuojama. Šių reakcijų dažniausiai pastebėta vaikams ir pagyvenusiems pacientams. Pasireiškus tokių reakcijų reikia apsvarstyti vaistinio preparato vartojimo nutraukimo galimybę.</w:t>
      </w:r>
    </w:p>
    <w:bookmarkEnd w:id="100"/>
    <w:p w14:paraId="7F4D24B8"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4D86AE2A" w14:textId="77777777" w:rsidR="00061CCE" w:rsidRPr="00061CCE" w:rsidRDefault="00061CCE" w:rsidP="00061CCE">
      <w:pPr>
        <w:spacing w:after="0" w:line="240" w:lineRule="auto"/>
        <w:rPr>
          <w:rFonts w:ascii="Times New Roman" w:eastAsia="Times New Roman" w:hAnsi="Times New Roman" w:cs="Times New Roman"/>
          <w:i/>
          <w:lang w:eastAsia="lt-LT"/>
        </w:rPr>
      </w:pPr>
      <w:bookmarkStart w:id="101" w:name="_Hlk73088965"/>
      <w:r w:rsidRPr="00061CCE">
        <w:rPr>
          <w:rFonts w:ascii="Times New Roman" w:eastAsia="Times New Roman" w:hAnsi="Times New Roman" w:cs="Times New Roman"/>
          <w:i/>
          <w:lang w:eastAsia="lt-LT"/>
        </w:rPr>
        <w:t>Miego apnėja</w:t>
      </w:r>
    </w:p>
    <w:p w14:paraId="42D45CE5" w14:textId="77777777" w:rsidR="00061CCE" w:rsidRPr="00061CCE" w:rsidRDefault="00061CCE" w:rsidP="00061CCE">
      <w:pPr>
        <w:spacing w:after="0" w:line="240" w:lineRule="auto"/>
        <w:rPr>
          <w:rFonts w:ascii="Times New Roman" w:eastAsia="Times New Roman" w:hAnsi="Times New Roman" w:cs="Times New Roman"/>
          <w:i/>
          <w:lang w:eastAsia="lt-LT"/>
        </w:rPr>
      </w:pPr>
    </w:p>
    <w:p w14:paraId="67FC9CA6" w14:textId="77777777" w:rsidR="00061CCE" w:rsidRPr="00061CCE" w:rsidRDefault="00061CCE" w:rsidP="00061CCE">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lang w:eastAsia="lt-LT"/>
        </w:rPr>
        <w:t>Midazolamą ypač atsargiai reikia skirti pacientams, kuriems nustatytas miego apnėjos sindromas; tokius pacientus reikia reguliariai stebėti.</w:t>
      </w:r>
    </w:p>
    <w:bookmarkEnd w:id="101"/>
    <w:p w14:paraId="611275E1"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1C410FF5" w14:textId="77777777" w:rsidR="00061CCE" w:rsidRPr="00061CCE" w:rsidRDefault="00061CCE" w:rsidP="00061CCE">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Ruošimas</w:t>
      </w:r>
    </w:p>
    <w:p w14:paraId="070DEDF8"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3C6EECE7"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Šį vaistinį preparatą reikia suvartoti nedelsiant po atidarymo.</w:t>
      </w:r>
    </w:p>
    <w:p w14:paraId="06834166" w14:textId="77777777" w:rsidR="00061CCE" w:rsidRPr="00061CCE" w:rsidRDefault="00061CCE" w:rsidP="00061CCE">
      <w:pPr>
        <w:spacing w:after="0" w:line="240" w:lineRule="auto"/>
        <w:rPr>
          <w:rFonts w:ascii="Times New Roman" w:eastAsia="Times New Roman" w:hAnsi="Times New Roman" w:cs="Times New Roman"/>
          <w:lang w:eastAsia="lt-LT"/>
        </w:rPr>
      </w:pPr>
    </w:p>
    <w:p w14:paraId="7470939C" w14:textId="77777777" w:rsidR="00061CCE" w:rsidRPr="00061CCE" w:rsidRDefault="00061CCE" w:rsidP="00061CCE">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Praskiesto, kaip nurodyta, vaistinio preparato tinkamumo laikas:</w:t>
      </w:r>
    </w:p>
    <w:p w14:paraId="1DDBB24C"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053D35F"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Praskiesto tirpalo cheminis ir fizinis stabilumas kambario temperatūroje nekinta 24 valandas, 5 °C temperatūroje – 3 dienas.</w:t>
      </w:r>
    </w:p>
    <w:p w14:paraId="7AE09B1B" w14:textId="77777777" w:rsidR="00061CCE" w:rsidRPr="00061CCE" w:rsidRDefault="00061CCE" w:rsidP="00061CCE">
      <w:pPr>
        <w:spacing w:after="0" w:line="240" w:lineRule="auto"/>
        <w:rPr>
          <w:rFonts w:ascii="Times New Roman" w:eastAsia="Times New Roman" w:hAnsi="Times New Roman" w:cs="Times New Roman"/>
          <w:lang w:eastAsia="lt-LT"/>
        </w:rPr>
      </w:pPr>
    </w:p>
    <w:p w14:paraId="15AB5279"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Mikrobiologiniu požiūriu, praskiestas tirpalas turėtų būti suvartojamas tuojau pat. Jei tirpalas nesuvartojamas iš karto, už jo saugojimo laiką ir laikymo sąlygas yra atsakingas vartotojas. Praskiestą tirpalą laikyti 2° C – 8 °C temperatūroje ne ilgiau kaip 24 valandas, nebent preparatas buvo skiedžiamas kontroliuojamomis ir įteisintomis aseptinėmis sąlygomis.</w:t>
      </w:r>
    </w:p>
    <w:p w14:paraId="6887A294" w14:textId="77777777" w:rsidR="00061CCE" w:rsidRPr="00061CCE" w:rsidRDefault="00061CCE" w:rsidP="00061CCE">
      <w:pPr>
        <w:spacing w:after="0" w:line="240" w:lineRule="auto"/>
        <w:rPr>
          <w:rFonts w:ascii="Times New Roman" w:eastAsia="Times New Roman" w:hAnsi="Times New Roman" w:cs="Times New Roman"/>
          <w:lang w:eastAsia="lt-LT"/>
        </w:rPr>
      </w:pPr>
    </w:p>
    <w:p w14:paraId="3674F191"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Preparatas tiekiamas vienadozėse talpyklėse. Atidarius talpyklę, nesuvartoto vaistinio preparato likučius reikia nedelsiant sunaikinti.</w:t>
      </w:r>
    </w:p>
    <w:p w14:paraId="3F640D6F"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7C643948" w14:textId="77777777" w:rsidR="00061CCE" w:rsidRPr="00061CCE" w:rsidRDefault="00061CCE" w:rsidP="00061CCE">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Galima vartoti, tik jeigu tirpalas skaidrus ir bespalvis, o talpyklė ir jos uždoris nepažeisti.</w:t>
      </w:r>
    </w:p>
    <w:p w14:paraId="2BF676D1" w14:textId="77777777" w:rsidR="00061CCE" w:rsidRPr="00061CCE" w:rsidRDefault="00061CCE" w:rsidP="00061CCE">
      <w:pPr>
        <w:spacing w:after="0" w:line="240" w:lineRule="auto"/>
        <w:rPr>
          <w:rFonts w:ascii="Times New Roman" w:eastAsia="Times New Roman" w:hAnsi="Times New Roman" w:cs="Times New Roman"/>
          <w:szCs w:val="20"/>
          <w:lang w:eastAsia="lt-LT"/>
        </w:rPr>
      </w:pPr>
    </w:p>
    <w:p w14:paraId="29390CEA" w14:textId="77777777" w:rsidR="00061CCE" w:rsidRPr="00061CCE" w:rsidRDefault="00061CCE" w:rsidP="00061CCE">
      <w:pPr>
        <w:spacing w:after="0" w:line="240" w:lineRule="auto"/>
        <w:rPr>
          <w:rFonts w:ascii="Calibri" w:eastAsia="Calibri" w:hAnsi="Calibri" w:cs="Arial"/>
          <w:lang w:eastAsia="en-US"/>
        </w:rPr>
      </w:pPr>
      <w:bookmarkStart w:id="102" w:name="_Hlk93508649"/>
      <w:r w:rsidRPr="00061CCE">
        <w:rPr>
          <w:rFonts w:ascii="Times New Roman" w:eastAsia="Times New Roman" w:hAnsi="Times New Roman" w:cs="Times New Roman"/>
          <w:lang w:eastAsia="lt-LT"/>
        </w:rPr>
        <w:t>Skiedimo, nesuderinamumo ir išsami išrašymo informacija pateikiama preparato charakteristikų santraukoje</w:t>
      </w:r>
      <w:bookmarkEnd w:id="102"/>
      <w:r w:rsidRPr="00061CCE">
        <w:rPr>
          <w:rFonts w:ascii="Times New Roman" w:eastAsia="Times New Roman" w:hAnsi="Times New Roman" w:cs="Times New Roman"/>
          <w:lang w:eastAsia="lt-LT"/>
        </w:rPr>
        <w:t xml:space="preserve">.        </w:t>
      </w:r>
    </w:p>
    <w:p w14:paraId="510FB680" w14:textId="77777777" w:rsidR="009B6A9D" w:rsidRDefault="009B6A9D"/>
    <w:sectPr w:rsidR="009B6A9D">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403E8" w14:textId="77777777" w:rsidR="00BE3361" w:rsidRDefault="00BE3361">
      <w:pPr>
        <w:spacing w:after="0" w:line="240" w:lineRule="auto"/>
      </w:pPr>
      <w:r>
        <w:separator/>
      </w:r>
    </w:p>
  </w:endnote>
  <w:endnote w:type="continuationSeparator" w:id="0">
    <w:p w14:paraId="717455EF" w14:textId="77777777" w:rsidR="00BE3361" w:rsidRDefault="00BE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E99B" w14:textId="77777777" w:rsidR="004F5B6C" w:rsidRDefault="00061C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E92A2BE" w14:textId="77777777" w:rsidR="004F5B6C" w:rsidRDefault="004039C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54C7B" w14:textId="7B27F2C9" w:rsidR="004F5B6C" w:rsidRDefault="00061C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39C1">
      <w:rPr>
        <w:rStyle w:val="Puslapionumeris"/>
        <w:noProof/>
      </w:rPr>
      <w:t>24</w:t>
    </w:r>
    <w:r>
      <w:rPr>
        <w:rStyle w:val="Puslapionumeris"/>
      </w:rPr>
      <w:fldChar w:fldCharType="end"/>
    </w:r>
  </w:p>
  <w:p w14:paraId="77E3BC95" w14:textId="77777777" w:rsidR="004F5B6C" w:rsidRDefault="004039C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DA2DF" w14:textId="77777777" w:rsidR="00BE3361" w:rsidRDefault="00BE3361">
      <w:pPr>
        <w:spacing w:after="0" w:line="240" w:lineRule="auto"/>
      </w:pPr>
      <w:r>
        <w:separator/>
      </w:r>
    </w:p>
  </w:footnote>
  <w:footnote w:type="continuationSeparator" w:id="0">
    <w:p w14:paraId="3521FB4B" w14:textId="77777777" w:rsidR="00BE3361" w:rsidRDefault="00BE3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95F"/>
    <w:multiLevelType w:val="hybridMultilevel"/>
    <w:tmpl w:val="24E82A86"/>
    <w:lvl w:ilvl="0" w:tplc="210E71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F1993"/>
    <w:multiLevelType w:val="hybridMultilevel"/>
    <w:tmpl w:val="A3F2ECC8"/>
    <w:lvl w:ilvl="0" w:tplc="FFFFFFFF">
      <w:start w:val="1"/>
      <w:numFmt w:val="bullet"/>
      <w:lvlText w:val="-"/>
      <w:lvlJc w:val="left"/>
      <w:pPr>
        <w:ind w:left="720" w:hanging="360"/>
      </w:pPr>
      <w:rPr>
        <w:rFonts w:hint="default"/>
      </w:rPr>
    </w:lvl>
    <w:lvl w:ilvl="1" w:tplc="CC6E0BA8">
      <w:start w:val="12"/>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43072"/>
    <w:multiLevelType w:val="hybridMultilevel"/>
    <w:tmpl w:val="69A42032"/>
    <w:lvl w:ilvl="0" w:tplc="FFFFFFFF">
      <w:start w:val="1"/>
      <w:numFmt w:val="bullet"/>
      <w:lvlText w:val="-"/>
      <w:lvlJc w:val="left"/>
      <w:pPr>
        <w:ind w:left="786" w:hanging="360"/>
      </w:p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82065FC"/>
    <w:multiLevelType w:val="hybridMultilevel"/>
    <w:tmpl w:val="91EED6CC"/>
    <w:lvl w:ilvl="0" w:tplc="B61262B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19204A"/>
    <w:multiLevelType w:val="hybridMultilevel"/>
    <w:tmpl w:val="E1E6CF8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31EB4"/>
    <w:multiLevelType w:val="hybridMultilevel"/>
    <w:tmpl w:val="2BA492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A3A96"/>
    <w:multiLevelType w:val="hybridMultilevel"/>
    <w:tmpl w:val="BE8ED56C"/>
    <w:lvl w:ilvl="0" w:tplc="0809000F">
      <w:start w:val="1"/>
      <w:numFmt w:val="decimal"/>
      <w:lvlText w:val="%1."/>
      <w:lvlJc w:val="left"/>
      <w:pPr>
        <w:ind w:left="720" w:hanging="360"/>
      </w:pPr>
      <w:rPr>
        <w:rFonts w:hint="default"/>
      </w:rPr>
    </w:lvl>
    <w:lvl w:ilvl="1" w:tplc="2DE63A10">
      <w:start w:val="12"/>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B47F51"/>
    <w:multiLevelType w:val="hybridMultilevel"/>
    <w:tmpl w:val="71122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97EDF"/>
    <w:multiLevelType w:val="hybridMultilevel"/>
    <w:tmpl w:val="5D12F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6F6A18"/>
    <w:multiLevelType w:val="hybridMultilevel"/>
    <w:tmpl w:val="203C29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4F7A9A"/>
    <w:multiLevelType w:val="hybridMultilevel"/>
    <w:tmpl w:val="902E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614C8"/>
    <w:multiLevelType w:val="multilevel"/>
    <w:tmpl w:val="DA14B2C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364" w:hanging="284"/>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E1A0217"/>
    <w:multiLevelType w:val="hybridMultilevel"/>
    <w:tmpl w:val="C4F2EE62"/>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F1A6609"/>
    <w:multiLevelType w:val="hybridMultilevel"/>
    <w:tmpl w:val="8DF8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5A6265"/>
    <w:multiLevelType w:val="hybridMultilevel"/>
    <w:tmpl w:val="0CAC9C7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F0B3F"/>
    <w:multiLevelType w:val="hybridMultilevel"/>
    <w:tmpl w:val="1D4673E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744C1"/>
    <w:multiLevelType w:val="hybridMultilevel"/>
    <w:tmpl w:val="A71EDB6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C4894"/>
    <w:multiLevelType w:val="hybridMultilevel"/>
    <w:tmpl w:val="25069D8E"/>
    <w:lvl w:ilvl="0" w:tplc="04090001">
      <w:start w:val="1"/>
      <w:numFmt w:val="bullet"/>
      <w:lvlText w:val=""/>
      <w:lvlJc w:val="left"/>
      <w:pPr>
        <w:ind w:left="1329" w:hanging="360"/>
      </w:pPr>
      <w:rPr>
        <w:rFonts w:ascii="Symbol" w:hAnsi="Symbol"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8" w15:restartNumberingAfterBreak="0">
    <w:nsid w:val="27CA197E"/>
    <w:multiLevelType w:val="hybridMultilevel"/>
    <w:tmpl w:val="79BEE2F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26790A"/>
    <w:multiLevelType w:val="multilevel"/>
    <w:tmpl w:val="DAC8C706"/>
    <w:lvl w:ilvl="0">
      <w:start w:val="1"/>
      <w:numFmt w:val="decimal"/>
      <w:pStyle w:val="Antrat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F296C12"/>
    <w:multiLevelType w:val="hybridMultilevel"/>
    <w:tmpl w:val="7F7C54AC"/>
    <w:lvl w:ilvl="0" w:tplc="FBB6219A">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B2D66"/>
    <w:multiLevelType w:val="hybridMultilevel"/>
    <w:tmpl w:val="B8F411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922ACE"/>
    <w:multiLevelType w:val="hybridMultilevel"/>
    <w:tmpl w:val="A394E270"/>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5E30ACA"/>
    <w:multiLevelType w:val="hybridMultilevel"/>
    <w:tmpl w:val="19007656"/>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EE1184"/>
    <w:multiLevelType w:val="hybridMultilevel"/>
    <w:tmpl w:val="666A553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835A9"/>
    <w:multiLevelType w:val="hybridMultilevel"/>
    <w:tmpl w:val="ABCE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107A2B"/>
    <w:multiLevelType w:val="hybridMultilevel"/>
    <w:tmpl w:val="197E782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CC3229"/>
    <w:multiLevelType w:val="hybridMultilevel"/>
    <w:tmpl w:val="2728895A"/>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85B1DFA"/>
    <w:multiLevelType w:val="hybridMultilevel"/>
    <w:tmpl w:val="48F2F7FE"/>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490332BB"/>
    <w:multiLevelType w:val="hybridMultilevel"/>
    <w:tmpl w:val="543A96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4F2719"/>
    <w:multiLevelType w:val="hybridMultilevel"/>
    <w:tmpl w:val="5C7A13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C13203C"/>
    <w:multiLevelType w:val="hybridMultilevel"/>
    <w:tmpl w:val="CB0284EE"/>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2120BAF"/>
    <w:multiLevelType w:val="hybridMultilevel"/>
    <w:tmpl w:val="AFC83C7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DD1BCF"/>
    <w:multiLevelType w:val="hybridMultilevel"/>
    <w:tmpl w:val="2F7AEC5C"/>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67C636E"/>
    <w:multiLevelType w:val="hybridMultilevel"/>
    <w:tmpl w:val="707A97F6"/>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70C12E7"/>
    <w:multiLevelType w:val="hybridMultilevel"/>
    <w:tmpl w:val="9CDC0D00"/>
    <w:lvl w:ilvl="0" w:tplc="2A3CA8C4">
      <w:numFmt w:val="bullet"/>
      <w:lvlText w:val=""/>
      <w:lvlJc w:val="left"/>
      <w:pPr>
        <w:ind w:left="1043" w:hanging="358"/>
      </w:pPr>
      <w:rPr>
        <w:rFonts w:ascii="Symbol" w:eastAsia="Symbol" w:hAnsi="Symbol" w:cs="Symbol" w:hint="default"/>
        <w:w w:val="100"/>
        <w:sz w:val="22"/>
        <w:szCs w:val="22"/>
        <w:lang w:val="de-DE" w:eastAsia="de-DE" w:bidi="de-DE"/>
      </w:rPr>
    </w:lvl>
    <w:lvl w:ilvl="1" w:tplc="131096BA">
      <w:numFmt w:val="bullet"/>
      <w:lvlText w:val="•"/>
      <w:lvlJc w:val="left"/>
      <w:pPr>
        <w:ind w:left="1929" w:hanging="358"/>
      </w:pPr>
      <w:rPr>
        <w:rFonts w:hint="default"/>
        <w:lang w:val="de-DE" w:eastAsia="de-DE" w:bidi="de-DE"/>
      </w:rPr>
    </w:lvl>
    <w:lvl w:ilvl="2" w:tplc="E92E37E2">
      <w:numFmt w:val="bullet"/>
      <w:lvlText w:val="•"/>
      <w:lvlJc w:val="left"/>
      <w:pPr>
        <w:ind w:left="2811" w:hanging="358"/>
      </w:pPr>
      <w:rPr>
        <w:rFonts w:hint="default"/>
        <w:lang w:val="de-DE" w:eastAsia="de-DE" w:bidi="de-DE"/>
      </w:rPr>
    </w:lvl>
    <w:lvl w:ilvl="3" w:tplc="36F249A8">
      <w:numFmt w:val="bullet"/>
      <w:lvlText w:val="•"/>
      <w:lvlJc w:val="left"/>
      <w:pPr>
        <w:ind w:left="3693" w:hanging="358"/>
      </w:pPr>
      <w:rPr>
        <w:rFonts w:hint="default"/>
        <w:lang w:val="de-DE" w:eastAsia="de-DE" w:bidi="de-DE"/>
      </w:rPr>
    </w:lvl>
    <w:lvl w:ilvl="4" w:tplc="16C603A8">
      <w:numFmt w:val="bullet"/>
      <w:lvlText w:val="•"/>
      <w:lvlJc w:val="left"/>
      <w:pPr>
        <w:ind w:left="4575" w:hanging="358"/>
      </w:pPr>
      <w:rPr>
        <w:rFonts w:hint="default"/>
        <w:lang w:val="de-DE" w:eastAsia="de-DE" w:bidi="de-DE"/>
      </w:rPr>
    </w:lvl>
    <w:lvl w:ilvl="5" w:tplc="A9A4ABC2">
      <w:numFmt w:val="bullet"/>
      <w:lvlText w:val="•"/>
      <w:lvlJc w:val="left"/>
      <w:pPr>
        <w:ind w:left="5457" w:hanging="358"/>
      </w:pPr>
      <w:rPr>
        <w:rFonts w:hint="default"/>
        <w:lang w:val="de-DE" w:eastAsia="de-DE" w:bidi="de-DE"/>
      </w:rPr>
    </w:lvl>
    <w:lvl w:ilvl="6" w:tplc="A2C4E712">
      <w:numFmt w:val="bullet"/>
      <w:lvlText w:val="•"/>
      <w:lvlJc w:val="left"/>
      <w:pPr>
        <w:ind w:left="6339" w:hanging="358"/>
      </w:pPr>
      <w:rPr>
        <w:rFonts w:hint="default"/>
        <w:lang w:val="de-DE" w:eastAsia="de-DE" w:bidi="de-DE"/>
      </w:rPr>
    </w:lvl>
    <w:lvl w:ilvl="7" w:tplc="18EC88E8">
      <w:numFmt w:val="bullet"/>
      <w:lvlText w:val="•"/>
      <w:lvlJc w:val="left"/>
      <w:pPr>
        <w:ind w:left="7222" w:hanging="358"/>
      </w:pPr>
      <w:rPr>
        <w:rFonts w:hint="default"/>
        <w:lang w:val="de-DE" w:eastAsia="de-DE" w:bidi="de-DE"/>
      </w:rPr>
    </w:lvl>
    <w:lvl w:ilvl="8" w:tplc="AE240ECC">
      <w:numFmt w:val="bullet"/>
      <w:lvlText w:val="•"/>
      <w:lvlJc w:val="left"/>
      <w:pPr>
        <w:ind w:left="8104" w:hanging="358"/>
      </w:pPr>
      <w:rPr>
        <w:rFonts w:hint="default"/>
        <w:lang w:val="de-DE" w:eastAsia="de-DE" w:bidi="de-DE"/>
      </w:rPr>
    </w:lvl>
  </w:abstractNum>
  <w:abstractNum w:abstractNumId="36" w15:restartNumberingAfterBreak="0">
    <w:nsid w:val="6BBA0975"/>
    <w:multiLevelType w:val="hybridMultilevel"/>
    <w:tmpl w:val="0CBA8392"/>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DA5276D"/>
    <w:multiLevelType w:val="hybridMultilevel"/>
    <w:tmpl w:val="C972BDE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DB0C44"/>
    <w:multiLevelType w:val="hybridMultilevel"/>
    <w:tmpl w:val="5FAE2B14"/>
    <w:lvl w:ilvl="0" w:tplc="FFFFFFFF">
      <w:start w:val="1"/>
      <w:numFmt w:val="bullet"/>
      <w:lvlText w:val="-"/>
      <w:lvlJc w:val="left"/>
      <w:pPr>
        <w:ind w:left="5180" w:hanging="360"/>
      </w:pPr>
      <w:rPr>
        <w:rFonts w:hint="default"/>
      </w:rPr>
    </w:lvl>
    <w:lvl w:ilvl="1" w:tplc="04270003" w:tentative="1">
      <w:start w:val="1"/>
      <w:numFmt w:val="bullet"/>
      <w:lvlText w:val="o"/>
      <w:lvlJc w:val="left"/>
      <w:pPr>
        <w:ind w:left="5900" w:hanging="360"/>
      </w:pPr>
      <w:rPr>
        <w:rFonts w:ascii="Courier New" w:hAnsi="Courier New" w:cs="Courier New" w:hint="default"/>
      </w:rPr>
    </w:lvl>
    <w:lvl w:ilvl="2" w:tplc="04270005" w:tentative="1">
      <w:start w:val="1"/>
      <w:numFmt w:val="bullet"/>
      <w:lvlText w:val=""/>
      <w:lvlJc w:val="left"/>
      <w:pPr>
        <w:ind w:left="6620" w:hanging="360"/>
      </w:pPr>
      <w:rPr>
        <w:rFonts w:ascii="Wingdings" w:hAnsi="Wingdings" w:hint="default"/>
      </w:rPr>
    </w:lvl>
    <w:lvl w:ilvl="3" w:tplc="04270001" w:tentative="1">
      <w:start w:val="1"/>
      <w:numFmt w:val="bullet"/>
      <w:lvlText w:val=""/>
      <w:lvlJc w:val="left"/>
      <w:pPr>
        <w:ind w:left="7340" w:hanging="360"/>
      </w:pPr>
      <w:rPr>
        <w:rFonts w:ascii="Symbol" w:hAnsi="Symbol" w:hint="default"/>
      </w:rPr>
    </w:lvl>
    <w:lvl w:ilvl="4" w:tplc="04270003" w:tentative="1">
      <w:start w:val="1"/>
      <w:numFmt w:val="bullet"/>
      <w:lvlText w:val="o"/>
      <w:lvlJc w:val="left"/>
      <w:pPr>
        <w:ind w:left="8060" w:hanging="360"/>
      </w:pPr>
      <w:rPr>
        <w:rFonts w:ascii="Courier New" w:hAnsi="Courier New" w:cs="Courier New" w:hint="default"/>
      </w:rPr>
    </w:lvl>
    <w:lvl w:ilvl="5" w:tplc="04270005" w:tentative="1">
      <w:start w:val="1"/>
      <w:numFmt w:val="bullet"/>
      <w:lvlText w:val=""/>
      <w:lvlJc w:val="left"/>
      <w:pPr>
        <w:ind w:left="8780" w:hanging="360"/>
      </w:pPr>
      <w:rPr>
        <w:rFonts w:ascii="Wingdings" w:hAnsi="Wingdings" w:hint="default"/>
      </w:rPr>
    </w:lvl>
    <w:lvl w:ilvl="6" w:tplc="04270001" w:tentative="1">
      <w:start w:val="1"/>
      <w:numFmt w:val="bullet"/>
      <w:lvlText w:val=""/>
      <w:lvlJc w:val="left"/>
      <w:pPr>
        <w:ind w:left="9500" w:hanging="360"/>
      </w:pPr>
      <w:rPr>
        <w:rFonts w:ascii="Symbol" w:hAnsi="Symbol" w:hint="default"/>
      </w:rPr>
    </w:lvl>
    <w:lvl w:ilvl="7" w:tplc="04270003" w:tentative="1">
      <w:start w:val="1"/>
      <w:numFmt w:val="bullet"/>
      <w:lvlText w:val="o"/>
      <w:lvlJc w:val="left"/>
      <w:pPr>
        <w:ind w:left="10220" w:hanging="360"/>
      </w:pPr>
      <w:rPr>
        <w:rFonts w:ascii="Courier New" w:hAnsi="Courier New" w:cs="Courier New" w:hint="default"/>
      </w:rPr>
    </w:lvl>
    <w:lvl w:ilvl="8" w:tplc="04270005" w:tentative="1">
      <w:start w:val="1"/>
      <w:numFmt w:val="bullet"/>
      <w:lvlText w:val=""/>
      <w:lvlJc w:val="left"/>
      <w:pPr>
        <w:ind w:left="10940" w:hanging="360"/>
      </w:pPr>
      <w:rPr>
        <w:rFonts w:ascii="Wingdings" w:hAnsi="Wingdings" w:hint="default"/>
      </w:rPr>
    </w:lvl>
  </w:abstractNum>
  <w:abstractNum w:abstractNumId="39" w15:restartNumberingAfterBreak="0">
    <w:nsid w:val="6F1D0DAE"/>
    <w:multiLevelType w:val="hybridMultilevel"/>
    <w:tmpl w:val="3F143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1C4006"/>
    <w:multiLevelType w:val="hybridMultilevel"/>
    <w:tmpl w:val="9FC83B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1" w15:restartNumberingAfterBreak="0">
    <w:nsid w:val="76637854"/>
    <w:multiLevelType w:val="hybridMultilevel"/>
    <w:tmpl w:val="023C001C"/>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9"/>
  </w:num>
  <w:num w:numId="2">
    <w:abstractNumId w:val="29"/>
  </w:num>
  <w:num w:numId="3">
    <w:abstractNumId w:val="40"/>
  </w:num>
  <w:num w:numId="4">
    <w:abstractNumId w:val="27"/>
  </w:num>
  <w:num w:numId="5">
    <w:abstractNumId w:val="3"/>
  </w:num>
  <w:num w:numId="6">
    <w:abstractNumId w:val="20"/>
  </w:num>
  <w:num w:numId="7">
    <w:abstractNumId w:val="0"/>
  </w:num>
  <w:num w:numId="8">
    <w:abstractNumId w:val="39"/>
  </w:num>
  <w:num w:numId="9">
    <w:abstractNumId w:val="8"/>
  </w:num>
  <w:num w:numId="10">
    <w:abstractNumId w:val="6"/>
  </w:num>
  <w:num w:numId="11">
    <w:abstractNumId w:val="19"/>
  </w:num>
  <w:num w:numId="12">
    <w:abstractNumId w:val="23"/>
  </w:num>
  <w:num w:numId="13">
    <w:abstractNumId w:val="10"/>
  </w:num>
  <w:num w:numId="14">
    <w:abstractNumId w:val="41"/>
  </w:num>
  <w:num w:numId="15">
    <w:abstractNumId w:val="21"/>
  </w:num>
  <w:num w:numId="16">
    <w:abstractNumId w:val="11"/>
  </w:num>
  <w:num w:numId="17">
    <w:abstractNumId w:val="25"/>
  </w:num>
  <w:num w:numId="18">
    <w:abstractNumId w:val="13"/>
  </w:num>
  <w:num w:numId="19">
    <w:abstractNumId w:val="37"/>
  </w:num>
  <w:num w:numId="20">
    <w:abstractNumId w:val="7"/>
  </w:num>
  <w:num w:numId="21">
    <w:abstractNumId w:val="32"/>
  </w:num>
  <w:num w:numId="22">
    <w:abstractNumId w:val="18"/>
  </w:num>
  <w:num w:numId="23">
    <w:abstractNumId w:val="15"/>
  </w:num>
  <w:num w:numId="24">
    <w:abstractNumId w:val="1"/>
  </w:num>
  <w:num w:numId="25">
    <w:abstractNumId w:val="4"/>
  </w:num>
  <w:num w:numId="26">
    <w:abstractNumId w:val="16"/>
  </w:num>
  <w:num w:numId="27">
    <w:abstractNumId w:val="5"/>
  </w:num>
  <w:num w:numId="28">
    <w:abstractNumId w:val="36"/>
  </w:num>
  <w:num w:numId="29">
    <w:abstractNumId w:val="31"/>
  </w:num>
  <w:num w:numId="30">
    <w:abstractNumId w:val="38"/>
  </w:num>
  <w:num w:numId="31">
    <w:abstractNumId w:val="22"/>
  </w:num>
  <w:num w:numId="32">
    <w:abstractNumId w:val="2"/>
  </w:num>
  <w:num w:numId="33">
    <w:abstractNumId w:val="12"/>
  </w:num>
  <w:num w:numId="34">
    <w:abstractNumId w:val="34"/>
  </w:num>
  <w:num w:numId="35">
    <w:abstractNumId w:val="26"/>
  </w:num>
  <w:num w:numId="36">
    <w:abstractNumId w:val="24"/>
  </w:num>
  <w:num w:numId="37">
    <w:abstractNumId w:val="14"/>
  </w:num>
  <w:num w:numId="38">
    <w:abstractNumId w:val="33"/>
  </w:num>
  <w:num w:numId="39">
    <w:abstractNumId w:val="28"/>
  </w:num>
  <w:num w:numId="40">
    <w:abstractNumId w:val="30"/>
  </w:num>
  <w:num w:numId="41">
    <w:abstractNumId w:val="17"/>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CE"/>
    <w:rsid w:val="00061CCE"/>
    <w:rsid w:val="00193466"/>
    <w:rsid w:val="00280DC5"/>
    <w:rsid w:val="002C5665"/>
    <w:rsid w:val="002E72E2"/>
    <w:rsid w:val="003030A3"/>
    <w:rsid w:val="003E7276"/>
    <w:rsid w:val="004037DB"/>
    <w:rsid w:val="004039C1"/>
    <w:rsid w:val="00567C46"/>
    <w:rsid w:val="005A50F7"/>
    <w:rsid w:val="006B320C"/>
    <w:rsid w:val="006B4CB6"/>
    <w:rsid w:val="007012F0"/>
    <w:rsid w:val="007040D8"/>
    <w:rsid w:val="007A6A1A"/>
    <w:rsid w:val="007E54C0"/>
    <w:rsid w:val="008868BD"/>
    <w:rsid w:val="008F67A0"/>
    <w:rsid w:val="009101E0"/>
    <w:rsid w:val="00923473"/>
    <w:rsid w:val="009B6A9D"/>
    <w:rsid w:val="009D4A0B"/>
    <w:rsid w:val="00B04A4C"/>
    <w:rsid w:val="00B42BC6"/>
    <w:rsid w:val="00BE3361"/>
    <w:rsid w:val="00C87956"/>
    <w:rsid w:val="00DA06B2"/>
    <w:rsid w:val="00E95010"/>
    <w:rsid w:val="00F3258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BAEC"/>
  <w15:chartTrackingRefBased/>
  <w15:docId w15:val="{DCCEC741-D8ED-476D-BAC9-0BEF2950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061CCE"/>
    <w:pPr>
      <w:keepNext/>
      <w:spacing w:after="0" w:line="240" w:lineRule="auto"/>
      <w:outlineLvl w:val="0"/>
    </w:pPr>
    <w:rPr>
      <w:rFonts w:ascii="Arial" w:eastAsia="Times New Roman" w:hAnsi="Arial" w:cs="Times New Roman"/>
      <w:b/>
      <w:sz w:val="28"/>
      <w:szCs w:val="20"/>
      <w:lang w:val="en-US" w:eastAsia="lt-LT"/>
    </w:rPr>
  </w:style>
  <w:style w:type="paragraph" w:styleId="Antrat2">
    <w:name w:val="heading 2"/>
    <w:basedOn w:val="prastasis"/>
    <w:next w:val="prastasis"/>
    <w:link w:val="Antrat2Diagrama"/>
    <w:autoRedefine/>
    <w:qFormat/>
    <w:rsid w:val="00061CCE"/>
    <w:pPr>
      <w:keepNext/>
      <w:numPr>
        <w:numId w:val="11"/>
      </w:numPr>
      <w:spacing w:after="0" w:line="240" w:lineRule="auto"/>
      <w:ind w:left="567" w:hanging="567"/>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061CCE"/>
    <w:pPr>
      <w:keepNext/>
      <w:spacing w:after="0" w:line="240" w:lineRule="auto"/>
      <w:ind w:left="567" w:hanging="567"/>
      <w:outlineLvl w:val="2"/>
    </w:pPr>
    <w:rPr>
      <w:rFonts w:ascii="Times New Roman" w:eastAsia="Times New Roman" w:hAnsi="Times New Roman" w:cs="Times New Roman"/>
      <w:b/>
      <w:lang w:eastAsia="lt-LT"/>
    </w:rPr>
  </w:style>
  <w:style w:type="paragraph" w:styleId="Antrat4">
    <w:name w:val="heading 4"/>
    <w:basedOn w:val="prastasis"/>
    <w:next w:val="prastasis"/>
    <w:link w:val="Antrat4Diagrama"/>
    <w:qFormat/>
    <w:rsid w:val="00061CCE"/>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qFormat/>
    <w:rsid w:val="00061CCE"/>
    <w:pPr>
      <w:keepNext/>
      <w:spacing w:after="0" w:line="240" w:lineRule="auto"/>
      <w:outlineLvl w:val="4"/>
    </w:pPr>
    <w:rPr>
      <w:rFonts w:ascii="Times New Roman" w:eastAsia="Times New Roman" w:hAnsi="Times New Roman" w:cs="Times New Roman"/>
      <w:b/>
      <w:bCs/>
      <w:i/>
      <w:iCs/>
      <w:szCs w:val="20"/>
      <w:lang w:eastAsia="lt-LT"/>
    </w:rPr>
  </w:style>
  <w:style w:type="paragraph" w:styleId="Antrat6">
    <w:name w:val="heading 6"/>
    <w:basedOn w:val="prastasis"/>
    <w:next w:val="prastasis"/>
    <w:link w:val="Antrat6Diagrama"/>
    <w:qFormat/>
    <w:rsid w:val="00061CCE"/>
    <w:pPr>
      <w:keepNext/>
      <w:spacing w:after="0" w:line="240" w:lineRule="auto"/>
      <w:outlineLvl w:val="5"/>
    </w:pPr>
    <w:rPr>
      <w:rFonts w:ascii="Times New Roman" w:eastAsia="Times New Roman" w:hAnsi="Times New Roman" w:cs="Times New Roman"/>
      <w:i/>
      <w:iCs/>
      <w:szCs w:val="20"/>
      <w:lang w:eastAsia="lt-LT"/>
    </w:rPr>
  </w:style>
  <w:style w:type="paragraph" w:styleId="Antrat7">
    <w:name w:val="heading 7"/>
    <w:basedOn w:val="prastasis"/>
    <w:next w:val="prastasis"/>
    <w:link w:val="Antrat7Diagrama"/>
    <w:qFormat/>
    <w:rsid w:val="00061CCE"/>
    <w:pPr>
      <w:keepNext/>
      <w:spacing w:after="0" w:line="240" w:lineRule="auto"/>
      <w:jc w:val="both"/>
      <w:outlineLvl w:val="6"/>
    </w:pPr>
    <w:rPr>
      <w:rFonts w:ascii="Times New Roman" w:eastAsia="Times New Roman" w:hAnsi="Times New Roman" w:cs="Times New Roman"/>
      <w:i/>
      <w:i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1CCE"/>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rsid w:val="00061CCE"/>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061CCE"/>
    <w:rPr>
      <w:rFonts w:ascii="Times New Roman" w:eastAsia="Times New Roman" w:hAnsi="Times New Roman" w:cs="Times New Roman"/>
      <w:b/>
      <w:lang w:eastAsia="lt-LT"/>
    </w:rPr>
  </w:style>
  <w:style w:type="character" w:customStyle="1" w:styleId="Antrat4Diagrama">
    <w:name w:val="Antraštė 4 Diagrama"/>
    <w:basedOn w:val="Numatytasispastraiposriftas"/>
    <w:link w:val="Antrat4"/>
    <w:rsid w:val="00061CCE"/>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061CCE"/>
    <w:rPr>
      <w:rFonts w:ascii="Times New Roman" w:eastAsia="Times New Roman" w:hAnsi="Times New Roman" w:cs="Times New Roman"/>
      <w:b/>
      <w:bCs/>
      <w:i/>
      <w:iCs/>
      <w:szCs w:val="20"/>
      <w:lang w:eastAsia="lt-LT"/>
    </w:rPr>
  </w:style>
  <w:style w:type="character" w:customStyle="1" w:styleId="Antrat6Diagrama">
    <w:name w:val="Antraštė 6 Diagrama"/>
    <w:basedOn w:val="Numatytasispastraiposriftas"/>
    <w:link w:val="Antrat6"/>
    <w:rsid w:val="00061CCE"/>
    <w:rPr>
      <w:rFonts w:ascii="Times New Roman" w:eastAsia="Times New Roman" w:hAnsi="Times New Roman" w:cs="Times New Roman"/>
      <w:i/>
      <w:iCs/>
      <w:szCs w:val="20"/>
      <w:lang w:eastAsia="lt-LT"/>
    </w:rPr>
  </w:style>
  <w:style w:type="character" w:customStyle="1" w:styleId="Antrat7Diagrama">
    <w:name w:val="Antraštė 7 Diagrama"/>
    <w:basedOn w:val="Numatytasispastraiposriftas"/>
    <w:link w:val="Antrat7"/>
    <w:rsid w:val="00061CCE"/>
    <w:rPr>
      <w:rFonts w:ascii="Times New Roman" w:eastAsia="Times New Roman" w:hAnsi="Times New Roman" w:cs="Times New Roman"/>
      <w:i/>
      <w:iCs/>
      <w:szCs w:val="20"/>
      <w:lang w:eastAsia="lt-LT"/>
    </w:rPr>
  </w:style>
  <w:style w:type="numbering" w:customStyle="1" w:styleId="NoList1">
    <w:name w:val="No List1"/>
    <w:next w:val="Sraonra"/>
    <w:uiPriority w:val="99"/>
    <w:semiHidden/>
    <w:unhideWhenUsed/>
    <w:rsid w:val="00061CCE"/>
  </w:style>
  <w:style w:type="numbering" w:customStyle="1" w:styleId="NoList11">
    <w:name w:val="No List11"/>
    <w:next w:val="Sraonra"/>
    <w:uiPriority w:val="99"/>
    <w:semiHidden/>
    <w:unhideWhenUsed/>
    <w:rsid w:val="00061CCE"/>
  </w:style>
  <w:style w:type="paragraph" w:styleId="Pagrindinistekstas">
    <w:name w:val="Body Text"/>
    <w:basedOn w:val="prastasis"/>
    <w:link w:val="PagrindinistekstasDiagrama"/>
    <w:semiHidden/>
    <w:rsid w:val="00061CCE"/>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061CCE"/>
    <w:rPr>
      <w:rFonts w:ascii="Times New Roman" w:eastAsia="Times New Roman" w:hAnsi="Times New Roman" w:cs="Times New Roman"/>
      <w:szCs w:val="20"/>
      <w:lang w:eastAsia="lt-LT"/>
    </w:rPr>
  </w:style>
  <w:style w:type="paragraph" w:styleId="Porat">
    <w:name w:val="footer"/>
    <w:basedOn w:val="prastasis"/>
    <w:link w:val="PoratDiagrama"/>
    <w:semiHidden/>
    <w:rsid w:val="00061CCE"/>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semiHidden/>
    <w:rsid w:val="00061CCE"/>
    <w:rPr>
      <w:rFonts w:ascii="Times New Roman" w:eastAsia="Times New Roman" w:hAnsi="Times New Roman" w:cs="Times New Roman"/>
      <w:szCs w:val="20"/>
      <w:lang w:eastAsia="lt-LT"/>
    </w:rPr>
  </w:style>
  <w:style w:type="character" w:styleId="Puslapionumeris">
    <w:name w:val="page number"/>
    <w:basedOn w:val="Numatytasispastraiposriftas"/>
    <w:semiHidden/>
    <w:rsid w:val="00061CCE"/>
  </w:style>
  <w:style w:type="paragraph" w:styleId="Dokumentostruktra">
    <w:name w:val="Document Map"/>
    <w:basedOn w:val="prastasis"/>
    <w:link w:val="DokumentostruktraDiagrama"/>
    <w:semiHidden/>
    <w:rsid w:val="00061CCE"/>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semiHidden/>
    <w:rsid w:val="00061CCE"/>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061CCE"/>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061CCE"/>
    <w:rPr>
      <w:rFonts w:ascii="Times New Roman" w:eastAsia="Times New Roman" w:hAnsi="Times New Roman" w:cs="Times New Roman"/>
      <w:b/>
      <w:kern w:val="28"/>
      <w:szCs w:val="20"/>
      <w:lang w:eastAsia="lt-LT"/>
    </w:rPr>
  </w:style>
  <w:style w:type="character" w:styleId="Hipersaitas">
    <w:name w:val="Hyperlink"/>
    <w:uiPriority w:val="99"/>
    <w:rsid w:val="00061CCE"/>
    <w:rPr>
      <w:color w:val="0000FF"/>
      <w:u w:val="single"/>
    </w:rPr>
  </w:style>
  <w:style w:type="paragraph" w:styleId="Paantrat">
    <w:name w:val="Subtitle"/>
    <w:basedOn w:val="prastasis"/>
    <w:link w:val="PaantratDiagrama"/>
    <w:qFormat/>
    <w:rsid w:val="00061CCE"/>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061CCE"/>
    <w:rPr>
      <w:rFonts w:ascii="TimesNewRoman,Bold" w:eastAsia="Times New Roman" w:hAnsi="TimesNewRoman,Bold" w:cs="Times New Roman"/>
      <w:b/>
      <w:color w:val="000000"/>
      <w:szCs w:val="20"/>
      <w:lang w:val="en-US" w:eastAsia="lt-LT"/>
    </w:rPr>
  </w:style>
  <w:style w:type="paragraph" w:styleId="Pagrindiniotekstotrauka3">
    <w:name w:val="Body Text Indent 3"/>
    <w:basedOn w:val="prastasis"/>
    <w:link w:val="Pagrindiniotekstotrauka3Diagrama"/>
    <w:semiHidden/>
    <w:rsid w:val="00061CCE"/>
    <w:pPr>
      <w:spacing w:after="0" w:line="240" w:lineRule="auto"/>
      <w:ind w:left="709"/>
    </w:pPr>
    <w:rPr>
      <w:rFonts w:ascii="Times New Roman" w:eastAsia="Times New Roman" w:hAnsi="Times New Roman" w:cs="Times New Roman"/>
      <w:snapToGrid w:val="0"/>
      <w:sz w:val="24"/>
      <w:szCs w:val="20"/>
      <w:lang w:val="de-DE" w:eastAsia="en-US"/>
    </w:rPr>
  </w:style>
  <w:style w:type="character" w:customStyle="1" w:styleId="Pagrindiniotekstotrauka3Diagrama">
    <w:name w:val="Pagrindinio teksto įtrauka 3 Diagrama"/>
    <w:basedOn w:val="Numatytasispastraiposriftas"/>
    <w:link w:val="Pagrindiniotekstotrauka3"/>
    <w:semiHidden/>
    <w:rsid w:val="00061CCE"/>
    <w:rPr>
      <w:rFonts w:ascii="Times New Roman" w:eastAsia="Times New Roman" w:hAnsi="Times New Roman" w:cs="Times New Roman"/>
      <w:snapToGrid w:val="0"/>
      <w:sz w:val="24"/>
      <w:szCs w:val="20"/>
      <w:lang w:val="de-DE" w:eastAsia="en-US"/>
    </w:rPr>
  </w:style>
  <w:style w:type="paragraph" w:styleId="Antrats">
    <w:name w:val="header"/>
    <w:basedOn w:val="prastasis"/>
    <w:link w:val="AntratsDiagrama"/>
    <w:semiHidden/>
    <w:rsid w:val="00061CCE"/>
    <w:pPr>
      <w:tabs>
        <w:tab w:val="center" w:pos="4536"/>
        <w:tab w:val="right" w:pos="9072"/>
      </w:tabs>
      <w:spacing w:after="0" w:line="240" w:lineRule="auto"/>
    </w:pPr>
    <w:rPr>
      <w:rFonts w:ascii="Times New Roman" w:eastAsia="Times New Roman" w:hAnsi="Times New Roman" w:cs="Times New Roman"/>
      <w:sz w:val="24"/>
      <w:szCs w:val="20"/>
      <w:lang w:val="sv-SE" w:eastAsia="en-US"/>
    </w:rPr>
  </w:style>
  <w:style w:type="character" w:customStyle="1" w:styleId="AntratsDiagrama">
    <w:name w:val="Antraštės Diagrama"/>
    <w:basedOn w:val="Numatytasispastraiposriftas"/>
    <w:link w:val="Antrats"/>
    <w:semiHidden/>
    <w:rsid w:val="00061CCE"/>
    <w:rPr>
      <w:rFonts w:ascii="Times New Roman" w:eastAsia="Times New Roman" w:hAnsi="Times New Roman" w:cs="Times New Roman"/>
      <w:sz w:val="24"/>
      <w:szCs w:val="20"/>
      <w:lang w:val="sv-SE" w:eastAsia="en-US"/>
    </w:rPr>
  </w:style>
  <w:style w:type="character" w:styleId="Komentaronuoroda">
    <w:name w:val="annotation reference"/>
    <w:semiHidden/>
    <w:rsid w:val="00061CCE"/>
    <w:rPr>
      <w:sz w:val="16"/>
    </w:rPr>
  </w:style>
  <w:style w:type="paragraph" w:styleId="Komentarotekstas">
    <w:name w:val="annotation text"/>
    <w:basedOn w:val="prastasis"/>
    <w:link w:val="KomentarotekstasDiagrama"/>
    <w:semiHidden/>
    <w:rsid w:val="00061CCE"/>
    <w:pPr>
      <w:spacing w:after="0" w:line="240" w:lineRule="auto"/>
    </w:pPr>
    <w:rPr>
      <w:rFonts w:ascii="Tms Rmn" w:eastAsia="Times New Roman" w:hAnsi="Tms Rmn" w:cs="Times New Roman"/>
      <w:sz w:val="20"/>
      <w:szCs w:val="20"/>
      <w:lang w:val="de-DE" w:eastAsia="en-US"/>
    </w:rPr>
  </w:style>
  <w:style w:type="character" w:customStyle="1" w:styleId="KomentarotekstasDiagrama">
    <w:name w:val="Komentaro tekstas Diagrama"/>
    <w:basedOn w:val="Numatytasispastraiposriftas"/>
    <w:link w:val="Komentarotekstas"/>
    <w:semiHidden/>
    <w:rsid w:val="00061CCE"/>
    <w:rPr>
      <w:rFonts w:ascii="Tms Rmn" w:eastAsia="Times New Roman" w:hAnsi="Tms Rmn" w:cs="Times New Roman"/>
      <w:sz w:val="20"/>
      <w:szCs w:val="20"/>
      <w:lang w:val="de-DE" w:eastAsia="en-US"/>
    </w:rPr>
  </w:style>
  <w:style w:type="paragraph" w:styleId="Pagrindinistekstas2">
    <w:name w:val="Body Text 2"/>
    <w:basedOn w:val="prastasis"/>
    <w:link w:val="Pagrindinistekstas2Diagrama"/>
    <w:semiHidden/>
    <w:rsid w:val="00061CCE"/>
    <w:pPr>
      <w:spacing w:after="0" w:line="240" w:lineRule="auto"/>
    </w:pPr>
    <w:rPr>
      <w:rFonts w:ascii="Times New Roman" w:eastAsia="Times New Roman" w:hAnsi="Times New Roman" w:cs="Times New Roman"/>
      <w:color w:val="FF0000"/>
      <w:szCs w:val="20"/>
      <w:lang w:val="en-US" w:eastAsia="lt-LT"/>
    </w:rPr>
  </w:style>
  <w:style w:type="character" w:customStyle="1" w:styleId="Pagrindinistekstas2Diagrama">
    <w:name w:val="Pagrindinis tekstas 2 Diagrama"/>
    <w:basedOn w:val="Numatytasispastraiposriftas"/>
    <w:link w:val="Pagrindinistekstas2"/>
    <w:semiHidden/>
    <w:rsid w:val="00061CCE"/>
    <w:rPr>
      <w:rFonts w:ascii="Times New Roman" w:eastAsia="Times New Roman" w:hAnsi="Times New Roman" w:cs="Times New Roman"/>
      <w:color w:val="FF0000"/>
      <w:szCs w:val="20"/>
      <w:lang w:val="en-US" w:eastAsia="lt-LT"/>
    </w:rPr>
  </w:style>
  <w:style w:type="paragraph" w:styleId="Pagrindiniotekstotrauka">
    <w:name w:val="Body Text Indent"/>
    <w:basedOn w:val="prastasis"/>
    <w:link w:val="PagrindiniotekstotraukaDiagrama"/>
    <w:semiHidden/>
    <w:rsid w:val="00061CCE"/>
    <w:pPr>
      <w:spacing w:after="120" w:line="240" w:lineRule="auto"/>
      <w:ind w:left="283"/>
    </w:pPr>
    <w:rPr>
      <w:rFonts w:ascii="Tms Rmn" w:eastAsia="Times New Roman" w:hAnsi="Tms Rmn" w:cs="Times New Roman"/>
      <w:sz w:val="20"/>
      <w:szCs w:val="20"/>
      <w:lang w:val="de-DE" w:eastAsia="en-US"/>
    </w:rPr>
  </w:style>
  <w:style w:type="character" w:customStyle="1" w:styleId="PagrindiniotekstotraukaDiagrama">
    <w:name w:val="Pagrindinio teksto įtrauka Diagrama"/>
    <w:basedOn w:val="Numatytasispastraiposriftas"/>
    <w:link w:val="Pagrindiniotekstotrauka"/>
    <w:semiHidden/>
    <w:rsid w:val="00061CCE"/>
    <w:rPr>
      <w:rFonts w:ascii="Tms Rmn" w:eastAsia="Times New Roman" w:hAnsi="Tms Rmn" w:cs="Times New Roman"/>
      <w:sz w:val="20"/>
      <w:szCs w:val="20"/>
      <w:lang w:val="de-DE" w:eastAsia="en-US"/>
    </w:rPr>
  </w:style>
  <w:style w:type="paragraph" w:styleId="Pagrindinistekstas3">
    <w:name w:val="Body Text 3"/>
    <w:basedOn w:val="prastasis"/>
    <w:link w:val="Pagrindinistekstas3Diagrama"/>
    <w:semiHidden/>
    <w:rsid w:val="00061CCE"/>
    <w:pPr>
      <w:spacing w:after="0" w:line="240" w:lineRule="auto"/>
      <w:jc w:val="both"/>
    </w:pPr>
    <w:rPr>
      <w:rFonts w:ascii="Times New Roman" w:eastAsia="Times New Roman" w:hAnsi="Times New Roman" w:cs="Times New Roman"/>
      <w:szCs w:val="20"/>
      <w:lang w:eastAsia="lt-LT"/>
    </w:rPr>
  </w:style>
  <w:style w:type="character" w:customStyle="1" w:styleId="Pagrindinistekstas3Diagrama">
    <w:name w:val="Pagrindinis tekstas 3 Diagrama"/>
    <w:basedOn w:val="Numatytasispastraiposriftas"/>
    <w:link w:val="Pagrindinistekstas3"/>
    <w:semiHidden/>
    <w:rsid w:val="00061CCE"/>
    <w:rPr>
      <w:rFonts w:ascii="Times New Roman" w:eastAsia="Times New Roman" w:hAnsi="Times New Roman" w:cs="Times New Roman"/>
      <w:szCs w:val="20"/>
      <w:lang w:eastAsia="lt-LT"/>
    </w:rPr>
  </w:style>
  <w:style w:type="character" w:styleId="Perirtashipersaitas">
    <w:name w:val="FollowedHyperlink"/>
    <w:semiHidden/>
    <w:rsid w:val="00061CCE"/>
    <w:rPr>
      <w:color w:val="800080"/>
      <w:u w:val="single"/>
    </w:rPr>
  </w:style>
  <w:style w:type="paragraph" w:styleId="Pagrindiniotekstotrauka2">
    <w:name w:val="Body Text Indent 2"/>
    <w:basedOn w:val="prastasis"/>
    <w:link w:val="Pagrindiniotekstotrauka2Diagrama"/>
    <w:semiHidden/>
    <w:rsid w:val="00061CCE"/>
    <w:pPr>
      <w:spacing w:before="120" w:after="0" w:line="240" w:lineRule="auto"/>
      <w:ind w:left="709"/>
      <w:jc w:val="both"/>
    </w:pPr>
    <w:rPr>
      <w:rFonts w:ascii="Times New Roman" w:eastAsia="Times New Roman" w:hAnsi="Times New Roman" w:cs="Times New Roman"/>
      <w:snapToGrid w:val="0"/>
      <w:szCs w:val="24"/>
      <w:lang w:eastAsia="lt-LT"/>
    </w:rPr>
  </w:style>
  <w:style w:type="character" w:customStyle="1" w:styleId="Pagrindiniotekstotrauka2Diagrama">
    <w:name w:val="Pagrindinio teksto įtrauka 2 Diagrama"/>
    <w:basedOn w:val="Numatytasispastraiposriftas"/>
    <w:link w:val="Pagrindiniotekstotrauka2"/>
    <w:semiHidden/>
    <w:rsid w:val="00061CCE"/>
    <w:rPr>
      <w:rFonts w:ascii="Times New Roman" w:eastAsia="Times New Roman" w:hAnsi="Times New Roman" w:cs="Times New Roman"/>
      <w:snapToGrid w:val="0"/>
      <w:szCs w:val="24"/>
      <w:lang w:eastAsia="lt-LT"/>
    </w:rPr>
  </w:style>
  <w:style w:type="paragraph" w:customStyle="1" w:styleId="TableHeader">
    <w:name w:val="TableHeader"/>
    <w:basedOn w:val="prastasis"/>
    <w:next w:val="Pagrindinistekstas"/>
    <w:rsid w:val="00061CCE"/>
    <w:pPr>
      <w:spacing w:before="60" w:after="60" w:line="240" w:lineRule="auto"/>
    </w:pPr>
    <w:rPr>
      <w:rFonts w:ascii="Times New Roman" w:eastAsia="Times New Roman" w:hAnsi="Times New Roman" w:cs="Times New Roman"/>
      <w:b/>
      <w:bCs/>
      <w:snapToGrid w:val="0"/>
      <w:sz w:val="24"/>
      <w:szCs w:val="24"/>
      <w:lang w:val="en-GB" w:eastAsia="lt-LT"/>
    </w:rPr>
  </w:style>
  <w:style w:type="paragraph" w:customStyle="1" w:styleId="EMEAEnBodyText">
    <w:name w:val="EMEA En Body Text"/>
    <w:basedOn w:val="prastasis"/>
    <w:rsid w:val="00061CCE"/>
    <w:pPr>
      <w:spacing w:before="120" w:after="120" w:line="240" w:lineRule="auto"/>
      <w:jc w:val="both"/>
    </w:pPr>
    <w:rPr>
      <w:rFonts w:ascii="Times New Roman" w:eastAsia="Times New Roman" w:hAnsi="Times New Roman" w:cs="Times New Roman"/>
      <w:snapToGrid w:val="0"/>
      <w:lang w:val="en-US" w:eastAsia="lt-LT"/>
    </w:rPr>
  </w:style>
  <w:style w:type="paragraph" w:customStyle="1" w:styleId="PI-1labEMEASMCA">
    <w:name w:val="PI-1_lab EMEA_SMCA"/>
    <w:basedOn w:val="prastasis"/>
    <w:autoRedefine/>
    <w:rsid w:val="00061CC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eastAsia="en-US"/>
    </w:rPr>
  </w:style>
  <w:style w:type="paragraph" w:customStyle="1" w:styleId="BTEMEASMCA">
    <w:name w:val="BT EMEA_SMCA"/>
    <w:basedOn w:val="prastasis"/>
    <w:link w:val="BTEMEASMCAChar"/>
    <w:autoRedefine/>
    <w:rsid w:val="00061CCE"/>
    <w:pPr>
      <w:spacing w:after="0" w:line="240" w:lineRule="auto"/>
    </w:pPr>
    <w:rPr>
      <w:rFonts w:ascii="Times New Roman" w:eastAsia="Times New Roman" w:hAnsi="Times New Roman" w:cs="Times New Roman"/>
      <w:b/>
      <w:bCs/>
      <w:noProof/>
      <w:lang w:eastAsia="en-US"/>
    </w:rPr>
  </w:style>
  <w:style w:type="paragraph" w:styleId="Debesliotekstas">
    <w:name w:val="Balloon Text"/>
    <w:basedOn w:val="prastasis"/>
    <w:link w:val="DebesliotekstasDiagrama"/>
    <w:semiHidden/>
    <w:rsid w:val="00061CC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061CCE"/>
    <w:rPr>
      <w:rFonts w:ascii="Tahoma" w:eastAsia="Times New Roman" w:hAnsi="Tahoma" w:cs="Tahoma"/>
      <w:sz w:val="16"/>
      <w:szCs w:val="16"/>
      <w:lang w:eastAsia="lt-LT"/>
    </w:rPr>
  </w:style>
  <w:style w:type="paragraph" w:customStyle="1" w:styleId="Pataisymai1">
    <w:name w:val="Pataisymai1"/>
    <w:hidden/>
    <w:uiPriority w:val="99"/>
    <w:semiHidden/>
    <w:rsid w:val="00061CCE"/>
    <w:pPr>
      <w:spacing w:after="0" w:line="240" w:lineRule="auto"/>
    </w:pPr>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semiHidden/>
    <w:rsid w:val="00061CCE"/>
    <w:rPr>
      <w:rFonts w:ascii="Times New Roman" w:hAnsi="Times New Roman"/>
      <w:b/>
      <w:bCs/>
      <w:lang w:val="lt-LT" w:eastAsia="lt-LT"/>
    </w:rPr>
  </w:style>
  <w:style w:type="character" w:customStyle="1" w:styleId="KomentarotemaDiagrama">
    <w:name w:val="Komentaro tema Diagrama"/>
    <w:basedOn w:val="KomentarotekstasDiagrama"/>
    <w:link w:val="Komentarotema"/>
    <w:semiHidden/>
    <w:rsid w:val="00061CCE"/>
    <w:rPr>
      <w:rFonts w:ascii="Times New Roman" w:eastAsia="Times New Roman" w:hAnsi="Times New Roman" w:cs="Times New Roman"/>
      <w:b/>
      <w:bCs/>
      <w:sz w:val="20"/>
      <w:szCs w:val="20"/>
      <w:lang w:val="de-DE" w:eastAsia="lt-LT"/>
    </w:rPr>
  </w:style>
  <w:style w:type="paragraph" w:customStyle="1" w:styleId="NormalAgency">
    <w:name w:val="Normal (Agency)"/>
    <w:link w:val="NormalAgencyChar"/>
    <w:rsid w:val="00061CCE"/>
    <w:pPr>
      <w:spacing w:after="0" w:line="240" w:lineRule="auto"/>
    </w:pPr>
    <w:rPr>
      <w:rFonts w:ascii="Verdana" w:eastAsia="Verdana" w:hAnsi="Verdana" w:cs="Verdana"/>
      <w:sz w:val="18"/>
      <w:szCs w:val="18"/>
      <w:lang w:val="en-GB" w:eastAsia="en-GB"/>
    </w:rPr>
  </w:style>
  <w:style w:type="character" w:customStyle="1" w:styleId="NormalAgencyChar">
    <w:name w:val="Normal (Agency) Char"/>
    <w:link w:val="NormalAgency"/>
    <w:rsid w:val="00061CCE"/>
    <w:rPr>
      <w:rFonts w:ascii="Verdana" w:eastAsia="Verdana" w:hAnsi="Verdana" w:cs="Verdana"/>
      <w:sz w:val="18"/>
      <w:szCs w:val="18"/>
      <w:lang w:val="en-GB" w:eastAsia="en-GB"/>
    </w:rPr>
  </w:style>
  <w:style w:type="character" w:customStyle="1" w:styleId="BTEMEASMCAChar">
    <w:name w:val="BT EMEA_SMCA Char"/>
    <w:link w:val="BTEMEASMCA"/>
    <w:rsid w:val="00061CCE"/>
    <w:rPr>
      <w:rFonts w:ascii="Times New Roman" w:eastAsia="Times New Roman" w:hAnsi="Times New Roman" w:cs="Times New Roman"/>
      <w:b/>
      <w:bCs/>
      <w:noProof/>
      <w:lang w:eastAsia="en-US"/>
    </w:rPr>
  </w:style>
  <w:style w:type="paragraph" w:customStyle="1" w:styleId="Default">
    <w:name w:val="Default"/>
    <w:rsid w:val="00061CC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st1">
    <w:name w:val="st1"/>
    <w:basedOn w:val="Numatytasispastraiposriftas"/>
    <w:rsid w:val="00061CCE"/>
  </w:style>
  <w:style w:type="paragraph" w:styleId="Sraopastraipa">
    <w:name w:val="List Paragraph"/>
    <w:basedOn w:val="prastasis"/>
    <w:uiPriority w:val="34"/>
    <w:qFormat/>
    <w:rsid w:val="00061CCE"/>
    <w:pPr>
      <w:spacing w:after="0" w:line="240" w:lineRule="auto"/>
      <w:ind w:left="720"/>
      <w:contextualSpacing/>
    </w:pPr>
    <w:rPr>
      <w:rFonts w:ascii="Times New Roman" w:eastAsia="Times New Roman" w:hAnsi="Times New Roman" w:cs="Times New Roman"/>
      <w:szCs w:val="20"/>
      <w:lang w:eastAsia="lt-LT"/>
    </w:rPr>
  </w:style>
  <w:style w:type="paragraph" w:styleId="Paprastasistekstas">
    <w:name w:val="Plain Text"/>
    <w:basedOn w:val="prastasis"/>
    <w:link w:val="PaprastasistekstasDiagrama"/>
    <w:uiPriority w:val="99"/>
    <w:rsid w:val="00061CCE"/>
    <w:pPr>
      <w:spacing w:after="0" w:line="240" w:lineRule="auto"/>
    </w:pPr>
    <w:rPr>
      <w:rFonts w:ascii="Courier New" w:eastAsia="SimSun"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uiPriority w:val="99"/>
    <w:rsid w:val="00061CCE"/>
    <w:rPr>
      <w:rFonts w:ascii="Courier New" w:eastAsia="SimSun" w:hAnsi="Courier New" w:cs="Times New Roman"/>
      <w:sz w:val="20"/>
      <w:szCs w:val="20"/>
      <w:lang w:val="en-US" w:eastAsia="lt-LT"/>
    </w:rPr>
  </w:style>
  <w:style w:type="paragraph" w:styleId="Dokumentoinaostekstas">
    <w:name w:val="endnote text"/>
    <w:basedOn w:val="prastasis"/>
    <w:link w:val="DokumentoinaostekstasDiagrama"/>
    <w:semiHidden/>
    <w:rsid w:val="00061CCE"/>
    <w:pPr>
      <w:tabs>
        <w:tab w:val="left" w:pos="567"/>
      </w:tabs>
      <w:spacing w:after="0" w:line="240" w:lineRule="auto"/>
    </w:pPr>
    <w:rPr>
      <w:rFonts w:ascii="Times New Roman" w:eastAsia="Calibri" w:hAnsi="Times New Roman" w:cs="Times New Roman"/>
      <w:szCs w:val="20"/>
      <w:lang w:val="en-GB" w:eastAsia="en-US"/>
    </w:rPr>
  </w:style>
  <w:style w:type="character" w:customStyle="1" w:styleId="DokumentoinaostekstasDiagrama">
    <w:name w:val="Dokumento išnašos tekstas Diagrama"/>
    <w:basedOn w:val="Numatytasispastraiposriftas"/>
    <w:link w:val="Dokumentoinaostekstas"/>
    <w:semiHidden/>
    <w:rsid w:val="00061CCE"/>
    <w:rPr>
      <w:rFonts w:ascii="Times New Roman" w:eastAsia="Calibri" w:hAnsi="Times New Roman" w:cs="Times New Roman"/>
      <w:szCs w:val="20"/>
      <w:lang w:val="en-GB" w:eastAsia="en-US"/>
    </w:rPr>
  </w:style>
  <w:style w:type="paragraph" w:styleId="Pataisymai">
    <w:name w:val="Revision"/>
    <w:hidden/>
    <w:uiPriority w:val="99"/>
    <w:semiHidden/>
    <w:rsid w:val="00061CCE"/>
    <w:pPr>
      <w:spacing w:after="0" w:line="240" w:lineRule="auto"/>
    </w:pPr>
    <w:rPr>
      <w:rFonts w:ascii="Calibri" w:eastAsia="Calibri" w:hAnsi="Calibri"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60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medication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apris.vvkt.lt/vvkt-web/public/medic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13990303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Specia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8" ma:contentTypeDescription="Create a new document." ma:contentTypeScope="" ma:versionID="303bba8035a48c6f16168aa70e7b6a22">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1a76442da9b463c4fd17cab978e3f62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 xmlns="f401bc6b-16ae-4eec-874e-4b24bc321f82">FZJ6XTJY6WQ3-1352427771-338370</_dlc_DocId>
    <_dlc_DocIdUrl xmlns="f401bc6b-16ae-4eec-874e-4b24bc321f82">
      <Url>https://bbraun.sharepoint.com/sites/bbraun_eis_ltmedical/_layouts/15/DocIdRedir.aspx?ID=FZJ6XTJY6WQ3-1352427771-338370</Url>
      <Description>FZJ6XTJY6WQ3-1352427771-338370</Description>
    </_dlc_DocIdUrl>
  </documentManagement>
</p:properties>
</file>

<file path=customXml/itemProps1.xml><?xml version="1.0" encoding="utf-8"?>
<ds:datastoreItem xmlns:ds="http://schemas.openxmlformats.org/officeDocument/2006/customXml" ds:itemID="{FE24837E-A7BD-40D8-8A9A-B734FB366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98598-ADA3-4B89-831C-0010301062B2}">
  <ds:schemaRefs>
    <ds:schemaRef ds:uri="http://schemas.microsoft.com/sharepoint/events"/>
  </ds:schemaRefs>
</ds:datastoreItem>
</file>

<file path=customXml/itemProps3.xml><?xml version="1.0" encoding="utf-8"?>
<ds:datastoreItem xmlns:ds="http://schemas.openxmlformats.org/officeDocument/2006/customXml" ds:itemID="{CFD6E341-2E00-4B7A-AB91-BDBE1993EFC0}">
  <ds:schemaRefs>
    <ds:schemaRef ds:uri="http://schemas.microsoft.com/sharepoint/v3/contenttype/forms"/>
  </ds:schemaRefs>
</ds:datastoreItem>
</file>

<file path=customXml/itemProps4.xml><?xml version="1.0" encoding="utf-8"?>
<ds:datastoreItem xmlns:ds="http://schemas.openxmlformats.org/officeDocument/2006/customXml" ds:itemID="{3654088F-3876-4041-999C-D528FBC78AEF}">
  <ds:schemaRefs>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06dd7db3-2e72-47be-aeb3-e0883d579c8c"/>
    <ds:schemaRef ds:uri="http://schemas.microsoft.com/office/2006/documentManagement/types"/>
    <ds:schemaRef ds:uri="http://schemas.microsoft.com/office/infopath/2007/PartnerControls"/>
    <ds:schemaRef ds:uri="4905f377-a451-4615-9fa2-421809ba2b0c"/>
    <ds:schemaRef ds:uri="f401bc6b-16ae-4eec-874e-4b24bc321f8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54470</Words>
  <Characters>31049</Characters>
  <Application>Microsoft Office Word</Application>
  <DocSecurity>4</DocSecurity>
  <Lines>258</Lines>
  <Paragraphs>170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2023-10-10T05:32:00Z</dcterms:created>
  <dcterms:modified xsi:type="dcterms:W3CDTF">2023-10-10T05:32:00Z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2023-06-21T10:21:56Z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b3adc3d7-a908-4f7d-8687-063101d00836</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7b34332a-ee7d-458b-8c71-da295800cc9b</vt:lpwstr>
  </property>
  <property fmtid="{D5CDD505-2E9C-101B-9397-08002B2CF9AE}" pid="11" name="EISColDivision">
    <vt:lpwstr/>
  </property>
  <property fmtid="{D5CDD505-2E9C-101B-9397-08002B2CF9AE}" pid="12" name="MediaServiceImageTags">
    <vt:lpwstr/>
  </property>
  <property fmtid="{D5CDD505-2E9C-101B-9397-08002B2CF9AE}" pid="13" name="EISColCountry">
    <vt:lpwstr/>
  </property>
</Properties>
</file>