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4" w:rsidRPr="008F5267" w:rsidRDefault="00B61814" w:rsidP="00B61814">
      <w:pPr>
        <w:pStyle w:val="TTEMEASMCA"/>
        <w:rPr>
          <w:lang w:val="es-ES"/>
        </w:rPr>
      </w:pPr>
      <w:r w:rsidRPr="008F5267">
        <w:rPr>
          <w:lang w:val="es-ES"/>
        </w:rPr>
        <w:t>Pakuotės lapelis: informacija vartotojui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be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25 000 TV anti Xa/ml injekcinis tirpalas užpildytame švirkšte</w:t>
      </w:r>
    </w:p>
    <w:p w:rsidR="00B61814" w:rsidRPr="008F5267" w:rsidRDefault="00B61814" w:rsidP="00B61814">
      <w:pPr>
        <w:pStyle w:val="BTe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Bemiparino natrio druska</w:t>
      </w:r>
    </w:p>
    <w:p w:rsidR="00B61814" w:rsidRPr="008F5267" w:rsidRDefault="00B61814" w:rsidP="00B61814">
      <w:pPr>
        <w:pStyle w:val="BTe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b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Atidžiai perskaitykite visą šį lapelį, prieš pradėdami vartoti vaistą, </w:t>
      </w:r>
      <w:r w:rsidRPr="008F5267">
        <w:rPr>
          <w:rFonts w:ascii="Times New Roman" w:hAnsi="Times New Roman" w:cs="Times New Roman"/>
          <w:bCs/>
          <w:szCs w:val="22"/>
        </w:rPr>
        <w:t>nes jame pateikiama Jums svarbi informacija</w:t>
      </w:r>
      <w:r w:rsidRPr="008F5267">
        <w:rPr>
          <w:rFonts w:ascii="Times New Roman" w:hAnsi="Times New Roman" w:cs="Times New Roman"/>
          <w:szCs w:val="22"/>
        </w:rPr>
        <w:t>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Neišmeskite šio lapelio, nes vėl gali prireikti jį perskaityti.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kiltų daugiau klausimų, kreipkitės į gydytoją arba vaistininką.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pasireiškė šalutinis poveikis (net jeigu jis šiame lapelyje nenurodytas), kreipkitės į gydytoją arba vaistininką arba slaugytoją. Žr. 4 skyrių.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b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Apie ką rašoma šiame lapelyje?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Kas yra Zibor ir nuo ko jis vartojamas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pacing w:val="-3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Kas žinotina prieš vartojant </w:t>
      </w:r>
      <w:r w:rsidRPr="008F5267">
        <w:rPr>
          <w:rFonts w:ascii="Times New Roman" w:hAnsi="Times New Roman" w:cs="Times New Roman"/>
          <w:spacing w:val="-3"/>
          <w:szCs w:val="22"/>
        </w:rPr>
        <w:t>Zibor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Kaip vartoti Zibor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Galimas šalutinis poveikis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Kaip laikyti Zibor</w:t>
      </w:r>
    </w:p>
    <w:p w:rsidR="00B61814" w:rsidRPr="008F5267" w:rsidRDefault="00B61814" w:rsidP="00B61814">
      <w:pPr>
        <w:pStyle w:val="BTEMEASMCA"/>
        <w:numPr>
          <w:ilvl w:val="0"/>
          <w:numId w:val="2"/>
        </w:numPr>
        <w:ind w:left="709" w:hanging="349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Pakuotės turinys ir kita informacija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CA7EAF" w:rsidRDefault="00B61814" w:rsidP="00B61814">
      <w:pPr>
        <w:pStyle w:val="PI-1EMEASMCA"/>
      </w:pPr>
      <w:bookmarkStart w:id="0" w:name="_Toc129243264"/>
      <w:bookmarkStart w:id="1" w:name="_Toc129243139"/>
      <w:r w:rsidRPr="00CA7EAF">
        <w:t>1.</w:t>
      </w:r>
      <w:r w:rsidRPr="00CA7EAF">
        <w:tab/>
        <w:t xml:space="preserve">Kas yra </w:t>
      </w:r>
      <w:proofErr w:type="spellStart"/>
      <w:r w:rsidRPr="00CA7EAF">
        <w:t>Zibor</w:t>
      </w:r>
      <w:proofErr w:type="spellEnd"/>
      <w:r w:rsidRPr="00CA7EAF">
        <w:t xml:space="preserve"> ir kam jis vartojamas</w:t>
      </w:r>
      <w:bookmarkEnd w:id="0"/>
      <w:bookmarkEnd w:id="1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Veiklioji Zibor medžiaga yra bemiparino natrio druska, kuri priklauso vaistų, vadinamų antikoaguliantais, grupei. Šie vaistai kraujagyslėse mažina kraujo krešumą.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vartojamas pavojingų kraujo krešulių, kurie susidaro, pavyzdžiui, kojų arba plaučių venose (giliųjų venų trombozė ir (arba) plaučių embolija), tirpinimui.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CA7EAF" w:rsidRDefault="00B61814" w:rsidP="00B61814">
      <w:pPr>
        <w:pStyle w:val="PI-1EMEASMCA"/>
      </w:pPr>
      <w:bookmarkStart w:id="2" w:name="_Toc129243265"/>
      <w:bookmarkStart w:id="3" w:name="_Toc129243140"/>
      <w:r w:rsidRPr="00CA7EAF">
        <w:t>2.</w:t>
      </w:r>
      <w:r w:rsidRPr="00CA7EAF">
        <w:tab/>
        <w:t xml:space="preserve">Kas žinotina prieš vartojant </w:t>
      </w:r>
      <w:proofErr w:type="spellStart"/>
      <w:r w:rsidRPr="00CA7EAF">
        <w:t>Zibor</w:t>
      </w:r>
      <w:bookmarkEnd w:id="2"/>
      <w:bookmarkEnd w:id="3"/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  <w:proofErr w:type="spellStart"/>
      <w:r w:rsidRPr="008F5267">
        <w:rPr>
          <w:b/>
          <w:i w:val="0"/>
          <w:color w:val="000000" w:themeColor="text1"/>
          <w:szCs w:val="22"/>
          <w:lang w:val="lt-LT"/>
        </w:rPr>
        <w:t>Zibor</w:t>
      </w:r>
      <w:proofErr w:type="spellEnd"/>
      <w:r w:rsidRPr="008F5267">
        <w:rPr>
          <w:b/>
          <w:i w:val="0"/>
          <w:color w:val="000000" w:themeColor="text1"/>
          <w:szCs w:val="22"/>
          <w:lang w:val="lt-LT"/>
        </w:rPr>
        <w:t xml:space="preserve"> </w:t>
      </w:r>
      <w:r w:rsidRPr="008F5267">
        <w:rPr>
          <w:b/>
          <w:i w:val="0"/>
          <w:color w:val="000000" w:themeColor="text1"/>
          <w:spacing w:val="-3"/>
          <w:szCs w:val="22"/>
          <w:lang w:val="lt-LT"/>
        </w:rPr>
        <w:t>vartoti negalima:</w:t>
      </w: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jeigu yra alergija </w:t>
      </w:r>
      <w:proofErr w:type="spellStart"/>
      <w:r w:rsidRPr="008F5267">
        <w:rPr>
          <w:rFonts w:ascii="Times New Roman" w:hAnsi="Times New Roman" w:cs="Times New Roman"/>
          <w:szCs w:val="22"/>
        </w:rPr>
        <w:t>bemiparino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natriui, heparinui ar panašiam vaistui (pvz., </w:t>
      </w:r>
      <w:proofErr w:type="spellStart"/>
      <w:r w:rsidRPr="008F5267">
        <w:rPr>
          <w:rFonts w:ascii="Times New Roman" w:hAnsi="Times New Roman" w:cs="Times New Roman"/>
          <w:szCs w:val="22"/>
        </w:rPr>
        <w:t>enoksaparinui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8F5267">
        <w:rPr>
          <w:rFonts w:ascii="Times New Roman" w:hAnsi="Times New Roman" w:cs="Times New Roman"/>
          <w:szCs w:val="22"/>
        </w:rPr>
        <w:t>dalteparinui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8F5267">
        <w:rPr>
          <w:rFonts w:ascii="Times New Roman" w:hAnsi="Times New Roman" w:cs="Times New Roman"/>
          <w:szCs w:val="22"/>
        </w:rPr>
        <w:t>nadroparinui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) </w:t>
      </w:r>
      <w:r w:rsidRPr="008F5267">
        <w:rPr>
          <w:rFonts w:ascii="Times New Roman" w:hAnsi="Times New Roman" w:cs="Times New Roman"/>
          <w:noProof/>
          <w:szCs w:val="22"/>
        </w:rPr>
        <w:t>arba bet kuriai pagalbinei šio vaisto medžiagai (jos išvardytos 6 skyriuje)</w:t>
      </w:r>
      <w:r w:rsidRPr="008F5267">
        <w:rPr>
          <w:rFonts w:ascii="Times New Roman" w:hAnsi="Times New Roman" w:cs="Times New Roman"/>
          <w:szCs w:val="22"/>
        </w:rPr>
        <w:t>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Jūs turėjote alergiją bet kokiam vaistui, kurio sudėtyje yra heparino;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jums yra alergija bet kokioms medžiagoms, išgautoms iš kiaulių organų;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jeigu jus kamuoja heparino sukelta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trombocitopenija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(HST) – būklė, kurios metu labai sumažėja kraujyje kraujo plokštelių (trombocitų) skaičius arba dėl HST sergate kita būkle, kuri vadinama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diseminuota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intravaskuline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koaguliacija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(DIK), nes dėl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Zibor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vartojimo jūsų trombocitai sulips;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jeigu sergate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endokarditu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(širdies ertmes ir vožtuvus išklojančio ląstelių sluoksnio,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endokardo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>, uždegimu);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jums nustatyta bet kokia būklė, kuri nulemia padidėjusį polinkį smarkiai kraujuoti;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sergate sunkia kepenų ir (arba) kasos liga;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nustatyti bet kokie vidaus organų pažeidimai su didele kraujavimo į vidaus organus</w:t>
      </w:r>
      <w:r w:rsidRPr="00CA7EAF">
        <w:rPr>
          <w:i w:val="0"/>
          <w:color w:val="000000" w:themeColor="text1"/>
          <w:spacing w:val="-3"/>
          <w:szCs w:val="22"/>
          <w:lang w:val="lt-LT"/>
        </w:rPr>
        <w:t xml:space="preserve"> </w:t>
      </w:r>
      <w:r w:rsidRPr="008F5267">
        <w:rPr>
          <w:i w:val="0"/>
          <w:color w:val="000000" w:themeColor="text1"/>
          <w:spacing w:val="-3"/>
          <w:szCs w:val="22"/>
          <w:lang w:val="lt-LT"/>
        </w:rPr>
        <w:t>rizika (pvz.: aktyvi skrandžio opa, smegenų kraujagyslių aneurizma (smegenyse esančių arterijų sienelių išsipūtimas) arba navikai smegenyse;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jums nustatytas kraujo išsiliejimas smegenyse;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lastRenderedPageBreak/>
        <w:t>jeigu jums nustatytas pažeidimas arba planuojama atlikti smegenų, stuburo, akių ir (arba) ausų operaciją;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jeigu vartojate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, jums negalima naudoti </w:t>
      </w:r>
      <w:proofErr w:type="spellStart"/>
      <w:r w:rsidRPr="008F5267">
        <w:rPr>
          <w:rFonts w:ascii="Times New Roman" w:hAnsi="Times New Roman" w:cs="Times New Roman"/>
          <w:szCs w:val="22"/>
        </w:rPr>
        <w:t>epidurinės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arba </w:t>
      </w:r>
      <w:proofErr w:type="spellStart"/>
      <w:r w:rsidRPr="008F5267">
        <w:rPr>
          <w:rFonts w:ascii="Times New Roman" w:hAnsi="Times New Roman" w:cs="Times New Roman"/>
          <w:szCs w:val="22"/>
        </w:rPr>
        <w:t>juosmeninės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(</w:t>
      </w:r>
      <w:proofErr w:type="spellStart"/>
      <w:r w:rsidRPr="008F5267">
        <w:rPr>
          <w:rFonts w:ascii="Times New Roman" w:hAnsi="Times New Roman" w:cs="Times New Roman"/>
          <w:szCs w:val="22"/>
        </w:rPr>
        <w:t>spinalinės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) anestezijos (nejautros sukėlimo, kai vaisto švirkščiama į stuburo kanalą), nes tai gali būti pavojinga. Todėl prieš bet kokią chirurginę operaciją įsitikinkite, ar jūsų gydytojas žino apie tai, kad vartojate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>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>Įspėjimai ir atsargumo priemonės</w:t>
      </w: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b w:val="0"/>
          <w:noProof/>
          <w:color w:val="000000" w:themeColor="text1"/>
        </w:rPr>
        <w:t>Pasitarkite su gydytoju prieš pradėdami vartoti Zibor:</w:t>
      </w:r>
    </w:p>
    <w:p w:rsidR="00B61814" w:rsidRPr="008F5267" w:rsidRDefault="00B61814" w:rsidP="00B61814">
      <w:pPr>
        <w:pStyle w:val="PI-3EMEASMCA"/>
        <w:numPr>
          <w:ilvl w:val="0"/>
          <w:numId w:val="3"/>
        </w:numPr>
        <w:spacing w:line="240" w:lineRule="auto"/>
        <w:rPr>
          <w:b w:val="0"/>
          <w:color w:val="000000" w:themeColor="text1"/>
        </w:rPr>
      </w:pPr>
      <w:r w:rsidRPr="008F5267">
        <w:rPr>
          <w:b w:val="0"/>
          <w:color w:val="000000" w:themeColor="text1"/>
        </w:rPr>
        <w:t>jeigu sergate kepenų liga;</w:t>
      </w:r>
    </w:p>
    <w:p w:rsidR="00B61814" w:rsidRPr="008F5267" w:rsidRDefault="00B61814" w:rsidP="00B61814">
      <w:pPr>
        <w:pStyle w:val="PI-3EMEASMCA"/>
        <w:numPr>
          <w:ilvl w:val="0"/>
          <w:numId w:val="3"/>
        </w:numPr>
        <w:spacing w:line="240" w:lineRule="auto"/>
        <w:rPr>
          <w:b w:val="0"/>
          <w:color w:val="000000" w:themeColor="text1"/>
        </w:rPr>
      </w:pPr>
      <w:r w:rsidRPr="008F5267">
        <w:rPr>
          <w:b w:val="0"/>
          <w:color w:val="000000" w:themeColor="text1"/>
          <w:lang w:eastAsia="x-none"/>
        </w:rPr>
        <w:t>jeigu sergate inkstų liga, gydytojas</w:t>
      </w:r>
      <w:r w:rsidRPr="00CA7EAF">
        <w:rPr>
          <w:b w:val="0"/>
          <w:color w:val="000000" w:themeColor="text1"/>
          <w:lang w:eastAsia="x-none"/>
        </w:rPr>
        <w:t xml:space="preserve"> </w:t>
      </w:r>
      <w:r w:rsidRPr="008F5267">
        <w:rPr>
          <w:b w:val="0"/>
          <w:color w:val="000000" w:themeColor="text1"/>
          <w:lang w:eastAsia="x-none"/>
        </w:rPr>
        <w:t>gali nuspręsti pritaikyti specialų stebėjimą. Esant sunkiai inkstų ligai, gydytojas gali nuspręsti jūsų doze koreguoti;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turite padidėjusį ir (arba) sunkiai kontroliuojamą kraujospūdį;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sirgote skrandžio opalige, kuri šiuo metu neaktyvi;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jeigu jums nustatyta </w:t>
      </w:r>
      <w:proofErr w:type="spellStart"/>
      <w:r w:rsidRPr="008F5267">
        <w:rPr>
          <w:i w:val="0"/>
          <w:color w:val="000000" w:themeColor="text1"/>
          <w:spacing w:val="-3"/>
          <w:szCs w:val="22"/>
          <w:lang w:val="lt-LT"/>
        </w:rPr>
        <w:t>trombocitopenija</w:t>
      </w:r>
      <w:proofErr w:type="spellEnd"/>
      <w:r w:rsidRPr="008F5267">
        <w:rPr>
          <w:i w:val="0"/>
          <w:color w:val="000000" w:themeColor="text1"/>
          <w:spacing w:val="-3"/>
          <w:szCs w:val="22"/>
          <w:lang w:val="lt-LT"/>
        </w:rPr>
        <w:t xml:space="preserve"> -</w:t>
      </w:r>
      <w:r w:rsidRPr="00CA7EAF">
        <w:rPr>
          <w:i w:val="0"/>
          <w:color w:val="000000" w:themeColor="text1"/>
          <w:spacing w:val="-3"/>
          <w:szCs w:val="22"/>
          <w:lang w:val="lt-LT"/>
        </w:rPr>
        <w:t xml:space="preserve"> </w:t>
      </w:r>
      <w:r w:rsidRPr="008F5267">
        <w:rPr>
          <w:i w:val="0"/>
          <w:color w:val="000000" w:themeColor="text1"/>
          <w:spacing w:val="-3"/>
          <w:szCs w:val="22"/>
          <w:lang w:val="lt-LT"/>
        </w:rPr>
        <w:t>būklė, kai kraujyje sumažėja trombocitų skaičius, ir dėl to jums dažnai atsiranda mėlynių, lengvai prasideda kraujavimas;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strike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nustatyti akmenys inkstuose ir (arba) šlapimo pūslėje;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jums nustatyta būklė, dėl kurios lengvai gali prasidėti kraujavimas;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sergate kokia nors kraujagyslinės kilmės akių liga;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sergate cukriniu diabetu;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atliekant kraujo tyrimą nustatytas padidėjęs kalio kiekis kraujyje;</w:t>
      </w:r>
    </w:p>
    <w:p w:rsidR="00B61814" w:rsidRPr="008F5267" w:rsidRDefault="00B61814" w:rsidP="00B61814">
      <w:pPr>
        <w:pStyle w:val="Pagrindinistekstas"/>
        <w:numPr>
          <w:ilvl w:val="0"/>
          <w:numId w:val="3"/>
        </w:numPr>
        <w:rPr>
          <w:i w:val="0"/>
          <w:color w:val="000000" w:themeColor="text1"/>
          <w:spacing w:val="-3"/>
          <w:szCs w:val="22"/>
          <w:lang w:val="lt-LT"/>
        </w:rPr>
      </w:pPr>
      <w:r w:rsidRPr="008F5267">
        <w:rPr>
          <w:i w:val="0"/>
          <w:color w:val="000000" w:themeColor="text1"/>
          <w:spacing w:val="-3"/>
          <w:szCs w:val="22"/>
          <w:lang w:val="lt-LT"/>
        </w:rPr>
        <w:t>jeigu jūsų oda netikėtai tampa dėmėta, su mėlynėmis ir (ar) raudonomis skausmingomis dėmėmis;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pakartotinai įsitikinkite, ar jūsų gydytojas žino, kad jūs vartojate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25 000 TV </w:t>
      </w:r>
      <w:proofErr w:type="spellStart"/>
      <w:r w:rsidRPr="008F5267">
        <w:rPr>
          <w:rFonts w:ascii="Times New Roman" w:hAnsi="Times New Roman" w:cs="Times New Roman"/>
          <w:szCs w:val="22"/>
        </w:rPr>
        <w:t>anti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F5267">
        <w:rPr>
          <w:rFonts w:ascii="Times New Roman" w:hAnsi="Times New Roman" w:cs="Times New Roman"/>
          <w:szCs w:val="22"/>
        </w:rPr>
        <w:t>Xa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/ml prieš atliekant </w:t>
      </w:r>
      <w:proofErr w:type="spellStart"/>
      <w:r w:rsidRPr="008F5267">
        <w:rPr>
          <w:rFonts w:ascii="Times New Roman" w:hAnsi="Times New Roman" w:cs="Times New Roman"/>
          <w:szCs w:val="22"/>
        </w:rPr>
        <w:t>lumbalinę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punkciją (apatinės stuburo kanalo dalies punkciją, kurios metu paimama smegenų skysčio laboratoriniams tyrimams).</w:t>
      </w:r>
    </w:p>
    <w:p w:rsidR="00B61814" w:rsidRPr="008F5267" w:rsidRDefault="00B61814" w:rsidP="00B61814">
      <w:pPr>
        <w:pStyle w:val="Pagrindinistekstas"/>
        <w:rPr>
          <w:i w:val="0"/>
          <w:color w:val="000000" w:themeColor="text1"/>
          <w:spacing w:val="-3"/>
          <w:szCs w:val="22"/>
          <w:lang w:val="lt-LT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 xml:space="preserve">Kiti vaistai ir </w:t>
      </w:r>
      <w:proofErr w:type="spellStart"/>
      <w:r w:rsidRPr="008F5267">
        <w:rPr>
          <w:color w:val="000000" w:themeColor="text1"/>
        </w:rPr>
        <w:t>Zibor</w:t>
      </w:r>
      <w:proofErr w:type="spellEnd"/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Pasitikslinkite su gydytoju, jei manote, kad vartojate: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į raumenis švirkščiamus vaistus, nes tokių injekcijų </w:t>
      </w:r>
      <w:proofErr w:type="spellStart"/>
      <w:r w:rsidRPr="008F5267">
        <w:rPr>
          <w:rFonts w:ascii="Times New Roman" w:hAnsi="Times New Roman" w:cs="Times New Roman"/>
          <w:szCs w:val="22"/>
        </w:rPr>
        <w:t>vatojant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reikia vengti;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kitus antikoaguliantus, tokius kaip </w:t>
      </w:r>
      <w:proofErr w:type="spellStart"/>
      <w:r w:rsidRPr="008F5267">
        <w:rPr>
          <w:rFonts w:ascii="Times New Roman" w:hAnsi="Times New Roman" w:cs="Times New Roman"/>
          <w:szCs w:val="22"/>
        </w:rPr>
        <w:t>varfarinas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ir (arba) </w:t>
      </w:r>
      <w:proofErr w:type="spellStart"/>
      <w:r w:rsidRPr="008F5267">
        <w:rPr>
          <w:rFonts w:ascii="Times New Roman" w:hAnsi="Times New Roman" w:cs="Times New Roman"/>
          <w:szCs w:val="22"/>
        </w:rPr>
        <w:t>acenokumarolis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(vitamino K antagonistas), vartojamus kraujo krešuliams gydyti arba nuo jų apsaugoti;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nesteroidinius vaistus nuo uždegimo, pavyzdžiui, </w:t>
      </w:r>
      <w:proofErr w:type="spellStart"/>
      <w:r w:rsidRPr="008F5267">
        <w:rPr>
          <w:rFonts w:ascii="Times New Roman" w:hAnsi="Times New Roman" w:cs="Times New Roman"/>
          <w:szCs w:val="22"/>
        </w:rPr>
        <w:t>ibuprofeną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artrito gydymui;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steroidinius preparatus, pvz., prednizoloną, uždegiminės kilmės ligoms, pvz., artritui gydyti;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trombocitų inhibitorius - aspiriną, </w:t>
      </w:r>
      <w:proofErr w:type="spellStart"/>
      <w:r w:rsidRPr="008F5267">
        <w:rPr>
          <w:rFonts w:ascii="Times New Roman" w:hAnsi="Times New Roman" w:cs="Times New Roman"/>
          <w:szCs w:val="22"/>
        </w:rPr>
        <w:t>tiklopidiną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8F5267">
        <w:rPr>
          <w:rFonts w:ascii="Times New Roman" w:hAnsi="Times New Roman" w:cs="Times New Roman"/>
          <w:szCs w:val="22"/>
        </w:rPr>
        <w:t>klopidogrelį</w:t>
      </w:r>
      <w:proofErr w:type="spellEnd"/>
      <w:r w:rsidRPr="008F5267">
        <w:rPr>
          <w:rFonts w:ascii="Times New Roman" w:hAnsi="Times New Roman" w:cs="Times New Roman"/>
          <w:szCs w:val="22"/>
        </w:rPr>
        <w:t>, apsaugojimui nuo krešulių susidarymo;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vaistus, kurie gali sukelti kalio kiekio padidėjimą jūsų kraujyje, pvz., kai kuriuos diuretikus (šlapimo išsiskyrimą skatinančius vaistus) ir vaistus nuo hipertenzijos (vartojamus kraujospūdžiui sumažinti;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medikamentus, didinančius jūsų kraujo tūrį, pvz., </w:t>
      </w:r>
      <w:proofErr w:type="spellStart"/>
      <w:r w:rsidRPr="008F5267">
        <w:rPr>
          <w:rFonts w:ascii="Times New Roman" w:hAnsi="Times New Roman" w:cs="Times New Roman"/>
          <w:szCs w:val="22"/>
        </w:rPr>
        <w:t>dekstraną</w:t>
      </w:r>
      <w:proofErr w:type="spellEnd"/>
      <w:r w:rsidRPr="008F5267">
        <w:rPr>
          <w:rFonts w:ascii="Times New Roman" w:hAnsi="Times New Roman" w:cs="Times New Roman"/>
          <w:szCs w:val="22"/>
        </w:rPr>
        <w:t>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vaistus širdies veiklai gerinti, pvz., nitrogliceriną.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vartojate arba neseniai vartojote kitų vaistų arba dėl to nesate tikri, apie tai pasakykite gydytojui arba vaistininkui.</w:t>
      </w: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  <w:r w:rsidRPr="008F5267">
        <w:rPr>
          <w:b/>
          <w:i w:val="0"/>
          <w:color w:val="000000" w:themeColor="text1"/>
          <w:spacing w:val="-3"/>
          <w:szCs w:val="22"/>
          <w:lang w:val="lt-LT"/>
        </w:rPr>
        <w:t>Specialūs medicininiai tyrimai, kuriuos gali prireikti atlikti</w:t>
      </w: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Kai kuriems pacientams gali prireikti nustatyti trombocitų skaičių kraujyje. Jūsų gydytojas nuspręs, ar tai yra reikalinga ir kada reikia atlikti (pavyzdžiui, prieš gydymą, pirmąją gydymo dieną, vėliau kas III-IV dieną ir gydymą užbaigus).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 jūs sergate kai kuriomis ligomis (cukriniu diabetu, inkstų liga) arba vartojate medikamentus, sulaikančius kalio kiekį kraujyje, gydytojas gali rekomenduoti ištirti kalio kiekį kraujyje.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>Nėštumas ir žindymo laikotarpis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>Vairavimas ir mechanizmų valdymas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gebėjimo vairuoti ir valdyti mechanizmus neveikia.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</w:p>
    <w:p w:rsidR="00B61814" w:rsidRPr="00CA7EAF" w:rsidRDefault="00B61814" w:rsidP="00B61814">
      <w:pPr>
        <w:pStyle w:val="PI-1EMEASMCA"/>
      </w:pPr>
      <w:r w:rsidRPr="00CA7EAF">
        <w:t>3.</w:t>
      </w:r>
      <w:r w:rsidRPr="00CA7EAF">
        <w:tab/>
        <w:t xml:space="preserve">Kaip vartoti </w:t>
      </w:r>
      <w:proofErr w:type="spellStart"/>
      <w:r w:rsidRPr="00CA7EAF">
        <w:t>Zibor</w:t>
      </w:r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Visada vartokite šį vaistą tiksliai, kaip nurodė gydytojas. Jeigu abejojate, kreipkitės į gydytoją arba vaistininką.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Rekomenduojama dozė yra: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Suaugusieji (18-64 metų)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Paros dozė priklauso nuo svorio. Jei jūs sveriate: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mažiau kaip 50 kg: dozė - 0,2 ml (atitinka 5000 TV);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50-70 kg: dozė - 0,3 ml (7500 TV);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71-100 kg: dozė - 0,4 ml (10000 TV);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daugiau nei 100 kg: dozę reikia apskaičiuoti pagal tikslų kūno svorį, skiriant 115 TV/kg kūno svorio per parą.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i/>
          <w:iCs/>
          <w:szCs w:val="22"/>
        </w:rPr>
      </w:pPr>
      <w:r w:rsidRPr="008F5267">
        <w:rPr>
          <w:i/>
          <w:iCs/>
          <w:sz w:val="22"/>
          <w:szCs w:val="22"/>
        </w:rPr>
        <w:t xml:space="preserve">TV: šio vaisto stiprumas (potencija) išreiškiamas tarptautiniais </w:t>
      </w:r>
      <w:proofErr w:type="spellStart"/>
      <w:r w:rsidRPr="008F5267">
        <w:rPr>
          <w:i/>
          <w:iCs/>
          <w:sz w:val="22"/>
          <w:szCs w:val="22"/>
        </w:rPr>
        <w:t>anti-Xa</w:t>
      </w:r>
      <w:proofErr w:type="spellEnd"/>
      <w:r w:rsidRPr="008F5267">
        <w:rPr>
          <w:i/>
          <w:iCs/>
          <w:sz w:val="22"/>
          <w:szCs w:val="22"/>
        </w:rPr>
        <w:t xml:space="preserve"> aktyvumo vienetais.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paprastai švirkščiamas po oda dažniausiai suėmus pilvo srities arba šlaunies viršutinės dalies odą į raukšlę. Jūsų gydytojas arba slaugytoja vaistą paprastai vartos ligoninėje. Gali prireikti Zibor vartojimą tęsti sugrįžus iš ligoninės į namus.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Šio vaisto niekada negalima švirkšti į raumenis arba maišyti su bet kokiais kitais švirkščiamais vaistais.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Paprastai švirkšti reikia vieną kartą per parą.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Kiek laiko reikia vaistą vartoti, nustatys gydytojas (dažniausiai apie 5-9 dienas).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i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Jei jūsų gydytojas pasakys, kad šį vaistą galite susišvirkšti pats, laikykitės gydytojo nurodymų itin tiksliai (žr. žemiau „Kaip reikia švirkšti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>").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Senyvi pacientai (65 metų ir vyresni)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Šiems pacientams gydyti vartojama tokia pati dozė kaip ir suaugusiesiems.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Jei jums nustatyta kepenų veiklos sutrikimų, pasakykite apie tai gydytojui, kuris gali norėti jus stebėti atidžiau. </w:t>
      </w:r>
      <w:r w:rsidRPr="008F5267">
        <w:rPr>
          <w:rFonts w:ascii="Times New Roman" w:hAnsi="Times New Roman" w:cs="Times New Roman"/>
          <w:szCs w:val="22"/>
          <w:lang w:eastAsia="x-none"/>
        </w:rPr>
        <w:t xml:space="preserve">Jei sergate inkstų liga, pasakykite apie tai gydytojui, </w:t>
      </w:r>
      <w:r w:rsidRPr="008F5267">
        <w:rPr>
          <w:rFonts w:ascii="Times New Roman" w:hAnsi="Times New Roman" w:cs="Times New Roman"/>
          <w:szCs w:val="22"/>
        </w:rPr>
        <w:t>kuris jus stebės atidžiau</w:t>
      </w:r>
      <w:r w:rsidRPr="008F5267">
        <w:rPr>
          <w:rFonts w:ascii="Times New Roman" w:hAnsi="Times New Roman" w:cs="Times New Roman"/>
          <w:szCs w:val="22"/>
          <w:lang w:eastAsia="x-none"/>
        </w:rPr>
        <w:t>. Esant sunkiai inkstų ligai, gydytojas gali nuspręsti jūsų dozę koreguoti.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Vartojimas vaikams (jaunesni nei 18 metų)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vaikams gydyti nerekomenduojamas.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 xml:space="preserve">Kaip reikia švirkšti </w:t>
      </w:r>
      <w:proofErr w:type="spellStart"/>
      <w:r w:rsidRPr="008F5267">
        <w:rPr>
          <w:b/>
          <w:bCs/>
          <w:sz w:val="22"/>
          <w:szCs w:val="22"/>
        </w:rPr>
        <w:t>Zibor</w:t>
      </w:r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Zibor niekada negalima švirkšti į raumenis, nes tai gali sukelti kraujo išsiliejimą raumenyje.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Jums privalo paaiškinti, kaip reikia tiksliai vartoti šį vaistą ir teisingai techniškai susišvirkšti vaisto pačiam, prieš pradedant tokias injekcijas atlikti.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Jus mokyti turi gydytojas arba kitas kvalifikuotas medicinos specialistas.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Privalote laikytis tokios veiksmų sekos: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švariai nusiplaukite rankas, atsisėskite arba atsigulkite patogioje padėtyje;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pasirinkite pilvo sritį ne arčiau kaip 5 cm nuo bambos, nuo įbrėžimų ar kraujosruvų ir atidžiai švariai nuvalykite odą;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keiskite injekcijos vietas skirtingomis dienomis, pvz., iš pradžių kairėje pusėje, kitą dieną – dešinėje; 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nuimkite nuo </w:t>
      </w:r>
      <w:proofErr w:type="spellStart"/>
      <w:r w:rsidRPr="008F5267">
        <w:rPr>
          <w:rFonts w:ascii="Times New Roman" w:hAnsi="Times New Roman" w:cs="Times New Roman"/>
          <w:szCs w:val="22"/>
        </w:rPr>
        <w:t>Zibor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25 000 TV </w:t>
      </w:r>
      <w:proofErr w:type="spellStart"/>
      <w:r w:rsidRPr="008F5267">
        <w:rPr>
          <w:rFonts w:ascii="Times New Roman" w:hAnsi="Times New Roman" w:cs="Times New Roman"/>
          <w:szCs w:val="22"/>
        </w:rPr>
        <w:t>anti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8F5267">
        <w:rPr>
          <w:rFonts w:ascii="Times New Roman" w:hAnsi="Times New Roman" w:cs="Times New Roman"/>
          <w:szCs w:val="22"/>
        </w:rPr>
        <w:t>Xa</w:t>
      </w:r>
      <w:proofErr w:type="spellEnd"/>
      <w:r w:rsidRPr="008F5267">
        <w:rPr>
          <w:rFonts w:ascii="Times New Roman" w:hAnsi="Times New Roman" w:cs="Times New Roman"/>
          <w:szCs w:val="22"/>
        </w:rPr>
        <w:t>/ml švirkšto dangtelį;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norėdami, kad adata išliktų sterili, saugokite, kad prie jos niekas neprisiliestų;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užpildytas švirkštas yra paruoštas naudojimui;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išstumti oro burbuliukų prieš poodinę injekciją nereikia, nes galima netekti dalies vaisto;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ind w:left="567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  <w:lang w:eastAsia="lt-LT"/>
        </w:rPr>
        <w:drawing>
          <wp:inline distT="0" distB="0" distL="0" distR="0" wp14:anchorId="08BC2BE9" wp14:editId="35ED3135">
            <wp:extent cx="263842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laikykite švirkštą vienoje rankoje, o kitos rankos smiliumi ir nykščiu švelniai suimkite nuvalytą odos plotą, kad susidarytų odos raukšlė;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laikydami adatą statmenai (90 ° kampu), įdurkite ją visu ilgiu į odos raukšlę;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paspauskite žemyn stūmoklį, odos raukšlė turi būti laikoma visos injekcijos metu;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-EMEASMCA"/>
        <w:numPr>
          <w:ilvl w:val="0"/>
          <w:numId w:val="0"/>
        </w:numPr>
        <w:ind w:left="567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noProof/>
          <w:szCs w:val="22"/>
          <w:lang w:eastAsia="lt-LT"/>
        </w:rPr>
        <w:drawing>
          <wp:inline distT="0" distB="0" distL="0" distR="0" wp14:anchorId="6785947F" wp14:editId="0A9EA89A">
            <wp:extent cx="28670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ind w:left="360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ištraukite tiesiai laikomą adatą ir paleiskite odos raukšlę;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nemasažuokite injekcijos vietos. Tai padės išvengti kraujosruvų;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adatos dangtelio nebandykite uždėti atgal, tiesiog išmeskite (pirmiausia adatą) į šiukšlių dėžę, uždarykite jos dangtį ir padėkite į vaikams neprieinamą vietą.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ind w:left="360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manote, kad vaisto dozė veikia per stipriai (pavyzdžiui, netikėtai pajuntate prasidedantį kraujavimą) arba per silpnai (pavyzdžiui, atrodo, kad dozė neveikia), kreipkitės į gydytoją arba vaistininką.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b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Ką daryti pavartojus per didelę Zibor dozę?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Per didelė dozė gali sukelti kraujavimą. Jei taip atsitiktų, nedelsiant praneškite gydytojui arba kreipkitės į artimiausios ligoninės priėmimo skyrių su šiuo lapeliu.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 xml:space="preserve">Pamiršus pavartoti </w:t>
      </w:r>
      <w:proofErr w:type="spellStart"/>
      <w:r w:rsidRPr="008F5267">
        <w:rPr>
          <w:color w:val="000000" w:themeColor="text1"/>
        </w:rPr>
        <w:t>Zibor</w:t>
      </w:r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Pamiršus ir praleidus dozę, vėliau vietoj jos dvigubos dozės vartoti negalima. Kreipkitės į savo gydytoją kaip įmanoma greičiau, kad jums paaiškintų, ką tokiu atveju daryti.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 xml:space="preserve">Nustojus vartoti </w:t>
      </w:r>
      <w:proofErr w:type="spellStart"/>
      <w:r w:rsidRPr="008F5267">
        <w:rPr>
          <w:b/>
          <w:bCs/>
          <w:sz w:val="22"/>
          <w:szCs w:val="22"/>
        </w:rPr>
        <w:t>Zibor</w:t>
      </w:r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Prieš nutraukdami vaisto vartojimą visuomet pasitarkite su savo gydytoju.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Jeigu kiltų daugiau klausimų dėl šio vaisto vartojimo, kreipkitės į gydytoją.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CA7EAF" w:rsidRDefault="00B61814" w:rsidP="00B61814">
      <w:pPr>
        <w:pStyle w:val="PI-1EMEASMCA"/>
      </w:pPr>
      <w:bookmarkStart w:id="4" w:name="_Toc129243267"/>
      <w:bookmarkStart w:id="5" w:name="_Toc129243142"/>
      <w:r w:rsidRPr="00CA7EAF">
        <w:t>4.</w:t>
      </w:r>
      <w:r w:rsidRPr="00CA7EAF">
        <w:tab/>
        <w:t>Galimas šalutinis poveikis</w:t>
      </w:r>
      <w:bookmarkEnd w:id="4"/>
      <w:bookmarkEnd w:id="5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Šis vaistas, kaip ir visi kiti, gali sukelti šalutinį poveikį, nors jis pasireiškia ne visiems žmonėms.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 xml:space="preserve">Nustokite vartoti </w:t>
      </w:r>
      <w:proofErr w:type="spellStart"/>
      <w:r w:rsidRPr="008F5267">
        <w:rPr>
          <w:b/>
          <w:bCs/>
          <w:sz w:val="22"/>
          <w:szCs w:val="22"/>
        </w:rPr>
        <w:t>Zibor</w:t>
      </w:r>
      <w:proofErr w:type="spellEnd"/>
      <w:r w:rsidRPr="008F5267">
        <w:rPr>
          <w:b/>
          <w:bCs/>
          <w:sz w:val="22"/>
          <w:szCs w:val="22"/>
        </w:rPr>
        <w:t xml:space="preserve"> ir nedelsiant praneškite gydytojui arba slaugytojai (arba nedelsiant kreipkitės į artimiausios ligoninės priėmimo arba skubios pagalbos skyrių), jei pastebėsite bet kurį iš žemiau išvardytų šalutinio poveikio požymių.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Dažni požymiai (gali pasitaikyti rečiau kaip 1 iš 10 pacientų):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neįprastas arba netikėtai prasidėjęs kraujavimas, pavyzdžiui, kraujas šlapime ir (arba) išmatose, kuris gali sukelti hemoraginę anemiją.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Reti (gali pasitaikyti rečiau kaip 1 iš 1000 pacientų):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labai sumažėjęs trombocitų skaičius kraujyje (II tipo </w:t>
      </w:r>
      <w:proofErr w:type="spellStart"/>
      <w:r w:rsidRPr="008F5267">
        <w:rPr>
          <w:rFonts w:ascii="Times New Roman" w:hAnsi="Times New Roman" w:cs="Times New Roman"/>
          <w:szCs w:val="22"/>
        </w:rPr>
        <w:t>trombocitopenija</w:t>
      </w:r>
      <w:proofErr w:type="spellEnd"/>
      <w:r w:rsidRPr="008F5267">
        <w:rPr>
          <w:rFonts w:ascii="Times New Roman" w:hAnsi="Times New Roman" w:cs="Times New Roman"/>
          <w:szCs w:val="22"/>
        </w:rPr>
        <w:t>), kuris gali sukelti mėlynių atsiradimą, kraujavimą iš burnos gleivinės, dantenų, nosies, išbėrimą;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injekcijos vietoje tamsi ir skausminga oda (odos nekrozė);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kraujosruvos stuburo kanale po </w:t>
      </w:r>
      <w:proofErr w:type="spellStart"/>
      <w:r w:rsidRPr="008F5267">
        <w:rPr>
          <w:rFonts w:ascii="Times New Roman" w:hAnsi="Times New Roman" w:cs="Times New Roman"/>
          <w:szCs w:val="22"/>
        </w:rPr>
        <w:t>spinalinės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arba </w:t>
      </w:r>
      <w:proofErr w:type="spellStart"/>
      <w:r w:rsidRPr="008F5267">
        <w:rPr>
          <w:rFonts w:ascii="Times New Roman" w:hAnsi="Times New Roman" w:cs="Times New Roman"/>
          <w:szCs w:val="22"/>
        </w:rPr>
        <w:t>juosmeninės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anestezijos (nugaros skausmas, kojų tirpulys ir silpnumas, žarnyno arba šlapimo pūslės veiklos sutrikimas). Šios kraujosruvos gali sukelti įvairius neurologinius sutrikimus, tarp jų - užsitęsusį arba pastovų paralyžių;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sunkios alerginės reakcijos (karščiavimas, drebulys, pasunkėjęs kvėpavimas, balso stygų patinimas, svaigulys, prakaitavimas, dilgėlinė, odos niežtėjimas, žemas kraujospūdis, karščio pylimas, kraujo priplūdimas į veidą, sąmonės netekimas, bronchų spindžio susiaurėjimas, gerklų paburkimas).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Kitas šalutinis poveikis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Labai dažni (pasitaiko daugiau kaip 1 iš 10 pacientų: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mėlynės, dėmės odoje, niežulys ir skausmas </w:t>
      </w:r>
      <w:proofErr w:type="spellStart"/>
      <w:r w:rsidRPr="008F5267">
        <w:rPr>
          <w:rFonts w:ascii="Times New Roman" w:hAnsi="Times New Roman" w:cs="Times New Roman"/>
          <w:szCs w:val="22"/>
        </w:rPr>
        <w:t>injekavimo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vietoje.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Dažni (pasitaiko rečiau kaip 1 iš 10 pacientų):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laikinas neintensyvus fermentų (</w:t>
      </w:r>
      <w:proofErr w:type="spellStart"/>
      <w:r w:rsidRPr="008F5267">
        <w:rPr>
          <w:rFonts w:ascii="Times New Roman" w:hAnsi="Times New Roman" w:cs="Times New Roman"/>
          <w:szCs w:val="22"/>
        </w:rPr>
        <w:t>transaminazių</w:t>
      </w:r>
      <w:proofErr w:type="spellEnd"/>
      <w:r w:rsidRPr="008F5267">
        <w:rPr>
          <w:rFonts w:ascii="Times New Roman" w:hAnsi="Times New Roman" w:cs="Times New Roman"/>
          <w:szCs w:val="22"/>
        </w:rPr>
        <w:t>) kiekio padidėjimas kraujyje, nustatomas atliekant kraujo tyrimus.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Nedažni (pasitaiko rečiau kaip 1 iš 100 pacientų):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neintensyvus ir laikinas trombocitų skaičiaus sumažėjimas (I tipo </w:t>
      </w:r>
      <w:proofErr w:type="spellStart"/>
      <w:r w:rsidRPr="008F5267">
        <w:rPr>
          <w:rFonts w:ascii="Times New Roman" w:hAnsi="Times New Roman" w:cs="Times New Roman"/>
          <w:szCs w:val="22"/>
        </w:rPr>
        <w:t>trombocitopenija</w:t>
      </w:r>
      <w:proofErr w:type="spellEnd"/>
      <w:r w:rsidRPr="008F5267">
        <w:rPr>
          <w:rFonts w:ascii="Times New Roman" w:hAnsi="Times New Roman" w:cs="Times New Roman"/>
          <w:szCs w:val="22"/>
        </w:rPr>
        <w:t>), nustatoma atliekant kraujo tyrimą;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nesunkios alerginės reakcijos: odos išbėrimas, dilgėlinė, randai.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Dažnis nežinomas (negali būti apskaičiuotas pagal turimus duomenis):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padidėjęs kalio kiekis kraujyje, nustatomas atliekant kraujo tyrimą.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Vartojant šį ar panašius vaistus ilgai, gali išryškėti kaulų trapumas (osteoporozė). Šio reiškinio dažnumas nežinomas.</w:t>
      </w:r>
    </w:p>
    <w:p w:rsidR="00B61814" w:rsidRPr="008F5267" w:rsidRDefault="00B61814" w:rsidP="00B61814">
      <w:pPr>
        <w:pStyle w:val="BT-EMEASMCA"/>
        <w:numPr>
          <w:ilvl w:val="0"/>
          <w:numId w:val="0"/>
        </w:numPr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color w:val="000000" w:themeColor="text1"/>
          <w:sz w:val="22"/>
          <w:szCs w:val="22"/>
        </w:rPr>
      </w:pPr>
      <w:r w:rsidRPr="008F5267">
        <w:rPr>
          <w:b/>
          <w:bCs/>
          <w:noProof/>
          <w:color w:val="000000" w:themeColor="text1"/>
          <w:sz w:val="22"/>
          <w:szCs w:val="22"/>
        </w:rPr>
        <w:t>Pranešimas apie šalutinį poveikį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bookmarkStart w:id="6" w:name="_Hlk132723066"/>
      <w:r w:rsidRPr="008F5267">
        <w:rPr>
          <w:rFonts w:ascii="Times New Roman" w:hAnsi="Times New Roman" w:cs="Times New Roman"/>
          <w:szCs w:val="22"/>
        </w:rPr>
        <w:t xml:space="preserve">Jeigu pasireiškė šalutinis poveikis, įskaitant šiame lapelyje nenurodytą, pasakykite gydytojui arba vaistininkui. </w:t>
      </w:r>
      <w:r w:rsidRPr="00E33FDE">
        <w:rPr>
          <w:rFonts w:ascii="Times New Roman" w:eastAsia="Times New Roman" w:hAnsi="Times New Roman" w:cs="Times New Roman"/>
          <w:noProof w:val="0"/>
          <w:color w:val="auto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E33FDE">
        <w:rPr>
          <w:rFonts w:ascii="Times New Roman" w:eastAsia="Times New Roman" w:hAnsi="Times New Roman" w:cs="Times New Roman"/>
          <w:noProof w:val="0"/>
          <w:color w:val="0000EE"/>
          <w:szCs w:val="22"/>
          <w:u w:val="single"/>
          <w:lang w:eastAsia="lt-LT"/>
        </w:rPr>
        <w:t>https://vvkt.lrv.lt/lt/</w:t>
      </w:r>
      <w:r w:rsidRPr="00E33FDE">
        <w:rPr>
          <w:rFonts w:ascii="Times New Roman" w:eastAsia="Times New Roman" w:hAnsi="Times New Roman" w:cs="Times New Roman"/>
          <w:noProof w:val="0"/>
          <w:color w:val="auto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E33FDE">
        <w:rPr>
          <w:rFonts w:ascii="Times New Roman" w:eastAsia="Times New Roman" w:hAnsi="Times New Roman" w:cs="Times New Roman"/>
          <w:noProof w:val="0"/>
          <w:color w:val="auto"/>
          <w:szCs w:val="20"/>
        </w:rPr>
        <w:t>.</w:t>
      </w:r>
      <w:bookmarkEnd w:id="6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CA7EAF" w:rsidRDefault="00B61814" w:rsidP="00B61814">
      <w:pPr>
        <w:pStyle w:val="PI-1EMEASMCA"/>
      </w:pPr>
      <w:r w:rsidRPr="00CA7EAF">
        <w:t>5.</w:t>
      </w:r>
      <w:r w:rsidRPr="00CA7EAF">
        <w:tab/>
        <w:t xml:space="preserve">Kaip laikyti </w:t>
      </w:r>
      <w:proofErr w:type="spellStart"/>
      <w:r w:rsidRPr="00CA7EAF">
        <w:t>Zibor</w:t>
      </w:r>
      <w:proofErr w:type="spellEnd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Šį vaistą laikykite vaikams nepastebimoje ir nepasiekiamoje vietoje.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Laikyti ne aukštesnėje kaip 25 </w:t>
      </w:r>
      <w:r w:rsidRPr="008F5267">
        <w:rPr>
          <w:rFonts w:ascii="Times New Roman" w:hAnsi="Times New Roman" w:cs="Times New Roman"/>
          <w:szCs w:val="22"/>
        </w:rPr>
        <w:sym w:font="Symbol" w:char="F0B0"/>
      </w:r>
      <w:r w:rsidRPr="008F5267">
        <w:rPr>
          <w:rFonts w:ascii="Times New Roman" w:hAnsi="Times New Roman" w:cs="Times New Roman"/>
          <w:szCs w:val="22"/>
        </w:rPr>
        <w:t>C temperatūroje. Negalima užšaldyti.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Nevartokite šio vaisto, jei: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apsauginė pakuotė yra atidaryta;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 apsauginė pakuotė yra pažeista;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 vaistas švirkšte neskaidrus;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jei preparate yra smulkių dalelių.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Atidarius Zibor lizdinę plokštelę su švirkštu, vaistas turi būti iš karto suvartotas.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Tinkamumo laikas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Ant dėžutės nurodytam tinkamumo laikui pasibaigus, šio vaisto vartoti negalima.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Vaistas tinkamas vartoti iki paskutinės nurodyto mėnesio dienos.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Atliekų tvarkymas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Vienkartinio švirkšto pakuotė.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Panaudotus švirkštus meskite į aštrių daiktų šiukšliadėžę.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Panaudotų švirkštų laikyti negalima.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Vaistų negalima išmesti</w:t>
      </w:r>
      <w:r w:rsidRPr="008F5267" w:rsidDel="00474C59">
        <w:rPr>
          <w:rFonts w:ascii="Times New Roman" w:hAnsi="Times New Roman" w:cs="Times New Roman"/>
          <w:szCs w:val="22"/>
        </w:rPr>
        <w:t xml:space="preserve"> </w:t>
      </w:r>
      <w:r w:rsidRPr="008F5267">
        <w:rPr>
          <w:rFonts w:ascii="Times New Roman" w:hAnsi="Times New Roman" w:cs="Times New Roman"/>
          <w:szCs w:val="22"/>
        </w:rPr>
        <w:t>į kanalizaciją arba su buitinėmis atliekomis. Kaip išmesti</w:t>
      </w:r>
      <w:r w:rsidRPr="008F5267" w:rsidDel="00474C59">
        <w:rPr>
          <w:rFonts w:ascii="Times New Roman" w:hAnsi="Times New Roman" w:cs="Times New Roman"/>
          <w:szCs w:val="22"/>
        </w:rPr>
        <w:t xml:space="preserve"> </w:t>
      </w:r>
      <w:r w:rsidRPr="008F5267">
        <w:rPr>
          <w:rFonts w:ascii="Times New Roman" w:hAnsi="Times New Roman" w:cs="Times New Roman"/>
          <w:szCs w:val="22"/>
        </w:rPr>
        <w:t>nereikalingus vaistus, klauskite vaistininko. Šios priemonės padės apsaugoti aplinką.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Vienkartinė pakuotė. Bet kokį nesuvartotą preparato likutį išmeskite.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CA7EAF" w:rsidRDefault="00B61814" w:rsidP="00B61814">
      <w:pPr>
        <w:pStyle w:val="PI-1EMEASMCA"/>
      </w:pPr>
      <w:bookmarkStart w:id="7" w:name="_Toc129243269"/>
      <w:bookmarkStart w:id="8" w:name="_Toc129243144"/>
      <w:r w:rsidRPr="00CA7EAF">
        <w:t>6.</w:t>
      </w:r>
      <w:r w:rsidRPr="00CA7EAF">
        <w:tab/>
        <w:t>Pakuotės turinys ir kita informacija</w:t>
      </w:r>
      <w:bookmarkEnd w:id="7"/>
      <w:bookmarkEnd w:id="8"/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pacing w:val="-3"/>
          <w:szCs w:val="22"/>
          <w:lang w:val="lt-LT"/>
        </w:rPr>
      </w:pPr>
      <w:proofErr w:type="spellStart"/>
      <w:r w:rsidRPr="008F5267">
        <w:rPr>
          <w:b/>
          <w:i w:val="0"/>
          <w:color w:val="000000" w:themeColor="text1"/>
          <w:spacing w:val="-3"/>
          <w:szCs w:val="22"/>
          <w:lang w:val="lt-LT"/>
        </w:rPr>
        <w:t>Zibor</w:t>
      </w:r>
      <w:proofErr w:type="spellEnd"/>
      <w:r w:rsidRPr="008F5267">
        <w:rPr>
          <w:b/>
          <w:i w:val="0"/>
          <w:color w:val="000000" w:themeColor="text1"/>
          <w:spacing w:val="-3"/>
          <w:szCs w:val="22"/>
          <w:lang w:val="lt-LT"/>
        </w:rPr>
        <w:t xml:space="preserve"> sudėtis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i/>
          <w:szCs w:val="22"/>
        </w:rPr>
      </w:pPr>
      <w:r w:rsidRPr="008F5267">
        <w:rPr>
          <w:rFonts w:ascii="Times New Roman" w:hAnsi="Times New Roman" w:cs="Times New Roman"/>
          <w:szCs w:val="22"/>
        </w:rPr>
        <w:t xml:space="preserve">Veiklioji medžiaga yra </w:t>
      </w:r>
      <w:proofErr w:type="spellStart"/>
      <w:r w:rsidRPr="008F5267">
        <w:rPr>
          <w:rFonts w:ascii="Times New Roman" w:hAnsi="Times New Roman" w:cs="Times New Roman"/>
          <w:szCs w:val="22"/>
        </w:rPr>
        <w:t>bemiparino</w:t>
      </w:r>
      <w:proofErr w:type="spellEnd"/>
      <w:r w:rsidRPr="008F5267">
        <w:rPr>
          <w:rFonts w:ascii="Times New Roman" w:hAnsi="Times New Roman" w:cs="Times New Roman"/>
          <w:szCs w:val="22"/>
        </w:rPr>
        <w:t xml:space="preserve"> natrio druska.</w:t>
      </w:r>
    </w:p>
    <w:p w:rsidR="00B61814" w:rsidRPr="008F5267" w:rsidRDefault="00B61814" w:rsidP="00B61814">
      <w:pPr>
        <w:pStyle w:val="BT-EMEASMCA"/>
        <w:tabs>
          <w:tab w:val="clear" w:pos="360"/>
        </w:tabs>
        <w:ind w:left="720" w:hanging="360"/>
        <w:rPr>
          <w:rFonts w:ascii="Times New Roman" w:hAnsi="Times New Roman" w:cs="Times New Roman"/>
          <w:b/>
          <w:szCs w:val="22"/>
          <w:u w:val="single"/>
        </w:rPr>
      </w:pPr>
      <w:r w:rsidRPr="008F5267">
        <w:rPr>
          <w:rFonts w:ascii="Times New Roman" w:hAnsi="Times New Roman" w:cs="Times New Roman"/>
          <w:szCs w:val="22"/>
        </w:rPr>
        <w:t>Pagalbinė medžiaga yra injekcinis vanduo.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proofErr w:type="spellStart"/>
      <w:r w:rsidRPr="008F5267">
        <w:rPr>
          <w:color w:val="000000" w:themeColor="text1"/>
          <w:spacing w:val="-3"/>
        </w:rPr>
        <w:t>Zibor</w:t>
      </w:r>
      <w:proofErr w:type="spellEnd"/>
      <w:r w:rsidRPr="008F5267">
        <w:rPr>
          <w:color w:val="000000" w:themeColor="text1"/>
          <w:spacing w:val="-3"/>
        </w:rPr>
        <w:t xml:space="preserve"> </w:t>
      </w:r>
      <w:r w:rsidRPr="008F5267">
        <w:rPr>
          <w:color w:val="000000" w:themeColor="text1"/>
        </w:rPr>
        <w:t>išvaizda ir kiekis pakuotėje</w:t>
      </w: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pacing w:val="-3"/>
          <w:szCs w:val="22"/>
        </w:rPr>
        <w:t>Zibor tirpalas švirkšte yra b</w:t>
      </w:r>
      <w:r w:rsidRPr="008F5267">
        <w:rPr>
          <w:rFonts w:ascii="Times New Roman" w:hAnsi="Times New Roman" w:cs="Times New Roman"/>
          <w:szCs w:val="22"/>
        </w:rPr>
        <w:t>espalvis arba šviesiai gelsvas, skaidrus, be matomų kietų dalelių.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pacing w:val="-3"/>
          <w:szCs w:val="22"/>
        </w:rPr>
        <w:t>Zibor pakuotėje yra</w:t>
      </w:r>
      <w:r w:rsidRPr="008F5267">
        <w:rPr>
          <w:rFonts w:ascii="Times New Roman" w:hAnsi="Times New Roman" w:cs="Times New Roman"/>
          <w:szCs w:val="22"/>
        </w:rPr>
        <w:t xml:space="preserve"> 2, 10, 30 ar 100 užpildytų švirkštų, kuriuose yra 0,2 ml, 0,3 ml arba 0,4 ml injekcinio tirpalo.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Gali būti tiekiamos ne visų dydžių pakuotės.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Kiekviename 0,2 ml švirkšte yra 5000 TV anti Xa bemiparino natrio druskos.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Kiekviename 0,3 ml švirkšte yra 7500 TV anti-Xa bemiparino natrio druskos.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Kiekviename 0,4 ml švirkšte yra 10 000 TV anti-Xa bemiparino natrio druskos.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Registruotojas ir gamintojas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I-3EMEASMCA"/>
        <w:spacing w:line="240" w:lineRule="auto"/>
        <w:rPr>
          <w:color w:val="000000" w:themeColor="text1"/>
        </w:rPr>
      </w:pPr>
      <w:r w:rsidRPr="008F5267">
        <w:rPr>
          <w:color w:val="000000" w:themeColor="text1"/>
        </w:rPr>
        <w:t>Registruotojas</w:t>
      </w:r>
    </w:p>
    <w:p w:rsidR="00B61814" w:rsidRPr="009F2D7D" w:rsidRDefault="00B61814" w:rsidP="00B61814">
      <w:pPr>
        <w:jc w:val="both"/>
        <w:rPr>
          <w:rFonts w:eastAsiaTheme="minorHAnsi"/>
          <w:noProof/>
          <w:color w:val="000000"/>
          <w:sz w:val="22"/>
          <w:szCs w:val="22"/>
        </w:rPr>
      </w:pPr>
      <w:r w:rsidRPr="009F2D7D">
        <w:rPr>
          <w:rFonts w:eastAsiaTheme="minorHAnsi"/>
          <w:noProof/>
          <w:color w:val="000000"/>
          <w:sz w:val="22"/>
          <w:szCs w:val="22"/>
        </w:rPr>
        <w:t>GINELADIUS, S.L.</w:t>
      </w:r>
    </w:p>
    <w:p w:rsidR="00B61814" w:rsidRPr="009F2D7D" w:rsidRDefault="00B61814" w:rsidP="00B61814">
      <w:pPr>
        <w:jc w:val="both"/>
        <w:rPr>
          <w:rFonts w:eastAsiaTheme="minorHAnsi"/>
          <w:noProof/>
          <w:color w:val="000000"/>
          <w:sz w:val="22"/>
          <w:szCs w:val="22"/>
        </w:rPr>
      </w:pPr>
      <w:r w:rsidRPr="009F2D7D">
        <w:rPr>
          <w:rFonts w:eastAsiaTheme="minorHAnsi"/>
          <w:noProof/>
          <w:color w:val="000000"/>
          <w:sz w:val="22"/>
          <w:szCs w:val="22"/>
        </w:rPr>
        <w:t>Rufino González 50,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9F2D7D">
        <w:rPr>
          <w:rFonts w:ascii="Times New Roman" w:hAnsi="Times New Roman" w:cs="Times New Roman"/>
          <w:szCs w:val="22"/>
        </w:rPr>
        <w:t xml:space="preserve">28037 Madrid, </w:t>
      </w:r>
      <w:r w:rsidRPr="008F5267">
        <w:rPr>
          <w:rFonts w:ascii="Times New Roman" w:hAnsi="Times New Roman" w:cs="Times New Roman"/>
          <w:szCs w:val="22"/>
        </w:rPr>
        <w:t>Ispanija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agrindinistekstas"/>
        <w:rPr>
          <w:b/>
          <w:i w:val="0"/>
          <w:color w:val="000000" w:themeColor="text1"/>
          <w:szCs w:val="22"/>
          <w:lang w:val="lt-LT"/>
        </w:rPr>
      </w:pPr>
      <w:r w:rsidRPr="008F5267">
        <w:rPr>
          <w:b/>
          <w:i w:val="0"/>
          <w:color w:val="000000" w:themeColor="text1"/>
          <w:szCs w:val="22"/>
          <w:lang w:val="lt-LT"/>
        </w:rPr>
        <w:t>Gamintojas</w:t>
      </w:r>
    </w:p>
    <w:p w:rsidR="00B61814" w:rsidRPr="008F5267" w:rsidRDefault="00B61814" w:rsidP="00B61814">
      <w:pPr>
        <w:pStyle w:val="Pagrindinistekstas"/>
        <w:rPr>
          <w:i w:val="0"/>
          <w:color w:val="000000" w:themeColor="text1"/>
          <w:szCs w:val="22"/>
          <w:lang w:val="lt-LT"/>
        </w:rPr>
      </w:pPr>
      <w:proofErr w:type="spellStart"/>
      <w:r w:rsidRPr="008F5267">
        <w:rPr>
          <w:i w:val="0"/>
          <w:color w:val="000000" w:themeColor="text1"/>
          <w:szCs w:val="22"/>
          <w:lang w:val="lt-LT"/>
        </w:rPr>
        <w:t>Laboratorios</w:t>
      </w:r>
      <w:proofErr w:type="spellEnd"/>
      <w:r w:rsidRPr="008F5267">
        <w:rPr>
          <w:i w:val="0"/>
          <w:color w:val="000000" w:themeColor="text1"/>
          <w:szCs w:val="22"/>
          <w:lang w:val="lt-LT"/>
        </w:rPr>
        <w:t xml:space="preserve"> </w:t>
      </w:r>
      <w:proofErr w:type="spellStart"/>
      <w:r w:rsidRPr="008F5267">
        <w:rPr>
          <w:i w:val="0"/>
          <w:color w:val="000000" w:themeColor="text1"/>
          <w:szCs w:val="22"/>
          <w:lang w:val="lt-LT"/>
        </w:rPr>
        <w:t>Farmacéuticos</w:t>
      </w:r>
      <w:proofErr w:type="spellEnd"/>
      <w:r w:rsidRPr="008F5267">
        <w:rPr>
          <w:i w:val="0"/>
          <w:color w:val="000000" w:themeColor="text1"/>
          <w:szCs w:val="22"/>
          <w:lang w:val="lt-LT"/>
        </w:rPr>
        <w:t xml:space="preserve"> Rovi, S. A.</w:t>
      </w:r>
    </w:p>
    <w:p w:rsidR="00B61814" w:rsidRPr="008F5267" w:rsidRDefault="00B61814" w:rsidP="00B61814">
      <w:pPr>
        <w:pStyle w:val="Pagrindinistekstas"/>
        <w:rPr>
          <w:i w:val="0"/>
          <w:color w:val="000000" w:themeColor="text1"/>
          <w:szCs w:val="22"/>
          <w:lang w:val="lt-LT"/>
        </w:rPr>
      </w:pPr>
      <w:proofErr w:type="spellStart"/>
      <w:r w:rsidRPr="008F5267">
        <w:rPr>
          <w:i w:val="0"/>
          <w:color w:val="000000" w:themeColor="text1"/>
          <w:szCs w:val="22"/>
          <w:lang w:val="lt-LT"/>
        </w:rPr>
        <w:t>Julián</w:t>
      </w:r>
      <w:proofErr w:type="spellEnd"/>
      <w:r w:rsidRPr="008F5267">
        <w:rPr>
          <w:i w:val="0"/>
          <w:color w:val="000000" w:themeColor="text1"/>
          <w:szCs w:val="22"/>
          <w:lang w:val="lt-LT"/>
        </w:rPr>
        <w:t xml:space="preserve"> </w:t>
      </w:r>
      <w:proofErr w:type="spellStart"/>
      <w:r w:rsidRPr="008F5267">
        <w:rPr>
          <w:i w:val="0"/>
          <w:color w:val="000000" w:themeColor="text1"/>
          <w:szCs w:val="22"/>
          <w:lang w:val="lt-LT"/>
        </w:rPr>
        <w:t>Camarillo</w:t>
      </w:r>
      <w:proofErr w:type="spellEnd"/>
      <w:r w:rsidRPr="008F5267">
        <w:rPr>
          <w:i w:val="0"/>
          <w:color w:val="000000" w:themeColor="text1"/>
          <w:szCs w:val="22"/>
          <w:lang w:val="lt-LT"/>
        </w:rPr>
        <w:t>, 35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28037 Madrid, Ispanija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Pagrindinistekstas"/>
        <w:rPr>
          <w:i w:val="0"/>
          <w:color w:val="000000" w:themeColor="text1"/>
          <w:szCs w:val="22"/>
          <w:lang w:val="es-ES"/>
        </w:rPr>
      </w:pPr>
      <w:r w:rsidRPr="008F5267">
        <w:rPr>
          <w:i w:val="0"/>
          <w:color w:val="000000" w:themeColor="text1"/>
          <w:szCs w:val="22"/>
          <w:shd w:val="clear" w:color="auto" w:fill="FFFFFF"/>
          <w:lang w:val="es-ES"/>
        </w:rPr>
        <w:t xml:space="preserve">ROVI </w:t>
      </w:r>
      <w:proofErr w:type="spellStart"/>
      <w:r w:rsidRPr="008F5267">
        <w:rPr>
          <w:i w:val="0"/>
          <w:color w:val="000000" w:themeColor="text1"/>
          <w:szCs w:val="22"/>
          <w:shd w:val="clear" w:color="auto" w:fill="FFFFFF"/>
          <w:lang w:val="es-ES"/>
        </w:rPr>
        <w:t>Pharma</w:t>
      </w:r>
      <w:proofErr w:type="spellEnd"/>
      <w:r w:rsidRPr="008F5267">
        <w:rPr>
          <w:i w:val="0"/>
          <w:color w:val="000000" w:themeColor="text1"/>
          <w:szCs w:val="22"/>
          <w:shd w:val="clear" w:color="auto" w:fill="FFFFFF"/>
          <w:lang w:val="es-ES"/>
        </w:rPr>
        <w:t xml:space="preserve"> Industrial </w:t>
      </w:r>
      <w:proofErr w:type="spellStart"/>
      <w:r w:rsidRPr="008F5267">
        <w:rPr>
          <w:i w:val="0"/>
          <w:color w:val="000000" w:themeColor="text1"/>
          <w:szCs w:val="22"/>
          <w:shd w:val="clear" w:color="auto" w:fill="FFFFFF"/>
          <w:lang w:val="es-ES"/>
        </w:rPr>
        <w:t>Services</w:t>
      </w:r>
      <w:proofErr w:type="spellEnd"/>
      <w:r w:rsidRPr="008F5267">
        <w:rPr>
          <w:i w:val="0"/>
          <w:color w:val="000000" w:themeColor="text1"/>
          <w:szCs w:val="22"/>
          <w:shd w:val="clear" w:color="auto" w:fill="FFFFFF"/>
          <w:lang w:val="es-ES"/>
        </w:rPr>
        <w:t>, S.A.</w:t>
      </w:r>
    </w:p>
    <w:p w:rsidR="00B61814" w:rsidRPr="008F5267" w:rsidRDefault="00B61814" w:rsidP="00B61814">
      <w:pPr>
        <w:pStyle w:val="Pagrindinistekstas"/>
        <w:rPr>
          <w:i w:val="0"/>
          <w:color w:val="000000" w:themeColor="text1"/>
          <w:szCs w:val="22"/>
          <w:lang w:val="it-IT"/>
        </w:rPr>
      </w:pPr>
      <w:r w:rsidRPr="008F5267">
        <w:rPr>
          <w:i w:val="0"/>
          <w:color w:val="000000" w:themeColor="text1"/>
          <w:szCs w:val="22"/>
          <w:lang w:val="it-IT"/>
        </w:rPr>
        <w:t>C/ Julián Camarillo, 35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28037 Madrid, Ispanija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b/>
          <w:bCs/>
          <w:szCs w:val="22"/>
        </w:rPr>
      </w:pPr>
      <w:r w:rsidRPr="008F5267">
        <w:rPr>
          <w:b/>
          <w:bCs/>
          <w:sz w:val="22"/>
          <w:szCs w:val="22"/>
        </w:rPr>
        <w:t>Šis vaistas EEE valstybėse narėse registruotas tokiais pavadinimais:</w:t>
      </w:r>
    </w:p>
    <w:p w:rsidR="00B61814" w:rsidRPr="008F5267" w:rsidRDefault="00B61814" w:rsidP="00B61814">
      <w:pPr>
        <w:pStyle w:val="BT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rPr>
          <w:rFonts w:eastAsiaTheme="minorHAnsi"/>
          <w:b/>
          <w:noProof/>
          <w:color w:val="000000" w:themeColor="text1"/>
          <w:sz w:val="22"/>
          <w:szCs w:val="22"/>
        </w:rPr>
      </w:pPr>
      <w:r w:rsidRPr="008F5267">
        <w:rPr>
          <w:rFonts w:eastAsiaTheme="minorHAnsi"/>
          <w:b/>
          <w:noProof/>
          <w:color w:val="000000" w:themeColor="text1"/>
          <w:sz w:val="22"/>
          <w:szCs w:val="22"/>
        </w:rPr>
        <w:t>Ivor: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 xml:space="preserve"> Italija, Portugalija</w:t>
      </w:r>
    </w:p>
    <w:p w:rsidR="00B61814" w:rsidRPr="008F5267" w:rsidRDefault="00B61814" w:rsidP="00B61814">
      <w:pPr>
        <w:rPr>
          <w:rFonts w:eastAsiaTheme="minorHAnsi"/>
          <w:color w:val="000000" w:themeColor="text1"/>
          <w:sz w:val="22"/>
          <w:szCs w:val="22"/>
        </w:rPr>
      </w:pPr>
      <w:proofErr w:type="spellStart"/>
      <w:r w:rsidRPr="008F5267">
        <w:rPr>
          <w:b/>
          <w:color w:val="000000" w:themeColor="text1"/>
          <w:sz w:val="22"/>
          <w:szCs w:val="22"/>
        </w:rPr>
        <w:t>Zibor</w:t>
      </w:r>
      <w:proofErr w:type="spellEnd"/>
      <w:r w:rsidRPr="008F5267">
        <w:rPr>
          <w:b/>
          <w:color w:val="000000" w:themeColor="text1"/>
          <w:sz w:val="22"/>
          <w:szCs w:val="22"/>
        </w:rPr>
        <w:t>:</w:t>
      </w:r>
      <w:r w:rsidRPr="008F5267">
        <w:rPr>
          <w:color w:val="000000" w:themeColor="text1"/>
          <w:sz w:val="22"/>
          <w:szCs w:val="22"/>
        </w:rPr>
        <w:t xml:space="preserve"> Airija, Čekija, Estija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 xml:space="preserve">, </w:t>
      </w:r>
      <w:r w:rsidRPr="008F5267">
        <w:rPr>
          <w:rFonts w:eastAsiaTheme="minorHAnsi"/>
          <w:color w:val="000000" w:themeColor="text1"/>
          <w:sz w:val="22"/>
          <w:szCs w:val="22"/>
        </w:rPr>
        <w:t>Jungtinė Karalystė</w:t>
      </w:r>
      <w:r w:rsidRPr="008F5267">
        <w:rPr>
          <w:color w:val="000000" w:themeColor="text1"/>
          <w:sz w:val="22"/>
          <w:szCs w:val="22"/>
        </w:rPr>
        <w:t>, Latvija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 xml:space="preserve">, </w:t>
      </w:r>
      <w:r w:rsidRPr="008F5267">
        <w:rPr>
          <w:rFonts w:eastAsiaTheme="minorHAnsi"/>
          <w:color w:val="000000" w:themeColor="text1"/>
          <w:sz w:val="22"/>
          <w:szCs w:val="22"/>
        </w:rPr>
        <w:t>Lenkija</w:t>
      </w:r>
      <w:r w:rsidRPr="008F5267">
        <w:rPr>
          <w:color w:val="000000" w:themeColor="text1"/>
          <w:sz w:val="22"/>
          <w:szCs w:val="22"/>
        </w:rPr>
        <w:t xml:space="preserve">, 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 xml:space="preserve">Lietuva, </w:t>
      </w:r>
      <w:r w:rsidRPr="008F5267">
        <w:rPr>
          <w:rFonts w:eastAsiaTheme="minorHAnsi"/>
          <w:color w:val="000000" w:themeColor="text1"/>
          <w:sz w:val="22"/>
          <w:szCs w:val="22"/>
        </w:rPr>
        <w:t>Rumunija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 xml:space="preserve">, Slovakija, </w:t>
      </w:r>
      <w:r w:rsidRPr="008F5267">
        <w:rPr>
          <w:rFonts w:eastAsiaTheme="minorHAnsi"/>
          <w:color w:val="000000" w:themeColor="text1"/>
          <w:sz w:val="22"/>
          <w:szCs w:val="22"/>
        </w:rPr>
        <w:t>Slovėnija</w:t>
      </w:r>
      <w:r w:rsidRPr="008F5267">
        <w:rPr>
          <w:rFonts w:eastAsiaTheme="minorHAnsi"/>
          <w:noProof/>
          <w:color w:val="000000" w:themeColor="text1"/>
          <w:sz w:val="22"/>
          <w:szCs w:val="22"/>
        </w:rPr>
        <w:t>, Vengrija</w:t>
      </w:r>
    </w:p>
    <w:p w:rsidR="00B61814" w:rsidRPr="008F5267" w:rsidRDefault="00B61814" w:rsidP="00B61814">
      <w:pPr>
        <w:rPr>
          <w:color w:val="000000" w:themeColor="text1"/>
          <w:sz w:val="22"/>
          <w:szCs w:val="22"/>
        </w:rPr>
      </w:pPr>
      <w:proofErr w:type="spellStart"/>
      <w:r w:rsidRPr="008F5267">
        <w:rPr>
          <w:b/>
          <w:color w:val="000000" w:themeColor="text1"/>
          <w:sz w:val="22"/>
          <w:szCs w:val="22"/>
          <w:lang w:eastAsia="lt-LT"/>
        </w:rPr>
        <w:t>Phivor</w:t>
      </w:r>
      <w:proofErr w:type="spellEnd"/>
      <w:r w:rsidRPr="008F5267">
        <w:rPr>
          <w:color w:val="000000" w:themeColor="text1"/>
          <w:sz w:val="22"/>
          <w:szCs w:val="22"/>
          <w:lang w:eastAsia="lt-LT"/>
        </w:rPr>
        <w:t>: Ispanija</w:t>
      </w:r>
    </w:p>
    <w:p w:rsidR="00B61814" w:rsidRPr="008F5267" w:rsidRDefault="00B61814" w:rsidP="00B61814">
      <w:pPr>
        <w:pStyle w:val="BTbEMEASMCA"/>
        <w:rPr>
          <w:rFonts w:ascii="Times New Roman" w:hAnsi="Times New Roman" w:cs="Times New Roman"/>
          <w:szCs w:val="22"/>
        </w:rPr>
      </w:pPr>
    </w:p>
    <w:p w:rsidR="00B61814" w:rsidRPr="008F5267" w:rsidRDefault="00B61814" w:rsidP="00B61814">
      <w:pPr>
        <w:pStyle w:val="BTbEMEASMCA"/>
        <w:rPr>
          <w:rFonts w:ascii="Times New Roman" w:hAnsi="Times New Roman" w:cs="Times New Roman"/>
          <w:szCs w:val="22"/>
        </w:rPr>
      </w:pPr>
      <w:r w:rsidRPr="008F5267">
        <w:rPr>
          <w:rFonts w:ascii="Times New Roman" w:hAnsi="Times New Roman" w:cs="Times New Roman"/>
          <w:szCs w:val="22"/>
        </w:rPr>
        <w:t>Šis pakuotės lapelis paskutinį kartą peržiūrėtas</w:t>
      </w:r>
      <w:r>
        <w:rPr>
          <w:rFonts w:ascii="Times New Roman" w:hAnsi="Times New Roman" w:cs="Times New Roman"/>
          <w:szCs w:val="22"/>
        </w:rPr>
        <w:t xml:space="preserve"> 2025-01-31</w:t>
      </w:r>
      <w:r w:rsidRPr="008F5267">
        <w:rPr>
          <w:rFonts w:ascii="Times New Roman" w:hAnsi="Times New Roman" w:cs="Times New Roman"/>
          <w:szCs w:val="22"/>
        </w:rPr>
        <w:t>.</w:t>
      </w:r>
    </w:p>
    <w:p w:rsidR="00B61814" w:rsidRPr="008F5267" w:rsidRDefault="00B61814" w:rsidP="00B61814">
      <w:pPr>
        <w:rPr>
          <w:color w:val="000000" w:themeColor="text1"/>
          <w:sz w:val="22"/>
          <w:szCs w:val="22"/>
        </w:rPr>
      </w:pPr>
    </w:p>
    <w:p w:rsidR="00B61814" w:rsidRPr="008F5267" w:rsidRDefault="00B61814" w:rsidP="00B61814">
      <w:pPr>
        <w:rPr>
          <w:color w:val="000000" w:themeColor="text1"/>
          <w:sz w:val="22"/>
          <w:szCs w:val="22"/>
        </w:rPr>
      </w:pPr>
      <w:r w:rsidRPr="00E33FDE"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E33FDE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E33FDE">
        <w:rPr>
          <w:sz w:val="22"/>
          <w:szCs w:val="22"/>
          <w:lang w:eastAsia="lt-LT"/>
        </w:rPr>
        <w:t>.</w:t>
      </w:r>
    </w:p>
    <w:p w:rsidR="00B61814" w:rsidRPr="008F5267" w:rsidRDefault="00B61814" w:rsidP="00B61814">
      <w:pPr>
        <w:rPr>
          <w:color w:val="000000" w:themeColor="text1"/>
          <w:sz w:val="22"/>
          <w:szCs w:val="22"/>
        </w:rPr>
      </w:pPr>
    </w:p>
    <w:p w:rsidR="00BA6577" w:rsidRDefault="00BA6577">
      <w:bookmarkStart w:id="9" w:name="_GoBack"/>
      <w:bookmarkEnd w:id="9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CBE"/>
    <w:multiLevelType w:val="hybridMultilevel"/>
    <w:tmpl w:val="8764AA90"/>
    <w:lvl w:ilvl="0" w:tplc="F3F6CBFE"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7757"/>
    <w:multiLevelType w:val="hybridMultilevel"/>
    <w:tmpl w:val="D78EE2FA"/>
    <w:lvl w:ilvl="0" w:tplc="2856C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C2365"/>
    <w:multiLevelType w:val="hybridMultilevel"/>
    <w:tmpl w:val="F606CA14"/>
    <w:lvl w:ilvl="0" w:tplc="2D8E177A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1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61814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06F5-7E1A-42AE-96C1-679A1873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1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1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1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B61814"/>
    <w:rPr>
      <w:i/>
      <w:color w:val="008000"/>
      <w:sz w:val="22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814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PI-1EMEASMCA">
    <w:name w:val="PI-1 EMEA_SMCA"/>
    <w:basedOn w:val="Antrat2"/>
    <w:autoRedefine/>
    <w:rsid w:val="00B61814"/>
    <w:pPr>
      <w:keepLines w:val="0"/>
      <w:tabs>
        <w:tab w:val="left" w:pos="567"/>
      </w:tabs>
      <w:spacing w:before="0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locked/>
    <w:rsid w:val="00B61814"/>
    <w:rPr>
      <w:noProof/>
      <w:color w:val="000000"/>
      <w:szCs w:val="24"/>
    </w:rPr>
  </w:style>
  <w:style w:type="paragraph" w:customStyle="1" w:styleId="BTEMEASMCA">
    <w:name w:val="BT EMEA_SMCA"/>
    <w:basedOn w:val="prastasis"/>
    <w:link w:val="BTEMEASMCAChar"/>
    <w:autoRedefine/>
    <w:rsid w:val="00B61814"/>
    <w:rPr>
      <w:rFonts w:asciiTheme="minorHAnsi" w:eastAsiaTheme="minorHAnsi" w:hAnsiTheme="minorHAnsi" w:cstheme="minorBidi"/>
      <w:noProof/>
      <w:color w:val="000000"/>
      <w:sz w:val="22"/>
    </w:rPr>
  </w:style>
  <w:style w:type="paragraph" w:customStyle="1" w:styleId="TTEMEASMCA">
    <w:name w:val="TT EMEA_SMCA"/>
    <w:basedOn w:val="Antrat1"/>
    <w:autoRedefine/>
    <w:rsid w:val="00B61814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paragraph" w:customStyle="1" w:styleId="BT-EMEASMCA">
    <w:name w:val="BT- EMEA_SMCA"/>
    <w:basedOn w:val="BTEMEASMCA"/>
    <w:autoRedefine/>
    <w:rsid w:val="00B61814"/>
    <w:pPr>
      <w:numPr>
        <w:numId w:val="1"/>
      </w:numPr>
      <w:tabs>
        <w:tab w:val="num" w:pos="360"/>
      </w:tabs>
      <w:ind w:left="0" w:firstLine="0"/>
    </w:pPr>
    <w:rPr>
      <w:noProof w:val="0"/>
    </w:rPr>
  </w:style>
  <w:style w:type="paragraph" w:customStyle="1" w:styleId="PI-3EMEASMCA">
    <w:name w:val="PI-3 EMEA_SMCA"/>
    <w:basedOn w:val="prastasis"/>
    <w:autoRedefine/>
    <w:uiPriority w:val="99"/>
    <w:rsid w:val="00B61814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B61814"/>
    <w:rPr>
      <w:b/>
    </w:rPr>
  </w:style>
  <w:style w:type="paragraph" w:customStyle="1" w:styleId="BTbeEMEASMCA">
    <w:name w:val="BT(be) EMEA_SMCA"/>
    <w:basedOn w:val="BTEMEASMCA"/>
    <w:autoRedefine/>
    <w:uiPriority w:val="99"/>
    <w:rsid w:val="00B61814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B61814"/>
    <w:pPr>
      <w:jc w:val="center"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18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618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9661</Words>
  <Characters>5508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Zibor ir kam jis vartojamas</vt:lpstr>
      <vt:lpstr>    2.	Kas žinotina prieš vartojant Zibor</vt:lpstr>
      <vt:lpstr>    3.	Kaip vartoti Zibor</vt:lpstr>
      <vt:lpstr>    4.	Galimas šalutinis poveikis</vt:lpstr>
      <vt:lpstr>    5.	Kaip laikyti Zibor</vt:lpstr>
      <vt:lpstr>    6.	Pakuotės turinys ir kita informacija</vt:lpstr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2025-02-03T09:02:00Z</dcterms:created>
  <dcterms:modified xsi:type="dcterms:W3CDTF">2025-02-03T09:03:00Z</dcterms:modified>
</cp:coreProperties>
</file>